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7F1" w:rsidRPr="00C00255" w:rsidRDefault="00DB67F1" w:rsidP="0069715C">
      <w:pPr>
        <w:ind w:left="5387"/>
      </w:pPr>
      <w:bookmarkStart w:id="0" w:name="_Toc37947820"/>
      <w:r w:rsidRPr="00C00255">
        <w:t>Baudžiamoji byla Nr. 1A-</w:t>
      </w:r>
      <w:r w:rsidR="00735770" w:rsidRPr="00C00255">
        <w:t>34</w:t>
      </w:r>
      <w:r w:rsidRPr="00C00255">
        <w:t>-1020/202</w:t>
      </w:r>
      <w:r w:rsidR="00735770" w:rsidRPr="00C00255">
        <w:t>1</w:t>
      </w:r>
      <w:bookmarkEnd w:id="0"/>
    </w:p>
    <w:p w:rsidR="00DB67F1" w:rsidRPr="00C00255" w:rsidRDefault="00DB67F1" w:rsidP="00DB67F1">
      <w:pPr>
        <w:ind w:left="5387"/>
        <w:rPr>
          <w:bCs/>
        </w:rPr>
      </w:pPr>
      <w:r w:rsidRPr="00C00255">
        <w:t>Teisminio proceso Nr.</w:t>
      </w:r>
      <w:r w:rsidRPr="00C00255">
        <w:rPr>
          <w:rFonts w:ascii="Verdana" w:hAnsi="Verdana"/>
          <w:bCs/>
          <w:sz w:val="20"/>
          <w:szCs w:val="20"/>
        </w:rPr>
        <w:t xml:space="preserve"> </w:t>
      </w:r>
      <w:r w:rsidRPr="00C00255">
        <w:rPr>
          <w:bCs/>
        </w:rPr>
        <w:t>1-09-2-00031-1999-4</w:t>
      </w:r>
    </w:p>
    <w:p w:rsidR="00DB67F1" w:rsidRPr="00C00255" w:rsidRDefault="00DB67F1" w:rsidP="00647614">
      <w:pPr>
        <w:pStyle w:val="NoSpacing1"/>
        <w:ind w:left="5387"/>
        <w:rPr>
          <w:sz w:val="24"/>
          <w:szCs w:val="24"/>
        </w:rPr>
      </w:pPr>
      <w:r w:rsidRPr="00C00255">
        <w:rPr>
          <w:sz w:val="24"/>
          <w:szCs w:val="24"/>
        </w:rPr>
        <w:t>Procesinio sprendimo kategorijos:</w:t>
      </w:r>
      <w:r w:rsidR="001D411D" w:rsidRPr="00C00255">
        <w:rPr>
          <w:sz w:val="24"/>
          <w:szCs w:val="24"/>
        </w:rPr>
        <w:t xml:space="preserve"> 1.1.2.1; 1.1.2.2; 1.1.2.4; </w:t>
      </w:r>
      <w:r w:rsidR="00647614" w:rsidRPr="00C00255">
        <w:rPr>
          <w:sz w:val="24"/>
          <w:szCs w:val="24"/>
        </w:rPr>
        <w:t>1.1.4.5.1; 1.1.5.6; 1.1.8.1.1; 1.1.8.1.2; 1.2.1.2; 1.2.1.5; 1.2.1.7.1; 1.2.1.14.1; 1.2.1.15; 2.1.2.6; 2.1.2.12; 2.1.7.1; 2.1.7.3; 2.1.7.4.6; 2.1.14; 2.1.15.1.1; 2.1.15.1.2; 2.3.4.6.2; 2.13.1; 2.13.3; 2.13.6</w:t>
      </w:r>
    </w:p>
    <w:p w:rsidR="00914563" w:rsidRPr="00C00255" w:rsidRDefault="00BA18FA" w:rsidP="00647614">
      <w:pPr>
        <w:pStyle w:val="NoSpacing1"/>
        <w:ind w:left="5387"/>
        <w:rPr>
          <w:sz w:val="24"/>
          <w:szCs w:val="24"/>
        </w:rPr>
      </w:pPr>
      <w:r>
        <w:rPr>
          <w:sz w:val="24"/>
          <w:szCs w:val="24"/>
        </w:rPr>
        <w:tab/>
      </w:r>
      <w:r>
        <w:rPr>
          <w:sz w:val="24"/>
          <w:szCs w:val="24"/>
        </w:rPr>
        <w:tab/>
      </w:r>
      <w:r>
        <w:rPr>
          <w:sz w:val="24"/>
          <w:szCs w:val="24"/>
        </w:rPr>
        <w:tab/>
      </w:r>
      <w:r>
        <w:rPr>
          <w:sz w:val="24"/>
          <w:szCs w:val="24"/>
        </w:rPr>
        <w:tab/>
        <w:t>(S)</w:t>
      </w:r>
    </w:p>
    <w:p w:rsidR="00987F65" w:rsidRPr="00C00255" w:rsidRDefault="00987F65" w:rsidP="00987F65">
      <w:pPr>
        <w:jc w:val="center"/>
        <w:rPr>
          <w:lang w:eastAsia="en-US"/>
        </w:rPr>
      </w:pPr>
      <w:r w:rsidRPr="00C00255">
        <w:rPr>
          <w:lang w:eastAsia="en-US"/>
        </w:rPr>
        <w:object w:dxaOrig="1141" w:dyaOrig="1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57.75pt" o:ole="" fillcolor="window">
            <v:imagedata r:id="rId8" o:title=""/>
          </v:shape>
          <o:OLEObject Type="Embed" ProgID="Word.Picture.8" ShapeID="_x0000_i1025" DrawAspect="Content" ObjectID="_1688362183" r:id="rId9"/>
        </w:object>
      </w:r>
    </w:p>
    <w:p w:rsidR="00987F65" w:rsidRPr="00C00255" w:rsidRDefault="00987F65" w:rsidP="00987F65">
      <w:pPr>
        <w:jc w:val="center"/>
        <w:rPr>
          <w:lang w:eastAsia="en-US"/>
        </w:rPr>
      </w:pPr>
    </w:p>
    <w:p w:rsidR="00DB67F1" w:rsidRPr="00C00255" w:rsidRDefault="00DB67F1" w:rsidP="00DB67F1">
      <w:pPr>
        <w:jc w:val="center"/>
        <w:rPr>
          <w:b/>
          <w:sz w:val="28"/>
          <w:szCs w:val="28"/>
        </w:rPr>
      </w:pPr>
      <w:r w:rsidRPr="00C00255">
        <w:rPr>
          <w:b/>
          <w:sz w:val="28"/>
          <w:szCs w:val="28"/>
        </w:rPr>
        <w:t>LIETUVOS APELIACINIS TEISMAS</w:t>
      </w:r>
    </w:p>
    <w:p w:rsidR="00987F65" w:rsidRPr="00C00255" w:rsidRDefault="00987F65" w:rsidP="00987F65">
      <w:pPr>
        <w:jc w:val="center"/>
        <w:rPr>
          <w:b/>
        </w:rPr>
      </w:pPr>
    </w:p>
    <w:p w:rsidR="00987F65" w:rsidRPr="00C00255" w:rsidRDefault="00987F65" w:rsidP="00987F65">
      <w:pPr>
        <w:jc w:val="center"/>
        <w:rPr>
          <w:b/>
          <w:sz w:val="28"/>
        </w:rPr>
      </w:pPr>
      <w:r w:rsidRPr="00C00255">
        <w:rPr>
          <w:b/>
          <w:sz w:val="28"/>
        </w:rPr>
        <w:t>N U</w:t>
      </w:r>
      <w:r w:rsidR="001D411D" w:rsidRPr="00C00255">
        <w:rPr>
          <w:b/>
          <w:sz w:val="28"/>
        </w:rPr>
        <w:t xml:space="preserve"> O S P R E N D I S</w:t>
      </w:r>
      <w:r w:rsidR="0081523B" w:rsidRPr="00C00255">
        <w:rPr>
          <w:b/>
          <w:sz w:val="28"/>
        </w:rPr>
        <w:t xml:space="preserve"> </w:t>
      </w:r>
    </w:p>
    <w:p w:rsidR="00987F65" w:rsidRPr="00C00255" w:rsidRDefault="00987F65" w:rsidP="00987F65">
      <w:pPr>
        <w:jc w:val="center"/>
        <w:rPr>
          <w:bCs/>
        </w:rPr>
      </w:pPr>
      <w:r w:rsidRPr="00C00255">
        <w:rPr>
          <w:bCs/>
        </w:rPr>
        <w:t>LIETUVOS RESPUBLIKOS VARDU</w:t>
      </w:r>
    </w:p>
    <w:p w:rsidR="00987F65" w:rsidRPr="00C00255" w:rsidRDefault="00987F65" w:rsidP="00987F65">
      <w:pPr>
        <w:jc w:val="center"/>
      </w:pPr>
    </w:p>
    <w:p w:rsidR="00987F65" w:rsidRPr="00C00255" w:rsidRDefault="00543B80" w:rsidP="00987F65">
      <w:pPr>
        <w:jc w:val="center"/>
      </w:pPr>
      <w:r w:rsidRPr="00C00255">
        <w:t>202</w:t>
      </w:r>
      <w:r w:rsidR="00735770" w:rsidRPr="00C00255">
        <w:t>1</w:t>
      </w:r>
      <w:r w:rsidR="00F93A4F" w:rsidRPr="00C00255">
        <w:t xml:space="preserve"> </w:t>
      </w:r>
      <w:r w:rsidR="00987F65" w:rsidRPr="00C00255">
        <w:t>m.</w:t>
      </w:r>
      <w:r w:rsidR="00735770" w:rsidRPr="00C00255">
        <w:t xml:space="preserve"> kovo </w:t>
      </w:r>
      <w:r w:rsidR="001D411D" w:rsidRPr="00C00255">
        <w:t>31</w:t>
      </w:r>
      <w:r w:rsidR="008434B8" w:rsidRPr="00C00255">
        <w:t xml:space="preserve"> </w:t>
      </w:r>
      <w:r w:rsidR="00987F65" w:rsidRPr="00C00255">
        <w:t>d.</w:t>
      </w:r>
    </w:p>
    <w:p w:rsidR="00987F65" w:rsidRPr="00C00255" w:rsidRDefault="00987F65" w:rsidP="00987F65">
      <w:pPr>
        <w:jc w:val="center"/>
      </w:pPr>
      <w:r w:rsidRPr="00C00255">
        <w:t>Vilnius</w:t>
      </w:r>
    </w:p>
    <w:p w:rsidR="00DB67F1" w:rsidRPr="00C00255" w:rsidRDefault="00DB67F1" w:rsidP="00987F65">
      <w:pPr>
        <w:jc w:val="center"/>
      </w:pPr>
    </w:p>
    <w:p w:rsidR="00523B8B" w:rsidRPr="00E76E89" w:rsidRDefault="00D56137" w:rsidP="00523B8B">
      <w:pPr>
        <w:ind w:firstLine="992"/>
      </w:pPr>
      <w:r w:rsidRPr="00E76E89">
        <w:t>Lietuvos apeliacinio teismo mišri Baudžiamųjų bylų skyriaus ir Civilinių bylų skyriaus teisėjų kolegija</w:t>
      </w:r>
      <w:r w:rsidR="00523B8B" w:rsidRPr="00E76E89">
        <w:t>, susidedanti iš teisėjų Ernestos Montvidienės, Ernesto Rimšelio (kolegijos pirmininkas ir pranešėjas) ir Egidijos Tamošiūnienės,</w:t>
      </w:r>
    </w:p>
    <w:p w:rsidR="000E245D" w:rsidRPr="00E76E89" w:rsidRDefault="000E245D" w:rsidP="000E245D">
      <w:r w:rsidRPr="00E76E89">
        <w:t>sekretoriau</w:t>
      </w:r>
      <w:r w:rsidR="00CE5E8D" w:rsidRPr="00E76E89">
        <w:t>ja</w:t>
      </w:r>
      <w:r w:rsidRPr="00E76E89">
        <w:t xml:space="preserve">nt </w:t>
      </w:r>
      <w:r w:rsidR="006A7E4E" w:rsidRPr="00E76E89">
        <w:t>Audronei Rasiulienei</w:t>
      </w:r>
      <w:r w:rsidRPr="00E76E89">
        <w:t>,</w:t>
      </w:r>
    </w:p>
    <w:p w:rsidR="000E245D" w:rsidRPr="00C00255" w:rsidRDefault="002C298B" w:rsidP="000E245D">
      <w:r w:rsidRPr="00C00255">
        <w:rPr>
          <w:bCs/>
        </w:rPr>
        <w:t>dalyvaujant prokurorams</w:t>
      </w:r>
      <w:r w:rsidR="00B0300C" w:rsidRPr="00C00255">
        <w:t xml:space="preserve"> Gintautui Paškevičiui, Daivai Skorupskaitei-Lisauskienei,</w:t>
      </w:r>
    </w:p>
    <w:p w:rsidR="00692D5F" w:rsidRPr="00C00255" w:rsidRDefault="002C298B" w:rsidP="000E245D">
      <w:r w:rsidRPr="00C00255">
        <w:rPr>
          <w:bCs/>
        </w:rPr>
        <w:t>šiems nuteistiesiems ir jų gynėjam</w:t>
      </w:r>
      <w:r w:rsidRPr="00C00255">
        <w:t>s</w:t>
      </w:r>
      <w:r w:rsidRPr="00C00255">
        <w:rPr>
          <w:bCs/>
        </w:rPr>
        <w:t>:</w:t>
      </w:r>
      <w:r w:rsidR="00B0300C" w:rsidRPr="00C00255">
        <w:t xml:space="preserve"> </w:t>
      </w:r>
    </w:p>
    <w:p w:rsidR="00281F13" w:rsidRPr="00C00255" w:rsidRDefault="00281F13" w:rsidP="00321748">
      <w:pPr>
        <w:pStyle w:val="ListParagraph"/>
        <w:numPr>
          <w:ilvl w:val="0"/>
          <w:numId w:val="5"/>
        </w:numPr>
        <w:tabs>
          <w:tab w:val="left" w:pos="993"/>
        </w:tabs>
        <w:ind w:left="0" w:firstLine="426"/>
      </w:pPr>
      <w:r w:rsidRPr="00C00255">
        <w:t>nu</w:t>
      </w:r>
      <w:r w:rsidR="00BA18FA">
        <w:t>teistajam J. M. (J. </w:t>
      </w:r>
      <w:r w:rsidRPr="00C00255">
        <w:t>N</w:t>
      </w:r>
      <w:r w:rsidR="00BA18FA">
        <w:t>. M.</w:t>
      </w:r>
      <w:r w:rsidRPr="00C00255">
        <w:t>) ir jo gynėj</w:t>
      </w:r>
      <w:r w:rsidR="006A7E4E" w:rsidRPr="00C00255">
        <w:t>a</w:t>
      </w:r>
      <w:r w:rsidRPr="00C00255">
        <w:t>ms advokat</w:t>
      </w:r>
      <w:r w:rsidR="006A7E4E" w:rsidRPr="00C00255">
        <w:t>a</w:t>
      </w:r>
      <w:r w:rsidRPr="00C00255">
        <w:t xml:space="preserve">ms Galinai Kardanovskajai, </w:t>
      </w:r>
      <w:r w:rsidR="006036E7">
        <w:t>Ryšardui </w:t>
      </w:r>
      <w:r w:rsidR="006A7E4E" w:rsidRPr="00C00255">
        <w:t xml:space="preserve">Burdai, </w:t>
      </w:r>
      <w:r w:rsidRPr="00C00255">
        <w:t>Danutei Kisinienei</w:t>
      </w:r>
      <w:r w:rsidR="000453E0" w:rsidRPr="00C00255">
        <w:t>,</w:t>
      </w:r>
    </w:p>
    <w:p w:rsidR="00281F13" w:rsidRPr="00C00255" w:rsidRDefault="00281F13" w:rsidP="00321748">
      <w:pPr>
        <w:pStyle w:val="ListParagraph"/>
        <w:numPr>
          <w:ilvl w:val="0"/>
          <w:numId w:val="5"/>
        </w:numPr>
        <w:tabs>
          <w:tab w:val="left" w:pos="993"/>
        </w:tabs>
        <w:ind w:left="0" w:firstLine="426"/>
      </w:pPr>
      <w:r w:rsidRPr="00C00255">
        <w:t xml:space="preserve">nuteistajam </w:t>
      </w:r>
      <w:r w:rsidR="00BA18FA">
        <w:t>G. I.</w:t>
      </w:r>
      <w:r w:rsidRPr="00C00255">
        <w:t xml:space="preserve"> </w:t>
      </w:r>
      <w:r w:rsidRPr="00C00255">
        <w:rPr>
          <w:color w:val="000000"/>
        </w:rPr>
        <w:t>(</w:t>
      </w:r>
      <w:r w:rsidR="00BA18FA">
        <w:rPr>
          <w:color w:val="000000"/>
        </w:rPr>
        <w:t>G. I.</w:t>
      </w:r>
      <w:r w:rsidRPr="00C00255">
        <w:rPr>
          <w:color w:val="000000"/>
        </w:rPr>
        <w:t>)</w:t>
      </w:r>
      <w:r w:rsidRPr="00C00255">
        <w:rPr>
          <w:b/>
          <w:color w:val="000000"/>
        </w:rPr>
        <w:t xml:space="preserve"> </w:t>
      </w:r>
      <w:r w:rsidRPr="00C00255">
        <w:t>ir jo gynėjoms advokatėms Julijai </w:t>
      </w:r>
      <w:r w:rsidR="006A7E4E" w:rsidRPr="00C00255">
        <w:t>Asovskajai</w:t>
      </w:r>
      <w:r w:rsidRPr="00C00255">
        <w:t>, Reginai Šaltinienei</w:t>
      </w:r>
      <w:r w:rsidR="000453E0" w:rsidRPr="00C00255">
        <w:rPr>
          <w:b/>
        </w:rPr>
        <w:t>,</w:t>
      </w:r>
    </w:p>
    <w:p w:rsidR="00281F13" w:rsidRPr="00C00255" w:rsidRDefault="00281F13" w:rsidP="00321748">
      <w:pPr>
        <w:pStyle w:val="ListParagraph"/>
        <w:numPr>
          <w:ilvl w:val="0"/>
          <w:numId w:val="5"/>
        </w:numPr>
        <w:tabs>
          <w:tab w:val="left" w:pos="993"/>
        </w:tabs>
        <w:ind w:left="0" w:firstLine="426"/>
      </w:pPr>
      <w:r w:rsidRPr="00C00255">
        <w:t>nuteist</w:t>
      </w:r>
      <w:r w:rsidR="00BA18FA">
        <w:t xml:space="preserve">ojo </w:t>
      </w:r>
      <w:r w:rsidR="00385BC9">
        <w:t xml:space="preserve">V. Š. 1 </w:t>
      </w:r>
      <w:r w:rsidR="00BA18FA">
        <w:t>(V. </w:t>
      </w:r>
      <w:r w:rsidRPr="00C00255">
        <w:t>N</w:t>
      </w:r>
      <w:r w:rsidR="00BA18FA">
        <w:t>. Š.</w:t>
      </w:r>
      <w:r w:rsidRPr="00C00255">
        <w:t>) gynėjoms advokatėms Mar</w:t>
      </w:r>
      <w:r w:rsidR="006036E7">
        <w:t>ijai Bartaševičiūtei, Salomėjai </w:t>
      </w:r>
      <w:r w:rsidRPr="00C00255">
        <w:t>Zaksaitei</w:t>
      </w:r>
      <w:r w:rsidR="000453E0" w:rsidRPr="00C00255">
        <w:t>,</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385BC9">
        <w:t>A. N. 1</w:t>
      </w:r>
      <w:r w:rsidRPr="00C00255">
        <w:t xml:space="preserve"> gynėj</w:t>
      </w:r>
      <w:r w:rsidR="00766CBF" w:rsidRPr="00C00255">
        <w:t>ai</w:t>
      </w:r>
      <w:r w:rsidRPr="00C00255">
        <w:t xml:space="preserve"> advokat</w:t>
      </w:r>
      <w:r w:rsidR="00766CBF" w:rsidRPr="00C00255">
        <w:t>ei</w:t>
      </w:r>
      <w:r w:rsidRPr="00C00255">
        <w:t xml:space="preserve"> Žanai Timaškovai,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385BC9">
        <w:t>R. J. 1</w:t>
      </w:r>
      <w:r w:rsidRPr="00C00255">
        <w:t xml:space="preserve"> gynėj</w:t>
      </w:r>
      <w:r w:rsidR="00766CBF" w:rsidRPr="00C00255">
        <w:t>ui</w:t>
      </w:r>
      <w:r w:rsidRPr="00C00255">
        <w:t xml:space="preserve"> advokat</w:t>
      </w:r>
      <w:r w:rsidR="00766CBF" w:rsidRPr="00C00255">
        <w:t>ui</w:t>
      </w:r>
      <w:r w:rsidRPr="00C00255">
        <w:t xml:space="preserve"> Aleksandrui Palamarčukui (Aleksandr Palamarčuk)</w:t>
      </w:r>
      <w:r w:rsidR="00B129A2" w:rsidRPr="00C00255">
        <w:t>,</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385BC9">
        <w:t>D. J.</w:t>
      </w:r>
      <w:r w:rsidRPr="00C00255">
        <w:t xml:space="preserve"> </w:t>
      </w:r>
      <w:r w:rsidRPr="00C00255">
        <w:rPr>
          <w:color w:val="000000"/>
        </w:rPr>
        <w:t>(D</w:t>
      </w:r>
      <w:r w:rsidR="00385BC9">
        <w:rPr>
          <w:color w:val="000000"/>
        </w:rPr>
        <w:t>. T. J.</w:t>
      </w:r>
      <w:r w:rsidRPr="00C00255">
        <w:rPr>
          <w:color w:val="000000"/>
        </w:rPr>
        <w:t xml:space="preserve">) gynėjams </w:t>
      </w:r>
      <w:r w:rsidRPr="00C00255">
        <w:t>advokatams</w:t>
      </w:r>
      <w:r w:rsidRPr="00C00255">
        <w:rPr>
          <w:color w:val="000000"/>
        </w:rPr>
        <w:t xml:space="preserve"> Valentinui Giriūnui, Elenai Žilėnienei,</w:t>
      </w:r>
    </w:p>
    <w:p w:rsidR="00281F13" w:rsidRPr="00C00255" w:rsidRDefault="00281F13" w:rsidP="00321748">
      <w:pPr>
        <w:pStyle w:val="ListParagraph"/>
        <w:numPr>
          <w:ilvl w:val="0"/>
          <w:numId w:val="5"/>
        </w:numPr>
        <w:tabs>
          <w:tab w:val="left" w:pos="993"/>
        </w:tabs>
        <w:ind w:left="0" w:firstLine="426"/>
      </w:pPr>
      <w:r w:rsidRPr="00C00255">
        <w:rPr>
          <w:color w:val="000000"/>
        </w:rPr>
        <w:t xml:space="preserve">nuteistojo </w:t>
      </w:r>
      <w:r w:rsidR="00385BC9">
        <w:rPr>
          <w:color w:val="000000"/>
        </w:rPr>
        <w:t>M. G.</w:t>
      </w:r>
      <w:r w:rsidRPr="00C00255">
        <w:rPr>
          <w:color w:val="000000"/>
        </w:rPr>
        <w:t xml:space="preserve"> </w:t>
      </w:r>
      <w:r w:rsidRPr="00C00255">
        <w:t>(M</w:t>
      </w:r>
      <w:r w:rsidR="00385BC9">
        <w:t>. V. G.</w:t>
      </w:r>
      <w:r w:rsidRPr="00C00255">
        <w:t xml:space="preserve">) </w:t>
      </w:r>
      <w:r w:rsidRPr="00C00255">
        <w:rPr>
          <w:color w:val="000000"/>
        </w:rPr>
        <w:t>gynėjams advokatams Ryšardui Burdai, Alfredui Besuspariui,</w:t>
      </w:r>
      <w:r w:rsidR="00385BC9">
        <w:rPr>
          <w:color w:val="000000"/>
        </w:rPr>
        <w:t xml:space="preserve"> </w:t>
      </w:r>
    </w:p>
    <w:p w:rsidR="00281F13" w:rsidRPr="00C00255" w:rsidRDefault="00281F13" w:rsidP="00321748">
      <w:pPr>
        <w:pStyle w:val="ListParagraph"/>
        <w:numPr>
          <w:ilvl w:val="0"/>
          <w:numId w:val="5"/>
        </w:numPr>
        <w:tabs>
          <w:tab w:val="left" w:pos="993"/>
        </w:tabs>
        <w:ind w:left="0" w:firstLine="426"/>
      </w:pPr>
      <w:r w:rsidRPr="00C00255">
        <w:rPr>
          <w:color w:val="000000"/>
        </w:rPr>
        <w:t xml:space="preserve">nuteistojo </w:t>
      </w:r>
      <w:r w:rsidR="00385BC9">
        <w:rPr>
          <w:color w:val="000000"/>
        </w:rPr>
        <w:t>J. Č.</w:t>
      </w:r>
      <w:r w:rsidRPr="00C00255">
        <w:rPr>
          <w:color w:val="000000"/>
        </w:rPr>
        <w:t xml:space="preserve"> </w:t>
      </w:r>
      <w:r w:rsidRPr="00C00255">
        <w:t>(J</w:t>
      </w:r>
      <w:r w:rsidR="00385BC9">
        <w:t>. N. </w:t>
      </w:r>
      <w:r w:rsidRPr="00C00255">
        <w:t>Č</w:t>
      </w:r>
      <w:r w:rsidR="00385BC9">
        <w:t>.</w:t>
      </w:r>
      <w:r w:rsidRPr="00C00255">
        <w:t>) gynėj</w:t>
      </w:r>
      <w:r w:rsidR="00CA43F4" w:rsidRPr="00C00255">
        <w:t>o</w:t>
      </w:r>
      <w:r w:rsidRPr="00C00255">
        <w:t>ms advokat</w:t>
      </w:r>
      <w:r w:rsidR="00CA43F4" w:rsidRPr="00C00255">
        <w:t>ė</w:t>
      </w:r>
      <w:r w:rsidRPr="00C00255">
        <w:t xml:space="preserve">ms Reginai Atkočaitienei, </w:t>
      </w:r>
      <w:r w:rsidR="006036E7">
        <w:t>Kristinai </w:t>
      </w:r>
      <w:r w:rsidR="00F061DF" w:rsidRPr="00C00255">
        <w:t>Smaidžiūnaitei</w:t>
      </w:r>
      <w:r w:rsidR="00022AFD" w:rsidRPr="00C00255">
        <w:t>-Lankevičienei</w:t>
      </w:r>
      <w:r w:rsidRPr="00C00255">
        <w:t>,</w:t>
      </w:r>
      <w:r w:rsidR="00385BC9">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385BC9">
        <w:t>N. D. (N. </w:t>
      </w:r>
      <w:r w:rsidRPr="00C00255">
        <w:t>I</w:t>
      </w:r>
      <w:r w:rsidR="00385BC9">
        <w:t>. D.</w:t>
      </w:r>
      <w:r w:rsidRPr="00C00255">
        <w:t>) gynėj</w:t>
      </w:r>
      <w:r w:rsidR="00766CBF" w:rsidRPr="00C00255">
        <w:t>ui</w:t>
      </w:r>
      <w:r w:rsidRPr="00C00255">
        <w:t xml:space="preserve"> advokat</w:t>
      </w:r>
      <w:r w:rsidR="00766CBF" w:rsidRPr="00C00255">
        <w:t>ui</w:t>
      </w:r>
      <w:r w:rsidRPr="00C00255">
        <w:t xml:space="preserve"> Mindaugui Vaivadai, </w:t>
      </w:r>
    </w:p>
    <w:p w:rsidR="00281F13" w:rsidRPr="00C00255" w:rsidRDefault="00281F13" w:rsidP="00321748">
      <w:pPr>
        <w:pStyle w:val="ListParagraph"/>
        <w:numPr>
          <w:ilvl w:val="0"/>
          <w:numId w:val="5"/>
        </w:numPr>
        <w:tabs>
          <w:tab w:val="left" w:pos="993"/>
        </w:tabs>
        <w:ind w:left="0" w:firstLine="426"/>
      </w:pPr>
      <w:r w:rsidRPr="00C00255">
        <w:t>nuteis</w:t>
      </w:r>
      <w:r w:rsidR="00385BC9">
        <w:t>tojo V. S. 1 (V. </w:t>
      </w:r>
      <w:r w:rsidRPr="00C00255">
        <w:t>N</w:t>
      </w:r>
      <w:r w:rsidR="00385BC9">
        <w:t>. S.</w:t>
      </w:r>
      <w:r w:rsidRPr="00C00255">
        <w:t>) gynėjams advokatams Algirdui Cegeliui, Vilmai Petrauskienei,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385BC9">
        <w:t>V. K. 1</w:t>
      </w:r>
      <w:r w:rsidRPr="00C00255">
        <w:t xml:space="preserve"> (V</w:t>
      </w:r>
      <w:r w:rsidR="00385BC9">
        <w:t>. M. K.</w:t>
      </w:r>
      <w:r w:rsidRPr="00C00255">
        <w:t>) gynėjams advokatams Emmai Domajevai, Edmundui Jonušui,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385BC9">
        <w:t>G. G.</w:t>
      </w:r>
      <w:r w:rsidR="006A7EC4" w:rsidRPr="00C00255">
        <w:t xml:space="preserve"> </w:t>
      </w:r>
      <w:r w:rsidRPr="00C00255">
        <w:t>(G</w:t>
      </w:r>
      <w:r w:rsidR="00385BC9">
        <w:t>. (G.) J. G.</w:t>
      </w:r>
      <w:r w:rsidRPr="00C00255">
        <w:t>) gynėjoms advokatėms Daivai</w:t>
      </w:r>
      <w:r w:rsidR="006036E7">
        <w:t xml:space="preserve"> Jurevičienei, Danguolei Elenai </w:t>
      </w:r>
      <w:r w:rsidRPr="00C00255">
        <w:t>Mikalauskaitei,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385BC9">
        <w:t>V. S. 2</w:t>
      </w:r>
      <w:r w:rsidRPr="00C00255">
        <w:t xml:space="preserve"> (V</w:t>
      </w:r>
      <w:r w:rsidR="00385BC9">
        <w:t>. J. S.</w:t>
      </w:r>
      <w:r w:rsidRPr="00C00255">
        <w:t>) gynėjams advokatams Janui Kuč</w:t>
      </w:r>
      <w:r w:rsidR="006036E7">
        <w:t>ynskiui (Jan Kučynski), Jurijui </w:t>
      </w:r>
      <w:r w:rsidRPr="00C00255">
        <w:t>Binevičiui (Jurij Binevič),</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2451F2">
        <w:t>V. D. (V. </w:t>
      </w:r>
      <w:r w:rsidRPr="00C00255">
        <w:t>N</w:t>
      </w:r>
      <w:r w:rsidR="002451F2">
        <w:t>. D.</w:t>
      </w:r>
      <w:r w:rsidRPr="00C00255">
        <w:t>) gynėjams advokatams Sergejui Chiminui, Ramūnui Putinui,</w:t>
      </w:r>
    </w:p>
    <w:p w:rsidR="00281F13" w:rsidRPr="00C00255" w:rsidRDefault="00281F13" w:rsidP="00321748">
      <w:pPr>
        <w:pStyle w:val="ListParagraph"/>
        <w:numPr>
          <w:ilvl w:val="0"/>
          <w:numId w:val="5"/>
        </w:numPr>
        <w:tabs>
          <w:tab w:val="left" w:pos="993"/>
        </w:tabs>
        <w:ind w:left="0" w:firstLine="426"/>
      </w:pPr>
      <w:r w:rsidRPr="00C00255">
        <w:lastRenderedPageBreak/>
        <w:t xml:space="preserve">nuteistojo </w:t>
      </w:r>
      <w:r w:rsidR="006036E7">
        <w:t>B. S.</w:t>
      </w:r>
      <w:r w:rsidRPr="00C00255">
        <w:t xml:space="preserve"> (B</w:t>
      </w:r>
      <w:r w:rsidR="006036E7">
        <w:t>. F.</w:t>
      </w:r>
      <w:r w:rsidRPr="00C00255">
        <w:t>/</w:t>
      </w:r>
      <w:r w:rsidR="006036E7">
        <w:t>F. S.</w:t>
      </w:r>
      <w:r w:rsidRPr="00C00255">
        <w:t>) gynėjoms advokatėm</w:t>
      </w:r>
      <w:r w:rsidR="006036E7">
        <w:t>s Angelei Fominienei, Raimondai </w:t>
      </w:r>
      <w:r w:rsidRPr="00C00255">
        <w:t>Venckutei</w:t>
      </w:r>
      <w:r w:rsidR="00CB1568" w:rsidRPr="00C00255">
        <w:t>,</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V. S. 3</w:t>
      </w:r>
      <w:r w:rsidRPr="00C00255">
        <w:t xml:space="preserve"> (V</w:t>
      </w:r>
      <w:r w:rsidR="006036E7">
        <w:t>. </w:t>
      </w:r>
      <w:r w:rsidRPr="00C00255">
        <w:t>M</w:t>
      </w:r>
      <w:r w:rsidR="006036E7">
        <w:t>. S.</w:t>
      </w:r>
      <w:r w:rsidRPr="00C00255">
        <w:t>) gynėjoms advokatėms Liubo</w:t>
      </w:r>
      <w:r w:rsidR="006036E7">
        <w:t>vei Kuprusevičienei, Andželikai </w:t>
      </w:r>
      <w:r w:rsidRPr="00C00255">
        <w:t>Vos</w:t>
      </w:r>
      <w:r w:rsidR="00CB1568" w:rsidRPr="00C00255">
        <w:t>y</w:t>
      </w:r>
      <w:r w:rsidRPr="00C00255">
        <w:t>liūtei,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S. P.</w:t>
      </w:r>
      <w:r w:rsidRPr="00C00255">
        <w:t xml:space="preserve"> (S</w:t>
      </w:r>
      <w:r w:rsidR="006036E7">
        <w:t>. </w:t>
      </w:r>
      <w:r w:rsidRPr="00C00255">
        <w:t>V</w:t>
      </w:r>
      <w:r w:rsidR="006036E7">
        <w:t>. </w:t>
      </w:r>
      <w:r w:rsidRPr="00C00255">
        <w:t>P</w:t>
      </w:r>
      <w:r w:rsidR="006036E7">
        <w:t>.</w:t>
      </w:r>
      <w:r w:rsidR="00052BE3" w:rsidRPr="00C00255">
        <w:t> </w:t>
      </w:r>
      <w:r w:rsidRPr="00C00255">
        <w:t>/</w:t>
      </w:r>
      <w:r w:rsidR="008201CB" w:rsidRPr="00C00255">
        <w:t> </w:t>
      </w:r>
      <w:r w:rsidRPr="00C00255">
        <w:t>P</w:t>
      </w:r>
      <w:r w:rsidR="006036E7">
        <w:t>.</w:t>
      </w:r>
      <w:r w:rsidRPr="00C00255">
        <w:t xml:space="preserve">) gynėjams advokatams Dariui Karabinui, Gintui Gustaičiui,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S. K.</w:t>
      </w:r>
      <w:r w:rsidRPr="00C00255">
        <w:t xml:space="preserve"> (S</w:t>
      </w:r>
      <w:r w:rsidR="006036E7">
        <w:t>. I. K.</w:t>
      </w:r>
      <w:r w:rsidRPr="00C00255">
        <w:t>) gynėj</w:t>
      </w:r>
      <w:r w:rsidR="00766CBF" w:rsidRPr="00C00255">
        <w:t>ui</w:t>
      </w:r>
      <w:r w:rsidRPr="00C00255">
        <w:t xml:space="preserve"> advokat</w:t>
      </w:r>
      <w:r w:rsidR="00766CBF" w:rsidRPr="00C00255">
        <w:t>ui</w:t>
      </w:r>
      <w:r w:rsidRPr="00C00255">
        <w:t xml:space="preserve"> Petrui Lileikai, </w:t>
      </w:r>
    </w:p>
    <w:p w:rsidR="00281F13" w:rsidRPr="00C00255" w:rsidRDefault="00281F13" w:rsidP="00321748">
      <w:pPr>
        <w:pStyle w:val="ListParagraph"/>
        <w:numPr>
          <w:ilvl w:val="0"/>
          <w:numId w:val="5"/>
        </w:numPr>
        <w:tabs>
          <w:tab w:val="left" w:pos="993"/>
        </w:tabs>
        <w:ind w:left="0" w:firstLine="426"/>
      </w:pPr>
      <w:r w:rsidRPr="00C00255">
        <w:t>nute</w:t>
      </w:r>
      <w:r w:rsidR="006036E7">
        <w:t>istojo J. G. (J. A. G.</w:t>
      </w:r>
      <w:r w:rsidRPr="00C00255">
        <w:t>) gynėjams advokatams Kęst</w:t>
      </w:r>
      <w:r w:rsidR="00CB1568" w:rsidRPr="00C00255">
        <w:t>uči</w:t>
      </w:r>
      <w:r w:rsidRPr="00C00255">
        <w:t>ui Blažiui, Reginai Majauskienei,</w:t>
      </w:r>
    </w:p>
    <w:p w:rsidR="00281F13" w:rsidRPr="00C00255" w:rsidRDefault="00281F13" w:rsidP="00321748">
      <w:pPr>
        <w:pStyle w:val="ListParagraph"/>
        <w:numPr>
          <w:ilvl w:val="0"/>
          <w:numId w:val="5"/>
        </w:numPr>
        <w:tabs>
          <w:tab w:val="left" w:pos="993"/>
        </w:tabs>
        <w:ind w:left="0" w:firstLine="426"/>
      </w:pPr>
      <w:r w:rsidRPr="00C00255">
        <w:t>n</w:t>
      </w:r>
      <w:r w:rsidR="006036E7">
        <w:t>uteistojo I. Š. (I. </w:t>
      </w:r>
      <w:r w:rsidRPr="00C00255">
        <w:t>G</w:t>
      </w:r>
      <w:r w:rsidR="006036E7">
        <w:t>. Š.</w:t>
      </w:r>
      <w:r w:rsidRPr="00C00255">
        <w:t>/</w:t>
      </w:r>
      <w:r w:rsidR="006036E7">
        <w:t>Š.</w:t>
      </w:r>
      <w:r w:rsidRPr="00C00255">
        <w:t>) gynėjams advokata</w:t>
      </w:r>
      <w:r w:rsidR="006036E7">
        <w:t>ms Antonui Kviatkovskiui (Anton </w:t>
      </w:r>
      <w:r w:rsidRPr="00C00255">
        <w:t xml:space="preserve">Kviatkovski), Audriui Leonavičiui,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G. 2</w:t>
      </w:r>
      <w:r w:rsidRPr="00C00255">
        <w:t xml:space="preserve"> (A</w:t>
      </w:r>
      <w:r w:rsidR="006036E7">
        <w:t>. V. G.</w:t>
      </w:r>
      <w:r w:rsidRPr="00C00255">
        <w:t>) gynėj</w:t>
      </w:r>
      <w:r w:rsidR="00766CBF" w:rsidRPr="00C00255">
        <w:t>ui</w:t>
      </w:r>
      <w:r w:rsidRPr="00C00255">
        <w:t xml:space="preserve"> advokat</w:t>
      </w:r>
      <w:r w:rsidR="00766CBF" w:rsidRPr="00C00255">
        <w:t>ui</w:t>
      </w:r>
      <w:r w:rsidRPr="00C00255">
        <w:t xml:space="preserve"> Antanui Skrebutėnui,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Z.</w:t>
      </w:r>
      <w:r w:rsidRPr="00C00255">
        <w:t xml:space="preserve"> (A</w:t>
      </w:r>
      <w:r w:rsidR="006036E7">
        <w:t>. </w:t>
      </w:r>
      <w:r w:rsidRPr="00C00255">
        <w:t>P</w:t>
      </w:r>
      <w:r w:rsidR="006036E7">
        <w:t>. </w:t>
      </w:r>
      <w:r w:rsidRPr="00C00255">
        <w:t>Z</w:t>
      </w:r>
      <w:r w:rsidR="006036E7">
        <w:t>.</w:t>
      </w:r>
      <w:r w:rsidRPr="00C00255">
        <w:t>) gynėj</w:t>
      </w:r>
      <w:r w:rsidR="00766CBF" w:rsidRPr="00C00255">
        <w:t>ui</w:t>
      </w:r>
      <w:r w:rsidRPr="00C00255">
        <w:t xml:space="preserve"> advokat</w:t>
      </w:r>
      <w:r w:rsidR="00766CBF" w:rsidRPr="00C00255">
        <w:t>ui</w:t>
      </w:r>
      <w:r w:rsidRPr="00C00255">
        <w:t xml:space="preserve"> Antanui Danieliui,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V. K. 2 (V. A. </w:t>
      </w:r>
      <w:r w:rsidRPr="00C00255">
        <w:t>K</w:t>
      </w:r>
      <w:r w:rsidR="006036E7">
        <w:t>.</w:t>
      </w:r>
      <w:r w:rsidRPr="00C00255">
        <w:t>) gynėjams advokatams Anai Ustinovič, Eugenijui Šuliokui,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R. J. 2</w:t>
      </w:r>
      <w:r w:rsidRPr="00C00255">
        <w:t xml:space="preserve"> (R</w:t>
      </w:r>
      <w:r w:rsidR="006036E7">
        <w:t>. M. J.</w:t>
      </w:r>
      <w:r w:rsidRPr="00C00255">
        <w:t>) gynėjams advokatam</w:t>
      </w:r>
      <w:r w:rsidR="006036E7">
        <w:t>s Česlovui Bakasėnui, Vitalijai </w:t>
      </w:r>
      <w:r w:rsidRPr="00C00255">
        <w:t>Smolenskienei,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S. G. (S. A. </w:t>
      </w:r>
      <w:r w:rsidRPr="00C00255">
        <w:t>G</w:t>
      </w:r>
      <w:r w:rsidR="006036E7">
        <w:t>.</w:t>
      </w:r>
      <w:r w:rsidRPr="00C00255">
        <w:t>) gynėj</w:t>
      </w:r>
      <w:r w:rsidR="00766CBF" w:rsidRPr="00C00255">
        <w:t>ui</w:t>
      </w:r>
      <w:r w:rsidRPr="00C00255">
        <w:t xml:space="preserve"> advokat</w:t>
      </w:r>
      <w:r w:rsidR="00766CBF" w:rsidRPr="00C00255">
        <w:t>ui</w:t>
      </w:r>
      <w:r w:rsidRPr="00C00255">
        <w:t xml:space="preserve"> Šarūnui Vadeikiui,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S. M.</w:t>
      </w:r>
      <w:r w:rsidRPr="00C00255">
        <w:t xml:space="preserve"> (S</w:t>
      </w:r>
      <w:r w:rsidR="006036E7">
        <w:t>. A. M.</w:t>
      </w:r>
      <w:r w:rsidRPr="00C00255">
        <w:t>) gynėjams advokatams Petrui Prijalgauskui, Danutai Cytovič,</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K. U. (K. V. U.</w:t>
      </w:r>
      <w:r w:rsidRPr="00C00255">
        <w:t>) gynėj</w:t>
      </w:r>
      <w:r w:rsidR="00766CBF" w:rsidRPr="00C00255">
        <w:t>ui</w:t>
      </w:r>
      <w:r w:rsidRPr="00C00255">
        <w:t xml:space="preserve"> advokat</w:t>
      </w:r>
      <w:r w:rsidR="00766CBF" w:rsidRPr="00C00255">
        <w:t>ui</w:t>
      </w:r>
      <w:r w:rsidRPr="00C00255">
        <w:t xml:space="preserve"> Broniui Varsackiui,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F. 1</w:t>
      </w:r>
      <w:r w:rsidRPr="00C00255">
        <w:t xml:space="preserve"> (A</w:t>
      </w:r>
      <w:r w:rsidR="006036E7">
        <w:t>. A. F.</w:t>
      </w:r>
      <w:r w:rsidRPr="00C00255">
        <w:t>) gynėjams advokatams Alfredui</w:t>
      </w:r>
      <w:r w:rsidR="00CB1568" w:rsidRPr="00C00255">
        <w:t> Sokolovskiui</w:t>
      </w:r>
      <w:r w:rsidRPr="00C00255">
        <w:t> </w:t>
      </w:r>
      <w:r w:rsidR="00DA38E9">
        <w:t>(Alfred </w:t>
      </w:r>
      <w:r w:rsidRPr="00C00255">
        <w:t>Sokolovski</w:t>
      </w:r>
      <w:r w:rsidR="00CB1568" w:rsidRPr="00C00255">
        <w:t>)</w:t>
      </w:r>
      <w:r w:rsidRPr="00C00255">
        <w:t>, Eglei Grucytei,</w:t>
      </w:r>
      <w:r w:rsidR="006036E7">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N. 2 (A. N. </w:t>
      </w:r>
      <w:r w:rsidRPr="00C00255">
        <w:t>N</w:t>
      </w:r>
      <w:r w:rsidR="006036E7">
        <w:t>.</w:t>
      </w:r>
      <w:r w:rsidRPr="00C00255">
        <w:t>) gynėjams advokatams Eugen</w:t>
      </w:r>
      <w:r w:rsidR="006036E7">
        <w:t>ijui Algirdui Burokui, Egidijui </w:t>
      </w:r>
      <w:r w:rsidRPr="00C00255">
        <w:t>Vosyliui,</w:t>
      </w:r>
      <w:r w:rsidR="006036E7">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E. M. (E. N. </w:t>
      </w:r>
      <w:r w:rsidRPr="00C00255">
        <w:t>M</w:t>
      </w:r>
      <w:r w:rsidR="006036E7">
        <w:t>.</w:t>
      </w:r>
      <w:r w:rsidRPr="00C00255">
        <w:t>) gynėjams advokatams Jurgitai Jablonskienei, Ramūnui Gudašiui,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V. G. (V. V. </w:t>
      </w:r>
      <w:r w:rsidRPr="00C00255">
        <w:t>G</w:t>
      </w:r>
      <w:r w:rsidR="006036E7">
        <w:t>.</w:t>
      </w:r>
      <w:r w:rsidRPr="00C00255">
        <w:t>) gynėj</w:t>
      </w:r>
      <w:r w:rsidR="00814B8D" w:rsidRPr="00C00255">
        <w:t>o</w:t>
      </w:r>
      <w:r w:rsidRPr="00C00255">
        <w:t>ms advok</w:t>
      </w:r>
      <w:r w:rsidR="001B2545" w:rsidRPr="00C00255">
        <w:t>at</w:t>
      </w:r>
      <w:r w:rsidR="00814B8D" w:rsidRPr="00C00255">
        <w:t>ė</w:t>
      </w:r>
      <w:r w:rsidR="001B2545" w:rsidRPr="00C00255">
        <w:t>ms Stasei Budėnei</w:t>
      </w:r>
      <w:r w:rsidR="006A7E4E" w:rsidRPr="00C00255">
        <w:t xml:space="preserve"> (buvusi Jovaišienė)</w:t>
      </w:r>
      <w:r w:rsidR="006036E7">
        <w:t>, Onai </w:t>
      </w:r>
      <w:r w:rsidRPr="00C00255">
        <w:t>Kovarskienei,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S.</w:t>
      </w:r>
      <w:r w:rsidRPr="00C00255">
        <w:t xml:space="preserve"> (A</w:t>
      </w:r>
      <w:r w:rsidR="006036E7">
        <w:t>. J. </w:t>
      </w:r>
      <w:r w:rsidRPr="00C00255">
        <w:t>S</w:t>
      </w:r>
      <w:r w:rsidR="006036E7">
        <w:t>.</w:t>
      </w:r>
      <w:r w:rsidRPr="00C00255">
        <w:t>) gynėjams advokatams Sauliui Kibildai, Algiui Kojalai,</w:t>
      </w:r>
      <w:r w:rsidR="006036E7">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L.</w:t>
      </w:r>
      <w:r w:rsidRPr="00C00255">
        <w:t xml:space="preserve"> (A</w:t>
      </w:r>
      <w:r w:rsidR="006036E7">
        <w:t>. N. L.</w:t>
      </w:r>
      <w:r w:rsidR="002C298B" w:rsidRPr="00C00255">
        <w:t xml:space="preserve">) </w:t>
      </w:r>
      <w:r w:rsidRPr="00C00255">
        <w:t xml:space="preserve">gynėjams advokatams Aldevinui Švedui, Sauliui Lauraičiui,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J. J. (J. A. </w:t>
      </w:r>
      <w:r w:rsidRPr="00C00255">
        <w:t>J</w:t>
      </w:r>
      <w:r w:rsidR="006036E7">
        <w:t>.</w:t>
      </w:r>
      <w:r w:rsidRPr="00C00255">
        <w:t>) gynėjoms advokatėms Danutei Rūtai Paltarokaitei, Alfredai Pūkienei,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F. 2 (A. </w:t>
      </w:r>
      <w:r w:rsidRPr="00C00255">
        <w:t>A</w:t>
      </w:r>
      <w:r w:rsidR="006036E7">
        <w:t>. </w:t>
      </w:r>
      <w:r w:rsidRPr="00C00255">
        <w:t>F</w:t>
      </w:r>
      <w:r w:rsidR="006036E7">
        <w:t>.</w:t>
      </w:r>
      <w:r w:rsidRPr="00C00255">
        <w:t>) gynėjams advokatams Vytautui Griežei, Liudmilai Karvelienei,</w:t>
      </w:r>
      <w:r w:rsidR="006036E7">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I.</w:t>
      </w:r>
      <w:r w:rsidRPr="00C00255">
        <w:t xml:space="preserve"> (A</w:t>
      </w:r>
      <w:r w:rsidR="00842685">
        <w:t>. P. I.</w:t>
      </w:r>
      <w:r w:rsidRPr="00C00255">
        <w:t>)</w:t>
      </w:r>
      <w:r w:rsidRPr="00C00255">
        <w:rPr>
          <w:b/>
        </w:rPr>
        <w:t xml:space="preserve"> </w:t>
      </w:r>
      <w:r w:rsidRPr="00C00255">
        <w:t>gynėjams advokatams Jevg</w:t>
      </w:r>
      <w:r w:rsidR="00DA38E9">
        <w:t>enijai Savčenko, Egidijui Jonui </w:t>
      </w:r>
      <w:r w:rsidRPr="00C00255">
        <w:t>Grigaravičiui,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C. (A. A. </w:t>
      </w:r>
      <w:r w:rsidRPr="00C00255">
        <w:t>C</w:t>
      </w:r>
      <w:r w:rsidR="006036E7">
        <w:t>.</w:t>
      </w:r>
      <w:r w:rsidRPr="00C00255">
        <w:t>)</w:t>
      </w:r>
      <w:r w:rsidRPr="00C00255">
        <w:rPr>
          <w:b/>
        </w:rPr>
        <w:t xml:space="preserve"> </w:t>
      </w:r>
      <w:r w:rsidRPr="00C00255">
        <w:t>gynėj</w:t>
      </w:r>
      <w:r w:rsidR="00766CBF" w:rsidRPr="00C00255">
        <w:t>ui</w:t>
      </w:r>
      <w:r w:rsidRPr="00C00255">
        <w:t xml:space="preserve"> advokat</w:t>
      </w:r>
      <w:r w:rsidR="00766CBF" w:rsidRPr="00C00255">
        <w:t>ui</w:t>
      </w:r>
      <w:r w:rsidRPr="00C00255">
        <w:t xml:space="preserve"> Vladimir</w:t>
      </w:r>
      <w:r w:rsidR="00CB1568" w:rsidRPr="00C00255">
        <w:t>ui</w:t>
      </w:r>
      <w:r w:rsidRPr="00C00255">
        <w:t xml:space="preserve"> Vlasovui,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A. Ž.</w:t>
      </w:r>
      <w:r w:rsidRPr="00C00255">
        <w:t xml:space="preserve"> (A</w:t>
      </w:r>
      <w:r w:rsidR="006036E7">
        <w:t>.</w:t>
      </w:r>
      <w:r w:rsidR="008201CB" w:rsidRPr="00C00255">
        <w:t> </w:t>
      </w:r>
      <w:r w:rsidRPr="00C00255">
        <w:t>/</w:t>
      </w:r>
      <w:r w:rsidR="008201CB" w:rsidRPr="00C00255">
        <w:t> </w:t>
      </w:r>
      <w:r w:rsidRPr="00C00255">
        <w:t>O</w:t>
      </w:r>
      <w:r w:rsidR="006036E7">
        <w:t>. V. Ž.</w:t>
      </w:r>
      <w:r w:rsidR="008201CB" w:rsidRPr="00C00255">
        <w:t> </w:t>
      </w:r>
      <w:r w:rsidRPr="00C00255">
        <w:t>/</w:t>
      </w:r>
      <w:r w:rsidR="008201CB" w:rsidRPr="00C00255">
        <w:t> </w:t>
      </w:r>
      <w:r w:rsidR="006036E7">
        <w:t>Z</w:t>
      </w:r>
      <w:r w:rsidRPr="00C00255">
        <w:t>) gynėjams advokatams V</w:t>
      </w:r>
      <w:r w:rsidR="006036E7">
        <w:t>ytautui Kupcikevičiui, Vaidotei </w:t>
      </w:r>
      <w:r w:rsidRPr="00C00255">
        <w:t>Radvilavičienei,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V. U. 1</w:t>
      </w:r>
      <w:r w:rsidRPr="00C00255">
        <w:t xml:space="preserve"> (V</w:t>
      </w:r>
      <w:r w:rsidR="006036E7">
        <w:t>. N. U.</w:t>
      </w:r>
      <w:r w:rsidRPr="00C00255">
        <w:t>)</w:t>
      </w:r>
      <w:r w:rsidRPr="00C00255">
        <w:rPr>
          <w:b/>
        </w:rPr>
        <w:t xml:space="preserve"> </w:t>
      </w:r>
      <w:r w:rsidRPr="00C00255">
        <w:t>gynėjams advokatams Aleksandrui Asovskiui, Viktorui Firsovui,</w:t>
      </w:r>
      <w:r w:rsidR="006036E7">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6036E7">
        <w:t>G. B.</w:t>
      </w:r>
      <w:r w:rsidRPr="00C00255">
        <w:t xml:space="preserve"> </w:t>
      </w:r>
      <w:r w:rsidR="006036E7">
        <w:t>(G. </w:t>
      </w:r>
      <w:r w:rsidRPr="00C00255">
        <w:t>S</w:t>
      </w:r>
      <w:r w:rsidR="006036E7">
        <w:t>. B.</w:t>
      </w:r>
      <w:r w:rsidRPr="00C00255">
        <w:t>)</w:t>
      </w:r>
      <w:r w:rsidRPr="00C00255">
        <w:rPr>
          <w:b/>
        </w:rPr>
        <w:t xml:space="preserve"> </w:t>
      </w:r>
      <w:r w:rsidRPr="00C00255">
        <w:t>gynėj</w:t>
      </w:r>
      <w:r w:rsidR="00766CBF" w:rsidRPr="00C00255">
        <w:t>ui</w:t>
      </w:r>
      <w:r w:rsidRPr="00C00255">
        <w:t xml:space="preserve"> advokat</w:t>
      </w:r>
      <w:r w:rsidR="00766CBF" w:rsidRPr="00C00255">
        <w:t>ui</w:t>
      </w:r>
      <w:r w:rsidRPr="00C00255">
        <w:t xml:space="preserve"> Sergejui Pelšui (Sergej Pelš),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4069BF">
        <w:t>N. A.</w:t>
      </w:r>
      <w:r w:rsidRPr="00C00255">
        <w:t xml:space="preserve"> (N</w:t>
      </w:r>
      <w:r w:rsidR="004069BF">
        <w:t>. V. A.</w:t>
      </w:r>
      <w:r w:rsidRPr="00C00255">
        <w:t>) gynėjams advokatams Stanislovui Raulušaičiui, Valteriui Aleknai,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V. U. 2</w:t>
      </w:r>
      <w:r w:rsidRPr="00C00255">
        <w:t xml:space="preserve"> (V</w:t>
      </w:r>
      <w:r w:rsidR="00C82C9D">
        <w:t>. N. U.</w:t>
      </w:r>
      <w:r w:rsidRPr="00C00255">
        <w:t xml:space="preserve">) gynėjoms advokatėms </w:t>
      </w:r>
      <w:r w:rsidR="00C82C9D">
        <w:t>Ramutei Budrytei, Aidai Lilijai </w:t>
      </w:r>
      <w:r w:rsidRPr="00C00255">
        <w:t>Krukonienei,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V. S. 4</w:t>
      </w:r>
      <w:r w:rsidRPr="00C00255">
        <w:t xml:space="preserve"> (V</w:t>
      </w:r>
      <w:r w:rsidR="00C82C9D">
        <w:t>. </w:t>
      </w:r>
      <w:r w:rsidRPr="00C00255">
        <w:t>V</w:t>
      </w:r>
      <w:r w:rsidR="00C82C9D">
        <w:t>. S.</w:t>
      </w:r>
      <w:r w:rsidRPr="00C00255">
        <w:t>) gynėjams advokatams Gintar</w:t>
      </w:r>
      <w:r w:rsidR="00C82C9D">
        <w:t>ui Algirdui Peredniui, Laimutei </w:t>
      </w:r>
      <w:r w:rsidRPr="00C00255">
        <w:t>Bagdzevičienei,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V. Š. 3 (V. </w:t>
      </w:r>
      <w:r w:rsidRPr="00C00255">
        <w:t>M</w:t>
      </w:r>
      <w:r w:rsidR="00C82C9D">
        <w:t>. Š.</w:t>
      </w:r>
      <w:r w:rsidRPr="00C00255">
        <w:t>) gynėjams advokatams Irenai Mari</w:t>
      </w:r>
      <w:r w:rsidR="00C82C9D">
        <w:t>jonai Vaitiekaitienei, Rimantui </w:t>
      </w:r>
      <w:r w:rsidRPr="00C00255">
        <w:t>Prėskieniui,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V. P. (V. </w:t>
      </w:r>
      <w:r w:rsidRPr="00C00255">
        <w:t>P</w:t>
      </w:r>
      <w:r w:rsidR="00C82C9D">
        <w:t>. </w:t>
      </w:r>
      <w:r w:rsidRPr="00C00255">
        <w:t>P</w:t>
      </w:r>
      <w:r w:rsidR="00C82C9D">
        <w:t>.</w:t>
      </w:r>
      <w:r w:rsidRPr="00C00255">
        <w:t>) gynėjams advokatams Mykolui Girdiušui, Mindaugui Paukštei,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S. V.</w:t>
      </w:r>
      <w:r w:rsidRPr="00C00255">
        <w:t xml:space="preserve"> (S</w:t>
      </w:r>
      <w:r w:rsidR="00C82C9D">
        <w:t>. G.</w:t>
      </w:r>
      <w:r w:rsidR="008201CB" w:rsidRPr="00C00255">
        <w:t> </w:t>
      </w:r>
      <w:r w:rsidRPr="00C00255">
        <w:t>/</w:t>
      </w:r>
      <w:r w:rsidR="008201CB" w:rsidRPr="00C00255">
        <w:t> </w:t>
      </w:r>
      <w:r w:rsidR="00C82C9D">
        <w:t>G. V.</w:t>
      </w:r>
      <w:r w:rsidRPr="00C00255">
        <w:t>) gynėjams advoka</w:t>
      </w:r>
      <w:r w:rsidR="00C82C9D">
        <w:t>tams Zenonui Žymančiui, Lolitai </w:t>
      </w:r>
      <w:r w:rsidRPr="00C00255">
        <w:t>Narmontienei,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E. R. (E. V. R.</w:t>
      </w:r>
      <w:r w:rsidRPr="00C00255">
        <w:t>) gynėj</w:t>
      </w:r>
      <w:r w:rsidR="00F061DF" w:rsidRPr="00C00255">
        <w:t>a</w:t>
      </w:r>
      <w:r w:rsidRPr="00C00255">
        <w:t>ms advokat</w:t>
      </w:r>
      <w:r w:rsidR="00F061DF" w:rsidRPr="00C00255">
        <w:t>a</w:t>
      </w:r>
      <w:r w:rsidRPr="00C00255">
        <w:t xml:space="preserve">ms </w:t>
      </w:r>
      <w:r w:rsidR="00B129A2" w:rsidRPr="00C00255">
        <w:t>Ritai </w:t>
      </w:r>
      <w:r w:rsidRPr="00C00255">
        <w:t>Petručionytei,</w:t>
      </w:r>
      <w:r w:rsidR="00F061DF" w:rsidRPr="00C00255">
        <w:t xml:space="preserve"> Albinui Miliauskui,</w:t>
      </w:r>
      <w:r w:rsidR="00C82C9D">
        <w:t xml:space="preserve"> </w:t>
      </w:r>
    </w:p>
    <w:p w:rsidR="00281F13" w:rsidRPr="00C00255" w:rsidRDefault="00281F13" w:rsidP="00321748">
      <w:pPr>
        <w:pStyle w:val="ListParagraph"/>
        <w:numPr>
          <w:ilvl w:val="0"/>
          <w:numId w:val="5"/>
        </w:numPr>
        <w:tabs>
          <w:tab w:val="left" w:pos="993"/>
        </w:tabs>
        <w:ind w:left="0" w:firstLine="426"/>
      </w:pPr>
      <w:r w:rsidRPr="00C00255">
        <w:lastRenderedPageBreak/>
        <w:t xml:space="preserve">nuteistojo </w:t>
      </w:r>
      <w:r w:rsidR="00C82C9D">
        <w:t>J. O.</w:t>
      </w:r>
      <w:r w:rsidRPr="00C00255">
        <w:t xml:space="preserve"> (J</w:t>
      </w:r>
      <w:r w:rsidR="00C82C9D">
        <w:t>. I. O.</w:t>
      </w:r>
      <w:r w:rsidRPr="00C00255">
        <w:t>) gynėj</w:t>
      </w:r>
      <w:r w:rsidR="00766CBF" w:rsidRPr="00C00255">
        <w:t>ui</w:t>
      </w:r>
      <w:r w:rsidRPr="00C00255">
        <w:t xml:space="preserve"> advokat</w:t>
      </w:r>
      <w:r w:rsidR="00766CBF" w:rsidRPr="00C00255">
        <w:t>ui</w:t>
      </w:r>
      <w:r w:rsidRPr="00C00255">
        <w:t xml:space="preserve"> Adolfui Remeikiui,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A. G. 1</w:t>
      </w:r>
      <w:r w:rsidRPr="00C00255">
        <w:t xml:space="preserve"> gynėjams advokatams </w:t>
      </w:r>
      <w:r w:rsidR="00B129A2" w:rsidRPr="00C00255">
        <w:t xml:space="preserve">Nikolajui Voinovui, </w:t>
      </w:r>
      <w:r w:rsidRPr="00C00255">
        <w:t>Arvydui</w:t>
      </w:r>
      <w:r w:rsidR="00B129A2" w:rsidRPr="00C00255">
        <w:t> </w:t>
      </w:r>
      <w:r w:rsidRPr="00C00255">
        <w:t>Montrimui,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A. B.</w:t>
      </w:r>
      <w:r w:rsidRPr="00C00255">
        <w:t xml:space="preserve"> (A</w:t>
      </w:r>
      <w:r w:rsidR="00C82C9D">
        <w:t>. </w:t>
      </w:r>
      <w:r w:rsidRPr="00C00255">
        <w:t>P</w:t>
      </w:r>
      <w:r w:rsidR="00C82C9D">
        <w:t>. B.</w:t>
      </w:r>
      <w:r w:rsidRPr="00C00255">
        <w:t>) gynėjams advokatams Ramūnui Vanagui, Pauliui Vinkleriui,</w:t>
      </w:r>
      <w:r w:rsidR="00C82C9D">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O. A.</w:t>
      </w:r>
      <w:r w:rsidRPr="00C00255">
        <w:t xml:space="preserve"> (O</w:t>
      </w:r>
      <w:r w:rsidR="00C82C9D">
        <w:t>. V. A.</w:t>
      </w:r>
      <w:r w:rsidRPr="00C00255">
        <w:t>) gynėjams advokatams Leonidu</w:t>
      </w:r>
      <w:r w:rsidR="00C82C9D">
        <w:t>i Ignatovui, Algimantui Antanui </w:t>
      </w:r>
      <w:r w:rsidRPr="00C00255">
        <w:t>Palijanskui,</w:t>
      </w:r>
      <w:r w:rsidR="00C82C9D">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N. S.</w:t>
      </w:r>
      <w:r w:rsidRPr="00C00255">
        <w:t xml:space="preserve"> (N</w:t>
      </w:r>
      <w:r w:rsidR="00C82C9D">
        <w:t>. S. S.</w:t>
      </w:r>
      <w:r w:rsidRPr="00C00255">
        <w:t>) gynė</w:t>
      </w:r>
      <w:r w:rsidR="00766CBF" w:rsidRPr="00C00255">
        <w:t>jui</w:t>
      </w:r>
      <w:r w:rsidRPr="00C00255">
        <w:t xml:space="preserve"> advokat</w:t>
      </w:r>
      <w:r w:rsidR="00766CBF" w:rsidRPr="00C00255">
        <w:t>ui</w:t>
      </w:r>
      <w:r w:rsidR="006F15BA" w:rsidRPr="00C00255">
        <w:t xml:space="preserve"> </w:t>
      </w:r>
      <w:r w:rsidRPr="00C00255">
        <w:t xml:space="preserve">Faustui Vrubliauskui,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C82C9D">
        <w:t>A. U.</w:t>
      </w:r>
      <w:r w:rsidRPr="00C00255">
        <w:t xml:space="preserve"> (A</w:t>
      </w:r>
      <w:r w:rsidR="00C82C9D">
        <w:t>. A. </w:t>
      </w:r>
      <w:r w:rsidRPr="00C00255">
        <w:t>U</w:t>
      </w:r>
      <w:r w:rsidR="00C82C9D">
        <w:t>.</w:t>
      </w:r>
      <w:r w:rsidRPr="00C00255">
        <w:t>) gynėj</w:t>
      </w:r>
      <w:r w:rsidR="00766CBF" w:rsidRPr="00C00255">
        <w:t>ui</w:t>
      </w:r>
      <w:r w:rsidRPr="00C00255">
        <w:t xml:space="preserve"> advokat</w:t>
      </w:r>
      <w:r w:rsidR="00766CBF" w:rsidRPr="00C00255">
        <w:t>ui</w:t>
      </w:r>
      <w:r w:rsidRPr="00C00255">
        <w:t xml:space="preserve"> </w:t>
      </w:r>
      <w:r w:rsidR="00B129A2" w:rsidRPr="00C00255">
        <w:t>Gediminui </w:t>
      </w:r>
      <w:r w:rsidRPr="00C00255">
        <w:t>Skaisčiui,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A. K. 1</w:t>
      </w:r>
      <w:r w:rsidRPr="00C00255">
        <w:t xml:space="preserve"> (A</w:t>
      </w:r>
      <w:r w:rsidR="00A97F74">
        <w:t>. E. K.</w:t>
      </w:r>
      <w:r w:rsidRPr="00C00255">
        <w:t>) gynėjoms advokatėms</w:t>
      </w:r>
      <w:r w:rsidR="00DA38E9">
        <w:t xml:space="preserve"> Jūratei Tamulevičiūtei, Aušrai </w:t>
      </w:r>
      <w:r w:rsidRPr="00C00255">
        <w:t>Saulėnienei,</w:t>
      </w:r>
      <w:r w:rsidR="00C82C9D">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D. F.</w:t>
      </w:r>
      <w:r w:rsidRPr="00C00255">
        <w:t xml:space="preserve"> (D</w:t>
      </w:r>
      <w:r w:rsidR="00A97F74">
        <w:t>. </w:t>
      </w:r>
      <w:r w:rsidRPr="00C00255">
        <w:t>A</w:t>
      </w:r>
      <w:r w:rsidR="00A97F74">
        <w:t>. </w:t>
      </w:r>
      <w:r w:rsidRPr="00C00255">
        <w:t>F</w:t>
      </w:r>
      <w:r w:rsidR="00A97F74">
        <w:t>.</w:t>
      </w:r>
      <w:r w:rsidRPr="00C00255">
        <w:t>) gynėjams advokatams Dariui Karveliui, Irinai Karšul,</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D. B.</w:t>
      </w:r>
      <w:r w:rsidRPr="00C00255">
        <w:t xml:space="preserve"> (D</w:t>
      </w:r>
      <w:r w:rsidR="00A97F74">
        <w:t>. A. B.</w:t>
      </w:r>
      <w:r w:rsidRPr="00C00255">
        <w:t>) gynėjams advokatams Ni</w:t>
      </w:r>
      <w:r w:rsidR="00A97F74">
        <w:t>jolei Raulušaitienei, Deimintui </w:t>
      </w:r>
      <w:r w:rsidRPr="00C00255">
        <w:t>Radzevičiui,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N. O.</w:t>
      </w:r>
      <w:r w:rsidRPr="00C00255">
        <w:t xml:space="preserve"> (N</w:t>
      </w:r>
      <w:r w:rsidR="00A97F74">
        <w:t>. S. O.</w:t>
      </w:r>
      <w:r w:rsidRPr="00C00255">
        <w:t>) gynėjams advokatams B</w:t>
      </w:r>
      <w:r w:rsidR="00A97F74">
        <w:t>enediktui Paulauskui, Voitechui </w:t>
      </w:r>
      <w:r w:rsidRPr="00C00255">
        <w:t>Mečkovskiui,</w:t>
      </w:r>
      <w:r w:rsidR="00A97F74">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A. K. 2</w:t>
      </w:r>
      <w:r w:rsidRPr="00C00255">
        <w:t xml:space="preserve"> (A</w:t>
      </w:r>
      <w:r w:rsidR="00A97F74">
        <w:t>. D. K.</w:t>
      </w:r>
      <w:r w:rsidRPr="00C00255">
        <w:t>) gynėjams advokatams Elenai Gylienei, Jonui Gaidukevičiui,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A. R. (A. </w:t>
      </w:r>
      <w:r w:rsidRPr="00C00255">
        <w:t>A</w:t>
      </w:r>
      <w:r w:rsidR="00A97F74">
        <w:t>. R.</w:t>
      </w:r>
      <w:r w:rsidRPr="00C00255">
        <w:t>) gynėjams advokatams</w:t>
      </w:r>
      <w:r w:rsidR="00DA38E9">
        <w:t xml:space="preserve"> Arvydui Verpečinskui, Arnoldui </w:t>
      </w:r>
      <w:r w:rsidRPr="00C00255">
        <w:t>Blaževičiui,</w:t>
      </w:r>
      <w:r w:rsidR="00A97F74">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S. F.</w:t>
      </w:r>
      <w:r w:rsidRPr="00C00255">
        <w:t xml:space="preserve"> (S</w:t>
      </w:r>
      <w:r w:rsidR="00A97F74">
        <w:t>. A. F.</w:t>
      </w:r>
      <w:r w:rsidR="008201CB" w:rsidRPr="00C00255">
        <w:t> </w:t>
      </w:r>
      <w:r w:rsidRPr="00C00255">
        <w:t>/</w:t>
      </w:r>
      <w:r w:rsidR="008201CB" w:rsidRPr="00C00255">
        <w:t> </w:t>
      </w:r>
      <w:r w:rsidR="00A97F74">
        <w:t>F.</w:t>
      </w:r>
      <w:r w:rsidRPr="00C00255">
        <w:t>) gynėjams advokatams Jonui Leikauskui</w:t>
      </w:r>
      <w:r w:rsidR="00DA38E9">
        <w:t>, Gyčiui Jonui </w:t>
      </w:r>
      <w:r w:rsidR="00081A76" w:rsidRPr="00C00255">
        <w:t>Gutauskui</w:t>
      </w:r>
      <w:r w:rsidRPr="00C00255">
        <w:t>,</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V. R. (V. A. R.</w:t>
      </w:r>
      <w:r w:rsidRPr="00C00255">
        <w:t>) gynėjams advokatams V</w:t>
      </w:r>
      <w:r w:rsidR="00DC0414">
        <w:t>enjaminui Dubrovskiui (Venjamin </w:t>
      </w:r>
      <w:r w:rsidRPr="00C00255">
        <w:t>Dubrovskij), Kristinai Sandaraitei-Butvilienei,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V. Š. 2</w:t>
      </w:r>
      <w:r w:rsidRPr="00C00255">
        <w:t xml:space="preserve"> (V</w:t>
      </w:r>
      <w:r w:rsidR="00A97F74">
        <w:t>. I. </w:t>
      </w:r>
      <w:r w:rsidRPr="00C00255">
        <w:t>Š</w:t>
      </w:r>
      <w:r w:rsidR="00A97F74">
        <w:t>.</w:t>
      </w:r>
      <w:r w:rsidRPr="00C00255">
        <w:t>) gynėjams advokatams Mindaugui Normantui, Silvai Mardosaitei,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A97F74">
        <w:t>V. M.</w:t>
      </w:r>
      <w:r w:rsidRPr="00C00255">
        <w:t xml:space="preserve"> (V</w:t>
      </w:r>
      <w:r w:rsidR="00DC0414">
        <w:t>. V. M.</w:t>
      </w:r>
      <w:r w:rsidRPr="00C00255">
        <w:t>) gynėjams advokata</w:t>
      </w:r>
      <w:r w:rsidR="00DA38E9">
        <w:t>ms Valdui Burneikiui, Kristinai </w:t>
      </w:r>
      <w:r w:rsidRPr="00C00255">
        <w:t>Česnauskienei,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DC0414">
        <w:t>G. P.</w:t>
      </w:r>
      <w:r w:rsidRPr="00C00255">
        <w:t xml:space="preserve"> (G</w:t>
      </w:r>
      <w:r w:rsidR="00DC0414">
        <w:t>.</w:t>
      </w:r>
      <w:r w:rsidR="008201CB" w:rsidRPr="00C00255">
        <w:t> </w:t>
      </w:r>
      <w:r w:rsidRPr="00C00255">
        <w:t>/</w:t>
      </w:r>
      <w:r w:rsidR="008201CB" w:rsidRPr="00C00255">
        <w:t> </w:t>
      </w:r>
      <w:r w:rsidRPr="00C00255">
        <w:t>G</w:t>
      </w:r>
      <w:r w:rsidR="00DC0414">
        <w:t>. </w:t>
      </w:r>
      <w:r w:rsidRPr="00C00255">
        <w:t>N</w:t>
      </w:r>
      <w:r w:rsidR="00DC0414">
        <w:t>. </w:t>
      </w:r>
      <w:r w:rsidRPr="00C00255">
        <w:t>P</w:t>
      </w:r>
      <w:r w:rsidR="00DC0414">
        <w:t>.</w:t>
      </w:r>
      <w:r w:rsidRPr="00C00255">
        <w:t xml:space="preserve">) gynėjams advokatams </w:t>
      </w:r>
      <w:r w:rsidR="00DC0414">
        <w:t>Valerijui Kirpičnikovui, Arūnui </w:t>
      </w:r>
      <w:r w:rsidRPr="00C00255">
        <w:t>Kazlauskui,</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DC0414">
        <w:t>O. M. (O. V. M.</w:t>
      </w:r>
      <w:r w:rsidRPr="00C00255">
        <w:t xml:space="preserve">) gynėjams advokatams </w:t>
      </w:r>
      <w:r w:rsidR="00DC0414">
        <w:t>Jonui Jasiulevičiui, Virginijai </w:t>
      </w:r>
      <w:r w:rsidRPr="00C00255">
        <w:t>Bradulskienei,</w:t>
      </w:r>
      <w:r w:rsidR="00DC0414">
        <w:t xml:space="preserve">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DC0414">
        <w:t>M. C.</w:t>
      </w:r>
      <w:r w:rsidRPr="00C00255">
        <w:t xml:space="preserve"> (M</w:t>
      </w:r>
      <w:r w:rsidR="00DC0414">
        <w:t xml:space="preserve">. </w:t>
      </w:r>
      <w:r w:rsidRPr="00C00255">
        <w:t>V</w:t>
      </w:r>
      <w:r w:rsidR="00DC0414">
        <w:t>.</w:t>
      </w:r>
      <w:r w:rsidRPr="00C00255">
        <w:t xml:space="preserve"> C</w:t>
      </w:r>
      <w:r w:rsidR="00DC0414">
        <w:t>.</w:t>
      </w:r>
      <w:r w:rsidRPr="00C00255">
        <w:t xml:space="preserve">) gynėjams advokatams Zitai Malovai, Pavelui Ravluševičiui, </w:t>
      </w:r>
    </w:p>
    <w:p w:rsidR="00281F13" w:rsidRPr="00C00255" w:rsidRDefault="00281F13" w:rsidP="00321748">
      <w:pPr>
        <w:pStyle w:val="ListParagraph"/>
        <w:numPr>
          <w:ilvl w:val="0"/>
          <w:numId w:val="5"/>
        </w:numPr>
        <w:tabs>
          <w:tab w:val="left" w:pos="993"/>
        </w:tabs>
        <w:ind w:left="0" w:firstLine="426"/>
      </w:pPr>
      <w:r w:rsidRPr="00C00255">
        <w:t xml:space="preserve">nuteistojo </w:t>
      </w:r>
      <w:r w:rsidR="00DC0414">
        <w:t>J. S.</w:t>
      </w:r>
      <w:r w:rsidRPr="00C00255">
        <w:t xml:space="preserve"> (J</w:t>
      </w:r>
      <w:r w:rsidR="00DC0414">
        <w:t>. </w:t>
      </w:r>
      <w:r w:rsidRPr="00C00255">
        <w:t>N</w:t>
      </w:r>
      <w:r w:rsidR="00DC0414">
        <w:t>. </w:t>
      </w:r>
      <w:r w:rsidRPr="00C00255">
        <w:t>S</w:t>
      </w:r>
      <w:r w:rsidR="00DC0414">
        <w:t>. /</w:t>
      </w:r>
      <w:r w:rsidRPr="00C00255">
        <w:t>Y</w:t>
      </w:r>
      <w:r w:rsidR="00DC0414">
        <w:t>. </w:t>
      </w:r>
      <w:r w:rsidRPr="00C00255">
        <w:t>S</w:t>
      </w:r>
      <w:r w:rsidR="00DC0414">
        <w:t>.</w:t>
      </w:r>
      <w:r w:rsidRPr="00C00255">
        <w:t>)</w:t>
      </w:r>
      <w:r w:rsidRPr="00C00255">
        <w:rPr>
          <w:bCs/>
        </w:rPr>
        <w:t xml:space="preserve"> </w:t>
      </w:r>
      <w:r w:rsidRPr="00C00255">
        <w:t xml:space="preserve">gynėjams advokatams </w:t>
      </w:r>
      <w:r w:rsidR="00DC0414">
        <w:t>Jevgenijui Bogdanovui (Jevgenij </w:t>
      </w:r>
      <w:r w:rsidRPr="00C00255">
        <w:t>Bogdanov), Daivai Dereškevičienei,</w:t>
      </w:r>
      <w:r w:rsidR="00DC0414">
        <w:t xml:space="preserve"> </w:t>
      </w:r>
    </w:p>
    <w:p w:rsidR="00F061DF" w:rsidRPr="00C00255" w:rsidRDefault="00F061DF" w:rsidP="00F061DF">
      <w:pPr>
        <w:tabs>
          <w:tab w:val="left" w:pos="993"/>
        </w:tabs>
      </w:pPr>
      <w:r w:rsidRPr="00C00255">
        <w:t xml:space="preserve">nukentėjusiajam </w:t>
      </w:r>
      <w:r w:rsidR="0093200A">
        <w:t>R. P.</w:t>
      </w:r>
      <w:r w:rsidRPr="00C00255">
        <w:t>,</w:t>
      </w:r>
    </w:p>
    <w:p w:rsidR="00DA4D87" w:rsidRPr="00C00255" w:rsidRDefault="00DA4D87" w:rsidP="00DA4D87">
      <w:r w:rsidRPr="00C00255">
        <w:t>nukentėjusi</w:t>
      </w:r>
      <w:r w:rsidR="00CE5E8D" w:rsidRPr="00C00255">
        <w:t>ųjų</w:t>
      </w:r>
      <w:r w:rsidRPr="00C00255">
        <w:t xml:space="preserve"> </w:t>
      </w:r>
      <w:r w:rsidR="0093200A">
        <w:t>R. P.</w:t>
      </w:r>
      <w:r w:rsidRPr="00C00255">
        <w:t xml:space="preserve"> </w:t>
      </w:r>
      <w:r w:rsidR="00CE5E8D" w:rsidRPr="00C00255">
        <w:t xml:space="preserve">ir </w:t>
      </w:r>
      <w:r w:rsidR="0093200A">
        <w:t>O. P.</w:t>
      </w:r>
      <w:r w:rsidR="00CE5E8D" w:rsidRPr="00C00255">
        <w:t xml:space="preserve"> </w:t>
      </w:r>
      <w:r w:rsidRPr="00C00255">
        <w:t xml:space="preserve">atstovui advokatui </w:t>
      </w:r>
      <w:r w:rsidR="006A7E4E" w:rsidRPr="00C00255">
        <w:t xml:space="preserve">Albertui </w:t>
      </w:r>
      <w:r w:rsidRPr="00C00255">
        <w:t>Butai,</w:t>
      </w:r>
    </w:p>
    <w:p w:rsidR="00EE18A5" w:rsidRPr="00C00255" w:rsidRDefault="007E7A39" w:rsidP="00DA4D87">
      <w:r w:rsidRPr="00C00255">
        <w:t>vertėj</w:t>
      </w:r>
      <w:r w:rsidR="00CA43F4" w:rsidRPr="00C00255">
        <w:t>oms</w:t>
      </w:r>
      <w:r w:rsidRPr="00C00255">
        <w:t xml:space="preserve"> </w:t>
      </w:r>
      <w:r w:rsidR="00CA43F4" w:rsidRPr="00C00255">
        <w:t xml:space="preserve">Alvyrai Klipčiuvienei, </w:t>
      </w:r>
      <w:r w:rsidR="002C10A8" w:rsidRPr="00C00255">
        <w:t>Žanai Tado</w:t>
      </w:r>
      <w:r w:rsidR="00DA4D87" w:rsidRPr="00C00255">
        <w:t>rovskajai,</w:t>
      </w:r>
    </w:p>
    <w:p w:rsidR="00281F13" w:rsidRPr="00C00255" w:rsidRDefault="00DA4D87" w:rsidP="00281F13">
      <w:pPr>
        <w:spacing w:after="120"/>
        <w:ind w:firstLine="992"/>
      </w:pPr>
      <w:r w:rsidRPr="00C00255">
        <w:t xml:space="preserve">viešame teismo posėdyje apeliacine žodinio proceso tvarka išnagrinėjo baudžiamąją bylą </w:t>
      </w:r>
      <w:r w:rsidR="00692D5F" w:rsidRPr="00C00255">
        <w:t>pag</w:t>
      </w:r>
      <w:r w:rsidR="00F33B21" w:rsidRPr="00C00255">
        <w:t>a</w:t>
      </w:r>
      <w:r w:rsidR="00692D5F" w:rsidRPr="00C00255">
        <w:t xml:space="preserve">l </w:t>
      </w:r>
      <w:r w:rsidR="005970B5" w:rsidRPr="00C00255">
        <w:t xml:space="preserve">nuteistojo </w:t>
      </w:r>
      <w:r w:rsidR="00385BC9">
        <w:t>V. Š. 1</w:t>
      </w:r>
      <w:r w:rsidR="005970B5" w:rsidRPr="00C00255">
        <w:t xml:space="preserve"> gynėjos advokatės Marijos Bartaševičiūtės,</w:t>
      </w:r>
      <w:r w:rsidR="00692D5F" w:rsidRPr="00C00255">
        <w:t xml:space="preserve"> </w:t>
      </w:r>
      <w:r w:rsidR="005970B5" w:rsidRPr="00C00255">
        <w:t>nuteistojo</w:t>
      </w:r>
      <w:r w:rsidR="00943E0C" w:rsidRPr="00C00255">
        <w:t xml:space="preserve"> </w:t>
      </w:r>
      <w:r w:rsidR="00385BC9">
        <w:t>R. J. 1</w:t>
      </w:r>
      <w:r w:rsidR="00943E0C" w:rsidRPr="00C00255">
        <w:t xml:space="preserve"> gynėjo advokato Aleksandro Palamarčuko, nuteistojo </w:t>
      </w:r>
      <w:r w:rsidR="00385BC9">
        <w:t>D. J.</w:t>
      </w:r>
      <w:r w:rsidR="00943E0C" w:rsidRPr="00C00255">
        <w:t xml:space="preserve"> gynėjo advokato Valentino</w:t>
      </w:r>
      <w:r w:rsidR="00CB1568" w:rsidRPr="00C00255">
        <w:t> </w:t>
      </w:r>
      <w:r w:rsidR="00943E0C" w:rsidRPr="00C00255">
        <w:t xml:space="preserve">Giriūno, nuteistojo </w:t>
      </w:r>
      <w:r w:rsidR="00385BC9">
        <w:t>M. G.</w:t>
      </w:r>
      <w:r w:rsidR="00DB67F1" w:rsidRPr="00C00255">
        <w:t xml:space="preserve"> gynėjo advokato Ryšardo </w:t>
      </w:r>
      <w:r w:rsidR="00943E0C" w:rsidRPr="00C00255">
        <w:t xml:space="preserve">Burdos, nuteistojo </w:t>
      </w:r>
      <w:r w:rsidR="00385BC9">
        <w:t>J. Č.</w:t>
      </w:r>
      <w:r w:rsidR="00943E0C" w:rsidRPr="00C00255">
        <w:t xml:space="preserve"> gynėjos advokatės Reginos Atkočaitienės,</w:t>
      </w:r>
      <w:r w:rsidR="00CE5E8D" w:rsidRPr="00C00255">
        <w:t xml:space="preserve"> </w:t>
      </w:r>
      <w:r w:rsidR="00943E0C" w:rsidRPr="00C00255">
        <w:t>nuteistojo</w:t>
      </w:r>
      <w:r w:rsidR="004F4247" w:rsidRPr="00C00255">
        <w:t xml:space="preserve"> </w:t>
      </w:r>
      <w:r w:rsidR="00385BC9">
        <w:t>N. D.</w:t>
      </w:r>
      <w:r w:rsidR="00943E0C" w:rsidRPr="00C00255">
        <w:t xml:space="preserve"> gynėjo advokato Mindaugo Vaivados</w:t>
      </w:r>
      <w:r w:rsidR="00CE5E8D" w:rsidRPr="00C00255">
        <w:t xml:space="preserve">, </w:t>
      </w:r>
      <w:r w:rsidR="00DB67F1" w:rsidRPr="00C00255">
        <w:t xml:space="preserve">nuteistojo </w:t>
      </w:r>
      <w:r w:rsidR="00385BC9">
        <w:t>V. S. 1</w:t>
      </w:r>
      <w:r w:rsidR="00943E0C" w:rsidRPr="00C00255">
        <w:t xml:space="preserve"> gynėjo advokato Raimundo</w:t>
      </w:r>
      <w:r w:rsidR="00CB1568" w:rsidRPr="00C00255">
        <w:t> </w:t>
      </w:r>
      <w:r w:rsidR="00943E0C" w:rsidRPr="00C00255">
        <w:t>Kurkliečio,</w:t>
      </w:r>
      <w:r w:rsidR="00CE5E8D" w:rsidRPr="00C00255">
        <w:t xml:space="preserve"> </w:t>
      </w:r>
      <w:r w:rsidR="00943E0C" w:rsidRPr="00C00255">
        <w:t xml:space="preserve">nuteistojo </w:t>
      </w:r>
      <w:r w:rsidR="00385BC9">
        <w:t>V. K. 1</w:t>
      </w:r>
      <w:r w:rsidR="00943E0C" w:rsidRPr="00C00255">
        <w:t xml:space="preserve"> gynėjos advokatės Emmos Domajevos, nuteistojo </w:t>
      </w:r>
      <w:r w:rsidR="00385BC9">
        <w:t>V. S. 2</w:t>
      </w:r>
      <w:r w:rsidR="00943E0C" w:rsidRPr="00C00255">
        <w:t xml:space="preserve"> gynėjo advo</w:t>
      </w:r>
      <w:r w:rsidR="00DB67F1" w:rsidRPr="00C00255">
        <w:t>kato Jano </w:t>
      </w:r>
      <w:r w:rsidR="00943E0C" w:rsidRPr="00C00255">
        <w:t xml:space="preserve">Kučynskio, nuteistojo </w:t>
      </w:r>
      <w:r w:rsidR="002451F2">
        <w:t>V. D.</w:t>
      </w:r>
      <w:r w:rsidR="00943E0C" w:rsidRPr="00C00255">
        <w:t xml:space="preserve"> gynėjo advokato Sergejaus Chimino,</w:t>
      </w:r>
      <w:r w:rsidR="00CE5E8D" w:rsidRPr="00C00255">
        <w:t xml:space="preserve"> </w:t>
      </w:r>
      <w:r w:rsidR="00DB67F1" w:rsidRPr="00C00255">
        <w:t xml:space="preserve">nuteistojo </w:t>
      </w:r>
      <w:r w:rsidR="006036E7">
        <w:t>B. S.</w:t>
      </w:r>
      <w:r w:rsidR="00B474A3" w:rsidRPr="00C00255">
        <w:t xml:space="preserve"> gynėjos advokatės Angelės </w:t>
      </w:r>
      <w:r w:rsidR="00943E0C" w:rsidRPr="00C00255">
        <w:t xml:space="preserve">Fominienės, nuteistojo </w:t>
      </w:r>
      <w:r w:rsidR="006036E7">
        <w:t>V. S. 3</w:t>
      </w:r>
      <w:r w:rsidR="00943E0C" w:rsidRPr="00C00255">
        <w:t xml:space="preserve"> gynėjo</w:t>
      </w:r>
      <w:r w:rsidR="008D6E71" w:rsidRPr="00C00255">
        <w:t>s advokatės Liubovės</w:t>
      </w:r>
      <w:r w:rsidR="00CE5E8D" w:rsidRPr="00C00255">
        <w:t> </w:t>
      </w:r>
      <w:r w:rsidR="008D6E71" w:rsidRPr="00C00255">
        <w:t>Kuprusevičienės,</w:t>
      </w:r>
      <w:r w:rsidR="00CE5E8D" w:rsidRPr="00C00255">
        <w:t xml:space="preserve"> </w:t>
      </w:r>
      <w:r w:rsidR="008D6E71" w:rsidRPr="00C00255">
        <w:t xml:space="preserve">nuteistojo </w:t>
      </w:r>
      <w:r w:rsidR="006036E7">
        <w:t>S. P.</w:t>
      </w:r>
      <w:r w:rsidR="008D6E71" w:rsidRPr="00C00255">
        <w:t xml:space="preserve"> gynėjo advokato Dariaus Karabino,</w:t>
      </w:r>
      <w:r w:rsidR="00CE5E8D" w:rsidRPr="00C00255">
        <w:t xml:space="preserve"> </w:t>
      </w:r>
      <w:r w:rsidR="008D6E71" w:rsidRPr="00C00255">
        <w:t>nuteistojo</w:t>
      </w:r>
      <w:r w:rsidR="00CE5E8D" w:rsidRPr="00C00255">
        <w:t> </w:t>
      </w:r>
      <w:r w:rsidR="006036E7">
        <w:t>S. K.</w:t>
      </w:r>
      <w:r w:rsidR="008D6E71" w:rsidRPr="00C00255">
        <w:t xml:space="preserve"> gynėjo advokato Petro Lileikos, nuteistojo </w:t>
      </w:r>
      <w:r w:rsidR="006036E7">
        <w:t>J. G.</w:t>
      </w:r>
      <w:r w:rsidR="00DB67F1" w:rsidRPr="00C00255">
        <w:t xml:space="preserve"> gynėjo advokato Kęstučio </w:t>
      </w:r>
      <w:r w:rsidR="008D6E71" w:rsidRPr="00C00255">
        <w:t>Blažio,</w:t>
      </w:r>
      <w:r w:rsidR="00D766B1" w:rsidRPr="00C00255">
        <w:t xml:space="preserve"> </w:t>
      </w:r>
      <w:r w:rsidR="008D6E71" w:rsidRPr="00C00255">
        <w:t xml:space="preserve">nuteistojo </w:t>
      </w:r>
      <w:r w:rsidR="006036E7">
        <w:t>I. Š.</w:t>
      </w:r>
      <w:r w:rsidR="00D766B1" w:rsidRPr="00C00255">
        <w:t xml:space="preserve"> gynėjo advokato Antono </w:t>
      </w:r>
      <w:r w:rsidR="008D6E71" w:rsidRPr="00C00255">
        <w:t xml:space="preserve">Kviatkovskio, nuteistojo </w:t>
      </w:r>
      <w:r w:rsidR="006036E7">
        <w:t>A. Z.</w:t>
      </w:r>
      <w:r w:rsidR="00DB67F1" w:rsidRPr="00C00255">
        <w:t xml:space="preserve"> gynėjų advokatų Alberto </w:t>
      </w:r>
      <w:r w:rsidR="008D6E71" w:rsidRPr="00C00255">
        <w:t xml:space="preserve">Jurgelėno ir Antano Danieliaus, nuteistojo </w:t>
      </w:r>
      <w:r w:rsidR="006036E7">
        <w:t>R. J. 2</w:t>
      </w:r>
      <w:r w:rsidR="008D6E71" w:rsidRPr="00C00255">
        <w:t xml:space="preserve"> gynėjo advokato Č</w:t>
      </w:r>
      <w:r w:rsidR="00CE5E8D" w:rsidRPr="00C00255">
        <w:t>e</w:t>
      </w:r>
      <w:r w:rsidR="008D6E71" w:rsidRPr="00C00255">
        <w:t>sl</w:t>
      </w:r>
      <w:r w:rsidR="00CE5E8D" w:rsidRPr="00C00255">
        <w:t>o</w:t>
      </w:r>
      <w:r w:rsidR="0093200A">
        <w:t>vo </w:t>
      </w:r>
      <w:r w:rsidR="008D6E71" w:rsidRPr="00C00255">
        <w:t>Bak</w:t>
      </w:r>
      <w:r w:rsidR="00CE5E8D" w:rsidRPr="00C00255">
        <w:t>a</w:t>
      </w:r>
      <w:r w:rsidR="008D6E71" w:rsidRPr="00C00255">
        <w:t xml:space="preserve">sėno, </w:t>
      </w:r>
      <w:r w:rsidR="00DB67F1" w:rsidRPr="00C00255">
        <w:t xml:space="preserve">nuteistojo </w:t>
      </w:r>
      <w:r w:rsidR="006036E7">
        <w:t>S. G.</w:t>
      </w:r>
      <w:r w:rsidR="008D6E71" w:rsidRPr="00C00255">
        <w:t xml:space="preserve"> gynėjo advokato Šarūno Vadeikio, nuteistojo </w:t>
      </w:r>
      <w:r w:rsidR="006036E7">
        <w:t>S. M.</w:t>
      </w:r>
      <w:r w:rsidR="008D6E71" w:rsidRPr="00C00255">
        <w:t xml:space="preserve"> gynėjo advokato Petro</w:t>
      </w:r>
      <w:r w:rsidR="00CE5E8D" w:rsidRPr="00C00255">
        <w:t> </w:t>
      </w:r>
      <w:r w:rsidR="008D6E71" w:rsidRPr="00C00255">
        <w:t xml:space="preserve">Prijalgausko, </w:t>
      </w:r>
      <w:r w:rsidR="00DB67F1" w:rsidRPr="00C00255">
        <w:t xml:space="preserve">nuteistojo </w:t>
      </w:r>
      <w:r w:rsidR="006036E7">
        <w:t>K. U.</w:t>
      </w:r>
      <w:r w:rsidR="00DB67F1" w:rsidRPr="00C00255">
        <w:t xml:space="preserve"> gynėjo advokato Gintaro </w:t>
      </w:r>
      <w:r w:rsidR="008D6E71" w:rsidRPr="00C00255">
        <w:t xml:space="preserve">Česnulevičiaus, nuteistojo </w:t>
      </w:r>
      <w:r w:rsidR="006036E7">
        <w:t>A. F. 1</w:t>
      </w:r>
      <w:r w:rsidR="00BC4D22" w:rsidRPr="00C00255">
        <w:t xml:space="preserve"> </w:t>
      </w:r>
      <w:r w:rsidR="008D6E71" w:rsidRPr="00C00255">
        <w:t>gynėjo advokato</w:t>
      </w:r>
      <w:r w:rsidR="00B474A3" w:rsidRPr="00C00255">
        <w:t xml:space="preserve"> Alfredo </w:t>
      </w:r>
      <w:r w:rsidR="00BC4D22" w:rsidRPr="00C00255">
        <w:t xml:space="preserve">Sokolovskio, nuteistojo </w:t>
      </w:r>
      <w:r w:rsidR="006036E7">
        <w:t>A. N. 2</w:t>
      </w:r>
      <w:r w:rsidR="00BC4D22" w:rsidRPr="00C00255">
        <w:t xml:space="preserve"> gynėjo advokato Eugenijaus Algirdo Buroko, </w:t>
      </w:r>
      <w:r w:rsidR="00D766B1" w:rsidRPr="00C00255">
        <w:t xml:space="preserve">nuteistojo </w:t>
      </w:r>
      <w:r w:rsidR="006036E7">
        <w:t>E. M.</w:t>
      </w:r>
      <w:r w:rsidR="00BC4D22" w:rsidRPr="00C00255">
        <w:t xml:space="preserve"> gynėjos advokatės Jurgitos </w:t>
      </w:r>
      <w:r w:rsidR="00BC4D22" w:rsidRPr="00C00255">
        <w:lastRenderedPageBreak/>
        <w:t xml:space="preserve">Jablonskienės, </w:t>
      </w:r>
      <w:r w:rsidR="00DB67F1" w:rsidRPr="00C00255">
        <w:t xml:space="preserve">nuteistojo </w:t>
      </w:r>
      <w:r w:rsidR="006036E7">
        <w:t>V. G.</w:t>
      </w:r>
      <w:r w:rsidR="00BC4D22" w:rsidRPr="00C00255">
        <w:t xml:space="preserve"> gynėjos advokatės </w:t>
      </w:r>
      <w:r w:rsidR="002C298B" w:rsidRPr="00C00255">
        <w:t>Stasės Jovaišienės</w:t>
      </w:r>
      <w:r w:rsidR="0069715C" w:rsidRPr="00C00255">
        <w:t xml:space="preserve"> (dabar Budėnė)</w:t>
      </w:r>
      <w:r w:rsidR="002C298B" w:rsidRPr="00C00255">
        <w:t>,</w:t>
      </w:r>
      <w:r w:rsidR="00B474A3" w:rsidRPr="00C00255">
        <w:t xml:space="preserve"> nuteistojo </w:t>
      </w:r>
      <w:r w:rsidR="006036E7">
        <w:t>A. S.</w:t>
      </w:r>
      <w:r w:rsidR="00D766B1" w:rsidRPr="00C00255">
        <w:t xml:space="preserve"> gynėjo advokato Algio </w:t>
      </w:r>
      <w:r w:rsidR="00BC4D22" w:rsidRPr="00C00255">
        <w:t>Kojalos, nuteistojo</w:t>
      </w:r>
      <w:r w:rsidR="004F4247" w:rsidRPr="00C00255">
        <w:t> </w:t>
      </w:r>
      <w:r w:rsidR="006036E7">
        <w:t>A. L.</w:t>
      </w:r>
      <w:r w:rsidR="00A8535E" w:rsidRPr="00C00255">
        <w:t xml:space="preserve"> gynėjų advokatų Aldevino </w:t>
      </w:r>
      <w:r w:rsidR="00BC4D22" w:rsidRPr="00C00255">
        <w:t xml:space="preserve">Švedo ir Sauliaus Lauraičio, nuteistojo </w:t>
      </w:r>
      <w:r w:rsidR="006036E7">
        <w:t>J. J.</w:t>
      </w:r>
      <w:r w:rsidR="00BC4D22" w:rsidRPr="00C00255">
        <w:t xml:space="preserve"> </w:t>
      </w:r>
      <w:r w:rsidR="00A8535E" w:rsidRPr="00C00255">
        <w:t>gynėjos advokatės Danutės Rūtos </w:t>
      </w:r>
      <w:r w:rsidR="00BC4D22" w:rsidRPr="00C00255">
        <w:t xml:space="preserve">Paltarokaitės, nuteistojo </w:t>
      </w:r>
      <w:r w:rsidR="006036E7">
        <w:t>A. F. 2</w:t>
      </w:r>
      <w:r w:rsidR="00BC4D22" w:rsidRPr="00C00255">
        <w:t xml:space="preserve"> gynėjo advok</w:t>
      </w:r>
      <w:r w:rsidR="00A8535E" w:rsidRPr="00C00255">
        <w:t>ato Vytauto </w:t>
      </w:r>
      <w:r w:rsidR="00BC4D22" w:rsidRPr="00C00255">
        <w:t>Griežės,</w:t>
      </w:r>
      <w:r w:rsidR="00D766B1" w:rsidRPr="00C00255">
        <w:t xml:space="preserve"> nuteistojo </w:t>
      </w:r>
      <w:r w:rsidR="006036E7">
        <w:t>A. I.</w:t>
      </w:r>
      <w:r w:rsidR="00BC4D22" w:rsidRPr="00C00255">
        <w:t xml:space="preserve"> gynėjos advokatės Jevgenijos Savčenko, nuteistojo </w:t>
      </w:r>
      <w:r w:rsidR="006036E7">
        <w:t>A. C.</w:t>
      </w:r>
      <w:r w:rsidR="00BC4D22" w:rsidRPr="00C00255">
        <w:t xml:space="preserve"> gynėjo advokato Vladimiro Vlasovo, </w:t>
      </w:r>
      <w:r w:rsidR="00A8535E" w:rsidRPr="00C00255">
        <w:t xml:space="preserve">nuteistojo </w:t>
      </w:r>
      <w:r w:rsidR="006036E7">
        <w:t>A. Ž.</w:t>
      </w:r>
      <w:r w:rsidR="00D766B1" w:rsidRPr="00C00255">
        <w:t xml:space="preserve"> gynėjo advokato Vytauto </w:t>
      </w:r>
      <w:r w:rsidR="00BC4D22" w:rsidRPr="00C00255">
        <w:t xml:space="preserve">Kupcikevičiaus, nuteistojo </w:t>
      </w:r>
      <w:r w:rsidR="006036E7">
        <w:t>V. U. 1</w:t>
      </w:r>
      <w:r w:rsidR="00BC4D22" w:rsidRPr="00C00255">
        <w:t xml:space="preserve"> gynėjo advokato</w:t>
      </w:r>
      <w:r w:rsidR="00BC694D" w:rsidRPr="00C00255">
        <w:t xml:space="preserve"> Aleksandro </w:t>
      </w:r>
      <w:r w:rsidR="00EE134D" w:rsidRPr="00C00255">
        <w:t>Asovskio</w:t>
      </w:r>
      <w:r w:rsidR="00D766B1" w:rsidRPr="00C00255">
        <w:t xml:space="preserve">, </w:t>
      </w:r>
      <w:r w:rsidR="00BC4D22" w:rsidRPr="00C00255">
        <w:t>nuteistojo</w:t>
      </w:r>
      <w:r w:rsidR="00EE134D" w:rsidRPr="00C00255">
        <w:t xml:space="preserve"> </w:t>
      </w:r>
      <w:r w:rsidR="006036E7">
        <w:t>G. B.</w:t>
      </w:r>
      <w:r w:rsidR="00BC4D22" w:rsidRPr="00C00255">
        <w:t xml:space="preserve"> gynėjo advokato</w:t>
      </w:r>
      <w:r w:rsidR="00EE134D" w:rsidRPr="00C00255">
        <w:t xml:space="preserve"> Sergejaus Pelš</w:t>
      </w:r>
      <w:r w:rsidR="00CB1568" w:rsidRPr="00C00255">
        <w:t>o</w:t>
      </w:r>
      <w:r w:rsidR="00BC4D22" w:rsidRPr="00C00255">
        <w:t xml:space="preserve">, </w:t>
      </w:r>
      <w:r w:rsidR="002C298B" w:rsidRPr="00C00255">
        <w:t xml:space="preserve">nuteistojo </w:t>
      </w:r>
      <w:r w:rsidR="00BA18FA">
        <w:t>G. I.</w:t>
      </w:r>
      <w:r w:rsidR="00607189" w:rsidRPr="00C00255">
        <w:t xml:space="preserve">, nuteistojo </w:t>
      </w:r>
      <w:r w:rsidR="00C82C9D">
        <w:t>V. U. 2</w:t>
      </w:r>
      <w:r w:rsidR="00607189" w:rsidRPr="00C00255">
        <w:t xml:space="preserve"> gynėjos advokatės Ramutės Budrytės</w:t>
      </w:r>
      <w:r w:rsidR="00EE134D" w:rsidRPr="00C00255">
        <w:t xml:space="preserve">, </w:t>
      </w:r>
      <w:r w:rsidR="00D766B1" w:rsidRPr="00C00255">
        <w:t xml:space="preserve">nuteistojo </w:t>
      </w:r>
      <w:r w:rsidR="00C82C9D">
        <w:t>V. S. 4</w:t>
      </w:r>
      <w:r w:rsidR="00EE134D" w:rsidRPr="00C00255">
        <w:t xml:space="preserve"> gynėjo advokato Gintaro</w:t>
      </w:r>
      <w:r w:rsidR="004F4247" w:rsidRPr="00C00255">
        <w:t> </w:t>
      </w:r>
      <w:r w:rsidR="00EE134D" w:rsidRPr="00C00255">
        <w:t>Algirdo Perednio,</w:t>
      </w:r>
      <w:r w:rsidR="004F4247" w:rsidRPr="00C00255">
        <w:t xml:space="preserve"> </w:t>
      </w:r>
      <w:r w:rsidR="00C66292" w:rsidRPr="00C00255">
        <w:t xml:space="preserve">nuteistojo </w:t>
      </w:r>
      <w:r w:rsidR="00C82C9D">
        <w:t>V. Š. 3</w:t>
      </w:r>
      <w:r w:rsidR="00EE134D" w:rsidRPr="00C00255">
        <w:t xml:space="preserve"> gynėjos advokatės Irenos</w:t>
      </w:r>
      <w:r w:rsidR="004F4247" w:rsidRPr="00C00255">
        <w:t> </w:t>
      </w:r>
      <w:r w:rsidR="00EE134D" w:rsidRPr="00C00255">
        <w:t>Marijonos</w:t>
      </w:r>
      <w:r w:rsidR="004F4247" w:rsidRPr="00C00255">
        <w:t> </w:t>
      </w:r>
      <w:r w:rsidR="00EE134D" w:rsidRPr="00C00255">
        <w:t xml:space="preserve">Vaitiekaitienės, nuteistojo </w:t>
      </w:r>
      <w:r w:rsidR="00C82C9D">
        <w:t>V. P.</w:t>
      </w:r>
      <w:r w:rsidR="00EE134D" w:rsidRPr="00C00255">
        <w:t xml:space="preserve"> gynėjo advokato Mykolo</w:t>
      </w:r>
      <w:r w:rsidR="004F4247" w:rsidRPr="00C00255">
        <w:t> </w:t>
      </w:r>
      <w:r w:rsidR="00EE134D" w:rsidRPr="00C00255">
        <w:t xml:space="preserve">Girdiušo, </w:t>
      </w:r>
      <w:r w:rsidR="00DB67F1" w:rsidRPr="00C00255">
        <w:t xml:space="preserve">nuteistojo </w:t>
      </w:r>
      <w:r w:rsidR="00C82C9D">
        <w:t>E. R.</w:t>
      </w:r>
      <w:r w:rsidR="00EE134D" w:rsidRPr="00C00255">
        <w:t xml:space="preserve"> gynėjos advokatės Julijos Asovskajos, nuteistojo </w:t>
      </w:r>
      <w:r w:rsidR="00C82C9D">
        <w:t>J. O.</w:t>
      </w:r>
      <w:r w:rsidR="00EE134D" w:rsidRPr="00C00255">
        <w:t xml:space="preserve"> gynėjo advokato Adolfo</w:t>
      </w:r>
      <w:r w:rsidR="0093200A">
        <w:t> </w:t>
      </w:r>
      <w:r w:rsidR="00EE134D" w:rsidRPr="00C00255">
        <w:t xml:space="preserve">Remeikio, nuteistojo </w:t>
      </w:r>
      <w:r w:rsidR="00C82C9D">
        <w:t>A. G. 1</w:t>
      </w:r>
      <w:r w:rsidR="00EE134D" w:rsidRPr="00C00255">
        <w:t xml:space="preserve"> i</w:t>
      </w:r>
      <w:r w:rsidR="00DB67F1" w:rsidRPr="00C00255">
        <w:t>r jo gynėjo advokato Nikolajaus </w:t>
      </w:r>
      <w:r w:rsidR="00EE134D" w:rsidRPr="00C00255">
        <w:t xml:space="preserve">Voinovo, nuteistojo </w:t>
      </w:r>
      <w:r w:rsidR="00C82C9D">
        <w:t>A. B.</w:t>
      </w:r>
      <w:r w:rsidR="00EE134D" w:rsidRPr="00C00255">
        <w:t xml:space="preserve"> gynėjo advokato </w:t>
      </w:r>
      <w:r w:rsidR="00607189" w:rsidRPr="00C00255">
        <w:t>Rostislavo Polubianko</w:t>
      </w:r>
      <w:r w:rsidR="00EE134D" w:rsidRPr="00C00255">
        <w:t xml:space="preserve">, nuteistojo </w:t>
      </w:r>
      <w:r w:rsidR="00C82C9D">
        <w:t>O. A.</w:t>
      </w:r>
      <w:r w:rsidR="00EE134D" w:rsidRPr="00C00255">
        <w:t xml:space="preserve"> gynėjo advokato</w:t>
      </w:r>
      <w:r w:rsidR="00FB2B0F" w:rsidRPr="00C00255">
        <w:t xml:space="preserve"> Leonido Ignatovo</w:t>
      </w:r>
      <w:r w:rsidR="00EE134D" w:rsidRPr="00C00255">
        <w:t xml:space="preserve">, nuteistojo </w:t>
      </w:r>
      <w:r w:rsidR="00C82C9D">
        <w:t>N. S.</w:t>
      </w:r>
      <w:r w:rsidR="00FB2B0F" w:rsidRPr="00C00255">
        <w:t xml:space="preserve"> </w:t>
      </w:r>
      <w:r w:rsidR="00EE134D" w:rsidRPr="00C00255">
        <w:t>gynėjo advokato</w:t>
      </w:r>
      <w:r w:rsidR="00C66292" w:rsidRPr="00C00255">
        <w:t xml:space="preserve"> Fausto </w:t>
      </w:r>
      <w:r w:rsidR="00FB2B0F" w:rsidRPr="00C00255">
        <w:t>Vrubliausko</w:t>
      </w:r>
      <w:r w:rsidR="00EE134D" w:rsidRPr="00C00255">
        <w:t xml:space="preserve">, nuteistojo </w:t>
      </w:r>
      <w:r w:rsidR="00C82C9D">
        <w:t>A. U.</w:t>
      </w:r>
      <w:r w:rsidR="00FB2B0F" w:rsidRPr="00C00255">
        <w:t xml:space="preserve"> </w:t>
      </w:r>
      <w:r w:rsidR="00EE134D" w:rsidRPr="00C00255">
        <w:t>gynėjo</w:t>
      </w:r>
      <w:r w:rsidR="00FB2B0F" w:rsidRPr="00C00255">
        <w:t>s</w:t>
      </w:r>
      <w:r w:rsidR="00EE134D" w:rsidRPr="00C00255">
        <w:t xml:space="preserve"> advokat</w:t>
      </w:r>
      <w:r w:rsidR="00FB2B0F" w:rsidRPr="00C00255">
        <w:t>ės Lidijos Blinkevičienės</w:t>
      </w:r>
      <w:r w:rsidR="00EE134D" w:rsidRPr="00C00255">
        <w:t>, nuteistojo</w:t>
      </w:r>
      <w:r w:rsidR="00FB2B0F" w:rsidRPr="00C00255">
        <w:t xml:space="preserve"> </w:t>
      </w:r>
      <w:r w:rsidR="00A97F74">
        <w:t>A. K. 1</w:t>
      </w:r>
      <w:r w:rsidR="00EE134D" w:rsidRPr="00C00255">
        <w:t xml:space="preserve"> gynėjo</w:t>
      </w:r>
      <w:r w:rsidR="00FB2B0F" w:rsidRPr="00C00255">
        <w:t>s advokatės Jūratės</w:t>
      </w:r>
      <w:r w:rsidR="004F4247" w:rsidRPr="00C00255">
        <w:t> </w:t>
      </w:r>
      <w:r w:rsidR="00FB2B0F" w:rsidRPr="00C00255">
        <w:t>Tamulevičiūtės</w:t>
      </w:r>
      <w:r w:rsidR="00EE134D" w:rsidRPr="00C00255">
        <w:t xml:space="preserve">, nuteistojo </w:t>
      </w:r>
      <w:r w:rsidR="00A97F74">
        <w:t>D. F.</w:t>
      </w:r>
      <w:r w:rsidR="00FB2B0F" w:rsidRPr="00C00255">
        <w:t xml:space="preserve"> </w:t>
      </w:r>
      <w:r w:rsidR="00EE134D" w:rsidRPr="00C00255">
        <w:t>gynėjo advokato</w:t>
      </w:r>
      <w:r w:rsidR="0093200A">
        <w:t xml:space="preserve"> Dariaus </w:t>
      </w:r>
      <w:r w:rsidR="00FB2B0F" w:rsidRPr="00C00255">
        <w:t xml:space="preserve">Karvelio, nuteistojo </w:t>
      </w:r>
      <w:r w:rsidR="00BA18FA">
        <w:t>J. M.</w:t>
      </w:r>
      <w:r w:rsidR="00B474A3" w:rsidRPr="00C00255">
        <w:t xml:space="preserve"> gynėjos advokatės Galinos </w:t>
      </w:r>
      <w:r w:rsidR="00FB2B0F" w:rsidRPr="00C00255">
        <w:t xml:space="preserve">Kardanovskajos, nuteistojo </w:t>
      </w:r>
      <w:r w:rsidR="00A97F74">
        <w:t>N. O.</w:t>
      </w:r>
      <w:r w:rsidR="00FB2B0F" w:rsidRPr="00C00255">
        <w:t xml:space="preserve"> gynėjo advokato Benedikto Paulausko, </w:t>
      </w:r>
      <w:r w:rsidR="00DB67F1" w:rsidRPr="00C00255">
        <w:t xml:space="preserve">nuteistojo </w:t>
      </w:r>
      <w:r w:rsidR="00A97F74">
        <w:t>A. K. 2</w:t>
      </w:r>
      <w:r w:rsidR="00FB2B0F" w:rsidRPr="00C00255">
        <w:t xml:space="preserve"> gynėjos advokatės Elenos Gylienės, </w:t>
      </w:r>
      <w:r w:rsidR="00DB67F1" w:rsidRPr="00C00255">
        <w:t xml:space="preserve">nuteistojo </w:t>
      </w:r>
      <w:r w:rsidR="00A97F74">
        <w:t>A. R.</w:t>
      </w:r>
      <w:r w:rsidR="00FB2B0F" w:rsidRPr="00C00255">
        <w:t xml:space="preserve"> gynėjo advokato Arvydo</w:t>
      </w:r>
      <w:r w:rsidR="004F4247" w:rsidRPr="00C00255">
        <w:t> </w:t>
      </w:r>
      <w:r w:rsidR="00FB2B0F" w:rsidRPr="00C00255">
        <w:t xml:space="preserve">Verpečinsko, </w:t>
      </w:r>
      <w:r w:rsidR="00DB67F1" w:rsidRPr="00C00255">
        <w:t xml:space="preserve">nuteistojo </w:t>
      </w:r>
      <w:r w:rsidR="00A97F74">
        <w:t>V. R.</w:t>
      </w:r>
      <w:r w:rsidR="00FB2B0F" w:rsidRPr="00C00255">
        <w:t xml:space="preserve"> gynėjo advokato Venjamino Dubrovskio, nuteistojo </w:t>
      </w:r>
      <w:r w:rsidR="00A97F74">
        <w:t>V. Š. 2</w:t>
      </w:r>
      <w:r w:rsidR="00BC694D" w:rsidRPr="00C00255">
        <w:t xml:space="preserve"> gynėjo advokato Mindaugo </w:t>
      </w:r>
      <w:r w:rsidR="00FB2B0F" w:rsidRPr="00C00255">
        <w:t xml:space="preserve">Normanto, nuteistojo </w:t>
      </w:r>
      <w:r w:rsidR="00A97F74">
        <w:t>V. M.</w:t>
      </w:r>
      <w:r w:rsidR="00DB67F1" w:rsidRPr="00C00255">
        <w:t xml:space="preserve"> gynėjo advokato Valdo </w:t>
      </w:r>
      <w:r w:rsidR="00FB2B0F" w:rsidRPr="00C00255">
        <w:t xml:space="preserve">Burneikio, nuteistojo </w:t>
      </w:r>
      <w:r w:rsidR="00DC0414">
        <w:t>O. M.</w:t>
      </w:r>
      <w:r w:rsidR="007E7A39" w:rsidRPr="00C00255">
        <w:t xml:space="preserve"> </w:t>
      </w:r>
      <w:r w:rsidR="00FB2B0F" w:rsidRPr="00C00255">
        <w:t>gynėjo advokato</w:t>
      </w:r>
      <w:r w:rsidR="00D766B1" w:rsidRPr="00C00255">
        <w:t xml:space="preserve"> Jono </w:t>
      </w:r>
      <w:r w:rsidR="007E7A39" w:rsidRPr="00C00255">
        <w:t>Jasiulevičiaus</w:t>
      </w:r>
      <w:r w:rsidR="00FB2B0F" w:rsidRPr="00C00255">
        <w:t xml:space="preserve">, nuteistojo </w:t>
      </w:r>
      <w:r w:rsidR="00DC0414">
        <w:t>M. C.</w:t>
      </w:r>
      <w:r w:rsidR="007E7A39" w:rsidRPr="00C00255">
        <w:t xml:space="preserve"> </w:t>
      </w:r>
      <w:r w:rsidR="00FB2B0F" w:rsidRPr="00C00255">
        <w:t>gynėjo</w:t>
      </w:r>
      <w:r w:rsidR="007E7A39" w:rsidRPr="00C00255">
        <w:t xml:space="preserve">s advokatės Zitos Malovos, </w:t>
      </w:r>
      <w:r w:rsidR="00DB67F1" w:rsidRPr="00C00255">
        <w:t xml:space="preserve">nuteistojo </w:t>
      </w:r>
      <w:r w:rsidR="00DC0414">
        <w:t>J. S.</w:t>
      </w:r>
      <w:r w:rsidR="007E7A39" w:rsidRPr="00C00255">
        <w:t xml:space="preserve"> gynėjo advokato Jevgenijaus Bogdanovo, </w:t>
      </w:r>
      <w:r w:rsidR="002133AD" w:rsidRPr="00C00255">
        <w:t xml:space="preserve">nukentėjusiosios ir civilinės ieškovės </w:t>
      </w:r>
      <w:r w:rsidR="0093200A">
        <w:t>O. P.</w:t>
      </w:r>
      <w:r w:rsidR="002133AD" w:rsidRPr="00C00255">
        <w:t xml:space="preserve"> bei jos atstovo advokato Al</w:t>
      </w:r>
      <w:r w:rsidR="00766CBF" w:rsidRPr="00C00255">
        <w:t>berto</w:t>
      </w:r>
      <w:r w:rsidR="002133AD" w:rsidRPr="00C00255">
        <w:t xml:space="preserve"> Butos, </w:t>
      </w:r>
      <w:r w:rsidR="007E7A39" w:rsidRPr="00C00255">
        <w:t>nukentėjusi</w:t>
      </w:r>
      <w:r w:rsidR="004F4247" w:rsidRPr="00C00255">
        <w:t>ojo</w:t>
      </w:r>
      <w:r w:rsidR="007E7A39" w:rsidRPr="00C00255">
        <w:t xml:space="preserve"> ir civilini</w:t>
      </w:r>
      <w:r w:rsidR="004F4247" w:rsidRPr="00C00255">
        <w:t>o</w:t>
      </w:r>
      <w:r w:rsidR="007E7A39" w:rsidRPr="00C00255">
        <w:t xml:space="preserve"> ieškov</w:t>
      </w:r>
      <w:r w:rsidR="004F4247" w:rsidRPr="00C00255">
        <w:t>o</w:t>
      </w:r>
      <w:r w:rsidR="007E7A39" w:rsidRPr="00C00255">
        <w:t xml:space="preserve"> </w:t>
      </w:r>
      <w:r w:rsidR="0093200A">
        <w:t>R. P.</w:t>
      </w:r>
      <w:r w:rsidR="004F4247" w:rsidRPr="00C00255">
        <w:t xml:space="preserve"> bei jo atstovo advokato </w:t>
      </w:r>
      <w:r w:rsidR="002133AD" w:rsidRPr="00C00255">
        <w:t>Al</w:t>
      </w:r>
      <w:r w:rsidR="00766CBF" w:rsidRPr="00C00255">
        <w:t>berto</w:t>
      </w:r>
      <w:r w:rsidR="002133AD" w:rsidRPr="00C00255">
        <w:t> </w:t>
      </w:r>
      <w:r w:rsidR="004F4247" w:rsidRPr="00C00255">
        <w:t>Butos</w:t>
      </w:r>
      <w:r w:rsidR="00F45218" w:rsidRPr="00C00255">
        <w:t>,</w:t>
      </w:r>
      <w:r w:rsidR="007E7A39" w:rsidRPr="00C00255">
        <w:t xml:space="preserve"> </w:t>
      </w:r>
      <w:r w:rsidR="00C66292" w:rsidRPr="00C00255">
        <w:t>Lietuvos </w:t>
      </w:r>
      <w:r w:rsidR="00CA2A9F" w:rsidRPr="00C00255">
        <w:t>Respublikos g</w:t>
      </w:r>
      <w:r w:rsidR="007E7A39" w:rsidRPr="00C00255">
        <w:t>eneralinės prokuratūros Baudžiamojo persekiojimo</w:t>
      </w:r>
      <w:r w:rsidR="00DB67F1" w:rsidRPr="00C00255">
        <w:t xml:space="preserve"> departamento prokurorų Gintaro </w:t>
      </w:r>
      <w:r w:rsidR="007E7A39" w:rsidRPr="00C00255">
        <w:t>Paškevičiaus ir Daivos Skorupskaitės</w:t>
      </w:r>
      <w:r w:rsidR="008201CB" w:rsidRPr="00C00255">
        <w:t>-</w:t>
      </w:r>
      <w:r w:rsidR="007E7A39" w:rsidRPr="00C00255">
        <w:t xml:space="preserve">Lisauskienės apeliacinius skundus </w:t>
      </w:r>
      <w:r w:rsidRPr="00C00255">
        <w:t>dėl Vilniaus apygardos teismo 2019 m. kovo 27 d. nuosprendžio, kuriuo</w:t>
      </w:r>
      <w:r w:rsidR="00081891" w:rsidRPr="00C00255">
        <w:t>:</w:t>
      </w:r>
    </w:p>
    <w:p w:rsidR="00281F13" w:rsidRPr="00C00255" w:rsidRDefault="00385BC9" w:rsidP="00321748">
      <w:pPr>
        <w:pStyle w:val="ListParagraph"/>
        <w:numPr>
          <w:ilvl w:val="0"/>
          <w:numId w:val="9"/>
        </w:numPr>
        <w:tabs>
          <w:tab w:val="left" w:pos="1134"/>
        </w:tabs>
        <w:ind w:left="993" w:hanging="567"/>
      </w:pPr>
      <w:r>
        <w:rPr>
          <w:b/>
        </w:rPr>
        <w:t>V. Š. 1</w:t>
      </w:r>
      <w:r w:rsidR="00281F13" w:rsidRPr="00C00255">
        <w:t xml:space="preserve"> pripažintas kaltu ir nubaustas: </w:t>
      </w:r>
    </w:p>
    <w:p w:rsidR="00466D5B" w:rsidRPr="00C00255" w:rsidRDefault="008D533C" w:rsidP="00321748">
      <w:pPr>
        <w:pStyle w:val="ListParagraph"/>
        <w:numPr>
          <w:ilvl w:val="0"/>
          <w:numId w:val="8"/>
        </w:numPr>
        <w:shd w:val="clear" w:color="auto" w:fill="FFFFFF"/>
        <w:tabs>
          <w:tab w:val="left" w:pos="993"/>
        </w:tabs>
        <w:ind w:left="0" w:firstLine="425"/>
      </w:pPr>
      <w:r w:rsidRPr="00E11A52">
        <w:t xml:space="preserve">pagal Lietuvos Respublikos baudžiamojo kodekso (toliau – </w:t>
      </w:r>
      <w:r w:rsidR="00132FF8" w:rsidRPr="00E11A52">
        <w:t xml:space="preserve">ir </w:t>
      </w:r>
      <w:r w:rsidRPr="00E11A52">
        <w:t xml:space="preserve">BK, </w:t>
      </w:r>
      <w:r w:rsidR="00F45218" w:rsidRPr="00E11A52">
        <w:t xml:space="preserve">pastaba: </w:t>
      </w:r>
      <w:r w:rsidRPr="00E11A52">
        <w:t xml:space="preserve">visų santrumpų reikšmės nurodytos </w:t>
      </w:r>
      <w:r w:rsidR="009501DE" w:rsidRPr="00E11A52">
        <w:t>atskirame</w:t>
      </w:r>
      <w:r w:rsidRPr="00E11A52">
        <w:t xml:space="preserve"> šio nuosprendžio priede)</w:t>
      </w:r>
      <w:r w:rsidR="00DE456C" w:rsidRPr="00E11A52">
        <w:t xml:space="preserve"> 100 straipsnį</w:t>
      </w:r>
      <w:r w:rsidR="000C727C" w:rsidRPr="00E11A52">
        <w:t xml:space="preserve"> </w:t>
      </w:r>
      <w:r w:rsidR="00281F13" w:rsidRPr="00E11A52">
        <w:t>– laisvės atėmimu 6 (šešeriems) metams</w:t>
      </w:r>
      <w:r w:rsidR="00281F13" w:rsidRPr="00C00255">
        <w:t xml:space="preserve">; </w:t>
      </w:r>
    </w:p>
    <w:p w:rsidR="00E11A52" w:rsidRDefault="00DE456C" w:rsidP="00E11A52">
      <w:pPr>
        <w:pStyle w:val="ListParagraph"/>
        <w:numPr>
          <w:ilvl w:val="0"/>
          <w:numId w:val="8"/>
        </w:numPr>
        <w:shd w:val="clear" w:color="auto" w:fill="FFFFFF"/>
        <w:tabs>
          <w:tab w:val="left" w:pos="993"/>
        </w:tabs>
        <w:ind w:left="0" w:firstLine="425"/>
      </w:pPr>
      <w:r w:rsidRPr="00E11A52">
        <w:t>pagal BK 101 straipsnį</w:t>
      </w:r>
      <w:r w:rsidR="00281F13" w:rsidRPr="00E11A52">
        <w:t xml:space="preserve"> – laisvės atėmimu 10 (dešimčiai) metų</w:t>
      </w:r>
      <w:r w:rsidR="00281F13" w:rsidRPr="00C00255">
        <w:t>;</w:t>
      </w:r>
    </w:p>
    <w:p w:rsidR="00E11A52" w:rsidRDefault="00DE456C" w:rsidP="00E11A52">
      <w:pPr>
        <w:pStyle w:val="ListParagraph"/>
        <w:numPr>
          <w:ilvl w:val="0"/>
          <w:numId w:val="8"/>
        </w:numPr>
        <w:shd w:val="clear" w:color="auto" w:fill="FFFFFF"/>
        <w:tabs>
          <w:tab w:val="left" w:pos="993"/>
        </w:tabs>
        <w:ind w:left="0" w:firstLine="425"/>
      </w:pPr>
      <w:r w:rsidRPr="00C00255">
        <w:t>pagal BK 103 straipsnio 1 dalį</w:t>
      </w:r>
      <w:r w:rsidR="00281F13" w:rsidRPr="00C00255">
        <w:t xml:space="preserve"> – laisvės atėmimu 5 (penkeriems) metams;</w:t>
      </w:r>
    </w:p>
    <w:p w:rsidR="000C727C" w:rsidRPr="00C00255" w:rsidRDefault="00281F13" w:rsidP="00E11A52">
      <w:pPr>
        <w:pStyle w:val="ListParagraph"/>
        <w:numPr>
          <w:ilvl w:val="0"/>
          <w:numId w:val="8"/>
        </w:numPr>
        <w:shd w:val="clear" w:color="auto" w:fill="FFFFFF"/>
        <w:tabs>
          <w:tab w:val="left" w:pos="993"/>
        </w:tabs>
        <w:ind w:left="0" w:firstLine="425"/>
      </w:pPr>
      <w:r w:rsidRPr="00C00255">
        <w:t>pagal BK 111 straipsnio 1 dalį – laisvės atėmimu 6 (šešeriems) metams;</w:t>
      </w:r>
    </w:p>
    <w:p w:rsidR="00281F13" w:rsidRPr="00C00255" w:rsidRDefault="00281F13" w:rsidP="00321748">
      <w:pPr>
        <w:pStyle w:val="ListParagraph"/>
        <w:numPr>
          <w:ilvl w:val="0"/>
          <w:numId w:val="8"/>
        </w:numPr>
        <w:shd w:val="clear" w:color="auto" w:fill="FFFFFF"/>
        <w:tabs>
          <w:tab w:val="left" w:pos="993"/>
        </w:tabs>
        <w:ind w:left="0" w:firstLine="425"/>
      </w:pPr>
      <w:r w:rsidRPr="00C00255">
        <w:t>pagal BK 112 straipsnį – laisvės atėmimu 5 (penkeriems) metams.</w:t>
      </w:r>
    </w:p>
    <w:p w:rsidR="00281F13" w:rsidRPr="00C00255" w:rsidRDefault="00281F13" w:rsidP="002421D6">
      <w:pPr>
        <w:spacing w:after="120"/>
        <w:ind w:firstLine="992"/>
      </w:pPr>
      <w:r w:rsidRPr="00C00255">
        <w:t>Vadovaujantis BK 63 straipsnio 5 dalies 1 punktu, paskirtos bausmės subendrintos apėmimo būdu</w:t>
      </w:r>
      <w:r w:rsidR="000C727C" w:rsidRPr="00C00255">
        <w:t xml:space="preserve"> </w:t>
      </w:r>
      <w:r w:rsidRPr="00C00255">
        <w:t xml:space="preserve">ir </w:t>
      </w:r>
      <w:r w:rsidR="00385BC9">
        <w:t>V. Š. 1</w:t>
      </w:r>
      <w:r w:rsidRPr="00C00255">
        <w:t xml:space="preserve"> galutinė subendrinta bausmė paskirta laisvės atėmimas 10 (dešimčiai) metų, bau</w:t>
      </w:r>
      <w:r w:rsidR="002421D6" w:rsidRPr="00C00255">
        <w:t>smę atliekant pataisos namuose.</w:t>
      </w:r>
    </w:p>
    <w:p w:rsidR="00EE18A5" w:rsidRPr="00C00255" w:rsidRDefault="00385BC9" w:rsidP="00321748">
      <w:pPr>
        <w:pStyle w:val="ListParagraph"/>
        <w:numPr>
          <w:ilvl w:val="0"/>
          <w:numId w:val="9"/>
        </w:numPr>
        <w:tabs>
          <w:tab w:val="left" w:pos="993"/>
        </w:tabs>
        <w:ind w:left="992" w:hanging="567"/>
      </w:pPr>
      <w:r>
        <w:rPr>
          <w:b/>
        </w:rPr>
        <w:t>A. N. 1</w:t>
      </w:r>
      <w:r w:rsidR="00252E86" w:rsidRPr="00C00255">
        <w:t xml:space="preserve"> </w:t>
      </w:r>
      <w:r w:rsidR="00EE18A5" w:rsidRPr="00C00255">
        <w:t xml:space="preserve">pripažintas kaltu ir nubaustas: </w:t>
      </w:r>
    </w:p>
    <w:p w:rsidR="00231EDE" w:rsidRPr="00C00255" w:rsidRDefault="00EE18A5"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xml:space="preserve">– laisvės atėmimu 6 (šešeriems) metams; </w:t>
      </w:r>
    </w:p>
    <w:p w:rsidR="00231EDE" w:rsidRPr="00C00255" w:rsidRDefault="00EE18A5" w:rsidP="00321748">
      <w:pPr>
        <w:pStyle w:val="ListParagraph"/>
        <w:numPr>
          <w:ilvl w:val="0"/>
          <w:numId w:val="7"/>
        </w:numPr>
        <w:shd w:val="clear" w:color="auto" w:fill="FFFFFF"/>
        <w:tabs>
          <w:tab w:val="left" w:pos="993"/>
        </w:tabs>
        <w:ind w:left="0" w:firstLine="426"/>
      </w:pPr>
      <w:r w:rsidRPr="00C00255">
        <w:t>pagal BK 101 straipsnį –</w:t>
      </w:r>
      <w:r w:rsidR="002133AD" w:rsidRPr="00C00255">
        <w:t xml:space="preserve"> </w:t>
      </w:r>
      <w:r w:rsidRPr="00C00255">
        <w:t>laisvės atėmimu 10 (dešimčiai) metų;</w:t>
      </w:r>
    </w:p>
    <w:p w:rsidR="00231EDE" w:rsidRPr="00C00255" w:rsidRDefault="00EE18A5" w:rsidP="00321748">
      <w:pPr>
        <w:pStyle w:val="ListParagraph"/>
        <w:numPr>
          <w:ilvl w:val="0"/>
          <w:numId w:val="7"/>
        </w:numPr>
        <w:shd w:val="clear" w:color="auto" w:fill="FFFFFF"/>
        <w:tabs>
          <w:tab w:val="left" w:pos="993"/>
        </w:tabs>
        <w:ind w:left="0" w:firstLine="426"/>
      </w:pPr>
      <w:r w:rsidRPr="00C00255">
        <w:t>pagal BK 103 straipsnio 1 dalį</w:t>
      </w:r>
      <w:r w:rsidR="00DE456C" w:rsidRPr="00C00255">
        <w:rPr>
          <w:rFonts w:eastAsia="Calibri"/>
        </w:rPr>
        <w:t xml:space="preserve"> </w:t>
      </w:r>
      <w:r w:rsidR="002133AD" w:rsidRPr="00C00255">
        <w:t>– laisvės </w:t>
      </w:r>
      <w:r w:rsidRPr="00C00255">
        <w:t>atėmimu 5 (penkeriems) metams;</w:t>
      </w:r>
    </w:p>
    <w:p w:rsidR="00231EDE" w:rsidRPr="00C00255" w:rsidRDefault="00DE456C" w:rsidP="00321748">
      <w:pPr>
        <w:pStyle w:val="ListParagraph"/>
        <w:numPr>
          <w:ilvl w:val="0"/>
          <w:numId w:val="7"/>
        </w:numPr>
        <w:shd w:val="clear" w:color="auto" w:fill="FFFFFF"/>
        <w:tabs>
          <w:tab w:val="left" w:pos="993"/>
        </w:tabs>
        <w:ind w:left="0" w:firstLine="426"/>
      </w:pPr>
      <w:r w:rsidRPr="00C00255">
        <w:t>pagal BK 111 straipsnio 1 dalį</w:t>
      </w:r>
      <w:r w:rsidR="000C727C" w:rsidRPr="00C00255">
        <w:t xml:space="preserve"> </w:t>
      </w:r>
      <w:r w:rsidR="00EE18A5" w:rsidRPr="00C00255">
        <w:t>– laisvė</w:t>
      </w:r>
      <w:r w:rsidR="002133AD" w:rsidRPr="00C00255">
        <w:t>s </w:t>
      </w:r>
      <w:r w:rsidR="00EE18A5" w:rsidRPr="00C00255">
        <w:t>atėmimu 6 (šešeriems) metams;</w:t>
      </w:r>
    </w:p>
    <w:p w:rsidR="00EE18A5" w:rsidRPr="00C00255" w:rsidRDefault="00EE18A5"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626BC5" w:rsidRPr="00C00255" w:rsidRDefault="00466D5B" w:rsidP="00231EDE">
      <w:pPr>
        <w:tabs>
          <w:tab w:val="left" w:pos="993"/>
        </w:tabs>
        <w:spacing w:after="120"/>
        <w:ind w:firstLine="426"/>
      </w:pPr>
      <w:r w:rsidRPr="00C00255">
        <w:tab/>
      </w:r>
      <w:r w:rsidR="00252E86" w:rsidRPr="00C00255">
        <w:t xml:space="preserve">Vadovaujantis BK 63 straipsnio 5 dalies 1 punktu, paskirtos bausmės subendrintos apėmimo būdu ir </w:t>
      </w:r>
      <w:r w:rsidR="00385BC9">
        <w:t>A. N. 1</w:t>
      </w:r>
      <w:r w:rsidR="00517C09" w:rsidRPr="00C00255">
        <w:t xml:space="preserve"> </w:t>
      </w:r>
      <w:r w:rsidR="00252E86" w:rsidRPr="00C00255">
        <w:t>galutinė subendrinta bausmė paskirta laisvės atėmimas</w:t>
      </w:r>
      <w:r w:rsidR="002133AD" w:rsidRPr="00C00255">
        <w:t xml:space="preserve"> </w:t>
      </w:r>
      <w:r w:rsidR="00EE18A5" w:rsidRPr="00C00255">
        <w:t>10 (</w:t>
      </w:r>
      <w:r w:rsidR="00252E86" w:rsidRPr="00C00255">
        <w:t>dešimčiai</w:t>
      </w:r>
      <w:r w:rsidR="00EE18A5" w:rsidRPr="00C00255">
        <w:t>)</w:t>
      </w:r>
      <w:r w:rsidR="00252E86" w:rsidRPr="00C00255">
        <w:t xml:space="preserve"> metų, bausmę atliekant pataisos namuose. </w:t>
      </w:r>
    </w:p>
    <w:p w:rsidR="00A72628" w:rsidRPr="00C00255" w:rsidRDefault="00385BC9" w:rsidP="00321748">
      <w:pPr>
        <w:pStyle w:val="ListParagraph"/>
        <w:numPr>
          <w:ilvl w:val="0"/>
          <w:numId w:val="9"/>
        </w:numPr>
        <w:tabs>
          <w:tab w:val="left" w:pos="993"/>
        </w:tabs>
        <w:ind w:left="992" w:hanging="567"/>
      </w:pPr>
      <w:r>
        <w:rPr>
          <w:b/>
        </w:rPr>
        <w:t>R. J. 1</w:t>
      </w:r>
      <w:r w:rsidR="00CB1568" w:rsidRPr="00C00255">
        <w:t xml:space="preserve"> pripažintas kaltu ir nubaustas: </w:t>
      </w:r>
    </w:p>
    <w:p w:rsidR="00CB1568" w:rsidRPr="00C00255" w:rsidRDefault="00CB1568"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xml:space="preserve">– laisvės atėmimu 6 (šešeriems) metams; </w:t>
      </w:r>
    </w:p>
    <w:p w:rsidR="00CB1568" w:rsidRPr="00C00255" w:rsidRDefault="00CB1568" w:rsidP="00321748">
      <w:pPr>
        <w:pStyle w:val="ListParagraph"/>
        <w:numPr>
          <w:ilvl w:val="0"/>
          <w:numId w:val="7"/>
        </w:numPr>
        <w:shd w:val="clear" w:color="auto" w:fill="FFFFFF"/>
        <w:tabs>
          <w:tab w:val="left" w:pos="993"/>
        </w:tabs>
        <w:ind w:left="0" w:firstLine="426"/>
      </w:pPr>
      <w:r w:rsidRPr="00C00255">
        <w:t>pagal BK 101 straipsnį</w:t>
      </w:r>
      <w:r w:rsidR="00DE456C" w:rsidRPr="00C00255">
        <w:rPr>
          <w:rFonts w:eastAsia="Calibri"/>
        </w:rPr>
        <w:t xml:space="preserve"> </w:t>
      </w:r>
      <w:r w:rsidRPr="00C00255">
        <w:t>– laisvės atėmimu 10 (dešimčiai) metų;</w:t>
      </w:r>
    </w:p>
    <w:p w:rsidR="00CB1568" w:rsidRPr="00C00255" w:rsidRDefault="00DE456C" w:rsidP="00321748">
      <w:pPr>
        <w:pStyle w:val="ListParagraph"/>
        <w:numPr>
          <w:ilvl w:val="0"/>
          <w:numId w:val="7"/>
        </w:numPr>
        <w:shd w:val="clear" w:color="auto" w:fill="FFFFFF"/>
        <w:tabs>
          <w:tab w:val="left" w:pos="993"/>
        </w:tabs>
        <w:ind w:left="0" w:firstLine="426"/>
      </w:pPr>
      <w:r w:rsidRPr="00C00255">
        <w:lastRenderedPageBreak/>
        <w:t>pagal BK 103 straipsnio 1 dalį</w:t>
      </w:r>
      <w:r w:rsidR="00CB1568" w:rsidRPr="00C00255">
        <w:t xml:space="preserve"> – laisvės atėmimu 5 (penkeriems) metams;</w:t>
      </w:r>
    </w:p>
    <w:p w:rsidR="00CB1568" w:rsidRPr="00C00255" w:rsidRDefault="00DE456C" w:rsidP="00321748">
      <w:pPr>
        <w:pStyle w:val="ListParagraph"/>
        <w:numPr>
          <w:ilvl w:val="0"/>
          <w:numId w:val="7"/>
        </w:numPr>
        <w:shd w:val="clear" w:color="auto" w:fill="FFFFFF"/>
        <w:tabs>
          <w:tab w:val="left" w:pos="993"/>
        </w:tabs>
        <w:ind w:left="0" w:firstLine="426"/>
      </w:pPr>
      <w:r w:rsidRPr="00C00255">
        <w:t>pagal BK 111 straipsnio 1 dalį</w:t>
      </w:r>
      <w:r w:rsidR="000C727C" w:rsidRPr="00C00255">
        <w:t xml:space="preserve"> </w:t>
      </w:r>
      <w:r w:rsidR="00CB1568" w:rsidRPr="00C00255">
        <w:t>– laisvės atėmimu 6 (šešeriems) metams;</w:t>
      </w:r>
    </w:p>
    <w:p w:rsidR="00CB1568" w:rsidRPr="00C00255" w:rsidRDefault="00CB156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F45218" w:rsidRPr="00C00255" w:rsidRDefault="00626BC5" w:rsidP="00C82C9D">
      <w:pPr>
        <w:shd w:val="clear" w:color="auto" w:fill="FFFFFF"/>
        <w:spacing w:after="120"/>
        <w:ind w:right="51" w:firstLine="992"/>
      </w:pPr>
      <w:r w:rsidRPr="00C00255">
        <w:t xml:space="preserve">Vadovaujantis BK 63 straipsnio 5 dalies 1 punktu, paskirtos bausmės subendrintos apėmimo būdu ir </w:t>
      </w:r>
      <w:r w:rsidR="00385BC9">
        <w:t>R. J. 1</w:t>
      </w:r>
      <w:r w:rsidRPr="00C00255">
        <w:t xml:space="preserve"> galutinė subendrinta bausmė paskirta laisvės atėmimas </w:t>
      </w:r>
      <w:r w:rsidR="002133AD" w:rsidRPr="00C00255">
        <w:t>10 (dešimčiai) metų</w:t>
      </w:r>
      <w:r w:rsidRPr="00C00255">
        <w:t xml:space="preserve">, bausmę atliekant pataisos namuose. </w:t>
      </w:r>
    </w:p>
    <w:p w:rsidR="00626BC5" w:rsidRPr="00C00255" w:rsidRDefault="00385BC9" w:rsidP="00321748">
      <w:pPr>
        <w:pStyle w:val="ListParagraph"/>
        <w:numPr>
          <w:ilvl w:val="0"/>
          <w:numId w:val="9"/>
        </w:numPr>
        <w:ind w:left="992" w:hanging="567"/>
        <w:rPr>
          <w:b/>
        </w:rPr>
      </w:pPr>
      <w:r>
        <w:rPr>
          <w:b/>
        </w:rPr>
        <w:t>D. J.</w:t>
      </w:r>
      <w:r w:rsidR="00626BC5" w:rsidRPr="00C00255">
        <w:rPr>
          <w:b/>
        </w:rPr>
        <w:t xml:space="preserve"> </w:t>
      </w:r>
      <w:r w:rsidR="002133AD" w:rsidRPr="00C00255">
        <w:t>pripažintas kaltu ir nubaustas</w:t>
      </w:r>
      <w:r w:rsidR="00626BC5" w:rsidRPr="00C00255">
        <w:t xml:space="preserve">: </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100 straipsnį</w:t>
      </w:r>
      <w:r w:rsidR="002421D6" w:rsidRPr="00C00255">
        <w:t xml:space="preserve"> – laisvės atėmimu 10 (dešimčiai) metų; </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101 straipsnį</w:t>
      </w:r>
      <w:r w:rsidR="002133AD" w:rsidRPr="00C00255">
        <w:t xml:space="preserve"> – laisvės atėmimu 10 (dešimčiai) metų;</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103 straipsnio 1 dalį</w:t>
      </w:r>
      <w:r w:rsidR="002133AD" w:rsidRPr="00C00255">
        <w:t xml:space="preserve"> – </w:t>
      </w:r>
      <w:r w:rsidR="002421D6" w:rsidRPr="00C00255">
        <w:t>laisvės </w:t>
      </w:r>
      <w:r w:rsidR="002133AD" w:rsidRPr="00C00255">
        <w:t xml:space="preserve">atėmimu 6 (šešeriems) metams; </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111 straipsnio 1 dalį</w:t>
      </w:r>
      <w:r w:rsidR="000C727C" w:rsidRPr="00C00255">
        <w:t xml:space="preserve"> </w:t>
      </w:r>
      <w:r w:rsidR="002133AD" w:rsidRPr="00C00255">
        <w:t>– laisvės atėmimu 6 (šešeriems) metams;</w:t>
      </w:r>
    </w:p>
    <w:p w:rsidR="002133AD" w:rsidRPr="00C00255" w:rsidRDefault="002133AD"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9E56A8" w:rsidRPr="00C00255" w:rsidRDefault="00626BC5" w:rsidP="00CB1568">
      <w:pPr>
        <w:spacing w:after="120"/>
        <w:ind w:firstLine="992"/>
      </w:pPr>
      <w:r w:rsidRPr="00C00255">
        <w:t xml:space="preserve">Vadovaujantis BK 63 straipsnio 5 dalies 1 punktu, paskirtos bausmės subendrintos apėmimo būdu ir </w:t>
      </w:r>
      <w:r w:rsidR="00385BC9">
        <w:t>D. J.</w:t>
      </w:r>
      <w:r w:rsidRPr="00C00255">
        <w:t xml:space="preserve"> galutinė subendrinta bausmė paskirta laisvės atėmimas </w:t>
      </w:r>
      <w:r w:rsidR="002133AD" w:rsidRPr="00C00255">
        <w:t>10 (dešimčiai) metų</w:t>
      </w:r>
      <w:r w:rsidRPr="00C00255">
        <w:t xml:space="preserve">, bausmę atliekant pataisos namuose. </w:t>
      </w:r>
    </w:p>
    <w:p w:rsidR="00626BC5" w:rsidRPr="00C00255" w:rsidRDefault="00385BC9" w:rsidP="00321748">
      <w:pPr>
        <w:pStyle w:val="ListParagraph"/>
        <w:numPr>
          <w:ilvl w:val="0"/>
          <w:numId w:val="9"/>
        </w:numPr>
        <w:ind w:left="992" w:hanging="567"/>
      </w:pPr>
      <w:r>
        <w:rPr>
          <w:b/>
        </w:rPr>
        <w:t>M. G.</w:t>
      </w:r>
      <w:r w:rsidR="00626BC5" w:rsidRPr="00C00255">
        <w:t xml:space="preserve"> pripažintas kaltu </w:t>
      </w:r>
      <w:r w:rsidR="009E56A8" w:rsidRPr="00C00255">
        <w:t>ir nubaustas:</w:t>
      </w:r>
    </w:p>
    <w:p w:rsidR="002421D6" w:rsidRPr="00C00255" w:rsidRDefault="002421D6" w:rsidP="00321748">
      <w:pPr>
        <w:pStyle w:val="ListParagraph"/>
        <w:numPr>
          <w:ilvl w:val="0"/>
          <w:numId w:val="7"/>
        </w:numPr>
        <w:shd w:val="clear" w:color="auto" w:fill="FFFFFF"/>
        <w:tabs>
          <w:tab w:val="left" w:pos="993"/>
        </w:tabs>
        <w:ind w:left="0" w:firstLine="426"/>
      </w:pPr>
      <w:r w:rsidRPr="00C00255">
        <w:t xml:space="preserve">pagal BK 100 straipsnį – laisvės atėmimu 10 (dešimčiai) metų; </w:t>
      </w:r>
    </w:p>
    <w:p w:rsidR="002421D6" w:rsidRPr="00C00255" w:rsidRDefault="009E56A8" w:rsidP="00321748">
      <w:pPr>
        <w:pStyle w:val="ListParagraph"/>
        <w:numPr>
          <w:ilvl w:val="0"/>
          <w:numId w:val="7"/>
        </w:numPr>
        <w:shd w:val="clear" w:color="auto" w:fill="FFFFFF"/>
        <w:tabs>
          <w:tab w:val="left" w:pos="993"/>
        </w:tabs>
        <w:ind w:left="0" w:firstLine="426"/>
      </w:pPr>
      <w:r w:rsidRPr="00C00255">
        <w:t xml:space="preserve">pagal BK 101 straipsnį </w:t>
      </w:r>
      <w:r w:rsidR="00626BC5" w:rsidRPr="00C00255">
        <w:t>–</w:t>
      </w:r>
      <w:r w:rsidR="000C727C" w:rsidRPr="00C00255">
        <w:t xml:space="preserve"> </w:t>
      </w:r>
      <w:r w:rsidRPr="00C00255">
        <w:t xml:space="preserve">laisvės atėmimu 12 </w:t>
      </w:r>
      <w:r w:rsidR="00626BC5" w:rsidRPr="00C00255">
        <w:t>(</w:t>
      </w:r>
      <w:r w:rsidRPr="00C00255">
        <w:t>dvylikai</w:t>
      </w:r>
      <w:r w:rsidR="00626BC5" w:rsidRPr="00C00255">
        <w:t>) metų;</w:t>
      </w:r>
      <w:r w:rsidRPr="00C00255">
        <w:t xml:space="preserve"> </w:t>
      </w:r>
    </w:p>
    <w:p w:rsidR="002421D6" w:rsidRPr="00C00255" w:rsidRDefault="009E56A8" w:rsidP="00321748">
      <w:pPr>
        <w:pStyle w:val="ListParagraph"/>
        <w:numPr>
          <w:ilvl w:val="0"/>
          <w:numId w:val="7"/>
        </w:numPr>
        <w:shd w:val="clear" w:color="auto" w:fill="FFFFFF"/>
        <w:tabs>
          <w:tab w:val="left" w:pos="993"/>
        </w:tabs>
        <w:ind w:left="0" w:firstLine="426"/>
      </w:pPr>
      <w:r w:rsidRPr="00C00255">
        <w:t>pagal BK 103 straipsnio 1 dalį</w:t>
      </w:r>
      <w:r w:rsidR="00DE456C" w:rsidRPr="00C00255">
        <w:rPr>
          <w:rFonts w:eastAsia="Calibri"/>
        </w:rPr>
        <w:t xml:space="preserve"> </w:t>
      </w:r>
      <w:r w:rsidRPr="00C00255">
        <w:t xml:space="preserve">– laisvės atėmimu 6 (šešeriems) metams; </w:t>
      </w:r>
    </w:p>
    <w:p w:rsidR="002421D6" w:rsidRPr="00C00255" w:rsidRDefault="009E56A8" w:rsidP="00321748">
      <w:pPr>
        <w:pStyle w:val="ListParagraph"/>
        <w:numPr>
          <w:ilvl w:val="0"/>
          <w:numId w:val="7"/>
        </w:numPr>
        <w:shd w:val="clear" w:color="auto" w:fill="FFFFFF"/>
        <w:tabs>
          <w:tab w:val="left" w:pos="993"/>
        </w:tabs>
        <w:ind w:left="0" w:firstLine="426"/>
      </w:pPr>
      <w:r w:rsidRPr="00C00255">
        <w:t>pagal BK 111 straipsnio 1 dalį</w:t>
      </w:r>
      <w:r w:rsidR="00DE456C" w:rsidRPr="00C00255">
        <w:rPr>
          <w:rFonts w:eastAsia="Calibri"/>
        </w:rPr>
        <w:t xml:space="preserve"> </w:t>
      </w:r>
      <w:r w:rsidRPr="00C00255">
        <w:t>– laisvės atėmimu 6 (šešeriems) metams;</w:t>
      </w:r>
    </w:p>
    <w:p w:rsidR="009E56A8" w:rsidRPr="00C00255" w:rsidRDefault="009E56A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ED4872" w:rsidRPr="00C00255" w:rsidRDefault="00626BC5" w:rsidP="00CB1568">
      <w:pPr>
        <w:spacing w:after="120"/>
        <w:ind w:firstLine="992"/>
      </w:pPr>
      <w:r w:rsidRPr="00C00255">
        <w:t xml:space="preserve">Vadovaujantis BK 63 straipsnio 5 dalies 1 punktu, paskirtos bausmės subendrintos apėmimo būdu ir </w:t>
      </w:r>
      <w:r w:rsidR="00385BC9">
        <w:t>M. G.</w:t>
      </w:r>
      <w:r w:rsidRPr="00C00255">
        <w:t xml:space="preserve"> galutinė subendrinta bausmė paskirta laisvės atėmimas </w:t>
      </w:r>
      <w:r w:rsidR="009E56A8" w:rsidRPr="00C00255">
        <w:t xml:space="preserve">12 </w:t>
      </w:r>
      <w:r w:rsidR="00ED4872" w:rsidRPr="00C00255">
        <w:t>(</w:t>
      </w:r>
      <w:r w:rsidR="009E56A8" w:rsidRPr="00C00255">
        <w:t>dvylikai</w:t>
      </w:r>
      <w:r w:rsidRPr="00C00255">
        <w:t xml:space="preserve">) metų, bausmę atliekant pataisos namuose. </w:t>
      </w:r>
    </w:p>
    <w:p w:rsidR="00ED4872" w:rsidRPr="00C00255" w:rsidRDefault="00385BC9" w:rsidP="00321748">
      <w:pPr>
        <w:pStyle w:val="ListParagraph"/>
        <w:numPr>
          <w:ilvl w:val="0"/>
          <w:numId w:val="9"/>
        </w:numPr>
        <w:ind w:left="992" w:hanging="567"/>
      </w:pPr>
      <w:r>
        <w:rPr>
          <w:b/>
        </w:rPr>
        <w:t>J. Č.</w:t>
      </w:r>
      <w:r w:rsidR="00ED4872" w:rsidRPr="00C00255">
        <w:t xml:space="preserve"> pripažintas</w:t>
      </w:r>
      <w:r w:rsidR="008A4611" w:rsidRPr="00C00255">
        <w:t xml:space="preserve"> kaltu</w:t>
      </w:r>
      <w:r w:rsidR="00ED4872" w:rsidRPr="00C00255">
        <w:t xml:space="preserve"> </w:t>
      </w:r>
      <w:r w:rsidR="009E56A8" w:rsidRPr="00C00255">
        <w:t>ir nubaustas</w:t>
      </w:r>
      <w:r w:rsidR="00ED4872" w:rsidRPr="00C00255">
        <w:t xml:space="preserve">: </w:t>
      </w:r>
    </w:p>
    <w:p w:rsidR="002421D6" w:rsidRPr="00C00255" w:rsidRDefault="002421D6" w:rsidP="00321748">
      <w:pPr>
        <w:pStyle w:val="ListParagraph"/>
        <w:numPr>
          <w:ilvl w:val="0"/>
          <w:numId w:val="7"/>
        </w:numPr>
        <w:shd w:val="clear" w:color="auto" w:fill="FFFFFF"/>
        <w:tabs>
          <w:tab w:val="left" w:pos="993"/>
        </w:tabs>
        <w:ind w:left="0" w:firstLine="426"/>
      </w:pPr>
      <w:r w:rsidRPr="00C00255">
        <w:t xml:space="preserve">pagal BK 100 straipsnį – laisvės atėmimu 6 (šešeriems) metams; </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101 straipsnį</w:t>
      </w:r>
      <w:r w:rsidR="009E56A8" w:rsidRPr="00C00255">
        <w:t xml:space="preserve"> – laisvės atėmimu 10 (dešimčiai) metų;</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103 straipsnio 1 dalį</w:t>
      </w:r>
      <w:r w:rsidR="009E56A8" w:rsidRPr="00C00255">
        <w:t xml:space="preserve"> – laisvės atėmimu </w:t>
      </w:r>
      <w:r w:rsidR="008A4611" w:rsidRPr="00C00255">
        <w:t>6 (šešeriems) metams</w:t>
      </w:r>
      <w:r w:rsidR="009E56A8" w:rsidRPr="00C00255">
        <w:t>;</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111 straipsnio 1 dalį</w:t>
      </w:r>
      <w:r w:rsidR="000C727C" w:rsidRPr="00C00255">
        <w:t xml:space="preserve"> </w:t>
      </w:r>
      <w:r w:rsidR="009E56A8" w:rsidRPr="00C00255">
        <w:t>– laisvės atėmimu 6 (šešeriems) metams;</w:t>
      </w:r>
    </w:p>
    <w:p w:rsidR="009E56A8" w:rsidRPr="00C00255" w:rsidRDefault="009E56A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ED4872" w:rsidRPr="00C00255" w:rsidRDefault="00ED4872" w:rsidP="002421D6">
      <w:pPr>
        <w:spacing w:after="120"/>
        <w:ind w:firstLine="992"/>
      </w:pPr>
      <w:r w:rsidRPr="00C00255">
        <w:t xml:space="preserve">Vadovaujantis BK 63 straipsnio 5 dalies 1 punktu, paskirtos bausmės subendrintos apėmimo būdu ir </w:t>
      </w:r>
      <w:r w:rsidR="00385BC9">
        <w:t>J. Č.</w:t>
      </w:r>
      <w:r w:rsidRPr="00C00255">
        <w:t xml:space="preserve"> galutinė subendrinta bausmė paskirta laisvės atėmimas </w:t>
      </w:r>
      <w:r w:rsidR="008A4611" w:rsidRPr="00C00255">
        <w:t xml:space="preserve">10 </w:t>
      </w:r>
      <w:r w:rsidRPr="00C00255">
        <w:t>(</w:t>
      </w:r>
      <w:r w:rsidR="008A4611" w:rsidRPr="00C00255">
        <w:t>dešimčiai</w:t>
      </w:r>
      <w:r w:rsidRPr="00C00255">
        <w:t xml:space="preserve">) metų, bausmę atliekant pataisos namuose. </w:t>
      </w:r>
    </w:p>
    <w:p w:rsidR="00ED4872" w:rsidRPr="00C00255" w:rsidRDefault="00385BC9" w:rsidP="00321748">
      <w:pPr>
        <w:pStyle w:val="ListParagraph"/>
        <w:numPr>
          <w:ilvl w:val="0"/>
          <w:numId w:val="9"/>
        </w:numPr>
        <w:ind w:left="992" w:hanging="567"/>
      </w:pPr>
      <w:r>
        <w:rPr>
          <w:b/>
        </w:rPr>
        <w:t>N. D.</w:t>
      </w:r>
      <w:r w:rsidR="00ED4872" w:rsidRPr="00C00255">
        <w:t xml:space="preserve"> pripažintas kaltu ir nubaustas: </w:t>
      </w:r>
    </w:p>
    <w:p w:rsidR="002421D6" w:rsidRPr="00C00255" w:rsidRDefault="002421D6" w:rsidP="00321748">
      <w:pPr>
        <w:pStyle w:val="ListParagraph"/>
        <w:numPr>
          <w:ilvl w:val="0"/>
          <w:numId w:val="7"/>
        </w:numPr>
        <w:shd w:val="clear" w:color="auto" w:fill="FFFFFF"/>
        <w:tabs>
          <w:tab w:val="left" w:pos="993"/>
        </w:tabs>
        <w:ind w:left="0" w:firstLine="426"/>
      </w:pPr>
      <w:r w:rsidRPr="00C00255">
        <w:t xml:space="preserve">pagal BK 100 straipsnį – laisvės </w:t>
      </w:r>
      <w:r w:rsidR="008A4611" w:rsidRPr="00C00255">
        <w:t>atėmimu 10 (dešimčiai) metų;</w:t>
      </w:r>
    </w:p>
    <w:p w:rsidR="002421D6" w:rsidRPr="00C00255" w:rsidRDefault="008A4611" w:rsidP="00321748">
      <w:pPr>
        <w:pStyle w:val="ListParagraph"/>
        <w:numPr>
          <w:ilvl w:val="0"/>
          <w:numId w:val="7"/>
        </w:numPr>
        <w:shd w:val="clear" w:color="auto" w:fill="FFFFFF"/>
        <w:tabs>
          <w:tab w:val="left" w:pos="993"/>
        </w:tabs>
        <w:ind w:left="0" w:firstLine="426"/>
      </w:pPr>
      <w:r w:rsidRPr="00C00255">
        <w:t>pagal BK 101 straipsnį</w:t>
      </w:r>
      <w:r w:rsidR="00DE456C" w:rsidRPr="00C00255">
        <w:rPr>
          <w:rFonts w:eastAsia="Calibri"/>
        </w:rPr>
        <w:t xml:space="preserve"> </w:t>
      </w:r>
      <w:r w:rsidRPr="00C00255">
        <w:t>– laisvės atėmimu 10 (dešimčiai) metų;</w:t>
      </w:r>
    </w:p>
    <w:p w:rsidR="002421D6" w:rsidRPr="00C00255" w:rsidRDefault="008A4611" w:rsidP="00321748">
      <w:pPr>
        <w:pStyle w:val="ListParagraph"/>
        <w:numPr>
          <w:ilvl w:val="0"/>
          <w:numId w:val="7"/>
        </w:numPr>
        <w:shd w:val="clear" w:color="auto" w:fill="FFFFFF"/>
        <w:tabs>
          <w:tab w:val="left" w:pos="993"/>
        </w:tabs>
        <w:ind w:left="0" w:firstLine="426"/>
      </w:pPr>
      <w:r w:rsidRPr="00C00255">
        <w:t xml:space="preserve">pagal BK 103 straipsnio 1 dalį – laisvės atėmimu 6 (šešeriems) metams; </w:t>
      </w:r>
    </w:p>
    <w:p w:rsidR="002421D6" w:rsidRPr="00C00255" w:rsidRDefault="008A4611" w:rsidP="00321748">
      <w:pPr>
        <w:pStyle w:val="ListParagraph"/>
        <w:numPr>
          <w:ilvl w:val="0"/>
          <w:numId w:val="7"/>
        </w:numPr>
        <w:shd w:val="clear" w:color="auto" w:fill="FFFFFF"/>
        <w:tabs>
          <w:tab w:val="left" w:pos="993"/>
        </w:tabs>
        <w:ind w:left="0" w:firstLine="426"/>
      </w:pPr>
      <w:r w:rsidRPr="00C00255">
        <w:t>pagal BK 111 straipsnio 1 dalį</w:t>
      </w:r>
      <w:r w:rsidR="00DE456C" w:rsidRPr="00C00255">
        <w:rPr>
          <w:rFonts w:eastAsia="Calibri"/>
        </w:rPr>
        <w:t xml:space="preserve"> </w:t>
      </w:r>
      <w:r w:rsidRPr="00C00255">
        <w:t>– laisvės atėmimu 6 (šešeriems) metams;</w:t>
      </w:r>
    </w:p>
    <w:p w:rsidR="008A4611" w:rsidRPr="00C00255" w:rsidRDefault="008A4611"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ED4872" w:rsidRPr="00C00255" w:rsidRDefault="00ED4872" w:rsidP="002421D6">
      <w:pPr>
        <w:spacing w:after="120"/>
        <w:ind w:firstLine="992"/>
      </w:pPr>
      <w:r w:rsidRPr="00C00255">
        <w:t xml:space="preserve">Vadovaujantis BK 63 straipsnio 5 dalies 1 punktu, paskirtos bausmės subendrintos apėmimo būdu ir </w:t>
      </w:r>
      <w:r w:rsidR="00385BC9">
        <w:t>N. D.</w:t>
      </w:r>
      <w:r w:rsidRPr="00C00255">
        <w:t xml:space="preserve"> galutinė subendrinta bausmė paskirta laisvės atėmimas </w:t>
      </w:r>
      <w:r w:rsidR="008A4611" w:rsidRPr="00C00255">
        <w:t>10</w:t>
      </w:r>
      <w:r w:rsidRPr="00C00255">
        <w:t xml:space="preserve"> (</w:t>
      </w:r>
      <w:r w:rsidR="008A4611" w:rsidRPr="00C00255">
        <w:t>dešimčiai</w:t>
      </w:r>
      <w:r w:rsidRPr="00C00255">
        <w:t xml:space="preserve">) metų, bausmę atliekant pataisos namuose. </w:t>
      </w:r>
    </w:p>
    <w:p w:rsidR="00ED4872" w:rsidRPr="00C00255" w:rsidRDefault="00385BC9" w:rsidP="00321748">
      <w:pPr>
        <w:pStyle w:val="ListParagraph"/>
        <w:numPr>
          <w:ilvl w:val="0"/>
          <w:numId w:val="9"/>
        </w:numPr>
        <w:ind w:left="992" w:hanging="567"/>
      </w:pPr>
      <w:r>
        <w:rPr>
          <w:b/>
        </w:rPr>
        <w:t>V. S. 1</w:t>
      </w:r>
      <w:r w:rsidR="00ED4872" w:rsidRPr="00C00255">
        <w:t xml:space="preserve"> </w:t>
      </w:r>
      <w:r w:rsidR="008A4611" w:rsidRPr="00C00255">
        <w:t>pripažintas kaltu ir nubaustas</w:t>
      </w:r>
      <w:r w:rsidR="00ED4872" w:rsidRPr="00C00255">
        <w:t xml:space="preserve">: </w:t>
      </w:r>
    </w:p>
    <w:p w:rsidR="002421D6" w:rsidRPr="00C00255" w:rsidRDefault="002421D6"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laisvės atėmimu 10 (dešimčiai) metų;</w:t>
      </w:r>
    </w:p>
    <w:p w:rsidR="002421D6" w:rsidRPr="00C00255" w:rsidRDefault="008A4611" w:rsidP="00321748">
      <w:pPr>
        <w:pStyle w:val="ListParagraph"/>
        <w:numPr>
          <w:ilvl w:val="0"/>
          <w:numId w:val="7"/>
        </w:numPr>
        <w:shd w:val="clear" w:color="auto" w:fill="FFFFFF"/>
        <w:tabs>
          <w:tab w:val="left" w:pos="993"/>
        </w:tabs>
        <w:ind w:left="0" w:firstLine="426"/>
      </w:pPr>
      <w:r w:rsidRPr="00C00255">
        <w:t>pagal BK 101 straipsnį</w:t>
      </w:r>
      <w:r w:rsidR="00DE456C" w:rsidRPr="00C00255">
        <w:rPr>
          <w:rFonts w:eastAsia="Calibri"/>
        </w:rPr>
        <w:t xml:space="preserve"> </w:t>
      </w:r>
      <w:r w:rsidRPr="00C00255">
        <w:t>– laisvės atėmimu 10 (dešimčiai) metų;</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103 straipsnio 1 dalį</w:t>
      </w:r>
      <w:r w:rsidR="008A4611" w:rsidRPr="00C00255">
        <w:t xml:space="preserve"> – </w:t>
      </w:r>
      <w:r w:rsidR="00FF24A1" w:rsidRPr="00C00255">
        <w:t>laisvės </w:t>
      </w:r>
      <w:r w:rsidR="008A4611" w:rsidRPr="00C00255">
        <w:t xml:space="preserve">atėmimu 6 (šešeriems) metams; </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111 straipsnio 1 dalį</w:t>
      </w:r>
      <w:r w:rsidR="000C727C" w:rsidRPr="00C00255">
        <w:t xml:space="preserve"> </w:t>
      </w:r>
      <w:r w:rsidR="008A4611" w:rsidRPr="00C00255">
        <w:t>– laisvės atėmimu 6 (šešeriems) metams;</w:t>
      </w:r>
    </w:p>
    <w:p w:rsidR="00ED4872" w:rsidRPr="00C00255" w:rsidRDefault="008A4611" w:rsidP="00321748">
      <w:pPr>
        <w:pStyle w:val="ListParagraph"/>
        <w:numPr>
          <w:ilvl w:val="0"/>
          <w:numId w:val="7"/>
        </w:numPr>
        <w:shd w:val="clear" w:color="auto" w:fill="FFFFFF"/>
        <w:tabs>
          <w:tab w:val="left" w:pos="993"/>
        </w:tabs>
        <w:ind w:left="0" w:firstLine="426"/>
      </w:pPr>
      <w:r w:rsidRPr="00C00255">
        <w:lastRenderedPageBreak/>
        <w:t>pagal BK 112 straipsnį – laisvės atėmimu 5 (penkeriems) metams</w:t>
      </w:r>
      <w:r w:rsidR="00ED4872" w:rsidRPr="00C00255">
        <w:t>.</w:t>
      </w:r>
    </w:p>
    <w:p w:rsidR="00ED4872" w:rsidRPr="00C00255" w:rsidRDefault="00ED4872" w:rsidP="002421D6">
      <w:pPr>
        <w:spacing w:after="120"/>
        <w:ind w:firstLine="992"/>
      </w:pPr>
      <w:r w:rsidRPr="00C00255">
        <w:t xml:space="preserve">Vadovaujantis BK 63 straipsnio 5 dalies 1 punktu, paskirtos bausmės subendrintos apėmimo būdu ir </w:t>
      </w:r>
      <w:r w:rsidR="00385BC9">
        <w:t>V. S. 1</w:t>
      </w:r>
      <w:r w:rsidRPr="00C00255">
        <w:t xml:space="preserve"> galutinė subendrinta bausmė paskirta laisvės atėmimas </w:t>
      </w:r>
      <w:r w:rsidR="008A4611" w:rsidRPr="00C00255">
        <w:t>10</w:t>
      </w:r>
      <w:r w:rsidRPr="00C00255">
        <w:t xml:space="preserve"> (</w:t>
      </w:r>
      <w:r w:rsidR="008A4611" w:rsidRPr="00C00255">
        <w:t>dešimčiai</w:t>
      </w:r>
      <w:r w:rsidRPr="00C00255">
        <w:t xml:space="preserve">) metų, bausmę atliekant pataisos namuose. </w:t>
      </w:r>
    </w:p>
    <w:p w:rsidR="00ED4872" w:rsidRPr="00C00255" w:rsidRDefault="00385BC9" w:rsidP="00321748">
      <w:pPr>
        <w:pStyle w:val="ListParagraph"/>
        <w:numPr>
          <w:ilvl w:val="0"/>
          <w:numId w:val="9"/>
        </w:numPr>
        <w:ind w:left="992" w:hanging="567"/>
      </w:pPr>
      <w:r>
        <w:rPr>
          <w:b/>
        </w:rPr>
        <w:t>V. K. 1</w:t>
      </w:r>
      <w:r w:rsidR="00ED4872" w:rsidRPr="00C00255">
        <w:t xml:space="preserve"> </w:t>
      </w:r>
      <w:r w:rsidR="000E1108" w:rsidRPr="00C00255">
        <w:t>pripažintas kaltu ir nubaustas</w:t>
      </w:r>
      <w:r w:rsidR="00ED4872" w:rsidRPr="00C00255">
        <w:t xml:space="preserve">: </w:t>
      </w:r>
    </w:p>
    <w:p w:rsidR="002421D6" w:rsidRPr="00C00255" w:rsidRDefault="002421D6" w:rsidP="00321748">
      <w:pPr>
        <w:pStyle w:val="ListParagraph"/>
        <w:numPr>
          <w:ilvl w:val="0"/>
          <w:numId w:val="7"/>
        </w:numPr>
        <w:shd w:val="clear" w:color="auto" w:fill="FFFFFF"/>
        <w:tabs>
          <w:tab w:val="left" w:pos="993"/>
        </w:tabs>
        <w:ind w:left="0" w:firstLine="426"/>
      </w:pPr>
      <w:r w:rsidRPr="00C00255">
        <w:t xml:space="preserve">pagal BK 100 straipsnį – laisvės atėmimu </w:t>
      </w:r>
      <w:r w:rsidR="000E1108" w:rsidRPr="00C00255">
        <w:t>12 (dvylikai) metų;</w:t>
      </w:r>
    </w:p>
    <w:p w:rsidR="002421D6" w:rsidRPr="00C00255" w:rsidRDefault="000E1108" w:rsidP="00321748">
      <w:pPr>
        <w:pStyle w:val="ListParagraph"/>
        <w:numPr>
          <w:ilvl w:val="0"/>
          <w:numId w:val="7"/>
        </w:numPr>
        <w:shd w:val="clear" w:color="auto" w:fill="FFFFFF"/>
        <w:tabs>
          <w:tab w:val="left" w:pos="993"/>
        </w:tabs>
        <w:ind w:left="0" w:firstLine="426"/>
      </w:pPr>
      <w:r w:rsidRPr="00C00255">
        <w:t>pagal BK 101 straipsnį</w:t>
      </w:r>
      <w:r w:rsidR="00DE456C" w:rsidRPr="00C00255">
        <w:rPr>
          <w:rFonts w:eastAsia="Calibri"/>
        </w:rPr>
        <w:t xml:space="preserve"> </w:t>
      </w:r>
      <w:r w:rsidRPr="00C00255">
        <w:t>–</w:t>
      </w:r>
      <w:r w:rsidR="000C727C" w:rsidRPr="00C00255">
        <w:t xml:space="preserve"> </w:t>
      </w:r>
      <w:r w:rsidRPr="00C00255">
        <w:t>laisvės atėmimu 12 (dvylikai) metų;</w:t>
      </w:r>
      <w:r w:rsidR="000C727C" w:rsidRPr="00C00255">
        <w:t xml:space="preserve"> </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103 straipsnio 1 dalį</w:t>
      </w:r>
      <w:r w:rsidR="000E1108" w:rsidRPr="00C00255">
        <w:t xml:space="preserve"> – laisvės atėmimu 8 (aštuoneriems) metams; </w:t>
      </w:r>
    </w:p>
    <w:p w:rsidR="002421D6" w:rsidRPr="00C00255" w:rsidRDefault="00DE456C" w:rsidP="00321748">
      <w:pPr>
        <w:pStyle w:val="ListParagraph"/>
        <w:numPr>
          <w:ilvl w:val="0"/>
          <w:numId w:val="7"/>
        </w:numPr>
        <w:shd w:val="clear" w:color="auto" w:fill="FFFFFF"/>
        <w:tabs>
          <w:tab w:val="left" w:pos="993"/>
        </w:tabs>
        <w:ind w:left="0" w:firstLine="426"/>
      </w:pPr>
      <w:r w:rsidRPr="00C00255">
        <w:t>pagal BK 111 straipsnio 1 dalį</w:t>
      </w:r>
      <w:r w:rsidR="000C727C" w:rsidRPr="00C00255">
        <w:t xml:space="preserve"> </w:t>
      </w:r>
      <w:r w:rsidR="000E1108" w:rsidRPr="00C00255">
        <w:t>– laisvės atėmimu 6 (šešeriems) metams;</w:t>
      </w:r>
    </w:p>
    <w:p w:rsidR="000E1108" w:rsidRPr="00C00255" w:rsidRDefault="000E110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0E1108" w:rsidRPr="00C00255" w:rsidRDefault="00ED4872" w:rsidP="002421D6">
      <w:pPr>
        <w:spacing w:after="120"/>
        <w:ind w:firstLine="992"/>
      </w:pPr>
      <w:r w:rsidRPr="00C00255">
        <w:t xml:space="preserve">Vadovaujantis BK 63 straipsnio 5 dalies 1 punktu, paskirtos bausmės subendrintos apėmimo būdu ir </w:t>
      </w:r>
      <w:r w:rsidR="00385BC9">
        <w:t>V. K. 1</w:t>
      </w:r>
      <w:r w:rsidRPr="00C00255">
        <w:t xml:space="preserve"> galutinė subendrinta bausmė paskirta laisvės atėmimas </w:t>
      </w:r>
      <w:r w:rsidR="000E1108" w:rsidRPr="00C00255">
        <w:t>12</w:t>
      </w:r>
      <w:r w:rsidR="004662EF" w:rsidRPr="00C00255">
        <w:t xml:space="preserve"> (</w:t>
      </w:r>
      <w:r w:rsidR="000E1108" w:rsidRPr="00C00255">
        <w:t>dvylikai</w:t>
      </w:r>
      <w:r w:rsidRPr="00C00255">
        <w:t xml:space="preserve">) metų, bausmę atliekant pataisos namuose. </w:t>
      </w:r>
    </w:p>
    <w:p w:rsidR="004662EF" w:rsidRPr="00C00255" w:rsidRDefault="00385BC9" w:rsidP="00321748">
      <w:pPr>
        <w:pStyle w:val="ListParagraph"/>
        <w:numPr>
          <w:ilvl w:val="0"/>
          <w:numId w:val="9"/>
        </w:numPr>
        <w:ind w:left="992" w:hanging="567"/>
      </w:pPr>
      <w:r>
        <w:rPr>
          <w:b/>
        </w:rPr>
        <w:t>G. G.</w:t>
      </w:r>
      <w:r w:rsidR="004662EF" w:rsidRPr="00C00255">
        <w:rPr>
          <w:b/>
        </w:rPr>
        <w:t xml:space="preserve"> </w:t>
      </w:r>
      <w:r w:rsidR="000E1108" w:rsidRPr="00C00255">
        <w:t>pripažintas kaltu ir nubaustas</w:t>
      </w:r>
      <w:r w:rsidR="004662EF" w:rsidRPr="00C00255">
        <w:t xml:space="preserve">: </w:t>
      </w:r>
    </w:p>
    <w:p w:rsidR="00806422" w:rsidRPr="00C00255" w:rsidRDefault="00806422"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xml:space="preserve">– laisvės atėmimu </w:t>
      </w:r>
      <w:r w:rsidR="000E1108" w:rsidRPr="00C00255">
        <w:t>6 (šešeriems) metams;</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101 straipsnį –</w:t>
      </w:r>
      <w:r w:rsidR="000C727C" w:rsidRPr="00C00255">
        <w:t xml:space="preserve"> </w:t>
      </w:r>
      <w:r w:rsidRPr="00C00255">
        <w:t>laisvės atėmimu 12 (dvylikai) metų;</w:t>
      </w:r>
      <w:r w:rsidR="000C727C" w:rsidRPr="00C00255">
        <w:t xml:space="preserve"> </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103 straipsnio 1 dalį</w:t>
      </w:r>
      <w:r w:rsidR="00DE456C" w:rsidRPr="00C00255">
        <w:rPr>
          <w:rFonts w:eastAsia="Calibri"/>
        </w:rPr>
        <w:t xml:space="preserve"> </w:t>
      </w:r>
      <w:r w:rsidRPr="00C00255">
        <w:t xml:space="preserve">– laisvės atėmimu 6 (šešeriems) metams; </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111 straipsnio 1 dalį</w:t>
      </w:r>
      <w:r w:rsidR="00DE456C" w:rsidRPr="00C00255">
        <w:rPr>
          <w:rFonts w:eastAsia="Calibri"/>
        </w:rPr>
        <w:t xml:space="preserve"> </w:t>
      </w:r>
      <w:r w:rsidRPr="00C00255">
        <w:t>– laisvės atėmimu 6 (šešeriems) metams;</w:t>
      </w:r>
    </w:p>
    <w:p w:rsidR="000E1108" w:rsidRPr="00C00255" w:rsidRDefault="000E110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0E1108" w:rsidRPr="00C00255" w:rsidRDefault="004662EF" w:rsidP="00806422">
      <w:pPr>
        <w:spacing w:after="120"/>
        <w:ind w:firstLine="992"/>
      </w:pPr>
      <w:r w:rsidRPr="00C00255">
        <w:t xml:space="preserve">Vadovaujantis BK 63 straipsnio 5 dalies 1 punktu, paskirtos bausmės subendrintos apėmimo būdu ir </w:t>
      </w:r>
      <w:r w:rsidR="00385BC9">
        <w:t>G. G.</w:t>
      </w:r>
      <w:r w:rsidRPr="00C00255">
        <w:t xml:space="preserve"> galutinė subendrinta bausmė paskirta laisvės atėmimas</w:t>
      </w:r>
      <w:r w:rsidR="000E1108" w:rsidRPr="00C00255">
        <w:t xml:space="preserve"> 12</w:t>
      </w:r>
      <w:r w:rsidRPr="00C00255">
        <w:t xml:space="preserve"> (</w:t>
      </w:r>
      <w:r w:rsidR="000E1108" w:rsidRPr="00C00255">
        <w:t>dvylikai</w:t>
      </w:r>
      <w:r w:rsidRPr="00C00255">
        <w:t xml:space="preserve">) metų, bausmę atliekant pataisos namuose. </w:t>
      </w:r>
    </w:p>
    <w:p w:rsidR="004662EF" w:rsidRPr="00C00255" w:rsidRDefault="00385BC9" w:rsidP="00321748">
      <w:pPr>
        <w:pStyle w:val="ListParagraph"/>
        <w:numPr>
          <w:ilvl w:val="0"/>
          <w:numId w:val="9"/>
        </w:numPr>
        <w:ind w:left="992" w:hanging="567"/>
        <w:rPr>
          <w:b/>
        </w:rPr>
      </w:pPr>
      <w:r>
        <w:rPr>
          <w:b/>
        </w:rPr>
        <w:t>V. S. 2</w:t>
      </w:r>
      <w:r w:rsidR="000E1108" w:rsidRPr="00C00255">
        <w:rPr>
          <w:b/>
        </w:rPr>
        <w:t xml:space="preserve"> </w:t>
      </w:r>
      <w:r w:rsidR="000E1108" w:rsidRPr="00C00255">
        <w:t>pripažintas kaltu ir nubaustas</w:t>
      </w:r>
      <w:r w:rsidR="004662EF" w:rsidRPr="00C00255">
        <w:t xml:space="preserve">: </w:t>
      </w:r>
    </w:p>
    <w:p w:rsidR="00806422" w:rsidRPr="00C00255" w:rsidRDefault="00806422" w:rsidP="00321748">
      <w:pPr>
        <w:pStyle w:val="ListParagraph"/>
        <w:numPr>
          <w:ilvl w:val="0"/>
          <w:numId w:val="7"/>
        </w:numPr>
        <w:shd w:val="clear" w:color="auto" w:fill="FFFFFF"/>
        <w:tabs>
          <w:tab w:val="left" w:pos="993"/>
        </w:tabs>
        <w:ind w:left="0" w:firstLine="426"/>
      </w:pPr>
      <w:r w:rsidRPr="00C00255">
        <w:t>pagal BK 100 straipsnį – laisvės atėmimu 6 (šešeriems) metams;</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101 straipsnį</w:t>
      </w:r>
      <w:r w:rsidR="00DE456C" w:rsidRPr="00C00255">
        <w:rPr>
          <w:rFonts w:eastAsia="Calibri"/>
        </w:rPr>
        <w:t xml:space="preserve"> </w:t>
      </w:r>
      <w:r w:rsidRPr="00C00255">
        <w:t>–</w:t>
      </w:r>
      <w:r w:rsidR="000C727C" w:rsidRPr="00C00255">
        <w:t xml:space="preserve"> </w:t>
      </w:r>
      <w:r w:rsidRPr="00C00255">
        <w:t>laisvės atėmimu 12 (dvylikai) metų;</w:t>
      </w:r>
      <w:r w:rsidR="000C727C" w:rsidRPr="00C00255">
        <w:t xml:space="preserve"> </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103 straipsnio 1 dalį</w:t>
      </w:r>
      <w:r w:rsidR="00DE456C" w:rsidRPr="00C00255">
        <w:rPr>
          <w:rFonts w:eastAsia="Calibri"/>
        </w:rPr>
        <w:t xml:space="preserve"> </w:t>
      </w:r>
      <w:r w:rsidRPr="00C00255">
        <w:t xml:space="preserve">– laisvės atėmimu 6 (šešeriems) metams; </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111 straipsnio 1 dalį</w:t>
      </w:r>
      <w:r w:rsidR="00DE456C" w:rsidRPr="00C00255">
        <w:rPr>
          <w:rFonts w:eastAsia="Calibri"/>
        </w:rPr>
        <w:t xml:space="preserve"> </w:t>
      </w:r>
      <w:r w:rsidRPr="00C00255">
        <w:t>– laisvės atėmimu 6 (šešeriems) metams;</w:t>
      </w:r>
    </w:p>
    <w:p w:rsidR="000E1108" w:rsidRPr="00C00255" w:rsidRDefault="000E110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r w:rsidRPr="00C00255">
        <w:tab/>
      </w:r>
      <w:r w:rsidRPr="00C00255">
        <w:tab/>
      </w:r>
    </w:p>
    <w:p w:rsidR="000E1108" w:rsidRPr="00C00255" w:rsidRDefault="004662EF" w:rsidP="00806422">
      <w:pPr>
        <w:shd w:val="clear" w:color="auto" w:fill="FFFFFF"/>
        <w:spacing w:after="120"/>
        <w:ind w:firstLine="992"/>
      </w:pPr>
      <w:r w:rsidRPr="00C00255">
        <w:t xml:space="preserve">Vadovaujantis BK 63 straipsnio 5 dalies 1 punktu, paskirtos bausmės subendrintos apėmimo būdu ir </w:t>
      </w:r>
      <w:r w:rsidR="002451F2">
        <w:t>V. S. 2</w:t>
      </w:r>
      <w:r w:rsidRPr="00C00255">
        <w:t xml:space="preserve"> galutinė subendrinta bausmė paskirta laisvės atėmimas </w:t>
      </w:r>
      <w:r w:rsidR="000E1108" w:rsidRPr="00C00255">
        <w:t>12</w:t>
      </w:r>
      <w:r w:rsidRPr="00C00255">
        <w:t xml:space="preserve"> (</w:t>
      </w:r>
      <w:r w:rsidR="000E1108" w:rsidRPr="00C00255">
        <w:t>dvylikai</w:t>
      </w:r>
      <w:r w:rsidRPr="00C00255">
        <w:t xml:space="preserve">) metų, bausmę atliekant pataisos namuose. </w:t>
      </w:r>
    </w:p>
    <w:p w:rsidR="000E1108" w:rsidRPr="00C00255" w:rsidRDefault="002451F2" w:rsidP="00321748">
      <w:pPr>
        <w:pStyle w:val="ListParagraph"/>
        <w:numPr>
          <w:ilvl w:val="0"/>
          <w:numId w:val="9"/>
        </w:numPr>
        <w:shd w:val="clear" w:color="auto" w:fill="FFFFFF"/>
        <w:ind w:left="992" w:hanging="567"/>
      </w:pPr>
      <w:r>
        <w:rPr>
          <w:b/>
        </w:rPr>
        <w:t>V. D.</w:t>
      </w:r>
      <w:r w:rsidR="000E1108" w:rsidRPr="00C00255">
        <w:rPr>
          <w:b/>
        </w:rPr>
        <w:t xml:space="preserve"> </w:t>
      </w:r>
      <w:r w:rsidR="000E1108" w:rsidRPr="00C00255">
        <w:t>pripažintas kaltu ir nubaustas:</w:t>
      </w:r>
    </w:p>
    <w:p w:rsidR="00806422" w:rsidRPr="00C00255" w:rsidRDefault="00806422"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laisvės atėmimu 6 (šešeriems) metams;</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101 straipsnį –</w:t>
      </w:r>
      <w:r w:rsidR="000C727C" w:rsidRPr="00C00255">
        <w:t xml:space="preserve"> </w:t>
      </w:r>
      <w:r w:rsidRPr="00C00255">
        <w:t>laisvės atėmimu 12 (dvylikai) metų;</w:t>
      </w:r>
      <w:r w:rsidR="000C727C" w:rsidRPr="00C00255">
        <w:t xml:space="preserve"> </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103 straipsnio 1 dalį</w:t>
      </w:r>
      <w:r w:rsidR="00DE456C" w:rsidRPr="00C00255">
        <w:rPr>
          <w:rFonts w:eastAsia="Calibri"/>
        </w:rPr>
        <w:t xml:space="preserve"> </w:t>
      </w:r>
      <w:r w:rsidRPr="00C00255">
        <w:t xml:space="preserve">– laisvės atėmimu 6 (šešeriems) metams; </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111 straipsnio 1 dalį</w:t>
      </w:r>
      <w:r w:rsidR="00DE456C" w:rsidRPr="00C00255">
        <w:rPr>
          <w:rFonts w:eastAsia="Calibri"/>
        </w:rPr>
        <w:t xml:space="preserve"> </w:t>
      </w:r>
      <w:r w:rsidRPr="00C00255">
        <w:t>– laisvės atėmimu 6 (šešeriems) metams;</w:t>
      </w:r>
    </w:p>
    <w:p w:rsidR="000E1108" w:rsidRPr="00C00255" w:rsidRDefault="000E110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4662EF" w:rsidRPr="00C00255" w:rsidRDefault="004662EF" w:rsidP="00806422">
      <w:pPr>
        <w:shd w:val="clear" w:color="auto" w:fill="FFFFFF"/>
        <w:spacing w:after="120"/>
        <w:ind w:firstLine="992"/>
      </w:pPr>
      <w:r w:rsidRPr="00C00255">
        <w:t xml:space="preserve">Vadovaujantis BK 63 straipsnio 5 dalies 1 punktu, paskirtos bausmės subendrintos apėmimo būdu ir </w:t>
      </w:r>
      <w:r w:rsidR="002451F2">
        <w:t>V. D.</w:t>
      </w:r>
      <w:r w:rsidRPr="00C00255">
        <w:t xml:space="preserve"> galutinė subendrinta bausmė paskirta laisvės atėmimas </w:t>
      </w:r>
      <w:r w:rsidR="000E1108" w:rsidRPr="00C00255">
        <w:t xml:space="preserve">12 </w:t>
      </w:r>
      <w:r w:rsidRPr="00C00255">
        <w:t>(</w:t>
      </w:r>
      <w:r w:rsidR="000E1108" w:rsidRPr="00C00255">
        <w:t>dvylikai</w:t>
      </w:r>
      <w:r w:rsidRPr="00C00255">
        <w:t xml:space="preserve">) metų, bausmę atliekant pataisos namuose. </w:t>
      </w:r>
    </w:p>
    <w:p w:rsidR="004662EF" w:rsidRPr="00C00255" w:rsidRDefault="006036E7" w:rsidP="00321748">
      <w:pPr>
        <w:pStyle w:val="ListParagraph"/>
        <w:numPr>
          <w:ilvl w:val="0"/>
          <w:numId w:val="9"/>
        </w:numPr>
        <w:ind w:left="992" w:hanging="567"/>
      </w:pPr>
      <w:r>
        <w:rPr>
          <w:b/>
        </w:rPr>
        <w:t>B. S.</w:t>
      </w:r>
      <w:r w:rsidR="004662EF" w:rsidRPr="00C00255">
        <w:rPr>
          <w:b/>
        </w:rPr>
        <w:t xml:space="preserve"> </w:t>
      </w:r>
      <w:r w:rsidR="000E1108" w:rsidRPr="00C00255">
        <w:t>pripažintas kaltu ir nubaustas</w:t>
      </w:r>
      <w:r w:rsidR="004662EF" w:rsidRPr="00C00255">
        <w:t xml:space="preserve">: </w:t>
      </w:r>
    </w:p>
    <w:p w:rsidR="00806422" w:rsidRPr="00C00255" w:rsidRDefault="00806422"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laisvės atėmimu 6 (šešeriems) metams;</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101 straipsnį</w:t>
      </w:r>
      <w:r w:rsidR="00DE456C" w:rsidRPr="00C00255">
        <w:rPr>
          <w:rFonts w:eastAsia="Calibri"/>
        </w:rPr>
        <w:t xml:space="preserve"> </w:t>
      </w:r>
      <w:r w:rsidRPr="00C00255">
        <w:t>– laisvės atėmimu 10 (dešimčiai) metų;</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103 straipsnio 1 dalį</w:t>
      </w:r>
      <w:r w:rsidR="00DE456C" w:rsidRPr="00C00255">
        <w:rPr>
          <w:rFonts w:eastAsia="Calibri"/>
        </w:rPr>
        <w:t xml:space="preserve"> </w:t>
      </w:r>
      <w:r w:rsidRPr="00C00255">
        <w:t xml:space="preserve">– </w:t>
      </w:r>
      <w:r w:rsidR="00FF24A1" w:rsidRPr="00C00255">
        <w:t>laisvės </w:t>
      </w:r>
      <w:r w:rsidRPr="00C00255">
        <w:t xml:space="preserve">atėmimu 6 (šešeriems) metams; </w:t>
      </w:r>
    </w:p>
    <w:p w:rsidR="00806422" w:rsidRPr="00C00255" w:rsidRDefault="00DE456C" w:rsidP="00321748">
      <w:pPr>
        <w:pStyle w:val="ListParagraph"/>
        <w:numPr>
          <w:ilvl w:val="0"/>
          <w:numId w:val="7"/>
        </w:numPr>
        <w:shd w:val="clear" w:color="auto" w:fill="FFFFFF"/>
        <w:tabs>
          <w:tab w:val="left" w:pos="993"/>
        </w:tabs>
        <w:ind w:left="0" w:firstLine="426"/>
      </w:pPr>
      <w:r w:rsidRPr="00C00255">
        <w:t>pagal BK 111 straipsnio 1 dalį</w:t>
      </w:r>
      <w:r w:rsidR="000C727C" w:rsidRPr="00C00255">
        <w:t xml:space="preserve"> </w:t>
      </w:r>
      <w:r w:rsidR="000E1108" w:rsidRPr="00C00255">
        <w:t>– laisvės atėmimu 6 (šešeriems) metams;</w:t>
      </w:r>
    </w:p>
    <w:p w:rsidR="000E1108" w:rsidRPr="00C00255" w:rsidRDefault="000E110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4662EF" w:rsidRPr="00C00255" w:rsidRDefault="004662EF" w:rsidP="00806422">
      <w:pPr>
        <w:shd w:val="clear" w:color="auto" w:fill="FFFFFF"/>
        <w:spacing w:after="120"/>
        <w:ind w:firstLine="992"/>
      </w:pPr>
      <w:r w:rsidRPr="00C00255">
        <w:lastRenderedPageBreak/>
        <w:t xml:space="preserve">Vadovaujantis BK 63 straipsnio 5 dalies 1 punktu, paskirtos bausmės subendrintos apėmimo būdu ir </w:t>
      </w:r>
      <w:r w:rsidR="006036E7">
        <w:t>B. S.</w:t>
      </w:r>
      <w:r w:rsidRPr="00C00255">
        <w:t xml:space="preserve"> galutinė subendrinta bausmė paskirta laisvės atėmimas </w:t>
      </w:r>
      <w:r w:rsidR="000E1108" w:rsidRPr="00C00255">
        <w:t>10</w:t>
      </w:r>
      <w:r w:rsidRPr="00C00255">
        <w:t xml:space="preserve"> (</w:t>
      </w:r>
      <w:r w:rsidR="000E1108" w:rsidRPr="00C00255">
        <w:t>dešimčiai</w:t>
      </w:r>
      <w:r w:rsidRPr="00C00255">
        <w:t xml:space="preserve">) metų, bausmę atliekant pataisos namuose. </w:t>
      </w:r>
    </w:p>
    <w:p w:rsidR="0054653E" w:rsidRPr="00C00255" w:rsidRDefault="006036E7" w:rsidP="00321748">
      <w:pPr>
        <w:pStyle w:val="ListParagraph"/>
        <w:numPr>
          <w:ilvl w:val="0"/>
          <w:numId w:val="9"/>
        </w:numPr>
        <w:ind w:left="992" w:hanging="567"/>
      </w:pPr>
      <w:r>
        <w:rPr>
          <w:b/>
        </w:rPr>
        <w:t>V. S. 3</w:t>
      </w:r>
      <w:r w:rsidR="0054653E" w:rsidRPr="00C00255">
        <w:t xml:space="preserve"> </w:t>
      </w:r>
      <w:r w:rsidR="000E1108" w:rsidRPr="00C00255">
        <w:t>pripažintas kaltu ir nubaustas</w:t>
      </w:r>
      <w:r w:rsidR="0054653E" w:rsidRPr="00C00255">
        <w:t xml:space="preserve">: </w:t>
      </w:r>
    </w:p>
    <w:p w:rsidR="00806422" w:rsidRPr="00C00255" w:rsidRDefault="00806422"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laisvės atėmimu 6 (šešeriems) metams;</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101 straipsnį – laisvės atėmimu 10 (dešimčiai) metų;</w:t>
      </w:r>
    </w:p>
    <w:p w:rsidR="00806422" w:rsidRPr="00C00255" w:rsidRDefault="000E1108" w:rsidP="00321748">
      <w:pPr>
        <w:pStyle w:val="ListParagraph"/>
        <w:numPr>
          <w:ilvl w:val="0"/>
          <w:numId w:val="7"/>
        </w:numPr>
        <w:shd w:val="clear" w:color="auto" w:fill="FFFFFF"/>
        <w:tabs>
          <w:tab w:val="left" w:pos="993"/>
        </w:tabs>
        <w:ind w:left="0" w:firstLine="426"/>
      </w:pPr>
      <w:r w:rsidRPr="00C00255">
        <w:t xml:space="preserve">pagal BK 103 straipsnio 1 dalį – </w:t>
      </w:r>
      <w:r w:rsidR="00EE79D9" w:rsidRPr="00C00255">
        <w:t>laisvės </w:t>
      </w:r>
      <w:r w:rsidRPr="00C00255">
        <w:t xml:space="preserve">atėmimu 6 (šešeriems) metams; </w:t>
      </w:r>
    </w:p>
    <w:p w:rsidR="00806422" w:rsidRPr="00C00255" w:rsidRDefault="000E1108" w:rsidP="00321748">
      <w:pPr>
        <w:pStyle w:val="ListParagraph"/>
        <w:numPr>
          <w:ilvl w:val="0"/>
          <w:numId w:val="7"/>
        </w:numPr>
        <w:shd w:val="clear" w:color="auto" w:fill="FFFFFF"/>
        <w:tabs>
          <w:tab w:val="left" w:pos="993"/>
        </w:tabs>
        <w:ind w:left="0" w:firstLine="426"/>
      </w:pPr>
      <w:r w:rsidRPr="00C00255">
        <w:t>pagal BK 111 straipsnio 1 dalį – laisvės atėmimu 6 (šešeriems) metams;</w:t>
      </w:r>
    </w:p>
    <w:p w:rsidR="000E1108" w:rsidRPr="00C00255" w:rsidRDefault="000E1108"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4662EF" w:rsidRPr="00C00255" w:rsidRDefault="0054653E" w:rsidP="00806422">
      <w:pPr>
        <w:spacing w:after="120"/>
        <w:ind w:firstLine="992"/>
      </w:pPr>
      <w:r w:rsidRPr="00C00255">
        <w:t xml:space="preserve">Vadovaujantis BK 63 straipsnio 5 dalies 1 punktu, paskirtos bausmės subendrintos apėmimo būdu ir </w:t>
      </w:r>
      <w:r w:rsidR="006036E7">
        <w:t>V. S. 3</w:t>
      </w:r>
      <w:r w:rsidRPr="00C00255">
        <w:t xml:space="preserve"> galutinė subendrinta bausmė paskirta laisvės atėmimas </w:t>
      </w:r>
      <w:r w:rsidR="000E1108" w:rsidRPr="00C00255">
        <w:t xml:space="preserve">10 </w:t>
      </w:r>
      <w:r w:rsidRPr="00C00255">
        <w:t>(</w:t>
      </w:r>
      <w:r w:rsidR="000E1108" w:rsidRPr="00C00255">
        <w:t>dešimčiai</w:t>
      </w:r>
      <w:r w:rsidRPr="00C00255">
        <w:t xml:space="preserve">) metų, bausmę atliekant pataisos namuose. </w:t>
      </w:r>
    </w:p>
    <w:p w:rsidR="000A1D99" w:rsidRPr="00C00255" w:rsidRDefault="006036E7" w:rsidP="00321748">
      <w:pPr>
        <w:pStyle w:val="ListParagraph"/>
        <w:numPr>
          <w:ilvl w:val="0"/>
          <w:numId w:val="9"/>
        </w:numPr>
        <w:ind w:left="992" w:hanging="567"/>
      </w:pPr>
      <w:r>
        <w:rPr>
          <w:b/>
        </w:rPr>
        <w:t>S. P.</w:t>
      </w:r>
      <w:r w:rsidR="000A1D99" w:rsidRPr="00C00255">
        <w:rPr>
          <w:b/>
        </w:rPr>
        <w:t xml:space="preserve"> </w:t>
      </w:r>
      <w:r w:rsidR="00EE79D9" w:rsidRPr="00C00255">
        <w:t>pripažintas kaltu ir nubaustas:</w:t>
      </w:r>
      <w:r w:rsidR="000C727C" w:rsidRPr="00C00255">
        <w:t xml:space="preserve"> </w:t>
      </w:r>
    </w:p>
    <w:p w:rsidR="00806422" w:rsidRPr="00C00255" w:rsidRDefault="00806422" w:rsidP="00321748">
      <w:pPr>
        <w:pStyle w:val="ListParagraph"/>
        <w:numPr>
          <w:ilvl w:val="0"/>
          <w:numId w:val="7"/>
        </w:numPr>
        <w:shd w:val="clear" w:color="auto" w:fill="FFFFFF"/>
        <w:tabs>
          <w:tab w:val="left" w:pos="993"/>
        </w:tabs>
        <w:ind w:left="0" w:firstLine="426"/>
      </w:pPr>
      <w:r w:rsidRPr="00C00255">
        <w:t>pagal BK 100 straipsnį – laisvės atėmimu 6 (šešeriems) metams;</w:t>
      </w:r>
    </w:p>
    <w:p w:rsidR="00806422" w:rsidRPr="00C00255" w:rsidRDefault="00EE79D9" w:rsidP="00321748">
      <w:pPr>
        <w:pStyle w:val="ListParagraph"/>
        <w:numPr>
          <w:ilvl w:val="0"/>
          <w:numId w:val="7"/>
        </w:numPr>
        <w:shd w:val="clear" w:color="auto" w:fill="FFFFFF"/>
        <w:tabs>
          <w:tab w:val="left" w:pos="993"/>
        </w:tabs>
        <w:ind w:left="0" w:firstLine="426"/>
      </w:pPr>
      <w:r w:rsidRPr="00C00255">
        <w:t>pagal BK 101 straipsnį–</w:t>
      </w:r>
      <w:r w:rsidR="000C727C" w:rsidRPr="00C00255">
        <w:t xml:space="preserve"> </w:t>
      </w:r>
      <w:r w:rsidRPr="00C00255">
        <w:t>laisvės atėmimu 12 (dvylikai) metų;</w:t>
      </w:r>
      <w:r w:rsidR="000C727C" w:rsidRPr="00C00255">
        <w:t xml:space="preserve"> </w:t>
      </w:r>
    </w:p>
    <w:p w:rsidR="00806422" w:rsidRPr="00C00255" w:rsidRDefault="00EE79D9" w:rsidP="00321748">
      <w:pPr>
        <w:pStyle w:val="ListParagraph"/>
        <w:numPr>
          <w:ilvl w:val="0"/>
          <w:numId w:val="7"/>
        </w:numPr>
        <w:shd w:val="clear" w:color="auto" w:fill="FFFFFF"/>
        <w:tabs>
          <w:tab w:val="left" w:pos="993"/>
        </w:tabs>
        <w:ind w:left="0" w:firstLine="426"/>
      </w:pPr>
      <w:r w:rsidRPr="00C00255">
        <w:t xml:space="preserve">pagal BK 103 straipsnio 1 dalį – laisvės atėmimu 6 (šešeriems) metams; </w:t>
      </w:r>
    </w:p>
    <w:p w:rsidR="00806422" w:rsidRPr="00C00255" w:rsidRDefault="00EE79D9" w:rsidP="00321748">
      <w:pPr>
        <w:pStyle w:val="ListParagraph"/>
        <w:numPr>
          <w:ilvl w:val="0"/>
          <w:numId w:val="7"/>
        </w:numPr>
        <w:shd w:val="clear" w:color="auto" w:fill="FFFFFF"/>
        <w:tabs>
          <w:tab w:val="left" w:pos="993"/>
        </w:tabs>
        <w:ind w:left="0" w:firstLine="426"/>
      </w:pPr>
      <w:r w:rsidRPr="00C00255">
        <w:t>pagal BK 111 straipsnio 1 dalį</w:t>
      </w:r>
      <w:r w:rsidR="00DE456C" w:rsidRPr="00C00255">
        <w:rPr>
          <w:rFonts w:eastAsia="Calibri"/>
        </w:rPr>
        <w:t xml:space="preserve"> </w:t>
      </w:r>
      <w:r w:rsidRPr="00C00255">
        <w:t>– laisvės atėmimu 6 (šešeriems) metams;</w:t>
      </w:r>
    </w:p>
    <w:p w:rsidR="00EE79D9" w:rsidRPr="00C00255" w:rsidRDefault="00EE79D9"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54653E" w:rsidRPr="00C00255" w:rsidRDefault="000A1D99" w:rsidP="00806422">
      <w:pPr>
        <w:spacing w:after="120"/>
        <w:ind w:firstLine="992"/>
      </w:pPr>
      <w:r w:rsidRPr="00C00255">
        <w:t xml:space="preserve">Vadovaujantis BK 63 straipsnio 5 dalies 1 punktu, paskirtos bausmės subendrintos apėmimo būdu ir </w:t>
      </w:r>
      <w:r w:rsidR="006036E7">
        <w:t>S. P.</w:t>
      </w:r>
      <w:r w:rsidRPr="00C00255">
        <w:t xml:space="preserve"> galutinė subendrinta bausmė paskirta laisvės atėmimas </w:t>
      </w:r>
      <w:r w:rsidR="00EE79D9" w:rsidRPr="00C00255">
        <w:t>12</w:t>
      </w:r>
      <w:r w:rsidRPr="00C00255">
        <w:t xml:space="preserve"> (</w:t>
      </w:r>
      <w:r w:rsidR="00EE79D9" w:rsidRPr="00C00255">
        <w:t>dvylikai</w:t>
      </w:r>
      <w:r w:rsidRPr="00C00255">
        <w:t>) metų, bausmę atliekant pataisos namuose.</w:t>
      </w:r>
      <w:r w:rsidR="000C727C" w:rsidRPr="00C00255">
        <w:t xml:space="preserve"> </w:t>
      </w:r>
    </w:p>
    <w:p w:rsidR="000A1D99" w:rsidRPr="00C00255" w:rsidRDefault="006036E7" w:rsidP="00321748">
      <w:pPr>
        <w:pStyle w:val="ListParagraph"/>
        <w:numPr>
          <w:ilvl w:val="0"/>
          <w:numId w:val="9"/>
        </w:numPr>
        <w:ind w:left="992" w:hanging="567"/>
      </w:pPr>
      <w:r>
        <w:rPr>
          <w:b/>
        </w:rPr>
        <w:t>S. K.</w:t>
      </w:r>
      <w:r w:rsidR="000A1D99" w:rsidRPr="00C00255">
        <w:rPr>
          <w:b/>
        </w:rPr>
        <w:t xml:space="preserve"> </w:t>
      </w:r>
      <w:r w:rsidR="00EE79D9" w:rsidRPr="00C00255">
        <w:t>pripažintas kaltu ir nubaustas</w:t>
      </w:r>
      <w:r w:rsidR="000A1D99" w:rsidRPr="00C00255">
        <w:t xml:space="preserve">: </w:t>
      </w:r>
    </w:p>
    <w:p w:rsidR="00806422" w:rsidRPr="00C00255" w:rsidRDefault="00806422" w:rsidP="00321748">
      <w:pPr>
        <w:pStyle w:val="ListParagraph"/>
        <w:numPr>
          <w:ilvl w:val="0"/>
          <w:numId w:val="7"/>
        </w:numPr>
        <w:shd w:val="clear" w:color="auto" w:fill="FFFFFF"/>
        <w:tabs>
          <w:tab w:val="left" w:pos="993"/>
        </w:tabs>
        <w:ind w:left="0" w:firstLine="426"/>
      </w:pPr>
      <w:r w:rsidRPr="00C00255">
        <w:t>pagal BK 100 straipsnį</w:t>
      </w:r>
      <w:r w:rsidR="00DE456C" w:rsidRPr="00C00255">
        <w:rPr>
          <w:rFonts w:eastAsia="Calibri"/>
        </w:rPr>
        <w:t xml:space="preserve"> </w:t>
      </w:r>
      <w:r w:rsidRPr="00C00255">
        <w:t>– laisvės atėmimu 6 (šešeriems) metams;</w:t>
      </w:r>
    </w:p>
    <w:p w:rsidR="00806422" w:rsidRPr="00C00255" w:rsidRDefault="00EE79D9" w:rsidP="00321748">
      <w:pPr>
        <w:pStyle w:val="ListParagraph"/>
        <w:numPr>
          <w:ilvl w:val="0"/>
          <w:numId w:val="7"/>
        </w:numPr>
        <w:shd w:val="clear" w:color="auto" w:fill="FFFFFF"/>
        <w:tabs>
          <w:tab w:val="left" w:pos="993"/>
        </w:tabs>
        <w:ind w:left="0" w:firstLine="426"/>
      </w:pPr>
      <w:r w:rsidRPr="00C00255">
        <w:t>pagal BK 101 straipsnį – laisvės atėmimu 10 (dešimčiai) metų;</w:t>
      </w:r>
    </w:p>
    <w:p w:rsidR="00806422" w:rsidRPr="00C00255" w:rsidRDefault="00EE79D9" w:rsidP="00321748">
      <w:pPr>
        <w:pStyle w:val="ListParagraph"/>
        <w:numPr>
          <w:ilvl w:val="0"/>
          <w:numId w:val="7"/>
        </w:numPr>
        <w:shd w:val="clear" w:color="auto" w:fill="FFFFFF"/>
        <w:tabs>
          <w:tab w:val="left" w:pos="993"/>
        </w:tabs>
        <w:ind w:left="0" w:firstLine="426"/>
      </w:pPr>
      <w:r w:rsidRPr="00C00255">
        <w:t xml:space="preserve">pagal BK 103 straipsnio 1 dalį – laisvės atėmimu 5 (penkeriems) metams; </w:t>
      </w:r>
    </w:p>
    <w:p w:rsidR="00806422" w:rsidRPr="00C00255" w:rsidRDefault="00EE79D9" w:rsidP="00321748">
      <w:pPr>
        <w:pStyle w:val="ListParagraph"/>
        <w:numPr>
          <w:ilvl w:val="0"/>
          <w:numId w:val="7"/>
        </w:numPr>
        <w:shd w:val="clear" w:color="auto" w:fill="FFFFFF"/>
        <w:tabs>
          <w:tab w:val="left" w:pos="993"/>
        </w:tabs>
        <w:ind w:left="0" w:firstLine="426"/>
      </w:pPr>
      <w:r w:rsidRPr="00C00255">
        <w:t>pagal BK 111 straipsnio 1 dalį</w:t>
      </w:r>
      <w:r w:rsidR="00DE456C" w:rsidRPr="00C00255">
        <w:rPr>
          <w:rFonts w:eastAsia="Calibri"/>
        </w:rPr>
        <w:t xml:space="preserve"> </w:t>
      </w:r>
      <w:r w:rsidRPr="00C00255">
        <w:t>– laisvės atėmimu 6 (šešeriems) metams;</w:t>
      </w:r>
    </w:p>
    <w:p w:rsidR="00EE79D9" w:rsidRPr="00C00255" w:rsidRDefault="00EE79D9" w:rsidP="00321748">
      <w:pPr>
        <w:pStyle w:val="ListParagraph"/>
        <w:numPr>
          <w:ilvl w:val="0"/>
          <w:numId w:val="7"/>
        </w:numPr>
        <w:shd w:val="clear" w:color="auto" w:fill="FFFFFF"/>
        <w:tabs>
          <w:tab w:val="left" w:pos="993"/>
        </w:tabs>
        <w:ind w:left="0" w:firstLine="426"/>
      </w:pPr>
      <w:r w:rsidRPr="00C00255">
        <w:t>pagal BK 112 straipsnį – laisvės atėmimu 5 (penkeriems) metams.</w:t>
      </w:r>
    </w:p>
    <w:p w:rsidR="000A1D99" w:rsidRPr="00C00255" w:rsidRDefault="000A1D99" w:rsidP="00806422">
      <w:pPr>
        <w:spacing w:after="120"/>
        <w:ind w:firstLine="992"/>
      </w:pPr>
      <w:r w:rsidRPr="00C00255">
        <w:t xml:space="preserve">Vadovaujantis BK 63 straipsnio 5 dalies 1 punktu, paskirtos bausmės subendrintos apėmimo būdu ir </w:t>
      </w:r>
      <w:r w:rsidR="006036E7">
        <w:t>S. K.</w:t>
      </w:r>
      <w:r w:rsidRPr="00C00255">
        <w:t xml:space="preserve"> galutinė subendrinta bausmė paskirta laisvės atėmimas </w:t>
      </w:r>
      <w:r w:rsidR="00EE79D9" w:rsidRPr="00C00255">
        <w:t>10</w:t>
      </w:r>
      <w:r w:rsidRPr="00C00255">
        <w:t xml:space="preserve"> (</w:t>
      </w:r>
      <w:r w:rsidR="00EE79D9" w:rsidRPr="00C00255">
        <w:t>dešimčiai</w:t>
      </w:r>
      <w:r w:rsidRPr="00C00255">
        <w:t xml:space="preserve">) metų, bausmę atliekant pataisos namuose. </w:t>
      </w:r>
    </w:p>
    <w:p w:rsidR="000A1D99" w:rsidRPr="00C00255" w:rsidRDefault="006036E7" w:rsidP="00321748">
      <w:pPr>
        <w:pStyle w:val="ListParagraph"/>
        <w:numPr>
          <w:ilvl w:val="0"/>
          <w:numId w:val="9"/>
        </w:numPr>
        <w:ind w:left="992" w:hanging="567"/>
      </w:pPr>
      <w:r>
        <w:rPr>
          <w:b/>
        </w:rPr>
        <w:t>J. G.</w:t>
      </w:r>
      <w:r w:rsidR="000A1D99" w:rsidRPr="00C00255">
        <w:rPr>
          <w:b/>
        </w:rPr>
        <w:t xml:space="preserve"> </w:t>
      </w:r>
      <w:r w:rsidR="00EE79D9" w:rsidRPr="00C00255">
        <w:t>pripažintas kaltu ir nubaustas</w:t>
      </w:r>
      <w:r w:rsidR="000A1D99" w:rsidRPr="00C00255">
        <w:t xml:space="preserve">: </w:t>
      </w:r>
    </w:p>
    <w:p w:rsidR="00806422" w:rsidRPr="00C00255" w:rsidRDefault="00806422" w:rsidP="00321748">
      <w:pPr>
        <w:pStyle w:val="ListParagraph"/>
        <w:numPr>
          <w:ilvl w:val="0"/>
          <w:numId w:val="2"/>
        </w:numPr>
        <w:shd w:val="clear" w:color="auto" w:fill="FFFFFF"/>
        <w:tabs>
          <w:tab w:val="left" w:pos="993"/>
        </w:tabs>
        <w:ind w:left="0" w:firstLine="425"/>
      </w:pPr>
      <w:r w:rsidRPr="00C00255">
        <w:t xml:space="preserve">pagal BK 100 straipsnį – laisvės atėmimu </w:t>
      </w:r>
      <w:r w:rsidR="00716B2D" w:rsidRPr="00C00255">
        <w:t>10 (dešimčiai) metų;</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101 straipsnį –</w:t>
      </w:r>
      <w:r w:rsidR="000C727C" w:rsidRPr="00C00255">
        <w:t xml:space="preserve"> </w:t>
      </w:r>
      <w:r w:rsidRPr="00C00255">
        <w:t xml:space="preserve">laisvės atėmimu 12 (dvylikai) metų; </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716B2D" w:rsidRPr="00C00255" w:rsidRDefault="00716B2D"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16B2D" w:rsidRPr="00C00255" w:rsidRDefault="000A1D99" w:rsidP="00806422">
      <w:pPr>
        <w:spacing w:after="120"/>
        <w:ind w:firstLine="992"/>
      </w:pPr>
      <w:r w:rsidRPr="00C00255">
        <w:t xml:space="preserve">Vadovaujantis BK 63 straipsnio 5 dalies 1 punktu, paskirtos bausmės subendrintos apėmimo būdu ir </w:t>
      </w:r>
      <w:r w:rsidR="006036E7">
        <w:t>J. G.</w:t>
      </w:r>
      <w:r w:rsidRPr="00C00255">
        <w:t xml:space="preserve"> galutinė subendrinta bausmė paskirta laisvės atėmimas </w:t>
      </w:r>
      <w:r w:rsidR="00716B2D" w:rsidRPr="00C00255">
        <w:t>12</w:t>
      </w:r>
      <w:r w:rsidRPr="00C00255">
        <w:t xml:space="preserve"> (</w:t>
      </w:r>
      <w:r w:rsidR="00716B2D" w:rsidRPr="00C00255">
        <w:t>dvylikai</w:t>
      </w:r>
      <w:r w:rsidRPr="00C00255">
        <w:t xml:space="preserve">) metų, bausmę atliekant pataisos namuose. </w:t>
      </w:r>
    </w:p>
    <w:p w:rsidR="000A1D99" w:rsidRPr="00C00255" w:rsidRDefault="006036E7" w:rsidP="00321748">
      <w:pPr>
        <w:pStyle w:val="ListParagraph"/>
        <w:numPr>
          <w:ilvl w:val="0"/>
          <w:numId w:val="9"/>
        </w:numPr>
        <w:ind w:left="992" w:hanging="567"/>
      </w:pPr>
      <w:r>
        <w:rPr>
          <w:b/>
        </w:rPr>
        <w:t>I. Š.</w:t>
      </w:r>
      <w:r w:rsidR="000A1D99" w:rsidRPr="00C00255">
        <w:rPr>
          <w:b/>
        </w:rPr>
        <w:t xml:space="preserve"> </w:t>
      </w:r>
      <w:r w:rsidR="000A1D99" w:rsidRPr="00C00255">
        <w:t xml:space="preserve">pripažintas kaltu ir nubaustas: </w:t>
      </w:r>
    </w:p>
    <w:p w:rsidR="00806422" w:rsidRPr="00C00255" w:rsidRDefault="00806422" w:rsidP="00321748">
      <w:pPr>
        <w:pStyle w:val="ListParagraph"/>
        <w:numPr>
          <w:ilvl w:val="0"/>
          <w:numId w:val="2"/>
        </w:numPr>
        <w:shd w:val="clear" w:color="auto" w:fill="FFFFFF"/>
        <w:tabs>
          <w:tab w:val="left" w:pos="993"/>
        </w:tabs>
        <w:ind w:left="0" w:firstLine="425"/>
      </w:pPr>
      <w:r w:rsidRPr="00C00255">
        <w:t xml:space="preserve">pagal BK 100 straipsnį – laisvės atėmimu </w:t>
      </w:r>
      <w:r w:rsidR="00716B2D" w:rsidRPr="00C00255">
        <w:t>6 (šešeriems) metams;</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5 (penkeriems) metams; </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Pr="00C00255">
        <w:t>– laisvės atėmimu 6 (šešeriems) metams;</w:t>
      </w:r>
    </w:p>
    <w:p w:rsidR="00716B2D" w:rsidRPr="00C00255" w:rsidRDefault="00716B2D"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16B2D" w:rsidRPr="00C00255" w:rsidRDefault="000A1D99" w:rsidP="00806422">
      <w:pPr>
        <w:spacing w:after="120"/>
        <w:ind w:firstLine="992"/>
      </w:pPr>
      <w:r w:rsidRPr="00C00255">
        <w:lastRenderedPageBreak/>
        <w:t xml:space="preserve">Vadovaujantis BK 63 straipsnio 5 dalies 1 punktu, paskirtos bausmės subendrintos apėmimo būdu ir </w:t>
      </w:r>
      <w:r w:rsidR="006036E7">
        <w:t>I. Š.</w:t>
      </w:r>
      <w:r w:rsidRPr="00C00255">
        <w:t xml:space="preserve"> galutinė subendrinta bausmė paskirta laisvės atėmimas </w:t>
      </w:r>
      <w:r w:rsidR="00716B2D" w:rsidRPr="00C00255">
        <w:t>10</w:t>
      </w:r>
      <w:r w:rsidRPr="00C00255">
        <w:t xml:space="preserve"> (</w:t>
      </w:r>
      <w:r w:rsidR="00716B2D" w:rsidRPr="00C00255">
        <w:t>dešimčiai</w:t>
      </w:r>
      <w:r w:rsidRPr="00C00255">
        <w:t xml:space="preserve">) metų, bausmę atliekant pataisos namuose. </w:t>
      </w:r>
    </w:p>
    <w:p w:rsidR="000A1D99" w:rsidRPr="00C00255" w:rsidRDefault="006036E7" w:rsidP="00321748">
      <w:pPr>
        <w:pStyle w:val="ListParagraph"/>
        <w:numPr>
          <w:ilvl w:val="0"/>
          <w:numId w:val="9"/>
        </w:numPr>
        <w:ind w:left="992" w:hanging="567"/>
      </w:pPr>
      <w:r>
        <w:rPr>
          <w:b/>
        </w:rPr>
        <w:t>A. G. 2</w:t>
      </w:r>
      <w:r w:rsidR="000A1D99" w:rsidRPr="00C00255">
        <w:rPr>
          <w:b/>
        </w:rPr>
        <w:t xml:space="preserve"> </w:t>
      </w:r>
      <w:r w:rsidR="000A1D99" w:rsidRPr="00C00255">
        <w:t xml:space="preserve">pripažintas kaltu ir nubaustas: </w:t>
      </w:r>
    </w:p>
    <w:p w:rsidR="00806422" w:rsidRPr="00C00255" w:rsidRDefault="00DE456C" w:rsidP="00321748">
      <w:pPr>
        <w:pStyle w:val="ListParagraph"/>
        <w:numPr>
          <w:ilvl w:val="0"/>
          <w:numId w:val="2"/>
        </w:numPr>
        <w:shd w:val="clear" w:color="auto" w:fill="FFFFFF"/>
        <w:tabs>
          <w:tab w:val="left" w:pos="993"/>
        </w:tabs>
        <w:ind w:left="0" w:firstLine="425"/>
      </w:pPr>
      <w:r w:rsidRPr="00C00255">
        <w:t>pagal BK 100 straipsnį</w:t>
      </w:r>
      <w:r w:rsidR="00806422" w:rsidRPr="00C00255">
        <w:t xml:space="preserve"> – laisvės atėmimu 10 (dešimčiai) metų;</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101 straipsnį –</w:t>
      </w:r>
      <w:r w:rsidR="000C727C" w:rsidRPr="00C00255">
        <w:t xml:space="preserve"> </w:t>
      </w:r>
      <w:r w:rsidRPr="00C00255">
        <w:t xml:space="preserve">laisvės atėmimu 12 (dvylikai) metų; </w:t>
      </w:r>
    </w:p>
    <w:p w:rsidR="00806422" w:rsidRPr="00C00255" w:rsidRDefault="00716B2D" w:rsidP="00321748">
      <w:pPr>
        <w:pStyle w:val="ListParagraph"/>
        <w:numPr>
          <w:ilvl w:val="0"/>
          <w:numId w:val="2"/>
        </w:numPr>
        <w:shd w:val="clear" w:color="auto" w:fill="FFFFFF"/>
        <w:tabs>
          <w:tab w:val="left" w:pos="993"/>
        </w:tabs>
        <w:ind w:left="0" w:firstLine="425"/>
      </w:pPr>
      <w:r w:rsidRPr="00C00255">
        <w:t xml:space="preserve">pagal BK 103 straipsnio 1 dalį – laisvės atėmimu 6 (šešeriems) metams; </w:t>
      </w:r>
    </w:p>
    <w:p w:rsidR="00806422"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716B2D" w:rsidRPr="00C00255">
        <w:t>– laisvės atėmimu 6 (šešeriems) metams;</w:t>
      </w:r>
    </w:p>
    <w:p w:rsidR="00716B2D" w:rsidRPr="00C00255" w:rsidRDefault="00716B2D"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16B2D" w:rsidRPr="00C00255" w:rsidRDefault="000A1D99" w:rsidP="00806422">
      <w:pPr>
        <w:spacing w:after="120"/>
        <w:ind w:firstLine="992"/>
      </w:pPr>
      <w:r w:rsidRPr="00C00255">
        <w:t xml:space="preserve">Vadovaujantis BK 63 straipsnio 5 dalies 1 punktu, paskirtos bausmės subendrintos apėmimo būdu ir </w:t>
      </w:r>
      <w:r w:rsidR="006036E7">
        <w:t>A. G. 2</w:t>
      </w:r>
      <w:r w:rsidRPr="00C00255">
        <w:t xml:space="preserve"> galutinė subendrinta bausmė paskirta laisvės atėmimas </w:t>
      </w:r>
      <w:r w:rsidR="00716B2D" w:rsidRPr="00C00255">
        <w:t>12</w:t>
      </w:r>
      <w:r w:rsidRPr="00C00255">
        <w:t xml:space="preserve"> (</w:t>
      </w:r>
      <w:r w:rsidR="00716B2D" w:rsidRPr="00C00255">
        <w:t>dvylikai</w:t>
      </w:r>
      <w:r w:rsidRPr="00C00255">
        <w:t xml:space="preserve">) metų, bausmę atliekant pataisos namuose. </w:t>
      </w:r>
    </w:p>
    <w:p w:rsidR="000A1D99" w:rsidRPr="00C00255" w:rsidRDefault="006036E7" w:rsidP="00321748">
      <w:pPr>
        <w:pStyle w:val="ListParagraph"/>
        <w:numPr>
          <w:ilvl w:val="0"/>
          <w:numId w:val="9"/>
        </w:numPr>
        <w:ind w:left="992" w:hanging="567"/>
      </w:pPr>
      <w:r>
        <w:rPr>
          <w:b/>
        </w:rPr>
        <w:t>A. Z.</w:t>
      </w:r>
      <w:r w:rsidR="000A1D99" w:rsidRPr="00C00255">
        <w:rPr>
          <w:b/>
        </w:rPr>
        <w:t xml:space="preserve"> </w:t>
      </w:r>
      <w:r w:rsidR="000A1D99" w:rsidRPr="00C00255">
        <w:t xml:space="preserve">pripažintas kaltu </w:t>
      </w:r>
      <w:r w:rsidR="00716B2D" w:rsidRPr="00C00255">
        <w:t>ir nubaustas</w:t>
      </w:r>
      <w:r w:rsidR="000A1D99" w:rsidRPr="00C00255">
        <w:t xml:space="preserve">: </w:t>
      </w:r>
    </w:p>
    <w:p w:rsidR="00806422" w:rsidRPr="00C00255" w:rsidRDefault="00806422"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06422" w:rsidRPr="00C00255" w:rsidRDefault="00716B2D" w:rsidP="00321748">
      <w:pPr>
        <w:pStyle w:val="ListParagraph"/>
        <w:numPr>
          <w:ilvl w:val="0"/>
          <w:numId w:val="2"/>
        </w:numPr>
        <w:shd w:val="clear" w:color="auto" w:fill="FFFFFF"/>
        <w:tabs>
          <w:tab w:val="left" w:pos="993"/>
        </w:tabs>
        <w:ind w:left="0" w:firstLine="425"/>
      </w:pPr>
      <w:r w:rsidRPr="00C00255">
        <w:t xml:space="preserve">pagal BK 103 straipsnio 1 dalį – laisvės atėmimu 5 (penkeriems) metams; </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716B2D" w:rsidRPr="00C00255" w:rsidRDefault="00716B2D"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16B2D" w:rsidRPr="00C00255" w:rsidRDefault="000A1D99" w:rsidP="00806422">
      <w:pPr>
        <w:spacing w:after="120"/>
        <w:ind w:firstLine="992"/>
      </w:pPr>
      <w:r w:rsidRPr="00C00255">
        <w:t xml:space="preserve">Vadovaujantis BK 63 straipsnio 5 dalies 1 punktu, paskirtos bausmės subendrintos apėmimo būdu ir </w:t>
      </w:r>
      <w:r w:rsidR="006036E7">
        <w:t>A. Z.</w:t>
      </w:r>
      <w:r w:rsidRPr="00C00255">
        <w:t xml:space="preserve"> galutinė subendrinta bausmė paskirta laisvės atėmimas </w:t>
      </w:r>
      <w:r w:rsidR="00716B2D" w:rsidRPr="00C00255">
        <w:t>10</w:t>
      </w:r>
      <w:r w:rsidR="00DE456C" w:rsidRPr="00C00255">
        <w:t> </w:t>
      </w:r>
      <w:r w:rsidRPr="00C00255">
        <w:t>(</w:t>
      </w:r>
      <w:r w:rsidR="00716B2D" w:rsidRPr="00C00255">
        <w:t>dešimčiai</w:t>
      </w:r>
      <w:r w:rsidRPr="00C00255">
        <w:t xml:space="preserve">) metų, bausmę atliekant pataisos namuose. </w:t>
      </w:r>
    </w:p>
    <w:p w:rsidR="00BB4E7E" w:rsidRPr="00C00255" w:rsidRDefault="006036E7" w:rsidP="00321748">
      <w:pPr>
        <w:pStyle w:val="ListParagraph"/>
        <w:numPr>
          <w:ilvl w:val="0"/>
          <w:numId w:val="9"/>
        </w:numPr>
        <w:ind w:left="992" w:hanging="567"/>
      </w:pPr>
      <w:r>
        <w:rPr>
          <w:b/>
        </w:rPr>
        <w:t>V. K. 2</w:t>
      </w:r>
      <w:r w:rsidR="00BB4E7E" w:rsidRPr="00C00255">
        <w:rPr>
          <w:b/>
        </w:rPr>
        <w:t xml:space="preserve"> </w:t>
      </w:r>
      <w:r w:rsidR="00BB4E7E" w:rsidRPr="00C00255">
        <w:t xml:space="preserve">pripažintas kaltu ir nubaustas: </w:t>
      </w:r>
    </w:p>
    <w:p w:rsidR="00806422" w:rsidRPr="00C00255" w:rsidRDefault="00806422" w:rsidP="00321748">
      <w:pPr>
        <w:pStyle w:val="ListParagraph"/>
        <w:numPr>
          <w:ilvl w:val="0"/>
          <w:numId w:val="2"/>
        </w:numPr>
        <w:shd w:val="clear" w:color="auto" w:fill="FFFFFF"/>
        <w:tabs>
          <w:tab w:val="left" w:pos="993"/>
        </w:tabs>
        <w:ind w:left="0" w:firstLine="425"/>
      </w:pPr>
      <w:r w:rsidRPr="00C00255">
        <w:t>pagal BK 100 straipsnį – laisvės atėmimu 10 (dešimčiai) metų;</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101 straipsnį –</w:t>
      </w:r>
      <w:r w:rsidR="000C727C" w:rsidRPr="00C00255">
        <w:t xml:space="preserve"> </w:t>
      </w:r>
      <w:r w:rsidRPr="00C00255">
        <w:t xml:space="preserve">laisvės atėmimu 12 (dvylikai) metų; </w:t>
      </w:r>
    </w:p>
    <w:p w:rsidR="00806422" w:rsidRPr="00C00255" w:rsidRDefault="00716B2D" w:rsidP="00321748">
      <w:pPr>
        <w:pStyle w:val="ListParagraph"/>
        <w:numPr>
          <w:ilvl w:val="0"/>
          <w:numId w:val="2"/>
        </w:numPr>
        <w:shd w:val="clear" w:color="auto" w:fill="FFFFFF"/>
        <w:tabs>
          <w:tab w:val="left" w:pos="993"/>
        </w:tabs>
        <w:ind w:left="0" w:firstLine="425"/>
      </w:pPr>
      <w:r w:rsidRPr="00C00255">
        <w:t xml:space="preserve">pagal BK 103 straipsnio 1 dalį – laisvės atėmimu 6 (šešeriems) metams; </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716B2D" w:rsidRPr="00C00255" w:rsidRDefault="00716B2D"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16B2D" w:rsidRPr="00C00255" w:rsidRDefault="00BB4E7E" w:rsidP="00806422">
      <w:pPr>
        <w:shd w:val="clear" w:color="auto" w:fill="FFFFFF"/>
        <w:spacing w:after="120"/>
        <w:ind w:firstLine="992"/>
      </w:pPr>
      <w:r w:rsidRPr="00C00255">
        <w:t xml:space="preserve">Vadovaujantis BK 63 straipsnio 5 dalies 1 punktu, paskirtos bausmės subendrintos apėmimo būdu ir </w:t>
      </w:r>
      <w:r w:rsidR="006036E7">
        <w:t>V. K. 2</w:t>
      </w:r>
      <w:r w:rsidRPr="00C00255">
        <w:t xml:space="preserve"> galutinė subendrinta bausmė paskirta laisvės atėmimas </w:t>
      </w:r>
      <w:r w:rsidR="00716B2D" w:rsidRPr="00C00255">
        <w:t>12</w:t>
      </w:r>
      <w:r w:rsidR="00DE456C" w:rsidRPr="00C00255">
        <w:t> </w:t>
      </w:r>
      <w:r w:rsidRPr="00C00255">
        <w:t>(</w:t>
      </w:r>
      <w:r w:rsidR="00716B2D" w:rsidRPr="00C00255">
        <w:t>dvylikai</w:t>
      </w:r>
      <w:r w:rsidRPr="00C00255">
        <w:t xml:space="preserve">) metų, bausmę atliekant pataisos namuose. </w:t>
      </w:r>
    </w:p>
    <w:p w:rsidR="00BB4E7E" w:rsidRPr="00C00255" w:rsidRDefault="006036E7" w:rsidP="00321748">
      <w:pPr>
        <w:pStyle w:val="ListParagraph"/>
        <w:numPr>
          <w:ilvl w:val="0"/>
          <w:numId w:val="9"/>
        </w:numPr>
        <w:shd w:val="clear" w:color="auto" w:fill="FFFFFF"/>
        <w:ind w:left="992" w:hanging="567"/>
      </w:pPr>
      <w:r>
        <w:rPr>
          <w:b/>
        </w:rPr>
        <w:t>R. J. 2</w:t>
      </w:r>
      <w:r w:rsidR="00BB4E7E" w:rsidRPr="00C00255">
        <w:t xml:space="preserve"> pripažintas kaltu ir nubaustas: </w:t>
      </w:r>
    </w:p>
    <w:p w:rsidR="00806422" w:rsidRPr="00C00255" w:rsidRDefault="00806422" w:rsidP="00321748">
      <w:pPr>
        <w:pStyle w:val="ListParagraph"/>
        <w:numPr>
          <w:ilvl w:val="0"/>
          <w:numId w:val="2"/>
        </w:numPr>
        <w:shd w:val="clear" w:color="auto" w:fill="FFFFFF"/>
        <w:tabs>
          <w:tab w:val="left" w:pos="993"/>
        </w:tabs>
        <w:ind w:left="0" w:firstLine="425"/>
      </w:pPr>
      <w:r w:rsidRPr="00C00255">
        <w:t xml:space="preserve">pagal BK 100 straipsnį – laisvės atėmimu </w:t>
      </w:r>
      <w:r w:rsidR="00777875" w:rsidRPr="00C00255">
        <w:t>5 (penkeriems) metams</w:t>
      </w:r>
      <w:r w:rsidR="00716B2D" w:rsidRPr="00C00255">
        <w:t>;</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101 straipsnį</w:t>
      </w:r>
      <w:r w:rsidR="00FF24A1" w:rsidRPr="00C00255">
        <w:rPr>
          <w:rFonts w:eastAsia="Calibri"/>
        </w:rPr>
        <w:t>, pritaikius BK 54 </w:t>
      </w:r>
      <w:r w:rsidR="00777875" w:rsidRPr="00C00255">
        <w:rPr>
          <w:rFonts w:eastAsia="Calibri"/>
        </w:rPr>
        <w:t>straipsnio 3 dalies nuostatas</w:t>
      </w:r>
      <w:r w:rsidR="00183FD6" w:rsidRPr="00C00255">
        <w:rPr>
          <w:rFonts w:eastAsia="Calibri"/>
        </w:rPr>
        <w:t>,</w:t>
      </w:r>
      <w:r w:rsidRPr="00C00255">
        <w:t xml:space="preserve"> –</w:t>
      </w:r>
      <w:r w:rsidR="000C727C" w:rsidRPr="00C00255">
        <w:t xml:space="preserve"> </w:t>
      </w:r>
      <w:r w:rsidR="00777875" w:rsidRPr="00C00255">
        <w:t>laisvės atėmi</w:t>
      </w:r>
      <w:r w:rsidR="00DE456C" w:rsidRPr="00C00255">
        <w:t>mu 6 </w:t>
      </w:r>
      <w:r w:rsidR="00777875" w:rsidRPr="00C00255">
        <w:t>(šešeriems) metams</w:t>
      </w:r>
      <w:r w:rsidRPr="00C00255">
        <w:t xml:space="preserve">; </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laisvės </w:t>
      </w:r>
      <w:r w:rsidR="00777875" w:rsidRPr="00C00255">
        <w:t>atėmimu</w:t>
      </w:r>
      <w:r w:rsidR="000C727C" w:rsidRPr="00C00255">
        <w:t xml:space="preserve"> </w:t>
      </w:r>
      <w:r w:rsidR="00777875" w:rsidRPr="00C00255">
        <w:t>3</w:t>
      </w:r>
      <w:r w:rsidRPr="00C00255">
        <w:t xml:space="preserve"> (</w:t>
      </w:r>
      <w:r w:rsidR="00777875" w:rsidRPr="00C00255">
        <w:t>trejiems</w:t>
      </w:r>
      <w:r w:rsidRPr="00C00255">
        <w:t xml:space="preserve">) metams; </w:t>
      </w:r>
    </w:p>
    <w:p w:rsidR="00806422" w:rsidRPr="00C00255" w:rsidRDefault="00716B2D"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xml:space="preserve">– laisvės atėmimu </w:t>
      </w:r>
      <w:r w:rsidR="00777875" w:rsidRPr="00C00255">
        <w:t>5 (penkeriems) metams</w:t>
      </w:r>
      <w:r w:rsidRPr="00C00255">
        <w:t>;</w:t>
      </w:r>
    </w:p>
    <w:p w:rsidR="00BB4E7E" w:rsidRPr="00C00255" w:rsidRDefault="00716B2D" w:rsidP="00321748">
      <w:pPr>
        <w:pStyle w:val="ListParagraph"/>
        <w:numPr>
          <w:ilvl w:val="0"/>
          <w:numId w:val="2"/>
        </w:numPr>
        <w:shd w:val="clear" w:color="auto" w:fill="FFFFFF"/>
        <w:tabs>
          <w:tab w:val="left" w:pos="993"/>
        </w:tabs>
        <w:ind w:left="0" w:firstLine="425"/>
      </w:pPr>
      <w:r w:rsidRPr="00C00255">
        <w:t xml:space="preserve">pagal BK 112 straipsnį – laisvės atėmimu </w:t>
      </w:r>
      <w:r w:rsidR="00777875" w:rsidRPr="00C00255">
        <w:t>3 (trejiems) metams</w:t>
      </w:r>
      <w:r w:rsidRPr="00C00255">
        <w:t>.</w:t>
      </w:r>
    </w:p>
    <w:p w:rsidR="00777875" w:rsidRPr="00C00255" w:rsidRDefault="00BB4E7E" w:rsidP="00806422">
      <w:pPr>
        <w:spacing w:after="120"/>
        <w:ind w:firstLine="992"/>
      </w:pPr>
      <w:r w:rsidRPr="00C00255">
        <w:t xml:space="preserve">Vadovaujantis BK 63 straipsnio 5 dalies 1 punktu, paskirtos bausmės subendrintos apėmimo būdu ir </w:t>
      </w:r>
      <w:r w:rsidR="006036E7">
        <w:t>R. J. 2</w:t>
      </w:r>
      <w:r w:rsidRPr="00C00255">
        <w:t xml:space="preserve"> galutinė subendrinta bausmė paskirta laisvės atėmimas </w:t>
      </w:r>
      <w:r w:rsidR="00DE456C" w:rsidRPr="00C00255">
        <w:t>6 </w:t>
      </w:r>
      <w:r w:rsidRPr="00C00255">
        <w:t>(</w:t>
      </w:r>
      <w:r w:rsidR="00777875" w:rsidRPr="00C00255">
        <w:t>šešeriems</w:t>
      </w:r>
      <w:r w:rsidRPr="00C00255">
        <w:t xml:space="preserve">) metams, bausmę atliekant pataisos namuose. </w:t>
      </w:r>
    </w:p>
    <w:p w:rsidR="00BB4E7E" w:rsidRPr="00C00255" w:rsidRDefault="006036E7" w:rsidP="00321748">
      <w:pPr>
        <w:pStyle w:val="ListParagraph"/>
        <w:numPr>
          <w:ilvl w:val="0"/>
          <w:numId w:val="9"/>
        </w:numPr>
        <w:ind w:left="992" w:hanging="567"/>
      </w:pPr>
      <w:r>
        <w:rPr>
          <w:b/>
        </w:rPr>
        <w:t>S. G.</w:t>
      </w:r>
      <w:r w:rsidR="00BB4E7E" w:rsidRPr="00C00255">
        <w:rPr>
          <w:b/>
        </w:rPr>
        <w:t xml:space="preserve"> </w:t>
      </w:r>
      <w:r w:rsidR="00BB4E7E" w:rsidRPr="00C00255">
        <w:t xml:space="preserve">pripažintas kaltu ir nubaustas: </w:t>
      </w:r>
    </w:p>
    <w:p w:rsidR="00806422" w:rsidRPr="00C00255" w:rsidRDefault="00806422"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5 (penkeriems) metams; </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Pr="00C00255">
        <w:t>–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BB4E7E" w:rsidP="00806422">
      <w:pPr>
        <w:spacing w:after="120"/>
        <w:ind w:firstLine="992"/>
      </w:pPr>
      <w:r w:rsidRPr="00C00255">
        <w:lastRenderedPageBreak/>
        <w:t xml:space="preserve">Vadovaujantis BK 63 straipsnio 5 dalies 1 punktu, paskirtos bausmės subendrintos apėmimo būdu ir </w:t>
      </w:r>
      <w:r w:rsidR="006036E7">
        <w:t>S. G.</w:t>
      </w:r>
      <w:r w:rsidRPr="00C00255">
        <w:t xml:space="preserve"> galutinė subendrinta bausmė paskirta laisvės atėmimas </w:t>
      </w:r>
      <w:r w:rsidR="00777875" w:rsidRPr="00C00255">
        <w:t>10</w:t>
      </w:r>
      <w:r w:rsidRPr="00C00255">
        <w:t xml:space="preserve"> (</w:t>
      </w:r>
      <w:r w:rsidR="00777875" w:rsidRPr="00C00255">
        <w:t>dešimčiai</w:t>
      </w:r>
      <w:r w:rsidRPr="00C00255">
        <w:t xml:space="preserve">) metų, bausmę atliekant pataisos namuose. </w:t>
      </w:r>
    </w:p>
    <w:p w:rsidR="00BB4E7E" w:rsidRPr="00C00255" w:rsidRDefault="006036E7" w:rsidP="00321748">
      <w:pPr>
        <w:pStyle w:val="ListParagraph"/>
        <w:numPr>
          <w:ilvl w:val="0"/>
          <w:numId w:val="9"/>
        </w:numPr>
        <w:ind w:left="992" w:hanging="567"/>
      </w:pPr>
      <w:r>
        <w:rPr>
          <w:b/>
        </w:rPr>
        <w:t>S. M.</w:t>
      </w:r>
      <w:r w:rsidR="00BB4E7E" w:rsidRPr="00C00255">
        <w:rPr>
          <w:b/>
        </w:rPr>
        <w:t xml:space="preserve"> </w:t>
      </w:r>
      <w:r w:rsidR="00BB4E7E" w:rsidRPr="00C00255">
        <w:t xml:space="preserve">pripažintas kaltu ir nubaustas: </w:t>
      </w:r>
    </w:p>
    <w:p w:rsidR="00806422" w:rsidRPr="00C00255" w:rsidRDefault="00806422"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806422" w:rsidRPr="00C00255" w:rsidRDefault="00777875" w:rsidP="00321748">
      <w:pPr>
        <w:pStyle w:val="ListParagraph"/>
        <w:numPr>
          <w:ilvl w:val="0"/>
          <w:numId w:val="2"/>
        </w:numPr>
        <w:shd w:val="clear" w:color="auto" w:fill="FFFFFF"/>
        <w:tabs>
          <w:tab w:val="left" w:pos="993"/>
        </w:tabs>
        <w:ind w:left="0" w:firstLine="425"/>
      </w:pPr>
      <w:r w:rsidRPr="00C00255">
        <w:t xml:space="preserve">pagal BK 103 straipsnio 1 dalį – laisvės atėmimu 5 (penkeriems) metams; </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BB4E7E" w:rsidP="00806422">
      <w:pPr>
        <w:spacing w:after="120"/>
        <w:ind w:firstLine="992"/>
      </w:pPr>
      <w:r w:rsidRPr="00C00255">
        <w:t xml:space="preserve">Vadovaujantis BK 63 straipsnio 5 dalies 1 punktu, paskirtos bausmės subendrintos apėmimo būdu ir </w:t>
      </w:r>
      <w:r w:rsidR="006036E7">
        <w:t>S. M.</w:t>
      </w:r>
      <w:r w:rsidRPr="00C00255">
        <w:t xml:space="preserve"> galutinė subendrinta bausmė paskirta laisvės atėmimas </w:t>
      </w:r>
      <w:r w:rsidR="00777875" w:rsidRPr="00C00255">
        <w:t xml:space="preserve">10 </w:t>
      </w:r>
      <w:r w:rsidRPr="00C00255">
        <w:t>(</w:t>
      </w:r>
      <w:r w:rsidR="00777875" w:rsidRPr="00C00255">
        <w:t>dešimčiai</w:t>
      </w:r>
      <w:r w:rsidRPr="00C00255">
        <w:t xml:space="preserve">) metų, bausmę atliekant pataisos namuose. </w:t>
      </w:r>
    </w:p>
    <w:p w:rsidR="00F4070A" w:rsidRPr="00C00255" w:rsidRDefault="006036E7" w:rsidP="00321748">
      <w:pPr>
        <w:pStyle w:val="ListParagraph"/>
        <w:numPr>
          <w:ilvl w:val="0"/>
          <w:numId w:val="9"/>
        </w:numPr>
        <w:ind w:left="992" w:hanging="567"/>
      </w:pPr>
      <w:r>
        <w:rPr>
          <w:b/>
        </w:rPr>
        <w:t>K. U.</w:t>
      </w:r>
      <w:r w:rsidR="00F4070A" w:rsidRPr="00C00255">
        <w:rPr>
          <w:b/>
        </w:rPr>
        <w:t xml:space="preserve"> </w:t>
      </w:r>
      <w:r w:rsidR="00F4070A" w:rsidRPr="00C00255">
        <w:t xml:space="preserve">pripažintas kaltu ir nubaustas: </w:t>
      </w:r>
    </w:p>
    <w:p w:rsidR="00806422" w:rsidRPr="00C00255" w:rsidRDefault="00806422"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5 (penkeriems) metams; </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F4070A" w:rsidP="00806422">
      <w:pPr>
        <w:shd w:val="clear" w:color="auto" w:fill="FFFFFF"/>
        <w:spacing w:after="120"/>
        <w:ind w:firstLine="992"/>
      </w:pPr>
      <w:r w:rsidRPr="00C00255">
        <w:t xml:space="preserve">Vadovaujantis BK 63 straipsnio 5 dalies 1 punktu, paskirtos bausmės subendrintos apėmimo būdu ir </w:t>
      </w:r>
      <w:r w:rsidR="006036E7">
        <w:t>K. U.</w:t>
      </w:r>
      <w:r w:rsidRPr="00C00255">
        <w:t xml:space="preserve"> galutinė subendrinta bausmė paskirta laisvės atėmimas </w:t>
      </w:r>
      <w:r w:rsidR="00777875" w:rsidRPr="00C00255">
        <w:t>10</w:t>
      </w:r>
      <w:r w:rsidR="00DE456C" w:rsidRPr="00C00255">
        <w:t> </w:t>
      </w:r>
      <w:r w:rsidRPr="00C00255">
        <w:t>(</w:t>
      </w:r>
      <w:r w:rsidR="00777875" w:rsidRPr="00C00255">
        <w:t>dešimčiai</w:t>
      </w:r>
      <w:r w:rsidRPr="00C00255">
        <w:t xml:space="preserve">) metų, bausmę atliekant pataisos namuose. </w:t>
      </w:r>
    </w:p>
    <w:p w:rsidR="00F4070A" w:rsidRPr="00C00255" w:rsidRDefault="006036E7" w:rsidP="00321748">
      <w:pPr>
        <w:pStyle w:val="ListParagraph"/>
        <w:numPr>
          <w:ilvl w:val="0"/>
          <w:numId w:val="9"/>
        </w:numPr>
        <w:shd w:val="clear" w:color="auto" w:fill="FFFFFF"/>
        <w:ind w:left="992" w:hanging="567"/>
      </w:pPr>
      <w:r>
        <w:rPr>
          <w:b/>
        </w:rPr>
        <w:t>A. F. 1</w:t>
      </w:r>
      <w:r w:rsidR="00F4070A" w:rsidRPr="00C00255">
        <w:rPr>
          <w:b/>
        </w:rPr>
        <w:t xml:space="preserve"> </w:t>
      </w:r>
      <w:r w:rsidR="00F4070A" w:rsidRPr="00C00255">
        <w:t xml:space="preserve">pripažintas kaltu ir nubaustas: </w:t>
      </w:r>
    </w:p>
    <w:p w:rsidR="00806422" w:rsidRPr="00C00255" w:rsidRDefault="00806422"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5 (penkeriems) metams; </w:t>
      </w:r>
    </w:p>
    <w:p w:rsidR="00806422"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F4070A" w:rsidP="00806422">
      <w:pPr>
        <w:spacing w:after="120"/>
        <w:ind w:firstLine="992"/>
      </w:pPr>
      <w:r w:rsidRPr="00C00255">
        <w:t xml:space="preserve">Vadovaujantis BK 63 straipsnio 5 dalies 1 punktu, paskirtos bausmės subendrintos apėmimo būdu ir </w:t>
      </w:r>
      <w:r w:rsidR="006036E7">
        <w:t>A. F. 1</w:t>
      </w:r>
      <w:r w:rsidRPr="00C00255">
        <w:t xml:space="preserve"> galutinė subendrinta bausmė paskirta laisvės atėmimas </w:t>
      </w:r>
      <w:r w:rsidR="00DE456C" w:rsidRPr="00C00255">
        <w:t>10 </w:t>
      </w:r>
      <w:r w:rsidRPr="00C00255">
        <w:t>(</w:t>
      </w:r>
      <w:r w:rsidR="00777875" w:rsidRPr="00C00255">
        <w:t>dešimčiai</w:t>
      </w:r>
      <w:r w:rsidRPr="00C00255">
        <w:t xml:space="preserve">) metų, bausmę atliekant pataisos namuose. </w:t>
      </w:r>
    </w:p>
    <w:p w:rsidR="00F4070A" w:rsidRPr="00C00255" w:rsidRDefault="006036E7" w:rsidP="00321748">
      <w:pPr>
        <w:pStyle w:val="ListParagraph"/>
        <w:numPr>
          <w:ilvl w:val="0"/>
          <w:numId w:val="9"/>
        </w:numPr>
        <w:ind w:left="992" w:hanging="567"/>
      </w:pPr>
      <w:r>
        <w:rPr>
          <w:b/>
        </w:rPr>
        <w:t>A. N. 2</w:t>
      </w:r>
      <w:r w:rsidR="00F4070A" w:rsidRPr="00C00255">
        <w:rPr>
          <w:b/>
        </w:rPr>
        <w:t xml:space="preserve"> </w:t>
      </w:r>
      <w:r w:rsidR="00F4070A" w:rsidRPr="00C00255">
        <w:t>pripažintas kaltu</w:t>
      </w:r>
      <w:r w:rsidR="00777875" w:rsidRPr="00C00255">
        <w:t xml:space="preserve"> ir nubaustas</w:t>
      </w:r>
      <w:r w:rsidR="00F4070A" w:rsidRPr="00C00255">
        <w:t xml:space="preserve">: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5 (penkeriems)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F4070A" w:rsidP="004A0689">
      <w:pPr>
        <w:spacing w:after="120"/>
        <w:ind w:firstLine="992"/>
      </w:pPr>
      <w:r w:rsidRPr="00C00255">
        <w:t xml:space="preserve">Vadovaujantis BK 63 straipsnio 5 dalies 1 punktu, paskirtos bausmės subendrintos apėmimo būdu ir </w:t>
      </w:r>
      <w:r w:rsidR="006036E7">
        <w:t>A. N. 2</w:t>
      </w:r>
      <w:r w:rsidRPr="00C00255">
        <w:t xml:space="preserve"> galutinė subendrinta bausmė paskirta laisvės atėmimas </w:t>
      </w:r>
      <w:r w:rsidR="00777875" w:rsidRPr="00C00255">
        <w:t>10</w:t>
      </w:r>
      <w:r w:rsidR="00DE456C" w:rsidRPr="00C00255">
        <w:t> </w:t>
      </w:r>
      <w:r w:rsidRPr="00C00255">
        <w:t>(</w:t>
      </w:r>
      <w:r w:rsidR="00777875" w:rsidRPr="00C00255">
        <w:t>dešimčiai</w:t>
      </w:r>
      <w:r w:rsidRPr="00C00255">
        <w:t xml:space="preserve">) metų, bausmę atliekant pataisos namuose. </w:t>
      </w:r>
    </w:p>
    <w:p w:rsidR="00F4070A" w:rsidRPr="00C00255" w:rsidRDefault="006036E7" w:rsidP="00321748">
      <w:pPr>
        <w:pStyle w:val="ListParagraph"/>
        <w:numPr>
          <w:ilvl w:val="0"/>
          <w:numId w:val="9"/>
        </w:numPr>
        <w:ind w:left="992" w:hanging="567"/>
      </w:pPr>
      <w:r>
        <w:rPr>
          <w:b/>
        </w:rPr>
        <w:t>E. M.</w:t>
      </w:r>
      <w:r w:rsidR="00F4070A" w:rsidRPr="00C00255">
        <w:t xml:space="preserve"> 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 – laisvės atėmimu 10 (dešimčiai) metų;</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w:t>
      </w:r>
      <w:r w:rsidR="000C727C" w:rsidRPr="00C00255">
        <w:t xml:space="preserve"> </w:t>
      </w:r>
      <w:r w:rsidRPr="00C00255">
        <w:t xml:space="preserve">laisvės atėmimu 12 (dvylikai) metų; </w:t>
      </w:r>
    </w:p>
    <w:p w:rsidR="004A0689" w:rsidRPr="00C00255" w:rsidRDefault="00777875" w:rsidP="00321748">
      <w:pPr>
        <w:pStyle w:val="ListParagraph"/>
        <w:numPr>
          <w:ilvl w:val="0"/>
          <w:numId w:val="2"/>
        </w:numPr>
        <w:shd w:val="clear" w:color="auto" w:fill="FFFFFF"/>
        <w:tabs>
          <w:tab w:val="left" w:pos="993"/>
        </w:tabs>
        <w:ind w:left="0" w:firstLine="425"/>
      </w:pPr>
      <w:r w:rsidRPr="00C00255">
        <w:t xml:space="preserve">pagal BK 103 straipsnio 1 dalį – laisvės atėmimu 6 (šešeriems)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F4070A" w:rsidP="004A0689">
      <w:pPr>
        <w:spacing w:after="120"/>
        <w:ind w:firstLine="992"/>
      </w:pPr>
      <w:r w:rsidRPr="00C00255">
        <w:lastRenderedPageBreak/>
        <w:t xml:space="preserve">Vadovaujantis BK 63 straipsnio 5 dalies 1 punktu, paskirtos bausmės subendrintos apėmimo būdu ir </w:t>
      </w:r>
      <w:r w:rsidR="006036E7">
        <w:t>E. M.</w:t>
      </w:r>
      <w:r w:rsidRPr="00C00255">
        <w:t xml:space="preserve"> galutinė subendrinta bausmė paskirta laisvės atėmimas </w:t>
      </w:r>
      <w:r w:rsidR="00777875" w:rsidRPr="00C00255">
        <w:t>12</w:t>
      </w:r>
      <w:r w:rsidR="00DE456C" w:rsidRPr="00C00255">
        <w:t> </w:t>
      </w:r>
      <w:r w:rsidRPr="00C00255">
        <w:t>(</w:t>
      </w:r>
      <w:r w:rsidR="00777875" w:rsidRPr="00C00255">
        <w:t>dvylikai</w:t>
      </w:r>
      <w:r w:rsidRPr="00C00255">
        <w:t xml:space="preserve">) metų, bausmę atliekant pataisos namuose. </w:t>
      </w:r>
    </w:p>
    <w:p w:rsidR="00F4070A" w:rsidRPr="00C00255" w:rsidRDefault="006036E7" w:rsidP="00321748">
      <w:pPr>
        <w:pStyle w:val="ListParagraph"/>
        <w:numPr>
          <w:ilvl w:val="0"/>
          <w:numId w:val="9"/>
        </w:numPr>
        <w:ind w:left="992" w:hanging="567"/>
      </w:pPr>
      <w:r>
        <w:rPr>
          <w:b/>
        </w:rPr>
        <w:t>V. G.</w:t>
      </w:r>
      <w:r w:rsidR="00F4070A" w:rsidRPr="00C00255">
        <w:rPr>
          <w:b/>
        </w:rPr>
        <w:t xml:space="preserve"> </w:t>
      </w:r>
      <w:r w:rsidR="00F4070A" w:rsidRPr="00C00255">
        <w:t xml:space="preserve">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4A0689" w:rsidRPr="00C00255" w:rsidRDefault="00777875" w:rsidP="00321748">
      <w:pPr>
        <w:pStyle w:val="ListParagraph"/>
        <w:numPr>
          <w:ilvl w:val="0"/>
          <w:numId w:val="2"/>
        </w:numPr>
        <w:shd w:val="clear" w:color="auto" w:fill="FFFFFF"/>
        <w:tabs>
          <w:tab w:val="left" w:pos="993"/>
        </w:tabs>
        <w:ind w:left="0" w:firstLine="425"/>
      </w:pPr>
      <w:r w:rsidRPr="00C00255">
        <w:t xml:space="preserve">pagal BK 103 straipsnio 1 dalį – laisvės atėmimu 5 (penkeriems)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F4070A" w:rsidRPr="00C00255" w:rsidRDefault="00F4070A" w:rsidP="004A0689">
      <w:pPr>
        <w:spacing w:after="120"/>
        <w:ind w:firstLine="992"/>
      </w:pPr>
      <w:r w:rsidRPr="00C00255">
        <w:t xml:space="preserve">Vadovaujantis BK 63 straipsnio 5 dalies 1 punktu, paskirtos bausmės subendrintos apėmimo būdu ir </w:t>
      </w:r>
      <w:r w:rsidR="006036E7">
        <w:t>V. G.</w:t>
      </w:r>
      <w:r w:rsidRPr="00C00255">
        <w:t xml:space="preserve"> galutinė subendrinta bausmė paskirta laisvės atėmimas </w:t>
      </w:r>
      <w:r w:rsidR="00777875" w:rsidRPr="00C00255">
        <w:t>10</w:t>
      </w:r>
      <w:r w:rsidR="00DE456C" w:rsidRPr="00C00255">
        <w:t> </w:t>
      </w:r>
      <w:r w:rsidRPr="00C00255">
        <w:t>(</w:t>
      </w:r>
      <w:r w:rsidR="00777875" w:rsidRPr="00C00255">
        <w:t>dešimčiai</w:t>
      </w:r>
      <w:r w:rsidRPr="00C00255">
        <w:t xml:space="preserve">) metų, bausmę atliekant pataisos namuose. </w:t>
      </w:r>
    </w:p>
    <w:p w:rsidR="00F4070A" w:rsidRPr="00C00255" w:rsidRDefault="006036E7" w:rsidP="00321748">
      <w:pPr>
        <w:pStyle w:val="ListParagraph"/>
        <w:numPr>
          <w:ilvl w:val="0"/>
          <w:numId w:val="9"/>
        </w:numPr>
        <w:ind w:left="992" w:hanging="567"/>
      </w:pPr>
      <w:r>
        <w:rPr>
          <w:b/>
        </w:rPr>
        <w:t>A. S.</w:t>
      </w:r>
      <w:r w:rsidR="00F4070A" w:rsidRPr="00C00255">
        <w:rPr>
          <w:b/>
        </w:rPr>
        <w:t xml:space="preserve"> </w:t>
      </w:r>
      <w:r w:rsidR="00F4070A" w:rsidRPr="00C00255">
        <w:t xml:space="preserve">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10 (dešimčiai) metų;</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w:t>
      </w:r>
      <w:r w:rsidR="000C727C" w:rsidRPr="00C00255">
        <w:t xml:space="preserve"> </w:t>
      </w:r>
      <w:r w:rsidRPr="00C00255">
        <w:t xml:space="preserve">laisvės atėmimu 12 (dvylikai) metų;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Pr="00C00255">
        <w:t>–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F4070A" w:rsidP="004A0689">
      <w:pPr>
        <w:spacing w:after="120"/>
        <w:ind w:firstLine="992"/>
      </w:pPr>
      <w:r w:rsidRPr="00C00255">
        <w:t xml:space="preserve">Vadovaujantis BK 63 straipsnio 5 dalies 1 punktu, paskirtos bausmės subendrintos apėmimo būdu ir </w:t>
      </w:r>
      <w:r w:rsidR="006036E7">
        <w:t>A. S.</w:t>
      </w:r>
      <w:r w:rsidRPr="00C00255">
        <w:t xml:space="preserve"> galutinė subendrinta bausmė paskirta laisvės atėmimas </w:t>
      </w:r>
      <w:r w:rsidR="00777875" w:rsidRPr="00C00255">
        <w:t>12 </w:t>
      </w:r>
      <w:r w:rsidRPr="00C00255">
        <w:t>(</w:t>
      </w:r>
      <w:r w:rsidR="00777875" w:rsidRPr="00C00255">
        <w:t>dvylikai</w:t>
      </w:r>
      <w:r w:rsidRPr="00C00255">
        <w:t>)</w:t>
      </w:r>
      <w:r w:rsidR="00777875" w:rsidRPr="00C00255">
        <w:t xml:space="preserve"> </w:t>
      </w:r>
      <w:r w:rsidRPr="00C00255">
        <w:t xml:space="preserve">metų, bausmę atliekant pataisos namuose. </w:t>
      </w:r>
    </w:p>
    <w:p w:rsidR="00F4070A" w:rsidRPr="00C00255" w:rsidRDefault="006036E7" w:rsidP="00321748">
      <w:pPr>
        <w:pStyle w:val="ListParagraph"/>
        <w:numPr>
          <w:ilvl w:val="0"/>
          <w:numId w:val="9"/>
        </w:numPr>
        <w:ind w:left="992" w:hanging="567"/>
      </w:pPr>
      <w:r>
        <w:rPr>
          <w:b/>
        </w:rPr>
        <w:t>A. L.</w:t>
      </w:r>
      <w:r w:rsidR="00F4070A" w:rsidRPr="00C00255">
        <w:t xml:space="preserve"> 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5 (penkeriems) metams; </w:t>
      </w:r>
    </w:p>
    <w:p w:rsidR="004A0689"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777875" w:rsidRPr="00C00255">
        <w:t>– laisvės atėmimu 6 (šešeriems)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77875" w:rsidRPr="00C00255" w:rsidRDefault="00F4070A" w:rsidP="004A0689">
      <w:pPr>
        <w:spacing w:after="120"/>
        <w:ind w:firstLine="992"/>
      </w:pPr>
      <w:r w:rsidRPr="00C00255">
        <w:t xml:space="preserve">Vadovaujantis BK 63 straipsnio 5 dalies 1 punktu, paskirtos bausmės subendrintos apėmimo būdu ir </w:t>
      </w:r>
      <w:r w:rsidR="006036E7">
        <w:t>A. L.</w:t>
      </w:r>
      <w:r w:rsidRPr="00C00255">
        <w:t xml:space="preserve"> galutinė subendrinta bausmė paskirta laisvės atėmimas </w:t>
      </w:r>
      <w:r w:rsidR="00777875" w:rsidRPr="00C00255">
        <w:t>10</w:t>
      </w:r>
      <w:r w:rsidR="00DE456C" w:rsidRPr="00C00255">
        <w:t> </w:t>
      </w:r>
      <w:r w:rsidRPr="00C00255">
        <w:t>(</w:t>
      </w:r>
      <w:r w:rsidR="00777875" w:rsidRPr="00C00255">
        <w:t>dešimčiai</w:t>
      </w:r>
      <w:r w:rsidRPr="00C00255">
        <w:t xml:space="preserve">) metų, bausmę atliekant pataisos namuose. </w:t>
      </w:r>
    </w:p>
    <w:p w:rsidR="00F4070A" w:rsidRPr="00C00255" w:rsidRDefault="006036E7" w:rsidP="00321748">
      <w:pPr>
        <w:pStyle w:val="ListParagraph"/>
        <w:numPr>
          <w:ilvl w:val="0"/>
          <w:numId w:val="9"/>
        </w:numPr>
        <w:ind w:left="992" w:hanging="567"/>
      </w:pPr>
      <w:r>
        <w:rPr>
          <w:b/>
        </w:rPr>
        <w:t>J. J.</w:t>
      </w:r>
      <w:r w:rsidR="00F4070A" w:rsidRPr="00C00255">
        <w:t xml:space="preserve"> 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xml:space="preserve">– laisvės atėmimu </w:t>
      </w:r>
      <w:r w:rsidR="00777875" w:rsidRPr="00C00255">
        <w:t>5 (penkeriems) metams;</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E0647C" w:rsidRPr="00C00255">
        <w:rPr>
          <w:rFonts w:eastAsia="Calibri"/>
        </w:rPr>
        <w:t>,</w:t>
      </w:r>
      <w:r w:rsidRPr="00C00255">
        <w:t xml:space="preserve"> –</w:t>
      </w:r>
      <w:r w:rsidR="000C727C" w:rsidRPr="00C00255">
        <w:t xml:space="preserve"> </w:t>
      </w:r>
      <w:r w:rsidR="00DE456C" w:rsidRPr="00C00255">
        <w:t>laisvės atėmimu 6 </w:t>
      </w:r>
      <w:r w:rsidRPr="00C00255">
        <w:t xml:space="preserve">(šešeriems)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laisvės atėmimu</w:t>
      </w:r>
      <w:r w:rsidR="000C727C" w:rsidRPr="00C00255">
        <w:t xml:space="preserve"> </w:t>
      </w:r>
      <w:r w:rsidRPr="00C00255">
        <w:t xml:space="preserve">3 (trejiems) metams; </w:t>
      </w:r>
    </w:p>
    <w:p w:rsidR="004A0689"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777875" w:rsidRPr="00C00255">
        <w:t>– laisvės atėmimu 5 (penkeriems)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777875" w:rsidRPr="00C00255" w:rsidRDefault="00F4070A" w:rsidP="004A0689">
      <w:pPr>
        <w:spacing w:after="120"/>
        <w:ind w:firstLine="992"/>
      </w:pPr>
      <w:r w:rsidRPr="00C00255">
        <w:t xml:space="preserve">Vadovaujantis BK 63 straipsnio 5 dalies 1 punktu, paskirtos bausmės subendrintos apėmimo būdu ir </w:t>
      </w:r>
      <w:r w:rsidR="006036E7">
        <w:t>J. J.</w:t>
      </w:r>
      <w:r w:rsidRPr="00C00255">
        <w:t xml:space="preserve"> galutinė subendrinta bausmė paskirta laisvės atėmimas </w:t>
      </w:r>
      <w:r w:rsidR="00DE456C" w:rsidRPr="00C00255">
        <w:t>6 </w:t>
      </w:r>
      <w:r w:rsidRPr="00C00255">
        <w:t>(</w:t>
      </w:r>
      <w:r w:rsidR="00777875" w:rsidRPr="00C00255">
        <w:t>šešeriems</w:t>
      </w:r>
      <w:r w:rsidRPr="00C00255">
        <w:t xml:space="preserve">) metams, bausmę atliekant pataisos namuose. </w:t>
      </w:r>
    </w:p>
    <w:p w:rsidR="002E60C0" w:rsidRPr="00C00255" w:rsidRDefault="006036E7" w:rsidP="00321748">
      <w:pPr>
        <w:pStyle w:val="ListParagraph"/>
        <w:numPr>
          <w:ilvl w:val="0"/>
          <w:numId w:val="9"/>
        </w:numPr>
        <w:ind w:left="992" w:hanging="567"/>
      </w:pPr>
      <w:r>
        <w:rPr>
          <w:b/>
        </w:rPr>
        <w:t>A. F. 2</w:t>
      </w:r>
      <w:r w:rsidR="002E60C0" w:rsidRPr="00C00255">
        <w:t xml:space="preserve"> pripažintas kaltu </w:t>
      </w:r>
      <w:r w:rsidR="00777875" w:rsidRPr="00C00255">
        <w:t>ir nubaustas</w:t>
      </w:r>
      <w:r w:rsidR="002E60C0" w:rsidRPr="00C00255">
        <w:t xml:space="preserve">: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 – laisvės atėmimu 5 (penkeriems) metams;</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760024" w:rsidRPr="00C00255">
        <w:rPr>
          <w:rFonts w:eastAsia="Calibri"/>
        </w:rPr>
        <w:t>,</w:t>
      </w:r>
      <w:r w:rsidRPr="00C00255">
        <w:t xml:space="preserve"> –</w:t>
      </w:r>
      <w:r w:rsidR="000C727C" w:rsidRPr="00C00255">
        <w:t xml:space="preserve"> </w:t>
      </w:r>
      <w:r w:rsidRPr="00C00255">
        <w:t>laisvės atė</w:t>
      </w:r>
      <w:r w:rsidR="00DE456C" w:rsidRPr="00C00255">
        <w:t>mimu 6 </w:t>
      </w:r>
      <w:r w:rsidRPr="00C00255">
        <w:t xml:space="preserve">(šešeriems)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laisvės atėmimu</w:t>
      </w:r>
      <w:r w:rsidR="000C727C" w:rsidRPr="00C00255">
        <w:t xml:space="preserve"> </w:t>
      </w:r>
      <w:r w:rsidRPr="00C00255">
        <w:t xml:space="preserve">3 (trejiems)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 – laisvės atėmimu 5 (penkeriems) metams;</w:t>
      </w:r>
    </w:p>
    <w:p w:rsidR="00777875"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777875" w:rsidRPr="00C00255" w:rsidRDefault="002E60C0" w:rsidP="004A0689">
      <w:pPr>
        <w:spacing w:after="120"/>
        <w:ind w:firstLine="992"/>
      </w:pPr>
      <w:r w:rsidRPr="00C00255">
        <w:lastRenderedPageBreak/>
        <w:t xml:space="preserve">Vadovaujantis BK 63 straipsnio 5 dalies 1 punktu, paskirtos bausmės subendrintos apėmimo būdu ir </w:t>
      </w:r>
      <w:r w:rsidR="006036E7">
        <w:t>A. F. 2</w:t>
      </w:r>
      <w:r w:rsidRPr="00C00255">
        <w:t xml:space="preserve"> galutinė subendrinta bausmė paskirta laisvės atėmimas </w:t>
      </w:r>
      <w:r w:rsidR="00777875" w:rsidRPr="00C00255">
        <w:t>6</w:t>
      </w:r>
      <w:r w:rsidR="00DE456C" w:rsidRPr="00C00255">
        <w:t> </w:t>
      </w:r>
      <w:r w:rsidRPr="00C00255">
        <w:t>(</w:t>
      </w:r>
      <w:r w:rsidR="00777875" w:rsidRPr="00C00255">
        <w:t>šešeriems</w:t>
      </w:r>
      <w:r w:rsidRPr="00C00255">
        <w:t>) metams, bausmę atliekant pataisos namuose.</w:t>
      </w:r>
      <w:r w:rsidR="000C727C" w:rsidRPr="00C00255">
        <w:t xml:space="preserve"> </w:t>
      </w:r>
    </w:p>
    <w:p w:rsidR="002E60C0" w:rsidRPr="00C00255" w:rsidRDefault="006036E7" w:rsidP="00321748">
      <w:pPr>
        <w:pStyle w:val="ListParagraph"/>
        <w:numPr>
          <w:ilvl w:val="0"/>
          <w:numId w:val="9"/>
        </w:numPr>
        <w:ind w:left="992" w:hanging="567"/>
      </w:pPr>
      <w:r>
        <w:rPr>
          <w:b/>
        </w:rPr>
        <w:t>A. I.</w:t>
      </w:r>
      <w:r w:rsidR="002E60C0" w:rsidRPr="00C00255">
        <w:t xml:space="preserve"> pripažintas kaltu </w:t>
      </w:r>
      <w:r w:rsidR="00777875" w:rsidRPr="00C00255">
        <w:t>ir nubaustas</w:t>
      </w:r>
      <w:r w:rsidR="002E60C0" w:rsidRPr="00C00255">
        <w:t xml:space="preserve">: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777875" w:rsidRPr="00C00255">
        <w:rPr>
          <w:rFonts w:eastAsia="Calibri"/>
        </w:rPr>
        <w:t>, pritaikius BK 54 straipsnio 3 dalies nuostatas</w:t>
      </w:r>
      <w:r w:rsidR="00E0647C" w:rsidRPr="00C00255">
        <w:rPr>
          <w:rFonts w:eastAsia="Calibri"/>
        </w:rPr>
        <w:t>,</w:t>
      </w:r>
      <w:r w:rsidR="00DE456C" w:rsidRPr="00C00255">
        <w:t xml:space="preserve"> – laisvės atėmimu 3 </w:t>
      </w:r>
      <w:r w:rsidR="00777875" w:rsidRPr="00C00255">
        <w:t>(trejiems) metams;</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E0647C"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4A0689"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777875" w:rsidRPr="00C00255">
        <w:t xml:space="preserve"> – laisvės atėmimu</w:t>
      </w:r>
      <w:r w:rsidR="000C727C" w:rsidRPr="00C00255">
        <w:t xml:space="preserve"> </w:t>
      </w:r>
      <w:r w:rsidR="00777875" w:rsidRPr="00C00255">
        <w:t xml:space="preserve">3 (trejiems) metams; </w:t>
      </w:r>
    </w:p>
    <w:p w:rsidR="004A0689" w:rsidRPr="00C00255" w:rsidRDefault="00777875"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E0647C" w:rsidRPr="00C00255">
        <w:rPr>
          <w:rFonts w:eastAsia="Calibri"/>
        </w:rPr>
        <w:t>,</w:t>
      </w:r>
      <w:r w:rsidR="000C727C" w:rsidRPr="00C00255">
        <w:t xml:space="preserve"> </w:t>
      </w:r>
      <w:r w:rsidRPr="00C00255">
        <w:t>– laisvės atėmimu 3 (trejiems) metams;</w:t>
      </w:r>
    </w:p>
    <w:p w:rsidR="002E60C0" w:rsidRPr="00C00255" w:rsidRDefault="00777875"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FF24A1" w:rsidRPr="00C00255" w:rsidRDefault="002E60C0" w:rsidP="004A0689">
      <w:pPr>
        <w:spacing w:after="120"/>
        <w:ind w:firstLine="992"/>
      </w:pPr>
      <w:r w:rsidRPr="00C00255">
        <w:t xml:space="preserve">Vadovaujantis BK 63 straipsnio 5 dalies 1 punktu, paskirtos bausmės subendrintos apėmimo būdu ir </w:t>
      </w:r>
      <w:r w:rsidR="006036E7">
        <w:t>A. I.</w:t>
      </w:r>
      <w:r w:rsidRPr="00C00255">
        <w:t xml:space="preserve"> galutinė subendrinta bausmė paskirta </w:t>
      </w:r>
      <w:r w:rsidR="00DE456C" w:rsidRPr="00C00255">
        <w:t>laisvės atėmimas 4 </w:t>
      </w:r>
      <w:r w:rsidR="00777875" w:rsidRPr="00C00255">
        <w:t xml:space="preserve">(ketveriems) </w:t>
      </w:r>
      <w:r w:rsidRPr="00C00255">
        <w:t xml:space="preserve">metams, bausmę atliekant pataisos namuose. </w:t>
      </w:r>
    </w:p>
    <w:p w:rsidR="002E60C0" w:rsidRPr="00C00255" w:rsidRDefault="006036E7" w:rsidP="00321748">
      <w:pPr>
        <w:pStyle w:val="ListParagraph"/>
        <w:numPr>
          <w:ilvl w:val="0"/>
          <w:numId w:val="9"/>
        </w:numPr>
        <w:ind w:left="992" w:hanging="567"/>
      </w:pPr>
      <w:r>
        <w:rPr>
          <w:b/>
        </w:rPr>
        <w:t>A. C.</w:t>
      </w:r>
      <w:r w:rsidR="002E60C0" w:rsidRPr="00C00255">
        <w:rPr>
          <w:b/>
        </w:rPr>
        <w:t xml:space="preserve"> </w:t>
      </w:r>
      <w:r w:rsidR="002E60C0" w:rsidRPr="00C00255">
        <w:t xml:space="preserve">pripažintas kaltu </w:t>
      </w:r>
      <w:r w:rsidR="00FF24A1" w:rsidRPr="00C00255">
        <w:t>ir nubaustas</w:t>
      </w:r>
      <w:r w:rsidR="002E60C0" w:rsidRPr="00C00255">
        <w:t xml:space="preserve">: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Pr="00C00255">
        <w:rPr>
          <w:rFonts w:eastAsia="Calibri"/>
        </w:rPr>
        <w:t>, pritaikius BK 54 straipsnio 3 dalies nuostatas</w:t>
      </w:r>
      <w:r w:rsidR="00E0647C" w:rsidRPr="00C00255">
        <w:rPr>
          <w:rFonts w:eastAsia="Calibri"/>
        </w:rPr>
        <w:t>,</w:t>
      </w:r>
      <w:r w:rsidR="00DE456C" w:rsidRPr="00C00255">
        <w:t xml:space="preserve"> – laisvės atėmimu 3 </w:t>
      </w:r>
      <w:r w:rsidRPr="00C00255">
        <w:t>(trejiems) metams;</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E0647C"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laisvės atėmimu</w:t>
      </w:r>
      <w:r w:rsidR="000C727C" w:rsidRPr="00C00255">
        <w:t xml:space="preserve"> </w:t>
      </w:r>
      <w:r w:rsidRPr="00C00255">
        <w:t xml:space="preserve">3 (trejiems)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760024" w:rsidRPr="00C00255">
        <w:rPr>
          <w:rFonts w:eastAsia="Calibri"/>
        </w:rPr>
        <w:t>,</w:t>
      </w:r>
      <w:r w:rsidR="000C727C" w:rsidRPr="00C00255">
        <w:t xml:space="preserve"> </w:t>
      </w:r>
      <w:r w:rsidRPr="00C00255">
        <w:t>– laisvės atėmimu 3 (trejiems)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FF24A1" w:rsidRPr="00C00255" w:rsidRDefault="002E60C0" w:rsidP="004A0689">
      <w:pPr>
        <w:spacing w:after="120"/>
        <w:ind w:firstLine="992"/>
      </w:pPr>
      <w:r w:rsidRPr="00C00255">
        <w:t xml:space="preserve">Vadovaujantis BK 63 straipsnio 5 dalies 1 punktu, paskirtos bausmės subendrintos apėmimo būdu ir </w:t>
      </w:r>
      <w:r w:rsidR="006036E7">
        <w:t>A. C.</w:t>
      </w:r>
      <w:r w:rsidRPr="00C00255">
        <w:t xml:space="preserve"> galutinė subendrinta bausmė paskirta laisvės atėmimas </w:t>
      </w:r>
      <w:r w:rsidR="00FF24A1" w:rsidRPr="00C00255">
        <w:t>4</w:t>
      </w:r>
      <w:r w:rsidR="00DE456C" w:rsidRPr="00C00255">
        <w:t> </w:t>
      </w:r>
      <w:r w:rsidRPr="00C00255">
        <w:t>(</w:t>
      </w:r>
      <w:r w:rsidR="00FF24A1" w:rsidRPr="00C00255">
        <w:t>ketveriems</w:t>
      </w:r>
      <w:r w:rsidRPr="00C00255">
        <w:t xml:space="preserve">) metams, bausmę atliekant pataisos namuose. </w:t>
      </w:r>
    </w:p>
    <w:p w:rsidR="00526360" w:rsidRPr="00C00255" w:rsidRDefault="006036E7" w:rsidP="00321748">
      <w:pPr>
        <w:pStyle w:val="ListParagraph"/>
        <w:numPr>
          <w:ilvl w:val="0"/>
          <w:numId w:val="9"/>
        </w:numPr>
        <w:ind w:left="992" w:hanging="567"/>
      </w:pPr>
      <w:r>
        <w:rPr>
          <w:b/>
        </w:rPr>
        <w:t>A. Ž.</w:t>
      </w:r>
      <w:r w:rsidR="00526360" w:rsidRPr="00C00255">
        <w:rPr>
          <w:b/>
        </w:rPr>
        <w:t xml:space="preserve"> </w:t>
      </w:r>
      <w:r w:rsidR="00526360" w:rsidRPr="00C00255">
        <w:t xml:space="preserve">pripažintas kaltu </w:t>
      </w:r>
      <w:r w:rsidR="00FF24A1" w:rsidRPr="00C00255">
        <w:t>ir nubaustas</w:t>
      </w:r>
      <w:r w:rsidR="00526360" w:rsidRPr="00C00255">
        <w:t xml:space="preserve">: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 – laisvės atėmimu 10 (dešimčiai)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4A0689"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FF24A1"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FF24A1" w:rsidRPr="00C00255" w:rsidRDefault="00526360" w:rsidP="004A0689">
      <w:pPr>
        <w:spacing w:after="120"/>
        <w:ind w:firstLine="992"/>
      </w:pPr>
      <w:r w:rsidRPr="00C00255">
        <w:t xml:space="preserve">Vadovaujantis BK 63 straipsnio 5 dalies 1 punktu, paskirtos bausmės subendrintos apėmimo būdu ir </w:t>
      </w:r>
      <w:r w:rsidR="006036E7">
        <w:t>A. Ž.</w:t>
      </w:r>
      <w:r w:rsidRPr="00C00255">
        <w:t xml:space="preserve"> galutinė subendrinta bausmė paskirta laisvės atėmimas </w:t>
      </w:r>
      <w:r w:rsidR="00DE456C" w:rsidRPr="00C00255">
        <w:t>10 </w:t>
      </w:r>
      <w:r w:rsidRPr="00C00255">
        <w:t>(</w:t>
      </w:r>
      <w:r w:rsidR="00FF24A1" w:rsidRPr="00C00255">
        <w:t>dešimčiai</w:t>
      </w:r>
      <w:r w:rsidRPr="00C00255">
        <w:t xml:space="preserve">) metų, bausmę atliekant pataisos namuose. </w:t>
      </w:r>
    </w:p>
    <w:p w:rsidR="00526360" w:rsidRPr="00C00255" w:rsidRDefault="006036E7" w:rsidP="00321748">
      <w:pPr>
        <w:pStyle w:val="ListParagraph"/>
        <w:numPr>
          <w:ilvl w:val="0"/>
          <w:numId w:val="9"/>
        </w:numPr>
        <w:ind w:left="992" w:hanging="567"/>
      </w:pPr>
      <w:r>
        <w:rPr>
          <w:b/>
        </w:rPr>
        <w:t>V. U. 1</w:t>
      </w:r>
      <w:r w:rsidR="00526360" w:rsidRPr="00C00255">
        <w:rPr>
          <w:b/>
        </w:rPr>
        <w:t xml:space="preserve"> </w:t>
      </w:r>
      <w:r w:rsidR="00526360" w:rsidRPr="00C00255">
        <w:t xml:space="preserve">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 xml:space="preserve">pagal BK 100 straipsnį – laisvės atėmimu </w:t>
      </w:r>
      <w:r w:rsidR="00FF24A1" w:rsidRPr="00C00255">
        <w:t>12 (dvylikai)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w:t>
      </w:r>
      <w:r w:rsidR="000C727C" w:rsidRPr="00C00255">
        <w:t xml:space="preserve"> </w:t>
      </w:r>
      <w:r w:rsidRPr="00C00255">
        <w:t>laisvės atėmimu 14 (keturiolikai) metų;</w:t>
      </w:r>
      <w:r w:rsidR="000C727C" w:rsidRPr="00C00255">
        <w:t xml:space="preserve">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8 (aštuoneriems)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FF24A1" w:rsidRPr="00C00255" w:rsidRDefault="00526360" w:rsidP="004A0689">
      <w:pPr>
        <w:spacing w:after="120"/>
        <w:ind w:firstLine="992"/>
      </w:pPr>
      <w:r w:rsidRPr="00C00255">
        <w:t xml:space="preserve">Vadovaujantis BK 63 straipsnio 5 dalies 1 punktu, paskirtos bausmės subendrintos apėmimo būdu ir </w:t>
      </w:r>
      <w:r w:rsidR="006036E7">
        <w:t>V. U. 1</w:t>
      </w:r>
      <w:r w:rsidRPr="00C00255">
        <w:t xml:space="preserve"> galutinė subendrinta bausmė paskirta laisvės atėmimas </w:t>
      </w:r>
      <w:r w:rsidR="00FF24A1" w:rsidRPr="00C00255">
        <w:t>14</w:t>
      </w:r>
      <w:r w:rsidR="0033295F" w:rsidRPr="00C00255">
        <w:t> </w:t>
      </w:r>
      <w:r w:rsidRPr="00C00255">
        <w:t>(</w:t>
      </w:r>
      <w:r w:rsidR="00FF24A1" w:rsidRPr="00C00255">
        <w:t>keturiolikai</w:t>
      </w:r>
      <w:r w:rsidRPr="00C00255">
        <w:t xml:space="preserve">) metų, bausmę atliekant pataisos namuose. </w:t>
      </w:r>
    </w:p>
    <w:p w:rsidR="00A77FEC" w:rsidRPr="00C00255" w:rsidRDefault="006036E7" w:rsidP="00321748">
      <w:pPr>
        <w:pStyle w:val="ListParagraph"/>
        <w:numPr>
          <w:ilvl w:val="0"/>
          <w:numId w:val="9"/>
        </w:numPr>
        <w:ind w:left="992" w:hanging="567"/>
      </w:pPr>
      <w:r>
        <w:rPr>
          <w:b/>
        </w:rPr>
        <w:t>G. B.</w:t>
      </w:r>
      <w:r w:rsidR="00A77FEC" w:rsidRPr="00C00255">
        <w:rPr>
          <w:b/>
        </w:rPr>
        <w:t xml:space="preserve"> </w:t>
      </w:r>
      <w:r w:rsidR="00A77FEC" w:rsidRPr="00C00255">
        <w:t xml:space="preserve">pripažintas kaltu </w:t>
      </w:r>
      <w:r w:rsidR="00FF24A1" w:rsidRPr="00C00255">
        <w:t>ir nubaustas</w:t>
      </w:r>
      <w:r w:rsidR="00A77FEC" w:rsidRPr="00C00255">
        <w:t xml:space="preserve">: </w:t>
      </w:r>
    </w:p>
    <w:p w:rsidR="004A0689" w:rsidRPr="00C00255" w:rsidRDefault="004A0689" w:rsidP="00321748">
      <w:pPr>
        <w:pStyle w:val="ListParagraph"/>
        <w:numPr>
          <w:ilvl w:val="0"/>
          <w:numId w:val="2"/>
        </w:numPr>
        <w:shd w:val="clear" w:color="auto" w:fill="FFFFFF"/>
        <w:tabs>
          <w:tab w:val="left" w:pos="993"/>
        </w:tabs>
        <w:ind w:left="0" w:firstLine="425"/>
      </w:pPr>
      <w:r w:rsidRPr="00C00255">
        <w:lastRenderedPageBreak/>
        <w:t>pagal BK 100 straipsnį</w:t>
      </w:r>
      <w:r w:rsidRPr="00C00255">
        <w:rPr>
          <w:rFonts w:eastAsia="Calibri"/>
        </w:rPr>
        <w:t>, pritaikius BK 54 straipsnio 3 dalies nuostatas</w:t>
      </w:r>
      <w:r w:rsidR="00E0647C" w:rsidRPr="00C00255">
        <w:rPr>
          <w:rFonts w:eastAsia="Calibri"/>
        </w:rPr>
        <w:t>,</w:t>
      </w:r>
      <w:r w:rsidR="00DE456C" w:rsidRPr="00C00255">
        <w:t xml:space="preserve"> – laisvės atėmimu 3 </w:t>
      </w:r>
      <w:r w:rsidRPr="00C00255">
        <w:t>(trejiems) metams;</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E0647C"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w:t>
      </w:r>
      <w:r w:rsidR="00DE456C" w:rsidRPr="00C00255">
        <w:t>į</w:t>
      </w:r>
      <w:r w:rsidRPr="00C00255">
        <w:t xml:space="preserve"> – laisvės atėmimu</w:t>
      </w:r>
      <w:r w:rsidR="000C727C" w:rsidRPr="00C00255">
        <w:t xml:space="preserve"> </w:t>
      </w:r>
      <w:r w:rsidRPr="00C00255">
        <w:t xml:space="preserve">3 (trejiems)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E0647C" w:rsidRPr="00C00255">
        <w:rPr>
          <w:rFonts w:eastAsia="Calibri"/>
        </w:rPr>
        <w:t>,</w:t>
      </w:r>
      <w:r w:rsidR="000C727C" w:rsidRPr="00C00255">
        <w:t xml:space="preserve"> </w:t>
      </w:r>
      <w:r w:rsidRPr="00C00255">
        <w:t>– laisvės atėmimu 3 (trejiems)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FF24A1" w:rsidRPr="00C00255" w:rsidRDefault="00A77FEC" w:rsidP="004A0689">
      <w:pPr>
        <w:spacing w:after="120"/>
        <w:ind w:firstLine="992"/>
      </w:pPr>
      <w:r w:rsidRPr="00C00255">
        <w:t xml:space="preserve">Vadovaujantis BK 63 straipsnio 5 dalies 1 punktu, paskirtos bausmės subendrintos apėmimo būdu ir </w:t>
      </w:r>
      <w:r w:rsidR="006036E7">
        <w:t>G. B.</w:t>
      </w:r>
      <w:r w:rsidRPr="00C00255">
        <w:t xml:space="preserve"> galutinė subendrinta bausmė paskirta laisvės atėmimas </w:t>
      </w:r>
      <w:r w:rsidR="00DE456C" w:rsidRPr="00C00255">
        <w:t>4 </w:t>
      </w:r>
      <w:r w:rsidRPr="00C00255">
        <w:t>(</w:t>
      </w:r>
      <w:r w:rsidR="00FF24A1" w:rsidRPr="00C00255">
        <w:t>ketveriems</w:t>
      </w:r>
      <w:r w:rsidRPr="00C00255">
        <w:t xml:space="preserve">) metams, bausmę atliekant pataisos namuose. </w:t>
      </w:r>
    </w:p>
    <w:p w:rsidR="00A77FEC" w:rsidRPr="00C00255" w:rsidRDefault="00BA18FA" w:rsidP="00321748">
      <w:pPr>
        <w:pStyle w:val="ListParagraph"/>
        <w:numPr>
          <w:ilvl w:val="0"/>
          <w:numId w:val="9"/>
        </w:numPr>
        <w:ind w:left="992" w:hanging="567"/>
      </w:pPr>
      <w:r>
        <w:rPr>
          <w:b/>
        </w:rPr>
        <w:t>G. I.</w:t>
      </w:r>
      <w:r w:rsidR="00A77FEC" w:rsidRPr="00C00255">
        <w:t xml:space="preserve"> </w:t>
      </w:r>
      <w:r w:rsidR="00FF24A1" w:rsidRPr="00C00255">
        <w:t>pripažintas kaltu ir nubaustas</w:t>
      </w:r>
      <w:r w:rsidR="00A77FEC" w:rsidRPr="00C00255">
        <w:t xml:space="preserve">: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Pr="00C00255">
        <w:rPr>
          <w:rFonts w:eastAsia="Calibri"/>
        </w:rPr>
        <w:t>, pritaikius BK 54 straipsnio 3 dalies nuostatas</w:t>
      </w:r>
      <w:r w:rsidR="00E0647C" w:rsidRPr="00C00255">
        <w:rPr>
          <w:rFonts w:eastAsia="Calibri"/>
        </w:rPr>
        <w:t>,</w:t>
      </w:r>
      <w:r w:rsidR="00DE456C" w:rsidRPr="00C00255">
        <w:t xml:space="preserve"> – laisvės atėmimu 3 </w:t>
      </w:r>
      <w:r w:rsidRPr="00C00255">
        <w:t>(trejiems) metams;</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E0647C"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laisvės atėmimu</w:t>
      </w:r>
      <w:r w:rsidR="000C727C" w:rsidRPr="00C00255">
        <w:t xml:space="preserve"> </w:t>
      </w:r>
      <w:r w:rsidRPr="00C00255">
        <w:t xml:space="preserve">3 (trejiems)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E0647C" w:rsidRPr="00C00255">
        <w:rPr>
          <w:rFonts w:eastAsia="Calibri"/>
        </w:rPr>
        <w:t>,</w:t>
      </w:r>
      <w:r w:rsidR="000C727C" w:rsidRPr="00C00255">
        <w:t xml:space="preserve"> </w:t>
      </w:r>
      <w:r w:rsidRPr="00C00255">
        <w:t>– laisvės atėmimu 3 (trejiems)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FF24A1" w:rsidRPr="00C00255" w:rsidRDefault="00A77FEC" w:rsidP="004A0689">
      <w:pPr>
        <w:spacing w:after="120"/>
        <w:ind w:firstLine="992"/>
      </w:pPr>
      <w:r w:rsidRPr="00C00255">
        <w:t xml:space="preserve">Vadovaujantis BK 63 straipsnio 5 dalies 1 punktu, paskirtos bausmės subendrintos apėmimo būdu ir </w:t>
      </w:r>
      <w:r w:rsidR="00BA18FA">
        <w:t>G. I.</w:t>
      </w:r>
      <w:r w:rsidRPr="00C00255">
        <w:t xml:space="preserve"> galutinė subendrinta bausmė paskirta laisvės atėmimas </w:t>
      </w:r>
      <w:r w:rsidR="00DE456C" w:rsidRPr="00C00255">
        <w:t>4 </w:t>
      </w:r>
      <w:r w:rsidRPr="00C00255">
        <w:t>(</w:t>
      </w:r>
      <w:r w:rsidR="00FF24A1" w:rsidRPr="00C00255">
        <w:t>ketveriems</w:t>
      </w:r>
      <w:r w:rsidRPr="00C00255">
        <w:t xml:space="preserve">) metams, bausmę atliekant pataisos namuose. </w:t>
      </w:r>
    </w:p>
    <w:p w:rsidR="00A77FEC" w:rsidRPr="00C00255" w:rsidRDefault="004069BF" w:rsidP="00321748">
      <w:pPr>
        <w:pStyle w:val="ListParagraph"/>
        <w:numPr>
          <w:ilvl w:val="0"/>
          <w:numId w:val="9"/>
        </w:numPr>
        <w:ind w:left="992" w:hanging="567"/>
      </w:pPr>
      <w:r>
        <w:rPr>
          <w:b/>
        </w:rPr>
        <w:t>N. A.</w:t>
      </w:r>
      <w:r w:rsidR="00A77FEC" w:rsidRPr="00C00255">
        <w:rPr>
          <w:b/>
        </w:rPr>
        <w:t xml:space="preserve"> </w:t>
      </w:r>
      <w:r w:rsidR="00A77FEC" w:rsidRPr="00C00255">
        <w:t xml:space="preserve">pripažintas kaltu ir nubaustas: </w:t>
      </w:r>
    </w:p>
    <w:p w:rsidR="004A0689" w:rsidRPr="00C00255" w:rsidRDefault="00DE456C" w:rsidP="00321748">
      <w:pPr>
        <w:pStyle w:val="ListParagraph"/>
        <w:numPr>
          <w:ilvl w:val="0"/>
          <w:numId w:val="2"/>
        </w:numPr>
        <w:shd w:val="clear" w:color="auto" w:fill="FFFFFF"/>
        <w:tabs>
          <w:tab w:val="left" w:pos="993"/>
        </w:tabs>
        <w:ind w:left="0" w:firstLine="425"/>
      </w:pPr>
      <w:r w:rsidRPr="00C00255">
        <w:t>pagal BK 100 straipsnį</w:t>
      </w:r>
      <w:r w:rsidR="004A0689" w:rsidRPr="00C00255">
        <w:t xml:space="preserve"> – laisvės atėmimu 12 (dvylikai)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w:t>
      </w:r>
      <w:r w:rsidR="000C727C" w:rsidRPr="00C00255">
        <w:t xml:space="preserve"> </w:t>
      </w:r>
      <w:r w:rsidRPr="00C00255">
        <w:t>laisvės atėmimu 14 (keturiolikai) metų;</w:t>
      </w:r>
      <w:r w:rsidR="000C727C" w:rsidRPr="00C00255">
        <w:t xml:space="preserve">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8 (aštuoneriems)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FF24A1" w:rsidRPr="00C00255" w:rsidRDefault="00A77FEC" w:rsidP="004A0689">
      <w:pPr>
        <w:spacing w:after="120"/>
        <w:ind w:firstLine="992"/>
      </w:pPr>
      <w:r w:rsidRPr="00C00255">
        <w:t xml:space="preserve">Vadovaujantis BK 63 straipsnio 5 dalies 1 punktu, paskirtos bausmės subendrintos apėmimo būdu ir </w:t>
      </w:r>
      <w:r w:rsidR="004069BF">
        <w:t>N. A.</w:t>
      </w:r>
      <w:r w:rsidRPr="00C00255">
        <w:t xml:space="preserve"> galutinė subendrinta bausmė paskirta lai</w:t>
      </w:r>
      <w:r w:rsidR="00FF24A1" w:rsidRPr="00C00255">
        <w:t xml:space="preserve">svės atėmimas </w:t>
      </w:r>
      <w:r w:rsidR="00DE456C" w:rsidRPr="00C00255">
        <w:t>14 </w:t>
      </w:r>
      <w:r w:rsidR="00FF24A1" w:rsidRPr="00C00255">
        <w:t xml:space="preserve">(keturiolikai) </w:t>
      </w:r>
      <w:r w:rsidRPr="00C00255">
        <w:t>metų, bausmę atliekant pataisos namuose.</w:t>
      </w:r>
    </w:p>
    <w:p w:rsidR="00A77FEC" w:rsidRPr="00C00255" w:rsidRDefault="00C82C9D" w:rsidP="00321748">
      <w:pPr>
        <w:pStyle w:val="ListParagraph"/>
        <w:numPr>
          <w:ilvl w:val="0"/>
          <w:numId w:val="9"/>
        </w:numPr>
        <w:ind w:left="992" w:hanging="567"/>
      </w:pPr>
      <w:r>
        <w:rPr>
          <w:b/>
        </w:rPr>
        <w:t>V. U. 2</w:t>
      </w:r>
      <w:r w:rsidR="00A77FEC" w:rsidRPr="00C00255">
        <w:t xml:space="preserve"> 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Pr="00C00255">
        <w:rPr>
          <w:rFonts w:eastAsia="Calibri"/>
        </w:rPr>
        <w:t>, pritaikius BK 54 straipsnio 3 dalies nuostatas</w:t>
      </w:r>
      <w:r w:rsidR="00E0647C" w:rsidRPr="00C00255">
        <w:rPr>
          <w:rFonts w:eastAsia="Calibri"/>
        </w:rPr>
        <w:t>,</w:t>
      </w:r>
      <w:r w:rsidRPr="00C00255">
        <w:t xml:space="preserve"> – laisvės atėmimu 3</w:t>
      </w:r>
      <w:r w:rsidR="00DE456C" w:rsidRPr="00C00255">
        <w:t> </w:t>
      </w:r>
      <w:r w:rsidRPr="00C00255">
        <w:t>(trejiems) metams;</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E0647C"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4A0689"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FF24A1" w:rsidRPr="00C00255">
        <w:t xml:space="preserve"> – laisvės atėmimu</w:t>
      </w:r>
      <w:r w:rsidR="000C727C" w:rsidRPr="00C00255">
        <w:t xml:space="preserve"> </w:t>
      </w:r>
      <w:r w:rsidR="00FF24A1" w:rsidRPr="00C00255">
        <w:t xml:space="preserve">3 (trejiems)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E0647C" w:rsidRPr="00C00255">
        <w:rPr>
          <w:rFonts w:eastAsia="Calibri"/>
        </w:rPr>
        <w:t>,</w:t>
      </w:r>
      <w:r w:rsidR="000C727C" w:rsidRPr="00C00255">
        <w:t xml:space="preserve"> </w:t>
      </w:r>
      <w:r w:rsidRPr="00C00255">
        <w:t>– laisvės atėmimu 3 (trejiems)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A77FEC" w:rsidRPr="00C00255" w:rsidRDefault="00A77FEC" w:rsidP="004A0689">
      <w:pPr>
        <w:spacing w:after="120"/>
        <w:ind w:firstLine="992"/>
      </w:pPr>
      <w:r w:rsidRPr="00C00255">
        <w:t xml:space="preserve">Vadovaujantis BK 63 straipsnio 5 dalies 1 punktu, paskirtos bausmės subendrintos apėmimo būdu ir </w:t>
      </w:r>
      <w:r w:rsidR="00C82C9D">
        <w:t>V. U. 2</w:t>
      </w:r>
      <w:r w:rsidRPr="00C00255">
        <w:t xml:space="preserve"> galutinė subendrinta bausmė paskirta laisvės atėmimas </w:t>
      </w:r>
      <w:r w:rsidR="00FF24A1" w:rsidRPr="00C00255">
        <w:t>4</w:t>
      </w:r>
      <w:r w:rsidR="00DE456C" w:rsidRPr="00C00255">
        <w:t> </w:t>
      </w:r>
      <w:r w:rsidRPr="00C00255">
        <w:t>(</w:t>
      </w:r>
      <w:r w:rsidR="00FF24A1" w:rsidRPr="00C00255">
        <w:t>ketveriems</w:t>
      </w:r>
      <w:r w:rsidRPr="00C00255">
        <w:t xml:space="preserve">) metams, bausmę atliekant pataisos namuose. </w:t>
      </w:r>
    </w:p>
    <w:p w:rsidR="00A77FEC" w:rsidRPr="00C00255" w:rsidRDefault="00C82C9D" w:rsidP="00321748">
      <w:pPr>
        <w:pStyle w:val="ListParagraph"/>
        <w:numPr>
          <w:ilvl w:val="0"/>
          <w:numId w:val="9"/>
        </w:numPr>
        <w:ind w:left="992" w:hanging="567"/>
      </w:pPr>
      <w:r>
        <w:rPr>
          <w:b/>
        </w:rPr>
        <w:t>V. S. 4</w:t>
      </w:r>
      <w:r w:rsidR="00A77FEC" w:rsidRPr="00C00255">
        <w:t xml:space="preserve"> 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10 (dešimčiai)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lastRenderedPageBreak/>
        <w:t>pagal BK 103 straipsnio 1 dalį</w:t>
      </w:r>
      <w:r w:rsidR="00DE456C" w:rsidRPr="00C00255">
        <w:rPr>
          <w:rFonts w:eastAsia="Calibri"/>
        </w:rPr>
        <w:t xml:space="preserve"> </w:t>
      </w:r>
      <w:r w:rsidRPr="00C00255">
        <w:t xml:space="preserve">– laisvės atėmimu 6 (šešeriems)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A77FEC"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r w:rsidR="00A77FEC" w:rsidRPr="00C00255">
        <w:t>.</w:t>
      </w:r>
    </w:p>
    <w:p w:rsidR="00A77FEC" w:rsidRPr="00C00255" w:rsidRDefault="00A77FEC" w:rsidP="004A0689">
      <w:pPr>
        <w:spacing w:after="120"/>
        <w:ind w:firstLine="992"/>
      </w:pPr>
      <w:r w:rsidRPr="00C00255">
        <w:t xml:space="preserve">Vadovaujantis BK 63 straipsnio 5 dalies 1 punktu, paskirtos bausmės subendrintos apėmimo būdu ir </w:t>
      </w:r>
      <w:r w:rsidR="00C82C9D">
        <w:t>V. S. 4</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C31F61" w:rsidRPr="00C00255" w:rsidRDefault="00C82C9D" w:rsidP="00321748">
      <w:pPr>
        <w:pStyle w:val="ListParagraph"/>
        <w:numPr>
          <w:ilvl w:val="0"/>
          <w:numId w:val="9"/>
        </w:numPr>
        <w:ind w:left="992" w:hanging="567"/>
      </w:pPr>
      <w:r>
        <w:rPr>
          <w:b/>
        </w:rPr>
        <w:t>V. Š. 3</w:t>
      </w:r>
      <w:r w:rsidR="00C31F61" w:rsidRPr="00C00255">
        <w:rPr>
          <w:b/>
        </w:rPr>
        <w:t xml:space="preserve"> </w:t>
      </w:r>
      <w:r w:rsidR="00C31F61" w:rsidRPr="00C00255">
        <w:t xml:space="preserve">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C31F61" w:rsidRPr="00C00255" w:rsidRDefault="00C31F61" w:rsidP="004A0689">
      <w:pPr>
        <w:spacing w:after="120"/>
        <w:ind w:firstLine="992"/>
      </w:pPr>
      <w:r w:rsidRPr="00C00255">
        <w:t xml:space="preserve">Vadovaujantis BK 63 straipsnio 5 dalies 1 punktu, paskirtos bausmės subendrintos apėmimo būdu ir </w:t>
      </w:r>
      <w:r w:rsidR="00C82C9D">
        <w:t>V. Š. 3</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C31F61" w:rsidRPr="00C00255" w:rsidRDefault="00C82C9D" w:rsidP="00321748">
      <w:pPr>
        <w:pStyle w:val="ListParagraph"/>
        <w:numPr>
          <w:ilvl w:val="0"/>
          <w:numId w:val="9"/>
        </w:numPr>
        <w:ind w:left="992" w:hanging="567"/>
      </w:pPr>
      <w:r>
        <w:rPr>
          <w:b/>
        </w:rPr>
        <w:t>V. P.</w:t>
      </w:r>
      <w:r w:rsidR="00C31F61" w:rsidRPr="00C00255">
        <w:rPr>
          <w:b/>
        </w:rPr>
        <w:t xml:space="preserve"> </w:t>
      </w:r>
      <w:r w:rsidR="00C31F61" w:rsidRPr="00C00255">
        <w:t xml:space="preserve">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4A0689" w:rsidRPr="00C00255" w:rsidRDefault="00DE456C" w:rsidP="00321748">
      <w:pPr>
        <w:pStyle w:val="ListParagraph"/>
        <w:numPr>
          <w:ilvl w:val="0"/>
          <w:numId w:val="2"/>
        </w:numPr>
        <w:shd w:val="clear" w:color="auto" w:fill="FFFFFF"/>
        <w:tabs>
          <w:tab w:val="left" w:pos="993"/>
        </w:tabs>
        <w:ind w:left="0" w:firstLine="425"/>
      </w:pPr>
      <w:r w:rsidRPr="00C00255">
        <w:t>pagal BK 101 straipsnį</w:t>
      </w:r>
      <w:r w:rsidR="00FF24A1" w:rsidRPr="00C00255">
        <w:t xml:space="preserve"> – laisvės atėmimu 10 (dešimčiai)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C31F61" w:rsidRPr="00C00255" w:rsidRDefault="00C31F61" w:rsidP="004A0689">
      <w:pPr>
        <w:spacing w:after="120"/>
        <w:ind w:firstLine="992"/>
      </w:pPr>
      <w:r w:rsidRPr="00C00255">
        <w:t xml:space="preserve">Vadovaujantis BK 63 straipsnio 5 dalies 1 punktu, paskirtos bausmės subendrintos apėmimo būdu ir </w:t>
      </w:r>
      <w:r w:rsidR="00C82C9D">
        <w:t>V. P.</w:t>
      </w:r>
      <w:r w:rsidRPr="00C00255">
        <w:t xml:space="preserve"> galutinė subendrinta bausmė paskirta laisvės atėmimas </w:t>
      </w:r>
      <w:r w:rsidR="00DE456C" w:rsidRPr="00C00255">
        <w:t>10 </w:t>
      </w:r>
      <w:r w:rsidRPr="00C00255">
        <w:t>(</w:t>
      </w:r>
      <w:r w:rsidR="00FF24A1" w:rsidRPr="00C00255">
        <w:t>dešimčiai</w:t>
      </w:r>
      <w:r w:rsidRPr="00C00255">
        <w:t xml:space="preserve">) metų, bausmę atliekant pataisos namuose. </w:t>
      </w:r>
    </w:p>
    <w:p w:rsidR="00C31F61" w:rsidRPr="00C00255" w:rsidRDefault="00C82C9D" w:rsidP="00321748">
      <w:pPr>
        <w:pStyle w:val="ListParagraph"/>
        <w:numPr>
          <w:ilvl w:val="0"/>
          <w:numId w:val="9"/>
        </w:numPr>
        <w:ind w:left="992" w:hanging="567"/>
      </w:pPr>
      <w:r>
        <w:rPr>
          <w:b/>
        </w:rPr>
        <w:t>S. V.</w:t>
      </w:r>
      <w:r w:rsidR="00C31F61" w:rsidRPr="00C00255">
        <w:rPr>
          <w:b/>
        </w:rPr>
        <w:t xml:space="preserve"> </w:t>
      </w:r>
      <w:r w:rsidR="00C31F61" w:rsidRPr="00C00255">
        <w:t xml:space="preserve">pripažintas kaltu ir nubaustas: </w:t>
      </w:r>
    </w:p>
    <w:p w:rsidR="004A0689" w:rsidRPr="00C00255" w:rsidRDefault="004A0689"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4A0689"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C31F61" w:rsidRPr="00C00255" w:rsidRDefault="00C31F61" w:rsidP="004A0689">
      <w:pPr>
        <w:spacing w:after="120"/>
        <w:ind w:firstLine="992"/>
      </w:pPr>
      <w:r w:rsidRPr="00C00255">
        <w:t xml:space="preserve">Vadovaujantis BK 63 straipsnio 5 dalies 1 punktu, paskirtos bausmės subendrintos apėmimo būdu ir </w:t>
      </w:r>
      <w:r w:rsidR="00C82C9D">
        <w:t>S. V.</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C31F61" w:rsidRPr="00C00255" w:rsidRDefault="00C82C9D" w:rsidP="00321748">
      <w:pPr>
        <w:pStyle w:val="ListParagraph"/>
        <w:numPr>
          <w:ilvl w:val="0"/>
          <w:numId w:val="9"/>
        </w:numPr>
        <w:ind w:left="992" w:hanging="567"/>
      </w:pPr>
      <w:r>
        <w:rPr>
          <w:b/>
        </w:rPr>
        <w:t>E. R.</w:t>
      </w:r>
      <w:r w:rsidR="00C31F61" w:rsidRPr="00C00255">
        <w:rPr>
          <w:b/>
        </w:rPr>
        <w:t xml:space="preserve"> </w:t>
      </w:r>
      <w:r w:rsidR="00C31F61" w:rsidRPr="00C00255">
        <w:t xml:space="preserve">pripažintas kaltu ir nubaustas: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111 strai</w:t>
      </w:r>
      <w:r w:rsidR="00DE456C" w:rsidRPr="00C00255">
        <w:t xml:space="preserve">psnio 1 dalį </w:t>
      </w:r>
      <w:r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C31F61" w:rsidRPr="00C00255" w:rsidRDefault="00C31F61" w:rsidP="00856EF8">
      <w:pPr>
        <w:spacing w:after="120"/>
        <w:ind w:firstLine="992"/>
      </w:pPr>
      <w:r w:rsidRPr="00C00255">
        <w:t xml:space="preserve">Vadovaujantis BK 63 straipsnio 5 dalies 1 punktu, paskirtos bausmės subendrintos apėmimo būdu ir </w:t>
      </w:r>
      <w:r w:rsidR="00C82C9D">
        <w:t>E. R.</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C31F61" w:rsidRPr="00C00255" w:rsidRDefault="00C82C9D" w:rsidP="00321748">
      <w:pPr>
        <w:pStyle w:val="ListParagraph"/>
        <w:numPr>
          <w:ilvl w:val="0"/>
          <w:numId w:val="9"/>
        </w:numPr>
        <w:ind w:left="992" w:hanging="567"/>
      </w:pPr>
      <w:r>
        <w:rPr>
          <w:b/>
        </w:rPr>
        <w:t>J. O.</w:t>
      </w:r>
      <w:r w:rsidR="00C31F61" w:rsidRPr="00C00255">
        <w:rPr>
          <w:b/>
        </w:rPr>
        <w:t xml:space="preserve"> </w:t>
      </w:r>
      <w:r w:rsidR="00FF24A1" w:rsidRPr="00C00255">
        <w:t>pripažintas kaltu</w:t>
      </w:r>
      <w:r w:rsidR="00C31F61" w:rsidRPr="00C00255">
        <w:t xml:space="preserve"> ir nubaustas: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856EF8" w:rsidRPr="00C00255" w:rsidRDefault="00856EF8" w:rsidP="00321748">
      <w:pPr>
        <w:pStyle w:val="ListParagraph"/>
        <w:numPr>
          <w:ilvl w:val="0"/>
          <w:numId w:val="2"/>
        </w:numPr>
        <w:shd w:val="clear" w:color="auto" w:fill="FFFFFF"/>
        <w:tabs>
          <w:tab w:val="left" w:pos="993"/>
        </w:tabs>
        <w:ind w:left="0" w:firstLine="425"/>
      </w:pPr>
      <w:r w:rsidRPr="00C00255">
        <w:lastRenderedPageBreak/>
        <w:t>pagal BK 112 straipsnį – laisvės atėmimu 5 (penkeriems) metams.</w:t>
      </w:r>
    </w:p>
    <w:p w:rsidR="00C31F61" w:rsidRPr="00C00255" w:rsidRDefault="00C31F61" w:rsidP="00856EF8">
      <w:pPr>
        <w:spacing w:after="120"/>
        <w:ind w:firstLine="992"/>
      </w:pPr>
      <w:r w:rsidRPr="00C00255">
        <w:t xml:space="preserve">Vadovaujantis BK 63 straipsnio 5 dalies 1 punktu, paskirtos bausmės subendrintos apėmimo būdu ir </w:t>
      </w:r>
      <w:r w:rsidR="00C82C9D">
        <w:t>J. O.</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C31F61" w:rsidRPr="00C00255" w:rsidRDefault="00C82C9D" w:rsidP="00321748">
      <w:pPr>
        <w:pStyle w:val="ListParagraph"/>
        <w:numPr>
          <w:ilvl w:val="0"/>
          <w:numId w:val="9"/>
        </w:numPr>
        <w:ind w:left="992" w:hanging="567"/>
      </w:pPr>
      <w:r>
        <w:rPr>
          <w:b/>
        </w:rPr>
        <w:t>A. G. 1</w:t>
      </w:r>
      <w:r w:rsidR="00C31F61" w:rsidRPr="00C00255">
        <w:rPr>
          <w:b/>
        </w:rPr>
        <w:t xml:space="preserve"> </w:t>
      </w:r>
      <w:r w:rsidR="00C31F61" w:rsidRPr="00C00255">
        <w:t xml:space="preserve">pripažintas kaltu ir nubaustas: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C31F61" w:rsidRPr="00C00255" w:rsidRDefault="00C31F61" w:rsidP="00856EF8">
      <w:pPr>
        <w:spacing w:after="120"/>
        <w:ind w:firstLine="992"/>
      </w:pPr>
      <w:r w:rsidRPr="00C00255">
        <w:t xml:space="preserve">Vadovaujantis BK 63 straipsnio 5 dalies 1 punktu, paskirtos bausmės subendrintos apėmimo būdu ir </w:t>
      </w:r>
      <w:r w:rsidR="00C82C9D">
        <w:t>A. G. 1</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FF24A1" w:rsidRPr="00C00255" w:rsidRDefault="00C82C9D" w:rsidP="00321748">
      <w:pPr>
        <w:pStyle w:val="ListParagraph"/>
        <w:numPr>
          <w:ilvl w:val="0"/>
          <w:numId w:val="9"/>
        </w:numPr>
        <w:ind w:left="992" w:hanging="567"/>
      </w:pPr>
      <w:r>
        <w:rPr>
          <w:b/>
        </w:rPr>
        <w:t>A. B.</w:t>
      </w:r>
      <w:r w:rsidR="00C31F61" w:rsidRPr="00C00255">
        <w:rPr>
          <w:b/>
        </w:rPr>
        <w:t xml:space="preserve"> </w:t>
      </w:r>
      <w:r w:rsidR="00C31F61" w:rsidRPr="00C00255">
        <w:t>pripažintas kaltu ir nubaustas:</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w:t>
      </w:r>
      <w:r w:rsidRPr="00C00255">
        <w:rPr>
          <w:rFonts w:eastAsia="Calibri"/>
        </w:rPr>
        <w:t>, pritaikius BK 54 straipsnio 3 dalies nuostatas</w:t>
      </w:r>
      <w:r w:rsidR="00EA04FC" w:rsidRPr="00C00255">
        <w:rPr>
          <w:rFonts w:eastAsia="Calibri"/>
        </w:rPr>
        <w:t>,</w:t>
      </w:r>
      <w:r w:rsidRPr="00C00255">
        <w:t xml:space="preserve"> – laisvės at</w:t>
      </w:r>
      <w:r w:rsidR="00DE456C" w:rsidRPr="00C00255">
        <w:t>ėmimu 3 </w:t>
      </w:r>
      <w:r w:rsidRPr="00C00255">
        <w:t>(trejiems) metams;</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EA04FC" w:rsidRPr="00C00255">
        <w:rPr>
          <w:rFonts w:eastAsia="Calibri"/>
        </w:rPr>
        <w:t>,</w:t>
      </w:r>
      <w:r w:rsidR="00DE456C" w:rsidRPr="00C00255">
        <w:t xml:space="preserve"> – laisvės atėmimu 4 </w:t>
      </w:r>
      <w:r w:rsidRPr="00C00255">
        <w:t xml:space="preserve">(ketveriems) metams; </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laisv</w:t>
      </w:r>
      <w:r w:rsidR="000C727C" w:rsidRPr="00C00255">
        <w:t xml:space="preserve">ės atėmimu </w:t>
      </w:r>
      <w:r w:rsidRPr="00C00255">
        <w:t xml:space="preserve">4 (ketveriems) metams; </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EA04FC" w:rsidRPr="00C00255">
        <w:rPr>
          <w:rFonts w:eastAsia="Calibri"/>
        </w:rPr>
        <w:t>,</w:t>
      </w:r>
      <w:r w:rsidRPr="00C00255">
        <w:t xml:space="preserve"> – laisvės atėmimu 3 (trejiems) metams;</w:t>
      </w:r>
    </w:p>
    <w:p w:rsidR="00C31F61" w:rsidRPr="00C00255" w:rsidRDefault="00FF24A1" w:rsidP="00321748">
      <w:pPr>
        <w:pStyle w:val="ListParagraph"/>
        <w:numPr>
          <w:ilvl w:val="0"/>
          <w:numId w:val="2"/>
        </w:numPr>
        <w:shd w:val="clear" w:color="auto" w:fill="FFFFFF"/>
        <w:tabs>
          <w:tab w:val="left" w:pos="993"/>
        </w:tabs>
        <w:ind w:left="0" w:firstLine="425"/>
      </w:pPr>
      <w:r w:rsidRPr="00C00255">
        <w:t xml:space="preserve">pagal BK 112 straipsnį – laisvės atėmimu 3 (trejiems) metams. </w:t>
      </w:r>
    </w:p>
    <w:p w:rsidR="00C31F61" w:rsidRPr="00C00255" w:rsidRDefault="00C31F61" w:rsidP="00856EF8">
      <w:pPr>
        <w:spacing w:after="120"/>
        <w:ind w:firstLine="992"/>
      </w:pPr>
      <w:r w:rsidRPr="00C00255">
        <w:t xml:space="preserve">Vadovaujantis BK 63 straipsnio 5 dalies 1 punktu, paskirtos bausmės subendrintos apėmimo būdu ir </w:t>
      </w:r>
      <w:r w:rsidR="00C82C9D">
        <w:t>A. B.</w:t>
      </w:r>
      <w:r w:rsidRPr="00C00255">
        <w:t xml:space="preserve"> galutinė subendrinta bausmė paskirta laisvės atėmimas </w:t>
      </w:r>
      <w:r w:rsidR="00FF24A1" w:rsidRPr="00C00255">
        <w:t>4</w:t>
      </w:r>
      <w:r w:rsidR="00DE456C" w:rsidRPr="00C00255">
        <w:t> </w:t>
      </w:r>
      <w:r w:rsidRPr="00C00255">
        <w:t>(</w:t>
      </w:r>
      <w:r w:rsidR="00FF24A1" w:rsidRPr="00C00255">
        <w:t>ketveriems</w:t>
      </w:r>
      <w:r w:rsidRPr="00C00255">
        <w:t xml:space="preserve">) metams, bausmę atliekant pataisos namuose. </w:t>
      </w:r>
    </w:p>
    <w:p w:rsidR="00C31F61" w:rsidRPr="00C00255" w:rsidRDefault="00C82C9D" w:rsidP="00321748">
      <w:pPr>
        <w:pStyle w:val="ListParagraph"/>
        <w:numPr>
          <w:ilvl w:val="0"/>
          <w:numId w:val="9"/>
        </w:numPr>
        <w:ind w:left="992" w:hanging="567"/>
      </w:pPr>
      <w:r>
        <w:rPr>
          <w:b/>
        </w:rPr>
        <w:t>O. A.</w:t>
      </w:r>
      <w:r w:rsidR="00C31F61" w:rsidRPr="00C00255">
        <w:rPr>
          <w:b/>
        </w:rPr>
        <w:t xml:space="preserve"> </w:t>
      </w:r>
      <w:r w:rsidR="00C31F61" w:rsidRPr="00C00255">
        <w:t xml:space="preserve">pripažintas kaltu ir nubaustas: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 – laisvės atėmimu 10 (dešimčiai) metų;</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C31F61" w:rsidRPr="00C00255" w:rsidRDefault="00C31F61" w:rsidP="00856EF8">
      <w:pPr>
        <w:spacing w:after="120"/>
        <w:ind w:firstLine="992"/>
      </w:pPr>
      <w:r w:rsidRPr="00C00255">
        <w:t xml:space="preserve">Vadovaujantis BK 63 straipsnio 5 dalies 1 punktu, paskirtos bausmės subendrintos apėmimo būdu ir </w:t>
      </w:r>
      <w:r w:rsidR="00C82C9D">
        <w:t>O. A.</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5B7CF1" w:rsidRPr="00C00255" w:rsidRDefault="00C82C9D" w:rsidP="00321748">
      <w:pPr>
        <w:pStyle w:val="ListParagraph"/>
        <w:numPr>
          <w:ilvl w:val="0"/>
          <w:numId w:val="9"/>
        </w:numPr>
        <w:ind w:left="992" w:hanging="567"/>
      </w:pPr>
      <w:r>
        <w:rPr>
          <w:b/>
        </w:rPr>
        <w:t>N. S.</w:t>
      </w:r>
      <w:r w:rsidR="005B7CF1" w:rsidRPr="00C00255">
        <w:rPr>
          <w:b/>
        </w:rPr>
        <w:t xml:space="preserve"> </w:t>
      </w:r>
      <w:r w:rsidR="005B7CF1" w:rsidRPr="00C00255">
        <w:t xml:space="preserve">pripažintas kaltu </w:t>
      </w:r>
      <w:r w:rsidR="00FF24A1" w:rsidRPr="00C00255">
        <w:t>ir nubaustas</w:t>
      </w:r>
      <w:r w:rsidR="005B7CF1" w:rsidRPr="00C00255">
        <w:t xml:space="preserve">: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56EF8" w:rsidRPr="00C00255" w:rsidRDefault="00FF24A1"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56EF8"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FF24A1" w:rsidRPr="00C00255">
        <w:t xml:space="preserve"> – laisvės atėmimu 6 (šešeriems) metams; </w:t>
      </w:r>
    </w:p>
    <w:p w:rsidR="00856EF8"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FF24A1" w:rsidRPr="00C00255">
        <w:t>– laisvės atėmimu 6 (šešeriems) metams;</w:t>
      </w:r>
    </w:p>
    <w:p w:rsidR="00FF24A1" w:rsidRPr="00C00255" w:rsidRDefault="00FF24A1"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5B7CF1" w:rsidRPr="00C00255" w:rsidRDefault="005B7CF1" w:rsidP="00856EF8">
      <w:pPr>
        <w:spacing w:after="120"/>
        <w:ind w:firstLine="992"/>
      </w:pPr>
      <w:r w:rsidRPr="00C00255">
        <w:t xml:space="preserve">Vadovaujantis BK 63 straipsnio 5 dalies 1 punktu, paskirtos bausmės subendrintos apėmimo būdu ir </w:t>
      </w:r>
      <w:r w:rsidR="00C82C9D">
        <w:t>N. S.</w:t>
      </w:r>
      <w:r w:rsidRPr="00C00255">
        <w:t xml:space="preserve"> galutinė subendrinta bausmė paskirta laisvės atėmimas </w:t>
      </w:r>
      <w:r w:rsidR="00FF24A1" w:rsidRPr="00C00255">
        <w:t>10</w:t>
      </w:r>
      <w:r w:rsidR="00DE456C" w:rsidRPr="00C00255">
        <w:t> </w:t>
      </w:r>
      <w:r w:rsidRPr="00C00255">
        <w:t>(</w:t>
      </w:r>
      <w:r w:rsidR="00FF24A1" w:rsidRPr="00C00255">
        <w:t>dešimčiai</w:t>
      </w:r>
      <w:r w:rsidRPr="00C00255">
        <w:t xml:space="preserve">) metų, bausmę atliekant pataisos namuose. </w:t>
      </w:r>
    </w:p>
    <w:p w:rsidR="005B7CF1" w:rsidRPr="00C00255" w:rsidRDefault="00C82C9D" w:rsidP="00321748">
      <w:pPr>
        <w:pStyle w:val="ListParagraph"/>
        <w:numPr>
          <w:ilvl w:val="0"/>
          <w:numId w:val="9"/>
        </w:numPr>
        <w:ind w:left="992" w:hanging="567"/>
      </w:pPr>
      <w:r>
        <w:rPr>
          <w:b/>
        </w:rPr>
        <w:t>A. U.</w:t>
      </w:r>
      <w:r w:rsidR="005B7CF1" w:rsidRPr="00C00255">
        <w:rPr>
          <w:b/>
        </w:rPr>
        <w:t xml:space="preserve"> </w:t>
      </w:r>
      <w:r w:rsidR="005B7CF1" w:rsidRPr="00C00255">
        <w:t xml:space="preserve">pripažintas kaltu ir nubaustas: </w:t>
      </w:r>
    </w:p>
    <w:p w:rsidR="00856EF8" w:rsidRPr="00C00255" w:rsidRDefault="00DE456C" w:rsidP="00321748">
      <w:pPr>
        <w:pStyle w:val="ListParagraph"/>
        <w:numPr>
          <w:ilvl w:val="0"/>
          <w:numId w:val="2"/>
        </w:numPr>
        <w:shd w:val="clear" w:color="auto" w:fill="FFFFFF"/>
        <w:tabs>
          <w:tab w:val="left" w:pos="993"/>
        </w:tabs>
        <w:ind w:left="0" w:firstLine="425"/>
      </w:pPr>
      <w:r w:rsidRPr="00C00255">
        <w:t>pagal BK 100 straipsnį</w:t>
      </w:r>
      <w:r w:rsidR="00856EF8" w:rsidRPr="00C00255">
        <w:t xml:space="preserve"> – laisvės atėmimu 6 (šešeriems) metams;</w:t>
      </w:r>
    </w:p>
    <w:p w:rsidR="00856EF8" w:rsidRPr="00C00255" w:rsidRDefault="00DE456C" w:rsidP="00321748">
      <w:pPr>
        <w:pStyle w:val="ListParagraph"/>
        <w:numPr>
          <w:ilvl w:val="0"/>
          <w:numId w:val="2"/>
        </w:numPr>
        <w:shd w:val="clear" w:color="auto" w:fill="FFFFFF"/>
        <w:tabs>
          <w:tab w:val="left" w:pos="993"/>
        </w:tabs>
        <w:ind w:left="0" w:firstLine="425"/>
      </w:pPr>
      <w:r w:rsidRPr="00C00255">
        <w:t>pagal BK 101 straipsnį</w:t>
      </w:r>
      <w:r w:rsidR="00420707" w:rsidRPr="00C00255">
        <w:t xml:space="preserve"> – laisvės atėmimu 10 (dešimčiai) metų;</w:t>
      </w:r>
    </w:p>
    <w:p w:rsidR="00856EF8"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420707" w:rsidRPr="00C00255">
        <w:t xml:space="preserve"> – laisvės atėmimu 6 (šešeriems) metams; </w:t>
      </w:r>
    </w:p>
    <w:p w:rsidR="00856EF8" w:rsidRPr="00C00255" w:rsidRDefault="00DE456C" w:rsidP="00321748">
      <w:pPr>
        <w:pStyle w:val="ListParagraph"/>
        <w:numPr>
          <w:ilvl w:val="0"/>
          <w:numId w:val="2"/>
        </w:numPr>
        <w:shd w:val="clear" w:color="auto" w:fill="FFFFFF"/>
        <w:tabs>
          <w:tab w:val="left" w:pos="993"/>
        </w:tabs>
        <w:ind w:left="0" w:firstLine="425"/>
      </w:pPr>
      <w:r w:rsidRPr="00C00255">
        <w:lastRenderedPageBreak/>
        <w:t>pagal BK 111 straipsnio 1 dalį</w:t>
      </w:r>
      <w:r w:rsidR="000C727C" w:rsidRPr="00C00255">
        <w:t xml:space="preserve"> </w:t>
      </w:r>
      <w:r w:rsidR="00420707" w:rsidRPr="00C00255">
        <w:t>– laisvės atėmimu 6 (šešeriems) metams;</w:t>
      </w:r>
    </w:p>
    <w:p w:rsidR="00420707" w:rsidRPr="00C00255" w:rsidRDefault="00420707"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5B7CF1" w:rsidRPr="00C00255" w:rsidRDefault="005B7CF1" w:rsidP="00856EF8">
      <w:pPr>
        <w:spacing w:after="120"/>
        <w:ind w:firstLine="992"/>
      </w:pPr>
      <w:r w:rsidRPr="00C00255">
        <w:t xml:space="preserve">Vadovaujantis BK 63 straipsnio 5 dalies 1 punktu, paskirtos bausmės subendrintos apėmimo būdu ir </w:t>
      </w:r>
      <w:r w:rsidR="00C82C9D">
        <w:t>A. U.</w:t>
      </w:r>
      <w:r w:rsidRPr="00C00255">
        <w:t xml:space="preserve"> galutinė subendrinta bausmė paskirta laisvės atėmimas </w:t>
      </w:r>
      <w:r w:rsidR="00420707" w:rsidRPr="00C00255">
        <w:t xml:space="preserve">10 </w:t>
      </w:r>
      <w:r w:rsidRPr="00C00255">
        <w:t>(</w:t>
      </w:r>
      <w:r w:rsidR="00420707" w:rsidRPr="00C00255">
        <w:t>dešimčiai</w:t>
      </w:r>
      <w:r w:rsidRPr="00C00255">
        <w:t xml:space="preserve">) metų, bausmę atliekant pataisos namuose. </w:t>
      </w:r>
    </w:p>
    <w:p w:rsidR="005B7CF1" w:rsidRPr="00C00255" w:rsidRDefault="00A97F74" w:rsidP="00321748">
      <w:pPr>
        <w:pStyle w:val="ListParagraph"/>
        <w:numPr>
          <w:ilvl w:val="0"/>
          <w:numId w:val="9"/>
        </w:numPr>
        <w:ind w:left="992" w:hanging="567"/>
      </w:pPr>
      <w:r>
        <w:rPr>
          <w:b/>
        </w:rPr>
        <w:t>A. K. 1</w:t>
      </w:r>
      <w:r w:rsidR="005B7CF1" w:rsidRPr="00C00255">
        <w:t xml:space="preserve"> pripažintas kaltu ir nubaustas: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56EF8" w:rsidRPr="00C00255" w:rsidRDefault="00420707"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856EF8" w:rsidRPr="00C00255" w:rsidRDefault="00420707" w:rsidP="00321748">
      <w:pPr>
        <w:pStyle w:val="ListParagraph"/>
        <w:numPr>
          <w:ilvl w:val="0"/>
          <w:numId w:val="2"/>
        </w:numPr>
        <w:shd w:val="clear" w:color="auto" w:fill="FFFFFF"/>
        <w:tabs>
          <w:tab w:val="left" w:pos="993"/>
        </w:tabs>
        <w:ind w:left="0" w:firstLine="425"/>
      </w:pPr>
      <w:r w:rsidRPr="00C00255">
        <w:t xml:space="preserve">pagal BK 103 straipsnio 1 dalį – laisvės atėmimu 6 (šešeriems) metams; </w:t>
      </w:r>
    </w:p>
    <w:p w:rsidR="00856EF8" w:rsidRPr="00C00255" w:rsidRDefault="00420707"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420707" w:rsidRPr="00C00255" w:rsidRDefault="00420707"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5B7CF1" w:rsidRPr="00C00255" w:rsidRDefault="005B7CF1" w:rsidP="00856EF8">
      <w:pPr>
        <w:spacing w:after="120"/>
        <w:ind w:firstLine="992"/>
      </w:pPr>
      <w:r w:rsidRPr="00C00255">
        <w:t xml:space="preserve">Vadovaujantis BK 63 straipsnio 5 dalies 1 punktu, paskirtos bausmės subendrintos apėmimo būdu ir </w:t>
      </w:r>
      <w:r w:rsidR="00A97F74">
        <w:t>A. K. 1</w:t>
      </w:r>
      <w:r w:rsidRPr="00C00255">
        <w:t xml:space="preserve"> galutinė subendrinta bausmė paskirta laisvės atėmimas </w:t>
      </w:r>
      <w:r w:rsidR="00420707" w:rsidRPr="00C00255">
        <w:t>10</w:t>
      </w:r>
      <w:r w:rsidR="00DE456C" w:rsidRPr="00C00255">
        <w:t> </w:t>
      </w:r>
      <w:r w:rsidRPr="00C00255">
        <w:t>(</w:t>
      </w:r>
      <w:r w:rsidR="00420707" w:rsidRPr="00C00255">
        <w:t>dešimčiai</w:t>
      </w:r>
      <w:r w:rsidRPr="00C00255">
        <w:t xml:space="preserve">) metų, bausmę atliekant pataisos namuose. </w:t>
      </w:r>
    </w:p>
    <w:p w:rsidR="005B7CF1" w:rsidRPr="00C00255" w:rsidRDefault="00A97F74" w:rsidP="00321748">
      <w:pPr>
        <w:pStyle w:val="ListParagraph"/>
        <w:numPr>
          <w:ilvl w:val="0"/>
          <w:numId w:val="9"/>
        </w:numPr>
        <w:ind w:left="992" w:hanging="567"/>
      </w:pPr>
      <w:r>
        <w:rPr>
          <w:b/>
        </w:rPr>
        <w:t>D. F.</w:t>
      </w:r>
      <w:r w:rsidR="005B7CF1" w:rsidRPr="00C00255">
        <w:rPr>
          <w:b/>
        </w:rPr>
        <w:t xml:space="preserve"> </w:t>
      </w:r>
      <w:r w:rsidR="005B7CF1" w:rsidRPr="00C00255">
        <w:t xml:space="preserve">pripažintas kaltu </w:t>
      </w:r>
      <w:r w:rsidR="00420707" w:rsidRPr="00C00255">
        <w:t>ir nubaustas</w:t>
      </w:r>
      <w:r w:rsidR="005B7CF1" w:rsidRPr="00C00255">
        <w:t xml:space="preserve">: </w:t>
      </w:r>
    </w:p>
    <w:p w:rsidR="00856EF8" w:rsidRPr="00C00255" w:rsidRDefault="00856EF8"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856EF8" w:rsidRPr="00C00255" w:rsidRDefault="00420707"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856EF8" w:rsidRPr="00C00255" w:rsidRDefault="00420707"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856EF8" w:rsidRPr="00C00255" w:rsidRDefault="00420707"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420707" w:rsidRPr="00C00255" w:rsidRDefault="00420707"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5B7CF1" w:rsidRPr="00C00255" w:rsidRDefault="005B7CF1" w:rsidP="00856EF8">
      <w:pPr>
        <w:spacing w:after="120"/>
        <w:ind w:firstLine="992"/>
      </w:pPr>
      <w:r w:rsidRPr="00C00255">
        <w:t xml:space="preserve">Vadovaujantis BK 63 straipsnio 5 dalies 1 punktu, paskirtos bausmės subendrintos apėmimo būdu ir </w:t>
      </w:r>
      <w:r w:rsidR="00A97F74">
        <w:t>D. F.</w:t>
      </w:r>
      <w:r w:rsidRPr="00C00255">
        <w:t xml:space="preserve"> galutinė subendrinta bausmė paskirta laisvės atėmimas </w:t>
      </w:r>
      <w:r w:rsidR="00420707" w:rsidRPr="00C00255">
        <w:t>10</w:t>
      </w:r>
      <w:r w:rsidR="00DE456C" w:rsidRPr="00C00255">
        <w:t> </w:t>
      </w:r>
      <w:r w:rsidRPr="00C00255">
        <w:t>(</w:t>
      </w:r>
      <w:r w:rsidR="00420707" w:rsidRPr="00C00255">
        <w:t>dešimčiai</w:t>
      </w:r>
      <w:r w:rsidRPr="00C00255">
        <w:t xml:space="preserve">) metų, bausmę atliekant pataisos namuose. </w:t>
      </w:r>
    </w:p>
    <w:p w:rsidR="005B7CF1" w:rsidRPr="00C00255" w:rsidRDefault="00BA18FA" w:rsidP="00321748">
      <w:pPr>
        <w:pStyle w:val="ListParagraph"/>
        <w:numPr>
          <w:ilvl w:val="0"/>
          <w:numId w:val="9"/>
        </w:numPr>
        <w:ind w:left="992" w:hanging="567"/>
      </w:pPr>
      <w:r>
        <w:rPr>
          <w:b/>
        </w:rPr>
        <w:t>J. M.</w:t>
      </w:r>
      <w:r w:rsidR="005B7CF1" w:rsidRPr="00C00255">
        <w:rPr>
          <w:b/>
        </w:rPr>
        <w:t xml:space="preserve"> </w:t>
      </w:r>
      <w:r w:rsidR="005B7CF1" w:rsidRPr="00C00255">
        <w:t xml:space="preserve">pripažintas kaltu ir nubaustas: </w:t>
      </w:r>
    </w:p>
    <w:p w:rsidR="005F7F57" w:rsidRPr="00C00255" w:rsidRDefault="005F7F57"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5F7F57" w:rsidRPr="00C00255" w:rsidRDefault="00420707"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w:t>
      </w:r>
      <w:r w:rsidRPr="00C00255">
        <w:t xml:space="preserve"> </w:t>
      </w:r>
      <w:r w:rsidRPr="00C00255">
        <w:rPr>
          <w:rFonts w:eastAsia="Calibri"/>
        </w:rPr>
        <w:t>pritaikius BK 54 straipsnio 3 dalies nuostatas</w:t>
      </w:r>
      <w:r w:rsidR="00760024" w:rsidRPr="00C00255">
        <w:rPr>
          <w:rFonts w:eastAsia="Calibri"/>
        </w:rPr>
        <w:t>,</w:t>
      </w:r>
      <w:r w:rsidR="00DE456C" w:rsidRPr="00C00255">
        <w:t xml:space="preserve"> – laisvės atėmimu 7 </w:t>
      </w:r>
      <w:r w:rsidRPr="00C00255">
        <w:t>(septyneriems) metams;</w:t>
      </w:r>
    </w:p>
    <w:p w:rsidR="005F7F57" w:rsidRPr="00C00255" w:rsidRDefault="00420707"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5F7F57" w:rsidRPr="00C00255" w:rsidRDefault="00420707"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420707" w:rsidRPr="00C00255" w:rsidRDefault="00420707"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5F7F57" w:rsidRPr="00C00255" w:rsidRDefault="005B7CF1" w:rsidP="005F7F57">
      <w:pPr>
        <w:ind w:firstLine="992"/>
      </w:pPr>
      <w:r w:rsidRPr="00C00255">
        <w:t xml:space="preserve">Vadovaujantis BK 63 straipsnio 5 dalies 1 punktu, paskirtos bausmės subendrintos apėmimo būdu ir </w:t>
      </w:r>
      <w:r w:rsidR="00BA18FA">
        <w:t>J. M.</w:t>
      </w:r>
      <w:r w:rsidRPr="00C00255">
        <w:t xml:space="preserve"> galutinė subendrinta bausmė paskirta laisvės atėmimas </w:t>
      </w:r>
      <w:r w:rsidR="00420707" w:rsidRPr="00C00255">
        <w:t>7</w:t>
      </w:r>
      <w:r w:rsidRPr="00C00255">
        <w:t xml:space="preserve"> (</w:t>
      </w:r>
      <w:r w:rsidR="00420707" w:rsidRPr="00C00255">
        <w:t>septyneriems</w:t>
      </w:r>
      <w:r w:rsidRPr="00C00255">
        <w:t xml:space="preserve">) metams, bausmę atliekant pataisos namuose. </w:t>
      </w:r>
    </w:p>
    <w:p w:rsidR="00252E86" w:rsidRPr="00C00255" w:rsidRDefault="00252E86" w:rsidP="005F7F57">
      <w:pPr>
        <w:spacing w:after="120"/>
        <w:ind w:firstLine="992"/>
      </w:pPr>
      <w:r w:rsidRPr="00C00255">
        <w:t>Bausmės pra</w:t>
      </w:r>
      <w:r w:rsidR="00736BED" w:rsidRPr="00C00255">
        <w:t>džia</w:t>
      </w:r>
      <w:r w:rsidRPr="00C00255">
        <w:t xml:space="preserve"> skaičiuoti</w:t>
      </w:r>
      <w:r w:rsidR="00736BED" w:rsidRPr="00C00255">
        <w:t>n</w:t>
      </w:r>
      <w:r w:rsidR="00420707" w:rsidRPr="00C00255">
        <w:t>a</w:t>
      </w:r>
      <w:r w:rsidRPr="00C00255">
        <w:t xml:space="preserve"> nuo nuosprendžio paskelbim</w:t>
      </w:r>
      <w:r w:rsidR="00420707" w:rsidRPr="00C00255">
        <w:t>o dienos – 2019 m. kovo 27 d. Į </w:t>
      </w:r>
      <w:r w:rsidRPr="00C00255">
        <w:t>paskirtos laisvės a</w:t>
      </w:r>
      <w:r w:rsidR="00736BED" w:rsidRPr="00C00255">
        <w:t>tėmimo bausmės laiką įskaičiuotinas</w:t>
      </w:r>
      <w:r w:rsidR="00240784" w:rsidRPr="00C00255">
        <w:t xml:space="preserve"> jo</w:t>
      </w:r>
      <w:r w:rsidRPr="00C00255">
        <w:t xml:space="preserve"> laikin</w:t>
      </w:r>
      <w:r w:rsidR="00240784" w:rsidRPr="00C00255">
        <w:t>o</w:t>
      </w:r>
      <w:r w:rsidRPr="00C00255">
        <w:t xml:space="preserve"> sulaikym</w:t>
      </w:r>
      <w:r w:rsidR="00240784" w:rsidRPr="00C00255">
        <w:t>o</w:t>
      </w:r>
      <w:r w:rsidRPr="00C00255">
        <w:t xml:space="preserve"> ir suėmim</w:t>
      </w:r>
      <w:r w:rsidR="00240784" w:rsidRPr="00C00255">
        <w:t>o</w:t>
      </w:r>
      <w:r w:rsidRPr="00C00255">
        <w:t xml:space="preserve"> nuo 2014</w:t>
      </w:r>
      <w:r w:rsidR="00240784" w:rsidRPr="00C00255">
        <w:t> </w:t>
      </w:r>
      <w:r w:rsidR="00DE456C" w:rsidRPr="00C00255">
        <w:t>m. </w:t>
      </w:r>
      <w:r w:rsidRPr="00C00255">
        <w:t>kovo 12 d. iki 2019 m. kovo 27 d.</w:t>
      </w:r>
      <w:r w:rsidR="00240784" w:rsidRPr="00C00255">
        <w:t xml:space="preserve"> laikas.</w:t>
      </w:r>
    </w:p>
    <w:p w:rsidR="00736BED" w:rsidRPr="00C00255" w:rsidRDefault="00A97F74" w:rsidP="00321748">
      <w:pPr>
        <w:pStyle w:val="ListParagraph"/>
        <w:numPr>
          <w:ilvl w:val="0"/>
          <w:numId w:val="9"/>
        </w:numPr>
        <w:ind w:left="992" w:hanging="567"/>
      </w:pPr>
      <w:r>
        <w:rPr>
          <w:b/>
        </w:rPr>
        <w:t>D. B.</w:t>
      </w:r>
      <w:r w:rsidR="00736BED" w:rsidRPr="00C00255">
        <w:t xml:space="preserve"> pripažintas kaltu ir nubaustas: </w:t>
      </w:r>
    </w:p>
    <w:p w:rsidR="005F7F57" w:rsidRPr="00C00255" w:rsidRDefault="005F7F57"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5F7F57" w:rsidRPr="00C00255" w:rsidRDefault="00420707"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420707" w:rsidRPr="00C00255">
        <w:t xml:space="preserve"> – laisvės atėmimu 6 (šešeriems) metams; </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420707" w:rsidRPr="00C00255">
        <w:t>– laisvės atėmimu 6 (šešeriems) metams;</w:t>
      </w:r>
    </w:p>
    <w:p w:rsidR="00420707" w:rsidRPr="00C00255" w:rsidRDefault="00420707"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36BED" w:rsidRPr="00C00255" w:rsidRDefault="00736BED" w:rsidP="005F7F57">
      <w:pPr>
        <w:spacing w:after="120"/>
        <w:ind w:firstLine="992"/>
      </w:pPr>
      <w:r w:rsidRPr="00C00255">
        <w:t xml:space="preserve">Vadovaujantis BK 63 straipsnio 5 dalies 1 punktu, paskirtos bausmės subendrintos apėmimo būdu ir </w:t>
      </w:r>
      <w:r w:rsidR="00A97F74">
        <w:t>D. B.</w:t>
      </w:r>
      <w:r w:rsidRPr="00C00255">
        <w:t xml:space="preserve"> galutinė subendrinta bausmė paskirta laisvės atėmimas </w:t>
      </w:r>
      <w:r w:rsidR="005D2D1B" w:rsidRPr="00C00255">
        <w:t>10</w:t>
      </w:r>
      <w:r w:rsidR="00DE456C" w:rsidRPr="00C00255">
        <w:t> </w:t>
      </w:r>
      <w:r w:rsidRPr="00C00255">
        <w:t>(</w:t>
      </w:r>
      <w:r w:rsidR="005D2D1B" w:rsidRPr="00C00255">
        <w:t>dešimčiai</w:t>
      </w:r>
      <w:r w:rsidRPr="00C00255">
        <w:t xml:space="preserve">) metų, bausmę atliekant pataisos namuose. </w:t>
      </w:r>
    </w:p>
    <w:p w:rsidR="00736BED" w:rsidRPr="00C00255" w:rsidRDefault="00A97F74" w:rsidP="00321748">
      <w:pPr>
        <w:pStyle w:val="ListParagraph"/>
        <w:numPr>
          <w:ilvl w:val="0"/>
          <w:numId w:val="9"/>
        </w:numPr>
        <w:ind w:left="992" w:hanging="567"/>
      </w:pPr>
      <w:r>
        <w:rPr>
          <w:b/>
        </w:rPr>
        <w:t>N. O.</w:t>
      </w:r>
      <w:r w:rsidR="00736BED" w:rsidRPr="00C00255">
        <w:rPr>
          <w:b/>
        </w:rPr>
        <w:t xml:space="preserve"> </w:t>
      </w:r>
      <w:r w:rsidR="00736BED" w:rsidRPr="00C00255">
        <w:t>pripažintas kaltu</w:t>
      </w:r>
      <w:r w:rsidR="00420707" w:rsidRPr="00C00255">
        <w:t xml:space="preserve"> ir nubaustas</w:t>
      </w:r>
      <w:r w:rsidR="00736BED" w:rsidRPr="00C00255">
        <w:t xml:space="preserve">: </w:t>
      </w:r>
    </w:p>
    <w:p w:rsidR="005F7F57" w:rsidRPr="00C00255" w:rsidRDefault="005F7F57"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5F7F57" w:rsidRPr="00C00255" w:rsidRDefault="005D2D1B" w:rsidP="00321748">
      <w:pPr>
        <w:pStyle w:val="ListParagraph"/>
        <w:numPr>
          <w:ilvl w:val="0"/>
          <w:numId w:val="2"/>
        </w:numPr>
        <w:shd w:val="clear" w:color="auto" w:fill="FFFFFF"/>
        <w:tabs>
          <w:tab w:val="left" w:pos="993"/>
        </w:tabs>
        <w:ind w:left="0" w:firstLine="425"/>
      </w:pPr>
      <w:r w:rsidRPr="00C00255">
        <w:lastRenderedPageBreak/>
        <w:t>pagal BK 101 straipsnį</w:t>
      </w:r>
      <w:r w:rsidR="00DE456C" w:rsidRPr="00C00255">
        <w:rPr>
          <w:rFonts w:eastAsia="Calibri"/>
        </w:rPr>
        <w:t xml:space="preserve"> </w:t>
      </w:r>
      <w:r w:rsidRPr="00C00255">
        <w:t>– laisvės atėmimu 10 (dešimčiai) metų;</w:t>
      </w:r>
    </w:p>
    <w:p w:rsidR="005F7F57" w:rsidRPr="00C00255" w:rsidRDefault="005D2D1B"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5D2D1B" w:rsidRPr="00C00255">
        <w:t>– laisvės atėmimu 6 (šešeriems) metams;</w:t>
      </w:r>
    </w:p>
    <w:p w:rsidR="005D2D1B" w:rsidRPr="00C00255" w:rsidRDefault="005D2D1B"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F45218" w:rsidRPr="00C00255" w:rsidRDefault="00736BED" w:rsidP="00A97F74">
      <w:pPr>
        <w:spacing w:after="120"/>
        <w:ind w:firstLine="992"/>
      </w:pPr>
      <w:r w:rsidRPr="00C00255">
        <w:t xml:space="preserve">Vadovaujantis BK 63 straipsnio 5 dalies 1 punktu, paskirtos bausmės subendrintos apėmimo būdu ir </w:t>
      </w:r>
      <w:r w:rsidR="00A97F74">
        <w:t>N. O.</w:t>
      </w:r>
      <w:r w:rsidRPr="00C00255">
        <w:t xml:space="preserve"> galutinė subendrinta bausmė paskirta laisvės atėmimas </w:t>
      </w:r>
      <w:r w:rsidR="00DE456C" w:rsidRPr="00C00255">
        <w:t>10 </w:t>
      </w:r>
      <w:r w:rsidRPr="00C00255">
        <w:t>(</w:t>
      </w:r>
      <w:r w:rsidR="005D2D1B" w:rsidRPr="00C00255">
        <w:t>dešimčiai</w:t>
      </w:r>
      <w:r w:rsidRPr="00C00255">
        <w:t xml:space="preserve">) metų, bausmę atliekant pataisos namuose. </w:t>
      </w:r>
    </w:p>
    <w:p w:rsidR="00736BED" w:rsidRPr="00C00255" w:rsidRDefault="00A97F74" w:rsidP="00321748">
      <w:pPr>
        <w:pStyle w:val="ListParagraph"/>
        <w:numPr>
          <w:ilvl w:val="0"/>
          <w:numId w:val="9"/>
        </w:numPr>
        <w:ind w:left="992" w:hanging="567"/>
      </w:pPr>
      <w:r>
        <w:rPr>
          <w:b/>
        </w:rPr>
        <w:t>A. K. 2</w:t>
      </w:r>
      <w:r w:rsidR="00736BED" w:rsidRPr="00C00255">
        <w:t xml:space="preserve"> pripažintas kaltu ir nubaustas: </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100 straipsnį</w:t>
      </w:r>
      <w:r w:rsidR="005F7F57" w:rsidRPr="00C00255">
        <w:t xml:space="preserve"> – laisvės atėmimu 6 (šešeriems) metams;</w:t>
      </w:r>
    </w:p>
    <w:p w:rsidR="005F7F57" w:rsidRPr="00C00255" w:rsidRDefault="005D2D1B" w:rsidP="00321748">
      <w:pPr>
        <w:pStyle w:val="ListParagraph"/>
        <w:numPr>
          <w:ilvl w:val="0"/>
          <w:numId w:val="2"/>
        </w:numPr>
        <w:shd w:val="clear" w:color="auto" w:fill="FFFFFF"/>
        <w:tabs>
          <w:tab w:val="left" w:pos="993"/>
        </w:tabs>
        <w:ind w:left="0" w:firstLine="425"/>
      </w:pPr>
      <w:r w:rsidRPr="00C00255">
        <w:t>pagal BK 101 straipsnį – laisvės atėmimu 10 (dešimčiai) metų;</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5D2D1B" w:rsidRPr="00C00255">
        <w:t xml:space="preserve"> – laisvės atėmimu 6 (šešeriems) metams; </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5D2D1B" w:rsidRPr="00C00255">
        <w:t>– laisvės atėmimu 6 (šešeriems) metams;</w:t>
      </w:r>
    </w:p>
    <w:p w:rsidR="005D2D1B" w:rsidRPr="00C00255" w:rsidRDefault="005F7F57" w:rsidP="00321748">
      <w:pPr>
        <w:pStyle w:val="ListParagraph"/>
        <w:numPr>
          <w:ilvl w:val="0"/>
          <w:numId w:val="2"/>
        </w:numPr>
        <w:shd w:val="clear" w:color="auto" w:fill="FFFFFF"/>
        <w:tabs>
          <w:tab w:val="left" w:pos="993"/>
        </w:tabs>
        <w:ind w:left="0" w:firstLine="425"/>
      </w:pPr>
      <w:r w:rsidRPr="00C00255">
        <w:t>p</w:t>
      </w:r>
      <w:r w:rsidR="005D2D1B" w:rsidRPr="00C00255">
        <w:t>agal BK 112 straipsnį – laisvės atėmimu 5 (penkeriems) metams.</w:t>
      </w:r>
    </w:p>
    <w:p w:rsidR="00736BED" w:rsidRPr="00C00255" w:rsidRDefault="00736BED" w:rsidP="005F7F57">
      <w:pPr>
        <w:spacing w:after="120"/>
        <w:ind w:firstLine="992"/>
      </w:pPr>
      <w:r w:rsidRPr="00C00255">
        <w:t xml:space="preserve">Vadovaujantis BK 63 straipsnio 5 dalies 1 punktu, paskirtos bausmės subendrintos apėmimo būdu ir </w:t>
      </w:r>
      <w:r w:rsidR="00A97F74">
        <w:t>A. K. 2</w:t>
      </w:r>
      <w:r w:rsidRPr="00C00255">
        <w:t xml:space="preserve"> galutinė subendrinta bausmė paskirta laisvės atėmimas </w:t>
      </w:r>
      <w:r w:rsidR="005D2D1B" w:rsidRPr="00C00255">
        <w:t>10</w:t>
      </w:r>
      <w:r w:rsidR="00CA3D97" w:rsidRPr="00C00255">
        <w:t> </w:t>
      </w:r>
      <w:r w:rsidRPr="00C00255">
        <w:t>(</w:t>
      </w:r>
      <w:r w:rsidR="005D2D1B" w:rsidRPr="00C00255">
        <w:t>dešimčiai</w:t>
      </w:r>
      <w:r w:rsidRPr="00C00255">
        <w:t xml:space="preserve">) metų, bausmę atliekant pataisos namuose. </w:t>
      </w:r>
    </w:p>
    <w:p w:rsidR="00736BED" w:rsidRPr="00C00255" w:rsidRDefault="00A97F74" w:rsidP="00321748">
      <w:pPr>
        <w:pStyle w:val="ListParagraph"/>
        <w:numPr>
          <w:ilvl w:val="0"/>
          <w:numId w:val="9"/>
        </w:numPr>
        <w:ind w:left="992" w:hanging="567"/>
      </w:pPr>
      <w:r>
        <w:rPr>
          <w:b/>
        </w:rPr>
        <w:t>A. R.</w:t>
      </w:r>
      <w:r w:rsidR="00736BED" w:rsidRPr="00C00255">
        <w:rPr>
          <w:b/>
        </w:rPr>
        <w:t xml:space="preserve"> </w:t>
      </w:r>
      <w:r w:rsidR="00736BED" w:rsidRPr="00C00255">
        <w:t xml:space="preserve">pripažintas kaltu ir nubaustas: </w:t>
      </w:r>
    </w:p>
    <w:p w:rsidR="005F7F57" w:rsidRPr="00C00255" w:rsidRDefault="005F7F57" w:rsidP="00321748">
      <w:pPr>
        <w:pStyle w:val="ListParagraph"/>
        <w:numPr>
          <w:ilvl w:val="0"/>
          <w:numId w:val="2"/>
        </w:numPr>
        <w:shd w:val="clear" w:color="auto" w:fill="FFFFFF"/>
        <w:tabs>
          <w:tab w:val="left" w:pos="993"/>
        </w:tabs>
        <w:ind w:left="0" w:firstLine="425"/>
      </w:pPr>
      <w:r w:rsidRPr="00C00255">
        <w:t>pagal BK 100 straipsnį</w:t>
      </w:r>
      <w:r w:rsidRPr="00C00255">
        <w:rPr>
          <w:rFonts w:eastAsia="Calibri"/>
        </w:rPr>
        <w:t>, pritaikius BK 54 straipsnio 3 dalies nuostatas</w:t>
      </w:r>
      <w:r w:rsidR="00760024" w:rsidRPr="00C00255">
        <w:rPr>
          <w:rFonts w:eastAsia="Calibri"/>
        </w:rPr>
        <w:t>,</w:t>
      </w:r>
      <w:r w:rsidR="00DE456C" w:rsidRPr="00C00255">
        <w:t xml:space="preserve"> – laisvės atėmimu 3 </w:t>
      </w:r>
      <w:r w:rsidRPr="00C00255">
        <w:t>(trejiems) metams;</w:t>
      </w:r>
    </w:p>
    <w:p w:rsidR="005F7F57" w:rsidRPr="00C00255" w:rsidRDefault="005D2D1B"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760024"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5D2D1B" w:rsidRPr="00C00255">
        <w:t xml:space="preserve"> – laisvės atėmimu</w:t>
      </w:r>
      <w:r w:rsidR="000C727C" w:rsidRPr="00C00255">
        <w:t xml:space="preserve"> </w:t>
      </w:r>
      <w:r w:rsidR="005D2D1B" w:rsidRPr="00C00255">
        <w:t xml:space="preserve">3 (trejiems) metams; </w:t>
      </w:r>
    </w:p>
    <w:p w:rsidR="005F7F57" w:rsidRPr="00C00255" w:rsidRDefault="005D2D1B"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760024" w:rsidRPr="00C00255">
        <w:rPr>
          <w:rFonts w:eastAsia="Calibri"/>
        </w:rPr>
        <w:t>,</w:t>
      </w:r>
      <w:r w:rsidR="000C727C" w:rsidRPr="00C00255">
        <w:t xml:space="preserve"> </w:t>
      </w:r>
      <w:r w:rsidRPr="00C00255">
        <w:t>– laisvės atėmimu 3 (trejiems) metams;</w:t>
      </w:r>
    </w:p>
    <w:p w:rsidR="005D2D1B" w:rsidRPr="00C00255" w:rsidRDefault="005D2D1B"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736BED" w:rsidRPr="00C00255" w:rsidRDefault="00736BED" w:rsidP="005F7F57">
      <w:pPr>
        <w:spacing w:after="120"/>
        <w:ind w:firstLine="992"/>
      </w:pPr>
      <w:r w:rsidRPr="00C00255">
        <w:t xml:space="preserve">Vadovaujantis BK 63 straipsnio 5 dalies 1 punktu, paskirtos bausmės subendrintos apėmimo būdu ir </w:t>
      </w:r>
      <w:r w:rsidR="00A97F74">
        <w:t>A. R.</w:t>
      </w:r>
      <w:r w:rsidRPr="00C00255">
        <w:t xml:space="preserve"> galutinė subendrinta bausmė paskirta laisvės atėmimas </w:t>
      </w:r>
      <w:r w:rsidR="00DE456C" w:rsidRPr="00C00255">
        <w:t>4 </w:t>
      </w:r>
      <w:r w:rsidRPr="00C00255">
        <w:t>(</w:t>
      </w:r>
      <w:r w:rsidR="005D2D1B" w:rsidRPr="00C00255">
        <w:t>ketveriems</w:t>
      </w:r>
      <w:r w:rsidRPr="00C00255">
        <w:t xml:space="preserve">) metams, bausmę atliekant pataisos namuose. </w:t>
      </w:r>
    </w:p>
    <w:p w:rsidR="00A36BD0" w:rsidRPr="00C00255" w:rsidRDefault="00A97F74" w:rsidP="00321748">
      <w:pPr>
        <w:pStyle w:val="ListParagraph"/>
        <w:numPr>
          <w:ilvl w:val="0"/>
          <w:numId w:val="9"/>
        </w:numPr>
        <w:ind w:left="992" w:hanging="567"/>
      </w:pPr>
      <w:r>
        <w:rPr>
          <w:b/>
        </w:rPr>
        <w:t>S. F.</w:t>
      </w:r>
      <w:r w:rsidR="00736BED" w:rsidRPr="00C00255">
        <w:rPr>
          <w:b/>
        </w:rPr>
        <w:t xml:space="preserve"> </w:t>
      </w:r>
      <w:r w:rsidR="005D2D1B" w:rsidRPr="00C00255">
        <w:t>pripažintas kaltu</w:t>
      </w:r>
      <w:r w:rsidR="00A36BD0" w:rsidRPr="00C00255">
        <w:t xml:space="preserve"> ir nubaustas: </w:t>
      </w:r>
    </w:p>
    <w:p w:rsidR="005F7F57" w:rsidRPr="00C00255" w:rsidRDefault="005F7F57" w:rsidP="00321748">
      <w:pPr>
        <w:pStyle w:val="ListParagraph"/>
        <w:numPr>
          <w:ilvl w:val="0"/>
          <w:numId w:val="2"/>
        </w:numPr>
        <w:shd w:val="clear" w:color="auto" w:fill="FFFFFF"/>
        <w:tabs>
          <w:tab w:val="left" w:pos="993"/>
        </w:tabs>
        <w:ind w:left="0" w:firstLine="425"/>
      </w:pPr>
      <w:r w:rsidRPr="00C00255">
        <w:t>pagal BK 100 straipsnį – laisvės atėmimu 6 (šešeriems) metams;</w:t>
      </w:r>
    </w:p>
    <w:p w:rsidR="005F7F57" w:rsidRPr="00C00255" w:rsidRDefault="00DE456C" w:rsidP="00321748">
      <w:pPr>
        <w:pStyle w:val="ListParagraph"/>
        <w:numPr>
          <w:ilvl w:val="0"/>
          <w:numId w:val="2"/>
        </w:numPr>
        <w:shd w:val="clear" w:color="auto" w:fill="FFFFFF"/>
        <w:tabs>
          <w:tab w:val="left" w:pos="993"/>
        </w:tabs>
        <w:ind w:left="0" w:firstLine="425"/>
      </w:pPr>
      <w:r w:rsidRPr="00C00255">
        <w:t>pagal BK 101 straipsnį</w:t>
      </w:r>
      <w:r w:rsidR="005D2D1B" w:rsidRPr="00C00255">
        <w:t xml:space="preserve"> – laisvės atėmimu 10 (dešimčiai) metų;</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5D2D1B" w:rsidRPr="00C00255">
        <w:t xml:space="preserve"> – laisvės atėmimu 6 (šešeriems) metams; </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5D2D1B" w:rsidRPr="00C00255">
        <w:t>– laisvės atėmimu 6 (šešeriems) metams;</w:t>
      </w:r>
    </w:p>
    <w:p w:rsidR="005D2D1B" w:rsidRPr="00C00255" w:rsidRDefault="005D2D1B"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736BED" w:rsidRPr="00C00255" w:rsidRDefault="00A36BD0" w:rsidP="001E3546">
      <w:pPr>
        <w:spacing w:after="120"/>
        <w:ind w:firstLine="992"/>
      </w:pPr>
      <w:r w:rsidRPr="00C00255">
        <w:t xml:space="preserve">Vadovaujantis BK 63 straipsnio 5 dalies 1 punktu, paskirtos bausmės subendrintos apėmimo būdu ir </w:t>
      </w:r>
      <w:r w:rsidR="00A97F74">
        <w:t>S. F.</w:t>
      </w:r>
      <w:r w:rsidRPr="00C00255">
        <w:t xml:space="preserve"> galutinė subendrinta bausmė paskirta laisvės atėmimas </w:t>
      </w:r>
      <w:r w:rsidR="005D2D1B" w:rsidRPr="00C00255">
        <w:t>10</w:t>
      </w:r>
      <w:r w:rsidR="00DE456C" w:rsidRPr="00C00255">
        <w:t> </w:t>
      </w:r>
      <w:r w:rsidRPr="00C00255">
        <w:t>(</w:t>
      </w:r>
      <w:r w:rsidR="005D2D1B" w:rsidRPr="00C00255">
        <w:t>dešimčiai</w:t>
      </w:r>
      <w:r w:rsidRPr="00C00255">
        <w:t xml:space="preserve">) metų, bausmę atliekant pataisos namuose. </w:t>
      </w:r>
    </w:p>
    <w:p w:rsidR="00A36BD0" w:rsidRPr="00C00255" w:rsidRDefault="00A97F74" w:rsidP="00321748">
      <w:pPr>
        <w:pStyle w:val="ListParagraph"/>
        <w:numPr>
          <w:ilvl w:val="0"/>
          <w:numId w:val="9"/>
        </w:numPr>
        <w:ind w:left="992" w:hanging="567"/>
      </w:pPr>
      <w:r>
        <w:rPr>
          <w:b/>
        </w:rPr>
        <w:t>V. R.</w:t>
      </w:r>
      <w:r w:rsidR="00A36BD0" w:rsidRPr="00C00255">
        <w:rPr>
          <w:b/>
        </w:rPr>
        <w:t xml:space="preserve"> </w:t>
      </w:r>
      <w:r w:rsidR="00A36BD0" w:rsidRPr="00C00255">
        <w:t xml:space="preserve">pripažintas kaltu ir nubaustas: </w:t>
      </w:r>
    </w:p>
    <w:p w:rsidR="001E3546" w:rsidRPr="00C00255" w:rsidRDefault="001E3546" w:rsidP="00321748">
      <w:pPr>
        <w:pStyle w:val="ListParagraph"/>
        <w:numPr>
          <w:ilvl w:val="0"/>
          <w:numId w:val="2"/>
        </w:numPr>
        <w:shd w:val="clear" w:color="auto" w:fill="FFFFFF"/>
        <w:tabs>
          <w:tab w:val="left" w:pos="993"/>
        </w:tabs>
        <w:ind w:left="0" w:firstLine="425"/>
      </w:pPr>
      <w:r w:rsidRPr="00C00255">
        <w:t>pagal BK 100 straipsnį</w:t>
      </w:r>
      <w:r w:rsidRPr="00C00255">
        <w:rPr>
          <w:rFonts w:eastAsia="Calibri"/>
        </w:rPr>
        <w:t>, pritaikius BK 54 straipsnio 3 dalies nuostatas</w:t>
      </w:r>
      <w:r w:rsidR="00760024" w:rsidRPr="00C00255">
        <w:rPr>
          <w:rFonts w:eastAsia="Calibri"/>
        </w:rPr>
        <w:t>,</w:t>
      </w:r>
      <w:r w:rsidR="00DE456C" w:rsidRPr="00C00255">
        <w:t xml:space="preserve"> – laisvės atėmimu 3 </w:t>
      </w:r>
      <w:r w:rsidRPr="00C00255">
        <w:t>(trejiems) metams;</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101 straipsnį</w:t>
      </w:r>
      <w:r w:rsidR="005D2D1B" w:rsidRPr="00C00255">
        <w:rPr>
          <w:rFonts w:eastAsia="Calibri"/>
        </w:rPr>
        <w:t>, pritaikius BK 54 straipsnio 3 dalies nuostatas</w:t>
      </w:r>
      <w:r w:rsidR="00760024" w:rsidRPr="00C00255">
        <w:rPr>
          <w:rFonts w:eastAsia="Calibri"/>
        </w:rPr>
        <w:t>,</w:t>
      </w:r>
      <w:r w:rsidR="005D2D1B" w:rsidRPr="00C00255">
        <w:t xml:space="preserve"> –</w:t>
      </w:r>
      <w:r w:rsidR="000C727C" w:rsidRPr="00C00255">
        <w:t xml:space="preserve"> </w:t>
      </w:r>
      <w:r w:rsidRPr="00C00255">
        <w:t>laisvės atėmimu 4 </w:t>
      </w:r>
      <w:r w:rsidR="005D2D1B" w:rsidRPr="00C00255">
        <w:t xml:space="preserve">(ketveriems) metams; </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5D2D1B" w:rsidRPr="00C00255">
        <w:t xml:space="preserve"> –</w:t>
      </w:r>
      <w:r w:rsidR="000C727C" w:rsidRPr="00C00255">
        <w:t xml:space="preserve"> laisvės atėmimu </w:t>
      </w:r>
      <w:r w:rsidR="005D2D1B" w:rsidRPr="00C00255">
        <w:t xml:space="preserve">3 (trejiems) metams; </w:t>
      </w:r>
    </w:p>
    <w:p w:rsidR="001E3546" w:rsidRPr="00C00255" w:rsidRDefault="005D2D1B"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760024" w:rsidRPr="00C00255">
        <w:rPr>
          <w:rFonts w:eastAsia="Calibri"/>
        </w:rPr>
        <w:t>,</w:t>
      </w:r>
      <w:r w:rsidR="000C727C" w:rsidRPr="00C00255">
        <w:t xml:space="preserve"> </w:t>
      </w:r>
      <w:r w:rsidRPr="00C00255">
        <w:t>– laisvės atėmimu 3 (trejiems) metams;</w:t>
      </w:r>
    </w:p>
    <w:p w:rsidR="005D2D1B" w:rsidRPr="00C00255" w:rsidRDefault="005D2D1B"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A36BD0" w:rsidRPr="00C00255" w:rsidRDefault="00A36BD0" w:rsidP="001E3546">
      <w:pPr>
        <w:spacing w:after="120"/>
        <w:ind w:firstLine="992"/>
      </w:pPr>
      <w:r w:rsidRPr="00C00255">
        <w:lastRenderedPageBreak/>
        <w:t xml:space="preserve">Vadovaujantis BK 63 straipsnio 5 dalies 1 punktu, paskirtos bausmės subendrintos apėmimo būdu ir </w:t>
      </w:r>
      <w:r w:rsidR="00A97F74">
        <w:t>V. R.</w:t>
      </w:r>
      <w:r w:rsidRPr="00C00255">
        <w:t xml:space="preserve"> galutinė subendrinta bausmė paskirta laisvės atėmimas </w:t>
      </w:r>
      <w:r w:rsidR="00DE456C" w:rsidRPr="00C00255">
        <w:t>4 </w:t>
      </w:r>
      <w:r w:rsidRPr="00C00255">
        <w:t>(</w:t>
      </w:r>
      <w:r w:rsidR="005D2D1B" w:rsidRPr="00C00255">
        <w:t>ketveriems</w:t>
      </w:r>
      <w:r w:rsidRPr="00C00255">
        <w:t xml:space="preserve">) metams, bausmę atliekant pataisos namuose. </w:t>
      </w:r>
    </w:p>
    <w:p w:rsidR="00A36BD0" w:rsidRPr="00C00255" w:rsidRDefault="00A97F74" w:rsidP="00321748">
      <w:pPr>
        <w:pStyle w:val="ListParagraph"/>
        <w:numPr>
          <w:ilvl w:val="0"/>
          <w:numId w:val="9"/>
        </w:numPr>
        <w:ind w:left="992" w:hanging="567"/>
      </w:pPr>
      <w:r>
        <w:rPr>
          <w:b/>
        </w:rPr>
        <w:t>V. Š. 2</w:t>
      </w:r>
      <w:r w:rsidR="00A36BD0" w:rsidRPr="00C00255">
        <w:rPr>
          <w:b/>
        </w:rPr>
        <w:t xml:space="preserve"> </w:t>
      </w:r>
      <w:r w:rsidR="00A36BD0" w:rsidRPr="00C00255">
        <w:t xml:space="preserve">pripažintas kaltu </w:t>
      </w:r>
      <w:r w:rsidR="004B594C" w:rsidRPr="00C00255">
        <w:t>ir nubaustas</w:t>
      </w:r>
      <w:r w:rsidR="00A36BD0" w:rsidRPr="00C00255">
        <w:t xml:space="preserve">: </w:t>
      </w:r>
    </w:p>
    <w:p w:rsidR="001E3546" w:rsidRPr="00C00255" w:rsidRDefault="001E3546" w:rsidP="00321748">
      <w:pPr>
        <w:pStyle w:val="ListParagraph"/>
        <w:numPr>
          <w:ilvl w:val="0"/>
          <w:numId w:val="2"/>
        </w:numPr>
        <w:shd w:val="clear" w:color="auto" w:fill="FFFFFF"/>
        <w:tabs>
          <w:tab w:val="left" w:pos="993"/>
        </w:tabs>
        <w:ind w:left="0" w:firstLine="425"/>
      </w:pPr>
      <w:r w:rsidRPr="00C00255">
        <w:t>pagal BK 100 straipsnį</w:t>
      </w:r>
      <w:r w:rsidRPr="00C00255">
        <w:rPr>
          <w:rFonts w:eastAsia="Calibri"/>
        </w:rPr>
        <w:t>, pritaikius BK 54 straipsnio 3 dalies nuostatas</w:t>
      </w:r>
      <w:r w:rsidR="00760024" w:rsidRPr="00C00255">
        <w:rPr>
          <w:rFonts w:eastAsia="Calibri"/>
        </w:rPr>
        <w:t>,</w:t>
      </w:r>
      <w:r w:rsidR="00DE456C" w:rsidRPr="00C00255">
        <w:t xml:space="preserve"> – laisvės atėmimu 3 </w:t>
      </w:r>
      <w:r w:rsidRPr="00C00255">
        <w:t>(trejiems) metams;</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760024"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4B594C" w:rsidRPr="00C00255">
        <w:t xml:space="preserve"> – laisvės atėmimu</w:t>
      </w:r>
      <w:r w:rsidR="000C727C" w:rsidRPr="00C00255">
        <w:t xml:space="preserve"> </w:t>
      </w:r>
      <w:r w:rsidR="004B594C" w:rsidRPr="00C00255">
        <w:t xml:space="preserve">3 (trejiems) metams; </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760024" w:rsidRPr="00C00255">
        <w:rPr>
          <w:rFonts w:eastAsia="Calibri"/>
        </w:rPr>
        <w:t>,</w:t>
      </w:r>
      <w:r w:rsidR="000C727C" w:rsidRPr="00C00255">
        <w:t xml:space="preserve"> </w:t>
      </w:r>
      <w:r w:rsidRPr="00C00255">
        <w:t>– laisvės atėmimu 3 (trejiems) metams;</w:t>
      </w:r>
    </w:p>
    <w:p w:rsidR="004B594C" w:rsidRPr="00C00255" w:rsidRDefault="004B594C"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A36BD0" w:rsidRPr="00C00255" w:rsidRDefault="00A36BD0" w:rsidP="001E3546">
      <w:pPr>
        <w:spacing w:after="120"/>
        <w:ind w:firstLine="992"/>
      </w:pPr>
      <w:r w:rsidRPr="00C00255">
        <w:t xml:space="preserve">Vadovaujantis BK 63 straipsnio 5 dalies 1 punktu, paskirtos bausmės subendrintos apėmimo būdu ir </w:t>
      </w:r>
      <w:r w:rsidR="00A97F74">
        <w:t>V. Š. 2</w:t>
      </w:r>
      <w:r w:rsidRPr="00C00255">
        <w:t xml:space="preserve"> galutinė subendrinta bausmė paskirta laisvės atėmimas </w:t>
      </w:r>
      <w:r w:rsidR="004B594C" w:rsidRPr="00C00255">
        <w:t>4</w:t>
      </w:r>
      <w:r w:rsidRPr="00C00255">
        <w:t xml:space="preserve"> (</w:t>
      </w:r>
      <w:r w:rsidR="004B594C" w:rsidRPr="00C00255">
        <w:t>ketveriems</w:t>
      </w:r>
      <w:r w:rsidRPr="00C00255">
        <w:t xml:space="preserve">) metams, bausmę atliekant pataisos namuose. </w:t>
      </w:r>
    </w:p>
    <w:p w:rsidR="00A36BD0" w:rsidRPr="00C00255" w:rsidRDefault="00A97F74" w:rsidP="00321748">
      <w:pPr>
        <w:pStyle w:val="ListParagraph"/>
        <w:numPr>
          <w:ilvl w:val="0"/>
          <w:numId w:val="9"/>
        </w:numPr>
        <w:ind w:left="992" w:hanging="567"/>
      </w:pPr>
      <w:r>
        <w:rPr>
          <w:b/>
        </w:rPr>
        <w:t>V. M.</w:t>
      </w:r>
      <w:r w:rsidR="00A36BD0" w:rsidRPr="00C00255">
        <w:rPr>
          <w:b/>
        </w:rPr>
        <w:t xml:space="preserve"> </w:t>
      </w:r>
      <w:r w:rsidR="00A36BD0" w:rsidRPr="00C00255">
        <w:t xml:space="preserve">pripažintas kaltu </w:t>
      </w:r>
      <w:r w:rsidR="004B594C" w:rsidRPr="00C00255">
        <w:t>ir nubaustas</w:t>
      </w:r>
      <w:r w:rsidR="00A36BD0" w:rsidRPr="00C00255">
        <w:t xml:space="preserve">: </w:t>
      </w:r>
    </w:p>
    <w:p w:rsidR="001E3546" w:rsidRPr="00C00255" w:rsidRDefault="001E3546"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101 straipsnį</w:t>
      </w:r>
      <w:r w:rsidR="00EB5EF8" w:rsidRPr="00C00255">
        <w:rPr>
          <w:rFonts w:eastAsia="Calibri"/>
        </w:rPr>
        <w:t>, pritaikius BK 54 straipsnio 3 dalies nuostatas</w:t>
      </w:r>
      <w:r w:rsidR="00760024" w:rsidRPr="00C00255">
        <w:rPr>
          <w:rFonts w:eastAsia="Calibri"/>
        </w:rPr>
        <w:t>,</w:t>
      </w:r>
      <w:r w:rsidR="00DE456C" w:rsidRPr="00C00255">
        <w:t xml:space="preserve"> – laisvės atėmimu 8 </w:t>
      </w:r>
      <w:r w:rsidRPr="00C00255">
        <w:t>(aštuoneriems) metams;</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4B594C" w:rsidRPr="00C00255">
        <w:t xml:space="preserve"> – laisvės atėmimu 6 (šešeriems) metams; </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4B594C" w:rsidRPr="00C00255">
        <w:t>– laisvės atėmimu 6 (šešeriems) metams;</w:t>
      </w:r>
    </w:p>
    <w:p w:rsidR="004B594C" w:rsidRPr="00C00255" w:rsidRDefault="004B594C"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A36BD0" w:rsidRPr="00C00255" w:rsidRDefault="00A36BD0" w:rsidP="001E3546">
      <w:pPr>
        <w:spacing w:after="120"/>
        <w:ind w:firstLine="992"/>
      </w:pPr>
      <w:r w:rsidRPr="00C00255">
        <w:t xml:space="preserve">Vadovaujantis BK 63 straipsnio 5 dalies 1 punktu, paskirtos bausmės subendrintos apėmimo būdu ir </w:t>
      </w:r>
      <w:r w:rsidR="00A97F74">
        <w:t>V. M.</w:t>
      </w:r>
      <w:r w:rsidRPr="00C00255">
        <w:t xml:space="preserve"> galutinė subendrinta bausmė paskirta laisvės atėmimas </w:t>
      </w:r>
      <w:r w:rsidR="004B594C" w:rsidRPr="00C00255">
        <w:t xml:space="preserve">8 </w:t>
      </w:r>
      <w:r w:rsidRPr="00C00255">
        <w:t>(</w:t>
      </w:r>
      <w:r w:rsidR="004B594C" w:rsidRPr="00C00255">
        <w:t>aštuoneriems</w:t>
      </w:r>
      <w:r w:rsidRPr="00C00255">
        <w:t xml:space="preserve">) metams, bausmę atliekant pataisos namuose. </w:t>
      </w:r>
    </w:p>
    <w:p w:rsidR="00A36BD0" w:rsidRPr="00C00255" w:rsidRDefault="00DC0414" w:rsidP="00321748">
      <w:pPr>
        <w:pStyle w:val="ListParagraph"/>
        <w:numPr>
          <w:ilvl w:val="0"/>
          <w:numId w:val="9"/>
        </w:numPr>
        <w:ind w:left="992" w:hanging="567"/>
      </w:pPr>
      <w:r>
        <w:rPr>
          <w:b/>
        </w:rPr>
        <w:t>G. P.</w:t>
      </w:r>
      <w:r w:rsidR="00A36BD0" w:rsidRPr="00C00255">
        <w:rPr>
          <w:b/>
        </w:rPr>
        <w:t xml:space="preserve"> </w:t>
      </w:r>
      <w:r w:rsidR="00A36BD0" w:rsidRPr="00C00255">
        <w:t xml:space="preserve">pripažintas kaltu ir nubaustas: </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100 straipsnį</w:t>
      </w:r>
      <w:r w:rsidR="001E3546" w:rsidRPr="00C00255">
        <w:rPr>
          <w:rFonts w:eastAsia="Calibri"/>
        </w:rPr>
        <w:t>, pritaikius BK 54 straipsnio 3 dalies nuostatas</w:t>
      </w:r>
      <w:r w:rsidR="00760024" w:rsidRPr="00C00255">
        <w:rPr>
          <w:rFonts w:eastAsia="Calibri"/>
        </w:rPr>
        <w:t>,</w:t>
      </w:r>
      <w:r w:rsidRPr="00C00255">
        <w:t xml:space="preserve"> – laisvės atėmimu 3 </w:t>
      </w:r>
      <w:r w:rsidR="001E3546" w:rsidRPr="00C00255">
        <w:t>(trejiems) metams;</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101 straipsnį</w:t>
      </w:r>
      <w:r w:rsidRPr="00C00255">
        <w:rPr>
          <w:rFonts w:eastAsia="Calibri"/>
        </w:rPr>
        <w:t>, pritaikius BK 54 straipsnio 3 dalies nuostatas</w:t>
      </w:r>
      <w:r w:rsidR="00760024" w:rsidRPr="00C00255">
        <w:rPr>
          <w:rFonts w:eastAsia="Calibri"/>
        </w:rPr>
        <w:t>,</w:t>
      </w:r>
      <w:r w:rsidRPr="00C00255">
        <w:t xml:space="preserve"> –</w:t>
      </w:r>
      <w:r w:rsidR="000C727C" w:rsidRPr="00C00255">
        <w:t xml:space="preserve"> </w:t>
      </w:r>
      <w:r w:rsidR="00DE456C" w:rsidRPr="00C00255">
        <w:t>laisvės atėmimu 4 </w:t>
      </w:r>
      <w:r w:rsidRPr="00C00255">
        <w:t xml:space="preserve">(ketveriems) metams; </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103 straipsnio 1 dalį – laisvės atėmimu</w:t>
      </w:r>
      <w:r w:rsidR="000C727C" w:rsidRPr="00C00255">
        <w:t xml:space="preserve"> </w:t>
      </w:r>
      <w:r w:rsidRPr="00C00255">
        <w:t xml:space="preserve">3 (trejiems) metams; </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111 straipsnio 1 dalį</w:t>
      </w:r>
      <w:r w:rsidRPr="00C00255">
        <w:rPr>
          <w:rFonts w:eastAsia="Calibri"/>
        </w:rPr>
        <w:t>, pritaikius BK 54 straipsnio 3 dalies nuostatas</w:t>
      </w:r>
      <w:r w:rsidR="00760024" w:rsidRPr="00C00255">
        <w:rPr>
          <w:rFonts w:eastAsia="Calibri"/>
        </w:rPr>
        <w:t>,</w:t>
      </w:r>
      <w:r w:rsidR="000C727C" w:rsidRPr="00C00255">
        <w:t xml:space="preserve"> </w:t>
      </w:r>
      <w:r w:rsidRPr="00C00255">
        <w:t>– laisvės atėmimu 3 (trejiems) metams;</w:t>
      </w:r>
    </w:p>
    <w:p w:rsidR="004B594C" w:rsidRPr="00C00255" w:rsidRDefault="004B594C" w:rsidP="00321748">
      <w:pPr>
        <w:pStyle w:val="ListParagraph"/>
        <w:numPr>
          <w:ilvl w:val="0"/>
          <w:numId w:val="2"/>
        </w:numPr>
        <w:shd w:val="clear" w:color="auto" w:fill="FFFFFF"/>
        <w:tabs>
          <w:tab w:val="left" w:pos="993"/>
        </w:tabs>
        <w:ind w:left="0" w:firstLine="425"/>
      </w:pPr>
      <w:r w:rsidRPr="00C00255">
        <w:t>pagal BK 112 straipsnį – laisvės atėmimu 3 (trejiems) metams.</w:t>
      </w:r>
    </w:p>
    <w:p w:rsidR="00A36BD0" w:rsidRPr="00C00255" w:rsidRDefault="00A36BD0" w:rsidP="001E3546">
      <w:pPr>
        <w:spacing w:after="120"/>
        <w:ind w:firstLine="992"/>
      </w:pPr>
      <w:r w:rsidRPr="00C00255">
        <w:t xml:space="preserve">Vadovaujantis BK 63 straipsnio 5 dalies 1 punktu, paskirtos bausmės subendrintos apėmimo būdu ir </w:t>
      </w:r>
      <w:r w:rsidR="00DC0414">
        <w:t>G. P.</w:t>
      </w:r>
      <w:r w:rsidRPr="00C00255">
        <w:t xml:space="preserve"> galutinė subendrinta bausmė paskirta laisvės atėmimas </w:t>
      </w:r>
      <w:r w:rsidR="004B594C" w:rsidRPr="00C00255">
        <w:t>4</w:t>
      </w:r>
      <w:r w:rsidRPr="00C00255">
        <w:t xml:space="preserve"> (</w:t>
      </w:r>
      <w:r w:rsidR="004B594C" w:rsidRPr="00C00255">
        <w:t>ketveriems</w:t>
      </w:r>
      <w:r w:rsidRPr="00C00255">
        <w:t xml:space="preserve">) metams, bausmę atliekant pataisos namuose. </w:t>
      </w:r>
    </w:p>
    <w:p w:rsidR="00A36BD0" w:rsidRPr="00C00255" w:rsidRDefault="00DC0414" w:rsidP="00321748">
      <w:pPr>
        <w:pStyle w:val="ListParagraph"/>
        <w:numPr>
          <w:ilvl w:val="0"/>
          <w:numId w:val="9"/>
        </w:numPr>
        <w:ind w:left="992" w:hanging="567"/>
      </w:pPr>
      <w:r>
        <w:rPr>
          <w:b/>
        </w:rPr>
        <w:t>O. M.</w:t>
      </w:r>
      <w:r w:rsidR="00A36BD0" w:rsidRPr="00C00255">
        <w:rPr>
          <w:b/>
        </w:rPr>
        <w:t xml:space="preserve"> </w:t>
      </w:r>
      <w:r w:rsidR="00A36BD0" w:rsidRPr="00C00255">
        <w:t xml:space="preserve">pripažintas kaltu ir nubaustas: </w:t>
      </w:r>
    </w:p>
    <w:p w:rsidR="001E3546" w:rsidRPr="00C00255" w:rsidRDefault="001E3546"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4B594C" w:rsidRPr="00C00255">
        <w:t xml:space="preserve"> – laisvės atėmimu 6 (šešeriems) metams; </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111 straipsnio 1 dalį</w:t>
      </w:r>
      <w:r w:rsidR="000C727C" w:rsidRPr="00C00255">
        <w:t xml:space="preserve"> </w:t>
      </w:r>
      <w:r w:rsidR="004B594C" w:rsidRPr="00C00255">
        <w:t>– laisvės atėmimu 6 (šešeriems) metams;</w:t>
      </w:r>
    </w:p>
    <w:p w:rsidR="004B594C" w:rsidRPr="00C00255" w:rsidRDefault="004B594C"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A36BD0" w:rsidRPr="00C00255" w:rsidRDefault="00A36BD0" w:rsidP="001E3546">
      <w:pPr>
        <w:spacing w:after="120"/>
        <w:ind w:firstLine="992"/>
      </w:pPr>
      <w:r w:rsidRPr="00C00255">
        <w:t xml:space="preserve">Vadovaujantis BK 63 straipsnio 5 dalies 1 punktu, paskirtos bausmės subendrintos apėmimo būdu ir </w:t>
      </w:r>
      <w:r w:rsidR="00DC0414">
        <w:t>O. M.</w:t>
      </w:r>
      <w:r w:rsidRPr="00C00255">
        <w:t xml:space="preserve"> galutinė subendrinta bausmė paskirta laisvės atėmimas </w:t>
      </w:r>
      <w:r w:rsidR="00DE456C" w:rsidRPr="00C00255">
        <w:t>10 </w:t>
      </w:r>
      <w:r w:rsidRPr="00C00255">
        <w:t>(</w:t>
      </w:r>
      <w:r w:rsidR="004B594C" w:rsidRPr="00C00255">
        <w:t>dešimčiai</w:t>
      </w:r>
      <w:r w:rsidRPr="00C00255">
        <w:t xml:space="preserve">) metų, bausmę atliekant pataisos namuose. </w:t>
      </w:r>
    </w:p>
    <w:p w:rsidR="00657D3F" w:rsidRPr="00C00255" w:rsidRDefault="00DC0414" w:rsidP="00321748">
      <w:pPr>
        <w:pStyle w:val="ListParagraph"/>
        <w:numPr>
          <w:ilvl w:val="0"/>
          <w:numId w:val="9"/>
        </w:numPr>
        <w:ind w:left="992" w:hanging="567"/>
      </w:pPr>
      <w:r>
        <w:rPr>
          <w:b/>
        </w:rPr>
        <w:t>M. C.</w:t>
      </w:r>
      <w:r w:rsidR="00657D3F" w:rsidRPr="00C00255">
        <w:t xml:space="preserve"> pripažintas kaltu ir nubaustas: </w:t>
      </w:r>
    </w:p>
    <w:p w:rsidR="001E3546" w:rsidRPr="00C00255" w:rsidRDefault="001E3546" w:rsidP="00321748">
      <w:pPr>
        <w:pStyle w:val="ListParagraph"/>
        <w:numPr>
          <w:ilvl w:val="0"/>
          <w:numId w:val="2"/>
        </w:numPr>
        <w:shd w:val="clear" w:color="auto" w:fill="FFFFFF"/>
        <w:tabs>
          <w:tab w:val="left" w:pos="993"/>
        </w:tabs>
        <w:ind w:left="0" w:firstLine="425"/>
      </w:pPr>
      <w:r w:rsidRPr="00C00255">
        <w:lastRenderedPageBreak/>
        <w:t>pagal BK 100 straipsnį</w:t>
      </w:r>
      <w:r w:rsidR="00DE456C" w:rsidRPr="00C00255">
        <w:rPr>
          <w:rFonts w:eastAsia="Calibri"/>
        </w:rPr>
        <w:t xml:space="preserve"> </w:t>
      </w:r>
      <w:r w:rsidRPr="00C00255">
        <w:t>– laisvės atėmimu 6 (šešeriems) metams;</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1E3546" w:rsidRPr="00C00255" w:rsidRDefault="00DE456C" w:rsidP="00321748">
      <w:pPr>
        <w:pStyle w:val="ListParagraph"/>
        <w:numPr>
          <w:ilvl w:val="0"/>
          <w:numId w:val="2"/>
        </w:numPr>
        <w:shd w:val="clear" w:color="auto" w:fill="FFFFFF"/>
        <w:tabs>
          <w:tab w:val="left" w:pos="993"/>
        </w:tabs>
        <w:ind w:left="0" w:firstLine="425"/>
      </w:pPr>
      <w:r w:rsidRPr="00C00255">
        <w:t>pagal BK 103 straipsnio 1 dalį</w:t>
      </w:r>
      <w:r w:rsidR="004B594C" w:rsidRPr="00C00255">
        <w:t xml:space="preserve"> – laisvės atėmimu 6 (šešeriems) metams; </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111 straipsnio 1 dalį – laisvės atėmimu 6 (šešeriems) metams;</w:t>
      </w:r>
    </w:p>
    <w:p w:rsidR="004B594C" w:rsidRPr="00C00255" w:rsidRDefault="004B594C"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657D3F" w:rsidRPr="00C00255" w:rsidRDefault="00657D3F" w:rsidP="001E3546">
      <w:pPr>
        <w:spacing w:after="120"/>
        <w:ind w:firstLine="992"/>
      </w:pPr>
      <w:r w:rsidRPr="00C00255">
        <w:t xml:space="preserve">Vadovaujantis BK 63 straipsnio 5 dalies 1 punktu, paskirtos bausmės subendrintos apėmimo būdu ir </w:t>
      </w:r>
      <w:r w:rsidR="00DC0414">
        <w:t>M. C.</w:t>
      </w:r>
      <w:r w:rsidRPr="00C00255">
        <w:t xml:space="preserve"> galutinė subendrinta bausmė paskirta laisvės atėmimas </w:t>
      </w:r>
      <w:r w:rsidR="004B594C" w:rsidRPr="00C00255">
        <w:t>10</w:t>
      </w:r>
      <w:r w:rsidRPr="00C00255">
        <w:t xml:space="preserve"> (</w:t>
      </w:r>
      <w:r w:rsidR="004B594C" w:rsidRPr="00C00255">
        <w:t>dešimčiai</w:t>
      </w:r>
      <w:r w:rsidRPr="00C00255">
        <w:t xml:space="preserve">) metų, bausmę atliekant pataisos namuose. </w:t>
      </w:r>
    </w:p>
    <w:p w:rsidR="00657D3F" w:rsidRPr="00C00255" w:rsidRDefault="00DC0414" w:rsidP="00321748">
      <w:pPr>
        <w:pStyle w:val="ListParagraph"/>
        <w:numPr>
          <w:ilvl w:val="0"/>
          <w:numId w:val="9"/>
        </w:numPr>
        <w:ind w:left="992" w:hanging="567"/>
      </w:pPr>
      <w:r>
        <w:rPr>
          <w:b/>
        </w:rPr>
        <w:t>J. S.</w:t>
      </w:r>
      <w:r w:rsidR="00657D3F" w:rsidRPr="00C00255">
        <w:t xml:space="preserve"> pripažintas kaltu ir nubaustas: </w:t>
      </w:r>
    </w:p>
    <w:p w:rsidR="001E3546" w:rsidRPr="00C00255" w:rsidRDefault="001E3546" w:rsidP="00321748">
      <w:pPr>
        <w:pStyle w:val="ListParagraph"/>
        <w:numPr>
          <w:ilvl w:val="0"/>
          <w:numId w:val="2"/>
        </w:numPr>
        <w:shd w:val="clear" w:color="auto" w:fill="FFFFFF"/>
        <w:tabs>
          <w:tab w:val="left" w:pos="993"/>
        </w:tabs>
        <w:ind w:left="0" w:firstLine="425"/>
      </w:pPr>
      <w:r w:rsidRPr="00C00255">
        <w:t>pagal BK 100 straipsnį</w:t>
      </w:r>
      <w:r w:rsidR="00DE456C" w:rsidRPr="00C00255">
        <w:rPr>
          <w:rFonts w:eastAsia="Calibri"/>
        </w:rPr>
        <w:t xml:space="preserve"> </w:t>
      </w:r>
      <w:r w:rsidRPr="00C00255">
        <w:t>– laisvės atėmimu 6 (šešeriems) metams;</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101 straipsnį</w:t>
      </w:r>
      <w:r w:rsidR="00DE456C" w:rsidRPr="00C00255">
        <w:rPr>
          <w:rFonts w:eastAsia="Calibri"/>
        </w:rPr>
        <w:t xml:space="preserve"> </w:t>
      </w:r>
      <w:r w:rsidRPr="00C00255">
        <w:t>– laisvės atėmimu 10 (dešimčiai) metų;</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103 straipsnio 1 dalį</w:t>
      </w:r>
      <w:r w:rsidR="00DE456C" w:rsidRPr="00C00255">
        <w:rPr>
          <w:rFonts w:eastAsia="Calibri"/>
        </w:rPr>
        <w:t xml:space="preserve"> </w:t>
      </w:r>
      <w:r w:rsidRPr="00C00255">
        <w:t xml:space="preserve">– laisvės atėmimu 6 (šešeriems) metams; </w:t>
      </w:r>
    </w:p>
    <w:p w:rsidR="001E3546" w:rsidRPr="00C00255" w:rsidRDefault="004B594C" w:rsidP="00321748">
      <w:pPr>
        <w:pStyle w:val="ListParagraph"/>
        <w:numPr>
          <w:ilvl w:val="0"/>
          <w:numId w:val="2"/>
        </w:numPr>
        <w:shd w:val="clear" w:color="auto" w:fill="FFFFFF"/>
        <w:tabs>
          <w:tab w:val="left" w:pos="993"/>
        </w:tabs>
        <w:ind w:left="0" w:firstLine="425"/>
      </w:pPr>
      <w:r w:rsidRPr="00C00255">
        <w:t>pagal BK 111 straipsnio 1 dalį</w:t>
      </w:r>
      <w:r w:rsidR="00DE456C" w:rsidRPr="00C00255">
        <w:rPr>
          <w:rFonts w:eastAsia="Calibri"/>
        </w:rPr>
        <w:t xml:space="preserve"> </w:t>
      </w:r>
      <w:r w:rsidRPr="00C00255">
        <w:t>– laisvės atėmimu 6 (šešeriems) metams;</w:t>
      </w:r>
    </w:p>
    <w:p w:rsidR="004B594C" w:rsidRPr="00C00255" w:rsidRDefault="004B594C" w:rsidP="00321748">
      <w:pPr>
        <w:pStyle w:val="ListParagraph"/>
        <w:numPr>
          <w:ilvl w:val="0"/>
          <w:numId w:val="2"/>
        </w:numPr>
        <w:shd w:val="clear" w:color="auto" w:fill="FFFFFF"/>
        <w:tabs>
          <w:tab w:val="left" w:pos="993"/>
        </w:tabs>
        <w:ind w:left="0" w:firstLine="425"/>
      </w:pPr>
      <w:r w:rsidRPr="00C00255">
        <w:t>pagal BK 112 straipsnį – laisvės atėmimu 5 (penkeriems) metams.</w:t>
      </w:r>
    </w:p>
    <w:p w:rsidR="00657D3F" w:rsidRPr="00C00255" w:rsidRDefault="00657D3F" w:rsidP="001E3546">
      <w:pPr>
        <w:spacing w:after="120"/>
        <w:ind w:firstLine="992"/>
      </w:pPr>
      <w:r w:rsidRPr="00C00255">
        <w:t xml:space="preserve">Vadovaujantis BK 63 straipsnio 5 dalies 1 punktu, paskirtos bausmės subendrintos apėmimo būdu ir </w:t>
      </w:r>
      <w:r w:rsidR="00DC0414">
        <w:t>J. S.</w:t>
      </w:r>
      <w:r w:rsidRPr="00C00255">
        <w:t xml:space="preserve"> galutinė subendrinta bausmė paskirta laisvės atėmimas </w:t>
      </w:r>
      <w:r w:rsidR="004B594C" w:rsidRPr="00C00255">
        <w:t>10</w:t>
      </w:r>
      <w:r w:rsidRPr="00C00255">
        <w:t xml:space="preserve"> (</w:t>
      </w:r>
      <w:r w:rsidR="004B594C" w:rsidRPr="00C00255">
        <w:t>dešimčiai</w:t>
      </w:r>
      <w:r w:rsidRPr="00C00255">
        <w:t xml:space="preserve">) metų, bausmę atliekant pataisos namuose. </w:t>
      </w:r>
    </w:p>
    <w:p w:rsidR="00EB5EF8" w:rsidRPr="00C00255" w:rsidRDefault="00657D3F" w:rsidP="00EB5EF8">
      <w:pPr>
        <w:pStyle w:val="Standard"/>
        <w:ind w:firstLine="992"/>
        <w:jc w:val="both"/>
        <w:rPr>
          <w:rFonts w:cs="Times New Roman"/>
        </w:rPr>
      </w:pPr>
      <w:r w:rsidRPr="00C00255">
        <w:rPr>
          <w:rFonts w:cs="Times New Roman"/>
        </w:rPr>
        <w:t>Nukentėjusiojo</w:t>
      </w:r>
      <w:r w:rsidR="00252E86" w:rsidRPr="00C00255">
        <w:rPr>
          <w:rFonts w:cs="Times New Roman"/>
        </w:rPr>
        <w:t xml:space="preserve"> </w:t>
      </w:r>
      <w:r w:rsidR="004B594C" w:rsidRPr="00C00255">
        <w:rPr>
          <w:rFonts w:cs="Times New Roman"/>
        </w:rPr>
        <w:t xml:space="preserve">ir civilinio ieškovo </w:t>
      </w:r>
      <w:r w:rsidR="00C507EF">
        <w:rPr>
          <w:rFonts w:cs="Times New Roman"/>
        </w:rPr>
        <w:t>V. L.</w:t>
      </w:r>
      <w:r w:rsidRPr="00C00255">
        <w:rPr>
          <w:rFonts w:cs="Times New Roman"/>
        </w:rPr>
        <w:t xml:space="preserve"> civilinis ieškinys</w:t>
      </w:r>
      <w:r w:rsidR="00252E86" w:rsidRPr="00C00255">
        <w:rPr>
          <w:rFonts w:cs="Times New Roman"/>
        </w:rPr>
        <w:t xml:space="preserve"> dėl</w:t>
      </w:r>
      <w:r w:rsidR="000C727C" w:rsidRPr="00C00255">
        <w:rPr>
          <w:rFonts w:cs="Times New Roman"/>
        </w:rPr>
        <w:t xml:space="preserve"> </w:t>
      </w:r>
      <w:r w:rsidR="00252E86" w:rsidRPr="00C00255">
        <w:rPr>
          <w:rFonts w:cs="Times New Roman"/>
        </w:rPr>
        <w:t xml:space="preserve">1 000 000 </w:t>
      </w:r>
      <w:r w:rsidRPr="00C00255">
        <w:rPr>
          <w:rFonts w:cs="Times New Roman"/>
        </w:rPr>
        <w:t>E</w:t>
      </w:r>
      <w:r w:rsidR="00935D8E" w:rsidRPr="00C00255">
        <w:rPr>
          <w:rFonts w:cs="Times New Roman"/>
        </w:rPr>
        <w:t>ur</w:t>
      </w:r>
      <w:r w:rsidR="004B594C" w:rsidRPr="00C00255">
        <w:rPr>
          <w:rFonts w:cs="Times New Roman"/>
        </w:rPr>
        <w:t xml:space="preserve"> bei</w:t>
      </w:r>
      <w:r w:rsidR="00252E86" w:rsidRPr="00C00255">
        <w:rPr>
          <w:rFonts w:cs="Times New Roman"/>
        </w:rPr>
        <w:t xml:space="preserve"> </w:t>
      </w:r>
      <w:r w:rsidRPr="00C00255">
        <w:rPr>
          <w:rFonts w:cs="Times New Roman"/>
        </w:rPr>
        <w:t xml:space="preserve">nukentėjusiojo </w:t>
      </w:r>
      <w:r w:rsidR="004B594C" w:rsidRPr="00C00255">
        <w:rPr>
          <w:rFonts w:cs="Times New Roman"/>
        </w:rPr>
        <w:t xml:space="preserve">ir civilinio ieškovo </w:t>
      </w:r>
      <w:r w:rsidR="0093200A">
        <w:rPr>
          <w:rFonts w:cs="Times New Roman"/>
        </w:rPr>
        <w:t>R. P.</w:t>
      </w:r>
      <w:r w:rsidRPr="00C00255">
        <w:rPr>
          <w:rFonts w:cs="Times New Roman"/>
        </w:rPr>
        <w:t xml:space="preserve"> civilinis ieškinys</w:t>
      </w:r>
      <w:r w:rsidR="00252E86" w:rsidRPr="00C00255">
        <w:rPr>
          <w:rFonts w:cs="Times New Roman"/>
        </w:rPr>
        <w:t xml:space="preserve"> dėl 120 000 </w:t>
      </w:r>
      <w:r w:rsidRPr="00C00255">
        <w:rPr>
          <w:rFonts w:cs="Times New Roman"/>
        </w:rPr>
        <w:t>E</w:t>
      </w:r>
      <w:r w:rsidR="00935D8E" w:rsidRPr="00C00255">
        <w:rPr>
          <w:rFonts w:cs="Times New Roman"/>
        </w:rPr>
        <w:t>ur</w:t>
      </w:r>
      <w:r w:rsidR="004B594C" w:rsidRPr="00C00255">
        <w:rPr>
          <w:rFonts w:cs="Times New Roman"/>
        </w:rPr>
        <w:t xml:space="preserve"> </w:t>
      </w:r>
      <w:r w:rsidR="00252E86" w:rsidRPr="00C00255">
        <w:rPr>
          <w:rFonts w:cs="Times New Roman"/>
        </w:rPr>
        <w:t xml:space="preserve">neturtinės žalos atlyginimo </w:t>
      </w:r>
      <w:r w:rsidRPr="00C00255">
        <w:rPr>
          <w:rFonts w:cs="Times New Roman"/>
        </w:rPr>
        <w:t>atmestas.</w:t>
      </w:r>
      <w:r w:rsidR="00252E86" w:rsidRPr="00C00255">
        <w:rPr>
          <w:rFonts w:cs="Times New Roman"/>
        </w:rPr>
        <w:t xml:space="preserve"> </w:t>
      </w:r>
    </w:p>
    <w:p w:rsidR="00EB5EF8" w:rsidRPr="00C00255" w:rsidRDefault="00252E86" w:rsidP="00EB5EF8">
      <w:pPr>
        <w:pStyle w:val="Standard"/>
        <w:ind w:firstLine="992"/>
        <w:jc w:val="both"/>
        <w:rPr>
          <w:rFonts w:cs="Times New Roman"/>
        </w:rPr>
      </w:pPr>
      <w:r w:rsidRPr="00C00255">
        <w:rPr>
          <w:rFonts w:cs="Times New Roman"/>
        </w:rPr>
        <w:t>Lietuvos Respublikos generalinės proku</w:t>
      </w:r>
      <w:r w:rsidR="00657D3F" w:rsidRPr="00C00255">
        <w:rPr>
          <w:rFonts w:cs="Times New Roman"/>
        </w:rPr>
        <w:t>ratūros civilinis ieškinys</w:t>
      </w:r>
      <w:r w:rsidRPr="00C00255">
        <w:rPr>
          <w:rFonts w:cs="Times New Roman"/>
        </w:rPr>
        <w:t xml:space="preserve"> dėl 11</w:t>
      </w:r>
      <w:r w:rsidR="00240784" w:rsidRPr="00C00255">
        <w:rPr>
          <w:rFonts w:cs="Times New Roman"/>
        </w:rPr>
        <w:t> </w:t>
      </w:r>
      <w:r w:rsidRPr="00C00255">
        <w:rPr>
          <w:rFonts w:cs="Times New Roman"/>
        </w:rPr>
        <w:t>365</w:t>
      </w:r>
      <w:r w:rsidR="00240784" w:rsidRPr="00C00255">
        <w:rPr>
          <w:rFonts w:cs="Times New Roman"/>
        </w:rPr>
        <w:t> </w:t>
      </w:r>
      <w:r w:rsidRPr="00C00255">
        <w:rPr>
          <w:rFonts w:cs="Times New Roman"/>
        </w:rPr>
        <w:t>460,07</w:t>
      </w:r>
      <w:r w:rsidR="00240784" w:rsidRPr="00C00255">
        <w:rPr>
          <w:rFonts w:cs="Times New Roman"/>
        </w:rPr>
        <w:t> </w:t>
      </w:r>
      <w:r w:rsidR="00657D3F" w:rsidRPr="00C00255">
        <w:rPr>
          <w:rFonts w:cs="Times New Roman"/>
        </w:rPr>
        <w:t>E</w:t>
      </w:r>
      <w:r w:rsidR="00935D8E" w:rsidRPr="00C00255">
        <w:rPr>
          <w:rFonts w:cs="Times New Roman"/>
        </w:rPr>
        <w:t>ur</w:t>
      </w:r>
      <w:r w:rsidR="000C727C" w:rsidRPr="00C00255">
        <w:rPr>
          <w:rFonts w:cs="Times New Roman"/>
        </w:rPr>
        <w:t xml:space="preserve"> </w:t>
      </w:r>
      <w:r w:rsidRPr="00C00255">
        <w:rPr>
          <w:rFonts w:cs="Times New Roman"/>
        </w:rPr>
        <w:t>turtinės žalos atlyg</w:t>
      </w:r>
      <w:r w:rsidR="00657D3F" w:rsidRPr="00C00255">
        <w:rPr>
          <w:rFonts w:cs="Times New Roman"/>
        </w:rPr>
        <w:t>inimo Lietuvos valstybei paliktas nenagrinėt</w:t>
      </w:r>
      <w:r w:rsidR="0071768E" w:rsidRPr="00C00255">
        <w:rPr>
          <w:rFonts w:cs="Times New Roman"/>
        </w:rPr>
        <w:t>as</w:t>
      </w:r>
      <w:r w:rsidRPr="00C00255">
        <w:rPr>
          <w:rFonts w:cs="Times New Roman"/>
        </w:rPr>
        <w:t>.</w:t>
      </w:r>
    </w:p>
    <w:p w:rsidR="00F93A4F" w:rsidRPr="00C00255" w:rsidRDefault="00657D3F" w:rsidP="00F93A4F">
      <w:pPr>
        <w:pStyle w:val="Standard"/>
        <w:ind w:firstLine="992"/>
        <w:jc w:val="both"/>
        <w:rPr>
          <w:rFonts w:cs="Times New Roman"/>
        </w:rPr>
      </w:pPr>
      <w:r w:rsidRPr="00C00255">
        <w:rPr>
          <w:rFonts w:cs="Times New Roman"/>
        </w:rPr>
        <w:t>N</w:t>
      </w:r>
      <w:r w:rsidR="004B594C" w:rsidRPr="00C00255">
        <w:rPr>
          <w:rFonts w:cs="Times New Roman"/>
        </w:rPr>
        <w:t>uosprendžiu n</w:t>
      </w:r>
      <w:r w:rsidRPr="00C00255">
        <w:rPr>
          <w:rFonts w:cs="Times New Roman"/>
        </w:rPr>
        <w:t xml:space="preserve">uspręsta panaikinti </w:t>
      </w:r>
      <w:r w:rsidR="00252E86" w:rsidRPr="00C00255">
        <w:rPr>
          <w:rFonts w:cs="Times New Roman"/>
        </w:rPr>
        <w:t>laik</w:t>
      </w:r>
      <w:r w:rsidRPr="00C00255">
        <w:rPr>
          <w:rFonts w:cs="Times New Roman"/>
        </w:rPr>
        <w:t>iną nuosavybės teisės apribojimą</w:t>
      </w:r>
      <w:r w:rsidR="00CA3D97" w:rsidRPr="00C00255">
        <w:rPr>
          <w:rFonts w:cs="Times New Roman"/>
        </w:rPr>
        <w:t xml:space="preserve"> </w:t>
      </w:r>
      <w:r w:rsidR="00252E86" w:rsidRPr="00C00255">
        <w:rPr>
          <w:rFonts w:cs="Times New Roman"/>
        </w:rPr>
        <w:t>k</w:t>
      </w:r>
      <w:r w:rsidR="00EB5EF8" w:rsidRPr="00C00255">
        <w:rPr>
          <w:rFonts w:cs="Times New Roman"/>
        </w:rPr>
        <w:t xml:space="preserve">altinamojo </w:t>
      </w:r>
      <w:r w:rsidR="00BA18FA">
        <w:rPr>
          <w:rFonts w:cs="Times New Roman"/>
        </w:rPr>
        <w:t>J. M.</w:t>
      </w:r>
      <w:r w:rsidRPr="00C00255">
        <w:rPr>
          <w:rFonts w:cs="Times New Roman"/>
        </w:rPr>
        <w:t xml:space="preserve"> turt</w:t>
      </w:r>
      <w:r w:rsidR="00CA3D97" w:rsidRPr="00C00255">
        <w:rPr>
          <w:rFonts w:cs="Times New Roman"/>
        </w:rPr>
        <w:t>ui</w:t>
      </w:r>
      <w:r w:rsidR="002B5770" w:rsidRPr="00C00255">
        <w:rPr>
          <w:rFonts w:cs="Times New Roman"/>
        </w:rPr>
        <w:t>, t. y.</w:t>
      </w:r>
      <w:r w:rsidR="00252E86" w:rsidRPr="00C00255">
        <w:rPr>
          <w:rFonts w:cs="Times New Roman"/>
        </w:rPr>
        <w:t xml:space="preserve"> </w:t>
      </w:r>
      <w:r w:rsidR="00CA3D97" w:rsidRPr="00C00255">
        <w:rPr>
          <w:rFonts w:cs="Times New Roman"/>
        </w:rPr>
        <w:t xml:space="preserve">piniginėms lėšoms: </w:t>
      </w:r>
      <w:r w:rsidR="00252E86" w:rsidRPr="00C00255">
        <w:rPr>
          <w:rFonts w:cs="Times New Roman"/>
        </w:rPr>
        <w:t>100,15</w:t>
      </w:r>
      <w:r w:rsidRPr="00C00255">
        <w:rPr>
          <w:rFonts w:cs="Times New Roman"/>
        </w:rPr>
        <w:t> </w:t>
      </w:r>
      <w:r w:rsidR="00252E86" w:rsidRPr="00C00255">
        <w:rPr>
          <w:rFonts w:cs="Times New Roman"/>
        </w:rPr>
        <w:t>Lt</w:t>
      </w:r>
      <w:r w:rsidRPr="00C00255">
        <w:rPr>
          <w:rFonts w:cs="Times New Roman"/>
        </w:rPr>
        <w:t xml:space="preserve"> (</w:t>
      </w:r>
      <w:r w:rsidR="00935D8E" w:rsidRPr="00C00255">
        <w:rPr>
          <w:rFonts w:cs="Times New Roman"/>
        </w:rPr>
        <w:t>29,00544 Eur</w:t>
      </w:r>
      <w:r w:rsidR="00252E86" w:rsidRPr="00C00255">
        <w:rPr>
          <w:rFonts w:cs="Times New Roman"/>
        </w:rPr>
        <w:t>), esan</w:t>
      </w:r>
      <w:r w:rsidR="00CA3D97" w:rsidRPr="00C00255">
        <w:rPr>
          <w:rFonts w:cs="Times New Roman"/>
        </w:rPr>
        <w:t>čioms</w:t>
      </w:r>
      <w:r w:rsidR="00CA2A9F" w:rsidRPr="00C00255">
        <w:rPr>
          <w:rFonts w:cs="Times New Roman"/>
        </w:rPr>
        <w:t xml:space="preserve"> Lietuvos Respublikos g</w:t>
      </w:r>
      <w:r w:rsidR="00252E86" w:rsidRPr="00C00255">
        <w:rPr>
          <w:rFonts w:cs="Times New Roman"/>
        </w:rPr>
        <w:t>eneralinės prokuratūros depozitinėje sąskaitoje Nr.</w:t>
      </w:r>
      <w:r w:rsidR="002B5770" w:rsidRPr="00C00255">
        <w:rPr>
          <w:rFonts w:cs="Times New Roman"/>
        </w:rPr>
        <w:t> </w:t>
      </w:r>
      <w:r w:rsidR="00C507EF">
        <w:rPr>
          <w:rFonts w:cs="Times New Roman"/>
        </w:rPr>
        <w:t>(duomenys neskelbtini)</w:t>
      </w:r>
      <w:r w:rsidRPr="00C00255">
        <w:rPr>
          <w:rFonts w:cs="Times New Roman"/>
        </w:rPr>
        <w:t>; 3</w:t>
      </w:r>
      <w:r w:rsidR="0071768E" w:rsidRPr="00C00255">
        <w:rPr>
          <w:rFonts w:cs="Times New Roman"/>
        </w:rPr>
        <w:t> </w:t>
      </w:r>
      <w:r w:rsidRPr="00C00255">
        <w:rPr>
          <w:rFonts w:cs="Times New Roman"/>
        </w:rPr>
        <w:t>500</w:t>
      </w:r>
      <w:r w:rsidR="0071768E" w:rsidRPr="00C00255">
        <w:rPr>
          <w:rFonts w:cs="Times New Roman"/>
        </w:rPr>
        <w:t> </w:t>
      </w:r>
      <w:r w:rsidR="00252E86" w:rsidRPr="00C00255">
        <w:rPr>
          <w:rFonts w:cs="Times New Roman"/>
        </w:rPr>
        <w:t>Rusijos rublių ir 400</w:t>
      </w:r>
      <w:r w:rsidR="00EB5EF8" w:rsidRPr="00C00255">
        <w:rPr>
          <w:rFonts w:cs="Times New Roman"/>
        </w:rPr>
        <w:t xml:space="preserve"> </w:t>
      </w:r>
      <w:r w:rsidR="00935D8E" w:rsidRPr="00C00255">
        <w:rPr>
          <w:rFonts w:cs="Times New Roman"/>
        </w:rPr>
        <w:t>Eur</w:t>
      </w:r>
      <w:r w:rsidR="00252E86" w:rsidRPr="00C00255">
        <w:rPr>
          <w:rFonts w:cs="Times New Roman"/>
        </w:rPr>
        <w:t>, esan</w:t>
      </w:r>
      <w:r w:rsidR="00CA3D97" w:rsidRPr="00C00255">
        <w:rPr>
          <w:rFonts w:cs="Times New Roman"/>
        </w:rPr>
        <w:t>čioms</w:t>
      </w:r>
      <w:r w:rsidR="00252E86" w:rsidRPr="00C00255">
        <w:rPr>
          <w:rFonts w:cs="Times New Roman"/>
        </w:rPr>
        <w:t xml:space="preserve"> </w:t>
      </w:r>
      <w:r w:rsidR="00CA2A9F" w:rsidRPr="00C00255">
        <w:rPr>
          <w:rFonts w:cs="Times New Roman"/>
        </w:rPr>
        <w:t>Lietuvos Respublikos g</w:t>
      </w:r>
      <w:r w:rsidR="00252E86" w:rsidRPr="00C00255">
        <w:rPr>
          <w:rFonts w:cs="Times New Roman"/>
        </w:rPr>
        <w:t>eneralinės prokur</w:t>
      </w:r>
      <w:r w:rsidRPr="00C00255">
        <w:rPr>
          <w:rFonts w:cs="Times New Roman"/>
        </w:rPr>
        <w:t xml:space="preserve">atūros depozitinėje sąskaitoje </w:t>
      </w:r>
      <w:r w:rsidR="00CA2A9F" w:rsidRPr="00C00255">
        <w:rPr>
          <w:rFonts w:cs="Times New Roman"/>
        </w:rPr>
        <w:t>Nr. </w:t>
      </w:r>
      <w:r w:rsidR="00C507EF">
        <w:rPr>
          <w:rFonts w:cs="Times New Roman"/>
        </w:rPr>
        <w:t>(duomenys neskelbtini)</w:t>
      </w:r>
      <w:r w:rsidR="004B594C" w:rsidRPr="00C00255">
        <w:rPr>
          <w:rFonts w:cs="Times New Roman"/>
        </w:rPr>
        <w:t>; 2 </w:t>
      </w:r>
      <w:r w:rsidR="005970B5" w:rsidRPr="00C00255">
        <w:rPr>
          <w:rFonts w:cs="Times New Roman"/>
        </w:rPr>
        <w:t>Ukrainos grivin</w:t>
      </w:r>
      <w:r w:rsidR="0071768E" w:rsidRPr="00C00255">
        <w:rPr>
          <w:rFonts w:cs="Times New Roman"/>
        </w:rPr>
        <w:t>om</w:t>
      </w:r>
      <w:r w:rsidR="005970B5" w:rsidRPr="00C00255">
        <w:rPr>
          <w:rFonts w:cs="Times New Roman"/>
        </w:rPr>
        <w:t>s</w:t>
      </w:r>
      <w:r w:rsidR="00252E86" w:rsidRPr="00C00255">
        <w:rPr>
          <w:rFonts w:cs="Times New Roman"/>
        </w:rPr>
        <w:t>, esančioms</w:t>
      </w:r>
      <w:r w:rsidR="00CA2A9F" w:rsidRPr="00C00255">
        <w:t xml:space="preserve"> </w:t>
      </w:r>
      <w:r w:rsidR="00CA2A9F" w:rsidRPr="00C00255">
        <w:rPr>
          <w:rFonts w:cs="Times New Roman"/>
        </w:rPr>
        <w:t>Lietuvos Respublikos g</w:t>
      </w:r>
      <w:r w:rsidR="00252E86" w:rsidRPr="00C00255">
        <w:rPr>
          <w:rFonts w:cs="Times New Roman"/>
        </w:rPr>
        <w:t>eneralinės prokuratūros kasoje, priimtoms pagal kasos pajamų kvitą Nr.</w:t>
      </w:r>
      <w:r w:rsidR="002B5770" w:rsidRPr="00C00255">
        <w:rPr>
          <w:rFonts w:cs="Times New Roman"/>
        </w:rPr>
        <w:t> </w:t>
      </w:r>
      <w:r w:rsidR="00C507EF">
        <w:rPr>
          <w:rFonts w:cs="Times New Roman"/>
        </w:rPr>
        <w:t>(duomenys neskelbtini)</w:t>
      </w:r>
      <w:r w:rsidRPr="00C00255">
        <w:rPr>
          <w:rFonts w:cs="Times New Roman"/>
        </w:rPr>
        <w:t xml:space="preserve">, ir, nuosprendžiui įsiteisėjus, šias pinigines lėšas </w:t>
      </w:r>
      <w:r w:rsidR="00B129A2" w:rsidRPr="00C00255">
        <w:rPr>
          <w:rFonts w:cs="Times New Roman"/>
        </w:rPr>
        <w:t xml:space="preserve">grąžinti </w:t>
      </w:r>
      <w:r w:rsidR="00BA18FA">
        <w:rPr>
          <w:rFonts w:cs="Times New Roman"/>
        </w:rPr>
        <w:t>J. M</w:t>
      </w:r>
      <w:r w:rsidR="00252E86" w:rsidRPr="00C00255">
        <w:rPr>
          <w:rFonts w:cs="Times New Roman"/>
        </w:rPr>
        <w:t>.</w:t>
      </w:r>
    </w:p>
    <w:p w:rsidR="00F45218" w:rsidRPr="00C00255" w:rsidRDefault="00F45218" w:rsidP="00F93A4F">
      <w:pPr>
        <w:pStyle w:val="Standard"/>
        <w:ind w:firstLine="992"/>
        <w:jc w:val="both"/>
        <w:rPr>
          <w:rFonts w:cs="Times New Roman"/>
        </w:rPr>
      </w:pPr>
    </w:p>
    <w:p w:rsidR="00655E34" w:rsidRPr="00C00255" w:rsidRDefault="005970B5" w:rsidP="00CA2A9F">
      <w:pPr>
        <w:pStyle w:val="Standard"/>
        <w:ind w:firstLine="992"/>
        <w:jc w:val="both"/>
        <w:rPr>
          <w:rFonts w:cs="Times New Roman"/>
        </w:rPr>
      </w:pPr>
      <w:r w:rsidRPr="00C00255">
        <w:rPr>
          <w:rFonts w:cs="Times New Roman"/>
        </w:rPr>
        <w:t>Teisėj</w:t>
      </w:r>
      <w:r w:rsidR="00CE5EE1" w:rsidRPr="00C00255">
        <w:rPr>
          <w:rFonts w:cs="Times New Roman"/>
        </w:rPr>
        <w:t xml:space="preserve">ų kolegija </w:t>
      </w:r>
    </w:p>
    <w:p w:rsidR="00CE5EE1" w:rsidRPr="00C00255" w:rsidRDefault="00CE5EE1" w:rsidP="00CA2A9F">
      <w:pPr>
        <w:pStyle w:val="Standard"/>
        <w:ind w:firstLine="992"/>
        <w:jc w:val="both"/>
        <w:rPr>
          <w:rFonts w:cs="Times New Roman"/>
        </w:rPr>
      </w:pPr>
    </w:p>
    <w:p w:rsidR="00225B8E" w:rsidRPr="00C00255" w:rsidRDefault="00987F65" w:rsidP="00CE5EE1">
      <w:pPr>
        <w:pStyle w:val="Heading2"/>
        <w:spacing w:before="0" w:after="120"/>
        <w:ind w:firstLine="0"/>
        <w:rPr>
          <w:rFonts w:ascii="Times New Roman" w:hAnsi="Times New Roman" w:cs="Times New Roman"/>
          <w:sz w:val="24"/>
          <w:szCs w:val="24"/>
        </w:rPr>
      </w:pPr>
      <w:bookmarkStart w:id="1" w:name="_Toc37947821"/>
      <w:bookmarkStart w:id="2" w:name="_Toc67677300"/>
      <w:bookmarkStart w:id="3" w:name="_Toc67985427"/>
      <w:r w:rsidRPr="00C00255">
        <w:rPr>
          <w:rStyle w:val="Heading2Char"/>
          <w:rFonts w:ascii="Times New Roman" w:hAnsi="Times New Roman" w:cs="Times New Roman"/>
          <w:sz w:val="24"/>
          <w:szCs w:val="24"/>
        </w:rPr>
        <w:t>n u s t a t ė</w:t>
      </w:r>
      <w:r w:rsidR="00CA2A9F" w:rsidRPr="00C00255">
        <w:rPr>
          <w:rStyle w:val="Heading2Char"/>
          <w:rFonts w:ascii="Times New Roman" w:hAnsi="Times New Roman" w:cs="Times New Roman"/>
          <w:sz w:val="24"/>
          <w:szCs w:val="24"/>
        </w:rPr>
        <w:t xml:space="preserve"> </w:t>
      </w:r>
      <w:r w:rsidRPr="00C00255">
        <w:rPr>
          <w:rFonts w:ascii="Times New Roman" w:hAnsi="Times New Roman" w:cs="Times New Roman"/>
          <w:b w:val="0"/>
          <w:sz w:val="24"/>
          <w:szCs w:val="24"/>
        </w:rPr>
        <w:t>:</w:t>
      </w:r>
      <w:bookmarkEnd w:id="1"/>
      <w:bookmarkEnd w:id="2"/>
      <w:bookmarkEnd w:id="3"/>
    </w:p>
    <w:p w:rsidR="00871B60" w:rsidRPr="00C00255" w:rsidRDefault="00196BC5" w:rsidP="003F7E0A">
      <w:pPr>
        <w:pStyle w:val="Heading1"/>
        <w:numPr>
          <w:ilvl w:val="0"/>
          <w:numId w:val="10"/>
        </w:numPr>
        <w:spacing w:before="120" w:after="120"/>
        <w:rPr>
          <w:bCs/>
          <w:sz w:val="24"/>
          <w:szCs w:val="24"/>
        </w:rPr>
      </w:pPr>
      <w:bookmarkStart w:id="4" w:name="_Toc37947822"/>
      <w:bookmarkStart w:id="5" w:name="_Toc67677301"/>
      <w:bookmarkStart w:id="6" w:name="_Toc67985428"/>
      <w:r w:rsidRPr="00C00255">
        <w:rPr>
          <w:bCs/>
          <w:sz w:val="24"/>
          <w:szCs w:val="24"/>
        </w:rPr>
        <w:t>PIRMOSIOS INSTANCIJOS TEISMO NUSTATYTOS BYLOS APLINKYBĖS</w:t>
      </w:r>
      <w:bookmarkEnd w:id="4"/>
      <w:bookmarkEnd w:id="5"/>
      <w:bookmarkEnd w:id="6"/>
    </w:p>
    <w:p w:rsidR="00196BC5" w:rsidRPr="00C00255" w:rsidRDefault="00196BC5" w:rsidP="00321748">
      <w:pPr>
        <w:pStyle w:val="Heading2"/>
        <w:numPr>
          <w:ilvl w:val="1"/>
          <w:numId w:val="9"/>
        </w:numPr>
        <w:spacing w:after="120"/>
        <w:ind w:left="1434" w:hanging="357"/>
        <w:jc w:val="center"/>
        <w:rPr>
          <w:rFonts w:ascii="Times New Roman" w:hAnsi="Times New Roman" w:cs="Times New Roman"/>
          <w:b w:val="0"/>
          <w:sz w:val="24"/>
          <w:szCs w:val="24"/>
        </w:rPr>
      </w:pPr>
      <w:bookmarkStart w:id="7" w:name="_Toc37947823"/>
      <w:bookmarkStart w:id="8" w:name="_Toc67677302"/>
      <w:bookmarkStart w:id="9" w:name="_Toc67985429"/>
      <w:r w:rsidRPr="00C00255">
        <w:rPr>
          <w:rFonts w:ascii="Times New Roman" w:hAnsi="Times New Roman" w:cs="Times New Roman"/>
          <w:b w:val="0"/>
          <w:sz w:val="24"/>
          <w:szCs w:val="24"/>
        </w:rPr>
        <w:t>NUSIKALSTAMŲ VEIKŲ BENDRAS APRAŠYMAS</w:t>
      </w:r>
      <w:bookmarkEnd w:id="7"/>
      <w:bookmarkEnd w:id="8"/>
      <w:bookmarkEnd w:id="9"/>
    </w:p>
    <w:p w:rsidR="003A2E03" w:rsidRPr="00E76E89" w:rsidRDefault="00BA18FA" w:rsidP="003F7E0A">
      <w:pPr>
        <w:pStyle w:val="ListParagraph"/>
        <w:numPr>
          <w:ilvl w:val="0"/>
          <w:numId w:val="18"/>
        </w:numPr>
        <w:ind w:left="992" w:hanging="992"/>
        <w:rPr>
          <w:rFonts w:eastAsia="Calibri"/>
        </w:rPr>
      </w:pPr>
      <w:bookmarkStart w:id="10" w:name="_Hlk66867001"/>
      <w:r w:rsidRPr="00E76E89">
        <w:t>V. Š. 1</w:t>
      </w:r>
      <w:r w:rsidR="00903099" w:rsidRPr="00E76E89">
        <w:t xml:space="preserve">, </w:t>
      </w:r>
      <w:r w:rsidR="00385BC9" w:rsidRPr="00E76E89">
        <w:t>A. N. 1</w:t>
      </w:r>
      <w:r w:rsidR="00903099" w:rsidRPr="00E76E89">
        <w:t xml:space="preserve">, </w:t>
      </w:r>
      <w:r w:rsidR="00385BC9" w:rsidRPr="00E76E89">
        <w:t>R. J. 1</w:t>
      </w:r>
      <w:r w:rsidR="00903099" w:rsidRPr="00E76E89">
        <w:t xml:space="preserve">, </w:t>
      </w:r>
      <w:r w:rsidR="00385BC9" w:rsidRPr="00E76E89">
        <w:t>D. J.</w:t>
      </w:r>
      <w:r w:rsidR="00903099" w:rsidRPr="00E76E89">
        <w:t xml:space="preserve">, </w:t>
      </w:r>
      <w:r w:rsidR="00385BC9" w:rsidRPr="00E76E89">
        <w:t>M. G.</w:t>
      </w:r>
      <w:r w:rsidR="00903099" w:rsidRPr="00E76E89">
        <w:t xml:space="preserve">, </w:t>
      </w:r>
      <w:r w:rsidR="00385BC9" w:rsidRPr="00E76E89">
        <w:t>J. Č.</w:t>
      </w:r>
      <w:r w:rsidR="00903099" w:rsidRPr="00E76E89">
        <w:t xml:space="preserve">, </w:t>
      </w:r>
      <w:r w:rsidR="00385BC9" w:rsidRPr="00E76E89">
        <w:t>N. D.</w:t>
      </w:r>
      <w:r w:rsidR="00903099" w:rsidRPr="00E76E89">
        <w:t xml:space="preserve">, </w:t>
      </w:r>
      <w:r w:rsidR="00385BC9" w:rsidRPr="00E76E89">
        <w:t>V. S. 1</w:t>
      </w:r>
      <w:r w:rsidR="00903099" w:rsidRPr="00E76E89">
        <w:t xml:space="preserve">, </w:t>
      </w:r>
      <w:r w:rsidR="00385BC9" w:rsidRPr="00E76E89">
        <w:t>V. K. 1</w:t>
      </w:r>
      <w:r w:rsidR="00903099" w:rsidRPr="00E76E89">
        <w:t xml:space="preserve">, </w:t>
      </w:r>
      <w:r w:rsidR="00385BC9" w:rsidRPr="00E76E89">
        <w:t>G. G.</w:t>
      </w:r>
      <w:r w:rsidR="00903099" w:rsidRPr="00E76E89">
        <w:t xml:space="preserve">, </w:t>
      </w:r>
      <w:r w:rsidR="00385BC9" w:rsidRPr="00E76E89">
        <w:t>V. S. 2</w:t>
      </w:r>
      <w:r w:rsidR="00903099" w:rsidRPr="00E76E89">
        <w:t xml:space="preserve">, </w:t>
      </w:r>
      <w:r w:rsidR="002451F2" w:rsidRPr="00E76E89">
        <w:t>V. D.</w:t>
      </w:r>
      <w:r w:rsidR="00903099" w:rsidRPr="00E76E89">
        <w:t xml:space="preserve">, </w:t>
      </w:r>
      <w:r w:rsidR="006036E7" w:rsidRPr="00E76E89">
        <w:t>B. S.</w:t>
      </w:r>
      <w:r w:rsidR="00903099" w:rsidRPr="00E76E89">
        <w:t xml:space="preserve">, </w:t>
      </w:r>
      <w:r w:rsidR="006036E7" w:rsidRPr="00E76E89">
        <w:t>V. S. 3</w:t>
      </w:r>
      <w:r w:rsidR="00903099" w:rsidRPr="00E76E89">
        <w:t xml:space="preserve">, </w:t>
      </w:r>
      <w:r w:rsidR="006036E7" w:rsidRPr="00E76E89">
        <w:t>S. P.</w:t>
      </w:r>
      <w:r w:rsidR="00F93A4F" w:rsidRPr="00E76E89">
        <w:t xml:space="preserve">, </w:t>
      </w:r>
      <w:r w:rsidR="006036E7" w:rsidRPr="00E76E89">
        <w:t>S. K.</w:t>
      </w:r>
      <w:r w:rsidR="00F93A4F" w:rsidRPr="00E76E89">
        <w:t xml:space="preserve">, </w:t>
      </w:r>
      <w:r w:rsidR="006036E7" w:rsidRPr="00E76E89">
        <w:t>J. G.</w:t>
      </w:r>
      <w:r w:rsidR="00903099" w:rsidRPr="00E76E89">
        <w:t xml:space="preserve">, </w:t>
      </w:r>
      <w:r w:rsidR="006036E7" w:rsidRPr="00E76E89">
        <w:t>I. Š.</w:t>
      </w:r>
      <w:r w:rsidR="00903099" w:rsidRPr="00E76E89">
        <w:t xml:space="preserve">, </w:t>
      </w:r>
      <w:r w:rsidR="006036E7" w:rsidRPr="00E76E89">
        <w:t>A. G. 2</w:t>
      </w:r>
      <w:r w:rsidR="00F93A4F" w:rsidRPr="00E76E89">
        <w:t xml:space="preserve">, </w:t>
      </w:r>
      <w:r w:rsidR="006036E7" w:rsidRPr="00E76E89">
        <w:t>A. Z.</w:t>
      </w:r>
      <w:r w:rsidR="00903099" w:rsidRPr="00E76E89">
        <w:t xml:space="preserve">, </w:t>
      </w:r>
      <w:r w:rsidR="006036E7" w:rsidRPr="00E76E89">
        <w:t>V. K. 2</w:t>
      </w:r>
      <w:r w:rsidR="00903099" w:rsidRPr="00E76E89">
        <w:t xml:space="preserve">, </w:t>
      </w:r>
      <w:r w:rsidR="006036E7" w:rsidRPr="00E76E89">
        <w:t>R. J. 2</w:t>
      </w:r>
      <w:r w:rsidR="00903099" w:rsidRPr="00E76E89">
        <w:t xml:space="preserve">, </w:t>
      </w:r>
      <w:r w:rsidR="006036E7" w:rsidRPr="00E76E89">
        <w:t>S. G.</w:t>
      </w:r>
      <w:r w:rsidR="00903099" w:rsidRPr="00E76E89">
        <w:t xml:space="preserve">, </w:t>
      </w:r>
      <w:r w:rsidR="006036E7" w:rsidRPr="00E76E89">
        <w:t>S. M.</w:t>
      </w:r>
      <w:r w:rsidR="00903099" w:rsidRPr="00E76E89">
        <w:t xml:space="preserve">, </w:t>
      </w:r>
      <w:r w:rsidR="006036E7" w:rsidRPr="00E76E89">
        <w:t>K. U.</w:t>
      </w:r>
      <w:r w:rsidR="00903099" w:rsidRPr="00E76E89">
        <w:t xml:space="preserve">, </w:t>
      </w:r>
      <w:r w:rsidR="006036E7" w:rsidRPr="00E76E89">
        <w:t>A. F. 1</w:t>
      </w:r>
      <w:r w:rsidR="00903099" w:rsidRPr="00E76E89">
        <w:t xml:space="preserve">, </w:t>
      </w:r>
      <w:r w:rsidR="006036E7" w:rsidRPr="00E76E89">
        <w:t>A. N. 2</w:t>
      </w:r>
      <w:r w:rsidR="00903099" w:rsidRPr="00E76E89">
        <w:t xml:space="preserve">, </w:t>
      </w:r>
      <w:r w:rsidR="006036E7" w:rsidRPr="00E76E89">
        <w:t>E. M.</w:t>
      </w:r>
      <w:r w:rsidR="00903099" w:rsidRPr="00E76E89">
        <w:t xml:space="preserve">, </w:t>
      </w:r>
      <w:r w:rsidR="006036E7" w:rsidRPr="00E76E89">
        <w:t>V. G.</w:t>
      </w:r>
      <w:r w:rsidR="00903099" w:rsidRPr="00E76E89">
        <w:t xml:space="preserve">, </w:t>
      </w:r>
      <w:r w:rsidR="006036E7" w:rsidRPr="00E76E89">
        <w:t>A. S.</w:t>
      </w:r>
      <w:r w:rsidR="00F93A4F" w:rsidRPr="00E76E89">
        <w:t xml:space="preserve">, </w:t>
      </w:r>
      <w:r w:rsidR="006036E7" w:rsidRPr="00E76E89">
        <w:t>A. L.</w:t>
      </w:r>
      <w:r w:rsidR="00903099" w:rsidRPr="00E76E89">
        <w:t xml:space="preserve">, </w:t>
      </w:r>
      <w:r w:rsidR="006036E7" w:rsidRPr="00E76E89">
        <w:t>J. J.</w:t>
      </w:r>
      <w:r w:rsidR="00903099" w:rsidRPr="00E76E89">
        <w:t xml:space="preserve">, </w:t>
      </w:r>
      <w:r w:rsidR="006036E7" w:rsidRPr="00E76E89">
        <w:t>A. F. 2</w:t>
      </w:r>
      <w:r w:rsidR="00903099" w:rsidRPr="00E76E89">
        <w:t xml:space="preserve">, </w:t>
      </w:r>
      <w:r w:rsidR="006036E7" w:rsidRPr="00E76E89">
        <w:t>A. I.</w:t>
      </w:r>
      <w:r w:rsidR="00903099" w:rsidRPr="00E76E89">
        <w:t xml:space="preserve">, </w:t>
      </w:r>
      <w:r w:rsidR="006036E7" w:rsidRPr="00E76E89">
        <w:t>A. C.</w:t>
      </w:r>
      <w:r w:rsidR="00903099" w:rsidRPr="00E76E89">
        <w:t xml:space="preserve">, </w:t>
      </w:r>
      <w:r w:rsidR="006036E7" w:rsidRPr="00E76E89">
        <w:t>A. Ž.</w:t>
      </w:r>
      <w:r w:rsidR="00903099" w:rsidRPr="00E76E89">
        <w:t xml:space="preserve">, </w:t>
      </w:r>
      <w:r w:rsidR="006036E7" w:rsidRPr="00E76E89">
        <w:t>V. U. 1</w:t>
      </w:r>
      <w:r w:rsidR="00903099" w:rsidRPr="00E76E89">
        <w:t xml:space="preserve">, </w:t>
      </w:r>
      <w:r w:rsidR="006036E7" w:rsidRPr="00E76E89">
        <w:t>G. B.</w:t>
      </w:r>
      <w:r w:rsidR="00903099" w:rsidRPr="00E76E89">
        <w:t xml:space="preserve">, </w:t>
      </w:r>
      <w:r w:rsidRPr="00E76E89">
        <w:t>G. I.</w:t>
      </w:r>
      <w:r w:rsidR="00903099" w:rsidRPr="00E76E89">
        <w:t xml:space="preserve">, </w:t>
      </w:r>
      <w:r w:rsidR="004069BF" w:rsidRPr="00E76E89">
        <w:t>N. A.</w:t>
      </w:r>
      <w:r w:rsidR="00903099" w:rsidRPr="00E76E89">
        <w:t xml:space="preserve">, </w:t>
      </w:r>
      <w:r w:rsidR="00C82C9D" w:rsidRPr="00E76E89">
        <w:t>V. U. 2</w:t>
      </w:r>
      <w:r w:rsidR="00903099" w:rsidRPr="00E76E89">
        <w:t xml:space="preserve">, </w:t>
      </w:r>
      <w:r w:rsidR="00C82C9D" w:rsidRPr="00E76E89">
        <w:t>V. S. 4</w:t>
      </w:r>
      <w:r w:rsidR="00903099" w:rsidRPr="00E76E89">
        <w:t xml:space="preserve">, </w:t>
      </w:r>
      <w:r w:rsidR="00C82C9D" w:rsidRPr="00E76E89">
        <w:t>V. Š. 3</w:t>
      </w:r>
      <w:r w:rsidR="00903099" w:rsidRPr="00E76E89">
        <w:t xml:space="preserve">, </w:t>
      </w:r>
      <w:r w:rsidR="00C82C9D" w:rsidRPr="00E76E89">
        <w:t>V. P.</w:t>
      </w:r>
      <w:r w:rsidR="00903099" w:rsidRPr="00E76E89">
        <w:t xml:space="preserve">, </w:t>
      </w:r>
      <w:r w:rsidR="00C82C9D" w:rsidRPr="00E76E89">
        <w:t>S. V.</w:t>
      </w:r>
      <w:r w:rsidR="00903099" w:rsidRPr="00E76E89">
        <w:t xml:space="preserve">, </w:t>
      </w:r>
      <w:r w:rsidR="00C82C9D" w:rsidRPr="00E76E89">
        <w:t>E. R.</w:t>
      </w:r>
      <w:r w:rsidR="00903099" w:rsidRPr="00E76E89">
        <w:t xml:space="preserve">, </w:t>
      </w:r>
      <w:r w:rsidR="00C82C9D" w:rsidRPr="00E76E89">
        <w:t>J. O.</w:t>
      </w:r>
      <w:r w:rsidR="00903099" w:rsidRPr="00E76E89">
        <w:t xml:space="preserve">, </w:t>
      </w:r>
      <w:r w:rsidR="00C82C9D" w:rsidRPr="00E76E89">
        <w:t>A. G. 1</w:t>
      </w:r>
      <w:r w:rsidR="00903099" w:rsidRPr="00E76E89">
        <w:t xml:space="preserve">, </w:t>
      </w:r>
      <w:r w:rsidR="00C82C9D" w:rsidRPr="00E76E89">
        <w:t>A. B.</w:t>
      </w:r>
      <w:r w:rsidR="00903099" w:rsidRPr="00E76E89">
        <w:t xml:space="preserve">, </w:t>
      </w:r>
      <w:r w:rsidR="00C82C9D" w:rsidRPr="00E76E89">
        <w:t>O. A.</w:t>
      </w:r>
      <w:r w:rsidR="00903099" w:rsidRPr="00E76E89">
        <w:t xml:space="preserve">, </w:t>
      </w:r>
      <w:r w:rsidR="00C82C9D" w:rsidRPr="00E76E89">
        <w:t>N. S.</w:t>
      </w:r>
      <w:r w:rsidR="00903099" w:rsidRPr="00E76E89">
        <w:t xml:space="preserve">, </w:t>
      </w:r>
      <w:r w:rsidR="00C82C9D" w:rsidRPr="00E76E89">
        <w:t>A. U.</w:t>
      </w:r>
      <w:r w:rsidR="00903099" w:rsidRPr="00E76E89">
        <w:t xml:space="preserve">, </w:t>
      </w:r>
      <w:r w:rsidR="00A97F74" w:rsidRPr="00E76E89">
        <w:t>A. K. 1</w:t>
      </w:r>
      <w:r w:rsidR="00903099" w:rsidRPr="00E76E89">
        <w:t xml:space="preserve">, </w:t>
      </w:r>
      <w:r w:rsidR="00A97F74" w:rsidRPr="00E76E89">
        <w:t>D. F.</w:t>
      </w:r>
      <w:r w:rsidR="00F93A4F" w:rsidRPr="00E76E89">
        <w:t xml:space="preserve">, </w:t>
      </w:r>
      <w:r w:rsidRPr="00E76E89">
        <w:t>J. M.</w:t>
      </w:r>
      <w:r w:rsidR="00F93A4F" w:rsidRPr="00E76E89">
        <w:t xml:space="preserve">, </w:t>
      </w:r>
      <w:r w:rsidR="00A97F74" w:rsidRPr="00E76E89">
        <w:t>D. B.</w:t>
      </w:r>
      <w:r w:rsidR="00903099" w:rsidRPr="00E76E89">
        <w:t xml:space="preserve">, </w:t>
      </w:r>
      <w:r w:rsidR="00A97F74" w:rsidRPr="00E76E89">
        <w:t>N. O.</w:t>
      </w:r>
      <w:r w:rsidR="00903099" w:rsidRPr="00E76E89">
        <w:t xml:space="preserve">, </w:t>
      </w:r>
      <w:r w:rsidR="00A97F74" w:rsidRPr="00E76E89">
        <w:t>A. K. 2</w:t>
      </w:r>
      <w:r w:rsidR="00F93A4F" w:rsidRPr="00E76E89">
        <w:t xml:space="preserve">, </w:t>
      </w:r>
      <w:r w:rsidR="00A97F74" w:rsidRPr="00E76E89">
        <w:t>A. R.</w:t>
      </w:r>
      <w:r w:rsidR="00903099" w:rsidRPr="00E76E89">
        <w:t xml:space="preserve">, </w:t>
      </w:r>
      <w:r w:rsidR="00A97F74" w:rsidRPr="00E76E89">
        <w:t>S. F.</w:t>
      </w:r>
      <w:r w:rsidR="00903099" w:rsidRPr="00E76E89">
        <w:t xml:space="preserve">, </w:t>
      </w:r>
      <w:r w:rsidR="00A97F74" w:rsidRPr="00E76E89">
        <w:t>V. R.</w:t>
      </w:r>
      <w:r w:rsidR="00903099" w:rsidRPr="00E76E89">
        <w:t xml:space="preserve">, </w:t>
      </w:r>
      <w:r w:rsidR="00A97F74" w:rsidRPr="00E76E89">
        <w:t>V. Š. 2</w:t>
      </w:r>
      <w:r w:rsidR="00903099" w:rsidRPr="00E76E89">
        <w:t xml:space="preserve">, </w:t>
      </w:r>
      <w:r w:rsidR="00A97F74" w:rsidRPr="00E76E89">
        <w:t>V. M.</w:t>
      </w:r>
      <w:r w:rsidR="00903099" w:rsidRPr="00E76E89">
        <w:t xml:space="preserve">, </w:t>
      </w:r>
      <w:r w:rsidR="00DC0414" w:rsidRPr="00E76E89">
        <w:t>G. P.</w:t>
      </w:r>
      <w:r w:rsidR="00903099" w:rsidRPr="00E76E89">
        <w:t xml:space="preserve">, </w:t>
      </w:r>
      <w:r w:rsidR="00DC0414" w:rsidRPr="00E76E89">
        <w:t>O. M.</w:t>
      </w:r>
      <w:r w:rsidR="00903099" w:rsidRPr="00E76E89">
        <w:t xml:space="preserve">, </w:t>
      </w:r>
      <w:r w:rsidR="00DC0414" w:rsidRPr="00E76E89">
        <w:t>M. C.</w:t>
      </w:r>
      <w:r w:rsidR="00CA3D97" w:rsidRPr="00E76E89">
        <w:t>,</w:t>
      </w:r>
      <w:r w:rsidR="00903099" w:rsidRPr="00E76E89">
        <w:t xml:space="preserve"> </w:t>
      </w:r>
      <w:r w:rsidR="00DC0414" w:rsidRPr="00E76E89">
        <w:t>J. S.</w:t>
      </w:r>
      <w:r w:rsidR="00903099" w:rsidRPr="00E76E89">
        <w:t xml:space="preserve"> nuteisti</w:t>
      </w:r>
      <w:r w:rsidR="007759A7" w:rsidRPr="00E76E89">
        <w:t xml:space="preserve"> </w:t>
      </w:r>
      <w:r w:rsidR="007759A7" w:rsidRPr="00E76E89">
        <w:rPr>
          <w:rFonts w:eastAsia="Calibri"/>
        </w:rPr>
        <w:t xml:space="preserve">pagal </w:t>
      </w:r>
      <w:r w:rsidR="007759A7" w:rsidRPr="00E76E89">
        <w:t>BK 100 straipsnį (</w:t>
      </w:r>
      <w:r w:rsidR="007759A7" w:rsidRPr="00E76E89">
        <w:rPr>
          <w:rFonts w:eastAsia="Calibri"/>
        </w:rPr>
        <w:t>2011 m. kovo 22 d. įstatymo Nr. XI-1291 redakcija)</w:t>
      </w:r>
      <w:r w:rsidR="007759A7" w:rsidRPr="00E76E89">
        <w:t>, BK 101 straipsnį (</w:t>
      </w:r>
      <w:r w:rsidR="007759A7" w:rsidRPr="00E76E89">
        <w:rPr>
          <w:rFonts w:eastAsia="Calibri"/>
        </w:rPr>
        <w:t>2011 m. kovo 22 d. įstatymo Nr. XI-1291 redakcija)</w:t>
      </w:r>
      <w:r w:rsidR="00C507EF" w:rsidRPr="00E76E89">
        <w:t>, BK 103 straipsnio 1 </w:t>
      </w:r>
      <w:r w:rsidR="007759A7" w:rsidRPr="00E76E89">
        <w:t>dalį (</w:t>
      </w:r>
      <w:r w:rsidR="007759A7" w:rsidRPr="00E76E89">
        <w:rPr>
          <w:rFonts w:eastAsia="Calibri"/>
        </w:rPr>
        <w:t>2011 m. kovo 22 d. įstatymo Nr. XI-1291 redakcija)</w:t>
      </w:r>
      <w:r w:rsidR="007759A7" w:rsidRPr="00E76E89">
        <w:t>, BK 111 straipsnio 1 dalį (</w:t>
      </w:r>
      <w:r w:rsidR="00C507EF" w:rsidRPr="00E76E89">
        <w:rPr>
          <w:rFonts w:eastAsia="Calibri"/>
        </w:rPr>
        <w:t>2011 m. </w:t>
      </w:r>
      <w:r w:rsidR="007759A7" w:rsidRPr="00E76E89">
        <w:rPr>
          <w:rFonts w:eastAsia="Calibri"/>
        </w:rPr>
        <w:t>kovo 22 d. įstatymo Nr. XI-1291 redakcija)</w:t>
      </w:r>
      <w:r w:rsidR="007759A7" w:rsidRPr="00E76E89">
        <w:t xml:space="preserve"> ir BK 112 straipsnį</w:t>
      </w:r>
      <w:r w:rsidR="00903099" w:rsidRPr="00E76E89">
        <w:t xml:space="preserve"> </w:t>
      </w:r>
      <w:r w:rsidR="00C507EF" w:rsidRPr="00E76E89">
        <w:t>(2000 m. rugsėjo 26 </w:t>
      </w:r>
      <w:r w:rsidR="00132FF8" w:rsidRPr="00E76E89">
        <w:t xml:space="preserve">d. įstatymo Nr. VIII-1968 redakcija) </w:t>
      </w:r>
      <w:r w:rsidR="00903099" w:rsidRPr="00E76E89">
        <w:t>už tai, kad:</w:t>
      </w:r>
      <w:r w:rsidR="007759A7" w:rsidRPr="00E76E89">
        <w:t xml:space="preserve"> </w:t>
      </w:r>
      <w:r w:rsidR="00876587" w:rsidRPr="00E76E89">
        <w:t>„</w:t>
      </w:r>
      <w:r w:rsidR="000F6445" w:rsidRPr="00E76E89">
        <w:rPr>
          <w:rFonts w:eastAsia="Calibri"/>
          <w:i/>
        </w:rPr>
        <w:t>tyčia, remdami kitos valstybės politiką, dideliu mastu žudė civilius asmenis, sunkiai sutrikdė jų sveikatą; agresijos metu žudė tarptautinės humanitarinės teisės saugomus asmenis;</w:t>
      </w:r>
      <w:r w:rsidR="000C727C" w:rsidRPr="00E76E89">
        <w:rPr>
          <w:rFonts w:eastAsia="Calibri"/>
          <w:i/>
        </w:rPr>
        <w:t xml:space="preserve"> </w:t>
      </w:r>
      <w:r w:rsidR="000F6445" w:rsidRPr="00E76E89">
        <w:rPr>
          <w:rFonts w:eastAsia="Calibri"/>
          <w:i/>
        </w:rPr>
        <w:t xml:space="preserve">agresijos metu nežmoniškai elgėsi </w:t>
      </w:r>
      <w:r w:rsidR="000F6445" w:rsidRPr="00E76E89">
        <w:rPr>
          <w:rFonts w:eastAsia="Calibri"/>
          <w:i/>
        </w:rPr>
        <w:lastRenderedPageBreak/>
        <w:t xml:space="preserve">su tarptautinės humanitarinės teisės saugomais asmenimis: juos sunkiai sužalojo, naudojo bauginimo ir teroro priemones; įsakė vykdyti ir vykdė tarptautinės humanitarinės teisės draudžiamą karo ataką prieš civilius; </w:t>
      </w:r>
      <w:r w:rsidR="00F93A4F" w:rsidRPr="00E76E89">
        <w:rPr>
          <w:rFonts w:eastAsia="Calibri"/>
          <w:i/>
        </w:rPr>
        <w:t>pažeisdami Lietuvos Respublikos </w:t>
      </w:r>
      <w:r w:rsidR="000F6445" w:rsidRPr="00E76E89">
        <w:rPr>
          <w:rFonts w:eastAsia="Calibri"/>
          <w:i/>
        </w:rPr>
        <w:t>tarptautinių sutarčių ar visuotinai pripažintų tarptautinių papročių dėl karo priemonių nuostatas įsakė karo veiksmuose panaudoti arba panaudojo uždraustas karo priemones</w:t>
      </w:r>
      <w:r w:rsidR="00876587" w:rsidRPr="00E76E89">
        <w:rPr>
          <w:rFonts w:eastAsia="Calibri"/>
        </w:rPr>
        <w:t>“</w:t>
      </w:r>
      <w:r w:rsidR="007759A7" w:rsidRPr="00E76E89">
        <w:rPr>
          <w:rFonts w:eastAsia="Calibri"/>
        </w:rPr>
        <w:t xml:space="preserve"> </w:t>
      </w:r>
      <w:r w:rsidR="00F17E36" w:rsidRPr="00E76E89">
        <w:rPr>
          <w:rFonts w:eastAsia="Calibri"/>
        </w:rPr>
        <w:t>(žr. nuosprendžio 9–</w:t>
      </w:r>
      <w:r w:rsidR="00F13F8F" w:rsidRPr="00E76E89">
        <w:rPr>
          <w:rFonts w:eastAsia="Calibri"/>
        </w:rPr>
        <w:t xml:space="preserve">10 </w:t>
      </w:r>
      <w:r w:rsidR="00BE568B" w:rsidRPr="00E76E89">
        <w:rPr>
          <w:rFonts w:eastAsia="Calibri"/>
        </w:rPr>
        <w:t>l</w:t>
      </w:r>
      <w:r w:rsidR="00CA3D97" w:rsidRPr="00E76E89">
        <w:rPr>
          <w:rFonts w:eastAsia="Calibri"/>
        </w:rPr>
        <w:t>apus</w:t>
      </w:r>
      <w:r w:rsidR="00EB5EF8" w:rsidRPr="00E76E89">
        <w:rPr>
          <w:rFonts w:eastAsia="Calibri"/>
        </w:rPr>
        <w:t xml:space="preserve"> </w:t>
      </w:r>
      <w:r w:rsidR="00F17E36" w:rsidRPr="00E76E89">
        <w:rPr>
          <w:rFonts w:eastAsia="Calibri"/>
        </w:rPr>
        <w:t>(</w:t>
      </w:r>
      <w:r w:rsidR="00EB5EF8" w:rsidRPr="00E76E89">
        <w:rPr>
          <w:rFonts w:eastAsia="Calibri"/>
        </w:rPr>
        <w:t>t.</w:t>
      </w:r>
      <w:r w:rsidR="00C507EF" w:rsidRPr="00E76E89">
        <w:rPr>
          <w:rFonts w:eastAsia="Calibri"/>
        </w:rPr>
        <w:t> </w:t>
      </w:r>
      <w:r w:rsidR="00F17E36" w:rsidRPr="00E76E89">
        <w:rPr>
          <w:rFonts w:eastAsia="Calibri"/>
        </w:rPr>
        <w:t>769</w:t>
      </w:r>
      <w:r w:rsidR="00C507EF" w:rsidRPr="00E76E89">
        <w:rPr>
          <w:rFonts w:eastAsia="Calibri"/>
        </w:rPr>
        <w:t>. </w:t>
      </w:r>
      <w:r w:rsidR="00EB5EF8" w:rsidRPr="00E76E89">
        <w:rPr>
          <w:rFonts w:eastAsia="Calibri"/>
        </w:rPr>
        <w:t xml:space="preserve">b. l. </w:t>
      </w:r>
      <w:r w:rsidR="00F17E36" w:rsidRPr="00E76E89">
        <w:rPr>
          <w:rFonts w:eastAsia="Calibri"/>
        </w:rPr>
        <w:t>9–10)</w:t>
      </w:r>
      <w:r w:rsidR="00F13F8F" w:rsidRPr="00E76E89">
        <w:rPr>
          <w:rFonts w:eastAsia="Calibri"/>
        </w:rPr>
        <w:t>).</w:t>
      </w:r>
      <w:r w:rsidR="004A361B" w:rsidRPr="00E76E89">
        <w:rPr>
          <w:rFonts w:eastAsia="Calibri"/>
        </w:rPr>
        <w:t xml:space="preserve"> </w:t>
      </w:r>
    </w:p>
    <w:p w:rsidR="00531BAB" w:rsidRPr="00C00255" w:rsidRDefault="00876587" w:rsidP="00321748">
      <w:pPr>
        <w:pStyle w:val="Heading2"/>
        <w:numPr>
          <w:ilvl w:val="1"/>
          <w:numId w:val="9"/>
        </w:numPr>
        <w:spacing w:after="120"/>
        <w:ind w:left="1434" w:hanging="357"/>
        <w:jc w:val="center"/>
        <w:rPr>
          <w:rFonts w:ascii="Times New Roman" w:hAnsi="Times New Roman" w:cs="Times New Roman"/>
          <w:b w:val="0"/>
          <w:sz w:val="24"/>
          <w:szCs w:val="24"/>
        </w:rPr>
      </w:pPr>
      <w:bookmarkStart w:id="11" w:name="_Toc37947824"/>
      <w:bookmarkStart w:id="12" w:name="_Toc67677303"/>
      <w:bookmarkStart w:id="13" w:name="_Toc67985430"/>
      <w:bookmarkEnd w:id="10"/>
      <w:r w:rsidRPr="00C00255">
        <w:rPr>
          <w:rFonts w:ascii="Times New Roman" w:hAnsi="Times New Roman" w:cs="Times New Roman"/>
          <w:b w:val="0"/>
          <w:sz w:val="24"/>
          <w:szCs w:val="24"/>
        </w:rPr>
        <w:t>DETALIOS NU</w:t>
      </w:r>
      <w:r w:rsidR="0067711E" w:rsidRPr="00C00255">
        <w:rPr>
          <w:rFonts w:ascii="Times New Roman" w:hAnsi="Times New Roman" w:cs="Times New Roman"/>
          <w:b w:val="0"/>
          <w:sz w:val="24"/>
          <w:szCs w:val="24"/>
        </w:rPr>
        <w:t>S</w:t>
      </w:r>
      <w:r w:rsidRPr="00C00255">
        <w:rPr>
          <w:rFonts w:ascii="Times New Roman" w:hAnsi="Times New Roman" w:cs="Times New Roman"/>
          <w:b w:val="0"/>
          <w:sz w:val="24"/>
          <w:szCs w:val="24"/>
        </w:rPr>
        <w:t>IKALSTAMŲ VEIKŲ APLINKYBĖS</w:t>
      </w:r>
      <w:bookmarkEnd w:id="11"/>
      <w:bookmarkEnd w:id="12"/>
      <w:bookmarkEnd w:id="13"/>
    </w:p>
    <w:p w:rsidR="008434B8" w:rsidRPr="00C00255" w:rsidRDefault="00BE568B" w:rsidP="003F7E0A">
      <w:pPr>
        <w:pStyle w:val="Heading3"/>
        <w:numPr>
          <w:ilvl w:val="1"/>
          <w:numId w:val="1"/>
        </w:numPr>
        <w:spacing w:after="120"/>
        <w:ind w:left="992" w:hanging="992"/>
        <w:jc w:val="both"/>
        <w:rPr>
          <w:rFonts w:eastAsia="Calibri"/>
          <w:sz w:val="24"/>
          <w:szCs w:val="24"/>
          <w:lang w:val="lt-LT"/>
        </w:rPr>
      </w:pPr>
      <w:bookmarkStart w:id="14" w:name="_Toc37947825"/>
      <w:bookmarkStart w:id="15" w:name="_Toc67677304"/>
      <w:bookmarkStart w:id="16" w:name="_Toc67985431"/>
      <w:bookmarkStart w:id="17" w:name="_Hlk66869004"/>
      <w:r w:rsidRPr="00C00255">
        <w:rPr>
          <w:rStyle w:val="Heading3Char"/>
          <w:rFonts w:eastAsia="Calibri"/>
          <w:b/>
          <w:sz w:val="24"/>
          <w:szCs w:val="24"/>
          <w:lang w:val="lt-LT"/>
        </w:rPr>
        <w:t>„</w:t>
      </w:r>
      <w:r w:rsidRPr="003F7E0A">
        <w:rPr>
          <w:rStyle w:val="Heading3Char"/>
          <w:rFonts w:eastAsia="Calibri"/>
          <w:b/>
          <w:sz w:val="24"/>
          <w:szCs w:val="24"/>
          <w:lang w:val="lt-LT"/>
        </w:rPr>
        <w:t>N</w:t>
      </w:r>
      <w:r w:rsidR="00954E98" w:rsidRPr="003F7E0A">
        <w:rPr>
          <w:rStyle w:val="Heading3Char"/>
          <w:rFonts w:eastAsia="Calibri"/>
          <w:b/>
          <w:sz w:val="24"/>
          <w:szCs w:val="24"/>
          <w:lang w:val="lt-LT"/>
        </w:rPr>
        <w:t>usikalstamų veiksmų</w:t>
      </w:r>
      <w:r w:rsidR="003A2E03" w:rsidRPr="003F7E0A">
        <w:rPr>
          <w:rStyle w:val="Heading3Char"/>
          <w:rFonts w:eastAsia="Calibri"/>
          <w:b/>
          <w:sz w:val="24"/>
          <w:szCs w:val="24"/>
          <w:lang w:val="lt-LT"/>
        </w:rPr>
        <w:t xml:space="preserve"> prieš L</w:t>
      </w:r>
      <w:r w:rsidR="00954E98" w:rsidRPr="003F7E0A">
        <w:rPr>
          <w:rStyle w:val="Heading3Char"/>
          <w:rFonts w:eastAsia="Calibri"/>
          <w:b/>
          <w:sz w:val="24"/>
          <w:szCs w:val="24"/>
          <w:lang w:val="lt-LT"/>
        </w:rPr>
        <w:t>ietuvos valstybę rengimas</w:t>
      </w:r>
      <w:r w:rsidR="003A2E03" w:rsidRPr="003F7E0A">
        <w:rPr>
          <w:rStyle w:val="Heading3Char"/>
          <w:rFonts w:eastAsia="Calibri"/>
          <w:b/>
          <w:sz w:val="24"/>
          <w:szCs w:val="24"/>
          <w:lang w:val="lt-LT"/>
        </w:rPr>
        <w:t>, karinės operacijos planavi</w:t>
      </w:r>
      <w:r w:rsidR="00954E98" w:rsidRPr="003F7E0A">
        <w:rPr>
          <w:rStyle w:val="Heading3Char"/>
          <w:rFonts w:eastAsia="Calibri"/>
          <w:b/>
          <w:sz w:val="24"/>
          <w:szCs w:val="24"/>
          <w:lang w:val="lt-LT"/>
        </w:rPr>
        <w:t>mas</w:t>
      </w:r>
      <w:r w:rsidRPr="00C00255">
        <w:rPr>
          <w:rStyle w:val="Heading3Char"/>
          <w:rFonts w:eastAsia="Calibri"/>
          <w:b/>
          <w:sz w:val="24"/>
          <w:szCs w:val="24"/>
          <w:lang w:val="lt-LT"/>
        </w:rPr>
        <w:t>“</w:t>
      </w:r>
      <w:bookmarkEnd w:id="14"/>
      <w:bookmarkEnd w:id="15"/>
      <w:bookmarkEnd w:id="16"/>
      <w:r w:rsidR="003A2E03" w:rsidRPr="00C00255">
        <w:rPr>
          <w:rFonts w:eastAsia="Calibri"/>
          <w:sz w:val="24"/>
          <w:szCs w:val="24"/>
          <w:lang w:val="lt-LT"/>
        </w:rPr>
        <w:t xml:space="preserve"> </w:t>
      </w:r>
    </w:p>
    <w:p w:rsidR="00A155C4" w:rsidRPr="00E76E89" w:rsidRDefault="00932054" w:rsidP="003F7E0A">
      <w:pPr>
        <w:ind w:left="992" w:firstLine="992"/>
        <w:rPr>
          <w:rFonts w:eastAsia="Calibri"/>
          <w:i/>
        </w:rPr>
      </w:pPr>
      <w:r w:rsidRPr="00E76E89">
        <w:rPr>
          <w:rFonts w:eastAsia="Calibri"/>
        </w:rPr>
        <w:t>„</w:t>
      </w:r>
      <w:r w:rsidRPr="00E76E89">
        <w:rPr>
          <w:rFonts w:eastAsia="Calibri"/>
          <w:i/>
        </w:rPr>
        <w:t xml:space="preserve">1989 metų pabaigoje Lietuvos komunistų partijai (toliau – LKP) atsiskiriant nuo TSKP, dalis LKP suvažiavimo dalyvių, gavę TSKP Centro komiteto (toliau – TSKP CK) vadovų pritarimą, paskelbė apie atsiskyrimą nuo LKP ir įkūrė LKP/TSKP, kuri vykdė tik TSRS ir TSKP vadovybės nurodymus, priešinosi Lietuvos nepriklausomos valstybės atkūrimui, priešiškai sutiko 1990 m. kovo mėn. 11 d. Nepriklausomybės Aktą. Po Lietuvos nepriklausomybės paskelbimo LKP/TSKP tapo užsienio valstybės TSKP padaliniu Lietuvoje, kuris nepakluso Lietuvos Respublikos įstatymams ir vykdė užsienio organizacijos užduotis. </w:t>
      </w:r>
    </w:p>
    <w:bookmarkEnd w:id="17"/>
    <w:p w:rsidR="00A155C4" w:rsidRPr="00E76E89" w:rsidRDefault="00932054" w:rsidP="003F7E0A">
      <w:pPr>
        <w:ind w:left="992" w:firstLine="992"/>
        <w:rPr>
          <w:rFonts w:eastAsia="Calibri"/>
          <w:i/>
        </w:rPr>
      </w:pPr>
      <w:r w:rsidRPr="00E76E89">
        <w:rPr>
          <w:rFonts w:eastAsia="Calibri"/>
          <w:i/>
        </w:rPr>
        <w:t>Siekdami grąžinti Lietuvą į TSRS sudėtį,</w:t>
      </w:r>
      <w:r w:rsidR="000C727C" w:rsidRPr="00E76E89">
        <w:rPr>
          <w:rFonts w:eastAsia="Calibri"/>
          <w:i/>
        </w:rPr>
        <w:t xml:space="preserve"> </w:t>
      </w:r>
      <w:r w:rsidRPr="00E76E89">
        <w:rPr>
          <w:rFonts w:eastAsia="Calibri"/>
          <w:i/>
        </w:rPr>
        <w:t>LKP/TSKP vadovai, kaltinamieji</w:t>
      </w:r>
      <w:r w:rsidR="000C727C" w:rsidRPr="00E76E89">
        <w:rPr>
          <w:rFonts w:eastAsia="Calibri"/>
          <w:i/>
        </w:rPr>
        <w:t xml:space="preserve"> </w:t>
      </w:r>
      <w:r w:rsidRPr="00E76E89">
        <w:rPr>
          <w:rFonts w:eastAsia="Calibri"/>
          <w:i/>
        </w:rPr>
        <w:t xml:space="preserve">LKP/TSKP CK II sekretorius kaltinamasis </w:t>
      </w:r>
      <w:r w:rsidR="00385BC9" w:rsidRPr="00E76E89">
        <w:rPr>
          <w:rFonts w:eastAsia="Calibri"/>
          <w:i/>
        </w:rPr>
        <w:t>V. Š. 1</w:t>
      </w:r>
      <w:r w:rsidRPr="00E76E89">
        <w:rPr>
          <w:rFonts w:eastAsia="Calibri"/>
          <w:i/>
        </w:rPr>
        <w:t>, LKP/TSKP CK sekretorius generolas majoras kaltinamasis</w:t>
      </w:r>
      <w:r w:rsidR="000C727C" w:rsidRPr="00E76E89">
        <w:rPr>
          <w:rFonts w:eastAsia="Calibri"/>
          <w:i/>
        </w:rPr>
        <w:t xml:space="preserve"> </w:t>
      </w:r>
      <w:r w:rsidR="00385BC9" w:rsidRPr="00E76E89">
        <w:rPr>
          <w:rFonts w:eastAsia="Calibri"/>
          <w:i/>
        </w:rPr>
        <w:t>A. N. 1</w:t>
      </w:r>
      <w:r w:rsidRPr="00E76E89">
        <w:rPr>
          <w:rFonts w:eastAsia="Calibri"/>
          <w:i/>
        </w:rPr>
        <w:t xml:space="preserve">, LKP/TSKP CK politinio-teisinio skyriaus konsultantas pulkininkas </w:t>
      </w:r>
      <w:r w:rsidR="00385BC9" w:rsidRPr="00E76E89">
        <w:rPr>
          <w:rFonts w:eastAsia="Calibri"/>
          <w:i/>
        </w:rPr>
        <w:t>R. J. 1</w:t>
      </w:r>
      <w:r w:rsidRPr="00E76E89">
        <w:rPr>
          <w:rFonts w:eastAsia="Calibri"/>
          <w:i/>
        </w:rPr>
        <w:t>, tvirtindami,</w:t>
      </w:r>
      <w:r w:rsidR="000C727C" w:rsidRPr="00E76E89">
        <w:rPr>
          <w:rFonts w:eastAsia="Calibri"/>
          <w:i/>
        </w:rPr>
        <w:t xml:space="preserve"> </w:t>
      </w:r>
      <w:r w:rsidRPr="00E76E89">
        <w:rPr>
          <w:rFonts w:eastAsia="Calibri"/>
          <w:i/>
        </w:rPr>
        <w:t xml:space="preserve">kad Lietuvoje veikia TSRS ir Lietuvos TSR Konstitucijos, reikalavo įgyvendinti TSRS liaudies deputatų suvažiavimų nutarimus dėl Lietuvos, įvesti prezidentinį valdymą, steigė politines organizacijas savo planams įgyvendinti, ruošė ir platino propagandinius dokumentus. </w:t>
      </w:r>
    </w:p>
    <w:p w:rsidR="00A155C4" w:rsidRPr="003F7E0A" w:rsidRDefault="00932054" w:rsidP="003F7E0A">
      <w:pPr>
        <w:ind w:left="992" w:firstLine="992"/>
        <w:rPr>
          <w:rFonts w:eastAsia="Calibri"/>
          <w:i/>
        </w:rPr>
      </w:pPr>
      <w:r w:rsidRPr="003F7E0A">
        <w:rPr>
          <w:rFonts w:eastAsia="Calibri"/>
          <w:i/>
        </w:rPr>
        <w:t xml:space="preserve">LKP/TSKP vadovybės – </w:t>
      </w:r>
      <w:r w:rsidR="00C507EF" w:rsidRPr="003F7E0A">
        <w:rPr>
          <w:rFonts w:eastAsia="Calibri"/>
          <w:i/>
        </w:rPr>
        <w:t>M. B.</w:t>
      </w:r>
      <w:r w:rsidR="00A155C4" w:rsidRPr="003F7E0A">
        <w:rPr>
          <w:rFonts w:eastAsia="Calibri"/>
          <w:i/>
        </w:rPr>
        <w:t xml:space="preserve">, </w:t>
      </w:r>
      <w:r w:rsidR="00C507EF" w:rsidRPr="003F7E0A">
        <w:rPr>
          <w:rFonts w:eastAsia="Calibri"/>
          <w:i/>
        </w:rPr>
        <w:t>J. J.</w:t>
      </w:r>
      <w:r w:rsidR="00A155C4" w:rsidRPr="003F7E0A">
        <w:rPr>
          <w:rFonts w:eastAsia="Calibri"/>
          <w:i/>
        </w:rPr>
        <w:t xml:space="preserve">, </w:t>
      </w:r>
      <w:r w:rsidR="00C507EF" w:rsidRPr="003F7E0A">
        <w:rPr>
          <w:rFonts w:eastAsia="Calibri"/>
          <w:i/>
        </w:rPr>
        <w:t>J. K.</w:t>
      </w:r>
      <w:r w:rsidRPr="003F7E0A">
        <w:rPr>
          <w:rFonts w:eastAsia="Calibri"/>
          <w:i/>
        </w:rPr>
        <w:t xml:space="preserve"> ir kt. antivalstybinė veikla bei jų įkurtų organizacijų ir struktūrų veiksmai, vykdant nusikaltimus prieš Lietuvos Valstybę, konstatuoti</w:t>
      </w:r>
      <w:r w:rsidR="000C727C" w:rsidRPr="003F7E0A">
        <w:rPr>
          <w:rFonts w:eastAsia="Calibri"/>
          <w:i/>
        </w:rPr>
        <w:t xml:space="preserve"> </w:t>
      </w:r>
      <w:r w:rsidRPr="003F7E0A">
        <w:rPr>
          <w:rFonts w:eastAsia="Calibri"/>
          <w:i/>
        </w:rPr>
        <w:t>1999</w:t>
      </w:r>
      <w:r w:rsidR="00A84409" w:rsidRPr="003F7E0A">
        <w:rPr>
          <w:rFonts w:eastAsia="Calibri"/>
          <w:i/>
        </w:rPr>
        <w:t xml:space="preserve"> m. rugpjūčio </w:t>
      </w:r>
      <w:r w:rsidRPr="003F7E0A">
        <w:rPr>
          <w:rFonts w:eastAsia="Calibri"/>
          <w:i/>
        </w:rPr>
        <w:t>23</w:t>
      </w:r>
      <w:r w:rsidR="00A84409" w:rsidRPr="003F7E0A">
        <w:rPr>
          <w:rFonts w:eastAsia="Calibri"/>
          <w:i/>
        </w:rPr>
        <w:t xml:space="preserve"> d.</w:t>
      </w:r>
      <w:r w:rsidRPr="003F7E0A">
        <w:rPr>
          <w:rFonts w:eastAsia="Calibri"/>
          <w:i/>
        </w:rPr>
        <w:t xml:space="preserve"> Vilniaus apygardos teismo priimtame apkaltinamajame nuosprendyje, o būtent, kad: </w:t>
      </w:r>
    </w:p>
    <w:p w:rsidR="00A155C4" w:rsidRPr="003F7E0A" w:rsidRDefault="00932054" w:rsidP="003F7E0A">
      <w:pPr>
        <w:ind w:left="992" w:firstLine="992"/>
        <w:rPr>
          <w:rFonts w:eastAsia="Calibri"/>
          <w:i/>
        </w:rPr>
      </w:pPr>
      <w:r w:rsidRPr="003F7E0A">
        <w:rPr>
          <w:rFonts w:eastAsia="Calibri"/>
          <w:i/>
        </w:rPr>
        <w:t xml:space="preserve">- „1990 m. balandžio 21 d. įkurtas „Lietuvos TSR piliečių komitetas” (toliau – Piliečių komitetas), kurio uždavinys – nuversti teisėtą valstybės valdžią, nepaklusti Lietuvos valstybės įstatymams, atstatyti TSRS Konstitucijos ir įstatymų viršenybę, šio komiteto pagrindu įkurti alternatyvias valdžios ir valdymo struktūras; </w:t>
      </w:r>
    </w:p>
    <w:p w:rsidR="00A155C4" w:rsidRPr="003F7E0A" w:rsidRDefault="00932054" w:rsidP="003F7E0A">
      <w:pPr>
        <w:ind w:left="992" w:firstLine="992"/>
        <w:rPr>
          <w:rFonts w:eastAsia="Calibri"/>
          <w:i/>
        </w:rPr>
      </w:pPr>
      <w:r w:rsidRPr="003F7E0A">
        <w:rPr>
          <w:rFonts w:eastAsia="Calibri"/>
          <w:i/>
        </w:rPr>
        <w:t xml:space="preserve">- 1990 m. rugpjūčio 7 d. įkurtos darbininkų draugovės, kurių uždavinys buvo priešintis jeigu bus likviduojama socialistinė santvarka ar Lietuva neteisėtai atsiskirs nuo TSRS; </w:t>
      </w:r>
    </w:p>
    <w:p w:rsidR="00A155C4" w:rsidRPr="003F7E0A" w:rsidRDefault="00932054" w:rsidP="003F7E0A">
      <w:pPr>
        <w:ind w:left="992" w:firstLine="992"/>
        <w:rPr>
          <w:rFonts w:eastAsia="Calibri"/>
          <w:i/>
        </w:rPr>
      </w:pPr>
      <w:r w:rsidRPr="003F7E0A">
        <w:rPr>
          <w:rFonts w:eastAsia="Calibri"/>
          <w:i/>
        </w:rPr>
        <w:t>- 1990 m. vasarą įkurta Laisvųjų verslininkų asociacija (toliau – Asociacija), kuri kartu su Naujosios Vilnios banku veikė kaip kitos valstybės – TSRS ūkinė struktūra Lietuvoje ir turėjo būti alternatyva Lietuvos valstybės ūkinėms struktūroms. Asociacija turėjo vykdyti kitos valstybės – TSRS įstatymus ir kitus norminius aktus, o pati Asociacija ir jos nariai turėjo būti laikomi kitos valstybės – TSRS dalimi;</w:t>
      </w:r>
    </w:p>
    <w:p w:rsidR="00A155C4" w:rsidRPr="003F7E0A" w:rsidRDefault="00932054" w:rsidP="003F7E0A">
      <w:pPr>
        <w:ind w:left="992" w:firstLine="992"/>
        <w:rPr>
          <w:rFonts w:eastAsia="Calibri"/>
          <w:i/>
        </w:rPr>
      </w:pPr>
      <w:r w:rsidRPr="003F7E0A">
        <w:rPr>
          <w:rFonts w:eastAsia="Calibri"/>
          <w:i/>
        </w:rPr>
        <w:t>- 1990 m. gegužės 12 d. įkurtas LTSR VRM partinis komitetas, kurio uždaviniai buvo skaldyti miliciją, kurti TSRS pavaldžias milicijos struktūras Lietuvoje bei jų darbuotojų mokymo įstaigas, vykdančias tik kitos valstybės – TSRS įstatymus ir kitus norminius aktus, sukurti milicijos padalinius vykdyti LKP/TSKP patalpų, pastatų, turto ir vykdomų masinių politinių renginių apsaugą, dezorganizuoti Lietuvos Respublikos VRM padalinių ir mokymo įstaigų veiklą, parinkti darbuotojus, suteikti patalpas, skirti lėšas;</w:t>
      </w:r>
    </w:p>
    <w:p w:rsidR="00A155C4" w:rsidRPr="003F7E0A" w:rsidRDefault="00932054" w:rsidP="003F7E0A">
      <w:pPr>
        <w:ind w:left="992" w:firstLine="992"/>
        <w:rPr>
          <w:rFonts w:eastAsia="Calibri"/>
          <w:i/>
        </w:rPr>
      </w:pPr>
      <w:r w:rsidRPr="003F7E0A">
        <w:rPr>
          <w:rFonts w:eastAsia="Calibri"/>
          <w:i/>
        </w:rPr>
        <w:t>- 1990 m. birželio mėn. buvo įkurta radijo stotis „Tarybų Lietuva“, per kurią buvo skleidžiama Lietuvai priešišk</w:t>
      </w:r>
      <w:r w:rsidR="00607189" w:rsidRPr="003F7E0A">
        <w:rPr>
          <w:rFonts w:eastAsia="Calibri"/>
          <w:i/>
        </w:rPr>
        <w:t>ą</w:t>
      </w:r>
      <w:r w:rsidRPr="003F7E0A">
        <w:rPr>
          <w:rFonts w:eastAsia="Calibri"/>
          <w:i/>
        </w:rPr>
        <w:t xml:space="preserve"> TSRS, TSKP, LKP</w:t>
      </w:r>
      <w:r w:rsidR="00A155C4" w:rsidRPr="003F7E0A">
        <w:rPr>
          <w:rFonts w:eastAsia="Calibri"/>
          <w:i/>
        </w:rPr>
        <w:t>/TSKP politika, jos uždaviniai;</w:t>
      </w:r>
    </w:p>
    <w:p w:rsidR="00A155C4" w:rsidRPr="003F7E0A" w:rsidRDefault="00932054" w:rsidP="003F7E0A">
      <w:pPr>
        <w:ind w:left="992" w:firstLine="992"/>
        <w:rPr>
          <w:rFonts w:eastAsia="Calibri"/>
          <w:i/>
        </w:rPr>
      </w:pPr>
      <w:r w:rsidRPr="003F7E0A">
        <w:rPr>
          <w:rFonts w:eastAsia="Calibri"/>
          <w:i/>
        </w:rPr>
        <w:lastRenderedPageBreak/>
        <w:t>- 1990 m. gruodžio 16 d. įkurtas „Lietuvos demokratinių jėgų kongresas” (toliau –</w:t>
      </w:r>
      <w:r w:rsidR="00132FF8" w:rsidRPr="003F7E0A">
        <w:rPr>
          <w:rFonts w:eastAsia="Calibri"/>
          <w:i/>
        </w:rPr>
        <w:t xml:space="preserve"> </w:t>
      </w:r>
      <w:r w:rsidRPr="003F7E0A">
        <w:rPr>
          <w:rFonts w:eastAsia="Calibri"/>
          <w:i/>
        </w:rPr>
        <w:t xml:space="preserve">LDJK), kuris 1991 m. sausio 11 d. kartu su Piliečių komitetu įkūrė antivalstybinę organizaciją – Lietuvos nacionalinį gelbėjimo komitetą (toliau </w:t>
      </w:r>
      <w:r w:rsidR="00A84409" w:rsidRPr="003F7E0A">
        <w:rPr>
          <w:rFonts w:eastAsia="Calibri"/>
          <w:i/>
        </w:rPr>
        <w:t>–</w:t>
      </w:r>
      <w:r w:rsidRPr="003F7E0A">
        <w:rPr>
          <w:rFonts w:eastAsia="Calibri"/>
          <w:i/>
        </w:rPr>
        <w:t xml:space="preserve"> LNGK). Jų uždavinys buvo perimti valdžią: įstatymų leidžiamąją – LDJK, o įstatymų vykdomąją –</w:t>
      </w:r>
      <w:r w:rsidR="00A155C4" w:rsidRPr="003F7E0A">
        <w:rPr>
          <w:rFonts w:eastAsia="Calibri"/>
          <w:i/>
        </w:rPr>
        <w:t xml:space="preserve"> LNGK, atkurti TSRS ir Lietuvos </w:t>
      </w:r>
      <w:r w:rsidRPr="003F7E0A">
        <w:rPr>
          <w:rFonts w:eastAsia="Calibri"/>
          <w:i/>
        </w:rPr>
        <w:t>TSRS Konstitucijų veikimą Lietuvoje, įvedant tiesioginį TSRS prezidentinį valdymą ir komendanto valandą.</w:t>
      </w:r>
    </w:p>
    <w:p w:rsidR="00A155C4" w:rsidRPr="003F7E0A" w:rsidRDefault="00932054" w:rsidP="003F7E0A">
      <w:pPr>
        <w:ind w:left="992" w:firstLine="992"/>
        <w:rPr>
          <w:rFonts w:eastAsia="Calibri"/>
          <w:i/>
        </w:rPr>
      </w:pPr>
      <w:r w:rsidRPr="003F7E0A">
        <w:rPr>
          <w:rFonts w:eastAsia="Calibri"/>
          <w:i/>
        </w:rPr>
        <w:t>- 1990 m. gruodžio 6 d., Lietuvos TSR Piliečių Vilni</w:t>
      </w:r>
      <w:r w:rsidR="00F93A4F" w:rsidRPr="003F7E0A">
        <w:rPr>
          <w:rFonts w:eastAsia="Calibri"/>
          <w:i/>
        </w:rPr>
        <w:t>aus miesto komiteto vardu, TSRS </w:t>
      </w:r>
      <w:r w:rsidRPr="003F7E0A">
        <w:rPr>
          <w:rFonts w:eastAsia="Calibri"/>
          <w:i/>
        </w:rPr>
        <w:t xml:space="preserve">Gynybos ministrui </w:t>
      </w:r>
      <w:r w:rsidR="00385BC9" w:rsidRPr="003F7E0A">
        <w:rPr>
          <w:rFonts w:eastAsia="Calibri"/>
          <w:i/>
        </w:rPr>
        <w:t>D. J.</w:t>
      </w:r>
      <w:r w:rsidRPr="003F7E0A">
        <w:rPr>
          <w:rFonts w:eastAsia="Calibri"/>
          <w:i/>
        </w:rPr>
        <w:t xml:space="preserve"> išsiųsta komiteto 1990 m. lapkričio 30 d. rezoliucija, kurioje TSRS Gynybos ministrui ir TSRS Vidaus reikalų ministrui </w:t>
      </w:r>
      <w:r w:rsidR="00C507EF" w:rsidRPr="003F7E0A">
        <w:rPr>
          <w:rFonts w:eastAsia="Calibri"/>
          <w:i/>
        </w:rPr>
        <w:t>B. P. siūloma įpareigoti Pabaltijo </w:t>
      </w:r>
      <w:r w:rsidRPr="003F7E0A">
        <w:rPr>
          <w:rFonts w:eastAsia="Calibri"/>
          <w:i/>
        </w:rPr>
        <w:t>karinės apygardos ir TSRS VRM Vidaus kariuomenės vadovybes imtis energingų priemonių nuginkluojant nacionalistinius darinius, užtikrinti visuomenės saugumą bei turto ir kultūros paveldo apsaugą. Rezoliucija per</w:t>
      </w:r>
      <w:r w:rsidR="00F93A4F" w:rsidRPr="003F7E0A">
        <w:rPr>
          <w:rFonts w:eastAsia="Calibri"/>
          <w:i/>
        </w:rPr>
        <w:t>duota ir TSRS Prezidentui, TSRS </w:t>
      </w:r>
      <w:r w:rsidRPr="003F7E0A">
        <w:rPr>
          <w:rFonts w:eastAsia="Calibri"/>
          <w:i/>
        </w:rPr>
        <w:t xml:space="preserve">Aukščiausiosios Tarybos bei Ministrų Tarybos pirmininkams, TSRS Generaliniam prokurorui, TSRS Gynybos ir Vidaus reikalų ministrams bei žiniasklaidai“. </w:t>
      </w:r>
    </w:p>
    <w:p w:rsidR="00A155C4" w:rsidRPr="003F7E0A" w:rsidRDefault="00932054" w:rsidP="003F7E0A">
      <w:pPr>
        <w:ind w:left="992" w:firstLine="992"/>
        <w:rPr>
          <w:rFonts w:eastAsia="Calibri"/>
          <w:i/>
        </w:rPr>
      </w:pPr>
      <w:r w:rsidRPr="003F7E0A">
        <w:rPr>
          <w:rFonts w:eastAsia="Calibri"/>
          <w:i/>
        </w:rPr>
        <w:t xml:space="preserve">LKP/TSKP nariai kaltinamieji </w:t>
      </w:r>
      <w:r w:rsidR="00385BC9" w:rsidRPr="003F7E0A">
        <w:rPr>
          <w:rFonts w:eastAsia="Calibri"/>
          <w:i/>
        </w:rPr>
        <w:t>V. Š. 1</w:t>
      </w:r>
      <w:r w:rsidR="00117751" w:rsidRPr="003F7E0A">
        <w:rPr>
          <w:rFonts w:eastAsia="Calibri"/>
          <w:i/>
        </w:rPr>
        <w:t xml:space="preserve">, </w:t>
      </w:r>
      <w:r w:rsidR="00385BC9" w:rsidRPr="003F7E0A">
        <w:rPr>
          <w:rFonts w:eastAsia="Calibri"/>
          <w:i/>
        </w:rPr>
        <w:t>A. N. 1</w:t>
      </w:r>
      <w:r w:rsidR="00117751" w:rsidRPr="003F7E0A">
        <w:rPr>
          <w:rFonts w:eastAsia="Calibri"/>
          <w:i/>
        </w:rPr>
        <w:t xml:space="preserve">, </w:t>
      </w:r>
      <w:r w:rsidR="00385BC9" w:rsidRPr="003F7E0A">
        <w:rPr>
          <w:rFonts w:eastAsia="Calibri"/>
          <w:i/>
        </w:rPr>
        <w:t>R. J. 1</w:t>
      </w:r>
      <w:r w:rsidRPr="003F7E0A">
        <w:rPr>
          <w:rFonts w:eastAsia="Calibri"/>
          <w:i/>
        </w:rPr>
        <w:t xml:space="preserve"> kartu su</w:t>
      </w:r>
      <w:r w:rsidR="000C727C" w:rsidRPr="003F7E0A">
        <w:rPr>
          <w:rFonts w:eastAsia="Calibri"/>
          <w:i/>
        </w:rPr>
        <w:t xml:space="preserve"> </w:t>
      </w:r>
      <w:r w:rsidRPr="003F7E0A">
        <w:rPr>
          <w:rFonts w:eastAsia="Calibri"/>
          <w:i/>
        </w:rPr>
        <w:t>kitais, anksčiau nurodytais</w:t>
      </w:r>
      <w:r w:rsidR="000C727C" w:rsidRPr="003F7E0A">
        <w:rPr>
          <w:rFonts w:eastAsia="Calibri"/>
          <w:i/>
        </w:rPr>
        <w:t xml:space="preserve"> </w:t>
      </w:r>
      <w:r w:rsidRPr="003F7E0A">
        <w:rPr>
          <w:rFonts w:eastAsia="Calibri"/>
          <w:i/>
        </w:rPr>
        <w:t>LKP/TSKP CK vadovais kūrė TSRS prezidentinio valdymo įvedimo Lietuvoje planą, kurio pagrindines nuostatas išdėstė dokumente, pavadintame „TSRS prezidentinio valdymo įvedimo Lietuvoje” planas. Šiame plane numatė kitos valstybės – TSRS Prezidento įsaku Lietuvos Respublikos teritorijoje įvesti TSRS prezidentinį valdymą, sustabdyti visų lygių vykdomųjų valstybės organų veiklą ir paleisti Ministrų Tarybą, o visą valdžią perduoti Lietuvos TSR Prezidentiniam valstybiniam komitetui (toliau - Prezidentiniam komitetui), kuris savo nutarimu skiria Lietuvos TSR Ministrų kabinetą, šio kabineto įgaliotinius miestuose, rajonuose, organizacijose ir svarbiuose pagrindiniuose objektuose bei kitus pareigūnus. Plane ta</w:t>
      </w:r>
      <w:r w:rsidR="00F93A4F" w:rsidRPr="003F7E0A">
        <w:rPr>
          <w:rFonts w:eastAsia="Calibri"/>
          <w:i/>
        </w:rPr>
        <w:t>ip pat numatė, kad TSRS Gynybos </w:t>
      </w:r>
      <w:r w:rsidRPr="003F7E0A">
        <w:rPr>
          <w:rFonts w:eastAsia="Calibri"/>
          <w:i/>
        </w:rPr>
        <w:t xml:space="preserve">ministerija (toliau – TSRS GM) skiria savo įgaliotinį respublikai, kuris kontroliuos esamą padėtį ir, panaudodamas turimas žinioje karines jėgas, užtikrins svarbių civilinių ir karinių objektų saugumą, padės Prezidentiniam komitetui ypatingais atvejais. Be to, pagal šį planą parinko kandidatus į nurodytas pareigybes, paruošė ir sudarė priemonių planą, kad užtikrinti saugų šio prezidentinio valdymo įvedimą. Vilniaus, Kauno, Klaipėdos, Šiaulių ir Panevėžio miestuose parinko objektus, kuriuos būtina užgrobti, paruošė jų užgrobimo planus ir paskyrė už tai atsakingus asmenis, o su </w:t>
      </w:r>
      <w:r w:rsidR="00C507EF" w:rsidRPr="003F7E0A">
        <w:rPr>
          <w:rFonts w:eastAsia="Calibri"/>
          <w:i/>
        </w:rPr>
        <w:t>kitos valstybės – TSRS </w:t>
      </w:r>
      <w:r w:rsidR="00F93A4F" w:rsidRPr="003F7E0A">
        <w:rPr>
          <w:rFonts w:eastAsia="Calibri"/>
          <w:i/>
        </w:rPr>
        <w:t>GM, TSRS </w:t>
      </w:r>
      <w:r w:rsidRPr="003F7E0A">
        <w:rPr>
          <w:rFonts w:eastAsia="Calibri"/>
          <w:i/>
        </w:rPr>
        <w:t xml:space="preserve">VSK, TSRS VRM skirtais atstovais susitarė dėl šių priemonių įgyvendinimo. Taip pat numatė panaudoti politines-propagandines priemones įvedant TSRS prezidentinį valdymą ir įvesti Ypatingosios padėties teisinį režimą. </w:t>
      </w:r>
    </w:p>
    <w:p w:rsidR="00A155C4" w:rsidRPr="003F7E0A" w:rsidRDefault="00932054" w:rsidP="003F7E0A">
      <w:pPr>
        <w:ind w:left="992" w:firstLine="992"/>
        <w:rPr>
          <w:rFonts w:eastAsia="Calibri"/>
          <w:i/>
        </w:rPr>
      </w:pPr>
      <w:r w:rsidRPr="003F7E0A">
        <w:rPr>
          <w:rFonts w:eastAsia="Calibri"/>
          <w:i/>
        </w:rPr>
        <w:t xml:space="preserve">1990 metų pabaigoje, kaltinamasis </w:t>
      </w:r>
      <w:r w:rsidR="00385BC9" w:rsidRPr="003F7E0A">
        <w:rPr>
          <w:rFonts w:eastAsia="Calibri"/>
          <w:i/>
        </w:rPr>
        <w:t>D. J.</w:t>
      </w:r>
      <w:r w:rsidRPr="003F7E0A">
        <w:rPr>
          <w:rFonts w:eastAsia="Calibri"/>
          <w:i/>
        </w:rPr>
        <w:t xml:space="preserve"> nurodė Vilniuje, 107-osios motorizuotų šaulių divizijos dislokavimo vietoje, įkurti vadovavimo karinei operacijai štabą. Vadovavimo štabo nariais buvo paskirti kaltinamieji: </w:t>
      </w:r>
      <w:r w:rsidR="00385BC9" w:rsidRPr="003F7E0A">
        <w:rPr>
          <w:rFonts w:eastAsia="Calibri"/>
          <w:i/>
        </w:rPr>
        <w:t>N. D.</w:t>
      </w:r>
      <w:r w:rsidRPr="003F7E0A">
        <w:rPr>
          <w:rFonts w:eastAsia="Calibri"/>
          <w:i/>
        </w:rPr>
        <w:t xml:space="preserve">, </w:t>
      </w:r>
      <w:r w:rsidR="00385BC9" w:rsidRPr="003F7E0A">
        <w:rPr>
          <w:rFonts w:eastAsia="Calibri"/>
          <w:i/>
        </w:rPr>
        <w:t>V. K. 1</w:t>
      </w:r>
      <w:r w:rsidRPr="003F7E0A">
        <w:rPr>
          <w:rFonts w:eastAsia="Calibri"/>
          <w:i/>
        </w:rPr>
        <w:t xml:space="preserve">, </w:t>
      </w:r>
      <w:r w:rsidR="006036E7" w:rsidRPr="003F7E0A">
        <w:rPr>
          <w:rFonts w:eastAsia="Calibri"/>
          <w:i/>
        </w:rPr>
        <w:t>V. U. 1</w:t>
      </w:r>
      <w:r w:rsidRPr="003F7E0A">
        <w:rPr>
          <w:rFonts w:eastAsia="Calibri"/>
          <w:i/>
        </w:rPr>
        <w:t xml:space="preserve">, </w:t>
      </w:r>
      <w:r w:rsidR="00385BC9" w:rsidRPr="003F7E0A">
        <w:rPr>
          <w:rFonts w:eastAsia="Calibri"/>
          <w:i/>
        </w:rPr>
        <w:t>V. S. 1</w:t>
      </w:r>
      <w:r w:rsidRPr="003F7E0A">
        <w:rPr>
          <w:rFonts w:eastAsia="Calibri"/>
          <w:i/>
        </w:rPr>
        <w:t xml:space="preserve">, </w:t>
      </w:r>
      <w:r w:rsidR="006036E7" w:rsidRPr="003F7E0A">
        <w:rPr>
          <w:rFonts w:eastAsia="Calibri"/>
          <w:i/>
        </w:rPr>
        <w:t>A. Ž.</w:t>
      </w:r>
      <w:r w:rsidRPr="003F7E0A">
        <w:rPr>
          <w:rFonts w:eastAsia="Calibri"/>
          <w:i/>
        </w:rPr>
        <w:t xml:space="preserve">, </w:t>
      </w:r>
      <w:r w:rsidR="00A97F74" w:rsidRPr="003F7E0A">
        <w:rPr>
          <w:rFonts w:eastAsia="Calibri"/>
          <w:i/>
        </w:rPr>
        <w:t>S. F.</w:t>
      </w:r>
      <w:r w:rsidRPr="003F7E0A">
        <w:rPr>
          <w:rFonts w:eastAsia="Calibri"/>
          <w:i/>
        </w:rPr>
        <w:t xml:space="preserve">, </w:t>
      </w:r>
      <w:r w:rsidR="00385BC9" w:rsidRPr="003F7E0A">
        <w:rPr>
          <w:rFonts w:eastAsia="Calibri"/>
          <w:i/>
        </w:rPr>
        <w:t>V. Š. 1</w:t>
      </w:r>
      <w:r w:rsidRPr="003F7E0A">
        <w:rPr>
          <w:rFonts w:eastAsia="Calibri"/>
          <w:i/>
        </w:rPr>
        <w:t xml:space="preserve">, </w:t>
      </w:r>
      <w:r w:rsidR="00385BC9" w:rsidRPr="003F7E0A">
        <w:rPr>
          <w:rFonts w:eastAsia="Calibri"/>
          <w:i/>
        </w:rPr>
        <w:t>A. N. 1</w:t>
      </w:r>
      <w:r w:rsidRPr="003F7E0A">
        <w:rPr>
          <w:rFonts w:eastAsia="Calibri"/>
          <w:i/>
        </w:rPr>
        <w:t>. Štabas turėjo apjungti ir koordinuoti skirtingų kariuomenės rūšių veiksmus, tikslinti būsimos karinės operacijos vietų žemėlapius, sudaryti prieigų prie objektų schemas ir maršrutus, apskaičiuoti atvykimui į užimamus objektus ir karinės operacijos vykdymui būtiną laiką, nuolat stebėti strateginius objektus, detalizuoti vedlių ir draugovininkų buvimo vietas bei vaidmenį, nustatyti papildomai užimtinus objektus, konkretizuoti operacijoje dalyvaujančių kariuomenės rūšių veiksmus, kiekviename iš užimamų objektų.</w:t>
      </w:r>
    </w:p>
    <w:p w:rsidR="00A155C4" w:rsidRPr="003F7E0A" w:rsidRDefault="00932054" w:rsidP="003F7E0A">
      <w:pPr>
        <w:ind w:left="992" w:firstLine="992"/>
        <w:rPr>
          <w:rFonts w:eastAsia="Calibri"/>
          <w:i/>
        </w:rPr>
      </w:pPr>
      <w:r w:rsidRPr="003F7E0A">
        <w:rPr>
          <w:rFonts w:eastAsia="Calibri"/>
          <w:i/>
        </w:rPr>
        <w:t>1991 m. sausio 11 d., LKP/TSKP CK, kurios nariais buvo kaltinamieji</w:t>
      </w:r>
      <w:r w:rsidR="000C727C" w:rsidRPr="003F7E0A">
        <w:rPr>
          <w:rFonts w:eastAsia="Calibri"/>
          <w:i/>
        </w:rPr>
        <w:t xml:space="preserve"> </w:t>
      </w:r>
      <w:r w:rsidR="00385BC9" w:rsidRPr="003F7E0A">
        <w:rPr>
          <w:rFonts w:eastAsia="Calibri"/>
          <w:i/>
        </w:rPr>
        <w:t>V. Š. 1</w:t>
      </w:r>
      <w:r w:rsidRPr="003F7E0A">
        <w:rPr>
          <w:rFonts w:eastAsia="Calibri"/>
          <w:i/>
        </w:rPr>
        <w:t xml:space="preserve">, </w:t>
      </w:r>
      <w:r w:rsidR="00385BC9" w:rsidRPr="003F7E0A">
        <w:rPr>
          <w:rFonts w:eastAsia="Calibri"/>
          <w:i/>
        </w:rPr>
        <w:t>A. N. 1</w:t>
      </w:r>
      <w:r w:rsidRPr="003F7E0A">
        <w:rPr>
          <w:rFonts w:eastAsia="Calibri"/>
          <w:i/>
        </w:rPr>
        <w:t xml:space="preserve"> ir </w:t>
      </w:r>
      <w:r w:rsidR="00385BC9" w:rsidRPr="003F7E0A">
        <w:rPr>
          <w:rFonts w:eastAsia="Calibri"/>
          <w:i/>
        </w:rPr>
        <w:t>R. J. 1</w:t>
      </w:r>
      <w:r w:rsidRPr="003F7E0A">
        <w:rPr>
          <w:rFonts w:eastAsia="Calibri"/>
          <w:i/>
        </w:rPr>
        <w:t>, per savo įkurtas masines informavimo priemones,</w:t>
      </w:r>
      <w:r w:rsidR="00C507EF" w:rsidRPr="003F7E0A">
        <w:rPr>
          <w:rFonts w:eastAsia="Calibri"/>
          <w:i/>
        </w:rPr>
        <w:t xml:space="preserve"> LNGK vardu, nuo 1991 m. sausio </w:t>
      </w:r>
      <w:r w:rsidRPr="003F7E0A">
        <w:rPr>
          <w:rFonts w:eastAsia="Calibri"/>
          <w:i/>
        </w:rPr>
        <w:t>12 iki 19 dienos, skelbė dokumentus, kuriais buvo siekiama atkurti TSRS ir LTSR Konstitucijų veikimą Lietuvoje, įvesti komendanto valandą bei tiesioginį TSRS prezidento valdymą, bei kreipimųsi į TSRS Aukščiausiąją Tarybą, TSRS gyventojus ir tautas, Lietuvos Respublikos</w:t>
      </w:r>
      <w:r w:rsidR="00C507EF" w:rsidRPr="003F7E0A">
        <w:rPr>
          <w:rFonts w:eastAsia="Calibri"/>
          <w:i/>
        </w:rPr>
        <w:t xml:space="preserve"> gyventojus, TSRS prezidentą M. </w:t>
      </w:r>
      <w:r w:rsidRPr="003F7E0A">
        <w:rPr>
          <w:rFonts w:eastAsia="Calibri"/>
          <w:i/>
        </w:rPr>
        <w:t>G</w:t>
      </w:r>
      <w:r w:rsidR="00C507EF" w:rsidRPr="003F7E0A">
        <w:rPr>
          <w:rFonts w:eastAsia="Calibri"/>
          <w:i/>
        </w:rPr>
        <w:t>.</w:t>
      </w:r>
      <w:r w:rsidRPr="003F7E0A">
        <w:rPr>
          <w:rFonts w:eastAsia="Calibri"/>
          <w:i/>
        </w:rPr>
        <w:t xml:space="preserve"> ir TSRS AT pirmininką tekstus, bei LNGK nutarimą „Dėl komendanto valandos įvedimo respublikoje“. </w:t>
      </w:r>
    </w:p>
    <w:p w:rsidR="00A155C4" w:rsidRPr="003F7E0A" w:rsidRDefault="00932054" w:rsidP="003F7E0A">
      <w:pPr>
        <w:ind w:left="992" w:firstLine="992"/>
        <w:rPr>
          <w:rFonts w:eastAsia="Calibri"/>
          <w:i/>
        </w:rPr>
      </w:pPr>
      <w:r w:rsidRPr="003F7E0A">
        <w:rPr>
          <w:rFonts w:eastAsia="Calibri"/>
          <w:i/>
        </w:rPr>
        <w:lastRenderedPageBreak/>
        <w:t>1991 m. sausio 8 d. šį planą įteikus TSRS vadovybei, sausio 10 d., TSRS prezidentas M. G</w:t>
      </w:r>
      <w:r w:rsidR="00C507EF" w:rsidRPr="003F7E0A">
        <w:rPr>
          <w:rFonts w:eastAsia="Calibri"/>
          <w:i/>
        </w:rPr>
        <w:t>.</w:t>
      </w:r>
      <w:r w:rsidRPr="003F7E0A">
        <w:rPr>
          <w:rFonts w:eastAsia="Calibri"/>
          <w:i/>
        </w:rPr>
        <w:t xml:space="preserve"> pareikalavo Lietuvos Respublikos Aukščiausiosios Tarybos nedelsiant atstatyti TSRS ir Lietuvos TSR Konstitucijų galiojimą Lietuvoje. </w:t>
      </w:r>
    </w:p>
    <w:p w:rsidR="00A155C4" w:rsidRPr="003F7E0A" w:rsidRDefault="00932054" w:rsidP="003F7E0A">
      <w:pPr>
        <w:ind w:left="992" w:firstLine="992"/>
        <w:rPr>
          <w:rFonts w:eastAsia="Calibri"/>
          <w:i/>
        </w:rPr>
      </w:pPr>
      <w:r w:rsidRPr="003F7E0A">
        <w:rPr>
          <w:rFonts w:eastAsia="Calibri"/>
          <w:i/>
        </w:rPr>
        <w:t xml:space="preserve">Nurodytų dokumentų turinys analogiškas, o būtent - sustabdyti visų lygių vykdomųjų valstybės organų veiklą, paleisti Ministrų Tarybą ir visą valdžią perduoti Lietuvos TSR Prezidentiniam valstybiniam komitetui (toliau – Prezidentiniam komitetui) kuris, savo nutarimu, paskirs Lietuvos TSR Ministrų kabinetą, savo įgaliotinius miestuose, rajonuose, organizacijose ir svarbiuose objektuose bei kitus pareigūnus. TSRS Gynybos ministerija paskirs savo įgaliotinį respublikai, kuris kontroliuos esamą padėtį ir, panaudodamas savo žinioje turimas karines jėgas, užtikrins svarbių civilinių ir karinių objektų saugumą, padės Prezidentiniam komitetui ypatingais atvejais ir pan. </w:t>
      </w:r>
    </w:p>
    <w:p w:rsidR="00A155C4" w:rsidRPr="003F7E0A" w:rsidRDefault="00932054" w:rsidP="003F7E0A">
      <w:pPr>
        <w:ind w:left="992" w:firstLine="992"/>
        <w:rPr>
          <w:rFonts w:eastAsia="Calibri"/>
          <w:i/>
        </w:rPr>
      </w:pPr>
      <w:r w:rsidRPr="003F7E0A">
        <w:rPr>
          <w:rFonts w:eastAsia="Calibri"/>
          <w:i/>
        </w:rPr>
        <w:t>1991 m. sausio 7 d. raštu Nr. 11, LKP/TSKP pirmasis sekretorius ir Demokratinių jėgų Kongreso pirmininkas (</w:t>
      </w:r>
      <w:r w:rsidR="00C507EF" w:rsidRPr="003F7E0A">
        <w:rPr>
          <w:rFonts w:eastAsia="Calibri"/>
          <w:i/>
        </w:rPr>
        <w:t>M. B.</w:t>
      </w:r>
      <w:r w:rsidRPr="003F7E0A">
        <w:rPr>
          <w:rFonts w:eastAsia="Calibri"/>
          <w:i/>
        </w:rPr>
        <w:t>) kreipėsi į TSRS Prezidentą ir T</w:t>
      </w:r>
      <w:r w:rsidR="00C507EF" w:rsidRPr="003F7E0A">
        <w:rPr>
          <w:rFonts w:eastAsia="Calibri"/>
          <w:i/>
        </w:rPr>
        <w:t>SKP CK Generalinį sekretorių M. </w:t>
      </w:r>
      <w:r w:rsidRPr="003F7E0A">
        <w:rPr>
          <w:rFonts w:eastAsia="Calibri"/>
          <w:i/>
        </w:rPr>
        <w:t>G</w:t>
      </w:r>
      <w:r w:rsidR="00C507EF" w:rsidRPr="003F7E0A">
        <w:rPr>
          <w:rFonts w:eastAsia="Calibri"/>
          <w:i/>
        </w:rPr>
        <w:t>.</w:t>
      </w:r>
      <w:r w:rsidRPr="003F7E0A">
        <w:rPr>
          <w:rFonts w:eastAsia="Calibri"/>
          <w:i/>
        </w:rPr>
        <w:t xml:space="preserve"> ir reikalavo Lietuvoje nedelsiant įvesti Prezidentinį valdymą, nurodė, kad Prezidentinio valdymo tvarkos bei organizacinės schemos parengtos, kad Prezident</w:t>
      </w:r>
      <w:r w:rsidR="00C507EF" w:rsidRPr="003F7E0A">
        <w:rPr>
          <w:rFonts w:eastAsia="Calibri"/>
          <w:i/>
        </w:rPr>
        <w:t>inis </w:t>
      </w:r>
      <w:r w:rsidRPr="003F7E0A">
        <w:rPr>
          <w:rFonts w:eastAsia="Calibri"/>
          <w:i/>
        </w:rPr>
        <w:t>valdymas įvedamas Prezidento įsaku, kad stabdoma vis</w:t>
      </w:r>
      <w:r w:rsidR="00C507EF" w:rsidRPr="003F7E0A">
        <w:rPr>
          <w:rFonts w:eastAsia="Calibri"/>
          <w:i/>
        </w:rPr>
        <w:t>ų lygių Tarybų veikla, kad LTSR </w:t>
      </w:r>
      <w:r w:rsidRPr="003F7E0A">
        <w:rPr>
          <w:rFonts w:eastAsia="Calibri"/>
          <w:i/>
        </w:rPr>
        <w:t xml:space="preserve">Ministrų Taryba paleidžiama, o visa valdžia Respublikoje pereina Lietuvos TSR Prezidentiniam Valstybiniam komitetui. </w:t>
      </w:r>
    </w:p>
    <w:p w:rsidR="00A155C4" w:rsidRPr="003F7E0A" w:rsidRDefault="00932054" w:rsidP="003F7E0A">
      <w:pPr>
        <w:ind w:left="992" w:firstLine="992"/>
        <w:rPr>
          <w:rFonts w:eastAsia="Calibri"/>
          <w:i/>
        </w:rPr>
      </w:pPr>
      <w:r w:rsidRPr="003F7E0A">
        <w:rPr>
          <w:rFonts w:eastAsia="Calibri"/>
          <w:i/>
        </w:rPr>
        <w:t>Anksčiau nurodyta karinės operacijos planavimo grupė, vykdydama tiesioginius savo viršininkų – TSRS GM, TSRS VRM bei TSRS VSK (KGB) vadovų įsakymus bei atsižvelgdama į</w:t>
      </w:r>
      <w:r w:rsidR="000C727C" w:rsidRPr="003F7E0A">
        <w:rPr>
          <w:rFonts w:eastAsia="Calibri"/>
          <w:i/>
        </w:rPr>
        <w:t xml:space="preserve"> </w:t>
      </w:r>
      <w:r w:rsidRPr="003F7E0A">
        <w:rPr>
          <w:rFonts w:eastAsia="Calibri"/>
          <w:i/>
        </w:rPr>
        <w:t>LKP/TSKP CK parengtame TSRS Prezidentinio valdymo plane nurodytus užimtinus objektus, rengė detalius strategiškai svarbių objektų užgrobimo planus, nustatė į Lietuvą papildomai perdislokuotinų karinių vienetų (junginių) k</w:t>
      </w:r>
      <w:r w:rsidR="00C507EF" w:rsidRPr="003F7E0A">
        <w:rPr>
          <w:rFonts w:eastAsia="Calibri"/>
          <w:i/>
        </w:rPr>
        <w:t>iekį bei rūšis, numatė Lietuvos </w:t>
      </w:r>
      <w:r w:rsidRPr="003F7E0A">
        <w:rPr>
          <w:rFonts w:eastAsia="Calibri"/>
          <w:i/>
        </w:rPr>
        <w:t>teritorijoje esančių karinių dalinių bei karinių struktūrų vaidmenį ir paskyrė konkrečias užduotis būsimoje karinėje operacijoje. Atsižvelgiant į užimtinų objektų strateginę reikšmę ir juos ginti pasiryžusių civilių asmenų skaičių, nustatė operacijose dalyvaujančių kariškių skaičių bei karinės technikos ir ginkluotės rūšis ir kiekius, konkretizavo kiekvienos, karinėje operacijoje dalyvaujančios, kariuomenės rūšies veiksmus.</w:t>
      </w:r>
    </w:p>
    <w:p w:rsidR="00A155C4" w:rsidRPr="003F7E0A" w:rsidRDefault="00932054" w:rsidP="003F7E0A">
      <w:pPr>
        <w:ind w:left="992" w:firstLine="992"/>
        <w:rPr>
          <w:rFonts w:eastAsia="Calibri"/>
          <w:i/>
        </w:rPr>
      </w:pPr>
      <w:r w:rsidRPr="003F7E0A">
        <w:rPr>
          <w:rFonts w:eastAsia="Calibri"/>
          <w:i/>
        </w:rPr>
        <w:t xml:space="preserve">Ignoruojant Lietuvos Respublikos kreipimąsi į TSRS Aukščiausiosios Tarybos Pirmininką dėl TSRS karinių pajėgų buvimo Lietuvos teritorijoje statuso (be išankstinio suderinimo ir leidimo nerengti kariuomenės mokymų, manevrų, nedidinti kariuomenės skaičiaus ir neperdislokuoti kariuomenės padalinių), į Lietuvos valstybės teritoriją buvo perkelti papildomi TSRS kariniai padaliniai, padidintas kariškių skaičius. </w:t>
      </w:r>
    </w:p>
    <w:p w:rsidR="00A155C4" w:rsidRPr="003F7E0A" w:rsidRDefault="00932054" w:rsidP="003F7E0A">
      <w:pPr>
        <w:ind w:left="992" w:firstLine="992"/>
        <w:rPr>
          <w:rFonts w:eastAsia="Calibri"/>
          <w:i/>
        </w:rPr>
      </w:pPr>
      <w:r w:rsidRPr="003F7E0A">
        <w:rPr>
          <w:rFonts w:eastAsia="Calibri"/>
          <w:i/>
        </w:rPr>
        <w:t xml:space="preserve">Kaltinamojo </w:t>
      </w:r>
      <w:r w:rsidR="00385BC9" w:rsidRPr="003F7E0A">
        <w:rPr>
          <w:rFonts w:eastAsia="Calibri"/>
          <w:i/>
        </w:rPr>
        <w:t>D. J.</w:t>
      </w:r>
      <w:r w:rsidRPr="003F7E0A">
        <w:rPr>
          <w:rFonts w:eastAsia="Calibri"/>
          <w:i/>
        </w:rPr>
        <w:t xml:space="preserve"> (kartu su </w:t>
      </w:r>
      <w:r w:rsidR="00C507EF" w:rsidRPr="003F7E0A">
        <w:rPr>
          <w:rFonts w:eastAsia="Calibri"/>
          <w:i/>
        </w:rPr>
        <w:t>V. K.</w:t>
      </w:r>
      <w:r w:rsidRPr="003F7E0A">
        <w:rPr>
          <w:rFonts w:eastAsia="Calibri"/>
          <w:i/>
        </w:rPr>
        <w:t>) nurodymu, karinės operacijos vykdymui į Vilnių</w:t>
      </w:r>
      <w:r w:rsidR="000C727C" w:rsidRPr="003F7E0A">
        <w:rPr>
          <w:rFonts w:eastAsia="Calibri"/>
          <w:i/>
        </w:rPr>
        <w:t xml:space="preserve"> </w:t>
      </w:r>
      <w:r w:rsidRPr="003F7E0A">
        <w:rPr>
          <w:rFonts w:eastAsia="Calibri"/>
          <w:i/>
        </w:rPr>
        <w:t xml:space="preserve">buvo perdislokuoti šie kariniai vienetai ir junginiai, padidintas Lietuvoje esančių kariškių skaičius: </w:t>
      </w:r>
    </w:p>
    <w:p w:rsidR="00A155C4" w:rsidRPr="003F7E0A" w:rsidRDefault="00932054" w:rsidP="003F7E0A">
      <w:pPr>
        <w:ind w:left="992" w:firstLine="992"/>
        <w:rPr>
          <w:rFonts w:eastAsia="Calibri"/>
          <w:i/>
        </w:rPr>
      </w:pPr>
      <w:r w:rsidRPr="003F7E0A">
        <w:rPr>
          <w:rFonts w:eastAsia="Calibri"/>
          <w:i/>
        </w:rPr>
        <w:t xml:space="preserve">- 1991 m. sausio 6 d., į Vilniuje dislokuotą 107-ąją motorizuotų šaulių diviziją perkelta ne mažiau kaip devyni šimtai devyniolika jungtinio pulko karininkų ir kareivių su karine ekipuote ir technika iš TSRS GM Pskovo 76-osios oro desanto divizijos; </w:t>
      </w:r>
    </w:p>
    <w:p w:rsidR="00A155C4" w:rsidRPr="003F7E0A" w:rsidRDefault="00932054" w:rsidP="003F7E0A">
      <w:pPr>
        <w:ind w:left="992" w:firstLine="992"/>
        <w:rPr>
          <w:rFonts w:eastAsia="Calibri"/>
          <w:i/>
        </w:rPr>
      </w:pPr>
      <w:r w:rsidRPr="003F7E0A">
        <w:rPr>
          <w:rFonts w:eastAsia="Calibri"/>
          <w:i/>
        </w:rPr>
        <w:t>- sausio 11 - 12 naktį, dviem VSK pasien</w:t>
      </w:r>
      <w:r w:rsidR="00001989" w:rsidRPr="003F7E0A">
        <w:rPr>
          <w:rFonts w:eastAsia="Calibri"/>
          <w:i/>
        </w:rPr>
        <w:t>io tarnybos lėktuvais „TU-</w:t>
      </w:r>
      <w:r w:rsidRPr="003F7E0A">
        <w:rPr>
          <w:rFonts w:eastAsia="Calibri"/>
          <w:i/>
        </w:rPr>
        <w:t xml:space="preserve">134A“ į Vilnių perkelti ne mažiau kaip šešiasdešimt septyni TSRS VSK specialios paskirties grupės „A“ kariškiai; </w:t>
      </w:r>
    </w:p>
    <w:p w:rsidR="00A155C4" w:rsidRPr="003F7E0A" w:rsidRDefault="00932054" w:rsidP="003F7E0A">
      <w:pPr>
        <w:ind w:left="992" w:firstLine="992"/>
        <w:rPr>
          <w:rFonts w:eastAsia="Calibri"/>
          <w:i/>
        </w:rPr>
      </w:pPr>
      <w:r w:rsidRPr="003F7E0A">
        <w:rPr>
          <w:rFonts w:eastAsia="Calibri"/>
          <w:i/>
        </w:rPr>
        <w:t xml:space="preserve">Kaltinamasis </w:t>
      </w:r>
      <w:r w:rsidR="00385BC9" w:rsidRPr="003F7E0A">
        <w:rPr>
          <w:rFonts w:eastAsia="Calibri"/>
          <w:i/>
        </w:rPr>
        <w:t>D. J.</w:t>
      </w:r>
      <w:r w:rsidRPr="003F7E0A">
        <w:rPr>
          <w:rFonts w:eastAsia="Calibri"/>
          <w:i/>
        </w:rPr>
        <w:t xml:space="preserve">, pasinaudodamas užimamomis TSRS Gynybos ministro pareigomis, savo pavaduotojui ir TSRS GM Oro desanto pajėgų vado pereigas užimančiam generolui pulkininkui </w:t>
      </w:r>
      <w:r w:rsidR="00C507EF" w:rsidRPr="003F7E0A">
        <w:rPr>
          <w:rFonts w:eastAsia="Calibri"/>
          <w:i/>
        </w:rPr>
        <w:t>V. A.</w:t>
      </w:r>
      <w:r w:rsidRPr="003F7E0A">
        <w:rPr>
          <w:rFonts w:eastAsia="Calibri"/>
          <w:i/>
        </w:rPr>
        <w:t xml:space="preserve"> (ikiteisminis tyrimas nutrauktas mirus) davė įsakymą dėl karinės operacijos organizavimo ir vykdymo. Pastarasis šį ministro įsakymą perdavė savo pavaldiniui TSRS GM Oro desanto pajėgų 76-osios oro desanto divizijos vado pavaduotojui pulkininkui </w:t>
      </w:r>
      <w:r w:rsidR="00385BC9" w:rsidRPr="003F7E0A">
        <w:rPr>
          <w:rFonts w:eastAsia="Calibri"/>
          <w:i/>
        </w:rPr>
        <w:t>V. K. 1</w:t>
      </w:r>
      <w:r w:rsidRPr="003F7E0A">
        <w:rPr>
          <w:rFonts w:eastAsia="Calibri"/>
          <w:i/>
        </w:rPr>
        <w:t xml:space="preserve">. </w:t>
      </w:r>
    </w:p>
    <w:p w:rsidR="00A155C4" w:rsidRPr="003F7E0A" w:rsidRDefault="00932054" w:rsidP="003F7E0A">
      <w:pPr>
        <w:ind w:left="992" w:firstLine="992"/>
        <w:rPr>
          <w:rFonts w:eastAsia="Calibri"/>
          <w:i/>
        </w:rPr>
      </w:pPr>
      <w:r w:rsidRPr="003F7E0A">
        <w:rPr>
          <w:rFonts w:eastAsia="Calibri"/>
          <w:i/>
        </w:rPr>
        <w:lastRenderedPageBreak/>
        <w:t xml:space="preserve">Vykdydamas oro desanto divizijos vado įsakymą, </w:t>
      </w:r>
      <w:r w:rsidR="00385BC9" w:rsidRPr="003F7E0A">
        <w:rPr>
          <w:rFonts w:eastAsia="Calibri"/>
          <w:i/>
        </w:rPr>
        <w:t>V. K. 1</w:t>
      </w:r>
      <w:r w:rsidRPr="003F7E0A">
        <w:rPr>
          <w:rFonts w:eastAsia="Calibri"/>
          <w:i/>
        </w:rPr>
        <w:t xml:space="preserve"> nurodymus, perdavė savo pavaldiniams, kurie tiesiogiai koordinavo karinius veiksmus, jiems vadovavo bei dalyvavo karinėje operacijoje, o būtent: </w:t>
      </w:r>
    </w:p>
    <w:p w:rsidR="00A155C4" w:rsidRPr="003F7E0A" w:rsidRDefault="00932054" w:rsidP="003F7E0A">
      <w:pPr>
        <w:ind w:left="992" w:firstLine="992"/>
        <w:rPr>
          <w:rFonts w:eastAsia="Calibri"/>
          <w:i/>
        </w:rPr>
      </w:pPr>
      <w:r w:rsidRPr="003F7E0A">
        <w:rPr>
          <w:rFonts w:eastAsia="Calibri"/>
          <w:i/>
        </w:rPr>
        <w:t xml:space="preserve">Įsakymai dėl kiekvieno iš užimamų objekto šturmo bei operacijos vykdymo eigos duoti kaltinamiesiems: </w:t>
      </w:r>
      <w:r w:rsidR="00C507EF" w:rsidRPr="003F7E0A">
        <w:rPr>
          <w:rFonts w:eastAsia="Calibri"/>
          <w:i/>
        </w:rPr>
        <w:t>I. K.</w:t>
      </w:r>
      <w:r w:rsidRPr="003F7E0A">
        <w:rPr>
          <w:rFonts w:eastAsia="Calibri"/>
          <w:i/>
        </w:rPr>
        <w:t xml:space="preserve"> (ikiteisminis tyrimas nutrauktas mirus), 234-ojo pulko štabo viršininkui </w:t>
      </w:r>
      <w:r w:rsidR="00385BC9" w:rsidRPr="003F7E0A">
        <w:rPr>
          <w:rFonts w:eastAsia="Calibri"/>
          <w:i/>
        </w:rPr>
        <w:t>G. G.</w:t>
      </w:r>
      <w:r w:rsidRPr="003F7E0A">
        <w:rPr>
          <w:rFonts w:eastAsia="Calibri"/>
          <w:i/>
        </w:rPr>
        <w:t xml:space="preserve">, 3-ojo bataliono vadui </w:t>
      </w:r>
      <w:r w:rsidR="002451F2" w:rsidRPr="003F7E0A">
        <w:rPr>
          <w:rFonts w:eastAsia="Calibri"/>
          <w:i/>
        </w:rPr>
        <w:t>V. S. 2</w:t>
      </w:r>
      <w:r w:rsidRPr="003F7E0A">
        <w:rPr>
          <w:rFonts w:eastAsia="Calibri"/>
          <w:i/>
        </w:rPr>
        <w:t xml:space="preserve">, bataliono štabo vadui </w:t>
      </w:r>
      <w:r w:rsidR="002451F2" w:rsidRPr="003F7E0A">
        <w:rPr>
          <w:rFonts w:eastAsia="Calibri"/>
          <w:i/>
        </w:rPr>
        <w:t>V. D.</w:t>
      </w:r>
      <w:r w:rsidRPr="003F7E0A">
        <w:rPr>
          <w:rFonts w:eastAsia="Calibri"/>
          <w:i/>
        </w:rPr>
        <w:t>, pulko artilerijos diviz</w:t>
      </w:r>
      <w:r w:rsidR="00F93A4F" w:rsidRPr="003F7E0A">
        <w:rPr>
          <w:rFonts w:eastAsia="Calibri"/>
          <w:i/>
        </w:rPr>
        <w:t xml:space="preserve">iono vado pavaduotojui </w:t>
      </w:r>
      <w:r w:rsidR="006036E7" w:rsidRPr="003F7E0A">
        <w:rPr>
          <w:rFonts w:eastAsia="Calibri"/>
          <w:i/>
        </w:rPr>
        <w:t>B. S.</w:t>
      </w:r>
      <w:r w:rsidRPr="003F7E0A">
        <w:rPr>
          <w:rFonts w:eastAsia="Calibri"/>
          <w:i/>
        </w:rPr>
        <w:t xml:space="preserve">, 3-ojo bataliono vado pavaduotojui </w:t>
      </w:r>
      <w:r w:rsidR="006036E7" w:rsidRPr="003F7E0A">
        <w:rPr>
          <w:rFonts w:eastAsia="Calibri"/>
          <w:i/>
        </w:rPr>
        <w:t>V. S. 3</w:t>
      </w:r>
      <w:r w:rsidRPr="003F7E0A">
        <w:rPr>
          <w:rFonts w:eastAsia="Calibri"/>
          <w:i/>
        </w:rPr>
        <w:t xml:space="preserve">, pulko žvalgybos tarnybos viršininkui </w:t>
      </w:r>
      <w:r w:rsidR="006036E7" w:rsidRPr="003F7E0A">
        <w:rPr>
          <w:rFonts w:eastAsia="Calibri"/>
          <w:i/>
        </w:rPr>
        <w:t>S. P.</w:t>
      </w:r>
      <w:r w:rsidRPr="003F7E0A">
        <w:rPr>
          <w:rFonts w:eastAsia="Calibri"/>
          <w:i/>
        </w:rPr>
        <w:t>, 234-ojo pulko kur</w:t>
      </w:r>
      <w:r w:rsidR="00F93A4F" w:rsidRPr="003F7E0A">
        <w:rPr>
          <w:rFonts w:eastAsia="Calibri"/>
          <w:i/>
        </w:rPr>
        <w:t xml:space="preserve">o tarnybos viršininkui </w:t>
      </w:r>
      <w:r w:rsidR="006036E7" w:rsidRPr="003F7E0A">
        <w:rPr>
          <w:rFonts w:eastAsia="Calibri"/>
          <w:i/>
        </w:rPr>
        <w:t>S. K.</w:t>
      </w:r>
      <w:r w:rsidRPr="003F7E0A">
        <w:rPr>
          <w:rFonts w:eastAsia="Calibri"/>
          <w:i/>
        </w:rPr>
        <w:t xml:space="preserve">, 237-ojo pulko 1-os kuopos vadui </w:t>
      </w:r>
      <w:r w:rsidR="006036E7" w:rsidRPr="003F7E0A">
        <w:rPr>
          <w:rFonts w:eastAsia="Calibri"/>
          <w:i/>
        </w:rPr>
        <w:t>J. G.</w:t>
      </w:r>
      <w:r w:rsidRPr="003F7E0A">
        <w:rPr>
          <w:rFonts w:eastAsia="Calibri"/>
          <w:i/>
        </w:rPr>
        <w:t xml:space="preserve">, kuopos vado pavaduotojui </w:t>
      </w:r>
      <w:r w:rsidR="006036E7" w:rsidRPr="003F7E0A">
        <w:rPr>
          <w:rFonts w:eastAsia="Calibri"/>
          <w:i/>
        </w:rPr>
        <w:t>I. Š.</w:t>
      </w:r>
      <w:r w:rsidRPr="003F7E0A">
        <w:rPr>
          <w:rFonts w:eastAsia="Calibri"/>
          <w:i/>
        </w:rPr>
        <w:t xml:space="preserve">, 234-ojo pulko 8-os kuopos vadui </w:t>
      </w:r>
      <w:r w:rsidR="006036E7" w:rsidRPr="003F7E0A">
        <w:rPr>
          <w:rFonts w:eastAsia="Calibri"/>
          <w:i/>
        </w:rPr>
        <w:t>A. G. 2</w:t>
      </w:r>
      <w:r w:rsidRPr="003F7E0A">
        <w:rPr>
          <w:rFonts w:eastAsia="Calibri"/>
          <w:i/>
        </w:rPr>
        <w:t>,</w:t>
      </w:r>
      <w:r w:rsidR="000C727C" w:rsidRPr="003F7E0A">
        <w:rPr>
          <w:rFonts w:eastAsia="Calibri"/>
          <w:i/>
        </w:rPr>
        <w:t xml:space="preserve"> </w:t>
      </w:r>
      <w:r w:rsidRPr="003F7E0A">
        <w:rPr>
          <w:rFonts w:eastAsia="Calibri"/>
          <w:i/>
        </w:rPr>
        <w:t xml:space="preserve">5-os kuopos vado pavaduotojui </w:t>
      </w:r>
      <w:r w:rsidR="006036E7" w:rsidRPr="003F7E0A">
        <w:rPr>
          <w:rFonts w:eastAsia="Calibri"/>
          <w:i/>
        </w:rPr>
        <w:t>A. Z.</w:t>
      </w:r>
      <w:r w:rsidRPr="003F7E0A">
        <w:rPr>
          <w:rFonts w:eastAsia="Calibri"/>
          <w:i/>
        </w:rPr>
        <w:t>, 9-o</w:t>
      </w:r>
      <w:r w:rsidR="00F93A4F" w:rsidRPr="003F7E0A">
        <w:rPr>
          <w:rFonts w:eastAsia="Calibri"/>
          <w:i/>
        </w:rPr>
        <w:t xml:space="preserve">s kuopos būrio vadui </w:t>
      </w:r>
      <w:r w:rsidR="006036E7" w:rsidRPr="003F7E0A">
        <w:rPr>
          <w:rFonts w:eastAsia="Calibri"/>
          <w:i/>
        </w:rPr>
        <w:t>V. K. 2</w:t>
      </w:r>
      <w:r w:rsidRPr="003F7E0A">
        <w:rPr>
          <w:rFonts w:eastAsia="Calibri"/>
          <w:i/>
        </w:rPr>
        <w:t>, žvalgybos kuopos vado pavaduotoju</w:t>
      </w:r>
      <w:r w:rsidR="00F93A4F" w:rsidRPr="003F7E0A">
        <w:rPr>
          <w:rFonts w:eastAsia="Calibri"/>
          <w:i/>
        </w:rPr>
        <w:t xml:space="preserve">i </w:t>
      </w:r>
      <w:r w:rsidR="006036E7" w:rsidRPr="003F7E0A">
        <w:rPr>
          <w:rFonts w:eastAsia="Calibri"/>
          <w:i/>
        </w:rPr>
        <w:t>R. J. 2</w:t>
      </w:r>
      <w:r w:rsidR="00F93A4F" w:rsidRPr="003F7E0A">
        <w:rPr>
          <w:rFonts w:eastAsia="Calibri"/>
          <w:i/>
        </w:rPr>
        <w:t>, baterijos </w:t>
      </w:r>
      <w:r w:rsidRPr="003F7E0A">
        <w:rPr>
          <w:rFonts w:eastAsia="Calibri"/>
          <w:i/>
        </w:rPr>
        <w:t xml:space="preserve">vado pavaduotojui </w:t>
      </w:r>
      <w:r w:rsidR="006036E7" w:rsidRPr="003F7E0A">
        <w:rPr>
          <w:rFonts w:eastAsia="Calibri"/>
          <w:i/>
        </w:rPr>
        <w:t>S. G.</w:t>
      </w:r>
      <w:r w:rsidRPr="003F7E0A">
        <w:rPr>
          <w:rFonts w:eastAsia="Calibri"/>
          <w:i/>
        </w:rPr>
        <w:t xml:space="preserve">, 7-os kuopos vadui </w:t>
      </w:r>
      <w:r w:rsidR="006036E7" w:rsidRPr="003F7E0A">
        <w:rPr>
          <w:rFonts w:eastAsia="Calibri"/>
          <w:i/>
        </w:rPr>
        <w:t>S. M.</w:t>
      </w:r>
      <w:r w:rsidRPr="003F7E0A">
        <w:rPr>
          <w:rFonts w:eastAsia="Calibri"/>
          <w:i/>
        </w:rPr>
        <w:t>,</w:t>
      </w:r>
      <w:r w:rsidR="00D70EAE" w:rsidRPr="003F7E0A">
        <w:rPr>
          <w:rFonts w:eastAsia="Calibri"/>
          <w:i/>
        </w:rPr>
        <w:t xml:space="preserve"> 2-os </w:t>
      </w:r>
      <w:r w:rsidR="00117751" w:rsidRPr="003F7E0A">
        <w:rPr>
          <w:rFonts w:eastAsia="Calibri"/>
          <w:i/>
        </w:rPr>
        <w:t xml:space="preserve">kuopos vadui </w:t>
      </w:r>
      <w:r w:rsidR="006036E7" w:rsidRPr="003F7E0A">
        <w:rPr>
          <w:rFonts w:eastAsia="Calibri"/>
          <w:i/>
        </w:rPr>
        <w:t>K. U.</w:t>
      </w:r>
      <w:r w:rsidRPr="003F7E0A">
        <w:rPr>
          <w:rFonts w:eastAsia="Calibri"/>
          <w:i/>
        </w:rPr>
        <w:t xml:space="preserve">, 1-os kuopos būrio vadui </w:t>
      </w:r>
      <w:r w:rsidR="006036E7" w:rsidRPr="003F7E0A">
        <w:rPr>
          <w:rFonts w:eastAsia="Calibri"/>
          <w:i/>
        </w:rPr>
        <w:t>A. F. 1</w:t>
      </w:r>
      <w:r w:rsidRPr="003F7E0A">
        <w:rPr>
          <w:rFonts w:eastAsia="Calibri"/>
          <w:i/>
        </w:rPr>
        <w:t xml:space="preserve">, 234-ojo pulko komjaunimo komiteto sekretoriui </w:t>
      </w:r>
      <w:r w:rsidR="006036E7" w:rsidRPr="003F7E0A">
        <w:rPr>
          <w:rFonts w:eastAsia="Calibri"/>
          <w:i/>
        </w:rPr>
        <w:t>A. N. 2</w:t>
      </w:r>
      <w:r w:rsidRPr="003F7E0A">
        <w:rPr>
          <w:rFonts w:eastAsia="Calibri"/>
          <w:i/>
        </w:rPr>
        <w:t xml:space="preserve">, 8-os kuopos būrio vadui </w:t>
      </w:r>
      <w:r w:rsidR="006036E7" w:rsidRPr="003F7E0A">
        <w:rPr>
          <w:rFonts w:eastAsia="Calibri"/>
          <w:i/>
        </w:rPr>
        <w:t>E. M.</w:t>
      </w:r>
      <w:r w:rsidRPr="003F7E0A">
        <w:rPr>
          <w:rFonts w:eastAsia="Calibri"/>
          <w:i/>
        </w:rPr>
        <w:t xml:space="preserve">, 1-os baterijos būrio vadui </w:t>
      </w:r>
      <w:r w:rsidR="006036E7" w:rsidRPr="003F7E0A">
        <w:rPr>
          <w:rFonts w:eastAsia="Calibri"/>
          <w:i/>
        </w:rPr>
        <w:t>V. G.</w:t>
      </w:r>
      <w:r w:rsidRPr="003F7E0A">
        <w:rPr>
          <w:rFonts w:eastAsia="Calibri"/>
          <w:i/>
        </w:rPr>
        <w:t>, 7-os</w:t>
      </w:r>
      <w:r w:rsidR="00117751" w:rsidRPr="003F7E0A">
        <w:rPr>
          <w:rFonts w:eastAsia="Calibri"/>
          <w:i/>
        </w:rPr>
        <w:t xml:space="preserve"> kuopos būrio vadui </w:t>
      </w:r>
      <w:r w:rsidR="006036E7" w:rsidRPr="003F7E0A">
        <w:rPr>
          <w:rFonts w:eastAsia="Calibri"/>
          <w:i/>
        </w:rPr>
        <w:t>A. S.</w:t>
      </w:r>
      <w:r w:rsidRPr="003F7E0A">
        <w:rPr>
          <w:rFonts w:eastAsia="Calibri"/>
          <w:i/>
        </w:rPr>
        <w:t>,</w:t>
      </w:r>
      <w:r w:rsidR="000C727C" w:rsidRPr="003F7E0A">
        <w:rPr>
          <w:rFonts w:eastAsia="Calibri"/>
          <w:i/>
        </w:rPr>
        <w:t xml:space="preserve"> </w:t>
      </w:r>
      <w:r w:rsidRPr="003F7E0A">
        <w:rPr>
          <w:rFonts w:eastAsia="Calibri"/>
          <w:i/>
        </w:rPr>
        <w:t xml:space="preserve">4-os kuopos būrio vadui </w:t>
      </w:r>
      <w:r w:rsidR="006036E7" w:rsidRPr="003F7E0A">
        <w:rPr>
          <w:rFonts w:eastAsia="Calibri"/>
          <w:i/>
        </w:rPr>
        <w:t>A. L.</w:t>
      </w:r>
      <w:r w:rsidRPr="003F7E0A">
        <w:rPr>
          <w:rFonts w:eastAsia="Calibri"/>
          <w:i/>
        </w:rPr>
        <w:t xml:space="preserve">, 237-ojo pulko 2-os kuopos būrio vadui </w:t>
      </w:r>
      <w:r w:rsidR="006036E7" w:rsidRPr="003F7E0A">
        <w:rPr>
          <w:rFonts w:eastAsia="Calibri"/>
          <w:i/>
        </w:rPr>
        <w:t>J. J.</w:t>
      </w:r>
      <w:r w:rsidRPr="003F7E0A">
        <w:rPr>
          <w:rFonts w:eastAsia="Calibri"/>
          <w:i/>
        </w:rPr>
        <w:t xml:space="preserve">, kuopos vado pavaduotojui </w:t>
      </w:r>
      <w:r w:rsidR="006036E7" w:rsidRPr="003F7E0A">
        <w:rPr>
          <w:rFonts w:eastAsia="Calibri"/>
          <w:i/>
        </w:rPr>
        <w:t>A. F. 2</w:t>
      </w:r>
      <w:r w:rsidRPr="003F7E0A">
        <w:rPr>
          <w:rFonts w:eastAsia="Calibri"/>
          <w:i/>
        </w:rPr>
        <w:t xml:space="preserve">, 237-ojo pulko slaptosios tarnybos viršininkui </w:t>
      </w:r>
      <w:r w:rsidR="006036E7" w:rsidRPr="003F7E0A">
        <w:rPr>
          <w:rFonts w:eastAsia="Calibri"/>
          <w:i/>
        </w:rPr>
        <w:t>A. I.</w:t>
      </w:r>
      <w:r w:rsidRPr="003F7E0A">
        <w:rPr>
          <w:rFonts w:eastAsia="Calibri"/>
          <w:i/>
        </w:rPr>
        <w:t xml:space="preserve"> ir 7-os kuopos vyresn. technikui </w:t>
      </w:r>
      <w:r w:rsidR="006036E7" w:rsidRPr="003F7E0A">
        <w:rPr>
          <w:rFonts w:eastAsia="Calibri"/>
          <w:i/>
        </w:rPr>
        <w:t>A. C.</w:t>
      </w:r>
      <w:r w:rsidR="00C507EF" w:rsidRPr="003F7E0A">
        <w:rPr>
          <w:rFonts w:eastAsia="Calibri"/>
          <w:i/>
        </w:rPr>
        <w:t>.</w:t>
      </w:r>
      <w:r w:rsidRPr="003F7E0A">
        <w:rPr>
          <w:rFonts w:eastAsia="Calibri"/>
          <w:i/>
        </w:rPr>
        <w:t xml:space="preserve"> </w:t>
      </w:r>
    </w:p>
    <w:p w:rsidR="00A155C4" w:rsidRPr="003F7E0A" w:rsidRDefault="00932054" w:rsidP="003F7E0A">
      <w:pPr>
        <w:ind w:left="992" w:firstLine="992"/>
        <w:rPr>
          <w:rFonts w:eastAsia="Calibri"/>
          <w:i/>
        </w:rPr>
      </w:pPr>
      <w:r w:rsidRPr="003F7E0A">
        <w:rPr>
          <w:rFonts w:eastAsia="Calibri"/>
          <w:i/>
        </w:rPr>
        <w:t xml:space="preserve">Be to, kaltinamasis </w:t>
      </w:r>
      <w:r w:rsidR="00385BC9" w:rsidRPr="003F7E0A">
        <w:rPr>
          <w:rFonts w:eastAsia="Calibri"/>
          <w:i/>
        </w:rPr>
        <w:t>D. J.</w:t>
      </w:r>
      <w:r w:rsidRPr="003F7E0A">
        <w:rPr>
          <w:rFonts w:eastAsia="Calibri"/>
          <w:i/>
        </w:rPr>
        <w:t>, pasinaudodamas užimamomis pareigomis, įsakymus bei nurodymus dėl karinės operacijos Lietuvoje vykdymo ir vadovavimo jai davė ir TSRS GM Sausumos pajėgų Pabaltijo karinės apyga</w:t>
      </w:r>
      <w:r w:rsidR="00F93A4F" w:rsidRPr="003F7E0A">
        <w:rPr>
          <w:rFonts w:eastAsia="Calibri"/>
          <w:i/>
        </w:rPr>
        <w:t xml:space="preserve">rdos vado pavaduotojui </w:t>
      </w:r>
      <w:r w:rsidR="00C507EF" w:rsidRPr="003F7E0A">
        <w:rPr>
          <w:rFonts w:eastAsia="Calibri"/>
          <w:i/>
        </w:rPr>
        <w:t>V. O.</w:t>
      </w:r>
      <w:r w:rsidRPr="003F7E0A">
        <w:rPr>
          <w:rFonts w:eastAsia="Calibri"/>
          <w:i/>
        </w:rPr>
        <w:t xml:space="preserve"> (ikiteisminis tyrimas nutrauktas mirus), kuris nurodymus dėl karinės operacijos vykdymo perdavė jo pavaldume buvusiam TSRS GM Sausumos pajėgų Pabaltijo karinės apygardos 107-osios motorizuotų šaulių divizijos vadui </w:t>
      </w:r>
      <w:r w:rsidR="006036E7" w:rsidRPr="003F7E0A">
        <w:rPr>
          <w:rFonts w:eastAsia="Calibri"/>
          <w:i/>
        </w:rPr>
        <w:t>V. U. 1</w:t>
      </w:r>
      <w:r w:rsidRPr="003F7E0A">
        <w:rPr>
          <w:rFonts w:eastAsia="Calibri"/>
          <w:i/>
        </w:rPr>
        <w:t>. Vykdydamas motorizuotų šaulių divizijos vado nur</w:t>
      </w:r>
      <w:r w:rsidR="00F93A4F" w:rsidRPr="003F7E0A">
        <w:rPr>
          <w:rFonts w:eastAsia="Calibri"/>
          <w:i/>
        </w:rPr>
        <w:t xml:space="preserve">odymus, kaltinamasis </w:t>
      </w:r>
      <w:r w:rsidR="006036E7" w:rsidRPr="003F7E0A">
        <w:rPr>
          <w:rFonts w:eastAsia="Calibri"/>
          <w:i/>
        </w:rPr>
        <w:t>V. U. 1</w:t>
      </w:r>
      <w:r w:rsidRPr="003F7E0A">
        <w:rPr>
          <w:rFonts w:eastAsia="Calibri"/>
          <w:i/>
        </w:rPr>
        <w:t xml:space="preserve"> nurodymus dėl tiesioginio dalyvavimo karinėje operacijoje ir vadovavimo jai bei dėl šturmo veiksmų koordinavimo perdavė pavaldumo tvarka paklūstantiems kariškiams: 106-ojo tankų pulko vadui </w:t>
      </w:r>
      <w:r w:rsidR="004069BF" w:rsidRPr="003F7E0A">
        <w:rPr>
          <w:rFonts w:eastAsia="Calibri"/>
          <w:i/>
        </w:rPr>
        <w:t>N. A.</w:t>
      </w:r>
      <w:r w:rsidRPr="003F7E0A">
        <w:rPr>
          <w:rFonts w:eastAsia="Calibri"/>
          <w:i/>
        </w:rPr>
        <w:t xml:space="preserve">, pulko vado pavaduotojui </w:t>
      </w:r>
      <w:r w:rsidR="00C82C9D" w:rsidRPr="003F7E0A">
        <w:rPr>
          <w:rFonts w:eastAsia="Calibri"/>
          <w:i/>
        </w:rPr>
        <w:t>J. O.</w:t>
      </w:r>
      <w:r w:rsidRPr="003F7E0A">
        <w:rPr>
          <w:rFonts w:eastAsia="Calibri"/>
          <w:i/>
        </w:rPr>
        <w:t xml:space="preserve">, pulko partinio biuro sekretoriui </w:t>
      </w:r>
      <w:r w:rsidR="00C82C9D" w:rsidRPr="003F7E0A">
        <w:rPr>
          <w:rFonts w:eastAsia="Calibri"/>
          <w:i/>
        </w:rPr>
        <w:t>V. U. 2</w:t>
      </w:r>
      <w:r w:rsidRPr="003F7E0A">
        <w:rPr>
          <w:rFonts w:eastAsia="Calibri"/>
          <w:i/>
        </w:rPr>
        <w:t xml:space="preserve">, pulko bataliono vado pavaduotojams - </w:t>
      </w:r>
      <w:r w:rsidR="00C82C9D" w:rsidRPr="003F7E0A">
        <w:rPr>
          <w:rFonts w:eastAsia="Calibri"/>
          <w:i/>
        </w:rPr>
        <w:t>V. S. 4</w:t>
      </w:r>
      <w:r w:rsidRPr="003F7E0A">
        <w:rPr>
          <w:rFonts w:eastAsia="Calibri"/>
          <w:i/>
        </w:rPr>
        <w:t xml:space="preserve">, </w:t>
      </w:r>
      <w:r w:rsidR="00C82C9D" w:rsidRPr="003F7E0A">
        <w:rPr>
          <w:rFonts w:eastAsia="Calibri"/>
          <w:i/>
        </w:rPr>
        <w:t>V. Š. 3</w:t>
      </w:r>
      <w:r w:rsidRPr="003F7E0A">
        <w:rPr>
          <w:rFonts w:eastAsia="Calibri"/>
          <w:i/>
        </w:rPr>
        <w:t xml:space="preserve"> i</w:t>
      </w:r>
      <w:r w:rsidR="00F93A4F" w:rsidRPr="003F7E0A">
        <w:rPr>
          <w:rFonts w:eastAsia="Calibri"/>
          <w:i/>
        </w:rPr>
        <w:t xml:space="preserve">r </w:t>
      </w:r>
      <w:r w:rsidR="00C82C9D" w:rsidRPr="003F7E0A">
        <w:rPr>
          <w:rFonts w:eastAsia="Calibri"/>
          <w:i/>
        </w:rPr>
        <w:t>S. V.</w:t>
      </w:r>
      <w:r w:rsidR="00C507EF" w:rsidRPr="003F7E0A">
        <w:rPr>
          <w:rFonts w:eastAsia="Calibri"/>
          <w:i/>
        </w:rPr>
        <w:t>, kuopų </w:t>
      </w:r>
      <w:r w:rsidRPr="003F7E0A">
        <w:rPr>
          <w:rFonts w:eastAsia="Calibri"/>
          <w:i/>
        </w:rPr>
        <w:t xml:space="preserve">vadams - </w:t>
      </w:r>
      <w:r w:rsidR="00C82C9D" w:rsidRPr="003F7E0A">
        <w:rPr>
          <w:rFonts w:eastAsia="Calibri"/>
          <w:i/>
        </w:rPr>
        <w:t>V. P.</w:t>
      </w:r>
      <w:r w:rsidR="00F93A4F" w:rsidRPr="003F7E0A">
        <w:rPr>
          <w:rFonts w:eastAsia="Calibri"/>
          <w:i/>
        </w:rPr>
        <w:t xml:space="preserve">, </w:t>
      </w:r>
      <w:r w:rsidR="00C82C9D" w:rsidRPr="003F7E0A">
        <w:rPr>
          <w:rFonts w:eastAsia="Calibri"/>
          <w:i/>
        </w:rPr>
        <w:t>E. R.</w:t>
      </w:r>
      <w:r w:rsidR="00F93A4F" w:rsidRPr="003F7E0A">
        <w:rPr>
          <w:rFonts w:eastAsia="Calibri"/>
          <w:i/>
        </w:rPr>
        <w:t xml:space="preserve">, </w:t>
      </w:r>
      <w:r w:rsidR="00C82C9D" w:rsidRPr="003F7E0A">
        <w:rPr>
          <w:rFonts w:eastAsia="Calibri"/>
          <w:i/>
        </w:rPr>
        <w:t>A. G. 1</w:t>
      </w:r>
      <w:r w:rsidRPr="003F7E0A">
        <w:rPr>
          <w:rFonts w:eastAsia="Calibri"/>
          <w:i/>
        </w:rPr>
        <w:t xml:space="preserve">, </w:t>
      </w:r>
      <w:r w:rsidR="00C82C9D" w:rsidRPr="003F7E0A">
        <w:rPr>
          <w:rFonts w:eastAsia="Calibri"/>
          <w:i/>
        </w:rPr>
        <w:t>A. B.</w:t>
      </w:r>
      <w:r w:rsidRPr="003F7E0A">
        <w:rPr>
          <w:rFonts w:eastAsia="Calibri"/>
          <w:i/>
        </w:rPr>
        <w:t xml:space="preserve">, </w:t>
      </w:r>
      <w:r w:rsidR="00C82C9D" w:rsidRPr="003F7E0A">
        <w:rPr>
          <w:rFonts w:eastAsia="Calibri"/>
          <w:i/>
        </w:rPr>
        <w:t>O. A.</w:t>
      </w:r>
      <w:r w:rsidRPr="003F7E0A">
        <w:rPr>
          <w:rFonts w:eastAsia="Calibri"/>
          <w:i/>
        </w:rPr>
        <w:t xml:space="preserve">, būrio vado pavaduotojui </w:t>
      </w:r>
      <w:r w:rsidR="00C82C9D" w:rsidRPr="003F7E0A">
        <w:rPr>
          <w:rFonts w:eastAsia="Calibri"/>
          <w:i/>
        </w:rPr>
        <w:t>N. S.</w:t>
      </w:r>
      <w:r w:rsidRPr="003F7E0A">
        <w:rPr>
          <w:rFonts w:eastAsia="Calibri"/>
          <w:i/>
        </w:rPr>
        <w:t xml:space="preserve">, kuopos vado pavaduotojui </w:t>
      </w:r>
      <w:r w:rsidR="00C82C9D" w:rsidRPr="003F7E0A">
        <w:rPr>
          <w:rFonts w:eastAsia="Calibri"/>
          <w:i/>
        </w:rPr>
        <w:t>A. U.</w:t>
      </w:r>
      <w:r w:rsidR="00F93A4F" w:rsidRPr="003F7E0A">
        <w:rPr>
          <w:rFonts w:eastAsia="Calibri"/>
          <w:i/>
        </w:rPr>
        <w:t xml:space="preserve">, kuopos vadui </w:t>
      </w:r>
      <w:r w:rsidR="00A97F74" w:rsidRPr="003F7E0A">
        <w:rPr>
          <w:rFonts w:eastAsia="Calibri"/>
          <w:i/>
        </w:rPr>
        <w:t>A. K. 1</w:t>
      </w:r>
      <w:r w:rsidRPr="003F7E0A">
        <w:rPr>
          <w:rFonts w:eastAsia="Calibri"/>
          <w:i/>
        </w:rPr>
        <w:t xml:space="preserve">, būrių vadams - </w:t>
      </w:r>
      <w:r w:rsidR="00A97F74" w:rsidRPr="003F7E0A">
        <w:rPr>
          <w:rFonts w:eastAsia="Calibri"/>
          <w:i/>
        </w:rPr>
        <w:t>D. F.</w:t>
      </w:r>
      <w:r w:rsidRPr="003F7E0A">
        <w:rPr>
          <w:rFonts w:eastAsia="Calibri"/>
          <w:i/>
        </w:rPr>
        <w:t xml:space="preserve">, </w:t>
      </w:r>
      <w:r w:rsidR="00BA18FA" w:rsidRPr="003F7E0A">
        <w:rPr>
          <w:rFonts w:eastAsia="Calibri"/>
          <w:i/>
        </w:rPr>
        <w:t>J. M.</w:t>
      </w:r>
      <w:r w:rsidRPr="003F7E0A">
        <w:rPr>
          <w:rFonts w:eastAsia="Calibri"/>
          <w:i/>
        </w:rPr>
        <w:t xml:space="preserve">, </w:t>
      </w:r>
      <w:r w:rsidR="00A97F74" w:rsidRPr="003F7E0A">
        <w:rPr>
          <w:rFonts w:eastAsia="Calibri"/>
          <w:i/>
        </w:rPr>
        <w:t>D. B.</w:t>
      </w:r>
      <w:r w:rsidRPr="003F7E0A">
        <w:rPr>
          <w:rFonts w:eastAsia="Calibri"/>
          <w:i/>
        </w:rPr>
        <w:t xml:space="preserve">, </w:t>
      </w:r>
      <w:r w:rsidR="00A97F74" w:rsidRPr="003F7E0A">
        <w:rPr>
          <w:rFonts w:eastAsia="Calibri"/>
          <w:i/>
        </w:rPr>
        <w:t>N. O.</w:t>
      </w:r>
      <w:r w:rsidRPr="003F7E0A">
        <w:rPr>
          <w:rFonts w:eastAsia="Calibri"/>
          <w:i/>
        </w:rPr>
        <w:t xml:space="preserve">, </w:t>
      </w:r>
      <w:r w:rsidR="00A97F74" w:rsidRPr="003F7E0A">
        <w:rPr>
          <w:rFonts w:eastAsia="Calibri"/>
          <w:i/>
        </w:rPr>
        <w:t>A. K. 2</w:t>
      </w:r>
      <w:r w:rsidRPr="003F7E0A">
        <w:rPr>
          <w:rFonts w:eastAsia="Calibri"/>
          <w:i/>
        </w:rPr>
        <w:t xml:space="preserve"> ir kuopos vado pavaduotojui ginkluotei </w:t>
      </w:r>
      <w:r w:rsidR="00A97F74" w:rsidRPr="003F7E0A">
        <w:rPr>
          <w:rFonts w:eastAsia="Calibri"/>
          <w:i/>
        </w:rPr>
        <w:t>A. R.</w:t>
      </w:r>
      <w:r w:rsidRPr="003F7E0A">
        <w:rPr>
          <w:rFonts w:eastAsia="Calibri"/>
          <w:i/>
        </w:rPr>
        <w:t>.</w:t>
      </w:r>
    </w:p>
    <w:p w:rsidR="00A155C4" w:rsidRPr="003F7E0A" w:rsidRDefault="00C507EF" w:rsidP="003F7E0A">
      <w:pPr>
        <w:ind w:left="992" w:firstLine="992"/>
        <w:rPr>
          <w:rFonts w:eastAsia="Calibri"/>
          <w:i/>
        </w:rPr>
      </w:pPr>
      <w:r w:rsidRPr="003F7E0A">
        <w:rPr>
          <w:rFonts w:eastAsia="Calibri"/>
          <w:i/>
        </w:rPr>
        <w:t>V. K.</w:t>
      </w:r>
      <w:r w:rsidR="00932054" w:rsidRPr="003F7E0A">
        <w:rPr>
          <w:rFonts w:eastAsia="Calibri"/>
          <w:i/>
        </w:rPr>
        <w:t xml:space="preserve"> (ikiteisminis tyrimas nutrauktas mirus), pasinaudodamas savo tarnybine padėtimi, karinės operacijos koordinatoriais ir vykdytojais paskyrė TSRS VSK (KGB) 3-iosios vyriausiosios valdybos viršininko pavaduotoją generolą majorą </w:t>
      </w:r>
      <w:r w:rsidRPr="003F7E0A">
        <w:rPr>
          <w:rFonts w:eastAsia="Calibri"/>
          <w:i/>
        </w:rPr>
        <w:t>J. K.</w:t>
      </w:r>
      <w:r w:rsidR="00932054" w:rsidRPr="003F7E0A">
        <w:rPr>
          <w:rFonts w:eastAsia="Calibri"/>
          <w:i/>
        </w:rPr>
        <w:t xml:space="preserve"> (ikiteisminis tyrimas nutrauktas mirus), TSRS VSK specialios paskirties grupės „A“ viršininko pavaduotoją </w:t>
      </w:r>
      <w:r w:rsidR="00385BC9" w:rsidRPr="003F7E0A">
        <w:rPr>
          <w:rFonts w:eastAsia="Calibri"/>
          <w:i/>
        </w:rPr>
        <w:t>M. G.</w:t>
      </w:r>
      <w:r w:rsidR="00932054" w:rsidRPr="003F7E0A">
        <w:rPr>
          <w:rFonts w:eastAsia="Calibri"/>
          <w:i/>
        </w:rPr>
        <w:t xml:space="preserve"> ir šios grupės 3-ojo poskyrio viršini</w:t>
      </w:r>
      <w:r w:rsidR="00A66EFD" w:rsidRPr="003F7E0A">
        <w:rPr>
          <w:rFonts w:eastAsia="Calibri"/>
          <w:i/>
        </w:rPr>
        <w:t xml:space="preserve">nką </w:t>
      </w:r>
      <w:r w:rsidR="00385BC9" w:rsidRPr="003F7E0A">
        <w:rPr>
          <w:rFonts w:eastAsia="Calibri"/>
          <w:i/>
        </w:rPr>
        <w:t>J. Č.</w:t>
      </w:r>
      <w:r w:rsidR="00932054" w:rsidRPr="003F7E0A">
        <w:rPr>
          <w:rFonts w:eastAsia="Calibri"/>
          <w:i/>
        </w:rPr>
        <w:t>.</w:t>
      </w:r>
      <w:r w:rsidR="000C727C" w:rsidRPr="003F7E0A">
        <w:rPr>
          <w:rFonts w:eastAsia="Calibri"/>
          <w:i/>
        </w:rPr>
        <w:t xml:space="preserve"> </w:t>
      </w:r>
    </w:p>
    <w:p w:rsidR="00A155C4" w:rsidRPr="003F7E0A" w:rsidRDefault="00932054" w:rsidP="003F7E0A">
      <w:pPr>
        <w:ind w:left="992" w:firstLine="992"/>
        <w:rPr>
          <w:rFonts w:eastAsia="Calibri"/>
          <w:i/>
        </w:rPr>
      </w:pPr>
      <w:r w:rsidRPr="003F7E0A">
        <w:rPr>
          <w:rFonts w:eastAsia="Calibri"/>
          <w:i/>
        </w:rPr>
        <w:t xml:space="preserve">Veikdamas kartu su kitais jėgos struktūrų vadovais, TSRS vidaus reikalų ministras </w:t>
      </w:r>
      <w:r w:rsidR="00C507EF" w:rsidRPr="003F7E0A">
        <w:rPr>
          <w:rFonts w:eastAsia="Calibri"/>
          <w:i/>
        </w:rPr>
        <w:t>B. P.</w:t>
      </w:r>
      <w:r w:rsidRPr="003F7E0A">
        <w:rPr>
          <w:rFonts w:eastAsia="Calibri"/>
          <w:i/>
        </w:rPr>
        <w:t xml:space="preserve"> (ikiteisminis tyrimas nutrauktas mirus), pasinaudodamas savo tarnybine padėtimi, įsakymus dėl karinės operacijos Lietuvoje organizavimo davė savo pavaduotojui kaltinamajam </w:t>
      </w:r>
      <w:r w:rsidR="00385BC9" w:rsidRPr="003F7E0A">
        <w:rPr>
          <w:rFonts w:eastAsia="Calibri"/>
          <w:i/>
        </w:rPr>
        <w:t>N. D.</w:t>
      </w:r>
      <w:r w:rsidRPr="003F7E0A">
        <w:rPr>
          <w:rFonts w:eastAsia="Calibri"/>
          <w:i/>
        </w:rPr>
        <w:t xml:space="preserve">, kuris ministro įsakymą, pavaldumo tvarka, perdavė TSRS VRM Šiaurės vakarų ir Pabaltijo vidaus kariuomenės valdybos viršininkui kaltinamajam </w:t>
      </w:r>
      <w:r w:rsidR="00385BC9" w:rsidRPr="003F7E0A">
        <w:rPr>
          <w:rFonts w:eastAsia="Calibri"/>
          <w:i/>
        </w:rPr>
        <w:t>V. S. 1</w:t>
      </w:r>
      <w:r w:rsidRPr="003F7E0A">
        <w:rPr>
          <w:rFonts w:eastAsia="Calibri"/>
          <w:i/>
        </w:rPr>
        <w:t xml:space="preserve">. Pastarasis kartu su jo pavaldume esančiu TSRS VRM Šiaurės vakarų ir Pabaltijo vidaus kariuomenės valdybos 42-osios divizijos vadu </w:t>
      </w:r>
      <w:r w:rsidR="006036E7" w:rsidRPr="003F7E0A">
        <w:rPr>
          <w:rFonts w:eastAsia="Calibri"/>
          <w:i/>
        </w:rPr>
        <w:t>A. Ž.</w:t>
      </w:r>
      <w:r w:rsidRPr="003F7E0A">
        <w:rPr>
          <w:rFonts w:eastAsia="Calibri"/>
          <w:i/>
        </w:rPr>
        <w:t xml:space="preserve">, vykdydami vadovybės įsakymus, nurodymus dėl tiesioginio dalyvavimo karinėje operacijoje bei konkrečių veiksmų atlikimo, perdavė kitiems divizijos kariškiams: konvojaus pulko vadui </w:t>
      </w:r>
      <w:r w:rsidR="00A97F74" w:rsidRPr="003F7E0A">
        <w:rPr>
          <w:rFonts w:eastAsia="Calibri"/>
          <w:i/>
        </w:rPr>
        <w:t>S. F.</w:t>
      </w:r>
      <w:r w:rsidRPr="003F7E0A">
        <w:rPr>
          <w:rFonts w:eastAsia="Calibri"/>
          <w:i/>
        </w:rPr>
        <w:t xml:space="preserve"> ir jo pavaduotojui </w:t>
      </w:r>
      <w:r w:rsidR="00A97F74" w:rsidRPr="003F7E0A">
        <w:rPr>
          <w:rFonts w:eastAsia="Calibri"/>
          <w:i/>
        </w:rPr>
        <w:t>V. R.</w:t>
      </w:r>
      <w:r w:rsidRPr="003F7E0A">
        <w:rPr>
          <w:rFonts w:eastAsia="Calibri"/>
          <w:i/>
        </w:rPr>
        <w:t xml:space="preserve">, Ryšių tarnybos viršininkui </w:t>
      </w:r>
      <w:r w:rsidR="00A97F74" w:rsidRPr="003F7E0A">
        <w:rPr>
          <w:rFonts w:eastAsia="Calibri"/>
          <w:i/>
        </w:rPr>
        <w:t>V. Š. 2</w:t>
      </w:r>
      <w:r w:rsidRPr="003F7E0A">
        <w:rPr>
          <w:rFonts w:eastAsia="Calibri"/>
          <w:i/>
        </w:rPr>
        <w:t xml:space="preserve">, specialiosios paskirties mokomosios kuopos vadui </w:t>
      </w:r>
      <w:r w:rsidR="00DC0414" w:rsidRPr="003F7E0A">
        <w:rPr>
          <w:rFonts w:eastAsia="Calibri"/>
          <w:i/>
        </w:rPr>
        <w:t>O. M.</w:t>
      </w:r>
      <w:r w:rsidRPr="003F7E0A">
        <w:rPr>
          <w:rFonts w:eastAsia="Calibri"/>
          <w:i/>
        </w:rPr>
        <w:t xml:space="preserve"> ir jo pavaduotojui </w:t>
      </w:r>
      <w:r w:rsidR="00A97F74" w:rsidRPr="003F7E0A">
        <w:rPr>
          <w:rFonts w:eastAsia="Calibri"/>
          <w:i/>
        </w:rPr>
        <w:t>V. M.</w:t>
      </w:r>
      <w:r w:rsidRPr="003F7E0A">
        <w:rPr>
          <w:rFonts w:eastAsia="Calibri"/>
          <w:i/>
        </w:rPr>
        <w:t>, Ryšių grandies vi</w:t>
      </w:r>
      <w:r w:rsidR="00117751" w:rsidRPr="003F7E0A">
        <w:rPr>
          <w:rFonts w:eastAsia="Calibri"/>
          <w:i/>
        </w:rPr>
        <w:t xml:space="preserve">ršininko pavaduotojui </w:t>
      </w:r>
      <w:r w:rsidR="00DC0414" w:rsidRPr="003F7E0A">
        <w:rPr>
          <w:rFonts w:eastAsia="Calibri"/>
          <w:i/>
        </w:rPr>
        <w:t>G. P.</w:t>
      </w:r>
      <w:r w:rsidRPr="003F7E0A">
        <w:rPr>
          <w:rFonts w:eastAsia="Calibri"/>
          <w:i/>
        </w:rPr>
        <w:t xml:space="preserve">, kuopos būrio vadui </w:t>
      </w:r>
      <w:r w:rsidR="00DC0414" w:rsidRPr="003F7E0A">
        <w:rPr>
          <w:rFonts w:eastAsia="Calibri"/>
          <w:i/>
        </w:rPr>
        <w:t>M. C.</w:t>
      </w:r>
      <w:r w:rsidRPr="003F7E0A">
        <w:rPr>
          <w:rFonts w:eastAsia="Calibri"/>
          <w:i/>
        </w:rPr>
        <w:t xml:space="preserve">, kuopos instruktoriui metodistui </w:t>
      </w:r>
      <w:r w:rsidR="00DC0414" w:rsidRPr="003F7E0A">
        <w:rPr>
          <w:rFonts w:eastAsia="Calibri"/>
          <w:i/>
        </w:rPr>
        <w:t>J. S.</w:t>
      </w:r>
      <w:r w:rsidRPr="003F7E0A">
        <w:rPr>
          <w:rFonts w:eastAsia="Calibri"/>
          <w:i/>
        </w:rPr>
        <w:t>.</w:t>
      </w:r>
    </w:p>
    <w:p w:rsidR="00A155C4" w:rsidRPr="003F7E0A" w:rsidRDefault="00932054" w:rsidP="003F7E0A">
      <w:pPr>
        <w:ind w:left="992" w:firstLine="992"/>
        <w:rPr>
          <w:rFonts w:eastAsia="Calibri"/>
          <w:i/>
        </w:rPr>
      </w:pPr>
      <w:r w:rsidRPr="003F7E0A">
        <w:rPr>
          <w:rFonts w:eastAsia="Calibri"/>
          <w:i/>
        </w:rPr>
        <w:t xml:space="preserve">Nuo 1991 m. sausio mėn. pradžios, kaltinamųjų </w:t>
      </w:r>
      <w:r w:rsidR="006036E7" w:rsidRPr="003F7E0A">
        <w:rPr>
          <w:rFonts w:eastAsia="Calibri"/>
          <w:i/>
        </w:rPr>
        <w:t>V. U. 1</w:t>
      </w:r>
      <w:r w:rsidRPr="003F7E0A">
        <w:rPr>
          <w:rFonts w:eastAsia="Calibri"/>
          <w:i/>
        </w:rPr>
        <w:t xml:space="preserve"> ir </w:t>
      </w:r>
      <w:r w:rsidR="006036E7" w:rsidRPr="003F7E0A">
        <w:rPr>
          <w:rFonts w:eastAsia="Calibri"/>
          <w:i/>
        </w:rPr>
        <w:t>A. Ž.</w:t>
      </w:r>
      <w:r w:rsidRPr="003F7E0A">
        <w:rPr>
          <w:rFonts w:eastAsia="Calibri"/>
          <w:i/>
        </w:rPr>
        <w:t xml:space="preserve"> nurodymu, 107-osios motorizuotų šaulių divizijos ir 42-osios divizijos daliniuose paskelbta „kovinė“ parengtis, parengta ginkluotė ir technika, kariškiams išduoti etatiniai ginklai ir šaudmenys, </w:t>
      </w:r>
      <w:r w:rsidRPr="003F7E0A">
        <w:rPr>
          <w:rFonts w:eastAsia="Calibri"/>
          <w:i/>
        </w:rPr>
        <w:lastRenderedPageBreak/>
        <w:t>įsakyta būti tarnybos vietose, sustiprinta karinių miestelių apsauga, įvesti paros budėjimai bei patruliavimas Vilniuje ir kituose miestuose.</w:t>
      </w:r>
    </w:p>
    <w:p w:rsidR="00A155C4" w:rsidRPr="003F7E0A" w:rsidRDefault="00932054" w:rsidP="003F7E0A">
      <w:pPr>
        <w:ind w:left="992" w:firstLine="992"/>
        <w:rPr>
          <w:rFonts w:eastAsia="Calibri"/>
          <w:i/>
        </w:rPr>
      </w:pPr>
      <w:r w:rsidRPr="003F7E0A">
        <w:rPr>
          <w:rFonts w:eastAsia="Calibri"/>
          <w:i/>
        </w:rPr>
        <w:t xml:space="preserve">Kaltinamojo </w:t>
      </w:r>
      <w:r w:rsidR="00385BC9" w:rsidRPr="003F7E0A">
        <w:rPr>
          <w:rFonts w:eastAsia="Calibri"/>
          <w:i/>
        </w:rPr>
        <w:t>D. J.</w:t>
      </w:r>
      <w:r w:rsidRPr="003F7E0A">
        <w:rPr>
          <w:rFonts w:eastAsia="Calibri"/>
          <w:i/>
        </w:rPr>
        <w:t xml:space="preserve"> kartu su kitais (</w:t>
      </w:r>
      <w:r w:rsidR="00C507EF" w:rsidRPr="003F7E0A">
        <w:rPr>
          <w:rFonts w:eastAsia="Calibri"/>
          <w:i/>
        </w:rPr>
        <w:t>B. P.</w:t>
      </w:r>
      <w:r w:rsidRPr="003F7E0A">
        <w:rPr>
          <w:rFonts w:eastAsia="Calibri"/>
          <w:i/>
        </w:rPr>
        <w:t xml:space="preserve"> ir </w:t>
      </w:r>
      <w:r w:rsidR="00C507EF" w:rsidRPr="003F7E0A">
        <w:rPr>
          <w:rFonts w:eastAsia="Calibri"/>
          <w:i/>
        </w:rPr>
        <w:t>V. K.</w:t>
      </w:r>
      <w:r w:rsidRPr="003F7E0A">
        <w:rPr>
          <w:rFonts w:eastAsia="Calibri"/>
          <w:i/>
        </w:rPr>
        <w:t>) įkurtas vadovavimo karinei operacijai štabas, atsižvelgdamas į užimtinų objektų</w:t>
      </w:r>
      <w:r w:rsidR="00D37127" w:rsidRPr="003F7E0A">
        <w:rPr>
          <w:rFonts w:eastAsia="Calibri"/>
          <w:i/>
        </w:rPr>
        <w:t xml:space="preserve"> strateginę reikšmę ir Lietuvos </w:t>
      </w:r>
      <w:r w:rsidRPr="003F7E0A">
        <w:rPr>
          <w:rFonts w:eastAsia="Calibri"/>
          <w:i/>
        </w:rPr>
        <w:t xml:space="preserve">nepriklausomybės rėmėjų, pasiryžusių ginti šiuos objektus skaičių, atakose dalyvaujančias karines pajėgas (karinę techniką ir kariškių skaičių) paskirstė į užimamus objektus, konkretizavo kariuomenės rūšių užduotis ir veiksmus, paskyrė kariniams veiksmams vadovaujančius bei už veiksmų koordinavimą atsakingus karininkus, įsakė apie karinių operacijų eigą ir rezultatus informuoti vadovavimo štabą, o būtent: </w:t>
      </w:r>
    </w:p>
    <w:p w:rsidR="00A155C4" w:rsidRPr="003F7E0A" w:rsidRDefault="00932054" w:rsidP="003F7E0A">
      <w:pPr>
        <w:ind w:left="992" w:firstLine="992"/>
        <w:rPr>
          <w:rFonts w:eastAsia="Calibri"/>
          <w:i/>
        </w:rPr>
      </w:pPr>
      <w:r w:rsidRPr="003F7E0A">
        <w:rPr>
          <w:rFonts w:eastAsia="Calibri"/>
          <w:i/>
        </w:rPr>
        <w:t xml:space="preserve">- spaudos rūmų užėmimui paskirta TSRS GM Pskovo 76-osios oro desanto divizijos kariškių grupė, vadovaujama kaltinamojo </w:t>
      </w:r>
      <w:r w:rsidR="00385BC9" w:rsidRPr="003F7E0A">
        <w:rPr>
          <w:rFonts w:eastAsia="Calibri"/>
          <w:i/>
        </w:rPr>
        <w:t>V. K. 1</w:t>
      </w:r>
      <w:r w:rsidRPr="003F7E0A">
        <w:rPr>
          <w:rFonts w:eastAsia="Calibri"/>
          <w:i/>
        </w:rPr>
        <w:t xml:space="preserve"> ir 107-osios motorizuotos šaulių divizijos 106-ojo tankų pulko jungtiniai ekipažai, vad</w:t>
      </w:r>
      <w:r w:rsidR="00117751" w:rsidRPr="003F7E0A">
        <w:rPr>
          <w:rFonts w:eastAsia="Calibri"/>
          <w:i/>
        </w:rPr>
        <w:t xml:space="preserve">ovaujami kaltinamojo </w:t>
      </w:r>
      <w:r w:rsidR="00BA18FA" w:rsidRPr="003F7E0A">
        <w:rPr>
          <w:rFonts w:eastAsia="Calibri"/>
          <w:i/>
        </w:rPr>
        <w:t>G. I.</w:t>
      </w:r>
      <w:r w:rsidRPr="003F7E0A">
        <w:rPr>
          <w:rFonts w:eastAsia="Calibri"/>
          <w:i/>
        </w:rPr>
        <w:t>;</w:t>
      </w:r>
    </w:p>
    <w:p w:rsidR="00A155C4" w:rsidRPr="003F7E0A" w:rsidRDefault="00932054" w:rsidP="003F7E0A">
      <w:pPr>
        <w:ind w:left="992" w:firstLine="992"/>
        <w:rPr>
          <w:rFonts w:eastAsia="Calibri"/>
          <w:i/>
        </w:rPr>
      </w:pPr>
      <w:r w:rsidRPr="003F7E0A">
        <w:rPr>
          <w:rFonts w:eastAsia="Calibri"/>
          <w:i/>
        </w:rPr>
        <w:t xml:space="preserve">- TV Centro (bokšto) ir LRT (Radijo ir televizijos komiteto) užėmimui paskirti trys šimtai keturi TSRS GM 76-osios oro desanto divizijos jungtinio kariškiai, vadovaujami 76-osios oro desanto divizijos vado pavaduotojo kaltinamojo </w:t>
      </w:r>
      <w:r w:rsidR="00385BC9" w:rsidRPr="003F7E0A">
        <w:rPr>
          <w:rFonts w:eastAsia="Calibri"/>
          <w:i/>
        </w:rPr>
        <w:t>V. K. 1</w:t>
      </w:r>
      <w:r w:rsidRPr="003F7E0A">
        <w:rPr>
          <w:rFonts w:eastAsia="Calibri"/>
          <w:i/>
        </w:rPr>
        <w:t xml:space="preserve">, dvidešimt vienas TSRS GM 107-osios motorizuotų šaulių divizijos 106-ojo tankų pulko kariškis ir 77-ojo motorizuotų šaulių pulko tankų bataliono kariškiai, vadovaujami 107-osios motorizuotų šaulių divizijos vado kaltinamojo </w:t>
      </w:r>
      <w:r w:rsidR="006036E7" w:rsidRPr="003F7E0A">
        <w:rPr>
          <w:rFonts w:eastAsia="Calibri"/>
          <w:i/>
        </w:rPr>
        <w:t>V. U. 1</w:t>
      </w:r>
      <w:r w:rsidRPr="003F7E0A">
        <w:rPr>
          <w:rFonts w:eastAsia="Calibri"/>
          <w:i/>
        </w:rPr>
        <w:t>, penkiasdešimt keturi TSRS VSK specialiosios paskirties grupės „A“ kariškiai, vadovaujami vado p</w:t>
      </w:r>
      <w:r w:rsidR="00117751" w:rsidRPr="003F7E0A">
        <w:rPr>
          <w:rFonts w:eastAsia="Calibri"/>
          <w:i/>
        </w:rPr>
        <w:t xml:space="preserve">avaduotojo kaltinamojo </w:t>
      </w:r>
      <w:r w:rsidR="00385BC9" w:rsidRPr="003F7E0A">
        <w:rPr>
          <w:rFonts w:eastAsia="Calibri"/>
          <w:i/>
        </w:rPr>
        <w:t>M. G.</w:t>
      </w:r>
      <w:r w:rsidRPr="003F7E0A">
        <w:rPr>
          <w:rFonts w:eastAsia="Calibri"/>
          <w:i/>
        </w:rPr>
        <w:t>, šešiasdešimt trys kariškiai iš TSRS VRM 42-osios divizijos valdybos, konvojaus ir milicijos pulkų, vadovaujami 42-osios divizi</w:t>
      </w:r>
      <w:r w:rsidR="00117751" w:rsidRPr="003F7E0A">
        <w:rPr>
          <w:rFonts w:eastAsia="Calibri"/>
          <w:i/>
        </w:rPr>
        <w:t xml:space="preserve">jos vado kaltinamojo </w:t>
      </w:r>
      <w:r w:rsidR="006036E7" w:rsidRPr="003F7E0A">
        <w:rPr>
          <w:rFonts w:eastAsia="Calibri"/>
          <w:i/>
        </w:rPr>
        <w:t>A. Ž.</w:t>
      </w:r>
      <w:r w:rsidRPr="003F7E0A">
        <w:rPr>
          <w:rFonts w:eastAsia="Calibri"/>
          <w:i/>
        </w:rPr>
        <w:t xml:space="preserve">, bei draugovininkai, vadovaujami kaltinamojo </w:t>
      </w:r>
      <w:r w:rsidR="00385BC9" w:rsidRPr="003F7E0A">
        <w:rPr>
          <w:rFonts w:eastAsia="Calibri"/>
          <w:i/>
        </w:rPr>
        <w:t>R. J. 1</w:t>
      </w:r>
      <w:r w:rsidRPr="003F7E0A">
        <w:rPr>
          <w:rFonts w:eastAsia="Calibri"/>
          <w:i/>
        </w:rPr>
        <w:t xml:space="preserve"> ir kt.</w:t>
      </w:r>
    </w:p>
    <w:p w:rsidR="00A155C4" w:rsidRPr="003F7E0A" w:rsidRDefault="00932054" w:rsidP="003F7E0A">
      <w:pPr>
        <w:ind w:left="992" w:firstLine="992"/>
        <w:rPr>
          <w:rFonts w:eastAsia="Calibri"/>
          <w:i/>
        </w:rPr>
      </w:pPr>
      <w:r w:rsidRPr="003F7E0A">
        <w:rPr>
          <w:rFonts w:eastAsia="Calibri"/>
          <w:i/>
        </w:rPr>
        <w:t xml:space="preserve">TSRS VSK specialios paskirties grupės „A“, 76-osios oro desanto divizijos, 107-osios motorizuotos šaulių divizijos ir 42-os divizijos kariškių, dalyvaujančių užimant objektus, bendrus veiksmus koordinavo grupės vado pavaduotojas kaltinamasis </w:t>
      </w:r>
      <w:r w:rsidR="00385BC9" w:rsidRPr="003F7E0A">
        <w:rPr>
          <w:rFonts w:eastAsia="Calibri"/>
          <w:i/>
        </w:rPr>
        <w:t>M. G.</w:t>
      </w:r>
      <w:r w:rsidRPr="003F7E0A">
        <w:rPr>
          <w:rFonts w:eastAsia="Calibri"/>
          <w:i/>
        </w:rPr>
        <w:t xml:space="preserve">, 76-osios oro desanto divizijos vado pavaduotojas kaltinamasis </w:t>
      </w:r>
      <w:r w:rsidR="00385BC9" w:rsidRPr="003F7E0A">
        <w:rPr>
          <w:rFonts w:eastAsia="Calibri"/>
          <w:i/>
        </w:rPr>
        <w:t>V. K. 1</w:t>
      </w:r>
      <w:r w:rsidRPr="003F7E0A">
        <w:rPr>
          <w:rFonts w:eastAsia="Calibri"/>
          <w:i/>
        </w:rPr>
        <w:t xml:space="preserve">, 107-osios motorizuotos šaulių divizijos vadas kaltinamasis </w:t>
      </w:r>
      <w:r w:rsidR="006036E7" w:rsidRPr="003F7E0A">
        <w:rPr>
          <w:rFonts w:eastAsia="Calibri"/>
          <w:i/>
        </w:rPr>
        <w:t>V. U. 1</w:t>
      </w:r>
      <w:r w:rsidRPr="003F7E0A">
        <w:rPr>
          <w:rFonts w:eastAsia="Calibri"/>
          <w:i/>
        </w:rPr>
        <w:t xml:space="preserve">, 42-os divizijos vadas kaltinamasis </w:t>
      </w:r>
      <w:r w:rsidR="006036E7" w:rsidRPr="003F7E0A">
        <w:rPr>
          <w:rFonts w:eastAsia="Calibri"/>
          <w:i/>
        </w:rPr>
        <w:t>A. Ž.</w:t>
      </w:r>
      <w:r w:rsidRPr="003F7E0A">
        <w:rPr>
          <w:rFonts w:eastAsia="Calibri"/>
          <w:i/>
        </w:rPr>
        <w:t xml:space="preserve">. </w:t>
      </w:r>
    </w:p>
    <w:p w:rsidR="00A155C4" w:rsidRPr="003F7E0A" w:rsidRDefault="00932054" w:rsidP="003F7E0A">
      <w:pPr>
        <w:ind w:left="992" w:firstLine="992"/>
        <w:rPr>
          <w:rFonts w:eastAsia="Calibri"/>
          <w:i/>
        </w:rPr>
      </w:pPr>
      <w:r w:rsidRPr="003F7E0A">
        <w:rPr>
          <w:rFonts w:eastAsia="Calibri"/>
          <w:i/>
        </w:rPr>
        <w:t xml:space="preserve">Koordinatorių veiksmus kontroliavo vadovavimo operacijai štabo nariai: kaltinamieji </w:t>
      </w:r>
      <w:r w:rsidR="00385BC9" w:rsidRPr="003F7E0A">
        <w:rPr>
          <w:rFonts w:eastAsia="Calibri"/>
          <w:i/>
        </w:rPr>
        <w:t>N. D.</w:t>
      </w:r>
      <w:r w:rsidRPr="003F7E0A">
        <w:rPr>
          <w:rFonts w:eastAsia="Calibri"/>
          <w:i/>
        </w:rPr>
        <w:t xml:space="preserve">, </w:t>
      </w:r>
      <w:r w:rsidR="00385BC9" w:rsidRPr="003F7E0A">
        <w:rPr>
          <w:rFonts w:eastAsia="Calibri"/>
          <w:i/>
        </w:rPr>
        <w:t>V. S. 1</w:t>
      </w:r>
      <w:r w:rsidRPr="003F7E0A">
        <w:rPr>
          <w:rFonts w:eastAsia="Calibri"/>
          <w:i/>
        </w:rPr>
        <w:t xml:space="preserve"> (kartu </w:t>
      </w:r>
      <w:r w:rsidR="00A155C4" w:rsidRPr="003F7E0A">
        <w:rPr>
          <w:rFonts w:eastAsia="Calibri"/>
          <w:i/>
        </w:rPr>
        <w:t xml:space="preserve">su </w:t>
      </w:r>
      <w:r w:rsidR="00C507EF" w:rsidRPr="003F7E0A">
        <w:rPr>
          <w:rFonts w:eastAsia="Calibri"/>
          <w:i/>
        </w:rPr>
        <w:t>J. K.</w:t>
      </w:r>
      <w:r w:rsidR="00A155C4" w:rsidRPr="003F7E0A">
        <w:rPr>
          <w:rFonts w:eastAsia="Calibri"/>
          <w:i/>
        </w:rPr>
        <w:t xml:space="preserve">, </w:t>
      </w:r>
      <w:r w:rsidR="00D37127" w:rsidRPr="003F7E0A">
        <w:rPr>
          <w:rFonts w:eastAsia="Calibri"/>
          <w:i/>
        </w:rPr>
        <w:t>S. C.</w:t>
      </w:r>
      <w:r w:rsidR="00A155C4" w:rsidRPr="003F7E0A">
        <w:rPr>
          <w:rFonts w:eastAsia="Calibri"/>
          <w:i/>
        </w:rPr>
        <w:t xml:space="preserve">, </w:t>
      </w:r>
      <w:r w:rsidR="00C507EF" w:rsidRPr="003F7E0A">
        <w:rPr>
          <w:rFonts w:eastAsia="Calibri"/>
          <w:i/>
        </w:rPr>
        <w:t>V. A.</w:t>
      </w:r>
      <w:r w:rsidRPr="003F7E0A">
        <w:rPr>
          <w:rFonts w:eastAsia="Calibri"/>
          <w:i/>
        </w:rPr>
        <w:t xml:space="preserve">, </w:t>
      </w:r>
      <w:r w:rsidR="00C507EF" w:rsidRPr="003F7E0A">
        <w:rPr>
          <w:rFonts w:eastAsia="Calibri"/>
          <w:i/>
        </w:rPr>
        <w:t>V. O.</w:t>
      </w:r>
      <w:r w:rsidRPr="003F7E0A">
        <w:rPr>
          <w:rFonts w:eastAsia="Calibri"/>
          <w:i/>
        </w:rPr>
        <w:t>). Draugovininkų veiksmus kontroliavo ir koordinavo vadovavimo štabo nariai kaltinamieji</w:t>
      </w:r>
      <w:r w:rsidR="000C727C" w:rsidRPr="003F7E0A">
        <w:rPr>
          <w:rFonts w:eastAsia="Calibri"/>
          <w:i/>
        </w:rPr>
        <w:t xml:space="preserve"> </w:t>
      </w:r>
      <w:r w:rsidR="00385BC9" w:rsidRPr="003F7E0A">
        <w:rPr>
          <w:rFonts w:eastAsia="Calibri"/>
          <w:i/>
        </w:rPr>
        <w:t>A. N. 1</w:t>
      </w:r>
      <w:r w:rsidRPr="003F7E0A">
        <w:rPr>
          <w:rFonts w:eastAsia="Calibri"/>
          <w:i/>
        </w:rPr>
        <w:t xml:space="preserve">, </w:t>
      </w:r>
      <w:r w:rsidR="00385BC9" w:rsidRPr="003F7E0A">
        <w:rPr>
          <w:rFonts w:eastAsia="Calibri"/>
          <w:i/>
        </w:rPr>
        <w:t>V. Š. 1</w:t>
      </w:r>
      <w:r w:rsidRPr="003F7E0A">
        <w:rPr>
          <w:rFonts w:eastAsia="Calibri"/>
          <w:i/>
        </w:rPr>
        <w:t xml:space="preserve"> ir R</w:t>
      </w:r>
      <w:r w:rsidR="00D37127" w:rsidRPr="003F7E0A">
        <w:rPr>
          <w:rFonts w:eastAsia="Calibri"/>
          <w:i/>
        </w:rPr>
        <w:t>. J. 1</w:t>
      </w:r>
      <w:r w:rsidRPr="003F7E0A">
        <w:rPr>
          <w:rFonts w:eastAsia="Calibri"/>
          <w:i/>
        </w:rPr>
        <w:t>.</w:t>
      </w:r>
    </w:p>
    <w:p w:rsidR="00932054" w:rsidRPr="003F7E0A" w:rsidRDefault="00932054" w:rsidP="003F7E0A">
      <w:pPr>
        <w:ind w:left="992" w:firstLine="992"/>
        <w:rPr>
          <w:rFonts w:eastAsia="Calibri"/>
          <w:i/>
        </w:rPr>
      </w:pPr>
      <w:r w:rsidRPr="003F7E0A">
        <w:rPr>
          <w:rFonts w:eastAsia="Calibri"/>
          <w:i/>
        </w:rPr>
        <w:t>Įgyvendindami operacijos planavimo grupės ir vadovavimo karinei operacijai štabo patvirtintus planus, TSRS kariuomenės ir TSRS VSK grupė „A“ kariškiai, naudodami tarptautinių sutarčių uždraustas karo ir bauginimo priemones, 1991 m. sausio mėnesį vykdė tarptautinės humanitarinės teisės draudžiamas karo atakas prieš civilius, kurių metu juos nužudė, sunkiai sutrikdė jų sveikatą ir padarė įvairaus sunkumo kūno sužalojimus bei jėga okupavo strateginės reikšmės objektus ir pastatus“</w:t>
      </w:r>
      <w:r w:rsidR="00E672CC" w:rsidRPr="003F7E0A">
        <w:rPr>
          <w:i/>
        </w:rPr>
        <w:t xml:space="preserve"> </w:t>
      </w:r>
      <w:r w:rsidR="00E672CC" w:rsidRPr="003F7E0A">
        <w:rPr>
          <w:rFonts w:eastAsia="Calibri"/>
        </w:rPr>
        <w:t>(žr.</w:t>
      </w:r>
      <w:r w:rsidR="00F17E36" w:rsidRPr="003F7E0A">
        <w:rPr>
          <w:rFonts w:eastAsia="Calibri"/>
        </w:rPr>
        <w:t xml:space="preserve"> nuosprendžio 10–15 l</w:t>
      </w:r>
      <w:r w:rsidR="007B01E6" w:rsidRPr="003F7E0A">
        <w:rPr>
          <w:rFonts w:eastAsia="Calibri"/>
        </w:rPr>
        <w:t>apus</w:t>
      </w:r>
      <w:r w:rsidR="00F17E36" w:rsidRPr="003F7E0A">
        <w:rPr>
          <w:rFonts w:eastAsia="Calibri"/>
        </w:rPr>
        <w:t xml:space="preserve"> (t. 769, </w:t>
      </w:r>
      <w:r w:rsidR="00E672CC" w:rsidRPr="003F7E0A">
        <w:rPr>
          <w:rFonts w:eastAsia="Calibri"/>
        </w:rPr>
        <w:t>b.</w:t>
      </w:r>
      <w:r w:rsidR="00F17E36" w:rsidRPr="003F7E0A">
        <w:rPr>
          <w:rFonts w:eastAsia="Calibri"/>
        </w:rPr>
        <w:t> l. 10–15)).</w:t>
      </w:r>
    </w:p>
    <w:p w:rsidR="00BE568B" w:rsidRPr="00C00255" w:rsidRDefault="00BE568B" w:rsidP="00321748">
      <w:pPr>
        <w:pStyle w:val="Heading3"/>
        <w:numPr>
          <w:ilvl w:val="1"/>
          <w:numId w:val="1"/>
        </w:numPr>
        <w:spacing w:before="120" w:after="120"/>
        <w:ind w:left="992" w:hanging="992"/>
        <w:jc w:val="both"/>
        <w:rPr>
          <w:rFonts w:eastAsia="Calibri"/>
          <w:b w:val="0"/>
          <w:lang w:val="lt-LT"/>
        </w:rPr>
      </w:pPr>
      <w:bookmarkStart w:id="18" w:name="_Toc37947826"/>
      <w:bookmarkStart w:id="19" w:name="_Toc67677305"/>
      <w:bookmarkStart w:id="20" w:name="_Toc67985432"/>
      <w:bookmarkStart w:id="21" w:name="_Hlk66869474"/>
      <w:r w:rsidRPr="00C00255">
        <w:rPr>
          <w:rStyle w:val="Heading3Char"/>
          <w:rFonts w:eastAsia="Calibri"/>
          <w:b/>
          <w:sz w:val="24"/>
          <w:szCs w:val="24"/>
          <w:lang w:val="lt-LT"/>
        </w:rPr>
        <w:t>„</w:t>
      </w:r>
      <w:r w:rsidRPr="003F7E0A">
        <w:rPr>
          <w:rStyle w:val="Heading3Char"/>
          <w:rFonts w:eastAsia="Calibri"/>
          <w:b/>
          <w:sz w:val="24"/>
          <w:szCs w:val="24"/>
          <w:lang w:val="lt-LT"/>
        </w:rPr>
        <w:t>Spaudo</w:t>
      </w:r>
      <w:r w:rsidR="00954E98" w:rsidRPr="003F7E0A">
        <w:rPr>
          <w:rStyle w:val="Heading3Char"/>
          <w:rFonts w:eastAsia="Calibri"/>
          <w:b/>
          <w:sz w:val="24"/>
          <w:szCs w:val="24"/>
          <w:lang w:val="lt-LT"/>
        </w:rPr>
        <w:t>s rūmų ir kitų objektų užgrobimas</w:t>
      </w:r>
      <w:r w:rsidRPr="00C00255">
        <w:rPr>
          <w:rStyle w:val="Heading3Char"/>
          <w:rFonts w:eastAsia="Calibri"/>
          <w:b/>
          <w:sz w:val="24"/>
          <w:szCs w:val="24"/>
          <w:lang w:val="lt-LT"/>
        </w:rPr>
        <w:t>“</w:t>
      </w:r>
      <w:bookmarkEnd w:id="18"/>
      <w:bookmarkEnd w:id="19"/>
      <w:bookmarkEnd w:id="20"/>
      <w:r w:rsidR="00CE2142" w:rsidRPr="00C00255">
        <w:rPr>
          <w:rFonts w:eastAsia="Calibri"/>
          <w:b w:val="0"/>
          <w:lang w:val="lt-LT"/>
        </w:rPr>
        <w:t xml:space="preserve"> </w:t>
      </w:r>
      <w:bookmarkEnd w:id="21"/>
    </w:p>
    <w:p w:rsidR="00117751" w:rsidRPr="00E76E89" w:rsidRDefault="00BE568B" w:rsidP="003F7E0A">
      <w:pPr>
        <w:ind w:left="992" w:firstLine="992"/>
        <w:rPr>
          <w:i/>
        </w:rPr>
      </w:pPr>
      <w:r w:rsidRPr="00E76E89">
        <w:t>„</w:t>
      </w:r>
      <w:r w:rsidRPr="00E76E89">
        <w:rPr>
          <w:i/>
        </w:rPr>
        <w:t>TSRS karinė operacija prieš Lietuvą, paskelbusią apie savo nepriklausomybės atkūrimą, pradėta vykdyti 1991 m. sausio 11 d., įgyvendinant operacijos planavimo grupės ir vadovavimo štabo parengtą planą, užgrobti šie strateginiai Lietuvos Respublikos objektai:</w:t>
      </w:r>
    </w:p>
    <w:p w:rsidR="00A155C4" w:rsidRPr="00E76E89" w:rsidRDefault="00BE568B" w:rsidP="003F7E0A">
      <w:pPr>
        <w:ind w:left="992" w:firstLine="992"/>
        <w:rPr>
          <w:i/>
        </w:rPr>
      </w:pPr>
      <w:r w:rsidRPr="00E76E89">
        <w:rPr>
          <w:i/>
        </w:rPr>
        <w:t>- apie 11.30 val., TSRS GM Alytaus oro desanto k/d 10999 kariškiai užgrobė KAD Alytaus technikos mokyklą, Santaikos g. 30, Alytuje, ir užvaldė ten esančius šaudmenis;</w:t>
      </w:r>
    </w:p>
    <w:p w:rsidR="00A155C4" w:rsidRPr="00E76E89" w:rsidRDefault="00BE568B" w:rsidP="003F7E0A">
      <w:pPr>
        <w:ind w:left="992" w:firstLine="992"/>
        <w:rPr>
          <w:i/>
        </w:rPr>
      </w:pPr>
      <w:r w:rsidRPr="00E76E89">
        <w:rPr>
          <w:i/>
        </w:rPr>
        <w:t xml:space="preserve">- 12–13 val., TSRS GM 107-osios motorizuotų šaulių divizijos kariškiai, vadovaujami kaltinamojo </w:t>
      </w:r>
      <w:r w:rsidR="006036E7" w:rsidRPr="00E76E89">
        <w:rPr>
          <w:i/>
        </w:rPr>
        <w:t>V. U. 1</w:t>
      </w:r>
      <w:r w:rsidRPr="00E76E89">
        <w:rPr>
          <w:i/>
        </w:rPr>
        <w:t xml:space="preserve">, panaudodami sunkiąją karinę techniką, o būtent: tankus T-72, priešlėktuvinės gynybos sistemą ŠILKA (ZSU-23-4, raidės rusiškos), būdami ginkluoti Kalašnikovo automatais AK-74, AKS-74, AKS-74U, 5,45 mm kalibro, snaiperiniais 7,62 mm kalibro Dragunovo šautuvais (toliau – SVD), 7,62 mm ir 5,45 mm kalibro Kalašnikovo </w:t>
      </w:r>
      <w:r w:rsidRPr="00E76E89">
        <w:rPr>
          <w:i/>
        </w:rPr>
        <w:lastRenderedPageBreak/>
        <w:t xml:space="preserve">kulkosvaidžiais (toliau </w:t>
      </w:r>
      <w:r w:rsidR="00A84409" w:rsidRPr="00E76E89">
        <w:rPr>
          <w:rFonts w:eastAsia="Calibri"/>
          <w:i/>
        </w:rPr>
        <w:t>–</w:t>
      </w:r>
      <w:r w:rsidRPr="00E76E89">
        <w:rPr>
          <w:i/>
        </w:rPr>
        <w:t xml:space="preserve"> PK) ir rankiniais Kalašnikovo kulkosvaidžiais (toliau – RPK-74), užėmė Krašto apsaugos departamento administracinį pastatą, esantį Viršuliškių g. 36,Vilniuje ir laikė jį užgrobtą iki 1991 m. rugpjūčio 23</w:t>
      </w:r>
      <w:r w:rsidR="00A155C4" w:rsidRPr="00E76E89">
        <w:rPr>
          <w:i/>
        </w:rPr>
        <w:t xml:space="preserve"> </w:t>
      </w:r>
      <w:r w:rsidRPr="00E76E89">
        <w:rPr>
          <w:i/>
        </w:rPr>
        <w:t>d.;</w:t>
      </w:r>
    </w:p>
    <w:p w:rsidR="00A155C4" w:rsidRPr="003F7E0A" w:rsidRDefault="00BE568B" w:rsidP="003F7E0A">
      <w:pPr>
        <w:ind w:left="992" w:firstLine="992"/>
        <w:rPr>
          <w:i/>
        </w:rPr>
      </w:pPr>
      <w:r w:rsidRPr="003F7E0A">
        <w:rPr>
          <w:i/>
        </w:rPr>
        <w:t xml:space="preserve">- apie 17 val., pagal 42-osios divizijos vado kaltinamojo </w:t>
      </w:r>
      <w:r w:rsidR="006036E7" w:rsidRPr="003F7E0A">
        <w:rPr>
          <w:i/>
        </w:rPr>
        <w:t>A. Ž.</w:t>
      </w:r>
      <w:r w:rsidRPr="003F7E0A">
        <w:rPr>
          <w:i/>
        </w:rPr>
        <w:t xml:space="preserve"> nurodymą, perduotą per konvojaus pulko 7574 vadą kaltinamąjį </w:t>
      </w:r>
      <w:r w:rsidR="00A97F74" w:rsidRPr="003F7E0A">
        <w:rPr>
          <w:i/>
        </w:rPr>
        <w:t>S. F.</w:t>
      </w:r>
      <w:r w:rsidRPr="003F7E0A">
        <w:rPr>
          <w:i/>
        </w:rPr>
        <w:t xml:space="preserve"> bei jam pavaldžios 42-osios divizijos mokomosios specialios paskirties kuopos vadą kaltinamąjį </w:t>
      </w:r>
      <w:r w:rsidR="00DC0414" w:rsidRPr="003F7E0A">
        <w:rPr>
          <w:i/>
        </w:rPr>
        <w:t>O. M.</w:t>
      </w:r>
      <w:r w:rsidRPr="003F7E0A">
        <w:rPr>
          <w:i/>
        </w:rPr>
        <w:t xml:space="preserve">, vadovaujami būrio vado kaltinamojo </w:t>
      </w:r>
      <w:r w:rsidR="00DC0414" w:rsidRPr="003F7E0A">
        <w:rPr>
          <w:i/>
        </w:rPr>
        <w:t>M. C.</w:t>
      </w:r>
      <w:r w:rsidRPr="003F7E0A">
        <w:rPr>
          <w:i/>
        </w:rPr>
        <w:t>, šios kuopos kariškiai iš Lietuvos medžiotojų ir žvejų draugijos Respublikinės tarybos sandėlio, esančio Stiklių g. 6/8, Vilniuje, pagrobė medžioklinius šaunamuosius ginklus ir šaudmenis;</w:t>
      </w:r>
    </w:p>
    <w:p w:rsidR="00A155C4" w:rsidRPr="003F7E0A" w:rsidRDefault="00BE568B" w:rsidP="003F7E0A">
      <w:pPr>
        <w:ind w:left="992" w:firstLine="992"/>
        <w:rPr>
          <w:i/>
        </w:rPr>
      </w:pPr>
      <w:r w:rsidRPr="003F7E0A">
        <w:rPr>
          <w:i/>
        </w:rPr>
        <w:t xml:space="preserve">- 18.45 val., TSRS GM 107-osios motorizuotų šaulių divizijos ginkluoti kariškiai, pasitelkę pagal LKP/TSKP vadovų nurodymus įkurtų darbininkų draugovių ir streikų komitetų narius, vadus bei ginkluotus J. Bartašiūno mokyklos kursantus, užgrobė Vilniaus geležinkelio stoties valdymo posto (MRC) patalpas, esančias Pelesos g. 2, Vilniuje, </w:t>
      </w:r>
      <w:r w:rsidR="00117751" w:rsidRPr="003F7E0A">
        <w:rPr>
          <w:i/>
        </w:rPr>
        <w:t>ir laikė jas užgrobtas iki 1991 </w:t>
      </w:r>
      <w:r w:rsidRPr="003F7E0A">
        <w:rPr>
          <w:i/>
        </w:rPr>
        <w:t>m. sausio 13 d., 20.00 val., tokiu būdu nutraukda</w:t>
      </w:r>
      <w:r w:rsidR="00117751" w:rsidRPr="003F7E0A">
        <w:rPr>
          <w:i/>
        </w:rPr>
        <w:t>mi traukinių eismą per Vilniaus </w:t>
      </w:r>
      <w:r w:rsidRPr="003F7E0A">
        <w:rPr>
          <w:i/>
        </w:rPr>
        <w:t xml:space="preserve">geležinkelio stotį; </w:t>
      </w:r>
    </w:p>
    <w:p w:rsidR="00A155C4" w:rsidRPr="003F7E0A" w:rsidRDefault="00BE568B" w:rsidP="003F7E0A">
      <w:pPr>
        <w:ind w:left="992" w:firstLine="992"/>
        <w:rPr>
          <w:i/>
        </w:rPr>
      </w:pPr>
      <w:r w:rsidRPr="003F7E0A">
        <w:rPr>
          <w:i/>
        </w:rPr>
        <w:t>- apie 20 val., TSRS GM 76-osios oro desanto divizijo</w:t>
      </w:r>
      <w:r w:rsidR="00117751" w:rsidRPr="003F7E0A">
        <w:rPr>
          <w:i/>
        </w:rPr>
        <w:t>s kariškiai užgrobė Valstybinės </w:t>
      </w:r>
      <w:r w:rsidRPr="003F7E0A">
        <w:rPr>
          <w:i/>
        </w:rPr>
        <w:t xml:space="preserve">įmonės „Lietuvos telekomas“ filialo Tarpmiestinio telefono centro cecho Vilnius-I ir Lietuvos radijo ir televizijos centro Radijo transliacijos operatorinės (radijo biuro) patalpas, esančias Kreivalaužiuose, Vilniaus rajone ir </w:t>
      </w:r>
      <w:r w:rsidR="00F93A4F" w:rsidRPr="003F7E0A">
        <w:rPr>
          <w:i/>
        </w:rPr>
        <w:t>jas laikė užgrobtas iki 1991 m. </w:t>
      </w:r>
      <w:r w:rsidRPr="003F7E0A">
        <w:rPr>
          <w:i/>
        </w:rPr>
        <w:t>rugpjūčio 22</w:t>
      </w:r>
      <w:r w:rsidR="00B50034" w:rsidRPr="003F7E0A">
        <w:rPr>
          <w:i/>
        </w:rPr>
        <w:t xml:space="preserve"> </w:t>
      </w:r>
      <w:r w:rsidRPr="003F7E0A">
        <w:rPr>
          <w:i/>
        </w:rPr>
        <w:t>d.;</w:t>
      </w:r>
    </w:p>
    <w:p w:rsidR="00A155C4" w:rsidRPr="003F7E0A" w:rsidRDefault="00BE568B" w:rsidP="003F7E0A">
      <w:pPr>
        <w:ind w:left="992" w:firstLine="992"/>
        <w:rPr>
          <w:i/>
        </w:rPr>
      </w:pPr>
      <w:r w:rsidRPr="003F7E0A">
        <w:rPr>
          <w:i/>
        </w:rPr>
        <w:t>- be to, apie 20 val., TSRS GM 760-osios oro desanto diviz</w:t>
      </w:r>
      <w:r w:rsidR="00117751" w:rsidRPr="003F7E0A">
        <w:rPr>
          <w:i/>
        </w:rPr>
        <w:t>ijos kariškiai užgrobė Lietuvos </w:t>
      </w:r>
      <w:r w:rsidRPr="003F7E0A">
        <w:rPr>
          <w:i/>
        </w:rPr>
        <w:t>radijo ir televizijos kūrybos namus bei atsargines Lietuvos radijo ir televizijos patalpas-bunkerį, esančius Naujasodžio km., Vilniaus rajone;</w:t>
      </w:r>
    </w:p>
    <w:p w:rsidR="00A155C4" w:rsidRPr="003F7E0A" w:rsidRDefault="00BE568B" w:rsidP="003F7E0A">
      <w:pPr>
        <w:ind w:left="992" w:firstLine="992"/>
        <w:rPr>
          <w:i/>
        </w:rPr>
      </w:pPr>
      <w:r w:rsidRPr="003F7E0A">
        <w:rPr>
          <w:i/>
        </w:rPr>
        <w:t>- apie 24 val., TSRS GM 76-osios oro desanto divizijos kariškiai, veikdami su asmenimis iš LR VRM Ypatingos paskirties milicijos būrio (OMON rus. raidės), užgrobė šio būrio bazę, esančią Maudyklos g. 5, Vilniuje, pagrobė kovinius šaunamuosius ginklus, šaudmenis ir kitą amuniciją, o 1991 m. sausio 12 d., ap</w:t>
      </w:r>
      <w:r w:rsidR="00A155C4" w:rsidRPr="003F7E0A">
        <w:rPr>
          <w:i/>
        </w:rPr>
        <w:t>ie 03.45 val., užgrobė Lietuvos </w:t>
      </w:r>
      <w:r w:rsidRPr="003F7E0A">
        <w:rPr>
          <w:i/>
        </w:rPr>
        <w:t>Respublikos VRM Policijos akademijos patalpas, esančias Valakampių g. 5,</w:t>
      </w:r>
      <w:r w:rsidR="001E4CBD" w:rsidRPr="003F7E0A">
        <w:rPr>
          <w:i/>
        </w:rPr>
        <w:t xml:space="preserve"> </w:t>
      </w:r>
      <w:r w:rsidRPr="003F7E0A">
        <w:rPr>
          <w:i/>
        </w:rPr>
        <w:t>Vilniuje, ir laikė jas užgrobtas iki 1991 m. rugpjūčio 25 d.;</w:t>
      </w:r>
    </w:p>
    <w:p w:rsidR="00A155C4" w:rsidRPr="003F7E0A" w:rsidRDefault="00BE568B" w:rsidP="003F7E0A">
      <w:pPr>
        <w:ind w:left="992" w:firstLine="992"/>
        <w:rPr>
          <w:i/>
        </w:rPr>
      </w:pPr>
      <w:r w:rsidRPr="003F7E0A">
        <w:rPr>
          <w:i/>
        </w:rPr>
        <w:t>Karinės operacijos veiksmai buvo tęsiami ir 1991 m. sausio 12 d., kurios metu užgrobti šie objektai:</w:t>
      </w:r>
    </w:p>
    <w:p w:rsidR="00A155C4" w:rsidRPr="003F7E0A" w:rsidRDefault="00BE568B" w:rsidP="003F7E0A">
      <w:pPr>
        <w:ind w:left="992" w:firstLine="992"/>
        <w:rPr>
          <w:i/>
        </w:rPr>
      </w:pPr>
      <w:r w:rsidRPr="003F7E0A">
        <w:rPr>
          <w:i/>
        </w:rPr>
        <w:t>- apie 00.30 – 01.00 val., TSRS VRM 42-osios divizijos ir TSRS GM karinių dalinių kariškiai užgrobė Lietuvos Respublikos valstybinės sporto ir technikos organizacijos „Vytis“ prie Krašto apsaugos departamento patalpas, esančias Kosciuškos g. 36, Vilniuje ir laikė jas užgrobtas iki 1991</w:t>
      </w:r>
      <w:r w:rsidR="001E4CBD" w:rsidRPr="003F7E0A">
        <w:rPr>
          <w:i/>
        </w:rPr>
        <w:t xml:space="preserve"> </w:t>
      </w:r>
      <w:r w:rsidRPr="003F7E0A">
        <w:rPr>
          <w:i/>
        </w:rPr>
        <w:t xml:space="preserve">m. sausio 26 d.; </w:t>
      </w:r>
    </w:p>
    <w:p w:rsidR="00A155C4" w:rsidRPr="003F7E0A" w:rsidRDefault="00BE568B" w:rsidP="003F7E0A">
      <w:pPr>
        <w:ind w:left="992" w:firstLine="992"/>
        <w:rPr>
          <w:i/>
        </w:rPr>
      </w:pPr>
      <w:r w:rsidRPr="003F7E0A">
        <w:rPr>
          <w:i/>
        </w:rPr>
        <w:t>- apie 11.10 val.,</w:t>
      </w:r>
      <w:r w:rsidR="001E4CBD" w:rsidRPr="003F7E0A">
        <w:rPr>
          <w:i/>
        </w:rPr>
        <w:t xml:space="preserve"> </w:t>
      </w:r>
      <w:r w:rsidRPr="003F7E0A">
        <w:rPr>
          <w:i/>
        </w:rPr>
        <w:t>TSRS GM Oro desanto kariuomenės Alytaus oro desantinio karinio dalinio Nr. 10999 kariškiai užgrobė Krašto apsaugos departamento Varėnos pasienio užkardos postą, esantį Druskininkų-Pariečės-Slonimo kelyje;</w:t>
      </w:r>
    </w:p>
    <w:p w:rsidR="00A155C4" w:rsidRPr="003F7E0A" w:rsidRDefault="00BE568B" w:rsidP="003F7E0A">
      <w:pPr>
        <w:ind w:left="992" w:firstLine="992"/>
        <w:rPr>
          <w:i/>
        </w:rPr>
      </w:pPr>
      <w:r w:rsidRPr="003F7E0A">
        <w:rPr>
          <w:i/>
        </w:rPr>
        <w:t>- apie 24.00 val., TSRS GM kariškiai (ikiteisminio tyrimo metu karinis dalinys nenustatytas) kartu su LKP/TSK</w:t>
      </w:r>
      <w:r w:rsidR="00D37127" w:rsidRPr="003F7E0A">
        <w:rPr>
          <w:i/>
        </w:rPr>
        <w:t>P Prienų rajono sekretoriumi P. </w:t>
      </w:r>
      <w:r w:rsidRPr="003F7E0A">
        <w:rPr>
          <w:i/>
        </w:rPr>
        <w:t>A</w:t>
      </w:r>
      <w:r w:rsidR="00D37127" w:rsidRPr="003F7E0A">
        <w:rPr>
          <w:i/>
        </w:rPr>
        <w:t>.</w:t>
      </w:r>
      <w:r w:rsidRPr="003F7E0A">
        <w:rPr>
          <w:i/>
        </w:rPr>
        <w:t xml:space="preserve"> (jo atžvilgiu 1992-12-17 priimtas apkaltinamasis nuosprendis), veikusiu pagal LKP/TSKP CK sekretoriaus kaltinamojo </w:t>
      </w:r>
      <w:r w:rsidR="00385BC9" w:rsidRPr="003F7E0A">
        <w:rPr>
          <w:i/>
        </w:rPr>
        <w:t>A. N. 1</w:t>
      </w:r>
      <w:r w:rsidRPr="003F7E0A">
        <w:rPr>
          <w:i/>
        </w:rPr>
        <w:t xml:space="preserve"> nurodymus, užgrobė Pri</w:t>
      </w:r>
      <w:r w:rsidR="00117751" w:rsidRPr="003F7E0A">
        <w:rPr>
          <w:i/>
        </w:rPr>
        <w:t>enų rajono prokuratūros, Vidaus </w:t>
      </w:r>
      <w:r w:rsidRPr="003F7E0A">
        <w:rPr>
          <w:i/>
        </w:rPr>
        <w:t xml:space="preserve">reikalų skyriaus apsaugos poskyrio, LDDP Prienų rajono tarybos ir kitų visuomeninių organizacijų patalpas, esančias Kauno g. 2, Prienuose, ir </w:t>
      </w:r>
      <w:r w:rsidR="00117751" w:rsidRPr="003F7E0A">
        <w:rPr>
          <w:i/>
        </w:rPr>
        <w:t>laikė jas užgrobtas iki 1991 m. </w:t>
      </w:r>
      <w:r w:rsidRPr="003F7E0A">
        <w:rPr>
          <w:i/>
        </w:rPr>
        <w:t>sausio 14 d., 08.00 val.;</w:t>
      </w:r>
    </w:p>
    <w:p w:rsidR="00A155C4" w:rsidRPr="003F7E0A" w:rsidRDefault="00BE568B" w:rsidP="003F7E0A">
      <w:pPr>
        <w:ind w:left="992" w:firstLine="992"/>
        <w:rPr>
          <w:i/>
        </w:rPr>
      </w:pPr>
      <w:r w:rsidRPr="003F7E0A">
        <w:rPr>
          <w:i/>
        </w:rPr>
        <w:t xml:space="preserve">- apie 23.30 – 24.00 val., vykdant kaltinamojo </w:t>
      </w:r>
      <w:r w:rsidR="00385BC9" w:rsidRPr="003F7E0A">
        <w:rPr>
          <w:i/>
        </w:rPr>
        <w:t>R. J. 1</w:t>
      </w:r>
      <w:r w:rsidRPr="003F7E0A">
        <w:rPr>
          <w:i/>
        </w:rPr>
        <w:t xml:space="preserve"> ir kitų LKP/TSKP CK vadovaujančių asmenų (jų atžvilgiu priimti apkaltinamieji nuosprendžiai) nurodymus, LKP/TSKP nariai kartu su draugovininkų grupėmis iš Vilniaus miesto įmonių, savo parengtas peticijas, kuriose reikalavo Aukščiausiosios Tarybos ir Ministrų Tarybos </w:t>
      </w:r>
      <w:r w:rsidRPr="003F7E0A">
        <w:rPr>
          <w:i/>
        </w:rPr>
        <w:lastRenderedPageBreak/>
        <w:t>atsistatydinimo bei valdžios perdavimo NGK, nešė į Lietuvos Respublikos Aukščiausiąją Tarybą, esančią Gedimino pr. 53, ir Ministrų Tarybą, esančią J. Tumo-Vaižganto g. 2, Vilniuje.</w:t>
      </w:r>
      <w:r w:rsidR="00117751" w:rsidRPr="003F7E0A">
        <w:rPr>
          <w:i/>
        </w:rPr>
        <w:t> </w:t>
      </w:r>
      <w:r w:rsidRPr="003F7E0A">
        <w:rPr>
          <w:i/>
        </w:rPr>
        <w:t>Tęsdami Lietuvoje pradėto karinio puolimo veiksmus, TSRS VSK grupės „A“ kariškiai kartu su ginkluotų kariškių grupe iš 76-osios oro desanto divizijos,</w:t>
      </w:r>
      <w:r w:rsidR="00D70EAE" w:rsidRPr="003F7E0A">
        <w:rPr>
          <w:i/>
        </w:rPr>
        <w:t xml:space="preserve"> 1991 m. </w:t>
      </w:r>
      <w:r w:rsidRPr="003F7E0A">
        <w:rPr>
          <w:i/>
        </w:rPr>
        <w:t>saus</w:t>
      </w:r>
      <w:r w:rsidR="00D70EAE" w:rsidRPr="003F7E0A">
        <w:rPr>
          <w:i/>
        </w:rPr>
        <w:t>io 13 </w:t>
      </w:r>
      <w:r w:rsidR="00117751" w:rsidRPr="003F7E0A">
        <w:rPr>
          <w:i/>
        </w:rPr>
        <w:t>d., apie 01.30 </w:t>
      </w:r>
      <w:r w:rsidRPr="003F7E0A">
        <w:rPr>
          <w:i/>
        </w:rPr>
        <w:t>val., užgrobė Lietuvos radijo ir televizijos centro radijofonijos cechą, esantį Tujų g. 2, Vilniuje ir laikė jį užgrobtą iki 1991m. rugpjūčio 23 d.</w:t>
      </w:r>
    </w:p>
    <w:p w:rsidR="00A155C4" w:rsidRPr="003F7E0A" w:rsidRDefault="00BE568B" w:rsidP="003F7E0A">
      <w:pPr>
        <w:ind w:left="992" w:firstLine="992"/>
        <w:rPr>
          <w:i/>
        </w:rPr>
      </w:pPr>
      <w:r w:rsidRPr="003F7E0A">
        <w:rPr>
          <w:i/>
        </w:rPr>
        <w:t xml:space="preserve">Vykdydami ir remdami kitos valstybės – TSRS ir jos organizacijos TSKP politiką bei įgyvendindami operacijos planavimo grupės ir vadovavimo štabo pagal </w:t>
      </w:r>
      <w:r w:rsidR="00385BC9" w:rsidRPr="003F7E0A">
        <w:rPr>
          <w:i/>
        </w:rPr>
        <w:t>D. J.</w:t>
      </w:r>
      <w:r w:rsidRPr="003F7E0A">
        <w:rPr>
          <w:i/>
        </w:rPr>
        <w:t xml:space="preserve"> (</w:t>
      </w:r>
      <w:r w:rsidR="00C507EF" w:rsidRPr="003F7E0A">
        <w:rPr>
          <w:i/>
        </w:rPr>
        <w:t>B. P.</w:t>
      </w:r>
      <w:r w:rsidRPr="003F7E0A">
        <w:rPr>
          <w:i/>
        </w:rPr>
        <w:t xml:space="preserve">, </w:t>
      </w:r>
      <w:r w:rsidR="00C507EF" w:rsidRPr="003F7E0A">
        <w:rPr>
          <w:i/>
        </w:rPr>
        <w:t>V. K.</w:t>
      </w:r>
      <w:r w:rsidRPr="003F7E0A">
        <w:rPr>
          <w:i/>
        </w:rPr>
        <w:t xml:space="preserve">, </w:t>
      </w:r>
      <w:r w:rsidR="00D37127" w:rsidRPr="003F7E0A">
        <w:rPr>
          <w:i/>
        </w:rPr>
        <w:t>O. Š.</w:t>
      </w:r>
      <w:r w:rsidRPr="003F7E0A">
        <w:rPr>
          <w:i/>
        </w:rPr>
        <w:t xml:space="preserve"> ir kitų nenustatytų asmenų) iniciatyva parengtą ir patvirtintą planą, TSRS agresijos ir ginkluoto konflikto metu, dideliu mastu ir sistemingai užpuldinėti civilius, TSRS GM 76-osios oro desanto divizijos apie du šimtai</w:t>
      </w:r>
      <w:r w:rsidR="00F93A4F" w:rsidRPr="003F7E0A">
        <w:rPr>
          <w:i/>
        </w:rPr>
        <w:t xml:space="preserve"> (200) kariškių, vadovaujamų </w:t>
      </w:r>
      <w:r w:rsidR="00385BC9" w:rsidRPr="003F7E0A">
        <w:rPr>
          <w:i/>
        </w:rPr>
        <w:t>V. K. 1</w:t>
      </w:r>
      <w:r w:rsidRPr="003F7E0A">
        <w:rPr>
          <w:i/>
        </w:rPr>
        <w:t xml:space="preserve">, bei 107-osios motorizuotų šaulių divizijos 106-ojo tankų pulko dvylika kariškių (12), vadovaujamų </w:t>
      </w:r>
      <w:r w:rsidR="00BA18FA" w:rsidRPr="003F7E0A">
        <w:rPr>
          <w:i/>
        </w:rPr>
        <w:t>G. I.</w:t>
      </w:r>
      <w:r w:rsidRPr="003F7E0A">
        <w:rPr>
          <w:i/>
        </w:rPr>
        <w:t xml:space="preserve">, karine technika atvyko prie Spaudos rūmų ir pradėjo tarptautinės humanitarinės teisės draudžiamą karo ataką prieš pastate dirbusius ir jį gynusius civilius, kurios metu nežmoniškai elgėsi su tarptautinės humanitarinės teisės saugomais asmenimis: persekiojo civilius dėl politinių ir nacionalinių motyvų, kuriuos draudžia tarptautinė teisė, sunkiai sutrikdė jų sveikatą, susargdino, o taip pat naudojo bauginimo ir teroro priemones bei tarptautinių sutarčių uždraustas karo priemones. </w:t>
      </w:r>
    </w:p>
    <w:p w:rsidR="00A155C4" w:rsidRPr="003F7E0A" w:rsidRDefault="00BE568B" w:rsidP="003F7E0A">
      <w:pPr>
        <w:ind w:left="992" w:firstLine="992"/>
        <w:rPr>
          <w:i/>
        </w:rPr>
      </w:pPr>
      <w:r w:rsidRPr="003F7E0A">
        <w:rPr>
          <w:i/>
        </w:rPr>
        <w:t xml:space="preserve">1991 m. sausio 11 d., apie 12 val., TSRS GM 76-osios oro desanto divizijos 237-ojo pulko kariškių grupė, vadovaujama kaltinamojo </w:t>
      </w:r>
      <w:r w:rsidR="00385BC9" w:rsidRPr="003F7E0A">
        <w:rPr>
          <w:i/>
        </w:rPr>
        <w:t>V. K. 1</w:t>
      </w:r>
      <w:r w:rsidRPr="003F7E0A">
        <w:rPr>
          <w:i/>
        </w:rPr>
        <w:t>, prie Spaudos rūmų atvyko desanto kovinėmis mašinomis BMD, kurių borto numeriai 211, 212, 213, 221, 229 ir vadavietei skirta BMD, kurios borto numeris 601, trimis URAL automobiliais, skirtais kariškiams pervežti, bei dviem automobiliais UAZ. Išsilaipinę iš BMD bei URAL automobilių, kariškiai pasidalinę į dvi grupes į Spaudos rūmus veržėsi pro centrinį ir tarnybinį įėjimus. Oro desanto kariškiai, ginkluoti automatais AKS-74 ir AKS-74U, kulkosvaidžiais RPK-74 ir RPKS-74, skirtais šaudyti 5,45 mm šoviniais, snaiperiniais ginklais SVD, stumdydami, smūgiuodami kumščiais ir ginklais suduodami nenustatytą skaičių smūgių civiliams, juos baugino ir terorizavo.</w:t>
      </w:r>
    </w:p>
    <w:p w:rsidR="00A155C4" w:rsidRPr="003F7E0A" w:rsidRDefault="00BE568B" w:rsidP="003F7E0A">
      <w:pPr>
        <w:ind w:left="992" w:firstLine="992"/>
        <w:rPr>
          <w:i/>
        </w:rPr>
      </w:pPr>
      <w:r w:rsidRPr="003F7E0A">
        <w:rPr>
          <w:i/>
        </w:rPr>
        <w:t xml:space="preserve">Šios karinės operacijos metu daliai kariškių patekus į civilių saugomą pastatą pro tarnybinį įėjimą, o likusiai kariškių daliai tebesiveržiant pro centrinį įėjimą, operacijai vadovavęs </w:t>
      </w:r>
      <w:r w:rsidR="00385BC9" w:rsidRPr="003F7E0A">
        <w:rPr>
          <w:i/>
        </w:rPr>
        <w:t>V. K. 1</w:t>
      </w:r>
      <w:r w:rsidRPr="003F7E0A">
        <w:rPr>
          <w:i/>
        </w:rPr>
        <w:t xml:space="preserve"> tyčia, iš automatinio ginklo AKS-74, naudodamas tarptautinių sutarčių uždraustą karo priemonę , o būtent 5,45 mm kalibro šovinius su išcentruota kulka, iššovė seriją šūvių į Spaudos rūmus gynusį ir vandens srovę į puolančius kariškius nukreipusį </w:t>
      </w:r>
      <w:r w:rsidR="00D37127" w:rsidRPr="003F7E0A">
        <w:rPr>
          <w:i/>
        </w:rPr>
        <w:t>(duomenys neskelbtini)</w:t>
      </w:r>
      <w:r w:rsidRPr="003F7E0A">
        <w:rPr>
          <w:i/>
        </w:rPr>
        <w:t xml:space="preserve"> </w:t>
      </w:r>
      <w:r w:rsidR="00C507EF" w:rsidRPr="003F7E0A">
        <w:rPr>
          <w:i/>
        </w:rPr>
        <w:t>V. L.</w:t>
      </w:r>
      <w:r w:rsidRPr="003F7E0A">
        <w:rPr>
          <w:i/>
        </w:rPr>
        <w:t xml:space="preserve">, tuo padarydamas jam sunkų sveikatos sutrikdymą, pasireiškusį kiauriniu šautiniu veido kairės pusės sužalojimu: viršutinio žandikaulio, kairio skruostikaulio, kairio skruosto nervo, kairės ausies landos sužalojimais, kairės akies tinklainės plyšimu ir galvos smegenų sukrėtimu, dėl ko </w:t>
      </w:r>
      <w:r w:rsidR="00C507EF" w:rsidRPr="003F7E0A">
        <w:rPr>
          <w:i/>
        </w:rPr>
        <w:t>V. L.</w:t>
      </w:r>
      <w:r w:rsidRPr="003F7E0A">
        <w:rPr>
          <w:i/>
        </w:rPr>
        <w:t xml:space="preserve"> sumažėjo regėjimas kaire akimi, jis apkurto kaire ausimi ir jam išsiv</w:t>
      </w:r>
      <w:r w:rsidR="000C727C" w:rsidRPr="003F7E0A">
        <w:rPr>
          <w:i/>
        </w:rPr>
        <w:t>ystė psicho organinis sindromas</w:t>
      </w:r>
      <w:r w:rsidR="00F93A4F" w:rsidRPr="003F7E0A">
        <w:rPr>
          <w:i/>
        </w:rPr>
        <w:t>.</w:t>
      </w:r>
    </w:p>
    <w:p w:rsidR="00A155C4" w:rsidRPr="003F7E0A" w:rsidRDefault="00BE568B" w:rsidP="003F7E0A">
      <w:pPr>
        <w:ind w:left="992" w:firstLine="992"/>
        <w:rPr>
          <w:i/>
        </w:rPr>
      </w:pPr>
      <w:r w:rsidRPr="003F7E0A">
        <w:rPr>
          <w:i/>
        </w:rPr>
        <w:t xml:space="preserve">Civiliams aktyviai priešinantis, vadovavimo operacijai štabas, reaguodamas į susidariusią padėtį, įsakė 76-osios oro desanto divizijos 234-ojo pulko vadui </w:t>
      </w:r>
      <w:r w:rsidR="00C507EF" w:rsidRPr="003F7E0A">
        <w:rPr>
          <w:i/>
        </w:rPr>
        <w:t>I. K.</w:t>
      </w:r>
      <w:r w:rsidRPr="003F7E0A">
        <w:rPr>
          <w:i/>
        </w:rPr>
        <w:t xml:space="preserve"> (ikiteisminis tyrimas nutrauktas mirus) ir 107-osios motorizuotų šaulių divizijos 106-ojo tankų pulko vadui </w:t>
      </w:r>
      <w:r w:rsidR="004069BF" w:rsidRPr="003F7E0A">
        <w:rPr>
          <w:i/>
        </w:rPr>
        <w:t>N. A.</w:t>
      </w:r>
      <w:r w:rsidRPr="003F7E0A">
        <w:rPr>
          <w:i/>
        </w:rPr>
        <w:t xml:space="preserve"> pavesti pavaldiems kariškiams dalyvauti kaltinamojo </w:t>
      </w:r>
      <w:r w:rsidR="00385BC9" w:rsidRPr="003F7E0A">
        <w:rPr>
          <w:i/>
        </w:rPr>
        <w:t>V. K. 1</w:t>
      </w:r>
      <w:r w:rsidRPr="003F7E0A">
        <w:rPr>
          <w:i/>
        </w:rPr>
        <w:t xml:space="preserve"> vadovaujamoje karo atakoje prie Spaudos rūmų. </w:t>
      </w:r>
    </w:p>
    <w:p w:rsidR="00A155C4" w:rsidRPr="003F7E0A" w:rsidRDefault="00BE568B" w:rsidP="003F7E0A">
      <w:pPr>
        <w:ind w:left="992" w:firstLine="992"/>
        <w:rPr>
          <w:i/>
        </w:rPr>
      </w:pPr>
      <w:r w:rsidRPr="003F7E0A">
        <w:rPr>
          <w:i/>
        </w:rPr>
        <w:t xml:space="preserve">Vykdami šį </w:t>
      </w:r>
      <w:r w:rsidR="00C507EF" w:rsidRPr="003F7E0A">
        <w:rPr>
          <w:i/>
        </w:rPr>
        <w:t>I. K.</w:t>
      </w:r>
      <w:r w:rsidRPr="003F7E0A">
        <w:rPr>
          <w:i/>
        </w:rPr>
        <w:t xml:space="preserve"> įsakymą, 76-osios oro desanto divizijos 234-ojo pulko trečiojo bataliono kariškiai, vadovaujami kaltinamojo </w:t>
      </w:r>
      <w:r w:rsidR="00385BC9" w:rsidRPr="003F7E0A">
        <w:rPr>
          <w:i/>
        </w:rPr>
        <w:t>V. S. 2</w:t>
      </w:r>
      <w:r w:rsidRPr="003F7E0A">
        <w:rPr>
          <w:i/>
        </w:rPr>
        <w:t xml:space="preserve"> ir jam pavaldžių kaltinamųjų </w:t>
      </w:r>
      <w:r w:rsidR="002451F2" w:rsidRPr="003F7E0A">
        <w:rPr>
          <w:i/>
        </w:rPr>
        <w:t>V. D.</w:t>
      </w:r>
      <w:r w:rsidRPr="003F7E0A">
        <w:rPr>
          <w:i/>
        </w:rPr>
        <w:t xml:space="preserve">, </w:t>
      </w:r>
      <w:r w:rsidR="006036E7" w:rsidRPr="003F7E0A">
        <w:rPr>
          <w:i/>
        </w:rPr>
        <w:t>A. G. 2</w:t>
      </w:r>
      <w:r w:rsidRPr="003F7E0A">
        <w:rPr>
          <w:i/>
        </w:rPr>
        <w:t xml:space="preserve">, </w:t>
      </w:r>
      <w:r w:rsidR="006036E7" w:rsidRPr="003F7E0A">
        <w:rPr>
          <w:i/>
        </w:rPr>
        <w:t>S. M.</w:t>
      </w:r>
      <w:r w:rsidRPr="003F7E0A">
        <w:rPr>
          <w:i/>
        </w:rPr>
        <w:t xml:space="preserve">, </w:t>
      </w:r>
      <w:r w:rsidR="006036E7" w:rsidRPr="003F7E0A">
        <w:rPr>
          <w:i/>
        </w:rPr>
        <w:t>V. K. 2</w:t>
      </w:r>
      <w:r w:rsidRPr="003F7E0A">
        <w:rPr>
          <w:i/>
        </w:rPr>
        <w:t xml:space="preserve">, </w:t>
      </w:r>
      <w:r w:rsidR="006036E7" w:rsidRPr="003F7E0A">
        <w:rPr>
          <w:i/>
        </w:rPr>
        <w:t>E. M.</w:t>
      </w:r>
      <w:r w:rsidRPr="003F7E0A">
        <w:rPr>
          <w:i/>
        </w:rPr>
        <w:t>, ginkluoti automatiniais ginklais, trimis URAL automobiliais atvyko prie Spaudos rūmų.</w:t>
      </w:r>
    </w:p>
    <w:p w:rsidR="00A155C4" w:rsidRPr="003F7E0A" w:rsidRDefault="00BE568B" w:rsidP="003F7E0A">
      <w:pPr>
        <w:ind w:left="992" w:firstLine="992"/>
        <w:rPr>
          <w:i/>
        </w:rPr>
      </w:pPr>
      <w:r w:rsidRPr="003F7E0A">
        <w:rPr>
          <w:i/>
        </w:rPr>
        <w:t xml:space="preserve">106-ojo tankų pulko vado </w:t>
      </w:r>
      <w:r w:rsidR="004069BF" w:rsidRPr="003F7E0A">
        <w:rPr>
          <w:i/>
        </w:rPr>
        <w:t>N. A.</w:t>
      </w:r>
      <w:r w:rsidRPr="003F7E0A">
        <w:rPr>
          <w:i/>
        </w:rPr>
        <w:t xml:space="preserve"> nurodymu, prie Spaudos rūmų atvyko keturi 107-osios motošaulių divizijos </w:t>
      </w:r>
      <w:r w:rsidR="00607189" w:rsidRPr="003F7E0A">
        <w:rPr>
          <w:i/>
        </w:rPr>
        <w:t>divizijos</w:t>
      </w:r>
      <w:r w:rsidRPr="003F7E0A">
        <w:rPr>
          <w:i/>
        </w:rPr>
        <w:t xml:space="preserve"> tankų pulko tankai, vadovaujami kaltinamojo </w:t>
      </w:r>
      <w:r w:rsidR="00BA18FA" w:rsidRPr="003F7E0A">
        <w:rPr>
          <w:i/>
        </w:rPr>
        <w:t>G. I.</w:t>
      </w:r>
      <w:r w:rsidRPr="003F7E0A">
        <w:rPr>
          <w:i/>
        </w:rPr>
        <w:t>:</w:t>
      </w:r>
    </w:p>
    <w:p w:rsidR="00A155C4" w:rsidRPr="003F7E0A" w:rsidRDefault="00BE568B" w:rsidP="003F7E0A">
      <w:pPr>
        <w:ind w:left="992" w:firstLine="992"/>
        <w:rPr>
          <w:i/>
        </w:rPr>
      </w:pPr>
      <w:r w:rsidRPr="003F7E0A">
        <w:rPr>
          <w:i/>
        </w:rPr>
        <w:lastRenderedPageBreak/>
        <w:t xml:space="preserve">- į tanko Nr. 511 ekipažą paskirti kaltinamieji: tanko vadu </w:t>
      </w:r>
      <w:r w:rsidR="00C82C9D" w:rsidRPr="003F7E0A">
        <w:rPr>
          <w:i/>
        </w:rPr>
        <w:t>V. U. 2</w:t>
      </w:r>
      <w:r w:rsidRPr="003F7E0A">
        <w:rPr>
          <w:i/>
        </w:rPr>
        <w:t xml:space="preserve">, taikytoju </w:t>
      </w:r>
      <w:r w:rsidR="00C82C9D" w:rsidRPr="003F7E0A">
        <w:rPr>
          <w:i/>
        </w:rPr>
        <w:t>A. B.</w:t>
      </w:r>
      <w:r w:rsidRPr="003F7E0A">
        <w:rPr>
          <w:i/>
        </w:rPr>
        <w:t xml:space="preserve">, mechaniku-vairuotoju </w:t>
      </w:r>
      <w:r w:rsidR="00A97F74" w:rsidRPr="003F7E0A">
        <w:rPr>
          <w:i/>
        </w:rPr>
        <w:t>A. R.</w:t>
      </w:r>
      <w:r w:rsidRPr="003F7E0A">
        <w:rPr>
          <w:i/>
        </w:rPr>
        <w:t>;</w:t>
      </w:r>
    </w:p>
    <w:p w:rsidR="00A155C4" w:rsidRPr="003F7E0A" w:rsidRDefault="00BE568B" w:rsidP="003F7E0A">
      <w:pPr>
        <w:ind w:left="992" w:firstLine="992"/>
        <w:rPr>
          <w:i/>
        </w:rPr>
      </w:pPr>
      <w:r w:rsidRPr="003F7E0A">
        <w:rPr>
          <w:i/>
        </w:rPr>
        <w:t xml:space="preserve">- į tanko Nr. 571 ekipažą paskirti kaltinamieji: tanko vadu </w:t>
      </w:r>
      <w:r w:rsidR="00C82C9D" w:rsidRPr="003F7E0A">
        <w:rPr>
          <w:i/>
        </w:rPr>
        <w:t>V. P.</w:t>
      </w:r>
      <w:r w:rsidRPr="003F7E0A">
        <w:rPr>
          <w:i/>
        </w:rPr>
        <w:t xml:space="preserve">, taikytoju </w:t>
      </w:r>
      <w:r w:rsidR="00A97F74" w:rsidRPr="003F7E0A">
        <w:rPr>
          <w:i/>
        </w:rPr>
        <w:t>N. O.</w:t>
      </w:r>
      <w:r w:rsidRPr="003F7E0A">
        <w:rPr>
          <w:i/>
        </w:rPr>
        <w:t xml:space="preserve">, mechaniku-vairuotoju </w:t>
      </w:r>
      <w:r w:rsidR="00C82C9D" w:rsidRPr="003F7E0A">
        <w:rPr>
          <w:i/>
        </w:rPr>
        <w:t>A. U.</w:t>
      </w:r>
      <w:r w:rsidRPr="003F7E0A">
        <w:rPr>
          <w:i/>
        </w:rPr>
        <w:t>;</w:t>
      </w:r>
    </w:p>
    <w:p w:rsidR="00A155C4" w:rsidRPr="003F7E0A" w:rsidRDefault="00BE568B" w:rsidP="003F7E0A">
      <w:pPr>
        <w:ind w:left="992" w:firstLine="992"/>
        <w:rPr>
          <w:i/>
        </w:rPr>
      </w:pPr>
      <w:r w:rsidRPr="003F7E0A">
        <w:rPr>
          <w:i/>
        </w:rPr>
        <w:t xml:space="preserve">- į tanko Nr. 574 ekipažą paskirti kaltinamieji: tanko vadu </w:t>
      </w:r>
      <w:r w:rsidR="00C82C9D" w:rsidRPr="003F7E0A">
        <w:rPr>
          <w:i/>
        </w:rPr>
        <w:t>E. R.</w:t>
      </w:r>
      <w:r w:rsidRPr="003F7E0A">
        <w:rPr>
          <w:i/>
        </w:rPr>
        <w:t xml:space="preserve">, taikytoju </w:t>
      </w:r>
      <w:r w:rsidR="00A97F74" w:rsidRPr="003F7E0A">
        <w:rPr>
          <w:i/>
        </w:rPr>
        <w:t>A. K. 2</w:t>
      </w:r>
      <w:r w:rsidRPr="003F7E0A">
        <w:rPr>
          <w:i/>
        </w:rPr>
        <w:t>, mechanik</w:t>
      </w:r>
      <w:r w:rsidR="000C727C" w:rsidRPr="003F7E0A">
        <w:rPr>
          <w:i/>
        </w:rPr>
        <w:t>u-vairuotoju</w:t>
      </w:r>
      <w:r w:rsidR="00A155C4" w:rsidRPr="003F7E0A">
        <w:rPr>
          <w:i/>
        </w:rPr>
        <w:t xml:space="preserve">as </w:t>
      </w:r>
      <w:r w:rsidR="00C82C9D" w:rsidRPr="003F7E0A">
        <w:rPr>
          <w:i/>
        </w:rPr>
        <w:t>N. S.</w:t>
      </w:r>
      <w:r w:rsidR="00A155C4" w:rsidRPr="003F7E0A">
        <w:rPr>
          <w:i/>
        </w:rPr>
        <w:t>;</w:t>
      </w:r>
      <w:r w:rsidR="00C82C9D" w:rsidRPr="003F7E0A">
        <w:rPr>
          <w:i/>
        </w:rPr>
        <w:t xml:space="preserve"> </w:t>
      </w:r>
    </w:p>
    <w:p w:rsidR="00A155C4" w:rsidRPr="003F7E0A" w:rsidRDefault="00BE568B" w:rsidP="003F7E0A">
      <w:pPr>
        <w:ind w:left="992" w:firstLine="992"/>
        <w:rPr>
          <w:i/>
        </w:rPr>
      </w:pPr>
      <w:r w:rsidRPr="003F7E0A">
        <w:rPr>
          <w:i/>
        </w:rPr>
        <w:t>- į tanko Nr. 119 ekipažą paskirti nariai ikiteisminio tyrimo metu nenustatyti.</w:t>
      </w:r>
    </w:p>
    <w:p w:rsidR="00A155C4" w:rsidRPr="003F7E0A" w:rsidRDefault="00BE568B" w:rsidP="003F7E0A">
      <w:pPr>
        <w:ind w:left="992" w:firstLine="992"/>
        <w:rPr>
          <w:i/>
        </w:rPr>
      </w:pPr>
      <w:r w:rsidRPr="003F7E0A">
        <w:rPr>
          <w:i/>
        </w:rPr>
        <w:t xml:space="preserve">Pagal operacijai vadovavusio </w:t>
      </w:r>
      <w:r w:rsidR="00385BC9" w:rsidRPr="003F7E0A">
        <w:rPr>
          <w:i/>
        </w:rPr>
        <w:t>V. K. 1</w:t>
      </w:r>
      <w:r w:rsidRPr="003F7E0A">
        <w:rPr>
          <w:i/>
        </w:rPr>
        <w:t xml:space="preserve"> nurodymą atvykę keturi T-72 tankai ir apie šimtas (100) kariškių iš 76-osios oro desanto divizijos 234-ojo pulko trečiojo bataliono, išsirikiavo priešais centrinį Spaudos rūmų įėjimą ir pagal komandą pradėjo pakartotinę Spaudos rūmų ataką bei rūmus gynusių civilių puolimą, terorizavimą bei bauginimą. Puolimo metu tankai, nemažiau kaip vieną kartą iššovė tuščiais užtais</w:t>
      </w:r>
      <w:r w:rsidR="00117751" w:rsidRPr="003F7E0A">
        <w:rPr>
          <w:i/>
        </w:rPr>
        <w:t xml:space="preserve">ais, tuo padarant </w:t>
      </w:r>
      <w:r w:rsidR="00D37127" w:rsidRPr="003F7E0A">
        <w:rPr>
          <w:i/>
        </w:rPr>
        <w:t>A. Š.</w:t>
      </w:r>
      <w:r w:rsidRPr="003F7E0A">
        <w:rPr>
          <w:i/>
        </w:rPr>
        <w:t xml:space="preserve"> akustinę traumą, dėl ko, išsivysčius klausos didelio laipsnio netekimui su kairės ausies kurtumu, pastarasis neteko 30 ir daugiau procentų bendro darbingumo.</w:t>
      </w:r>
    </w:p>
    <w:p w:rsidR="00A155C4" w:rsidRPr="003F7E0A" w:rsidRDefault="00BE568B" w:rsidP="003F7E0A">
      <w:pPr>
        <w:ind w:left="992" w:firstLine="992"/>
        <w:rPr>
          <w:i/>
        </w:rPr>
      </w:pPr>
      <w:r w:rsidRPr="003F7E0A">
        <w:rPr>
          <w:i/>
        </w:rPr>
        <w:t>Prie Spaudos rūmų buvę 76-osios oro desanto divizijos</w:t>
      </w:r>
      <w:r w:rsidR="001E4CBD" w:rsidRPr="003F7E0A">
        <w:rPr>
          <w:i/>
        </w:rPr>
        <w:t xml:space="preserve"> </w:t>
      </w:r>
      <w:r w:rsidRPr="003F7E0A">
        <w:rPr>
          <w:i/>
        </w:rPr>
        <w:t xml:space="preserve">234-ojo ir 237-ojo pulkų kariškiai, gavę operacijai vadovavusio </w:t>
      </w:r>
      <w:r w:rsidR="00385BC9" w:rsidRPr="003F7E0A">
        <w:rPr>
          <w:i/>
        </w:rPr>
        <w:t>V. K. 1</w:t>
      </w:r>
      <w:r w:rsidRPr="003F7E0A">
        <w:rPr>
          <w:i/>
        </w:rPr>
        <w:t xml:space="preserve"> įsakymą, būdami ginkluoti aukščiau minėtais ginklais ir šaudydami iš automatų AKS-74 ir AKS-74U tuščiais bei koviniais 5,45 mm kalibro šoviniais, kurių naudojimą draudžia tarptautinės sutartys bei panaudodami artimos kovos veiksmus (stumdydami, smūgiuodami kumščiais ir kojomis, suduodami ginklais nenustatytą skaičių smūgių įvairias kūno dalis), taip baugindami bei terorizuodami, atstūmė civilius nuo Spaudos rūmų pastato. </w:t>
      </w:r>
    </w:p>
    <w:p w:rsidR="00A155C4" w:rsidRPr="003F7E0A" w:rsidRDefault="00BE568B" w:rsidP="003F7E0A">
      <w:pPr>
        <w:ind w:left="992" w:firstLine="992"/>
        <w:rPr>
          <w:i/>
        </w:rPr>
      </w:pPr>
      <w:r w:rsidRPr="003F7E0A">
        <w:rPr>
          <w:i/>
        </w:rPr>
        <w:t>Karo atakos metu prie Spaudos rūmų dalyvavę kariškiai bendrais veiksmais užgrobė Spaudos rūmus, karinės atakos metu naudojant bauginimo, teroro bei tarptautinių sutarčių uždraustas karo priemones sutrikdė civilių asmenų sveikatą, padarydami įvairaus laipsnio kūno sužalojimus rūmus gynusiems civiliams asmenims:</w:t>
      </w:r>
    </w:p>
    <w:p w:rsidR="00A155C4" w:rsidRPr="003F7E0A" w:rsidRDefault="00BE568B" w:rsidP="003F7E0A">
      <w:pPr>
        <w:ind w:left="992" w:firstLine="992"/>
        <w:rPr>
          <w:i/>
        </w:rPr>
      </w:pPr>
      <w:r w:rsidRPr="003F7E0A">
        <w:rPr>
          <w:i/>
        </w:rPr>
        <w:t xml:space="preserve">- </w:t>
      </w:r>
      <w:r w:rsidR="00D37127" w:rsidRPr="003F7E0A">
        <w:rPr>
          <w:i/>
        </w:rPr>
        <w:t>S. A.</w:t>
      </w:r>
      <w:r w:rsidRPr="003F7E0A">
        <w:rPr>
          <w:i/>
        </w:rPr>
        <w:t xml:space="preserve">, </w:t>
      </w:r>
      <w:r w:rsidR="00D37127" w:rsidRPr="003F7E0A">
        <w:rPr>
          <w:i/>
        </w:rPr>
        <w:t>V. V.</w:t>
      </w:r>
      <w:r w:rsidRPr="003F7E0A">
        <w:rPr>
          <w:i/>
        </w:rPr>
        <w:t xml:space="preserve">, </w:t>
      </w:r>
      <w:r w:rsidR="00D37127" w:rsidRPr="003F7E0A">
        <w:rPr>
          <w:i/>
        </w:rPr>
        <w:t>V. B.</w:t>
      </w:r>
      <w:r w:rsidR="00F93A4F" w:rsidRPr="003F7E0A">
        <w:rPr>
          <w:i/>
        </w:rPr>
        <w:t xml:space="preserve">, </w:t>
      </w:r>
      <w:r w:rsidR="00D37127" w:rsidRPr="003F7E0A">
        <w:rPr>
          <w:i/>
        </w:rPr>
        <w:t>P. U.</w:t>
      </w:r>
      <w:r w:rsidR="00F93A4F" w:rsidRPr="003F7E0A">
        <w:rPr>
          <w:i/>
        </w:rPr>
        <w:t xml:space="preserve">, </w:t>
      </w:r>
      <w:r w:rsidR="00D37127" w:rsidRPr="003F7E0A">
        <w:rPr>
          <w:i/>
        </w:rPr>
        <w:t>R. D.</w:t>
      </w:r>
      <w:r w:rsidRPr="003F7E0A">
        <w:rPr>
          <w:i/>
        </w:rPr>
        <w:t xml:space="preserve">, </w:t>
      </w:r>
      <w:r w:rsidR="00D37127" w:rsidRPr="003F7E0A">
        <w:rPr>
          <w:i/>
        </w:rPr>
        <w:t>V. I.</w:t>
      </w:r>
      <w:r w:rsidRPr="003F7E0A">
        <w:rPr>
          <w:i/>
        </w:rPr>
        <w:t xml:space="preserve">, </w:t>
      </w:r>
      <w:r w:rsidR="00D37127" w:rsidRPr="003F7E0A">
        <w:rPr>
          <w:i/>
        </w:rPr>
        <w:t>M. J.</w:t>
      </w:r>
      <w:r w:rsidRPr="003F7E0A">
        <w:rPr>
          <w:i/>
        </w:rPr>
        <w:t>,</w:t>
      </w:r>
      <w:r w:rsidR="00F93A4F" w:rsidRPr="003F7E0A">
        <w:rPr>
          <w:i/>
        </w:rPr>
        <w:t xml:space="preserve"> </w:t>
      </w:r>
      <w:r w:rsidR="00D37127" w:rsidRPr="003F7E0A">
        <w:rPr>
          <w:i/>
        </w:rPr>
        <w:t>D. L.</w:t>
      </w:r>
      <w:r w:rsidR="00F93A4F" w:rsidRPr="003F7E0A">
        <w:rPr>
          <w:i/>
        </w:rPr>
        <w:t xml:space="preserve">, </w:t>
      </w:r>
      <w:r w:rsidR="005D064C" w:rsidRPr="003F7E0A">
        <w:rPr>
          <w:i/>
        </w:rPr>
        <w:t>K. K.</w:t>
      </w:r>
      <w:r w:rsidRPr="003F7E0A">
        <w:rPr>
          <w:i/>
        </w:rPr>
        <w:t xml:space="preserve">, </w:t>
      </w:r>
      <w:r w:rsidR="005D064C" w:rsidRPr="003F7E0A">
        <w:rPr>
          <w:i/>
        </w:rPr>
        <w:t>J. P.</w:t>
      </w:r>
      <w:r w:rsidRPr="003F7E0A">
        <w:rPr>
          <w:i/>
        </w:rPr>
        <w:t xml:space="preserve">, </w:t>
      </w:r>
      <w:r w:rsidR="005D064C" w:rsidRPr="003F7E0A">
        <w:rPr>
          <w:i/>
        </w:rPr>
        <w:t>E. M.,</w:t>
      </w:r>
      <w:r w:rsidR="00F93A4F" w:rsidRPr="003F7E0A">
        <w:rPr>
          <w:i/>
        </w:rPr>
        <w:t xml:space="preserve"> </w:t>
      </w:r>
      <w:r w:rsidR="005D064C" w:rsidRPr="003F7E0A">
        <w:rPr>
          <w:i/>
        </w:rPr>
        <w:t>G. P.</w:t>
      </w:r>
      <w:r w:rsidR="00F93A4F" w:rsidRPr="003F7E0A">
        <w:rPr>
          <w:i/>
        </w:rPr>
        <w:t xml:space="preserve">, </w:t>
      </w:r>
      <w:r w:rsidR="005D064C" w:rsidRPr="003F7E0A">
        <w:rPr>
          <w:i/>
        </w:rPr>
        <w:t>P. M.</w:t>
      </w:r>
      <w:r w:rsidRPr="003F7E0A">
        <w:rPr>
          <w:i/>
        </w:rPr>
        <w:t xml:space="preserve">, </w:t>
      </w:r>
      <w:r w:rsidR="005D064C" w:rsidRPr="003F7E0A">
        <w:rPr>
          <w:i/>
        </w:rPr>
        <w:t>V. P.</w:t>
      </w:r>
      <w:r w:rsidRPr="003F7E0A">
        <w:rPr>
          <w:i/>
        </w:rPr>
        <w:t xml:space="preserve">, </w:t>
      </w:r>
      <w:r w:rsidR="005D064C" w:rsidRPr="003F7E0A">
        <w:rPr>
          <w:i/>
        </w:rPr>
        <w:t>A. P.</w:t>
      </w:r>
      <w:r w:rsidRPr="003F7E0A">
        <w:rPr>
          <w:i/>
        </w:rPr>
        <w:t xml:space="preserve">, </w:t>
      </w:r>
      <w:r w:rsidR="005D064C" w:rsidRPr="003F7E0A">
        <w:rPr>
          <w:i/>
        </w:rPr>
        <w:t>A. R.</w:t>
      </w:r>
      <w:r w:rsidRPr="003F7E0A">
        <w:rPr>
          <w:i/>
        </w:rPr>
        <w:t xml:space="preserve">, </w:t>
      </w:r>
      <w:r w:rsidR="005D064C" w:rsidRPr="003F7E0A">
        <w:rPr>
          <w:i/>
        </w:rPr>
        <w:t>A. P.</w:t>
      </w:r>
      <w:r w:rsidRPr="003F7E0A">
        <w:rPr>
          <w:i/>
        </w:rPr>
        <w:t xml:space="preserve">, </w:t>
      </w:r>
      <w:r w:rsidR="005D064C" w:rsidRPr="003F7E0A">
        <w:rPr>
          <w:i/>
        </w:rPr>
        <w:t>S. S.</w:t>
      </w:r>
      <w:r w:rsidRPr="003F7E0A">
        <w:rPr>
          <w:i/>
        </w:rPr>
        <w:t xml:space="preserve">, </w:t>
      </w:r>
      <w:r w:rsidR="005D064C" w:rsidRPr="003F7E0A">
        <w:rPr>
          <w:i/>
        </w:rPr>
        <w:t>A. S.</w:t>
      </w:r>
      <w:r w:rsidRPr="003F7E0A">
        <w:rPr>
          <w:i/>
        </w:rPr>
        <w:t xml:space="preserve">, </w:t>
      </w:r>
      <w:r w:rsidR="005D064C" w:rsidRPr="003F7E0A">
        <w:rPr>
          <w:i/>
        </w:rPr>
        <w:t>R. S.</w:t>
      </w:r>
      <w:r w:rsidR="00F93A4F" w:rsidRPr="003F7E0A">
        <w:rPr>
          <w:i/>
        </w:rPr>
        <w:t xml:space="preserve">, </w:t>
      </w:r>
      <w:r w:rsidR="005D064C" w:rsidRPr="003F7E0A">
        <w:rPr>
          <w:i/>
        </w:rPr>
        <w:t>A. S.</w:t>
      </w:r>
      <w:r w:rsidR="00F93A4F" w:rsidRPr="003F7E0A">
        <w:rPr>
          <w:i/>
        </w:rPr>
        <w:t xml:space="preserve">, </w:t>
      </w:r>
      <w:r w:rsidR="005D064C" w:rsidRPr="003F7E0A">
        <w:rPr>
          <w:i/>
        </w:rPr>
        <w:t>A. Š.</w:t>
      </w:r>
      <w:r w:rsidRPr="003F7E0A">
        <w:rPr>
          <w:i/>
        </w:rPr>
        <w:t xml:space="preserve">, </w:t>
      </w:r>
      <w:r w:rsidR="005D064C" w:rsidRPr="003F7E0A">
        <w:rPr>
          <w:i/>
        </w:rPr>
        <w:t>V. S.</w:t>
      </w:r>
      <w:r w:rsidRPr="003F7E0A">
        <w:rPr>
          <w:i/>
        </w:rPr>
        <w:t xml:space="preserve">, </w:t>
      </w:r>
      <w:r w:rsidR="005D064C" w:rsidRPr="003F7E0A">
        <w:rPr>
          <w:i/>
        </w:rPr>
        <w:t>H. A. Š.</w:t>
      </w:r>
      <w:r w:rsidRPr="003F7E0A">
        <w:rPr>
          <w:i/>
        </w:rPr>
        <w:t xml:space="preserve">, </w:t>
      </w:r>
      <w:r w:rsidR="005D064C" w:rsidRPr="003F7E0A">
        <w:rPr>
          <w:i/>
        </w:rPr>
        <w:t>A. V.</w:t>
      </w:r>
      <w:r w:rsidRPr="003F7E0A">
        <w:rPr>
          <w:i/>
        </w:rPr>
        <w:t xml:space="preserve">, </w:t>
      </w:r>
      <w:r w:rsidR="005D064C" w:rsidRPr="003F7E0A">
        <w:rPr>
          <w:i/>
        </w:rPr>
        <w:t>S. L.</w:t>
      </w:r>
      <w:r w:rsidRPr="003F7E0A">
        <w:rPr>
          <w:i/>
        </w:rPr>
        <w:t xml:space="preserve">, </w:t>
      </w:r>
      <w:r w:rsidR="005D064C" w:rsidRPr="003F7E0A">
        <w:rPr>
          <w:i/>
        </w:rPr>
        <w:t>V. Ž.</w:t>
      </w:r>
      <w:r w:rsidRPr="003F7E0A">
        <w:rPr>
          <w:i/>
        </w:rPr>
        <w:t xml:space="preserve">, </w:t>
      </w:r>
      <w:r w:rsidR="005D064C" w:rsidRPr="003F7E0A">
        <w:rPr>
          <w:i/>
        </w:rPr>
        <w:t>A. V.</w:t>
      </w:r>
      <w:r w:rsidRPr="003F7E0A">
        <w:rPr>
          <w:i/>
        </w:rPr>
        <w:t xml:space="preserve">, </w:t>
      </w:r>
      <w:r w:rsidR="005D064C" w:rsidRPr="003F7E0A">
        <w:rPr>
          <w:i/>
        </w:rPr>
        <w:t>V. B.</w:t>
      </w:r>
      <w:r w:rsidRPr="003F7E0A">
        <w:rPr>
          <w:i/>
        </w:rPr>
        <w:t xml:space="preserve">, </w:t>
      </w:r>
      <w:r w:rsidR="005D064C" w:rsidRPr="003F7E0A">
        <w:rPr>
          <w:i/>
        </w:rPr>
        <w:t>T. Ž.</w:t>
      </w:r>
      <w:r w:rsidRPr="003F7E0A">
        <w:rPr>
          <w:i/>
        </w:rPr>
        <w:t xml:space="preserve">, </w:t>
      </w:r>
      <w:r w:rsidR="005D064C" w:rsidRPr="003F7E0A">
        <w:rPr>
          <w:i/>
        </w:rPr>
        <w:t>I. D.</w:t>
      </w:r>
      <w:r w:rsidR="00582907" w:rsidRPr="003F7E0A">
        <w:rPr>
          <w:i/>
        </w:rPr>
        <w:t xml:space="preserve"> </w:t>
      </w:r>
      <w:r w:rsidRPr="003F7E0A">
        <w:rPr>
          <w:i/>
        </w:rPr>
        <w:t xml:space="preserve">(trisdešimt vienam asmeniui) buvo padaryti tyčiniai nesunkūs sveikatos sutrikdymai; </w:t>
      </w:r>
    </w:p>
    <w:p w:rsidR="00117751" w:rsidRPr="003F7E0A" w:rsidRDefault="00BE568B" w:rsidP="003F7E0A">
      <w:pPr>
        <w:ind w:left="992" w:firstLine="992"/>
        <w:rPr>
          <w:i/>
        </w:rPr>
      </w:pPr>
      <w:r w:rsidRPr="003F7E0A">
        <w:rPr>
          <w:i/>
        </w:rPr>
        <w:t xml:space="preserve">- </w:t>
      </w:r>
      <w:r w:rsidR="005D064C" w:rsidRPr="003F7E0A">
        <w:rPr>
          <w:i/>
        </w:rPr>
        <w:t>G. A.</w:t>
      </w:r>
      <w:r w:rsidRPr="003F7E0A">
        <w:rPr>
          <w:i/>
        </w:rPr>
        <w:t xml:space="preserve">, </w:t>
      </w:r>
      <w:r w:rsidR="005D064C" w:rsidRPr="003F7E0A">
        <w:rPr>
          <w:i/>
        </w:rPr>
        <w:t>V. K.</w:t>
      </w:r>
      <w:r w:rsidRPr="003F7E0A">
        <w:rPr>
          <w:i/>
        </w:rPr>
        <w:t xml:space="preserve">, </w:t>
      </w:r>
      <w:r w:rsidR="005D064C" w:rsidRPr="003F7E0A">
        <w:rPr>
          <w:i/>
        </w:rPr>
        <w:t>S. G.</w:t>
      </w:r>
      <w:r w:rsidR="00F93A4F" w:rsidRPr="003F7E0A">
        <w:rPr>
          <w:i/>
        </w:rPr>
        <w:t xml:space="preserve">, </w:t>
      </w:r>
      <w:r w:rsidR="005D064C" w:rsidRPr="003F7E0A">
        <w:rPr>
          <w:i/>
        </w:rPr>
        <w:t>V. K.</w:t>
      </w:r>
      <w:r w:rsidRPr="003F7E0A">
        <w:rPr>
          <w:i/>
        </w:rPr>
        <w:t xml:space="preserve">, </w:t>
      </w:r>
      <w:r w:rsidR="005D064C" w:rsidRPr="003F7E0A">
        <w:rPr>
          <w:i/>
        </w:rPr>
        <w:t>A.-V. Z.</w:t>
      </w:r>
      <w:r w:rsidRPr="003F7E0A">
        <w:rPr>
          <w:i/>
        </w:rPr>
        <w:t xml:space="preserve">, </w:t>
      </w:r>
      <w:r w:rsidR="005D064C" w:rsidRPr="003F7E0A">
        <w:rPr>
          <w:i/>
        </w:rPr>
        <w:t>M. K.</w:t>
      </w:r>
      <w:r w:rsidRPr="003F7E0A">
        <w:rPr>
          <w:i/>
        </w:rPr>
        <w:t xml:space="preserve">, </w:t>
      </w:r>
      <w:r w:rsidR="005D064C" w:rsidRPr="003F7E0A">
        <w:rPr>
          <w:i/>
        </w:rPr>
        <w:t>S. Z.</w:t>
      </w:r>
      <w:r w:rsidRPr="003F7E0A">
        <w:rPr>
          <w:i/>
        </w:rPr>
        <w:t xml:space="preserve">, </w:t>
      </w:r>
      <w:r w:rsidR="005D064C" w:rsidRPr="003F7E0A">
        <w:rPr>
          <w:i/>
        </w:rPr>
        <w:t>V. M.</w:t>
      </w:r>
      <w:r w:rsidRPr="003F7E0A">
        <w:rPr>
          <w:i/>
        </w:rPr>
        <w:t xml:space="preserve">, </w:t>
      </w:r>
      <w:r w:rsidR="005D064C" w:rsidRPr="003F7E0A">
        <w:rPr>
          <w:i/>
        </w:rPr>
        <w:t>A. B.</w:t>
      </w:r>
      <w:r w:rsidRPr="003F7E0A">
        <w:rPr>
          <w:i/>
        </w:rPr>
        <w:t xml:space="preserve">, </w:t>
      </w:r>
      <w:r w:rsidR="005D064C" w:rsidRPr="003F7E0A">
        <w:rPr>
          <w:i/>
        </w:rPr>
        <w:t>V. C.</w:t>
      </w:r>
      <w:r w:rsidR="00F93A4F" w:rsidRPr="003F7E0A">
        <w:rPr>
          <w:i/>
        </w:rPr>
        <w:t xml:space="preserve">, </w:t>
      </w:r>
      <w:r w:rsidR="005D064C" w:rsidRPr="003F7E0A">
        <w:rPr>
          <w:i/>
        </w:rPr>
        <w:t>A. M.</w:t>
      </w:r>
      <w:r w:rsidR="00F93A4F" w:rsidRPr="003F7E0A">
        <w:rPr>
          <w:i/>
        </w:rPr>
        <w:t xml:space="preserve">, </w:t>
      </w:r>
      <w:r w:rsidR="005D064C" w:rsidRPr="003F7E0A">
        <w:rPr>
          <w:i/>
        </w:rPr>
        <w:t>A. J.</w:t>
      </w:r>
      <w:r w:rsidRPr="003F7E0A">
        <w:rPr>
          <w:i/>
        </w:rPr>
        <w:t xml:space="preserve">, </w:t>
      </w:r>
      <w:r w:rsidR="005D064C" w:rsidRPr="003F7E0A">
        <w:rPr>
          <w:i/>
        </w:rPr>
        <w:t>J. V. P.</w:t>
      </w:r>
      <w:r w:rsidRPr="003F7E0A">
        <w:rPr>
          <w:i/>
        </w:rPr>
        <w:t xml:space="preserve">, </w:t>
      </w:r>
      <w:r w:rsidR="005D064C" w:rsidRPr="003F7E0A">
        <w:rPr>
          <w:i/>
        </w:rPr>
        <w:t>A. K.</w:t>
      </w:r>
      <w:r w:rsidRPr="003F7E0A">
        <w:rPr>
          <w:i/>
        </w:rPr>
        <w:t xml:space="preserve">, </w:t>
      </w:r>
      <w:r w:rsidR="005D064C" w:rsidRPr="003F7E0A">
        <w:rPr>
          <w:i/>
        </w:rPr>
        <w:t>L. Z.</w:t>
      </w:r>
      <w:r w:rsidR="00F93A4F" w:rsidRPr="003F7E0A">
        <w:rPr>
          <w:i/>
        </w:rPr>
        <w:t xml:space="preserve"> (dabar </w:t>
      </w:r>
      <w:r w:rsidR="005D064C" w:rsidRPr="003F7E0A">
        <w:rPr>
          <w:i/>
        </w:rPr>
        <w:t>K.</w:t>
      </w:r>
      <w:r w:rsidRPr="003F7E0A">
        <w:rPr>
          <w:i/>
        </w:rPr>
        <w:t xml:space="preserve">), </w:t>
      </w:r>
      <w:r w:rsidR="005D064C" w:rsidRPr="003F7E0A">
        <w:rPr>
          <w:i/>
        </w:rPr>
        <w:t>Ž. M.</w:t>
      </w:r>
      <w:r w:rsidRPr="003F7E0A">
        <w:rPr>
          <w:i/>
        </w:rPr>
        <w:t xml:space="preserve">, </w:t>
      </w:r>
      <w:r w:rsidR="005D064C" w:rsidRPr="003F7E0A">
        <w:rPr>
          <w:i/>
        </w:rPr>
        <w:t>R. J.</w:t>
      </w:r>
      <w:r w:rsidRPr="003F7E0A">
        <w:rPr>
          <w:i/>
        </w:rPr>
        <w:t xml:space="preserve">, </w:t>
      </w:r>
      <w:r w:rsidR="005D064C" w:rsidRPr="003F7E0A">
        <w:rPr>
          <w:i/>
        </w:rPr>
        <w:t>L. J. S.</w:t>
      </w:r>
      <w:r w:rsidRPr="003F7E0A">
        <w:rPr>
          <w:i/>
        </w:rPr>
        <w:t xml:space="preserve">(dabar </w:t>
      </w:r>
      <w:r w:rsidR="005D064C" w:rsidRPr="003F7E0A">
        <w:rPr>
          <w:i/>
        </w:rPr>
        <w:t>P.</w:t>
      </w:r>
      <w:r w:rsidRPr="003F7E0A">
        <w:rPr>
          <w:i/>
        </w:rPr>
        <w:t xml:space="preserve">), </w:t>
      </w:r>
      <w:r w:rsidR="005D064C" w:rsidRPr="003F7E0A">
        <w:rPr>
          <w:i/>
        </w:rPr>
        <w:t>G. J.</w:t>
      </w:r>
      <w:r w:rsidRPr="003F7E0A">
        <w:rPr>
          <w:i/>
        </w:rPr>
        <w:t xml:space="preserve">, </w:t>
      </w:r>
      <w:r w:rsidR="005D064C" w:rsidRPr="003F7E0A">
        <w:rPr>
          <w:i/>
        </w:rPr>
        <w:t>B. S.</w:t>
      </w:r>
      <w:r w:rsidRPr="003F7E0A">
        <w:rPr>
          <w:i/>
        </w:rPr>
        <w:t xml:space="preserve">, </w:t>
      </w:r>
      <w:r w:rsidR="005D064C" w:rsidRPr="003F7E0A">
        <w:rPr>
          <w:i/>
        </w:rPr>
        <w:t>R. K.</w:t>
      </w:r>
      <w:r w:rsidRPr="003F7E0A">
        <w:rPr>
          <w:i/>
        </w:rPr>
        <w:t xml:space="preserve">, </w:t>
      </w:r>
      <w:r w:rsidR="005D064C" w:rsidRPr="003F7E0A">
        <w:rPr>
          <w:i/>
        </w:rPr>
        <w:t>F. Š.</w:t>
      </w:r>
      <w:r w:rsidRPr="003F7E0A">
        <w:rPr>
          <w:i/>
        </w:rPr>
        <w:t xml:space="preserve">, </w:t>
      </w:r>
      <w:r w:rsidR="005D064C" w:rsidRPr="003F7E0A">
        <w:rPr>
          <w:i/>
        </w:rPr>
        <w:t>J. K.</w:t>
      </w:r>
      <w:r w:rsidRPr="003F7E0A">
        <w:rPr>
          <w:i/>
        </w:rPr>
        <w:t xml:space="preserve">, </w:t>
      </w:r>
      <w:r w:rsidR="005D064C" w:rsidRPr="003F7E0A">
        <w:rPr>
          <w:i/>
        </w:rPr>
        <w:t>M. Š.</w:t>
      </w:r>
      <w:r w:rsidRPr="003F7E0A">
        <w:rPr>
          <w:i/>
        </w:rPr>
        <w:t xml:space="preserve"> (dvidešimt keturiems asmenims), tyčiniai nežymūs sveikatos sutrikdymai</w:t>
      </w:r>
      <w:r w:rsidR="00A66EFD" w:rsidRPr="003F7E0A">
        <w:rPr>
          <w:i/>
        </w:rPr>
        <w:t xml:space="preserve">“ </w:t>
      </w:r>
      <w:r w:rsidR="005D064C" w:rsidRPr="003F7E0A">
        <w:rPr>
          <w:rFonts w:eastAsia="Calibri"/>
          <w:i/>
        </w:rPr>
        <w:t>(žr. </w:t>
      </w:r>
      <w:r w:rsidR="00F17E36" w:rsidRPr="003F7E0A">
        <w:rPr>
          <w:rFonts w:eastAsia="Calibri"/>
          <w:i/>
        </w:rPr>
        <w:t>nuosprendžio 135–138 l</w:t>
      </w:r>
      <w:r w:rsidR="005F5803" w:rsidRPr="003F7E0A">
        <w:rPr>
          <w:rFonts w:eastAsia="Calibri"/>
          <w:i/>
        </w:rPr>
        <w:t>apus</w:t>
      </w:r>
      <w:r w:rsidR="00F17E36" w:rsidRPr="003F7E0A">
        <w:rPr>
          <w:rFonts w:eastAsia="Calibri"/>
          <w:i/>
        </w:rPr>
        <w:t xml:space="preserve"> (t.</w:t>
      </w:r>
      <w:r w:rsidR="005F5803" w:rsidRPr="003F7E0A">
        <w:rPr>
          <w:rFonts w:eastAsia="Calibri"/>
          <w:i/>
        </w:rPr>
        <w:t> </w:t>
      </w:r>
      <w:r w:rsidR="00F17E36" w:rsidRPr="003F7E0A">
        <w:rPr>
          <w:rFonts w:eastAsia="Calibri"/>
          <w:i/>
        </w:rPr>
        <w:t>769</w:t>
      </w:r>
      <w:r w:rsidR="00E672CC" w:rsidRPr="003F7E0A">
        <w:rPr>
          <w:rFonts w:eastAsia="Calibri"/>
          <w:i/>
        </w:rPr>
        <w:t>, b.</w:t>
      </w:r>
      <w:r w:rsidR="00F17E36" w:rsidRPr="003F7E0A">
        <w:rPr>
          <w:rFonts w:eastAsia="Calibri"/>
          <w:i/>
        </w:rPr>
        <w:t> l. 135–138)).</w:t>
      </w:r>
    </w:p>
    <w:p w:rsidR="00A66EFD" w:rsidRPr="00C00255" w:rsidRDefault="00A66EFD" w:rsidP="00321748">
      <w:pPr>
        <w:pStyle w:val="Heading3"/>
        <w:numPr>
          <w:ilvl w:val="1"/>
          <w:numId w:val="1"/>
        </w:numPr>
        <w:spacing w:before="120" w:after="120"/>
        <w:ind w:left="992" w:hanging="992"/>
        <w:jc w:val="both"/>
        <w:rPr>
          <w:b w:val="0"/>
          <w:i/>
          <w:lang w:val="lt-LT"/>
        </w:rPr>
      </w:pPr>
      <w:bookmarkStart w:id="22" w:name="_Toc37947827"/>
      <w:bookmarkStart w:id="23" w:name="_Toc67677306"/>
      <w:bookmarkStart w:id="24" w:name="_Toc67985433"/>
      <w:r w:rsidRPr="00C00255">
        <w:rPr>
          <w:rStyle w:val="Heading3Char"/>
          <w:rFonts w:eastAsia="Calibri"/>
          <w:b/>
          <w:sz w:val="24"/>
          <w:szCs w:val="24"/>
          <w:lang w:val="lt-LT"/>
        </w:rPr>
        <w:t>„</w:t>
      </w:r>
      <w:r w:rsidR="00490D1E" w:rsidRPr="00C00255">
        <w:rPr>
          <w:rStyle w:val="Heading3Char"/>
          <w:rFonts w:eastAsia="Calibri"/>
          <w:b/>
          <w:sz w:val="24"/>
          <w:szCs w:val="24"/>
          <w:lang w:val="lt-LT"/>
        </w:rPr>
        <w:t>Lietuvos radijo ir televizijos centro (TV bokšto) užgrobim</w:t>
      </w:r>
      <w:r w:rsidR="00E6448D" w:rsidRPr="00C00255">
        <w:rPr>
          <w:rStyle w:val="Heading3Char"/>
          <w:rFonts w:eastAsia="Calibri"/>
          <w:b/>
          <w:sz w:val="24"/>
          <w:szCs w:val="24"/>
          <w:lang w:val="lt-LT"/>
        </w:rPr>
        <w:t>as</w:t>
      </w:r>
      <w:r w:rsidRPr="00C00255">
        <w:rPr>
          <w:rStyle w:val="Heading3Char"/>
          <w:rFonts w:eastAsia="Calibri"/>
          <w:b/>
          <w:sz w:val="24"/>
          <w:szCs w:val="24"/>
          <w:lang w:val="lt-LT"/>
        </w:rPr>
        <w:t>“</w:t>
      </w:r>
      <w:bookmarkEnd w:id="22"/>
      <w:bookmarkEnd w:id="23"/>
      <w:bookmarkEnd w:id="24"/>
      <w:r w:rsidRPr="00C00255">
        <w:rPr>
          <w:rFonts w:eastAsia="Calibri"/>
          <w:b w:val="0"/>
          <w:lang w:val="lt-LT"/>
        </w:rPr>
        <w:t xml:space="preserve"> </w:t>
      </w:r>
    </w:p>
    <w:p w:rsidR="00117751" w:rsidRPr="003F7E0A" w:rsidRDefault="00490D1E" w:rsidP="003F7E0A">
      <w:pPr>
        <w:ind w:left="992" w:firstLine="992"/>
        <w:contextualSpacing/>
        <w:rPr>
          <w:i/>
        </w:rPr>
      </w:pPr>
      <w:r w:rsidRPr="003F7E0A">
        <w:rPr>
          <w:i/>
        </w:rPr>
        <w:t>„Tęsiant nusikaltimus žmoniškumui, TSRS vykdomos</w:t>
      </w:r>
      <w:r w:rsidR="00D70EAE" w:rsidRPr="003F7E0A">
        <w:rPr>
          <w:i/>
        </w:rPr>
        <w:t xml:space="preserve"> agresijos metu, 1991 m. sausio </w:t>
      </w:r>
      <w:r w:rsidRPr="003F7E0A">
        <w:rPr>
          <w:i/>
        </w:rPr>
        <w:t>12 d. vakare, tiksliai nenustatytu laiku, vadovavimo štabo įsakymu buvo toliau vykdomos tarptautinės humanitarinės teisės draudžiamos karo atakos prieš civilius ir užgrobiami strateginiai visuomenės informavimo objektais – Lietuvos ra</w:t>
      </w:r>
      <w:r w:rsidR="00117751" w:rsidRPr="003F7E0A">
        <w:rPr>
          <w:i/>
        </w:rPr>
        <w:t>dijo ir televizijos centras (TV </w:t>
      </w:r>
      <w:r w:rsidRPr="003F7E0A">
        <w:rPr>
          <w:i/>
        </w:rPr>
        <w:t>bokštas) ir LRT (RTV Komitetas).</w:t>
      </w:r>
    </w:p>
    <w:p w:rsidR="00117751" w:rsidRPr="003F7E0A" w:rsidRDefault="00490D1E" w:rsidP="003F7E0A">
      <w:pPr>
        <w:ind w:left="992" w:firstLine="992"/>
        <w:contextualSpacing/>
        <w:rPr>
          <w:i/>
        </w:rPr>
      </w:pPr>
      <w:r w:rsidRPr="003F7E0A">
        <w:rPr>
          <w:i/>
        </w:rPr>
        <w:t>Karo atakoje dalyvavusiems kariniams padaliniams, t.y. 165-iems kariškiams iš 76-osios oro desanto divizijos jungtinio karinio vieneto, 29-iems kariškiams iš grupės „A“, 12-ai kariškių iš 107-osios motorizuotų šaulių divizijos 106-ojo tankų pulko, tiksliai nenustatytam skaičiui kariškių iš 77-ojo motorizuotų šaulių pulko, ka</w:t>
      </w:r>
      <w:r w:rsidR="00117751" w:rsidRPr="003F7E0A">
        <w:rPr>
          <w:i/>
        </w:rPr>
        <w:t>rinės atakos prie TV</w:t>
      </w:r>
      <w:r w:rsidR="006418EB" w:rsidRPr="003F7E0A">
        <w:rPr>
          <w:i/>
        </w:rPr>
        <w:t> </w:t>
      </w:r>
      <w:r w:rsidR="00117751" w:rsidRPr="003F7E0A">
        <w:rPr>
          <w:i/>
        </w:rPr>
        <w:t>Centro (TV </w:t>
      </w:r>
      <w:r w:rsidRPr="003F7E0A">
        <w:rPr>
          <w:i/>
        </w:rPr>
        <w:t xml:space="preserve">Bokšto) metu vadovavo ir jų veiksmus koordinavo 76-osios oro desanto divizijos 234-ojo pulko 3 bataliono vadas kaltinamasis </w:t>
      </w:r>
      <w:r w:rsidR="00385BC9" w:rsidRPr="003F7E0A">
        <w:rPr>
          <w:i/>
        </w:rPr>
        <w:t>V. S. 2</w:t>
      </w:r>
      <w:r w:rsidRPr="003F7E0A">
        <w:rPr>
          <w:i/>
        </w:rPr>
        <w:t xml:space="preserve"> kartu su 76-osios oro desanto divizijos 234-ojo pulko vadu </w:t>
      </w:r>
      <w:r w:rsidR="00C507EF" w:rsidRPr="003F7E0A">
        <w:rPr>
          <w:i/>
        </w:rPr>
        <w:t>I. K.</w:t>
      </w:r>
      <w:r w:rsidRPr="003F7E0A">
        <w:rPr>
          <w:i/>
        </w:rPr>
        <w:t xml:space="preserve"> (ikiteisminis tyrimas nutrauktas), kuris savo veiksmus ryšio priemonėmis tiesiogiai derino su vadovavimo štabe buvusiu 76-osios oro desanto divizijos vado pavaduotoju kaltinamuoju </w:t>
      </w:r>
      <w:r w:rsidR="00385BC9" w:rsidRPr="003F7E0A">
        <w:rPr>
          <w:i/>
        </w:rPr>
        <w:t>V. K. 1</w:t>
      </w:r>
      <w:r w:rsidRPr="003F7E0A">
        <w:rPr>
          <w:i/>
        </w:rPr>
        <w:t xml:space="preserve">. </w:t>
      </w:r>
    </w:p>
    <w:p w:rsidR="00117751" w:rsidRPr="003F7E0A" w:rsidRDefault="00490D1E" w:rsidP="003F7E0A">
      <w:pPr>
        <w:ind w:left="992" w:firstLine="992"/>
        <w:contextualSpacing/>
        <w:rPr>
          <w:i/>
        </w:rPr>
      </w:pPr>
      <w:r w:rsidRPr="003F7E0A">
        <w:rPr>
          <w:i/>
        </w:rPr>
        <w:lastRenderedPageBreak/>
        <w:t xml:space="preserve">Pagal vadovavimo štabo užduotį, operacijoje dalyvaujantys padaliniai prieš civilius asmenis, esančius prie TV bokšto, naudojo teroro ir bauginimo priemones: </w:t>
      </w:r>
    </w:p>
    <w:p w:rsidR="00117751" w:rsidRPr="003F7E0A" w:rsidRDefault="00490D1E" w:rsidP="003F7E0A">
      <w:pPr>
        <w:ind w:left="992" w:firstLine="992"/>
        <w:contextualSpacing/>
        <w:rPr>
          <w:i/>
        </w:rPr>
      </w:pPr>
      <w:r w:rsidRPr="003F7E0A">
        <w:rPr>
          <w:i/>
        </w:rPr>
        <w:t>1991 m. sausio 13 d., apie 1.30 val., 77–o motorizuotų</w:t>
      </w:r>
      <w:r w:rsidR="00F93A4F" w:rsidRPr="003F7E0A">
        <w:rPr>
          <w:i/>
        </w:rPr>
        <w:t xml:space="preserve"> šaulių pulko kariškiai prie TV </w:t>
      </w:r>
      <w:r w:rsidRPr="003F7E0A">
        <w:rPr>
          <w:i/>
        </w:rPr>
        <w:t>bokšto atvyko iš priešingos, nei numatytas puolimas pusės tankais T-72, priešlėktuvinės gynybos sistema ŠILKA (ZSU 23-4) ir ne mažiau kaip penkiais BTR, vieno iš jų borto numeris 201. Atvykę Žvaigždžių (dabar L. Asanavičiūtės) gatve ir sustoję prie tilto, esančio Sudervės (dabar Sausio 13-osios g. ir V. Maciulevičiaus g.) bei Žvaigždžių (dabar L.</w:t>
      </w:r>
      <w:r w:rsidR="00117751" w:rsidRPr="003F7E0A">
        <w:rPr>
          <w:i/>
        </w:rPr>
        <w:t> </w:t>
      </w:r>
      <w:r w:rsidRPr="003F7E0A">
        <w:rPr>
          <w:i/>
        </w:rPr>
        <w:t>Asanavičiūtės) gatvių sankryžoje, turėjo nukreipti susirinkusių civilių dėmesį nuo Sudervės gatve (dabar Sausio 13-osios g.) atvykstančios kitos draudžiamoje ka</w:t>
      </w:r>
      <w:r w:rsidR="00F93A4F" w:rsidRPr="003F7E0A">
        <w:rPr>
          <w:i/>
        </w:rPr>
        <w:t>ro atakoje dalyvausiančios TSRS </w:t>
      </w:r>
      <w:r w:rsidRPr="003F7E0A">
        <w:rPr>
          <w:i/>
        </w:rPr>
        <w:t>kariškių kolonos.</w:t>
      </w:r>
    </w:p>
    <w:p w:rsidR="00117751" w:rsidRPr="003F7E0A" w:rsidRDefault="00490D1E" w:rsidP="003F7E0A">
      <w:pPr>
        <w:ind w:left="992" w:firstLine="992"/>
        <w:contextualSpacing/>
        <w:rPr>
          <w:i/>
        </w:rPr>
      </w:pPr>
      <w:r w:rsidRPr="003F7E0A">
        <w:rPr>
          <w:i/>
        </w:rPr>
        <w:t>TSRS VSK (KGB) grupės „A“ ir 76-osios oro desa</w:t>
      </w:r>
      <w:r w:rsidR="00D70EAE" w:rsidRPr="003F7E0A">
        <w:rPr>
          <w:i/>
        </w:rPr>
        <w:t>nto divizijos kariškiai prie TV </w:t>
      </w:r>
      <w:r w:rsidRPr="003F7E0A">
        <w:rPr>
          <w:i/>
        </w:rPr>
        <w:t>bokšto atvyko automobiliais ZIL-131, URAL bei BTR-D ir BMP. Karinė technika griovė užtvaras, pavojingai manevruodama važinėjo aplink TV bokštą, baugino civilius, siekiant juos nustumti nuo užimamo objekto, jų atžvilgiu naudojo sprogstamuosius įtaisus, specialiąsias ir imitacines priemones, pritaikytas priemones žmonėms žaloti, šaudyti garsiniais ir koviniais šoviniais, naudojo artimos kovos veiksmus. 76-osios oro desanto divizijos kariškiai, braudamiesi pro civilius link TV bokšto, darė taip vadinamą „koridorių“ grupės „A“ kariškiams, idant šie patektų į užimamo objekto vidų ir išjungtų radijo ir televizijos transliavimą užtikrinančius įrenginius. 76-osios oro desanto divizijos kariškiai šalino civilius iš TV bokšto pastato ir teritorijos, atjungė TV bokšto apsaugos sistemą ir saugojo užgrobtą objektą.</w:t>
      </w:r>
      <w:r w:rsidR="000C727C" w:rsidRPr="003F7E0A">
        <w:rPr>
          <w:i/>
        </w:rPr>
        <w:t xml:space="preserve"> </w:t>
      </w:r>
    </w:p>
    <w:p w:rsidR="00117751" w:rsidRPr="003F7E0A" w:rsidRDefault="00490D1E" w:rsidP="003F7E0A">
      <w:pPr>
        <w:ind w:left="992" w:firstLine="992"/>
        <w:contextualSpacing/>
        <w:rPr>
          <w:i/>
        </w:rPr>
      </w:pPr>
      <w:r w:rsidRPr="003F7E0A">
        <w:rPr>
          <w:i/>
        </w:rPr>
        <w:t xml:space="preserve">Trys 107-osios motorizuotų šaulių divizijos 77-ojo motorizuotų šaulių pulko, civilių dėmesį nukreipiančiosios kolonos tankai T-72, kurių borto Nr. 220, 221 ir 223, draudžiamos karo atakos metu šaudė iš tankų pabūklų tuščiais užtaisais, skleidė dūmines užsklandas, karinės technikos žibintais apšvietė civilius, pavojingai manevruojant važinėjo Sudervės gatve ir šalino civilius bei esančias užtvaras. Priešlėktuvinės gynybos sistema ŠILKA šaudė – 23 mm kalibro šoviniais TV bokšto pusėn. </w:t>
      </w:r>
    </w:p>
    <w:p w:rsidR="00117751" w:rsidRPr="003F7E0A" w:rsidRDefault="00490D1E" w:rsidP="003F7E0A">
      <w:pPr>
        <w:ind w:left="992" w:firstLine="992"/>
        <w:contextualSpacing/>
        <w:rPr>
          <w:i/>
        </w:rPr>
      </w:pPr>
      <w:r w:rsidRPr="003F7E0A">
        <w:rPr>
          <w:i/>
        </w:rPr>
        <w:t xml:space="preserve">Kai civiliai bėgo į nukreipiančios karinės technikos kolonos pusę, apie 2 val., iš kitos pusės Sudervės gatve atvyko puolančioji kolona, kuriai </w:t>
      </w:r>
      <w:r w:rsidR="00CE2142" w:rsidRPr="003F7E0A">
        <w:rPr>
          <w:i/>
        </w:rPr>
        <w:t xml:space="preserve">vadovavo kaltinamasis </w:t>
      </w:r>
      <w:r w:rsidR="00385BC9" w:rsidRPr="003F7E0A">
        <w:rPr>
          <w:i/>
        </w:rPr>
        <w:t>V. S. 2</w:t>
      </w:r>
      <w:r w:rsidR="00117751" w:rsidRPr="003F7E0A">
        <w:rPr>
          <w:i/>
        </w:rPr>
        <w:t>.</w:t>
      </w:r>
    </w:p>
    <w:p w:rsidR="00117751" w:rsidRPr="003F7E0A" w:rsidRDefault="00490D1E" w:rsidP="003F7E0A">
      <w:pPr>
        <w:ind w:left="992" w:firstLine="992"/>
        <w:contextualSpacing/>
        <w:rPr>
          <w:i/>
        </w:rPr>
      </w:pPr>
      <w:r w:rsidRPr="003F7E0A">
        <w:rPr>
          <w:i/>
        </w:rPr>
        <w:t>Puolančiąją koloną sudarė 107 motorizuotų šaulių divizijos 106 tankų pulko keturi tankai T-72, kurių borto Nr. 502, 513, 541 ir 544, 76-osios oro desan</w:t>
      </w:r>
      <w:r w:rsidR="00F93A4F" w:rsidRPr="003F7E0A">
        <w:rPr>
          <w:i/>
        </w:rPr>
        <w:t>to divizijos jungtinio pulko 17 </w:t>
      </w:r>
      <w:r w:rsidRPr="003F7E0A">
        <w:rPr>
          <w:i/>
        </w:rPr>
        <w:t>BMD, kurių borto Nr. 281, 295, 283, 284, 286, 289, 291, 292, 294, 296, 242, 243, 246, 247, 248, 258 ir 259, viena BMD KŠM, kurios borto Nr. 600, du automobiliai URAL, skirti kariams pervežti, kurių vieno k/n 23-04 OF, du automobiliai ZIL-131, kurių vieno k/n 23-30 OF ir kuris buvo skirtas techniniam aptarnavimui, viena BTR-D, kurios borto Nr.</w:t>
      </w:r>
      <w:r w:rsidR="000C727C" w:rsidRPr="003F7E0A">
        <w:rPr>
          <w:i/>
        </w:rPr>
        <w:t xml:space="preserve"> </w:t>
      </w:r>
      <w:r w:rsidRPr="003F7E0A">
        <w:rPr>
          <w:i/>
        </w:rPr>
        <w:t xml:space="preserve">670, ir nenustatytam kariniam daliniui priklausanti patruliavimo mašina - BRDM. </w:t>
      </w:r>
    </w:p>
    <w:p w:rsidR="00117751" w:rsidRPr="003F7E0A" w:rsidRDefault="00490D1E" w:rsidP="003F7E0A">
      <w:pPr>
        <w:ind w:left="992" w:firstLine="992"/>
        <w:contextualSpacing/>
        <w:rPr>
          <w:i/>
        </w:rPr>
      </w:pPr>
      <w:r w:rsidRPr="003F7E0A">
        <w:rPr>
          <w:i/>
        </w:rPr>
        <w:t xml:space="preserve">Keturi puolančiosios kolonos tankai su 12-a kariškių iš 106-o </w:t>
      </w:r>
      <w:r w:rsidR="00A155C4" w:rsidRPr="003F7E0A">
        <w:rPr>
          <w:i/>
        </w:rPr>
        <w:t>tankų pulko prie TV </w:t>
      </w:r>
      <w:r w:rsidRPr="003F7E0A">
        <w:rPr>
          <w:i/>
        </w:rPr>
        <w:t xml:space="preserve">bokšto atvyko iš Sudervės g. pusės, šalino kelyje buvusias užtvaras, keliose vietose išgriovė TV bokšto teritoriją juosiančią tvorą ir padarė kelią iš paskos važiuojančiai karinės technikos kolonai, šaudė iš tankų pabūklų tuščiais užtaisais, skleidė dūmines užsklandas, apšvietė karinės technikos žibintais civilius, pavojingai manevruodami važinėjo TV bokšto teritorijoje šalino civilius iš teritorijos ir TV bokšto prieigų. </w:t>
      </w:r>
    </w:p>
    <w:p w:rsidR="00117751" w:rsidRPr="003F7E0A" w:rsidRDefault="00490D1E" w:rsidP="003F7E0A">
      <w:pPr>
        <w:ind w:left="992" w:firstLine="992"/>
        <w:contextualSpacing/>
        <w:rPr>
          <w:i/>
        </w:rPr>
      </w:pPr>
      <w:r w:rsidRPr="003F7E0A">
        <w:rPr>
          <w:i/>
        </w:rPr>
        <w:t xml:space="preserve">Kolonos vadas kaltinamasis </w:t>
      </w:r>
      <w:r w:rsidR="00385BC9" w:rsidRPr="003F7E0A">
        <w:rPr>
          <w:i/>
        </w:rPr>
        <w:t>V. S. 2</w:t>
      </w:r>
      <w:r w:rsidRPr="003F7E0A">
        <w:rPr>
          <w:i/>
        </w:rPr>
        <w:t xml:space="preserve">, gavęs informaciją iš kolonos priekyje BMD 281, važiuojančio kaltinamojo </w:t>
      </w:r>
      <w:r w:rsidR="002451F2" w:rsidRPr="003F7E0A">
        <w:rPr>
          <w:i/>
        </w:rPr>
        <w:t>V. D.</w:t>
      </w:r>
      <w:r w:rsidRPr="003F7E0A">
        <w:rPr>
          <w:i/>
        </w:rPr>
        <w:t xml:space="preserve"> apie tai, kad kolonos kelyje yra užtvarų iš transporto priemonių, tankų pulko vadui kaltinamajam </w:t>
      </w:r>
      <w:r w:rsidR="004069BF" w:rsidRPr="003F7E0A">
        <w:rPr>
          <w:i/>
        </w:rPr>
        <w:t>N. A.</w:t>
      </w:r>
      <w:r w:rsidRPr="003F7E0A">
        <w:rPr>
          <w:i/>
        </w:rPr>
        <w:t xml:space="preserve"> nurodė jas pašalinti. Kaltinamojo </w:t>
      </w:r>
      <w:r w:rsidR="004069BF" w:rsidRPr="003F7E0A">
        <w:rPr>
          <w:i/>
        </w:rPr>
        <w:t>N. A.</w:t>
      </w:r>
      <w:r w:rsidRPr="003F7E0A">
        <w:rPr>
          <w:i/>
        </w:rPr>
        <w:t xml:space="preserve"> nurodymu, j</w:t>
      </w:r>
      <w:r w:rsidR="00F93A4F" w:rsidRPr="003F7E0A">
        <w:rPr>
          <w:i/>
        </w:rPr>
        <w:t>o vadovaujamas tankas, borto Nr</w:t>
      </w:r>
      <w:r w:rsidR="006018A3" w:rsidRPr="003F7E0A">
        <w:rPr>
          <w:i/>
        </w:rPr>
        <w:t>.</w:t>
      </w:r>
      <w:r w:rsidR="00F93A4F" w:rsidRPr="003F7E0A">
        <w:rPr>
          <w:i/>
        </w:rPr>
        <w:t> </w:t>
      </w:r>
      <w:r w:rsidRPr="003F7E0A">
        <w:rPr>
          <w:i/>
        </w:rPr>
        <w:t xml:space="preserve">502, kurio ekipaže buvo taikytojas kaltinamasis </w:t>
      </w:r>
      <w:r w:rsidR="00C82C9D" w:rsidRPr="003F7E0A">
        <w:rPr>
          <w:i/>
        </w:rPr>
        <w:t>O. A.</w:t>
      </w:r>
      <w:r w:rsidRPr="003F7E0A">
        <w:rPr>
          <w:i/>
        </w:rPr>
        <w:t xml:space="preserve"> ir mechanikas-vairuotojas kaltinamasis </w:t>
      </w:r>
      <w:r w:rsidR="00C82C9D" w:rsidRPr="003F7E0A">
        <w:rPr>
          <w:i/>
        </w:rPr>
        <w:t>V. S. 4</w:t>
      </w:r>
      <w:r w:rsidRPr="003F7E0A">
        <w:rPr>
          <w:i/>
        </w:rPr>
        <w:t xml:space="preserve">, kartu su kaltinamojo </w:t>
      </w:r>
      <w:r w:rsidR="00C82C9D" w:rsidRPr="003F7E0A">
        <w:rPr>
          <w:i/>
        </w:rPr>
        <w:t>S. V.</w:t>
      </w:r>
      <w:r w:rsidRPr="003F7E0A">
        <w:rPr>
          <w:i/>
        </w:rPr>
        <w:t xml:space="preserve"> vadovaujamo tanko, kurio borto Nr. 513 ekipažu: taikytojas </w:t>
      </w:r>
      <w:r w:rsidR="00C943F4" w:rsidRPr="003F7E0A">
        <w:rPr>
          <w:i/>
        </w:rPr>
        <w:t>I. B.</w:t>
      </w:r>
      <w:r w:rsidRPr="003F7E0A">
        <w:rPr>
          <w:i/>
        </w:rPr>
        <w:t xml:space="preserve"> (baudžiamoji byla </w:t>
      </w:r>
      <w:r w:rsidRPr="003F7E0A">
        <w:rPr>
          <w:i/>
        </w:rPr>
        <w:lastRenderedPageBreak/>
        <w:t xml:space="preserve">nutraukta) ir mechanikas-vairuotojas kaltinamais </w:t>
      </w:r>
      <w:r w:rsidR="00A97F74" w:rsidRPr="003F7E0A">
        <w:rPr>
          <w:i/>
        </w:rPr>
        <w:t>A. K. 1</w:t>
      </w:r>
      <w:r w:rsidRPr="003F7E0A">
        <w:rPr>
          <w:i/>
        </w:rPr>
        <w:t xml:space="preserve">, šalino kliūtis ir sukėlė pavojų civilių gyvybei ir sveikatai. </w:t>
      </w:r>
    </w:p>
    <w:p w:rsidR="00117751" w:rsidRPr="003F7E0A" w:rsidRDefault="00490D1E" w:rsidP="003F7E0A">
      <w:pPr>
        <w:ind w:left="992" w:firstLine="992"/>
        <w:contextualSpacing/>
        <w:rPr>
          <w:i/>
        </w:rPr>
      </w:pPr>
      <w:r w:rsidRPr="003F7E0A">
        <w:rPr>
          <w:i/>
        </w:rPr>
        <w:t xml:space="preserve">Vienas iš užtvaras šalinusių tankų, stumdamas nuo pravažiavimo smėlio barstytuvą ZIL-130 KDM, kurio </w:t>
      </w:r>
      <w:r w:rsidR="00607189" w:rsidRPr="003F7E0A">
        <w:rPr>
          <w:i/>
        </w:rPr>
        <w:t>v/n</w:t>
      </w:r>
      <w:r w:rsidRPr="003F7E0A">
        <w:rPr>
          <w:i/>
        </w:rPr>
        <w:t xml:space="preserve"> </w:t>
      </w:r>
      <w:r w:rsidR="00C943F4" w:rsidRPr="003F7E0A">
        <w:rPr>
          <w:i/>
        </w:rPr>
        <w:t xml:space="preserve">(duomenys neskelbtini; </w:t>
      </w:r>
      <w:r w:rsidRPr="003F7E0A">
        <w:rPr>
          <w:i/>
        </w:rPr>
        <w:t>raidės rusiškos), pr</w:t>
      </w:r>
      <w:r w:rsidR="00C943F4" w:rsidRPr="003F7E0A">
        <w:rPr>
          <w:i/>
        </w:rPr>
        <w:t>ie jo prispaudė A.</w:t>
      </w:r>
      <w:r w:rsidR="00F93A4F" w:rsidRPr="003F7E0A">
        <w:rPr>
          <w:i/>
        </w:rPr>
        <w:t> </w:t>
      </w:r>
      <w:r w:rsidR="00C943F4" w:rsidRPr="003F7E0A">
        <w:rPr>
          <w:i/>
        </w:rPr>
        <w:t>P.</w:t>
      </w:r>
      <w:r w:rsidR="00F93A4F" w:rsidRPr="003F7E0A">
        <w:rPr>
          <w:i/>
        </w:rPr>
        <w:t> </w:t>
      </w:r>
      <w:r w:rsidRPr="003F7E0A">
        <w:rPr>
          <w:i/>
        </w:rPr>
        <w:t>K</w:t>
      </w:r>
      <w:r w:rsidR="00C943F4" w:rsidRPr="003F7E0A">
        <w:rPr>
          <w:i/>
        </w:rPr>
        <w:t>.</w:t>
      </w:r>
      <w:r w:rsidRPr="003F7E0A">
        <w:rPr>
          <w:i/>
        </w:rPr>
        <w:t xml:space="preserve">, kuris dėl nuo visumos traumų galvoje, kūne ir galūnėse bei daugybės skeleto kaulų lūžių ir traumų sukelto šoko komplikacijos, galvos smegenų, plaučių pabrinkimo ir vidinės kraujosruvos mirė, t.y. nukentėjusįjį tyčia nužudė. </w:t>
      </w:r>
    </w:p>
    <w:p w:rsidR="00117751" w:rsidRPr="003F7E0A" w:rsidRDefault="00490D1E" w:rsidP="003F7E0A">
      <w:pPr>
        <w:ind w:left="992" w:firstLine="992"/>
        <w:contextualSpacing/>
        <w:rPr>
          <w:i/>
        </w:rPr>
      </w:pPr>
      <w:r w:rsidRPr="003F7E0A">
        <w:rPr>
          <w:i/>
        </w:rPr>
        <w:t xml:space="preserve">Kaltinamojo </w:t>
      </w:r>
      <w:r w:rsidR="004069BF" w:rsidRPr="003F7E0A">
        <w:rPr>
          <w:i/>
        </w:rPr>
        <w:t>N. A.</w:t>
      </w:r>
      <w:r w:rsidRPr="003F7E0A">
        <w:rPr>
          <w:i/>
        </w:rPr>
        <w:t xml:space="preserve"> vadovaujamam tankui Nr. 502, kurio ekipaže buvo kaltinamieji </w:t>
      </w:r>
      <w:r w:rsidR="00C82C9D" w:rsidRPr="003F7E0A">
        <w:rPr>
          <w:i/>
        </w:rPr>
        <w:t>O. A.</w:t>
      </w:r>
      <w:r w:rsidRPr="003F7E0A">
        <w:rPr>
          <w:i/>
        </w:rPr>
        <w:t xml:space="preserve"> bei </w:t>
      </w:r>
      <w:r w:rsidR="00C82C9D" w:rsidRPr="003F7E0A">
        <w:rPr>
          <w:i/>
        </w:rPr>
        <w:t>V. S. 4</w:t>
      </w:r>
      <w:r w:rsidRPr="003F7E0A">
        <w:rPr>
          <w:i/>
        </w:rPr>
        <w:t xml:space="preserve"> bei kaltinamojo </w:t>
      </w:r>
      <w:r w:rsidR="00C82C9D" w:rsidRPr="003F7E0A">
        <w:rPr>
          <w:i/>
        </w:rPr>
        <w:t>S. V.</w:t>
      </w:r>
      <w:r w:rsidRPr="003F7E0A">
        <w:rPr>
          <w:i/>
        </w:rPr>
        <w:t xml:space="preserve"> vadovaujamo</w:t>
      </w:r>
      <w:r w:rsidR="000C727C" w:rsidRPr="003F7E0A">
        <w:rPr>
          <w:i/>
        </w:rPr>
        <w:t xml:space="preserve"> </w:t>
      </w:r>
      <w:r w:rsidRPr="003F7E0A">
        <w:rPr>
          <w:i/>
        </w:rPr>
        <w:t>tanko</w:t>
      </w:r>
      <w:r w:rsidR="00F93A4F" w:rsidRPr="003F7E0A">
        <w:rPr>
          <w:i/>
        </w:rPr>
        <w:t xml:space="preserve"> Nr. 513 </w:t>
      </w:r>
      <w:r w:rsidRPr="003F7E0A">
        <w:rPr>
          <w:i/>
        </w:rPr>
        <w:t>ekipažui, kurio vairuotojas -</w:t>
      </w:r>
      <w:r w:rsidR="006018A3" w:rsidRPr="003F7E0A">
        <w:rPr>
          <w:i/>
        </w:rPr>
        <w:t xml:space="preserve"> </w:t>
      </w:r>
      <w:r w:rsidRPr="003F7E0A">
        <w:rPr>
          <w:i/>
        </w:rPr>
        <w:t xml:space="preserve">mechanikas buvo kaltinamasis </w:t>
      </w:r>
      <w:r w:rsidR="00A97F74" w:rsidRPr="003F7E0A">
        <w:rPr>
          <w:i/>
        </w:rPr>
        <w:t>A. K. 1</w:t>
      </w:r>
      <w:r w:rsidRPr="003F7E0A">
        <w:rPr>
          <w:i/>
        </w:rPr>
        <w:t xml:space="preserve">, pašalinus užtvaras, šie tankai bei už jų važiavęs kaltinamojo </w:t>
      </w:r>
      <w:r w:rsidR="00C82C9D" w:rsidRPr="003F7E0A">
        <w:rPr>
          <w:i/>
        </w:rPr>
        <w:t>V. Š. 3</w:t>
      </w:r>
      <w:r w:rsidRPr="003F7E0A">
        <w:rPr>
          <w:i/>
        </w:rPr>
        <w:t xml:space="preserve"> vadovaujamas tankas Nr. 541, kurio taikytojas </w:t>
      </w:r>
      <w:r w:rsidR="00C82C9D" w:rsidRPr="003F7E0A">
        <w:rPr>
          <w:i/>
        </w:rPr>
        <w:t>A. G. 1</w:t>
      </w:r>
      <w:r w:rsidRPr="003F7E0A">
        <w:rPr>
          <w:i/>
        </w:rPr>
        <w:t xml:space="preserve">, mechanikas-vairuotojas </w:t>
      </w:r>
      <w:r w:rsidR="00C943F4" w:rsidRPr="003F7E0A">
        <w:rPr>
          <w:i/>
        </w:rPr>
        <w:t>V. P.</w:t>
      </w:r>
      <w:r w:rsidRPr="003F7E0A">
        <w:rPr>
          <w:i/>
        </w:rPr>
        <w:t xml:space="preserve"> (baudžiamasis persekiojimas už nusikaltimus žmoniškumui ir karo nusikaltimus nevykdomas), TV bokšto rytų pusėje išlaužė tvorą ir pavojingai manevruodami, įvažiavo į bokšto teritoriją, kurioje buvo puolamą objektą gynusi daugiatūkstantinė civilių minia. Tankų Nr. 513 ir 541 ekipažai ne mažiau kaip po du kartus iššovė iš pabūklų tuščiais užtaisais, leido dūmines užsklandas, karinės technikos šviesos prietaisais švietė į civilius ir šturmuojamą objektą bei aplink esančius pastatus, taip civilius baugindami bei terorizuodami. </w:t>
      </w:r>
    </w:p>
    <w:p w:rsidR="00117751" w:rsidRPr="003F7E0A" w:rsidRDefault="00490D1E" w:rsidP="003F7E0A">
      <w:pPr>
        <w:ind w:left="992" w:firstLine="992"/>
        <w:contextualSpacing/>
        <w:rPr>
          <w:i/>
        </w:rPr>
      </w:pPr>
      <w:r w:rsidRPr="003F7E0A">
        <w:rPr>
          <w:i/>
        </w:rPr>
        <w:t xml:space="preserve">Kaltinamojo </w:t>
      </w:r>
      <w:r w:rsidR="004069BF" w:rsidRPr="003F7E0A">
        <w:rPr>
          <w:i/>
        </w:rPr>
        <w:t>N. A.</w:t>
      </w:r>
      <w:r w:rsidRPr="003F7E0A">
        <w:rPr>
          <w:i/>
        </w:rPr>
        <w:t xml:space="preserve"> vadovaujamas tankas Nr. 502, pavojingai manevruodamas pro civilių minią, juos baugindamas bei t</w:t>
      </w:r>
      <w:r w:rsidR="00C66292" w:rsidRPr="003F7E0A">
        <w:rPr>
          <w:i/>
        </w:rPr>
        <w:t>erorizuodamas, ne mažiau kaip 1 </w:t>
      </w:r>
      <w:r w:rsidRPr="003F7E0A">
        <w:rPr>
          <w:i/>
        </w:rPr>
        <w:t>kartą iššovė iš pabūklo tuščiu užtaisu pietinėje TV bokšto pusėje, korpusu išdaužė TV</w:t>
      </w:r>
      <w:r w:rsidR="006418EB" w:rsidRPr="003F7E0A">
        <w:rPr>
          <w:i/>
        </w:rPr>
        <w:t> </w:t>
      </w:r>
      <w:r w:rsidRPr="003F7E0A">
        <w:rPr>
          <w:i/>
        </w:rPr>
        <w:t xml:space="preserve">bokšto pastato pirmajame aukšte esančios konferencijų salės langus ir toliau pavojingai manevruodamas šalia puolamo objekto, užvažiavo ant </w:t>
      </w:r>
      <w:r w:rsidR="00C943F4" w:rsidRPr="003F7E0A">
        <w:rPr>
          <w:i/>
        </w:rPr>
        <w:t>L. A.</w:t>
      </w:r>
      <w:r w:rsidRPr="003F7E0A">
        <w:rPr>
          <w:i/>
        </w:rPr>
        <w:t>, dėl ko pastaroji nuo stipraus dubens ir kojų suspaudimo, sulaužant dubens kaulus ir daugybiniai sužalojant dubens-pilvo apatinės dalies bei kojų minkštuosius audinius, sukėlus labai didelį nukraujavimą iš suplėšytų dubens audinių ir nekompensuojamą trauminį šoką, mirė, t.</w:t>
      </w:r>
      <w:r w:rsidR="006018A3" w:rsidRPr="003F7E0A">
        <w:rPr>
          <w:i/>
        </w:rPr>
        <w:t xml:space="preserve"> </w:t>
      </w:r>
      <w:r w:rsidRPr="003F7E0A">
        <w:rPr>
          <w:i/>
        </w:rPr>
        <w:t xml:space="preserve">y. nukentėjusioji buvo tyčia nužudyta. </w:t>
      </w:r>
    </w:p>
    <w:p w:rsidR="00117751" w:rsidRPr="003F7E0A" w:rsidRDefault="00490D1E" w:rsidP="003F7E0A">
      <w:pPr>
        <w:ind w:left="992" w:firstLine="992"/>
        <w:contextualSpacing/>
        <w:rPr>
          <w:i/>
        </w:rPr>
      </w:pPr>
      <w:r w:rsidRPr="003F7E0A">
        <w:rPr>
          <w:i/>
        </w:rPr>
        <w:t xml:space="preserve">Tuo pačiu metu kaltinamojo </w:t>
      </w:r>
      <w:r w:rsidR="004069BF" w:rsidRPr="003F7E0A">
        <w:rPr>
          <w:i/>
        </w:rPr>
        <w:t>N. A.</w:t>
      </w:r>
      <w:r w:rsidRPr="003F7E0A">
        <w:rPr>
          <w:i/>
        </w:rPr>
        <w:t xml:space="preserve"> vadovaujamas tankas Nr. 502 užvažiavo ir ant </w:t>
      </w:r>
      <w:r w:rsidR="00C943F4" w:rsidRPr="003F7E0A">
        <w:rPr>
          <w:i/>
        </w:rPr>
        <w:t>L. T. (Š)</w:t>
      </w:r>
      <w:r w:rsidRPr="003F7E0A">
        <w:rPr>
          <w:i/>
        </w:rPr>
        <w:t xml:space="preserve">, </w:t>
      </w:r>
      <w:r w:rsidR="00C943F4" w:rsidRPr="003F7E0A">
        <w:rPr>
          <w:i/>
        </w:rPr>
        <w:t>A. M. P</w:t>
      </w:r>
      <w:r w:rsidRPr="003F7E0A">
        <w:rPr>
          <w:i/>
        </w:rPr>
        <w:t xml:space="preserve"> ir </w:t>
      </w:r>
      <w:r w:rsidR="00C943F4" w:rsidRPr="003F7E0A">
        <w:rPr>
          <w:i/>
        </w:rPr>
        <w:t>A. S.</w:t>
      </w:r>
      <w:r w:rsidRPr="003F7E0A">
        <w:rPr>
          <w:i/>
        </w:rPr>
        <w:t>, dėl ko pastariesiems buvo padaryti tyčiniai sunkūs</w:t>
      </w:r>
      <w:r w:rsidR="00C66292" w:rsidRPr="003F7E0A">
        <w:rPr>
          <w:i/>
        </w:rPr>
        <w:t xml:space="preserve"> sveikatos sutrikdymai: </w:t>
      </w:r>
      <w:r w:rsidR="00C943F4" w:rsidRPr="003F7E0A">
        <w:rPr>
          <w:i/>
          <w:lang w:eastAsia="ar-SA" w:bidi="lt-LT"/>
        </w:rPr>
        <w:t>L. T. (Š)</w:t>
      </w:r>
      <w:r w:rsidRPr="003F7E0A">
        <w:rPr>
          <w:i/>
        </w:rPr>
        <w:t xml:space="preserve"> – atviras dešinio šlaunikaulio lūžimas, traiškytos dešinės šlaunies ir dešinės blauzdos žaizdos, kairės šlaunies ir kairės blauzdos minkš</w:t>
      </w:r>
      <w:r w:rsidR="00F93A4F" w:rsidRPr="003F7E0A">
        <w:rPr>
          <w:i/>
        </w:rPr>
        <w:t xml:space="preserve">tų audinių suspaudimas; </w:t>
      </w:r>
      <w:r w:rsidR="00C943F4" w:rsidRPr="003F7E0A">
        <w:rPr>
          <w:i/>
        </w:rPr>
        <w:t>A. M. P.</w:t>
      </w:r>
      <w:r w:rsidRPr="003F7E0A">
        <w:rPr>
          <w:i/>
        </w:rPr>
        <w:t xml:space="preserve"> – plėštinės žaizdos kairėje blauzdoje su skeveldriniu atviru blauzdikaulio ir dvigubu atviru šeivikaulio lūžiais ir plačios daugybinės poodinės kraujosruvos dešinėje blauzdoje ir šlaunyje, </w:t>
      </w:r>
      <w:r w:rsidR="00C943F4" w:rsidRPr="003F7E0A">
        <w:rPr>
          <w:i/>
        </w:rPr>
        <w:t>A. S.</w:t>
      </w:r>
      <w:r w:rsidRPr="003F7E0A">
        <w:rPr>
          <w:i/>
        </w:rPr>
        <w:t xml:space="preserve"> – daugybinės plėštinės-traiškytos žaizdos abiejų kojų blauzdose su atvirais kairio blauzdikaulio ir šeivikaulio vamzdinių dalių bei uždaru dešinio šeivikaulio viršutinio galo lūžiais.</w:t>
      </w:r>
    </w:p>
    <w:p w:rsidR="00117751" w:rsidRPr="003F7E0A" w:rsidRDefault="00490D1E" w:rsidP="003F7E0A">
      <w:pPr>
        <w:ind w:left="992" w:firstLine="992"/>
        <w:contextualSpacing/>
        <w:rPr>
          <w:i/>
        </w:rPr>
      </w:pPr>
      <w:r w:rsidRPr="003F7E0A">
        <w:rPr>
          <w:i/>
        </w:rPr>
        <w:t>Atsitraukus nuo puolamo objekto iš tanko buvo leidžiamos dūminės užsklandos, karinės technikos šviesos prietaisais šviečiama į civilius, užimamą objektą ir aplink esančius pastatus, taip civiliai buvo bauginami bei terorizuojami.</w:t>
      </w:r>
    </w:p>
    <w:p w:rsidR="00117751" w:rsidRPr="003F7E0A" w:rsidRDefault="00490D1E" w:rsidP="003F7E0A">
      <w:pPr>
        <w:ind w:left="992" w:firstLine="992"/>
        <w:contextualSpacing/>
        <w:rPr>
          <w:i/>
        </w:rPr>
      </w:pPr>
      <w:r w:rsidRPr="003F7E0A">
        <w:rPr>
          <w:i/>
        </w:rPr>
        <w:t xml:space="preserve">Kaltinamojo </w:t>
      </w:r>
      <w:r w:rsidR="00BA18FA" w:rsidRPr="003F7E0A">
        <w:rPr>
          <w:i/>
        </w:rPr>
        <w:t>J. M.</w:t>
      </w:r>
      <w:r w:rsidRPr="003F7E0A">
        <w:rPr>
          <w:i/>
        </w:rPr>
        <w:t xml:space="preserve"> vadovaujamas tankas, borto Nr. 544, kurio ekipaže buvo taikytojas kaltinamasis </w:t>
      </w:r>
      <w:r w:rsidR="00A97F74" w:rsidRPr="003F7E0A">
        <w:rPr>
          <w:i/>
        </w:rPr>
        <w:t>D. B.</w:t>
      </w:r>
      <w:r w:rsidRPr="003F7E0A">
        <w:rPr>
          <w:i/>
        </w:rPr>
        <w:t xml:space="preserve">, mechanikas-vairuotojas </w:t>
      </w:r>
      <w:r w:rsidR="00C943F4" w:rsidRPr="003F7E0A">
        <w:rPr>
          <w:i/>
        </w:rPr>
        <w:t>S. D.</w:t>
      </w:r>
      <w:r w:rsidRPr="003F7E0A">
        <w:rPr>
          <w:i/>
        </w:rPr>
        <w:t xml:space="preserve"> (jo atžvilgiu baudžiamasis persekiojimas už nusikaltimus žmoniškumui ir karo nusikaltimus nevykdomas), išlaužęs vakarų pusėje TV bokšto teritoriją juosiančią tvorą ir pavojingai manevruodamas tarp ten esančių civilių, įvažiavo į teritoriją, kur ne mažiau kaip tris kartus iššovė iš pabūklo tuščiais užtaisais, leido dūmines užsklandas. </w:t>
      </w:r>
    </w:p>
    <w:p w:rsidR="00117751" w:rsidRPr="003F7E0A" w:rsidRDefault="00490D1E" w:rsidP="003F7E0A">
      <w:pPr>
        <w:ind w:left="992" w:firstLine="992"/>
        <w:contextualSpacing/>
        <w:rPr>
          <w:i/>
        </w:rPr>
      </w:pPr>
      <w:r w:rsidRPr="003F7E0A">
        <w:rPr>
          <w:i/>
        </w:rPr>
        <w:t xml:space="preserve">Išlaužus TV bokšto rytinėje bei pietrytinėje pusėse esančios tvoros dalis, į užimamo objekto teritoriją įvažiavo likusi kolonos dalis: BMD, kurių borto Nr. 281, 295, 283, 284, 286, 289, 291, 292, 294, 296, 242, 243, 246, 247, 248, 258 ir 259, viena BMD KŠM, kurios borto Nr. 600, du automobiliai URAL, skirti kariams pervežti, kurių vieno k/n </w:t>
      </w:r>
      <w:r w:rsidRPr="003F7E0A">
        <w:rPr>
          <w:i/>
        </w:rPr>
        <w:lastRenderedPageBreak/>
        <w:t xml:space="preserve">23-04 OF, du automobiliai ZIL-131, kurių vieno k/n 23-30 OF ir kuris buvo skirtas techniniam aptarnavimui, viena BTR-D, kurios borto </w:t>
      </w:r>
      <w:r w:rsidR="006018A3" w:rsidRPr="003F7E0A">
        <w:rPr>
          <w:i/>
        </w:rPr>
        <w:t xml:space="preserve">Nr. </w:t>
      </w:r>
      <w:r w:rsidRPr="003F7E0A">
        <w:rPr>
          <w:i/>
        </w:rPr>
        <w:t xml:space="preserve">670 ir BRDM. </w:t>
      </w:r>
    </w:p>
    <w:p w:rsidR="00117751" w:rsidRPr="003F7E0A" w:rsidRDefault="00607189" w:rsidP="003F7E0A">
      <w:pPr>
        <w:ind w:left="992" w:firstLine="992"/>
        <w:contextualSpacing/>
        <w:rPr>
          <w:i/>
        </w:rPr>
      </w:pPr>
      <w:r w:rsidRPr="003F7E0A">
        <w:rPr>
          <w:i/>
        </w:rPr>
        <w:t xml:space="preserve">Tarptautinės humanitarinės teisės draudžiamos karo atakos metu, vienam iš keturių tankų T-72 iššovus iš tanko pabūklo išmušamuoju garsiniu užtaisu ir nuo šūvio bangos </w:t>
      </w:r>
      <w:r w:rsidR="004472EE" w:rsidRPr="003F7E0A">
        <w:rPr>
          <w:i/>
        </w:rPr>
        <w:t>R. J.</w:t>
      </w:r>
      <w:r w:rsidRPr="003F7E0A">
        <w:rPr>
          <w:i/>
        </w:rPr>
        <w:t xml:space="preserve"> nugriuvus ant žemės, jį pervažiavo TV bokšto teritorijoje pavojingai manevravusi vikšrinė karinė technika, dėl</w:t>
      </w:r>
      <w:r w:rsidR="00490D1E" w:rsidRPr="003F7E0A">
        <w:rPr>
          <w:i/>
        </w:rPr>
        <w:t xml:space="preserve"> ko </w:t>
      </w:r>
      <w:r w:rsidRPr="003F7E0A">
        <w:rPr>
          <w:i/>
        </w:rPr>
        <w:t>pastarasis nuo stipraus kūno suspaudimo tarp kietų bukų daiktų, daugybinių kaukolės</w:t>
      </w:r>
      <w:r w:rsidR="00490D1E" w:rsidRPr="003F7E0A">
        <w:rPr>
          <w:i/>
        </w:rPr>
        <w:t xml:space="preserve"> ir kitų skeleto kaulų lūžimų, vidaus organų plyšimų, ūmaus nukraujavimo į pilvo ir krūtinės ertmes mirė, t.</w:t>
      </w:r>
      <w:r w:rsidR="006018A3" w:rsidRPr="003F7E0A">
        <w:rPr>
          <w:i/>
        </w:rPr>
        <w:t xml:space="preserve"> </w:t>
      </w:r>
      <w:r w:rsidR="00490D1E" w:rsidRPr="003F7E0A">
        <w:rPr>
          <w:i/>
        </w:rPr>
        <w:t xml:space="preserve">y. nukentėjusysis buvo tyčia nužudytas. </w:t>
      </w:r>
    </w:p>
    <w:p w:rsidR="00117751" w:rsidRPr="003F7E0A" w:rsidRDefault="00490D1E" w:rsidP="003F7E0A">
      <w:pPr>
        <w:ind w:left="992" w:firstLine="992"/>
        <w:contextualSpacing/>
        <w:rPr>
          <w:i/>
        </w:rPr>
      </w:pPr>
      <w:r w:rsidRPr="003F7E0A">
        <w:rPr>
          <w:i/>
        </w:rPr>
        <w:t xml:space="preserve">Tęsdami 107-osios motorizuotų šaulių divizijos 77-ojo motorizuotų šaulių pulko ir 106-ojo tankų pulko pradėtą tarptautinės humanitarinės teisės draudžiamą karo ataką, kariškiai iš 234-ojo pulko 2-ojo bataliono 4-osios ir 5-osios kuopų, 3-ojo bataliono 8-osios ir 9-osios kuopų bei 3-ojo savaeigės artilerijos diviziono 3-iosios savaeigės artilerijos baterijos, priklausantys 76-osios oro desanto divizijos jungtiniam kariniam vienetui, pasidalinę į dvi dalis šturmavo TV bokštą: </w:t>
      </w:r>
    </w:p>
    <w:p w:rsidR="00117751" w:rsidRPr="003F7E0A" w:rsidRDefault="00490D1E" w:rsidP="003F7E0A">
      <w:pPr>
        <w:ind w:left="992" w:firstLine="992"/>
        <w:contextualSpacing/>
        <w:rPr>
          <w:i/>
        </w:rPr>
      </w:pPr>
      <w:r w:rsidRPr="003F7E0A">
        <w:rPr>
          <w:i/>
        </w:rPr>
        <w:t xml:space="preserve">- aštuoniasdešimt penki kariškiai iš 234-ojo pulko 2-ojo bataliono 4-osios ir 5-osios kuopų bei 3-ojo savaeigės artilerijos diviziono 3-iosios savaeigės baterijos, vadovaujami kaltinamojo </w:t>
      </w:r>
      <w:r w:rsidR="006036E7" w:rsidRPr="003F7E0A">
        <w:rPr>
          <w:i/>
        </w:rPr>
        <w:t>A. L.</w:t>
      </w:r>
      <w:r w:rsidRPr="003F7E0A">
        <w:rPr>
          <w:i/>
        </w:rPr>
        <w:t xml:space="preserve"> ir kitų kariškių, iki puolamo objekto brovėsi iš pietinės pusės ir kartu su TV bokšto teritorijoje pavojingai manevruojančia karine</w:t>
      </w:r>
      <w:r w:rsidR="00F93A4F" w:rsidRPr="003F7E0A">
        <w:rPr>
          <w:i/>
        </w:rPr>
        <w:t xml:space="preserve"> technika šalino civilius iš TV </w:t>
      </w:r>
      <w:r w:rsidRPr="003F7E0A">
        <w:rPr>
          <w:i/>
        </w:rPr>
        <w:t>bokšto teritorijos;</w:t>
      </w:r>
    </w:p>
    <w:p w:rsidR="00117751" w:rsidRPr="003F7E0A" w:rsidRDefault="00490D1E" w:rsidP="003F7E0A">
      <w:pPr>
        <w:ind w:left="992" w:firstLine="992"/>
        <w:contextualSpacing/>
        <w:rPr>
          <w:i/>
        </w:rPr>
      </w:pPr>
      <w:r w:rsidRPr="003F7E0A">
        <w:rPr>
          <w:i/>
        </w:rPr>
        <w:t xml:space="preserve">- aštuoniasdešimt kariškių iš 234-ojo pulko 3-ojo bataliono 8-osios ir 9-osios kuopų, vadovaujami kaltinamųjų </w:t>
      </w:r>
      <w:r w:rsidR="002451F2" w:rsidRPr="003F7E0A">
        <w:rPr>
          <w:i/>
        </w:rPr>
        <w:t>V. D.</w:t>
      </w:r>
      <w:r w:rsidRPr="003F7E0A">
        <w:rPr>
          <w:i/>
        </w:rPr>
        <w:t xml:space="preserve">, </w:t>
      </w:r>
      <w:r w:rsidR="006036E7" w:rsidRPr="003F7E0A">
        <w:rPr>
          <w:i/>
        </w:rPr>
        <w:t>S. K.</w:t>
      </w:r>
      <w:r w:rsidRPr="003F7E0A">
        <w:rPr>
          <w:i/>
        </w:rPr>
        <w:t xml:space="preserve">, </w:t>
      </w:r>
      <w:r w:rsidR="006036E7" w:rsidRPr="003F7E0A">
        <w:rPr>
          <w:i/>
        </w:rPr>
        <w:t>A. G. 2</w:t>
      </w:r>
      <w:r w:rsidRPr="003F7E0A">
        <w:rPr>
          <w:i/>
        </w:rPr>
        <w:t xml:space="preserve">, </w:t>
      </w:r>
      <w:r w:rsidR="006036E7" w:rsidRPr="003F7E0A">
        <w:rPr>
          <w:i/>
        </w:rPr>
        <w:t>V. K. 2</w:t>
      </w:r>
      <w:r w:rsidRPr="003F7E0A">
        <w:rPr>
          <w:i/>
        </w:rPr>
        <w:t xml:space="preserve">, </w:t>
      </w:r>
      <w:r w:rsidR="006036E7" w:rsidRPr="003F7E0A">
        <w:rPr>
          <w:i/>
        </w:rPr>
        <w:t>E. M.</w:t>
      </w:r>
      <w:r w:rsidRPr="003F7E0A">
        <w:rPr>
          <w:i/>
        </w:rPr>
        <w:t xml:space="preserve"> ir kitų karininkų, iki puolamo objekto brovėsi iš šiaurinės pusės ir kartu su TV bokšto teritorijoje pavojingai manevruojančia karine technika šalino civilius iš TV bokšto teritorijos; </w:t>
      </w:r>
    </w:p>
    <w:p w:rsidR="00117751" w:rsidRPr="003F7E0A" w:rsidRDefault="00490D1E" w:rsidP="003F7E0A">
      <w:pPr>
        <w:ind w:left="992" w:firstLine="992"/>
        <w:contextualSpacing/>
        <w:rPr>
          <w:i/>
        </w:rPr>
      </w:pPr>
      <w:r w:rsidRPr="003F7E0A">
        <w:rPr>
          <w:i/>
        </w:rPr>
        <w:t xml:space="preserve">- septyniolika 8-os kuopos kariškių, vadovaujami kaltinamojo </w:t>
      </w:r>
      <w:r w:rsidR="006036E7" w:rsidRPr="003F7E0A">
        <w:rPr>
          <w:i/>
        </w:rPr>
        <w:t>E. M.</w:t>
      </w:r>
      <w:r w:rsidRPr="003F7E0A">
        <w:rPr>
          <w:i/>
        </w:rPr>
        <w:t xml:space="preserve">, užėmė puolamo objekto pirmą aukštą ir iš ten šalino civilius, </w:t>
      </w:r>
    </w:p>
    <w:p w:rsidR="00117751" w:rsidRPr="003F7E0A" w:rsidRDefault="00490D1E" w:rsidP="003F7E0A">
      <w:pPr>
        <w:ind w:left="992" w:firstLine="992"/>
        <w:contextualSpacing/>
        <w:rPr>
          <w:i/>
        </w:rPr>
      </w:pPr>
      <w:r w:rsidRPr="003F7E0A">
        <w:rPr>
          <w:i/>
        </w:rPr>
        <w:t xml:space="preserve">- dešimt kariškių iš 9-osios kuopos ir minėtos baterijos, vadovaujami kaltinamojo </w:t>
      </w:r>
      <w:r w:rsidR="006036E7" w:rsidRPr="003F7E0A">
        <w:rPr>
          <w:i/>
        </w:rPr>
        <w:t>V. K. 2</w:t>
      </w:r>
      <w:r w:rsidRPr="003F7E0A">
        <w:rPr>
          <w:i/>
        </w:rPr>
        <w:t>, TV bokšto 20 aukšte vykdė užduotį atjungti buvusią gaisro gesinimo aparatūrą.</w:t>
      </w:r>
    </w:p>
    <w:p w:rsidR="00117751" w:rsidRPr="003F7E0A" w:rsidRDefault="00490D1E" w:rsidP="003F7E0A">
      <w:pPr>
        <w:ind w:left="992" w:firstLine="992"/>
        <w:contextualSpacing/>
        <w:rPr>
          <w:i/>
        </w:rPr>
      </w:pPr>
      <w:r w:rsidRPr="003F7E0A">
        <w:rPr>
          <w:i/>
        </w:rPr>
        <w:t xml:space="preserve">Kaltinamasis </w:t>
      </w:r>
      <w:r w:rsidR="00385BC9" w:rsidRPr="003F7E0A">
        <w:rPr>
          <w:i/>
        </w:rPr>
        <w:t>V. S. 2</w:t>
      </w:r>
      <w:r w:rsidRPr="003F7E0A">
        <w:rPr>
          <w:i/>
        </w:rPr>
        <w:t>, kartu su kitais karininkais, vadovaujančiais operacijai (</w:t>
      </w:r>
      <w:r w:rsidR="00C507EF" w:rsidRPr="003F7E0A">
        <w:rPr>
          <w:i/>
        </w:rPr>
        <w:t>I. K.</w:t>
      </w:r>
      <w:r w:rsidRPr="003F7E0A">
        <w:rPr>
          <w:i/>
        </w:rPr>
        <w:t xml:space="preserve">, </w:t>
      </w:r>
      <w:r w:rsidR="004472EE" w:rsidRPr="003F7E0A">
        <w:rPr>
          <w:i/>
        </w:rPr>
        <w:t>B. M.</w:t>
      </w:r>
      <w:r w:rsidRPr="003F7E0A">
        <w:rPr>
          <w:i/>
        </w:rPr>
        <w:t xml:space="preserve">) prie TV bokšto šiaurinės dalies atvyko vadovavimo štabo mašina BMD KŠM, kurios borto Nr. 600 ir ryšio priemonėmis įgyvendino jiems pavestas vadovavimo operacijai funkcijas. Ryšių priemonių ir patikimo ryšio veikimą operacijos metu užtikrino kariškiai iš 234-ojo pulko ryšių kuopos. </w:t>
      </w:r>
    </w:p>
    <w:p w:rsidR="00117751" w:rsidRPr="003F7E0A" w:rsidRDefault="00490D1E" w:rsidP="003F7E0A">
      <w:pPr>
        <w:ind w:left="992" w:firstLine="992"/>
        <w:contextualSpacing/>
        <w:rPr>
          <w:i/>
        </w:rPr>
      </w:pPr>
      <w:r w:rsidRPr="003F7E0A">
        <w:rPr>
          <w:i/>
        </w:rPr>
        <w:t>Grupės „A“ kariškiams vadovavusio ir jų veiksmus koordin</w:t>
      </w:r>
      <w:r w:rsidR="00117751" w:rsidRPr="003F7E0A">
        <w:rPr>
          <w:i/>
        </w:rPr>
        <w:t xml:space="preserve">avusio kaltinamojo </w:t>
      </w:r>
      <w:r w:rsidR="00385BC9" w:rsidRPr="003F7E0A">
        <w:rPr>
          <w:i/>
        </w:rPr>
        <w:t>M. G.</w:t>
      </w:r>
      <w:r w:rsidRPr="003F7E0A">
        <w:rPr>
          <w:i/>
        </w:rPr>
        <w:t xml:space="preserve"> paskirtas atsakingas asmuo, grupės „A“ kariškius padalino į dalis ir paskyrė užduotis: užimti TV bokštą ir patikrinti patalpas, pašalinti ten esančius civilius, atjungti siųstuvus, atjungti kilnojamos televizijos stoties aparatinę, atjungti ryšių aparatinę; atjungti radijo relinės stoties aparatūrą ir užtikrinti atjungtos TV aparatūros ir gaisro gesinimo aparatūros apsaugą. </w:t>
      </w:r>
    </w:p>
    <w:p w:rsidR="00117751" w:rsidRPr="003F7E0A" w:rsidRDefault="00490D1E" w:rsidP="003F7E0A">
      <w:pPr>
        <w:ind w:left="992" w:firstLine="992"/>
        <w:contextualSpacing/>
        <w:rPr>
          <w:i/>
        </w:rPr>
      </w:pPr>
      <w:r w:rsidRPr="003F7E0A">
        <w:rPr>
          <w:i/>
        </w:rPr>
        <w:t>Tęsdami nusikalstamą veiką ir vykdydami operacijai vadovavusių aukštesniųjų vadų įsakymus, grupės „A“ kariškiai, kartu su kariškiais iš 234-ojo pulko 2-ojo bataliono 4-osios ir 5-osios kuopų, 3-ojo bataliono 8-osios ir 9-osios kuopų bei 3-ojo savaeigės artilerijos diviziono 3-iosios savaeigės baterijos, išsilaipinę TV bokšto teritorijoje, brovėsi į civilių ginamą objektą ir prieš jį gynusius civilius panaudojo ginklus, kovinius veiksmus:</w:t>
      </w:r>
    </w:p>
    <w:p w:rsidR="00117751" w:rsidRPr="003F7E0A" w:rsidRDefault="00490D1E" w:rsidP="003F7E0A">
      <w:pPr>
        <w:ind w:left="992" w:firstLine="992"/>
        <w:contextualSpacing/>
        <w:rPr>
          <w:i/>
        </w:rPr>
      </w:pPr>
      <w:r w:rsidRPr="003F7E0A">
        <w:rPr>
          <w:i/>
        </w:rPr>
        <w:t xml:space="preserve">- grupės „A“ kariškiai prieš civilius naudojo granatsvaidžius RGS-50, šviesos ir garso granatas GSZ, specialiąsias priemones – specialius skysčio pistoletus PSŽ; </w:t>
      </w:r>
    </w:p>
    <w:p w:rsidR="00117751" w:rsidRPr="003F7E0A" w:rsidRDefault="00490D1E" w:rsidP="003F7E0A">
      <w:pPr>
        <w:ind w:left="992" w:firstLine="992"/>
        <w:contextualSpacing/>
        <w:rPr>
          <w:i/>
        </w:rPr>
      </w:pPr>
      <w:r w:rsidRPr="003F7E0A">
        <w:rPr>
          <w:i/>
        </w:rPr>
        <w:t xml:space="preserve">- 76-osios oro desanto divizijos jungtinio karinio vieneto kariškiai prieš civilius naudojo imitacines priemones – dūminius užtaisus DM-II, dūmines granatas RDG-2x, šaudė 7,62 mm kalibro SVD šautuvai , o kartu su grupės „A“ kariškiais, šaudydami į civilius ir </w:t>
      </w:r>
      <w:r w:rsidRPr="003F7E0A">
        <w:rPr>
          <w:i/>
        </w:rPr>
        <w:lastRenderedPageBreak/>
        <w:t xml:space="preserve">užimamą pastatą iš 5,45 mm kalibro automatinių ginklų, naudojo tarptautinių sutarčių uždraustas karo priemones – 5,45 mm kalibro šovinius su išcentruota kulka; </w:t>
      </w:r>
    </w:p>
    <w:p w:rsidR="00117751" w:rsidRPr="003F7E0A" w:rsidRDefault="00490D1E" w:rsidP="003F7E0A">
      <w:pPr>
        <w:ind w:left="992" w:firstLine="992"/>
        <w:contextualSpacing/>
        <w:rPr>
          <w:i/>
        </w:rPr>
      </w:pPr>
      <w:r w:rsidRPr="003F7E0A">
        <w:rPr>
          <w:i/>
        </w:rPr>
        <w:t xml:space="preserve">- visi kariškiai prieš civilius naudojo tiek garsinius, tiek ir kovinius šaudmenis bei artimos kovos veiksmus – stumdydami, smūgiuodami kumščiais, spardydami kojomis ir suduodami nenustatytą skaičių smūgių civiliams ginklais ir kitomis kūno sužalojimams daryti jų pačių pritaikytomis priemonėmis į įvairias kūno dalis, </w:t>
      </w:r>
    </w:p>
    <w:p w:rsidR="00117751" w:rsidRPr="003F7E0A" w:rsidRDefault="00490D1E" w:rsidP="003F7E0A">
      <w:pPr>
        <w:ind w:left="992" w:firstLine="992"/>
        <w:contextualSpacing/>
        <w:rPr>
          <w:i/>
        </w:rPr>
      </w:pPr>
      <w:r w:rsidRPr="003F7E0A">
        <w:rPr>
          <w:i/>
        </w:rPr>
        <w:t xml:space="preserve">Grupės „A“ ir 76-osios oro desanto divizijos jungtinio karinio vieneto kariškiai, pasinaudodami bendrai veikusių 106-ojo tankų pulko kariškių tankų šūviais, tankų bei BMD pavojingu manevravimu, prasibrovė iki puolamo objekto, kur kiekvienas padalinys pradėjo įgyvendinti pavestas užduotis. </w:t>
      </w:r>
    </w:p>
    <w:p w:rsidR="00117751" w:rsidRPr="003F7E0A" w:rsidRDefault="00490D1E" w:rsidP="003F7E0A">
      <w:pPr>
        <w:ind w:left="992" w:firstLine="992"/>
        <w:contextualSpacing/>
        <w:rPr>
          <w:i/>
        </w:rPr>
      </w:pPr>
      <w:r w:rsidRPr="003F7E0A">
        <w:rPr>
          <w:i/>
        </w:rPr>
        <w:t>Šturmo metu nenustatytas grupės „A“ kariškis, tyčia iš automatinio ginklo AKS-74 iššovė seriją šūvių į TV bokštą gynusį ir vandens srovę į puolan</w:t>
      </w:r>
      <w:r w:rsidR="00F93A4F" w:rsidRPr="003F7E0A">
        <w:rPr>
          <w:i/>
        </w:rPr>
        <w:t xml:space="preserve">čius kariškius nukreipusį, </w:t>
      </w:r>
      <w:r w:rsidR="004472EE" w:rsidRPr="003F7E0A">
        <w:rPr>
          <w:i/>
        </w:rPr>
        <w:t>I. Š.</w:t>
      </w:r>
      <w:r w:rsidRPr="003F7E0A">
        <w:rPr>
          <w:i/>
        </w:rPr>
        <w:t>, o, šiam nugriuvus, automato buože sudavė smūgį į galvą, padarydamas nukentėjusiajam plėštinę žaizdą galvos pakaušio srityje kai</w:t>
      </w:r>
      <w:r w:rsidR="00C66292" w:rsidRPr="003F7E0A">
        <w:rPr>
          <w:i/>
        </w:rPr>
        <w:t>rėje pusėje, 7 įeinamąsias ir 7 </w:t>
      </w:r>
      <w:r w:rsidRPr="003F7E0A">
        <w:rPr>
          <w:i/>
        </w:rPr>
        <w:t xml:space="preserve">išeinamąsias šautines žaizdas, kraujo išsiliejimą galvos minkštuose audiniuose, smilkinio srityje dešinėje pusėje ir momenėlio – smilkinio – pakaušio srityje kairėje pusėje, kaukolės pamato ir skliauto daugiaskeveldrinius lūžius, kietojo smegenų aptraukalo plyšimą ir kraujo išsiliejimą po juo, totalinį subarachnoidalinį kraujo išsiliejimą, galvos smegenų sumušimą, jų traumatišką sužalojimą ir dalinį pašalinimą, plonojo žarnyno kilpų sužalojimą, kraujo išsiliejimą į kairiojo inksto vartus ir už pilvaplėvės, kairiojo dilbio kaulo daugiaskeveldrinius lūžius, kraujosruvą viršutiniame voke dešinėje pusėje, dėl ko nuo kaukolės pamato ir skliauto daugiaskeveldrinio lūžio, pažeidžiant galvos smegenis, pilvo aklino kulkinio šautinio sužeidimo, pažeidžiant plonojo žarnyno kilpas, krūtinės, rankų ir kojų kiauryminių kulkinių sužeidimų, komplikuotais ūmiu kraujo nutekėjimu, </w:t>
      </w:r>
      <w:r w:rsidR="004472EE" w:rsidRPr="003F7E0A">
        <w:rPr>
          <w:i/>
        </w:rPr>
        <w:t>I. Š.</w:t>
      </w:r>
      <w:r w:rsidRPr="003F7E0A">
        <w:rPr>
          <w:i/>
        </w:rPr>
        <w:t xml:space="preserve"> m</w:t>
      </w:r>
      <w:r w:rsidR="00117751" w:rsidRPr="003F7E0A">
        <w:rPr>
          <w:i/>
        </w:rPr>
        <w:t>irė, t.y. jį taip tyčia nužudė.</w:t>
      </w:r>
    </w:p>
    <w:p w:rsidR="00117751" w:rsidRPr="003F7E0A" w:rsidRDefault="00490D1E" w:rsidP="003F7E0A">
      <w:pPr>
        <w:ind w:left="992" w:firstLine="992"/>
        <w:contextualSpacing/>
        <w:rPr>
          <w:i/>
        </w:rPr>
      </w:pPr>
      <w:r w:rsidRPr="003F7E0A">
        <w:rPr>
          <w:i/>
        </w:rPr>
        <w:t xml:space="preserve">Grupės „A“ kariškiams braunantis laiptais, vienas iš jų tyčia, automato buože smūgiavo į galvą ir kitas kūno vietas nukentėjusiajam </w:t>
      </w:r>
      <w:r w:rsidR="004472EE" w:rsidRPr="003F7E0A">
        <w:rPr>
          <w:i/>
        </w:rPr>
        <w:t>J. G.</w:t>
      </w:r>
      <w:r w:rsidRPr="003F7E0A">
        <w:rPr>
          <w:i/>
        </w:rPr>
        <w:t>, tuo padarydamas muštinę žaizdą kaktos dešinėje pusėje su galvos smegenų sumušimu ir kraujo išsiliejimu po jų voratinkliniu dangalu, dešinio inksto sumušimą, ūmų trauminį dešinės vidinės ausies uždegimą, plyšus būgneliui ir abipusį klausos nervų uždegimą,</w:t>
      </w:r>
      <w:r w:rsidR="000C727C" w:rsidRPr="003F7E0A">
        <w:rPr>
          <w:i/>
        </w:rPr>
        <w:t xml:space="preserve"> </w:t>
      </w:r>
      <w:r w:rsidRPr="003F7E0A">
        <w:rPr>
          <w:i/>
        </w:rPr>
        <w:t xml:space="preserve">sukėlusius sunkią, gyvybei pavojingą šokinę būklę, dėl ko nukentėjusysis tapo II grupės invalidu, netekdamas 30 ir daugiau procentų </w:t>
      </w:r>
      <w:r w:rsidR="00117751" w:rsidRPr="003F7E0A">
        <w:rPr>
          <w:i/>
        </w:rPr>
        <w:t>bendro darbingumo.</w:t>
      </w:r>
    </w:p>
    <w:p w:rsidR="00117751" w:rsidRPr="003F7E0A" w:rsidRDefault="004472EE" w:rsidP="003F7E0A">
      <w:pPr>
        <w:ind w:left="992" w:firstLine="992"/>
        <w:contextualSpacing/>
        <w:rPr>
          <w:i/>
        </w:rPr>
      </w:pPr>
      <w:r w:rsidRPr="003F7E0A">
        <w:rPr>
          <w:i/>
        </w:rPr>
        <w:t>A. S.</w:t>
      </w:r>
      <w:r w:rsidR="00490D1E" w:rsidRPr="003F7E0A">
        <w:rPr>
          <w:i/>
        </w:rPr>
        <w:t xml:space="preserve"> lydima kariškių grupė, prasibrovė iki trečiojo, vėliau iki aštuntojo aukšto, pašalino iš ten civilius, palikdami sargybą užtikrino išjungtų siųstuvų apsaugą, pro trečio aukšto langus šaudė į TV bokšto teritoriją, šeštame aukšte atjungė kilnojamo</w:t>
      </w:r>
      <w:r w:rsidR="00117751" w:rsidRPr="003F7E0A">
        <w:rPr>
          <w:i/>
        </w:rPr>
        <w:t>s televizijos stoties aparatinę.</w:t>
      </w:r>
    </w:p>
    <w:p w:rsidR="00117751" w:rsidRPr="003F7E0A" w:rsidRDefault="00490D1E" w:rsidP="003F7E0A">
      <w:pPr>
        <w:ind w:left="992" w:firstLine="992"/>
        <w:contextualSpacing/>
        <w:rPr>
          <w:i/>
        </w:rPr>
      </w:pPr>
      <w:r w:rsidRPr="003F7E0A">
        <w:rPr>
          <w:i/>
        </w:rPr>
        <w:t>Keturi grupės „A“ kariškiai, prasibrovę iki antrojo aukšto, atjungė ryšių aparatinę ir pašalino ten buvusius civilius.</w:t>
      </w:r>
      <w:r w:rsidR="000C727C" w:rsidRPr="003F7E0A">
        <w:rPr>
          <w:i/>
        </w:rPr>
        <w:t xml:space="preserve"> </w:t>
      </w:r>
    </w:p>
    <w:p w:rsidR="00117751" w:rsidRPr="003F7E0A" w:rsidRDefault="00490D1E" w:rsidP="003F7E0A">
      <w:pPr>
        <w:ind w:left="992" w:firstLine="992"/>
        <w:contextualSpacing/>
        <w:rPr>
          <w:i/>
        </w:rPr>
      </w:pPr>
      <w:r w:rsidRPr="003F7E0A">
        <w:rPr>
          <w:i/>
        </w:rPr>
        <w:t xml:space="preserve">Šeši grupės „A“ kariškiai, patekę TV bokšto dvidešimt pirmą aukštą, pašalino du civilius ir išstatydami sargybos postus užtikrino apsaugą jau atjungtai radijo relinės stoties aparatūrai. Apie dešimt (10) kariškių iš 234-ojo pulko 9-osios kuopos vadovaujami kaltinamojo </w:t>
      </w:r>
      <w:r w:rsidR="006036E7" w:rsidRPr="003F7E0A">
        <w:rPr>
          <w:i/>
        </w:rPr>
        <w:t>V. K. 2</w:t>
      </w:r>
      <w:r w:rsidRPr="003F7E0A">
        <w:rPr>
          <w:i/>
        </w:rPr>
        <w:t>, patekę į TV bokšto dvidešimtą aukštą, išstatydami sargybos postus, užtikrino ten buvusios gaisro gesinimo aparatūros apsaugą.</w:t>
      </w:r>
    </w:p>
    <w:p w:rsidR="00117751" w:rsidRPr="003F7E0A" w:rsidRDefault="00490D1E" w:rsidP="003F7E0A">
      <w:pPr>
        <w:ind w:left="992" w:firstLine="992"/>
        <w:contextualSpacing/>
        <w:rPr>
          <w:i/>
        </w:rPr>
      </w:pPr>
      <w:r w:rsidRPr="003F7E0A">
        <w:rPr>
          <w:i/>
        </w:rPr>
        <w:t xml:space="preserve">Aštuoniasdešimt penki kariškiai iš 234-ojo pulko 2-ojo bataliono 4-osios ir 5-osios kuopų bei 3-ojo savaeigės artilerijos diviziono 3-iosios savaeigės baterijos, vadovaujami kaltinamųjų </w:t>
      </w:r>
      <w:r w:rsidR="006036E7" w:rsidRPr="003F7E0A">
        <w:rPr>
          <w:i/>
        </w:rPr>
        <w:t>A. Z.</w:t>
      </w:r>
      <w:r w:rsidRPr="003F7E0A">
        <w:rPr>
          <w:i/>
        </w:rPr>
        <w:t xml:space="preserve"> ir </w:t>
      </w:r>
      <w:r w:rsidR="006036E7" w:rsidRPr="003F7E0A">
        <w:rPr>
          <w:i/>
        </w:rPr>
        <w:t>A. L.</w:t>
      </w:r>
      <w:r w:rsidRPr="003F7E0A">
        <w:rPr>
          <w:i/>
        </w:rPr>
        <w:t xml:space="preserve"> ir kitų kariškių, iki puolamo objekto prasibrovė iš pietinės pusės ir veikdami kartu su pavojingai manevruojančiomis BMD, naudodami artimos kovos veiksmus ir mušdami žmones rankomis bei kojomis ir automatų </w:t>
      </w:r>
      <w:r w:rsidR="00F93A4F" w:rsidRPr="003F7E0A">
        <w:rPr>
          <w:i/>
        </w:rPr>
        <w:t>buožėmis, šalino civilius iš TV </w:t>
      </w:r>
      <w:r w:rsidRPr="003F7E0A">
        <w:rPr>
          <w:i/>
        </w:rPr>
        <w:t>bokšto teritorijos.</w:t>
      </w:r>
    </w:p>
    <w:p w:rsidR="00117751" w:rsidRPr="003F7E0A" w:rsidRDefault="00490D1E" w:rsidP="003F7E0A">
      <w:pPr>
        <w:ind w:left="992" w:firstLine="992"/>
        <w:contextualSpacing/>
        <w:rPr>
          <w:i/>
        </w:rPr>
      </w:pPr>
      <w:r w:rsidRPr="003F7E0A">
        <w:rPr>
          <w:i/>
        </w:rPr>
        <w:lastRenderedPageBreak/>
        <w:t xml:space="preserve">Tuo metu aštuoniasdešimt (80) kariškių iš 234-ojo pulko 3-ojo bataliono 8-osios ir 9-osios kuopų, vadovaujami kaltinamųjų </w:t>
      </w:r>
      <w:r w:rsidR="002451F2" w:rsidRPr="003F7E0A">
        <w:rPr>
          <w:i/>
        </w:rPr>
        <w:t>V. D.</w:t>
      </w:r>
      <w:r w:rsidRPr="003F7E0A">
        <w:rPr>
          <w:i/>
        </w:rPr>
        <w:t xml:space="preserve">, </w:t>
      </w:r>
      <w:r w:rsidR="006036E7" w:rsidRPr="003F7E0A">
        <w:rPr>
          <w:i/>
        </w:rPr>
        <w:t>S. K.</w:t>
      </w:r>
      <w:r w:rsidRPr="003F7E0A">
        <w:rPr>
          <w:i/>
        </w:rPr>
        <w:t xml:space="preserve">, </w:t>
      </w:r>
      <w:r w:rsidR="006036E7" w:rsidRPr="003F7E0A">
        <w:rPr>
          <w:i/>
        </w:rPr>
        <w:t>A. G. 2</w:t>
      </w:r>
      <w:r w:rsidRPr="003F7E0A">
        <w:rPr>
          <w:i/>
        </w:rPr>
        <w:t xml:space="preserve"> ir kitų karininkų, iki puolamo objekto prasibrovė iš šiaurinės pusės, ir veikdami kartu su pavojingai manevruojančiomis BMD, naudodami artimos kovos veiksmus, mušdami žmones rankomis bei kojomis ir automatų buožėmis, stūmė civilius nuo TV bokšto ir iš jo teritorijos.</w:t>
      </w:r>
    </w:p>
    <w:p w:rsidR="00117751" w:rsidRPr="003F7E0A" w:rsidRDefault="00490D1E" w:rsidP="003F7E0A">
      <w:pPr>
        <w:ind w:left="992" w:firstLine="992"/>
        <w:contextualSpacing/>
        <w:rPr>
          <w:i/>
        </w:rPr>
      </w:pPr>
      <w:r w:rsidRPr="003F7E0A">
        <w:rPr>
          <w:i/>
        </w:rPr>
        <w:t xml:space="preserve">Tarptautinės humanitarinės teisės draudžiamos karo atakos metu, puolančiajai tankų, BMD, BTR-D ir kitos karinės technikos kolonai bei kariškiams iš minėtų padalinių bei grupės „A“ šturmuojant TV bokštą, nukreipiančiosios karinės technikos kolonos tankai T-72, kurių borto Nr. 220, 221, 223, tiltu per buvusį Kosmonautų prospektą (dabar Laisvės pr.) privažiavo prie TV bokšto administracinio pastato, kur šaudė iš pabūklų tuščiais užtaisais, leido dūmines užsklandas, karinės technikos šviesos prožektoriais švietė į civilius, užimamą objektą ir aplink esančius gyvenamuosius namus, pavojingai manevruodami, važinėjo prie užimamo objekto administracinio pastato, taip baugindami ir terorizuodami civilius. Vienas iš minėtų tankų užtvėrė privažiavimą prie TV bokšto nuo minėto tilto pusės. </w:t>
      </w:r>
    </w:p>
    <w:p w:rsidR="00117751" w:rsidRPr="003F7E0A" w:rsidRDefault="00490D1E" w:rsidP="003F7E0A">
      <w:pPr>
        <w:ind w:left="992" w:firstLine="992"/>
        <w:contextualSpacing/>
        <w:rPr>
          <w:i/>
        </w:rPr>
      </w:pPr>
      <w:r w:rsidRPr="003F7E0A">
        <w:rPr>
          <w:i/>
        </w:rPr>
        <w:t>Tęsdami teroro ir bauginimo veiksmus bei vykdydami vadovavimo štabo planą, nenustatyti kariškiai per BRDM garsiakalbius leido garso įrašą, kuriame buvo įrašytas vieno iš LKP/TSKP CK vadovų (</w:t>
      </w:r>
      <w:r w:rsidR="00C507EF" w:rsidRPr="003F7E0A">
        <w:rPr>
          <w:i/>
        </w:rPr>
        <w:t>J. J.</w:t>
      </w:r>
      <w:r w:rsidRPr="003F7E0A">
        <w:rPr>
          <w:i/>
        </w:rPr>
        <w:t>) kreipimasis rusų ir lietuvių kalbomis LNGK vardu, kad visą valdžią Lietuvoje perima LNGK, bet koks pasipriešinimas yra beprasmiškas, jis nuves prie brolžudiško karo, civiliams buvo liepiama skirstytis.</w:t>
      </w:r>
    </w:p>
    <w:p w:rsidR="00117751" w:rsidRPr="003F7E0A" w:rsidRDefault="00490D1E" w:rsidP="003F7E0A">
      <w:pPr>
        <w:ind w:left="992" w:firstLine="992"/>
        <w:contextualSpacing/>
        <w:rPr>
          <w:i/>
        </w:rPr>
      </w:pPr>
      <w:r w:rsidRPr="003F7E0A">
        <w:rPr>
          <w:i/>
        </w:rPr>
        <w:t>Pagal LKP/TSKP nurodymus, autobusu PAZ ir sunkvežimiu, kurių v/n nenustatyti, prie TSRS kariškių tarptautinės humanitarinės teisės draudžia</w:t>
      </w:r>
      <w:r w:rsidR="00F93A4F" w:rsidRPr="003F7E0A">
        <w:rPr>
          <w:i/>
        </w:rPr>
        <w:t>mos karo atakos metu puolamo TV </w:t>
      </w:r>
      <w:r w:rsidRPr="003F7E0A">
        <w:rPr>
          <w:i/>
        </w:rPr>
        <w:t>bokšto atvykęs draugovininkų būrys naudojo artimos kovos veiksmus – sudavė civiliams smūgius rankomis ir atsivežtomis priemonėmis, spardė kojomis t.y. civilių atžvilgiu naudojo fizinį smurtą, pavojingą jų gyvybei. Draugovininkai, prasibrovę į TV bokštą, prisijungė prie TSRS karinių struktūrų vykdomos karo atakos ir kartu su kariškiais šalino iš patalpų civilius, užtikrino TV bokšto ir jo teritorijoje esančių pastatų apsaugą nuo civilių.</w:t>
      </w:r>
    </w:p>
    <w:p w:rsidR="00117751" w:rsidRPr="003F7E0A" w:rsidRDefault="00490D1E" w:rsidP="003F7E0A">
      <w:pPr>
        <w:ind w:left="992" w:firstLine="992"/>
        <w:contextualSpacing/>
        <w:rPr>
          <w:i/>
        </w:rPr>
      </w:pPr>
      <w:r w:rsidRPr="003F7E0A">
        <w:rPr>
          <w:i/>
        </w:rPr>
        <w:t>Karo atakos prie TV bokšto metu 76-osios oro desanto divizijos ir kitų karinių struktūrų kariškiai, panaudoję šaunamuosius ginklus, specialiąsias priemones ir artimos kovos veiksmus, bendrais veiksmais tyčia nužudė:</w:t>
      </w:r>
    </w:p>
    <w:p w:rsidR="00117751" w:rsidRPr="003F7E0A" w:rsidRDefault="00490D1E" w:rsidP="003F7E0A">
      <w:pPr>
        <w:ind w:left="992" w:firstLine="992"/>
        <w:contextualSpacing/>
        <w:rPr>
          <w:i/>
        </w:rPr>
      </w:pPr>
      <w:r w:rsidRPr="003F7E0A">
        <w:rPr>
          <w:i/>
        </w:rPr>
        <w:t>-</w:t>
      </w:r>
      <w:r w:rsidR="0070633D" w:rsidRPr="003F7E0A">
        <w:rPr>
          <w:i/>
        </w:rPr>
        <w:t xml:space="preserve"> </w:t>
      </w:r>
      <w:r w:rsidR="004472EE" w:rsidRPr="003F7E0A">
        <w:rPr>
          <w:i/>
        </w:rPr>
        <w:t>V. D.</w:t>
      </w:r>
      <w:r w:rsidRPr="003F7E0A">
        <w:rPr>
          <w:i/>
        </w:rPr>
        <w:t xml:space="preserve">, kuris mirė šaunamojo ginklo kulkai prasiskverbus į krūtinės ląstą ir akliniu sužeidimu pažeidus plautį bei širdį ir dėl to prasidėjus masyviajam vidiniam kraujavimui; </w:t>
      </w:r>
    </w:p>
    <w:p w:rsidR="00117751" w:rsidRPr="003F7E0A" w:rsidRDefault="00490D1E" w:rsidP="003F7E0A">
      <w:pPr>
        <w:ind w:left="992" w:firstLine="992"/>
        <w:contextualSpacing/>
        <w:rPr>
          <w:i/>
        </w:rPr>
      </w:pPr>
      <w:r w:rsidRPr="003F7E0A">
        <w:rPr>
          <w:i/>
        </w:rPr>
        <w:t>-</w:t>
      </w:r>
      <w:r w:rsidR="0070633D" w:rsidRPr="003F7E0A">
        <w:rPr>
          <w:i/>
        </w:rPr>
        <w:t xml:space="preserve"> </w:t>
      </w:r>
      <w:r w:rsidR="004472EE" w:rsidRPr="003F7E0A">
        <w:rPr>
          <w:i/>
        </w:rPr>
        <w:t>D. G.</w:t>
      </w:r>
      <w:r w:rsidRPr="003F7E0A">
        <w:rPr>
          <w:i/>
        </w:rPr>
        <w:t xml:space="preserve">, kuris mirė nuo daugybinių šautinių kūno sužalojimų, pažeidusių jo plaučius, šlaunies arteriją ir veną bei dėl to kilus kraujosruvai; </w:t>
      </w:r>
    </w:p>
    <w:p w:rsidR="00117751" w:rsidRPr="003F7E0A" w:rsidRDefault="00490D1E" w:rsidP="003F7E0A">
      <w:pPr>
        <w:ind w:left="992" w:firstLine="992"/>
        <w:contextualSpacing/>
        <w:rPr>
          <w:i/>
        </w:rPr>
      </w:pPr>
      <w:r w:rsidRPr="003F7E0A">
        <w:rPr>
          <w:i/>
        </w:rPr>
        <w:t>-</w:t>
      </w:r>
      <w:r w:rsidR="0070633D" w:rsidRPr="003F7E0A">
        <w:rPr>
          <w:i/>
        </w:rPr>
        <w:t xml:space="preserve"> </w:t>
      </w:r>
      <w:r w:rsidR="004472EE" w:rsidRPr="003F7E0A">
        <w:rPr>
          <w:i/>
        </w:rPr>
        <w:t>R. J.</w:t>
      </w:r>
      <w:r w:rsidRPr="003F7E0A">
        <w:rPr>
          <w:i/>
        </w:rPr>
        <w:t>, kuris mirė nuo šautinio kiauryminio dešinės šlaunies sužalojimo su šlaunies arterijų ir venos pažeidimu, įvykus ūmiam masyviam išoriniam nukraujavimui, išsivysčius ūmiai vidaus organų mažakraujystei, sutrikus kraujo krešėjimui;</w:t>
      </w:r>
    </w:p>
    <w:p w:rsidR="00117751" w:rsidRPr="003F7E0A" w:rsidRDefault="00490D1E" w:rsidP="003F7E0A">
      <w:pPr>
        <w:ind w:left="992" w:firstLine="992"/>
        <w:contextualSpacing/>
        <w:rPr>
          <w:i/>
        </w:rPr>
      </w:pPr>
      <w:r w:rsidRPr="003F7E0A">
        <w:rPr>
          <w:i/>
        </w:rPr>
        <w:t>-</w:t>
      </w:r>
      <w:r w:rsidR="0070633D" w:rsidRPr="003F7E0A">
        <w:rPr>
          <w:i/>
        </w:rPr>
        <w:t xml:space="preserve"> </w:t>
      </w:r>
      <w:r w:rsidR="004472EE" w:rsidRPr="003F7E0A">
        <w:rPr>
          <w:i/>
        </w:rPr>
        <w:t>V. M.</w:t>
      </w:r>
      <w:r w:rsidRPr="003F7E0A">
        <w:rPr>
          <w:i/>
        </w:rPr>
        <w:t>, kuris mirė dėl ūmios anemijos, kuri ištiko dėl kaklo minkštųjų audinių, kairiosios miego arterijos vidinės sienelės bei kairiojo plaučio šautinio sužeidimo;</w:t>
      </w:r>
    </w:p>
    <w:p w:rsidR="00117751" w:rsidRPr="003F7E0A" w:rsidRDefault="00490D1E" w:rsidP="003F7E0A">
      <w:pPr>
        <w:ind w:left="992" w:firstLine="992"/>
        <w:contextualSpacing/>
        <w:rPr>
          <w:i/>
        </w:rPr>
      </w:pPr>
      <w:r w:rsidRPr="003F7E0A">
        <w:rPr>
          <w:i/>
        </w:rPr>
        <w:t>-</w:t>
      </w:r>
      <w:r w:rsidR="0070633D" w:rsidRPr="003F7E0A">
        <w:rPr>
          <w:i/>
        </w:rPr>
        <w:t xml:space="preserve"> </w:t>
      </w:r>
      <w:r w:rsidR="004472EE" w:rsidRPr="003F7E0A">
        <w:rPr>
          <w:i/>
        </w:rPr>
        <w:t>T. M.</w:t>
      </w:r>
      <w:r w:rsidRPr="003F7E0A">
        <w:rPr>
          <w:i/>
        </w:rPr>
        <w:t>, kuris mirė nuo dvigubo kiaurinio šautinio krūtinės ląstos sužalojimo, sužalojant krūtinkaulį, VIII, IX. X kairės pusės šonkaulius, širdį bei abu plaučius;</w:t>
      </w:r>
      <w:r w:rsidR="004472EE" w:rsidRPr="003F7E0A">
        <w:rPr>
          <w:i/>
        </w:rPr>
        <w:t xml:space="preserve"> </w:t>
      </w:r>
    </w:p>
    <w:p w:rsidR="00117751" w:rsidRPr="003F7E0A" w:rsidRDefault="00490D1E" w:rsidP="003F7E0A">
      <w:pPr>
        <w:ind w:left="992" w:firstLine="992"/>
        <w:contextualSpacing/>
        <w:rPr>
          <w:i/>
        </w:rPr>
      </w:pPr>
      <w:r w:rsidRPr="003F7E0A">
        <w:rPr>
          <w:i/>
        </w:rPr>
        <w:t>-</w:t>
      </w:r>
      <w:r w:rsidR="0070633D" w:rsidRPr="003F7E0A">
        <w:rPr>
          <w:i/>
        </w:rPr>
        <w:t xml:space="preserve"> </w:t>
      </w:r>
      <w:r w:rsidRPr="003F7E0A">
        <w:rPr>
          <w:i/>
        </w:rPr>
        <w:t>A</w:t>
      </w:r>
      <w:r w:rsidR="0093200A" w:rsidRPr="003F7E0A">
        <w:rPr>
          <w:i/>
        </w:rPr>
        <w:t>. J. </w:t>
      </w:r>
      <w:r w:rsidRPr="003F7E0A">
        <w:rPr>
          <w:i/>
        </w:rPr>
        <w:t>P</w:t>
      </w:r>
      <w:r w:rsidR="0093200A" w:rsidRPr="003F7E0A">
        <w:rPr>
          <w:i/>
        </w:rPr>
        <w:t>.</w:t>
      </w:r>
      <w:r w:rsidRPr="003F7E0A">
        <w:rPr>
          <w:i/>
        </w:rPr>
        <w:t>, kuris mirė nuo kiaurinio šautinio krūtinės sužalojimo su abiejų plaučių ir širdies stambiųjų kraujagyslių pažeidimais, įvykus ūmiam nukraujavimui;</w:t>
      </w:r>
    </w:p>
    <w:p w:rsidR="00117751" w:rsidRPr="003F7E0A" w:rsidRDefault="00490D1E" w:rsidP="003F7E0A">
      <w:pPr>
        <w:ind w:left="992" w:firstLine="992"/>
        <w:contextualSpacing/>
        <w:rPr>
          <w:i/>
        </w:rPr>
      </w:pPr>
      <w:r w:rsidRPr="003F7E0A">
        <w:rPr>
          <w:i/>
        </w:rPr>
        <w:t>-</w:t>
      </w:r>
      <w:r w:rsidR="0070633D" w:rsidRPr="003F7E0A">
        <w:rPr>
          <w:i/>
        </w:rPr>
        <w:t xml:space="preserve"> </w:t>
      </w:r>
      <w:r w:rsidR="004472EE" w:rsidRPr="003F7E0A">
        <w:rPr>
          <w:i/>
        </w:rPr>
        <w:t>V.-J. V.</w:t>
      </w:r>
      <w:r w:rsidRPr="003F7E0A">
        <w:rPr>
          <w:i/>
        </w:rPr>
        <w:t xml:space="preserve">, kuris mirė dėl to, kad po plaučių ir širdies keturių šautinių sužeidimų </w:t>
      </w:r>
      <w:r w:rsidR="006018A3" w:rsidRPr="003F7E0A">
        <w:rPr>
          <w:i/>
        </w:rPr>
        <w:t xml:space="preserve">įvyko </w:t>
      </w:r>
      <w:r w:rsidRPr="003F7E0A">
        <w:rPr>
          <w:i/>
        </w:rPr>
        <w:t xml:space="preserve">ūmus nukraujavimas. </w:t>
      </w:r>
    </w:p>
    <w:p w:rsidR="00117751" w:rsidRPr="003F7E0A" w:rsidRDefault="00490D1E" w:rsidP="003F7E0A">
      <w:pPr>
        <w:ind w:left="992" w:firstLine="992"/>
        <w:contextualSpacing/>
        <w:rPr>
          <w:i/>
        </w:rPr>
      </w:pPr>
      <w:r w:rsidRPr="003F7E0A">
        <w:rPr>
          <w:i/>
        </w:rPr>
        <w:t>-</w:t>
      </w:r>
      <w:r w:rsidR="0070633D" w:rsidRPr="003F7E0A">
        <w:rPr>
          <w:i/>
        </w:rPr>
        <w:t xml:space="preserve"> </w:t>
      </w:r>
      <w:r w:rsidR="004472EE" w:rsidRPr="003F7E0A">
        <w:rPr>
          <w:i/>
        </w:rPr>
        <w:t>V. K.</w:t>
      </w:r>
      <w:r w:rsidRPr="003F7E0A">
        <w:rPr>
          <w:i/>
        </w:rPr>
        <w:t>, kuris mirė dėl išplėstinio išmatinio pilvaplėvės uždegimo, žaizdų supūliavimo, stafilokokinio sepsio, gyvybiškai svarbių organų funkcijų išsekimo, kuriuos sukėlė šautinės kiaurinės pilvo kairės pusės ir kairio sėdmens žaizdos su daugybiniais vidaus organų sužalojimais.</w:t>
      </w:r>
    </w:p>
    <w:p w:rsidR="00117751" w:rsidRPr="003F7E0A" w:rsidRDefault="00490D1E" w:rsidP="003F7E0A">
      <w:pPr>
        <w:ind w:left="992" w:firstLine="992"/>
        <w:contextualSpacing/>
        <w:rPr>
          <w:i/>
        </w:rPr>
      </w:pPr>
      <w:r w:rsidRPr="003F7E0A">
        <w:rPr>
          <w:i/>
        </w:rPr>
        <w:t>Padarė tyčinius sunkius sveikatos sutrikdymus:</w:t>
      </w:r>
    </w:p>
    <w:p w:rsidR="00117751" w:rsidRPr="003F7E0A" w:rsidRDefault="004472EE" w:rsidP="003F7E0A">
      <w:pPr>
        <w:ind w:left="992" w:firstLine="992"/>
        <w:contextualSpacing/>
        <w:rPr>
          <w:i/>
        </w:rPr>
      </w:pPr>
      <w:r w:rsidRPr="003F7E0A">
        <w:rPr>
          <w:i/>
        </w:rPr>
        <w:lastRenderedPageBreak/>
        <w:t>M. A.</w:t>
      </w:r>
      <w:r w:rsidR="00490D1E" w:rsidRPr="003F7E0A">
        <w:rPr>
          <w:i/>
        </w:rPr>
        <w:t>, kuris dėl padaryto abiejų ausų garsą suvokiančios sistemos pakenkimo su bendru klausos netekimu 51,8 proc. prarado didelę dalį – daugiau nei 30 proc. bendro darbingumo;</w:t>
      </w:r>
    </w:p>
    <w:p w:rsidR="00117751" w:rsidRPr="003F7E0A" w:rsidRDefault="004472EE" w:rsidP="003F7E0A">
      <w:pPr>
        <w:ind w:left="992" w:firstLine="992"/>
        <w:contextualSpacing/>
        <w:rPr>
          <w:i/>
        </w:rPr>
      </w:pPr>
      <w:r w:rsidRPr="003F7E0A">
        <w:rPr>
          <w:i/>
        </w:rPr>
        <w:t>V. B.</w:t>
      </w:r>
      <w:r w:rsidR="00490D1E" w:rsidRPr="003F7E0A">
        <w:rPr>
          <w:i/>
        </w:rPr>
        <w:t>, kuriai dėl padarytos akustinės traumos išsivystė kurtumas ir pastaroji neteko 50 proc. bendro pastovaus darbingumo;</w:t>
      </w:r>
    </w:p>
    <w:p w:rsidR="00117751" w:rsidRPr="003F7E0A" w:rsidRDefault="004472EE" w:rsidP="003F7E0A">
      <w:pPr>
        <w:ind w:left="992" w:firstLine="992"/>
        <w:contextualSpacing/>
        <w:rPr>
          <w:i/>
        </w:rPr>
      </w:pPr>
      <w:r w:rsidRPr="003F7E0A">
        <w:rPr>
          <w:i/>
        </w:rPr>
        <w:t>E. M. (dabar M-T)</w:t>
      </w:r>
      <w:r w:rsidR="00490D1E" w:rsidRPr="003F7E0A">
        <w:rPr>
          <w:i/>
        </w:rPr>
        <w:t>, kuri dėl galvos smegenų sukrėtimo su ūmiu trauminiu abipusiu klausos nervų uždegimu, komplikavęsis išreikštu astenovegetaciniu ir vestibuliniu sindromais, antrine traumine epilepsija ir trauminiu apkurtimu dešine bei prikurtimu kaire ausimis tapo nedarbinga – II-os grupės invalide, netekdama 30 ir daugiau proc. bendro darbingumo;</w:t>
      </w:r>
    </w:p>
    <w:p w:rsidR="00117751" w:rsidRPr="003F7E0A" w:rsidRDefault="00D37127" w:rsidP="003F7E0A">
      <w:pPr>
        <w:ind w:left="992" w:firstLine="992"/>
        <w:contextualSpacing/>
        <w:rPr>
          <w:i/>
        </w:rPr>
      </w:pPr>
      <w:r w:rsidRPr="003F7E0A">
        <w:rPr>
          <w:i/>
        </w:rPr>
        <w:t>A. Š.</w:t>
      </w:r>
      <w:r w:rsidR="00490D1E" w:rsidRPr="003F7E0A">
        <w:rPr>
          <w:i/>
        </w:rPr>
        <w:t>, kuris dėl akustinės traumos išdavoje išsivysčiusio klausos didelio laipsnio netekimo su kairės ausies kurtumu neteko 30 ir daugiau proc. bendro darbingumo;</w:t>
      </w:r>
    </w:p>
    <w:p w:rsidR="00117751" w:rsidRPr="003F7E0A" w:rsidRDefault="004472EE" w:rsidP="003F7E0A">
      <w:pPr>
        <w:ind w:left="992" w:firstLine="992"/>
        <w:contextualSpacing/>
        <w:rPr>
          <w:i/>
        </w:rPr>
      </w:pPr>
      <w:r w:rsidRPr="003F7E0A">
        <w:rPr>
          <w:i/>
        </w:rPr>
        <w:t>B. M. (dabar S)</w:t>
      </w:r>
      <w:r w:rsidR="00490D1E" w:rsidRPr="003F7E0A">
        <w:rPr>
          <w:i/>
        </w:rPr>
        <w:t>, kuri dėl galvos sumušimo su kraujosruvomis veido minkštuose audiniuose, pakaušyje ir akių vokuose, odos nubrozdinimais kaktoje, galvos smegenų sukrėtimu ir kraujo išsiliejimu akių stiklakūniuose (t.</w:t>
      </w:r>
      <w:r w:rsidR="00C66292" w:rsidRPr="003F7E0A">
        <w:rPr>
          <w:i/>
        </w:rPr>
        <w:t> </w:t>
      </w:r>
      <w:r w:rsidR="00490D1E" w:rsidRPr="003F7E0A">
        <w:rPr>
          <w:i/>
        </w:rPr>
        <w:t>y. dėl akių traumos) neteko daugiau kaip 30 proc. bendro darbingumo;</w:t>
      </w:r>
    </w:p>
    <w:p w:rsidR="00117751" w:rsidRPr="003F7E0A" w:rsidRDefault="004472EE" w:rsidP="003F7E0A">
      <w:pPr>
        <w:ind w:left="992" w:firstLine="992"/>
        <w:contextualSpacing/>
        <w:rPr>
          <w:i/>
        </w:rPr>
      </w:pPr>
      <w:r w:rsidRPr="003F7E0A">
        <w:rPr>
          <w:i/>
        </w:rPr>
        <w:t>L. G.</w:t>
      </w:r>
      <w:r w:rsidR="00490D1E" w:rsidRPr="003F7E0A">
        <w:rPr>
          <w:i/>
        </w:rPr>
        <w:t>, kuri dėl galvos sumušimo, pasireiškusio muštinėmis kaktos ir viršugalvio kairės pusės žaizdomis ir galvos smegenų sukrėtimu, ir akustinės traumos, sukėlusios abipusį klausos nervų uždegimą, tapo II-os grupės invalide, netekdama daugiau kaip trečdalio bendro darbingumo;</w:t>
      </w:r>
    </w:p>
    <w:p w:rsidR="00117751" w:rsidRPr="003F7E0A" w:rsidRDefault="004472EE" w:rsidP="003F7E0A">
      <w:pPr>
        <w:ind w:left="992" w:firstLine="992"/>
        <w:contextualSpacing/>
        <w:rPr>
          <w:i/>
        </w:rPr>
      </w:pPr>
      <w:r w:rsidRPr="003F7E0A">
        <w:rPr>
          <w:i/>
        </w:rPr>
        <w:t>R. G.</w:t>
      </w:r>
      <w:r w:rsidR="00490D1E" w:rsidRPr="003F7E0A">
        <w:rPr>
          <w:i/>
        </w:rPr>
        <w:t xml:space="preserve">, kuris dėl kiaurinio šautinio kairės šlaunies ir aklo šautinio dešinės šlaunies sužalojimo, sukėlusiu dalinį kairės kojos paralyžių su kojos funkcijos apribojimu, tapo II-os grupės invalidu, netekdamas 30 ir daugiau proc. bendro darbingumo; </w:t>
      </w:r>
    </w:p>
    <w:p w:rsidR="00117751" w:rsidRPr="003F7E0A" w:rsidRDefault="004472EE" w:rsidP="003F7E0A">
      <w:pPr>
        <w:ind w:left="992" w:firstLine="992"/>
        <w:contextualSpacing/>
        <w:rPr>
          <w:i/>
        </w:rPr>
      </w:pPr>
      <w:r w:rsidRPr="003F7E0A">
        <w:rPr>
          <w:i/>
        </w:rPr>
        <w:t>Č. K.</w:t>
      </w:r>
      <w:r w:rsidR="00490D1E" w:rsidRPr="003F7E0A">
        <w:rPr>
          <w:i/>
        </w:rPr>
        <w:t xml:space="preserve">, kuriam padarė kiaurinį šautinį kairės blauzdos apatinio trečdalio sužalojimą su atvirais skeveldriniais kairio blauzdikaulio ir šeivikaulio lūžiais; </w:t>
      </w:r>
    </w:p>
    <w:p w:rsidR="00117751" w:rsidRPr="003F7E0A" w:rsidRDefault="004472EE" w:rsidP="003F7E0A">
      <w:pPr>
        <w:ind w:left="992" w:firstLine="992"/>
        <w:contextualSpacing/>
        <w:rPr>
          <w:i/>
        </w:rPr>
      </w:pPr>
      <w:r w:rsidRPr="003F7E0A">
        <w:rPr>
          <w:i/>
        </w:rPr>
        <w:t>O. V. R.</w:t>
      </w:r>
      <w:r w:rsidR="00490D1E" w:rsidRPr="003F7E0A">
        <w:rPr>
          <w:i/>
        </w:rPr>
        <w:t>, kuri dėl poodinės kraujosruvos galvoje, galvos smegenų sumušimo, abipusio klausos nervų uždegimo, dešinio peties sąnario trauminio uždegimo su dešinės rankos žasto nervinio pluošto uždegimu, ir galvos smegenų traumos, dėl ko išsivystė vestibulinis astenodepresinis stresinis sindromas, tapo II-os grupės invalide;</w:t>
      </w:r>
    </w:p>
    <w:p w:rsidR="00117751" w:rsidRPr="003F7E0A" w:rsidRDefault="004472EE" w:rsidP="003F7E0A">
      <w:pPr>
        <w:ind w:left="992" w:firstLine="992"/>
        <w:contextualSpacing/>
        <w:rPr>
          <w:i/>
        </w:rPr>
      </w:pPr>
      <w:r w:rsidRPr="003F7E0A">
        <w:rPr>
          <w:i/>
        </w:rPr>
        <w:t>A. R.</w:t>
      </w:r>
      <w:r w:rsidR="00490D1E" w:rsidRPr="003F7E0A">
        <w:rPr>
          <w:i/>
        </w:rPr>
        <w:t>, kuriam padarė šautinį kiaurinį dešinės šlaunies sužalojimą su įėjimo anga šlaunies apatinio trečdalio priekinio paviršiaus vidinėje pusėje ir išėjimo anga išoriniame paviršiuje aukščiau įėjimo angos bei įėjimo anga</w:t>
      </w:r>
      <w:r w:rsidR="00B35B41" w:rsidRPr="003F7E0A">
        <w:rPr>
          <w:i/>
        </w:rPr>
        <w:t xml:space="preserve"> </w:t>
      </w:r>
      <w:r w:rsidR="00490D1E" w:rsidRPr="003F7E0A">
        <w:rPr>
          <w:i/>
        </w:rPr>
        <w:t>šlaunies viršutiniame trečdalyje ties kirkšnimi ir išėjimo anga užpakaliniame paviršiuje ties sėdmenimi, su atviru skeveldriniu tarpgumburiniu dešinio šlaunikaulio lūžiu;</w:t>
      </w:r>
    </w:p>
    <w:p w:rsidR="00117751" w:rsidRPr="003F7E0A" w:rsidRDefault="004472EE" w:rsidP="003F7E0A">
      <w:pPr>
        <w:ind w:left="992" w:firstLine="992"/>
        <w:contextualSpacing/>
        <w:rPr>
          <w:i/>
        </w:rPr>
      </w:pPr>
      <w:r w:rsidRPr="003F7E0A">
        <w:rPr>
          <w:i/>
        </w:rPr>
        <w:t>A. R.</w:t>
      </w:r>
      <w:r w:rsidR="00490D1E" w:rsidRPr="003F7E0A">
        <w:rPr>
          <w:i/>
        </w:rPr>
        <w:t xml:space="preserve"> padarė muštines galvos viršugalvio kairės pusės ir pakaušio kairės pusės žaizdas ir atvirą pakauškaulio lūžį su galvos smegenų sumušimu, sukėlusį ūmų kraujavimą iš žaizdų ir trauminį šoką II laipsnio;</w:t>
      </w:r>
    </w:p>
    <w:p w:rsidR="00117751" w:rsidRPr="003F7E0A" w:rsidRDefault="004472EE" w:rsidP="003F7E0A">
      <w:pPr>
        <w:ind w:left="992" w:firstLine="992"/>
        <w:contextualSpacing/>
        <w:rPr>
          <w:i/>
        </w:rPr>
      </w:pPr>
      <w:r w:rsidRPr="003F7E0A">
        <w:rPr>
          <w:i/>
        </w:rPr>
        <w:t>J. S.</w:t>
      </w:r>
      <w:r w:rsidR="00490D1E" w:rsidRPr="003F7E0A">
        <w:rPr>
          <w:i/>
        </w:rPr>
        <w:t xml:space="preserve"> padarė kiaurinį šautinį nugaros dešinės pusės sužalojimą, dėl ko įvykus randiniui (fibroziniui) šonkaulio išsigimimui-susiformavo auglys (pašalintas operacijos metu) ir pastarasis tapo II-os grupės invalidu, netekdamas 30 ir daugiau proc. bendro darbingumo;</w:t>
      </w:r>
    </w:p>
    <w:p w:rsidR="00117751" w:rsidRPr="003F7E0A" w:rsidRDefault="004472EE" w:rsidP="003F7E0A">
      <w:pPr>
        <w:ind w:left="992" w:firstLine="992"/>
        <w:contextualSpacing/>
        <w:rPr>
          <w:i/>
        </w:rPr>
      </w:pPr>
      <w:r w:rsidRPr="003F7E0A">
        <w:rPr>
          <w:i/>
        </w:rPr>
        <w:t>E. S.</w:t>
      </w:r>
      <w:r w:rsidR="00490D1E" w:rsidRPr="003F7E0A">
        <w:rPr>
          <w:i/>
        </w:rPr>
        <w:t>, kuris dėl padaryto kiaurinio šautinio kairės šlaunies viršutinio trečdalio ir kairio sėdmens sužalojimo su kairio sėdimojo nervo pakenkimu ir šlaunies raumenų atrofija neteko 30 ir daugiau proc. bendro darbingumo;</w:t>
      </w:r>
    </w:p>
    <w:p w:rsidR="00117751" w:rsidRPr="003F7E0A" w:rsidRDefault="004472EE" w:rsidP="003F7E0A">
      <w:pPr>
        <w:ind w:left="992" w:firstLine="992"/>
        <w:contextualSpacing/>
        <w:rPr>
          <w:i/>
        </w:rPr>
      </w:pPr>
      <w:r w:rsidRPr="003F7E0A">
        <w:rPr>
          <w:i/>
        </w:rPr>
        <w:t>A. Š.</w:t>
      </w:r>
      <w:r w:rsidR="00490D1E" w:rsidRPr="003F7E0A">
        <w:rPr>
          <w:i/>
        </w:rPr>
        <w:t xml:space="preserve"> padarė kiaurinį šautinį kairio alkūnės sąnario sužalojimą, kiauryminę muštą-plėštą kairio pašonkaulio žaizdą, kairio X šonkaulio atvirą lūžimą ir kairio inksto plyšimą; </w:t>
      </w:r>
    </w:p>
    <w:p w:rsidR="00117751" w:rsidRPr="003F7E0A" w:rsidRDefault="004472EE" w:rsidP="003F7E0A">
      <w:pPr>
        <w:ind w:left="992" w:firstLine="992"/>
        <w:contextualSpacing/>
        <w:rPr>
          <w:i/>
        </w:rPr>
      </w:pPr>
      <w:r w:rsidRPr="003F7E0A">
        <w:rPr>
          <w:i/>
        </w:rPr>
        <w:t>V. Š.</w:t>
      </w:r>
      <w:r w:rsidR="00490D1E" w:rsidRPr="003F7E0A">
        <w:rPr>
          <w:i/>
        </w:rPr>
        <w:t xml:space="preserve">, kuris dėl šautinio kiaurinio burnos sužalojimo su kiaurine žaizda viršutinės lūpos dešinėje pusėje, skeveldriniu dešiniu viršutinio žandikaulio vainikinio krašto lūžiu ir šešių dantų išmušimu bei plėštinėmis žaizdomis burnos prieangyje ir liežuvyje, komplikavusis </w:t>
      </w:r>
      <w:r w:rsidR="00490D1E" w:rsidRPr="003F7E0A">
        <w:rPr>
          <w:i/>
        </w:rPr>
        <w:lastRenderedPageBreak/>
        <w:t>pastovia trišakio ir liežuvinio ryklės nervų neuralgija, neteko 30 ir daugiau proc. bendro darbingumo;</w:t>
      </w:r>
    </w:p>
    <w:p w:rsidR="00117751" w:rsidRPr="003F7E0A" w:rsidRDefault="004472EE" w:rsidP="003F7E0A">
      <w:pPr>
        <w:ind w:left="992" w:firstLine="992"/>
        <w:contextualSpacing/>
        <w:rPr>
          <w:i/>
        </w:rPr>
      </w:pPr>
      <w:r w:rsidRPr="003F7E0A">
        <w:rPr>
          <w:i/>
        </w:rPr>
        <w:t>L. Ž.</w:t>
      </w:r>
      <w:r w:rsidR="00490D1E" w:rsidRPr="003F7E0A">
        <w:rPr>
          <w:i/>
        </w:rPr>
        <w:t xml:space="preserve">, kuriam dėl psichinės traumos išsivysčius reaktyvinei būsenai žymiai sutriko psichinė sveikata ir socialinė adaptacija; </w:t>
      </w:r>
    </w:p>
    <w:p w:rsidR="00117751" w:rsidRPr="003F7E0A" w:rsidRDefault="004472EE" w:rsidP="003F7E0A">
      <w:pPr>
        <w:ind w:left="992" w:firstLine="992"/>
        <w:contextualSpacing/>
        <w:rPr>
          <w:i/>
        </w:rPr>
      </w:pPr>
      <w:r w:rsidRPr="003F7E0A">
        <w:rPr>
          <w:i/>
        </w:rPr>
        <w:t>V. L.</w:t>
      </w:r>
      <w:r w:rsidR="00490D1E" w:rsidRPr="003F7E0A">
        <w:rPr>
          <w:i/>
        </w:rPr>
        <w:t xml:space="preserve">, kuriai psichinės sveikatos sutrikimas – ilgalaikis asmenybės pakitimas – sukėlė stabilų asmenybės sutrikimą, prilyginamą ilgai trunkančiai ligai; </w:t>
      </w:r>
    </w:p>
    <w:p w:rsidR="00117751" w:rsidRPr="003F7E0A" w:rsidRDefault="004472EE" w:rsidP="003F7E0A">
      <w:pPr>
        <w:ind w:left="992" w:firstLine="992"/>
        <w:contextualSpacing/>
        <w:rPr>
          <w:i/>
        </w:rPr>
      </w:pPr>
      <w:r w:rsidRPr="003F7E0A">
        <w:rPr>
          <w:i/>
        </w:rPr>
        <w:t>R. Š.</w:t>
      </w:r>
      <w:r w:rsidR="00490D1E" w:rsidRPr="003F7E0A">
        <w:rPr>
          <w:i/>
        </w:rPr>
        <w:t>, kuriai padarytas psichikos sveikatos sutrikimas – potrauminio streso sutrikimas, kuris tęsėsi 4 mėnesius ir pilnai sutrikdė tuo laikotarpiu jos darbingumą;</w:t>
      </w:r>
    </w:p>
    <w:p w:rsidR="00117751" w:rsidRPr="003F7E0A" w:rsidRDefault="004472EE" w:rsidP="003F7E0A">
      <w:pPr>
        <w:ind w:left="992" w:firstLine="992"/>
        <w:contextualSpacing/>
        <w:rPr>
          <w:i/>
        </w:rPr>
      </w:pPr>
      <w:r w:rsidRPr="003F7E0A">
        <w:rPr>
          <w:i/>
        </w:rPr>
        <w:t>E. T.</w:t>
      </w:r>
      <w:r w:rsidR="00490D1E" w:rsidRPr="003F7E0A">
        <w:rPr>
          <w:i/>
        </w:rPr>
        <w:t>, kuri dėl akustinės traumos – progresavusio abipusio klausos nervų uždegimo su garsą suvokiančios sistemos pakenkimu ir labai didelio laipsnio prikurtimu neteko 30 ir daugiau proc. bendro darbingumo.</w:t>
      </w:r>
    </w:p>
    <w:p w:rsidR="00117751" w:rsidRPr="003F7E0A" w:rsidRDefault="00490D1E" w:rsidP="003F7E0A">
      <w:pPr>
        <w:ind w:left="992" w:firstLine="992"/>
        <w:contextualSpacing/>
        <w:rPr>
          <w:i/>
        </w:rPr>
      </w:pPr>
      <w:r w:rsidRPr="003F7E0A">
        <w:rPr>
          <w:i/>
        </w:rPr>
        <w:t xml:space="preserve">Karo atakos prie TV bokšto metu dalyvavę visi karinių struktūrų kariškiai bendrais veiksmais užgrobė TV bokštą, o jį gynusiems civiliams padarė šiuos sveikatos sutrikdymus: </w:t>
      </w:r>
    </w:p>
    <w:p w:rsidR="00117751" w:rsidRPr="003F7E0A" w:rsidRDefault="00490D1E" w:rsidP="003F7E0A">
      <w:pPr>
        <w:ind w:left="992" w:firstLine="992"/>
        <w:contextualSpacing/>
        <w:rPr>
          <w:i/>
        </w:rPr>
      </w:pPr>
      <w:r w:rsidRPr="003F7E0A">
        <w:rPr>
          <w:i/>
        </w:rPr>
        <w:t xml:space="preserve">tyčinius nesunkius sveikatos sutrikdymus dviem šimtams aštuoniasdešimt aštuoniems (288) civiliams: </w:t>
      </w:r>
      <w:r w:rsidR="004E4879" w:rsidRPr="003F7E0A">
        <w:rPr>
          <w:i/>
        </w:rPr>
        <w:t>(duomenys neskelbtini)</w:t>
      </w:r>
      <w:r w:rsidRPr="003F7E0A">
        <w:rPr>
          <w:i/>
        </w:rPr>
        <w:t>;</w:t>
      </w:r>
    </w:p>
    <w:p w:rsidR="00490D1E" w:rsidRPr="003F7E0A" w:rsidRDefault="00490D1E" w:rsidP="003F7E0A">
      <w:pPr>
        <w:ind w:left="992" w:firstLine="992"/>
        <w:contextualSpacing/>
        <w:rPr>
          <w:i/>
        </w:rPr>
      </w:pPr>
      <w:r w:rsidRPr="003F7E0A">
        <w:rPr>
          <w:i/>
        </w:rPr>
        <w:t xml:space="preserve">tyčinius nežymius sveikatos sutrikdymus dviem šimtams penkiasdešimt (250) civilių: </w:t>
      </w:r>
      <w:r w:rsidR="004E4879" w:rsidRPr="003F7E0A">
        <w:rPr>
          <w:i/>
        </w:rPr>
        <w:t>(duomenys neskelbtini)</w:t>
      </w:r>
      <w:r w:rsidRPr="003F7E0A">
        <w:rPr>
          <w:i/>
        </w:rPr>
        <w:t>“</w:t>
      </w:r>
      <w:r w:rsidR="00E672CC" w:rsidRPr="003F7E0A">
        <w:rPr>
          <w:rFonts w:eastAsia="Calibri"/>
          <w:i/>
        </w:rPr>
        <w:t xml:space="preserve"> </w:t>
      </w:r>
      <w:r w:rsidR="00F17E36" w:rsidRPr="003F7E0A">
        <w:rPr>
          <w:rFonts w:eastAsia="Calibri"/>
        </w:rPr>
        <w:t>(žr. nuosprendžio 212–221 l</w:t>
      </w:r>
      <w:r w:rsidR="007B01E6" w:rsidRPr="003F7E0A">
        <w:rPr>
          <w:rFonts w:eastAsia="Calibri"/>
        </w:rPr>
        <w:t>apus</w:t>
      </w:r>
      <w:r w:rsidR="00E672CC" w:rsidRPr="003F7E0A">
        <w:rPr>
          <w:rFonts w:eastAsia="Calibri"/>
        </w:rPr>
        <w:t xml:space="preserve"> (t.</w:t>
      </w:r>
      <w:r w:rsidR="00F17E36" w:rsidRPr="003F7E0A">
        <w:rPr>
          <w:rFonts w:eastAsia="Calibri"/>
        </w:rPr>
        <w:t xml:space="preserve"> 770</w:t>
      </w:r>
      <w:r w:rsidR="00E672CC" w:rsidRPr="003F7E0A">
        <w:rPr>
          <w:rFonts w:eastAsia="Calibri"/>
        </w:rPr>
        <w:t>, b.</w:t>
      </w:r>
      <w:r w:rsidR="00F17E36" w:rsidRPr="003F7E0A">
        <w:rPr>
          <w:rFonts w:eastAsia="Calibri"/>
        </w:rPr>
        <w:t> </w:t>
      </w:r>
      <w:r w:rsidR="00E672CC" w:rsidRPr="003F7E0A">
        <w:rPr>
          <w:rFonts w:eastAsia="Calibri"/>
        </w:rPr>
        <w:t xml:space="preserve">l. </w:t>
      </w:r>
      <w:r w:rsidR="00F17E36" w:rsidRPr="003F7E0A">
        <w:rPr>
          <w:rFonts w:eastAsia="Calibri"/>
        </w:rPr>
        <w:t>12</w:t>
      </w:r>
      <w:r w:rsidR="00954C4D" w:rsidRPr="003F7E0A">
        <w:rPr>
          <w:rFonts w:eastAsia="Calibri"/>
        </w:rPr>
        <w:t>–</w:t>
      </w:r>
      <w:r w:rsidR="00F17E36" w:rsidRPr="003F7E0A">
        <w:rPr>
          <w:rFonts w:eastAsia="Calibri"/>
        </w:rPr>
        <w:t>21</w:t>
      </w:r>
      <w:r w:rsidR="00E672CC" w:rsidRPr="003F7E0A">
        <w:rPr>
          <w:rFonts w:eastAsia="Calibri"/>
        </w:rPr>
        <w:t>)</w:t>
      </w:r>
      <w:r w:rsidR="00F17E36" w:rsidRPr="003F7E0A">
        <w:rPr>
          <w:rFonts w:eastAsia="Calibri"/>
        </w:rPr>
        <w:t>).</w:t>
      </w:r>
    </w:p>
    <w:p w:rsidR="00890803" w:rsidRPr="003F7E0A" w:rsidRDefault="00E6448D" w:rsidP="00321748">
      <w:pPr>
        <w:pStyle w:val="Heading3"/>
        <w:numPr>
          <w:ilvl w:val="1"/>
          <w:numId w:val="1"/>
        </w:numPr>
        <w:spacing w:before="120" w:after="120"/>
        <w:ind w:left="992" w:hanging="992"/>
        <w:jc w:val="both"/>
        <w:rPr>
          <w:rFonts w:eastAsia="Calibri"/>
          <w:sz w:val="24"/>
          <w:szCs w:val="24"/>
          <w:lang w:val="lt-LT"/>
        </w:rPr>
      </w:pPr>
      <w:bookmarkStart w:id="25" w:name="_Toc37947828"/>
      <w:bookmarkStart w:id="26" w:name="_Toc67677307"/>
      <w:bookmarkStart w:id="27" w:name="_Toc67985434"/>
      <w:r w:rsidRPr="003F7E0A">
        <w:rPr>
          <w:rStyle w:val="Heading3Char"/>
          <w:rFonts w:eastAsia="Calibri"/>
          <w:b/>
          <w:sz w:val="24"/>
          <w:szCs w:val="24"/>
          <w:lang w:val="lt-LT"/>
        </w:rPr>
        <w:t>„Radijo ir televizijos komiteto (LRT) užgrobimas“</w:t>
      </w:r>
      <w:bookmarkEnd w:id="25"/>
      <w:bookmarkEnd w:id="26"/>
      <w:bookmarkEnd w:id="27"/>
      <w:r w:rsidRPr="003F7E0A">
        <w:rPr>
          <w:rFonts w:eastAsia="Calibri"/>
          <w:sz w:val="24"/>
          <w:szCs w:val="24"/>
          <w:lang w:val="lt-LT"/>
        </w:rPr>
        <w:t xml:space="preserve"> </w:t>
      </w:r>
    </w:p>
    <w:p w:rsidR="00117751" w:rsidRPr="003F7E0A" w:rsidRDefault="00607189" w:rsidP="003F7E0A">
      <w:pPr>
        <w:ind w:left="992" w:firstLine="992"/>
        <w:contextualSpacing/>
        <w:rPr>
          <w:rFonts w:eastAsia="Calibri"/>
          <w:i/>
        </w:rPr>
      </w:pPr>
      <w:r w:rsidRPr="003F7E0A">
        <w:rPr>
          <w:rFonts w:eastAsia="Calibri"/>
          <w:i/>
        </w:rPr>
        <w:t>„</w:t>
      </w:r>
      <w:r w:rsidR="00890803" w:rsidRPr="003F7E0A">
        <w:rPr>
          <w:rFonts w:eastAsia="Calibri"/>
          <w:i/>
        </w:rPr>
        <w:t>Vadovavimo štabas karo atakose dalyvaujančias karines pajėgas paskirstė į užimtinus objektus, nurodė užduotis, paskyrė kariniams veiksmams vadovaujančius ir už karinių veiksmų koordinavimą atsakingus asmenis, kuriems įsakė informuoti vadovavimo štabą apie karinių operacijų eigą ir rezultatus. Vykdant tarptautinės humanitarinės teisės draudžiamas karo atakas, veiksmų koordinavimas ir vadovavimas LRT šturme dalyvaujantiems kariniams padaliniams, pavestas 76-osios oro desanto divizijos 234-ojo</w:t>
      </w:r>
      <w:r w:rsidR="00117751" w:rsidRPr="003F7E0A">
        <w:rPr>
          <w:rFonts w:eastAsia="Calibri"/>
          <w:i/>
        </w:rPr>
        <w:t xml:space="preserve"> pulko žvalgybos viršininkui </w:t>
      </w:r>
      <w:r w:rsidR="006036E7" w:rsidRPr="003F7E0A">
        <w:rPr>
          <w:rFonts w:eastAsia="Calibri"/>
          <w:i/>
        </w:rPr>
        <w:t>S. P.</w:t>
      </w:r>
      <w:r w:rsidR="00890803" w:rsidRPr="003F7E0A">
        <w:rPr>
          <w:rFonts w:eastAsia="Calibri"/>
          <w:i/>
        </w:rPr>
        <w:t xml:space="preserve">, kuris savo veiksmui, ryšio priemonėmis tiesiogiai derino su 76-osios oro desanto divizijos vado pavaduotoju </w:t>
      </w:r>
      <w:r w:rsidR="00385BC9" w:rsidRPr="003F7E0A">
        <w:rPr>
          <w:rFonts w:eastAsia="Calibri"/>
          <w:i/>
        </w:rPr>
        <w:t>V. K. 1</w:t>
      </w:r>
      <w:r w:rsidR="00890803" w:rsidRPr="003F7E0A">
        <w:rPr>
          <w:rFonts w:eastAsia="Calibri"/>
          <w:i/>
        </w:rPr>
        <w:t xml:space="preserve">, esančiu vadovavimo štabe. Atsakingu už šios operacijos įvykdymą buvo paskirtas 76-osios oro desanto divizijos 234-ojo pulko štabo viršininkas </w:t>
      </w:r>
      <w:r w:rsidR="00385BC9" w:rsidRPr="003F7E0A">
        <w:rPr>
          <w:rFonts w:eastAsia="Calibri"/>
          <w:i/>
        </w:rPr>
        <w:t>G. G.</w:t>
      </w:r>
      <w:r w:rsidR="00890803" w:rsidRPr="003F7E0A">
        <w:rPr>
          <w:rFonts w:eastAsia="Calibri"/>
          <w:i/>
        </w:rPr>
        <w:t>.</w:t>
      </w:r>
    </w:p>
    <w:p w:rsidR="00117751" w:rsidRPr="003F7E0A" w:rsidRDefault="00890803" w:rsidP="003F7E0A">
      <w:pPr>
        <w:ind w:left="992" w:firstLine="992"/>
        <w:contextualSpacing/>
        <w:rPr>
          <w:rFonts w:eastAsia="Calibri"/>
          <w:i/>
        </w:rPr>
      </w:pPr>
      <w:r w:rsidRPr="003F7E0A">
        <w:rPr>
          <w:rFonts w:eastAsia="Calibri"/>
          <w:i/>
        </w:rPr>
        <w:t xml:space="preserve">Pagal vadovavimo štabo suformuotą užduotį prie pastatų susirinkusius civilius, kurie siekė taikiu būdu užkirsti kelią TSRS ir TSKP vykdomai politikai – grąžinti Lietuvą į TSRS sudėtį, buvo numatyta pašalinti panaudojant teroro ir bauginimo priemones, kurias turėjo naudoti visi operacijoje dalyvaujantys padaliniai: motorizuotų šaulių kariškiai prie LRT turėjo atvykti tankais T-72, jais išgriauti užtvaras, šaudyti iš tankų pabūklų į civilių minią tuščiais užtaisais, skleisti dūminę užsklandą, karinės technikos prožektoriais apšviesti civilius, pavojingai manevruojant tankais T-72 važinėti aplink pastatus ir šalinti civilius. Oro desanto, vidaus kariuomenės ir grupės „A“ kariškiai prie LRT turėjo atvykti karine technika BTR, BRDM, URAL, ZIL-131 ir BMD, ja išgriauti užtvaras, pavojingai manevruojant važinėti aplink pastatus ir bauginti civilius, siekiant pašalinti juos iš užimamų objektų teritorijos, prieš civilius naudoti sprogstamuosius įtaisus, specialiąsias ir imitacines priemones, šaudyti garsiniais ir koviniais šoviniais, naudoti artimos kovos veiksmus – stumdyti, smūgiuoti kumščiais, kojomis ir turimais ginklais bei kitomis kūno sužalojimams daryti jų pačių pritaikytomis priemonėmis. Oro desanto padaliniai kartu su vidaus kariuomenės padaliniais turėjo prasibrauti iki užimamo objekto ir padaryti taip vadinamą „koridorių“, kuriuo grupės „A“ kariškiai galėtų patekti į užimamo objekto vidų ir, nusigavus iki studijų, išjungti radijo ir televizijos transliavimą užtikrinančius įrenginius bei nutraukti objekte ruošiamas ir transliuojamas laidas. Jiems iš paskos į užimamo objekto vidų turėjo brautis ir oro desanto bei vidaus kariuomenės padaliniai, kurie turėjo šalinti ten buvusius civilius ir užtikrinti užgrobto objekto apsaugą viduje ir išorėje. LRT šturme dalyvavo </w:t>
      </w:r>
      <w:r w:rsidRPr="003F7E0A">
        <w:rPr>
          <w:rFonts w:eastAsia="Calibri"/>
          <w:i/>
        </w:rPr>
        <w:lastRenderedPageBreak/>
        <w:t xml:space="preserve">maždaug šimtas trisdešimt aštuoni (138) kariškiai iš 76-osios oro desanto divizijos jungtinio karinio vieneto, dvidešimt penki (25) kariškiai iš grupės „A“, devyni (9) kariškiai iš 107-osios motorizuotų šaulių divizijos ir šešiasdešimt trys (63) kariškiai iš 42-osios divizijos. </w:t>
      </w:r>
    </w:p>
    <w:p w:rsidR="00117751" w:rsidRPr="003F7E0A" w:rsidRDefault="00890803" w:rsidP="003F7E0A">
      <w:pPr>
        <w:ind w:left="992" w:firstLine="992"/>
        <w:contextualSpacing/>
        <w:rPr>
          <w:rFonts w:eastAsia="Calibri"/>
          <w:i/>
        </w:rPr>
      </w:pPr>
      <w:r w:rsidRPr="003F7E0A">
        <w:rPr>
          <w:rFonts w:eastAsia="Calibri"/>
          <w:i/>
        </w:rPr>
        <w:t>Įgyvendinant pavestas užduotis, sausio 13 d., apie 2 val., prie LRT, esančios Konarskio g. 49, Vilniuje, pirmi atvyko 25-i grupės „A“ karišk</w:t>
      </w:r>
      <w:r w:rsidR="00FC7100" w:rsidRPr="003F7E0A">
        <w:rPr>
          <w:rFonts w:eastAsia="Calibri"/>
          <w:i/>
        </w:rPr>
        <w:t xml:space="preserve">iai, vadovaujami kaltinamojo </w:t>
      </w:r>
      <w:r w:rsidR="00385BC9" w:rsidRPr="003F7E0A">
        <w:rPr>
          <w:rFonts w:eastAsia="Calibri"/>
          <w:i/>
        </w:rPr>
        <w:t>M. G.</w:t>
      </w:r>
      <w:r w:rsidRPr="003F7E0A">
        <w:rPr>
          <w:rFonts w:eastAsia="Calibri"/>
          <w:i/>
        </w:rPr>
        <w:t xml:space="preserve"> paskirto atsakingo asmens – kaltinamojo </w:t>
      </w:r>
      <w:r w:rsidR="00385BC9" w:rsidRPr="003F7E0A">
        <w:rPr>
          <w:rFonts w:eastAsia="Calibri"/>
          <w:i/>
        </w:rPr>
        <w:t>J. Č.</w:t>
      </w:r>
      <w:r w:rsidRPr="003F7E0A">
        <w:rPr>
          <w:rFonts w:eastAsia="Calibri"/>
          <w:i/>
        </w:rPr>
        <w:t xml:space="preserve">, 63-ys 42-osios divizijos kariškiai, vadovaujami kaltinamojo </w:t>
      </w:r>
      <w:r w:rsidR="006036E7" w:rsidRPr="003F7E0A">
        <w:rPr>
          <w:rFonts w:eastAsia="Calibri"/>
          <w:i/>
        </w:rPr>
        <w:t>A. Ž.</w:t>
      </w:r>
      <w:r w:rsidRPr="003F7E0A">
        <w:rPr>
          <w:rFonts w:eastAsia="Calibri"/>
          <w:i/>
        </w:rPr>
        <w:t xml:space="preserve"> paskirtų atsakingų asmenų – divizijos vado pavaduotojo ir konvojaus pulko vado kaltinamojo </w:t>
      </w:r>
      <w:r w:rsidR="00A97F74" w:rsidRPr="003F7E0A">
        <w:rPr>
          <w:rFonts w:eastAsia="Calibri"/>
          <w:i/>
        </w:rPr>
        <w:t>S. F.</w:t>
      </w:r>
      <w:r w:rsidRPr="003F7E0A">
        <w:rPr>
          <w:rFonts w:eastAsia="Calibri"/>
          <w:i/>
        </w:rPr>
        <w:t xml:space="preserve">, 31-as kariškis iš 237-ojo pulko 1-ojo bataliono 1-os ir 2-os kuopų, priklausiusių 76-osios oro desanto divizijos jungtiniam kariniam vienetui, vadovaujami kaltinamųjų </w:t>
      </w:r>
      <w:r w:rsidR="00385BC9" w:rsidRPr="003F7E0A">
        <w:rPr>
          <w:rFonts w:eastAsia="Calibri"/>
          <w:i/>
        </w:rPr>
        <w:t>V. K. 1</w:t>
      </w:r>
      <w:r w:rsidRPr="003F7E0A">
        <w:rPr>
          <w:rFonts w:eastAsia="Calibri"/>
          <w:i/>
        </w:rPr>
        <w:t xml:space="preserve"> ir </w:t>
      </w:r>
      <w:r w:rsidR="006036E7" w:rsidRPr="003F7E0A">
        <w:rPr>
          <w:rFonts w:eastAsia="Calibri"/>
          <w:i/>
        </w:rPr>
        <w:t>S. P.</w:t>
      </w:r>
      <w:r w:rsidRPr="003F7E0A">
        <w:rPr>
          <w:rFonts w:eastAsia="Calibri"/>
          <w:i/>
        </w:rPr>
        <w:t xml:space="preserve"> paskirto atsakingo asmens – kuopos vado kaltinamojo </w:t>
      </w:r>
      <w:r w:rsidR="006036E7" w:rsidRPr="003F7E0A">
        <w:rPr>
          <w:rFonts w:eastAsia="Calibri"/>
          <w:i/>
        </w:rPr>
        <w:t>J. G.</w:t>
      </w:r>
      <w:r w:rsidRPr="003F7E0A">
        <w:rPr>
          <w:rFonts w:eastAsia="Calibri"/>
          <w:i/>
        </w:rPr>
        <w:t xml:space="preserve">. </w:t>
      </w:r>
    </w:p>
    <w:p w:rsidR="00117751" w:rsidRPr="003F7E0A" w:rsidRDefault="00890803" w:rsidP="003F7E0A">
      <w:pPr>
        <w:ind w:left="992" w:firstLine="992"/>
        <w:contextualSpacing/>
        <w:rPr>
          <w:rFonts w:eastAsia="Calibri"/>
          <w:i/>
        </w:rPr>
      </w:pPr>
      <w:r w:rsidRPr="003F7E0A">
        <w:rPr>
          <w:rFonts w:eastAsia="Calibri"/>
          <w:i/>
        </w:rPr>
        <w:t>Dvidešimt grupės „A“ kariškių atvyko automobiliu ZIL-131, penki grupės „A“ kariškiai atvyko kartu su trisdešimt vienu 76-osios oro desanto divizijos jungtinio karinio vieneto kariškiais URAL automobiliu, k/n 00-65 EF (rusiškos raidės), o 42-osios divizijos kariškiai atvyko vadavietės mašina (toliau - KŠM) GAZ-66, k/n 72-23 KI (rusiškos raidės), šešiais šarvuotais transporteriais (BTR), kurių borto Nr. 225, 243, 239, 604, 602 ir 237, bei kovine žvalgybos ir patruliavimo mašina (BRDM) borto numeris 250. Atvykę kariškiai karinę techniką KŠM, BTR ir BRDM, kaip bauginimo ir teroro priemones prieš civilius ir, kaip užtvarą puolamo objekto atskirti nuo civilių, išrikiavo priešais keturių aukštų LRT Radijo pastatą.</w:t>
      </w:r>
    </w:p>
    <w:p w:rsidR="00117751" w:rsidRPr="003F7E0A" w:rsidRDefault="00890803" w:rsidP="003F7E0A">
      <w:pPr>
        <w:ind w:left="992" w:firstLine="992"/>
        <w:contextualSpacing/>
        <w:rPr>
          <w:rFonts w:eastAsia="Calibri"/>
          <w:i/>
        </w:rPr>
      </w:pPr>
      <w:r w:rsidRPr="003F7E0A">
        <w:rPr>
          <w:rFonts w:eastAsia="Calibri"/>
          <w:i/>
        </w:rPr>
        <w:t xml:space="preserve">Kaltinamasis </w:t>
      </w:r>
      <w:r w:rsidR="00385BC9" w:rsidRPr="003F7E0A">
        <w:rPr>
          <w:rFonts w:eastAsia="Calibri"/>
          <w:i/>
        </w:rPr>
        <w:t>J. Č.</w:t>
      </w:r>
      <w:r w:rsidRPr="003F7E0A">
        <w:rPr>
          <w:rFonts w:eastAsia="Calibri"/>
          <w:i/>
        </w:rPr>
        <w:t xml:space="preserve"> grupės „A“ kariškius padalino į dvi dalis: penki grupės „A“ kariškiai, vadovaujami kaltinamojo paskirto atsakingo asmens, kartu su penkiasdešimt dviem 42-osios divizijos mokomosios specialios paskirties kuopos kariškiais, vadovaujamais konvojaus pulko vado kaltinamojo </w:t>
      </w:r>
      <w:r w:rsidR="00A97F74" w:rsidRPr="003F7E0A">
        <w:rPr>
          <w:rFonts w:eastAsia="Calibri"/>
          <w:i/>
        </w:rPr>
        <w:t>S. F.</w:t>
      </w:r>
      <w:r w:rsidRPr="003F7E0A">
        <w:rPr>
          <w:rFonts w:eastAsia="Calibri"/>
          <w:i/>
        </w:rPr>
        <w:t xml:space="preserve">, mokomosios specialios paskirties kuopos vado </w:t>
      </w:r>
      <w:r w:rsidR="00DC0414" w:rsidRPr="003F7E0A">
        <w:rPr>
          <w:rFonts w:eastAsia="Calibri"/>
          <w:i/>
        </w:rPr>
        <w:t>O. M.</w:t>
      </w:r>
      <w:r w:rsidRPr="003F7E0A">
        <w:rPr>
          <w:rFonts w:eastAsia="Calibri"/>
          <w:i/>
        </w:rPr>
        <w:t>, pavaduot</w:t>
      </w:r>
      <w:r w:rsidR="00CE2142" w:rsidRPr="003F7E0A">
        <w:rPr>
          <w:rFonts w:eastAsia="Calibri"/>
          <w:i/>
        </w:rPr>
        <w:t xml:space="preserve">ojo </w:t>
      </w:r>
      <w:r w:rsidR="00A97F74" w:rsidRPr="003F7E0A">
        <w:rPr>
          <w:rFonts w:eastAsia="Calibri"/>
          <w:i/>
        </w:rPr>
        <w:t>V. M.</w:t>
      </w:r>
      <w:r w:rsidR="00CE2142" w:rsidRPr="003F7E0A">
        <w:rPr>
          <w:rFonts w:eastAsia="Calibri"/>
          <w:i/>
        </w:rPr>
        <w:t xml:space="preserve">, būrių vadų </w:t>
      </w:r>
      <w:r w:rsidR="00DC0414" w:rsidRPr="003F7E0A">
        <w:rPr>
          <w:rFonts w:eastAsia="Calibri"/>
          <w:i/>
        </w:rPr>
        <w:t>M. C.</w:t>
      </w:r>
      <w:r w:rsidRPr="003F7E0A">
        <w:rPr>
          <w:rFonts w:eastAsia="Calibri"/>
          <w:i/>
        </w:rPr>
        <w:t xml:space="preserve"> ir kt. instruktorių </w:t>
      </w:r>
      <w:r w:rsidR="00DC0414" w:rsidRPr="003F7E0A">
        <w:rPr>
          <w:rFonts w:eastAsia="Calibri"/>
          <w:i/>
        </w:rPr>
        <w:t>J. S.</w:t>
      </w:r>
      <w:r w:rsidRPr="003F7E0A">
        <w:rPr>
          <w:rFonts w:eastAsia="Calibri"/>
          <w:i/>
        </w:rPr>
        <w:t xml:space="preserve">. bei už jų veiksmus atsakingu kariškiu ir dvidešimt keturiais kariškiais iš 76-osio oro desanto divizijos jungtinio karinio vieneto, vadovaujamais kaltinamųjų – 237-ojo pulko 1-ojo bataliono 1-os kuopos vado </w:t>
      </w:r>
      <w:r w:rsidR="006036E7" w:rsidRPr="003F7E0A">
        <w:rPr>
          <w:rFonts w:eastAsia="Calibri"/>
          <w:i/>
        </w:rPr>
        <w:t>J. G.</w:t>
      </w:r>
      <w:r w:rsidRPr="003F7E0A">
        <w:rPr>
          <w:rFonts w:eastAsia="Calibri"/>
          <w:i/>
        </w:rPr>
        <w:t xml:space="preserve">, pavaduotojo </w:t>
      </w:r>
      <w:r w:rsidR="006036E7" w:rsidRPr="003F7E0A">
        <w:rPr>
          <w:rFonts w:eastAsia="Calibri"/>
          <w:i/>
        </w:rPr>
        <w:t>I. Š.</w:t>
      </w:r>
      <w:r w:rsidRPr="003F7E0A">
        <w:rPr>
          <w:rFonts w:eastAsia="Calibri"/>
          <w:i/>
        </w:rPr>
        <w:t xml:space="preserve">, būrio vado kaltinamojo </w:t>
      </w:r>
      <w:r w:rsidR="006036E7" w:rsidRPr="003F7E0A">
        <w:rPr>
          <w:rFonts w:eastAsia="Calibri"/>
          <w:i/>
        </w:rPr>
        <w:t>A. F. 1</w:t>
      </w:r>
      <w:r w:rsidRPr="003F7E0A">
        <w:rPr>
          <w:rFonts w:eastAsia="Calibri"/>
          <w:i/>
        </w:rPr>
        <w:t xml:space="preserve">, 2-os kuopos vado </w:t>
      </w:r>
      <w:r w:rsidR="006036E7" w:rsidRPr="003F7E0A">
        <w:rPr>
          <w:rFonts w:eastAsia="Calibri"/>
          <w:i/>
        </w:rPr>
        <w:t>K. U.</w:t>
      </w:r>
      <w:r w:rsidRPr="003F7E0A">
        <w:rPr>
          <w:rFonts w:eastAsia="Calibri"/>
          <w:i/>
        </w:rPr>
        <w:t xml:space="preserve">, jo pavaduotojo </w:t>
      </w:r>
      <w:r w:rsidR="006036E7" w:rsidRPr="003F7E0A">
        <w:rPr>
          <w:rFonts w:eastAsia="Calibri"/>
          <w:i/>
        </w:rPr>
        <w:t>A. F. 2</w:t>
      </w:r>
      <w:r w:rsidRPr="003F7E0A">
        <w:rPr>
          <w:rFonts w:eastAsia="Calibri"/>
          <w:i/>
        </w:rPr>
        <w:t xml:space="preserve">, būrio vado </w:t>
      </w:r>
      <w:r w:rsidR="006036E7" w:rsidRPr="003F7E0A">
        <w:rPr>
          <w:rFonts w:eastAsia="Calibri"/>
          <w:i/>
        </w:rPr>
        <w:t>J. J.</w:t>
      </w:r>
      <w:r w:rsidRPr="003F7E0A">
        <w:rPr>
          <w:rFonts w:eastAsia="Calibri"/>
          <w:i/>
        </w:rPr>
        <w:t>, pulko sl</w:t>
      </w:r>
      <w:r w:rsidR="00CE2142" w:rsidRPr="003F7E0A">
        <w:rPr>
          <w:rFonts w:eastAsia="Calibri"/>
          <w:i/>
        </w:rPr>
        <w:t xml:space="preserve">aptosios tarnybos viršininko </w:t>
      </w:r>
      <w:r w:rsidR="006036E7" w:rsidRPr="003F7E0A">
        <w:rPr>
          <w:rFonts w:eastAsia="Calibri"/>
          <w:i/>
        </w:rPr>
        <w:t>A. I.</w:t>
      </w:r>
      <w:r w:rsidRPr="003F7E0A">
        <w:rPr>
          <w:rFonts w:eastAsia="Calibri"/>
          <w:i/>
        </w:rPr>
        <w:t>, pradėjo LRT Radijo pastate dirbusių ir pastatą gynusių civilių puolimą.</w:t>
      </w:r>
    </w:p>
    <w:p w:rsidR="00117751" w:rsidRPr="003F7E0A" w:rsidRDefault="00890803" w:rsidP="003F7E0A">
      <w:pPr>
        <w:ind w:left="992" w:firstLine="992"/>
        <w:contextualSpacing/>
        <w:rPr>
          <w:rFonts w:eastAsia="Calibri"/>
          <w:i/>
        </w:rPr>
      </w:pPr>
      <w:r w:rsidRPr="003F7E0A">
        <w:rPr>
          <w:rFonts w:eastAsia="Calibri"/>
          <w:i/>
        </w:rPr>
        <w:t>Tarptautinės humanitarinės teisės draudžiamos karo atakos metu vienas iš nenustatytų kariškių, būdamas KŠM, koordinavo ir prižiūrėjo 42-osios divizijos kariškių veiksmus prie LRT, ir ryšio priemonėmis veiksmus derino su operacijai vad</w:t>
      </w:r>
      <w:r w:rsidR="00CE2142" w:rsidRPr="003F7E0A">
        <w:rPr>
          <w:rFonts w:eastAsia="Calibri"/>
          <w:i/>
        </w:rPr>
        <w:t>ovavusiais kaltinamaisiais – S. </w:t>
      </w:r>
      <w:r w:rsidRPr="003F7E0A">
        <w:rPr>
          <w:rFonts w:eastAsia="Calibri"/>
          <w:i/>
        </w:rPr>
        <w:t>P</w:t>
      </w:r>
      <w:r w:rsidR="006036E7" w:rsidRPr="003F7E0A">
        <w:rPr>
          <w:rFonts w:eastAsia="Calibri"/>
          <w:i/>
        </w:rPr>
        <w:t>.</w:t>
      </w:r>
      <w:r w:rsidRPr="003F7E0A">
        <w:rPr>
          <w:rFonts w:eastAsia="Calibri"/>
          <w:i/>
        </w:rPr>
        <w:t xml:space="preserve"> ir TSRS VRM Šiaurės vakarų Pabaltijo vidaus kariuomenės valdybos viršininku kaltinamuoju </w:t>
      </w:r>
      <w:r w:rsidR="00385BC9" w:rsidRPr="003F7E0A">
        <w:rPr>
          <w:rFonts w:eastAsia="Calibri"/>
          <w:i/>
        </w:rPr>
        <w:t>V. S. 1</w:t>
      </w:r>
      <w:r w:rsidRPr="003F7E0A">
        <w:rPr>
          <w:rFonts w:eastAsia="Calibri"/>
          <w:i/>
        </w:rPr>
        <w:t>. Ryšių priemonių ir patikimo ryšio veikimą operacijos metu užtikrino ne mažiau kaip keturi kariškiai iš konvojaus pulko ryšių kuopos, vadovaujami 42-osios divizijos konvojaus pulko ryšių tar</w:t>
      </w:r>
      <w:r w:rsidR="00A155C4" w:rsidRPr="003F7E0A">
        <w:rPr>
          <w:rFonts w:eastAsia="Calibri"/>
          <w:i/>
        </w:rPr>
        <w:t xml:space="preserve">nybos viršininko kaltinamojo </w:t>
      </w:r>
      <w:r w:rsidR="00A97F74" w:rsidRPr="003F7E0A">
        <w:rPr>
          <w:rFonts w:eastAsia="Calibri"/>
          <w:i/>
        </w:rPr>
        <w:t>V. Š. 2</w:t>
      </w:r>
      <w:r w:rsidRPr="003F7E0A">
        <w:rPr>
          <w:rFonts w:eastAsia="Calibri"/>
          <w:i/>
        </w:rPr>
        <w:t xml:space="preserve">. </w:t>
      </w:r>
    </w:p>
    <w:p w:rsidR="00117751" w:rsidRPr="003F7E0A" w:rsidRDefault="00890803" w:rsidP="003F7E0A">
      <w:pPr>
        <w:ind w:left="992" w:firstLine="992"/>
        <w:contextualSpacing/>
        <w:rPr>
          <w:rFonts w:eastAsia="Calibri"/>
          <w:i/>
        </w:rPr>
      </w:pPr>
      <w:r w:rsidRPr="003F7E0A">
        <w:rPr>
          <w:rFonts w:eastAsia="Calibri"/>
          <w:i/>
        </w:rPr>
        <w:t>Vykdydami ir remdami kitos valstybės TSRS ir organizacijos TSKP politiką bei įgyvendindami operacijos planavimo grupės ir vadovav</w:t>
      </w:r>
      <w:r w:rsidR="00117751" w:rsidRPr="003F7E0A">
        <w:rPr>
          <w:rFonts w:eastAsia="Calibri"/>
          <w:i/>
        </w:rPr>
        <w:t xml:space="preserve">imo štabo, pagal kaltinamojo </w:t>
      </w:r>
      <w:r w:rsidR="00385BC9" w:rsidRPr="003F7E0A">
        <w:rPr>
          <w:rFonts w:eastAsia="Calibri"/>
          <w:i/>
        </w:rPr>
        <w:t>D. J.</w:t>
      </w:r>
      <w:r w:rsidRPr="003F7E0A">
        <w:rPr>
          <w:rFonts w:eastAsia="Calibri"/>
          <w:i/>
        </w:rPr>
        <w:t xml:space="preserve"> (kartu su </w:t>
      </w:r>
      <w:r w:rsidR="00C507EF" w:rsidRPr="003F7E0A">
        <w:rPr>
          <w:rFonts w:eastAsia="Calibri"/>
          <w:i/>
        </w:rPr>
        <w:t>B. P.</w:t>
      </w:r>
      <w:r w:rsidRPr="003F7E0A">
        <w:rPr>
          <w:rFonts w:eastAsia="Calibri"/>
          <w:i/>
        </w:rPr>
        <w:t xml:space="preserve">, </w:t>
      </w:r>
      <w:r w:rsidR="00C507EF" w:rsidRPr="003F7E0A">
        <w:rPr>
          <w:rFonts w:eastAsia="Calibri"/>
          <w:i/>
        </w:rPr>
        <w:t>V. K.</w:t>
      </w:r>
      <w:r w:rsidRPr="003F7E0A">
        <w:rPr>
          <w:rFonts w:eastAsia="Calibri"/>
          <w:i/>
        </w:rPr>
        <w:t xml:space="preserve">, </w:t>
      </w:r>
      <w:r w:rsidR="00D37127" w:rsidRPr="003F7E0A">
        <w:rPr>
          <w:rFonts w:eastAsia="Calibri"/>
          <w:i/>
        </w:rPr>
        <w:t>O. Š.</w:t>
      </w:r>
      <w:r w:rsidRPr="003F7E0A">
        <w:rPr>
          <w:rFonts w:eastAsia="Calibri"/>
          <w:i/>
        </w:rPr>
        <w:t xml:space="preserve">) parengtą ir patvirtintą planą, kariškiai tęsė tarptautinės humanitarinės teisės draudžiamą karo ataką prieš civilius, kurios metu nežmoniškai elgėsi su tarptautinės humanitarinės teisės saugomais asmenimis, t. y juos nužudė, padarė sunkius ir kito laipsnio sveikatos sutrikdymus, panaudojo bauginimo ir teroro priemones bei tarptautinių sutarčių uždraustas karo priemones. </w:t>
      </w:r>
    </w:p>
    <w:p w:rsidR="00117751" w:rsidRPr="003F7E0A" w:rsidRDefault="00890803" w:rsidP="003F7E0A">
      <w:pPr>
        <w:ind w:left="992" w:firstLine="992"/>
        <w:contextualSpacing/>
        <w:rPr>
          <w:rFonts w:eastAsia="Calibri"/>
          <w:i/>
        </w:rPr>
      </w:pPr>
      <w:r w:rsidRPr="003F7E0A">
        <w:rPr>
          <w:rFonts w:eastAsia="Calibri"/>
          <w:i/>
        </w:rPr>
        <w:t xml:space="preserve">Vykdydami gautą užduotį – užimti LRT (radijo) pastatą ir patekus į studijas, išjungti radijo transliavimą užtikrinančius įrenginius, nutraukti objekte ruošiamas ir transliuojamas radijo laidas, bei pašalinti civilius, kariškiai prieš juos panaudojo artimos kovos veiksmus – stumdė, mušė kumščiais, spardė kojomis bei turimais ginklais ir kitomis </w:t>
      </w:r>
      <w:r w:rsidRPr="003F7E0A">
        <w:rPr>
          <w:rFonts w:eastAsia="Calibri"/>
          <w:i/>
        </w:rPr>
        <w:lastRenderedPageBreak/>
        <w:t>kūno sužalojimams daryti pritaikytomis priemonėmis, sudavė nenustatytą skaičių smūgių, naudojo garsinius ir kovinius šaudmenis.</w:t>
      </w:r>
    </w:p>
    <w:p w:rsidR="00117751" w:rsidRPr="003F7E0A" w:rsidRDefault="00890803" w:rsidP="003F7E0A">
      <w:pPr>
        <w:ind w:left="992" w:firstLine="992"/>
        <w:contextualSpacing/>
        <w:rPr>
          <w:rFonts w:eastAsia="Calibri"/>
          <w:i/>
        </w:rPr>
      </w:pPr>
      <w:r w:rsidRPr="003F7E0A">
        <w:rPr>
          <w:rFonts w:eastAsia="Calibri"/>
          <w:i/>
        </w:rPr>
        <w:t xml:space="preserve">Grupės „A“ kariškiai prieš civilius, susirinkusius prie LRT (radijo) pastato ir pastate, naudojo granatsvaidžius RGS-50, šviesos ir garso granatas GSZ, specialiąsias priemones – specialius skysčio pistoletus PSŽ; 42-osios divizijos mokomosios specialios paskirties kuopos kariškiai prieš civilius naudojo šviesos ir garso granatas „Zaria“, specialiąsias priemones „Čeriomucha“, gumines lazdas PR-73, imitacines priemones – imitacinius sprogstamuosius įtaisus, dūminius užtaisus DM-II; 76-osios oro desanto divizijos jungtinio karinio vieneto kariškiai naudojo imitacines priemones – dūminius užtaisus DM-II, dūmines granatas RDG-2x (ginklų ir spec. priemonių pavadinimuose naudojamos rusiškos raidės). Be to, 42-osios divizijos mokomosios specialios paskirties kuopos kariškiai į civilius šaudė iš 7,62 mm kalibro SVD šautuvų ir automatinių ginklų AKMS, 76-osios oro desanto divizijos jungtinio pulko kariškiai į civilius šaudė iš 7,62 mm kalibro SVD šautuvų, o kartu su grupės „A“ kariškiais, šaudydami į civilius ir užimamą pastatą iš 5,45 mm kalibro automatinių ginklų, naudojo tarptautinių sutarčių uždraustas karo priemones – 5,45 mm kalibro šovinius su išcentruota kulka. </w:t>
      </w:r>
    </w:p>
    <w:p w:rsidR="00117751" w:rsidRPr="003F7E0A" w:rsidRDefault="00890803" w:rsidP="003F7E0A">
      <w:pPr>
        <w:ind w:left="992" w:firstLine="992"/>
        <w:contextualSpacing/>
        <w:rPr>
          <w:rFonts w:eastAsia="Calibri"/>
          <w:i/>
        </w:rPr>
      </w:pPr>
      <w:r w:rsidRPr="003F7E0A">
        <w:rPr>
          <w:rFonts w:eastAsia="Calibri"/>
          <w:i/>
        </w:rPr>
        <w:t>Kita, maždaug dvidešimt grupės „A“ kariškių da</w:t>
      </w:r>
      <w:r w:rsidR="00CE2142" w:rsidRPr="003F7E0A">
        <w:rPr>
          <w:rFonts w:eastAsia="Calibri"/>
          <w:i/>
        </w:rPr>
        <w:t xml:space="preserve">lis, vadovaujama kaltinamojo </w:t>
      </w:r>
      <w:r w:rsidR="00385BC9" w:rsidRPr="003F7E0A">
        <w:rPr>
          <w:rFonts w:eastAsia="Calibri"/>
          <w:i/>
        </w:rPr>
        <w:t>J. Č.</w:t>
      </w:r>
      <w:r w:rsidRPr="003F7E0A">
        <w:rPr>
          <w:rFonts w:eastAsia="Calibri"/>
          <w:i/>
        </w:rPr>
        <w:t xml:space="preserve"> ir kt., pradėjo civilių, susirinkusių prie 9 aukštų LRT (televizijos) pastato ir jame dirbusių, puolimą. Atakos prieš civilius metu, naudojo granatsvaidžius RGS-50, šviesos ir garso granatas GSZ, specialiąsias priemones – specialius skysčio pistoletus PSŽ, o šaudydami į civilius, užimamą pastatą ir jo viduje iš 5,45 mm kalibro automatinių ginklų, naudojo tarptautinių sutarčių uždraustas karo priemones – 5,45 mm kalibro šovinius su išcentruota kulka. Prieš civilius kariškiai taip pat naudojo garsinius ir kovinius šaudmenis, artimos kovos veiksmus – stumdė, smūgiavo kumščiais, spardė kojomis, ginklais ir kitomis turimomis priemonėmis sudavė civiliams nenustatytą skaičių smūgių į įvairias kūno dalis. Baugindami bei terorizuodami pastatą gynusius civilius, kariškiai brovėsi į 9 aukštų LRT pastatą, kad, patekus iki studijų, esančių LRT televizijos aparatinių ir </w:t>
      </w:r>
      <w:r w:rsidR="00A155C4" w:rsidRPr="003F7E0A">
        <w:rPr>
          <w:rFonts w:eastAsia="Calibri"/>
          <w:i/>
        </w:rPr>
        <w:t>studijų komplekse (toliau – LRT </w:t>
      </w:r>
      <w:r w:rsidRPr="003F7E0A">
        <w:rPr>
          <w:rFonts w:eastAsia="Calibri"/>
          <w:i/>
        </w:rPr>
        <w:t>TASK), išjungti televizijos transliavimą užtikrinančius įrenginius, nutraukti objekte ruošiamas ir transliuojamas televizijos laidas bei iš minėtų pastatų pašalinti civilius.</w:t>
      </w:r>
    </w:p>
    <w:p w:rsidR="00117751" w:rsidRPr="003F7E0A" w:rsidRDefault="00890803" w:rsidP="003F7E0A">
      <w:pPr>
        <w:ind w:left="992" w:firstLine="992"/>
        <w:contextualSpacing/>
        <w:rPr>
          <w:rFonts w:eastAsia="Calibri"/>
          <w:i/>
        </w:rPr>
      </w:pPr>
      <w:r w:rsidRPr="003F7E0A">
        <w:rPr>
          <w:rFonts w:eastAsia="Calibri"/>
          <w:i/>
        </w:rPr>
        <w:t>LRT (televizijos) pastate kariškiai pasidalino į dvi dal</w:t>
      </w:r>
      <w:r w:rsidR="00C66292" w:rsidRPr="003F7E0A">
        <w:rPr>
          <w:rFonts w:eastAsia="Calibri"/>
          <w:i/>
        </w:rPr>
        <w:t>is: viena kariškių dalis liko 9 </w:t>
      </w:r>
      <w:r w:rsidRPr="003F7E0A">
        <w:rPr>
          <w:rFonts w:eastAsia="Calibri"/>
          <w:i/>
        </w:rPr>
        <w:t>aukštų pastate ir pradėjo civilių puolimą, o kita dalis, lydima nenustatyto Lietuvos VSK darbuotojo, prasibrovė į LRT TASK ir patekę į studiją, aparatinėje išjungė prietaisus, pašalino iš patalpų civilius ir nutraukė TV laidų ruošimą bei transliavimą.</w:t>
      </w:r>
    </w:p>
    <w:p w:rsidR="00117751" w:rsidRPr="003F7E0A" w:rsidRDefault="00890803" w:rsidP="003F7E0A">
      <w:pPr>
        <w:ind w:left="992" w:firstLine="992"/>
        <w:contextualSpacing/>
        <w:rPr>
          <w:rFonts w:eastAsia="Calibri"/>
          <w:i/>
        </w:rPr>
      </w:pPr>
      <w:r w:rsidRPr="003F7E0A">
        <w:rPr>
          <w:rFonts w:eastAsia="Calibri"/>
          <w:i/>
        </w:rPr>
        <w:t>Puolimo metu, į S. Konarskio gatvę, nuo sankryžos su K. Požėlos (dabar V.</w:t>
      </w:r>
      <w:r w:rsidR="00EE41B9" w:rsidRPr="003F7E0A">
        <w:rPr>
          <w:rFonts w:eastAsia="Calibri"/>
          <w:i/>
        </w:rPr>
        <w:t> </w:t>
      </w:r>
      <w:r w:rsidRPr="003F7E0A">
        <w:rPr>
          <w:rFonts w:eastAsia="Calibri"/>
          <w:i/>
        </w:rPr>
        <w:t>Pietario) gatve, atvyko kita kariškių dalis. Pirmieji į S. Konarskio gatvę trimi</w:t>
      </w:r>
      <w:r w:rsidR="00CE2142" w:rsidRPr="003F7E0A">
        <w:rPr>
          <w:rFonts w:eastAsia="Calibri"/>
          <w:i/>
        </w:rPr>
        <w:t>s tankais T-72, kurių borto Nr. </w:t>
      </w:r>
      <w:r w:rsidRPr="003F7E0A">
        <w:rPr>
          <w:rFonts w:eastAsia="Calibri"/>
          <w:i/>
        </w:rPr>
        <w:t>559, 571 ir 574, atvyko 107-osios motorizuotų šaulių divizijos 106-ojo tankų pulko kariškiai. Tankams ko</w:t>
      </w:r>
      <w:r w:rsidR="00C82C9D" w:rsidRPr="003F7E0A">
        <w:rPr>
          <w:rFonts w:eastAsia="Calibri"/>
          <w:i/>
        </w:rPr>
        <w:t>lonoje vadovavo kaltinamasis V. </w:t>
      </w:r>
      <w:r w:rsidRPr="003F7E0A">
        <w:rPr>
          <w:rFonts w:eastAsia="Calibri"/>
          <w:i/>
        </w:rPr>
        <w:t>P</w:t>
      </w:r>
      <w:r w:rsidR="00C82C9D" w:rsidRPr="003F7E0A">
        <w:rPr>
          <w:rFonts w:eastAsia="Calibri"/>
          <w:i/>
        </w:rPr>
        <w:t>.</w:t>
      </w:r>
      <w:r w:rsidRPr="003F7E0A">
        <w:rPr>
          <w:rFonts w:eastAsia="Calibri"/>
          <w:i/>
        </w:rPr>
        <w:t xml:space="preserve"> - tanko Nr. 571 vadas, tanko ekipažą sudarė kaltinamieji: taikytojas </w:t>
      </w:r>
      <w:r w:rsidR="00A97F74" w:rsidRPr="003F7E0A">
        <w:rPr>
          <w:rFonts w:eastAsia="Calibri"/>
          <w:i/>
        </w:rPr>
        <w:t>N. O.</w:t>
      </w:r>
      <w:r w:rsidR="00117751" w:rsidRPr="003F7E0A">
        <w:rPr>
          <w:rFonts w:eastAsia="Calibri"/>
          <w:i/>
        </w:rPr>
        <w:t xml:space="preserve"> ir mechanikas-vairuotojas </w:t>
      </w:r>
      <w:r w:rsidR="00C82C9D" w:rsidRPr="003F7E0A">
        <w:rPr>
          <w:rFonts w:eastAsia="Calibri"/>
          <w:i/>
        </w:rPr>
        <w:t>A. U.</w:t>
      </w:r>
      <w:r w:rsidRPr="003F7E0A">
        <w:rPr>
          <w:rFonts w:eastAsia="Calibri"/>
          <w:i/>
        </w:rPr>
        <w:t xml:space="preserve">. Pirmasis atvažiavo tankas Nr. 559, kurio vadas kaltinamasis </w:t>
      </w:r>
      <w:r w:rsidR="00C82C9D" w:rsidRPr="003F7E0A">
        <w:rPr>
          <w:rFonts w:eastAsia="Calibri"/>
          <w:i/>
        </w:rPr>
        <w:t>J. O.</w:t>
      </w:r>
      <w:r w:rsidR="00CE2142" w:rsidRPr="003F7E0A">
        <w:rPr>
          <w:rFonts w:eastAsia="Calibri"/>
          <w:i/>
        </w:rPr>
        <w:t xml:space="preserve">, taikytojas kaltinamasis </w:t>
      </w:r>
      <w:r w:rsidR="00A97F74" w:rsidRPr="003F7E0A">
        <w:rPr>
          <w:rFonts w:eastAsia="Calibri"/>
          <w:i/>
        </w:rPr>
        <w:t>D. F.</w:t>
      </w:r>
      <w:r w:rsidRPr="003F7E0A">
        <w:rPr>
          <w:rFonts w:eastAsia="Calibri"/>
          <w:i/>
        </w:rPr>
        <w:t xml:space="preserve"> ir mechanikas-vairuotojas </w:t>
      </w:r>
      <w:r w:rsidR="004E4879" w:rsidRPr="003F7E0A">
        <w:rPr>
          <w:rFonts w:eastAsia="Calibri"/>
          <w:i/>
        </w:rPr>
        <w:t>A. R.</w:t>
      </w:r>
      <w:r w:rsidRPr="003F7E0A">
        <w:rPr>
          <w:rFonts w:eastAsia="Calibri"/>
          <w:i/>
        </w:rPr>
        <w:t xml:space="preserve"> (jo atžvilgiu baudžiamasis persekiojimas už nusikaltimus žmoniškumui ir karo nusikaltimus nevykdomas). Trečiuoju kolonoje judėjo tankas Nr. 574, jo vadas kaltinamasis </w:t>
      </w:r>
      <w:r w:rsidR="00C82C9D" w:rsidRPr="003F7E0A">
        <w:rPr>
          <w:rFonts w:eastAsia="Calibri"/>
          <w:i/>
        </w:rPr>
        <w:t>E. R.</w:t>
      </w:r>
      <w:r w:rsidR="00117751" w:rsidRPr="003F7E0A">
        <w:rPr>
          <w:rFonts w:eastAsia="Calibri"/>
          <w:i/>
        </w:rPr>
        <w:t xml:space="preserve">, taikytojas kaltinamasis </w:t>
      </w:r>
      <w:r w:rsidR="00A97F74" w:rsidRPr="003F7E0A">
        <w:rPr>
          <w:rFonts w:eastAsia="Calibri"/>
          <w:i/>
        </w:rPr>
        <w:t>A. K. 2</w:t>
      </w:r>
      <w:r w:rsidRPr="003F7E0A">
        <w:rPr>
          <w:rFonts w:eastAsia="Calibri"/>
          <w:i/>
        </w:rPr>
        <w:t xml:space="preserve"> ir mechanikas-vairuotojas kaltinamasis </w:t>
      </w:r>
      <w:r w:rsidR="00C82C9D" w:rsidRPr="003F7E0A">
        <w:rPr>
          <w:rFonts w:eastAsia="Calibri"/>
          <w:i/>
        </w:rPr>
        <w:t>N. S.</w:t>
      </w:r>
      <w:r w:rsidRPr="003F7E0A">
        <w:rPr>
          <w:rFonts w:eastAsia="Calibri"/>
          <w:i/>
        </w:rPr>
        <w:t xml:space="preserve">. </w:t>
      </w:r>
    </w:p>
    <w:p w:rsidR="00117751" w:rsidRPr="003F7E0A" w:rsidRDefault="00890803" w:rsidP="003F7E0A">
      <w:pPr>
        <w:ind w:left="992" w:firstLine="992"/>
        <w:contextualSpacing/>
        <w:rPr>
          <w:rFonts w:eastAsia="Calibri"/>
          <w:i/>
        </w:rPr>
      </w:pPr>
      <w:r w:rsidRPr="003F7E0A">
        <w:rPr>
          <w:rFonts w:eastAsia="Calibri"/>
          <w:i/>
        </w:rPr>
        <w:t>Tankų ir BMD, kurių borto Nr. 211, 203, 206, 271, 274, 273, 276, 277 bei dviejų karinių automobilių URAL (vieno iš jų Nr. 23-00 OF), kolonai ir LRT užgrobimo operacijai vadovavo 76-osios oro desanto divizijos 234-ojo pulko</w:t>
      </w:r>
      <w:r w:rsidR="00A155C4" w:rsidRPr="003F7E0A">
        <w:rPr>
          <w:rFonts w:eastAsia="Calibri"/>
          <w:i/>
        </w:rPr>
        <w:t xml:space="preserve"> štabo žvalgybos viršininkas </w:t>
      </w:r>
      <w:r w:rsidR="006036E7" w:rsidRPr="003F7E0A">
        <w:rPr>
          <w:rFonts w:eastAsia="Calibri"/>
          <w:i/>
        </w:rPr>
        <w:t>S. P.</w:t>
      </w:r>
      <w:r w:rsidRPr="003F7E0A">
        <w:rPr>
          <w:rFonts w:eastAsia="Calibri"/>
          <w:i/>
        </w:rPr>
        <w:t xml:space="preserve">. Atsakingu už šios operacijos įvykdymą buvo paskirtas 76-osios oro desanto divizijos 234-ojo pulko štabo viršininkas kaltinamasis </w:t>
      </w:r>
      <w:r w:rsidR="00385BC9" w:rsidRPr="003F7E0A">
        <w:rPr>
          <w:rFonts w:eastAsia="Calibri"/>
          <w:i/>
        </w:rPr>
        <w:t>G. G.</w:t>
      </w:r>
      <w:r w:rsidRPr="003F7E0A">
        <w:rPr>
          <w:rFonts w:eastAsia="Calibri"/>
          <w:i/>
        </w:rPr>
        <w:t>.</w:t>
      </w:r>
    </w:p>
    <w:p w:rsidR="00117751" w:rsidRPr="003F7E0A" w:rsidRDefault="00890803" w:rsidP="003F7E0A">
      <w:pPr>
        <w:ind w:left="992" w:firstLine="992"/>
        <w:contextualSpacing/>
        <w:rPr>
          <w:rFonts w:eastAsia="Calibri"/>
          <w:i/>
        </w:rPr>
      </w:pPr>
      <w:r w:rsidRPr="003F7E0A">
        <w:rPr>
          <w:rFonts w:eastAsia="Calibri"/>
          <w:i/>
        </w:rPr>
        <w:lastRenderedPageBreak/>
        <w:t xml:space="preserve">Pagal vadovavimo štabo paskirtas užduotis, šimtas septyni kariškiai iš 234-ojo pulko, priklausančio 76-osios oro desanto divizijos jungtiniam kariniam vienetui, pasiskirstę į tris grupes, puolė kitas LRT dalis: 9 aukštų LRT televizijos pastatą, TASK ir Techninį pastatą. Vykdydami užduotis S. Konarskio gatvėje, tankai T-72, ne mažiau kaip 7 kartus iššovė iš pabūklų tuščiais užtaisais, taip baugindami, terorizuodami ir siekdami sutrikdyti civilius. Leido dūmines užsklandas, karinės technikos šviesos prietaisais švietė į civilius, užimamus objektus ir aplink esančius gyvenamuosius namus, civilių minią iš teritorijos šalino važinėdami ir pavojingai manevruodami po užimamų objektų teritoriją. </w:t>
      </w:r>
    </w:p>
    <w:p w:rsidR="00117751" w:rsidRPr="003F7E0A" w:rsidRDefault="00890803" w:rsidP="003F7E0A">
      <w:pPr>
        <w:ind w:left="992" w:firstLine="992"/>
        <w:contextualSpacing/>
        <w:rPr>
          <w:rFonts w:eastAsia="Calibri"/>
          <w:i/>
        </w:rPr>
      </w:pPr>
      <w:r w:rsidRPr="003F7E0A">
        <w:rPr>
          <w:rFonts w:eastAsia="Calibri"/>
          <w:i/>
        </w:rPr>
        <w:t>Tęsdami teroro ir bauginimo veiksmus 42-osios diviz</w:t>
      </w:r>
      <w:r w:rsidR="00CE2142" w:rsidRPr="003F7E0A">
        <w:rPr>
          <w:rFonts w:eastAsia="Calibri"/>
          <w:i/>
        </w:rPr>
        <w:t xml:space="preserve">ijos karininkai kaltinamieji </w:t>
      </w:r>
      <w:r w:rsidR="00A97F74" w:rsidRPr="003F7E0A">
        <w:rPr>
          <w:rFonts w:eastAsia="Calibri"/>
          <w:i/>
        </w:rPr>
        <w:t>V. R.</w:t>
      </w:r>
      <w:r w:rsidRPr="003F7E0A">
        <w:rPr>
          <w:rFonts w:eastAsia="Calibri"/>
          <w:i/>
        </w:rPr>
        <w:t xml:space="preserve"> ir </w:t>
      </w:r>
      <w:r w:rsidR="00DC0414" w:rsidRPr="003F7E0A">
        <w:rPr>
          <w:rFonts w:eastAsia="Calibri"/>
          <w:i/>
        </w:rPr>
        <w:t>G. P.</w:t>
      </w:r>
      <w:r w:rsidRPr="003F7E0A">
        <w:rPr>
          <w:rFonts w:eastAsia="Calibri"/>
          <w:i/>
        </w:rPr>
        <w:t xml:space="preserve"> po antrojo tanko šūvio iš BRDM leido garso įrašą, kuriame buvo įrašytas kreipimasis rusų ir lietuvių kalbomis LNGK vardu, kad visą valdžią Lietuvoje perima LNGK, bet koks pasipriešinimas yra beprasmiškas ir nuves prie brolžudiško karo, civiliams buvo liepiama skirstytis. </w:t>
      </w:r>
    </w:p>
    <w:p w:rsidR="00117751" w:rsidRPr="003F7E0A" w:rsidRDefault="00890803" w:rsidP="003F7E0A">
      <w:pPr>
        <w:ind w:left="992" w:firstLine="992"/>
        <w:contextualSpacing/>
        <w:rPr>
          <w:rFonts w:eastAsia="Calibri"/>
          <w:i/>
        </w:rPr>
      </w:pPr>
      <w:r w:rsidRPr="003F7E0A">
        <w:rPr>
          <w:rFonts w:eastAsia="Calibri"/>
          <w:i/>
        </w:rPr>
        <w:t>Tuo metu tankų, kurių borto Nr. 559 ir 571 ekipažai, pavojingai manevruodami, privažiavo prie 9 aukštų LRT televizijos pastato ir tanko Nr. 559 ekipažas, išlaužė LRT juosiančios tvoros dalį ir kartu su BMD Nr. 277</w:t>
      </w:r>
      <w:r w:rsidR="000C727C" w:rsidRPr="003F7E0A">
        <w:rPr>
          <w:rFonts w:eastAsia="Calibri"/>
          <w:i/>
        </w:rPr>
        <w:t xml:space="preserve"> </w:t>
      </w:r>
      <w:r w:rsidRPr="003F7E0A">
        <w:rPr>
          <w:rFonts w:eastAsia="Calibri"/>
          <w:i/>
        </w:rPr>
        <w:t>priva</w:t>
      </w:r>
      <w:r w:rsidR="00D70EAE" w:rsidRPr="003F7E0A">
        <w:rPr>
          <w:rFonts w:eastAsia="Calibri"/>
          <w:i/>
        </w:rPr>
        <w:t>žiavo prie puolamo 9 aukštų LRT </w:t>
      </w:r>
      <w:r w:rsidRPr="003F7E0A">
        <w:rPr>
          <w:rFonts w:eastAsia="Calibri"/>
          <w:i/>
        </w:rPr>
        <w:t>televizijos pastato. Iš paskos atvažiavo KŠM GAZ-66, kurioje buvo ka</w:t>
      </w:r>
      <w:r w:rsidR="00CE2142" w:rsidRPr="003F7E0A">
        <w:rPr>
          <w:rFonts w:eastAsia="Calibri"/>
          <w:i/>
        </w:rPr>
        <w:t xml:space="preserve">ro atakai vadovaujantis </w:t>
      </w:r>
      <w:r w:rsidR="006036E7" w:rsidRPr="003F7E0A">
        <w:rPr>
          <w:rFonts w:eastAsia="Calibri"/>
          <w:i/>
        </w:rPr>
        <w:t>S. P.</w:t>
      </w:r>
      <w:r w:rsidRPr="003F7E0A">
        <w:rPr>
          <w:rFonts w:eastAsia="Calibri"/>
          <w:i/>
        </w:rPr>
        <w:t>, trys kariškiai iš 234-ojo pulko ryšių kuopos ir kariškis, užtikrinantis ryšių priemonių ir patikimo ryšio veikimą operacijos metu, o tanko Nr. 571 ekipažas, užtvėrė išlaužtą įvažiavimą.</w:t>
      </w:r>
    </w:p>
    <w:p w:rsidR="00117751" w:rsidRPr="003F7E0A" w:rsidRDefault="00890803" w:rsidP="003F7E0A">
      <w:pPr>
        <w:ind w:left="992" w:firstLine="992"/>
        <w:contextualSpacing/>
        <w:rPr>
          <w:rFonts w:eastAsia="Calibri"/>
          <w:i/>
        </w:rPr>
      </w:pPr>
      <w:r w:rsidRPr="003F7E0A">
        <w:rPr>
          <w:rFonts w:eastAsia="Calibri"/>
          <w:i/>
        </w:rPr>
        <w:t xml:space="preserve">Karinėmis desanto mašinomis (BMD) kurių borto Nr. 271, 274, 273, 276 ir 277, ir kariniu automobiliu URAL, k/n 23-00 OF, atvyko trisdešimt devyni kariškiai iš 234-ojo pulko 3-ojo bataliono 7-os kuopos, vadovaujami kaltinamųjų </w:t>
      </w:r>
      <w:r w:rsidR="006036E7" w:rsidRPr="003F7E0A">
        <w:rPr>
          <w:rFonts w:eastAsia="Calibri"/>
          <w:i/>
        </w:rPr>
        <w:t>S. M.</w:t>
      </w:r>
      <w:r w:rsidRPr="003F7E0A">
        <w:rPr>
          <w:rFonts w:eastAsia="Calibri"/>
          <w:i/>
        </w:rPr>
        <w:t xml:space="preserve">, </w:t>
      </w:r>
      <w:r w:rsidR="006036E7" w:rsidRPr="003F7E0A">
        <w:rPr>
          <w:rFonts w:eastAsia="Calibri"/>
          <w:i/>
        </w:rPr>
        <w:t>V. S. 3</w:t>
      </w:r>
      <w:r w:rsidRPr="003F7E0A">
        <w:rPr>
          <w:rFonts w:eastAsia="Calibri"/>
          <w:i/>
        </w:rPr>
        <w:t xml:space="preserve">, </w:t>
      </w:r>
      <w:r w:rsidR="006036E7" w:rsidRPr="003F7E0A">
        <w:rPr>
          <w:rFonts w:eastAsia="Calibri"/>
          <w:i/>
        </w:rPr>
        <w:t>A. N. 2</w:t>
      </w:r>
      <w:r w:rsidR="00CE2142" w:rsidRPr="003F7E0A">
        <w:rPr>
          <w:rFonts w:eastAsia="Calibri"/>
          <w:i/>
        </w:rPr>
        <w:t xml:space="preserve">, </w:t>
      </w:r>
      <w:r w:rsidR="006036E7" w:rsidRPr="003F7E0A">
        <w:rPr>
          <w:rFonts w:eastAsia="Calibri"/>
          <w:i/>
        </w:rPr>
        <w:t>A. S.</w:t>
      </w:r>
      <w:r w:rsidRPr="003F7E0A">
        <w:rPr>
          <w:rFonts w:eastAsia="Calibri"/>
          <w:i/>
        </w:rPr>
        <w:t xml:space="preserve">, </w:t>
      </w:r>
      <w:r w:rsidR="006036E7" w:rsidRPr="003F7E0A">
        <w:rPr>
          <w:rFonts w:eastAsia="Calibri"/>
          <w:i/>
        </w:rPr>
        <w:t>A. C.</w:t>
      </w:r>
      <w:r w:rsidRPr="003F7E0A">
        <w:rPr>
          <w:rFonts w:eastAsia="Calibri"/>
          <w:i/>
        </w:rPr>
        <w:t xml:space="preserve">, kurie vykdė užduotį kartu su </w:t>
      </w:r>
      <w:r w:rsidR="00385BC9" w:rsidRPr="003F7E0A">
        <w:rPr>
          <w:rFonts w:eastAsia="Calibri"/>
          <w:i/>
        </w:rPr>
        <w:t>G. G.</w:t>
      </w:r>
      <w:r w:rsidRPr="003F7E0A">
        <w:rPr>
          <w:rFonts w:eastAsia="Calibri"/>
          <w:i/>
        </w:rPr>
        <w:t xml:space="preserve"> prasibrauti į 9 aukštų LRT Televizijos pastatą, blokuoti visus įėjimus ir išėjimus, pašalinti civilius ir LRT direktoriaus kabinete atjungti teletaipą. Atvykę kariškiai BMD išrikiavo priešais puolamą pastatą, nukreipė pabūklus bei karinės technikos apšvietimo prietaisus į objektą ir išsilaipinę prisijungė prie grupės „A“ pradėtos tarptautinės humanitarinės teisės draudžiamos karo atakos. Karinės atakos metu kariškiai nežmoniškai elgėsi su tarptautinės humanitarinės teisės saugomais asmenimis – persekiojo civilius dėl politinių motyvų, kuriuos draudžia tarptautinė teisė, juos žudė, sunkiai sutrikdė jų sveikatą, naudojo bauginimo ir teroro bei tarptautinių sutarčių uždraustas karo priemones, o būtent: šaudydami į civilius ir užimamus pastatus bei jų viduje, į greta esančius gyvenamuosius namus 7,62 mm kalibro SVD šautuvais bei 5,45 mm kalibro automatiniais ginklais, panaudojo tarptautinių sutarčių uždraustas karo priemones – 5,45 mm kalibro šovinius su išcentruota kulka. Naudodami garsinius ir kovinius šaudmenis bei artimos kovos veiksmus, kariškiai įsibrovė į civilių ginamą 9 aukštų LRT televizijos pastatą, kuriame buvo grupės „A“ kariškiai. </w:t>
      </w:r>
    </w:p>
    <w:p w:rsidR="00117751" w:rsidRPr="003F7E0A" w:rsidRDefault="00890803" w:rsidP="003F7E0A">
      <w:pPr>
        <w:ind w:left="992" w:firstLine="992"/>
        <w:contextualSpacing/>
        <w:rPr>
          <w:rFonts w:eastAsia="Calibri"/>
          <w:i/>
        </w:rPr>
      </w:pPr>
      <w:r w:rsidRPr="003F7E0A">
        <w:rPr>
          <w:rFonts w:eastAsia="Calibri"/>
          <w:i/>
        </w:rPr>
        <w:t>Ikiteisminio tyrimo metu nenustatyta karišk</w:t>
      </w:r>
      <w:r w:rsidR="00D70EAE" w:rsidRPr="003F7E0A">
        <w:rPr>
          <w:rFonts w:eastAsia="Calibri"/>
          <w:i/>
        </w:rPr>
        <w:t>ių grupė brovėsi į 9 aukštų LRT </w:t>
      </w:r>
      <w:r w:rsidRPr="003F7E0A">
        <w:rPr>
          <w:rFonts w:eastAsia="Calibri"/>
          <w:i/>
        </w:rPr>
        <w:t>televizijos pastatą, kuriame, naudodami artimos kovos priemones ir būdus, tikrino patalpas, šalino iš jų civilius. Kita kariškių dalis, pagal VSK grupės „A“ kariškio (asmenybė nenustatyta) nurodymą, liko prie įėjimo į pastatą kur, šaudydami aukščiau nurodytais garsiniais ir koviniais šoviniais, naudodami artimos kovos būdus ir priemones stūmė nuo pastato civilius, taip pat apšaudė gyvenamuosius namus ir juose esančius civilius.</w:t>
      </w:r>
    </w:p>
    <w:p w:rsidR="00117751" w:rsidRPr="003F7E0A" w:rsidRDefault="00607189" w:rsidP="003F7E0A">
      <w:pPr>
        <w:ind w:left="992" w:firstLine="992"/>
        <w:contextualSpacing/>
        <w:rPr>
          <w:rFonts w:eastAsia="Calibri"/>
          <w:i/>
        </w:rPr>
      </w:pPr>
      <w:r w:rsidRPr="003F7E0A">
        <w:rPr>
          <w:rFonts w:eastAsia="Calibri"/>
          <w:i/>
        </w:rPr>
        <w:t>Vykdydami operacijos štabo planą, K. Požėlos (dabar V. Pietario) gatve BMD, kurių borto Nr. 203, 206 ir 211, ir kariniu automobiliu URAL, prie LRT atvyko trečioji karinės kolonos 234-ojo pulko kariškių dalis. BMD Nr. 206 išlaužus tvorą, karinė technika privažiavo prie 4 aukštų LRT radijo pastato. Išsilaipinę</w:t>
      </w:r>
      <w:r w:rsidR="00890803" w:rsidRPr="003F7E0A">
        <w:rPr>
          <w:rFonts w:eastAsia="Calibri"/>
          <w:i/>
        </w:rPr>
        <w:t xml:space="preserve"> kariškiai, pasidalino į dvi dalis: dvidešimt trys kariškiai iš 234-ojo pulko savaeigės artilerijos diviziono 1-os savaeigės artilerijos baterijos, vadovaujami kaltinamųjų </w:t>
      </w:r>
      <w:r w:rsidR="006036E7" w:rsidRPr="003F7E0A">
        <w:rPr>
          <w:rFonts w:eastAsia="Calibri"/>
          <w:i/>
        </w:rPr>
        <w:t>B. S.</w:t>
      </w:r>
      <w:r w:rsidR="00890803" w:rsidRPr="003F7E0A">
        <w:rPr>
          <w:rFonts w:eastAsia="Calibri"/>
          <w:i/>
        </w:rPr>
        <w:t xml:space="preserve">, </w:t>
      </w:r>
      <w:r w:rsidR="006036E7" w:rsidRPr="003F7E0A">
        <w:rPr>
          <w:rFonts w:eastAsia="Calibri"/>
          <w:i/>
        </w:rPr>
        <w:t>S. G.</w:t>
      </w:r>
      <w:r w:rsidR="00890803" w:rsidRPr="003F7E0A">
        <w:rPr>
          <w:rFonts w:eastAsia="Calibri"/>
          <w:i/>
        </w:rPr>
        <w:t xml:space="preserve">, </w:t>
      </w:r>
      <w:r w:rsidR="006036E7" w:rsidRPr="003F7E0A">
        <w:rPr>
          <w:rFonts w:eastAsia="Calibri"/>
          <w:i/>
        </w:rPr>
        <w:t>V. G.</w:t>
      </w:r>
      <w:r w:rsidR="00890803" w:rsidRPr="003F7E0A">
        <w:rPr>
          <w:rFonts w:eastAsia="Calibri"/>
          <w:i/>
        </w:rPr>
        <w:t xml:space="preserve">, bei dvidešimt šeši kariškiai </w:t>
      </w:r>
      <w:r w:rsidR="00890803" w:rsidRPr="003F7E0A">
        <w:rPr>
          <w:rFonts w:eastAsia="Calibri"/>
          <w:i/>
        </w:rPr>
        <w:lastRenderedPageBreak/>
        <w:t xml:space="preserve">iš 234-ojo pulko žvalgybos kuopos, vadovaujami kaltinamojo </w:t>
      </w:r>
      <w:r w:rsidR="006036E7" w:rsidRPr="003F7E0A">
        <w:rPr>
          <w:rFonts w:eastAsia="Calibri"/>
          <w:i/>
        </w:rPr>
        <w:t>R. J. 2</w:t>
      </w:r>
      <w:r w:rsidR="00890803" w:rsidRPr="003F7E0A">
        <w:rPr>
          <w:rFonts w:eastAsia="Calibri"/>
          <w:i/>
        </w:rPr>
        <w:t>, tęsė tarptautinės humanitarinės teisės draudžiamą karo ataką, kurios metu nežmoniškai elgėsi su tarptautinės humanitarinės teisės saugomais asmenimis: juos žudė,</w:t>
      </w:r>
      <w:r w:rsidR="00CE2142" w:rsidRPr="003F7E0A">
        <w:rPr>
          <w:rFonts w:eastAsia="Calibri"/>
          <w:i/>
        </w:rPr>
        <w:t xml:space="preserve"> sunkiai sutrikdė jų sveikatą, </w:t>
      </w:r>
      <w:r w:rsidR="00890803" w:rsidRPr="003F7E0A">
        <w:rPr>
          <w:rFonts w:eastAsia="Calibri"/>
          <w:i/>
        </w:rPr>
        <w:t>naudojo bauginimo ir teroro priemones bei tarptautinių sutarčių uždraustas karo priemones, o būtent:</w:t>
      </w:r>
    </w:p>
    <w:p w:rsidR="00117751" w:rsidRPr="003F7E0A" w:rsidRDefault="00890803" w:rsidP="003F7E0A">
      <w:pPr>
        <w:ind w:left="992" w:firstLine="992"/>
        <w:contextualSpacing/>
        <w:rPr>
          <w:rFonts w:eastAsia="Calibri"/>
          <w:i/>
        </w:rPr>
      </w:pPr>
      <w:r w:rsidRPr="003F7E0A">
        <w:rPr>
          <w:rFonts w:eastAsia="Calibri"/>
          <w:i/>
        </w:rPr>
        <w:t xml:space="preserve">Dvidešimt trijų kariškių grupė, vadovaujama kaltinamojo </w:t>
      </w:r>
      <w:r w:rsidR="006036E7" w:rsidRPr="003F7E0A">
        <w:rPr>
          <w:rFonts w:eastAsia="Calibri"/>
          <w:i/>
        </w:rPr>
        <w:t>B. S.</w:t>
      </w:r>
      <w:r w:rsidRPr="003F7E0A">
        <w:rPr>
          <w:rFonts w:eastAsia="Calibri"/>
          <w:i/>
        </w:rPr>
        <w:t>, dalyvavo užgrobiant</w:t>
      </w:r>
      <w:r w:rsidR="000C727C" w:rsidRPr="003F7E0A">
        <w:rPr>
          <w:rFonts w:eastAsia="Calibri"/>
          <w:i/>
        </w:rPr>
        <w:t xml:space="preserve"> </w:t>
      </w:r>
      <w:r w:rsidRPr="003F7E0A">
        <w:rPr>
          <w:rFonts w:eastAsia="Calibri"/>
          <w:i/>
        </w:rPr>
        <w:t xml:space="preserve">LRT TASK pastatą, šalino civilius darbuotojus, atjungė transliavimą užtikrinančius įrenginius. Šios užduoties vykdymui atakoje dalyvavę kariškiai buvo padalinti į dvi dalis, iš kurių viena grupė, vadovaujama kaltinamojo </w:t>
      </w:r>
      <w:r w:rsidR="006036E7" w:rsidRPr="003F7E0A">
        <w:rPr>
          <w:rFonts w:eastAsia="Calibri"/>
          <w:i/>
        </w:rPr>
        <w:t>V. G.</w:t>
      </w:r>
      <w:r w:rsidRPr="003F7E0A">
        <w:rPr>
          <w:rFonts w:eastAsia="Calibri"/>
          <w:i/>
        </w:rPr>
        <w:t xml:space="preserve">, įsibrovusi į pastatą, padėjo grupės „A“ kariškiams išjungti televizijos transliavimą užtikrinančius įrenginius bei nutraukti objekte ruošiamas ir transliuojamas televizijos laidas, pašalinti civilius iš pastato, tikrinti patalpas pastate. Kita kariškių grupė, vadovaujama kaltinamųjų </w:t>
      </w:r>
      <w:r w:rsidR="006036E7" w:rsidRPr="003F7E0A">
        <w:rPr>
          <w:rFonts w:eastAsia="Calibri"/>
          <w:i/>
        </w:rPr>
        <w:t>B. S.</w:t>
      </w:r>
      <w:r w:rsidRPr="003F7E0A">
        <w:rPr>
          <w:rFonts w:eastAsia="Calibri"/>
          <w:i/>
        </w:rPr>
        <w:t xml:space="preserve"> ir </w:t>
      </w:r>
      <w:r w:rsidR="006036E7" w:rsidRPr="003F7E0A">
        <w:rPr>
          <w:rFonts w:eastAsia="Calibri"/>
          <w:i/>
        </w:rPr>
        <w:t>S. G.</w:t>
      </w:r>
      <w:r w:rsidRPr="003F7E0A">
        <w:rPr>
          <w:rFonts w:eastAsia="Calibri"/>
          <w:i/>
        </w:rPr>
        <w:t>, neradusi vidinio praėjimo iš LRT TASK į LRT radijo 4 aukštų pastatą, vykdydami karo atakos eigoje gautą nurodymą, vidiniu pastatus jungiančiu koridori</w:t>
      </w:r>
      <w:r w:rsidR="00352E2C" w:rsidRPr="003F7E0A">
        <w:rPr>
          <w:rFonts w:eastAsia="Calibri"/>
          <w:i/>
        </w:rPr>
        <w:t>umi prasibrovė iki 9 aukštų LRT </w:t>
      </w:r>
      <w:r w:rsidRPr="003F7E0A">
        <w:rPr>
          <w:rFonts w:eastAsia="Calibri"/>
          <w:i/>
        </w:rPr>
        <w:t>Televizijos pastato. Patekusi į pastatą prisijungė prie 234-ojo pulko 3-io bataliono 7-os kuopos kariškių ir kartu šaudė pastato viduje ir išorėje į civilius, greta esančius gyvenamuosius namus 7,62 mm kalibro SVD šautuvais bei 5,45 mm kalibro automatiniais ginklais, t.y. naudojo tarptautinių sutarčių uždraustas karo priemones – 5,45 mm kalibro šovinius su išcentruota kulka. Karo atakos metu kariškiai naudojo tiek garsinius, tiek ir kovinius šaudmenis, artimos kovos veiksmus – stumdė, smūgiavo kumščiais, spardė kojomis ir sudavė nenustatytą skaičių smūgių civiliams ginklais ir kitomis kūno sužalojimams daryti pritaikytomis priemonėmis į įvairias kūno dalis.</w:t>
      </w:r>
    </w:p>
    <w:p w:rsidR="00117751" w:rsidRPr="003F7E0A" w:rsidRDefault="00890803" w:rsidP="003F7E0A">
      <w:pPr>
        <w:ind w:left="992" w:firstLine="992"/>
        <w:contextualSpacing/>
        <w:rPr>
          <w:rFonts w:eastAsia="Calibri"/>
          <w:i/>
        </w:rPr>
      </w:pPr>
      <w:r w:rsidRPr="003F7E0A">
        <w:rPr>
          <w:rFonts w:eastAsia="Calibri"/>
          <w:i/>
        </w:rPr>
        <w:t xml:space="preserve">Dvidešimt šešių kariškių grupė, vadovaujama kaltinamojo </w:t>
      </w:r>
      <w:r w:rsidR="006036E7" w:rsidRPr="003F7E0A">
        <w:rPr>
          <w:rFonts w:eastAsia="Calibri"/>
          <w:i/>
        </w:rPr>
        <w:t>R. J. 2</w:t>
      </w:r>
      <w:r w:rsidRPr="003F7E0A">
        <w:rPr>
          <w:rFonts w:eastAsia="Calibri"/>
          <w:i/>
        </w:rPr>
        <w:t>, vykdydama užduotį, įsibrovė į LRT Techninį pastatą ir pašalino iš jų civ</w:t>
      </w:r>
      <w:r w:rsidR="00CE2142" w:rsidRPr="003F7E0A">
        <w:rPr>
          <w:rFonts w:eastAsia="Calibri"/>
          <w:i/>
        </w:rPr>
        <w:t xml:space="preserve">ilį. Ryšio priemonėmis gavęs </w:t>
      </w:r>
      <w:r w:rsidR="00385BC9" w:rsidRPr="003F7E0A">
        <w:rPr>
          <w:rFonts w:eastAsia="Calibri"/>
          <w:i/>
        </w:rPr>
        <w:t>G. G.</w:t>
      </w:r>
      <w:r w:rsidRPr="003F7E0A">
        <w:rPr>
          <w:rFonts w:eastAsia="Calibri"/>
          <w:i/>
        </w:rPr>
        <w:t xml:space="preserve"> nurodymą, </w:t>
      </w:r>
      <w:r w:rsidR="006036E7" w:rsidRPr="003F7E0A">
        <w:rPr>
          <w:rFonts w:eastAsia="Calibri"/>
          <w:i/>
        </w:rPr>
        <w:t>R. J. 2</w:t>
      </w:r>
      <w:r w:rsidRPr="003F7E0A">
        <w:rPr>
          <w:rFonts w:eastAsia="Calibri"/>
          <w:i/>
        </w:rPr>
        <w:t xml:space="preserve">, prisijungė prie kariškių iš 237-ojo pulko 1-ojo bataliono 1-osios ir 2-osios kuopų ir kitų minėtų struktūrų kariškių, užgrobusių LRT radijo pastatą. </w:t>
      </w:r>
    </w:p>
    <w:p w:rsidR="00117751" w:rsidRPr="003F7E0A" w:rsidRDefault="00890803" w:rsidP="003F7E0A">
      <w:pPr>
        <w:ind w:left="992" w:firstLine="992"/>
        <w:contextualSpacing/>
        <w:rPr>
          <w:rFonts w:eastAsia="Calibri"/>
          <w:i/>
        </w:rPr>
      </w:pPr>
      <w:r w:rsidRPr="003F7E0A">
        <w:rPr>
          <w:rFonts w:eastAsia="Calibri"/>
          <w:i/>
        </w:rPr>
        <w:t>Keturi kariškiai užtikrino aptvertos LRT teritorijos dalies, esančios prie užgrobtų LRT Radijo ir LRT Techninio pastatų, apsaugą, o kiti kariškiai šaudė pastato viduje ir išorėje į civilius, greta esančius gyvenamuosius namus iš 7,62 mm kalibro SVD šautuvų bei 5,45 mm kalibro automatinių ginklų, taip naudodami tarptautinių sutarčių uždraustas karo priemones – 5,45 mm kalibro šovinius su išcentruota kulka. Karo atakos metu kariškiai naudojo tiek garsinius, tiek ir kovinius šaudmenis bei artimos kovo veiksmus – stumdė, smūgiavo kumščiais, spardė kojomis ir sudavė nenustatytą skaičių smūgių civiliams ginklais ir kitomis kūno sužalojimams daryti pritaikytomis priemonėmis į įvairias kūno dalis.</w:t>
      </w:r>
    </w:p>
    <w:p w:rsidR="00117751" w:rsidRPr="003F7E0A" w:rsidRDefault="00890803" w:rsidP="003F7E0A">
      <w:pPr>
        <w:ind w:left="992" w:firstLine="992"/>
        <w:contextualSpacing/>
        <w:rPr>
          <w:rFonts w:eastAsia="Calibri"/>
          <w:i/>
        </w:rPr>
      </w:pPr>
      <w:r w:rsidRPr="003F7E0A">
        <w:rPr>
          <w:rFonts w:eastAsia="Calibri"/>
          <w:i/>
        </w:rPr>
        <w:t>Tanko Nr. 574 ekipažas, puolimo pradžioje užtvėręs S. K</w:t>
      </w:r>
      <w:r w:rsidR="00117751" w:rsidRPr="003F7E0A">
        <w:rPr>
          <w:rFonts w:eastAsia="Calibri"/>
          <w:i/>
        </w:rPr>
        <w:t>onarskio gatvę sankryžoje su K. </w:t>
      </w:r>
      <w:r w:rsidRPr="003F7E0A">
        <w:rPr>
          <w:rFonts w:eastAsia="Calibri"/>
          <w:i/>
        </w:rPr>
        <w:t>Požėlos (dabar V. Pietario) gatve, užtikrindamas LRT puolamų objektų apsaugą, įvažiavo į saugomą LRT teritorijos dalį.</w:t>
      </w:r>
    </w:p>
    <w:p w:rsidR="00117751" w:rsidRPr="003F7E0A" w:rsidRDefault="00890803" w:rsidP="003F7E0A">
      <w:pPr>
        <w:ind w:left="992" w:firstLine="992"/>
        <w:contextualSpacing/>
        <w:rPr>
          <w:rFonts w:eastAsia="Calibri"/>
          <w:i/>
        </w:rPr>
      </w:pPr>
      <w:r w:rsidRPr="003F7E0A">
        <w:rPr>
          <w:rFonts w:eastAsia="Calibri"/>
          <w:i/>
        </w:rPr>
        <w:t>1991 m. sausio 13 d., apie 1.30 val., grupės „A“ ir ikiteisminio tyrimo metu nenustatyti 76-osios oro desanto divizijos jungtinio karinio vieneto kariškiai, po Lietuvos radijo ir televizijos centro radijofonijos cecho, esančio Vilniuj</w:t>
      </w:r>
      <w:r w:rsidR="00D70EAE" w:rsidRPr="003F7E0A">
        <w:rPr>
          <w:rFonts w:eastAsia="Calibri"/>
          <w:i/>
        </w:rPr>
        <w:t>e, Tujų g. 2, užgrobimo, apie 2 </w:t>
      </w:r>
      <w:r w:rsidRPr="003F7E0A">
        <w:rPr>
          <w:rFonts w:eastAsia="Calibri"/>
          <w:i/>
        </w:rPr>
        <w:t xml:space="preserve">val., pagal grupės „A“ veiksmus koordinavusio ir jiems vadovavusio </w:t>
      </w:r>
      <w:r w:rsidR="00385BC9" w:rsidRPr="003F7E0A">
        <w:rPr>
          <w:rFonts w:eastAsia="Calibri"/>
          <w:i/>
        </w:rPr>
        <w:t>M. G.</w:t>
      </w:r>
      <w:r w:rsidRPr="003F7E0A">
        <w:rPr>
          <w:rFonts w:eastAsia="Calibri"/>
          <w:i/>
        </w:rPr>
        <w:t xml:space="preserve"> nurodymą, atvyko prie LRT ir prisijungė prie kitų </w:t>
      </w:r>
      <w:r w:rsidR="00385BC9" w:rsidRPr="003F7E0A">
        <w:rPr>
          <w:rFonts w:eastAsia="Calibri"/>
          <w:i/>
        </w:rPr>
        <w:t>J. Č.</w:t>
      </w:r>
      <w:r w:rsidRPr="003F7E0A">
        <w:rPr>
          <w:rFonts w:eastAsia="Calibri"/>
          <w:i/>
        </w:rPr>
        <w:t xml:space="preserve"> vadovaujamų grupės „A“ kariškių ir kartu prieš civilius asmenis naudojo tas pačias bauginimo ir teroro bei tarptautinių sutarčių uždraustas karo priemones.</w:t>
      </w:r>
    </w:p>
    <w:p w:rsidR="00117751" w:rsidRPr="003F7E0A" w:rsidRDefault="00890803" w:rsidP="003F7E0A">
      <w:pPr>
        <w:ind w:left="992" w:firstLine="992"/>
        <w:contextualSpacing/>
        <w:rPr>
          <w:rFonts w:eastAsia="Calibri"/>
          <w:i/>
        </w:rPr>
      </w:pPr>
      <w:r w:rsidRPr="003F7E0A">
        <w:rPr>
          <w:rFonts w:eastAsia="Calibri"/>
          <w:i/>
        </w:rPr>
        <w:t>1991 m. sausio 13 d., apie 1 val. 30 min., LKP/TSKP Vilniaus miesto komitete, Gedimino pr. 36, Vilniuje, draugovininkams pagal vadovavimo štabo planą ir nusikaltimų žmoniškumui bei karo nusikaltimų kurstytojų (</w:t>
      </w:r>
      <w:r w:rsidR="00C507EF" w:rsidRPr="003F7E0A">
        <w:rPr>
          <w:rFonts w:eastAsia="Calibri"/>
          <w:i/>
        </w:rPr>
        <w:t>M. B.</w:t>
      </w:r>
      <w:r w:rsidR="00A155C4" w:rsidRPr="003F7E0A">
        <w:rPr>
          <w:rFonts w:eastAsia="Calibri"/>
          <w:i/>
        </w:rPr>
        <w:t xml:space="preserve">, </w:t>
      </w:r>
      <w:r w:rsidR="00C507EF" w:rsidRPr="003F7E0A">
        <w:rPr>
          <w:rFonts w:eastAsia="Calibri"/>
          <w:i/>
        </w:rPr>
        <w:t>J. K.</w:t>
      </w:r>
      <w:r w:rsidR="00A155C4" w:rsidRPr="003F7E0A">
        <w:rPr>
          <w:rFonts w:eastAsia="Calibri"/>
          <w:i/>
        </w:rPr>
        <w:t xml:space="preserve">, </w:t>
      </w:r>
      <w:r w:rsidR="00C507EF" w:rsidRPr="003F7E0A">
        <w:rPr>
          <w:rFonts w:eastAsia="Calibri"/>
          <w:i/>
        </w:rPr>
        <w:t>J. J.</w:t>
      </w:r>
      <w:r w:rsidRPr="003F7E0A">
        <w:rPr>
          <w:rFonts w:eastAsia="Calibri"/>
          <w:i/>
        </w:rPr>
        <w:t xml:space="preserve">) bei kaltinamųjų </w:t>
      </w:r>
      <w:r w:rsidR="00385BC9" w:rsidRPr="003F7E0A">
        <w:rPr>
          <w:rFonts w:eastAsia="Calibri"/>
          <w:i/>
        </w:rPr>
        <w:t xml:space="preserve">V. Š. 1 </w:t>
      </w:r>
      <w:r w:rsidRPr="003F7E0A">
        <w:rPr>
          <w:rFonts w:eastAsia="Calibri"/>
          <w:i/>
        </w:rPr>
        <w:t xml:space="preserve">ir </w:t>
      </w:r>
      <w:r w:rsidR="00385BC9" w:rsidRPr="003F7E0A">
        <w:rPr>
          <w:rFonts w:eastAsia="Calibri"/>
          <w:i/>
        </w:rPr>
        <w:t>A. N. 1</w:t>
      </w:r>
      <w:r w:rsidRPr="003F7E0A">
        <w:rPr>
          <w:rFonts w:eastAsia="Calibri"/>
          <w:i/>
        </w:rPr>
        <w:t xml:space="preserve"> nurodymą, perduotą per kaltinamąjį </w:t>
      </w:r>
      <w:r w:rsidR="00385BC9" w:rsidRPr="003F7E0A">
        <w:rPr>
          <w:rFonts w:eastAsia="Calibri"/>
          <w:i/>
        </w:rPr>
        <w:t>R. J. 1</w:t>
      </w:r>
      <w:r w:rsidRPr="003F7E0A">
        <w:rPr>
          <w:rFonts w:eastAsia="Calibri"/>
          <w:i/>
        </w:rPr>
        <w:t xml:space="preserve">, buvo pavesta vykti į TSRS kariškių puolamus TV bokštą bei LRT ir padėti juos užgrobti. Vykdant šį nurodymą, apie 2 val. 15 </w:t>
      </w:r>
      <w:r w:rsidRPr="003F7E0A">
        <w:rPr>
          <w:rFonts w:eastAsia="Calibri"/>
          <w:i/>
        </w:rPr>
        <w:lastRenderedPageBreak/>
        <w:t xml:space="preserve">min., iš LKP/TSKP Vilniaus miesto komiteto dviem autobusais, vienu mikroautobusu ir lengvuoju automobiliu prie LRT atvyko apie 100 draugovininkų, su savimi turėdami priemones, pritaikytas žmonėms žaloti. Draugovininkų grupė, kuriai vadovavo </w:t>
      </w:r>
      <w:r w:rsidR="00385BC9" w:rsidRPr="003F7E0A">
        <w:rPr>
          <w:rFonts w:eastAsia="Calibri"/>
          <w:i/>
        </w:rPr>
        <w:t>R. J. 1</w:t>
      </w:r>
      <w:r w:rsidRPr="003F7E0A">
        <w:rPr>
          <w:rFonts w:eastAsia="Calibri"/>
          <w:i/>
        </w:rPr>
        <w:t xml:space="preserve">, prisijungė prie TSRS karinių struktūrų vykdomos tarptautinės humanitarinės teisės draudžiamos karo atakos prieš civilius. Atakos metu kartu su aukščiau nurodytomis TSRS karinėmis struktūromis, draugovininkai puldami prie užgrobiamų LRT pastatų ir braudamiesi pro civilius, naudojo artimos kovos veiksmus – sudavė civiliams smūgius rankomis, kojomis ir atsivežtomis priemonėmis, t.y. civilių atžvilgiu naudojo fizinį smurtą, pavojingą jų gyvybei. Prasibrovę pro civilius, </w:t>
      </w:r>
      <w:r w:rsidR="00385BC9" w:rsidRPr="003F7E0A">
        <w:rPr>
          <w:rFonts w:eastAsia="Calibri"/>
          <w:i/>
        </w:rPr>
        <w:t>R. J. 1</w:t>
      </w:r>
      <w:r w:rsidRPr="003F7E0A">
        <w:rPr>
          <w:rFonts w:eastAsia="Calibri"/>
          <w:i/>
        </w:rPr>
        <w:t xml:space="preserve"> nurodymu, draugovininkai išsirikiavo priešais TSRS karinių struktūrų puolamus LRT pastatus ir kartu su kariškiais vykdė minėtų objektų apsaugą nuo civilių.</w:t>
      </w:r>
    </w:p>
    <w:p w:rsidR="00117751" w:rsidRPr="003F7E0A" w:rsidRDefault="00890803" w:rsidP="003F7E0A">
      <w:pPr>
        <w:ind w:left="992" w:firstLine="992"/>
        <w:contextualSpacing/>
        <w:rPr>
          <w:rFonts w:eastAsia="Calibri"/>
          <w:i/>
        </w:rPr>
      </w:pPr>
      <w:r w:rsidRPr="003F7E0A">
        <w:rPr>
          <w:rFonts w:eastAsia="Calibri"/>
          <w:i/>
        </w:rPr>
        <w:t>Grupės „A“ ir mokomosios specialios paskirties kuopos kariškiai, panaudoję šviesos ir garso sprogstamąjį įtaisą, prie LRT radijo pastato:</w:t>
      </w:r>
    </w:p>
    <w:p w:rsidR="00117751" w:rsidRPr="003F7E0A" w:rsidRDefault="00890803" w:rsidP="003F7E0A">
      <w:pPr>
        <w:ind w:left="992" w:firstLine="992"/>
        <w:contextualSpacing/>
        <w:rPr>
          <w:rFonts w:eastAsia="Calibri"/>
          <w:i/>
        </w:rPr>
      </w:pPr>
      <w:r w:rsidRPr="003F7E0A">
        <w:rPr>
          <w:rFonts w:eastAsia="Calibri"/>
          <w:i/>
        </w:rPr>
        <w:t xml:space="preserve">- nužudė </w:t>
      </w:r>
      <w:r w:rsidR="004E4879" w:rsidRPr="003F7E0A">
        <w:rPr>
          <w:rFonts w:eastAsia="Calibri"/>
          <w:i/>
        </w:rPr>
        <w:t>A. K.</w:t>
      </w:r>
      <w:r w:rsidRPr="003F7E0A">
        <w:rPr>
          <w:rFonts w:eastAsia="Calibri"/>
          <w:i/>
        </w:rPr>
        <w:t>, mirusį nuo ūmaus kraujo netekimo, įvykusio nuo krūtinės ląstos traumos, dešinės pusės šonkaulių sutrupinimo ir dešinės pusės plaučio viduriniosios ir apatiniosios skilties suknežinimo;</w:t>
      </w:r>
    </w:p>
    <w:p w:rsidR="00117751" w:rsidRPr="003F7E0A" w:rsidRDefault="00890803" w:rsidP="003F7E0A">
      <w:pPr>
        <w:ind w:left="992" w:firstLine="992"/>
        <w:contextualSpacing/>
        <w:rPr>
          <w:rFonts w:eastAsia="Calibri"/>
          <w:i/>
        </w:rPr>
      </w:pPr>
      <w:r w:rsidRPr="003F7E0A">
        <w:rPr>
          <w:rFonts w:eastAsia="Calibri"/>
          <w:i/>
        </w:rPr>
        <w:t xml:space="preserve"> - sunkiai sutrikdė </w:t>
      </w:r>
      <w:r w:rsidR="004E4879" w:rsidRPr="003F7E0A">
        <w:rPr>
          <w:rFonts w:eastAsia="Calibri"/>
          <w:i/>
        </w:rPr>
        <w:t>K. B.</w:t>
      </w:r>
      <w:r w:rsidRPr="003F7E0A">
        <w:rPr>
          <w:rFonts w:eastAsia="Calibri"/>
          <w:i/>
        </w:rPr>
        <w:t xml:space="preserve"> ir </w:t>
      </w:r>
      <w:r w:rsidR="004E4879" w:rsidRPr="003F7E0A">
        <w:rPr>
          <w:rFonts w:eastAsia="Calibri"/>
          <w:i/>
        </w:rPr>
        <w:t>A. V.</w:t>
      </w:r>
      <w:r w:rsidR="00A155C4" w:rsidRPr="003F7E0A">
        <w:rPr>
          <w:rFonts w:eastAsia="Calibri"/>
          <w:i/>
        </w:rPr>
        <w:t xml:space="preserve"> sveikatą. </w:t>
      </w:r>
      <w:r w:rsidR="004E4879" w:rsidRPr="003F7E0A">
        <w:rPr>
          <w:rFonts w:eastAsia="Calibri"/>
          <w:i/>
        </w:rPr>
        <w:t>K. B.</w:t>
      </w:r>
      <w:r w:rsidRPr="003F7E0A">
        <w:rPr>
          <w:rFonts w:eastAsia="Calibri"/>
          <w:i/>
        </w:rPr>
        <w:t xml:space="preserve"> padarė daugybines plėštines žaizdas ir odos nubrozdinimus veide, krūtinėje, pilve-gaktoje, kojų šlaunyse ir blauzdose, plaštakose su veido odos impregnacija suodžiais (paraku) ir veido plaukų nudegimu, dešinės akies ragenos nudegimą, trauminį abiejų ausų būgnelių plyšimą ir klausos nervų pakenkimą su jų uždegimu bei viso kūno sumušimu ir sukrėtimu su plaučių audinio sumušimu ir plyšimu, ir keturių dantų lūžimu. </w:t>
      </w:r>
      <w:r w:rsidR="004E4879" w:rsidRPr="003F7E0A">
        <w:rPr>
          <w:rFonts w:eastAsia="Calibri"/>
          <w:i/>
        </w:rPr>
        <w:t>A. V.</w:t>
      </w:r>
      <w:r w:rsidRPr="003F7E0A">
        <w:rPr>
          <w:rFonts w:eastAsia="Calibri"/>
          <w:i/>
        </w:rPr>
        <w:t xml:space="preserve"> padarė dešiniosios akies tinklainės didelės jos dalies atsisluoksniavimą ir kraujo išsiliejimą į stiklakūnį bei nežymų kairiosios akies tinklainės atsisluoksniavimą, dėl ko nukentėjusysis neteko regos dešine akimi, o kairiosios akies rega sumažėjo nuo 1,0 iki 0,9 D.</w:t>
      </w:r>
    </w:p>
    <w:p w:rsidR="00117751" w:rsidRPr="003F7E0A" w:rsidRDefault="00890803" w:rsidP="003F7E0A">
      <w:pPr>
        <w:ind w:left="992" w:firstLine="992"/>
        <w:contextualSpacing/>
        <w:rPr>
          <w:rFonts w:eastAsia="Calibri"/>
          <w:i/>
        </w:rPr>
      </w:pPr>
      <w:r w:rsidRPr="003F7E0A">
        <w:rPr>
          <w:rFonts w:eastAsia="Calibri"/>
          <w:i/>
        </w:rPr>
        <w:t>Karo atakos metu visų karinių struktūrų kariškiai:</w:t>
      </w:r>
    </w:p>
    <w:p w:rsidR="00117751" w:rsidRPr="003F7E0A" w:rsidRDefault="00890803" w:rsidP="003F7E0A">
      <w:pPr>
        <w:ind w:left="992" w:firstLine="992"/>
        <w:contextualSpacing/>
        <w:rPr>
          <w:rFonts w:eastAsia="Calibri"/>
          <w:i/>
        </w:rPr>
      </w:pPr>
      <w:r w:rsidRPr="003F7E0A">
        <w:rPr>
          <w:rFonts w:eastAsia="Calibri"/>
          <w:i/>
        </w:rPr>
        <w:t xml:space="preserve">- sudavę civiliams smūgius kumščiais, kojomis, ginklais bei kitomis priemonėmis, bendrais veiksmais sunkiai sutrikdė </w:t>
      </w:r>
      <w:r w:rsidR="004E4879" w:rsidRPr="003F7E0A">
        <w:rPr>
          <w:rFonts w:eastAsia="Calibri"/>
          <w:i/>
        </w:rPr>
        <w:t>P. L.</w:t>
      </w:r>
      <w:r w:rsidRPr="003F7E0A">
        <w:rPr>
          <w:rFonts w:eastAsia="Calibri"/>
          <w:i/>
        </w:rPr>
        <w:t xml:space="preserve"> ir </w:t>
      </w:r>
      <w:r w:rsidR="004E4879" w:rsidRPr="003F7E0A">
        <w:rPr>
          <w:rFonts w:eastAsia="Calibri"/>
          <w:i/>
        </w:rPr>
        <w:t>V. B.</w:t>
      </w:r>
      <w:r w:rsidRPr="003F7E0A">
        <w:rPr>
          <w:rFonts w:eastAsia="Calibri"/>
          <w:i/>
        </w:rPr>
        <w:t xml:space="preserve"> sveikatą. </w:t>
      </w:r>
      <w:r w:rsidR="004E4879" w:rsidRPr="003F7E0A">
        <w:rPr>
          <w:rFonts w:eastAsia="Calibri"/>
          <w:i/>
        </w:rPr>
        <w:t>P. L.</w:t>
      </w:r>
      <w:r w:rsidRPr="003F7E0A">
        <w:rPr>
          <w:rFonts w:eastAsia="Calibri"/>
          <w:i/>
        </w:rPr>
        <w:t xml:space="preserve"> prie LRT Radijo pastato padarė užda</w:t>
      </w:r>
      <w:r w:rsidR="004E4879" w:rsidRPr="003F7E0A">
        <w:rPr>
          <w:rFonts w:eastAsia="Calibri"/>
          <w:i/>
        </w:rPr>
        <w:t>rą dešinio inksto plyšimą, o V. B.</w:t>
      </w:r>
      <w:r w:rsidRPr="003F7E0A">
        <w:rPr>
          <w:rFonts w:eastAsia="Calibri"/>
          <w:i/>
        </w:rPr>
        <w:t xml:space="preserve"> LRT teritorijoje padarė muštinę viršugalvio kairės pusės žaizdą su atviru įspaustiniu kairio momenkaulio lūžiu, galvos smegenų sumušimą ir pakraujavimą po smegenų voratinkliniu dangalu, nubrozdino veidą ir padarė kraujosruvą dešiniajame žaste;</w:t>
      </w:r>
    </w:p>
    <w:p w:rsidR="00117751" w:rsidRPr="003F7E0A" w:rsidRDefault="00890803" w:rsidP="003F7E0A">
      <w:pPr>
        <w:ind w:left="992" w:firstLine="992"/>
        <w:contextualSpacing/>
        <w:rPr>
          <w:rFonts w:eastAsia="Calibri"/>
          <w:i/>
        </w:rPr>
      </w:pPr>
      <w:r w:rsidRPr="003F7E0A">
        <w:rPr>
          <w:rFonts w:eastAsia="Calibri"/>
          <w:i/>
        </w:rPr>
        <w:t>- panaudoję šaunamuosius ginklus, bendrais vei</w:t>
      </w:r>
      <w:r w:rsidR="00A155C4" w:rsidRPr="003F7E0A">
        <w:rPr>
          <w:rFonts w:eastAsia="Calibri"/>
          <w:i/>
        </w:rPr>
        <w:t xml:space="preserve">ksmais sunkiai sutrikdė </w:t>
      </w:r>
      <w:r w:rsidR="004E4879" w:rsidRPr="003F7E0A">
        <w:rPr>
          <w:rFonts w:eastAsia="Calibri"/>
          <w:i/>
        </w:rPr>
        <w:t>V. B.</w:t>
      </w:r>
      <w:r w:rsidRPr="003F7E0A">
        <w:rPr>
          <w:rFonts w:eastAsia="Calibri"/>
          <w:i/>
        </w:rPr>
        <w:t xml:space="preserve"> sveikatą. Nukentėjusiajam LRT patalpose padarė kiauryminį šautinį dešinės šlaunies viršutinio trečdalio sužalojimą su įėjimo anga šlaunies priekiniame paviršiuje ir išėjimo anga jos užpakaliniame paviršiuje prie sėdmens bei atviru skeveldriniu pergumburiniu dešinio šlaunikaulio lūžiu.</w:t>
      </w:r>
    </w:p>
    <w:p w:rsidR="00117751" w:rsidRPr="003F7E0A" w:rsidRDefault="00890803" w:rsidP="003F7E0A">
      <w:pPr>
        <w:ind w:left="992" w:firstLine="992"/>
        <w:contextualSpacing/>
        <w:rPr>
          <w:rFonts w:eastAsia="Calibri"/>
          <w:i/>
        </w:rPr>
      </w:pPr>
      <w:r w:rsidRPr="003F7E0A">
        <w:rPr>
          <w:rFonts w:eastAsia="Calibri"/>
          <w:i/>
        </w:rPr>
        <w:t xml:space="preserve">- panaudoję šaunamuosius ginklus, šviesos ir garso sprogstamuosius įtaisus, sunkiai sutrikdė </w:t>
      </w:r>
      <w:r w:rsidR="004E4879" w:rsidRPr="003F7E0A">
        <w:rPr>
          <w:rFonts w:eastAsia="Calibri"/>
          <w:i/>
        </w:rPr>
        <w:t>K. Č.</w:t>
      </w:r>
      <w:r w:rsidRPr="003F7E0A">
        <w:rPr>
          <w:rFonts w:eastAsia="Calibri"/>
          <w:i/>
        </w:rPr>
        <w:t xml:space="preserve"> sveikatą. Nukentėjusiajai padarė šautinį abiejų šlaunų, kairės blauzdos ir abiejų pėdų sužalojimą, kairės blauzdos kaulo atvirą skeveldrinį lūžimą.</w:t>
      </w:r>
    </w:p>
    <w:p w:rsidR="00117751" w:rsidRPr="003F7E0A" w:rsidRDefault="00890803" w:rsidP="003F7E0A">
      <w:pPr>
        <w:ind w:left="992" w:firstLine="992"/>
        <w:contextualSpacing/>
        <w:rPr>
          <w:rFonts w:eastAsia="Calibri"/>
          <w:i/>
        </w:rPr>
      </w:pPr>
      <w:r w:rsidRPr="003F7E0A">
        <w:rPr>
          <w:rFonts w:eastAsia="Calibri"/>
          <w:i/>
        </w:rPr>
        <w:t xml:space="preserve">Karo atakos metu dalyvavę nenustatyti draugovininkai, sudavę civiliams smūgius rankomis, kojomis ir kitomis priemonėmis, LRT teritorijoje sunkiai sutrikdė </w:t>
      </w:r>
      <w:r w:rsidR="004E4879" w:rsidRPr="003F7E0A">
        <w:rPr>
          <w:rFonts w:eastAsia="Calibri"/>
          <w:i/>
        </w:rPr>
        <w:t>A. K.</w:t>
      </w:r>
      <w:r w:rsidR="00407250" w:rsidRPr="003F7E0A">
        <w:rPr>
          <w:rFonts w:eastAsia="Calibri"/>
          <w:i/>
        </w:rPr>
        <w:t xml:space="preserve"> </w:t>
      </w:r>
      <w:r w:rsidRPr="003F7E0A">
        <w:rPr>
          <w:rFonts w:eastAsia="Calibri"/>
          <w:i/>
        </w:rPr>
        <w:t>sveikatą. Nukentėjusiajam padarė stiprų veido sumušimą su smegenų sumušimu, dešiniojo smilkinkaulio ir kaukolės pamato vidurinės daubos lūžimą dešinėje, kairio momenkaulio įskilimą, nosikaulių lūžimą, trišakio nervo 2-os šakos neuralgiją, muštinę žaizdą nosies nugarėlėje, kraujosruvas veido dešinėje pusėje.</w:t>
      </w:r>
    </w:p>
    <w:p w:rsidR="00117751" w:rsidRPr="003F7E0A" w:rsidRDefault="00890803" w:rsidP="003F7E0A">
      <w:pPr>
        <w:ind w:left="992" w:firstLine="992"/>
        <w:contextualSpacing/>
        <w:rPr>
          <w:rFonts w:eastAsia="Calibri"/>
          <w:i/>
        </w:rPr>
      </w:pPr>
      <w:r w:rsidRPr="003F7E0A">
        <w:rPr>
          <w:rFonts w:eastAsia="Calibri"/>
          <w:i/>
        </w:rPr>
        <w:t xml:space="preserve">Karo atakos prie LRT metu dalyvavę visi karinių struktūrų kariškiai bendrais veiksmais užgrobė LRT pastatus, o juos gynusiems civiliams padarė tyčinius nesunkius sveikatos sutrikdymus šimtui aštuoniems civiliams: </w:t>
      </w:r>
      <w:r w:rsidR="004E4879" w:rsidRPr="003F7E0A">
        <w:rPr>
          <w:rFonts w:eastAsia="Calibri"/>
          <w:i/>
        </w:rPr>
        <w:t>(duomenys neskelbtini)</w:t>
      </w:r>
      <w:r w:rsidRPr="003F7E0A">
        <w:rPr>
          <w:rFonts w:eastAsia="Calibri"/>
          <w:i/>
        </w:rPr>
        <w:t>.</w:t>
      </w:r>
    </w:p>
    <w:p w:rsidR="000E40ED" w:rsidRPr="003F7E0A" w:rsidRDefault="00890803" w:rsidP="003F7E0A">
      <w:pPr>
        <w:ind w:left="992" w:firstLine="992"/>
        <w:contextualSpacing/>
        <w:rPr>
          <w:rFonts w:eastAsia="Calibri"/>
          <w:i/>
        </w:rPr>
      </w:pPr>
      <w:r w:rsidRPr="003F7E0A">
        <w:rPr>
          <w:rFonts w:eastAsia="Calibri"/>
          <w:i/>
        </w:rPr>
        <w:lastRenderedPageBreak/>
        <w:t xml:space="preserve">LRT pastatus gynusiems civiliams padarė tyčinius nežymius sveikatos sutrikdymus devyniasdešimt penkiems civiliams: </w:t>
      </w:r>
      <w:r w:rsidR="004E4879" w:rsidRPr="003F7E0A">
        <w:rPr>
          <w:rFonts w:eastAsia="Calibri"/>
          <w:i/>
        </w:rPr>
        <w:t>(duomenys neskelbtini)</w:t>
      </w:r>
      <w:r w:rsidR="00CE2142" w:rsidRPr="003F7E0A">
        <w:rPr>
          <w:rFonts w:eastAsia="Calibri"/>
          <w:i/>
        </w:rPr>
        <w:t>“</w:t>
      </w:r>
      <w:r w:rsidR="00F11D25" w:rsidRPr="003F7E0A">
        <w:rPr>
          <w:rFonts w:eastAsia="Calibri"/>
          <w:i/>
        </w:rPr>
        <w:t xml:space="preserve"> </w:t>
      </w:r>
      <w:r w:rsidR="00F11D25" w:rsidRPr="003F7E0A">
        <w:rPr>
          <w:rFonts w:eastAsia="Calibri"/>
        </w:rPr>
        <w:t>(žr. nuosprendžio 514–520 l</w:t>
      </w:r>
      <w:r w:rsidR="00F81420" w:rsidRPr="003F7E0A">
        <w:rPr>
          <w:rFonts w:eastAsia="Calibri"/>
        </w:rPr>
        <w:t>apus</w:t>
      </w:r>
      <w:r w:rsidR="00E672CC" w:rsidRPr="003F7E0A">
        <w:rPr>
          <w:rFonts w:eastAsia="Calibri"/>
        </w:rPr>
        <w:t xml:space="preserve"> (t. </w:t>
      </w:r>
      <w:r w:rsidR="00F11D25" w:rsidRPr="003F7E0A">
        <w:rPr>
          <w:rFonts w:eastAsia="Calibri"/>
        </w:rPr>
        <w:t>771</w:t>
      </w:r>
      <w:r w:rsidR="00E672CC" w:rsidRPr="003F7E0A">
        <w:rPr>
          <w:rFonts w:eastAsia="Calibri"/>
        </w:rPr>
        <w:t>, b. </w:t>
      </w:r>
      <w:r w:rsidR="00F11D25" w:rsidRPr="003F7E0A">
        <w:rPr>
          <w:rFonts w:eastAsia="Calibri"/>
        </w:rPr>
        <w:t>l. 114–120)).</w:t>
      </w:r>
    </w:p>
    <w:p w:rsidR="000E40ED" w:rsidRPr="00C00255" w:rsidRDefault="000E40ED" w:rsidP="00321748">
      <w:pPr>
        <w:pStyle w:val="Heading3"/>
        <w:numPr>
          <w:ilvl w:val="1"/>
          <w:numId w:val="1"/>
        </w:numPr>
        <w:spacing w:before="120" w:after="120"/>
        <w:ind w:left="992" w:hanging="992"/>
        <w:jc w:val="both"/>
        <w:rPr>
          <w:rFonts w:eastAsia="Calibri"/>
          <w:b w:val="0"/>
          <w:lang w:val="lt-LT"/>
        </w:rPr>
      </w:pPr>
      <w:bookmarkStart w:id="28" w:name="_Toc37947829"/>
      <w:bookmarkStart w:id="29" w:name="_Toc67677308"/>
      <w:bookmarkStart w:id="30" w:name="_Toc67985435"/>
      <w:r w:rsidRPr="00C00255">
        <w:rPr>
          <w:rStyle w:val="Heading3Char"/>
          <w:rFonts w:eastAsia="Calibri"/>
          <w:b/>
          <w:sz w:val="24"/>
          <w:szCs w:val="24"/>
          <w:lang w:val="lt-LT"/>
        </w:rPr>
        <w:t>„Dėl komendanto valandos įvedimo“</w:t>
      </w:r>
      <w:bookmarkEnd w:id="28"/>
      <w:bookmarkEnd w:id="29"/>
      <w:bookmarkEnd w:id="30"/>
      <w:r w:rsidRPr="00C00255">
        <w:rPr>
          <w:rStyle w:val="Heading3Char"/>
          <w:rFonts w:eastAsia="Calibri"/>
          <w:b/>
          <w:sz w:val="24"/>
          <w:szCs w:val="24"/>
          <w:lang w:val="lt-LT"/>
        </w:rPr>
        <w:t xml:space="preserve"> </w:t>
      </w:r>
    </w:p>
    <w:p w:rsidR="00117751" w:rsidRPr="003F7E0A" w:rsidRDefault="000E40ED" w:rsidP="003F7E0A">
      <w:pPr>
        <w:ind w:left="992" w:firstLine="992"/>
        <w:contextualSpacing/>
        <w:rPr>
          <w:rFonts w:eastAsia="Calibri"/>
          <w:i/>
        </w:rPr>
      </w:pPr>
      <w:r w:rsidRPr="003F7E0A">
        <w:rPr>
          <w:rFonts w:eastAsia="Calibri"/>
          <w:i/>
        </w:rPr>
        <w:t>„</w:t>
      </w:r>
      <w:r w:rsidR="006C481E" w:rsidRPr="003F7E0A">
        <w:rPr>
          <w:rFonts w:eastAsia="Calibri"/>
          <w:i/>
        </w:rPr>
        <w:t>Tęsdamas pradėtą ginkluotą agresiją, sausio 13 d., 05.0</w:t>
      </w:r>
      <w:r w:rsidRPr="003F7E0A">
        <w:rPr>
          <w:rFonts w:eastAsia="Calibri"/>
          <w:i/>
        </w:rPr>
        <w:t xml:space="preserve">0 val., kaltinamasis </w:t>
      </w:r>
      <w:r w:rsidR="006036E7" w:rsidRPr="003F7E0A">
        <w:rPr>
          <w:rFonts w:eastAsia="Calibri"/>
          <w:i/>
        </w:rPr>
        <w:t>V. U. 1</w:t>
      </w:r>
      <w:r w:rsidR="006C481E" w:rsidRPr="003F7E0A">
        <w:rPr>
          <w:rFonts w:eastAsia="Calibri"/>
          <w:i/>
        </w:rPr>
        <w:t xml:space="preserve">, pagal tos pačios dienos LNG nutarimą, Vilniuje ir jo apylinkėse įvedė komendanto valandą ir jos priemonių įgyvendinimui (pavaldumo tvarka) pasitelkė Vilniaus įgulos karinį komendantą pulkininką </w:t>
      </w:r>
      <w:r w:rsidR="006036E7" w:rsidRPr="003F7E0A">
        <w:rPr>
          <w:rFonts w:eastAsia="Calibri"/>
          <w:i/>
        </w:rPr>
        <w:t>G. B.</w:t>
      </w:r>
      <w:r w:rsidR="006C481E" w:rsidRPr="003F7E0A">
        <w:rPr>
          <w:rFonts w:eastAsia="Calibri"/>
          <w:i/>
        </w:rPr>
        <w:t xml:space="preserve">. Intensyvaus patruliavimo metu, prisidengiant nusikalstamų struktūrų nuginklavimu, nenustatyti Vilniaus įgulos kariškiai vykdė asmenų judėjimo kontrolę, transporto priemonių apžiūrą ir dokumentų patikrą. Komendanto valandos metu civiliai buvo persekiojami, bauginami ir terorizuojami. </w:t>
      </w:r>
    </w:p>
    <w:p w:rsidR="00117751" w:rsidRPr="003F7E0A" w:rsidRDefault="006C481E" w:rsidP="003F7E0A">
      <w:pPr>
        <w:ind w:left="992" w:firstLine="992"/>
        <w:contextualSpacing/>
        <w:rPr>
          <w:rFonts w:eastAsia="Calibri"/>
          <w:i/>
        </w:rPr>
      </w:pPr>
      <w:r w:rsidRPr="003F7E0A">
        <w:rPr>
          <w:rFonts w:eastAsia="Calibri"/>
          <w:i/>
        </w:rPr>
        <w:t xml:space="preserve">Neteisėtai įvestos komendanto valandos metu kariškiai, naudodamiesi karine technika ir 5,45 mm kalibro automatiniais ginklais, vykdydami civilių asmenų teisių suvaržymus, padarė tyčinį sunkų </w:t>
      </w:r>
      <w:r w:rsidR="004E4879" w:rsidRPr="003F7E0A">
        <w:rPr>
          <w:rFonts w:eastAsia="Calibri"/>
          <w:i/>
        </w:rPr>
        <w:t>R. D.</w:t>
      </w:r>
      <w:r w:rsidRPr="003F7E0A">
        <w:rPr>
          <w:rFonts w:eastAsia="Calibri"/>
          <w:i/>
        </w:rPr>
        <w:t xml:space="preserve"> sveikatos </w:t>
      </w:r>
      <w:r w:rsidR="00A155C4" w:rsidRPr="003F7E0A">
        <w:rPr>
          <w:rFonts w:eastAsia="Calibri"/>
          <w:i/>
        </w:rPr>
        <w:t xml:space="preserve">sutrikdymą ir tyčia nužudė </w:t>
      </w:r>
      <w:r w:rsidR="004E4879" w:rsidRPr="003F7E0A">
        <w:rPr>
          <w:rFonts w:eastAsia="Calibri"/>
          <w:i/>
        </w:rPr>
        <w:t>J. T.</w:t>
      </w:r>
      <w:r w:rsidRPr="003F7E0A">
        <w:rPr>
          <w:rFonts w:eastAsia="Calibri"/>
          <w:i/>
        </w:rPr>
        <w:t>.</w:t>
      </w:r>
    </w:p>
    <w:p w:rsidR="00117751" w:rsidRPr="003F7E0A" w:rsidRDefault="006C481E" w:rsidP="003F7E0A">
      <w:pPr>
        <w:ind w:left="992" w:firstLine="992"/>
        <w:contextualSpacing/>
        <w:rPr>
          <w:rFonts w:eastAsia="Calibri"/>
          <w:i/>
        </w:rPr>
      </w:pPr>
      <w:r w:rsidRPr="003F7E0A">
        <w:rPr>
          <w:rFonts w:eastAsia="Calibri"/>
          <w:i/>
        </w:rPr>
        <w:t xml:space="preserve">Sausio 13 – 14 d. naktį, per TSRS kariškių vykdomą ir kontroliuojamą komendanto valandą, grupė nenustatytų Vilniaus įgulos kariškių, Vilniaus mieste, </w:t>
      </w:r>
      <w:r w:rsidR="004E4879" w:rsidRPr="003F7E0A">
        <w:rPr>
          <w:rFonts w:eastAsia="Calibri"/>
          <w:i/>
        </w:rPr>
        <w:t xml:space="preserve">(duomenys neskelbtini) </w:t>
      </w:r>
      <w:r w:rsidRPr="003F7E0A">
        <w:rPr>
          <w:rFonts w:eastAsia="Calibri"/>
          <w:i/>
        </w:rPr>
        <w:t>mikrorajone, prie autobusų stotelės „</w:t>
      </w:r>
      <w:r w:rsidR="004E4879" w:rsidRPr="003F7E0A">
        <w:rPr>
          <w:rFonts w:eastAsia="Calibri"/>
          <w:i/>
        </w:rPr>
        <w:t>(duomenys neskelbtini)</w:t>
      </w:r>
      <w:r w:rsidRPr="003F7E0A">
        <w:rPr>
          <w:rFonts w:eastAsia="Calibri"/>
          <w:i/>
        </w:rPr>
        <w:t xml:space="preserve">“, neteisėtai sulaikė </w:t>
      </w:r>
      <w:r w:rsidR="004E4879" w:rsidRPr="003F7E0A">
        <w:rPr>
          <w:rFonts w:eastAsia="Calibri"/>
          <w:i/>
        </w:rPr>
        <w:t>R. D.</w:t>
      </w:r>
      <w:r w:rsidRPr="003F7E0A">
        <w:rPr>
          <w:rFonts w:eastAsia="Calibri"/>
          <w:i/>
        </w:rPr>
        <w:t xml:space="preserve"> ir kariniu automobiliu ZIL, numeris nenustatytas, nuvežė jį į Vilniaus įgulos karinio komendanto </w:t>
      </w:r>
      <w:r w:rsidR="006036E7" w:rsidRPr="003F7E0A">
        <w:rPr>
          <w:rFonts w:eastAsia="Calibri"/>
          <w:i/>
        </w:rPr>
        <w:t>G. B.</w:t>
      </w:r>
      <w:r w:rsidRPr="003F7E0A">
        <w:rPr>
          <w:rFonts w:eastAsia="Calibri"/>
          <w:i/>
        </w:rPr>
        <w:t xml:space="preserve"> vadovaujamą Vilniaus įgulos karinę komendantūrą, buvusią T.</w:t>
      </w:r>
      <w:r w:rsidR="0073668D" w:rsidRPr="003F7E0A">
        <w:rPr>
          <w:rFonts w:eastAsia="Calibri"/>
          <w:i/>
        </w:rPr>
        <w:t> </w:t>
      </w:r>
      <w:r w:rsidRPr="003F7E0A">
        <w:rPr>
          <w:rFonts w:eastAsia="Calibri"/>
          <w:i/>
        </w:rPr>
        <w:t xml:space="preserve">Kosciuškos g. 1, Vilniuje, kur laikė izoliuotą apie dvi paras. </w:t>
      </w:r>
    </w:p>
    <w:p w:rsidR="00117751" w:rsidRPr="003F7E0A" w:rsidRDefault="006036E7" w:rsidP="003F7E0A">
      <w:pPr>
        <w:ind w:left="992" w:firstLine="992"/>
        <w:contextualSpacing/>
        <w:rPr>
          <w:rFonts w:eastAsia="Calibri"/>
          <w:i/>
        </w:rPr>
      </w:pPr>
      <w:r w:rsidRPr="003F7E0A">
        <w:rPr>
          <w:rFonts w:eastAsia="Calibri"/>
          <w:i/>
        </w:rPr>
        <w:t>G. B.</w:t>
      </w:r>
      <w:r w:rsidR="006C481E" w:rsidRPr="003F7E0A">
        <w:rPr>
          <w:rFonts w:eastAsia="Calibri"/>
          <w:i/>
        </w:rPr>
        <w:t xml:space="preserve"> pavaldume buvę nenustatyti kariškiai,</w:t>
      </w:r>
      <w:r w:rsidR="00F93A4F" w:rsidRPr="003F7E0A">
        <w:rPr>
          <w:rFonts w:eastAsia="Calibri"/>
          <w:i/>
        </w:rPr>
        <w:t xml:space="preserve"> neteisėtai sulaikytam </w:t>
      </w:r>
      <w:r w:rsidR="004E4879" w:rsidRPr="003F7E0A">
        <w:rPr>
          <w:rFonts w:eastAsia="Calibri"/>
          <w:i/>
        </w:rPr>
        <w:t>R. D.</w:t>
      </w:r>
      <w:r w:rsidR="006C481E" w:rsidRPr="003F7E0A">
        <w:rPr>
          <w:rFonts w:eastAsia="Calibri"/>
          <w:i/>
        </w:rPr>
        <w:t xml:space="preserve"> tyčia sudavė daugybinius smūgius kietais bukais daiktais į įvairias kūno vietas, tuo padarydami pastarajam sunkų sveikatos sutrikdymą – muštines dešinio antakio ir nosies žaizdas su aplinkinėmis poodinėmis kraujosruvomis, dešinės akiduobės viršutinės sienelės ir kaukolės pamato bei nosies kaulų lūžius, kraujo išsiliejimą po galvos smegenų voratinkliniu dangalu ir galvos smegenų sukrėtimą, abipusį trauminį viduriniųjų ausų uždegimą, daugybines poodines kraujosruvas veide, rankose, kojose, nugaroje, juosmenyje su inkstų sumušimu ir X-o dešinės pusės šonkaulio lūžiu. Sausio 17 d., apie 01 val., surištą </w:t>
      </w:r>
      <w:r w:rsidR="004E4879" w:rsidRPr="003F7E0A">
        <w:rPr>
          <w:rFonts w:eastAsia="Calibri"/>
          <w:i/>
        </w:rPr>
        <w:t>R. D.</w:t>
      </w:r>
      <w:r w:rsidR="006C481E" w:rsidRPr="003F7E0A">
        <w:rPr>
          <w:rFonts w:eastAsia="Calibri"/>
          <w:i/>
        </w:rPr>
        <w:t xml:space="preserve">, nenustatyti TSRS kariškiai atvežė į miško masyvą esantį šiaurinėje plento </w:t>
      </w:r>
      <w:r w:rsidR="004E4879" w:rsidRPr="003F7E0A">
        <w:rPr>
          <w:rFonts w:eastAsia="Calibri"/>
          <w:i/>
        </w:rPr>
        <w:t>(duomenys neskelbtini)</w:t>
      </w:r>
      <w:r w:rsidR="006C481E" w:rsidRPr="003F7E0A">
        <w:rPr>
          <w:rFonts w:eastAsia="Calibri"/>
          <w:i/>
        </w:rPr>
        <w:t xml:space="preserve"> pusėje, apie 600 metrų nuo posūkio į </w:t>
      </w:r>
      <w:r w:rsidR="004E4879" w:rsidRPr="003F7E0A">
        <w:rPr>
          <w:rFonts w:eastAsia="Calibri"/>
          <w:i/>
        </w:rPr>
        <w:t>(duomenys neskelbtini)</w:t>
      </w:r>
      <w:r w:rsidR="006C481E" w:rsidRPr="003F7E0A">
        <w:rPr>
          <w:rFonts w:eastAsia="Calibri"/>
          <w:i/>
        </w:rPr>
        <w:t xml:space="preserve"> ir sudavę smūgį į galvą, paliko pavojingoje gyvybei padėtyje.</w:t>
      </w:r>
    </w:p>
    <w:p w:rsidR="00117751" w:rsidRPr="003F7E0A" w:rsidRDefault="006C481E" w:rsidP="003F7E0A">
      <w:pPr>
        <w:ind w:left="992" w:firstLine="992"/>
        <w:contextualSpacing/>
        <w:rPr>
          <w:rFonts w:eastAsia="Calibri"/>
          <w:i/>
        </w:rPr>
      </w:pPr>
      <w:r w:rsidRPr="003F7E0A">
        <w:rPr>
          <w:rFonts w:eastAsia="Calibri"/>
          <w:i/>
        </w:rPr>
        <w:t xml:space="preserve">Sausio 28 d., maždaug dešimt nenustatytų Vilniaus </w:t>
      </w:r>
      <w:r w:rsidR="00A155C4" w:rsidRPr="003F7E0A">
        <w:rPr>
          <w:rFonts w:eastAsia="Calibri"/>
          <w:i/>
        </w:rPr>
        <w:t>įgulos kariškių, ginkluotų 5,45 </w:t>
      </w:r>
      <w:r w:rsidRPr="003F7E0A">
        <w:rPr>
          <w:rFonts w:eastAsia="Calibri"/>
          <w:i/>
        </w:rPr>
        <w:t xml:space="preserve">mm kalibro automatiniais ginklais, įgyvendindami </w:t>
      </w:r>
      <w:r w:rsidR="006036E7" w:rsidRPr="003F7E0A">
        <w:rPr>
          <w:rFonts w:eastAsia="Calibri"/>
          <w:i/>
        </w:rPr>
        <w:t>V. U. 1</w:t>
      </w:r>
      <w:r w:rsidRPr="003F7E0A">
        <w:rPr>
          <w:rFonts w:eastAsia="Calibri"/>
          <w:i/>
        </w:rPr>
        <w:t xml:space="preserve"> ir </w:t>
      </w:r>
      <w:r w:rsidR="006036E7" w:rsidRPr="003F7E0A">
        <w:rPr>
          <w:rFonts w:eastAsia="Calibri"/>
          <w:i/>
        </w:rPr>
        <w:t>G. B.</w:t>
      </w:r>
      <w:r w:rsidRPr="003F7E0A">
        <w:rPr>
          <w:rFonts w:eastAsia="Calibri"/>
          <w:i/>
        </w:rPr>
        <w:t xml:space="preserve"> neteisėtai įvestą komendanto valandą, apie 22 val., ne mažiau kaip dviem BTR-ais, kurių numeriai nenustatyti, atvyko į buvusį patikros postą, įrengtą 15-ajame kelio Vilnius-Kaunas kilometre, ties Gariūnų turgaviete ir stabdė pravažiuojančius automobilius bei tikrino civilius asmenis, juos terorizavo ir baugino taip persekiodami civilius dėl politinių motyvų. </w:t>
      </w:r>
    </w:p>
    <w:p w:rsidR="00117751" w:rsidRPr="003F7E0A" w:rsidRDefault="006C481E" w:rsidP="003F7E0A">
      <w:pPr>
        <w:ind w:left="992" w:firstLine="992"/>
        <w:contextualSpacing/>
        <w:rPr>
          <w:rFonts w:eastAsia="Calibri"/>
          <w:i/>
        </w:rPr>
      </w:pPr>
      <w:r w:rsidRPr="003F7E0A">
        <w:rPr>
          <w:rFonts w:eastAsia="Calibri"/>
          <w:i/>
        </w:rPr>
        <w:t xml:space="preserve">Sausio 29 d., apie 2 val., nenustatyti kariškiai sustabdė </w:t>
      </w:r>
      <w:r w:rsidR="004E4879" w:rsidRPr="003F7E0A">
        <w:rPr>
          <w:rFonts w:eastAsia="Calibri"/>
          <w:i/>
        </w:rPr>
        <w:t>J. T.</w:t>
      </w:r>
      <w:r w:rsidRPr="003F7E0A">
        <w:rPr>
          <w:rFonts w:eastAsia="Calibri"/>
          <w:i/>
        </w:rPr>
        <w:t xml:space="preserve"> vair</w:t>
      </w:r>
      <w:r w:rsidR="004E4879" w:rsidRPr="003F7E0A">
        <w:rPr>
          <w:rFonts w:eastAsia="Calibri"/>
          <w:i/>
        </w:rPr>
        <w:t>uojamą automobilį VAZ-2101, v/n (duomenys neskelbtini)</w:t>
      </w:r>
      <w:r w:rsidRPr="003F7E0A">
        <w:rPr>
          <w:rFonts w:eastAsia="Calibri"/>
          <w:i/>
        </w:rPr>
        <w:t xml:space="preserve"> (rus.</w:t>
      </w:r>
      <w:r w:rsidR="000F3E9D" w:rsidRPr="003F7E0A">
        <w:rPr>
          <w:rFonts w:eastAsia="Calibri"/>
          <w:i/>
        </w:rPr>
        <w:t> </w:t>
      </w:r>
      <w:r w:rsidRPr="003F7E0A">
        <w:rPr>
          <w:rFonts w:eastAsia="Calibri"/>
          <w:i/>
        </w:rPr>
        <w:t xml:space="preserve">raidės), važiuojantį link Kauno, kuriame buvo dar trys civiliai asmenys. Kariškiams atlikus automobilio bei jame važiavusių asmenų kratą ir juos sulaikius, </w:t>
      </w:r>
      <w:r w:rsidR="004E4879" w:rsidRPr="003F7E0A">
        <w:rPr>
          <w:rFonts w:eastAsia="Calibri"/>
          <w:i/>
        </w:rPr>
        <w:t>J. T.</w:t>
      </w:r>
      <w:r w:rsidRPr="003F7E0A">
        <w:rPr>
          <w:rFonts w:eastAsia="Calibri"/>
          <w:i/>
        </w:rPr>
        <w:t xml:space="preserve">, siekdamas išvengti vykdomo prievartinio šauktinių ėmimo į TSRS kariuomenę, bandė automobiliu pasišalinti iš sulaikymo vietos. Nenustatyti kariškiai tyčia iš automatinių ginklų apšaudė </w:t>
      </w:r>
      <w:r w:rsidR="004E4879" w:rsidRPr="003F7E0A">
        <w:rPr>
          <w:rFonts w:eastAsia="Calibri"/>
          <w:i/>
        </w:rPr>
        <w:t>J. T.</w:t>
      </w:r>
      <w:r w:rsidRPr="003F7E0A">
        <w:rPr>
          <w:rFonts w:eastAsia="Calibri"/>
          <w:i/>
        </w:rPr>
        <w:t xml:space="preserve"> vairuojamą automobilį, naudojant tarpta</w:t>
      </w:r>
      <w:r w:rsidR="004E4879" w:rsidRPr="003F7E0A">
        <w:rPr>
          <w:rFonts w:eastAsia="Calibri"/>
          <w:i/>
        </w:rPr>
        <w:t>utinių sutarčių uždraustus 5,45 </w:t>
      </w:r>
      <w:r w:rsidRPr="003F7E0A">
        <w:rPr>
          <w:rFonts w:eastAsia="Calibri"/>
          <w:i/>
        </w:rPr>
        <w:t xml:space="preserve">mm kalibro šovinius su išcentruota kulka, ir peršovė </w:t>
      </w:r>
      <w:r w:rsidR="004E4879" w:rsidRPr="003F7E0A">
        <w:rPr>
          <w:rFonts w:eastAsia="Calibri"/>
          <w:i/>
        </w:rPr>
        <w:t>J. T.</w:t>
      </w:r>
      <w:r w:rsidRPr="003F7E0A">
        <w:rPr>
          <w:rFonts w:eastAsia="Calibri"/>
          <w:i/>
        </w:rPr>
        <w:t xml:space="preserve"> galvą, dėl ko pastarasis nuo šautinio galvos sužeidimo – kaukolės kaulo lūžių, galvos smegenų suardymo mirė, t. y. </w:t>
      </w:r>
      <w:r w:rsidR="004E4879" w:rsidRPr="003F7E0A">
        <w:rPr>
          <w:rFonts w:eastAsia="Calibri"/>
          <w:i/>
        </w:rPr>
        <w:t>J. T.</w:t>
      </w:r>
      <w:r w:rsidRPr="003F7E0A">
        <w:rPr>
          <w:rFonts w:eastAsia="Calibri"/>
          <w:i/>
        </w:rPr>
        <w:t xml:space="preserve"> tyčia nužudė. </w:t>
      </w:r>
    </w:p>
    <w:p w:rsidR="00117751" w:rsidRPr="003F7E0A" w:rsidRDefault="006C481E" w:rsidP="003F7E0A">
      <w:pPr>
        <w:ind w:left="992" w:firstLine="992"/>
        <w:contextualSpacing/>
        <w:rPr>
          <w:rFonts w:eastAsia="Calibri"/>
          <w:i/>
        </w:rPr>
      </w:pPr>
      <w:r w:rsidRPr="003F7E0A">
        <w:rPr>
          <w:rFonts w:eastAsia="Calibri"/>
          <w:i/>
        </w:rPr>
        <w:t xml:space="preserve">Vilniaus įgulos kariškiai, ginkluoti 5,45 mm kalibro automatiniais ginklais, įgyvendindami </w:t>
      </w:r>
      <w:r w:rsidR="006036E7" w:rsidRPr="003F7E0A">
        <w:rPr>
          <w:rFonts w:eastAsia="Calibri"/>
          <w:i/>
        </w:rPr>
        <w:t>V. U. 1</w:t>
      </w:r>
      <w:r w:rsidRPr="003F7E0A">
        <w:rPr>
          <w:rFonts w:eastAsia="Calibri"/>
          <w:i/>
        </w:rPr>
        <w:t xml:space="preserve"> ir </w:t>
      </w:r>
      <w:r w:rsidR="006036E7" w:rsidRPr="003F7E0A">
        <w:rPr>
          <w:rFonts w:eastAsia="Calibri"/>
          <w:i/>
        </w:rPr>
        <w:t>G. B.</w:t>
      </w:r>
      <w:r w:rsidRPr="003F7E0A">
        <w:rPr>
          <w:rFonts w:eastAsia="Calibri"/>
          <w:i/>
        </w:rPr>
        <w:t xml:space="preserve"> įvestą komendanto valandą, </w:t>
      </w:r>
      <w:r w:rsidR="003F7E0A">
        <w:rPr>
          <w:rFonts w:eastAsia="Calibri"/>
          <w:i/>
        </w:rPr>
        <w:t xml:space="preserve">nuo 1991 m. sausio 13 d., </w:t>
      </w:r>
      <w:r w:rsidR="003F7E0A">
        <w:rPr>
          <w:rFonts w:eastAsia="Calibri"/>
          <w:i/>
        </w:rPr>
        <w:lastRenderedPageBreak/>
        <w:t>05.00 </w:t>
      </w:r>
      <w:r w:rsidRPr="003F7E0A">
        <w:rPr>
          <w:rFonts w:eastAsia="Calibri"/>
          <w:i/>
        </w:rPr>
        <w:t>val. iki 1991 m. rugpjūčio 23 d. Vilniuje ir jo apylinkėse, vykdydami asmenų teisių suvaržymus:</w:t>
      </w:r>
    </w:p>
    <w:p w:rsidR="00117751" w:rsidRPr="003F7E0A" w:rsidRDefault="006C481E" w:rsidP="003F7E0A">
      <w:pPr>
        <w:ind w:left="992" w:firstLine="992"/>
        <w:contextualSpacing/>
        <w:rPr>
          <w:rFonts w:eastAsia="Calibri"/>
          <w:i/>
        </w:rPr>
      </w:pPr>
      <w:r w:rsidRPr="003F7E0A">
        <w:rPr>
          <w:rFonts w:eastAsia="Calibri"/>
          <w:i/>
        </w:rPr>
        <w:t xml:space="preserve">- neteisėtai sulaikė </w:t>
      </w:r>
      <w:r w:rsidR="004E4879" w:rsidRPr="003F7E0A">
        <w:rPr>
          <w:rFonts w:eastAsia="Calibri"/>
          <w:i/>
        </w:rPr>
        <w:t>B. K.</w:t>
      </w:r>
      <w:r w:rsidRPr="003F7E0A">
        <w:rPr>
          <w:rFonts w:eastAsia="Calibri"/>
          <w:i/>
        </w:rPr>
        <w:t xml:space="preserve">, </w:t>
      </w:r>
      <w:r w:rsidR="004E4879" w:rsidRPr="003F7E0A">
        <w:rPr>
          <w:rFonts w:eastAsia="Calibri"/>
          <w:i/>
        </w:rPr>
        <w:t>V. J.</w:t>
      </w:r>
      <w:r w:rsidRPr="003F7E0A">
        <w:rPr>
          <w:rFonts w:eastAsia="Calibri"/>
          <w:i/>
        </w:rPr>
        <w:t xml:space="preserve">, </w:t>
      </w:r>
      <w:r w:rsidR="004E4879" w:rsidRPr="003F7E0A">
        <w:rPr>
          <w:rFonts w:eastAsia="Calibri"/>
          <w:i/>
        </w:rPr>
        <w:t>S. G.</w:t>
      </w:r>
      <w:r w:rsidRPr="003F7E0A">
        <w:rPr>
          <w:rFonts w:eastAsia="Calibri"/>
          <w:i/>
        </w:rPr>
        <w:t xml:space="preserve">, </w:t>
      </w:r>
      <w:r w:rsidR="004E4879" w:rsidRPr="003F7E0A">
        <w:rPr>
          <w:rFonts w:eastAsia="Calibri"/>
          <w:i/>
        </w:rPr>
        <w:t>R. C.</w:t>
      </w:r>
      <w:r w:rsidRPr="003F7E0A">
        <w:rPr>
          <w:rFonts w:eastAsia="Calibri"/>
          <w:i/>
        </w:rPr>
        <w:t xml:space="preserve">, </w:t>
      </w:r>
      <w:r w:rsidR="004E4879" w:rsidRPr="003F7E0A">
        <w:rPr>
          <w:rFonts w:eastAsia="Calibri"/>
          <w:i/>
        </w:rPr>
        <w:t>V. P.</w:t>
      </w:r>
      <w:r w:rsidRPr="003F7E0A">
        <w:rPr>
          <w:rFonts w:eastAsia="Calibri"/>
          <w:i/>
        </w:rPr>
        <w:t xml:space="preserve">, </w:t>
      </w:r>
      <w:r w:rsidR="004E4879" w:rsidRPr="003F7E0A">
        <w:rPr>
          <w:rFonts w:eastAsia="Calibri"/>
          <w:i/>
        </w:rPr>
        <w:t>R.-V. K.</w:t>
      </w:r>
      <w:r w:rsidRPr="003F7E0A">
        <w:rPr>
          <w:rFonts w:eastAsia="Calibri"/>
          <w:i/>
        </w:rPr>
        <w:t xml:space="preserve">, </w:t>
      </w:r>
      <w:r w:rsidR="004E4879" w:rsidRPr="003F7E0A">
        <w:rPr>
          <w:rFonts w:eastAsia="Calibri"/>
          <w:i/>
        </w:rPr>
        <w:t>A. J. (A. J.)</w:t>
      </w:r>
      <w:r w:rsidRPr="003F7E0A">
        <w:rPr>
          <w:rFonts w:eastAsia="Calibri"/>
          <w:i/>
        </w:rPr>
        <w:t xml:space="preserve">, </w:t>
      </w:r>
      <w:r w:rsidR="004E4879" w:rsidRPr="003F7E0A">
        <w:rPr>
          <w:rFonts w:eastAsia="Calibri"/>
          <w:i/>
        </w:rPr>
        <w:t>G. M. (G. M.)</w:t>
      </w:r>
      <w:r w:rsidRPr="003F7E0A">
        <w:rPr>
          <w:rFonts w:eastAsia="Calibri"/>
          <w:i/>
        </w:rPr>
        <w:t xml:space="preserve">, </w:t>
      </w:r>
      <w:r w:rsidR="004E4879" w:rsidRPr="003F7E0A">
        <w:rPr>
          <w:rFonts w:eastAsia="Calibri"/>
          <w:i/>
        </w:rPr>
        <w:t>I. B. (I. B.)</w:t>
      </w:r>
      <w:r w:rsidRPr="003F7E0A">
        <w:rPr>
          <w:rFonts w:eastAsia="Calibri"/>
          <w:i/>
        </w:rPr>
        <w:t xml:space="preserve">, </w:t>
      </w:r>
      <w:r w:rsidR="004E4879" w:rsidRPr="003F7E0A">
        <w:rPr>
          <w:rFonts w:eastAsia="Calibri"/>
          <w:i/>
        </w:rPr>
        <w:t>K. B.</w:t>
      </w:r>
      <w:r w:rsidRPr="003F7E0A">
        <w:rPr>
          <w:rFonts w:eastAsia="Calibri"/>
          <w:i/>
        </w:rPr>
        <w:t xml:space="preserve">, </w:t>
      </w:r>
      <w:r w:rsidR="004E4879" w:rsidRPr="003F7E0A">
        <w:rPr>
          <w:rFonts w:eastAsia="Calibri"/>
          <w:i/>
        </w:rPr>
        <w:t>M. P.</w:t>
      </w:r>
      <w:r w:rsidRPr="003F7E0A">
        <w:rPr>
          <w:rFonts w:eastAsia="Calibri"/>
          <w:i/>
        </w:rPr>
        <w:t xml:space="preserve">, </w:t>
      </w:r>
      <w:r w:rsidR="004E4879" w:rsidRPr="003F7E0A">
        <w:rPr>
          <w:rFonts w:eastAsia="Calibri"/>
          <w:i/>
        </w:rPr>
        <w:t>G. M.</w:t>
      </w:r>
      <w:r w:rsidRPr="003F7E0A">
        <w:rPr>
          <w:rFonts w:eastAsia="Calibri"/>
          <w:i/>
        </w:rPr>
        <w:t xml:space="preserve">, o pastarųjų atžvilgiu dar panaudojo ir fizinį smurtą, tuo padarydami </w:t>
      </w:r>
      <w:r w:rsidR="004E4879" w:rsidRPr="003F7E0A">
        <w:rPr>
          <w:rFonts w:eastAsia="Calibri"/>
          <w:i/>
        </w:rPr>
        <w:t xml:space="preserve">M. P. </w:t>
      </w:r>
      <w:r w:rsidR="00F93A4F" w:rsidRPr="003F7E0A">
        <w:rPr>
          <w:rFonts w:eastAsia="Calibri"/>
          <w:i/>
        </w:rPr>
        <w:t xml:space="preserve">nesunkų, o </w:t>
      </w:r>
      <w:r w:rsidR="004E4879" w:rsidRPr="003F7E0A">
        <w:rPr>
          <w:rFonts w:eastAsia="Calibri"/>
          <w:i/>
        </w:rPr>
        <w:t>G. M.</w:t>
      </w:r>
      <w:r w:rsidRPr="003F7E0A">
        <w:rPr>
          <w:rFonts w:eastAsia="Calibri"/>
          <w:i/>
        </w:rPr>
        <w:t xml:space="preserve"> nežymų sveikatos sutrikdymą;</w:t>
      </w:r>
    </w:p>
    <w:p w:rsidR="0086486F" w:rsidRPr="003F7E0A" w:rsidRDefault="006C481E" w:rsidP="003F7E0A">
      <w:pPr>
        <w:ind w:left="992" w:firstLine="992"/>
        <w:contextualSpacing/>
        <w:rPr>
          <w:rFonts w:eastAsia="Calibri"/>
          <w:i/>
        </w:rPr>
      </w:pPr>
      <w:r w:rsidRPr="003F7E0A">
        <w:rPr>
          <w:rFonts w:eastAsia="Calibri"/>
          <w:i/>
        </w:rPr>
        <w:t xml:space="preserve">- apšaudė </w:t>
      </w:r>
      <w:r w:rsidR="004E4879" w:rsidRPr="003F7E0A">
        <w:rPr>
          <w:rFonts w:eastAsia="Calibri"/>
          <w:i/>
        </w:rPr>
        <w:t>A. B.</w:t>
      </w:r>
      <w:r w:rsidRPr="003F7E0A">
        <w:rPr>
          <w:rFonts w:eastAsia="Calibri"/>
          <w:i/>
        </w:rPr>
        <w:t xml:space="preserve">, </w:t>
      </w:r>
      <w:r w:rsidR="004E4879" w:rsidRPr="003F7E0A">
        <w:rPr>
          <w:rFonts w:eastAsia="Calibri"/>
          <w:i/>
        </w:rPr>
        <w:t>A. B.</w:t>
      </w:r>
      <w:r w:rsidRPr="003F7E0A">
        <w:rPr>
          <w:rFonts w:eastAsia="Calibri"/>
          <w:i/>
        </w:rPr>
        <w:t xml:space="preserve">, </w:t>
      </w:r>
      <w:r w:rsidR="004E4879" w:rsidRPr="003F7E0A">
        <w:rPr>
          <w:rFonts w:eastAsia="Calibri"/>
          <w:i/>
        </w:rPr>
        <w:t>P. B.</w:t>
      </w:r>
      <w:r w:rsidR="00F93A4F" w:rsidRPr="003F7E0A">
        <w:rPr>
          <w:rFonts w:eastAsia="Calibri"/>
          <w:i/>
        </w:rPr>
        <w:t xml:space="preserve">, </w:t>
      </w:r>
      <w:r w:rsidR="004E4879" w:rsidRPr="003F7E0A">
        <w:rPr>
          <w:rFonts w:eastAsia="Calibri"/>
          <w:i/>
        </w:rPr>
        <w:t>Z. S.</w:t>
      </w:r>
      <w:r w:rsidR="00F93A4F" w:rsidRPr="003F7E0A">
        <w:rPr>
          <w:rFonts w:eastAsia="Calibri"/>
          <w:i/>
        </w:rPr>
        <w:t xml:space="preserve"> ir </w:t>
      </w:r>
      <w:r w:rsidR="004E4879" w:rsidRPr="003F7E0A">
        <w:rPr>
          <w:rFonts w:eastAsia="Calibri"/>
          <w:i/>
        </w:rPr>
        <w:t>G. T.</w:t>
      </w:r>
      <w:r w:rsidRPr="003F7E0A">
        <w:rPr>
          <w:rFonts w:eastAsia="Calibri"/>
          <w:i/>
        </w:rPr>
        <w:t xml:space="preserve">, </w:t>
      </w:r>
      <w:r w:rsidR="004E4879" w:rsidRPr="003F7E0A">
        <w:rPr>
          <w:rFonts w:eastAsia="Calibri"/>
          <w:i/>
        </w:rPr>
        <w:t>L. J.</w:t>
      </w:r>
      <w:r w:rsidRPr="003F7E0A">
        <w:rPr>
          <w:rFonts w:eastAsia="Calibri"/>
          <w:i/>
        </w:rPr>
        <w:t xml:space="preserve">, </w:t>
      </w:r>
      <w:r w:rsidR="004E4879" w:rsidRPr="003F7E0A">
        <w:rPr>
          <w:rFonts w:eastAsia="Calibri"/>
          <w:i/>
        </w:rPr>
        <w:t>A. B.</w:t>
      </w:r>
      <w:r w:rsidRPr="003F7E0A">
        <w:rPr>
          <w:rFonts w:eastAsia="Calibri"/>
          <w:i/>
        </w:rPr>
        <w:t xml:space="preserve"> ir </w:t>
      </w:r>
      <w:r w:rsidR="004E4879" w:rsidRPr="003F7E0A">
        <w:rPr>
          <w:rFonts w:eastAsia="Calibri"/>
          <w:i/>
        </w:rPr>
        <w:t>V. R.</w:t>
      </w:r>
      <w:r w:rsidR="00F93A4F" w:rsidRPr="003F7E0A">
        <w:rPr>
          <w:rFonts w:eastAsia="Calibri"/>
          <w:i/>
        </w:rPr>
        <w:t xml:space="preserve">, </w:t>
      </w:r>
      <w:r w:rsidR="004E4879" w:rsidRPr="003F7E0A">
        <w:rPr>
          <w:rFonts w:eastAsia="Calibri"/>
          <w:i/>
        </w:rPr>
        <w:t>S. S.</w:t>
      </w:r>
      <w:r w:rsidR="000E40ED" w:rsidRPr="003F7E0A">
        <w:rPr>
          <w:rFonts w:eastAsia="Calibri"/>
          <w:i/>
        </w:rPr>
        <w:t xml:space="preserve">, </w:t>
      </w:r>
      <w:r w:rsidR="004E4879" w:rsidRPr="003F7E0A">
        <w:rPr>
          <w:rFonts w:eastAsia="Calibri"/>
          <w:i/>
        </w:rPr>
        <w:t>D. M.</w:t>
      </w:r>
      <w:r w:rsidRPr="003F7E0A">
        <w:rPr>
          <w:rFonts w:eastAsia="Calibri"/>
          <w:i/>
        </w:rPr>
        <w:t xml:space="preserve">, </w:t>
      </w:r>
      <w:r w:rsidR="004E4879" w:rsidRPr="003F7E0A">
        <w:rPr>
          <w:rFonts w:eastAsia="Calibri"/>
          <w:i/>
        </w:rPr>
        <w:t>R. V.</w:t>
      </w:r>
      <w:r w:rsidRPr="003F7E0A">
        <w:rPr>
          <w:rFonts w:eastAsia="Calibri"/>
          <w:i/>
        </w:rPr>
        <w:t xml:space="preserve">, </w:t>
      </w:r>
      <w:r w:rsidR="004E4879" w:rsidRPr="003F7E0A">
        <w:rPr>
          <w:rFonts w:eastAsia="Calibri"/>
          <w:i/>
        </w:rPr>
        <w:t>R. A.</w:t>
      </w:r>
      <w:r w:rsidRPr="003F7E0A">
        <w:rPr>
          <w:rFonts w:eastAsia="Calibri"/>
          <w:i/>
        </w:rPr>
        <w:t xml:space="preserve">, </w:t>
      </w:r>
      <w:r w:rsidR="004E4879" w:rsidRPr="003F7E0A">
        <w:rPr>
          <w:rFonts w:eastAsia="Calibri"/>
          <w:i/>
        </w:rPr>
        <w:t>S. S.</w:t>
      </w:r>
      <w:r w:rsidR="000E40ED" w:rsidRPr="003F7E0A">
        <w:rPr>
          <w:rFonts w:eastAsia="Calibri"/>
          <w:i/>
        </w:rPr>
        <w:t xml:space="preserve">, </w:t>
      </w:r>
      <w:r w:rsidR="004E4879" w:rsidRPr="003F7E0A">
        <w:rPr>
          <w:rFonts w:eastAsia="Calibri"/>
          <w:i/>
        </w:rPr>
        <w:t>R. ir V. B.</w:t>
      </w:r>
      <w:r w:rsidRPr="003F7E0A">
        <w:rPr>
          <w:rFonts w:eastAsia="Calibri"/>
          <w:i/>
        </w:rPr>
        <w:t xml:space="preserve">, </w:t>
      </w:r>
      <w:r w:rsidR="004E4879" w:rsidRPr="003F7E0A">
        <w:rPr>
          <w:rFonts w:eastAsia="Calibri"/>
          <w:i/>
        </w:rPr>
        <w:t>A. Š. ir A. P.</w:t>
      </w:r>
      <w:r w:rsidR="000E40ED" w:rsidRPr="003F7E0A">
        <w:rPr>
          <w:rFonts w:eastAsia="Calibri"/>
          <w:i/>
        </w:rPr>
        <w:t xml:space="preserve">, o </w:t>
      </w:r>
      <w:r w:rsidR="004E4879" w:rsidRPr="003F7E0A">
        <w:rPr>
          <w:rFonts w:eastAsia="Calibri"/>
          <w:i/>
        </w:rPr>
        <w:t>Z. S.</w:t>
      </w:r>
      <w:r w:rsidR="000E40ED" w:rsidRPr="003F7E0A">
        <w:rPr>
          <w:rFonts w:eastAsia="Calibri"/>
          <w:i/>
        </w:rPr>
        <w:t xml:space="preserve">, </w:t>
      </w:r>
      <w:r w:rsidR="004E4879" w:rsidRPr="003F7E0A">
        <w:rPr>
          <w:rFonts w:eastAsia="Calibri"/>
          <w:i/>
        </w:rPr>
        <w:t>S. S.</w:t>
      </w:r>
      <w:r w:rsidRPr="003F7E0A">
        <w:rPr>
          <w:rFonts w:eastAsia="Calibri"/>
          <w:i/>
        </w:rPr>
        <w:t xml:space="preserve">, </w:t>
      </w:r>
      <w:r w:rsidR="004E4879" w:rsidRPr="003F7E0A">
        <w:rPr>
          <w:rFonts w:eastAsia="Calibri"/>
          <w:i/>
        </w:rPr>
        <w:t>D. M.</w:t>
      </w:r>
      <w:r w:rsidRPr="003F7E0A">
        <w:rPr>
          <w:rFonts w:eastAsia="Calibri"/>
          <w:i/>
        </w:rPr>
        <w:t xml:space="preserve">, </w:t>
      </w:r>
      <w:r w:rsidR="004E4879" w:rsidRPr="003F7E0A">
        <w:rPr>
          <w:rFonts w:eastAsia="Calibri"/>
          <w:i/>
        </w:rPr>
        <w:t>R. V.</w:t>
      </w:r>
      <w:r w:rsidRPr="003F7E0A">
        <w:rPr>
          <w:rFonts w:eastAsia="Calibri"/>
          <w:i/>
        </w:rPr>
        <w:t xml:space="preserve">, </w:t>
      </w:r>
      <w:r w:rsidR="004E4879" w:rsidRPr="003F7E0A">
        <w:rPr>
          <w:rFonts w:eastAsia="Calibri"/>
          <w:i/>
        </w:rPr>
        <w:t>R. A.</w:t>
      </w:r>
      <w:r w:rsidRPr="003F7E0A">
        <w:rPr>
          <w:rFonts w:eastAsia="Calibri"/>
          <w:i/>
        </w:rPr>
        <w:t xml:space="preserve">, </w:t>
      </w:r>
      <w:r w:rsidR="004E4879" w:rsidRPr="003F7E0A">
        <w:rPr>
          <w:rFonts w:eastAsia="Calibri"/>
          <w:i/>
        </w:rPr>
        <w:t>S. S.</w:t>
      </w:r>
      <w:r w:rsidRPr="003F7E0A">
        <w:rPr>
          <w:rFonts w:eastAsia="Calibri"/>
          <w:i/>
        </w:rPr>
        <w:t xml:space="preserve">, </w:t>
      </w:r>
      <w:r w:rsidR="004E4879" w:rsidRPr="003F7E0A">
        <w:rPr>
          <w:rFonts w:eastAsia="Calibri"/>
          <w:i/>
        </w:rPr>
        <w:t>R. B.</w:t>
      </w:r>
      <w:r w:rsidRPr="003F7E0A">
        <w:rPr>
          <w:rFonts w:eastAsia="Calibri"/>
          <w:i/>
        </w:rPr>
        <w:t xml:space="preserve">, </w:t>
      </w:r>
      <w:r w:rsidR="004E4879" w:rsidRPr="003F7E0A">
        <w:rPr>
          <w:rFonts w:eastAsia="Calibri"/>
          <w:i/>
        </w:rPr>
        <w:t>V. B.</w:t>
      </w:r>
      <w:r w:rsidRPr="003F7E0A">
        <w:rPr>
          <w:rFonts w:eastAsia="Calibri"/>
          <w:i/>
        </w:rPr>
        <w:t xml:space="preserve"> dar neteisėtai ir sulaikė, panaudojo prieš juos fizinį smurtą, padarydami </w:t>
      </w:r>
      <w:r w:rsidR="004E4879" w:rsidRPr="003F7E0A">
        <w:rPr>
          <w:rFonts w:eastAsia="Calibri"/>
          <w:i/>
        </w:rPr>
        <w:t>Z. S.</w:t>
      </w:r>
      <w:r w:rsidRPr="003F7E0A">
        <w:rPr>
          <w:rFonts w:eastAsia="Calibri"/>
          <w:i/>
        </w:rPr>
        <w:t xml:space="preserve">, </w:t>
      </w:r>
      <w:r w:rsidR="004E4879" w:rsidRPr="003F7E0A">
        <w:rPr>
          <w:rFonts w:eastAsia="Calibri"/>
          <w:i/>
        </w:rPr>
        <w:t>S. S.</w:t>
      </w:r>
      <w:r w:rsidR="00F93A4F" w:rsidRPr="003F7E0A">
        <w:rPr>
          <w:rFonts w:eastAsia="Calibri"/>
          <w:i/>
        </w:rPr>
        <w:t xml:space="preserve">, </w:t>
      </w:r>
      <w:r w:rsidR="004E4879" w:rsidRPr="003F7E0A">
        <w:rPr>
          <w:rFonts w:eastAsia="Calibri"/>
          <w:i/>
        </w:rPr>
        <w:t>D. M.</w:t>
      </w:r>
      <w:r w:rsidR="000E40ED" w:rsidRPr="003F7E0A">
        <w:rPr>
          <w:rFonts w:eastAsia="Calibri"/>
          <w:i/>
        </w:rPr>
        <w:t xml:space="preserve">, </w:t>
      </w:r>
      <w:r w:rsidR="004E4879" w:rsidRPr="003F7E0A">
        <w:rPr>
          <w:rFonts w:eastAsia="Calibri"/>
          <w:i/>
        </w:rPr>
        <w:t>R. A.</w:t>
      </w:r>
      <w:r w:rsidRPr="003F7E0A">
        <w:rPr>
          <w:rFonts w:eastAsia="Calibri"/>
          <w:i/>
        </w:rPr>
        <w:t xml:space="preserve">, </w:t>
      </w:r>
      <w:r w:rsidR="004E4879" w:rsidRPr="003F7E0A">
        <w:rPr>
          <w:rFonts w:eastAsia="Calibri"/>
          <w:i/>
        </w:rPr>
        <w:t>S. S.</w:t>
      </w:r>
      <w:r w:rsidRPr="003F7E0A">
        <w:rPr>
          <w:rFonts w:eastAsia="Calibri"/>
          <w:i/>
        </w:rPr>
        <w:t xml:space="preserve">, </w:t>
      </w:r>
      <w:r w:rsidR="004E4879" w:rsidRPr="003F7E0A">
        <w:rPr>
          <w:rFonts w:eastAsia="Calibri"/>
          <w:i/>
        </w:rPr>
        <w:t>R. B. ir V. B.</w:t>
      </w:r>
      <w:r w:rsidRPr="003F7E0A">
        <w:rPr>
          <w:rFonts w:eastAsia="Calibri"/>
          <w:i/>
        </w:rPr>
        <w:t xml:space="preserve"> nesunkius sveikatos sutrikdymus, o </w:t>
      </w:r>
      <w:r w:rsidR="004E4879" w:rsidRPr="003F7E0A">
        <w:rPr>
          <w:rFonts w:eastAsia="Calibri"/>
          <w:i/>
        </w:rPr>
        <w:t>R. V.</w:t>
      </w:r>
      <w:r w:rsidRPr="003F7E0A">
        <w:rPr>
          <w:rFonts w:eastAsia="Calibri"/>
          <w:i/>
        </w:rPr>
        <w:t xml:space="preserve">– nežymų sveikatos sutrikdymą. Apšaudymo metu </w:t>
      </w:r>
      <w:r w:rsidR="004E4879" w:rsidRPr="003F7E0A">
        <w:rPr>
          <w:rFonts w:eastAsia="Calibri"/>
          <w:i/>
        </w:rPr>
        <w:t>A. Š.</w:t>
      </w:r>
      <w:r w:rsidRPr="003F7E0A">
        <w:rPr>
          <w:rFonts w:eastAsia="Calibri"/>
          <w:i/>
        </w:rPr>
        <w:t>padarė nesunkų sveikatos sutrikdymą</w:t>
      </w:r>
      <w:r w:rsidR="000E40ED" w:rsidRPr="003F7E0A">
        <w:rPr>
          <w:rFonts w:eastAsia="Calibri"/>
          <w:i/>
        </w:rPr>
        <w:t>“</w:t>
      </w:r>
      <w:r w:rsidR="00F11D25" w:rsidRPr="003F7E0A">
        <w:rPr>
          <w:rFonts w:eastAsia="Calibri"/>
          <w:i/>
        </w:rPr>
        <w:t xml:space="preserve"> </w:t>
      </w:r>
      <w:r w:rsidR="00F11D25" w:rsidRPr="003F7E0A">
        <w:rPr>
          <w:rFonts w:eastAsia="Calibri"/>
        </w:rPr>
        <w:t>(žr. nuosprendžio 821–</w:t>
      </w:r>
      <w:r w:rsidR="00E672CC" w:rsidRPr="003F7E0A">
        <w:rPr>
          <w:rFonts w:eastAsia="Calibri"/>
        </w:rPr>
        <w:t xml:space="preserve">822 </w:t>
      </w:r>
      <w:r w:rsidR="00F11D25" w:rsidRPr="003F7E0A">
        <w:rPr>
          <w:rFonts w:eastAsia="Calibri"/>
        </w:rPr>
        <w:t>l</w:t>
      </w:r>
      <w:r w:rsidR="00F81420" w:rsidRPr="003F7E0A">
        <w:rPr>
          <w:rFonts w:eastAsia="Calibri"/>
        </w:rPr>
        <w:t>apus</w:t>
      </w:r>
      <w:r w:rsidR="00E672CC" w:rsidRPr="003F7E0A">
        <w:rPr>
          <w:rFonts w:eastAsia="Calibri"/>
        </w:rPr>
        <w:t xml:space="preserve"> (t. </w:t>
      </w:r>
      <w:r w:rsidR="00F11D25" w:rsidRPr="003F7E0A">
        <w:rPr>
          <w:rFonts w:eastAsia="Calibri"/>
        </w:rPr>
        <w:t>773</w:t>
      </w:r>
      <w:r w:rsidR="00E672CC" w:rsidRPr="003F7E0A">
        <w:rPr>
          <w:rFonts w:eastAsia="Calibri"/>
        </w:rPr>
        <w:t>, b. </w:t>
      </w:r>
      <w:r w:rsidR="00F11D25" w:rsidRPr="003F7E0A">
        <w:rPr>
          <w:rFonts w:eastAsia="Calibri"/>
        </w:rPr>
        <w:t>l. 21–22</w:t>
      </w:r>
      <w:r w:rsidR="00E672CC" w:rsidRPr="003F7E0A">
        <w:rPr>
          <w:rFonts w:eastAsia="Calibri"/>
        </w:rPr>
        <w:t>)</w:t>
      </w:r>
      <w:r w:rsidR="000F3E9D" w:rsidRPr="003F7E0A">
        <w:rPr>
          <w:rFonts w:eastAsia="Calibri"/>
        </w:rPr>
        <w:t>.</w:t>
      </w:r>
    </w:p>
    <w:p w:rsidR="0086486F" w:rsidRPr="00C00255" w:rsidRDefault="007334D4" w:rsidP="00570C83">
      <w:pPr>
        <w:pStyle w:val="Heading1"/>
        <w:spacing w:before="120" w:after="120"/>
        <w:ind w:left="927"/>
        <w:rPr>
          <w:bCs/>
          <w:sz w:val="24"/>
          <w:szCs w:val="24"/>
        </w:rPr>
      </w:pPr>
      <w:bookmarkStart w:id="31" w:name="_Toc37947830"/>
      <w:bookmarkStart w:id="32" w:name="_Toc67677309"/>
      <w:bookmarkStart w:id="33" w:name="_Toc67985436"/>
      <w:r w:rsidRPr="00C00255">
        <w:rPr>
          <w:bCs/>
          <w:sz w:val="24"/>
          <w:szCs w:val="24"/>
        </w:rPr>
        <w:t>II.</w:t>
      </w:r>
      <w:r w:rsidR="005C67B0" w:rsidRPr="00C00255">
        <w:rPr>
          <w:bCs/>
          <w:sz w:val="24"/>
          <w:szCs w:val="24"/>
        </w:rPr>
        <w:t> </w:t>
      </w:r>
      <w:r w:rsidR="0086486F" w:rsidRPr="00C00255">
        <w:rPr>
          <w:bCs/>
          <w:sz w:val="24"/>
          <w:szCs w:val="24"/>
        </w:rPr>
        <w:t>APELIACIN</w:t>
      </w:r>
      <w:r w:rsidR="005124CB" w:rsidRPr="00C00255">
        <w:rPr>
          <w:bCs/>
          <w:sz w:val="24"/>
          <w:szCs w:val="24"/>
        </w:rPr>
        <w:t>IŲ</w:t>
      </w:r>
      <w:r w:rsidR="00F813EC" w:rsidRPr="00C00255">
        <w:rPr>
          <w:bCs/>
          <w:sz w:val="24"/>
          <w:szCs w:val="24"/>
        </w:rPr>
        <w:t xml:space="preserve"> SKUNDŲ </w:t>
      </w:r>
      <w:r w:rsidR="0086486F" w:rsidRPr="00C00255">
        <w:rPr>
          <w:bCs/>
          <w:sz w:val="24"/>
          <w:szCs w:val="24"/>
        </w:rPr>
        <w:t xml:space="preserve">ARGUMENTAI </w:t>
      </w:r>
      <w:r w:rsidR="00F813EC" w:rsidRPr="00C00255">
        <w:rPr>
          <w:bCs/>
          <w:sz w:val="24"/>
          <w:szCs w:val="24"/>
        </w:rPr>
        <w:t>IR PROCESO DALYVIŲ PRAŠYMAI</w:t>
      </w:r>
      <w:bookmarkEnd w:id="31"/>
      <w:bookmarkEnd w:id="32"/>
      <w:bookmarkEnd w:id="33"/>
    </w:p>
    <w:p w:rsidR="00F813EC" w:rsidRPr="00C00255" w:rsidRDefault="00F813EC" w:rsidP="00321748">
      <w:pPr>
        <w:pStyle w:val="Heading2"/>
        <w:numPr>
          <w:ilvl w:val="0"/>
          <w:numId w:val="11"/>
        </w:numPr>
        <w:jc w:val="center"/>
        <w:rPr>
          <w:rFonts w:ascii="Times New Roman" w:hAnsi="Times New Roman" w:cs="Times New Roman"/>
          <w:b w:val="0"/>
          <w:sz w:val="24"/>
          <w:szCs w:val="24"/>
        </w:rPr>
      </w:pPr>
      <w:bookmarkStart w:id="34" w:name="_Toc37947831"/>
      <w:bookmarkStart w:id="35" w:name="_Toc67677310"/>
      <w:bookmarkStart w:id="36" w:name="_Toc67985437"/>
      <w:r w:rsidRPr="00C00255">
        <w:rPr>
          <w:rFonts w:ascii="Times New Roman" w:hAnsi="Times New Roman" w:cs="Times New Roman"/>
          <w:b w:val="0"/>
          <w:sz w:val="24"/>
          <w:szCs w:val="24"/>
        </w:rPr>
        <w:t>NUTEISTŲJŲ IR</w:t>
      </w:r>
      <w:r w:rsidR="00E364F3" w:rsidRPr="00C00255">
        <w:rPr>
          <w:rFonts w:ascii="Times New Roman" w:hAnsi="Times New Roman" w:cs="Times New Roman"/>
          <w:b w:val="0"/>
          <w:sz w:val="24"/>
          <w:szCs w:val="24"/>
        </w:rPr>
        <w:t xml:space="preserve"> (AR)</w:t>
      </w:r>
      <w:r w:rsidRPr="00C00255">
        <w:rPr>
          <w:rFonts w:ascii="Times New Roman" w:hAnsi="Times New Roman" w:cs="Times New Roman"/>
          <w:b w:val="0"/>
          <w:sz w:val="24"/>
          <w:szCs w:val="24"/>
        </w:rPr>
        <w:t xml:space="preserve"> JŲ GYNĖJŲ APELIACINIAI SKUNDAI</w:t>
      </w:r>
      <w:bookmarkEnd w:id="34"/>
      <w:bookmarkEnd w:id="35"/>
      <w:bookmarkEnd w:id="36"/>
    </w:p>
    <w:p w:rsidR="00D766B1" w:rsidRPr="00C00255" w:rsidRDefault="005C67B0" w:rsidP="00321748">
      <w:pPr>
        <w:pStyle w:val="ListParagraph"/>
        <w:numPr>
          <w:ilvl w:val="0"/>
          <w:numId w:val="6"/>
        </w:numPr>
        <w:spacing w:before="120" w:after="120"/>
        <w:ind w:left="992" w:hanging="992"/>
        <w:contextualSpacing w:val="0"/>
        <w:rPr>
          <w:szCs w:val="24"/>
        </w:rPr>
      </w:pPr>
      <w:bookmarkStart w:id="37" w:name="_Toc37947832"/>
      <w:bookmarkStart w:id="38" w:name="_Toc67677311"/>
      <w:bookmarkStart w:id="39" w:name="_Toc67985438"/>
      <w:r w:rsidRPr="008B4E58">
        <w:rPr>
          <w:b/>
        </w:rPr>
        <w:t xml:space="preserve">Nuteistojo </w:t>
      </w:r>
      <w:r w:rsidR="00385BC9" w:rsidRPr="008B4E58">
        <w:rPr>
          <w:b/>
        </w:rPr>
        <w:t>V. Š. 1</w:t>
      </w:r>
      <w:r w:rsidRPr="008B4E58">
        <w:rPr>
          <w:b/>
        </w:rPr>
        <w:t xml:space="preserve"> gynėja</w:t>
      </w:r>
      <w:bookmarkEnd w:id="37"/>
      <w:bookmarkEnd w:id="38"/>
      <w:bookmarkEnd w:id="39"/>
      <w:r w:rsidRPr="008B4E58">
        <w:rPr>
          <w:b/>
        </w:rPr>
        <w:t xml:space="preserve"> advokatė M. Bartaševičiūtė</w:t>
      </w:r>
      <w:r w:rsidRPr="00C00255">
        <w:rPr>
          <w:szCs w:val="24"/>
        </w:rPr>
        <w:t xml:space="preserve"> </w:t>
      </w:r>
      <w:r w:rsidRPr="008B4E58">
        <w:t>apeliaciniu skundu prašo panaikinti pirmosios instancijos teismo nuosprendį ir jos ginamąjį išteisinti.</w:t>
      </w:r>
      <w:r w:rsidRPr="00C00255">
        <w:rPr>
          <w:szCs w:val="24"/>
        </w:rPr>
        <w:t xml:space="preserve"> </w:t>
      </w:r>
    </w:p>
    <w:p w:rsidR="00380C56" w:rsidRPr="00E76E89" w:rsidRDefault="005C67B0" w:rsidP="00321748">
      <w:pPr>
        <w:pStyle w:val="ListParagraph"/>
        <w:numPr>
          <w:ilvl w:val="1"/>
          <w:numId w:val="6"/>
        </w:numPr>
        <w:spacing w:before="120" w:after="120"/>
        <w:ind w:left="992" w:hanging="992"/>
        <w:contextualSpacing w:val="0"/>
        <w:rPr>
          <w:szCs w:val="24"/>
        </w:rPr>
      </w:pPr>
      <w:r w:rsidRPr="00E76E89">
        <w:rPr>
          <w:szCs w:val="24"/>
        </w:rPr>
        <w:t xml:space="preserve">Anot gynėjos, skundžiamas nuosprendis buvo priimtas padarant esminius BPK pažeidimus, o teismo išvados neatitinka faktinių bylos aplinkybių. Gynėjos teigimu, byloje nėra duomenų, kad jos ginamasis kartu su kitais </w:t>
      </w:r>
      <w:r w:rsidR="00970DB0" w:rsidRPr="00E76E89">
        <w:rPr>
          <w:szCs w:val="24"/>
        </w:rPr>
        <w:t>LKP</w:t>
      </w:r>
      <w:r w:rsidRPr="00E76E89">
        <w:rPr>
          <w:szCs w:val="24"/>
        </w:rPr>
        <w:t xml:space="preserve"> ir (ar) </w:t>
      </w:r>
      <w:r w:rsidR="00970DB0" w:rsidRPr="00E76E89">
        <w:rPr>
          <w:szCs w:val="24"/>
        </w:rPr>
        <w:t>TSKP</w:t>
      </w:r>
      <w:r w:rsidR="00DE3B19" w:rsidRPr="00E76E89">
        <w:rPr>
          <w:szCs w:val="24"/>
        </w:rPr>
        <w:t> CK</w:t>
      </w:r>
      <w:r w:rsidRPr="00E76E89">
        <w:rPr>
          <w:szCs w:val="24"/>
        </w:rPr>
        <w:t xml:space="preserve"> vadovais kūrė TSRS prezidento tiesioginio valdymo Lietuvoje planą, inicijavo karinę operaciją, parinko užgrobiamus objektus</w:t>
      </w:r>
      <w:r w:rsidR="00FA3DA4" w:rsidRPr="00E76E89">
        <w:rPr>
          <w:szCs w:val="24"/>
        </w:rPr>
        <w:t>, rengė</w:t>
      </w:r>
      <w:r w:rsidRPr="00E76E89">
        <w:rPr>
          <w:szCs w:val="24"/>
        </w:rPr>
        <w:t xml:space="preserve"> jų užgrobimo planus </w:t>
      </w:r>
      <w:r w:rsidR="00FA3DA4" w:rsidRPr="00E76E89">
        <w:rPr>
          <w:szCs w:val="24"/>
        </w:rPr>
        <w:t>ir</w:t>
      </w:r>
      <w:r w:rsidRPr="00E76E89">
        <w:rPr>
          <w:szCs w:val="24"/>
        </w:rPr>
        <w:t xml:space="preserve"> paskyrė atsakingus asmenis, tarėsi su TSRS jėgos struktūrų vadovais dėl priemonių, įvedant TSRS prezidentinį valdymą bei ypatingosios padėties teisinį režimą, dalyvavo kuriant darbininkų draugoves, visuomeninius komitetus ir koordinavo jų veiksmus, buvo vadovavimo karinei operacijai štabo nariu ir dalyvavo štabo veikloje. Apeliantė</w:t>
      </w:r>
      <w:r w:rsidR="00970DB0" w:rsidRPr="00E76E89">
        <w:rPr>
          <w:szCs w:val="24"/>
        </w:rPr>
        <w:t xml:space="preserve">s įsitikinimu, vien tai, kad </w:t>
      </w:r>
      <w:r w:rsidR="00385BC9" w:rsidRPr="00E76E89">
        <w:rPr>
          <w:szCs w:val="24"/>
        </w:rPr>
        <w:t>V. Š. 1</w:t>
      </w:r>
      <w:r w:rsidRPr="00E76E89">
        <w:rPr>
          <w:szCs w:val="24"/>
        </w:rPr>
        <w:t xml:space="preserve"> dalyvavo LKP</w:t>
      </w:r>
      <w:r w:rsidR="005E6CFE" w:rsidRPr="00E76E89">
        <w:rPr>
          <w:szCs w:val="24"/>
        </w:rPr>
        <w:t> </w:t>
      </w:r>
      <w:r w:rsidRPr="00E76E89">
        <w:rPr>
          <w:szCs w:val="24"/>
        </w:rPr>
        <w:t>/</w:t>
      </w:r>
      <w:r w:rsidR="005E6CFE" w:rsidRPr="00E76E89">
        <w:rPr>
          <w:szCs w:val="24"/>
        </w:rPr>
        <w:t> </w:t>
      </w:r>
      <w:r w:rsidRPr="00E76E89">
        <w:rPr>
          <w:szCs w:val="24"/>
        </w:rPr>
        <w:t>TSKP veikloje, neįrodo jo kaltės padarius nusikaltimus žmoniškumui, nes jie padaromi tik tiesiogine tyčia. Byloje nėra duomenų, kad</w:t>
      </w:r>
      <w:r w:rsidR="000F3E9D" w:rsidRPr="00E76E89">
        <w:rPr>
          <w:szCs w:val="24"/>
        </w:rPr>
        <w:t>,</w:t>
      </w:r>
      <w:r w:rsidRPr="00E76E89">
        <w:rPr>
          <w:szCs w:val="24"/>
        </w:rPr>
        <w:t xml:space="preserve"> nepritardamas Lietuvos nepriklausomybei ir dalyvaudamas LKP</w:t>
      </w:r>
      <w:r w:rsidR="005E6CFE" w:rsidRPr="00E76E89">
        <w:rPr>
          <w:szCs w:val="24"/>
        </w:rPr>
        <w:t> </w:t>
      </w:r>
      <w:r w:rsidRPr="00E76E89">
        <w:rPr>
          <w:szCs w:val="24"/>
        </w:rPr>
        <w:t>/</w:t>
      </w:r>
      <w:r w:rsidR="005E6CFE" w:rsidRPr="00E76E89">
        <w:rPr>
          <w:szCs w:val="24"/>
        </w:rPr>
        <w:t> </w:t>
      </w:r>
      <w:r w:rsidRPr="00E76E89">
        <w:rPr>
          <w:szCs w:val="24"/>
        </w:rPr>
        <w:t>TSKP bei kitų subjektų veikloje, jis suvokė, jog TSRS karinė vadovybė įsakys naudoti smurtą prieš civilius. Minėtos partijos ir jos narių antivalstybiniai veiksmai siekiant nuversti teisėtą Lietuvos valdžią nereiškia, kad to buvo siekiama jėga. Gynybos įsitikinimu, tai matyti iš LTSR piliečių komiteto prezidiumo posėdžio, kurį vedė nuteis</w:t>
      </w:r>
      <w:r w:rsidR="00380C56" w:rsidRPr="00E76E89">
        <w:rPr>
          <w:szCs w:val="24"/>
        </w:rPr>
        <w:t>tasis, protokolo (t. 286, b. l. </w:t>
      </w:r>
      <w:r w:rsidR="00001989" w:rsidRPr="00E76E89">
        <w:rPr>
          <w:szCs w:val="24"/>
        </w:rPr>
        <w:t>193–</w:t>
      </w:r>
      <w:r w:rsidRPr="00E76E89">
        <w:rPr>
          <w:szCs w:val="24"/>
        </w:rPr>
        <w:t>194). Posėdyje svarstytas klau</w:t>
      </w:r>
      <w:r w:rsidR="00056CFA" w:rsidRPr="00E76E89">
        <w:rPr>
          <w:szCs w:val="24"/>
        </w:rPr>
        <w:t>simas dėl kreipimosi į Lietuvos </w:t>
      </w:r>
      <w:r w:rsidRPr="00E76E89">
        <w:rPr>
          <w:szCs w:val="24"/>
        </w:rPr>
        <w:t>gyventojus su reikalavimu atsistatydinti esamai vyriausybei bei</w:t>
      </w:r>
      <w:r w:rsidR="0070633D" w:rsidRPr="00E76E89">
        <w:rPr>
          <w:szCs w:val="24"/>
        </w:rPr>
        <w:t xml:space="preserve"> tai</w:t>
      </w:r>
      <w:r w:rsidRPr="00E76E89">
        <w:rPr>
          <w:szCs w:val="24"/>
        </w:rPr>
        <w:t xml:space="preserve">, kad nauja vyriausybė parengtų politinę programą, atitinkančią visuomenės interesus. Apie tai, kad prie karo nusikaltimų prisidėjo </w:t>
      </w:r>
      <w:r w:rsidR="00385BC9" w:rsidRPr="00E76E89">
        <w:rPr>
          <w:szCs w:val="24"/>
        </w:rPr>
        <w:t>V. Š. 1</w:t>
      </w:r>
      <w:r w:rsidRPr="00E76E89">
        <w:rPr>
          <w:szCs w:val="24"/>
        </w:rPr>
        <w:t xml:space="preserve"> ir</w:t>
      </w:r>
      <w:r w:rsidR="0070633D" w:rsidRPr="00E76E89">
        <w:rPr>
          <w:szCs w:val="24"/>
        </w:rPr>
        <w:t xml:space="preserve"> kad</w:t>
      </w:r>
      <w:r w:rsidRPr="00E76E89">
        <w:rPr>
          <w:szCs w:val="24"/>
        </w:rPr>
        <w:t xml:space="preserve"> jis galėjo turėti įtakos šiems įvykiams, byloje duomenų nėra. Nėra duomenų ir apie tai, kad nuteistasis kūrė prezidentinio valdymo įve</w:t>
      </w:r>
      <w:r w:rsidR="00380C56" w:rsidRPr="00E76E89">
        <w:rPr>
          <w:szCs w:val="24"/>
        </w:rPr>
        <w:t>dimo Lietuvoje planą, kurį TSRS </w:t>
      </w:r>
      <w:r w:rsidRPr="00E76E89">
        <w:rPr>
          <w:szCs w:val="24"/>
        </w:rPr>
        <w:t xml:space="preserve">vadovybei įteikė nuteistasis kitoje byloje – </w:t>
      </w:r>
      <w:r w:rsidR="00C507EF" w:rsidRPr="00E76E89">
        <w:rPr>
          <w:szCs w:val="24"/>
        </w:rPr>
        <w:t>M. B.</w:t>
      </w:r>
      <w:r w:rsidRPr="00E76E89">
        <w:rPr>
          <w:szCs w:val="24"/>
        </w:rPr>
        <w:t xml:space="preserve">. Jis neneigė pažinojęs </w:t>
      </w:r>
      <w:r w:rsidR="00385BC9" w:rsidRPr="00E76E89">
        <w:rPr>
          <w:szCs w:val="24"/>
        </w:rPr>
        <w:t>D. J.</w:t>
      </w:r>
      <w:r w:rsidRPr="00E76E89">
        <w:rPr>
          <w:szCs w:val="24"/>
        </w:rPr>
        <w:t xml:space="preserve"> ir kitus, tačiau jokių prezidentinio valdymo ar karinės jėgos panaudojimo planų su jais neaptarinėjo. Gynybos įsitikinimu, bylos medžiagoje taip pat nėra įrodymų, jog </w:t>
      </w:r>
      <w:r w:rsidR="00385BC9" w:rsidRPr="00E76E89">
        <w:rPr>
          <w:szCs w:val="24"/>
        </w:rPr>
        <w:t>V. Š. 1</w:t>
      </w:r>
      <w:r w:rsidRPr="00E76E89">
        <w:rPr>
          <w:szCs w:val="24"/>
        </w:rPr>
        <w:t xml:space="preserve"> būtų dalyvavęs </w:t>
      </w:r>
      <w:r w:rsidR="00970DB0" w:rsidRPr="00E76E89">
        <w:rPr>
          <w:szCs w:val="24"/>
        </w:rPr>
        <w:t>LNGK</w:t>
      </w:r>
      <w:r w:rsidRPr="00E76E89">
        <w:rPr>
          <w:szCs w:val="24"/>
        </w:rPr>
        <w:t xml:space="preserve"> veikloje. Dėl minėtų priežasčių tiek už LKP</w:t>
      </w:r>
      <w:r w:rsidR="005E6CFE" w:rsidRPr="00E76E89">
        <w:rPr>
          <w:szCs w:val="24"/>
        </w:rPr>
        <w:t> </w:t>
      </w:r>
      <w:r w:rsidRPr="00E76E89">
        <w:rPr>
          <w:szCs w:val="24"/>
        </w:rPr>
        <w:t>/</w:t>
      </w:r>
      <w:r w:rsidR="005E6CFE" w:rsidRPr="00E76E89">
        <w:rPr>
          <w:szCs w:val="24"/>
        </w:rPr>
        <w:t> </w:t>
      </w:r>
      <w:r w:rsidRPr="00E76E89">
        <w:rPr>
          <w:szCs w:val="24"/>
        </w:rPr>
        <w:t xml:space="preserve">TSKP, tiek </w:t>
      </w:r>
      <w:r w:rsidR="000F3E9D" w:rsidRPr="00E76E89">
        <w:rPr>
          <w:szCs w:val="24"/>
        </w:rPr>
        <w:t xml:space="preserve">už </w:t>
      </w:r>
      <w:r w:rsidRPr="00E76E89">
        <w:rPr>
          <w:szCs w:val="24"/>
        </w:rPr>
        <w:t xml:space="preserve">LNGK veiksmus ir pareiškimus nuteistasis negali atsakyti. </w:t>
      </w:r>
    </w:p>
    <w:p w:rsidR="00380C56" w:rsidRPr="00E76E89" w:rsidRDefault="00380C56" w:rsidP="00321748">
      <w:pPr>
        <w:pStyle w:val="ListParagraph"/>
        <w:numPr>
          <w:ilvl w:val="1"/>
          <w:numId w:val="6"/>
        </w:numPr>
        <w:spacing w:before="120" w:after="120"/>
        <w:ind w:left="992" w:hanging="992"/>
        <w:contextualSpacing w:val="0"/>
        <w:rPr>
          <w:szCs w:val="24"/>
        </w:rPr>
      </w:pPr>
      <w:r w:rsidRPr="00E76E89">
        <w:rPr>
          <w:szCs w:val="24"/>
        </w:rPr>
        <w:t>Apeliantės įsitikinimu, šiai bylai svarbios ir teismų padarytos išvados išnagrinėtoje baudžiamojoje byloje Nr.</w:t>
      </w:r>
      <w:r w:rsidR="005E6CFE" w:rsidRPr="00E76E89">
        <w:rPr>
          <w:szCs w:val="24"/>
        </w:rPr>
        <w:t> </w:t>
      </w:r>
      <w:r w:rsidRPr="00E76E89">
        <w:rPr>
          <w:szCs w:val="24"/>
        </w:rPr>
        <w:t xml:space="preserve">1-2/1999 dėl tų pačių 1991 m. sausio įvykių. Minėtoje byloje nustatyta, kad TSRS karinę vadovybę panaudoti karinius dalinius sukurstė </w:t>
      </w:r>
      <w:r w:rsidR="00C507EF" w:rsidRPr="00E76E89">
        <w:rPr>
          <w:szCs w:val="24"/>
        </w:rPr>
        <w:t>M. B.</w:t>
      </w:r>
      <w:r w:rsidRPr="00E76E89">
        <w:rPr>
          <w:szCs w:val="24"/>
        </w:rPr>
        <w:t xml:space="preserve">, įteikdamas dokumentą, kuriame išdėstė TSRS prezidentinio valdymo Lietuvoje įvedimo planą. Byloje nėra duomenų, kad prie šio dokumento rengimo būtų prisidėjęs </w:t>
      </w:r>
      <w:r w:rsidR="00385BC9" w:rsidRPr="00E76E89">
        <w:rPr>
          <w:szCs w:val="24"/>
        </w:rPr>
        <w:t>V. Š. 1</w:t>
      </w:r>
      <w:r w:rsidRPr="00E76E89">
        <w:rPr>
          <w:szCs w:val="24"/>
        </w:rPr>
        <w:t xml:space="preserve">. Pats </w:t>
      </w:r>
      <w:r w:rsidR="00C507EF" w:rsidRPr="00E76E89">
        <w:rPr>
          <w:szCs w:val="24"/>
        </w:rPr>
        <w:t>M. B.</w:t>
      </w:r>
      <w:r w:rsidRPr="00E76E89">
        <w:rPr>
          <w:szCs w:val="24"/>
        </w:rPr>
        <w:t xml:space="preserve"> patvirtino, kad dokumente </w:t>
      </w:r>
      <w:r w:rsidR="005E6CFE" w:rsidRPr="00E76E89">
        <w:rPr>
          <w:szCs w:val="24"/>
        </w:rPr>
        <w:t>pateikta</w:t>
      </w:r>
      <w:r w:rsidRPr="00E76E89">
        <w:rPr>
          <w:szCs w:val="24"/>
        </w:rPr>
        <w:t xml:space="preserve"> jo asmeninė nuomonė ir pasvarstymai. Teismai konstatavo, </w:t>
      </w:r>
      <w:r w:rsidR="00243BBB" w:rsidRPr="00E76E89">
        <w:rPr>
          <w:szCs w:val="24"/>
        </w:rPr>
        <w:t xml:space="preserve">kad </w:t>
      </w:r>
      <w:r w:rsidRPr="00E76E89">
        <w:rPr>
          <w:szCs w:val="24"/>
        </w:rPr>
        <w:t xml:space="preserve">karinės jėgos panaudojimo tikslas buvo </w:t>
      </w:r>
      <w:r w:rsidR="007403E5" w:rsidRPr="00E76E89">
        <w:rPr>
          <w:szCs w:val="24"/>
        </w:rPr>
        <w:t>LRT</w:t>
      </w:r>
      <w:r w:rsidRPr="00E76E89">
        <w:rPr>
          <w:szCs w:val="24"/>
        </w:rPr>
        <w:t xml:space="preserve"> pastatų ir T</w:t>
      </w:r>
      <w:r w:rsidR="007403E5" w:rsidRPr="00E76E89">
        <w:rPr>
          <w:szCs w:val="24"/>
        </w:rPr>
        <w:t>V</w:t>
      </w:r>
      <w:r w:rsidRPr="00E76E89">
        <w:rPr>
          <w:szCs w:val="24"/>
        </w:rPr>
        <w:t xml:space="preserve"> bokšto </w:t>
      </w:r>
      <w:r w:rsidRPr="00E76E89">
        <w:rPr>
          <w:szCs w:val="24"/>
        </w:rPr>
        <w:lastRenderedPageBreak/>
        <w:t>užgrobimas. Apeliantės teigimu, nusikaltimai žm</w:t>
      </w:r>
      <w:r w:rsidR="005E6CFE" w:rsidRPr="00E76E89">
        <w:rPr>
          <w:szCs w:val="24"/>
        </w:rPr>
        <w:t>oniškumui</w:t>
      </w:r>
      <w:r w:rsidRPr="00E76E89">
        <w:rPr>
          <w:szCs w:val="24"/>
        </w:rPr>
        <w:t xml:space="preserve"> konstatuojami, kai užpuolimas nukreiptas prieš civilius, kurie yra pagrindinis, o ne neatsitiktinis užpuolimo taikinys. Baudžiamojoje byloje Nr. 1-2/1999 konstatuota, kad</w:t>
      </w:r>
      <w:r w:rsidR="00BD0126" w:rsidRPr="00E76E89">
        <w:rPr>
          <w:szCs w:val="24"/>
        </w:rPr>
        <w:t>,</w:t>
      </w:r>
      <w:r w:rsidRPr="00E76E89">
        <w:rPr>
          <w:szCs w:val="24"/>
        </w:rPr>
        <w:t xml:space="preserve"> kėsinantis į pastatų gynyboje buvusių asmenų gyvybę ir sveikatą, </w:t>
      </w:r>
      <w:r w:rsidR="00C507EF" w:rsidRPr="00E76E89">
        <w:rPr>
          <w:szCs w:val="24"/>
        </w:rPr>
        <w:t>M. B.</w:t>
      </w:r>
      <w:r w:rsidRPr="00E76E89">
        <w:rPr>
          <w:szCs w:val="24"/>
        </w:rPr>
        <w:t xml:space="preserve"> veikė netiesiogine tyčia. Todėl, net ir nustačius, kad </w:t>
      </w:r>
      <w:r w:rsidR="00385BC9" w:rsidRPr="00E76E89">
        <w:rPr>
          <w:szCs w:val="24"/>
        </w:rPr>
        <w:t>V. Š. 1</w:t>
      </w:r>
      <w:r w:rsidRPr="00E76E89">
        <w:rPr>
          <w:szCs w:val="24"/>
        </w:rPr>
        <w:t xml:space="preserve"> prisidėjo prie </w:t>
      </w:r>
      <w:r w:rsidR="00C507EF" w:rsidRPr="00E76E89">
        <w:rPr>
          <w:szCs w:val="24"/>
        </w:rPr>
        <w:t>M. B.</w:t>
      </w:r>
      <w:r w:rsidRPr="00E76E89">
        <w:rPr>
          <w:szCs w:val="24"/>
        </w:rPr>
        <w:t xml:space="preserve"> neteisėtų veiksmų, teismas turėtų konstatuoti jo veikimą netiesiogine tyčia. </w:t>
      </w:r>
    </w:p>
    <w:p w:rsidR="00380C56" w:rsidRPr="00E76E89" w:rsidRDefault="00380C56" w:rsidP="00321748">
      <w:pPr>
        <w:pStyle w:val="ListParagraph"/>
        <w:numPr>
          <w:ilvl w:val="1"/>
          <w:numId w:val="6"/>
        </w:numPr>
        <w:spacing w:before="120" w:after="120"/>
        <w:ind w:left="992" w:hanging="992"/>
        <w:contextualSpacing w:val="0"/>
        <w:rPr>
          <w:szCs w:val="24"/>
        </w:rPr>
      </w:pPr>
      <w:r w:rsidRPr="00E76E89">
        <w:rPr>
          <w:szCs w:val="24"/>
        </w:rPr>
        <w:t>Gynėjos teigimu, skundžiamu nuosprendžiu pažeista nuteistojo teisė į gynybą ir tinkamą procesą. Anot apeliantės, jos ginamasis buvo kaltinamas tuo, kad inkriminuojamus veiksmus atliko veikdamas organizuot</w:t>
      </w:r>
      <w:r w:rsidR="000F3E9D" w:rsidRPr="00E76E89">
        <w:rPr>
          <w:szCs w:val="24"/>
        </w:rPr>
        <w:t>a</w:t>
      </w:r>
      <w:r w:rsidRPr="00E76E89">
        <w:rPr>
          <w:szCs w:val="24"/>
        </w:rPr>
        <w:t xml:space="preserve"> grupe – buvo paskirtos karinės operacijos Lietuvoje kurstytoju ir tiesiogiai nerealizavo nusikaltimų objektyviosios pusės požymių. Atitinkamai gynyba koncentravosi į tai, ar byloje pakanka duomenų, patvirtinančių, </w:t>
      </w:r>
      <w:r w:rsidR="00243BBB" w:rsidRPr="00E76E89">
        <w:rPr>
          <w:szCs w:val="24"/>
        </w:rPr>
        <w:t xml:space="preserve">kad </w:t>
      </w:r>
      <w:r w:rsidR="00385BC9" w:rsidRPr="00E76E89">
        <w:rPr>
          <w:szCs w:val="24"/>
        </w:rPr>
        <w:t>V. Š. 1</w:t>
      </w:r>
      <w:r w:rsidRPr="00E76E89">
        <w:rPr>
          <w:szCs w:val="24"/>
        </w:rPr>
        <w:t xml:space="preserve"> yra organizuotos</w:t>
      </w:r>
      <w:r w:rsidR="00000FAA" w:rsidRPr="00E76E89">
        <w:rPr>
          <w:szCs w:val="24"/>
        </w:rPr>
        <w:t xml:space="preserve"> </w:t>
      </w:r>
      <w:r w:rsidRPr="00E76E89">
        <w:rPr>
          <w:szCs w:val="24"/>
        </w:rPr>
        <w:t xml:space="preserve">grupės narys. Nesant tokių duomenų, jis negalėtų būti teisiamas ir už vykdytojų veiksmus. Anot gynėjos, </w:t>
      </w:r>
      <w:bookmarkStart w:id="40" w:name="_Hlk34118941"/>
      <w:r w:rsidRPr="00E76E89">
        <w:rPr>
          <w:szCs w:val="24"/>
        </w:rPr>
        <w:t>apygardos teismas, pašalinęs iš kaltinimo veikimo organizuot</w:t>
      </w:r>
      <w:r w:rsidR="000F3E9D" w:rsidRPr="00E76E89">
        <w:rPr>
          <w:szCs w:val="24"/>
        </w:rPr>
        <w:t>a</w:t>
      </w:r>
      <w:r w:rsidRPr="00E76E89">
        <w:rPr>
          <w:szCs w:val="24"/>
        </w:rPr>
        <w:t xml:space="preserve"> grupe požymį, skundžiamu nuosprendžiu </w:t>
      </w:r>
      <w:r w:rsidR="00385BC9" w:rsidRPr="00E76E89">
        <w:rPr>
          <w:szCs w:val="24"/>
        </w:rPr>
        <w:t xml:space="preserve">V. Š. 1 </w:t>
      </w:r>
      <w:r w:rsidRPr="00E76E89">
        <w:rPr>
          <w:szCs w:val="24"/>
        </w:rPr>
        <w:t xml:space="preserve">pripažino veikus bendrininkų grupe, tačiau tą padarė nepagrįstai ir pažeisdamas </w:t>
      </w:r>
      <w:r w:rsidR="00385BC9" w:rsidRPr="00E76E89">
        <w:rPr>
          <w:szCs w:val="24"/>
        </w:rPr>
        <w:t xml:space="preserve">V. Š. 1 </w:t>
      </w:r>
      <w:r w:rsidRPr="00E76E89">
        <w:rPr>
          <w:szCs w:val="24"/>
        </w:rPr>
        <w:t>teis</w:t>
      </w:r>
      <w:r w:rsidR="000F3E9D" w:rsidRPr="00E76E89">
        <w:rPr>
          <w:szCs w:val="24"/>
        </w:rPr>
        <w:t>ę</w:t>
      </w:r>
      <w:r w:rsidRPr="00E76E89">
        <w:rPr>
          <w:szCs w:val="24"/>
        </w:rPr>
        <w:t xml:space="preserve"> į gynybą, nes apie tai gynyba nebuvo informuota. Padarius išvadą, kad </w:t>
      </w:r>
      <w:r w:rsidR="00385BC9" w:rsidRPr="00E76E89">
        <w:rPr>
          <w:szCs w:val="24"/>
        </w:rPr>
        <w:t xml:space="preserve">V. Š. 1 </w:t>
      </w:r>
      <w:r w:rsidRPr="00E76E89">
        <w:rPr>
          <w:szCs w:val="24"/>
        </w:rPr>
        <w:t>realizavo nusikaltimų objektyviosios pusės požymius, buvo išplėsta kaltinimo apimtis ir gynybai nebuvo suteikta laiko tam pasiruošti ir gintis.</w:t>
      </w:r>
      <w:bookmarkEnd w:id="40"/>
    </w:p>
    <w:p w:rsidR="00380C56" w:rsidRPr="00E76E89" w:rsidRDefault="00380C56" w:rsidP="00321748">
      <w:pPr>
        <w:pStyle w:val="ListParagraph"/>
        <w:numPr>
          <w:ilvl w:val="1"/>
          <w:numId w:val="6"/>
        </w:numPr>
        <w:spacing w:before="120" w:after="120"/>
        <w:ind w:left="992" w:hanging="992"/>
        <w:contextualSpacing w:val="0"/>
        <w:rPr>
          <w:szCs w:val="24"/>
        </w:rPr>
      </w:pPr>
      <w:r w:rsidRPr="00E76E89">
        <w:rPr>
          <w:szCs w:val="24"/>
        </w:rPr>
        <w:t>Apeliantės įsitikinimu, pirmosios instancijos teismas pažeidė ir įrodymų vertinimo taisykles, nes</w:t>
      </w:r>
      <w:r w:rsidR="00BD0126" w:rsidRPr="00E76E89">
        <w:rPr>
          <w:szCs w:val="24"/>
        </w:rPr>
        <w:t>,</w:t>
      </w:r>
      <w:r w:rsidRPr="00E76E89">
        <w:rPr>
          <w:szCs w:val="24"/>
        </w:rPr>
        <w:t xml:space="preserve"> ikiteisminio tyrimo metu </w:t>
      </w:r>
      <w:r w:rsidR="00385BC9" w:rsidRPr="00E76E89">
        <w:rPr>
          <w:szCs w:val="24"/>
        </w:rPr>
        <w:t xml:space="preserve">V. Š. 1 </w:t>
      </w:r>
      <w:r w:rsidRPr="00E76E89">
        <w:rPr>
          <w:szCs w:val="24"/>
        </w:rPr>
        <w:t>apklausus liudytoj</w:t>
      </w:r>
      <w:r w:rsidR="00243BBB" w:rsidRPr="00E76E89">
        <w:rPr>
          <w:szCs w:val="24"/>
        </w:rPr>
        <w:t>u</w:t>
      </w:r>
      <w:r w:rsidRPr="00E76E89">
        <w:rPr>
          <w:szCs w:val="24"/>
        </w:rPr>
        <w:t xml:space="preserve"> ir </w:t>
      </w:r>
      <w:r w:rsidR="00BD0126" w:rsidRPr="00E76E89">
        <w:rPr>
          <w:szCs w:val="24"/>
        </w:rPr>
        <w:t xml:space="preserve">jo </w:t>
      </w:r>
      <w:r w:rsidRPr="00E76E89">
        <w:rPr>
          <w:szCs w:val="24"/>
        </w:rPr>
        <w:t xml:space="preserve">neįspėjus apie teisę atsisakyti duoti parodymus, jo parodymais buvo galima remtis tik tiek, kiek tokie parodymai nepatvirtina jo kaltės. </w:t>
      </w:r>
    </w:p>
    <w:p w:rsidR="00380C56" w:rsidRPr="00E76E89" w:rsidRDefault="00380C56" w:rsidP="00321748">
      <w:pPr>
        <w:pStyle w:val="ListParagraph"/>
        <w:numPr>
          <w:ilvl w:val="1"/>
          <w:numId w:val="6"/>
        </w:numPr>
        <w:spacing w:before="120" w:after="120"/>
        <w:ind w:left="992" w:hanging="992"/>
        <w:contextualSpacing w:val="0"/>
        <w:rPr>
          <w:szCs w:val="24"/>
        </w:rPr>
      </w:pPr>
      <w:r w:rsidRPr="00E76E89">
        <w:rPr>
          <w:szCs w:val="24"/>
        </w:rPr>
        <w:t xml:space="preserve">Apeliaciniame skunde nurodoma, </w:t>
      </w:r>
      <w:r w:rsidR="00243BBB" w:rsidRPr="00E76E89">
        <w:rPr>
          <w:szCs w:val="24"/>
        </w:rPr>
        <w:t xml:space="preserve">kad </w:t>
      </w:r>
      <w:r w:rsidRPr="00E76E89">
        <w:rPr>
          <w:szCs w:val="24"/>
        </w:rPr>
        <w:t>teismas pažeidė teisingumo, teisėtumo ir asmenų lygybės prieš įstatymą principus. Vilniaus apygardos teismas dar 1999 m. rugpjūčio 23 d. (</w:t>
      </w:r>
      <w:r w:rsidR="000F1CE1" w:rsidRPr="00E76E89">
        <w:rPr>
          <w:szCs w:val="24"/>
        </w:rPr>
        <w:t>baudžiamoji byla</w:t>
      </w:r>
      <w:r w:rsidR="00BD0126" w:rsidRPr="00E76E89">
        <w:rPr>
          <w:szCs w:val="24"/>
        </w:rPr>
        <w:t xml:space="preserve"> </w:t>
      </w:r>
      <w:r w:rsidRPr="00E76E89">
        <w:rPr>
          <w:szCs w:val="24"/>
        </w:rPr>
        <w:t>Nr.</w:t>
      </w:r>
      <w:r w:rsidR="00BD0126" w:rsidRPr="00E76E89">
        <w:rPr>
          <w:szCs w:val="24"/>
        </w:rPr>
        <w:t> </w:t>
      </w:r>
      <w:r w:rsidRPr="00E76E89">
        <w:rPr>
          <w:szCs w:val="24"/>
        </w:rPr>
        <w:t>1-2/1999) nuteisė LKP</w:t>
      </w:r>
      <w:r w:rsidR="00F063FE" w:rsidRPr="00E76E89">
        <w:rPr>
          <w:szCs w:val="24"/>
        </w:rPr>
        <w:t> </w:t>
      </w:r>
      <w:r w:rsidRPr="00E76E89">
        <w:rPr>
          <w:szCs w:val="24"/>
        </w:rPr>
        <w:t>/</w:t>
      </w:r>
      <w:r w:rsidR="00F063FE" w:rsidRPr="00E76E89">
        <w:rPr>
          <w:szCs w:val="24"/>
        </w:rPr>
        <w:t> </w:t>
      </w:r>
      <w:r w:rsidRPr="00E76E89">
        <w:rPr>
          <w:szCs w:val="24"/>
        </w:rPr>
        <w:t xml:space="preserve">TSKP veikėjus </w:t>
      </w:r>
      <w:r w:rsidR="00C507EF" w:rsidRPr="00E76E89">
        <w:rPr>
          <w:szCs w:val="24"/>
        </w:rPr>
        <w:t>J. K.</w:t>
      </w:r>
      <w:r w:rsidRPr="00E76E89">
        <w:rPr>
          <w:szCs w:val="24"/>
        </w:rPr>
        <w:t xml:space="preserve">, </w:t>
      </w:r>
      <w:r w:rsidR="00C507EF" w:rsidRPr="00E76E89">
        <w:rPr>
          <w:szCs w:val="24"/>
        </w:rPr>
        <w:t>J. J.</w:t>
      </w:r>
      <w:r w:rsidRPr="00E76E89">
        <w:rPr>
          <w:szCs w:val="24"/>
        </w:rPr>
        <w:t xml:space="preserve"> ir </w:t>
      </w:r>
      <w:r w:rsidR="00C507EF" w:rsidRPr="00E76E89">
        <w:rPr>
          <w:szCs w:val="24"/>
        </w:rPr>
        <w:t>M. B.</w:t>
      </w:r>
      <w:r w:rsidRPr="00E76E89">
        <w:rPr>
          <w:szCs w:val="24"/>
        </w:rPr>
        <w:t xml:space="preserve"> dėl tų pačių faktinių aplinkybių, kai naktį iš</w:t>
      </w:r>
      <w:r w:rsidR="005B0434" w:rsidRPr="00E76E89">
        <w:rPr>
          <w:szCs w:val="24"/>
        </w:rPr>
        <w:t xml:space="preserve"> 1991 m.</w:t>
      </w:r>
      <w:r w:rsidRPr="00E76E89">
        <w:rPr>
          <w:szCs w:val="24"/>
        </w:rPr>
        <w:t xml:space="preserve"> sausio 12</w:t>
      </w:r>
      <w:r w:rsidR="005B0434" w:rsidRPr="00E76E89">
        <w:rPr>
          <w:szCs w:val="24"/>
        </w:rPr>
        <w:t>-osios</w:t>
      </w:r>
      <w:r w:rsidRPr="00E76E89">
        <w:rPr>
          <w:szCs w:val="24"/>
        </w:rPr>
        <w:t xml:space="preserve"> į 13</w:t>
      </w:r>
      <w:r w:rsidR="005B0434" w:rsidRPr="00E76E89">
        <w:rPr>
          <w:szCs w:val="24"/>
        </w:rPr>
        <w:t>-ąją</w:t>
      </w:r>
      <w:r w:rsidRPr="00E76E89">
        <w:rPr>
          <w:szCs w:val="24"/>
        </w:rPr>
        <w:t xml:space="preserve"> karinės operacijos metu žuvo bei buvo sužeisti civiliai. Pagal k</w:t>
      </w:r>
      <w:r w:rsidR="005B0434" w:rsidRPr="00E76E89">
        <w:rPr>
          <w:szCs w:val="24"/>
        </w:rPr>
        <w:t xml:space="preserve">altinimą šioje byloje būtent </w:t>
      </w:r>
      <w:r w:rsidR="00C507EF" w:rsidRPr="00E76E89">
        <w:rPr>
          <w:szCs w:val="24"/>
        </w:rPr>
        <w:t>M. B.</w:t>
      </w:r>
      <w:r w:rsidRPr="00E76E89">
        <w:rPr>
          <w:szCs w:val="24"/>
        </w:rPr>
        <w:t xml:space="preserve"> įtraukė </w:t>
      </w:r>
      <w:r w:rsidR="00385BC9" w:rsidRPr="00E76E89">
        <w:rPr>
          <w:szCs w:val="24"/>
        </w:rPr>
        <w:t xml:space="preserve">V. Š. 1 </w:t>
      </w:r>
      <w:r w:rsidRPr="00E76E89">
        <w:rPr>
          <w:szCs w:val="24"/>
        </w:rPr>
        <w:t>į mi</w:t>
      </w:r>
      <w:r w:rsidR="0043571F" w:rsidRPr="00E76E89">
        <w:rPr>
          <w:szCs w:val="24"/>
        </w:rPr>
        <w:t>nimą nusikalstamą darinį. Visgi</w:t>
      </w:r>
      <w:r w:rsidRPr="00E76E89">
        <w:rPr>
          <w:szCs w:val="24"/>
        </w:rPr>
        <w:t xml:space="preserve"> </w:t>
      </w:r>
      <w:r w:rsidR="00C507EF" w:rsidRPr="00E76E89">
        <w:rPr>
          <w:szCs w:val="24"/>
        </w:rPr>
        <w:t>M. B.</w:t>
      </w:r>
      <w:r w:rsidRPr="00E76E89">
        <w:rPr>
          <w:szCs w:val="24"/>
        </w:rPr>
        <w:t xml:space="preserve"> ir kiti asmenys ankstesnėje byloje buvo nuteisti ne dėl karo nusikaltimų ir nusikaltimų žmoniškumui, o dėl tyčinio nužudymo sunkinančiomis aplinkybėmis, tyčinio sunkaus, apysunkio, lengvo kūno sužalojimų. Gynybos įsitikinimu, jei teismas laikytų, kad </w:t>
      </w:r>
      <w:r w:rsidR="00385BC9" w:rsidRPr="00E76E89">
        <w:rPr>
          <w:szCs w:val="24"/>
        </w:rPr>
        <w:t>V. Š. 1</w:t>
      </w:r>
      <w:r w:rsidRPr="00E76E89">
        <w:rPr>
          <w:szCs w:val="24"/>
        </w:rPr>
        <w:t xml:space="preserve"> tam tikru būdu prisidėjo prie smurto prieš civilius, jo atsakomybei turi būti taikomos tos pačios </w:t>
      </w:r>
      <w:r w:rsidR="0042647B" w:rsidRPr="00E76E89">
        <w:rPr>
          <w:szCs w:val="24"/>
        </w:rPr>
        <w:t xml:space="preserve">baudžiamojo įstatymo </w:t>
      </w:r>
      <w:r w:rsidRPr="00E76E89">
        <w:rPr>
          <w:szCs w:val="24"/>
        </w:rPr>
        <w:t xml:space="preserve">normos kaip ir </w:t>
      </w:r>
      <w:r w:rsidR="00C507EF" w:rsidRPr="00E76E89">
        <w:rPr>
          <w:szCs w:val="24"/>
        </w:rPr>
        <w:t>M. B.</w:t>
      </w:r>
      <w:r w:rsidRPr="00E76E89">
        <w:rPr>
          <w:szCs w:val="24"/>
        </w:rPr>
        <w:t xml:space="preserve"> atveju. Tokiu atveju </w:t>
      </w:r>
      <w:r w:rsidR="00385BC9" w:rsidRPr="00E76E89">
        <w:rPr>
          <w:szCs w:val="24"/>
        </w:rPr>
        <w:t>V. Š. 1</w:t>
      </w:r>
      <w:r w:rsidRPr="00E76E89">
        <w:rPr>
          <w:szCs w:val="24"/>
        </w:rPr>
        <w:t xml:space="preserve"> atžvilgiu baudžiamoji byla turi būti nutraukta suėjus apkaltinamojo nuosprendžio priėmimo senaties terminui. Nepaaiškėjus naujoms faktinėms aplinkybėms, tų pačių veikų perkvalifikavimas į sunkesnius nusikaltimus, lyginant su nuteistaisiais kitoje byloje, pažeidžia teisingumo principą.</w:t>
      </w:r>
    </w:p>
    <w:p w:rsidR="00DB6CDA" w:rsidRPr="00E76E89" w:rsidRDefault="00380C56" w:rsidP="00321748">
      <w:pPr>
        <w:pStyle w:val="ListParagraph"/>
        <w:numPr>
          <w:ilvl w:val="1"/>
          <w:numId w:val="6"/>
        </w:numPr>
        <w:spacing w:before="120" w:after="120"/>
        <w:ind w:left="992" w:hanging="992"/>
        <w:contextualSpacing w:val="0"/>
        <w:rPr>
          <w:szCs w:val="24"/>
        </w:rPr>
      </w:pPr>
      <w:r w:rsidRPr="00E76E89">
        <w:rPr>
          <w:szCs w:val="24"/>
        </w:rPr>
        <w:t xml:space="preserve">Skundžiamu nuosprendžiu pažeistas ir </w:t>
      </w:r>
      <w:r w:rsidRPr="00E76E89">
        <w:rPr>
          <w:i/>
          <w:szCs w:val="24"/>
        </w:rPr>
        <w:t>nullum crimen sine lege</w:t>
      </w:r>
      <w:r w:rsidR="00406AE2" w:rsidRPr="00E76E89">
        <w:rPr>
          <w:i/>
          <w:szCs w:val="24"/>
        </w:rPr>
        <w:t xml:space="preserve"> </w:t>
      </w:r>
      <w:r w:rsidR="00406AE2" w:rsidRPr="00E76E89">
        <w:rPr>
          <w:szCs w:val="24"/>
        </w:rPr>
        <w:t>(nėra nusikaltimo be įstatymo)</w:t>
      </w:r>
      <w:r w:rsidRPr="00E76E89">
        <w:rPr>
          <w:i/>
          <w:szCs w:val="24"/>
        </w:rPr>
        <w:t xml:space="preserve"> </w:t>
      </w:r>
      <w:r w:rsidRPr="00E76E89">
        <w:rPr>
          <w:szCs w:val="24"/>
        </w:rPr>
        <w:t xml:space="preserve">principas, nes </w:t>
      </w:r>
      <w:r w:rsidR="0012467A" w:rsidRPr="00E76E89">
        <w:rPr>
          <w:szCs w:val="24"/>
        </w:rPr>
        <w:t>Romos statutas</w:t>
      </w:r>
      <w:r w:rsidRPr="00E76E89">
        <w:rPr>
          <w:szCs w:val="24"/>
        </w:rPr>
        <w:t xml:space="preserve"> netaikomas veikoms</w:t>
      </w:r>
      <w:r w:rsidR="000F3E9D" w:rsidRPr="00E76E89">
        <w:rPr>
          <w:szCs w:val="24"/>
        </w:rPr>
        <w:t>,</w:t>
      </w:r>
      <w:r w:rsidRPr="00E76E89">
        <w:rPr>
          <w:szCs w:val="24"/>
        </w:rPr>
        <w:t xml:space="preserve"> padarytoms iki jo priėmimo. Niekas negali būti nuteistasis už veiką, kuri jos padarymo metu nebuvo laikoma nusikaltimu, tačiau šio principo nepaisyta.</w:t>
      </w:r>
      <w:r w:rsidR="0081523B" w:rsidRPr="00E76E89">
        <w:rPr>
          <w:szCs w:val="24"/>
        </w:rPr>
        <w:t xml:space="preserve"> </w:t>
      </w:r>
    </w:p>
    <w:p w:rsidR="00057726" w:rsidRPr="00C00255" w:rsidRDefault="00DB6CDA" w:rsidP="00321748">
      <w:pPr>
        <w:pStyle w:val="ListParagraph"/>
        <w:numPr>
          <w:ilvl w:val="0"/>
          <w:numId w:val="6"/>
        </w:numPr>
        <w:spacing w:before="120" w:after="120"/>
        <w:ind w:left="992" w:hanging="992"/>
        <w:contextualSpacing w:val="0"/>
        <w:rPr>
          <w:szCs w:val="24"/>
        </w:rPr>
      </w:pPr>
      <w:bookmarkStart w:id="41" w:name="_Toc37947833"/>
      <w:bookmarkStart w:id="42" w:name="_Toc67677312"/>
      <w:bookmarkStart w:id="43" w:name="_Toc67985439"/>
      <w:r w:rsidRPr="008B4E58">
        <w:rPr>
          <w:b/>
        </w:rPr>
        <w:t xml:space="preserve">Nuteistojo </w:t>
      </w:r>
      <w:r w:rsidR="00385BC9" w:rsidRPr="008B4E58">
        <w:rPr>
          <w:b/>
        </w:rPr>
        <w:t>R. J. 1</w:t>
      </w:r>
      <w:r w:rsidRPr="008B4E58">
        <w:rPr>
          <w:b/>
        </w:rPr>
        <w:t xml:space="preserve"> gynėjas</w:t>
      </w:r>
      <w:bookmarkEnd w:id="41"/>
      <w:bookmarkEnd w:id="42"/>
      <w:bookmarkEnd w:id="43"/>
      <w:r w:rsidRPr="008B4E58">
        <w:rPr>
          <w:b/>
        </w:rPr>
        <w:t xml:space="preserve"> </w:t>
      </w:r>
      <w:r w:rsidRPr="008B4E58">
        <w:rPr>
          <w:b/>
          <w:szCs w:val="24"/>
        </w:rPr>
        <w:t>advokatas A</w:t>
      </w:r>
      <w:r w:rsidR="00380C56" w:rsidRPr="008B4E58">
        <w:rPr>
          <w:b/>
          <w:szCs w:val="24"/>
        </w:rPr>
        <w:t>. </w:t>
      </w:r>
      <w:r w:rsidRPr="008B4E58">
        <w:rPr>
          <w:b/>
          <w:szCs w:val="24"/>
        </w:rPr>
        <w:t>Palamarčuk</w:t>
      </w:r>
      <w:r w:rsidR="00000FAA" w:rsidRPr="008B4E58">
        <w:rPr>
          <w:b/>
          <w:szCs w:val="24"/>
        </w:rPr>
        <w:t>as</w:t>
      </w:r>
      <w:r w:rsidRPr="00C00255">
        <w:rPr>
          <w:szCs w:val="24"/>
        </w:rPr>
        <w:t xml:space="preserve"> apeliaciniu skundu prašo</w:t>
      </w:r>
      <w:r w:rsidR="00380C56" w:rsidRPr="00C00255">
        <w:rPr>
          <w:szCs w:val="24"/>
        </w:rPr>
        <w:t xml:space="preserve"> </w:t>
      </w:r>
      <w:r w:rsidR="00000FAA" w:rsidRPr="00C00255">
        <w:rPr>
          <w:szCs w:val="24"/>
        </w:rPr>
        <w:t xml:space="preserve">panaikinti pirmosios instancijos teismo nuosprendį </w:t>
      </w:r>
      <w:r w:rsidR="00380C56" w:rsidRPr="00C00255">
        <w:rPr>
          <w:szCs w:val="24"/>
        </w:rPr>
        <w:t>ir dėl jo ginamojo p</w:t>
      </w:r>
      <w:r w:rsidR="00057726" w:rsidRPr="00C00255">
        <w:rPr>
          <w:szCs w:val="24"/>
        </w:rPr>
        <w:t>riimti išteisinamąjį nuosprendį.</w:t>
      </w:r>
      <w:r w:rsidR="00380C56" w:rsidRPr="00C00255">
        <w:rPr>
          <w:szCs w:val="24"/>
        </w:rPr>
        <w:t xml:space="preserve"> </w:t>
      </w:r>
    </w:p>
    <w:p w:rsidR="00380C56" w:rsidRPr="00E76E89" w:rsidRDefault="00057726" w:rsidP="00321748">
      <w:pPr>
        <w:pStyle w:val="ListParagraph"/>
        <w:numPr>
          <w:ilvl w:val="1"/>
          <w:numId w:val="6"/>
        </w:numPr>
        <w:spacing w:before="120" w:after="120"/>
        <w:ind w:left="992" w:hanging="992"/>
        <w:contextualSpacing w:val="0"/>
        <w:rPr>
          <w:szCs w:val="24"/>
        </w:rPr>
      </w:pPr>
      <w:r w:rsidRPr="00E76E89">
        <w:rPr>
          <w:szCs w:val="24"/>
        </w:rPr>
        <w:t>Apelianto įsitikinimu, byloje</w:t>
      </w:r>
      <w:r w:rsidR="00380C56" w:rsidRPr="00E76E89">
        <w:rPr>
          <w:szCs w:val="24"/>
        </w:rPr>
        <w:t xml:space="preserve"> nėra įrodyta, </w:t>
      </w:r>
      <w:r w:rsidR="00243BBB" w:rsidRPr="00E76E89">
        <w:rPr>
          <w:szCs w:val="24"/>
        </w:rPr>
        <w:t xml:space="preserve">kad </w:t>
      </w:r>
      <w:r w:rsidR="00385BC9" w:rsidRPr="00E76E89">
        <w:rPr>
          <w:szCs w:val="24"/>
        </w:rPr>
        <w:t>R. J. 1</w:t>
      </w:r>
      <w:r w:rsidR="00380C56" w:rsidRPr="00E76E89">
        <w:rPr>
          <w:szCs w:val="24"/>
        </w:rPr>
        <w:t xml:space="preserve"> dalyvavo atliekant veiksmus, dėl kurių jis pripažintas kaltu skundžiamu pirmosios instancijos teismo nuosprendžiu. Nuteistojo gynėjo teigimu, byloje nėra nei tiesioginių, nei netiesiogini</w:t>
      </w:r>
      <w:r w:rsidRPr="00E76E89">
        <w:rPr>
          <w:szCs w:val="24"/>
        </w:rPr>
        <w:t xml:space="preserve">ų įrodymų, kurie patvirtintų </w:t>
      </w:r>
      <w:r w:rsidR="00385BC9" w:rsidRPr="00E76E89">
        <w:rPr>
          <w:szCs w:val="24"/>
        </w:rPr>
        <w:t>R. J. 1</w:t>
      </w:r>
      <w:r w:rsidR="00380C56" w:rsidRPr="00E76E89">
        <w:rPr>
          <w:szCs w:val="24"/>
        </w:rPr>
        <w:t xml:space="preserve"> dalyvavimą planuojant karines operacijas, parenkant planuojamus užgrobti objektus, </w:t>
      </w:r>
      <w:r w:rsidR="00380C56" w:rsidRPr="00E76E89">
        <w:rPr>
          <w:szCs w:val="24"/>
        </w:rPr>
        <w:lastRenderedPageBreak/>
        <w:t xml:space="preserve">rengiant užgrobimo planus bei paskiriant atsakingus asmenis. Taip pat byloje nėra nustatyta, kad </w:t>
      </w:r>
      <w:r w:rsidR="00385BC9" w:rsidRPr="00E76E89">
        <w:rPr>
          <w:szCs w:val="24"/>
        </w:rPr>
        <w:t>R. J. 1</w:t>
      </w:r>
      <w:r w:rsidR="00380C56" w:rsidRPr="00E76E89">
        <w:rPr>
          <w:szCs w:val="24"/>
        </w:rPr>
        <w:t xml:space="preserve"> tarėsi su TSRS jėgos struktūromis dėl taikytinų priemonių, įvedant prezidentinį valdymą bei ypatingosios padėties režimą. Byloje surinkti įrodymai nepatvirtina ir </w:t>
      </w:r>
      <w:r w:rsidR="00385BC9" w:rsidRPr="00E76E89">
        <w:rPr>
          <w:szCs w:val="24"/>
        </w:rPr>
        <w:t>R. J. 1</w:t>
      </w:r>
      <w:r w:rsidR="00380C56" w:rsidRPr="00E76E89">
        <w:rPr>
          <w:szCs w:val="24"/>
        </w:rPr>
        <w:t xml:space="preserve"> pareikštų kaltinimų dėl dalyvavimo kuriant darbininkų draugoves bei vadovavimo draugovininkų veiksmams, šturmuojant </w:t>
      </w:r>
      <w:r w:rsidR="007403E5" w:rsidRPr="00E76E89">
        <w:rPr>
          <w:szCs w:val="24"/>
        </w:rPr>
        <w:t>LRT</w:t>
      </w:r>
      <w:r w:rsidR="00380C56" w:rsidRPr="00E76E89">
        <w:rPr>
          <w:szCs w:val="24"/>
        </w:rPr>
        <w:t xml:space="preserve"> pastatus.</w:t>
      </w:r>
    </w:p>
    <w:p w:rsidR="00380C56" w:rsidRPr="00C00255" w:rsidRDefault="00380C56"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konstatavus, jog 1991 m. sausio 13 d. apie 1.30 val. </w:t>
      </w:r>
      <w:r w:rsidR="00385BC9" w:rsidRPr="00E76E89">
        <w:rPr>
          <w:szCs w:val="24"/>
        </w:rPr>
        <w:t>R. J. 1</w:t>
      </w:r>
      <w:r w:rsidRPr="00E76E89">
        <w:rPr>
          <w:szCs w:val="24"/>
        </w:rPr>
        <w:t xml:space="preserve"> kartu su draugovininkais, pasibaigus kariškių veiksmams, išsirikiavo prieš </w:t>
      </w:r>
      <w:r w:rsidR="007403E5" w:rsidRPr="00E76E89">
        <w:rPr>
          <w:szCs w:val="24"/>
        </w:rPr>
        <w:t>LRT</w:t>
      </w:r>
      <w:r w:rsidRPr="00E76E89">
        <w:rPr>
          <w:szCs w:val="24"/>
        </w:rPr>
        <w:t xml:space="preserve"> pastatus, nebuvo nustatyta, kad nuteistasis būtų naudojęs kokius nors smurtinius veiksmus ar būtų nurodęs kitiems asmenims imtis tokių veiksmų</w:t>
      </w:r>
      <w:r w:rsidRPr="00C00255">
        <w:rPr>
          <w:szCs w:val="24"/>
        </w:rPr>
        <w:t>.</w:t>
      </w:r>
    </w:p>
    <w:p w:rsidR="00000FAA" w:rsidRPr="00C00255" w:rsidRDefault="00000FAA" w:rsidP="00321748">
      <w:pPr>
        <w:pStyle w:val="ListParagraph"/>
        <w:numPr>
          <w:ilvl w:val="0"/>
          <w:numId w:val="6"/>
        </w:numPr>
        <w:spacing w:before="120" w:after="120"/>
        <w:ind w:left="992" w:hanging="992"/>
        <w:contextualSpacing w:val="0"/>
        <w:rPr>
          <w:szCs w:val="24"/>
        </w:rPr>
      </w:pPr>
      <w:bookmarkStart w:id="44" w:name="_Toc37947834"/>
      <w:bookmarkStart w:id="45" w:name="_Toc67677313"/>
      <w:bookmarkStart w:id="46" w:name="_Toc67985440"/>
      <w:r w:rsidRPr="008B4E58">
        <w:rPr>
          <w:b/>
        </w:rPr>
        <w:t xml:space="preserve">Nuteistojo </w:t>
      </w:r>
      <w:r w:rsidR="00385BC9" w:rsidRPr="008B4E58">
        <w:rPr>
          <w:b/>
        </w:rPr>
        <w:t>D. J.</w:t>
      </w:r>
      <w:r w:rsidRPr="008B4E58">
        <w:rPr>
          <w:b/>
        </w:rPr>
        <w:t xml:space="preserve"> gynėjas</w:t>
      </w:r>
      <w:bookmarkEnd w:id="44"/>
      <w:bookmarkEnd w:id="45"/>
      <w:bookmarkEnd w:id="46"/>
      <w:r w:rsidRPr="00C00255">
        <w:rPr>
          <w:rStyle w:val="Heading1Char"/>
          <w:sz w:val="24"/>
          <w:szCs w:val="24"/>
        </w:rPr>
        <w:t xml:space="preserve"> </w:t>
      </w:r>
      <w:r w:rsidRPr="00C00255">
        <w:rPr>
          <w:b/>
          <w:szCs w:val="24"/>
        </w:rPr>
        <w:t>advokatas V. Giriūnas</w:t>
      </w:r>
      <w:r w:rsidRPr="00C00255">
        <w:rPr>
          <w:szCs w:val="24"/>
        </w:rPr>
        <w:t xml:space="preserve"> apeliaciniu skundu prašo pirmosios instancijos teismo nuosprendį panaikinti, nuteistojo veiksmus perkvalifikuoti pagal 1961 m</w:t>
      </w:r>
      <w:r w:rsidR="002C298B" w:rsidRPr="00C00255">
        <w:rPr>
          <w:szCs w:val="24"/>
        </w:rPr>
        <w:t>. BK nuostatas</w:t>
      </w:r>
      <w:r w:rsidRPr="00C00255">
        <w:rPr>
          <w:szCs w:val="24"/>
        </w:rPr>
        <w:t xml:space="preserve"> ir baudžiamąją bylą nutraukti, suėjus apkaltinamojo nuosprendžio priėmimo senaties terminams.</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Anot gynėjo, byloje galimai buvo pažeistas </w:t>
      </w:r>
      <w:r w:rsidRPr="00E76E89">
        <w:rPr>
          <w:i/>
          <w:szCs w:val="24"/>
        </w:rPr>
        <w:t xml:space="preserve">nullum crimen sine lege </w:t>
      </w:r>
      <w:r w:rsidRPr="00E76E89">
        <w:rPr>
          <w:szCs w:val="24"/>
        </w:rPr>
        <w:t xml:space="preserve">principas bei </w:t>
      </w:r>
      <w:r w:rsidR="00132FF8" w:rsidRPr="00E76E89">
        <w:rPr>
          <w:szCs w:val="24"/>
        </w:rPr>
        <w:t xml:space="preserve">Europos žmogaus teisių ir pagrindinių laisvių apsaugos konvencijos (toliau – ir </w:t>
      </w:r>
      <w:r w:rsidR="00491A27" w:rsidRPr="00E76E89">
        <w:rPr>
          <w:szCs w:val="24"/>
        </w:rPr>
        <w:t>EŽTK</w:t>
      </w:r>
      <w:r w:rsidR="00132FF8" w:rsidRPr="00E76E89">
        <w:rPr>
          <w:szCs w:val="24"/>
        </w:rPr>
        <w:t>)</w:t>
      </w:r>
      <w:r w:rsidR="00B129A2" w:rsidRPr="00E76E89">
        <w:rPr>
          <w:szCs w:val="24"/>
        </w:rPr>
        <w:t> </w:t>
      </w:r>
      <w:r w:rsidRPr="00E76E89">
        <w:rPr>
          <w:szCs w:val="24"/>
        </w:rPr>
        <w:t xml:space="preserve">7 straipsnis, kadangi </w:t>
      </w:r>
      <w:r w:rsidR="00385BC9" w:rsidRPr="00E76E89">
        <w:rPr>
          <w:szCs w:val="24"/>
        </w:rPr>
        <w:t>D. J.</w:t>
      </w:r>
      <w:r w:rsidRPr="00E76E89">
        <w:rPr>
          <w:szCs w:val="24"/>
        </w:rPr>
        <w:t xml:space="preserve"> inkriminuoti nusikaltimai buvo padaryti anksčiau</w:t>
      </w:r>
      <w:r w:rsidR="003C588E" w:rsidRPr="00E76E89">
        <w:rPr>
          <w:szCs w:val="24"/>
        </w:rPr>
        <w:t>,</w:t>
      </w:r>
      <w:r w:rsidRPr="00E76E89">
        <w:rPr>
          <w:szCs w:val="24"/>
        </w:rPr>
        <w:t xml:space="preserve"> nei įsigaliojo BK straipsniai, pagal kuriuos jis yra nuteistas. Nuo 2011</w:t>
      </w:r>
      <w:r w:rsidR="003C588E" w:rsidRPr="00E76E89">
        <w:rPr>
          <w:szCs w:val="24"/>
        </w:rPr>
        <w:t> </w:t>
      </w:r>
      <w:r w:rsidRPr="00E76E89">
        <w:rPr>
          <w:szCs w:val="24"/>
        </w:rPr>
        <w:t>m</w:t>
      </w:r>
      <w:r w:rsidR="00491A27" w:rsidRPr="00E76E89">
        <w:rPr>
          <w:szCs w:val="24"/>
        </w:rPr>
        <w:t>.</w:t>
      </w:r>
      <w:r w:rsidR="00B129A2" w:rsidRPr="00E76E89">
        <w:rPr>
          <w:szCs w:val="24"/>
        </w:rPr>
        <w:t xml:space="preserve"> galiojančios BK </w:t>
      </w:r>
      <w:r w:rsidRPr="00E76E89">
        <w:rPr>
          <w:szCs w:val="24"/>
        </w:rPr>
        <w:t>normos nėra blanketinės, jos turi specifinę reikšm</w:t>
      </w:r>
      <w:r w:rsidR="003C588E" w:rsidRPr="00E76E89">
        <w:rPr>
          <w:szCs w:val="24"/>
        </w:rPr>
        <w:t>ę</w:t>
      </w:r>
      <w:r w:rsidRPr="00E76E89">
        <w:rPr>
          <w:szCs w:val="24"/>
        </w:rPr>
        <w:t>, kuri nacionalinėje teisėje nėra apibrėžta arba apibrėžta nepakankamai. Šios BK normos, jose įtvirtintų teisinių sąvokų turinys turėtų būti aiškinam</w:t>
      </w:r>
      <w:r w:rsidR="003C588E" w:rsidRPr="00E76E89">
        <w:rPr>
          <w:szCs w:val="24"/>
        </w:rPr>
        <w:t>i</w:t>
      </w:r>
      <w:r w:rsidRPr="00E76E89">
        <w:rPr>
          <w:szCs w:val="24"/>
        </w:rPr>
        <w:t xml:space="preserve"> pagal tarptautinės teisės aktų nuostatas, o prireikus ir pagal tarptautinių bei kitų teismų praktiką</w:t>
      </w:r>
      <w:r w:rsidRPr="00E76E89">
        <w:rPr>
          <w:i/>
          <w:szCs w:val="24"/>
        </w:rPr>
        <w:t xml:space="preserve">.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Apeliaciniame skunde cituojamos </w:t>
      </w:r>
      <w:r w:rsidR="00491A27" w:rsidRPr="00E76E89">
        <w:rPr>
          <w:szCs w:val="24"/>
        </w:rPr>
        <w:t>EŽTK</w:t>
      </w:r>
      <w:r w:rsidRPr="00E76E89">
        <w:rPr>
          <w:szCs w:val="24"/>
        </w:rPr>
        <w:t xml:space="preserve"> nuostatos, aptariama Konstitucinio Teismo praktika, susijusi su baudžiamojo įstatymo </w:t>
      </w:r>
      <w:r w:rsidR="00607189" w:rsidRPr="00E76E89">
        <w:rPr>
          <w:szCs w:val="24"/>
          <w:lang w:eastAsia="lt-LT"/>
        </w:rPr>
        <w:t>galiojimu</w:t>
      </w:r>
      <w:r w:rsidR="00B129A2" w:rsidRPr="00E76E89">
        <w:rPr>
          <w:szCs w:val="24"/>
          <w:lang w:eastAsia="lt-LT"/>
        </w:rPr>
        <w:t xml:space="preserve"> atgal ir nurodoma, kad 1991 m. </w:t>
      </w:r>
      <w:r w:rsidR="00607189" w:rsidRPr="00E76E89">
        <w:rPr>
          <w:szCs w:val="24"/>
          <w:lang w:eastAsia="lt-LT"/>
        </w:rPr>
        <w:t>Lietuvos baudžiamajame įstatyme nebuvo įtvirtinta straipsnių, kuriais nustatoma baudžiamoji atsakomybė už karo nusikaltimus ir nusikaltimus žmoniškumui, o iki 1998 m. nebuvo ir BK 3 straipsnio 3 dalies normos dėl baudžiamojo įstatymo grįžtamosios galios taikymo išimties. Romos statutas, kuriuo nustatoma TBT jurisdikcija, Lietuvoje buvo ratifikuotas 2003 m. balandžio 1 d., tačiau jame taip pat buvo įtvirtintas baudžiamosios atsakomybės galiojimo atgal draudimas. Gynėjo vertinim</w:t>
      </w:r>
      <w:r w:rsidR="00B129A2" w:rsidRPr="00E76E89">
        <w:rPr>
          <w:szCs w:val="24"/>
          <w:lang w:eastAsia="lt-LT"/>
        </w:rPr>
        <w:t>u, nuteistajam inkriminuotus BK </w:t>
      </w:r>
      <w:r w:rsidR="00607189" w:rsidRPr="00E76E89">
        <w:rPr>
          <w:szCs w:val="24"/>
          <w:lang w:eastAsia="lt-LT"/>
        </w:rPr>
        <w:t>straipsnius taikant atgaline</w:t>
      </w:r>
      <w:r w:rsidRPr="00E76E89">
        <w:rPr>
          <w:szCs w:val="24"/>
        </w:rPr>
        <w:t xml:space="preserve"> data yra pažeidžiamos tarptautinės teisės normos, žmogaus teisės bei nekaltumo prezumpcijos principas.</w:t>
      </w:r>
    </w:p>
    <w:p w:rsidR="00DB6CD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Apeliaciniame skunde taip pat teigiama, kad galimai buvo pažeista </w:t>
      </w:r>
      <w:r w:rsidR="00491A27" w:rsidRPr="00E76E89">
        <w:rPr>
          <w:szCs w:val="24"/>
        </w:rPr>
        <w:t>EŽTK</w:t>
      </w:r>
      <w:r w:rsidRPr="00E76E89">
        <w:rPr>
          <w:szCs w:val="24"/>
        </w:rPr>
        <w:t xml:space="preserve"> 6 straipsnio 1</w:t>
      </w:r>
      <w:r w:rsidR="00F063FE" w:rsidRPr="00E76E89">
        <w:rPr>
          <w:szCs w:val="24"/>
        </w:rPr>
        <w:t> </w:t>
      </w:r>
      <w:r w:rsidRPr="00E76E89">
        <w:rPr>
          <w:szCs w:val="24"/>
        </w:rPr>
        <w:t>dalis, tačiau nenurodoma išsamesnių argumentų, kuo pažeidimas pasireiškė nagrinėjamoje byloje.</w:t>
      </w:r>
    </w:p>
    <w:p w:rsidR="008B4E58" w:rsidRPr="00C00255" w:rsidRDefault="008B4E58" w:rsidP="008B4E58">
      <w:pPr>
        <w:pStyle w:val="ListParagraph"/>
        <w:numPr>
          <w:ilvl w:val="0"/>
          <w:numId w:val="6"/>
        </w:numPr>
        <w:ind w:left="992" w:hanging="992"/>
        <w:contextualSpacing w:val="0"/>
      </w:pPr>
      <w:r w:rsidRPr="00F27AEE">
        <w:rPr>
          <w:b/>
        </w:rPr>
        <w:t>Nuteistojo M. G. gynėjas advokatas R. Burda</w:t>
      </w:r>
      <w:r w:rsidRPr="00F27AEE">
        <w:t xml:space="preserve"> apeliaciniu skundu prašo panaikinti pirmosios instancijos teismo nuosprendį ir jo ginamąjį išteisinti. Taip pat skundu prašoma kreiptis į Konstitucinį Teismą, siekiant įvertinti BK 3 straipsnio 3 dalies nuostatų atitiktį Konstitucijai.</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Gynybos teigimu, skundžiamas nuosprendis yra nekonkretus ir netikslus. Nuteistasis ir jo gynėjas </w:t>
      </w:r>
      <w:r w:rsidR="00BD0126" w:rsidRPr="00E76E89">
        <w:rPr>
          <w:szCs w:val="24"/>
        </w:rPr>
        <w:t xml:space="preserve">yra </w:t>
      </w:r>
      <w:r w:rsidRPr="00E76E89">
        <w:rPr>
          <w:szCs w:val="24"/>
        </w:rPr>
        <w:t>priversti spėlioti, kurios nuosprendyje aprašytos nusikalstamos veikos aplinkybės priskirtinos vienai ar kitai BK straipsnio nuostatai. Nuosprendžio turinys pažeidžia nuteistojo teisę suprasti</w:t>
      </w:r>
      <w:r w:rsidR="003C588E" w:rsidRPr="00E76E89">
        <w:rPr>
          <w:szCs w:val="24"/>
        </w:rPr>
        <w:t>,</w:t>
      </w:r>
      <w:r w:rsidRPr="00E76E89">
        <w:rPr>
          <w:szCs w:val="24"/>
        </w:rPr>
        <w:t xml:space="preserve"> dėl kokių konkrečių jo veikų atsirado žala BK ginamoms vertybėms. Toks kaltinimas prieštarauja teisingumo principui ir turėjo būti atmestas kaip neatitinkantis BPK reikalavimų.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Apeliaciniame skunde nurodoma, </w:t>
      </w:r>
      <w:r w:rsidR="00DB7E07" w:rsidRPr="00E76E89">
        <w:rPr>
          <w:szCs w:val="24"/>
        </w:rPr>
        <w:t xml:space="preserve">kad </w:t>
      </w:r>
      <w:r w:rsidRPr="00E76E89">
        <w:rPr>
          <w:szCs w:val="24"/>
        </w:rPr>
        <w:t>teismas neįrodė n</w:t>
      </w:r>
      <w:r w:rsidR="003C588E" w:rsidRPr="00E76E89">
        <w:rPr>
          <w:szCs w:val="24"/>
        </w:rPr>
        <w:t>ė</w:t>
      </w:r>
      <w:r w:rsidRPr="00E76E89">
        <w:rPr>
          <w:szCs w:val="24"/>
        </w:rPr>
        <w:t xml:space="preserve"> vieno TSRS VSK specialiosios grupės viršininko pavaduotoj</w:t>
      </w:r>
      <w:r w:rsidR="00DE3B19" w:rsidRPr="00E76E89">
        <w:rPr>
          <w:szCs w:val="24"/>
        </w:rPr>
        <w:t>ui papulkinink</w:t>
      </w:r>
      <w:r w:rsidR="005F5803" w:rsidRPr="00E76E89">
        <w:rPr>
          <w:szCs w:val="24"/>
        </w:rPr>
        <w:t>i</w:t>
      </w:r>
      <w:r w:rsidR="00DE3B19" w:rsidRPr="00E76E89">
        <w:rPr>
          <w:szCs w:val="24"/>
        </w:rPr>
        <w:t>ui ir grupės „A</w:t>
      </w:r>
      <w:r w:rsidRPr="00E76E89">
        <w:rPr>
          <w:szCs w:val="24"/>
        </w:rPr>
        <w:t xml:space="preserve">“ nariui </w:t>
      </w:r>
      <w:r w:rsidR="00385BC9" w:rsidRPr="00E76E89">
        <w:rPr>
          <w:szCs w:val="24"/>
        </w:rPr>
        <w:t>M. G.</w:t>
      </w:r>
      <w:r w:rsidRPr="00E76E89">
        <w:rPr>
          <w:szCs w:val="24"/>
        </w:rPr>
        <w:t xml:space="preserve"> inkriminuoto </w:t>
      </w:r>
      <w:r w:rsidRPr="00E76E89">
        <w:rPr>
          <w:szCs w:val="24"/>
        </w:rPr>
        <w:lastRenderedPageBreak/>
        <w:t>BK 100 straipsnyje numatyto nusikaltimo požymio. Gynėjo įsitikinimu, teismas nenustatė civilių užpuldinėjimo požymių, nes nuosprendyje nėra duomenų, kad vyko jų užpuldinėjimas siekiant juos sistemingai ir masi</w:t>
      </w:r>
      <w:r w:rsidR="00DE3B19" w:rsidRPr="00E76E89">
        <w:rPr>
          <w:szCs w:val="24"/>
        </w:rPr>
        <w:t xml:space="preserve">škai naikinti. Vertindamas </w:t>
      </w:r>
      <w:r w:rsidR="00E52EE3" w:rsidRPr="00E76E89">
        <w:rPr>
          <w:szCs w:val="24"/>
        </w:rPr>
        <w:t xml:space="preserve">grupės </w:t>
      </w:r>
      <w:r w:rsidR="00DE3B19" w:rsidRPr="00E76E89">
        <w:rPr>
          <w:szCs w:val="24"/>
        </w:rPr>
        <w:t>„A</w:t>
      </w:r>
      <w:r w:rsidRPr="00E76E89">
        <w:rPr>
          <w:szCs w:val="24"/>
        </w:rPr>
        <w:t>“ karininkų veiksmus, teismas neįvardija n</w:t>
      </w:r>
      <w:r w:rsidR="003C588E" w:rsidRPr="00E76E89">
        <w:rPr>
          <w:szCs w:val="24"/>
        </w:rPr>
        <w:t>ė</w:t>
      </w:r>
      <w:r w:rsidRPr="00E76E89">
        <w:rPr>
          <w:szCs w:val="24"/>
        </w:rPr>
        <w:t xml:space="preserve"> vieno minėtos veikos sistemingumo ar masiškumo požymio. Jugoslavijos</w:t>
      </w:r>
      <w:r w:rsidR="0049485C" w:rsidRPr="00E76E89">
        <w:rPr>
          <w:szCs w:val="24"/>
        </w:rPr>
        <w:t xml:space="preserve"> tarptautinio karo</w:t>
      </w:r>
      <w:r w:rsidRPr="00E76E89">
        <w:rPr>
          <w:szCs w:val="24"/>
        </w:rPr>
        <w:t xml:space="preserve"> tribunolo kolegija byloje </w:t>
      </w:r>
      <w:r w:rsidRPr="00E76E89">
        <w:rPr>
          <w:i/>
          <w:szCs w:val="24"/>
        </w:rPr>
        <w:t>Tadič</w:t>
      </w:r>
      <w:r w:rsidRPr="00E76E89">
        <w:rPr>
          <w:szCs w:val="24"/>
        </w:rPr>
        <w:t xml:space="preserve"> konstatavo, </w:t>
      </w:r>
      <w:r w:rsidR="00DB7E07" w:rsidRPr="00E76E89">
        <w:rPr>
          <w:szCs w:val="24"/>
        </w:rPr>
        <w:t xml:space="preserve">kad </w:t>
      </w:r>
      <w:r w:rsidRPr="00E76E89">
        <w:rPr>
          <w:szCs w:val="24"/>
        </w:rPr>
        <w:t xml:space="preserve">tokie veiksmai turi būti paplitusių ir sistemingų puolimų prieš civilius, kaip bendruomeninį subjektą, dalis. Tačiau teismas neįrodė, kad nuteistojo </w:t>
      </w:r>
      <w:r w:rsidR="00385BC9" w:rsidRPr="00E76E89">
        <w:rPr>
          <w:szCs w:val="24"/>
        </w:rPr>
        <w:t>M. G.</w:t>
      </w:r>
      <w:r w:rsidRPr="00E76E89">
        <w:rPr>
          <w:szCs w:val="24"/>
        </w:rPr>
        <w:t xml:space="preserve"> veiksmai buvo nukreipti prieš bet kokius civilius, taip pat</w:t>
      </w:r>
      <w:r w:rsidR="003C588E" w:rsidRPr="00E76E89">
        <w:rPr>
          <w:szCs w:val="24"/>
        </w:rPr>
        <w:t xml:space="preserve"> tai</w:t>
      </w:r>
      <w:r w:rsidRPr="00E76E89">
        <w:rPr>
          <w:szCs w:val="24"/>
        </w:rPr>
        <w:t>, jog jis suvokė, kad jo veiksmai yra bendro civil</w:t>
      </w:r>
      <w:r w:rsidR="00DE3B19" w:rsidRPr="00E76E89">
        <w:rPr>
          <w:szCs w:val="24"/>
        </w:rPr>
        <w:t>ių užpuolimo dalis. Grupės „A</w:t>
      </w:r>
      <w:r w:rsidRPr="00E76E89">
        <w:rPr>
          <w:szCs w:val="24"/>
        </w:rPr>
        <w:t>“ karininkai užėmė pastatus, o ne „civilius žmones“</w:t>
      </w:r>
      <w:r w:rsidR="00F063FE" w:rsidRPr="00E76E89">
        <w:rPr>
          <w:szCs w:val="24"/>
        </w:rPr>
        <w:t>,</w:t>
      </w:r>
      <w:r w:rsidRPr="00E76E89">
        <w:rPr>
          <w:szCs w:val="24"/>
        </w:rPr>
        <w:t xml:space="preserve"> ir n</w:t>
      </w:r>
      <w:r w:rsidR="00447B63" w:rsidRPr="00E76E89">
        <w:rPr>
          <w:szCs w:val="24"/>
        </w:rPr>
        <w:t>ė</w:t>
      </w:r>
      <w:r w:rsidRPr="00E76E89">
        <w:rPr>
          <w:szCs w:val="24"/>
        </w:rPr>
        <w:t xml:space="preserve"> vienas asmuo, kuris buvo pašalintas iš pastato, nebuvo nužudytas, įkalintas, išprievartautas ar prieš jį padaryta kita nusikalstama veika. Neįrodžius minėtų požymių nuteistajam negalėjo būti inkriminuotas BK 100 straipsnis.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Dėl BK 101 straipsnyje numatyto nusikaltimo apeliantas pažymi, </w:t>
      </w:r>
      <w:r w:rsidR="00DB7E07" w:rsidRPr="00E76E89">
        <w:rPr>
          <w:szCs w:val="24"/>
        </w:rPr>
        <w:t xml:space="preserve">kad </w:t>
      </w:r>
      <w:r w:rsidRPr="00E76E89">
        <w:rPr>
          <w:szCs w:val="24"/>
        </w:rPr>
        <w:t>teismas neištyrė agresijos objektyviųjų požymių, nenustatė jos organizatorių ir vykdytojų. Nenustačius asmens, kuris sukėlė agresiją</w:t>
      </w:r>
      <w:r w:rsidR="003C588E" w:rsidRPr="00E76E89">
        <w:rPr>
          <w:szCs w:val="24"/>
        </w:rPr>
        <w:t>,</w:t>
      </w:r>
      <w:r w:rsidRPr="00E76E89">
        <w:rPr>
          <w:szCs w:val="24"/>
        </w:rPr>
        <w:t xml:space="preserve"> ir kuo ši pasireiškė, nusikaltimas žmoniškumui, kurio sudėtyje yra agresijos požymis, negali būti inkriminuotas. Gynėjo teigimu, teismas inkriminavo „agresijos“ požymį, kurio nebuvo n</w:t>
      </w:r>
      <w:r w:rsidR="00105516" w:rsidRPr="00E76E89">
        <w:rPr>
          <w:szCs w:val="24"/>
        </w:rPr>
        <w:t>ė</w:t>
      </w:r>
      <w:r w:rsidRPr="00E76E89">
        <w:rPr>
          <w:szCs w:val="24"/>
        </w:rPr>
        <w:t xml:space="preserve"> viename iki 2011 m. BK galiojusiame straipsnyje dėl civilių žudymo. Teismas šį požymį nuosprendyje nurodo 6 kartus, kaskart </w:t>
      </w:r>
      <w:r w:rsidR="00447B63" w:rsidRPr="00E76E89">
        <w:rPr>
          <w:szCs w:val="24"/>
        </w:rPr>
        <w:t>vartodamas</w:t>
      </w:r>
      <w:r w:rsidRPr="00E76E89">
        <w:rPr>
          <w:szCs w:val="24"/>
        </w:rPr>
        <w:t xml:space="preserve"> vis kitok</w:t>
      </w:r>
      <w:r w:rsidR="00105516" w:rsidRPr="00E76E89">
        <w:rPr>
          <w:szCs w:val="24"/>
        </w:rPr>
        <w:t>ią</w:t>
      </w:r>
      <w:r w:rsidRPr="00E76E89">
        <w:rPr>
          <w:szCs w:val="24"/>
        </w:rPr>
        <w:t xml:space="preserve"> jo apibrėž</w:t>
      </w:r>
      <w:r w:rsidR="00105516" w:rsidRPr="00E76E89">
        <w:rPr>
          <w:szCs w:val="24"/>
        </w:rPr>
        <w:t>tį</w:t>
      </w:r>
      <w:r w:rsidRPr="00E76E89">
        <w:rPr>
          <w:szCs w:val="24"/>
        </w:rPr>
        <w:t xml:space="preserve"> (pvz.</w:t>
      </w:r>
      <w:r w:rsidR="00105516" w:rsidRPr="00E76E89">
        <w:rPr>
          <w:szCs w:val="24"/>
        </w:rPr>
        <w:t>,</w:t>
      </w:r>
      <w:r w:rsidRPr="00E76E89">
        <w:rPr>
          <w:szCs w:val="24"/>
        </w:rPr>
        <w:t xml:space="preserve"> karinė agresija, tęstinė agresija), o šį žodį paminėjo tik keli teismo posėdyje apklausti liudytojai – A. S</w:t>
      </w:r>
      <w:r w:rsidR="00FF347B" w:rsidRPr="00E76E89">
        <w:rPr>
          <w:szCs w:val="24"/>
        </w:rPr>
        <w:t>.</w:t>
      </w:r>
      <w:r w:rsidRPr="00E76E89">
        <w:rPr>
          <w:szCs w:val="24"/>
        </w:rPr>
        <w:t>, A. A</w:t>
      </w:r>
      <w:r w:rsidR="00FF347B" w:rsidRPr="00E76E89">
        <w:rPr>
          <w:szCs w:val="24"/>
        </w:rPr>
        <w:t>.</w:t>
      </w:r>
      <w:r w:rsidR="00DD1A27" w:rsidRPr="00E76E89">
        <w:rPr>
          <w:szCs w:val="24"/>
        </w:rPr>
        <w:t>, J. </w:t>
      </w:r>
      <w:r w:rsidRPr="00E76E89">
        <w:rPr>
          <w:szCs w:val="24"/>
        </w:rPr>
        <w:t>O</w:t>
      </w:r>
      <w:r w:rsidR="00DD1A27" w:rsidRPr="00E76E89">
        <w:rPr>
          <w:szCs w:val="24"/>
        </w:rPr>
        <w:t>.</w:t>
      </w:r>
      <w:r w:rsidRPr="00E76E89">
        <w:rPr>
          <w:szCs w:val="24"/>
        </w:rPr>
        <w:t>, V.</w:t>
      </w:r>
      <w:r w:rsidR="00105516" w:rsidRPr="00E76E89">
        <w:rPr>
          <w:szCs w:val="24"/>
        </w:rPr>
        <w:t> </w:t>
      </w:r>
      <w:r w:rsidRPr="00E76E89">
        <w:rPr>
          <w:szCs w:val="24"/>
        </w:rPr>
        <w:t>N</w:t>
      </w:r>
      <w:r w:rsidR="00DD1A27" w:rsidRPr="00E76E89">
        <w:rPr>
          <w:szCs w:val="24"/>
        </w:rPr>
        <w:t>.</w:t>
      </w:r>
      <w:r w:rsidRPr="00E76E89">
        <w:rPr>
          <w:szCs w:val="24"/>
        </w:rPr>
        <w:t xml:space="preserve">, </w:t>
      </w:r>
      <w:r w:rsidR="00DD1A27" w:rsidRPr="00E76E89">
        <w:rPr>
          <w:szCs w:val="24"/>
        </w:rPr>
        <w:t>G. V.</w:t>
      </w:r>
      <w:r w:rsidRPr="00E76E89">
        <w:rPr>
          <w:szCs w:val="24"/>
        </w:rPr>
        <w:t xml:space="preserve">, </w:t>
      </w:r>
      <w:r w:rsidR="00DD1A27" w:rsidRPr="00E76E89">
        <w:rPr>
          <w:szCs w:val="24"/>
        </w:rPr>
        <w:t>A. Š.</w:t>
      </w:r>
      <w:r w:rsidRPr="00E76E89">
        <w:rPr>
          <w:szCs w:val="24"/>
        </w:rPr>
        <w:t>, Č. L</w:t>
      </w:r>
      <w:r w:rsidR="00DD1A27" w:rsidRPr="00E76E89">
        <w:rPr>
          <w:szCs w:val="24"/>
        </w:rPr>
        <w:t>.</w:t>
      </w:r>
      <w:r w:rsidRPr="00E76E89">
        <w:rPr>
          <w:szCs w:val="24"/>
        </w:rPr>
        <w:t xml:space="preserve"> ir B. S</w:t>
      </w:r>
      <w:r w:rsidR="00DD1A27" w:rsidRPr="00E76E89">
        <w:rPr>
          <w:szCs w:val="24"/>
        </w:rPr>
        <w:t>.</w:t>
      </w:r>
      <w:r w:rsidRPr="00E76E89">
        <w:rPr>
          <w:szCs w:val="24"/>
        </w:rPr>
        <w:t>. Visgi jų parodymai neturi teisinės reikšmės, nes šio žodžio vartojimas yra daugiau emocinio pobūdžio. Apelianto įsitikinimu, apygardos teismas turėjo itin tiksliai apibrėžti nusikalstamos veikos padarymo laikotarpį ir nustatyti</w:t>
      </w:r>
      <w:r w:rsidR="00105516" w:rsidRPr="00E76E89">
        <w:rPr>
          <w:szCs w:val="24"/>
        </w:rPr>
        <w:t>,</w:t>
      </w:r>
      <w:r w:rsidRPr="00E76E89">
        <w:rPr>
          <w:szCs w:val="24"/>
        </w:rPr>
        <w:t xml:space="preserve"> ar </w:t>
      </w:r>
      <w:r w:rsidR="00385BC9" w:rsidRPr="00E76E89">
        <w:rPr>
          <w:szCs w:val="24"/>
        </w:rPr>
        <w:t>M. G.</w:t>
      </w:r>
      <w:r w:rsidRPr="00E76E89">
        <w:rPr>
          <w:szCs w:val="24"/>
        </w:rPr>
        <w:t>, gimęs 1949 m., galėjo vykdyti prieš Lietuvą</w:t>
      </w:r>
      <w:r w:rsidR="00447B63" w:rsidRPr="00E76E89">
        <w:rPr>
          <w:szCs w:val="24"/>
        </w:rPr>
        <w:t xml:space="preserve"> agresiją</w:t>
      </w:r>
      <w:r w:rsidRPr="00E76E89">
        <w:rPr>
          <w:szCs w:val="24"/>
        </w:rPr>
        <w:t>, pradėtą 1940 m.</w:t>
      </w:r>
      <w:r w:rsidR="00105516" w:rsidRPr="00E76E89">
        <w:rPr>
          <w:szCs w:val="24"/>
        </w:rPr>
        <w:t xml:space="preserve"> </w:t>
      </w:r>
      <w:r w:rsidRPr="00E76E89">
        <w:rPr>
          <w:szCs w:val="24"/>
        </w:rPr>
        <w:t>birželio 15</w:t>
      </w:r>
      <w:r w:rsidR="00105516" w:rsidRPr="00E76E89">
        <w:rPr>
          <w:szCs w:val="24"/>
        </w:rPr>
        <w:t> </w:t>
      </w:r>
      <w:r w:rsidRPr="00E76E89">
        <w:rPr>
          <w:szCs w:val="24"/>
        </w:rPr>
        <w:t>d., kaip nu</w:t>
      </w:r>
      <w:r w:rsidR="00447B63" w:rsidRPr="00E76E89">
        <w:rPr>
          <w:szCs w:val="24"/>
        </w:rPr>
        <w:t>rodyta</w:t>
      </w:r>
      <w:r w:rsidRPr="00E76E89">
        <w:rPr>
          <w:szCs w:val="24"/>
        </w:rPr>
        <w:t xml:space="preserve"> Konstitucinio Teismo 2013 m. vasario 22 d. nutarime. Gynėjas, pateikdamas a</w:t>
      </w:r>
      <w:r w:rsidR="0042306C" w:rsidRPr="00E76E89">
        <w:rPr>
          <w:szCs w:val="24"/>
        </w:rPr>
        <w:t>gresijos apibrėž</w:t>
      </w:r>
      <w:r w:rsidR="00105516" w:rsidRPr="00E76E89">
        <w:rPr>
          <w:szCs w:val="24"/>
        </w:rPr>
        <w:t>tį,</w:t>
      </w:r>
      <w:r w:rsidR="0042306C" w:rsidRPr="00E76E89">
        <w:rPr>
          <w:szCs w:val="24"/>
        </w:rPr>
        <w:t xml:space="preserve"> nurodytą JT</w:t>
      </w:r>
      <w:r w:rsidRPr="00E76E89">
        <w:rPr>
          <w:szCs w:val="24"/>
        </w:rPr>
        <w:t xml:space="preserve"> teisės aktuose, teigia, kad ir EŽTT byloje </w:t>
      </w:r>
      <w:r w:rsidR="002C298B" w:rsidRPr="00E76E89">
        <w:rPr>
          <w:i/>
          <w:szCs w:val="24"/>
        </w:rPr>
        <w:t>Kuodelis, Bartoševičius ir Burokevičius prieš Lietuvą</w:t>
      </w:r>
      <w:r w:rsidR="00447B63" w:rsidRPr="00E76E89">
        <w:rPr>
          <w:szCs w:val="24"/>
        </w:rPr>
        <w:t xml:space="preserve"> (šie</w:t>
      </w:r>
      <w:r w:rsidRPr="00E76E89">
        <w:rPr>
          <w:szCs w:val="24"/>
        </w:rPr>
        <w:t xml:space="preserve"> </w:t>
      </w:r>
      <w:r w:rsidR="00447B63" w:rsidRPr="00E76E89">
        <w:rPr>
          <w:szCs w:val="24"/>
        </w:rPr>
        <w:t>asmenys</w:t>
      </w:r>
      <w:r w:rsidRPr="00E76E89">
        <w:rPr>
          <w:szCs w:val="24"/>
        </w:rPr>
        <w:t xml:space="preserve"> nuteisti už dalyvavimą 1991 m. sausio įvykiuose</w:t>
      </w:r>
      <w:r w:rsidR="00447B63" w:rsidRPr="00E76E89">
        <w:rPr>
          <w:szCs w:val="24"/>
        </w:rPr>
        <w:t>)</w:t>
      </w:r>
      <w:r w:rsidRPr="00E76E89">
        <w:rPr>
          <w:szCs w:val="24"/>
        </w:rPr>
        <w:t xml:space="preserve"> sovietų agresijos nekonstatavo. Aptariamas nusikaltimas gali būti konstatuotas, kai humanitarinės teisės saugomų asmenų žudymas buvo atliktas konkrečiu laiku – agresijos taikymo metu, tad neįrodžius šio požymio, </w:t>
      </w:r>
      <w:r w:rsidR="00385BC9" w:rsidRPr="00E76E89">
        <w:rPr>
          <w:szCs w:val="24"/>
        </w:rPr>
        <w:t>M. G.</w:t>
      </w:r>
      <w:r w:rsidRPr="00E76E89">
        <w:rPr>
          <w:szCs w:val="24"/>
        </w:rPr>
        <w:t xml:space="preserve"> išteisintinas.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Apelianto įsitikinimu, nuteistajam inkriminuojant BK 103 straipsnyje numatytą nusikaltimą, buvo netinkamai pritaikytas baudžiamasis įstatymas bei nemotyvuota, kodėl ši norma pasirinkta. Gynėjo įsitikinimu, BK 103 straipsnio 1 dalis apskritai prieštarauja </w:t>
      </w:r>
      <w:r w:rsidR="00171173" w:rsidRPr="00E76E89">
        <w:rPr>
          <w:szCs w:val="24"/>
        </w:rPr>
        <w:t>1949 m. rugpjūčio 12 d. </w:t>
      </w:r>
      <w:r w:rsidRPr="00E76E89">
        <w:rPr>
          <w:szCs w:val="24"/>
        </w:rPr>
        <w:t>Ženevos konvencijai dėl civilių apsaugos karo metu ir Konstitucijai. Minėta konvencija ir civilių apsauga yra taikoma, kai skelbiamas karas ar kyla ginkluotas šalių konfliktas, okupuojama šalies teritorija ar jos dalis, tačiau tokia apsauga, gynybos įsitikinimu, netaikoma agresijos ar aneksijos metu. Dažniausiai humanitarinės teisės saugomų asmenų kontekste yra kalbama apie ginkluotą konfliktą ar karą, o ne agresiją. Gynėjo įsitikinimu, teismas neįvertino, kad humanitarinės teisės saugomu asmeniu gali būti pripažintas išskirtinėje padėtyje esantis civilis – asmuo</w:t>
      </w:r>
      <w:r w:rsidR="00447B63" w:rsidRPr="00E76E89">
        <w:rPr>
          <w:szCs w:val="24"/>
        </w:rPr>
        <w:t>,</w:t>
      </w:r>
      <w:r w:rsidRPr="00E76E89">
        <w:rPr>
          <w:szCs w:val="24"/>
        </w:rPr>
        <w:t xml:space="preserve"> priklausomas nuo karo situacijos, būdamas toje teritorijoje negalintis savarankiškai spręsti savo problemų, įgyvendinti teisių ir pan. Atitinkamai asmenys</w:t>
      </w:r>
      <w:r w:rsidR="00105516" w:rsidRPr="00E76E89">
        <w:rPr>
          <w:szCs w:val="24"/>
        </w:rPr>
        <w:t>,</w:t>
      </w:r>
      <w:r w:rsidRPr="00E76E89">
        <w:rPr>
          <w:szCs w:val="24"/>
        </w:rPr>
        <w:t xml:space="preserve"> susirinkę prie LRT ir TV bokšto bei kitų objektų, buvo laisvi, sąmoningai atvyko prie jų ir aktyviai dalyvavo įvykiuose. Byloje įrodyta, kad Lietuvos vadovybė ragino asmenis burtis prie objektų, apie kurių planuojamą užėmimą žinojo. </w:t>
      </w:r>
      <w:r w:rsidR="00385BC9" w:rsidRPr="00E76E89">
        <w:rPr>
          <w:szCs w:val="24"/>
        </w:rPr>
        <w:t>M. G.</w:t>
      </w:r>
      <w:r w:rsidRPr="00E76E89">
        <w:rPr>
          <w:szCs w:val="24"/>
        </w:rPr>
        <w:t xml:space="preserve"> paaiškinimuose nurodyta, kad iš objektų gynėjų buvo paimti net šaunamieji ginklai. Apelianto teigimu, BK 103 straipsnio dispozicija netaikytina tais atvejais, kai asmenys nėra nukentėję nuo karinio konflikto ir aktyviai dalyvavo ginkluotame konflikte. Be to, pagal tarptautinės teisės normas tarptautinio konflikto metu draudžiama objektų gynybai naudoti </w:t>
      </w:r>
      <w:r w:rsidRPr="00E76E89">
        <w:rPr>
          <w:szCs w:val="24"/>
        </w:rPr>
        <w:lastRenderedPageBreak/>
        <w:t>civilius kaip gyvąjį skydą, o šio draudimo nesilaikyta. Apelianto teigimu, teismas nenustatė n</w:t>
      </w:r>
      <w:r w:rsidR="00105516" w:rsidRPr="00E76E89">
        <w:rPr>
          <w:szCs w:val="24"/>
        </w:rPr>
        <w:t>ė</w:t>
      </w:r>
      <w:r w:rsidRPr="00E76E89">
        <w:rPr>
          <w:szCs w:val="24"/>
        </w:rPr>
        <w:t xml:space="preserve"> vieno nukentėjusiojo nuo tariamai 1940 m. birželio 15 d. pradėtos ir vykusios agresijos ir n</w:t>
      </w:r>
      <w:r w:rsidR="00105516" w:rsidRPr="00E76E89">
        <w:rPr>
          <w:szCs w:val="24"/>
        </w:rPr>
        <w:t>ė</w:t>
      </w:r>
      <w:r w:rsidRPr="00E76E89">
        <w:rPr>
          <w:szCs w:val="24"/>
        </w:rPr>
        <w:t xml:space="preserve"> vieno asmens, kuriam turėjo būti suteikta tarptautinė humanitarinė apsauga.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Teismo nuosprendis dėl </w:t>
      </w:r>
      <w:r w:rsidR="00385BC9" w:rsidRPr="00E76E89">
        <w:rPr>
          <w:szCs w:val="24"/>
        </w:rPr>
        <w:t>M. G.</w:t>
      </w:r>
      <w:r w:rsidRPr="00E76E89">
        <w:rPr>
          <w:szCs w:val="24"/>
        </w:rPr>
        <w:t xml:space="preserve"> nuteisimo pagal BK 111 straipsnį taip pat </w:t>
      </w:r>
      <w:r w:rsidR="00105516" w:rsidRPr="00E76E89">
        <w:rPr>
          <w:szCs w:val="24"/>
        </w:rPr>
        <w:t xml:space="preserve">yra </w:t>
      </w:r>
      <w:r w:rsidRPr="00E76E89">
        <w:rPr>
          <w:szCs w:val="24"/>
        </w:rPr>
        <w:t>neteisėtas ir nepagrįstas, nes nuteistojo veiksmuose nėra minėto nusikaltimo požymių</w:t>
      </w:r>
      <w:r w:rsidR="00105516" w:rsidRPr="00E76E89">
        <w:rPr>
          <w:szCs w:val="24"/>
        </w:rPr>
        <w:t>.</w:t>
      </w:r>
      <w:r w:rsidRPr="00E76E89">
        <w:rPr>
          <w:szCs w:val="24"/>
        </w:rPr>
        <w:t xml:space="preserve"> Be to, neaišku, kodėl teismas vadovavosi 2011 m. BK 111 straipsnio redakcija, o ne šios veikos požymiais, apibrėžtais veikos padarymo metu. Teismas nepagrįstai prie šios veikos požymių priskyrė požymį „žinodamas, kad dėl jos gali žūti civiliai“, nes šis požymis gali būti priskirtas tik karo atakai, kai nepasirenkamas konkretus taikinys ir dėl to gali žūti civiliai ar sunaikintas civilinis objektas. Anot gynybos, jei vyko karo konfliktas, Lietu</w:t>
      </w:r>
      <w:r w:rsidR="00171173" w:rsidRPr="00E76E89">
        <w:rPr>
          <w:szCs w:val="24"/>
        </w:rPr>
        <w:t>vos valdžia privalėjo pagal 1949 m. rugpjūčio 12 d. Ženevos konvencijų</w:t>
      </w:r>
      <w:r w:rsidR="00D76BE4" w:rsidRPr="00E76E89">
        <w:rPr>
          <w:szCs w:val="24"/>
        </w:rPr>
        <w:t xml:space="preserve"> I-ojo P</w:t>
      </w:r>
      <w:r w:rsidRPr="00E76E89">
        <w:rPr>
          <w:szCs w:val="24"/>
        </w:rPr>
        <w:t>apildomo protokolo nuostatas pažymėti civilinės gynybos ženklais civilinės gynybos organizacijų personalą ir objektus, tačiau to padaryta nebuvo. Asmuo, vykdantis draudžiamą karo ataką, turi aiškiai suvokti, kad ją vykdo karo sąlygomis prieš civilinį objektą, sužeistuosius ar ligonius ir kad objektas saugomas tarptautinės humanitarinės teisės</w:t>
      </w:r>
      <w:r w:rsidR="00105516" w:rsidRPr="00E76E89">
        <w:rPr>
          <w:szCs w:val="24"/>
        </w:rPr>
        <w:t>,</w:t>
      </w:r>
      <w:r w:rsidRPr="00E76E89">
        <w:rPr>
          <w:szCs w:val="24"/>
        </w:rPr>
        <w:t xml:space="preserve"> bei siekti sunaikinti tarptautinės humanitarinės teisės saugomus asmenis. Anot gynybos, teismo nuosprendyje aprašyti 1991 m. sausio įvykiai ir faktinės aplinkybės nepatenka į „karo atakos“ ir „karo veiksmų“ sąvokas. Atitinkamai ir specialistas J.</w:t>
      </w:r>
      <w:r w:rsidR="00011479" w:rsidRPr="00E76E89">
        <w:rPr>
          <w:szCs w:val="24"/>
        </w:rPr>
        <w:t> </w:t>
      </w:r>
      <w:r w:rsidRPr="00E76E89">
        <w:rPr>
          <w:szCs w:val="24"/>
        </w:rPr>
        <w:t>Andriškevičius teisme patvirtino, kad visos priemonės, kurios buvo naudojamos užimant TV bokštą, buvo ne letalinio pobūdžio ir nenukreiptos į žmonių naikinimą, o skirtos atgrasy</w:t>
      </w:r>
      <w:r w:rsidR="00FC5405" w:rsidRPr="00E76E89">
        <w:rPr>
          <w:szCs w:val="24"/>
        </w:rPr>
        <w:t>ti</w:t>
      </w:r>
      <w:r w:rsidRPr="00E76E89">
        <w:rPr>
          <w:szCs w:val="24"/>
        </w:rPr>
        <w:t>. Gynybos įsitikinimu, iš nuosprendžio matyti, kad n</w:t>
      </w:r>
      <w:r w:rsidR="00105516" w:rsidRPr="00E76E89">
        <w:rPr>
          <w:szCs w:val="24"/>
        </w:rPr>
        <w:t>ė</w:t>
      </w:r>
      <w:r w:rsidRPr="00E76E89">
        <w:rPr>
          <w:szCs w:val="24"/>
        </w:rPr>
        <w:t xml:space="preserve"> vienas atsakomybėn traukiamas kariškis nedavė įsakymo žudyti. Paties </w:t>
      </w:r>
      <w:r w:rsidR="00385BC9" w:rsidRPr="00E76E89">
        <w:rPr>
          <w:szCs w:val="24"/>
        </w:rPr>
        <w:t>M. G.</w:t>
      </w:r>
      <w:r w:rsidRPr="00E76E89">
        <w:rPr>
          <w:szCs w:val="24"/>
        </w:rPr>
        <w:t xml:space="preserve"> veiksmai vykdant įsakymą buvo nukreipti užimti</w:t>
      </w:r>
      <w:r w:rsidR="00105516" w:rsidRPr="00E76E89">
        <w:rPr>
          <w:szCs w:val="24"/>
        </w:rPr>
        <w:t xml:space="preserve"> pastatus</w:t>
      </w:r>
      <w:r w:rsidRPr="00E76E89">
        <w:rPr>
          <w:szCs w:val="24"/>
        </w:rPr>
        <w:t xml:space="preserve">, o ne </w:t>
      </w:r>
      <w:r w:rsidR="00105516" w:rsidRPr="00E76E89">
        <w:rPr>
          <w:szCs w:val="24"/>
        </w:rPr>
        <w:t xml:space="preserve">žudyti </w:t>
      </w:r>
      <w:r w:rsidRPr="00E76E89">
        <w:rPr>
          <w:szCs w:val="24"/>
        </w:rPr>
        <w:t>asmen</w:t>
      </w:r>
      <w:r w:rsidR="00105516" w:rsidRPr="00E76E89">
        <w:rPr>
          <w:szCs w:val="24"/>
        </w:rPr>
        <w:t>is</w:t>
      </w:r>
      <w:r w:rsidRPr="00E76E89">
        <w:rPr>
          <w:szCs w:val="24"/>
        </w:rPr>
        <w:t xml:space="preserve">. Nors teismas nurodo, kad visi asmenys veikė bendrininkų grupe, konkrečiai kas ir kam įsakė vykdyti draudžiamą ataką, nenurodyta.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Gynėjo įsitikinimu, byloje nėra pagrįstų įrodymų, kad nuteistieji naudojo uždraustas karo priemones ir kariavimo būdus, kaip numatyta BK 112 straipsnyje. Konstatuojant uždraustų karo priemonių panaudojimą, būtina nustatyti tris svarbias aplinkybes – įsakymą, karo veiksmus ir uždraustų priemonių naudojimą. Apelianto teigimu, nuosprendyje nurodyti tik bendro pobūdžio teisės aktai, kuriuose net nenurodyti egzistuojantys draudimai panaudoti konkrečias priemones. Skunde išvardijami tarptautinės teisės aktai, kuriuose numatyti tam tikrų ginklų, karo priemonių naudojimo draudimai ar jų naudojimo apribojimai. Gynėjas nurodo, kad teismas, spręsdamas</w:t>
      </w:r>
      <w:r w:rsidR="00105516" w:rsidRPr="00E76E89">
        <w:rPr>
          <w:szCs w:val="24"/>
        </w:rPr>
        <w:t>,</w:t>
      </w:r>
      <w:r w:rsidRPr="00E76E89">
        <w:rPr>
          <w:szCs w:val="24"/>
        </w:rPr>
        <w:t xml:space="preserve"> ar draudžiamos priemonės buvo panaudotos, turėjo vadovautis kvalifikuotomis ekspertų išvadomis ir konkrečiomis aktualių konvencijų nuostatomis. Apelianto įsitikinimu, ekspertai nenurodė, kad šioje byloje nukentėjusių asmenų kūnai buvo sudraskyti p</w:t>
      </w:r>
      <w:r w:rsidR="00226266" w:rsidRPr="00E76E89">
        <w:rPr>
          <w:szCs w:val="24"/>
        </w:rPr>
        <w:t>er</w:t>
      </w:r>
      <w:r w:rsidRPr="00E76E89">
        <w:rPr>
          <w:szCs w:val="24"/>
        </w:rPr>
        <w:t xml:space="preserve">einančiomis per minkštuosius audinius kulkomis. Anot gynybos, kriminalistinės ekspertizės metu nustatyta, kad </w:t>
      </w:r>
      <w:r w:rsidR="00DD1A27" w:rsidRPr="00E76E89">
        <w:rPr>
          <w:szCs w:val="24"/>
        </w:rPr>
        <w:t>E. M.</w:t>
      </w:r>
      <w:r w:rsidRPr="00E76E89">
        <w:rPr>
          <w:szCs w:val="24"/>
        </w:rPr>
        <w:t xml:space="preserve"> sužeidusi kulka yra 5,45</w:t>
      </w:r>
      <w:r w:rsidR="00105516" w:rsidRPr="00E76E89">
        <w:rPr>
          <w:szCs w:val="24"/>
        </w:rPr>
        <w:t> </w:t>
      </w:r>
      <w:r w:rsidRPr="00E76E89">
        <w:rPr>
          <w:szCs w:val="24"/>
        </w:rPr>
        <w:t xml:space="preserve">mm kalibro; ji deformavosi atsitrenkusi į kietą paviršių, ji iššauta iš </w:t>
      </w:r>
      <w:r w:rsidR="00EC1D9A" w:rsidRPr="00E76E89">
        <w:rPr>
          <w:szCs w:val="24"/>
        </w:rPr>
        <w:t>AK</w:t>
      </w:r>
      <w:r w:rsidRPr="00E76E89">
        <w:rPr>
          <w:szCs w:val="24"/>
        </w:rPr>
        <w:t xml:space="preserve"> sistemos automato (AK-74). Gynėjo vertinimu, tai įrodo, jog pirmosios instancijos teismas pasidavė mitui, kad TSRS naudojamos 5,45 mm </w:t>
      </w:r>
      <w:r w:rsidR="00D81F19" w:rsidRPr="00E76E89">
        <w:rPr>
          <w:szCs w:val="24"/>
        </w:rPr>
        <w:t xml:space="preserve">kalibro </w:t>
      </w:r>
      <w:r w:rsidRPr="00E76E89">
        <w:rPr>
          <w:szCs w:val="24"/>
        </w:rPr>
        <w:t>kulkos vartosi žmogaus kūne ir išeina pro kitą kūno dalį, nei įėjo. Šios kulkos lengvai rikošetuoja, kaip ir nuo 1960 m. naudojamos NATO standarto kulkos –</w:t>
      </w:r>
      <w:r w:rsidR="0098573B" w:rsidRPr="00E76E89">
        <w:rPr>
          <w:szCs w:val="24"/>
        </w:rPr>
        <w:t xml:space="preserve"> „</w:t>
      </w:r>
      <w:r w:rsidRPr="00E76E89">
        <w:rPr>
          <w:szCs w:val="24"/>
        </w:rPr>
        <w:t>Remington</w:t>
      </w:r>
      <w:r w:rsidR="0098573B" w:rsidRPr="00E76E89">
        <w:rPr>
          <w:szCs w:val="24"/>
        </w:rPr>
        <w:t>“</w:t>
      </w:r>
      <w:r w:rsidRPr="00E76E89">
        <w:rPr>
          <w:szCs w:val="24"/>
        </w:rPr>
        <w:t xml:space="preserve"> 5,56</w:t>
      </w:r>
      <w:r w:rsidR="0098573B" w:rsidRPr="00E76E89">
        <w:rPr>
          <w:szCs w:val="24"/>
        </w:rPr>
        <w:t> </w:t>
      </w:r>
      <w:r w:rsidRPr="00E76E89">
        <w:rPr>
          <w:szCs w:val="24"/>
        </w:rPr>
        <w:t>x</w:t>
      </w:r>
      <w:r w:rsidR="0098573B" w:rsidRPr="00E76E89">
        <w:rPr>
          <w:szCs w:val="24"/>
        </w:rPr>
        <w:t> </w:t>
      </w:r>
      <w:r w:rsidRPr="00E76E89">
        <w:rPr>
          <w:szCs w:val="24"/>
        </w:rPr>
        <w:t xml:space="preserve">45 mm kalibro </w:t>
      </w:r>
      <w:r w:rsidR="0049485C" w:rsidRPr="00E76E89">
        <w:rPr>
          <w:szCs w:val="24"/>
        </w:rPr>
        <w:t>„</w:t>
      </w:r>
      <w:r w:rsidRPr="00E76E89">
        <w:rPr>
          <w:szCs w:val="24"/>
        </w:rPr>
        <w:t>M193</w:t>
      </w:r>
      <w:r w:rsidR="0049485C" w:rsidRPr="00E76E89">
        <w:rPr>
          <w:szCs w:val="24"/>
        </w:rPr>
        <w:t>“ tipo</w:t>
      </w:r>
      <w:r w:rsidRPr="00E76E89">
        <w:rPr>
          <w:szCs w:val="24"/>
        </w:rPr>
        <w:t xml:space="preserve"> šoviniuose. Lietuvos kariuomenė</w:t>
      </w:r>
      <w:r w:rsidR="00CF48C4" w:rsidRPr="00E76E89">
        <w:rPr>
          <w:szCs w:val="24"/>
        </w:rPr>
        <w:t>,</w:t>
      </w:r>
      <w:r w:rsidRPr="00E76E89">
        <w:rPr>
          <w:szCs w:val="24"/>
        </w:rPr>
        <w:t xml:space="preserve"> be kita ko</w:t>
      </w:r>
      <w:r w:rsidR="00CF48C4" w:rsidRPr="00E76E89">
        <w:rPr>
          <w:szCs w:val="24"/>
        </w:rPr>
        <w:t>,</w:t>
      </w:r>
      <w:r w:rsidRPr="00E76E89">
        <w:rPr>
          <w:szCs w:val="24"/>
        </w:rPr>
        <w:t xml:space="preserve"> skelbia, kad</w:t>
      </w:r>
      <w:r w:rsidR="00226266" w:rsidRPr="00E76E89">
        <w:rPr>
          <w:szCs w:val="24"/>
        </w:rPr>
        <w:t>,</w:t>
      </w:r>
      <w:r w:rsidRPr="00E76E89">
        <w:rPr>
          <w:szCs w:val="24"/>
        </w:rPr>
        <w:t xml:space="preserve"> patobulinus automatinius šautuvus</w:t>
      </w:r>
      <w:r w:rsidR="00C22C29" w:rsidRPr="00E76E89">
        <w:rPr>
          <w:szCs w:val="24"/>
        </w:rPr>
        <w:t xml:space="preserve"> „M16 A1“</w:t>
      </w:r>
      <w:r w:rsidRPr="00E76E89">
        <w:rPr>
          <w:szCs w:val="24"/>
        </w:rPr>
        <w:t>, naudojusius minėtus šovinius, ir pritaikius juos šaudyti naujais 5,56</w:t>
      </w:r>
      <w:r w:rsidR="00105516" w:rsidRPr="00E76E89">
        <w:rPr>
          <w:szCs w:val="24"/>
        </w:rPr>
        <w:t> </w:t>
      </w:r>
      <w:r w:rsidRPr="00E76E89">
        <w:rPr>
          <w:szCs w:val="24"/>
        </w:rPr>
        <w:t>x</w:t>
      </w:r>
      <w:r w:rsidR="00105516" w:rsidRPr="00E76E89">
        <w:rPr>
          <w:szCs w:val="24"/>
        </w:rPr>
        <w:t> </w:t>
      </w:r>
      <w:r w:rsidRPr="00E76E89">
        <w:rPr>
          <w:szCs w:val="24"/>
        </w:rPr>
        <w:t xml:space="preserve">45 mm kalibro šoviniais, buvo pagamintas naujas automatinis šautuvas </w:t>
      </w:r>
      <w:r w:rsidR="0049485C" w:rsidRPr="00E76E89">
        <w:rPr>
          <w:szCs w:val="24"/>
        </w:rPr>
        <w:t>„</w:t>
      </w:r>
      <w:r w:rsidRPr="00E76E89">
        <w:rPr>
          <w:szCs w:val="24"/>
        </w:rPr>
        <w:t>M16</w:t>
      </w:r>
      <w:r w:rsidR="00C22C29" w:rsidRPr="00E76E89">
        <w:rPr>
          <w:szCs w:val="24"/>
        </w:rPr>
        <w:t> </w:t>
      </w:r>
      <w:r w:rsidRPr="00E76E89">
        <w:rPr>
          <w:szCs w:val="24"/>
        </w:rPr>
        <w:t>A2</w:t>
      </w:r>
      <w:r w:rsidR="0049485C" w:rsidRPr="00E76E89">
        <w:rPr>
          <w:szCs w:val="24"/>
        </w:rPr>
        <w:t>“</w:t>
      </w:r>
      <w:r w:rsidRPr="00E76E89">
        <w:rPr>
          <w:szCs w:val="24"/>
        </w:rPr>
        <w:t>, kad šio ginklo patikimumas didesnis, kad ankstesnių šovinių kulkos sukeldavo sunkesnius kūno sužalojimus, kad sumažėjo naujo šovinio masė ir dydis. Tie patys 5,56</w:t>
      </w:r>
      <w:r w:rsidR="00105516" w:rsidRPr="00E76E89">
        <w:rPr>
          <w:szCs w:val="24"/>
        </w:rPr>
        <w:t> </w:t>
      </w:r>
      <w:r w:rsidRPr="00E76E89">
        <w:rPr>
          <w:szCs w:val="24"/>
        </w:rPr>
        <w:t>x</w:t>
      </w:r>
      <w:r w:rsidR="00105516" w:rsidRPr="00E76E89">
        <w:rPr>
          <w:szCs w:val="24"/>
        </w:rPr>
        <w:t> </w:t>
      </w:r>
      <w:r w:rsidRPr="00E76E89">
        <w:rPr>
          <w:szCs w:val="24"/>
        </w:rPr>
        <w:t>45 mm (223 REM) šoviniai naudojami ir G-36 tipo šautuv</w:t>
      </w:r>
      <w:r w:rsidR="00226266" w:rsidRPr="00E76E89">
        <w:rPr>
          <w:szCs w:val="24"/>
        </w:rPr>
        <w:t>ui</w:t>
      </w:r>
      <w:r w:rsidRPr="00E76E89">
        <w:rPr>
          <w:szCs w:val="24"/>
        </w:rPr>
        <w:t>. Liudytojas H. N</w:t>
      </w:r>
      <w:r w:rsidR="00DD1A27" w:rsidRPr="00E76E89">
        <w:rPr>
          <w:szCs w:val="24"/>
        </w:rPr>
        <w:t>.</w:t>
      </w:r>
      <w:r w:rsidRPr="00E76E89">
        <w:rPr>
          <w:szCs w:val="24"/>
        </w:rPr>
        <w:t xml:space="preserve"> teisiamajame posėdyje</w:t>
      </w:r>
      <w:r w:rsidR="00CF48C4" w:rsidRPr="00E76E89">
        <w:rPr>
          <w:szCs w:val="24"/>
        </w:rPr>
        <w:t>,</w:t>
      </w:r>
      <w:r w:rsidRPr="00E76E89">
        <w:rPr>
          <w:szCs w:val="24"/>
        </w:rPr>
        <w:t xml:space="preserve"> be kita ko</w:t>
      </w:r>
      <w:r w:rsidR="00CF48C4" w:rsidRPr="00E76E89">
        <w:rPr>
          <w:szCs w:val="24"/>
        </w:rPr>
        <w:t>,</w:t>
      </w:r>
      <w:r w:rsidRPr="00E76E89">
        <w:rPr>
          <w:szCs w:val="24"/>
        </w:rPr>
        <w:t xml:space="preserve"> paaiškino, jog artimu</w:t>
      </w:r>
      <w:r w:rsidR="005B0434" w:rsidRPr="00E76E89">
        <w:rPr>
          <w:szCs w:val="24"/>
        </w:rPr>
        <w:t xml:space="preserve"> 1991 m.</w:t>
      </w:r>
      <w:r w:rsidRPr="00E76E89">
        <w:rPr>
          <w:szCs w:val="24"/>
        </w:rPr>
        <w:t xml:space="preserve"> sausio įvykiams metu buvo keičiami </w:t>
      </w:r>
      <w:r w:rsidR="00DD1A27" w:rsidRPr="00E76E89">
        <w:rPr>
          <w:szCs w:val="24"/>
        </w:rPr>
        <w:t>AK </w:t>
      </w:r>
      <w:r w:rsidR="00EC1D9A" w:rsidRPr="00E76E89">
        <w:rPr>
          <w:szCs w:val="24"/>
        </w:rPr>
        <w:t>ginklai</w:t>
      </w:r>
      <w:r w:rsidRPr="00E76E89">
        <w:rPr>
          <w:szCs w:val="24"/>
        </w:rPr>
        <w:t xml:space="preserve"> iš 5,45</w:t>
      </w:r>
      <w:r w:rsidR="00105516" w:rsidRPr="00E76E89">
        <w:rPr>
          <w:szCs w:val="24"/>
        </w:rPr>
        <w:t> </w:t>
      </w:r>
      <w:r w:rsidRPr="00E76E89">
        <w:rPr>
          <w:szCs w:val="24"/>
        </w:rPr>
        <w:t xml:space="preserve">mm kalibro į 7,62 mm kalibrą, nes buvo </w:t>
      </w:r>
      <w:r w:rsidRPr="00E76E89">
        <w:rPr>
          <w:szCs w:val="24"/>
        </w:rPr>
        <w:lastRenderedPageBreak/>
        <w:t>įsakymas, kad 5,45 mm kalibro kulkos yra nehumaniškos, todėl keistinos. Anot liudytojo, ginkluotė buvo pakeista</w:t>
      </w:r>
      <w:r w:rsidR="0042306C" w:rsidRPr="00E76E89">
        <w:rPr>
          <w:szCs w:val="24"/>
        </w:rPr>
        <w:t xml:space="preserve"> po to, kai JT</w:t>
      </w:r>
      <w:r w:rsidRPr="00E76E89">
        <w:rPr>
          <w:szCs w:val="24"/>
        </w:rPr>
        <w:t xml:space="preserve"> paskelbė, kad kulkos nehumaniškos, sukelia daug žalos. Tačiau, apelianto įsitikinimu, liudytojo nurodyto vidinio VRM įsakymo, kuriuo neva nustatytas poreikis keisti nehumaniškas kulkas, baudžiamojoje byloje nėra. Teismas taip pat nepatikrino</w:t>
      </w:r>
      <w:r w:rsidR="00105516" w:rsidRPr="00E76E89">
        <w:rPr>
          <w:szCs w:val="24"/>
        </w:rPr>
        <w:t>,</w:t>
      </w:r>
      <w:r w:rsidRPr="00E76E89">
        <w:rPr>
          <w:szCs w:val="24"/>
        </w:rPr>
        <w:t xml:space="preserve"> ar vadinamųjų „Ščit“ ekspertų grupės narių išvados, kad karinių veiksmų metu Vilniuje buvo naudojamos išcentruotos 5,45 mm kalibro kulkos, kurių naudojimą draudžia tarptautinė teisė, atitinka tikrovę. Taigi teismo išvados paremt</w:t>
      </w:r>
      <w:r w:rsidR="00C22C29" w:rsidRPr="00E76E89">
        <w:rPr>
          <w:szCs w:val="24"/>
        </w:rPr>
        <w:t xml:space="preserve">os </w:t>
      </w:r>
      <w:r w:rsidRPr="00E76E89">
        <w:rPr>
          <w:szCs w:val="24"/>
        </w:rPr>
        <w:t xml:space="preserve">prielaidomis ir gandais. Teismas byloje nenustatė konkrečių šaunamųjų ginklų, iš kurių buvo sužaloti žmonės, o ir </w:t>
      </w:r>
      <w:r w:rsidR="00385BC9" w:rsidRPr="00E76E89">
        <w:rPr>
          <w:szCs w:val="24"/>
        </w:rPr>
        <w:t>M. G.</w:t>
      </w:r>
      <w:r w:rsidR="00DD1A27" w:rsidRPr="00E76E89">
        <w:rPr>
          <w:szCs w:val="24"/>
        </w:rPr>
        <w:t xml:space="preserve"> parodė, kad prie TV </w:t>
      </w:r>
      <w:r w:rsidRPr="00E76E89">
        <w:rPr>
          <w:szCs w:val="24"/>
        </w:rPr>
        <w:t xml:space="preserve">bokšto asmenų buvo šaudoma iš įvairių pusių.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Apeliaciniame skunde nurodoma, kad nuteistiesiems inkriminuotos veikos dėl esminių jų požymių skirtumų negali sudaryti idealiosios sutapties taip, kaip tą pripažino teismas, taikydamas BK 63 straipsnio 5 dalies 1 punkto nuostatas ir subendrindamas paskirtas bausmes už atskiras nusikalstamas veikas. Gynėjo teigimu, </w:t>
      </w:r>
      <w:r w:rsidR="00385BC9" w:rsidRPr="00E76E89">
        <w:rPr>
          <w:szCs w:val="24"/>
        </w:rPr>
        <w:t>M. G.</w:t>
      </w:r>
      <w:r w:rsidRPr="00E76E89">
        <w:rPr>
          <w:szCs w:val="24"/>
        </w:rPr>
        <w:t xml:space="preserve"> inkriminuoti nusikaltimai skiriasi tiek pagal objektyviųjų požymių realizavimo laiką ir laikotarpį, tiek pagal jų padarymo aplinką ir aplinkybes. Šių BK normų saugomos vertybės skirtingos, skirtingas nusikaltimo dalykas ar nukentėjusieji, o i</w:t>
      </w:r>
      <w:r w:rsidR="00001989" w:rsidRPr="00E76E89">
        <w:rPr>
          <w:szCs w:val="24"/>
        </w:rPr>
        <w:t>r veikos laikotarpis apima 1989–</w:t>
      </w:r>
      <w:r w:rsidR="00B129A2" w:rsidRPr="00E76E89">
        <w:rPr>
          <w:szCs w:val="24"/>
        </w:rPr>
        <w:t>1991 </w:t>
      </w:r>
      <w:r w:rsidRPr="00E76E89">
        <w:rPr>
          <w:szCs w:val="24"/>
        </w:rPr>
        <w:t>metus. Nors įstatymų leidėjas</w:t>
      </w:r>
      <w:r w:rsidR="00C22C29" w:rsidRPr="00E76E89">
        <w:rPr>
          <w:szCs w:val="24"/>
        </w:rPr>
        <w:t>,</w:t>
      </w:r>
      <w:r w:rsidRPr="00E76E89">
        <w:rPr>
          <w:szCs w:val="24"/>
        </w:rPr>
        <w:t xml:space="preserve"> formuluodamas BK 100, 101, 103 ir 111 straipsniuose numatytų nusikaltimų objektyviuosius požymius</w:t>
      </w:r>
      <w:r w:rsidR="00C22C29" w:rsidRPr="00E76E89">
        <w:rPr>
          <w:szCs w:val="24"/>
        </w:rPr>
        <w:t>,</w:t>
      </w:r>
      <w:r w:rsidRPr="00E76E89">
        <w:rPr>
          <w:szCs w:val="24"/>
        </w:rPr>
        <w:t xml:space="preserve"> </w:t>
      </w:r>
      <w:r w:rsidR="004A5AB1" w:rsidRPr="00E76E89">
        <w:rPr>
          <w:szCs w:val="24"/>
        </w:rPr>
        <w:t>vartoja</w:t>
      </w:r>
      <w:r w:rsidRPr="00E76E89">
        <w:rPr>
          <w:szCs w:val="24"/>
        </w:rPr>
        <w:t xml:space="preserve"> tas pačias sąvokas, jie savo esme skiriasi. Kaip jau minėta, teismas negalėjo nuteistajam inkriminuoti agresijos požymio, numatyto BK 101 ir 103 straipsniuose. Be to, agresijos požymis nėra tapatus karo atakos ir karo priemonių, galimų tik karo metu, </w:t>
      </w:r>
      <w:r w:rsidR="00D64F26" w:rsidRPr="00E76E89">
        <w:rPr>
          <w:szCs w:val="24"/>
        </w:rPr>
        <w:t xml:space="preserve">požymiams, įtvirtintiems BK 111 </w:t>
      </w:r>
      <w:r w:rsidR="00B129A2" w:rsidRPr="00E76E89">
        <w:rPr>
          <w:szCs w:val="24"/>
        </w:rPr>
        <w:t>ir BK </w:t>
      </w:r>
      <w:r w:rsidRPr="00E76E89">
        <w:rPr>
          <w:szCs w:val="24"/>
        </w:rPr>
        <w:t>112</w:t>
      </w:r>
      <w:r w:rsidR="00C22C29" w:rsidRPr="00E76E89">
        <w:rPr>
          <w:szCs w:val="24"/>
        </w:rPr>
        <w:t> </w:t>
      </w:r>
      <w:r w:rsidRPr="00E76E89">
        <w:rPr>
          <w:szCs w:val="24"/>
        </w:rPr>
        <w:t>st</w:t>
      </w:r>
      <w:r w:rsidR="00C96771" w:rsidRPr="00E76E89">
        <w:rPr>
          <w:szCs w:val="24"/>
        </w:rPr>
        <w:t>raipsniuose. Atitinkamai BK </w:t>
      </w:r>
      <w:r w:rsidR="00001989" w:rsidRPr="00E76E89">
        <w:rPr>
          <w:szCs w:val="24"/>
        </w:rPr>
        <w:t>111</w:t>
      </w:r>
      <w:r w:rsidR="00C96771" w:rsidRPr="00E76E89">
        <w:rPr>
          <w:szCs w:val="24"/>
        </w:rPr>
        <w:t> </w:t>
      </w:r>
      <w:r w:rsidR="00E76E89">
        <w:rPr>
          <w:szCs w:val="24"/>
        </w:rPr>
        <w:t>ir BK 112 </w:t>
      </w:r>
      <w:r w:rsidRPr="00E76E89">
        <w:rPr>
          <w:szCs w:val="24"/>
        </w:rPr>
        <w:t>straipsnių nuostatos galėjo būti taikomos tik tuo atveju, jei veikos atliktos karo metu, tačiau tokia padėtis nekonstatuota. Apelianto įsitikinimu, BK 100 straipsnis apskritai iškr</w:t>
      </w:r>
      <w:r w:rsidR="004A5AB1" w:rsidRPr="00E76E89">
        <w:rPr>
          <w:szCs w:val="24"/>
        </w:rPr>
        <w:t>i</w:t>
      </w:r>
      <w:r w:rsidRPr="00E76E89">
        <w:rPr>
          <w:szCs w:val="24"/>
        </w:rPr>
        <w:t>nta iš kitų nusikaltimų, kuriuose konstatuojamas konkretus konfliktas</w:t>
      </w:r>
      <w:r w:rsidR="00C04CFB" w:rsidRPr="00E76E89">
        <w:rPr>
          <w:szCs w:val="24"/>
        </w:rPr>
        <w:t>, konteksto</w:t>
      </w:r>
      <w:r w:rsidRPr="00E76E89">
        <w:rPr>
          <w:szCs w:val="24"/>
        </w:rPr>
        <w:t>. Atitinkamai gynyba nurodo, kad teismas turėjo vadovau</w:t>
      </w:r>
      <w:r w:rsidR="00C04CFB" w:rsidRPr="00E76E89">
        <w:rPr>
          <w:szCs w:val="24"/>
        </w:rPr>
        <w:t>tis</w:t>
      </w:r>
      <w:r w:rsidRPr="00E76E89">
        <w:rPr>
          <w:szCs w:val="24"/>
        </w:rPr>
        <w:t xml:space="preserve"> teismo precedentu, patvirtintu EŽTT byloje </w:t>
      </w:r>
      <w:r w:rsidR="002C298B" w:rsidRPr="00E76E89">
        <w:rPr>
          <w:i/>
          <w:szCs w:val="24"/>
        </w:rPr>
        <w:t>Kuolelis, Bartoševičius ir</w:t>
      </w:r>
      <w:r w:rsidRPr="00E76E89">
        <w:rPr>
          <w:szCs w:val="24"/>
        </w:rPr>
        <w:t xml:space="preserve"> </w:t>
      </w:r>
      <w:r w:rsidR="002C298B" w:rsidRPr="00E76E89">
        <w:rPr>
          <w:i/>
          <w:szCs w:val="24"/>
        </w:rPr>
        <w:t>Burokevičius prieš Lietuvą</w:t>
      </w:r>
      <w:r w:rsidRPr="00E76E89">
        <w:rPr>
          <w:szCs w:val="24"/>
        </w:rPr>
        <w:t xml:space="preserve">, </w:t>
      </w:r>
      <w:r w:rsidR="00226266" w:rsidRPr="00E76E89">
        <w:rPr>
          <w:szCs w:val="24"/>
        </w:rPr>
        <w:t>ir</w:t>
      </w:r>
      <w:r w:rsidRPr="00E76E89">
        <w:rPr>
          <w:szCs w:val="24"/>
        </w:rPr>
        <w:t xml:space="preserve"> analogiškai kvalifikuoti </w:t>
      </w:r>
      <w:r w:rsidR="00385BC9" w:rsidRPr="00E76E89">
        <w:rPr>
          <w:szCs w:val="24"/>
        </w:rPr>
        <w:t>M. G.</w:t>
      </w:r>
      <w:r w:rsidRPr="00E76E89">
        <w:rPr>
          <w:szCs w:val="24"/>
        </w:rPr>
        <w:t xml:space="preserve"> veiksmus bei jį išteisinti.</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Gynybos įsitikinimu, teismas, priimdamas apkaltinamąjį nuosprendį, netinkamai aiškino ir taikė tarptautinės teisės aktų nuostatas. </w:t>
      </w:r>
      <w:r w:rsidR="00385BC9" w:rsidRPr="00E76E89">
        <w:rPr>
          <w:szCs w:val="24"/>
        </w:rPr>
        <w:t>M. G.</w:t>
      </w:r>
      <w:r w:rsidRPr="00E76E89">
        <w:rPr>
          <w:szCs w:val="24"/>
        </w:rPr>
        <w:t xml:space="preserve"> yra nuteistas už tai, kad nuo 1940 m. vykdė TSRS tęstinę agresiją, tačiau tokia pozicija yra nelogiška, prieštarauja faktinėms aplinkybėms ir iškraipo tarptautinės teisės sąvokų turinį. Priimdamas sprendimą teismas ignoravo tarptautinės teisės raidos dėsnius, dėl kurių atsirado Romos statutas. Nuosprendyje, vadovaujantis EŽTT sprendimu byloje </w:t>
      </w:r>
      <w:r w:rsidR="002C298B" w:rsidRPr="00E76E89">
        <w:rPr>
          <w:i/>
          <w:szCs w:val="24"/>
        </w:rPr>
        <w:t>Vasiliauskas prieš Lietuvą</w:t>
      </w:r>
      <w:r w:rsidRPr="00E76E89">
        <w:rPr>
          <w:szCs w:val="24"/>
        </w:rPr>
        <w:t xml:space="preserve">, nurodyta, jog asmenų nuteisimas turi būti pagrįstas bylai reikšmingu metu galiojusia tarptautine teise, tačiau pats teismas tokią savo poziciją ignoravo. 2011 m. pakeistos ir nuteistiesiems inkriminuotos BK normos </w:t>
      </w:r>
      <w:r w:rsidR="00226266" w:rsidRPr="00E76E89">
        <w:rPr>
          <w:szCs w:val="24"/>
        </w:rPr>
        <w:t xml:space="preserve">buvo </w:t>
      </w:r>
      <w:r w:rsidRPr="00E76E89">
        <w:rPr>
          <w:szCs w:val="24"/>
        </w:rPr>
        <w:t>taikytos nepaisant to, kad Romos statutas, kurio pagrindu buvo padaryti BK pakeitimai, veikų padarymo metu dar nebuvo priimtas. Tai padaryta nepaisant to, kad pagal Romos statutą niekas baudžiamąja tvarka neatsako už elgesį iki šio statuto įsigaliojimo. Gynybos teigimu, nuosprendyje</w:t>
      </w:r>
      <w:r w:rsidR="0033046F" w:rsidRPr="00E76E89">
        <w:rPr>
          <w:szCs w:val="24"/>
        </w:rPr>
        <w:t>,</w:t>
      </w:r>
      <w:r w:rsidRPr="00E76E89">
        <w:rPr>
          <w:szCs w:val="24"/>
        </w:rPr>
        <w:t xml:space="preserve"> be kita ko</w:t>
      </w:r>
      <w:r w:rsidR="0033046F" w:rsidRPr="00E76E89">
        <w:rPr>
          <w:szCs w:val="24"/>
        </w:rPr>
        <w:t>,</w:t>
      </w:r>
      <w:r w:rsidRPr="00E76E89">
        <w:rPr>
          <w:szCs w:val="24"/>
        </w:rPr>
        <w:t xml:space="preserve"> nurodyta, kad pagal Romos statutą būtent politikos požymis reiškia papildomą privalomą sąlygą baudžiamajai atsakomybei už nusikaltimus žmo</w:t>
      </w:r>
      <w:r w:rsidR="005E6CFE" w:rsidRPr="00E76E89">
        <w:rPr>
          <w:szCs w:val="24"/>
        </w:rPr>
        <w:t>niškumui</w:t>
      </w:r>
      <w:r w:rsidRPr="00E76E89">
        <w:rPr>
          <w:szCs w:val="24"/>
        </w:rPr>
        <w:t xml:space="preserve"> kilti, tačiau jau kitoje sprendimo pastraipoje nurodyta, kad Romos statutas šioje byloje netaikomas. Visa tai </w:t>
      </w:r>
      <w:r w:rsidR="00C22C29" w:rsidRPr="00E76E89">
        <w:rPr>
          <w:szCs w:val="24"/>
        </w:rPr>
        <w:t>patvirtina</w:t>
      </w:r>
      <w:r w:rsidRPr="00E76E89">
        <w:rPr>
          <w:szCs w:val="24"/>
        </w:rPr>
        <w:t xml:space="preserve"> </w:t>
      </w:r>
      <w:r w:rsidRPr="00E76E89">
        <w:rPr>
          <w:i/>
          <w:szCs w:val="24"/>
        </w:rPr>
        <w:t xml:space="preserve">nullum crimen sine lege </w:t>
      </w:r>
      <w:r w:rsidR="00C22C29" w:rsidRPr="00E76E89">
        <w:rPr>
          <w:szCs w:val="24"/>
        </w:rPr>
        <w:t>principo</w:t>
      </w:r>
      <w:r w:rsidR="00C22C29" w:rsidRPr="00E76E89">
        <w:rPr>
          <w:iCs/>
          <w:szCs w:val="24"/>
        </w:rPr>
        <w:t xml:space="preserve"> </w:t>
      </w:r>
      <w:r w:rsidRPr="00E76E89">
        <w:rPr>
          <w:iCs/>
          <w:szCs w:val="24"/>
        </w:rPr>
        <w:t>pažeidimą, nes</w:t>
      </w:r>
      <w:r w:rsidRPr="00E76E89">
        <w:rPr>
          <w:szCs w:val="24"/>
        </w:rPr>
        <w:t xml:space="preserve"> </w:t>
      </w:r>
      <w:r w:rsidR="00385BC9" w:rsidRPr="00E76E89">
        <w:rPr>
          <w:szCs w:val="24"/>
        </w:rPr>
        <w:t>M. G.</w:t>
      </w:r>
      <w:r w:rsidRPr="00E76E89">
        <w:rPr>
          <w:szCs w:val="24"/>
        </w:rPr>
        <w:t xml:space="preserve"> nuteistas už veikas, kurios buvo padarytos anksčiau</w:t>
      </w:r>
      <w:r w:rsidR="00C04CFB" w:rsidRPr="00E76E89">
        <w:rPr>
          <w:szCs w:val="24"/>
        </w:rPr>
        <w:t>,</w:t>
      </w:r>
      <w:r w:rsidRPr="00E76E89">
        <w:rPr>
          <w:szCs w:val="24"/>
        </w:rPr>
        <w:t xml:space="preserve"> nei įsigaliojo inkriminuotos BK veikos.</w:t>
      </w:r>
      <w:r w:rsidR="00C22C29" w:rsidRPr="00E76E89">
        <w:rPr>
          <w:szCs w:val="24"/>
        </w:rPr>
        <w:t xml:space="preserve"> </w:t>
      </w:r>
    </w:p>
    <w:p w:rsidR="00000FAA" w:rsidRPr="00E76E89" w:rsidRDefault="00BB366A" w:rsidP="00321748">
      <w:pPr>
        <w:pStyle w:val="ListParagraph"/>
        <w:numPr>
          <w:ilvl w:val="1"/>
          <w:numId w:val="6"/>
        </w:numPr>
        <w:spacing w:before="120" w:after="120"/>
        <w:ind w:left="992" w:hanging="992"/>
        <w:contextualSpacing w:val="0"/>
        <w:rPr>
          <w:szCs w:val="24"/>
        </w:rPr>
      </w:pPr>
      <w:r w:rsidRPr="00E76E89">
        <w:rPr>
          <w:szCs w:val="24"/>
        </w:rPr>
        <w:t xml:space="preserve">Lietuvos Respublikos </w:t>
      </w:r>
      <w:r w:rsidR="00000FAA" w:rsidRPr="00E76E89">
        <w:rPr>
          <w:szCs w:val="24"/>
        </w:rPr>
        <w:t>Konstitucinis Teismas</w:t>
      </w:r>
      <w:r w:rsidRPr="00E76E89">
        <w:rPr>
          <w:szCs w:val="24"/>
        </w:rPr>
        <w:t xml:space="preserve"> (toliau –</w:t>
      </w:r>
      <w:r w:rsidR="00EA173D" w:rsidRPr="00E76E89">
        <w:rPr>
          <w:szCs w:val="24"/>
        </w:rPr>
        <w:t xml:space="preserve"> ir</w:t>
      </w:r>
      <w:r w:rsidRPr="00E76E89">
        <w:rPr>
          <w:szCs w:val="24"/>
        </w:rPr>
        <w:t xml:space="preserve"> Konstitucinis Teismas)</w:t>
      </w:r>
      <w:r w:rsidR="00770B0B" w:rsidRPr="00E76E89">
        <w:rPr>
          <w:szCs w:val="24"/>
        </w:rPr>
        <w:t xml:space="preserve"> 2001 m. </w:t>
      </w:r>
      <w:r w:rsidR="00000FAA" w:rsidRPr="00E76E89">
        <w:rPr>
          <w:szCs w:val="24"/>
        </w:rPr>
        <w:t>sausio 11 d. nutarime konstatavo, kad reikalavimas, jog paskelbti įstatymai galiotų į ateitį ir neturėtų grįžtamosios galios</w:t>
      </w:r>
      <w:r w:rsidR="00226266" w:rsidRPr="00E76E89">
        <w:rPr>
          <w:szCs w:val="24"/>
        </w:rPr>
        <w:t>,</w:t>
      </w:r>
      <w:r w:rsidR="00000FAA" w:rsidRPr="00E76E89">
        <w:rPr>
          <w:szCs w:val="24"/>
        </w:rPr>
        <w:t xml:space="preserve"> – svarbi teisinio tikrumo prielaida, esminis teisės </w:t>
      </w:r>
      <w:r w:rsidR="00000FAA" w:rsidRPr="00E76E89">
        <w:rPr>
          <w:szCs w:val="24"/>
        </w:rPr>
        <w:lastRenderedPageBreak/>
        <w:t>viešpatavimo ir teisinės valstybės elementas. 1991</w:t>
      </w:r>
      <w:r w:rsidR="00C04CFB" w:rsidRPr="00E76E89">
        <w:rPr>
          <w:szCs w:val="24"/>
        </w:rPr>
        <w:t> </w:t>
      </w:r>
      <w:r w:rsidR="00000FAA" w:rsidRPr="00E76E89">
        <w:rPr>
          <w:szCs w:val="24"/>
        </w:rPr>
        <w:t xml:space="preserve">m. baudžiamajame </w:t>
      </w:r>
      <w:r w:rsidR="00244308" w:rsidRPr="00E76E89">
        <w:rPr>
          <w:szCs w:val="24"/>
        </w:rPr>
        <w:t>įstatyme</w:t>
      </w:r>
      <w:r w:rsidR="00000FAA" w:rsidRPr="00E76E89">
        <w:rPr>
          <w:szCs w:val="24"/>
        </w:rPr>
        <w:t xml:space="preserve"> nebuvo straipsnių, </w:t>
      </w:r>
      <w:r w:rsidR="00C04CFB" w:rsidRPr="00E76E89">
        <w:rPr>
          <w:szCs w:val="24"/>
        </w:rPr>
        <w:t xml:space="preserve">kuriuose būtų </w:t>
      </w:r>
      <w:r w:rsidR="00000FAA" w:rsidRPr="00E76E89">
        <w:rPr>
          <w:szCs w:val="24"/>
        </w:rPr>
        <w:t>numat</w:t>
      </w:r>
      <w:r w:rsidR="00C04CFB" w:rsidRPr="00E76E89">
        <w:rPr>
          <w:szCs w:val="24"/>
        </w:rPr>
        <w:t>yta</w:t>
      </w:r>
      <w:r w:rsidR="00000FAA" w:rsidRPr="00E76E89">
        <w:rPr>
          <w:szCs w:val="24"/>
        </w:rPr>
        <w:t xml:space="preserve"> atsakomyb</w:t>
      </w:r>
      <w:r w:rsidR="00C04CFB" w:rsidRPr="00E76E89">
        <w:rPr>
          <w:szCs w:val="24"/>
        </w:rPr>
        <w:t>ė</w:t>
      </w:r>
      <w:r w:rsidR="00000FAA" w:rsidRPr="00E76E89">
        <w:rPr>
          <w:szCs w:val="24"/>
        </w:rPr>
        <w:t xml:space="preserve"> už karo nusikaltimus ir nusikaltimus žmo</w:t>
      </w:r>
      <w:r w:rsidR="005E6CFE" w:rsidRPr="00E76E89">
        <w:rPr>
          <w:szCs w:val="24"/>
        </w:rPr>
        <w:t>niškumui</w:t>
      </w:r>
      <w:r w:rsidR="00000FAA" w:rsidRPr="00E76E89">
        <w:rPr>
          <w:szCs w:val="24"/>
        </w:rPr>
        <w:t>, todėl 2011 m.</w:t>
      </w:r>
      <w:r w:rsidR="00226266" w:rsidRPr="00E76E89">
        <w:rPr>
          <w:szCs w:val="24"/>
        </w:rPr>
        <w:t xml:space="preserve"> </w:t>
      </w:r>
      <w:r w:rsidR="00000FAA" w:rsidRPr="00E76E89">
        <w:rPr>
          <w:szCs w:val="24"/>
        </w:rPr>
        <w:t>BK redakcijos nuostatos nuteistiesiems negalėjo būti pritaikytos. Jas taikant ankstesnių įvykių atžvilgiu yra pažeidžiamos tarptautinės teisės normos ir žmogaus teisės. Gynėjo teigimu, pirmosios instancijos teismas, apsiribodamas Konstitucinio Teismo 2014 m. kovo 18 d. nutarimo citavimu, neišsprendė BK 3 straipsnio prieštaravimo Konstitucijai klausimo, nes minėtoje byloje Konstitucinis Teismas nesprendė tokių klausimų, kurie keliami nagrinėjamu atveju. Todėl gynybos įsitikinimu, byloje būtina iš dalies atnaujinti įrodymų tyrimą ir kreiptis į Konstitucinį Teismą, siekiant ištirti</w:t>
      </w:r>
      <w:r w:rsidR="00C04CFB" w:rsidRPr="00E76E89">
        <w:rPr>
          <w:szCs w:val="24"/>
        </w:rPr>
        <w:t>,</w:t>
      </w:r>
      <w:r w:rsidR="00000FAA" w:rsidRPr="00E76E89">
        <w:rPr>
          <w:szCs w:val="24"/>
        </w:rPr>
        <w:t xml:space="preserve"> ar BK 3 straipsnio 3 dalies normos, kuriomis numatyta, jog baudžiamasis įstatymas, nustatantis veikos nusikalstamumą, griežtinantis bausmę arba kitaip sunkinantis nusikalstamą veiką padariusio asmens teisinę padėtį, turi grįžtamąją galią, jei padaryti tam tikri karo nusikaltimai ar nusikaltimai žmo</w:t>
      </w:r>
      <w:r w:rsidR="005E6CFE" w:rsidRPr="00E76E89">
        <w:rPr>
          <w:szCs w:val="24"/>
        </w:rPr>
        <w:t>niškumui</w:t>
      </w:r>
      <w:r w:rsidR="00B129A2" w:rsidRPr="00E76E89">
        <w:rPr>
          <w:szCs w:val="24"/>
        </w:rPr>
        <w:t xml:space="preserve"> neprieštarauja Romos </w:t>
      </w:r>
      <w:r w:rsidR="00000FAA" w:rsidRPr="00E76E89">
        <w:rPr>
          <w:szCs w:val="24"/>
        </w:rPr>
        <w:t>statutui i</w:t>
      </w:r>
      <w:r w:rsidR="00770B0B" w:rsidRPr="00E76E89">
        <w:rPr>
          <w:szCs w:val="24"/>
        </w:rPr>
        <w:t>r Konstitucijos 31 straipsnio 4 </w:t>
      </w:r>
      <w:r w:rsidR="00000FAA" w:rsidRPr="00E76E89">
        <w:rPr>
          <w:szCs w:val="24"/>
        </w:rPr>
        <w:t>dalies, 135 straipsnio 1 dalies ir 138 straipsnio 3</w:t>
      </w:r>
      <w:r w:rsidR="00C04CFB" w:rsidRPr="00E76E89">
        <w:rPr>
          <w:szCs w:val="24"/>
        </w:rPr>
        <w:t> </w:t>
      </w:r>
      <w:r w:rsidR="00000FAA" w:rsidRPr="00E76E89">
        <w:rPr>
          <w:szCs w:val="24"/>
        </w:rPr>
        <w:t>dalies nuostatoms.</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 xml:space="preserve">Apelianto įsitikinimu, teismas nepagrįstai pripažino, kad nuteistasis veikė bendrininkų grupe ir </w:t>
      </w:r>
      <w:r w:rsidR="00C04CFB" w:rsidRPr="00E76E89">
        <w:rPr>
          <w:szCs w:val="24"/>
        </w:rPr>
        <w:t xml:space="preserve">šiurkščiai </w:t>
      </w:r>
      <w:r w:rsidRPr="00E76E89">
        <w:rPr>
          <w:szCs w:val="24"/>
        </w:rPr>
        <w:t>pažeidė BK 25 straipsnio 2 dalies nuostatas</w:t>
      </w:r>
      <w:r w:rsidR="00226266" w:rsidRPr="00E76E89">
        <w:rPr>
          <w:szCs w:val="24"/>
        </w:rPr>
        <w:t>,</w:t>
      </w:r>
      <w:r w:rsidRPr="00E76E89">
        <w:rPr>
          <w:szCs w:val="24"/>
        </w:rPr>
        <w:t xml:space="preserve"> bei nesivadovavo LAT praktika aiškin</w:t>
      </w:r>
      <w:r w:rsidR="00226266" w:rsidRPr="00E76E89">
        <w:rPr>
          <w:szCs w:val="24"/>
        </w:rPr>
        <w:t>damas</w:t>
      </w:r>
      <w:r w:rsidRPr="00E76E89">
        <w:rPr>
          <w:szCs w:val="24"/>
        </w:rPr>
        <w:t xml:space="preserve"> bendrininkavimo požymius. Be to, teismas neįvertino tarnybos kariuomenėje subordinacijos svarbos ir šios tarnybos veikimo principų</w:t>
      </w:r>
      <w:r w:rsidR="00BB5042" w:rsidRPr="00E76E89">
        <w:rPr>
          <w:szCs w:val="24"/>
        </w:rPr>
        <w:t>,</w:t>
      </w:r>
      <w:r w:rsidRPr="00E76E89">
        <w:rPr>
          <w:szCs w:val="24"/>
        </w:rPr>
        <w:t xml:space="preserve"> iš kurių </w:t>
      </w:r>
      <w:r w:rsidR="00C04CFB" w:rsidRPr="00E76E89">
        <w:rPr>
          <w:szCs w:val="24"/>
        </w:rPr>
        <w:t>matyti</w:t>
      </w:r>
      <w:r w:rsidRPr="00E76E89">
        <w:rPr>
          <w:szCs w:val="24"/>
        </w:rPr>
        <w:t>, kad kariškiai negali būti bendrininkais dėl veikimo karinio statuto pagrindu. Anot gynėjo, tapatinant karo tarnybos prievolininką su nusikalstam</w:t>
      </w:r>
      <w:r w:rsidR="00C04CFB" w:rsidRPr="00E76E89">
        <w:rPr>
          <w:szCs w:val="24"/>
        </w:rPr>
        <w:t>a</w:t>
      </w:r>
      <w:r w:rsidRPr="00E76E89">
        <w:rPr>
          <w:szCs w:val="24"/>
        </w:rPr>
        <w:t xml:space="preserve">i veikiančių asmenų grupe buvo diskredituoti kario priesaikos žodžiai ir paneigta Konstitucijoje įtvirtinta piliečių pareiga atlikti karo tarnybą. </w:t>
      </w:r>
    </w:p>
    <w:p w:rsidR="00000FAA" w:rsidRPr="00E76E89" w:rsidRDefault="00000FAA" w:rsidP="00321748">
      <w:pPr>
        <w:pStyle w:val="ListParagraph"/>
        <w:numPr>
          <w:ilvl w:val="1"/>
          <w:numId w:val="6"/>
        </w:numPr>
        <w:spacing w:before="120" w:after="120"/>
        <w:ind w:left="992" w:hanging="992"/>
        <w:contextualSpacing w:val="0"/>
        <w:rPr>
          <w:szCs w:val="24"/>
        </w:rPr>
      </w:pPr>
      <w:r w:rsidRPr="00E76E89">
        <w:rPr>
          <w:szCs w:val="24"/>
        </w:rPr>
        <w:t>Nuteisto</w:t>
      </w:r>
      <w:r w:rsidR="00E508EB" w:rsidRPr="00E76E89">
        <w:rPr>
          <w:szCs w:val="24"/>
        </w:rPr>
        <w:t xml:space="preserve">jo </w:t>
      </w:r>
      <w:r w:rsidR="00385BC9" w:rsidRPr="00E76E89">
        <w:rPr>
          <w:szCs w:val="24"/>
        </w:rPr>
        <w:t>M. G.</w:t>
      </w:r>
      <w:r w:rsidRPr="00E76E89">
        <w:rPr>
          <w:szCs w:val="24"/>
        </w:rPr>
        <w:t xml:space="preserve"> gynėjas taip pat teigia, kad pirmosios instancijos teismas pažeidė BPK 20 straipsnio reikalavimus</w:t>
      </w:r>
      <w:r w:rsidRPr="00E76E89" w:rsidDel="006C49E6">
        <w:rPr>
          <w:szCs w:val="24"/>
        </w:rPr>
        <w:t xml:space="preserve"> </w:t>
      </w:r>
      <w:r w:rsidRPr="00E76E89">
        <w:rPr>
          <w:szCs w:val="24"/>
        </w:rPr>
        <w:t xml:space="preserve">vertindamas įrodymus: </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szCs w:val="24"/>
        </w:rPr>
        <w:t xml:space="preserve">Apygardos teismas nuosprendį grindė paties </w:t>
      </w:r>
      <w:r w:rsidR="00385BC9" w:rsidRPr="00E76E89">
        <w:rPr>
          <w:szCs w:val="24"/>
        </w:rPr>
        <w:t>M. G.</w:t>
      </w:r>
      <w:r w:rsidRPr="00E76E89">
        <w:rPr>
          <w:szCs w:val="24"/>
        </w:rPr>
        <w:t xml:space="preserve"> pozicija, tačiau jis niekada prokurorui ar ikiteisminio tyrimo pareigūnui parodymų nedavė. Teismas netikrino jo paaiškinimų, jog po 1991 m. įvykių Vilniuje jis nebuvo apklaustas. Bylos medžiagoje nežinia iš kur atsirado nepasirašytas anonimi</w:t>
      </w:r>
      <w:r w:rsidR="00C04CFB" w:rsidRPr="00E76E89">
        <w:rPr>
          <w:szCs w:val="24"/>
        </w:rPr>
        <w:t>nis</w:t>
      </w:r>
      <w:r w:rsidRPr="00E76E89">
        <w:rPr>
          <w:szCs w:val="24"/>
        </w:rPr>
        <w:t xml:space="preserve"> tekstas, pri</w:t>
      </w:r>
      <w:r w:rsidR="00C04CFB" w:rsidRPr="00E76E89">
        <w:rPr>
          <w:szCs w:val="24"/>
        </w:rPr>
        <w:t>dėtas</w:t>
      </w:r>
      <w:r w:rsidRPr="00E76E89">
        <w:rPr>
          <w:szCs w:val="24"/>
        </w:rPr>
        <w:t xml:space="preserve"> pagal prokuratūros darbuotojo G</w:t>
      </w:r>
      <w:r w:rsidR="00660130" w:rsidRPr="00E76E89">
        <w:rPr>
          <w:szCs w:val="24"/>
        </w:rPr>
        <w:t>.</w:t>
      </w:r>
      <w:r w:rsidRPr="00E76E89">
        <w:rPr>
          <w:szCs w:val="24"/>
        </w:rPr>
        <w:t xml:space="preserve"> pažymą, kad šis buvo susitikęs su asmenimis, tiriančiais Maskvos pučo bylą, ir taip gauti nuteistojo parodymai dėl komandiruot</w:t>
      </w:r>
      <w:r w:rsidR="00001989" w:rsidRPr="00E76E89">
        <w:rPr>
          <w:szCs w:val="24"/>
        </w:rPr>
        <w:t>ės į Vilnių (t. 192, b. l. 206–</w:t>
      </w:r>
      <w:r w:rsidRPr="00E76E89">
        <w:rPr>
          <w:szCs w:val="24"/>
        </w:rPr>
        <w:t xml:space="preserve">211). Tokie duomenys, gynybos įsitikinimu, negali būti laikomi įrodymais, nes jie yra melagingi. Nuosprendis grindžiamas ir kitais, tariamai </w:t>
      </w:r>
      <w:r w:rsidR="00385BC9" w:rsidRPr="00E76E89">
        <w:rPr>
          <w:szCs w:val="24"/>
        </w:rPr>
        <w:t>M. G.</w:t>
      </w:r>
      <w:r w:rsidRPr="00E76E89">
        <w:rPr>
          <w:szCs w:val="24"/>
        </w:rPr>
        <w:t xml:space="preserve"> duotais paaiškin</w:t>
      </w:r>
      <w:r w:rsidR="00001989" w:rsidRPr="00E76E89">
        <w:rPr>
          <w:szCs w:val="24"/>
        </w:rPr>
        <w:t>imais dėl įvykių (t. 754, b. l. 113–</w:t>
      </w:r>
      <w:r w:rsidRPr="00E76E89">
        <w:rPr>
          <w:szCs w:val="24"/>
        </w:rPr>
        <w:t xml:space="preserve">130), tačiau ir šie paaiškinimai neatspindi faktinių aplinkybių, kurias teismas privalėjo patikrinti ir įvertinti. Teismas netikrino paaiškinimų, jog prie TV bokšto ir kitų objektų civiliai rinkosi ne stichiškai, o raginami </w:t>
      </w:r>
      <w:r w:rsidR="00970DB0" w:rsidRPr="00E76E89">
        <w:rPr>
          <w:szCs w:val="24"/>
        </w:rPr>
        <w:t xml:space="preserve">Lietuvos </w:t>
      </w:r>
      <w:r w:rsidRPr="00E76E89">
        <w:rPr>
          <w:szCs w:val="24"/>
        </w:rPr>
        <w:t xml:space="preserve">Aukščiausiosios Tarybos pasipriešinti TSRS veiksmams. Anot gynybos, nuosprendyje tiesiogiai nurodyta, kad šios aplinkybės nesusijusios su pareikštais kaltinimais, todėl kolegija plačiau jų neanalizuoja ir dėl kaltinamojo nuomonės nepasisako. </w:t>
      </w:r>
    </w:p>
    <w:p w:rsidR="00000FAA" w:rsidRPr="00E76E89" w:rsidRDefault="00385BC9" w:rsidP="00321748">
      <w:pPr>
        <w:pStyle w:val="ListParagraph"/>
        <w:numPr>
          <w:ilvl w:val="2"/>
          <w:numId w:val="6"/>
        </w:numPr>
        <w:spacing w:before="120" w:after="120"/>
        <w:ind w:left="992" w:hanging="992"/>
        <w:contextualSpacing w:val="0"/>
        <w:rPr>
          <w:szCs w:val="24"/>
        </w:rPr>
      </w:pPr>
      <w:r w:rsidRPr="00E76E89">
        <w:rPr>
          <w:szCs w:val="24"/>
        </w:rPr>
        <w:t>M. G.</w:t>
      </w:r>
      <w:r w:rsidR="00000FAA" w:rsidRPr="00E76E89">
        <w:rPr>
          <w:szCs w:val="24"/>
        </w:rPr>
        <w:t xml:space="preserve"> kaltė grindžiama ir TSRS VSK (</w:t>
      </w:r>
      <w:r w:rsidR="00DE3B19" w:rsidRPr="00E76E89">
        <w:rPr>
          <w:szCs w:val="24"/>
        </w:rPr>
        <w:t>KGB) grupės „A</w:t>
      </w:r>
      <w:r w:rsidR="00000FAA" w:rsidRPr="00E76E89">
        <w:rPr>
          <w:szCs w:val="24"/>
        </w:rPr>
        <w:t>“ viršininko V. K</w:t>
      </w:r>
      <w:r w:rsidR="00DD1A27" w:rsidRPr="00E76E89">
        <w:rPr>
          <w:szCs w:val="24"/>
        </w:rPr>
        <w:t>.</w:t>
      </w:r>
      <w:r w:rsidR="00000FAA" w:rsidRPr="00E76E89">
        <w:rPr>
          <w:szCs w:val="24"/>
        </w:rPr>
        <w:t xml:space="preserve"> parodymais, kuris neva žinojo, kad ši grupė siunčiama į Vilnių ir</w:t>
      </w:r>
      <w:r w:rsidR="00C04CFB" w:rsidRPr="00E76E89">
        <w:rPr>
          <w:szCs w:val="24"/>
        </w:rPr>
        <w:t xml:space="preserve"> kad</w:t>
      </w:r>
      <w:r w:rsidR="00000FAA" w:rsidRPr="00E76E89">
        <w:rPr>
          <w:szCs w:val="24"/>
        </w:rPr>
        <w:t xml:space="preserve"> po operacijos apie jos eigą </w:t>
      </w:r>
      <w:r w:rsidRPr="00E76E89">
        <w:rPr>
          <w:szCs w:val="24"/>
        </w:rPr>
        <w:t>M. G.</w:t>
      </w:r>
      <w:r w:rsidR="00000FAA" w:rsidRPr="00E76E89">
        <w:rPr>
          <w:szCs w:val="24"/>
        </w:rPr>
        <w:t xml:space="preserve"> par</w:t>
      </w:r>
      <w:r w:rsidR="00226266" w:rsidRPr="00E76E89">
        <w:rPr>
          <w:szCs w:val="24"/>
        </w:rPr>
        <w:t xml:space="preserve">engė </w:t>
      </w:r>
      <w:r w:rsidR="00000FAA" w:rsidRPr="00E76E89">
        <w:rPr>
          <w:szCs w:val="24"/>
        </w:rPr>
        <w:t>vadovybei pažymą. Visgi, gynybos įsitikinimu, aptariamoje pažymoje nurodoma tik apie dalyvavimą įvykiuose ir civilių nuginklavimą, ir ši informacija neįrodo inkriminuojamų nusikaltimų.</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szCs w:val="24"/>
        </w:rPr>
        <w:t xml:space="preserve">Apeliaciniame skunde nurodoma, kad teismas netinkamai vertino byloje esantį </w:t>
      </w:r>
      <w:r w:rsidR="00385BC9" w:rsidRPr="00E76E89">
        <w:rPr>
          <w:szCs w:val="24"/>
        </w:rPr>
        <w:t>M. G.</w:t>
      </w:r>
      <w:r w:rsidRPr="00E76E89">
        <w:rPr>
          <w:szCs w:val="24"/>
        </w:rPr>
        <w:t xml:space="preserve"> interviu „Ria Novosti“ korespondentui apie gauto įsakymo vykdymą ir vykimą į Vilnių 1991</w:t>
      </w:r>
      <w:r w:rsidR="00BB5042" w:rsidRPr="00E76E89">
        <w:rPr>
          <w:szCs w:val="24"/>
        </w:rPr>
        <w:t> </w:t>
      </w:r>
      <w:r w:rsidRPr="00E76E89">
        <w:rPr>
          <w:szCs w:val="24"/>
        </w:rPr>
        <w:t>metais, nes inkriminuojant nusikaltimus žmoniškumui būtina nustatyti, kad jis gavo ir vykdė įsakymą naikinti civilius arba tai darė savo iniciatyva. Byloje nėra jokių duomenų, kad įsakymo turinys buvo būtent tokio pobūdžio.</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szCs w:val="24"/>
        </w:rPr>
        <w:lastRenderedPageBreak/>
        <w:t xml:space="preserve">Nuteistojo kaltė grindžiama ir prieštaringa TSRS VSK pirmininko </w:t>
      </w:r>
      <w:r w:rsidR="00C507EF" w:rsidRPr="00E76E89">
        <w:rPr>
          <w:szCs w:val="24"/>
        </w:rPr>
        <w:t>V. K.</w:t>
      </w:r>
      <w:r w:rsidRPr="00E76E89">
        <w:rPr>
          <w:szCs w:val="24"/>
        </w:rPr>
        <w:t xml:space="preserve"> pozicija, atsispindinčia įvairiose pažymose. Šis asmuo nurodo, jog </w:t>
      </w:r>
      <w:r w:rsidR="005B0434" w:rsidRPr="00E76E89">
        <w:rPr>
          <w:szCs w:val="24"/>
        </w:rPr>
        <w:t xml:space="preserve">1991 m. </w:t>
      </w:r>
      <w:r w:rsidRPr="00E76E89">
        <w:rPr>
          <w:szCs w:val="24"/>
        </w:rPr>
        <w:t>sausio mėn. įvykių metu TSRS VSK padalinio kariškiams</w:t>
      </w:r>
      <w:r w:rsidR="00BB5042" w:rsidRPr="00E76E89">
        <w:rPr>
          <w:szCs w:val="24"/>
        </w:rPr>
        <w:t>,</w:t>
      </w:r>
      <w:r w:rsidRPr="00E76E89">
        <w:rPr>
          <w:szCs w:val="24"/>
        </w:rPr>
        <w:t xml:space="preserve"> turintiems Makarovo pistoletus</w:t>
      </w:r>
      <w:r w:rsidR="00BB5042" w:rsidRPr="00E76E89">
        <w:rPr>
          <w:szCs w:val="24"/>
        </w:rPr>
        <w:t>,</w:t>
      </w:r>
      <w:r w:rsidRPr="00E76E89">
        <w:rPr>
          <w:szCs w:val="24"/>
        </w:rPr>
        <w:t xml:space="preserve"> buvo išduoti koviniai šoviniai. Tačiau teismas nenustatė priežastinio ryšio tarp pistoletų ir kitų nenustatytų priemonių išdavimo TSRS VSK „A“ grupei bei asmenų veiksmų ir byloje nustatytų žalingų pa</w:t>
      </w:r>
      <w:r w:rsidR="00703D48" w:rsidRPr="00E76E89">
        <w:rPr>
          <w:szCs w:val="24"/>
        </w:rPr>
        <w:t>darinių</w:t>
      </w:r>
      <w:r w:rsidRPr="00E76E89">
        <w:rPr>
          <w:szCs w:val="24"/>
        </w:rPr>
        <w:t xml:space="preserve"> kilimo. Minėtose veikose, gynybos įsitikinimu, aiškiai matomi galimai antivalstybinės veiklos, bet ne nusikaltimų žmoniškumui</w:t>
      </w:r>
      <w:r w:rsidR="005026DA" w:rsidRPr="00E76E89">
        <w:rPr>
          <w:szCs w:val="24"/>
        </w:rPr>
        <w:t>,</w:t>
      </w:r>
      <w:r w:rsidRPr="00E76E89">
        <w:rPr>
          <w:szCs w:val="24"/>
        </w:rPr>
        <w:t xml:space="preserve"> požymiai. </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szCs w:val="24"/>
        </w:rPr>
        <w:t xml:space="preserve">Teismas netinkamai įvertino ir </w:t>
      </w:r>
      <w:r w:rsidR="00D37127" w:rsidRPr="00E76E89">
        <w:rPr>
          <w:szCs w:val="24"/>
        </w:rPr>
        <w:t>S. C.</w:t>
      </w:r>
      <w:r w:rsidRPr="00E76E89">
        <w:rPr>
          <w:szCs w:val="24"/>
        </w:rPr>
        <w:t xml:space="preserve"> parodymus apie tai, kad liudytojas </w:t>
      </w:r>
      <w:r w:rsidR="005B0434" w:rsidRPr="00E76E89">
        <w:rPr>
          <w:szCs w:val="24"/>
        </w:rPr>
        <w:t>1991 m. sausio </w:t>
      </w:r>
      <w:r w:rsidR="0043571F" w:rsidRPr="00E76E89">
        <w:rPr>
          <w:szCs w:val="24"/>
        </w:rPr>
        <w:t>12 </w:t>
      </w:r>
      <w:r w:rsidRPr="00E76E89">
        <w:rPr>
          <w:szCs w:val="24"/>
        </w:rPr>
        <w:t>d. vakare buvo susitikęs su grupės „A“ vadovais, informavo ap</w:t>
      </w:r>
      <w:r w:rsidR="00DE3B19" w:rsidRPr="00E76E89">
        <w:rPr>
          <w:szCs w:val="24"/>
        </w:rPr>
        <w:t>ie padėtį Vilniuje, parodė LTSR </w:t>
      </w:r>
      <w:r w:rsidRPr="00E76E89">
        <w:rPr>
          <w:szCs w:val="24"/>
        </w:rPr>
        <w:t xml:space="preserve">VSK objektus, o grupės vyresnysis buvo </w:t>
      </w:r>
      <w:r w:rsidR="00385BC9" w:rsidRPr="00E76E89">
        <w:rPr>
          <w:szCs w:val="24"/>
        </w:rPr>
        <w:t>M. G.</w:t>
      </w:r>
      <w:r w:rsidRPr="00E76E89">
        <w:rPr>
          <w:szCs w:val="24"/>
        </w:rPr>
        <w:t xml:space="preserve">. Gynybos įsitikinimu, iš to teismas negalėjo konstatuoti karininkų siekio sunaikinti civilius dideliu mastu. </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szCs w:val="24"/>
        </w:rPr>
        <w:t>Nuteistojo gynėjas nesutinka su teismo išvada, kad pačių kaltinamųjų nurodytos faktinės 1991 m. sausio įvykių aplinkybės visiškai patvirtina jų dalyvavimą karinėje operacijoje ir aukštesniųjų vadų įsakymų turinį. Tokios teismo išvados yra deklaratyvios ir nepagrįstos, todėl neatitinka nuosprendžio surašymui ir įrodymų vertinimui keliamų reikalavimų.</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szCs w:val="24"/>
        </w:rPr>
        <w:t xml:space="preserve">Liudytojo </w:t>
      </w:r>
      <w:r w:rsidR="00DD1A27" w:rsidRPr="00E76E89">
        <w:rPr>
          <w:szCs w:val="24"/>
        </w:rPr>
        <w:t>V. L.</w:t>
      </w:r>
      <w:r w:rsidRPr="00E76E89">
        <w:rPr>
          <w:szCs w:val="24"/>
        </w:rPr>
        <w:t xml:space="preserve"> parodymai patvirtina, kad </w:t>
      </w:r>
      <w:r w:rsidR="00385BC9" w:rsidRPr="00E76E89">
        <w:rPr>
          <w:szCs w:val="24"/>
        </w:rPr>
        <w:t>M. G.</w:t>
      </w:r>
      <w:r w:rsidRPr="00E76E89">
        <w:rPr>
          <w:szCs w:val="24"/>
        </w:rPr>
        <w:t xml:space="preserve"> ir kiti kariškiai buvo tik įsakymo vykdytojai ir atsisakyti vykdyti </w:t>
      </w:r>
      <w:r w:rsidR="005026DA" w:rsidRPr="00E76E89">
        <w:rPr>
          <w:szCs w:val="24"/>
        </w:rPr>
        <w:t xml:space="preserve">įsakymo </w:t>
      </w:r>
      <w:r w:rsidRPr="00E76E89">
        <w:rPr>
          <w:szCs w:val="24"/>
        </w:rPr>
        <w:t xml:space="preserve">negalėjo. Liudytojas </w:t>
      </w:r>
      <w:r w:rsidR="00DD1A27" w:rsidRPr="00E76E89">
        <w:rPr>
          <w:szCs w:val="24"/>
        </w:rPr>
        <w:t>V. L.</w:t>
      </w:r>
      <w:r w:rsidRPr="00E76E89">
        <w:rPr>
          <w:szCs w:val="24"/>
        </w:rPr>
        <w:t xml:space="preserve"> nenurodė, jog </w:t>
      </w:r>
      <w:r w:rsidR="00DD1A27" w:rsidRPr="00E76E89">
        <w:rPr>
          <w:szCs w:val="24"/>
        </w:rPr>
        <w:t>M. G.</w:t>
      </w:r>
      <w:r w:rsidRPr="00E76E89">
        <w:rPr>
          <w:szCs w:val="24"/>
        </w:rPr>
        <w:t xml:space="preserve"> įsakymas buvo susijęs ir su žmonių naikinimu. Vertin</w:t>
      </w:r>
      <w:r w:rsidR="00226266" w:rsidRPr="00E76E89">
        <w:rPr>
          <w:szCs w:val="24"/>
        </w:rPr>
        <w:t>damas</w:t>
      </w:r>
      <w:r w:rsidRPr="00E76E89">
        <w:rPr>
          <w:szCs w:val="24"/>
        </w:rPr>
        <w:t xml:space="preserve"> šias aplinkybes</w:t>
      </w:r>
      <w:r w:rsidR="00226266" w:rsidRPr="00E76E89">
        <w:rPr>
          <w:szCs w:val="24"/>
        </w:rPr>
        <w:t>,</w:t>
      </w:r>
      <w:r w:rsidRPr="00E76E89">
        <w:rPr>
          <w:szCs w:val="24"/>
        </w:rPr>
        <w:t xml:space="preserve"> teismas turėjo atskirti nusikaltimus žmoniškumui nuo politinio, ekonominio, socialinio ir ideologinio pasipriešinimo.</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szCs w:val="24"/>
        </w:rPr>
        <w:t>Teismas tiksliai nenustatė</w:t>
      </w:r>
      <w:r w:rsidR="002814EA" w:rsidRPr="00E76E89">
        <w:rPr>
          <w:szCs w:val="24"/>
        </w:rPr>
        <w:t>,</w:t>
      </w:r>
      <w:r w:rsidRPr="00E76E89">
        <w:rPr>
          <w:szCs w:val="24"/>
        </w:rPr>
        <w:t xml:space="preserve"> kas ir kokiais veiksmais bei priemonėmis mirtinai sužalojo asmenis</w:t>
      </w:r>
      <w:r w:rsidR="002814EA" w:rsidRPr="00E76E89">
        <w:rPr>
          <w:szCs w:val="24"/>
        </w:rPr>
        <w:t>,</w:t>
      </w:r>
      <w:r w:rsidRPr="00E76E89">
        <w:rPr>
          <w:szCs w:val="24"/>
        </w:rPr>
        <w:t xml:space="preserve"> ir neatmetė tikimybės, kad inkriminuotus nusikaltimus galėjo padaryti kiti asmenys</w:t>
      </w:r>
      <w:r w:rsidR="002814EA" w:rsidRPr="00E76E89">
        <w:rPr>
          <w:szCs w:val="24"/>
        </w:rPr>
        <w:t>,</w:t>
      </w:r>
      <w:r w:rsidRPr="00E76E89">
        <w:rPr>
          <w:szCs w:val="24"/>
        </w:rPr>
        <w:t xml:space="preserve"> dalyvavę 1991</w:t>
      </w:r>
      <w:r w:rsidR="002814EA" w:rsidRPr="00E76E89">
        <w:rPr>
          <w:szCs w:val="24"/>
        </w:rPr>
        <w:t> </w:t>
      </w:r>
      <w:r w:rsidRPr="00E76E89">
        <w:rPr>
          <w:szCs w:val="24"/>
        </w:rPr>
        <w:t>m. sausio įvykiuose. Anot gynėjo, tai galėjo būti OMON pareigūnai, VRM vidaus kariuomenės kariškiai, Lietuvos</w:t>
      </w:r>
      <w:r w:rsidR="00056CFA" w:rsidRPr="00E76E89">
        <w:rPr>
          <w:szCs w:val="24"/>
        </w:rPr>
        <w:t xml:space="preserve"> krašto apsaugos departamento</w:t>
      </w:r>
      <w:r w:rsidRPr="00E76E89">
        <w:rPr>
          <w:szCs w:val="24"/>
        </w:rPr>
        <w:t xml:space="preserve"> darbuotojai, draugovininkai, LNGK, kitos naujai įsteigtos sukarintos struktūros bei nenustatyti asmenys</w:t>
      </w:r>
      <w:r w:rsidR="00BB5042" w:rsidRPr="00E76E89">
        <w:rPr>
          <w:szCs w:val="24"/>
        </w:rPr>
        <w:t>.</w:t>
      </w:r>
    </w:p>
    <w:p w:rsidR="00000FAA" w:rsidRPr="00E76E89" w:rsidRDefault="00000FAA" w:rsidP="00321748">
      <w:pPr>
        <w:pStyle w:val="ListParagraph"/>
        <w:numPr>
          <w:ilvl w:val="2"/>
          <w:numId w:val="6"/>
        </w:numPr>
        <w:spacing w:before="120" w:after="120"/>
        <w:ind w:left="992" w:hanging="992"/>
        <w:contextualSpacing w:val="0"/>
        <w:rPr>
          <w:szCs w:val="24"/>
        </w:rPr>
      </w:pPr>
      <w:r w:rsidRPr="00E76E89">
        <w:rPr>
          <w:bCs/>
          <w:szCs w:val="24"/>
        </w:rPr>
        <w:t>Apelianto teigimu, nors teismas pripažino asmenis kaltais dėl nusikalstamo įsakymo vykdymo arba tokio įsakymo davimo, tačiau nuosprendyje nenurodytas n</w:t>
      </w:r>
      <w:r w:rsidR="002814EA" w:rsidRPr="00E76E89">
        <w:rPr>
          <w:bCs/>
          <w:szCs w:val="24"/>
        </w:rPr>
        <w:t>ė</w:t>
      </w:r>
      <w:r w:rsidRPr="00E76E89">
        <w:rPr>
          <w:bCs/>
          <w:szCs w:val="24"/>
        </w:rPr>
        <w:t xml:space="preserve"> vienas faktas, pagrindžiantis teismo išvadas apie tai, kad būtų duotas nusikalstamas įsakymas naikinti ar žudyti humanitarinės teisės ginamus asmenis. Tokią savo poziciją gynėjas grindžia nuosprendyje aptartais liudytojų ir kaltinamųjų (</w:t>
      </w:r>
      <w:r w:rsidR="00DD1A27" w:rsidRPr="00E76E89">
        <w:rPr>
          <w:bCs/>
          <w:szCs w:val="24"/>
        </w:rPr>
        <w:t>E. B.</w:t>
      </w:r>
      <w:r w:rsidRPr="00E76E89">
        <w:rPr>
          <w:bCs/>
          <w:szCs w:val="24"/>
        </w:rPr>
        <w:t xml:space="preserve">, </w:t>
      </w:r>
      <w:r w:rsidR="00DD1A27" w:rsidRPr="00E76E89">
        <w:rPr>
          <w:bCs/>
          <w:szCs w:val="24"/>
        </w:rPr>
        <w:t>M. M.</w:t>
      </w:r>
      <w:r w:rsidRPr="00E76E89">
        <w:rPr>
          <w:bCs/>
          <w:szCs w:val="24"/>
        </w:rPr>
        <w:t xml:space="preserve">, </w:t>
      </w:r>
      <w:r w:rsidR="00DD1A27" w:rsidRPr="00E76E89">
        <w:rPr>
          <w:bCs/>
          <w:szCs w:val="24"/>
        </w:rPr>
        <w:t>P. L.</w:t>
      </w:r>
      <w:r w:rsidRPr="00E76E89">
        <w:rPr>
          <w:bCs/>
          <w:szCs w:val="24"/>
        </w:rPr>
        <w:t xml:space="preserve">, </w:t>
      </w:r>
      <w:r w:rsidR="00DD1A27" w:rsidRPr="00E76E89">
        <w:rPr>
          <w:bCs/>
          <w:szCs w:val="24"/>
        </w:rPr>
        <w:t>S. S.</w:t>
      </w:r>
      <w:r w:rsidRPr="00E76E89">
        <w:rPr>
          <w:bCs/>
          <w:szCs w:val="24"/>
        </w:rPr>
        <w:t>, R. L</w:t>
      </w:r>
      <w:r w:rsidR="00DD1A27" w:rsidRPr="00E76E89">
        <w:rPr>
          <w:bCs/>
          <w:szCs w:val="24"/>
        </w:rPr>
        <w:t>.</w:t>
      </w:r>
      <w:r w:rsidRPr="00E76E89">
        <w:rPr>
          <w:bCs/>
          <w:szCs w:val="24"/>
        </w:rPr>
        <w:t>,</w:t>
      </w:r>
      <w:r w:rsidR="000F1CE1" w:rsidRPr="00E76E89">
        <w:rPr>
          <w:bCs/>
          <w:szCs w:val="24"/>
        </w:rPr>
        <w:t xml:space="preserve"> </w:t>
      </w:r>
      <w:r w:rsidRPr="00E76E89">
        <w:rPr>
          <w:bCs/>
          <w:szCs w:val="24"/>
        </w:rPr>
        <w:t>V. V</w:t>
      </w:r>
      <w:r w:rsidR="00DD1A27" w:rsidRPr="00E76E89">
        <w:rPr>
          <w:bCs/>
          <w:szCs w:val="24"/>
        </w:rPr>
        <w:t>.</w:t>
      </w:r>
      <w:r w:rsidRPr="00E76E89">
        <w:rPr>
          <w:bCs/>
          <w:szCs w:val="24"/>
        </w:rPr>
        <w:t>, V. V</w:t>
      </w:r>
      <w:r w:rsidR="00DD1A27" w:rsidRPr="00E76E89">
        <w:rPr>
          <w:bCs/>
          <w:szCs w:val="24"/>
        </w:rPr>
        <w:t>.</w:t>
      </w:r>
      <w:r w:rsidRPr="00E76E89">
        <w:rPr>
          <w:bCs/>
          <w:szCs w:val="24"/>
        </w:rPr>
        <w:t xml:space="preserve">, </w:t>
      </w:r>
      <w:r w:rsidR="006036E7" w:rsidRPr="00E76E89">
        <w:rPr>
          <w:bCs/>
          <w:szCs w:val="24"/>
        </w:rPr>
        <w:t>E. M.</w:t>
      </w:r>
      <w:r w:rsidRPr="00E76E89">
        <w:rPr>
          <w:bCs/>
          <w:szCs w:val="24"/>
        </w:rPr>
        <w:t xml:space="preserve">, </w:t>
      </w:r>
      <w:r w:rsidR="00C82C9D" w:rsidRPr="00E76E89">
        <w:rPr>
          <w:bCs/>
          <w:szCs w:val="24"/>
        </w:rPr>
        <w:t>N. S.</w:t>
      </w:r>
      <w:r w:rsidRPr="00E76E89">
        <w:rPr>
          <w:bCs/>
          <w:szCs w:val="24"/>
        </w:rPr>
        <w:t xml:space="preserve">, </w:t>
      </w:r>
      <w:r w:rsidR="00A97F74" w:rsidRPr="00E76E89">
        <w:rPr>
          <w:bCs/>
          <w:szCs w:val="24"/>
        </w:rPr>
        <w:t>N. O.</w:t>
      </w:r>
      <w:r w:rsidRPr="00E76E89">
        <w:rPr>
          <w:bCs/>
          <w:szCs w:val="24"/>
        </w:rPr>
        <w:t>,</w:t>
      </w:r>
      <w:r w:rsidR="000F1CE1" w:rsidRPr="00E76E89">
        <w:rPr>
          <w:bCs/>
          <w:szCs w:val="24"/>
        </w:rPr>
        <w:t xml:space="preserve"> </w:t>
      </w:r>
      <w:r w:rsidR="00BA18FA" w:rsidRPr="00E76E89">
        <w:rPr>
          <w:bCs/>
          <w:szCs w:val="24"/>
        </w:rPr>
        <w:t>G. I.</w:t>
      </w:r>
      <w:r w:rsidRPr="00E76E89">
        <w:rPr>
          <w:bCs/>
          <w:szCs w:val="24"/>
        </w:rPr>
        <w:t>, A. S</w:t>
      </w:r>
      <w:r w:rsidR="00DD1A27" w:rsidRPr="00E76E89">
        <w:rPr>
          <w:bCs/>
          <w:szCs w:val="24"/>
        </w:rPr>
        <w:t>.</w:t>
      </w:r>
      <w:r w:rsidRPr="00E76E89">
        <w:rPr>
          <w:bCs/>
          <w:szCs w:val="24"/>
        </w:rPr>
        <w:t xml:space="preserve">, </w:t>
      </w:r>
      <w:r w:rsidR="00C82C9D" w:rsidRPr="00E76E89">
        <w:rPr>
          <w:bCs/>
          <w:szCs w:val="24"/>
        </w:rPr>
        <w:t>V. Š. 3</w:t>
      </w:r>
      <w:r w:rsidRPr="00E76E89">
        <w:rPr>
          <w:bCs/>
          <w:szCs w:val="24"/>
        </w:rPr>
        <w:t xml:space="preserve">, </w:t>
      </w:r>
      <w:r w:rsidR="00C82C9D" w:rsidRPr="00E76E89">
        <w:rPr>
          <w:bCs/>
          <w:szCs w:val="24"/>
        </w:rPr>
        <w:t>S. V.</w:t>
      </w:r>
      <w:r w:rsidRPr="00E76E89">
        <w:rPr>
          <w:bCs/>
          <w:szCs w:val="24"/>
        </w:rPr>
        <w:t xml:space="preserve">, </w:t>
      </w:r>
      <w:r w:rsidR="00A97F74" w:rsidRPr="00E76E89">
        <w:rPr>
          <w:bCs/>
          <w:szCs w:val="24"/>
        </w:rPr>
        <w:t>A. K. 1</w:t>
      </w:r>
      <w:r w:rsidRPr="00E76E89">
        <w:rPr>
          <w:bCs/>
          <w:szCs w:val="24"/>
        </w:rPr>
        <w:t xml:space="preserve">, </w:t>
      </w:r>
      <w:r w:rsidR="006036E7" w:rsidRPr="00E76E89">
        <w:rPr>
          <w:bCs/>
          <w:szCs w:val="24"/>
        </w:rPr>
        <w:t>A. Z.</w:t>
      </w:r>
      <w:r w:rsidRPr="00E76E89">
        <w:rPr>
          <w:bCs/>
          <w:szCs w:val="24"/>
        </w:rPr>
        <w:t>, I. M</w:t>
      </w:r>
      <w:r w:rsidR="00DD1A27" w:rsidRPr="00E76E89">
        <w:rPr>
          <w:bCs/>
          <w:szCs w:val="24"/>
        </w:rPr>
        <w:t>.</w:t>
      </w:r>
      <w:r w:rsidRPr="00E76E89">
        <w:rPr>
          <w:bCs/>
          <w:szCs w:val="24"/>
        </w:rPr>
        <w:t>, A. Š</w:t>
      </w:r>
      <w:r w:rsidR="00DD1A27" w:rsidRPr="00E76E89">
        <w:rPr>
          <w:bCs/>
          <w:szCs w:val="24"/>
        </w:rPr>
        <w:t>.</w:t>
      </w:r>
      <w:r w:rsidRPr="00E76E89">
        <w:rPr>
          <w:bCs/>
          <w:szCs w:val="24"/>
        </w:rPr>
        <w:t xml:space="preserve">, </w:t>
      </w:r>
      <w:r w:rsidR="006036E7" w:rsidRPr="00E76E89">
        <w:rPr>
          <w:bCs/>
          <w:szCs w:val="24"/>
        </w:rPr>
        <w:t>A. Ž.</w:t>
      </w:r>
      <w:r w:rsidRPr="00E76E89">
        <w:rPr>
          <w:bCs/>
          <w:szCs w:val="24"/>
        </w:rPr>
        <w:t>, A. Š</w:t>
      </w:r>
      <w:r w:rsidR="00DD1A27" w:rsidRPr="00E76E89">
        <w:rPr>
          <w:bCs/>
          <w:szCs w:val="24"/>
        </w:rPr>
        <w:t>.</w:t>
      </w:r>
      <w:r w:rsidRPr="00E76E89">
        <w:rPr>
          <w:bCs/>
          <w:szCs w:val="24"/>
        </w:rPr>
        <w:t>) parodymais ir paaiškinimais apie jiems žinomas aplinkybes, susijusias su du</w:t>
      </w:r>
      <w:r w:rsidR="00BB5042" w:rsidRPr="00E76E89">
        <w:rPr>
          <w:bCs/>
          <w:szCs w:val="24"/>
        </w:rPr>
        <w:t>otais įsakymais ir jų vykdymu. Visgi, gynėjo įsitikinimu,</w:t>
      </w:r>
      <w:r w:rsidRPr="00E76E89">
        <w:rPr>
          <w:bCs/>
          <w:szCs w:val="24"/>
        </w:rPr>
        <w:t xml:space="preserve"> teismo teiginiai ir minėtų asmenų paaiškinimai vienareikšmiškai įrodo, kad n</w:t>
      </w:r>
      <w:r w:rsidR="002814EA" w:rsidRPr="00E76E89">
        <w:rPr>
          <w:bCs/>
          <w:szCs w:val="24"/>
        </w:rPr>
        <w:t>ė</w:t>
      </w:r>
      <w:r w:rsidRPr="00E76E89">
        <w:rPr>
          <w:bCs/>
          <w:szCs w:val="24"/>
        </w:rPr>
        <w:t xml:space="preserve"> vienas asmuo nedavė jokios komandos, nukreiptos į civilių žudymą, žalojimą antihumanitariniais tikslais. Bylos duomenys rodo, kad TSRS politika buvo formuojama ne nusikaltimams žmoniškumui vykdyti, o valstybės valdžios perėmimui po to, kai Lietuva paskelbė nepriklausomybę.</w:t>
      </w:r>
    </w:p>
    <w:p w:rsidR="008B4E58" w:rsidRPr="00C00255" w:rsidRDefault="008B4E58" w:rsidP="00321748">
      <w:pPr>
        <w:pStyle w:val="ListParagraph"/>
        <w:numPr>
          <w:ilvl w:val="0"/>
          <w:numId w:val="6"/>
        </w:numPr>
        <w:spacing w:after="120"/>
        <w:ind w:left="992" w:hanging="992"/>
        <w:contextualSpacing w:val="0"/>
        <w:rPr>
          <w:b/>
          <w:szCs w:val="24"/>
        </w:rPr>
      </w:pPr>
      <w:r w:rsidRPr="008B4E58">
        <w:rPr>
          <w:b/>
        </w:rPr>
        <w:t>Nuteistojo J. Č. gynėja advokatė R. Atkočaitienė</w:t>
      </w:r>
      <w:r w:rsidRPr="00A90DEB">
        <w:t xml:space="preserve"> apeliaciniu skundu prašo panaikinti pirmosios instancijos teismo nuosprendį ir jos ginamąjį išteisinti.</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Gynybos įsitikinimu</w:t>
      </w:r>
      <w:r w:rsidR="00057726" w:rsidRPr="00E76E89">
        <w:rPr>
          <w:szCs w:val="24"/>
        </w:rPr>
        <w:t>,</w:t>
      </w:r>
      <w:r w:rsidRPr="00E76E89">
        <w:rPr>
          <w:szCs w:val="24"/>
        </w:rPr>
        <w:t xml:space="preserve"> byla išnagrinėta neobjektyviai, teismas netinkamai taikė nacionalinės ir tarptautinės teisės normas, o įrodymus vertino pažeisdamas BPK 20 straipsnio 5 dalies ir 305 straipsnio 1 dalies 2 dalies nuostatas, nes byloje nepakanka duomenų, kad nuteistasis padarė jam inkriminuotas veikas.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Anot apeliantės, jos ginamojo veikoje nėra 3 būtinųjų inkriminuotų nusikaltimų sudėties požymių – tiesioginės tyčios, veikos, dėl kurios nukentėjo civiliai</w:t>
      </w:r>
      <w:r w:rsidR="002814EA" w:rsidRPr="00E76E89">
        <w:rPr>
          <w:szCs w:val="24"/>
        </w:rPr>
        <w:t>,</w:t>
      </w:r>
      <w:r w:rsidRPr="00E76E89">
        <w:rPr>
          <w:szCs w:val="24"/>
        </w:rPr>
        <w:t xml:space="preserve"> ir jis nėra nusikaltimų </w:t>
      </w:r>
      <w:r w:rsidRPr="00E76E89">
        <w:rPr>
          <w:szCs w:val="24"/>
        </w:rPr>
        <w:lastRenderedPageBreak/>
        <w:t xml:space="preserve">subjektu. Konstatuoti </w:t>
      </w:r>
      <w:r w:rsidR="00385BC9" w:rsidRPr="00E76E89">
        <w:rPr>
          <w:szCs w:val="24"/>
        </w:rPr>
        <w:t>J. Č.</w:t>
      </w:r>
      <w:r w:rsidRPr="00E76E89">
        <w:rPr>
          <w:szCs w:val="24"/>
        </w:rPr>
        <w:t xml:space="preserve"> veikimo tiesiogine tyčia negalima</w:t>
      </w:r>
      <w:r w:rsidR="002814EA" w:rsidRPr="00E76E89">
        <w:rPr>
          <w:szCs w:val="24"/>
        </w:rPr>
        <w:t>,</w:t>
      </w:r>
      <w:r w:rsidRPr="00E76E89">
        <w:rPr>
          <w:szCs w:val="24"/>
        </w:rPr>
        <w:t xml:space="preserve"> nes jis neturėjo pasirinkimo galimybės vykd</w:t>
      </w:r>
      <w:r w:rsidR="005026DA" w:rsidRPr="00E76E89">
        <w:rPr>
          <w:szCs w:val="24"/>
        </w:rPr>
        <w:t>yti</w:t>
      </w:r>
      <w:r w:rsidRPr="00E76E89">
        <w:rPr>
          <w:szCs w:val="24"/>
        </w:rPr>
        <w:t xml:space="preserve"> įsakymą</w:t>
      </w:r>
      <w:r w:rsidR="005026DA" w:rsidRPr="00E76E89">
        <w:rPr>
          <w:szCs w:val="24"/>
        </w:rPr>
        <w:t xml:space="preserve"> ar jo nevykdyti</w:t>
      </w:r>
      <w:r w:rsidRPr="00E76E89">
        <w:rPr>
          <w:szCs w:val="24"/>
        </w:rPr>
        <w:t xml:space="preserve">. </w:t>
      </w:r>
      <w:r w:rsidR="00385BC9" w:rsidRPr="00E76E89">
        <w:rPr>
          <w:szCs w:val="24"/>
        </w:rPr>
        <w:t>J. Č.</w:t>
      </w:r>
      <w:r w:rsidRPr="00E76E89">
        <w:rPr>
          <w:szCs w:val="24"/>
        </w:rPr>
        <w:t xml:space="preserve"> buvo pavaldus divizijos vadui, todėl net ir įsakymas, dėl kurio teisėtumo abejotų, buvo </w:t>
      </w:r>
      <w:r w:rsidR="005026DA" w:rsidRPr="00E76E89">
        <w:rPr>
          <w:szCs w:val="24"/>
        </w:rPr>
        <w:t xml:space="preserve">jam </w:t>
      </w:r>
      <w:r w:rsidRPr="00E76E89">
        <w:rPr>
          <w:szCs w:val="24"/>
        </w:rPr>
        <w:t>privalomas. Už įsakymo nevykdymą galioj</w:t>
      </w:r>
      <w:r w:rsidR="002814EA" w:rsidRPr="00E76E89">
        <w:rPr>
          <w:szCs w:val="24"/>
        </w:rPr>
        <w:t>usiuose</w:t>
      </w:r>
      <w:r w:rsidRPr="00E76E89">
        <w:rPr>
          <w:szCs w:val="24"/>
        </w:rPr>
        <w:t xml:space="preserve"> teisės akt</w:t>
      </w:r>
      <w:r w:rsidR="002814EA" w:rsidRPr="00E76E89">
        <w:rPr>
          <w:szCs w:val="24"/>
        </w:rPr>
        <w:t>uose</w:t>
      </w:r>
      <w:r w:rsidRPr="00E76E89">
        <w:rPr>
          <w:szCs w:val="24"/>
        </w:rPr>
        <w:t xml:space="preserve"> </w:t>
      </w:r>
      <w:r w:rsidR="002814EA" w:rsidRPr="00E76E89">
        <w:rPr>
          <w:szCs w:val="24"/>
        </w:rPr>
        <w:t xml:space="preserve">buvo </w:t>
      </w:r>
      <w:r w:rsidRPr="00E76E89">
        <w:rPr>
          <w:szCs w:val="24"/>
        </w:rPr>
        <w:t>numat</w:t>
      </w:r>
      <w:r w:rsidR="002814EA" w:rsidRPr="00E76E89">
        <w:rPr>
          <w:szCs w:val="24"/>
        </w:rPr>
        <w:t>yta</w:t>
      </w:r>
      <w:r w:rsidRPr="00E76E89">
        <w:rPr>
          <w:szCs w:val="24"/>
        </w:rPr>
        <w:t xml:space="preserve"> griežt</w:t>
      </w:r>
      <w:r w:rsidR="002814EA" w:rsidRPr="00E76E89">
        <w:rPr>
          <w:szCs w:val="24"/>
        </w:rPr>
        <w:t>a</w:t>
      </w:r>
      <w:r w:rsidRPr="00E76E89">
        <w:rPr>
          <w:szCs w:val="24"/>
        </w:rPr>
        <w:t xml:space="preserve"> baudžiam</w:t>
      </w:r>
      <w:r w:rsidR="002814EA" w:rsidRPr="00E76E89">
        <w:rPr>
          <w:szCs w:val="24"/>
        </w:rPr>
        <w:t xml:space="preserve">oji </w:t>
      </w:r>
      <w:r w:rsidRPr="00E76E89">
        <w:rPr>
          <w:szCs w:val="24"/>
        </w:rPr>
        <w:t>atsakomyb</w:t>
      </w:r>
      <w:r w:rsidR="002814EA" w:rsidRPr="00E76E89">
        <w:rPr>
          <w:szCs w:val="24"/>
        </w:rPr>
        <w:t>ė</w:t>
      </w:r>
      <w:r w:rsidRPr="00E76E89">
        <w:rPr>
          <w:szCs w:val="24"/>
        </w:rPr>
        <w:t xml:space="preserve">, </w:t>
      </w:r>
      <w:r w:rsidR="002814EA" w:rsidRPr="00E76E89">
        <w:rPr>
          <w:szCs w:val="24"/>
        </w:rPr>
        <w:t xml:space="preserve">ir jam, </w:t>
      </w:r>
      <w:r w:rsidRPr="00E76E89">
        <w:rPr>
          <w:szCs w:val="24"/>
        </w:rPr>
        <w:t>kaip TSKP nariui</w:t>
      </w:r>
      <w:r w:rsidR="002814EA" w:rsidRPr="00E76E89">
        <w:rPr>
          <w:szCs w:val="24"/>
        </w:rPr>
        <w:t>,</w:t>
      </w:r>
      <w:r w:rsidRPr="00E76E89">
        <w:rPr>
          <w:szCs w:val="24"/>
        </w:rPr>
        <w:t xml:space="preserve"> grėsė ir drausminė atsakomybė. Įvertinus </w:t>
      </w:r>
      <w:r w:rsidR="00385BC9" w:rsidRPr="00E76E89">
        <w:rPr>
          <w:szCs w:val="24"/>
        </w:rPr>
        <w:t>J. Č.</w:t>
      </w:r>
      <w:r w:rsidRPr="00E76E89">
        <w:rPr>
          <w:szCs w:val="24"/>
        </w:rPr>
        <w:t xml:space="preserve"> užimamą padėtį ir tai, kad jam duotas įsakymas nebuvo aiškiai neteisėtas, jis negali būti ir šių nusikaltimų subjektu.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Gynėja teigia, kad nuteistasis žinojo apie tuometę situaciją Lietuvoje, tačiau žinojo ir tai, kad Lietuva buvo TSRS sudėtyje ir tik po 1991 m. rugpjūčio įvykių Maskvoje buvo visuotinai pripažinta</w:t>
      </w:r>
      <w:r w:rsidR="002814EA" w:rsidRPr="00E76E89">
        <w:rPr>
          <w:szCs w:val="24"/>
        </w:rPr>
        <w:t xml:space="preserve"> </w:t>
      </w:r>
      <w:r w:rsidRPr="00E76E89">
        <w:rPr>
          <w:szCs w:val="24"/>
        </w:rPr>
        <w:t>nepriklausoma valstyb</w:t>
      </w:r>
      <w:r w:rsidR="002814EA" w:rsidRPr="00E76E89">
        <w:rPr>
          <w:szCs w:val="24"/>
        </w:rPr>
        <w:t>e</w:t>
      </w:r>
      <w:r w:rsidRPr="00E76E89">
        <w:rPr>
          <w:szCs w:val="24"/>
        </w:rPr>
        <w:t xml:space="preserve">. </w:t>
      </w:r>
      <w:r w:rsidR="005026DA" w:rsidRPr="00E76E89">
        <w:rPr>
          <w:szCs w:val="24"/>
        </w:rPr>
        <w:t>Iš s</w:t>
      </w:r>
      <w:r w:rsidRPr="00E76E89">
        <w:rPr>
          <w:szCs w:val="24"/>
        </w:rPr>
        <w:t>pecialisto išvado</w:t>
      </w:r>
      <w:r w:rsidR="005026DA" w:rsidRPr="00E76E89">
        <w:rPr>
          <w:szCs w:val="24"/>
        </w:rPr>
        <w:t>s</w:t>
      </w:r>
      <w:r w:rsidRPr="00E76E89">
        <w:rPr>
          <w:szCs w:val="24"/>
        </w:rPr>
        <w:t xml:space="preserve"> bei jo paaiškinimų teisme matyti, kad planas dėl Lietuvos valdžios nuvertimo buvo r</w:t>
      </w:r>
      <w:r w:rsidR="005026DA" w:rsidRPr="00E76E89">
        <w:rPr>
          <w:szCs w:val="24"/>
        </w:rPr>
        <w:t>engiamas</w:t>
      </w:r>
      <w:r w:rsidRPr="00E76E89">
        <w:rPr>
          <w:szCs w:val="24"/>
        </w:rPr>
        <w:t xml:space="preserve"> visiškai slaptai, todėl </w:t>
      </w:r>
      <w:r w:rsidR="00385BC9" w:rsidRPr="00E76E89">
        <w:rPr>
          <w:szCs w:val="24"/>
        </w:rPr>
        <w:t>J. Č.</w:t>
      </w:r>
      <w:r w:rsidRPr="00E76E89">
        <w:rPr>
          <w:szCs w:val="24"/>
        </w:rPr>
        <w:t xml:space="preserve"> pagal </w:t>
      </w:r>
      <w:r w:rsidR="002814EA" w:rsidRPr="00E76E89">
        <w:rPr>
          <w:szCs w:val="24"/>
        </w:rPr>
        <w:t>einamas</w:t>
      </w:r>
      <w:r w:rsidRPr="00E76E89">
        <w:rPr>
          <w:szCs w:val="24"/>
        </w:rPr>
        <w:t xml:space="preserve"> pareigas negalėjo apie jį žinoti. Jis nebuvo TSRS, aukščiausiųjų partinių bei valstybės valdymo organų, specialios karinės operacijos planavimo grupės ar TSKP valdymo organų nariu. Nežinodamas apie bendrą tikslą, jis negalėjo išreikšti dėl to savo valios. Gynėjos įsitikinimu, specialiosios paskirties grupei „A“ nebuvo įsakyta užimti Spaudos rūmus ar vykdyti perversm</w:t>
      </w:r>
      <w:r w:rsidR="00417386" w:rsidRPr="00E76E89">
        <w:rPr>
          <w:szCs w:val="24"/>
        </w:rPr>
        <w:t>ą</w:t>
      </w:r>
      <w:r w:rsidRPr="00E76E89">
        <w:rPr>
          <w:szCs w:val="24"/>
        </w:rPr>
        <w:t xml:space="preserve">, todėl </w:t>
      </w:r>
      <w:r w:rsidR="00385BC9" w:rsidRPr="00E76E89">
        <w:rPr>
          <w:szCs w:val="24"/>
        </w:rPr>
        <w:t>J. Č.</w:t>
      </w:r>
      <w:r w:rsidRPr="00E76E89">
        <w:rPr>
          <w:szCs w:val="24"/>
        </w:rPr>
        <w:t xml:space="preserve"> neturėjo ir tikslo žudyti žmonių ar sutrikdyti jų sveikat</w:t>
      </w:r>
      <w:r w:rsidR="00226266" w:rsidRPr="00E76E89">
        <w:rPr>
          <w:szCs w:val="24"/>
        </w:rPr>
        <w:t>os</w:t>
      </w:r>
      <w:r w:rsidRPr="00E76E89">
        <w:rPr>
          <w:szCs w:val="24"/>
        </w:rPr>
        <w:t xml:space="preserve">.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Apeliantė, vadovaudamasi</w:t>
      </w:r>
      <w:r w:rsidR="00EC1D9A" w:rsidRPr="00E76E89">
        <w:rPr>
          <w:szCs w:val="24"/>
        </w:rPr>
        <w:t xml:space="preserve"> Niurnbergo</w:t>
      </w:r>
      <w:r w:rsidR="00B00A5F" w:rsidRPr="00E76E89">
        <w:rPr>
          <w:szCs w:val="24"/>
        </w:rPr>
        <w:t xml:space="preserve"> tribunolo </w:t>
      </w:r>
      <w:r w:rsidRPr="00E76E89">
        <w:rPr>
          <w:szCs w:val="24"/>
        </w:rPr>
        <w:t>statutu ir Romos statutu, teigia, kad už nuteistajam inkriminuotus nusikaltimus atsako tik agresijos kurstytojai, organizatoriai, tačiau ne eiliniai jos vykdytojai. Be to, gynėjo</w:t>
      </w:r>
      <w:r w:rsidR="005026DA" w:rsidRPr="00E76E89">
        <w:rPr>
          <w:szCs w:val="24"/>
        </w:rPr>
        <w:t>s</w:t>
      </w:r>
      <w:r w:rsidRPr="00E76E89">
        <w:rPr>
          <w:szCs w:val="24"/>
        </w:rPr>
        <w:t xml:space="preserve"> teigimu, </w:t>
      </w:r>
      <w:r w:rsidR="00385BC9" w:rsidRPr="00E76E89">
        <w:rPr>
          <w:szCs w:val="24"/>
        </w:rPr>
        <w:t>J. Č.</w:t>
      </w:r>
      <w:r w:rsidRPr="00E76E89">
        <w:rPr>
          <w:szCs w:val="24"/>
        </w:rPr>
        <w:t xml:space="preserve"> negali būti teisiamas pagal BK nuostatas, priimtas 2011 m. ir vėliau. Vadovaujantis Romos statutu, niekas neatsako baudžiamąja tvarka už elgesį iki statuto įsigaliojimo 2003 m. rugpjūčio 1 d. Nesutikdama su 2011 m. redakcijos BK nuostatų atgaliniu taikymu, apeliantė pažymi ir tai, kad kitoje byloje dėl 1991 m. įvykių nuteistųjų veikos buvo kvalifikuojamos pagal 1991 m. redakcijos baudžiamąjį įstatymą.</w:t>
      </w:r>
    </w:p>
    <w:p w:rsidR="008B4E58" w:rsidRPr="00C00255" w:rsidRDefault="008B4E58" w:rsidP="008B4E58">
      <w:pPr>
        <w:pStyle w:val="ListParagraph"/>
        <w:numPr>
          <w:ilvl w:val="0"/>
          <w:numId w:val="6"/>
        </w:numPr>
        <w:spacing w:before="120" w:after="120"/>
        <w:ind w:left="992" w:hanging="992"/>
        <w:contextualSpacing w:val="0"/>
        <w:rPr>
          <w:szCs w:val="24"/>
        </w:rPr>
      </w:pPr>
      <w:r w:rsidRPr="008B4E58">
        <w:rPr>
          <w:b/>
          <w:szCs w:val="24"/>
        </w:rPr>
        <w:t>Nuteistojo N. D. gynėjas advokatas M. Vaivada</w:t>
      </w:r>
      <w:r w:rsidRPr="008B4E58">
        <w:rPr>
          <w:szCs w:val="24"/>
        </w:rPr>
        <w:t xml:space="preserve"> apeliaciniu skundu prašo panaikinti pirmosios instancijos teismo nuosprendį ir jo ginamąjį išteisinti.</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Gynėjo įsitikinimu, byloje nepakanka įrodymų, kad tuometis TSRS vidaus reikalų ministro pavaduotojas </w:t>
      </w:r>
      <w:r w:rsidR="00385BC9" w:rsidRPr="00E76E89">
        <w:rPr>
          <w:szCs w:val="24"/>
        </w:rPr>
        <w:t>N. D.</w:t>
      </w:r>
      <w:r w:rsidRPr="00E76E89">
        <w:rPr>
          <w:szCs w:val="24"/>
        </w:rPr>
        <w:t xml:space="preserve"> buvo 1991 m. sausio mėn. įvykių dalyvis, šios karinės operacijos štabo narys ir vadovas bei kontroliavo karinės operacijos veiksmus. Advokato įsitikinimu, byloje nėra nustatyta, kokiais konkrečiais veiksmais </w:t>
      </w:r>
      <w:r w:rsidR="00385BC9" w:rsidRPr="00E76E89">
        <w:rPr>
          <w:szCs w:val="24"/>
        </w:rPr>
        <w:t>N. D.</w:t>
      </w:r>
      <w:r w:rsidRPr="00E76E89">
        <w:rPr>
          <w:szCs w:val="24"/>
        </w:rPr>
        <w:t xml:space="preserve"> galėjo padaryti jam inkriminuojamas veikas. Byloje nenustatyta</w:t>
      </w:r>
      <w:r w:rsidR="00417386" w:rsidRPr="00E76E89">
        <w:rPr>
          <w:szCs w:val="24"/>
        </w:rPr>
        <w:t>,</w:t>
      </w:r>
      <w:r w:rsidRPr="00E76E89">
        <w:rPr>
          <w:szCs w:val="24"/>
        </w:rPr>
        <w:t xml:space="preserve"> kokius nurodymus ir kam jis galėjo duoti, kokį vaidmenį jis atliko karinės operacijos štabe ir kaip tai priežastiniu ryšiu </w:t>
      </w:r>
      <w:r w:rsidR="00B1355C" w:rsidRPr="00E76E89">
        <w:rPr>
          <w:szCs w:val="24"/>
        </w:rPr>
        <w:t xml:space="preserve">susiję </w:t>
      </w:r>
      <w:r w:rsidRPr="00E76E89">
        <w:rPr>
          <w:szCs w:val="24"/>
        </w:rPr>
        <w:t>su kilusi</w:t>
      </w:r>
      <w:r w:rsidR="00417386" w:rsidRPr="00E76E89">
        <w:rPr>
          <w:szCs w:val="24"/>
        </w:rPr>
        <w:t>ais padariniais</w:t>
      </w:r>
      <w:r w:rsidRPr="00E76E89">
        <w:rPr>
          <w:szCs w:val="24"/>
        </w:rPr>
        <w:t>.</w:t>
      </w:r>
    </w:p>
    <w:p w:rsidR="00B415C4"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Apelianto teigimu, iš posėdyje pagarsintų </w:t>
      </w:r>
      <w:r w:rsidR="00385BC9" w:rsidRPr="00E76E89">
        <w:rPr>
          <w:szCs w:val="24"/>
        </w:rPr>
        <w:t>N. D.</w:t>
      </w:r>
      <w:r w:rsidRPr="00E76E89">
        <w:rPr>
          <w:szCs w:val="24"/>
        </w:rPr>
        <w:t xml:space="preserve"> parodymų matyti, kad 1991 m. sausio 8 d., gavęs </w:t>
      </w:r>
      <w:r w:rsidR="00C507EF" w:rsidRPr="00E76E89">
        <w:rPr>
          <w:szCs w:val="24"/>
        </w:rPr>
        <w:t>B. P.</w:t>
      </w:r>
      <w:r w:rsidRPr="00E76E89">
        <w:rPr>
          <w:szCs w:val="24"/>
        </w:rPr>
        <w:t xml:space="preserve"> pavedimą, skrido į Lietuvą</w:t>
      </w:r>
      <w:r w:rsidR="00B1355C" w:rsidRPr="00E76E89">
        <w:rPr>
          <w:szCs w:val="24"/>
        </w:rPr>
        <w:t>, kad</w:t>
      </w:r>
      <w:r w:rsidRPr="00E76E89">
        <w:rPr>
          <w:szCs w:val="24"/>
        </w:rPr>
        <w:t xml:space="preserve"> kartu su LTSR VRM ministru </w:t>
      </w:r>
      <w:r w:rsidR="00DD1A27" w:rsidRPr="00E76E89">
        <w:rPr>
          <w:szCs w:val="24"/>
        </w:rPr>
        <w:t>M. M.</w:t>
      </w:r>
      <w:r w:rsidRPr="00E76E89">
        <w:rPr>
          <w:szCs w:val="24"/>
        </w:rPr>
        <w:t xml:space="preserve"> užtikrint</w:t>
      </w:r>
      <w:r w:rsidR="00B1355C" w:rsidRPr="00E76E89">
        <w:rPr>
          <w:szCs w:val="24"/>
        </w:rPr>
        <w:t>ų</w:t>
      </w:r>
      <w:r w:rsidRPr="00E76E89">
        <w:rPr>
          <w:szCs w:val="24"/>
        </w:rPr>
        <w:t xml:space="preserve"> viešąją tvarką. Vilniuje apsistojo </w:t>
      </w:r>
      <w:r w:rsidR="006036E7" w:rsidRPr="00E76E89">
        <w:rPr>
          <w:szCs w:val="24"/>
        </w:rPr>
        <w:t>A. Ž.</w:t>
      </w:r>
      <w:r w:rsidRPr="00E76E89">
        <w:rPr>
          <w:szCs w:val="24"/>
        </w:rPr>
        <w:t xml:space="preserve"> divizijos štabe, kiekvieną dieną bendravo su </w:t>
      </w:r>
      <w:r w:rsidR="00DD1A27" w:rsidRPr="00E76E89">
        <w:rPr>
          <w:szCs w:val="24"/>
        </w:rPr>
        <w:t>M. M.</w:t>
      </w:r>
      <w:r w:rsidRPr="00E76E89">
        <w:rPr>
          <w:szCs w:val="24"/>
        </w:rPr>
        <w:t xml:space="preserve">, tačiau Šiaurės miestelyje jis nesilankė ir pasitarimuose su kariškiais dėl inkriminuojamų įvykių nedalyvavo. Apie juos sužinojo tik sausio 13-osios rytą. Iš teisiamajame posėdyje pagarsintų nuteistojo </w:t>
      </w:r>
      <w:r w:rsidR="00385BC9" w:rsidRPr="00E76E89">
        <w:rPr>
          <w:szCs w:val="24"/>
        </w:rPr>
        <w:t>V. S. 1</w:t>
      </w:r>
      <w:r w:rsidRPr="00E76E89">
        <w:rPr>
          <w:szCs w:val="24"/>
        </w:rPr>
        <w:t xml:space="preserve"> parodymų apie </w:t>
      </w:r>
      <w:r w:rsidR="005B0434" w:rsidRPr="00E76E89">
        <w:rPr>
          <w:szCs w:val="24"/>
        </w:rPr>
        <w:t xml:space="preserve">1991 m. </w:t>
      </w:r>
      <w:r w:rsidRPr="00E76E89">
        <w:rPr>
          <w:szCs w:val="24"/>
        </w:rPr>
        <w:t xml:space="preserve">sausio 12 d. vakare vykusį </w:t>
      </w:r>
      <w:r w:rsidR="00385BC9" w:rsidRPr="00E76E89">
        <w:rPr>
          <w:szCs w:val="24"/>
        </w:rPr>
        <w:t>N. D.</w:t>
      </w:r>
      <w:r w:rsidRPr="00E76E89">
        <w:rPr>
          <w:szCs w:val="24"/>
        </w:rPr>
        <w:t xml:space="preserve"> pokalbį telefonu su </w:t>
      </w:r>
      <w:r w:rsidR="00C507EF" w:rsidRPr="00E76E89">
        <w:rPr>
          <w:szCs w:val="24"/>
        </w:rPr>
        <w:t>B. P.</w:t>
      </w:r>
      <w:r w:rsidRPr="00E76E89">
        <w:rPr>
          <w:szCs w:val="24"/>
        </w:rPr>
        <w:t xml:space="preserve"> ir po to </w:t>
      </w:r>
      <w:r w:rsidR="00417386" w:rsidRPr="00E76E89">
        <w:rPr>
          <w:szCs w:val="24"/>
        </w:rPr>
        <w:t>buvusį</w:t>
      </w:r>
      <w:r w:rsidRPr="00E76E89">
        <w:rPr>
          <w:szCs w:val="24"/>
        </w:rPr>
        <w:t xml:space="preserve"> </w:t>
      </w:r>
      <w:r w:rsidR="00385BC9" w:rsidRPr="00E76E89">
        <w:rPr>
          <w:szCs w:val="24"/>
        </w:rPr>
        <w:t>N. D.</w:t>
      </w:r>
      <w:r w:rsidRPr="00E76E89">
        <w:rPr>
          <w:szCs w:val="24"/>
        </w:rPr>
        <w:t xml:space="preserve"> pavedimą apsaugoti LRT pastatą</w:t>
      </w:r>
      <w:r w:rsidR="00C96771" w:rsidRPr="00E76E89">
        <w:rPr>
          <w:szCs w:val="24"/>
        </w:rPr>
        <w:t>,</w:t>
      </w:r>
      <w:r w:rsidRPr="00E76E89">
        <w:rPr>
          <w:szCs w:val="24"/>
        </w:rPr>
        <w:t xml:space="preserve"> kai šį užims kariškiai</w:t>
      </w:r>
      <w:r w:rsidR="00C96771" w:rsidRPr="00E76E89">
        <w:rPr>
          <w:szCs w:val="24"/>
        </w:rPr>
        <w:t>,</w:t>
      </w:r>
      <w:r w:rsidRPr="00E76E89">
        <w:rPr>
          <w:szCs w:val="24"/>
        </w:rPr>
        <w:t xml:space="preserve"> matyti, kad </w:t>
      </w:r>
      <w:r w:rsidR="00385BC9" w:rsidRPr="00E76E89">
        <w:rPr>
          <w:szCs w:val="24"/>
        </w:rPr>
        <w:t>N. D.</w:t>
      </w:r>
      <w:r w:rsidRPr="00E76E89">
        <w:rPr>
          <w:szCs w:val="24"/>
        </w:rPr>
        <w:t xml:space="preserve"> galėjo tokį pavedimą duoti jau </w:t>
      </w:r>
      <w:r w:rsidRPr="00E76E89">
        <w:rPr>
          <w:iCs/>
          <w:szCs w:val="24"/>
        </w:rPr>
        <w:t>po pastato užėmimo.</w:t>
      </w:r>
      <w:r w:rsidRPr="00E76E89">
        <w:rPr>
          <w:szCs w:val="24"/>
        </w:rPr>
        <w:t xml:space="preserve"> Be to, posėdyje perskaityti </w:t>
      </w:r>
      <w:r w:rsidR="00385BC9" w:rsidRPr="00E76E89">
        <w:rPr>
          <w:szCs w:val="24"/>
        </w:rPr>
        <w:t>V. S. 1</w:t>
      </w:r>
      <w:r w:rsidRPr="00E76E89">
        <w:rPr>
          <w:szCs w:val="24"/>
        </w:rPr>
        <w:t xml:space="preserve"> parodymai negali būti laikomi savarankiškais įro</w:t>
      </w:r>
      <w:r w:rsidR="00C66292" w:rsidRPr="00E76E89">
        <w:rPr>
          <w:szCs w:val="24"/>
        </w:rPr>
        <w:t>dymais, nes nėra patikrinti BPK </w:t>
      </w:r>
      <w:r w:rsidRPr="00E76E89">
        <w:rPr>
          <w:szCs w:val="24"/>
        </w:rPr>
        <w:t xml:space="preserve">nustatyta tvarka bei patvirtinti kitų įrodymų. Anot gynėjo, nesant kitų duomenų, kad </w:t>
      </w:r>
      <w:r w:rsidR="00385BC9" w:rsidRPr="00E76E89">
        <w:rPr>
          <w:szCs w:val="24"/>
        </w:rPr>
        <w:t>N. D.</w:t>
      </w:r>
      <w:r w:rsidRPr="00E76E89">
        <w:rPr>
          <w:szCs w:val="24"/>
        </w:rPr>
        <w:t xml:space="preserve"> minėtiems veiksmams pasitelkė </w:t>
      </w:r>
      <w:r w:rsidR="00385BC9" w:rsidRPr="00E76E89">
        <w:rPr>
          <w:szCs w:val="24"/>
        </w:rPr>
        <w:t>V. S. 1</w:t>
      </w:r>
      <w:r w:rsidRPr="00E76E89">
        <w:rPr>
          <w:szCs w:val="24"/>
        </w:rPr>
        <w:t xml:space="preserve">, šių asmenų tyrimo metu duoti parodymai teismo posėdyje net negalėjo būti paskelbti. Atsižvelgiant į visa tai, išvados apie </w:t>
      </w:r>
      <w:r w:rsidR="00385BC9" w:rsidRPr="00E76E89">
        <w:rPr>
          <w:szCs w:val="24"/>
        </w:rPr>
        <w:t>V. S. 1</w:t>
      </w:r>
      <w:r w:rsidRPr="00E76E89">
        <w:rPr>
          <w:szCs w:val="24"/>
        </w:rPr>
        <w:t xml:space="preserve"> pasitelkimą ir pavedimus, duotus </w:t>
      </w:r>
      <w:r w:rsidR="005B0434" w:rsidRPr="00E76E89">
        <w:rPr>
          <w:szCs w:val="24"/>
        </w:rPr>
        <w:t xml:space="preserve">1991 m. </w:t>
      </w:r>
      <w:r w:rsidRPr="00E76E89">
        <w:rPr>
          <w:szCs w:val="24"/>
        </w:rPr>
        <w:t>sausio 12 d. vakare, tėra prielaidos.</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lastRenderedPageBreak/>
        <w:t xml:space="preserve">Išvadų apie </w:t>
      </w:r>
      <w:r w:rsidR="00385BC9" w:rsidRPr="00E76E89">
        <w:rPr>
          <w:szCs w:val="24"/>
        </w:rPr>
        <w:t>N. D.</w:t>
      </w:r>
      <w:r w:rsidRPr="00E76E89">
        <w:rPr>
          <w:szCs w:val="24"/>
        </w:rPr>
        <w:t xml:space="preserve"> dalyvavimą karinės operacijos štabo veikloje, jo duotus nurodymus negalima daryti ir iš </w:t>
      </w:r>
      <w:r w:rsidR="00C507EF" w:rsidRPr="00E76E89">
        <w:rPr>
          <w:szCs w:val="24"/>
        </w:rPr>
        <w:t>V. A.</w:t>
      </w:r>
      <w:r w:rsidRPr="00E76E89">
        <w:rPr>
          <w:szCs w:val="24"/>
        </w:rPr>
        <w:t xml:space="preserve">, </w:t>
      </w:r>
      <w:r w:rsidR="00DD1A27" w:rsidRPr="00E76E89">
        <w:rPr>
          <w:szCs w:val="24"/>
        </w:rPr>
        <w:t>A. B.</w:t>
      </w:r>
      <w:r w:rsidR="00B824D6" w:rsidRPr="00E76E89">
        <w:rPr>
          <w:szCs w:val="24"/>
        </w:rPr>
        <w:t xml:space="preserve">, </w:t>
      </w:r>
      <w:r w:rsidR="00DD1A27" w:rsidRPr="00E76E89">
        <w:rPr>
          <w:szCs w:val="24"/>
        </w:rPr>
        <w:t>I. F.</w:t>
      </w:r>
      <w:r w:rsidR="00B824D6" w:rsidRPr="00E76E89">
        <w:rPr>
          <w:szCs w:val="24"/>
        </w:rPr>
        <w:t xml:space="preserve">, </w:t>
      </w:r>
      <w:r w:rsidR="00DD1A27" w:rsidRPr="00E76E89">
        <w:rPr>
          <w:szCs w:val="24"/>
        </w:rPr>
        <w:t>Z. V.</w:t>
      </w:r>
      <w:r w:rsidRPr="00E76E89">
        <w:rPr>
          <w:szCs w:val="24"/>
        </w:rPr>
        <w:t xml:space="preserve"> paaiškinimų. Apie tai, kad </w:t>
      </w:r>
      <w:r w:rsidR="00385BC9" w:rsidRPr="00E76E89">
        <w:rPr>
          <w:szCs w:val="24"/>
        </w:rPr>
        <w:t>N. D.</w:t>
      </w:r>
      <w:r w:rsidRPr="00E76E89">
        <w:rPr>
          <w:szCs w:val="24"/>
        </w:rPr>
        <w:t xml:space="preserve"> buvo karinės operacijos štabo sudėtyje, </w:t>
      </w:r>
      <w:r w:rsidR="00C507EF" w:rsidRPr="00E76E89">
        <w:rPr>
          <w:szCs w:val="24"/>
        </w:rPr>
        <w:t>V. A.</w:t>
      </w:r>
      <w:r w:rsidRPr="00E76E89" w:rsidDel="00DE5A94">
        <w:rPr>
          <w:szCs w:val="24"/>
        </w:rPr>
        <w:t xml:space="preserve"> </w:t>
      </w:r>
      <w:r w:rsidRPr="00E76E89">
        <w:rPr>
          <w:szCs w:val="24"/>
        </w:rPr>
        <w:t xml:space="preserve">nėra apklaustas, o jo pasakojimo vaizdo įraše, kuris paskelbtas internete, nepatvirtina jokie kiti duomenys. Liudytojas </w:t>
      </w:r>
      <w:r w:rsidR="00DD1A27" w:rsidRPr="00E76E89">
        <w:rPr>
          <w:szCs w:val="24"/>
        </w:rPr>
        <w:t>A. B.</w:t>
      </w:r>
      <w:r w:rsidRPr="00E76E89">
        <w:rPr>
          <w:szCs w:val="24"/>
        </w:rPr>
        <w:t xml:space="preserve"> parodė, kad </w:t>
      </w:r>
      <w:r w:rsidR="00B824D6" w:rsidRPr="00E76E89">
        <w:rPr>
          <w:szCs w:val="24"/>
        </w:rPr>
        <w:t>1991 m. sausio </w:t>
      </w:r>
      <w:r w:rsidRPr="00E76E89">
        <w:rPr>
          <w:szCs w:val="24"/>
        </w:rPr>
        <w:t>13</w:t>
      </w:r>
      <w:r w:rsidR="00417386" w:rsidRPr="00E76E89">
        <w:rPr>
          <w:szCs w:val="24"/>
        </w:rPr>
        <w:t> </w:t>
      </w:r>
      <w:r w:rsidRPr="00E76E89">
        <w:rPr>
          <w:szCs w:val="24"/>
        </w:rPr>
        <w:t xml:space="preserve">d. naktį </w:t>
      </w:r>
      <w:r w:rsidR="00385BC9" w:rsidRPr="00E76E89">
        <w:rPr>
          <w:szCs w:val="24"/>
        </w:rPr>
        <w:t>N. D.</w:t>
      </w:r>
      <w:r w:rsidRPr="00E76E89">
        <w:rPr>
          <w:szCs w:val="24"/>
        </w:rPr>
        <w:t xml:space="preserve"> buvo Šiaurės miestelyje, tačiau nenurodė, iš kur tai žino ir ar pats jį matė. Teisiamajame posėdyje buvo pagarsinti ir </w:t>
      </w:r>
      <w:r w:rsidR="00DD1A27" w:rsidRPr="00E76E89">
        <w:rPr>
          <w:szCs w:val="24"/>
        </w:rPr>
        <w:t>I. F.</w:t>
      </w:r>
      <w:r w:rsidRPr="00E76E89">
        <w:rPr>
          <w:szCs w:val="24"/>
        </w:rPr>
        <w:t xml:space="preserve"> parodymai apie </w:t>
      </w:r>
      <w:r w:rsidR="00B415C4" w:rsidRPr="00E76E89">
        <w:rPr>
          <w:szCs w:val="24"/>
        </w:rPr>
        <w:t xml:space="preserve">viename iš pasitarimų matytą </w:t>
      </w:r>
      <w:r w:rsidR="00385BC9" w:rsidRPr="00E76E89">
        <w:rPr>
          <w:szCs w:val="24"/>
        </w:rPr>
        <w:t>N. D.</w:t>
      </w:r>
      <w:r w:rsidRPr="00E76E89">
        <w:rPr>
          <w:szCs w:val="24"/>
        </w:rPr>
        <w:t xml:space="preserve">, tačiau kokie sprendimai buvo priimti pasitarimo metu, jis neprisimena. Liudytojas </w:t>
      </w:r>
      <w:r w:rsidR="00DD1A27" w:rsidRPr="00E76E89">
        <w:rPr>
          <w:szCs w:val="24"/>
        </w:rPr>
        <w:t>Z. V.</w:t>
      </w:r>
      <w:r w:rsidRPr="00E76E89">
        <w:rPr>
          <w:szCs w:val="24"/>
        </w:rPr>
        <w:t xml:space="preserve"> nurodė, kad apie tai, jog nuteistasis buvo Š</w:t>
      </w:r>
      <w:r w:rsidR="00417386" w:rsidRPr="00E76E89">
        <w:rPr>
          <w:szCs w:val="24"/>
        </w:rPr>
        <w:t>iaurės m</w:t>
      </w:r>
      <w:r w:rsidRPr="00E76E89">
        <w:rPr>
          <w:szCs w:val="24"/>
        </w:rPr>
        <w:t>iestelyje, žino iš M</w:t>
      </w:r>
      <w:r w:rsidR="00DD1A27" w:rsidRPr="00E76E89">
        <w:rPr>
          <w:szCs w:val="24"/>
        </w:rPr>
        <w:t>.</w:t>
      </w:r>
      <w:r w:rsidRPr="00E76E89">
        <w:rPr>
          <w:szCs w:val="24"/>
        </w:rPr>
        <w:t>, tačiau pats M</w:t>
      </w:r>
      <w:r w:rsidR="00DD1A27" w:rsidRPr="00E76E89">
        <w:rPr>
          <w:szCs w:val="24"/>
        </w:rPr>
        <w:t>.</w:t>
      </w:r>
      <w:r w:rsidRPr="00E76E89">
        <w:rPr>
          <w:szCs w:val="24"/>
        </w:rPr>
        <w:t xml:space="preserve"> teisme </w:t>
      </w:r>
      <w:r w:rsidR="00417386" w:rsidRPr="00E76E89">
        <w:rPr>
          <w:szCs w:val="24"/>
        </w:rPr>
        <w:t xml:space="preserve">to </w:t>
      </w:r>
      <w:r w:rsidRPr="00E76E89">
        <w:rPr>
          <w:szCs w:val="24"/>
        </w:rPr>
        <w:t>nenurodė.</w:t>
      </w:r>
      <w:r w:rsidR="0081523B" w:rsidRPr="00E76E89">
        <w:rPr>
          <w:szCs w:val="24"/>
        </w:rPr>
        <w:t xml:space="preserve">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Gynėjo teigimu, net ir darant prielaidą, kad </w:t>
      </w:r>
      <w:r w:rsidR="00385BC9" w:rsidRPr="00E76E89">
        <w:rPr>
          <w:szCs w:val="24"/>
        </w:rPr>
        <w:t>N. D.</w:t>
      </w:r>
      <w:r w:rsidRPr="00E76E89">
        <w:rPr>
          <w:szCs w:val="24"/>
        </w:rPr>
        <w:t xml:space="preserve"> galėjo dalyvauti karinės operacijos štabo veikloje ar duoti nurodymus </w:t>
      </w:r>
      <w:r w:rsidR="00385BC9" w:rsidRPr="00E76E89">
        <w:rPr>
          <w:szCs w:val="24"/>
        </w:rPr>
        <w:t>V. S. 1</w:t>
      </w:r>
      <w:r w:rsidRPr="00E76E89">
        <w:rPr>
          <w:szCs w:val="24"/>
        </w:rPr>
        <w:t xml:space="preserve">, negalima manyti, jog tuo jis galėjo padaryti inkriminuojamus nusikaltimus. Šie nusikaltimai padaromi tik tiesiogine tyčia, o duomenų apie būtent tokią </w:t>
      </w:r>
      <w:r w:rsidR="00385BC9" w:rsidRPr="00E76E89">
        <w:rPr>
          <w:szCs w:val="24"/>
        </w:rPr>
        <w:t>N. D.</w:t>
      </w:r>
      <w:r w:rsidRPr="00E76E89">
        <w:rPr>
          <w:szCs w:val="24"/>
        </w:rPr>
        <w:t xml:space="preserve"> tyčią byloje nėra. </w:t>
      </w:r>
      <w:r w:rsidR="00385BC9" w:rsidRPr="00E76E89">
        <w:rPr>
          <w:szCs w:val="24"/>
        </w:rPr>
        <w:t>N. D.</w:t>
      </w:r>
      <w:r w:rsidRPr="00E76E89">
        <w:rPr>
          <w:szCs w:val="24"/>
        </w:rPr>
        <w:t xml:space="preserve"> į Lietuvą vyko kaip TSRS pareigūnas ir galėjo žinoti apie Lietuvos Respublikos nepriklausomybės atkūrimo akto paskelbimą, tačiau tuo metu Lietuva dar nebuvo pripažinta kitų pasaulio valstybių, todėl nuteistasis galėjo manyti, jog tam tikri TSRS kariuomenės veiksmai TSRS sudėtyje vis dar esančioje Lietuvoje nebuvo nei karas, nei agresija, nei ginkluotas konfliktas. Apelianto teigimu, </w:t>
      </w:r>
      <w:r w:rsidR="00385BC9" w:rsidRPr="00E76E89">
        <w:rPr>
          <w:szCs w:val="24"/>
        </w:rPr>
        <w:t>N. D.</w:t>
      </w:r>
      <w:r w:rsidRPr="00E76E89">
        <w:rPr>
          <w:szCs w:val="24"/>
        </w:rPr>
        <w:t xml:space="preserve"> į Lietuvą atvyko ir nurodymus </w:t>
      </w:r>
      <w:r w:rsidR="00385BC9" w:rsidRPr="00E76E89">
        <w:rPr>
          <w:szCs w:val="24"/>
        </w:rPr>
        <w:t>V. S. 1</w:t>
      </w:r>
      <w:r w:rsidRPr="00E76E89">
        <w:rPr>
          <w:szCs w:val="24"/>
        </w:rPr>
        <w:t xml:space="preserve"> galimai davė turėdamas tikslą užtikrinti viešąją tvarką ir apsaugoti objektus, o ne siekdamas vykdyti agresiją. Atitinkamai liudytojas </w:t>
      </w:r>
      <w:r w:rsidR="00DD1A27" w:rsidRPr="00E76E89">
        <w:rPr>
          <w:szCs w:val="24"/>
        </w:rPr>
        <w:t>M. M.</w:t>
      </w:r>
      <w:r w:rsidRPr="00E76E89">
        <w:rPr>
          <w:szCs w:val="24"/>
        </w:rPr>
        <w:t xml:space="preserve"> parodė, kad telefonu </w:t>
      </w:r>
      <w:r w:rsidR="00385BC9" w:rsidRPr="00E76E89">
        <w:rPr>
          <w:szCs w:val="24"/>
        </w:rPr>
        <w:t>N. D.</w:t>
      </w:r>
      <w:r w:rsidRPr="00E76E89">
        <w:rPr>
          <w:szCs w:val="24"/>
        </w:rPr>
        <w:t xml:space="preserve"> nurodė atvykęs tam, kad nebūtų pralietas kraujas ir neįvyktų konfliktų. Kad nuteistojo veiksmai nebuvo susiję su agresija, rodo ir </w:t>
      </w:r>
      <w:r w:rsidR="00385BC9" w:rsidRPr="00E76E89">
        <w:rPr>
          <w:szCs w:val="24"/>
        </w:rPr>
        <w:t>V. S. 1</w:t>
      </w:r>
      <w:r w:rsidRPr="00E76E89">
        <w:rPr>
          <w:szCs w:val="24"/>
        </w:rPr>
        <w:t xml:space="preserve"> parodymai, paskelbti teisme, nors jie ir neturi savarankiškų įrodymų galios. Atsižvelgiant į tai</w:t>
      </w:r>
      <w:r w:rsidR="00417386" w:rsidRPr="00E76E89">
        <w:rPr>
          <w:szCs w:val="24"/>
        </w:rPr>
        <w:t>,</w:t>
      </w:r>
      <w:r w:rsidRPr="00E76E89">
        <w:rPr>
          <w:szCs w:val="24"/>
        </w:rPr>
        <w:t xml:space="preserve"> byloje liko neįrodyti inkriminuojamų nusikaltimų subjektyviosios </w:t>
      </w:r>
      <w:r w:rsidR="00B1355C" w:rsidRPr="00E76E89">
        <w:rPr>
          <w:szCs w:val="24"/>
        </w:rPr>
        <w:t xml:space="preserve">pusės </w:t>
      </w:r>
      <w:r w:rsidRPr="00E76E89">
        <w:rPr>
          <w:szCs w:val="24"/>
        </w:rPr>
        <w:t>bei objektyviosios pusės požymiai.</w:t>
      </w:r>
    </w:p>
    <w:p w:rsidR="008B4E58" w:rsidRPr="008B4E58" w:rsidRDefault="008B4E58" w:rsidP="008B4E58">
      <w:pPr>
        <w:pStyle w:val="ListParagraph"/>
        <w:numPr>
          <w:ilvl w:val="0"/>
          <w:numId w:val="6"/>
        </w:numPr>
        <w:spacing w:before="120" w:after="120"/>
        <w:ind w:left="992" w:hanging="992"/>
        <w:contextualSpacing w:val="0"/>
        <w:rPr>
          <w:szCs w:val="24"/>
        </w:rPr>
      </w:pPr>
      <w:r w:rsidRPr="008B4E58">
        <w:rPr>
          <w:b/>
        </w:rPr>
        <w:t>Nuteistojo V. S. 1 gynėjas advokatas R. Kurklietis</w:t>
      </w:r>
      <w:r w:rsidRPr="00A90DEB">
        <w:t xml:space="preserve"> apeliaciniu skundu prašo panaikinti pirmosios instancijos teismo nuosprendį ir jo ginamąjį išteisinti.</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Gynėjo teigimu, byloje nėra neginčijamų duomenų apie </w:t>
      </w:r>
      <w:r w:rsidR="00385BC9" w:rsidRPr="00E76E89">
        <w:rPr>
          <w:szCs w:val="24"/>
        </w:rPr>
        <w:t>V. S. 1</w:t>
      </w:r>
      <w:r w:rsidRPr="00E76E89">
        <w:rPr>
          <w:szCs w:val="24"/>
        </w:rPr>
        <w:t xml:space="preserve"> dalyvavimą padarant inkriminuojamus nusikaltimus. Teismo nuosprendis apie jo dalyvavimą užgrobiant pastatus tėra grindžiamas samprotavimais, todėl yra neteisėtas ir naikintinas. Gynėjo teigimu, </w:t>
      </w:r>
      <w:r w:rsidR="00385BC9" w:rsidRPr="00E76E89">
        <w:rPr>
          <w:szCs w:val="24"/>
        </w:rPr>
        <w:t>V. S. 1</w:t>
      </w:r>
      <w:r w:rsidRPr="00E76E89">
        <w:rPr>
          <w:szCs w:val="24"/>
        </w:rPr>
        <w:t xml:space="preserve"> galėjo prisidėti tik prie kariškių jėga jau užgrobtų objektų priėmimo apsaugai, o ne jų užgrobimo. Advokato teigimu, bylos medžiagoje nėra jokio įsakymo apie karinės operacijos štabo įkūrimą, apie tai nenurodė ir apklausti TSRS kariškiai. Įrodymų, kad </w:t>
      </w:r>
      <w:r w:rsidR="00385BC9" w:rsidRPr="00E76E89">
        <w:rPr>
          <w:szCs w:val="24"/>
        </w:rPr>
        <w:t>V. S. 1</w:t>
      </w:r>
      <w:r w:rsidRPr="00E76E89">
        <w:rPr>
          <w:szCs w:val="24"/>
        </w:rPr>
        <w:t xml:space="preserve"> būtų paskirtas tokio štabo nariu, taip pat nėra. Tokių išvadų teismas negalėjo daryti ir remdamasis specialisto J. Andriškevičiaus išvada, nes šiuo klausimu buvo pateikti tik samprotavimai apie tai, kad toks štabas privalėjo būti sudarytas ir</w:t>
      </w:r>
      <w:r w:rsidR="00417386" w:rsidRPr="00E76E89">
        <w:rPr>
          <w:szCs w:val="24"/>
        </w:rPr>
        <w:t xml:space="preserve"> kad</w:t>
      </w:r>
      <w:r w:rsidRPr="00E76E89">
        <w:rPr>
          <w:szCs w:val="24"/>
        </w:rPr>
        <w:t xml:space="preserve"> jame turėjo dalyvauti </w:t>
      </w:r>
      <w:r w:rsidR="00385BC9" w:rsidRPr="00E76E89">
        <w:rPr>
          <w:szCs w:val="24"/>
        </w:rPr>
        <w:t>V. S. 1</w:t>
      </w:r>
      <w:r w:rsidRPr="00E76E89">
        <w:rPr>
          <w:szCs w:val="24"/>
        </w:rPr>
        <w:t>.</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Apklaustas</w:t>
      </w:r>
      <w:r w:rsidR="00417386" w:rsidRPr="00E76E89">
        <w:rPr>
          <w:szCs w:val="24"/>
        </w:rPr>
        <w:t xml:space="preserve"> kaip</w:t>
      </w:r>
      <w:r w:rsidRPr="00E76E89">
        <w:rPr>
          <w:szCs w:val="24"/>
        </w:rPr>
        <w:t xml:space="preserve"> liudytoj</w:t>
      </w:r>
      <w:r w:rsidR="00417386" w:rsidRPr="00E76E89">
        <w:rPr>
          <w:szCs w:val="24"/>
        </w:rPr>
        <w:t>as</w:t>
      </w:r>
      <w:r w:rsidRPr="00E76E89">
        <w:rPr>
          <w:szCs w:val="24"/>
        </w:rPr>
        <w:t xml:space="preserve"> 1991 m. spalio 13 d. </w:t>
      </w:r>
      <w:r w:rsidR="00385BC9" w:rsidRPr="00E76E89">
        <w:rPr>
          <w:szCs w:val="24"/>
        </w:rPr>
        <w:t>V. S. 1</w:t>
      </w:r>
      <w:r w:rsidR="00AA4EFE" w:rsidRPr="00E76E89">
        <w:rPr>
          <w:szCs w:val="24"/>
        </w:rPr>
        <w:t xml:space="preserve"> parodė, kad buvo Šiaurės</w:t>
      </w:r>
      <w:r w:rsidR="00417386" w:rsidRPr="00E76E89">
        <w:rPr>
          <w:szCs w:val="24"/>
        </w:rPr>
        <w:t xml:space="preserve"> </w:t>
      </w:r>
      <w:r w:rsidRPr="00E76E89">
        <w:rPr>
          <w:szCs w:val="24"/>
        </w:rPr>
        <w:t>Vakarų ir Pabaltijo vidaus kariuomenės valdybos viršininku, bei 1991 m. sausio 8 d., gavęs tuome</w:t>
      </w:r>
      <w:r w:rsidR="00417386" w:rsidRPr="00E76E89">
        <w:rPr>
          <w:szCs w:val="24"/>
        </w:rPr>
        <w:t>čio</w:t>
      </w:r>
      <w:r w:rsidRPr="00E76E89">
        <w:rPr>
          <w:szCs w:val="24"/>
        </w:rPr>
        <w:t xml:space="preserve"> vidaus kariuomenės vado įsakymą, atskrido į Vilnių dėl čia vykstanč</w:t>
      </w:r>
      <w:r w:rsidR="00D64F26" w:rsidRPr="00E76E89">
        <w:rPr>
          <w:szCs w:val="24"/>
        </w:rPr>
        <w:t>ių demonstracijų. Iki sausio 12–</w:t>
      </w:r>
      <w:r w:rsidRPr="00E76E89">
        <w:rPr>
          <w:szCs w:val="24"/>
        </w:rPr>
        <w:t>13</w:t>
      </w:r>
      <w:r w:rsidR="00417386" w:rsidRPr="00E76E89">
        <w:rPr>
          <w:szCs w:val="24"/>
        </w:rPr>
        <w:t> </w:t>
      </w:r>
      <w:r w:rsidRPr="00E76E89">
        <w:rPr>
          <w:szCs w:val="24"/>
        </w:rPr>
        <w:t xml:space="preserve">d. su kariškiais ir partiniais veikėjais nebendravo, todėl ar vyko kokie susirinkimai bei pasitarimai, nežino. Buvo šalia TSRS vidaus reikalų ministro pavaduotojo </w:t>
      </w:r>
      <w:r w:rsidR="00385BC9" w:rsidRPr="00E76E89">
        <w:rPr>
          <w:szCs w:val="24"/>
        </w:rPr>
        <w:t>N. D.</w:t>
      </w:r>
      <w:r w:rsidRPr="00E76E89">
        <w:rPr>
          <w:szCs w:val="24"/>
        </w:rPr>
        <w:t xml:space="preserve">, kai jis sausio 12-osios vakarą skambino ministrui </w:t>
      </w:r>
      <w:r w:rsidR="00C507EF" w:rsidRPr="00E76E89">
        <w:rPr>
          <w:szCs w:val="24"/>
        </w:rPr>
        <w:t>B. P.</w:t>
      </w:r>
      <w:r w:rsidRPr="00E76E89">
        <w:rPr>
          <w:szCs w:val="24"/>
        </w:rPr>
        <w:t xml:space="preserve">, iš jų pokalbio suprato tik tiek, kad apsaugai reikės paimti tam tikrus objektus. Po šio pokalbio </w:t>
      </w:r>
      <w:r w:rsidR="00385BC9" w:rsidRPr="00E76E89">
        <w:rPr>
          <w:szCs w:val="24"/>
        </w:rPr>
        <w:t>N. D.</w:t>
      </w:r>
      <w:r w:rsidRPr="00E76E89">
        <w:rPr>
          <w:szCs w:val="24"/>
        </w:rPr>
        <w:t xml:space="preserve"> jam ir </w:t>
      </w:r>
      <w:r w:rsidR="006036E7" w:rsidRPr="00E76E89">
        <w:rPr>
          <w:szCs w:val="24"/>
        </w:rPr>
        <w:t>A. Ž.</w:t>
      </w:r>
      <w:r w:rsidRPr="00E76E89">
        <w:rPr>
          <w:szCs w:val="24"/>
        </w:rPr>
        <w:t xml:space="preserve"> pasakė, kad, kai bus užimtas LRT, reikės perimti jo apsaugą. Jis ir </w:t>
      </w:r>
      <w:r w:rsidR="006036E7" w:rsidRPr="00E76E89">
        <w:rPr>
          <w:szCs w:val="24"/>
        </w:rPr>
        <w:t>A. Ž.</w:t>
      </w:r>
      <w:r w:rsidRPr="00E76E89">
        <w:rPr>
          <w:szCs w:val="24"/>
        </w:rPr>
        <w:t xml:space="preserve"> nusprendė, kad priimti objektą gali konvojaus pulko 7574 mokomoji kuopa ir </w:t>
      </w:r>
      <w:r w:rsidR="006036E7" w:rsidRPr="00E76E89">
        <w:rPr>
          <w:szCs w:val="24"/>
        </w:rPr>
        <w:t>A. Ž.</w:t>
      </w:r>
      <w:r w:rsidRPr="00E76E89">
        <w:rPr>
          <w:szCs w:val="24"/>
        </w:rPr>
        <w:t xml:space="preserve"> tokį nurodymą perdavė pulko vadui </w:t>
      </w:r>
      <w:r w:rsidR="00A97F74" w:rsidRPr="00E76E89">
        <w:rPr>
          <w:szCs w:val="24"/>
        </w:rPr>
        <w:t>S. F.</w:t>
      </w:r>
      <w:r w:rsidRPr="00E76E89">
        <w:rPr>
          <w:szCs w:val="24"/>
        </w:rPr>
        <w:t>, kuris susitiko su kariškiais ir aptarė detales.</w:t>
      </w:r>
    </w:p>
    <w:p w:rsidR="008B4E58" w:rsidRPr="008B4E58" w:rsidRDefault="008B4E58" w:rsidP="008B4E58">
      <w:pPr>
        <w:pStyle w:val="ListParagraph"/>
        <w:numPr>
          <w:ilvl w:val="0"/>
          <w:numId w:val="6"/>
        </w:numPr>
        <w:spacing w:before="120" w:after="120"/>
        <w:ind w:left="992" w:hanging="992"/>
        <w:contextualSpacing w:val="0"/>
        <w:rPr>
          <w:szCs w:val="24"/>
        </w:rPr>
      </w:pPr>
      <w:r w:rsidRPr="008B4E58">
        <w:rPr>
          <w:b/>
          <w:szCs w:val="24"/>
        </w:rPr>
        <w:t>Nuteistojo V. K. 1 gynėja advokatė E. Domajeva</w:t>
      </w:r>
      <w:r w:rsidRPr="008B4E58">
        <w:rPr>
          <w:szCs w:val="24"/>
        </w:rPr>
        <w:t xml:space="preserve"> apeliaciniu skundu prašo panaikinti pirmosios instancijos teismo nuosprendį ir perduoti bylą prokurorui, kadangi ikiteisminio </w:t>
      </w:r>
      <w:r w:rsidRPr="008B4E58">
        <w:rPr>
          <w:szCs w:val="24"/>
        </w:rPr>
        <w:lastRenderedPageBreak/>
        <w:t>tyrimo metu buvo surašytas iš esmės BPK 219 straipsnio reikalavimų neatitinkantis kaltinamasis aktas.</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w:t>
      </w:r>
      <w:r w:rsidR="00385BC9" w:rsidRPr="00E76E89">
        <w:rPr>
          <w:szCs w:val="24"/>
        </w:rPr>
        <w:t>V. K. 1</w:t>
      </w:r>
      <w:r w:rsidRPr="00E76E89">
        <w:rPr>
          <w:szCs w:val="24"/>
        </w:rPr>
        <w:t xml:space="preserve"> yra užsienio valstybės pilietis, jo gyvenamoji vieta nėra žinoma, neaišku, ar būtent jam buvo įteiktas pranešimas apie baudžiamosios bylos nagrinėjimą Vilniaus apygardos teisme, todėl ikiteisminis tyrimas dėl </w:t>
      </w:r>
      <w:r w:rsidR="00385BC9" w:rsidRPr="00E76E89">
        <w:rPr>
          <w:szCs w:val="24"/>
        </w:rPr>
        <w:t>V. K. 1</w:t>
      </w:r>
      <w:r w:rsidRPr="00E76E89">
        <w:rPr>
          <w:szCs w:val="24"/>
        </w:rPr>
        <w:t xml:space="preserve"> turėjo būti sustabdytas ir išskirtas. Pirmosios instancijos teismas, neatsižvelgęs į byloje surinktus įrodymus, susijusius su paskelbta </w:t>
      </w:r>
      <w:r w:rsidR="00385BC9" w:rsidRPr="00E76E89">
        <w:rPr>
          <w:szCs w:val="24"/>
        </w:rPr>
        <w:t>V. K. 1</w:t>
      </w:r>
      <w:r w:rsidRPr="00E76E89">
        <w:rPr>
          <w:szCs w:val="24"/>
        </w:rPr>
        <w:t xml:space="preserve"> paieška, padarė esminį BPK pažeidimą.</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Gynėjos teigimu, nuosprendyje padarytos teismo išvados neatitinka bylos aplinkybių. </w:t>
      </w:r>
      <w:r w:rsidR="00385BC9" w:rsidRPr="00E76E89">
        <w:rPr>
          <w:szCs w:val="24"/>
        </w:rPr>
        <w:t>V. K. 1</w:t>
      </w:r>
      <w:r w:rsidRPr="00E76E89">
        <w:rPr>
          <w:szCs w:val="24"/>
        </w:rPr>
        <w:t xml:space="preserve"> kaltę dėl dalyvavimo karo atakoje, prieš civili</w:t>
      </w:r>
      <w:r w:rsidR="002822C3" w:rsidRPr="00E76E89">
        <w:rPr>
          <w:szCs w:val="24"/>
        </w:rPr>
        <w:t>us</w:t>
      </w:r>
      <w:r w:rsidRPr="00E76E89">
        <w:rPr>
          <w:szCs w:val="24"/>
        </w:rPr>
        <w:t xml:space="preserve"> naudojant ginklą, teismas grindė kitų kaltinamųjų bei nukentėjusiojo </w:t>
      </w:r>
      <w:r w:rsidR="00C507EF" w:rsidRPr="00E76E89">
        <w:rPr>
          <w:szCs w:val="24"/>
        </w:rPr>
        <w:t>V. L.</w:t>
      </w:r>
      <w:r w:rsidRPr="00E76E89">
        <w:rPr>
          <w:szCs w:val="24"/>
        </w:rPr>
        <w:t xml:space="preserve">, teigusio, kad būtent </w:t>
      </w:r>
      <w:r w:rsidR="00385BC9" w:rsidRPr="00E76E89">
        <w:rPr>
          <w:szCs w:val="24"/>
        </w:rPr>
        <w:t>V. K. 1</w:t>
      </w:r>
      <w:r w:rsidRPr="00E76E89">
        <w:rPr>
          <w:szCs w:val="24"/>
        </w:rPr>
        <w:t xml:space="preserve"> jam iš automatinio ginklo šovė į veidą, parodymais, tačiau ikiteisminio tyrimo metu nebuvo atlikta balistinė ekspertizė ar kiti procesiniai veiksmai, kurie paneigtų nelaimingo atsitikimo galimybę. Gynėja pažymėjo, kad Pskovo oro desanto divizijos desantininkai, apklausti Pskovo karinės prokuratūros, teigė, kad puolimas nebuvo nukreiptas prieš civilius gyventojus, jie buvo įpareigoti nešaudyti į žmonių minią ir tik, esant būtinumui, siekdami atstumti žmones, galėjo panaudoti artimos kovos veiksmus.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Apeliaciniame skunde taip pat nurodoma, kad </w:t>
      </w:r>
      <w:r w:rsidR="00385BC9" w:rsidRPr="00E76E89">
        <w:rPr>
          <w:szCs w:val="24"/>
        </w:rPr>
        <w:t>V. K. 1</w:t>
      </w:r>
      <w:r w:rsidRPr="00E76E89">
        <w:rPr>
          <w:szCs w:val="24"/>
        </w:rPr>
        <w:t xml:space="preserve"> vykdė </w:t>
      </w:r>
      <w:r w:rsidR="00385BC9" w:rsidRPr="00E76E89">
        <w:rPr>
          <w:szCs w:val="24"/>
        </w:rPr>
        <w:t>D. J.</w:t>
      </w:r>
      <w:r w:rsidRPr="00E76E89">
        <w:rPr>
          <w:szCs w:val="24"/>
        </w:rPr>
        <w:t xml:space="preserve"> nurodymus ir</w:t>
      </w:r>
      <w:r w:rsidR="002822C3" w:rsidRPr="00E76E89">
        <w:rPr>
          <w:szCs w:val="24"/>
        </w:rPr>
        <w:t>,</w:t>
      </w:r>
      <w:r w:rsidRPr="00E76E89">
        <w:rPr>
          <w:szCs w:val="24"/>
        </w:rPr>
        <w:t xml:space="preserve"> jei </w:t>
      </w:r>
      <w:r w:rsidR="00385BC9" w:rsidRPr="00E76E89">
        <w:rPr>
          <w:szCs w:val="24"/>
        </w:rPr>
        <w:t>V. K. 1</w:t>
      </w:r>
      <w:r w:rsidRPr="00E76E89">
        <w:rPr>
          <w:szCs w:val="24"/>
        </w:rPr>
        <w:t xml:space="preserve"> būtų atsisakęs vykdyti vadų įsakymą užimti </w:t>
      </w:r>
      <w:r w:rsidR="007403E5" w:rsidRPr="00E76E89">
        <w:rPr>
          <w:szCs w:val="24"/>
        </w:rPr>
        <w:t>LRT</w:t>
      </w:r>
      <w:r w:rsidRPr="00E76E89">
        <w:rPr>
          <w:szCs w:val="24"/>
        </w:rPr>
        <w:t xml:space="preserve"> pastatus, jis būtų teisiamas </w:t>
      </w:r>
      <w:r w:rsidR="0049485C" w:rsidRPr="00E76E89">
        <w:rPr>
          <w:szCs w:val="24"/>
        </w:rPr>
        <w:t>k</w:t>
      </w:r>
      <w:r w:rsidRPr="00E76E89">
        <w:rPr>
          <w:szCs w:val="24"/>
        </w:rPr>
        <w:t>ar</w:t>
      </w:r>
      <w:r w:rsidR="0049485C" w:rsidRPr="00E76E89">
        <w:rPr>
          <w:szCs w:val="24"/>
        </w:rPr>
        <w:t>o</w:t>
      </w:r>
      <w:r w:rsidRPr="00E76E89">
        <w:rPr>
          <w:szCs w:val="24"/>
        </w:rPr>
        <w:t xml:space="preserve"> tribunol</w:t>
      </w:r>
      <w:r w:rsidR="00A27A1F" w:rsidRPr="00E76E89">
        <w:rPr>
          <w:szCs w:val="24"/>
        </w:rPr>
        <w:t>o</w:t>
      </w:r>
      <w:r w:rsidRPr="00E76E89">
        <w:rPr>
          <w:szCs w:val="24"/>
        </w:rPr>
        <w:t xml:space="preserve"> už įsakymų nevykdymą. </w:t>
      </w:r>
      <w:r w:rsidR="00385BC9" w:rsidRPr="00E76E89">
        <w:rPr>
          <w:szCs w:val="24"/>
        </w:rPr>
        <w:t>V. K. 1</w:t>
      </w:r>
      <w:r w:rsidR="0049485C" w:rsidRPr="00E76E89">
        <w:rPr>
          <w:szCs w:val="24"/>
        </w:rPr>
        <w:t xml:space="preserve"> veiksmus galėjo vertinti tik k</w:t>
      </w:r>
      <w:r w:rsidRPr="00E76E89">
        <w:rPr>
          <w:szCs w:val="24"/>
        </w:rPr>
        <w:t>ar</w:t>
      </w:r>
      <w:r w:rsidR="0049485C" w:rsidRPr="00E76E89">
        <w:rPr>
          <w:szCs w:val="24"/>
        </w:rPr>
        <w:t>o</w:t>
      </w:r>
      <w:r w:rsidRPr="00E76E89">
        <w:rPr>
          <w:szCs w:val="24"/>
        </w:rPr>
        <w:t xml:space="preserve"> tribunolas, kadangi karininkų veiklą reglamentuoja </w:t>
      </w:r>
      <w:r w:rsidR="00FD13EB" w:rsidRPr="00E76E89">
        <w:rPr>
          <w:szCs w:val="24"/>
        </w:rPr>
        <w:t>TSRS</w:t>
      </w:r>
      <w:r w:rsidR="00036128" w:rsidRPr="00E76E89">
        <w:rPr>
          <w:szCs w:val="24"/>
        </w:rPr>
        <w:t xml:space="preserve"> kariniai statutai</w:t>
      </w:r>
      <w:r w:rsidRPr="00E76E89">
        <w:rPr>
          <w:szCs w:val="24"/>
        </w:rPr>
        <w:t>.</w:t>
      </w:r>
    </w:p>
    <w:p w:rsidR="00B63F11" w:rsidRPr="00C00255" w:rsidRDefault="008B4E58" w:rsidP="00321748">
      <w:pPr>
        <w:pStyle w:val="ListParagraph"/>
        <w:numPr>
          <w:ilvl w:val="0"/>
          <w:numId w:val="6"/>
        </w:numPr>
        <w:spacing w:before="120" w:after="120"/>
        <w:ind w:left="992" w:hanging="992"/>
        <w:contextualSpacing w:val="0"/>
        <w:rPr>
          <w:szCs w:val="24"/>
        </w:rPr>
      </w:pPr>
      <w:bookmarkStart w:id="47" w:name="_Toc37947840"/>
      <w:bookmarkStart w:id="48" w:name="_Toc67677319"/>
      <w:bookmarkStart w:id="49" w:name="_Toc67985446"/>
      <w:r w:rsidRPr="008B4E58">
        <w:rPr>
          <w:b/>
        </w:rPr>
        <w:t>Nuteistojo V. S. 2 gynėjas</w:t>
      </w:r>
      <w:bookmarkEnd w:id="47"/>
      <w:bookmarkEnd w:id="48"/>
      <w:bookmarkEnd w:id="49"/>
      <w:r w:rsidRPr="00C00255">
        <w:rPr>
          <w:szCs w:val="24"/>
        </w:rPr>
        <w:t xml:space="preserve"> </w:t>
      </w:r>
      <w:r w:rsidRPr="00C00255">
        <w:rPr>
          <w:b/>
          <w:szCs w:val="24"/>
        </w:rPr>
        <w:t>advokatas J. Kučynskis</w:t>
      </w:r>
      <w:r w:rsidRPr="00C00255">
        <w:rPr>
          <w:szCs w:val="24"/>
        </w:rPr>
        <w:t xml:space="preserve"> </w:t>
      </w:r>
      <w:r w:rsidR="00B63F11" w:rsidRPr="00C00255">
        <w:rPr>
          <w:szCs w:val="24"/>
        </w:rPr>
        <w:t xml:space="preserve">apeliaciniu skundo prašo panaikinti pirmosios instancijos teismo nuosprendį ir jo ginamąjį išteisinti arba </w:t>
      </w:r>
      <w:r w:rsidR="00B1355C" w:rsidRPr="00C00255">
        <w:rPr>
          <w:szCs w:val="24"/>
        </w:rPr>
        <w:t xml:space="preserve">jam </w:t>
      </w:r>
      <w:r w:rsidR="00B63F11" w:rsidRPr="00C00255">
        <w:rPr>
          <w:szCs w:val="24"/>
        </w:rPr>
        <w:t xml:space="preserve">skirti švelnesnę bausmę.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Anot gynėjo, nuosprendis nepagrįstas ir neteisėtas, juo netinkamai pritaikytas baudžiamasis įstatymas. </w:t>
      </w:r>
      <w:r w:rsidRPr="00E76E89">
        <w:rPr>
          <w:bCs/>
          <w:szCs w:val="24"/>
        </w:rPr>
        <w:t>Byloje</w:t>
      </w:r>
      <w:r w:rsidRPr="00E76E89">
        <w:rPr>
          <w:szCs w:val="24"/>
        </w:rPr>
        <w:t xml:space="preserve"> nebuvo </w:t>
      </w:r>
      <w:bookmarkStart w:id="50" w:name="_Hlk34289169"/>
      <w:r w:rsidRPr="00E76E89">
        <w:rPr>
          <w:szCs w:val="24"/>
        </w:rPr>
        <w:t>konkretizuota</w:t>
      </w:r>
      <w:r w:rsidR="002822C3" w:rsidRPr="00E76E89">
        <w:rPr>
          <w:szCs w:val="24"/>
        </w:rPr>
        <w:t>,</w:t>
      </w:r>
      <w:r w:rsidRPr="00E76E89">
        <w:rPr>
          <w:szCs w:val="24"/>
        </w:rPr>
        <w:t xml:space="preserve"> dėl kurio iš kaltinamųjų veiksmų kilo sunkiausi</w:t>
      </w:r>
      <w:r w:rsidR="002822C3" w:rsidRPr="00E76E89">
        <w:rPr>
          <w:szCs w:val="24"/>
        </w:rPr>
        <w:t xml:space="preserve"> padariniai</w:t>
      </w:r>
      <w:r w:rsidRPr="00E76E89">
        <w:rPr>
          <w:szCs w:val="24"/>
        </w:rPr>
        <w:t xml:space="preserve"> – nužudymai bei kūno sužalojimai. Nesant galimybių tai nustatyti, turėjo būti pritaikytas </w:t>
      </w:r>
      <w:r w:rsidRPr="00E76E89">
        <w:rPr>
          <w:i/>
          <w:szCs w:val="24"/>
        </w:rPr>
        <w:t>in dubio pro reo</w:t>
      </w:r>
      <w:r w:rsidR="002A48C2" w:rsidRPr="00E76E89">
        <w:rPr>
          <w:i/>
          <w:szCs w:val="24"/>
        </w:rPr>
        <w:t xml:space="preserve"> </w:t>
      </w:r>
      <w:r w:rsidR="002A48C2" w:rsidRPr="00E76E89">
        <w:rPr>
          <w:szCs w:val="24"/>
        </w:rPr>
        <w:t>(visi neaiškumai ir netikslumai aiškinami kaltininko naudai)</w:t>
      </w:r>
      <w:r w:rsidR="002A48C2" w:rsidRPr="00E76E89">
        <w:rPr>
          <w:i/>
          <w:szCs w:val="24"/>
        </w:rPr>
        <w:t xml:space="preserve"> </w:t>
      </w:r>
      <w:r w:rsidRPr="00E76E89">
        <w:rPr>
          <w:szCs w:val="24"/>
        </w:rPr>
        <w:t>principas ir šios abejonės aiškintos nuteistųjų naudai</w:t>
      </w:r>
      <w:bookmarkEnd w:id="50"/>
      <w:r w:rsidRPr="00E76E89">
        <w:rPr>
          <w:szCs w:val="24"/>
        </w:rPr>
        <w:t xml:space="preserve">. Kita vertus, jo ginamasis jam inkriminuojamų veikų nepadarė. 1991 m. sausio įvykiai Lietuvoje buvo politinio pobūdžio. TSRS prezidentas buvo paskelbęs, kad Lietuvos nepriklausomybės aktas yra neteisėtas ir reikalaujama atkurti buvusią santvarką. </w:t>
      </w:r>
      <w:r w:rsidR="00385BC9" w:rsidRPr="00E76E89">
        <w:rPr>
          <w:szCs w:val="24"/>
        </w:rPr>
        <w:t>V. S. 2</w:t>
      </w:r>
      <w:r w:rsidR="00056CFA" w:rsidRPr="00E76E89">
        <w:rPr>
          <w:szCs w:val="24"/>
        </w:rPr>
        <w:t xml:space="preserve"> nežinojo, kad Lietuvos </w:t>
      </w:r>
      <w:r w:rsidRPr="00E76E89">
        <w:rPr>
          <w:szCs w:val="24"/>
        </w:rPr>
        <w:t xml:space="preserve">nepriklausomybė yra atkurta, žinojo, kad </w:t>
      </w:r>
      <w:r w:rsidR="002822C3" w:rsidRPr="00E76E89">
        <w:rPr>
          <w:szCs w:val="24"/>
        </w:rPr>
        <w:t>Lietuva</w:t>
      </w:r>
      <w:r w:rsidRPr="00E76E89">
        <w:rPr>
          <w:szCs w:val="24"/>
        </w:rPr>
        <w:t xml:space="preserve"> yra TSRS s</w:t>
      </w:r>
      <w:r w:rsidR="0081523B" w:rsidRPr="00E76E89">
        <w:rPr>
          <w:szCs w:val="24"/>
        </w:rPr>
        <w:t>udėtyje. Atsižvelgiant į tai</w:t>
      </w:r>
      <w:r w:rsidR="002822C3" w:rsidRPr="00E76E89">
        <w:rPr>
          <w:szCs w:val="24"/>
        </w:rPr>
        <w:t>,</w:t>
      </w:r>
      <w:r w:rsidR="0081523B" w:rsidRPr="00E76E89">
        <w:rPr>
          <w:szCs w:val="24"/>
        </w:rPr>
        <w:t xml:space="preserve"> </w:t>
      </w:r>
      <w:r w:rsidR="00385BC9" w:rsidRPr="00E76E89">
        <w:rPr>
          <w:szCs w:val="24"/>
        </w:rPr>
        <w:t>V. S. 2</w:t>
      </w:r>
      <w:r w:rsidRPr="00E76E89">
        <w:rPr>
          <w:szCs w:val="24"/>
        </w:rPr>
        <w:t xml:space="preserve"> buvo teisėtai komandiruotas į Lie</w:t>
      </w:r>
      <w:r w:rsidR="0081523B" w:rsidRPr="00E76E89">
        <w:rPr>
          <w:szCs w:val="24"/>
        </w:rPr>
        <w:t>tuvą siekiant užtikrinti šaukimo</w:t>
      </w:r>
      <w:r w:rsidRPr="00E76E89">
        <w:rPr>
          <w:szCs w:val="24"/>
        </w:rPr>
        <w:t xml:space="preserve"> į privalomą karinę tarnybą vykdymą bei objektų apsaugą.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Vadovaujantis specialisto J. Andriškevičiaus išvada, Spaudos rūmų užėmimui vadovavo ne </w:t>
      </w:r>
      <w:r w:rsidR="00385BC9" w:rsidRPr="00E76E89">
        <w:rPr>
          <w:szCs w:val="24"/>
        </w:rPr>
        <w:t>V. S. 2</w:t>
      </w:r>
      <w:r w:rsidRPr="00E76E89">
        <w:rPr>
          <w:szCs w:val="24"/>
        </w:rPr>
        <w:t xml:space="preserve">, o aukštesnis pagal laipsnį pulkininkas </w:t>
      </w:r>
      <w:r w:rsidR="00385BC9" w:rsidRPr="00E76E89">
        <w:rPr>
          <w:szCs w:val="24"/>
        </w:rPr>
        <w:t>V. K. 1</w:t>
      </w:r>
      <w:r w:rsidRPr="00E76E89">
        <w:rPr>
          <w:szCs w:val="24"/>
        </w:rPr>
        <w:t>. Atitinkamai specialisto išvada, kad karinės atakos prie TV bokšto metu vadovavo ir karių veiksmus koordinavo bataliono vad</w:t>
      </w:r>
      <w:r w:rsidR="0081523B" w:rsidRPr="00E76E89">
        <w:rPr>
          <w:szCs w:val="24"/>
        </w:rPr>
        <w:t xml:space="preserve">as </w:t>
      </w:r>
      <w:r w:rsidR="00385BC9" w:rsidRPr="00E76E89">
        <w:rPr>
          <w:szCs w:val="24"/>
        </w:rPr>
        <w:t>V. S. 2</w:t>
      </w:r>
      <w:r w:rsidR="0081523B" w:rsidRPr="00E76E89">
        <w:rPr>
          <w:szCs w:val="24"/>
        </w:rPr>
        <w:t xml:space="preserve"> su 76-osios o</w:t>
      </w:r>
      <w:r w:rsidRPr="00E76E89">
        <w:rPr>
          <w:szCs w:val="24"/>
        </w:rPr>
        <w:t xml:space="preserve">ro desanto divizijos 234-ojo pulko vadu </w:t>
      </w:r>
      <w:r w:rsidR="00C507EF" w:rsidRPr="00E76E89">
        <w:rPr>
          <w:szCs w:val="24"/>
        </w:rPr>
        <w:t>I. K.</w:t>
      </w:r>
      <w:r w:rsidRPr="00E76E89">
        <w:rPr>
          <w:szCs w:val="24"/>
        </w:rPr>
        <w:t xml:space="preserve">, yra nepagrįsta ir prieštaringa. Iš pačios išvados matyti, kad </w:t>
      </w:r>
      <w:r w:rsidR="00C507EF" w:rsidRPr="00E76E89">
        <w:rPr>
          <w:szCs w:val="24"/>
        </w:rPr>
        <w:t>I. K.</w:t>
      </w:r>
      <w:r w:rsidRPr="00E76E89">
        <w:rPr>
          <w:szCs w:val="24"/>
        </w:rPr>
        <w:t xml:space="preserve"> ėjo aukštesnes pareigas nei </w:t>
      </w:r>
      <w:r w:rsidR="00385BC9" w:rsidRPr="00E76E89">
        <w:rPr>
          <w:szCs w:val="24"/>
        </w:rPr>
        <w:t>V. S. 2</w:t>
      </w:r>
      <w:r w:rsidRPr="00E76E89">
        <w:rPr>
          <w:szCs w:val="24"/>
        </w:rPr>
        <w:t xml:space="preserve">, kuris buvo jam pavaldus ir vykdė jo įsakymus. Todėl specialisto išvada neįrodo jokių </w:t>
      </w:r>
      <w:r w:rsidR="00385BC9" w:rsidRPr="00E76E89">
        <w:rPr>
          <w:szCs w:val="24"/>
        </w:rPr>
        <w:t>V. S. 2</w:t>
      </w:r>
      <w:r w:rsidRPr="00E76E89">
        <w:rPr>
          <w:szCs w:val="24"/>
        </w:rPr>
        <w:t xml:space="preserve"> neteisėtų veiksmų.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Skunde nurodoma, kad pagal tuome</w:t>
      </w:r>
      <w:r w:rsidR="002822C3" w:rsidRPr="00E76E89">
        <w:rPr>
          <w:szCs w:val="24"/>
        </w:rPr>
        <w:t>čius</w:t>
      </w:r>
      <w:r w:rsidRPr="00E76E89">
        <w:rPr>
          <w:szCs w:val="24"/>
        </w:rPr>
        <w:t xml:space="preserve"> teisės aktus TSRS kariuomenės vadų įsakymas turėjo būti įvykdytas, o </w:t>
      </w:r>
      <w:r w:rsidR="00FE7404" w:rsidRPr="00E76E89">
        <w:rPr>
          <w:szCs w:val="24"/>
        </w:rPr>
        <w:t xml:space="preserve">jo </w:t>
      </w:r>
      <w:r w:rsidRPr="00E76E89">
        <w:rPr>
          <w:szCs w:val="24"/>
        </w:rPr>
        <w:t>nevykdymas buvo baudžiamas itin griežtai. Apelianto manymu, už visus nagrinėjamus įvykius yra atsakingi įsakymus davę vad</w:t>
      </w:r>
      <w:r w:rsidR="0081523B" w:rsidRPr="00E76E89">
        <w:rPr>
          <w:szCs w:val="24"/>
        </w:rPr>
        <w:t xml:space="preserve">ai, o ne eiliniai kariškiai. </w:t>
      </w:r>
      <w:r w:rsidR="00385BC9" w:rsidRPr="00E76E89">
        <w:rPr>
          <w:szCs w:val="24"/>
        </w:rPr>
        <w:t>V. S. 2</w:t>
      </w:r>
      <w:r w:rsidRPr="00E76E89">
        <w:rPr>
          <w:szCs w:val="24"/>
        </w:rPr>
        <w:t xml:space="preserve"> nebuvo gavęs įsakymo žudyti ar kitaip žaloti žmonių, o pats tokių įsakymų nedavė. Iš </w:t>
      </w:r>
      <w:r w:rsidRPr="00E76E89">
        <w:rPr>
          <w:szCs w:val="24"/>
        </w:rPr>
        <w:lastRenderedPageBreak/>
        <w:t xml:space="preserve">karininkų ir kariškių parodymų matyti, kad visi jie buvo įspėjami veikti atsargiai, kad nenukentėtų civiliai.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Anot apelianto, kaltinamiesiems inkriminuojamų veikų padarymo metu atsakomybė už karo nusikaltimus ir nusikaltimus žmoniškumui nebuvo numatyta. Ji numatyta praėjus 20 metų nuo šių įvykių, </w:t>
      </w:r>
      <w:r w:rsidR="002822C3" w:rsidRPr="00E76E89">
        <w:rPr>
          <w:szCs w:val="24"/>
        </w:rPr>
        <w:t>kartu</w:t>
      </w:r>
      <w:r w:rsidRPr="00E76E89">
        <w:rPr>
          <w:szCs w:val="24"/>
        </w:rPr>
        <w:t xml:space="preserve"> nustatant, kad šios BK normos galioja atgal. Gynėjo įsitikinimu, nuteistieji savo veiksmus galėjo sie</w:t>
      </w:r>
      <w:r w:rsidR="00C96771" w:rsidRPr="00E76E89">
        <w:rPr>
          <w:szCs w:val="24"/>
        </w:rPr>
        <w:t>ti tik su tuo metu galiojusio baudžiamojo kodekso</w:t>
      </w:r>
      <w:r w:rsidRPr="00E76E89">
        <w:rPr>
          <w:szCs w:val="24"/>
        </w:rPr>
        <w:t xml:space="preserve"> nuostatomis. Jei šios veikos būtų kvalifikuojamos pagal tuometes </w:t>
      </w:r>
      <w:r w:rsidR="00C96771" w:rsidRPr="00E76E89">
        <w:rPr>
          <w:szCs w:val="24"/>
        </w:rPr>
        <w:t xml:space="preserve">baudžiamojo įstatymo </w:t>
      </w:r>
      <w:r w:rsidRPr="00E76E89">
        <w:rPr>
          <w:szCs w:val="24"/>
        </w:rPr>
        <w:t xml:space="preserve">normas, šiuo metu dėl jų jau būtų suėjęs senaties terminas. </w:t>
      </w:r>
      <w:r w:rsidR="00C96771" w:rsidRPr="00E76E89">
        <w:rPr>
          <w:szCs w:val="24"/>
        </w:rPr>
        <w:t>Vilniaus apygardos teismas 1999 m. </w:t>
      </w:r>
      <w:r w:rsidRPr="00E76E89">
        <w:rPr>
          <w:szCs w:val="24"/>
        </w:rPr>
        <w:t xml:space="preserve">rugpjūčio 26 d. </w:t>
      </w:r>
      <w:r w:rsidR="0081523B" w:rsidRPr="00E76E89">
        <w:rPr>
          <w:szCs w:val="24"/>
        </w:rPr>
        <w:t>nuosprendžiu dėl 1991 m. sausio </w:t>
      </w:r>
      <w:r w:rsidRPr="00E76E89">
        <w:rPr>
          <w:szCs w:val="24"/>
        </w:rPr>
        <w:t xml:space="preserve">13 d. įvykių </w:t>
      </w:r>
      <w:r w:rsidR="00C507EF" w:rsidRPr="00E76E89">
        <w:rPr>
          <w:szCs w:val="24"/>
        </w:rPr>
        <w:t>M. B.</w:t>
      </w:r>
      <w:r w:rsidRPr="00E76E89">
        <w:rPr>
          <w:szCs w:val="24"/>
        </w:rPr>
        <w:t xml:space="preserve"> ir kitus asmenis nu</w:t>
      </w:r>
      <w:r w:rsidR="0081523B" w:rsidRPr="00E76E89">
        <w:rPr>
          <w:szCs w:val="24"/>
        </w:rPr>
        <w:t>teisė pagal galiojusias 1961 m. </w:t>
      </w:r>
      <w:r w:rsidRPr="00E76E89">
        <w:rPr>
          <w:szCs w:val="24"/>
        </w:rPr>
        <w:t>BK normas ne už karo nusikaltimus ir nus</w:t>
      </w:r>
      <w:r w:rsidR="0081523B" w:rsidRPr="00E76E89">
        <w:rPr>
          <w:szCs w:val="24"/>
        </w:rPr>
        <w:t xml:space="preserve">ikaltimus žmoniškumui. Todėl </w:t>
      </w:r>
      <w:r w:rsidR="00385BC9" w:rsidRPr="00E76E89">
        <w:rPr>
          <w:szCs w:val="24"/>
        </w:rPr>
        <w:t>V. S. 2</w:t>
      </w:r>
      <w:r w:rsidR="00866DCB" w:rsidRPr="00E76E89">
        <w:rPr>
          <w:szCs w:val="24"/>
        </w:rPr>
        <w:t xml:space="preserve"> atžvilgiu</w:t>
      </w:r>
      <w:r w:rsidRPr="00E76E89">
        <w:rPr>
          <w:szCs w:val="24"/>
        </w:rPr>
        <w:t xml:space="preserve"> taip</w:t>
      </w:r>
      <w:r w:rsidR="002822C3" w:rsidRPr="00E76E89">
        <w:rPr>
          <w:szCs w:val="24"/>
        </w:rPr>
        <w:t xml:space="preserve"> pat </w:t>
      </w:r>
      <w:r w:rsidRPr="00E76E89">
        <w:rPr>
          <w:szCs w:val="24"/>
        </w:rPr>
        <w:t xml:space="preserve">turėjo būti taikomas minėtas, o ne griežtesnis teisės aktas. Gynėjo teigimu, nagrinėjamu atveju </w:t>
      </w:r>
      <w:bookmarkStart w:id="51" w:name="_Hlk34290081"/>
      <w:r w:rsidRPr="00E76E89">
        <w:rPr>
          <w:szCs w:val="24"/>
        </w:rPr>
        <w:t>buvo tyčia</w:t>
      </w:r>
      <w:r w:rsidR="00C96771" w:rsidRPr="00E76E89">
        <w:rPr>
          <w:szCs w:val="24"/>
        </w:rPr>
        <w:t xml:space="preserve"> laukiama</w:t>
      </w:r>
      <w:r w:rsidR="002822C3" w:rsidRPr="00E76E89">
        <w:rPr>
          <w:szCs w:val="24"/>
        </w:rPr>
        <w:t>,</w:t>
      </w:r>
      <w:r w:rsidR="00C96771" w:rsidRPr="00E76E89">
        <w:rPr>
          <w:szCs w:val="24"/>
        </w:rPr>
        <w:t xml:space="preserve"> kol įsigalios 2011 m. </w:t>
      </w:r>
      <w:r w:rsidRPr="00E76E89">
        <w:rPr>
          <w:szCs w:val="24"/>
        </w:rPr>
        <w:t xml:space="preserve">BK nuostatos, </w:t>
      </w:r>
      <w:r w:rsidR="00FE7404" w:rsidRPr="00E76E89">
        <w:rPr>
          <w:szCs w:val="24"/>
        </w:rPr>
        <w:t>kuriose</w:t>
      </w:r>
      <w:r w:rsidR="002822C3" w:rsidRPr="00E76E89">
        <w:rPr>
          <w:szCs w:val="24"/>
        </w:rPr>
        <w:t xml:space="preserve"> </w:t>
      </w:r>
      <w:r w:rsidRPr="00E76E89">
        <w:rPr>
          <w:szCs w:val="24"/>
        </w:rPr>
        <w:t>numat</w:t>
      </w:r>
      <w:r w:rsidR="002822C3" w:rsidRPr="00E76E89">
        <w:rPr>
          <w:szCs w:val="24"/>
        </w:rPr>
        <w:t>omos</w:t>
      </w:r>
      <w:r w:rsidRPr="00E76E89">
        <w:rPr>
          <w:szCs w:val="24"/>
        </w:rPr>
        <w:t xml:space="preserve"> veik</w:t>
      </w:r>
      <w:r w:rsidR="002822C3" w:rsidRPr="00E76E89">
        <w:rPr>
          <w:szCs w:val="24"/>
        </w:rPr>
        <w:t>o</w:t>
      </w:r>
      <w:r w:rsidRPr="00E76E89">
        <w:rPr>
          <w:szCs w:val="24"/>
        </w:rPr>
        <w:t>s, kurioms senaties terminas netaikomas.</w:t>
      </w:r>
      <w:bookmarkEnd w:id="51"/>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Apeliaciniu skundu nesutinkama ir su nuosprendžiu paskirtomis bausmėmis. Nurodoma, kad byloje nėra objektyvių duomenų, charakterizuojančių nuteistąjį, kad atsižvelgiant į laiką, kuris praėjo nuo nusikaltimų padarymo, į atskirų kaltinamųjų padarytų veikų apimtį, taip pat į tai, kad nebuvo gauta duomenų apie naujas jų padarytas nusikalstamas veikas, nuteistųjų atžvilgiu yra pagrindas taikyti BK 54 straipsnio 3 dalies nuostatas </w:t>
      </w:r>
      <w:r w:rsidR="0081523B" w:rsidRPr="00E76E89">
        <w:rPr>
          <w:szCs w:val="24"/>
        </w:rPr>
        <w:t>ir skirti švelnesnę bausmę</w:t>
      </w:r>
      <w:r w:rsidR="003C5D7B" w:rsidRPr="00E76E89">
        <w:rPr>
          <w:szCs w:val="24"/>
        </w:rPr>
        <w:t>,</w:t>
      </w:r>
      <w:r w:rsidRPr="00E76E89">
        <w:rPr>
          <w:szCs w:val="24"/>
        </w:rPr>
        <w:t xml:space="preserve"> nei numat</w:t>
      </w:r>
      <w:r w:rsidR="00FE7404" w:rsidRPr="00E76E89">
        <w:rPr>
          <w:szCs w:val="24"/>
        </w:rPr>
        <w:t>yta</w:t>
      </w:r>
      <w:r w:rsidRPr="00E76E89">
        <w:rPr>
          <w:szCs w:val="24"/>
        </w:rPr>
        <w:t xml:space="preserve"> baudžiamojo įstatymo sankcij</w:t>
      </w:r>
      <w:r w:rsidR="00FE7404" w:rsidRPr="00E76E89">
        <w:rPr>
          <w:szCs w:val="24"/>
        </w:rPr>
        <w:t>oje</w:t>
      </w:r>
      <w:r w:rsidRPr="00E76E89">
        <w:rPr>
          <w:szCs w:val="24"/>
        </w:rPr>
        <w:t xml:space="preserve">. Tokia bausmė </w:t>
      </w:r>
      <w:r w:rsidR="00385BC9" w:rsidRPr="00E76E89">
        <w:rPr>
          <w:szCs w:val="24"/>
        </w:rPr>
        <w:t>V. S. 2</w:t>
      </w:r>
      <w:r w:rsidRPr="00E76E89">
        <w:rPr>
          <w:szCs w:val="24"/>
        </w:rPr>
        <w:t xml:space="preserve"> galėjo būti paskirta, įvertinus ir tai, kad jis vykdė vadų įsakymus, veikų padarymo metu buvo jaunas, nuo jo veiksmų prie Spaudos rūmų ir TV bokšto niekas nenukentėjo. Pats </w:t>
      </w:r>
      <w:r w:rsidR="00385BC9" w:rsidRPr="00E76E89">
        <w:rPr>
          <w:szCs w:val="24"/>
        </w:rPr>
        <w:t>V. S. 2</w:t>
      </w:r>
      <w:r w:rsidR="003C5D7B" w:rsidRPr="00E76E89">
        <w:rPr>
          <w:szCs w:val="24"/>
        </w:rPr>
        <w:t>,</w:t>
      </w:r>
      <w:r w:rsidRPr="00E76E89">
        <w:rPr>
          <w:szCs w:val="24"/>
        </w:rPr>
        <w:t xml:space="preserve"> apklaustas </w:t>
      </w:r>
      <w:r w:rsidR="003C5D7B" w:rsidRPr="00E76E89">
        <w:rPr>
          <w:szCs w:val="24"/>
        </w:rPr>
        <w:t xml:space="preserve">kaip </w:t>
      </w:r>
      <w:r w:rsidRPr="00E76E89">
        <w:rPr>
          <w:szCs w:val="24"/>
        </w:rPr>
        <w:t>liudytoj</w:t>
      </w:r>
      <w:r w:rsidR="003C5D7B" w:rsidRPr="00E76E89">
        <w:rPr>
          <w:szCs w:val="24"/>
        </w:rPr>
        <w:t>as,</w:t>
      </w:r>
      <w:r w:rsidRPr="00E76E89">
        <w:rPr>
          <w:szCs w:val="24"/>
        </w:rPr>
        <w:t xml:space="preserve"> parodė, kad </w:t>
      </w:r>
      <w:bookmarkStart w:id="52" w:name="_Hlk34290490"/>
      <w:r w:rsidRPr="00E76E89">
        <w:rPr>
          <w:szCs w:val="24"/>
        </w:rPr>
        <w:t>prie Spaudos rūmų jiems nepavyko pr</w:t>
      </w:r>
      <w:r w:rsidR="00DD1A27" w:rsidRPr="00E76E89">
        <w:rPr>
          <w:szCs w:val="24"/>
        </w:rPr>
        <w:t>asibrauti pro civilius, prie TV </w:t>
      </w:r>
      <w:r w:rsidRPr="00E76E89">
        <w:rPr>
          <w:szCs w:val="24"/>
        </w:rPr>
        <w:t>bokšto jie neišeikvojo n</w:t>
      </w:r>
      <w:r w:rsidR="003C5D7B" w:rsidRPr="00E76E89">
        <w:rPr>
          <w:szCs w:val="24"/>
        </w:rPr>
        <w:t>ė</w:t>
      </w:r>
      <w:r w:rsidRPr="00E76E89">
        <w:rPr>
          <w:szCs w:val="24"/>
        </w:rPr>
        <w:t xml:space="preserve"> vieno kovinio šovinio, o tik tuščius. </w:t>
      </w:r>
      <w:bookmarkEnd w:id="52"/>
      <w:r w:rsidRPr="00E76E89">
        <w:rPr>
          <w:szCs w:val="24"/>
        </w:rPr>
        <w:t>Jis matė</w:t>
      </w:r>
      <w:r w:rsidR="003C5D7B" w:rsidRPr="00E76E89">
        <w:rPr>
          <w:szCs w:val="24"/>
        </w:rPr>
        <w:t>,</w:t>
      </w:r>
      <w:r w:rsidRPr="00E76E89">
        <w:rPr>
          <w:szCs w:val="24"/>
        </w:rPr>
        <w:t xml:space="preserve"> kaip kulkos skriejo į kariškius iš gyvenamųjų namų, o daugelis kariškių patyrė įvairius sužalojimus. Taigi sprendžiant dėl minėtų nuostatų taikymo nuteistajam, gynėjo įsitikinimu, būtina įvertinti ir pačių nukentėjusiųjų rizikingą bei provokuojantį elgesį, taip pat </w:t>
      </w:r>
      <w:r w:rsidR="003C5D7B" w:rsidRPr="00E76E89">
        <w:rPr>
          <w:szCs w:val="24"/>
        </w:rPr>
        <w:t xml:space="preserve">ir </w:t>
      </w:r>
      <w:r w:rsidRPr="00E76E89">
        <w:rPr>
          <w:szCs w:val="24"/>
        </w:rPr>
        <w:t xml:space="preserve">užsitęsusią proceso trukmę. </w:t>
      </w:r>
    </w:p>
    <w:p w:rsidR="00B63F11" w:rsidRPr="00E76E89" w:rsidRDefault="00B63F11" w:rsidP="00321748">
      <w:pPr>
        <w:pStyle w:val="ListParagraph"/>
        <w:numPr>
          <w:ilvl w:val="1"/>
          <w:numId w:val="6"/>
        </w:numPr>
        <w:spacing w:before="120" w:after="120"/>
        <w:ind w:left="992" w:hanging="992"/>
        <w:contextualSpacing w:val="0"/>
        <w:rPr>
          <w:szCs w:val="24"/>
        </w:rPr>
      </w:pPr>
      <w:r w:rsidRPr="00E76E89">
        <w:rPr>
          <w:szCs w:val="24"/>
        </w:rPr>
        <w:t xml:space="preserve">Gynėjo įsitikinimu, proceso metu buvo padaryti baudžiamojo proceso įstatymo pažeidimai, suvaržyta teisė į gynybą. </w:t>
      </w:r>
    </w:p>
    <w:p w:rsidR="00B63F11" w:rsidRPr="00E76E89" w:rsidRDefault="00B63F11" w:rsidP="00321748">
      <w:pPr>
        <w:pStyle w:val="ListParagraph"/>
        <w:numPr>
          <w:ilvl w:val="2"/>
          <w:numId w:val="6"/>
        </w:numPr>
        <w:spacing w:before="120" w:after="120"/>
        <w:ind w:left="992" w:hanging="992"/>
        <w:contextualSpacing w:val="0"/>
        <w:rPr>
          <w:szCs w:val="24"/>
        </w:rPr>
      </w:pPr>
      <w:r w:rsidRPr="00E76E89">
        <w:rPr>
          <w:szCs w:val="24"/>
        </w:rPr>
        <w:t xml:space="preserve">Pirmiausia ši </w:t>
      </w:r>
      <w:bookmarkStart w:id="53" w:name="_Hlk34293914"/>
      <w:r w:rsidRPr="00E76E89">
        <w:rPr>
          <w:szCs w:val="24"/>
        </w:rPr>
        <w:t xml:space="preserve">asmens teisė buvo pažeista surašant nutarimą dėl </w:t>
      </w:r>
      <w:r w:rsidR="00385BC9" w:rsidRPr="00E76E89">
        <w:rPr>
          <w:szCs w:val="24"/>
        </w:rPr>
        <w:t>V. S. 2</w:t>
      </w:r>
      <w:r w:rsidRPr="00E76E89">
        <w:rPr>
          <w:szCs w:val="24"/>
        </w:rPr>
        <w:t xml:space="preserve"> pripažinimo įtariamuoju, nes nebuvo užtikrinta jo gynyba. </w:t>
      </w:r>
      <w:bookmarkEnd w:id="53"/>
      <w:r w:rsidRPr="00E76E89">
        <w:rPr>
          <w:szCs w:val="24"/>
        </w:rPr>
        <w:t>Advokatai buvo paskirti tik vėliau, t.</w:t>
      </w:r>
      <w:r w:rsidR="003C5D7B" w:rsidRPr="00E76E89">
        <w:rPr>
          <w:szCs w:val="24"/>
        </w:rPr>
        <w:t> </w:t>
      </w:r>
      <w:r w:rsidRPr="00E76E89">
        <w:rPr>
          <w:szCs w:val="24"/>
        </w:rPr>
        <w:t xml:space="preserve">y. surašant įtarimus ir skiriant suėmimą. </w:t>
      </w:r>
    </w:p>
    <w:p w:rsidR="008B4E58" w:rsidRPr="00E76E89" w:rsidRDefault="00B63F11" w:rsidP="008B4E58">
      <w:pPr>
        <w:pStyle w:val="ListParagraph"/>
        <w:numPr>
          <w:ilvl w:val="2"/>
          <w:numId w:val="6"/>
        </w:numPr>
        <w:spacing w:before="120" w:after="120"/>
        <w:ind w:left="992" w:hanging="992"/>
        <w:contextualSpacing w:val="0"/>
        <w:rPr>
          <w:szCs w:val="24"/>
        </w:rPr>
      </w:pPr>
      <w:r w:rsidRPr="00E76E89">
        <w:rPr>
          <w:szCs w:val="24"/>
        </w:rPr>
        <w:t>Iki šiol nuteistajam nėra įteiktas nei įtarimas</w:t>
      </w:r>
      <w:r w:rsidR="0081523B" w:rsidRPr="00E76E89">
        <w:rPr>
          <w:szCs w:val="24"/>
        </w:rPr>
        <w:t>,</w:t>
      </w:r>
      <w:r w:rsidRPr="00E76E89">
        <w:rPr>
          <w:szCs w:val="24"/>
        </w:rPr>
        <w:t xml:space="preserve"> nei kaltinimas. Lietuva net nepateikė prašymo Rusijos Federacijai </w:t>
      </w:r>
      <w:r w:rsidR="00FE7404" w:rsidRPr="00E76E89">
        <w:rPr>
          <w:szCs w:val="24"/>
        </w:rPr>
        <w:t xml:space="preserve">pradėti </w:t>
      </w:r>
      <w:r w:rsidRPr="00E76E89">
        <w:rPr>
          <w:szCs w:val="24"/>
        </w:rPr>
        <w:t>baudžiam</w:t>
      </w:r>
      <w:r w:rsidR="00FE7404" w:rsidRPr="00E76E89">
        <w:rPr>
          <w:szCs w:val="24"/>
        </w:rPr>
        <w:t>ąjį</w:t>
      </w:r>
      <w:r w:rsidRPr="00E76E89">
        <w:rPr>
          <w:szCs w:val="24"/>
        </w:rPr>
        <w:t xml:space="preserve"> persekiojim</w:t>
      </w:r>
      <w:r w:rsidR="00FE7404" w:rsidRPr="00E76E89">
        <w:rPr>
          <w:szCs w:val="24"/>
        </w:rPr>
        <w:t>ą</w:t>
      </w:r>
      <w:r w:rsidRPr="00E76E89">
        <w:rPr>
          <w:szCs w:val="24"/>
        </w:rPr>
        <w:t xml:space="preserve"> </w:t>
      </w:r>
      <w:r w:rsidR="00385BC9" w:rsidRPr="00E76E89">
        <w:rPr>
          <w:szCs w:val="24"/>
        </w:rPr>
        <w:t>V. S. 2</w:t>
      </w:r>
      <w:r w:rsidRPr="00E76E89">
        <w:rPr>
          <w:szCs w:val="24"/>
        </w:rPr>
        <w:t xml:space="preserve"> ir kitų nuteistųjų atžvilgiu. </w:t>
      </w:r>
    </w:p>
    <w:p w:rsidR="008B4E58" w:rsidRPr="00E76E89" w:rsidRDefault="008B4E58" w:rsidP="008B4E58">
      <w:pPr>
        <w:pStyle w:val="ListParagraph"/>
        <w:numPr>
          <w:ilvl w:val="2"/>
          <w:numId w:val="6"/>
        </w:numPr>
        <w:spacing w:before="120" w:after="120"/>
        <w:ind w:left="992" w:hanging="992"/>
        <w:contextualSpacing w:val="0"/>
        <w:rPr>
          <w:szCs w:val="24"/>
        </w:rPr>
      </w:pPr>
      <w:r w:rsidRPr="00E76E89">
        <w:rPr>
          <w:szCs w:val="24"/>
        </w:rPr>
        <w:t>Įrodymais negali būti pripažinti duomenys, kurie surinkti TSRS</w:t>
      </w:r>
      <w:r w:rsidRPr="00E76E89">
        <w:t xml:space="preserve"> prokuratūros atliktame tyrime. Gynėjo </w:t>
      </w:r>
      <w:r w:rsidRPr="00E76E89">
        <w:rPr>
          <w:szCs w:val="24"/>
        </w:rPr>
        <w:t>teigimu, TSRS prokuratūra negalėjo perduoti Lietuvai minėto tyrimo medžiagos dėl savo pačios piliečių, nes 1991 m. galiojusiuose teisės aktuose nebuvo reglamentuotas bylos perdavimas kitai valstybei.</w:t>
      </w:r>
    </w:p>
    <w:p w:rsidR="0081523B" w:rsidRPr="00E76E89" w:rsidRDefault="00B63F11" w:rsidP="00321748">
      <w:pPr>
        <w:pStyle w:val="ListParagraph"/>
        <w:numPr>
          <w:ilvl w:val="2"/>
          <w:numId w:val="6"/>
        </w:numPr>
        <w:spacing w:before="120" w:after="120"/>
        <w:ind w:left="992" w:hanging="992"/>
        <w:contextualSpacing w:val="0"/>
        <w:rPr>
          <w:szCs w:val="24"/>
        </w:rPr>
      </w:pPr>
      <w:r w:rsidRPr="00E76E89">
        <w:rPr>
          <w:szCs w:val="24"/>
        </w:rPr>
        <w:t xml:space="preserve">Teismas negalėjo remtis kaltinamųjų parodymais, kurie duoti apklausiant juos </w:t>
      </w:r>
      <w:r w:rsidR="003C5D7B" w:rsidRPr="00E76E89">
        <w:rPr>
          <w:szCs w:val="24"/>
        </w:rPr>
        <w:t xml:space="preserve">kaip </w:t>
      </w:r>
      <w:r w:rsidRPr="00E76E89">
        <w:rPr>
          <w:szCs w:val="24"/>
        </w:rPr>
        <w:t>liudytoj</w:t>
      </w:r>
      <w:r w:rsidR="003C5D7B" w:rsidRPr="00E76E89">
        <w:rPr>
          <w:szCs w:val="24"/>
        </w:rPr>
        <w:t>us</w:t>
      </w:r>
      <w:r w:rsidRPr="00E76E89">
        <w:rPr>
          <w:szCs w:val="24"/>
        </w:rPr>
        <w:t xml:space="preserve">. Apklausos metu </w:t>
      </w:r>
      <w:r w:rsidR="00385BC9" w:rsidRPr="00E76E89">
        <w:rPr>
          <w:szCs w:val="24"/>
        </w:rPr>
        <w:t>V. S. 2</w:t>
      </w:r>
      <w:r w:rsidRPr="00E76E89">
        <w:rPr>
          <w:szCs w:val="24"/>
        </w:rPr>
        <w:t xml:space="preserve"> buvo įspėtas dėl atsakomybės už atsisakymą </w:t>
      </w:r>
      <w:r w:rsidR="002C298B" w:rsidRPr="00E76E89">
        <w:rPr>
          <w:szCs w:val="24"/>
        </w:rPr>
        <w:t>duoti parodymus bei melagingų parodymų davimą ir tokiu būdu jis davė parodymus apie savo</w:t>
      </w:r>
      <w:r w:rsidRPr="00E76E89">
        <w:rPr>
          <w:szCs w:val="24"/>
          <w:lang w:eastAsia="lt-LT"/>
        </w:rPr>
        <w:t xml:space="preserve"> paties galimai padarytą nusikalstamą veiką. </w:t>
      </w:r>
    </w:p>
    <w:p w:rsidR="008B4E58" w:rsidRPr="008B4E58" w:rsidRDefault="008B4E58" w:rsidP="008B4E58">
      <w:pPr>
        <w:pStyle w:val="ListParagraph"/>
        <w:numPr>
          <w:ilvl w:val="0"/>
          <w:numId w:val="6"/>
        </w:numPr>
        <w:spacing w:before="120" w:after="120"/>
        <w:ind w:left="992" w:hanging="992"/>
        <w:contextualSpacing w:val="0"/>
        <w:rPr>
          <w:szCs w:val="24"/>
        </w:rPr>
      </w:pPr>
      <w:r w:rsidRPr="008B4E58">
        <w:rPr>
          <w:b/>
          <w:szCs w:val="24"/>
        </w:rPr>
        <w:t>Nuteistojo V. D. gynėjas advokatas S. Chiminas</w:t>
      </w:r>
      <w:r w:rsidRPr="008B4E58">
        <w:rPr>
          <w:szCs w:val="24"/>
        </w:rPr>
        <w:t xml:space="preserve"> apeliaciniu skundu prašo skundžiamą apygardos teismo nuosprendį dėl V. D. panaikinti ir baudžiamąją bylą nutraukti.</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lastRenderedPageBreak/>
        <w:t xml:space="preserve">Apeliaciniame skunde, remiantis </w:t>
      </w:r>
      <w:r w:rsidR="002451F2" w:rsidRPr="00E76E89">
        <w:rPr>
          <w:szCs w:val="24"/>
        </w:rPr>
        <w:t>V. D.</w:t>
      </w:r>
      <w:r w:rsidR="00866DCB" w:rsidRPr="00E76E89">
        <w:rPr>
          <w:szCs w:val="24"/>
        </w:rPr>
        <w:t>,</w:t>
      </w:r>
      <w:r w:rsidRPr="00E76E89">
        <w:rPr>
          <w:szCs w:val="24"/>
        </w:rPr>
        <w:t xml:space="preserve"> kaip liudytojo</w:t>
      </w:r>
      <w:r w:rsidR="00866DCB" w:rsidRPr="00E76E89">
        <w:rPr>
          <w:szCs w:val="24"/>
        </w:rPr>
        <w:t>,</w:t>
      </w:r>
      <w:r w:rsidRPr="00E76E89">
        <w:rPr>
          <w:szCs w:val="24"/>
        </w:rPr>
        <w:t xml:space="preserve"> apklausos protokolu, teigiama, kad </w:t>
      </w:r>
      <w:r w:rsidR="002451F2" w:rsidRPr="00E76E89">
        <w:rPr>
          <w:szCs w:val="24"/>
        </w:rPr>
        <w:t>V. D.</w:t>
      </w:r>
      <w:r w:rsidRPr="00E76E89">
        <w:rPr>
          <w:szCs w:val="24"/>
        </w:rPr>
        <w:t xml:space="preserve"> dalyvavo TV bokšto šturme, tačiau jis nešaudė į taikius gyventojus, tik savigynos tikslais </w:t>
      </w:r>
      <w:r w:rsidR="00CB33FF" w:rsidRPr="00E76E89">
        <w:rPr>
          <w:szCs w:val="24"/>
        </w:rPr>
        <w:t>naudojo</w:t>
      </w:r>
      <w:r w:rsidRPr="00E76E89">
        <w:rPr>
          <w:szCs w:val="24"/>
        </w:rPr>
        <w:t xml:space="preserve"> fizinį smurtą (vienam asmeniui spyrė į krūtinę, o kitam asmeniui trenkė į krūtinę automato buože), nes jam kartu su kitais kariškiais pradėjus brautis p</w:t>
      </w:r>
      <w:r w:rsidR="00866DCB" w:rsidRPr="00E76E89">
        <w:rPr>
          <w:szCs w:val="24"/>
        </w:rPr>
        <w:t>ro</w:t>
      </w:r>
      <w:r w:rsidRPr="00E76E89">
        <w:rPr>
          <w:szCs w:val="24"/>
        </w:rPr>
        <w:t xml:space="preserve"> minią TV bokšto link keturi civiliai mėgino iš jo atimti automatą. Duomenų apie kitus nusikalstamus </w:t>
      </w:r>
      <w:r w:rsidR="002451F2" w:rsidRPr="00E76E89">
        <w:rPr>
          <w:szCs w:val="24"/>
        </w:rPr>
        <w:t>V. D.</w:t>
      </w:r>
      <w:r w:rsidRPr="00E76E89">
        <w:rPr>
          <w:szCs w:val="24"/>
        </w:rPr>
        <w:t xml:space="preserve"> veiksmus byloje nėra.</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Gynėjo teigimu, kaltinimas yra nekonkretus, nenustatyti </w:t>
      </w:r>
      <w:r w:rsidR="002451F2" w:rsidRPr="00E76E89">
        <w:rPr>
          <w:szCs w:val="24"/>
        </w:rPr>
        <w:t>V. D.</w:t>
      </w:r>
      <w:r w:rsidRPr="00E76E89">
        <w:rPr>
          <w:szCs w:val="24"/>
        </w:rPr>
        <w:t xml:space="preserve"> asmeniškai padaryti nusikalstami veiksmai. Iš nuosprendžio neaišku, kodėl </w:t>
      </w:r>
      <w:r w:rsidR="002451F2" w:rsidRPr="00E76E89">
        <w:rPr>
          <w:szCs w:val="24"/>
        </w:rPr>
        <w:t>V. D.</w:t>
      </w:r>
      <w:r w:rsidRPr="00E76E89">
        <w:rPr>
          <w:szCs w:val="24"/>
        </w:rPr>
        <w:t xml:space="preserve"> inkriminuoti konkretūs BK straipsniai ir taip pažeista kaltinamojo teisė žinoti, kuo jis yra kaltinamas. Nuosprendis neparemtas įrodymais, nes byloje nėra jokių duomenų dėl </w:t>
      </w:r>
      <w:r w:rsidR="002451F2" w:rsidRPr="00E76E89">
        <w:rPr>
          <w:szCs w:val="24"/>
        </w:rPr>
        <w:t>V. D.</w:t>
      </w:r>
      <w:r w:rsidRPr="00E76E89">
        <w:rPr>
          <w:szCs w:val="24"/>
        </w:rPr>
        <w:t xml:space="preserve"> inkriminuotų nusikalstamų veikų padarymo. </w:t>
      </w:r>
      <w:r w:rsidR="002451F2" w:rsidRPr="00E76E89">
        <w:rPr>
          <w:szCs w:val="24"/>
        </w:rPr>
        <w:t>V. D.</w:t>
      </w:r>
      <w:r w:rsidRPr="00E76E89">
        <w:rPr>
          <w:szCs w:val="24"/>
        </w:rPr>
        <w:t xml:space="preserve"> nuteistas tik todėl, kad, vykdydamas viršininkų įsakymus, buvo prie Spaudos rūmų ir TV bokšto. Kaltinimo teiginys, kad </w:t>
      </w:r>
      <w:r w:rsidR="002451F2" w:rsidRPr="00E76E89">
        <w:rPr>
          <w:szCs w:val="24"/>
        </w:rPr>
        <w:t>V. D.</w:t>
      </w:r>
      <w:r w:rsidRPr="00E76E89">
        <w:rPr>
          <w:szCs w:val="24"/>
        </w:rPr>
        <w:t xml:space="preserve"> nusikalto, būdamas TSKP nariu, nerodo jo kaltės dėl nusikaltimų žmoniškumui ar karo nusikaltimų, kadangi įvykių metu dauguma vadovaujančių asmenų buvo TSKP nariai.</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Kaltinime nepagrįstai nurodyta ir tai, kad </w:t>
      </w:r>
      <w:r w:rsidR="002451F2" w:rsidRPr="00E76E89">
        <w:rPr>
          <w:szCs w:val="24"/>
        </w:rPr>
        <w:t>V. D.</w:t>
      </w:r>
      <w:r w:rsidRPr="00E76E89">
        <w:rPr>
          <w:szCs w:val="24"/>
        </w:rPr>
        <w:t xml:space="preserve"> suvokė, jog Lietuva laikotarpiu nuo 1918</w:t>
      </w:r>
      <w:r w:rsidR="00866DCB" w:rsidRPr="00E76E89">
        <w:rPr>
          <w:szCs w:val="24"/>
        </w:rPr>
        <w:t> </w:t>
      </w:r>
      <w:r w:rsidR="00E76E89">
        <w:rPr>
          <w:szCs w:val="24"/>
        </w:rPr>
        <w:t xml:space="preserve">m. </w:t>
      </w:r>
      <w:r w:rsidRPr="00E76E89">
        <w:rPr>
          <w:szCs w:val="24"/>
        </w:rPr>
        <w:t xml:space="preserve">iki 1940 m. buvo nepriklausoma valstybė, o 1990 m. atgavo nepriklausomybę. </w:t>
      </w:r>
      <w:r w:rsidR="002451F2" w:rsidRPr="00E76E89">
        <w:rPr>
          <w:szCs w:val="24"/>
        </w:rPr>
        <w:t>V. D.</w:t>
      </w:r>
      <w:r w:rsidRPr="00E76E89">
        <w:rPr>
          <w:szCs w:val="24"/>
        </w:rPr>
        <w:t xml:space="preserve"> gyveno </w:t>
      </w:r>
      <w:r w:rsidR="00DD1A27" w:rsidRPr="00E76E89">
        <w:rPr>
          <w:i/>
          <w:szCs w:val="24"/>
        </w:rPr>
        <w:t>(duomenys neskelbtini)</w:t>
      </w:r>
      <w:r w:rsidRPr="00E76E89">
        <w:rPr>
          <w:szCs w:val="24"/>
        </w:rPr>
        <w:t>, buvo</w:t>
      </w:r>
      <w:r w:rsidR="00DD1A27" w:rsidRPr="00E76E89">
        <w:rPr>
          <w:szCs w:val="24"/>
        </w:rPr>
        <w:t xml:space="preserve"> (</w:t>
      </w:r>
      <w:r w:rsidR="00DD1A27" w:rsidRPr="00E76E89">
        <w:rPr>
          <w:i/>
          <w:szCs w:val="24"/>
        </w:rPr>
        <w:t>duomenys neskelbtini</w:t>
      </w:r>
      <w:r w:rsidR="00DD1A27" w:rsidRPr="00E76E89">
        <w:rPr>
          <w:szCs w:val="24"/>
        </w:rPr>
        <w:t>)</w:t>
      </w:r>
      <w:r w:rsidRPr="00E76E89">
        <w:rPr>
          <w:szCs w:val="24"/>
        </w:rPr>
        <w:t xml:space="preserve"> pilietis, todėl nežinojo Lietuvos istorijos niuansų. Dėl šių aplinkybių nepagrįsti ir kaltinimo teiginiai, kad </w:t>
      </w:r>
      <w:r w:rsidR="002451F2" w:rsidRPr="00E76E89">
        <w:rPr>
          <w:szCs w:val="24"/>
        </w:rPr>
        <w:t>V. D.</w:t>
      </w:r>
      <w:r w:rsidRPr="00E76E89">
        <w:rPr>
          <w:szCs w:val="24"/>
        </w:rPr>
        <w:t xml:space="preserve"> žinojo apie TSRS aukštų pareigūnų suburtą organizuotą grupę, siekiant grąžinti Lietuvą į TSRS sudėtį.</w:t>
      </w:r>
    </w:p>
    <w:p w:rsidR="007403E5"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Anot gynėjo, teismo pagrindinis argumentas dėl </w:t>
      </w:r>
      <w:r w:rsidR="002451F2" w:rsidRPr="00E76E89">
        <w:rPr>
          <w:szCs w:val="24"/>
        </w:rPr>
        <w:t>V. D.</w:t>
      </w:r>
      <w:r w:rsidRPr="00E76E89">
        <w:rPr>
          <w:szCs w:val="24"/>
        </w:rPr>
        <w:t xml:space="preserve"> veiksmų kvalifikavimo kaip karo nusikaltimų ir nusikaltimų žmoniškumui</w:t>
      </w:r>
      <w:r w:rsidR="00CB33FF" w:rsidRPr="00E76E89">
        <w:rPr>
          <w:szCs w:val="24"/>
        </w:rPr>
        <w:t xml:space="preserve"> </w:t>
      </w:r>
      <w:r w:rsidRPr="00E76E89">
        <w:rPr>
          <w:szCs w:val="24"/>
        </w:rPr>
        <w:t xml:space="preserve">yra tas, kad TSRS įvykdė karo ataką prieš Lietuvą. Tačiau bylos duomenys neįrodo, kad tikrai įvykių metu buvo paskelbtas karas. Abejones dėl karo paskelbimo gynėjas grindžia </w:t>
      </w:r>
      <w:r w:rsidR="00CB33FF" w:rsidRPr="00E76E89">
        <w:rPr>
          <w:szCs w:val="24"/>
        </w:rPr>
        <w:t>v</w:t>
      </w:r>
      <w:r w:rsidRPr="00E76E89">
        <w:rPr>
          <w:szCs w:val="24"/>
        </w:rPr>
        <w:t>yriausybinių telegramų turiniu (t. 2, b. </w:t>
      </w:r>
      <w:r w:rsidR="00DD1A27" w:rsidRPr="00E76E89">
        <w:rPr>
          <w:szCs w:val="24"/>
        </w:rPr>
        <w:t>l. 245), liudytojo E. </w:t>
      </w:r>
      <w:r w:rsidRPr="00E76E89">
        <w:rPr>
          <w:szCs w:val="24"/>
        </w:rPr>
        <w:t>M</w:t>
      </w:r>
      <w:r w:rsidR="00DD1A27" w:rsidRPr="00E76E89">
        <w:rPr>
          <w:szCs w:val="24"/>
        </w:rPr>
        <w:t>.</w:t>
      </w:r>
      <w:r w:rsidRPr="00E76E89">
        <w:rPr>
          <w:szCs w:val="24"/>
        </w:rPr>
        <w:t xml:space="preserve"> pa</w:t>
      </w:r>
      <w:r w:rsidR="00001989" w:rsidRPr="00E76E89">
        <w:rPr>
          <w:szCs w:val="24"/>
        </w:rPr>
        <w:t>rodymais (t. 13, b. l. 138–</w:t>
      </w:r>
      <w:r w:rsidRPr="00E76E89">
        <w:rPr>
          <w:szCs w:val="24"/>
        </w:rPr>
        <w:t>142). Jei karas buvo paskelbtas, nėra aišku, kodėl kaltinamųjų sąraše nėra tuom</w:t>
      </w:r>
      <w:r w:rsidR="00CB33FF" w:rsidRPr="00E76E89">
        <w:rPr>
          <w:szCs w:val="24"/>
        </w:rPr>
        <w:t>ečio</w:t>
      </w:r>
      <w:r w:rsidRPr="00E76E89">
        <w:rPr>
          <w:szCs w:val="24"/>
        </w:rPr>
        <w:t xml:space="preserve"> TSRS prezidento </w:t>
      </w:r>
      <w:r w:rsidR="00DD1A27" w:rsidRPr="00E76E89">
        <w:rPr>
          <w:szCs w:val="24"/>
        </w:rPr>
        <w:t>M. G.</w:t>
      </w:r>
      <w:r w:rsidRPr="00E76E89">
        <w:rPr>
          <w:szCs w:val="24"/>
        </w:rPr>
        <w:t>.</w:t>
      </w:r>
    </w:p>
    <w:p w:rsidR="00D47FD1"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teismas nepagrįstai vadovavosi BK 3 straipsnio 3 dalyje įtvirtinta išimtimi, leidžiančia atgaline data taikyti </w:t>
      </w:r>
      <w:r w:rsidR="0012467A" w:rsidRPr="00E76E89">
        <w:rPr>
          <w:szCs w:val="24"/>
        </w:rPr>
        <w:t>nuteistiesiems inkriminuotus BK </w:t>
      </w:r>
      <w:r w:rsidRPr="00E76E89">
        <w:rPr>
          <w:szCs w:val="24"/>
        </w:rPr>
        <w:t>straipsnius. Taip buvo pažeistos Romos statuto</w:t>
      </w:r>
      <w:r w:rsidR="007403E5" w:rsidRPr="00E76E89">
        <w:rPr>
          <w:szCs w:val="24"/>
        </w:rPr>
        <w:t>, priimto 1998 metų liepos 7 d.,</w:t>
      </w:r>
      <w:r w:rsidRPr="00E76E89">
        <w:rPr>
          <w:szCs w:val="24"/>
        </w:rPr>
        <w:t xml:space="preserve"> nuostatos. Gynėjo vertinimu, 2011 metų BK 3 straipsnio pakeitimai buvo politinio pobūdžio ir šio straipsnio nuostatos prieštarauja teisės principams bei tarptautiniams teisės aktams. Anksčiau išnagrinėtoje baudžiamojoje byloje </w:t>
      </w:r>
      <w:r w:rsidR="00C507EF" w:rsidRPr="00E76E89">
        <w:rPr>
          <w:szCs w:val="24"/>
        </w:rPr>
        <w:t>M. B.</w:t>
      </w:r>
      <w:r w:rsidRPr="00E76E89">
        <w:rPr>
          <w:szCs w:val="24"/>
        </w:rPr>
        <w:t xml:space="preserve"> ir kitų kaltinamųjų veiksmai buvo kvalifikuoti</w:t>
      </w:r>
      <w:r w:rsidR="00C96771" w:rsidRPr="00E76E89">
        <w:rPr>
          <w:szCs w:val="24"/>
        </w:rPr>
        <w:t xml:space="preserve"> pagal įvykių metu galiojusio baudžiamojo įstatymo</w:t>
      </w:r>
      <w:r w:rsidRPr="00E76E89">
        <w:rPr>
          <w:szCs w:val="24"/>
        </w:rPr>
        <w:t xml:space="preserve"> normas. Nėra aišku, kodėl tokia kvalifikacija nepritaikyta ir šioje byloje.</w:t>
      </w:r>
    </w:p>
    <w:p w:rsidR="008B4E58" w:rsidRPr="008B4E58" w:rsidRDefault="008B4E58" w:rsidP="008B4E58">
      <w:pPr>
        <w:pStyle w:val="ListParagraph"/>
        <w:numPr>
          <w:ilvl w:val="0"/>
          <w:numId w:val="6"/>
        </w:numPr>
        <w:spacing w:before="120" w:after="120"/>
        <w:ind w:left="992" w:hanging="992"/>
        <w:contextualSpacing w:val="0"/>
        <w:rPr>
          <w:szCs w:val="24"/>
        </w:rPr>
      </w:pPr>
      <w:r w:rsidRPr="008B4E58">
        <w:rPr>
          <w:b/>
          <w:szCs w:val="24"/>
        </w:rPr>
        <w:t>Nuteistojo B. S. gynėja advokatė A. Fominienė</w:t>
      </w:r>
      <w:r w:rsidRPr="008B4E58">
        <w:rPr>
          <w:szCs w:val="24"/>
        </w:rPr>
        <w:t xml:space="preserve"> apeliaciniu skundu prašo panaikinti pirmosios instancijos teismo nuosprendį ir jos ginamąjį išteisinti.</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Nurodo, kad teismas netinkamai taikė baudžiamąjį įstatymą ir tarptautin</w:t>
      </w:r>
      <w:r w:rsidR="00FE7404" w:rsidRPr="00E76E89">
        <w:rPr>
          <w:szCs w:val="24"/>
        </w:rPr>
        <w:t>ė</w:t>
      </w:r>
      <w:r w:rsidRPr="00E76E89">
        <w:rPr>
          <w:szCs w:val="24"/>
        </w:rPr>
        <w:t xml:space="preserve">s teisės normas, padarė BPK reikalavimų pažeidimus bei neteisingai vertino byloje esančius įrodymus, nes nesurinkta pakankamai </w:t>
      </w:r>
      <w:r w:rsidR="006036E7" w:rsidRPr="00E76E89">
        <w:rPr>
          <w:szCs w:val="24"/>
        </w:rPr>
        <w:t>B. S.</w:t>
      </w:r>
      <w:r w:rsidRPr="00E76E89">
        <w:rPr>
          <w:szCs w:val="24"/>
        </w:rPr>
        <w:t xml:space="preserve"> kaltės įrodymų. Dėl to apkaltinamasis nuosprendis neteisėtas ir nepagrįstas. </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Šioje byloje buvo pažeista kaltinamojo teisė į teisingą ir nešališką teismo procesą. Byloje nėra duomenų, kad </w:t>
      </w:r>
      <w:r w:rsidR="006036E7" w:rsidRPr="00E76E89">
        <w:rPr>
          <w:szCs w:val="24"/>
        </w:rPr>
        <w:t>B. S.</w:t>
      </w:r>
      <w:r w:rsidRPr="00E76E89">
        <w:rPr>
          <w:szCs w:val="24"/>
        </w:rPr>
        <w:t xml:space="preserve"> buvo pranešta apie jo atžvilgiu pradėtą ikiteisminį tyrimą. </w:t>
      </w:r>
      <w:r w:rsidR="006036E7" w:rsidRPr="00E76E89">
        <w:rPr>
          <w:szCs w:val="24"/>
        </w:rPr>
        <w:t>B. S.</w:t>
      </w:r>
      <w:r w:rsidRPr="00E76E89">
        <w:rPr>
          <w:szCs w:val="24"/>
        </w:rPr>
        <w:t xml:space="preserve"> nebuvo pareikšti įtarimai ir jis neapklaustas apie jam inkriminuojamas nusikalstamas veikas. Be to, Vilniaus apygardos teismas jį nuteisė už akių. Šios aplinkybės patvirtina, kad </w:t>
      </w:r>
      <w:r w:rsidR="006036E7" w:rsidRPr="00E76E89">
        <w:rPr>
          <w:szCs w:val="24"/>
        </w:rPr>
        <w:t>B. S.</w:t>
      </w:r>
      <w:r w:rsidRPr="00E76E89">
        <w:rPr>
          <w:szCs w:val="24"/>
        </w:rPr>
        <w:t xml:space="preserve"> nebuvo žinoma, kuo jis kaltinamas, ir taip buvo pažeista jo teisė į gynybą. Be to, apie įtarimą ir kaltinimą buvo pranešta ne pačiam </w:t>
      </w:r>
      <w:r w:rsidR="006036E7" w:rsidRPr="00E76E89">
        <w:rPr>
          <w:szCs w:val="24"/>
        </w:rPr>
        <w:t>B. S.</w:t>
      </w:r>
      <w:r w:rsidRPr="00E76E89">
        <w:rPr>
          <w:szCs w:val="24"/>
        </w:rPr>
        <w:t xml:space="preserve">, o trečiajam asmeniui – Rusijos Federacijai, kuri neįvykdė teisinės pagalbos pašymo ir nepranešė </w:t>
      </w:r>
      <w:r w:rsidR="006036E7" w:rsidRPr="00E76E89">
        <w:rPr>
          <w:szCs w:val="24"/>
        </w:rPr>
        <w:t>B. S.</w:t>
      </w:r>
      <w:r w:rsidRPr="00E76E89">
        <w:rPr>
          <w:szCs w:val="24"/>
        </w:rPr>
        <w:t xml:space="preserve"> apie jam pareikštą įtarimą (kaltinimą). </w:t>
      </w:r>
      <w:r w:rsidRPr="00E76E89">
        <w:rPr>
          <w:szCs w:val="24"/>
        </w:rPr>
        <w:lastRenderedPageBreak/>
        <w:t xml:space="preserve">Dėl to buvo pažeisti BPK 44 straipsnio 7 dalies nuostatų reikalavimai, </w:t>
      </w:r>
      <w:r w:rsidR="00CB33FF" w:rsidRPr="00E76E89">
        <w:rPr>
          <w:szCs w:val="24"/>
        </w:rPr>
        <w:t>o tai</w:t>
      </w:r>
      <w:r w:rsidRPr="00E76E89">
        <w:rPr>
          <w:szCs w:val="24"/>
        </w:rPr>
        <w:t xml:space="preserve"> laikoma esminiu pažeidimu </w:t>
      </w:r>
      <w:r w:rsidR="00491A27" w:rsidRPr="00E76E89">
        <w:rPr>
          <w:szCs w:val="24"/>
        </w:rPr>
        <w:t>EŽTK</w:t>
      </w:r>
      <w:r w:rsidRPr="00E76E89">
        <w:rPr>
          <w:szCs w:val="24"/>
        </w:rPr>
        <w:t xml:space="preserve"> prasme. Visa tai sukliudė teismui visapusiškai ir objektyviai išnagrinėti bylą bei priimti teisingą nuosprendį. </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Teismas nepagrįstai pripažino </w:t>
      </w:r>
      <w:r w:rsidR="006036E7" w:rsidRPr="00E76E89">
        <w:rPr>
          <w:szCs w:val="24"/>
        </w:rPr>
        <w:t>B. S.</w:t>
      </w:r>
      <w:r w:rsidRPr="00E76E89">
        <w:rPr>
          <w:szCs w:val="24"/>
        </w:rPr>
        <w:t xml:space="preserve"> padarius nusikalstamas veikas, veikiant bendrininkų grupe. Byloje ištirti įrodymai neįrodo, kad jis žinojo, kokiu tikslu kartu su kitais 76-osios oro desanto divizijos kariais buvo atsiųstas į Vilnių. Priešingai, šios divizijos kariams buvo paaiškinta, kad jų užduotis Lietuvoje </w:t>
      </w:r>
      <w:r w:rsidR="00970DB0" w:rsidRPr="00E76E89">
        <w:rPr>
          <w:szCs w:val="24"/>
        </w:rPr>
        <w:t xml:space="preserve">– užtikrinti šauktinių ėmimo į </w:t>
      </w:r>
      <w:r w:rsidR="003F49BF" w:rsidRPr="00E76E89">
        <w:rPr>
          <w:szCs w:val="24"/>
        </w:rPr>
        <w:t xml:space="preserve">TSRS </w:t>
      </w:r>
      <w:r w:rsidRPr="00E76E89">
        <w:rPr>
          <w:szCs w:val="24"/>
        </w:rPr>
        <w:t xml:space="preserve">armiją plano vykdymą. Įsakymą – kitų padalinių sudėtyje dalyvauti perimant </w:t>
      </w:r>
      <w:r w:rsidR="00DE3B19" w:rsidRPr="00E76E89">
        <w:rPr>
          <w:szCs w:val="24"/>
        </w:rPr>
        <w:t>LRT apsaugą – gavo 1991 m. </w:t>
      </w:r>
      <w:r w:rsidRPr="00E76E89">
        <w:rPr>
          <w:szCs w:val="24"/>
        </w:rPr>
        <w:t>sausio 11 d. vakarą, t. y. likus parai iki įvykio, o sausio 12 d. vakarą ši užduotis buvo patikslinta, t. y. nurodyta papildomai atjungti radijo ir televizijos transliaciją, išvesti iš pastato darbuotojus. Iš specialisto išvados (2–3 lapai) ir specialisto paaiškinimų teisme matyti, kad planas dėl Lietuvos valdžios nuvertimo buvo r</w:t>
      </w:r>
      <w:r w:rsidR="00BD52C1" w:rsidRPr="00E76E89">
        <w:rPr>
          <w:szCs w:val="24"/>
        </w:rPr>
        <w:t>engiamas</w:t>
      </w:r>
      <w:r w:rsidRPr="00E76E89">
        <w:rPr>
          <w:szCs w:val="24"/>
        </w:rPr>
        <w:t xml:space="preserve"> visiškai slaptai. Taigi </w:t>
      </w:r>
      <w:r w:rsidR="006036E7" w:rsidRPr="00E76E89">
        <w:rPr>
          <w:szCs w:val="24"/>
        </w:rPr>
        <w:t>B. S.</w:t>
      </w:r>
      <w:r w:rsidRPr="00E76E89">
        <w:rPr>
          <w:szCs w:val="24"/>
        </w:rPr>
        <w:t xml:space="preserve"> nei pagal </w:t>
      </w:r>
      <w:r w:rsidR="00CB33FF" w:rsidRPr="00E76E89">
        <w:rPr>
          <w:szCs w:val="24"/>
        </w:rPr>
        <w:t>einamas</w:t>
      </w:r>
      <w:r w:rsidRPr="00E76E89">
        <w:rPr>
          <w:szCs w:val="24"/>
        </w:rPr>
        <w:t xml:space="preserve"> pareigas (artilerijos diviziono baterijos vado pavaduotojas), nei pagal turimą karinį laipsnį (majoras) neturėjo teisės ir negalėjo žinoti apie minimo plano par</w:t>
      </w:r>
      <w:r w:rsidR="00FE7404" w:rsidRPr="00E76E89">
        <w:rPr>
          <w:szCs w:val="24"/>
        </w:rPr>
        <w:t>engimą</w:t>
      </w:r>
      <w:r w:rsidRPr="00E76E89">
        <w:rPr>
          <w:szCs w:val="24"/>
        </w:rPr>
        <w:t xml:space="preserve"> ir </w:t>
      </w:r>
      <w:r w:rsidR="00CB33FF" w:rsidRPr="00E76E89">
        <w:rPr>
          <w:szCs w:val="24"/>
        </w:rPr>
        <w:t xml:space="preserve">to, </w:t>
      </w:r>
      <w:r w:rsidRPr="00E76E89">
        <w:rPr>
          <w:szCs w:val="24"/>
        </w:rPr>
        <w:t>kokiomis priemonės jis bus įgyvendinamas. Nežinodamas apie bendrą tikslą – teisėtos valdžios Lietuvoje nuvertimą</w:t>
      </w:r>
      <w:r w:rsidR="00BD52C1" w:rsidRPr="00E76E89">
        <w:rPr>
          <w:szCs w:val="24"/>
        </w:rPr>
        <w:t xml:space="preserve"> –</w:t>
      </w:r>
      <w:r w:rsidRPr="00E76E89">
        <w:rPr>
          <w:szCs w:val="24"/>
        </w:rPr>
        <w:t xml:space="preserve"> ir priemones jam įgyvendinti, </w:t>
      </w:r>
      <w:r w:rsidR="006036E7" w:rsidRPr="00E76E89">
        <w:rPr>
          <w:szCs w:val="24"/>
        </w:rPr>
        <w:t>B. S.</w:t>
      </w:r>
      <w:r w:rsidRPr="00E76E89">
        <w:rPr>
          <w:szCs w:val="24"/>
        </w:rPr>
        <w:t xml:space="preserve"> negalėjo išreikšti savo vali</w:t>
      </w:r>
      <w:r w:rsidR="00CB33FF" w:rsidRPr="00E76E89">
        <w:rPr>
          <w:szCs w:val="24"/>
        </w:rPr>
        <w:t>os</w:t>
      </w:r>
      <w:r w:rsidRPr="00E76E89">
        <w:rPr>
          <w:szCs w:val="24"/>
        </w:rPr>
        <w:t xml:space="preserve"> – pritarti tokiam tikslui ar su juo nesutikti. </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Gynėja nesutinka su teismo išvada, kad </w:t>
      </w:r>
      <w:r w:rsidR="006036E7" w:rsidRPr="00E76E89">
        <w:rPr>
          <w:szCs w:val="24"/>
        </w:rPr>
        <w:t>B. S.</w:t>
      </w:r>
      <w:r w:rsidRPr="00E76E89">
        <w:rPr>
          <w:szCs w:val="24"/>
        </w:rPr>
        <w:t xml:space="preserve"> dalyvavo LRT šturme, vadovavo šturmui, laužė duris, atjungė aparatūrą, jėga išvedė iš pastato darbuotojus. Byloje nustatyta, kad </w:t>
      </w:r>
      <w:r w:rsidR="006036E7" w:rsidRPr="00E76E89">
        <w:rPr>
          <w:szCs w:val="24"/>
        </w:rPr>
        <w:t>B. S.</w:t>
      </w:r>
      <w:r w:rsidRPr="00E76E89">
        <w:rPr>
          <w:szCs w:val="24"/>
        </w:rPr>
        <w:t xml:space="preserve"> nei asmeniškai, nei jo vadovaujamų karininkų dalis studijų aparatūros neatjungė, radijo ir televizijos transliacijų nenutraukė,</w:t>
      </w:r>
      <w:r w:rsidR="00CB33FF" w:rsidRPr="00E76E89">
        <w:rPr>
          <w:szCs w:val="24"/>
        </w:rPr>
        <w:t xml:space="preserve"> prieš</w:t>
      </w:r>
      <w:r w:rsidRPr="00E76E89">
        <w:rPr>
          <w:szCs w:val="24"/>
        </w:rPr>
        <w:t xml:space="preserve"> civili</w:t>
      </w:r>
      <w:r w:rsidR="00CB33FF" w:rsidRPr="00E76E89">
        <w:rPr>
          <w:szCs w:val="24"/>
        </w:rPr>
        <w:t>us</w:t>
      </w:r>
      <w:r w:rsidRPr="00E76E89">
        <w:rPr>
          <w:szCs w:val="24"/>
        </w:rPr>
        <w:t xml:space="preserve"> asmen</w:t>
      </w:r>
      <w:r w:rsidR="00CB33FF" w:rsidRPr="00E76E89">
        <w:rPr>
          <w:szCs w:val="24"/>
        </w:rPr>
        <w:t>is</w:t>
      </w:r>
      <w:r w:rsidRPr="00E76E89">
        <w:rPr>
          <w:szCs w:val="24"/>
        </w:rPr>
        <w:t xml:space="preserve"> nesmurtavo, nes užduotį atliko kiti karininkai. Kai </w:t>
      </w:r>
      <w:r w:rsidR="006036E7" w:rsidRPr="00E76E89">
        <w:rPr>
          <w:szCs w:val="24"/>
        </w:rPr>
        <w:t>B. S.</w:t>
      </w:r>
      <w:r w:rsidRPr="00E76E89">
        <w:rPr>
          <w:szCs w:val="24"/>
        </w:rPr>
        <w:t xml:space="preserve"> grupė atvyko prie minėto pastato, jis jau buvo užimtas. Po atvykimo </w:t>
      </w:r>
      <w:r w:rsidR="006036E7" w:rsidRPr="00E76E89">
        <w:rPr>
          <w:szCs w:val="24"/>
        </w:rPr>
        <w:t>B. S.</w:t>
      </w:r>
      <w:r w:rsidRPr="00E76E89">
        <w:rPr>
          <w:szCs w:val="24"/>
        </w:rPr>
        <w:t xml:space="preserve"> asmeniškai ir jo vadovaujami kariškiai nešaudė, nebuvo išeikvotas n</w:t>
      </w:r>
      <w:r w:rsidR="00CB33FF" w:rsidRPr="00E76E89">
        <w:rPr>
          <w:szCs w:val="24"/>
        </w:rPr>
        <w:t>ė</w:t>
      </w:r>
      <w:r w:rsidRPr="00E76E89">
        <w:rPr>
          <w:szCs w:val="24"/>
        </w:rPr>
        <w:t xml:space="preserve"> vienas šovinys, sprogstamųjų užtaisų jų grupė neturėjo. Tokių aplinkybių kontekste apeliant</w:t>
      </w:r>
      <w:r w:rsidR="00BD52C1" w:rsidRPr="00E76E89">
        <w:rPr>
          <w:szCs w:val="24"/>
        </w:rPr>
        <w:t>ė</w:t>
      </w:r>
      <w:r w:rsidRPr="00E76E89">
        <w:rPr>
          <w:szCs w:val="24"/>
        </w:rPr>
        <w:t xml:space="preserve"> pa</w:t>
      </w:r>
      <w:r w:rsidR="00BD52C1" w:rsidRPr="00E76E89">
        <w:rPr>
          <w:szCs w:val="24"/>
        </w:rPr>
        <w:t>žymi</w:t>
      </w:r>
      <w:r w:rsidRPr="00E76E89">
        <w:rPr>
          <w:szCs w:val="24"/>
        </w:rPr>
        <w:t xml:space="preserve">, kad karo ataka laikoma baigta, kai pasiekiami tikslai, kurie buvo suplanuoti. </w:t>
      </w:r>
    </w:p>
    <w:p w:rsidR="00D47FD1" w:rsidRPr="00E76E89" w:rsidRDefault="006036E7" w:rsidP="00321748">
      <w:pPr>
        <w:pStyle w:val="ListParagraph"/>
        <w:numPr>
          <w:ilvl w:val="1"/>
          <w:numId w:val="6"/>
        </w:numPr>
        <w:spacing w:before="120" w:after="120"/>
        <w:ind w:left="992" w:hanging="992"/>
        <w:contextualSpacing w:val="0"/>
        <w:rPr>
          <w:szCs w:val="24"/>
        </w:rPr>
      </w:pPr>
      <w:r w:rsidRPr="00E76E89">
        <w:rPr>
          <w:szCs w:val="24"/>
        </w:rPr>
        <w:t>B. S.</w:t>
      </w:r>
      <w:r w:rsidR="0081523B" w:rsidRPr="00E76E89">
        <w:rPr>
          <w:szCs w:val="24"/>
        </w:rPr>
        <w:t xml:space="preserve"> ir jo grupės kariai po </w:t>
      </w:r>
      <w:r w:rsidR="005B0434" w:rsidRPr="00E76E89">
        <w:rPr>
          <w:szCs w:val="24"/>
        </w:rPr>
        <w:t xml:space="preserve">1991 m. </w:t>
      </w:r>
      <w:r w:rsidR="0081523B" w:rsidRPr="00E76E89">
        <w:rPr>
          <w:szCs w:val="24"/>
        </w:rPr>
        <w:t xml:space="preserve">sausio 18 d. įvykių sugrįžo į </w:t>
      </w:r>
      <w:r w:rsidR="00DD1A27" w:rsidRPr="00E76E89">
        <w:rPr>
          <w:szCs w:val="24"/>
        </w:rPr>
        <w:t>(</w:t>
      </w:r>
      <w:r w:rsidR="00DD1A27" w:rsidRPr="00E76E89">
        <w:rPr>
          <w:i/>
          <w:szCs w:val="24"/>
        </w:rPr>
        <w:t>duomenys neskelbtini)</w:t>
      </w:r>
      <w:r w:rsidR="0081523B" w:rsidRPr="00E76E89">
        <w:rPr>
          <w:szCs w:val="24"/>
        </w:rPr>
        <w:t xml:space="preserve">, todėl nedalyvavo </w:t>
      </w:r>
      <w:r w:rsidR="00BD52C1" w:rsidRPr="00E76E89">
        <w:rPr>
          <w:szCs w:val="24"/>
        </w:rPr>
        <w:t xml:space="preserve">vykdant </w:t>
      </w:r>
      <w:r w:rsidR="0081523B" w:rsidRPr="00E76E89">
        <w:rPr>
          <w:szCs w:val="24"/>
        </w:rPr>
        <w:t>komendanto valand</w:t>
      </w:r>
      <w:r w:rsidR="00BD52C1" w:rsidRPr="00E76E89">
        <w:rPr>
          <w:szCs w:val="24"/>
        </w:rPr>
        <w:t>ą</w:t>
      </w:r>
      <w:r w:rsidR="0081523B" w:rsidRPr="00E76E89">
        <w:rPr>
          <w:szCs w:val="24"/>
        </w:rPr>
        <w:t>. Byloje nenustatyta, kokie kariniai vienetai dalyvavo vykdant komendanto valandą. Ištirti įrodymai nepatvirtina, kad tas pats karinis junginys, kuris buvo suformuotas Spaudos rūmams, LRT pastat</w:t>
      </w:r>
      <w:r w:rsidR="00CB33FF" w:rsidRPr="00E76E89">
        <w:rPr>
          <w:szCs w:val="24"/>
        </w:rPr>
        <w:t>ui</w:t>
      </w:r>
      <w:r w:rsidR="0081523B" w:rsidRPr="00E76E89">
        <w:rPr>
          <w:szCs w:val="24"/>
        </w:rPr>
        <w:t xml:space="preserve"> ir </w:t>
      </w:r>
      <w:r w:rsidR="00DE3B19" w:rsidRPr="00E76E89">
        <w:rPr>
          <w:szCs w:val="24"/>
        </w:rPr>
        <w:t>TV</w:t>
      </w:r>
      <w:r w:rsidR="0081523B" w:rsidRPr="00E76E89">
        <w:rPr>
          <w:szCs w:val="24"/>
        </w:rPr>
        <w:t xml:space="preserve"> bokšt</w:t>
      </w:r>
      <w:r w:rsidR="00CB33FF" w:rsidRPr="00E76E89">
        <w:rPr>
          <w:szCs w:val="24"/>
        </w:rPr>
        <w:t>ui užimti</w:t>
      </w:r>
      <w:r w:rsidR="0081523B" w:rsidRPr="00E76E89">
        <w:rPr>
          <w:szCs w:val="24"/>
        </w:rPr>
        <w:t xml:space="preserve">, vykdė komendanto valandą. </w:t>
      </w:r>
    </w:p>
    <w:p w:rsidR="008B4E58" w:rsidRPr="008B4E58" w:rsidRDefault="008B4E58" w:rsidP="008B4E58">
      <w:pPr>
        <w:pStyle w:val="ListParagraph"/>
        <w:numPr>
          <w:ilvl w:val="0"/>
          <w:numId w:val="6"/>
        </w:numPr>
        <w:spacing w:before="120" w:after="120"/>
        <w:ind w:left="992" w:hanging="992"/>
        <w:contextualSpacing w:val="0"/>
        <w:rPr>
          <w:szCs w:val="24"/>
        </w:rPr>
      </w:pPr>
      <w:r w:rsidRPr="008B4E58">
        <w:rPr>
          <w:b/>
          <w:szCs w:val="24"/>
        </w:rPr>
        <w:t>Nuteistojo V. S. 3 gynėja advokatė L. Kuprusevičienė</w:t>
      </w:r>
      <w:r w:rsidRPr="008B4E58">
        <w:rPr>
          <w:szCs w:val="24"/>
        </w:rPr>
        <w:t xml:space="preserve"> apeliaciniu skundu prašo panaikinti pirmosios instancijos teismo nuosprendį ir jos ginamąjį išteisinti, jam nepadarius nusikaltimų žmoniškumui ir karo nusikaltimų.</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Nurodo, jog pirmosios instancijos teismas buvo šališkas, netinkamai pritaikė baudžiamąjį įstatymą, neteisingai vertino byloje surinktus įrodymus, suvaržė įstatymo garantuojamas kaltinamojo teises ir išnagrinėjo bylą be jo dalyvavimo, todėl priėmė neteisėtą ir nepagrįstą apkaltinamąjį nuosprendį. Be to, nuosprendis surašytas nesilaikant BPK 301 ir 305 straipsnių reikalavimų, nes teismas jį grindė ne visais teisiamajame posėdyje ištirtais įrodymais, vadovavosi tik </w:t>
      </w:r>
      <w:r w:rsidR="006036E7" w:rsidRPr="00E76E89">
        <w:rPr>
          <w:szCs w:val="24"/>
        </w:rPr>
        <w:t>V. S. 3</w:t>
      </w:r>
      <w:r w:rsidRPr="00E76E89">
        <w:rPr>
          <w:szCs w:val="24"/>
        </w:rPr>
        <w:t xml:space="preserve"> kaltinančiais įrodymais, o jį teisinančius įrodymus ignoravo. Apkaltinamojo nuosprendžio aprašomojoje dalyje taip pat neišdėstytos neva įrodytomis pripažintos nusikalstamos veikos aplinkybės, t.</w:t>
      </w:r>
      <w:r w:rsidR="00BD52C1" w:rsidRPr="00E76E89">
        <w:rPr>
          <w:szCs w:val="24"/>
        </w:rPr>
        <w:t> </w:t>
      </w:r>
      <w:r w:rsidRPr="00E76E89">
        <w:rPr>
          <w:szCs w:val="24"/>
        </w:rPr>
        <w:t xml:space="preserve">y. nusikalstamų veikų padarymo laikas, būdas, neigiami padariniai ir kitos svarbios aplinkybės, taip pat teismas nenurodė motyvų, kuriais vadovaudamasis atmetė kitus įrodymus. Tokie </w:t>
      </w:r>
      <w:r w:rsidR="00244308" w:rsidRPr="00E76E89">
        <w:rPr>
          <w:szCs w:val="24"/>
        </w:rPr>
        <w:t>BPK</w:t>
      </w:r>
      <w:r w:rsidRPr="00E76E89">
        <w:rPr>
          <w:szCs w:val="24"/>
        </w:rPr>
        <w:t xml:space="preserve"> pažeidimai yra esminiai, jie sutrukdė teismui priimti teisingą ir pagrįstą procesinį sprendimą.</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Gynėja skunde akcentuoja </w:t>
      </w:r>
      <w:r w:rsidR="00491A27" w:rsidRPr="00E76E89">
        <w:rPr>
          <w:szCs w:val="24"/>
        </w:rPr>
        <w:t xml:space="preserve">EŽTK </w:t>
      </w:r>
      <w:r w:rsidRPr="00E76E89">
        <w:rPr>
          <w:szCs w:val="24"/>
        </w:rPr>
        <w:t>6 straipsnyje garantuojamą kaltinamojo te</w:t>
      </w:r>
      <w:r w:rsidR="00E508EB" w:rsidRPr="00E76E89">
        <w:rPr>
          <w:szCs w:val="24"/>
        </w:rPr>
        <w:t>isę žinoti jam pareikštą kaltini</w:t>
      </w:r>
      <w:r w:rsidRPr="00E76E89">
        <w:rPr>
          <w:szCs w:val="24"/>
        </w:rPr>
        <w:t xml:space="preserve">mą, gauti išsamią informaciją apie jam inkriminuojamos nusikalstamos </w:t>
      </w:r>
      <w:r w:rsidRPr="00E76E89">
        <w:rPr>
          <w:szCs w:val="24"/>
        </w:rPr>
        <w:lastRenderedPageBreak/>
        <w:t xml:space="preserve">veikos aprašymą ir jos kvalifikavimą. Šių teisių įgyvendinimas leidžia užtikrinti teisingumo principo įgyvendinimą. Nagrinėjamu atveju </w:t>
      </w:r>
      <w:r w:rsidR="006036E7" w:rsidRPr="00E76E89">
        <w:rPr>
          <w:szCs w:val="24"/>
        </w:rPr>
        <w:t>V. S. 3</w:t>
      </w:r>
      <w:r w:rsidRPr="00E76E89">
        <w:rPr>
          <w:szCs w:val="24"/>
        </w:rPr>
        <w:t xml:space="preserve"> atžvilgiu vykdytas baudžiamasis persekiojimas neatitinka minėto reikalavimo. </w:t>
      </w:r>
      <w:r w:rsidR="006036E7" w:rsidRPr="00E76E89">
        <w:rPr>
          <w:szCs w:val="24"/>
        </w:rPr>
        <w:t>V. S. 3</w:t>
      </w:r>
      <w:r w:rsidRPr="00E76E89">
        <w:rPr>
          <w:szCs w:val="24"/>
        </w:rPr>
        <w:t xml:space="preserve"> apie pareikštą įtarimą, vėliau ir kaltinimą bei ikiteisminio tyrimo pabaigą nebuvo pranešta. </w:t>
      </w:r>
      <w:r w:rsidR="006036E7" w:rsidRPr="00E76E89">
        <w:rPr>
          <w:szCs w:val="24"/>
        </w:rPr>
        <w:t>V. S. 3</w:t>
      </w:r>
      <w:r w:rsidRPr="00E76E89">
        <w:rPr>
          <w:szCs w:val="24"/>
        </w:rPr>
        <w:t xml:space="preserve"> nėra žinoma ir apie bylos išnagrinėjimą teisme. Pažymėtina ir tai, kad iš karto po įvykio 1991 m. kovo 29 d. </w:t>
      </w:r>
      <w:r w:rsidR="006036E7" w:rsidRPr="00E76E89">
        <w:rPr>
          <w:szCs w:val="24"/>
        </w:rPr>
        <w:t>V. S. 3</w:t>
      </w:r>
      <w:r w:rsidRPr="00E76E89">
        <w:rPr>
          <w:szCs w:val="24"/>
        </w:rPr>
        <w:t xml:space="preserve"> buvo apklaustas </w:t>
      </w:r>
      <w:r w:rsidR="005220CE" w:rsidRPr="00E76E89">
        <w:rPr>
          <w:szCs w:val="24"/>
        </w:rPr>
        <w:t xml:space="preserve">kaip </w:t>
      </w:r>
      <w:r w:rsidRPr="00E76E89">
        <w:rPr>
          <w:szCs w:val="24"/>
        </w:rPr>
        <w:t>liudytoj</w:t>
      </w:r>
      <w:r w:rsidR="005220CE" w:rsidRPr="00E76E89">
        <w:rPr>
          <w:szCs w:val="24"/>
        </w:rPr>
        <w:t>as</w:t>
      </w:r>
      <w:r w:rsidRPr="00E76E89">
        <w:rPr>
          <w:szCs w:val="24"/>
        </w:rPr>
        <w:t xml:space="preserve">, jis įspėtas dėl baudžiamosios atsakomybės už melagingų parodymų davimą, taip pat dėl atsakomybės už vengimą ar atsisakymą duoti parodymus. Vėliau dėl šių parodymų jam buvo įteiktas pranešimas apie įtarimą. Tokiais teisėsaugos institucijų veiksmais buvo </w:t>
      </w:r>
      <w:r w:rsidR="005220CE" w:rsidRPr="00E76E89">
        <w:rPr>
          <w:szCs w:val="24"/>
        </w:rPr>
        <w:t>šiurkščiai</w:t>
      </w:r>
      <w:r w:rsidRPr="00E76E89">
        <w:rPr>
          <w:szCs w:val="24"/>
        </w:rPr>
        <w:t xml:space="preserve"> pažeistos konstitucinės </w:t>
      </w:r>
      <w:r w:rsidR="006036E7" w:rsidRPr="00E76E89">
        <w:rPr>
          <w:szCs w:val="24"/>
        </w:rPr>
        <w:t>V. S. 3</w:t>
      </w:r>
      <w:r w:rsidRPr="00E76E89">
        <w:rPr>
          <w:szCs w:val="24"/>
        </w:rPr>
        <w:t xml:space="preserve"> teisės. Taigi iki šiol vykdomas baudžiamasis persekiojimas prieš </w:t>
      </w:r>
      <w:r w:rsidR="006036E7" w:rsidRPr="00E76E89">
        <w:rPr>
          <w:szCs w:val="24"/>
        </w:rPr>
        <w:t>V. S. 3</w:t>
      </w:r>
      <w:r w:rsidRPr="00E76E89">
        <w:rPr>
          <w:szCs w:val="24"/>
        </w:rPr>
        <w:t xml:space="preserve"> yra neteisėtas ir turi būti nedelsiant nutrauktas.</w:t>
      </w:r>
    </w:p>
    <w:p w:rsidR="0081523B" w:rsidRPr="00E76E89" w:rsidRDefault="006036E7" w:rsidP="00321748">
      <w:pPr>
        <w:pStyle w:val="ListParagraph"/>
        <w:numPr>
          <w:ilvl w:val="1"/>
          <w:numId w:val="6"/>
        </w:numPr>
        <w:spacing w:before="120" w:after="120"/>
        <w:ind w:left="992" w:hanging="992"/>
        <w:contextualSpacing w:val="0"/>
        <w:rPr>
          <w:rStyle w:val="CharStyle25"/>
          <w:szCs w:val="24"/>
          <w:shd w:val="clear" w:color="auto" w:fill="auto"/>
        </w:rPr>
      </w:pPr>
      <w:r w:rsidRPr="00E76E89">
        <w:rPr>
          <w:szCs w:val="24"/>
        </w:rPr>
        <w:t>V. S. 3</w:t>
      </w:r>
      <w:r w:rsidR="0081523B" w:rsidRPr="00E76E89">
        <w:rPr>
          <w:szCs w:val="24"/>
        </w:rPr>
        <w:t xml:space="preserve"> buvo bataliono vado pavaduotojas politiniais reikalais ir negalėjo duoti nurodymų be bataliono vado sutikimo. Gynėja skunde cituoja </w:t>
      </w:r>
      <w:r w:rsidRPr="00E76E89">
        <w:rPr>
          <w:szCs w:val="24"/>
        </w:rPr>
        <w:t>V. S. 3</w:t>
      </w:r>
      <w:r w:rsidR="0081523B" w:rsidRPr="00E76E89">
        <w:rPr>
          <w:szCs w:val="24"/>
        </w:rPr>
        <w:t>, apklausto kaip liudytojo, parodymus, iš kurių matyti, kad jos ginamasis vykdė papulkinink</w:t>
      </w:r>
      <w:r w:rsidR="005F5803" w:rsidRPr="00E76E89">
        <w:rPr>
          <w:szCs w:val="24"/>
        </w:rPr>
        <w:t>i</w:t>
      </w:r>
      <w:r w:rsidR="0081523B" w:rsidRPr="00E76E89">
        <w:rPr>
          <w:szCs w:val="24"/>
        </w:rPr>
        <w:t xml:space="preserve">o </w:t>
      </w:r>
      <w:r w:rsidR="00C507EF" w:rsidRPr="00E76E89">
        <w:rPr>
          <w:szCs w:val="24"/>
        </w:rPr>
        <w:t>I. K.</w:t>
      </w:r>
      <w:r w:rsidR="0081523B" w:rsidRPr="00E76E89">
        <w:rPr>
          <w:szCs w:val="24"/>
        </w:rPr>
        <w:t xml:space="preserve"> jam duotą užduotį</w:t>
      </w:r>
      <w:r w:rsidR="00DE3B19" w:rsidRPr="00E76E89">
        <w:rPr>
          <w:szCs w:val="24"/>
        </w:rPr>
        <w:t xml:space="preserve"> – užimti ir saugoti LRT t</w:t>
      </w:r>
      <w:r w:rsidR="0081523B" w:rsidRPr="00E76E89">
        <w:rPr>
          <w:szCs w:val="24"/>
        </w:rPr>
        <w:t xml:space="preserve">elevizijos </w:t>
      </w:r>
      <w:r w:rsidR="00DE3B19" w:rsidRPr="00E76E89">
        <w:rPr>
          <w:szCs w:val="24"/>
        </w:rPr>
        <w:t>pastatą</w:t>
      </w:r>
      <w:r w:rsidR="0081523B" w:rsidRPr="00E76E89">
        <w:rPr>
          <w:szCs w:val="24"/>
        </w:rPr>
        <w:t xml:space="preserve">. Apie užduotį karininkams pranešė majoras </w:t>
      </w:r>
      <w:r w:rsidR="00385BC9" w:rsidRPr="00E76E89">
        <w:rPr>
          <w:szCs w:val="24"/>
        </w:rPr>
        <w:t>V. S. 2</w:t>
      </w:r>
      <w:r w:rsidR="0081523B" w:rsidRPr="00E76E89">
        <w:rPr>
          <w:szCs w:val="24"/>
        </w:rPr>
        <w:t xml:space="preserve">, </w:t>
      </w:r>
      <w:r w:rsidR="005220CE" w:rsidRPr="00E76E89">
        <w:rPr>
          <w:szCs w:val="24"/>
        </w:rPr>
        <w:t xml:space="preserve">o </w:t>
      </w:r>
      <w:r w:rsidR="0081523B" w:rsidRPr="00E76E89">
        <w:rPr>
          <w:szCs w:val="24"/>
        </w:rPr>
        <w:t xml:space="preserve">kas pastarajam davė užduotį, </w:t>
      </w:r>
      <w:r w:rsidRPr="00E76E89">
        <w:rPr>
          <w:szCs w:val="24"/>
        </w:rPr>
        <w:t>V. S. 3</w:t>
      </w:r>
      <w:r w:rsidR="0081523B" w:rsidRPr="00E76E89">
        <w:rPr>
          <w:szCs w:val="24"/>
        </w:rPr>
        <w:t xml:space="preserve"> nežino. Vykdant minėtą užduotį, vyresniuoju buvo paskirtas dalinio žvalgybos kapitonas </w:t>
      </w:r>
      <w:r w:rsidRPr="00E76E89">
        <w:rPr>
          <w:szCs w:val="24"/>
        </w:rPr>
        <w:t>S. P.</w:t>
      </w:r>
      <w:r w:rsidR="0081523B" w:rsidRPr="00E76E89">
        <w:rPr>
          <w:szCs w:val="24"/>
        </w:rPr>
        <w:t>, tačiau objekte buvo ir dalinio štabo vadas papulkinink</w:t>
      </w:r>
      <w:r w:rsidR="005F5803" w:rsidRPr="00E76E89">
        <w:rPr>
          <w:szCs w:val="24"/>
        </w:rPr>
        <w:t>i</w:t>
      </w:r>
      <w:r w:rsidR="0081523B" w:rsidRPr="00E76E89">
        <w:rPr>
          <w:szCs w:val="24"/>
        </w:rPr>
        <w:t xml:space="preserve">s </w:t>
      </w:r>
      <w:r w:rsidR="00385BC9" w:rsidRPr="00E76E89">
        <w:rPr>
          <w:szCs w:val="24"/>
        </w:rPr>
        <w:t>G. G.</w:t>
      </w:r>
      <w:r w:rsidR="0081523B" w:rsidRPr="00E76E89">
        <w:rPr>
          <w:szCs w:val="24"/>
        </w:rPr>
        <w:t xml:space="preserve">. Komandą važiuoti prie objekto davė </w:t>
      </w:r>
      <w:r w:rsidRPr="00E76E89">
        <w:rPr>
          <w:szCs w:val="24"/>
        </w:rPr>
        <w:t>S. P.</w:t>
      </w:r>
      <w:r w:rsidR="0081523B" w:rsidRPr="00E76E89">
        <w:rPr>
          <w:szCs w:val="24"/>
        </w:rPr>
        <w:t xml:space="preserve">, kuris vadovavo kolonai. Kas davė nurodymus </w:t>
      </w:r>
      <w:r w:rsidRPr="00E76E89">
        <w:rPr>
          <w:szCs w:val="24"/>
        </w:rPr>
        <w:t>S. P.</w:t>
      </w:r>
      <w:r w:rsidR="0081523B" w:rsidRPr="00E76E89">
        <w:rPr>
          <w:szCs w:val="24"/>
        </w:rPr>
        <w:t xml:space="preserve">, </w:t>
      </w:r>
      <w:r w:rsidRPr="00E76E89">
        <w:rPr>
          <w:szCs w:val="24"/>
        </w:rPr>
        <w:t>V. S. 3</w:t>
      </w:r>
      <w:r w:rsidR="0081523B" w:rsidRPr="00E76E89">
        <w:rPr>
          <w:szCs w:val="24"/>
        </w:rPr>
        <w:t xml:space="preserve"> nežino. </w:t>
      </w:r>
      <w:r w:rsidRPr="00E76E89">
        <w:rPr>
          <w:szCs w:val="24"/>
        </w:rPr>
        <w:t>V. S. 3</w:t>
      </w:r>
      <w:r w:rsidR="0081523B" w:rsidRPr="00E76E89">
        <w:rPr>
          <w:szCs w:val="24"/>
        </w:rPr>
        <w:t xml:space="preserve"> važiavo BMD, vyresnysis pareigūnas buvo 7</w:t>
      </w:r>
      <w:r w:rsidR="0043571F" w:rsidRPr="00E76E89">
        <w:rPr>
          <w:szCs w:val="24"/>
        </w:rPr>
        <w:t xml:space="preserve">-osios kuopos vadas. </w:t>
      </w:r>
      <w:r w:rsidRPr="00E76E89">
        <w:rPr>
          <w:szCs w:val="24"/>
        </w:rPr>
        <w:t>V. S. 3</w:t>
      </w:r>
      <w:r w:rsidR="0081523B" w:rsidRPr="00E76E89">
        <w:rPr>
          <w:color w:val="000000"/>
          <w:szCs w:val="24"/>
          <w:lang w:eastAsia="lt-LT"/>
        </w:rPr>
        <w:t xml:space="preserve"> </w:t>
      </w:r>
      <w:r w:rsidR="0081523B" w:rsidRPr="00E76E89">
        <w:rPr>
          <w:rStyle w:val="CharStyle25"/>
          <w:color w:val="000000"/>
          <w:szCs w:val="24"/>
          <w:lang w:eastAsia="lt-LT"/>
        </w:rPr>
        <w:t xml:space="preserve">nematė nušautų ir sužeistų žmonių. Kariškiai ginklų nenaudojo, nes tokios komandos negavo. Pats </w:t>
      </w:r>
      <w:r w:rsidRPr="00E76E89">
        <w:rPr>
          <w:rStyle w:val="CharStyle25"/>
          <w:color w:val="000000"/>
          <w:szCs w:val="24"/>
          <w:lang w:eastAsia="lt-LT"/>
        </w:rPr>
        <w:t>V. S. 3</w:t>
      </w:r>
      <w:r w:rsidR="0081523B" w:rsidRPr="00E76E89">
        <w:rPr>
          <w:rStyle w:val="CharStyle25"/>
          <w:color w:val="000000"/>
          <w:szCs w:val="24"/>
          <w:lang w:eastAsia="lt-LT"/>
        </w:rPr>
        <w:t xml:space="preserve"> bei jo kariškiai nešaudė ir žmonių nežalojo. Automatą, kurį turėjo operacijos metu, </w:t>
      </w:r>
      <w:r w:rsidRPr="00E76E89">
        <w:rPr>
          <w:rStyle w:val="CharStyle25"/>
          <w:color w:val="000000"/>
          <w:szCs w:val="24"/>
          <w:lang w:eastAsia="lt-LT"/>
        </w:rPr>
        <w:t>V. S. 3</w:t>
      </w:r>
      <w:r w:rsidR="0081523B" w:rsidRPr="00E76E89">
        <w:rPr>
          <w:rStyle w:val="CharStyle25"/>
          <w:color w:val="000000"/>
          <w:szCs w:val="24"/>
          <w:lang w:eastAsia="lt-LT"/>
        </w:rPr>
        <w:t xml:space="preserve"> pridavė į kuopos ginklų kambarį. Šoviniai </w:t>
      </w:r>
      <w:r w:rsidRPr="00E76E89">
        <w:rPr>
          <w:rStyle w:val="CharStyle25"/>
          <w:color w:val="000000"/>
          <w:szCs w:val="24"/>
          <w:lang w:eastAsia="lt-LT"/>
        </w:rPr>
        <w:t>V. S. 3</w:t>
      </w:r>
      <w:r w:rsidR="0081523B" w:rsidRPr="00E76E89">
        <w:rPr>
          <w:rStyle w:val="CharStyle25"/>
          <w:color w:val="000000"/>
          <w:szCs w:val="24"/>
          <w:lang w:eastAsia="lt-LT"/>
        </w:rPr>
        <w:t xml:space="preserve"> buvo išduoti tik su paprastomis kulkomis, trasuojamųjų kulkų jis neturėjo. </w:t>
      </w:r>
      <w:r w:rsidR="00DE3B19" w:rsidRPr="00E76E89">
        <w:rPr>
          <w:szCs w:val="24"/>
        </w:rPr>
        <w:t>LRT televizijos pastate</w:t>
      </w:r>
      <w:r w:rsidR="00DE3B19" w:rsidRPr="00E76E89">
        <w:rPr>
          <w:rStyle w:val="CharStyle25"/>
          <w:color w:val="000000"/>
          <w:szCs w:val="24"/>
          <w:lang w:eastAsia="lt-LT"/>
        </w:rPr>
        <w:t xml:space="preserve"> </w:t>
      </w:r>
      <w:r w:rsidRPr="00E76E89">
        <w:rPr>
          <w:rStyle w:val="CharStyle25"/>
          <w:color w:val="000000"/>
          <w:szCs w:val="24"/>
          <w:lang w:eastAsia="lt-LT"/>
        </w:rPr>
        <w:t>V. S. 3</w:t>
      </w:r>
      <w:r w:rsidR="0081523B" w:rsidRPr="00E76E89">
        <w:rPr>
          <w:rStyle w:val="CharStyle25"/>
          <w:color w:val="000000"/>
          <w:szCs w:val="24"/>
          <w:lang w:eastAsia="lt-LT"/>
        </w:rPr>
        <w:t xml:space="preserve"> matė darbuotojus, jie elgėsi ramiai, nesipriešino, kas ir kaip juos išvedė iš </w:t>
      </w:r>
      <w:r w:rsidR="00DE3B19" w:rsidRPr="00E76E89">
        <w:rPr>
          <w:szCs w:val="24"/>
        </w:rPr>
        <w:t>LRT televizijos pastato</w:t>
      </w:r>
      <w:r w:rsidR="0081523B" w:rsidRPr="00E76E89">
        <w:rPr>
          <w:rStyle w:val="CharStyle25"/>
          <w:color w:val="000000"/>
          <w:szCs w:val="24"/>
          <w:lang w:eastAsia="lt-LT"/>
        </w:rPr>
        <w:t>, nematė.</w:t>
      </w:r>
    </w:p>
    <w:p w:rsidR="0081523B" w:rsidRPr="00E76E89" w:rsidRDefault="0081523B" w:rsidP="00321748">
      <w:pPr>
        <w:pStyle w:val="ListParagraph"/>
        <w:numPr>
          <w:ilvl w:val="1"/>
          <w:numId w:val="6"/>
        </w:numPr>
        <w:spacing w:before="120" w:after="120"/>
        <w:ind w:left="992" w:hanging="992"/>
        <w:contextualSpacing w:val="0"/>
      </w:pPr>
      <w:r w:rsidRPr="00E76E89">
        <w:t xml:space="preserve">Gynėja nesutinka su </w:t>
      </w:r>
      <w:r w:rsidR="006036E7" w:rsidRPr="00E76E89">
        <w:t>V. S. 3</w:t>
      </w:r>
      <w:r w:rsidRPr="00E76E89">
        <w:t xml:space="preserve"> nuteisimu dėl jo ir </w:t>
      </w:r>
      <w:r w:rsidR="006036E7" w:rsidRPr="00E76E89">
        <w:t>S. M.</w:t>
      </w:r>
      <w:r w:rsidRPr="00E76E89">
        <w:t xml:space="preserve">, </w:t>
      </w:r>
      <w:r w:rsidR="006036E7" w:rsidRPr="00E76E89">
        <w:t>A. N. 2</w:t>
      </w:r>
      <w:r w:rsidRPr="00E76E89">
        <w:t xml:space="preserve"> ir </w:t>
      </w:r>
      <w:r w:rsidR="006036E7" w:rsidRPr="00E76E89">
        <w:t>A. S.</w:t>
      </w:r>
      <w:r w:rsidRPr="00E76E89">
        <w:t xml:space="preserve"> bendro vadovavimo, užimant LRT pastatą. </w:t>
      </w:r>
      <w:r w:rsidR="006036E7" w:rsidRPr="00E76E89">
        <w:t>V. S. 3</w:t>
      </w:r>
      <w:r w:rsidRPr="00E76E89">
        <w:t xml:space="preserve">, apklaustas kaip liudytojas, parodė, kad jis vyko prie LRT pastato, tačiau operacijai nevadovavo, nurodymų dėl užduoties vykdymo, o tuo labiau įsakymų, nedavė. Tokius </w:t>
      </w:r>
      <w:r w:rsidR="006036E7" w:rsidRPr="00E76E89">
        <w:t>V. S. 3</w:t>
      </w:r>
      <w:r w:rsidRPr="00E76E89">
        <w:t xml:space="preserve"> parodymus patvirtina apklaustų kitų kaltinamųjų </w:t>
      </w:r>
      <w:r w:rsidR="00385BC9" w:rsidRPr="00E76E89">
        <w:t>V. S. 2</w:t>
      </w:r>
      <w:r w:rsidRPr="00E76E89">
        <w:t xml:space="preserve">, </w:t>
      </w:r>
      <w:r w:rsidR="006036E7" w:rsidRPr="00E76E89">
        <w:t>A. S.</w:t>
      </w:r>
      <w:r w:rsidRPr="00E76E89">
        <w:t xml:space="preserve">, </w:t>
      </w:r>
      <w:r w:rsidR="00C507EF" w:rsidRPr="00E76E89">
        <w:t>I. K.</w:t>
      </w:r>
      <w:r w:rsidRPr="00E76E89">
        <w:t xml:space="preserve">, </w:t>
      </w:r>
      <w:r w:rsidR="006036E7" w:rsidRPr="00E76E89">
        <w:t>S. M.</w:t>
      </w:r>
      <w:r w:rsidRPr="00E76E89">
        <w:t xml:space="preserve"> ir liudytojų I. R</w:t>
      </w:r>
      <w:r w:rsidR="00DD1A27" w:rsidRPr="00E76E89">
        <w:t>.</w:t>
      </w:r>
      <w:r w:rsidRPr="00E76E89">
        <w:t>, S. D</w:t>
      </w:r>
      <w:r w:rsidR="00DD1A27" w:rsidRPr="00E76E89">
        <w:t>., O. </w:t>
      </w:r>
      <w:r w:rsidRPr="00E76E89">
        <w:t>K</w:t>
      </w:r>
      <w:r w:rsidR="00DD1A27" w:rsidRPr="00E76E89">
        <w:t>., I. </w:t>
      </w:r>
      <w:r w:rsidRPr="00E76E89">
        <w:t>S</w:t>
      </w:r>
      <w:r w:rsidR="00DD1A27" w:rsidRPr="00E76E89">
        <w:t>.</w:t>
      </w:r>
      <w:r w:rsidRPr="00E76E89">
        <w:t>, V. N</w:t>
      </w:r>
      <w:r w:rsidR="00DD1A27" w:rsidRPr="00E76E89">
        <w:t>., V. </w:t>
      </w:r>
      <w:r w:rsidRPr="00E76E89">
        <w:t>L</w:t>
      </w:r>
      <w:r w:rsidR="00DD1A27" w:rsidRPr="00E76E89">
        <w:t>. ir V. </w:t>
      </w:r>
      <w:r w:rsidRPr="00E76E89">
        <w:t>K</w:t>
      </w:r>
      <w:r w:rsidR="00DD1A27" w:rsidRPr="00E76E89">
        <w:t>.</w:t>
      </w:r>
      <w:r w:rsidRPr="00E76E89">
        <w:t xml:space="preserve"> parodymai, kurie, būdami kariškiais, nurodė kitus asmenis, davusius jiems užduotį ar nurodymus vykdyti vienus ar kitus veiksmus, jų pačių vaidmenis vykdant užduotis</w:t>
      </w:r>
      <w:r w:rsidR="005220CE" w:rsidRPr="00E76E89">
        <w:t xml:space="preserve"> ir (ar) </w:t>
      </w:r>
      <w:r w:rsidRPr="00E76E89">
        <w:t xml:space="preserve">nurodymus. Šiam teiginiui pagrįsti gynėja skunde atskirai išdėsto kiekvieno iš šių asmenų parodymus. Be jau minėtų kaltinamųjų ir liudytojų parodymų, </w:t>
      </w:r>
      <w:r w:rsidR="006036E7" w:rsidRPr="00E76E89">
        <w:t>V. S. 3</w:t>
      </w:r>
      <w:r w:rsidRPr="00E76E89">
        <w:t xml:space="preserve"> teiginius dėl jo vaidmens padarant nusikaltimus patvirtina rašytinė bylos medžiaga. Byloje esantis daliniui 74268 vadovavusių karininkų sąrašas patvirtina, kad jame </w:t>
      </w:r>
      <w:r w:rsidR="006036E7" w:rsidRPr="00E76E89">
        <w:t>V. S. 3</w:t>
      </w:r>
      <w:r w:rsidRPr="00E76E89">
        <w:t xml:space="preserve"> pavardės nėra. Šį sąrašą pasirašė dalinio štabo viršininkas </w:t>
      </w:r>
      <w:r w:rsidR="00385BC9" w:rsidRPr="00E76E89">
        <w:t>G. G.</w:t>
      </w:r>
      <w:r w:rsidRPr="00E76E89">
        <w:t xml:space="preserve">. 2014 m. birželio 10 d. specialisto J. Andriškevičiaus išvadoje nurodyta, kad LRT pastato užėmimo operacijai vadovauti buvo paskirtas kapitonas </w:t>
      </w:r>
      <w:r w:rsidR="006036E7" w:rsidRPr="00E76E89">
        <w:t>S. P.</w:t>
      </w:r>
      <w:r w:rsidR="00DD1A27" w:rsidRPr="00E76E89">
        <w:t xml:space="preserve"> (remiantis K. M.</w:t>
      </w:r>
      <w:r w:rsidRPr="00E76E89">
        <w:t xml:space="preserve">, </w:t>
      </w:r>
      <w:r w:rsidR="006036E7" w:rsidRPr="00E76E89">
        <w:t>S. M.</w:t>
      </w:r>
      <w:r w:rsidRPr="00E76E89">
        <w:t xml:space="preserve"> ir paties </w:t>
      </w:r>
      <w:r w:rsidR="006036E7" w:rsidRPr="00E76E89">
        <w:t>S. P.</w:t>
      </w:r>
      <w:r w:rsidRPr="00E76E89">
        <w:t xml:space="preserve"> parodymais), užduoties vykdymo kontrolę vykdė</w:t>
      </w:r>
      <w:r w:rsidR="002C298B" w:rsidRPr="00E76E89">
        <w:t xml:space="preserve"> </w:t>
      </w:r>
      <w:r w:rsidRPr="00E76E89">
        <w:t xml:space="preserve">operacijoje dalyvavęs </w:t>
      </w:r>
      <w:r w:rsidR="00DD2DC5" w:rsidRPr="00E76E89">
        <w:t>234</w:t>
      </w:r>
      <w:r w:rsidRPr="00E76E89">
        <w:t>-ojo pulko štabo viršininkas papulkininkis</w:t>
      </w:r>
      <w:r w:rsidR="003F7E0A" w:rsidRPr="00E76E89">
        <w:t> </w:t>
      </w:r>
      <w:r w:rsidR="00385BC9" w:rsidRPr="00E76E89">
        <w:t>G. G.</w:t>
      </w:r>
      <w:r w:rsidRPr="00E76E89">
        <w:t xml:space="preserve"> (remiantis </w:t>
      </w:r>
      <w:r w:rsidR="006036E7" w:rsidRPr="00E76E89">
        <w:t>R. J. 2</w:t>
      </w:r>
      <w:r w:rsidRPr="00E76E89">
        <w:t xml:space="preserve">, </w:t>
      </w:r>
      <w:r w:rsidR="006036E7" w:rsidRPr="00E76E89">
        <w:t>A. N. 2</w:t>
      </w:r>
      <w:r w:rsidRPr="00E76E89">
        <w:t xml:space="preserve"> ir </w:t>
      </w:r>
      <w:r w:rsidR="006036E7" w:rsidRPr="00E76E89">
        <w:t>B. S.</w:t>
      </w:r>
      <w:r w:rsidRPr="00E76E89">
        <w:t xml:space="preserve"> parodymais). Visus veiksmus koordinavo 76</w:t>
      </w:r>
      <w:r w:rsidR="008F624C" w:rsidRPr="00E76E89">
        <w:t>-osios</w:t>
      </w:r>
      <w:r w:rsidRPr="00E76E89">
        <w:t xml:space="preserve"> desantų divizijos operatyvinės grupės Vilniuje vadovas</w:t>
      </w:r>
      <w:r w:rsidR="002C298B" w:rsidRPr="00E76E89">
        <w:t xml:space="preserve"> </w:t>
      </w:r>
      <w:r w:rsidRPr="00E76E89">
        <w:t xml:space="preserve">pulkininkas </w:t>
      </w:r>
      <w:r w:rsidR="00385BC9" w:rsidRPr="00E76E89">
        <w:t>V. K. 1</w:t>
      </w:r>
      <w:r w:rsidRPr="00E76E89">
        <w:t xml:space="preserve"> (remiantis </w:t>
      </w:r>
      <w:r w:rsidR="006036E7" w:rsidRPr="00E76E89">
        <w:t>S. P.</w:t>
      </w:r>
      <w:r w:rsidRPr="00E76E89">
        <w:t xml:space="preserve"> parodymais bei pažyma apie eterio kontrolę sausio 13 d.). Teismas nepagrįstai šiuos įrodymus atmetė</w:t>
      </w:r>
      <w:r w:rsidR="005220CE" w:rsidRPr="00E76E89">
        <w:t xml:space="preserve">, </w:t>
      </w:r>
      <w:r w:rsidRPr="00E76E89">
        <w:t>jų nevertino ir vadovavosi nuosprendyje tik kelių liudytojų, 7-os</w:t>
      </w:r>
      <w:r w:rsidR="0043571F" w:rsidRPr="00E76E89">
        <w:t>ios</w:t>
      </w:r>
      <w:r w:rsidRPr="00E76E89">
        <w:t xml:space="preserve"> kuopos karių, parodymais, todėl padarė nepagrįstą išvadą, kad </w:t>
      </w:r>
      <w:r w:rsidR="006036E7" w:rsidRPr="00E76E89">
        <w:t>V. S. 3</w:t>
      </w:r>
      <w:r w:rsidRPr="00E76E89">
        <w:t xml:space="preserve"> ne tik vykdė įsakymus, bet ir pats įsakinėjo. </w:t>
      </w:r>
    </w:p>
    <w:p w:rsidR="0081523B" w:rsidRPr="00C00255" w:rsidRDefault="0081523B" w:rsidP="00321748">
      <w:pPr>
        <w:pStyle w:val="ListParagraph"/>
        <w:numPr>
          <w:ilvl w:val="1"/>
          <w:numId w:val="6"/>
        </w:numPr>
        <w:spacing w:before="120" w:after="120"/>
        <w:ind w:left="992" w:hanging="992"/>
        <w:contextualSpacing w:val="0"/>
        <w:rPr>
          <w:szCs w:val="24"/>
        </w:rPr>
      </w:pPr>
      <w:r w:rsidRPr="00C00255">
        <w:rPr>
          <w:szCs w:val="24"/>
        </w:rPr>
        <w:t xml:space="preserve">Prie LRT pastato </w:t>
      </w:r>
      <w:r w:rsidR="006036E7">
        <w:rPr>
          <w:szCs w:val="24"/>
        </w:rPr>
        <w:t>V. S. 3</w:t>
      </w:r>
      <w:r w:rsidRPr="00C00255">
        <w:rPr>
          <w:szCs w:val="24"/>
        </w:rPr>
        <w:t xml:space="preserve"> pats nukentėjo, nes</w:t>
      </w:r>
      <w:r w:rsidR="00FE7404" w:rsidRPr="00C00255">
        <w:rPr>
          <w:szCs w:val="24"/>
        </w:rPr>
        <w:t>,</w:t>
      </w:r>
      <w:r w:rsidRPr="00C00255">
        <w:rPr>
          <w:szCs w:val="24"/>
        </w:rPr>
        <w:t xml:space="preserve"> jam vykdant užduotį, kažkas iš minios jam smogė kumščiu į veidą. Apie tai 1991 m. sausio 18 d. </w:t>
      </w:r>
      <w:r w:rsidR="006036E7">
        <w:rPr>
          <w:szCs w:val="24"/>
        </w:rPr>
        <w:t>V. S. 3</w:t>
      </w:r>
      <w:r w:rsidRPr="00C00255">
        <w:rPr>
          <w:szCs w:val="24"/>
        </w:rPr>
        <w:t xml:space="preserve"> davė rašytinius paaiškinimus. </w:t>
      </w:r>
      <w:r w:rsidR="006036E7">
        <w:rPr>
          <w:szCs w:val="24"/>
        </w:rPr>
        <w:lastRenderedPageBreak/>
        <w:t>V. S. 3</w:t>
      </w:r>
      <w:r w:rsidRPr="00C00255">
        <w:rPr>
          <w:szCs w:val="24"/>
        </w:rPr>
        <w:t xml:space="preserve"> nustatytas lengvas kūno sužalojimas. Dėl to 1991 m. kovo 29</w:t>
      </w:r>
      <w:r w:rsidR="00C8385E" w:rsidRPr="00C00255">
        <w:rPr>
          <w:szCs w:val="24"/>
        </w:rPr>
        <w:t> </w:t>
      </w:r>
      <w:r w:rsidRPr="00C00255">
        <w:rPr>
          <w:szCs w:val="24"/>
        </w:rPr>
        <w:t xml:space="preserve">d. byloje priimtas nutarimas pripažinti </w:t>
      </w:r>
      <w:r w:rsidR="006036E7">
        <w:rPr>
          <w:szCs w:val="24"/>
        </w:rPr>
        <w:t>V. S. 3</w:t>
      </w:r>
      <w:r w:rsidRPr="00C00255">
        <w:rPr>
          <w:szCs w:val="24"/>
        </w:rPr>
        <w:t xml:space="preserve"> nukentėjusiuoju. </w:t>
      </w:r>
    </w:p>
    <w:p w:rsidR="0081523B" w:rsidRPr="00E76E89" w:rsidRDefault="0081523B" w:rsidP="00321748">
      <w:pPr>
        <w:pStyle w:val="ListParagraph"/>
        <w:numPr>
          <w:ilvl w:val="1"/>
          <w:numId w:val="6"/>
        </w:numPr>
        <w:spacing w:before="120" w:after="120"/>
        <w:ind w:left="992" w:hanging="992"/>
        <w:contextualSpacing w:val="0"/>
        <w:rPr>
          <w:szCs w:val="24"/>
        </w:rPr>
      </w:pPr>
      <w:r w:rsidRPr="00E76E89">
        <w:rPr>
          <w:szCs w:val="24"/>
        </w:rPr>
        <w:t xml:space="preserve">Minėtame 1991 m. sausio 18 d. paaiškinime </w:t>
      </w:r>
      <w:r w:rsidR="006036E7" w:rsidRPr="00E76E89">
        <w:rPr>
          <w:szCs w:val="24"/>
        </w:rPr>
        <w:t>V. S. 3</w:t>
      </w:r>
      <w:r w:rsidRPr="00E76E89">
        <w:rPr>
          <w:szCs w:val="24"/>
        </w:rPr>
        <w:t xml:space="preserve"> nurodė aplinkybes apie turėtą ginklą (automatą </w:t>
      </w:r>
      <w:r w:rsidR="00C8385E" w:rsidRPr="00E76E89">
        <w:rPr>
          <w:szCs w:val="24"/>
        </w:rPr>
        <w:t>„</w:t>
      </w:r>
      <w:r w:rsidRPr="00E76E89">
        <w:rPr>
          <w:szCs w:val="24"/>
        </w:rPr>
        <w:t>AKS-74U</w:t>
      </w:r>
      <w:r w:rsidR="00C8385E" w:rsidRPr="00E76E89">
        <w:rPr>
          <w:szCs w:val="24"/>
        </w:rPr>
        <w:t>“</w:t>
      </w:r>
      <w:r w:rsidR="00FE7404" w:rsidRPr="00E76E89">
        <w:rPr>
          <w:szCs w:val="24"/>
        </w:rPr>
        <w:t>,</w:t>
      </w:r>
      <w:r w:rsidRPr="00E76E89">
        <w:rPr>
          <w:szCs w:val="24"/>
        </w:rPr>
        <w:t xml:space="preserve"> Nr. </w:t>
      </w:r>
      <w:r w:rsidR="00DD1A27" w:rsidRPr="00E76E89">
        <w:rPr>
          <w:szCs w:val="24"/>
        </w:rPr>
        <w:t>(duomenys neskelbtini)</w:t>
      </w:r>
      <w:r w:rsidRPr="00E76E89">
        <w:rPr>
          <w:szCs w:val="24"/>
        </w:rPr>
        <w:t>, 60 kovinių šaudmenų) ir neigė iš jo šaudęs. Prie bylos pri</w:t>
      </w:r>
      <w:r w:rsidR="005220CE" w:rsidRPr="00E76E89">
        <w:rPr>
          <w:szCs w:val="24"/>
        </w:rPr>
        <w:t>dėtas</w:t>
      </w:r>
      <w:r w:rsidRPr="00E76E89">
        <w:rPr>
          <w:szCs w:val="24"/>
        </w:rPr>
        <w:t xml:space="preserve"> 1991 m. vasario 5 d. pranešimas prokuratūrai, kuriame nurodyta, kad karinio dalinio 74268 kariškiams, vykdžiusiems užduotis prie TV bokšto bei </w:t>
      </w:r>
      <w:r w:rsidR="007403E5" w:rsidRPr="00E76E89">
        <w:rPr>
          <w:szCs w:val="24"/>
        </w:rPr>
        <w:t>LRT</w:t>
      </w:r>
      <w:r w:rsidRPr="00E76E89">
        <w:rPr>
          <w:szCs w:val="24"/>
        </w:rPr>
        <w:t>, trasuoja</w:t>
      </w:r>
      <w:r w:rsidR="005220CE" w:rsidRPr="00E76E89">
        <w:rPr>
          <w:szCs w:val="24"/>
        </w:rPr>
        <w:t>mieji</w:t>
      </w:r>
      <w:r w:rsidRPr="00E76E89">
        <w:rPr>
          <w:szCs w:val="24"/>
        </w:rPr>
        <w:t xml:space="preserve"> šoviniai išduodami nebuvo. Šį dokumentą pasirašė dalinio vadas </w:t>
      </w:r>
      <w:r w:rsidR="00C507EF" w:rsidRPr="00E76E89">
        <w:rPr>
          <w:szCs w:val="24"/>
        </w:rPr>
        <w:t>I. K.</w:t>
      </w:r>
      <w:r w:rsidRPr="00E76E89">
        <w:rPr>
          <w:szCs w:val="24"/>
        </w:rPr>
        <w:t>. Prie bylos pri</w:t>
      </w:r>
      <w:r w:rsidR="005220CE" w:rsidRPr="00E76E89">
        <w:rPr>
          <w:szCs w:val="24"/>
        </w:rPr>
        <w:t xml:space="preserve">dėtas </w:t>
      </w:r>
      <w:r w:rsidRPr="00E76E89">
        <w:rPr>
          <w:szCs w:val="24"/>
        </w:rPr>
        <w:t>žiniaraštis dėl ginklų ir šaudmenų išdavimo bei gr</w:t>
      </w:r>
      <w:r w:rsidR="005220CE" w:rsidRPr="00E76E89">
        <w:rPr>
          <w:szCs w:val="24"/>
        </w:rPr>
        <w:t>ą</w:t>
      </w:r>
      <w:r w:rsidRPr="00E76E89">
        <w:rPr>
          <w:szCs w:val="24"/>
        </w:rPr>
        <w:t xml:space="preserve">žinimo registracijos, iš kurio matyti, kad </w:t>
      </w:r>
      <w:r w:rsidR="006036E7" w:rsidRPr="00E76E89">
        <w:rPr>
          <w:szCs w:val="24"/>
        </w:rPr>
        <w:t>V. S. 3</w:t>
      </w:r>
      <w:r w:rsidR="00DD1A27" w:rsidRPr="00E76E89">
        <w:rPr>
          <w:szCs w:val="24"/>
        </w:rPr>
        <w:t xml:space="preserve"> buvo išduotas automatas Nr. (duomenys neskelbtini)</w:t>
      </w:r>
      <w:r w:rsidRPr="00E76E89">
        <w:rPr>
          <w:szCs w:val="24"/>
        </w:rPr>
        <w:t xml:space="preserve">, 60 šovinių, kurie buvo grąžinti. </w:t>
      </w:r>
      <w:r w:rsidR="006036E7" w:rsidRPr="00E76E89">
        <w:rPr>
          <w:szCs w:val="24"/>
        </w:rPr>
        <w:t>V. S. 3</w:t>
      </w:r>
      <w:r w:rsidRPr="00E76E89">
        <w:rPr>
          <w:szCs w:val="24"/>
        </w:rPr>
        <w:t xml:space="preserve"> iš automato nešaudė. Pasirašė dalinio vadas </w:t>
      </w:r>
      <w:r w:rsidR="00C507EF" w:rsidRPr="00E76E89">
        <w:rPr>
          <w:szCs w:val="24"/>
        </w:rPr>
        <w:t>I. K.</w:t>
      </w:r>
      <w:r w:rsidRPr="00E76E89">
        <w:rPr>
          <w:szCs w:val="24"/>
        </w:rPr>
        <w:t xml:space="preserve">. </w:t>
      </w:r>
    </w:p>
    <w:p w:rsidR="0081523B" w:rsidRPr="00E76E89" w:rsidRDefault="0081523B" w:rsidP="00321748">
      <w:pPr>
        <w:pStyle w:val="ListParagraph"/>
        <w:numPr>
          <w:ilvl w:val="1"/>
          <w:numId w:val="6"/>
        </w:numPr>
        <w:spacing w:before="120" w:after="120"/>
        <w:ind w:left="992" w:hanging="992"/>
        <w:contextualSpacing w:val="0"/>
        <w:rPr>
          <w:rStyle w:val="CharStyle25"/>
          <w:szCs w:val="24"/>
          <w:shd w:val="clear" w:color="auto" w:fill="auto"/>
        </w:rPr>
      </w:pPr>
      <w:r w:rsidRPr="00E76E89">
        <w:t xml:space="preserve">Už BK 100 straipsnyje, BK 101 straipsnyje, BK 103 straipsnyje, BK 111 straipsnio 1 dalyje, BK 112 straipsnyje numatytų nusikaltimų padarymą baudžiamoji atsakomybė numatyta tik 2011 m., priėmus BK pakeitimus. Taigi </w:t>
      </w:r>
      <w:r w:rsidR="006036E7" w:rsidRPr="00E76E89">
        <w:t>V. S. 3</w:t>
      </w:r>
      <w:r w:rsidRPr="00E76E89">
        <w:t xml:space="preserve"> buvo nuteistas už nusikaltimus žmoniškumui bei karo nusikaltimus (kuriuos draudžia tarptautinė humanitarinė teisė), kurie padaryti anksčiau</w:t>
      </w:r>
      <w:r w:rsidR="005220CE" w:rsidRPr="00E76E89">
        <w:t>,</w:t>
      </w:r>
      <w:r w:rsidRPr="00E76E89">
        <w:t xml:space="preserve"> nei įsigaliojo įstatymas, </w:t>
      </w:r>
      <w:r w:rsidR="005220CE" w:rsidRPr="00E76E89">
        <w:t xml:space="preserve">kuriame </w:t>
      </w:r>
      <w:r w:rsidRPr="00E76E89">
        <w:t>numat</w:t>
      </w:r>
      <w:r w:rsidR="006A642D" w:rsidRPr="00E76E89">
        <w:t>yta</w:t>
      </w:r>
      <w:r w:rsidRPr="00E76E89">
        <w:t xml:space="preserve"> baudžiam</w:t>
      </w:r>
      <w:r w:rsidR="005220CE" w:rsidRPr="00E76E89">
        <w:t xml:space="preserve">oji </w:t>
      </w:r>
      <w:r w:rsidRPr="00E76E89">
        <w:t>atsakomyb</w:t>
      </w:r>
      <w:r w:rsidR="005220CE" w:rsidRPr="00E76E89">
        <w:t>ė</w:t>
      </w:r>
      <w:r w:rsidRPr="00E76E89">
        <w:t xml:space="preserve"> už juos. Todėl neišvengiamai kyla </w:t>
      </w:r>
      <w:r w:rsidRPr="00E76E89">
        <w:rPr>
          <w:i/>
        </w:rPr>
        <w:t>nullum crimen sine lege</w:t>
      </w:r>
      <w:r w:rsidRPr="00E76E89">
        <w:t xml:space="preserve"> </w:t>
      </w:r>
      <w:r w:rsidR="00406AE2" w:rsidRPr="00E76E89">
        <w:t xml:space="preserve">principo </w:t>
      </w:r>
      <w:r w:rsidRPr="00E76E89">
        <w:t>taikymo klausimas.</w:t>
      </w:r>
    </w:p>
    <w:p w:rsidR="0081523B" w:rsidRPr="00C00255" w:rsidRDefault="0081523B" w:rsidP="00321748">
      <w:pPr>
        <w:pStyle w:val="ListParagraph"/>
        <w:numPr>
          <w:ilvl w:val="1"/>
          <w:numId w:val="6"/>
        </w:numPr>
        <w:spacing w:before="120" w:after="120"/>
        <w:ind w:left="992" w:hanging="992"/>
        <w:contextualSpacing w:val="0"/>
        <w:rPr>
          <w:szCs w:val="24"/>
        </w:rPr>
      </w:pPr>
      <w:r w:rsidRPr="00E76E89">
        <w:t>Apkaltinamajame nuosprendyje cituojamos Romos statuto</w:t>
      </w:r>
      <w:r w:rsidR="0012467A" w:rsidRPr="00E76E89">
        <w:t xml:space="preserve"> </w:t>
      </w:r>
      <w:r w:rsidRPr="00E76E89">
        <w:t xml:space="preserve">nuostatos. Romos statutas priimtas tik 1998 m., o </w:t>
      </w:r>
      <w:r w:rsidR="006036E7" w:rsidRPr="00E76E89">
        <w:t>V. S. 3</w:t>
      </w:r>
      <w:r w:rsidRPr="00E76E89">
        <w:t xml:space="preserve"> inkriminuojamos veikos padarytos 1991 m</w:t>
      </w:r>
      <w:r w:rsidR="00FE7404" w:rsidRPr="00E76E89">
        <w:t>etais</w:t>
      </w:r>
      <w:r w:rsidRPr="00E76E89">
        <w:t xml:space="preserve">. EŽTT savo jurisprudencijoje ne kartą yra pažymėjęs, kad retrospektyvus baudžiamojo įstatymo taikymas nepažeis </w:t>
      </w:r>
      <w:r w:rsidR="00491A27" w:rsidRPr="00E76E89">
        <w:t>EŽTK</w:t>
      </w:r>
      <w:r w:rsidRPr="00E76E89">
        <w:t xml:space="preserve"> 7 straipsnyje įtvirtinto jau minėto </w:t>
      </w:r>
      <w:r w:rsidRPr="00E76E89">
        <w:rPr>
          <w:i/>
        </w:rPr>
        <w:t>nullum crimen sine lege</w:t>
      </w:r>
      <w:r w:rsidRPr="00E76E89">
        <w:t xml:space="preserve"> principo tik tuo atveju, jei iš atitinkamos nuostatos teksto ir, jeigu reikia, teismų išaiškinimo, kaltinamasis galėjo žinoti, už kokius veiksmus ar neveikimą kyla baudžiamoji atsakomybė. Niurnbergo </w:t>
      </w:r>
      <w:r w:rsidR="00B00A5F" w:rsidRPr="00E76E89">
        <w:t xml:space="preserve">tribunolo </w:t>
      </w:r>
      <w:r w:rsidRPr="00E76E89">
        <w:t>statuto 6 straipsnio 1 dalies c punkte nurodoma, kad Niurnbergo</w:t>
      </w:r>
      <w:r w:rsidR="0049485C" w:rsidRPr="00E76E89">
        <w:t xml:space="preserve"> tarptautinio karinio</w:t>
      </w:r>
      <w:r w:rsidRPr="00E76E89">
        <w:t xml:space="preserve"> tribunolo jurisdikcijai priskiriami prieš </w:t>
      </w:r>
      <w:r w:rsidR="005220CE" w:rsidRPr="00E76E89">
        <w:t xml:space="preserve">karą </w:t>
      </w:r>
      <w:r w:rsidRPr="00E76E89">
        <w:t>arba karo metu padaryti nusikaltimai žmoniškumui. Niurnbergo</w:t>
      </w:r>
      <w:r w:rsidR="0049485C" w:rsidRPr="00E76E89">
        <w:t xml:space="preserve"> tarptautinio karo</w:t>
      </w:r>
      <w:r w:rsidRPr="00E76E89">
        <w:t xml:space="preserve"> tribunolo sprendimuose akcentuojama, kad tiek šis, tiek kiti nusikaltimai žmoniškumui yra neatsiejamas laikotarpio prieš karą arba karo metu atributas, buvo padaryti prasidėjus karui, karo metu arba vykdant karinę agresiją. Niurnbergo bei Jugoslavijos tribunolų statut</w:t>
      </w:r>
      <w:r w:rsidR="00FE7404" w:rsidRPr="00E76E89">
        <w:t>uose</w:t>
      </w:r>
      <w:r w:rsidRPr="00E76E89">
        <w:t xml:space="preserve"> nusikaltim</w:t>
      </w:r>
      <w:r w:rsidR="00FE7404" w:rsidRPr="00E76E89">
        <w:t>ai</w:t>
      </w:r>
      <w:r w:rsidRPr="00E76E89">
        <w:t xml:space="preserve"> žmoniškumui apibrėž</w:t>
      </w:r>
      <w:r w:rsidR="00FE7404" w:rsidRPr="00E76E89">
        <w:t>ti</w:t>
      </w:r>
      <w:r w:rsidRPr="00E76E89">
        <w:t xml:space="preserve"> kaip nusikaltim</w:t>
      </w:r>
      <w:r w:rsidR="00FE7404" w:rsidRPr="00E76E89">
        <w:t>ai</w:t>
      </w:r>
      <w:r w:rsidRPr="00E76E89">
        <w:t>, padaryt</w:t>
      </w:r>
      <w:r w:rsidR="00FE7404" w:rsidRPr="00E76E89">
        <w:t>i</w:t>
      </w:r>
      <w:r w:rsidRPr="00E76E89">
        <w:t xml:space="preserve"> karinio konflikto metu. Taigi 1991</w:t>
      </w:r>
      <w:r w:rsidR="00FE7404" w:rsidRPr="00E76E89">
        <w:t> </w:t>
      </w:r>
      <w:r w:rsidRPr="00E76E89">
        <w:t>m. tarptautinėje teisėje padėtis prieš karą, karas arba ginkluotas konfliktas buvo laikomi būtina nusikal</w:t>
      </w:r>
      <w:r w:rsidR="0049485C" w:rsidRPr="00E76E89">
        <w:t>timų žmoniškumui sąlyga. BK 100 </w:t>
      </w:r>
      <w:r w:rsidRPr="00E76E89">
        <w:t>straipsnyje,</w:t>
      </w:r>
      <w:r w:rsidR="00B00A5F" w:rsidRPr="00E76E89">
        <w:t xml:space="preserve"> BK</w:t>
      </w:r>
      <w:r w:rsidRPr="00E76E89">
        <w:t xml:space="preserve"> 101 straipsnyje, </w:t>
      </w:r>
      <w:r w:rsidR="00B00A5F" w:rsidRPr="00E76E89">
        <w:t>BK 103 </w:t>
      </w:r>
      <w:r w:rsidRPr="00E76E89">
        <w:t>straipsnio 1 dalyje nu</w:t>
      </w:r>
      <w:r w:rsidR="00C8385E" w:rsidRPr="00E76E89">
        <w:t>st</w:t>
      </w:r>
      <w:r w:rsidRPr="00E76E89">
        <w:t xml:space="preserve">atyta atsakomybė už nusikaltimus, padarytus būtent tokiomis sąlygomis. Nors teismas nuosprendžio aprašomojoje dalyje kaltinamųjų veiksmams apibūdinti </w:t>
      </w:r>
      <w:r w:rsidR="005220CE" w:rsidRPr="00E76E89">
        <w:t>vartoja</w:t>
      </w:r>
      <w:r w:rsidRPr="00E76E89">
        <w:t xml:space="preserve"> sąvokas – veiksmai, padaryti karinės operacijos metu, karinės agresijos metu ir karinio puolimo veiksmai, tačiau akivaizdu, kad 1991</w:t>
      </w:r>
      <w:r w:rsidR="00C8385E" w:rsidRPr="00E76E89">
        <w:t> </w:t>
      </w:r>
      <w:r w:rsidRPr="00E76E89">
        <w:t>m. Lietuvoje nebuvo paskelbta karinė ar prieškarinė padėtis. To nuosprendyje nenurodė ir teismas. Kitos</w:t>
      </w:r>
      <w:r w:rsidR="005220CE" w:rsidRPr="00E76E89">
        <w:t>e</w:t>
      </w:r>
      <w:r w:rsidR="0042306C" w:rsidRPr="00E76E89">
        <w:t xml:space="preserve"> tarptautinės</w:t>
      </w:r>
      <w:r w:rsidR="005220CE" w:rsidRPr="00E76E89">
        <w:t>e</w:t>
      </w:r>
      <w:r w:rsidR="0042306C" w:rsidRPr="00E76E89">
        <w:t xml:space="preserve"> konvencijos</w:t>
      </w:r>
      <w:r w:rsidR="005220CE" w:rsidRPr="00E76E89">
        <w:t>e</w:t>
      </w:r>
      <w:r w:rsidR="0042306C" w:rsidRPr="00E76E89">
        <w:t>, kaip</w:t>
      </w:r>
      <w:r w:rsidR="005220CE" w:rsidRPr="00E76E89">
        <w:t xml:space="preserve"> antai</w:t>
      </w:r>
      <w:r w:rsidR="0042306C" w:rsidRPr="00E76E89">
        <w:t xml:space="preserve"> </w:t>
      </w:r>
      <w:r w:rsidRPr="00E76E89">
        <w:t>1948 </w:t>
      </w:r>
      <w:r w:rsidR="00171173" w:rsidRPr="00E76E89">
        <w:t>m.</w:t>
      </w:r>
      <w:r w:rsidR="0042306C" w:rsidRPr="00E76E89">
        <w:t xml:space="preserve"> gruodžio 9 d. </w:t>
      </w:r>
      <w:r w:rsidR="0043571F" w:rsidRPr="00E76E89">
        <w:t>Konvencij</w:t>
      </w:r>
      <w:r w:rsidR="005220CE" w:rsidRPr="00E76E89">
        <w:t>oje</w:t>
      </w:r>
      <w:r w:rsidR="00171173" w:rsidRPr="00E76E89">
        <w:t xml:space="preserve"> dėl kelio užkirtimo genocido nusikaltimui ir baudimo už jį bei</w:t>
      </w:r>
      <w:r w:rsidR="00491A27" w:rsidRPr="00E76E89">
        <w:t xml:space="preserve"> 1973 m. </w:t>
      </w:r>
      <w:r w:rsidR="0042306C" w:rsidRPr="00E76E89">
        <w:t>K</w:t>
      </w:r>
      <w:r w:rsidRPr="00E76E89">
        <w:t>onvencij</w:t>
      </w:r>
      <w:r w:rsidR="005220CE" w:rsidRPr="00E76E89">
        <w:t>oje</w:t>
      </w:r>
      <w:r w:rsidRPr="00E76E89">
        <w:t xml:space="preserve"> dėl apartheido nusikaltimo uždraudimo ir baudimo už jį, nustat</w:t>
      </w:r>
      <w:r w:rsidR="005220CE" w:rsidRPr="00E76E89">
        <w:t>yta</w:t>
      </w:r>
      <w:r w:rsidRPr="00E76E89">
        <w:t>, kad jose nurodyti nusikaltimai gali būti padaryti tiek karo, tiek taikos metu. Nei apartheidas, nei genocidas nėra šios baudžiamosios bylos dalykas, todėl minėtų konvencijų nuostatos negali būti taikomos.</w:t>
      </w:r>
    </w:p>
    <w:p w:rsidR="0081523B" w:rsidRPr="00C00255" w:rsidRDefault="0081523B" w:rsidP="00321748">
      <w:pPr>
        <w:pStyle w:val="ListParagraph"/>
        <w:numPr>
          <w:ilvl w:val="1"/>
          <w:numId w:val="6"/>
        </w:numPr>
        <w:spacing w:before="120" w:after="120"/>
        <w:ind w:left="992" w:hanging="992"/>
        <w:contextualSpacing w:val="0"/>
        <w:rPr>
          <w:szCs w:val="24"/>
        </w:rPr>
      </w:pPr>
      <w:r w:rsidRPr="00E76E89">
        <w:t>Pasak gynėjos, karo ar ginkluoto konflikto požymis suponuoja abipusį ginkluotą konfliktą. Tarptautinis ginkluotas konfliktas 1949</w:t>
      </w:r>
      <w:r w:rsidR="00C8385E" w:rsidRPr="00E76E89">
        <w:t> </w:t>
      </w:r>
      <w:r w:rsidRPr="00E76E89">
        <w:t xml:space="preserve">m. </w:t>
      </w:r>
      <w:r w:rsidR="00171173" w:rsidRPr="00E76E89">
        <w:t>rugpjūčio 12</w:t>
      </w:r>
      <w:r w:rsidR="00C8385E" w:rsidRPr="00E76E89">
        <w:t> </w:t>
      </w:r>
      <w:r w:rsidR="00171173" w:rsidRPr="00E76E89">
        <w:t xml:space="preserve">d. </w:t>
      </w:r>
      <w:r w:rsidRPr="00E76E89">
        <w:t>Ženevos konvencijų prasme apibrėžtas kaip dviejų ar daugiau šalių apsisprendimas ir ėmimasis jį spręsti panaudojant karinę jėgą. Okupacija tarptautinėje teisėje suprantama kaip laikinas svetimos teritorijos užėmimas, t.</w:t>
      </w:r>
      <w:r w:rsidR="005220CE" w:rsidRPr="00E76E89">
        <w:t> </w:t>
      </w:r>
      <w:r w:rsidRPr="00E76E89">
        <w:t>y. aktas, nesukeliantis suverenių teisių į teritoriją pasikeitimo (laikinai pasikeičia tik faktinis teritorijos valdytojas) ar kitokių galutinio pobūdžio teisinių pa</w:t>
      </w:r>
      <w:r w:rsidR="005220CE" w:rsidRPr="00E76E89">
        <w:t>darinių</w:t>
      </w:r>
      <w:r w:rsidRPr="00E76E89">
        <w:t xml:space="preserve">. Okupuota teritorija nėra laikoma ją užėmusios valstybės teritorijos dalimi, joje įvedama </w:t>
      </w:r>
      <w:r w:rsidRPr="00E76E89">
        <w:lastRenderedPageBreak/>
        <w:t xml:space="preserve">laikina okupanto valdžia ir laikinai suspenduojamas okupuotos valstybės suverenitetas. Tarptautinėje teisėje okupacijos pabaiga siejama su dviejų sąlygų įvykdymu: išvedama okupuojančios valstybės kariuomenė arba okupuojančios valstybės kariuomenė lieka dislokuota nepriklausomų vietinės valdžios institucijų sutikimu. Vietinės anksčiau okupuotos teritorijos institucijos perima faktines valdžios ir valdymo funkcijas. Skirtumas tarp okupacijos ir aneksijos – aneksijos metu okupuojančios valstybės suverenitetas užimtoms teritorijoms įtvirtinamas ne tik </w:t>
      </w:r>
      <w:r w:rsidRPr="00E76E89">
        <w:rPr>
          <w:i/>
        </w:rPr>
        <w:t>de facto</w:t>
      </w:r>
      <w:r w:rsidR="00C96771" w:rsidRPr="00E76E89">
        <w:t xml:space="preserve"> (faktiškai)</w:t>
      </w:r>
      <w:r w:rsidRPr="00E76E89">
        <w:t xml:space="preserve">, bet ir </w:t>
      </w:r>
      <w:r w:rsidRPr="00E76E89">
        <w:rPr>
          <w:i/>
        </w:rPr>
        <w:t>de jure</w:t>
      </w:r>
      <w:r w:rsidR="00C96771" w:rsidRPr="00E76E89">
        <w:t xml:space="preserve"> (teisiškai)</w:t>
      </w:r>
      <w:r w:rsidRPr="00E76E89">
        <w:t xml:space="preserve">. Nagrinėjamu atveju TSRS įvykdytos Lietuvos aneksijos niekada nepripažino nė viena </w:t>
      </w:r>
      <w:r w:rsidR="002745A1" w:rsidRPr="00E76E89">
        <w:t>V</w:t>
      </w:r>
      <w:r w:rsidRPr="00E76E89">
        <w:t xml:space="preserve">akarų valstybė, išskyrus Švediją. Teismas nuosprendžio nustatomojoje dalyje nenurodė, kad </w:t>
      </w:r>
      <w:r w:rsidR="006036E7" w:rsidRPr="00E76E89">
        <w:t>V. S. 3</w:t>
      </w:r>
      <w:r w:rsidRPr="00E76E89">
        <w:t xml:space="preserve"> ir kiti kaltinamieji padarė inkriminuotas nusikalstamas veikas okupacijos arba aneksijos metu. Teismas padarė išvadą, kad Lietuvos okupacijos ir aneksijos tęsimas peraugo į atvirą TSRS agresiją, kurios metu buvo vykdomi civilių asmenų užpuolimai, žalojimai, nužudymai, neteisėti sulaikymai. Taigi teismas padarė išvadą, kad prieš Lietuvą buvo vykdoma agresija. Nors kalt</w:t>
      </w:r>
      <w:r w:rsidR="0043571F" w:rsidRPr="00E76E89">
        <w:t>inime pagal BK 103 straipsnio 1 </w:t>
      </w:r>
      <w:r w:rsidRPr="00E76E89">
        <w:t xml:space="preserve">dalį nuteistiesiems inkriminuojamas kitų nusikaltimų padarymas agresijos metu, tačiau agresija negali būti prilyginama ginkluotam konfliktui. Agresijos metu padaryti nusikaltimai gali būti padaromi tik specialaus subjekto, kuriam </w:t>
      </w:r>
      <w:r w:rsidR="006036E7" w:rsidRPr="00E76E89">
        <w:t>V. S. 3</w:t>
      </w:r>
      <w:r w:rsidRPr="00E76E89">
        <w:t xml:space="preserve"> negali būti priskirtas. Tarptautinėje teisėje agresijos subjektais pripažįstami tik valstybių vadovai bei politiniai lyderiai, turintys pakankamus įgalinimus inicijuoti agresijos aktus. Todėl </w:t>
      </w:r>
      <w:r w:rsidR="006036E7" w:rsidRPr="00E76E89">
        <w:t>V. S. 3</w:t>
      </w:r>
      <w:r w:rsidRPr="00E76E89">
        <w:t xml:space="preserve"> nepagrįstai nuteistas už agresijos rėmimą. Gynėjos teigimu, teismas netinkamai aiškino agr</w:t>
      </w:r>
      <w:r w:rsidR="0043571F" w:rsidRPr="00E76E89">
        <w:t>esiją apibrėžiančias tarptautinės teisė</w:t>
      </w:r>
      <w:r w:rsidRPr="00E76E89">
        <w:t>s normas, nes bauginimo ir teroro priemonių panaudojimas prieš humanitarinės teisės saugomus asmenis apibūdina ne agresiją, o karo nusikaltimus (1949 m.</w:t>
      </w:r>
      <w:r w:rsidR="00DD1A27" w:rsidRPr="00E76E89">
        <w:t> </w:t>
      </w:r>
      <w:r w:rsidR="00171173" w:rsidRPr="00E76E89">
        <w:t>rugpjūčio 12</w:t>
      </w:r>
      <w:r w:rsidR="00C8385E" w:rsidRPr="00E76E89">
        <w:t> </w:t>
      </w:r>
      <w:r w:rsidR="00171173" w:rsidRPr="00E76E89">
        <w:t>d.</w:t>
      </w:r>
      <w:r w:rsidRPr="00E76E89">
        <w:t xml:space="preserve"> Ženevos konvencijos </w:t>
      </w:r>
      <w:r w:rsidR="00171173" w:rsidRPr="00E76E89">
        <w:t>dė</w:t>
      </w:r>
      <w:r w:rsidR="00C96771" w:rsidRPr="00E76E89">
        <w:t>l civilių apsaugos karo metu 33 </w:t>
      </w:r>
      <w:r w:rsidR="00171173" w:rsidRPr="00E76E89">
        <w:t>straipsnis, taip pat 1949 m. rugpjūčio </w:t>
      </w:r>
      <w:r w:rsidR="00D76BE4" w:rsidRPr="00E76E89">
        <w:t>12 d. Ženevos konvencijų I-ojo P</w:t>
      </w:r>
      <w:r w:rsidR="00171173" w:rsidRPr="00E76E89">
        <w:t>apildomo protokolo 51 straipsnis ir II-ojo</w:t>
      </w:r>
      <w:r w:rsidR="00D76BE4" w:rsidRPr="00E76E89">
        <w:t xml:space="preserve"> P</w:t>
      </w:r>
      <w:r w:rsidRPr="00E76E89">
        <w:t>apildomo protokolo 13 straipsnis). Kaip minėta, nagrinėjamu atveju karo, ginkluoto konflikto ar okupacijos padėtis inkriminuojamų nusikaltimų padarymo metu nebuvo nustatyta</w:t>
      </w:r>
      <w:r w:rsidRPr="00C00255">
        <w:rPr>
          <w:szCs w:val="24"/>
        </w:rPr>
        <w:t>.</w:t>
      </w:r>
    </w:p>
    <w:p w:rsidR="0081523B" w:rsidRPr="00C00255" w:rsidRDefault="0081523B" w:rsidP="00321748">
      <w:pPr>
        <w:pStyle w:val="ListParagraph"/>
        <w:numPr>
          <w:ilvl w:val="1"/>
          <w:numId w:val="6"/>
        </w:numPr>
        <w:spacing w:before="120" w:after="120"/>
        <w:ind w:left="992" w:hanging="992"/>
        <w:contextualSpacing w:val="0"/>
        <w:rPr>
          <w:szCs w:val="24"/>
        </w:rPr>
      </w:pPr>
      <w:r w:rsidRPr="00E76E89">
        <w:rPr>
          <w:szCs w:val="24"/>
        </w:rPr>
        <w:t xml:space="preserve">Skunde nurodoma, kad TSRS prezidentas </w:t>
      </w:r>
      <w:r w:rsidR="00DD1A27" w:rsidRPr="00E76E89">
        <w:rPr>
          <w:szCs w:val="24"/>
        </w:rPr>
        <w:t>M. G.</w:t>
      </w:r>
      <w:r w:rsidRPr="00E76E89">
        <w:rPr>
          <w:szCs w:val="24"/>
        </w:rPr>
        <w:t xml:space="preserve"> </w:t>
      </w:r>
      <w:r w:rsidR="00970DB0" w:rsidRPr="00E76E89">
        <w:rPr>
          <w:szCs w:val="24"/>
        </w:rPr>
        <w:t>1990 metais kreipėsi į Lietuvos </w:t>
      </w:r>
      <w:r w:rsidRPr="00E76E89">
        <w:rPr>
          <w:szCs w:val="24"/>
        </w:rPr>
        <w:t xml:space="preserve">Aukščiausiąją Tarybą bei pagrasino imtis priemonių atkurti TSRS santvarką, tačiau dėl iki šiol nepaaiškinamų priežasčių </w:t>
      </w:r>
      <w:r w:rsidR="00DD1A27" w:rsidRPr="00E76E89">
        <w:rPr>
          <w:szCs w:val="24"/>
        </w:rPr>
        <w:t>M. G.</w:t>
      </w:r>
      <w:r w:rsidRPr="00E76E89">
        <w:rPr>
          <w:szCs w:val="24"/>
        </w:rPr>
        <w:t xml:space="preserve">, kaip dar tuo metu ir TSRS vyriausiajam kariuomenės vadui, įtarimai (kaltinimai) šioje byloje </w:t>
      </w:r>
      <w:r w:rsidR="00B87ED3" w:rsidRPr="00E76E89">
        <w:rPr>
          <w:szCs w:val="24"/>
        </w:rPr>
        <w:t>nei dėl agresijos, nei dėl kitų</w:t>
      </w:r>
      <w:r w:rsidRPr="00E76E89">
        <w:rPr>
          <w:szCs w:val="24"/>
        </w:rPr>
        <w:t xml:space="preserve"> nusikaltimų pareikšti taip ir nebuvo</w:t>
      </w:r>
      <w:r w:rsidRPr="00C00255">
        <w:rPr>
          <w:szCs w:val="24"/>
        </w:rPr>
        <w:t>.</w:t>
      </w:r>
    </w:p>
    <w:p w:rsidR="0081523B" w:rsidRPr="00C00255" w:rsidRDefault="0081523B" w:rsidP="00321748">
      <w:pPr>
        <w:pStyle w:val="ListParagraph"/>
        <w:numPr>
          <w:ilvl w:val="1"/>
          <w:numId w:val="6"/>
        </w:numPr>
        <w:spacing w:before="120" w:after="120"/>
        <w:ind w:left="992" w:hanging="992"/>
        <w:contextualSpacing w:val="0"/>
        <w:rPr>
          <w:rStyle w:val="CharStyle83"/>
          <w:b w:val="0"/>
          <w:bCs w:val="0"/>
          <w:sz w:val="24"/>
          <w:szCs w:val="24"/>
          <w:shd w:val="clear" w:color="auto" w:fill="auto"/>
        </w:rPr>
      </w:pPr>
      <w:r w:rsidRPr="00E76E89">
        <w:t>Už karo nusikaltimus asmuo gali būti nuteistas tik tuomet, kai nustatoma, kad jis žinojo apie karinį puolimą, numatė galim</w:t>
      </w:r>
      <w:r w:rsidR="002745A1" w:rsidRPr="00E76E89">
        <w:t>u</w:t>
      </w:r>
      <w:r w:rsidRPr="00E76E89">
        <w:t>s jo nusikalstamų veikų pa</w:t>
      </w:r>
      <w:r w:rsidR="002745A1" w:rsidRPr="00E76E89">
        <w:t>darinius</w:t>
      </w:r>
      <w:r w:rsidRPr="00E76E89">
        <w:t xml:space="preserve"> ir jų norėjo. Šiuo atveju nenustatytas būtinas BK 111 ir 112 straipsn</w:t>
      </w:r>
      <w:r w:rsidR="00C8385E" w:rsidRPr="00E76E89">
        <w:t>iuose</w:t>
      </w:r>
      <w:r w:rsidRPr="00E76E89">
        <w:t xml:space="preserve"> numatytų nusikaltimų požymis – tyčia daryti karo nusikaltimus. </w:t>
      </w:r>
      <w:r w:rsidR="006036E7" w:rsidRPr="00E76E89">
        <w:t>V. S. 3</w:t>
      </w:r>
      <w:r w:rsidRPr="00E76E89">
        <w:t xml:space="preserve"> negalėjo suprasti, žinoti ir numanyti, kad užduoties vykdymas sukels toki</w:t>
      </w:r>
      <w:r w:rsidR="002745A1" w:rsidRPr="00E76E89">
        <w:t>us padarinius</w:t>
      </w:r>
      <w:r w:rsidRPr="00E76E89">
        <w:t>. Iš apklaustų kariškių parodymų matyti, kad kariškai negavo įsakymų šaudyti civilius bei juos žaloti, o šaudė spontaniškai. Tai įrodo, kad visų skaudžių pa</w:t>
      </w:r>
      <w:r w:rsidR="002745A1" w:rsidRPr="00E76E89">
        <w:t>darinių</w:t>
      </w:r>
      <w:r w:rsidRPr="00E76E89">
        <w:t xml:space="preserve"> </w:t>
      </w:r>
      <w:r w:rsidR="006036E7" w:rsidRPr="00E76E89">
        <w:t>V. S. 3</w:t>
      </w:r>
      <w:r w:rsidRPr="00E76E89">
        <w:t xml:space="preserve"> numanyti tikrai negalėjo, tuo labiau veikti kartu, tyčia siek</w:t>
      </w:r>
      <w:r w:rsidR="00FE7404" w:rsidRPr="00E76E89">
        <w:t>damas</w:t>
      </w:r>
      <w:r w:rsidRPr="00E76E89">
        <w:t xml:space="preserve"> tokių pa</w:t>
      </w:r>
      <w:r w:rsidR="002745A1" w:rsidRPr="00E76E89">
        <w:t>darinių</w:t>
      </w:r>
      <w:r w:rsidRPr="00E76E89">
        <w:t xml:space="preserve">. Gynėjos teigimu, </w:t>
      </w:r>
      <w:r w:rsidR="006036E7" w:rsidRPr="00E76E89">
        <w:t>V. S. 3</w:t>
      </w:r>
      <w:r w:rsidRPr="00E76E89">
        <w:t xml:space="preserve"> nepagrįstai pritaikyta kolektyvinė atsakomybė už kitų kariškių veiksmais padarytus sveikatos sužalojimus civiliams, jų nužudymą. Pasak gynėjos, </w:t>
      </w:r>
      <w:r w:rsidR="006036E7" w:rsidRPr="00E76E89">
        <w:t>V. S. 3</w:t>
      </w:r>
      <w:r w:rsidRPr="00E76E89">
        <w:t xml:space="preserve"> nepriklausė </w:t>
      </w:r>
      <w:r w:rsidR="00DE3B19" w:rsidRPr="00E76E89">
        <w:t>„</w:t>
      </w:r>
      <w:r w:rsidRPr="00E76E89">
        <w:t>A</w:t>
      </w:r>
      <w:r w:rsidR="00DE3B19" w:rsidRPr="00E76E89">
        <w:t>“</w:t>
      </w:r>
      <w:r w:rsidRPr="00E76E89">
        <w:t xml:space="preserve"> grupės mokomosios specialios</w:t>
      </w:r>
      <w:r w:rsidR="00560E9C" w:rsidRPr="00E76E89">
        <w:t>ios</w:t>
      </w:r>
      <w:r w:rsidRPr="00E76E89">
        <w:t xml:space="preserve"> paskirties kuopos kariškiams. Kaltinimas </w:t>
      </w:r>
      <w:r w:rsidR="006036E7" w:rsidRPr="00E76E89">
        <w:t>V. S. 3</w:t>
      </w:r>
      <w:r w:rsidRPr="00E76E89">
        <w:t xml:space="preserve"> neindividualizuotas, nurodyti apibendrinti visiems kariškiams inkriminuojami veiksmai. Gynėja skunde atkreipia dėmesį į </w:t>
      </w:r>
      <w:r w:rsidR="006A642D" w:rsidRPr="00E76E89">
        <w:t xml:space="preserve">išvadas, padarytas </w:t>
      </w:r>
      <w:r w:rsidR="00DD1A27" w:rsidRPr="00E76E89">
        <w:t>(duomenys neskelbtini)</w:t>
      </w:r>
      <w:r w:rsidR="00B87ED3" w:rsidRPr="00E76E89">
        <w:t xml:space="preserve"> teismo, kuris</w:t>
      </w:r>
      <w:r w:rsidRPr="00E76E89">
        <w:t>, remdamasis tarptautin</w:t>
      </w:r>
      <w:r w:rsidR="00FE7404" w:rsidRPr="00E76E89">
        <w:t>ės</w:t>
      </w:r>
      <w:r w:rsidRPr="00E76E89">
        <w:t xml:space="preserve"> teisės principu – teisiami karo vadai, o ne vykdytojai, atmetė Lietuvos Respublikos prašymą dėl </w:t>
      </w:r>
      <w:r w:rsidR="006036E7" w:rsidRPr="00E76E89">
        <w:t>V. K. 2</w:t>
      </w:r>
      <w:r w:rsidRPr="00E76E89">
        <w:t xml:space="preserve"> ekstradicijos.</w:t>
      </w:r>
      <w:r w:rsidR="00DD1A27" w:rsidRPr="00E76E89">
        <w:t xml:space="preserve"> (duomenys neskelbtini)</w:t>
      </w:r>
      <w:r w:rsidRPr="00E76E89">
        <w:t xml:space="preserve"> </w:t>
      </w:r>
      <w:r w:rsidR="002745A1" w:rsidRPr="00E76E89">
        <w:t>g</w:t>
      </w:r>
      <w:r w:rsidRPr="00E76E89">
        <w:t xml:space="preserve">eneralinis prokuroras taip pat paprašė teismo panaikinti bet kokią kardomąją priemonę </w:t>
      </w:r>
      <w:r w:rsidR="006036E7" w:rsidRPr="00E76E89">
        <w:t>V. K. 2</w:t>
      </w:r>
      <w:r w:rsidRPr="00E76E89">
        <w:t xml:space="preserve">. </w:t>
      </w:r>
      <w:r w:rsidR="00DD1A27" w:rsidRPr="00E76E89">
        <w:t xml:space="preserve">(duomenys neskelbtini) </w:t>
      </w:r>
      <w:r w:rsidRPr="00E76E89">
        <w:t xml:space="preserve">teismo nutartyje taip pat nurodyta, kad puolime, kuriam vadovavo </w:t>
      </w:r>
      <w:r w:rsidR="00385BC9" w:rsidRPr="00E76E89">
        <w:t>V. S. 2</w:t>
      </w:r>
      <w:r w:rsidRPr="00E76E89">
        <w:t>, dalyvavo visas 76-osios divizijos 234</w:t>
      </w:r>
      <w:r w:rsidR="00DD2DC5" w:rsidRPr="00E76E89">
        <w:t>-ojo</w:t>
      </w:r>
      <w:r w:rsidRPr="00E76E89">
        <w:t xml:space="preserve"> pulko 3</w:t>
      </w:r>
      <w:r w:rsidR="00DD2DC5" w:rsidRPr="00E76E89">
        <w:t>-</w:t>
      </w:r>
      <w:r w:rsidR="0073668D" w:rsidRPr="00E76E89">
        <w:t>i</w:t>
      </w:r>
      <w:r w:rsidR="00DD2DC5" w:rsidRPr="00E76E89">
        <w:t>ojo</w:t>
      </w:r>
      <w:r w:rsidRPr="00E76E89">
        <w:t xml:space="preserve"> bataliono </w:t>
      </w:r>
      <w:r w:rsidRPr="00E76E89">
        <w:lastRenderedPageBreak/>
        <w:t xml:space="preserve">kontingentas ir kaltinime nėra </w:t>
      </w:r>
      <w:r w:rsidR="002745A1" w:rsidRPr="00E76E89">
        <w:t>nurodyti</w:t>
      </w:r>
      <w:r w:rsidRPr="00E76E89">
        <w:t xml:space="preserve"> konkrečiai leitenantui </w:t>
      </w:r>
      <w:r w:rsidR="006036E7" w:rsidRPr="00E76E89">
        <w:t>V. K. 2</w:t>
      </w:r>
      <w:r w:rsidRPr="00E76E89">
        <w:t xml:space="preserve"> priskirtini veiksmai, dėl kurių nukentėjusiesiems buvo padaryti sveikatos sutrikdymai, o užimant TV bokštą </w:t>
      </w:r>
      <w:r w:rsidR="006036E7" w:rsidRPr="00E76E89">
        <w:t>V. K. 2</w:t>
      </w:r>
      <w:r w:rsidRPr="00E76E89">
        <w:t xml:space="preserve"> vadovaujamas būrys turėjo išjungti priešgaisrinę sistemą 19 aukšte, t.</w:t>
      </w:r>
      <w:r w:rsidR="002745A1" w:rsidRPr="00E76E89">
        <w:t> </w:t>
      </w:r>
      <w:r w:rsidRPr="00E76E89">
        <w:t xml:space="preserve">y. jokie prievartos veiksmai prieš asmenis jam nepriskirtini. Dėl to teismas konstatavo, kad leitenantas majoras </w:t>
      </w:r>
      <w:r w:rsidR="006036E7" w:rsidRPr="00E76E89">
        <w:t>V. K. 2</w:t>
      </w:r>
      <w:r w:rsidRPr="00E76E89">
        <w:t xml:space="preserve"> negali būti traukiamas baudžiamojon atsakomybėn net ir už bendrai visos 76-osios divizijos įvairiuose strateginiuose punktuose atliktus veiksmus. Pagal Italijos jurisdikciją kareivis visuomet gali būti atleistas nuo atsakomybės dėl to, kad vykdė viršininko įsakymą, nes nė vienu atveju negalima daryti prielaidos, kad buvo padarytas nusikaltimas žmo</w:t>
      </w:r>
      <w:r w:rsidR="005E6CFE" w:rsidRPr="00E76E89">
        <w:t>niškumui</w:t>
      </w:r>
      <w:r w:rsidRPr="00E76E89">
        <w:t xml:space="preserve"> arba karo nusikaltimas.</w:t>
      </w:r>
    </w:p>
    <w:p w:rsidR="0081523B" w:rsidRPr="00C00255" w:rsidRDefault="0081523B" w:rsidP="00321748">
      <w:pPr>
        <w:pStyle w:val="ListParagraph"/>
        <w:numPr>
          <w:ilvl w:val="1"/>
          <w:numId w:val="6"/>
        </w:numPr>
        <w:spacing w:before="120" w:after="120"/>
        <w:ind w:left="992" w:hanging="992"/>
        <w:contextualSpacing w:val="0"/>
        <w:rPr>
          <w:szCs w:val="24"/>
        </w:rPr>
      </w:pPr>
      <w:r w:rsidRPr="00E76E89">
        <w:rPr>
          <w:szCs w:val="24"/>
        </w:rPr>
        <w:t>Įvykio metu galiojusiame 1961 m. BK buvo numatyta baudžiamoji at</w:t>
      </w:r>
      <w:r w:rsidR="00C96771" w:rsidRPr="00E76E89">
        <w:rPr>
          <w:szCs w:val="24"/>
        </w:rPr>
        <w:t xml:space="preserve">sakomybė už įsakymo nevykdymą (1961 m. BK </w:t>
      </w:r>
      <w:r w:rsidRPr="00E76E89">
        <w:rPr>
          <w:szCs w:val="24"/>
        </w:rPr>
        <w:t>253 straipsnis) ir savavališką pasitraukimą iš kautynių lauko ar</w:t>
      </w:r>
      <w:r w:rsidR="00C96771" w:rsidRPr="00E76E89">
        <w:rPr>
          <w:szCs w:val="24"/>
        </w:rPr>
        <w:t xml:space="preserve">ba atsisakymą veikti ginklu (1961 m. BK </w:t>
      </w:r>
      <w:r w:rsidRPr="00E76E89">
        <w:rPr>
          <w:szCs w:val="24"/>
        </w:rPr>
        <w:t xml:space="preserve">277 straipsnis), už pastarojo nusikaltimo padarymą karys buvo baudžiamas mirties bausme arba laisvės atėmimu iki penkiolikos metų. Taigi nevykdydamas įsakymo, </w:t>
      </w:r>
      <w:r w:rsidR="006036E7" w:rsidRPr="00E76E89">
        <w:rPr>
          <w:szCs w:val="24"/>
        </w:rPr>
        <w:t>V. S. 3</w:t>
      </w:r>
      <w:r w:rsidRPr="00E76E89">
        <w:rPr>
          <w:szCs w:val="24"/>
        </w:rPr>
        <w:t xml:space="preserve"> sulauktų </w:t>
      </w:r>
      <w:r w:rsidR="00FE7404" w:rsidRPr="00E76E89">
        <w:rPr>
          <w:szCs w:val="24"/>
        </w:rPr>
        <w:t>itin</w:t>
      </w:r>
      <w:r w:rsidRPr="00E76E89">
        <w:rPr>
          <w:szCs w:val="24"/>
        </w:rPr>
        <w:t xml:space="preserve"> neigiamų padarinių</w:t>
      </w:r>
      <w:r w:rsidRPr="00C00255">
        <w:rPr>
          <w:szCs w:val="24"/>
        </w:rPr>
        <w:t>.</w:t>
      </w:r>
    </w:p>
    <w:p w:rsidR="0081523B" w:rsidRPr="00C00255" w:rsidRDefault="0081523B" w:rsidP="00321748">
      <w:pPr>
        <w:pStyle w:val="ListParagraph"/>
        <w:numPr>
          <w:ilvl w:val="1"/>
          <w:numId w:val="6"/>
        </w:numPr>
        <w:spacing w:before="120" w:after="120"/>
        <w:ind w:left="992" w:hanging="992"/>
        <w:contextualSpacing w:val="0"/>
        <w:rPr>
          <w:rStyle w:val="CharStyle25"/>
          <w:szCs w:val="24"/>
          <w:shd w:val="clear" w:color="auto" w:fill="auto"/>
        </w:rPr>
      </w:pPr>
      <w:r w:rsidRPr="00E76E89">
        <w:rPr>
          <w:rStyle w:val="CharStyle25"/>
          <w:color w:val="000000"/>
          <w:szCs w:val="24"/>
          <w:lang w:eastAsia="lt-LT"/>
        </w:rPr>
        <w:t xml:space="preserve">BPK </w:t>
      </w:r>
      <w:r w:rsidRPr="00E76E89">
        <w:rPr>
          <w:rStyle w:val="CharStyle25"/>
          <w:color w:val="000000"/>
          <w:szCs w:val="24"/>
        </w:rPr>
        <w:t xml:space="preserve">1, 2 </w:t>
      </w:r>
      <w:r w:rsidRPr="00E76E89">
        <w:rPr>
          <w:rStyle w:val="CharStyle25"/>
          <w:color w:val="000000"/>
          <w:szCs w:val="24"/>
          <w:lang w:eastAsia="lt-LT"/>
        </w:rPr>
        <w:t xml:space="preserve">straipsniuose, </w:t>
      </w:r>
      <w:r w:rsidRPr="00E76E89">
        <w:rPr>
          <w:rStyle w:val="CharStyle25"/>
          <w:color w:val="000000"/>
          <w:szCs w:val="24"/>
        </w:rPr>
        <w:t xml:space="preserve">44 </w:t>
      </w:r>
      <w:r w:rsidRPr="00E76E89">
        <w:rPr>
          <w:rStyle w:val="CharStyle25"/>
          <w:color w:val="000000"/>
          <w:szCs w:val="24"/>
          <w:lang w:eastAsia="lt-LT"/>
        </w:rPr>
        <w:t xml:space="preserve">straipsnio </w:t>
      </w:r>
      <w:r w:rsidRPr="00E76E89">
        <w:rPr>
          <w:rStyle w:val="CharStyle25"/>
          <w:color w:val="000000"/>
          <w:szCs w:val="24"/>
        </w:rPr>
        <w:t xml:space="preserve">6 </w:t>
      </w:r>
      <w:r w:rsidRPr="00E76E89">
        <w:rPr>
          <w:rStyle w:val="CharStyle25"/>
          <w:color w:val="000000"/>
          <w:szCs w:val="24"/>
          <w:lang w:eastAsia="lt-LT"/>
        </w:rPr>
        <w:t xml:space="preserve">dalyje, Konstitucijos </w:t>
      </w:r>
      <w:r w:rsidRPr="00E76E89">
        <w:rPr>
          <w:rStyle w:val="CharStyle25"/>
          <w:color w:val="000000"/>
          <w:szCs w:val="24"/>
        </w:rPr>
        <w:t xml:space="preserve">31 </w:t>
      </w:r>
      <w:r w:rsidRPr="00E76E89">
        <w:rPr>
          <w:rStyle w:val="CharStyle25"/>
          <w:color w:val="000000"/>
          <w:szCs w:val="24"/>
          <w:lang w:eastAsia="lt-LT"/>
        </w:rPr>
        <w:t xml:space="preserve">straipsnio </w:t>
      </w:r>
      <w:r w:rsidRPr="00E76E89">
        <w:rPr>
          <w:rStyle w:val="CharStyle25"/>
          <w:color w:val="000000"/>
          <w:szCs w:val="24"/>
        </w:rPr>
        <w:t xml:space="preserve">1 </w:t>
      </w:r>
      <w:r w:rsidRPr="00E76E89">
        <w:rPr>
          <w:rStyle w:val="CharStyle25"/>
          <w:color w:val="000000"/>
          <w:szCs w:val="24"/>
          <w:lang w:eastAsia="lt-LT"/>
        </w:rPr>
        <w:t xml:space="preserve">dalyje ir </w:t>
      </w:r>
      <w:r w:rsidR="00491A27" w:rsidRPr="00E76E89">
        <w:rPr>
          <w:szCs w:val="24"/>
        </w:rPr>
        <w:t>EŽTK</w:t>
      </w:r>
      <w:r w:rsidR="00491A27" w:rsidRPr="00E76E89">
        <w:rPr>
          <w:rStyle w:val="CharStyle25"/>
          <w:color w:val="000000"/>
          <w:szCs w:val="24"/>
          <w:lang w:eastAsia="lt-LT"/>
        </w:rPr>
        <w:t> </w:t>
      </w:r>
      <w:r w:rsidRPr="00E76E89">
        <w:rPr>
          <w:rStyle w:val="CharStyle25"/>
          <w:color w:val="000000"/>
          <w:szCs w:val="24"/>
        </w:rPr>
        <w:t>6</w:t>
      </w:r>
      <w:r w:rsidR="00491A27" w:rsidRPr="00E76E89">
        <w:rPr>
          <w:rStyle w:val="CharStyle103"/>
          <w:color w:val="000000"/>
          <w:sz w:val="24"/>
          <w:szCs w:val="24"/>
        </w:rPr>
        <w:t> </w:t>
      </w:r>
      <w:r w:rsidRPr="00E76E89">
        <w:rPr>
          <w:rStyle w:val="CharStyle103"/>
          <w:color w:val="000000"/>
          <w:sz w:val="24"/>
          <w:szCs w:val="24"/>
        </w:rPr>
        <w:t>straipsnio</w:t>
      </w:r>
      <w:r w:rsidRPr="00E76E89">
        <w:rPr>
          <w:rStyle w:val="CharStyle25"/>
          <w:color w:val="000000"/>
          <w:szCs w:val="24"/>
          <w:lang w:eastAsia="lt-LT"/>
        </w:rPr>
        <w:t xml:space="preserve"> </w:t>
      </w:r>
      <w:r w:rsidRPr="00E76E89">
        <w:rPr>
          <w:rStyle w:val="CharStyle25"/>
          <w:color w:val="000000"/>
          <w:szCs w:val="24"/>
        </w:rPr>
        <w:t xml:space="preserve">2 </w:t>
      </w:r>
      <w:r w:rsidRPr="00E76E89">
        <w:rPr>
          <w:rStyle w:val="CharStyle25"/>
          <w:color w:val="000000"/>
          <w:szCs w:val="24"/>
          <w:lang w:eastAsia="lt-LT"/>
        </w:rPr>
        <w:t>dalyje įtvirtintas nekaltumo prezumpcijos princi</w:t>
      </w:r>
      <w:r w:rsidR="00E508EB" w:rsidRPr="00E76E89">
        <w:rPr>
          <w:rStyle w:val="CharStyle25"/>
          <w:color w:val="000000"/>
          <w:szCs w:val="24"/>
          <w:lang w:eastAsia="lt-LT"/>
        </w:rPr>
        <w:t>pas ir teismo pareiga vadovau</w:t>
      </w:r>
      <w:r w:rsidRPr="00E76E89">
        <w:rPr>
          <w:rStyle w:val="CharStyle25"/>
          <w:color w:val="000000"/>
          <w:szCs w:val="24"/>
          <w:lang w:eastAsia="lt-LT"/>
        </w:rPr>
        <w:t>tis</w:t>
      </w:r>
      <w:r w:rsidRPr="00E76E89">
        <w:rPr>
          <w:rStyle w:val="CharStyle100"/>
          <w:color w:val="000000"/>
          <w:sz w:val="24"/>
          <w:szCs w:val="24"/>
          <w:lang w:eastAsia="lt-LT"/>
        </w:rPr>
        <w:t xml:space="preserve"> </w:t>
      </w:r>
      <w:r w:rsidRPr="00E76E89">
        <w:rPr>
          <w:rStyle w:val="CharStyle100"/>
          <w:color w:val="000000"/>
          <w:sz w:val="24"/>
          <w:szCs w:val="24"/>
        </w:rPr>
        <w:t xml:space="preserve">in </w:t>
      </w:r>
      <w:r w:rsidRPr="00E76E89">
        <w:rPr>
          <w:rStyle w:val="CharStyle100"/>
          <w:color w:val="000000"/>
          <w:sz w:val="24"/>
          <w:szCs w:val="24"/>
          <w:lang w:eastAsia="lt-LT"/>
        </w:rPr>
        <w:t>dubio pro reo</w:t>
      </w:r>
      <w:r w:rsidRPr="00E76E89">
        <w:rPr>
          <w:rStyle w:val="CharStyle25"/>
          <w:color w:val="000000"/>
          <w:szCs w:val="24"/>
          <w:lang w:eastAsia="lt-LT"/>
        </w:rPr>
        <w:t xml:space="preserve"> principu, kuris reiškia, kad visos abejonės aiškintinos kaltinamojo naudai. Gynėjos teigimu, esant abejonėms, nepakankamai įrodymų ir nesant galimybių abejones pašalinti, </w:t>
      </w:r>
      <w:r w:rsidR="006036E7" w:rsidRPr="00E76E89">
        <w:rPr>
          <w:rStyle w:val="CharStyle103"/>
          <w:color w:val="000000"/>
          <w:sz w:val="24"/>
          <w:szCs w:val="24"/>
        </w:rPr>
        <w:t>V. S. 3</w:t>
      </w:r>
      <w:r w:rsidRPr="00E76E89">
        <w:rPr>
          <w:rStyle w:val="CharStyle25"/>
          <w:color w:val="000000"/>
          <w:szCs w:val="24"/>
          <w:lang w:eastAsia="lt-LT"/>
        </w:rPr>
        <w:t xml:space="preserve"> negalėjo būti pripažintas kaltu padar</w:t>
      </w:r>
      <w:r w:rsidR="00FE7404" w:rsidRPr="00E76E89">
        <w:rPr>
          <w:rStyle w:val="CharStyle25"/>
          <w:color w:val="000000"/>
          <w:szCs w:val="24"/>
          <w:lang w:eastAsia="lt-LT"/>
        </w:rPr>
        <w:t>ęs</w:t>
      </w:r>
      <w:r w:rsidRPr="00E76E89">
        <w:rPr>
          <w:rStyle w:val="CharStyle25"/>
          <w:color w:val="000000"/>
          <w:szCs w:val="24"/>
          <w:lang w:eastAsia="lt-LT"/>
        </w:rPr>
        <w:t xml:space="preserve"> jam inkriminuotas nusikalstamas veikas</w:t>
      </w:r>
      <w:r w:rsidRPr="00C00255">
        <w:rPr>
          <w:rStyle w:val="CharStyle25"/>
          <w:color w:val="000000"/>
          <w:szCs w:val="24"/>
          <w:lang w:eastAsia="lt-LT"/>
        </w:rPr>
        <w:t>.</w:t>
      </w:r>
    </w:p>
    <w:p w:rsidR="0081523B" w:rsidRPr="00C00255" w:rsidRDefault="0081523B" w:rsidP="00321748">
      <w:pPr>
        <w:pStyle w:val="ListParagraph"/>
        <w:numPr>
          <w:ilvl w:val="1"/>
          <w:numId w:val="6"/>
        </w:numPr>
        <w:spacing w:before="120" w:after="120"/>
        <w:ind w:left="992" w:hanging="992"/>
        <w:contextualSpacing w:val="0"/>
        <w:rPr>
          <w:szCs w:val="24"/>
        </w:rPr>
      </w:pPr>
      <w:r w:rsidRPr="00E76E89">
        <w:rPr>
          <w:szCs w:val="24"/>
        </w:rPr>
        <w:t xml:space="preserve">Teismas netinkamai taikė bausmės skyrimo taisykles, nes asmeniui bausmė turi būti diferencijuojama atsižvelgiant į jo vaidmenį, įdėtą indėlį į nusikalstamos grupės veiklą ir pan. Nagrinėjamu atveju teismas vadovavosi nusikalstamos grupės doktrina ir </w:t>
      </w:r>
      <w:r w:rsidR="002745A1" w:rsidRPr="00E76E89">
        <w:rPr>
          <w:szCs w:val="24"/>
        </w:rPr>
        <w:t>per</w:t>
      </w:r>
      <w:r w:rsidR="00A64F38" w:rsidRPr="00E76E89">
        <w:rPr>
          <w:szCs w:val="24"/>
        </w:rPr>
        <w:t>nelyg</w:t>
      </w:r>
      <w:r w:rsidR="002745A1" w:rsidRPr="00E76E89">
        <w:rPr>
          <w:szCs w:val="24"/>
        </w:rPr>
        <w:t xml:space="preserve"> plačiai </w:t>
      </w:r>
      <w:r w:rsidRPr="00E76E89">
        <w:rPr>
          <w:szCs w:val="24"/>
        </w:rPr>
        <w:t>aiškino jos nuostatas</w:t>
      </w:r>
      <w:r w:rsidRPr="00C00255">
        <w:rPr>
          <w:szCs w:val="24"/>
        </w:rPr>
        <w:t>.</w:t>
      </w:r>
    </w:p>
    <w:p w:rsidR="0081523B" w:rsidRPr="00E76E89" w:rsidRDefault="0081523B" w:rsidP="00321748">
      <w:pPr>
        <w:pStyle w:val="ListParagraph"/>
        <w:numPr>
          <w:ilvl w:val="1"/>
          <w:numId w:val="6"/>
        </w:numPr>
        <w:spacing w:before="120" w:after="120"/>
        <w:ind w:left="992" w:hanging="992"/>
        <w:contextualSpacing w:val="0"/>
      </w:pPr>
      <w:r w:rsidRPr="00E76E89">
        <w:t xml:space="preserve">Teismas </w:t>
      </w:r>
      <w:r w:rsidR="006036E7" w:rsidRPr="00E76E89">
        <w:t>V. S. 3</w:t>
      </w:r>
      <w:r w:rsidRPr="00E76E89">
        <w:t xml:space="preserve"> neužtikrino teisės į gynybą ir rungtynišką procesą, nes neleido gynėjai baigiamosiose kalbose ginčyti kaltinimo argumentų. T</w:t>
      </w:r>
      <w:r w:rsidR="00097CA3" w:rsidRPr="00E76E89">
        <w:t>aigi</w:t>
      </w:r>
      <w:r w:rsidRPr="00E76E89">
        <w:t xml:space="preserve"> teismas neužtikrino, kad visos proceso šalys turėtų vienodas sąlygas ir galimybes pasinaudoti proceso šalims įstatyme suteikiamomis priemonėmis, neužtikrino galimybės dalyvauti teisingame procese.</w:t>
      </w:r>
    </w:p>
    <w:p w:rsidR="009522D9" w:rsidRPr="009522D9" w:rsidRDefault="009522D9" w:rsidP="009522D9">
      <w:pPr>
        <w:pStyle w:val="ListParagraph"/>
        <w:numPr>
          <w:ilvl w:val="0"/>
          <w:numId w:val="6"/>
        </w:numPr>
        <w:spacing w:before="120" w:after="120"/>
        <w:ind w:left="992" w:hanging="992"/>
        <w:contextualSpacing w:val="0"/>
        <w:rPr>
          <w:szCs w:val="24"/>
        </w:rPr>
      </w:pPr>
      <w:r w:rsidRPr="009522D9">
        <w:rPr>
          <w:b/>
          <w:szCs w:val="24"/>
        </w:rPr>
        <w:t>Nuteistojo S. P. gynėjas advokatas D.</w:t>
      </w:r>
      <w:r w:rsidRPr="009522D9">
        <w:rPr>
          <w:szCs w:val="24"/>
        </w:rPr>
        <w:t xml:space="preserve"> </w:t>
      </w:r>
      <w:r w:rsidRPr="009522D9">
        <w:rPr>
          <w:b/>
          <w:szCs w:val="24"/>
        </w:rPr>
        <w:t>Karabinas</w:t>
      </w:r>
      <w:r w:rsidRPr="009522D9">
        <w:rPr>
          <w:szCs w:val="24"/>
        </w:rPr>
        <w:t xml:space="preserve"> apeliaciniu skundu prašo panaikinti pirmosios instancijos teismo nuosprendį ir jo ginamąjį išteisinti pagal BK 101 straipsnį, nepadarius jam inkriminuojamos nusikalstamos veikos.</w:t>
      </w:r>
    </w:p>
    <w:p w:rsidR="003408CE" w:rsidRPr="00E76E89" w:rsidRDefault="003408CE" w:rsidP="00321748">
      <w:pPr>
        <w:pStyle w:val="ListParagraph"/>
        <w:numPr>
          <w:ilvl w:val="1"/>
          <w:numId w:val="6"/>
        </w:numPr>
        <w:spacing w:before="120" w:after="120"/>
        <w:ind w:left="992" w:hanging="992"/>
        <w:contextualSpacing w:val="0"/>
        <w:rPr>
          <w:rStyle w:val="CharStyle22"/>
          <w:szCs w:val="24"/>
          <w:shd w:val="clear" w:color="auto" w:fill="auto"/>
        </w:rPr>
      </w:pPr>
      <w:r w:rsidRPr="00E76E89">
        <w:rPr>
          <w:szCs w:val="24"/>
        </w:rPr>
        <w:t xml:space="preserve">Nurodo, kad teismas apkaltinamąjį nuosprendį grindė nepatikimais ir bylos nagrinėjimo </w:t>
      </w:r>
      <w:r w:rsidR="002C298B" w:rsidRPr="00E76E89">
        <w:rPr>
          <w:szCs w:val="24"/>
        </w:rPr>
        <w:t xml:space="preserve">teisme metu nepatikrintais įrodymais, todėl pažeidė BPK 20 straipsnio 1, 3, 4 ir 5 dalių reikalavimus. Iš Pskovo prokuratūros gauti dokumentai atsiųsti ne įstatymų nustatyta tvarka, o liudytojų ir kitų kaltinamųjų parodymai nebuvo patikrinti teisiamojo posėdžio metu, nes jie neiškviesti ir neapklausti. Todėl teismas nepagrįstai jo kaltę grindė </w:t>
      </w:r>
      <w:r w:rsidRPr="00E76E89">
        <w:rPr>
          <w:rStyle w:val="CharStyle22"/>
          <w:color w:val="000000"/>
          <w:szCs w:val="24"/>
          <w:lang w:eastAsia="lt-LT"/>
        </w:rPr>
        <w:t xml:space="preserve">kitų kaltinamųjų </w:t>
      </w:r>
      <w:r w:rsidR="00385BC9" w:rsidRPr="00E76E89">
        <w:rPr>
          <w:rStyle w:val="CharStyle22"/>
          <w:color w:val="000000"/>
          <w:szCs w:val="24"/>
          <w:lang w:eastAsia="lt-LT"/>
        </w:rPr>
        <w:t>J. Č.</w:t>
      </w:r>
      <w:r w:rsidRPr="00E76E89">
        <w:rPr>
          <w:rStyle w:val="CharStyle22"/>
          <w:color w:val="000000"/>
          <w:szCs w:val="24"/>
          <w:lang w:eastAsia="lt-LT"/>
        </w:rPr>
        <w:t xml:space="preserve">, </w:t>
      </w:r>
      <w:r w:rsidR="00A97F74" w:rsidRPr="00E76E89">
        <w:rPr>
          <w:rStyle w:val="CharStyle22"/>
          <w:color w:val="000000"/>
          <w:szCs w:val="24"/>
          <w:lang w:eastAsia="lt-LT"/>
        </w:rPr>
        <w:t>V. R.</w:t>
      </w:r>
      <w:r w:rsidRPr="00E76E89">
        <w:rPr>
          <w:rStyle w:val="CharStyle22"/>
          <w:color w:val="000000"/>
          <w:szCs w:val="24"/>
          <w:lang w:eastAsia="lt-LT"/>
        </w:rPr>
        <w:t xml:space="preserve">, </w:t>
      </w:r>
      <w:r w:rsidR="00DC0414" w:rsidRPr="00E76E89">
        <w:rPr>
          <w:rStyle w:val="CharStyle22"/>
          <w:color w:val="000000"/>
          <w:szCs w:val="24"/>
          <w:lang w:eastAsia="lt-LT"/>
        </w:rPr>
        <w:t>G. P.</w:t>
      </w:r>
      <w:r w:rsidRPr="00E76E89">
        <w:rPr>
          <w:rStyle w:val="CharStyle22"/>
          <w:color w:val="000000"/>
          <w:szCs w:val="24"/>
          <w:lang w:eastAsia="lt-LT"/>
        </w:rPr>
        <w:t xml:space="preserve">, </w:t>
      </w:r>
      <w:r w:rsidR="00A97F74" w:rsidRPr="00E76E89">
        <w:rPr>
          <w:rStyle w:val="CharStyle22"/>
          <w:color w:val="000000"/>
          <w:szCs w:val="24"/>
          <w:lang w:eastAsia="lt-LT"/>
        </w:rPr>
        <w:t>V. Š. 2</w:t>
      </w:r>
      <w:r w:rsidRPr="00E76E89">
        <w:rPr>
          <w:rStyle w:val="CharStyle22"/>
          <w:color w:val="000000"/>
          <w:szCs w:val="24"/>
          <w:lang w:eastAsia="lt-LT"/>
        </w:rPr>
        <w:t xml:space="preserve">, </w:t>
      </w:r>
      <w:r w:rsidR="00DC0414" w:rsidRPr="00E76E89">
        <w:rPr>
          <w:rStyle w:val="CharStyle22"/>
          <w:color w:val="000000"/>
          <w:szCs w:val="24"/>
          <w:lang w:eastAsia="lt-LT"/>
        </w:rPr>
        <w:t>O. M.</w:t>
      </w:r>
      <w:r w:rsidRPr="00E76E89">
        <w:rPr>
          <w:rStyle w:val="CharStyle22"/>
          <w:color w:val="000000"/>
          <w:szCs w:val="24"/>
          <w:lang w:eastAsia="lt-LT"/>
        </w:rPr>
        <w:t xml:space="preserve">, </w:t>
      </w:r>
      <w:r w:rsidR="00A97F74" w:rsidRPr="00E76E89">
        <w:rPr>
          <w:rStyle w:val="CharStyle22"/>
          <w:color w:val="000000"/>
          <w:szCs w:val="24"/>
          <w:lang w:eastAsia="lt-LT"/>
        </w:rPr>
        <w:t>V. M.</w:t>
      </w:r>
      <w:r w:rsidRPr="00E76E89">
        <w:rPr>
          <w:rStyle w:val="CharStyle22"/>
          <w:color w:val="000000"/>
          <w:szCs w:val="24"/>
          <w:lang w:eastAsia="lt-LT"/>
        </w:rPr>
        <w:t xml:space="preserve">, </w:t>
      </w:r>
      <w:r w:rsidR="00DC0414" w:rsidRPr="00E76E89">
        <w:rPr>
          <w:rStyle w:val="CharStyle22"/>
          <w:color w:val="000000"/>
          <w:szCs w:val="24"/>
          <w:lang w:eastAsia="lt-LT"/>
        </w:rPr>
        <w:t>M. C.</w:t>
      </w:r>
      <w:r w:rsidRPr="00E76E89">
        <w:rPr>
          <w:rStyle w:val="CharStyle22"/>
          <w:color w:val="000000"/>
          <w:szCs w:val="24"/>
          <w:lang w:eastAsia="lt-LT"/>
        </w:rPr>
        <w:t xml:space="preserve">, </w:t>
      </w:r>
      <w:r w:rsidR="00C82C9D" w:rsidRPr="00E76E89">
        <w:rPr>
          <w:rStyle w:val="CharStyle22"/>
          <w:color w:val="000000"/>
          <w:szCs w:val="24"/>
          <w:lang w:eastAsia="lt-LT"/>
        </w:rPr>
        <w:t>V. P.</w:t>
      </w:r>
      <w:r w:rsidR="00770B0B" w:rsidRPr="00E76E89">
        <w:rPr>
          <w:rStyle w:val="CharStyle22"/>
          <w:color w:val="000000"/>
          <w:szCs w:val="24"/>
          <w:lang w:eastAsia="lt-LT"/>
        </w:rPr>
        <w:t xml:space="preserve">, </w:t>
      </w:r>
      <w:r w:rsidR="00A97F74" w:rsidRPr="00E76E89">
        <w:rPr>
          <w:rStyle w:val="CharStyle22"/>
          <w:color w:val="000000"/>
          <w:szCs w:val="24"/>
          <w:lang w:eastAsia="lt-LT"/>
        </w:rPr>
        <w:t>N. O.</w:t>
      </w:r>
      <w:r w:rsidR="00770B0B" w:rsidRPr="00E76E89">
        <w:rPr>
          <w:rStyle w:val="CharStyle22"/>
          <w:color w:val="000000"/>
          <w:szCs w:val="24"/>
          <w:lang w:eastAsia="lt-LT"/>
        </w:rPr>
        <w:t xml:space="preserve">, </w:t>
      </w:r>
      <w:r w:rsidR="00C82C9D" w:rsidRPr="00E76E89">
        <w:rPr>
          <w:rStyle w:val="CharStyle22"/>
          <w:color w:val="000000"/>
          <w:szCs w:val="24"/>
          <w:lang w:eastAsia="lt-LT"/>
        </w:rPr>
        <w:t>J. O.</w:t>
      </w:r>
      <w:r w:rsidR="00770B0B" w:rsidRPr="00E76E89">
        <w:rPr>
          <w:rStyle w:val="CharStyle22"/>
          <w:color w:val="000000"/>
          <w:szCs w:val="24"/>
          <w:lang w:eastAsia="lt-LT"/>
        </w:rPr>
        <w:t xml:space="preserve">, </w:t>
      </w:r>
      <w:r w:rsidR="00C82C9D" w:rsidRPr="00E76E89">
        <w:rPr>
          <w:rStyle w:val="CharStyle22"/>
          <w:color w:val="000000"/>
          <w:szCs w:val="24"/>
          <w:lang w:eastAsia="lt-LT"/>
        </w:rPr>
        <w:t>A. U.</w:t>
      </w:r>
      <w:r w:rsidRPr="00E76E89">
        <w:rPr>
          <w:rStyle w:val="CharStyle22"/>
          <w:color w:val="000000"/>
          <w:szCs w:val="24"/>
          <w:lang w:eastAsia="lt-LT"/>
        </w:rPr>
        <w:t xml:space="preserve">, </w:t>
      </w:r>
      <w:r w:rsidR="00A97F74" w:rsidRPr="00E76E89">
        <w:rPr>
          <w:rStyle w:val="CharStyle22"/>
          <w:color w:val="000000"/>
          <w:szCs w:val="24"/>
          <w:lang w:eastAsia="lt-LT"/>
        </w:rPr>
        <w:t>D. F.</w:t>
      </w:r>
      <w:r w:rsidRPr="00E76E89">
        <w:rPr>
          <w:rStyle w:val="CharStyle22"/>
          <w:color w:val="000000"/>
          <w:szCs w:val="24"/>
          <w:lang w:eastAsia="lt-LT"/>
        </w:rPr>
        <w:t xml:space="preserve"> ir liudytojų </w:t>
      </w:r>
      <w:r w:rsidR="00DD1A27" w:rsidRPr="00E76E89">
        <w:rPr>
          <w:rStyle w:val="CharStyle22"/>
          <w:color w:val="000000"/>
          <w:szCs w:val="24"/>
          <w:lang w:eastAsia="lt-LT"/>
        </w:rPr>
        <w:t>O. C., G. P.</w:t>
      </w:r>
      <w:r w:rsidR="00770B0B" w:rsidRPr="00E76E89">
        <w:rPr>
          <w:rStyle w:val="CharStyle22"/>
          <w:color w:val="000000"/>
          <w:szCs w:val="24"/>
          <w:lang w:eastAsia="lt-LT"/>
        </w:rPr>
        <w:t xml:space="preserve">, </w:t>
      </w:r>
      <w:r w:rsidR="00DD1A27" w:rsidRPr="00E76E89">
        <w:rPr>
          <w:rStyle w:val="CharStyle22"/>
          <w:color w:val="000000"/>
          <w:szCs w:val="24"/>
          <w:lang w:eastAsia="lt-LT"/>
        </w:rPr>
        <w:t>V. T.</w:t>
      </w:r>
      <w:r w:rsidR="00770B0B" w:rsidRPr="00E76E89">
        <w:rPr>
          <w:rStyle w:val="CharStyle22"/>
          <w:color w:val="000000"/>
          <w:szCs w:val="24"/>
          <w:lang w:eastAsia="lt-LT"/>
        </w:rPr>
        <w:t xml:space="preserve">, </w:t>
      </w:r>
      <w:r w:rsidR="00DD1A27" w:rsidRPr="00E76E89">
        <w:rPr>
          <w:rStyle w:val="CharStyle22"/>
          <w:color w:val="000000"/>
          <w:szCs w:val="24"/>
          <w:lang w:eastAsia="lt-LT"/>
        </w:rPr>
        <w:t>V. T.</w:t>
      </w:r>
      <w:r w:rsidR="00770B0B" w:rsidRPr="00E76E89">
        <w:rPr>
          <w:rStyle w:val="CharStyle22"/>
          <w:color w:val="000000"/>
          <w:szCs w:val="24"/>
          <w:lang w:eastAsia="lt-LT"/>
        </w:rPr>
        <w:t>, V. N</w:t>
      </w:r>
      <w:r w:rsidR="00DD1A27" w:rsidRPr="00E76E89">
        <w:rPr>
          <w:rStyle w:val="CharStyle22"/>
          <w:color w:val="000000"/>
          <w:szCs w:val="24"/>
          <w:lang w:eastAsia="lt-LT"/>
        </w:rPr>
        <w:t>.</w:t>
      </w:r>
      <w:r w:rsidR="00770B0B" w:rsidRPr="00E76E89">
        <w:rPr>
          <w:rStyle w:val="CharStyle22"/>
          <w:color w:val="000000"/>
          <w:szCs w:val="24"/>
          <w:lang w:eastAsia="lt-LT"/>
        </w:rPr>
        <w:t>, S. </w:t>
      </w:r>
      <w:r w:rsidRPr="00E76E89">
        <w:rPr>
          <w:rStyle w:val="CharStyle22"/>
          <w:color w:val="000000"/>
          <w:szCs w:val="24"/>
          <w:lang w:eastAsia="lt-LT"/>
        </w:rPr>
        <w:t>K</w:t>
      </w:r>
      <w:r w:rsidR="00DD1A27" w:rsidRPr="00E76E89">
        <w:rPr>
          <w:rStyle w:val="CharStyle22"/>
          <w:color w:val="000000"/>
          <w:szCs w:val="24"/>
          <w:lang w:eastAsia="lt-LT"/>
        </w:rPr>
        <w:t>.</w:t>
      </w:r>
      <w:r w:rsidRPr="00E76E89">
        <w:rPr>
          <w:rStyle w:val="CharStyle22"/>
          <w:color w:val="000000"/>
          <w:szCs w:val="24"/>
          <w:lang w:eastAsia="lt-LT"/>
        </w:rPr>
        <w:t xml:space="preserve">, </w:t>
      </w:r>
      <w:r w:rsidR="00DD1A27" w:rsidRPr="00E76E89">
        <w:rPr>
          <w:rStyle w:val="CharStyle22"/>
          <w:color w:val="000000"/>
          <w:szCs w:val="24"/>
          <w:lang w:eastAsia="lt-LT"/>
        </w:rPr>
        <w:t>V. T., D. </w:t>
      </w:r>
      <w:r w:rsidRPr="00E76E89">
        <w:rPr>
          <w:rStyle w:val="CharStyle22"/>
          <w:color w:val="000000"/>
          <w:szCs w:val="24"/>
          <w:lang w:eastAsia="lt-LT"/>
        </w:rPr>
        <w:t>P</w:t>
      </w:r>
      <w:r w:rsidR="00DD1A27" w:rsidRPr="00E76E89">
        <w:rPr>
          <w:rStyle w:val="CharStyle22"/>
          <w:color w:val="000000"/>
          <w:szCs w:val="24"/>
          <w:lang w:eastAsia="lt-LT"/>
        </w:rPr>
        <w:t>.</w:t>
      </w:r>
      <w:r w:rsidRPr="00E76E89">
        <w:rPr>
          <w:rStyle w:val="CharStyle22"/>
          <w:color w:val="000000"/>
          <w:szCs w:val="24"/>
          <w:lang w:eastAsia="lt-LT"/>
        </w:rPr>
        <w:t>, A. Š</w:t>
      </w:r>
      <w:r w:rsidR="00DD1A27" w:rsidRPr="00E76E89">
        <w:rPr>
          <w:rStyle w:val="CharStyle22"/>
          <w:color w:val="000000"/>
          <w:szCs w:val="24"/>
          <w:lang w:eastAsia="lt-LT"/>
        </w:rPr>
        <w:t>.</w:t>
      </w:r>
      <w:r w:rsidRPr="00E76E89">
        <w:rPr>
          <w:rStyle w:val="CharStyle22"/>
          <w:color w:val="000000"/>
          <w:szCs w:val="24"/>
          <w:lang w:eastAsia="lt-LT"/>
        </w:rPr>
        <w:t xml:space="preserve">, </w:t>
      </w:r>
      <w:r w:rsidR="00DD1A27" w:rsidRPr="00E76E89">
        <w:rPr>
          <w:rStyle w:val="CharStyle22"/>
          <w:color w:val="000000"/>
          <w:szCs w:val="24"/>
        </w:rPr>
        <w:t>P. S.</w:t>
      </w:r>
      <w:r w:rsidR="00770B0B" w:rsidRPr="00E76E89">
        <w:rPr>
          <w:rStyle w:val="CharStyle22"/>
          <w:color w:val="000000"/>
          <w:szCs w:val="24"/>
          <w:lang w:eastAsia="lt-LT"/>
        </w:rPr>
        <w:t xml:space="preserve">, </w:t>
      </w:r>
      <w:r w:rsidR="00DD1A27" w:rsidRPr="00E76E89">
        <w:rPr>
          <w:rStyle w:val="CharStyle22"/>
          <w:color w:val="000000"/>
          <w:szCs w:val="24"/>
          <w:lang w:eastAsia="lt-LT"/>
        </w:rPr>
        <w:t>V. C.</w:t>
      </w:r>
      <w:r w:rsidR="00770B0B" w:rsidRPr="00E76E89">
        <w:rPr>
          <w:rStyle w:val="CharStyle22"/>
          <w:color w:val="000000"/>
          <w:szCs w:val="24"/>
          <w:lang w:eastAsia="lt-LT"/>
        </w:rPr>
        <w:t xml:space="preserve">, </w:t>
      </w:r>
      <w:r w:rsidR="00DD1A27" w:rsidRPr="00E76E89">
        <w:rPr>
          <w:rStyle w:val="CharStyle22"/>
          <w:color w:val="000000"/>
          <w:szCs w:val="24"/>
          <w:lang w:eastAsia="lt-LT"/>
        </w:rPr>
        <w:t>A. Š.</w:t>
      </w:r>
      <w:r w:rsidRPr="00E76E89">
        <w:rPr>
          <w:rStyle w:val="CharStyle22"/>
          <w:color w:val="000000"/>
          <w:szCs w:val="24"/>
          <w:lang w:eastAsia="lt-LT"/>
        </w:rPr>
        <w:t xml:space="preserve"> ir kitų parodymais.</w:t>
      </w:r>
      <w:r w:rsidR="00DD1A27" w:rsidRPr="00E76E89">
        <w:rPr>
          <w:rStyle w:val="CharStyle22"/>
          <w:color w:val="000000"/>
          <w:szCs w:val="24"/>
          <w:lang w:eastAsia="lt-LT"/>
        </w:rPr>
        <w:t xml:space="preserve"> </w:t>
      </w:r>
    </w:p>
    <w:p w:rsidR="003408CE" w:rsidRPr="00E76E89" w:rsidRDefault="003408CE" w:rsidP="00321748">
      <w:pPr>
        <w:pStyle w:val="ListParagraph"/>
        <w:numPr>
          <w:ilvl w:val="1"/>
          <w:numId w:val="6"/>
        </w:numPr>
        <w:spacing w:before="120" w:after="120"/>
        <w:ind w:left="992" w:hanging="992"/>
        <w:contextualSpacing w:val="0"/>
        <w:rPr>
          <w:rStyle w:val="CharStyle25"/>
          <w:szCs w:val="24"/>
          <w:shd w:val="clear" w:color="auto" w:fill="auto"/>
        </w:rPr>
      </w:pPr>
      <w:r w:rsidRPr="00E76E89">
        <w:rPr>
          <w:rStyle w:val="CharStyle5"/>
          <w:color w:val="000000"/>
          <w:szCs w:val="24"/>
          <w:lang w:eastAsia="lt-LT"/>
        </w:rPr>
        <w:t xml:space="preserve">Už BK </w:t>
      </w:r>
      <w:r w:rsidRPr="00E76E89">
        <w:rPr>
          <w:rStyle w:val="CharStyle5"/>
          <w:color w:val="000000"/>
          <w:szCs w:val="24"/>
        </w:rPr>
        <w:t xml:space="preserve">101 </w:t>
      </w:r>
      <w:r w:rsidRPr="00E76E89">
        <w:rPr>
          <w:rStyle w:val="CharStyle5"/>
          <w:color w:val="000000"/>
          <w:szCs w:val="24"/>
          <w:lang w:eastAsia="lt-LT"/>
        </w:rPr>
        <w:t>straipsnyje numatyto nusikaltimo padarymą baudžiamoji at</w:t>
      </w:r>
      <w:r w:rsidR="00B87ED3" w:rsidRPr="00E76E89">
        <w:rPr>
          <w:rStyle w:val="CharStyle5"/>
          <w:color w:val="000000"/>
          <w:szCs w:val="24"/>
          <w:lang w:eastAsia="lt-LT"/>
        </w:rPr>
        <w:t>sakomybė buvo numatyta tik po</w:t>
      </w:r>
      <w:r w:rsidRPr="00E76E89">
        <w:rPr>
          <w:rStyle w:val="CharStyle5"/>
          <w:color w:val="000000"/>
          <w:szCs w:val="24"/>
          <w:lang w:eastAsia="lt-LT"/>
        </w:rPr>
        <w:t xml:space="preserve"> BK pakeitimų, padarytų 2011 m., todėl </w:t>
      </w:r>
      <w:r w:rsidR="006036E7" w:rsidRPr="00E76E89">
        <w:rPr>
          <w:rStyle w:val="CharStyle5"/>
          <w:color w:val="000000"/>
          <w:szCs w:val="24"/>
          <w:lang w:eastAsia="lt-LT"/>
        </w:rPr>
        <w:t>S. P.</w:t>
      </w:r>
      <w:r w:rsidRPr="00E76E89">
        <w:rPr>
          <w:rStyle w:val="CharStyle5"/>
          <w:color w:val="000000"/>
          <w:szCs w:val="24"/>
          <w:lang w:eastAsia="lt-LT"/>
        </w:rPr>
        <w:t xml:space="preserve"> </w:t>
      </w:r>
      <w:r w:rsidRPr="00E76E89">
        <w:rPr>
          <w:rStyle w:val="CharStyle25"/>
          <w:color w:val="000000"/>
          <w:szCs w:val="24"/>
          <w:lang w:eastAsia="lt-LT"/>
        </w:rPr>
        <w:t>nepagrįstai nuteistas pagal šį BK straipsnį.</w:t>
      </w:r>
    </w:p>
    <w:p w:rsidR="003408CE" w:rsidRPr="00E76E89" w:rsidRDefault="003408CE" w:rsidP="00321748">
      <w:pPr>
        <w:pStyle w:val="ListParagraph"/>
        <w:numPr>
          <w:ilvl w:val="1"/>
          <w:numId w:val="6"/>
        </w:numPr>
        <w:spacing w:before="120" w:after="120"/>
        <w:ind w:left="992" w:hanging="992"/>
        <w:contextualSpacing w:val="0"/>
        <w:rPr>
          <w:szCs w:val="24"/>
        </w:rPr>
      </w:pPr>
      <w:r w:rsidRPr="00E76E89">
        <w:rPr>
          <w:rStyle w:val="CharStyle25"/>
          <w:color w:val="000000"/>
          <w:szCs w:val="24"/>
          <w:lang w:eastAsia="lt-LT"/>
        </w:rPr>
        <w:t>Pagal BK 101 straipsnį atsakomybė numatyta už įsakymą, kurstymą arba organizavimą žudyti. Teismas nustatė, kad g</w:t>
      </w:r>
      <w:r w:rsidRPr="00E76E89">
        <w:rPr>
          <w:szCs w:val="24"/>
        </w:rPr>
        <w:t xml:space="preserve">rupės </w:t>
      </w:r>
      <w:r w:rsidR="00DE3B19" w:rsidRPr="00E76E89">
        <w:rPr>
          <w:szCs w:val="24"/>
        </w:rPr>
        <w:t>„</w:t>
      </w:r>
      <w:r w:rsidRPr="00E76E89">
        <w:rPr>
          <w:szCs w:val="24"/>
        </w:rPr>
        <w:t>A</w:t>
      </w:r>
      <w:r w:rsidR="00DE3B19" w:rsidRPr="00E76E89">
        <w:rPr>
          <w:szCs w:val="24"/>
        </w:rPr>
        <w:t>“</w:t>
      </w:r>
      <w:r w:rsidRPr="00E76E89">
        <w:rPr>
          <w:szCs w:val="24"/>
        </w:rPr>
        <w:t xml:space="preserve"> ir mokomosios specialios</w:t>
      </w:r>
      <w:r w:rsidR="00560E9C" w:rsidRPr="00E76E89">
        <w:rPr>
          <w:szCs w:val="24"/>
        </w:rPr>
        <w:t>ios</w:t>
      </w:r>
      <w:r w:rsidRPr="00E76E89">
        <w:rPr>
          <w:szCs w:val="24"/>
        </w:rPr>
        <w:t xml:space="preserve"> paskirties kuopos kariškiai, panaudoję šviesos ir garso spro</w:t>
      </w:r>
      <w:r w:rsidR="00DE3B19" w:rsidRPr="00E76E89">
        <w:rPr>
          <w:szCs w:val="24"/>
        </w:rPr>
        <w:t>gstamąjį įtaisą, prie LRT radijo</w:t>
      </w:r>
      <w:r w:rsidRPr="00E76E89">
        <w:rPr>
          <w:szCs w:val="24"/>
        </w:rPr>
        <w:t xml:space="preserve"> pastato nužudė </w:t>
      </w:r>
      <w:r w:rsidR="004E4879" w:rsidRPr="00E76E89">
        <w:rPr>
          <w:szCs w:val="24"/>
        </w:rPr>
        <w:t>A. K.</w:t>
      </w:r>
      <w:r w:rsidRPr="00E76E89">
        <w:rPr>
          <w:szCs w:val="24"/>
        </w:rPr>
        <w:t xml:space="preserve">, sunkiai sutrikdė </w:t>
      </w:r>
      <w:r w:rsidR="004E4879" w:rsidRPr="00E76E89">
        <w:rPr>
          <w:szCs w:val="24"/>
        </w:rPr>
        <w:t>K. B.</w:t>
      </w:r>
      <w:r w:rsidRPr="00E76E89">
        <w:rPr>
          <w:szCs w:val="24"/>
        </w:rPr>
        <w:t xml:space="preserve"> ir </w:t>
      </w:r>
      <w:r w:rsidR="004E4879" w:rsidRPr="00E76E89">
        <w:rPr>
          <w:szCs w:val="24"/>
        </w:rPr>
        <w:t>A. V.</w:t>
      </w:r>
      <w:r w:rsidR="00A565EE" w:rsidRPr="00E76E89">
        <w:rPr>
          <w:szCs w:val="24"/>
        </w:rPr>
        <w:t xml:space="preserve"> sveikatą, </w:t>
      </w:r>
      <w:r w:rsidR="004E4879" w:rsidRPr="00E76E89">
        <w:rPr>
          <w:szCs w:val="24"/>
        </w:rPr>
        <w:t>K. B.</w:t>
      </w:r>
      <w:r w:rsidRPr="00E76E89">
        <w:rPr>
          <w:szCs w:val="24"/>
        </w:rPr>
        <w:t xml:space="preserve"> padarė daugybinius kūno sužalojimus. </w:t>
      </w:r>
      <w:r w:rsidRPr="00E76E89">
        <w:rPr>
          <w:szCs w:val="24"/>
        </w:rPr>
        <w:lastRenderedPageBreak/>
        <w:t>Nuosprendyje nurodoma, kad</w:t>
      </w:r>
      <w:r w:rsidR="002A2E2B" w:rsidRPr="00E76E89">
        <w:rPr>
          <w:szCs w:val="24"/>
        </w:rPr>
        <w:t>,</w:t>
      </w:r>
      <w:r w:rsidRPr="00E76E89">
        <w:rPr>
          <w:szCs w:val="24"/>
        </w:rPr>
        <w:t xml:space="preserve"> </w:t>
      </w:r>
      <w:r w:rsidR="00987780" w:rsidRPr="00E76E89">
        <w:rPr>
          <w:szCs w:val="24"/>
        </w:rPr>
        <w:t>vykdant</w:t>
      </w:r>
      <w:r w:rsidRPr="00E76E89">
        <w:rPr>
          <w:szCs w:val="24"/>
        </w:rPr>
        <w:t xml:space="preserve"> pavestas užduotis, </w:t>
      </w:r>
      <w:r w:rsidR="005B0434" w:rsidRPr="00E76E89">
        <w:rPr>
          <w:szCs w:val="24"/>
        </w:rPr>
        <w:t>1991 m. </w:t>
      </w:r>
      <w:r w:rsidRPr="00E76E89">
        <w:rPr>
          <w:szCs w:val="24"/>
        </w:rPr>
        <w:t xml:space="preserve">sausio 13 d. apie 2 val. prie LRT pirmi atvyko 25 grupės </w:t>
      </w:r>
      <w:r w:rsidR="00DE3B19" w:rsidRPr="00E76E89">
        <w:rPr>
          <w:szCs w:val="24"/>
        </w:rPr>
        <w:t>„</w:t>
      </w:r>
      <w:r w:rsidRPr="00E76E89">
        <w:rPr>
          <w:szCs w:val="24"/>
        </w:rPr>
        <w:t>A</w:t>
      </w:r>
      <w:r w:rsidR="00DE3B19" w:rsidRPr="00E76E89">
        <w:rPr>
          <w:szCs w:val="24"/>
        </w:rPr>
        <w:t>“</w:t>
      </w:r>
      <w:r w:rsidRPr="00E76E89">
        <w:rPr>
          <w:szCs w:val="24"/>
        </w:rPr>
        <w:t xml:space="preserve"> kariškiai, vadovaujami kaltinamojo </w:t>
      </w:r>
      <w:r w:rsidR="00385BC9" w:rsidRPr="00E76E89">
        <w:rPr>
          <w:szCs w:val="24"/>
        </w:rPr>
        <w:t>M. G.</w:t>
      </w:r>
      <w:r w:rsidRPr="00E76E89">
        <w:rPr>
          <w:szCs w:val="24"/>
        </w:rPr>
        <w:t xml:space="preserve"> paskirto atsakingo asmens – kaltinamojo </w:t>
      </w:r>
      <w:r w:rsidR="00385BC9" w:rsidRPr="00E76E89">
        <w:rPr>
          <w:szCs w:val="24"/>
        </w:rPr>
        <w:t>J. Č.</w:t>
      </w:r>
      <w:r w:rsidR="007F44B7" w:rsidRPr="00E76E89">
        <w:rPr>
          <w:szCs w:val="24"/>
        </w:rPr>
        <w:t>. Prie LRT atvyko penki</w:t>
      </w:r>
      <w:r w:rsidRPr="00E76E89">
        <w:rPr>
          <w:szCs w:val="24"/>
        </w:rPr>
        <w:t xml:space="preserve"> 42-osios divizijos mokomosios specialiosios paskirties kuopos kariškiai, vadovaujami konvojaus pulko vado kaltinamojo </w:t>
      </w:r>
      <w:r w:rsidR="00A97F74" w:rsidRPr="00E76E89">
        <w:rPr>
          <w:szCs w:val="24"/>
        </w:rPr>
        <w:t>S. F.</w:t>
      </w:r>
      <w:r w:rsidRPr="00E76E89">
        <w:rPr>
          <w:szCs w:val="24"/>
        </w:rPr>
        <w:t>, mokomosios specialios</w:t>
      </w:r>
      <w:r w:rsidR="00560E9C" w:rsidRPr="00E76E89">
        <w:rPr>
          <w:szCs w:val="24"/>
        </w:rPr>
        <w:t>ios</w:t>
      </w:r>
      <w:r w:rsidRPr="00E76E89">
        <w:rPr>
          <w:szCs w:val="24"/>
        </w:rPr>
        <w:t xml:space="preserve"> paskirties kuopos vado </w:t>
      </w:r>
      <w:r w:rsidR="00DC0414" w:rsidRPr="00E76E89">
        <w:rPr>
          <w:szCs w:val="24"/>
        </w:rPr>
        <w:t>O. M.</w:t>
      </w:r>
      <w:r w:rsidR="007F44B7" w:rsidRPr="00E76E89">
        <w:rPr>
          <w:szCs w:val="24"/>
        </w:rPr>
        <w:t xml:space="preserve">, pavaduotojo </w:t>
      </w:r>
      <w:r w:rsidR="00A97F74" w:rsidRPr="00E76E89">
        <w:rPr>
          <w:szCs w:val="24"/>
        </w:rPr>
        <w:t>V. M.</w:t>
      </w:r>
      <w:r w:rsidRPr="00E76E89">
        <w:rPr>
          <w:szCs w:val="24"/>
        </w:rPr>
        <w:t xml:space="preserve">. Teismas konstatavo, kad už </w:t>
      </w:r>
      <w:r w:rsidR="004E4879" w:rsidRPr="00E76E89">
        <w:rPr>
          <w:szCs w:val="24"/>
        </w:rPr>
        <w:t>A. K.</w:t>
      </w:r>
      <w:r w:rsidRPr="00E76E89">
        <w:rPr>
          <w:szCs w:val="24"/>
        </w:rPr>
        <w:t xml:space="preserve"> nužudymą yra atsakingi grupės </w:t>
      </w:r>
      <w:r w:rsidR="00DE3B19" w:rsidRPr="00E76E89">
        <w:rPr>
          <w:szCs w:val="24"/>
        </w:rPr>
        <w:t>„</w:t>
      </w:r>
      <w:r w:rsidRPr="00E76E89">
        <w:rPr>
          <w:szCs w:val="24"/>
        </w:rPr>
        <w:t>A</w:t>
      </w:r>
      <w:r w:rsidR="00DE3B19" w:rsidRPr="00E76E89">
        <w:rPr>
          <w:szCs w:val="24"/>
        </w:rPr>
        <w:t>“</w:t>
      </w:r>
      <w:r w:rsidRPr="00E76E89">
        <w:rPr>
          <w:szCs w:val="24"/>
        </w:rPr>
        <w:t xml:space="preserve"> ir 42-osios mokomosios specialios</w:t>
      </w:r>
      <w:r w:rsidR="00560E9C" w:rsidRPr="00E76E89">
        <w:rPr>
          <w:szCs w:val="24"/>
        </w:rPr>
        <w:t>ios</w:t>
      </w:r>
      <w:r w:rsidRPr="00E76E89">
        <w:rPr>
          <w:szCs w:val="24"/>
        </w:rPr>
        <w:t xml:space="preserve"> paskirties kuopos kariškiai. Gynėja</w:t>
      </w:r>
      <w:r w:rsidR="003E5CCE" w:rsidRPr="00E76E89">
        <w:rPr>
          <w:szCs w:val="24"/>
        </w:rPr>
        <w:t>s</w:t>
      </w:r>
      <w:r w:rsidRPr="00E76E89">
        <w:rPr>
          <w:szCs w:val="24"/>
        </w:rPr>
        <w:t xml:space="preserve"> atkreipia dėmesį, </w:t>
      </w:r>
      <w:r w:rsidR="005B0434" w:rsidRPr="00E76E89">
        <w:rPr>
          <w:szCs w:val="24"/>
        </w:rPr>
        <w:t xml:space="preserve">kad šių padalinių kariškiams </w:t>
      </w:r>
      <w:r w:rsidR="006036E7" w:rsidRPr="00E76E89">
        <w:rPr>
          <w:szCs w:val="24"/>
        </w:rPr>
        <w:t>S. P.</w:t>
      </w:r>
      <w:r w:rsidRPr="00E76E89">
        <w:rPr>
          <w:szCs w:val="24"/>
        </w:rPr>
        <w:t xml:space="preserve"> įsakymų ir nurodymų</w:t>
      </w:r>
      <w:r w:rsidR="00A565EE" w:rsidRPr="00E76E89">
        <w:rPr>
          <w:szCs w:val="24"/>
        </w:rPr>
        <w:t>,</w:t>
      </w:r>
      <w:r w:rsidRPr="00E76E89">
        <w:rPr>
          <w:szCs w:val="24"/>
        </w:rPr>
        <w:t xml:space="preserve"> kaip turi būti vykdoma operacija</w:t>
      </w:r>
      <w:r w:rsidR="00A565EE" w:rsidRPr="00E76E89">
        <w:rPr>
          <w:szCs w:val="24"/>
        </w:rPr>
        <w:t>,</w:t>
      </w:r>
      <w:r w:rsidRPr="00E76E89">
        <w:rPr>
          <w:szCs w:val="24"/>
        </w:rPr>
        <w:t xml:space="preserve"> nedavė. Todėl teismo išvada, kad </w:t>
      </w:r>
      <w:r w:rsidR="006036E7" w:rsidRPr="00E76E89">
        <w:rPr>
          <w:szCs w:val="24"/>
        </w:rPr>
        <w:t>S. P.</w:t>
      </w:r>
      <w:r w:rsidRPr="00E76E89">
        <w:rPr>
          <w:szCs w:val="24"/>
        </w:rPr>
        <w:t xml:space="preserve"> veiksmuose yra nusikaltimo, numatyto BK 101 straipsnyje, sudėtis</w:t>
      </w:r>
      <w:r w:rsidR="007F44B7" w:rsidRPr="00E76E89">
        <w:rPr>
          <w:szCs w:val="24"/>
        </w:rPr>
        <w:t>,</w:t>
      </w:r>
      <w:r w:rsidRPr="00E76E89">
        <w:rPr>
          <w:szCs w:val="24"/>
        </w:rPr>
        <w:t xml:space="preserve"> yra nepagrįsta.</w:t>
      </w:r>
    </w:p>
    <w:p w:rsidR="003408CE" w:rsidRPr="00E76E89" w:rsidRDefault="003408CE" w:rsidP="00321748">
      <w:pPr>
        <w:pStyle w:val="ListParagraph"/>
        <w:numPr>
          <w:ilvl w:val="1"/>
          <w:numId w:val="6"/>
        </w:numPr>
        <w:spacing w:before="120" w:after="120"/>
        <w:ind w:left="992" w:hanging="992"/>
        <w:contextualSpacing w:val="0"/>
        <w:rPr>
          <w:szCs w:val="24"/>
        </w:rPr>
      </w:pPr>
      <w:r w:rsidRPr="00E76E89">
        <w:rPr>
          <w:rStyle w:val="CharStyle22"/>
          <w:color w:val="000000"/>
          <w:szCs w:val="24"/>
          <w:lang w:eastAsia="lt-LT"/>
        </w:rPr>
        <w:t xml:space="preserve">Teismas, priimdamas apkaltinamąjį nuosprendį, rėmėsi </w:t>
      </w:r>
      <w:r w:rsidR="00720E64" w:rsidRPr="00E76E89">
        <w:rPr>
          <w:rStyle w:val="CharStyle22"/>
          <w:color w:val="000000"/>
          <w:szCs w:val="24"/>
          <w:lang w:eastAsia="lt-LT"/>
        </w:rPr>
        <w:t xml:space="preserve">kaip </w:t>
      </w:r>
      <w:r w:rsidR="00A565EE" w:rsidRPr="00E76E89">
        <w:rPr>
          <w:rStyle w:val="CharStyle22"/>
          <w:color w:val="000000"/>
          <w:szCs w:val="24"/>
          <w:lang w:eastAsia="lt-LT"/>
        </w:rPr>
        <w:t>liudytoj</w:t>
      </w:r>
      <w:r w:rsidR="00720E64" w:rsidRPr="00E76E89">
        <w:rPr>
          <w:rStyle w:val="CharStyle22"/>
          <w:color w:val="000000"/>
          <w:szCs w:val="24"/>
          <w:lang w:eastAsia="lt-LT"/>
        </w:rPr>
        <w:t>o</w:t>
      </w:r>
      <w:r w:rsidRPr="00E76E89">
        <w:rPr>
          <w:rStyle w:val="CharStyle22"/>
          <w:color w:val="000000"/>
          <w:szCs w:val="24"/>
          <w:lang w:eastAsia="lt-LT"/>
        </w:rPr>
        <w:t xml:space="preserve"> apklausto </w:t>
      </w:r>
      <w:r w:rsidR="006036E7" w:rsidRPr="00E76E89">
        <w:rPr>
          <w:rStyle w:val="CharStyle22"/>
          <w:color w:val="000000"/>
          <w:szCs w:val="24"/>
          <w:lang w:eastAsia="lt-LT"/>
        </w:rPr>
        <w:t>S. P.</w:t>
      </w:r>
      <w:r w:rsidRPr="00E76E89">
        <w:rPr>
          <w:rStyle w:val="CharStyle22"/>
          <w:color w:val="000000"/>
          <w:szCs w:val="24"/>
          <w:lang w:eastAsia="lt-LT"/>
        </w:rPr>
        <w:t xml:space="preserve"> parodymais. Teismo teigimu, </w:t>
      </w:r>
      <w:r w:rsidR="006036E7" w:rsidRPr="00E76E89">
        <w:rPr>
          <w:rStyle w:val="CharStyle22"/>
          <w:color w:val="000000"/>
          <w:szCs w:val="24"/>
          <w:lang w:eastAsia="lt-LT"/>
        </w:rPr>
        <w:t>S. P.</w:t>
      </w:r>
      <w:r w:rsidRPr="00E76E89">
        <w:rPr>
          <w:rStyle w:val="CharStyle22"/>
          <w:color w:val="000000"/>
          <w:szCs w:val="24"/>
          <w:lang w:eastAsia="lt-LT"/>
        </w:rPr>
        <w:t xml:space="preserve"> parodymus</w:t>
      </w:r>
      <w:r w:rsidR="007F44B7" w:rsidRPr="00E76E89">
        <w:rPr>
          <w:rStyle w:val="CharStyle22"/>
          <w:color w:val="000000"/>
          <w:szCs w:val="24"/>
          <w:lang w:eastAsia="lt-LT"/>
        </w:rPr>
        <w:t xml:space="preserve"> patvirtino kitų kaltinamųjų </w:t>
      </w:r>
      <w:r w:rsidR="00385BC9" w:rsidRPr="00E76E89">
        <w:rPr>
          <w:rStyle w:val="CharStyle22"/>
          <w:color w:val="000000"/>
          <w:szCs w:val="24"/>
          <w:lang w:eastAsia="lt-LT"/>
        </w:rPr>
        <w:t>G. G.</w:t>
      </w:r>
      <w:r w:rsidRPr="00E76E89">
        <w:rPr>
          <w:rStyle w:val="CharStyle22"/>
          <w:color w:val="000000"/>
          <w:szCs w:val="24"/>
          <w:lang w:eastAsia="lt-LT"/>
        </w:rPr>
        <w:t xml:space="preserve">, </w:t>
      </w:r>
      <w:r w:rsidR="006036E7" w:rsidRPr="00E76E89">
        <w:rPr>
          <w:rStyle w:val="CharStyle22"/>
          <w:color w:val="000000"/>
          <w:szCs w:val="24"/>
          <w:lang w:eastAsia="lt-LT"/>
        </w:rPr>
        <w:t>V. G.</w:t>
      </w:r>
      <w:r w:rsidRPr="00E76E89">
        <w:rPr>
          <w:rStyle w:val="CharStyle22"/>
          <w:color w:val="000000"/>
          <w:szCs w:val="24"/>
          <w:lang w:eastAsia="lt-LT"/>
        </w:rPr>
        <w:t xml:space="preserve"> parodymai. Gynėja skunde cituoja minėtus </w:t>
      </w:r>
      <w:r w:rsidR="006036E7" w:rsidRPr="00E76E89">
        <w:rPr>
          <w:rStyle w:val="CharStyle22"/>
          <w:color w:val="000000"/>
          <w:szCs w:val="24"/>
          <w:lang w:eastAsia="lt-LT"/>
        </w:rPr>
        <w:t>S. P.</w:t>
      </w:r>
      <w:r w:rsidRPr="00E76E89">
        <w:rPr>
          <w:rStyle w:val="CharStyle22"/>
          <w:color w:val="000000"/>
          <w:szCs w:val="24"/>
          <w:lang w:eastAsia="lt-LT"/>
        </w:rPr>
        <w:t xml:space="preserve"> parodymus ir nurodo, kad šie parodymai tik patvirtina, jo</w:t>
      </w:r>
      <w:r w:rsidR="007F44B7" w:rsidRPr="00E76E89">
        <w:rPr>
          <w:rStyle w:val="CharStyle22"/>
          <w:color w:val="000000"/>
          <w:szCs w:val="24"/>
          <w:lang w:eastAsia="lt-LT"/>
        </w:rPr>
        <w:t xml:space="preserve">g </w:t>
      </w:r>
      <w:r w:rsidR="006036E7" w:rsidRPr="00E76E89">
        <w:rPr>
          <w:rStyle w:val="CharStyle22"/>
          <w:color w:val="000000"/>
          <w:szCs w:val="24"/>
          <w:lang w:eastAsia="lt-LT"/>
        </w:rPr>
        <w:t>S. P.</w:t>
      </w:r>
      <w:r w:rsidR="007F44B7" w:rsidRPr="00E76E89">
        <w:rPr>
          <w:rStyle w:val="CharStyle22"/>
          <w:color w:val="000000"/>
          <w:szCs w:val="24"/>
          <w:lang w:eastAsia="lt-LT"/>
        </w:rPr>
        <w:t xml:space="preserve">, vykdydamas </w:t>
      </w:r>
      <w:r w:rsidR="00385BC9" w:rsidRPr="00E76E89">
        <w:rPr>
          <w:rStyle w:val="CharStyle22"/>
          <w:color w:val="000000"/>
          <w:szCs w:val="24"/>
          <w:lang w:eastAsia="lt-LT"/>
        </w:rPr>
        <w:t>V. K. 1</w:t>
      </w:r>
      <w:r w:rsidRPr="00E76E89">
        <w:rPr>
          <w:rStyle w:val="CharStyle22"/>
          <w:color w:val="000000"/>
          <w:szCs w:val="24"/>
          <w:lang w:eastAsia="lt-LT"/>
        </w:rPr>
        <w:t xml:space="preserve"> įsakymą, suplanavo techninę operacijos pusę, t.</w:t>
      </w:r>
      <w:r w:rsidR="00720E64" w:rsidRPr="00E76E89">
        <w:rPr>
          <w:rStyle w:val="CharStyle22"/>
          <w:color w:val="000000"/>
          <w:szCs w:val="24"/>
          <w:lang w:eastAsia="lt-LT"/>
        </w:rPr>
        <w:t> </w:t>
      </w:r>
      <w:r w:rsidRPr="00E76E89">
        <w:rPr>
          <w:rStyle w:val="CharStyle22"/>
          <w:color w:val="000000"/>
          <w:szCs w:val="24"/>
          <w:lang w:eastAsia="lt-LT"/>
        </w:rPr>
        <w:t xml:space="preserve">y. jis numatė maršrutą prie LRT pastato ir dalyvausiančias operacijoje pajėgas. Iš </w:t>
      </w:r>
      <w:r w:rsidR="006036E7" w:rsidRPr="00E76E89">
        <w:rPr>
          <w:rStyle w:val="CharStyle22"/>
          <w:color w:val="000000"/>
          <w:szCs w:val="24"/>
          <w:lang w:eastAsia="lt-LT"/>
        </w:rPr>
        <w:t>S. P.</w:t>
      </w:r>
      <w:r w:rsidRPr="00E76E89">
        <w:rPr>
          <w:rStyle w:val="CharStyle22"/>
          <w:color w:val="000000"/>
          <w:szCs w:val="24"/>
          <w:lang w:eastAsia="lt-LT"/>
        </w:rPr>
        <w:t xml:space="preserve"> parodymų matyti ir tai, kad</w:t>
      </w:r>
      <w:r w:rsidR="00720E64" w:rsidRPr="00E76E89">
        <w:rPr>
          <w:rStyle w:val="CharStyle22"/>
          <w:color w:val="000000"/>
          <w:szCs w:val="24"/>
          <w:lang w:eastAsia="lt-LT"/>
        </w:rPr>
        <w:t>,</w:t>
      </w:r>
      <w:r w:rsidRPr="00E76E89">
        <w:rPr>
          <w:rStyle w:val="CharStyle22"/>
          <w:color w:val="000000"/>
          <w:szCs w:val="24"/>
          <w:lang w:eastAsia="lt-LT"/>
        </w:rPr>
        <w:t xml:space="preserve"> n</w:t>
      </w:r>
      <w:r w:rsidRPr="00E76E89">
        <w:rPr>
          <w:szCs w:val="24"/>
        </w:rPr>
        <w:t xml:space="preserve">uvykus prie LRT pastato, jis pats buvo transporto priemonėje ir palaikė ryšį su padalinių vadovais ir savo viršininku </w:t>
      </w:r>
      <w:r w:rsidR="00385BC9" w:rsidRPr="00E76E89">
        <w:rPr>
          <w:szCs w:val="24"/>
        </w:rPr>
        <w:t>V. K. 1</w:t>
      </w:r>
      <w:r w:rsidRPr="00E76E89">
        <w:rPr>
          <w:szCs w:val="24"/>
        </w:rPr>
        <w:t xml:space="preserve">. Taigi </w:t>
      </w:r>
      <w:r w:rsidR="006036E7" w:rsidRPr="00E76E89">
        <w:rPr>
          <w:szCs w:val="24"/>
        </w:rPr>
        <w:t>S. P.</w:t>
      </w:r>
      <w:r w:rsidRPr="00E76E89">
        <w:rPr>
          <w:szCs w:val="24"/>
        </w:rPr>
        <w:t xml:space="preserve"> ir kitų liudytojų parodymai patvirtina, kad </w:t>
      </w:r>
      <w:r w:rsidR="006036E7" w:rsidRPr="00E76E89">
        <w:rPr>
          <w:szCs w:val="24"/>
        </w:rPr>
        <w:t>S. P.</w:t>
      </w:r>
      <w:r w:rsidRPr="00E76E89">
        <w:rPr>
          <w:szCs w:val="24"/>
        </w:rPr>
        <w:t xml:space="preserve"> konkrečių įsakymų dėl taktikos ir ginklų panaudojimo atskiriems padaliniams nedavė, už tai buvo atsakingi atskiri operacijoje dalyvavusių padalinių karininkai. </w:t>
      </w:r>
    </w:p>
    <w:p w:rsidR="00D47FD1" w:rsidRPr="00E76E89" w:rsidRDefault="003408CE" w:rsidP="00321748">
      <w:pPr>
        <w:pStyle w:val="ListParagraph"/>
        <w:numPr>
          <w:ilvl w:val="1"/>
          <w:numId w:val="6"/>
        </w:numPr>
        <w:spacing w:before="120" w:after="120"/>
        <w:ind w:left="992" w:hanging="992"/>
        <w:contextualSpacing w:val="0"/>
        <w:rPr>
          <w:szCs w:val="24"/>
        </w:rPr>
      </w:pPr>
      <w:r w:rsidRPr="00E76E89">
        <w:rPr>
          <w:szCs w:val="24"/>
        </w:rPr>
        <w:t xml:space="preserve">Baudžiamojoje byloje nėra duomenų, kad </w:t>
      </w:r>
      <w:r w:rsidR="006036E7" w:rsidRPr="00E76E89">
        <w:rPr>
          <w:szCs w:val="24"/>
        </w:rPr>
        <w:t>S. P.</w:t>
      </w:r>
      <w:r w:rsidRPr="00E76E89">
        <w:rPr>
          <w:szCs w:val="24"/>
        </w:rPr>
        <w:t xml:space="preserve"> tarėsi su grupės atsakingais karininkais </w:t>
      </w:r>
      <w:r w:rsidR="00385BC9" w:rsidRPr="00E76E89">
        <w:rPr>
          <w:szCs w:val="24"/>
        </w:rPr>
        <w:t>M. G.</w:t>
      </w:r>
      <w:r w:rsidRPr="00E76E89">
        <w:rPr>
          <w:szCs w:val="24"/>
        </w:rPr>
        <w:t xml:space="preserve"> ir </w:t>
      </w:r>
      <w:r w:rsidR="00385BC9" w:rsidRPr="00E76E89">
        <w:rPr>
          <w:szCs w:val="24"/>
        </w:rPr>
        <w:t>J. Č.</w:t>
      </w:r>
      <w:r w:rsidRPr="00E76E89">
        <w:rPr>
          <w:szCs w:val="24"/>
        </w:rPr>
        <w:t xml:space="preserve">, 42-osios divizijos mokomosios specialiosios paskirties kuopos vadovaujančiais kariškiais, konvojaus pulko vadu </w:t>
      </w:r>
      <w:r w:rsidR="00A97F74" w:rsidRPr="00E76E89">
        <w:rPr>
          <w:szCs w:val="24"/>
        </w:rPr>
        <w:t>S. F.</w:t>
      </w:r>
      <w:r w:rsidRPr="00E76E89">
        <w:rPr>
          <w:szCs w:val="24"/>
        </w:rPr>
        <w:t>, mokomosios specialios</w:t>
      </w:r>
      <w:r w:rsidR="00560E9C" w:rsidRPr="00E76E89">
        <w:rPr>
          <w:szCs w:val="24"/>
        </w:rPr>
        <w:t>ios</w:t>
      </w:r>
      <w:r w:rsidRPr="00E76E89">
        <w:rPr>
          <w:szCs w:val="24"/>
        </w:rPr>
        <w:t xml:space="preserve"> paskirties kuopos vadu </w:t>
      </w:r>
      <w:r w:rsidR="00DC0414" w:rsidRPr="00E76E89">
        <w:rPr>
          <w:szCs w:val="24"/>
        </w:rPr>
        <w:t>O. M.</w:t>
      </w:r>
      <w:r w:rsidR="007F44B7" w:rsidRPr="00E76E89">
        <w:rPr>
          <w:szCs w:val="24"/>
        </w:rPr>
        <w:t xml:space="preserve"> ir jo pavaduotoju </w:t>
      </w:r>
      <w:r w:rsidR="00A97F74" w:rsidRPr="00E76E89">
        <w:rPr>
          <w:szCs w:val="24"/>
        </w:rPr>
        <w:t>V. M.</w:t>
      </w:r>
      <w:r w:rsidRPr="00E76E89">
        <w:rPr>
          <w:szCs w:val="24"/>
        </w:rPr>
        <w:t xml:space="preserve"> apie jėgos ir ginklų panaudojimą prieš civilius asmenis, ir tai, jog </w:t>
      </w:r>
      <w:r w:rsidR="006036E7" w:rsidRPr="00E76E89">
        <w:rPr>
          <w:szCs w:val="24"/>
        </w:rPr>
        <w:t>S. P.</w:t>
      </w:r>
      <w:r w:rsidRPr="00E76E89">
        <w:rPr>
          <w:szCs w:val="24"/>
        </w:rPr>
        <w:t xml:space="preserve"> būtų davęs įsakymą, kurstęs ar organizavęs civilių asmenų žudymą.</w:t>
      </w:r>
      <w:r w:rsidR="007F44B7" w:rsidRPr="00E76E89">
        <w:rPr>
          <w:szCs w:val="24"/>
        </w:rPr>
        <w:t xml:space="preserve"> </w:t>
      </w:r>
    </w:p>
    <w:p w:rsidR="009522D9" w:rsidRPr="009522D9" w:rsidRDefault="00630F2E" w:rsidP="009522D9">
      <w:pPr>
        <w:pStyle w:val="ListParagraph"/>
        <w:numPr>
          <w:ilvl w:val="0"/>
          <w:numId w:val="6"/>
        </w:numPr>
        <w:spacing w:before="120" w:after="120"/>
        <w:ind w:left="992" w:hanging="992"/>
        <w:contextualSpacing w:val="0"/>
        <w:rPr>
          <w:szCs w:val="24"/>
        </w:rPr>
      </w:pPr>
      <w:bookmarkStart w:id="54" w:name="_Toc37947845"/>
      <w:bookmarkStart w:id="55" w:name="_Toc67677324"/>
      <w:bookmarkStart w:id="56" w:name="_Toc67985451"/>
      <w:r w:rsidRPr="009522D9">
        <w:rPr>
          <w:b/>
        </w:rPr>
        <w:t xml:space="preserve">Nuteistojo </w:t>
      </w:r>
      <w:r w:rsidR="006036E7" w:rsidRPr="009522D9">
        <w:rPr>
          <w:b/>
        </w:rPr>
        <w:t>S. K.</w:t>
      </w:r>
      <w:r w:rsidRPr="009522D9">
        <w:rPr>
          <w:b/>
        </w:rPr>
        <w:t xml:space="preserve"> gynėjas</w:t>
      </w:r>
      <w:bookmarkEnd w:id="54"/>
      <w:bookmarkEnd w:id="55"/>
      <w:bookmarkEnd w:id="56"/>
      <w:r w:rsidRPr="00C00255">
        <w:rPr>
          <w:rStyle w:val="Heading3Char"/>
          <w:sz w:val="24"/>
          <w:szCs w:val="24"/>
          <w:lang w:val="lt-LT"/>
        </w:rPr>
        <w:t xml:space="preserve"> </w:t>
      </w:r>
      <w:r w:rsidRPr="00C00255">
        <w:rPr>
          <w:b/>
          <w:szCs w:val="24"/>
        </w:rPr>
        <w:t>advokatas P. Lileika</w:t>
      </w:r>
      <w:r w:rsidRPr="00C00255">
        <w:rPr>
          <w:szCs w:val="24"/>
        </w:rPr>
        <w:t xml:space="preserve"> apeliaciniu skundu prašo panaikinti pirmosios instancijos teismo nuosprendį ir baudžiamąją bylą jo ginamojo atžvilgiu nutraukti.</w:t>
      </w:r>
    </w:p>
    <w:p w:rsidR="00630F2E" w:rsidRPr="00E76E89" w:rsidRDefault="006036E7" w:rsidP="00321748">
      <w:pPr>
        <w:pStyle w:val="ListParagraph"/>
        <w:numPr>
          <w:ilvl w:val="1"/>
          <w:numId w:val="6"/>
        </w:numPr>
        <w:spacing w:before="120" w:after="120"/>
        <w:ind w:left="992" w:hanging="992"/>
        <w:contextualSpacing w:val="0"/>
        <w:rPr>
          <w:rStyle w:val="CharStyle101"/>
          <w:rFonts w:ascii="Times New Roman" w:hAnsi="Times New Roman" w:cs="Times New Roman"/>
          <w:i w:val="0"/>
          <w:iCs w:val="0"/>
          <w:sz w:val="24"/>
          <w:szCs w:val="24"/>
          <w:shd w:val="clear" w:color="auto" w:fill="auto"/>
        </w:rPr>
      </w:pPr>
      <w:r w:rsidRPr="00E76E89">
        <w:rPr>
          <w:szCs w:val="24"/>
        </w:rPr>
        <w:t>S. K.</w:t>
      </w:r>
      <w:r w:rsidR="00630F2E" w:rsidRPr="00E76E89">
        <w:rPr>
          <w:szCs w:val="24"/>
        </w:rPr>
        <w:t xml:space="preserve"> nepagrįstai nut</w:t>
      </w:r>
      <w:r w:rsidR="00001989" w:rsidRPr="00E76E89">
        <w:rPr>
          <w:szCs w:val="24"/>
        </w:rPr>
        <w:t>eistas už TSRS kariuomenės 1990–</w:t>
      </w:r>
      <w:r w:rsidR="00630F2E" w:rsidRPr="00E76E89">
        <w:rPr>
          <w:szCs w:val="24"/>
        </w:rPr>
        <w:t>1991</w:t>
      </w:r>
      <w:r w:rsidR="00FB618F" w:rsidRPr="00E76E89">
        <w:rPr>
          <w:szCs w:val="24"/>
        </w:rPr>
        <w:t> </w:t>
      </w:r>
      <w:r w:rsidR="00630F2E" w:rsidRPr="00E76E89">
        <w:rPr>
          <w:szCs w:val="24"/>
        </w:rPr>
        <w:t xml:space="preserve">m. Lietuvoje padarytus nusikalstamus veiksmus, nes jis tik vykdė kariuomenės vadų įsakymus. </w:t>
      </w:r>
      <w:r w:rsidR="00C96771" w:rsidRPr="00E76E89">
        <w:rPr>
          <w:rStyle w:val="CharStyle95"/>
          <w:rFonts w:ascii="Times New Roman" w:eastAsiaTheme="majorEastAsia" w:hAnsi="Times New Roman" w:cs="Times New Roman"/>
          <w:color w:val="000000"/>
          <w:sz w:val="24"/>
          <w:szCs w:val="24"/>
          <w:lang w:eastAsia="lt-LT"/>
        </w:rPr>
        <w:t>Konstitucijos </w:t>
      </w:r>
      <w:r w:rsidR="00630F2E" w:rsidRPr="00E76E89">
        <w:rPr>
          <w:rStyle w:val="CharStyle95"/>
          <w:rFonts w:ascii="Times New Roman" w:eastAsiaTheme="majorEastAsia" w:hAnsi="Times New Roman" w:cs="Times New Roman"/>
          <w:color w:val="000000"/>
          <w:sz w:val="24"/>
          <w:szCs w:val="24"/>
        </w:rPr>
        <w:t>31 </w:t>
      </w:r>
      <w:r w:rsidR="00630F2E" w:rsidRPr="00E76E89">
        <w:rPr>
          <w:rStyle w:val="CharStyle95"/>
          <w:rFonts w:ascii="Times New Roman" w:eastAsiaTheme="majorEastAsia" w:hAnsi="Times New Roman" w:cs="Times New Roman"/>
          <w:color w:val="000000"/>
          <w:sz w:val="24"/>
          <w:szCs w:val="24"/>
          <w:lang w:eastAsia="lt-LT"/>
        </w:rPr>
        <w:t xml:space="preserve">straipsnio </w:t>
      </w:r>
      <w:r w:rsidR="00630F2E" w:rsidRPr="00E76E89">
        <w:rPr>
          <w:rStyle w:val="CharStyle95"/>
          <w:rFonts w:ascii="Times New Roman" w:eastAsiaTheme="majorEastAsia" w:hAnsi="Times New Roman" w:cs="Times New Roman"/>
          <w:color w:val="000000"/>
          <w:sz w:val="24"/>
          <w:szCs w:val="24"/>
        </w:rPr>
        <w:t xml:space="preserve">4 </w:t>
      </w:r>
      <w:r w:rsidR="00630F2E" w:rsidRPr="00E76E89">
        <w:rPr>
          <w:rStyle w:val="CharStyle95"/>
          <w:rFonts w:ascii="Times New Roman" w:eastAsiaTheme="majorEastAsia" w:hAnsi="Times New Roman" w:cs="Times New Roman"/>
          <w:color w:val="000000"/>
          <w:sz w:val="24"/>
          <w:szCs w:val="24"/>
          <w:lang w:eastAsia="lt-LT"/>
        </w:rPr>
        <w:t>dalyje įtvirtintas principas</w:t>
      </w:r>
      <w:r w:rsidR="00630F2E" w:rsidRPr="00E76E89">
        <w:rPr>
          <w:rStyle w:val="CharStyle101"/>
          <w:rFonts w:ascii="Times New Roman" w:eastAsiaTheme="minorEastAsia" w:hAnsi="Times New Roman" w:cs="Times New Roman"/>
          <w:color w:val="000000"/>
          <w:sz w:val="24"/>
          <w:szCs w:val="24"/>
          <w:lang w:eastAsia="lt-LT"/>
        </w:rPr>
        <w:t xml:space="preserve"> </w:t>
      </w:r>
      <w:r w:rsidR="00630F2E" w:rsidRPr="00E76E89">
        <w:rPr>
          <w:rStyle w:val="CharStyle101"/>
          <w:rFonts w:ascii="Times New Roman" w:eastAsiaTheme="minorEastAsia" w:hAnsi="Times New Roman" w:cs="Times New Roman"/>
          <w:color w:val="000000"/>
          <w:sz w:val="24"/>
          <w:szCs w:val="24"/>
        </w:rPr>
        <w:t>nulla poena sine lege</w:t>
      </w:r>
      <w:r w:rsidR="00AB397B" w:rsidRPr="00E76E89">
        <w:rPr>
          <w:rStyle w:val="CharStyle101"/>
          <w:rFonts w:ascii="Times New Roman" w:eastAsiaTheme="minorEastAsia" w:hAnsi="Times New Roman" w:cs="Times New Roman"/>
          <w:color w:val="000000"/>
          <w:sz w:val="24"/>
          <w:szCs w:val="24"/>
        </w:rPr>
        <w:t xml:space="preserve"> </w:t>
      </w:r>
      <w:r w:rsidR="00AB397B" w:rsidRPr="00E76E89">
        <w:rPr>
          <w:rStyle w:val="CharStyle101"/>
          <w:rFonts w:ascii="Times New Roman" w:eastAsiaTheme="minorEastAsia" w:hAnsi="Times New Roman" w:cs="Times New Roman"/>
          <w:i w:val="0"/>
          <w:color w:val="000000"/>
          <w:sz w:val="24"/>
          <w:szCs w:val="24"/>
        </w:rPr>
        <w:t>(</w:t>
      </w:r>
      <w:r w:rsidR="00630F2E" w:rsidRPr="00E76E89">
        <w:rPr>
          <w:rStyle w:val="CharStyle95"/>
          <w:rFonts w:ascii="Times New Roman" w:eastAsiaTheme="majorEastAsia" w:hAnsi="Times New Roman" w:cs="Times New Roman"/>
          <w:color w:val="000000"/>
          <w:sz w:val="24"/>
          <w:szCs w:val="24"/>
          <w:lang w:eastAsia="lt-LT"/>
        </w:rPr>
        <w:t>asmuo negali būti baudžiamas už veiką, už kurią jos atlikimo metu pagal įstatymą nebuvo baudžiama</w:t>
      </w:r>
      <w:r w:rsidR="00AB397B" w:rsidRPr="00E76E89">
        <w:rPr>
          <w:rStyle w:val="CharStyle95"/>
          <w:rFonts w:ascii="Times New Roman" w:eastAsiaTheme="majorEastAsia" w:hAnsi="Times New Roman" w:cs="Times New Roman"/>
          <w:color w:val="000000"/>
          <w:sz w:val="24"/>
          <w:szCs w:val="24"/>
          <w:lang w:eastAsia="lt-LT"/>
        </w:rPr>
        <w:t>)</w:t>
      </w:r>
      <w:r w:rsidR="00630F2E" w:rsidRPr="00E76E89">
        <w:rPr>
          <w:rStyle w:val="CharStyle95"/>
          <w:rFonts w:ascii="Times New Roman" w:eastAsiaTheme="majorEastAsia" w:hAnsi="Times New Roman" w:cs="Times New Roman"/>
          <w:color w:val="000000"/>
          <w:sz w:val="24"/>
          <w:szCs w:val="24"/>
          <w:lang w:eastAsia="lt-LT"/>
        </w:rPr>
        <w:t xml:space="preserve">. Pagal LAT praktiką BK </w:t>
      </w:r>
      <w:r w:rsidR="00630F2E" w:rsidRPr="00E76E89">
        <w:rPr>
          <w:rStyle w:val="CharStyle95"/>
          <w:rFonts w:ascii="Times New Roman" w:eastAsiaTheme="majorEastAsia" w:hAnsi="Times New Roman" w:cs="Times New Roman"/>
          <w:color w:val="000000"/>
          <w:sz w:val="24"/>
          <w:szCs w:val="24"/>
        </w:rPr>
        <w:t xml:space="preserve">3 </w:t>
      </w:r>
      <w:r w:rsidR="00630F2E" w:rsidRPr="00E76E89">
        <w:rPr>
          <w:rStyle w:val="CharStyle95"/>
          <w:rFonts w:ascii="Times New Roman" w:eastAsiaTheme="majorEastAsia" w:hAnsi="Times New Roman" w:cs="Times New Roman"/>
          <w:color w:val="000000"/>
          <w:sz w:val="24"/>
          <w:szCs w:val="24"/>
          <w:lang w:eastAsia="lt-LT"/>
        </w:rPr>
        <w:t xml:space="preserve">straipsnio </w:t>
      </w:r>
      <w:r w:rsidR="00630F2E" w:rsidRPr="00E76E89">
        <w:rPr>
          <w:rStyle w:val="CharStyle95"/>
          <w:rFonts w:ascii="Times New Roman" w:eastAsiaTheme="majorEastAsia" w:hAnsi="Times New Roman" w:cs="Times New Roman"/>
          <w:color w:val="000000"/>
          <w:sz w:val="24"/>
          <w:szCs w:val="24"/>
        </w:rPr>
        <w:t xml:space="preserve">3 </w:t>
      </w:r>
      <w:r w:rsidR="00630F2E" w:rsidRPr="00E76E89">
        <w:rPr>
          <w:rStyle w:val="CharStyle95"/>
          <w:rFonts w:ascii="Times New Roman" w:eastAsiaTheme="majorEastAsia" w:hAnsi="Times New Roman" w:cs="Times New Roman"/>
          <w:color w:val="000000"/>
          <w:sz w:val="24"/>
          <w:szCs w:val="24"/>
          <w:lang w:eastAsia="lt-LT"/>
        </w:rPr>
        <w:t>dalies nuostata tiek, kiek joje nustatytas teisinis reg</w:t>
      </w:r>
      <w:r w:rsidR="002A2E2B" w:rsidRPr="00E76E89">
        <w:rPr>
          <w:rStyle w:val="CharStyle95"/>
          <w:rFonts w:ascii="Times New Roman" w:eastAsiaTheme="majorEastAsia" w:hAnsi="Times New Roman" w:cs="Times New Roman"/>
          <w:color w:val="000000"/>
          <w:sz w:val="24"/>
          <w:szCs w:val="24"/>
          <w:lang w:eastAsia="lt-LT"/>
        </w:rPr>
        <w:t>lamentavimas</w:t>
      </w:r>
      <w:r w:rsidR="00630F2E" w:rsidRPr="00E76E89">
        <w:rPr>
          <w:rStyle w:val="CharStyle95"/>
          <w:rFonts w:ascii="Times New Roman" w:eastAsiaTheme="majorEastAsia" w:hAnsi="Times New Roman" w:cs="Times New Roman"/>
          <w:color w:val="000000"/>
          <w:sz w:val="24"/>
          <w:szCs w:val="24"/>
          <w:lang w:eastAsia="lt-LT"/>
        </w:rPr>
        <w:t>, pagal kurį asmuo gali būti teisiamas už veiksmus, atliktus tol, kol BK nebuvo nustatyta atsakomybė už tokių veiksmų padar</w:t>
      </w:r>
      <w:r w:rsidR="00E76E89">
        <w:rPr>
          <w:rStyle w:val="CharStyle95"/>
          <w:rFonts w:ascii="Times New Roman" w:eastAsiaTheme="majorEastAsia" w:hAnsi="Times New Roman" w:cs="Times New Roman"/>
          <w:color w:val="000000"/>
          <w:sz w:val="24"/>
          <w:szCs w:val="24"/>
          <w:lang w:eastAsia="lt-LT"/>
        </w:rPr>
        <w:t>ymą, prieštarauja Konstitucijos </w:t>
      </w:r>
      <w:r w:rsidR="00630F2E" w:rsidRPr="00E76E89">
        <w:rPr>
          <w:rStyle w:val="CharStyle95"/>
          <w:rFonts w:ascii="Times New Roman" w:eastAsiaTheme="majorEastAsia" w:hAnsi="Times New Roman" w:cs="Times New Roman"/>
          <w:color w:val="000000"/>
          <w:sz w:val="24"/>
          <w:szCs w:val="24"/>
        </w:rPr>
        <w:t>31</w:t>
      </w:r>
      <w:r w:rsidR="00FB618F" w:rsidRPr="00E76E89">
        <w:rPr>
          <w:rStyle w:val="CharStyle95"/>
          <w:rFonts w:ascii="Times New Roman" w:eastAsiaTheme="majorEastAsia" w:hAnsi="Times New Roman" w:cs="Times New Roman"/>
          <w:color w:val="000000"/>
          <w:sz w:val="24"/>
          <w:szCs w:val="24"/>
        </w:rPr>
        <w:t> </w:t>
      </w:r>
      <w:r w:rsidR="00630F2E" w:rsidRPr="00E76E89">
        <w:rPr>
          <w:rStyle w:val="CharStyle95"/>
          <w:rFonts w:ascii="Times New Roman" w:eastAsiaTheme="majorEastAsia" w:hAnsi="Times New Roman" w:cs="Times New Roman"/>
          <w:color w:val="000000"/>
          <w:sz w:val="24"/>
          <w:szCs w:val="24"/>
          <w:lang w:eastAsia="lt-LT"/>
        </w:rPr>
        <w:t xml:space="preserve">straipsnio </w:t>
      </w:r>
      <w:r w:rsidR="00630F2E" w:rsidRPr="00E76E89">
        <w:rPr>
          <w:rStyle w:val="CharStyle95"/>
          <w:rFonts w:ascii="Times New Roman" w:eastAsiaTheme="majorEastAsia" w:hAnsi="Times New Roman" w:cs="Times New Roman"/>
          <w:color w:val="000000"/>
          <w:sz w:val="24"/>
          <w:szCs w:val="24"/>
        </w:rPr>
        <w:t xml:space="preserve">4 </w:t>
      </w:r>
      <w:r w:rsidR="00630F2E" w:rsidRPr="00E76E89">
        <w:rPr>
          <w:rStyle w:val="CharStyle95"/>
          <w:rFonts w:ascii="Times New Roman" w:eastAsiaTheme="majorEastAsia" w:hAnsi="Times New Roman" w:cs="Times New Roman"/>
          <w:color w:val="000000"/>
          <w:sz w:val="24"/>
          <w:szCs w:val="24"/>
          <w:lang w:eastAsia="lt-LT"/>
        </w:rPr>
        <w:t xml:space="preserve">daliai, konstituciniam teisinės valstybės principui ir visuotinai pripažintiems baudžiamojo proceso principams, įtvirtintiems </w:t>
      </w:r>
      <w:r w:rsidR="00630F2E" w:rsidRPr="00E76E89">
        <w:rPr>
          <w:rStyle w:val="CharStyle95"/>
          <w:rFonts w:ascii="Times New Roman" w:eastAsiaTheme="majorEastAsia" w:hAnsi="Times New Roman" w:cs="Times New Roman"/>
          <w:color w:val="000000"/>
          <w:sz w:val="24"/>
          <w:szCs w:val="24"/>
        </w:rPr>
        <w:t>1948 m. gruodžio 10 d.</w:t>
      </w:r>
      <w:r w:rsidR="0042306C" w:rsidRPr="00E76E89">
        <w:rPr>
          <w:rStyle w:val="CharStyle95"/>
          <w:rFonts w:ascii="Times New Roman" w:eastAsiaTheme="majorEastAsia" w:hAnsi="Times New Roman" w:cs="Times New Roman"/>
          <w:color w:val="000000"/>
          <w:sz w:val="24"/>
          <w:szCs w:val="24"/>
        </w:rPr>
        <w:t xml:space="preserve"> </w:t>
      </w:r>
      <w:r w:rsidR="00630F2E" w:rsidRPr="00E76E89">
        <w:rPr>
          <w:rStyle w:val="CharStyle95"/>
          <w:rFonts w:ascii="Times New Roman" w:eastAsiaTheme="majorEastAsia" w:hAnsi="Times New Roman" w:cs="Times New Roman"/>
          <w:color w:val="000000"/>
          <w:sz w:val="24"/>
          <w:szCs w:val="24"/>
          <w:lang w:eastAsia="lt-LT"/>
        </w:rPr>
        <w:t xml:space="preserve">Visuotinės žmogaus teisės deklaracijos </w:t>
      </w:r>
      <w:r w:rsidR="00525C07" w:rsidRPr="00E76E89">
        <w:rPr>
          <w:rStyle w:val="CharStyle95"/>
          <w:rFonts w:ascii="Times New Roman" w:eastAsiaTheme="majorEastAsia" w:hAnsi="Times New Roman" w:cs="Times New Roman"/>
          <w:color w:val="000000"/>
          <w:sz w:val="24"/>
          <w:szCs w:val="24"/>
        </w:rPr>
        <w:t>11 </w:t>
      </w:r>
      <w:r w:rsidR="00630F2E" w:rsidRPr="00E76E89">
        <w:rPr>
          <w:rStyle w:val="CharStyle95"/>
          <w:rFonts w:ascii="Times New Roman" w:eastAsiaTheme="majorEastAsia" w:hAnsi="Times New Roman" w:cs="Times New Roman"/>
          <w:color w:val="000000"/>
          <w:sz w:val="24"/>
          <w:szCs w:val="24"/>
          <w:lang w:eastAsia="lt-LT"/>
        </w:rPr>
        <w:t xml:space="preserve">straipsnio </w:t>
      </w:r>
      <w:r w:rsidR="00C96771" w:rsidRPr="00E76E89">
        <w:rPr>
          <w:rStyle w:val="CharStyle95"/>
          <w:rFonts w:ascii="Times New Roman" w:eastAsiaTheme="majorEastAsia" w:hAnsi="Times New Roman" w:cs="Times New Roman"/>
          <w:color w:val="000000"/>
          <w:sz w:val="24"/>
          <w:szCs w:val="24"/>
        </w:rPr>
        <w:t>2 </w:t>
      </w:r>
      <w:r w:rsidR="00A565EE" w:rsidRPr="00E76E89">
        <w:rPr>
          <w:rStyle w:val="CharStyle95"/>
          <w:rFonts w:ascii="Times New Roman" w:eastAsiaTheme="majorEastAsia" w:hAnsi="Times New Roman" w:cs="Times New Roman"/>
          <w:color w:val="000000"/>
          <w:sz w:val="24"/>
          <w:szCs w:val="24"/>
          <w:lang w:eastAsia="lt-LT"/>
        </w:rPr>
        <w:t>punkte</w:t>
      </w:r>
      <w:r w:rsidR="00630F2E" w:rsidRPr="00E76E89">
        <w:rPr>
          <w:rStyle w:val="CharStyle95"/>
          <w:rFonts w:ascii="Times New Roman" w:eastAsiaTheme="majorEastAsia" w:hAnsi="Times New Roman" w:cs="Times New Roman"/>
          <w:color w:val="000000"/>
          <w:sz w:val="24"/>
          <w:szCs w:val="24"/>
          <w:lang w:eastAsia="lt-LT"/>
        </w:rPr>
        <w:t xml:space="preserve"> ir </w:t>
      </w:r>
      <w:r w:rsidR="00491A27" w:rsidRPr="00E76E89">
        <w:rPr>
          <w:szCs w:val="24"/>
        </w:rPr>
        <w:t>EŽTK</w:t>
      </w:r>
      <w:r w:rsidR="00491A27" w:rsidRPr="00E76E89">
        <w:rPr>
          <w:rStyle w:val="CharStyle95"/>
          <w:rFonts w:ascii="Times New Roman" w:eastAsiaTheme="majorEastAsia" w:hAnsi="Times New Roman" w:cs="Times New Roman"/>
          <w:color w:val="000000"/>
          <w:sz w:val="24"/>
          <w:szCs w:val="24"/>
        </w:rPr>
        <w:t xml:space="preserve"> </w:t>
      </w:r>
      <w:r w:rsidR="00630F2E" w:rsidRPr="00E76E89">
        <w:rPr>
          <w:rStyle w:val="CharStyle95"/>
          <w:rFonts w:ascii="Times New Roman" w:eastAsiaTheme="majorEastAsia" w:hAnsi="Times New Roman" w:cs="Times New Roman"/>
          <w:color w:val="000000"/>
          <w:sz w:val="24"/>
          <w:szCs w:val="24"/>
        </w:rPr>
        <w:t>7 </w:t>
      </w:r>
      <w:r w:rsidR="00630F2E" w:rsidRPr="00E76E89">
        <w:rPr>
          <w:rStyle w:val="CharStyle95"/>
          <w:rFonts w:ascii="Times New Roman" w:eastAsiaTheme="majorEastAsia" w:hAnsi="Times New Roman" w:cs="Times New Roman"/>
          <w:color w:val="000000"/>
          <w:sz w:val="24"/>
          <w:szCs w:val="24"/>
          <w:lang w:eastAsia="lt-LT"/>
        </w:rPr>
        <w:t xml:space="preserve">straipsnio </w:t>
      </w:r>
      <w:r w:rsidR="00630F2E" w:rsidRPr="00E76E89">
        <w:rPr>
          <w:rStyle w:val="CharStyle95"/>
          <w:rFonts w:ascii="Times New Roman" w:eastAsiaTheme="majorEastAsia" w:hAnsi="Times New Roman" w:cs="Times New Roman"/>
          <w:color w:val="000000"/>
          <w:sz w:val="24"/>
          <w:szCs w:val="24"/>
        </w:rPr>
        <w:t xml:space="preserve">1 </w:t>
      </w:r>
      <w:r w:rsidR="00A565EE" w:rsidRPr="00E76E89">
        <w:rPr>
          <w:rStyle w:val="CharStyle95"/>
          <w:rFonts w:ascii="Times New Roman" w:eastAsiaTheme="majorEastAsia" w:hAnsi="Times New Roman" w:cs="Times New Roman"/>
          <w:color w:val="000000"/>
          <w:sz w:val="24"/>
          <w:szCs w:val="24"/>
          <w:lang w:eastAsia="lt-LT"/>
        </w:rPr>
        <w:t>punkte</w:t>
      </w:r>
      <w:r w:rsidR="00630F2E" w:rsidRPr="00E76E89">
        <w:rPr>
          <w:rStyle w:val="CharStyle101"/>
          <w:rFonts w:ascii="Times New Roman" w:eastAsiaTheme="minorEastAsia" w:hAnsi="Times New Roman" w:cs="Times New Roman"/>
          <w:color w:val="000000"/>
          <w:sz w:val="24"/>
          <w:szCs w:val="24"/>
          <w:lang w:eastAsia="lt-LT"/>
        </w:rPr>
        <w:t xml:space="preserve"> </w:t>
      </w:r>
      <w:r w:rsidR="00630F2E" w:rsidRPr="00E76E89">
        <w:rPr>
          <w:rStyle w:val="CharStyle101"/>
          <w:rFonts w:ascii="Times New Roman" w:eastAsiaTheme="minorEastAsia" w:hAnsi="Times New Roman" w:cs="Times New Roman"/>
          <w:i w:val="0"/>
          <w:color w:val="000000"/>
          <w:sz w:val="24"/>
          <w:szCs w:val="24"/>
          <w:lang w:eastAsia="lt-LT"/>
        </w:rPr>
        <w:t>(LAT nutartis</w:t>
      </w:r>
      <w:r w:rsidR="00491A27" w:rsidRPr="00E76E89">
        <w:rPr>
          <w:rStyle w:val="CharStyle101"/>
          <w:rFonts w:ascii="Times New Roman" w:eastAsiaTheme="minorEastAsia" w:hAnsi="Times New Roman" w:cs="Times New Roman"/>
          <w:i w:val="0"/>
          <w:color w:val="000000"/>
          <w:sz w:val="24"/>
          <w:szCs w:val="24"/>
          <w:lang w:eastAsia="lt-LT"/>
        </w:rPr>
        <w:t xml:space="preserve"> baudžiamojoje byloje</w:t>
      </w:r>
      <w:r w:rsidR="00630F2E" w:rsidRPr="00E76E89">
        <w:rPr>
          <w:rStyle w:val="CharStyle101"/>
          <w:rFonts w:ascii="Times New Roman" w:eastAsiaTheme="minorEastAsia" w:hAnsi="Times New Roman" w:cs="Times New Roman"/>
          <w:i w:val="0"/>
          <w:color w:val="000000"/>
          <w:sz w:val="24"/>
          <w:szCs w:val="24"/>
          <w:lang w:eastAsia="lt-LT"/>
        </w:rPr>
        <w:t xml:space="preserve"> </w:t>
      </w:r>
      <w:r w:rsidR="00A565EE" w:rsidRPr="00E76E89">
        <w:rPr>
          <w:rStyle w:val="CharStyle101"/>
          <w:rFonts w:ascii="Times New Roman" w:eastAsiaTheme="minorEastAsia" w:hAnsi="Times New Roman" w:cs="Times New Roman"/>
          <w:i w:val="0"/>
          <w:color w:val="000000"/>
          <w:sz w:val="24"/>
          <w:szCs w:val="24"/>
        </w:rPr>
        <w:t>Nr. </w:t>
      </w:r>
      <w:r w:rsidR="00630F2E" w:rsidRPr="00E76E89">
        <w:rPr>
          <w:rStyle w:val="CharStyle101"/>
          <w:rFonts w:ascii="Times New Roman" w:eastAsiaTheme="minorEastAsia" w:hAnsi="Times New Roman" w:cs="Times New Roman"/>
          <w:i w:val="0"/>
          <w:color w:val="000000"/>
          <w:sz w:val="24"/>
          <w:szCs w:val="24"/>
          <w:lang w:eastAsia="lt-LT"/>
        </w:rPr>
        <w:t>2K-5-895/2016).</w:t>
      </w:r>
    </w:p>
    <w:p w:rsidR="00630F2E" w:rsidRPr="00E76E89" w:rsidRDefault="00630F2E" w:rsidP="00321748">
      <w:pPr>
        <w:pStyle w:val="ListParagraph"/>
        <w:numPr>
          <w:ilvl w:val="1"/>
          <w:numId w:val="6"/>
        </w:numPr>
        <w:spacing w:before="120" w:after="120"/>
        <w:ind w:left="992" w:hanging="992"/>
        <w:contextualSpacing w:val="0"/>
        <w:rPr>
          <w:rStyle w:val="CharStyle104"/>
          <w:rFonts w:ascii="Times New Roman" w:hAnsi="Times New Roman" w:cs="Times New Roman"/>
          <w:sz w:val="24"/>
          <w:szCs w:val="24"/>
          <w:shd w:val="clear" w:color="auto" w:fill="auto"/>
        </w:rPr>
      </w:pPr>
      <w:r w:rsidRPr="00E76E89">
        <w:rPr>
          <w:szCs w:val="24"/>
        </w:rPr>
        <w:t xml:space="preserve">Teismas nepagrįstai vadovavosi </w:t>
      </w:r>
      <w:r w:rsidR="006036E7" w:rsidRPr="00E76E89">
        <w:rPr>
          <w:szCs w:val="24"/>
        </w:rPr>
        <w:t>S. K.</w:t>
      </w:r>
      <w:r w:rsidRPr="00E76E89">
        <w:rPr>
          <w:szCs w:val="24"/>
        </w:rPr>
        <w:t xml:space="preserve"> parodymais, kuriuos jis davė apklausiamas kaip liudytojas. Tokius parodymus </w:t>
      </w:r>
      <w:r w:rsidR="006036E7" w:rsidRPr="00E76E89">
        <w:rPr>
          <w:szCs w:val="24"/>
        </w:rPr>
        <w:t>S. K.</w:t>
      </w:r>
      <w:r w:rsidRPr="00E76E89">
        <w:rPr>
          <w:szCs w:val="24"/>
        </w:rPr>
        <w:t xml:space="preserve"> davė neįspėtas apie teisę atsisakyti duoti paro</w:t>
      </w:r>
      <w:r w:rsidR="00DB0F54" w:rsidRPr="00E76E89">
        <w:rPr>
          <w:szCs w:val="24"/>
        </w:rPr>
        <w:t>dymus prieš save, t.</w:t>
      </w:r>
      <w:r w:rsidR="00744A08" w:rsidRPr="00E76E89">
        <w:rPr>
          <w:szCs w:val="24"/>
        </w:rPr>
        <w:t> </w:t>
      </w:r>
      <w:r w:rsidR="00DB0F54" w:rsidRPr="00E76E89">
        <w:rPr>
          <w:szCs w:val="24"/>
        </w:rPr>
        <w:t>y. verčiamas</w:t>
      </w:r>
      <w:r w:rsidRPr="00E76E89">
        <w:rPr>
          <w:szCs w:val="24"/>
        </w:rPr>
        <w:t xml:space="preserve"> duoti parodymus prieš save. Be to, teismas netinkamai įvertino </w:t>
      </w:r>
      <w:r w:rsidR="006036E7" w:rsidRPr="00E76E89">
        <w:rPr>
          <w:szCs w:val="24"/>
        </w:rPr>
        <w:t>S. K.</w:t>
      </w:r>
      <w:r w:rsidRPr="00E76E89">
        <w:rPr>
          <w:szCs w:val="24"/>
        </w:rPr>
        <w:t xml:space="preserve"> parodymus, iš kurių akivaizdu, jog jis </w:t>
      </w:r>
      <w:r w:rsidRPr="00E76E89">
        <w:rPr>
          <w:rStyle w:val="CharStyle104"/>
          <w:rFonts w:ascii="Times New Roman" w:hAnsi="Times New Roman" w:cs="Times New Roman"/>
          <w:color w:val="000000"/>
          <w:sz w:val="24"/>
          <w:szCs w:val="24"/>
        </w:rPr>
        <w:t>kariuomenės smurtiniuose veiksmuose nedalyvavo ir jiems nevadovavo, o veikė siekdamas išvengti kareivių ir civilių</w:t>
      </w:r>
      <w:r w:rsidR="002A2E2B" w:rsidRPr="00E76E89">
        <w:rPr>
          <w:rStyle w:val="CharStyle104"/>
          <w:rFonts w:ascii="Times New Roman" w:hAnsi="Times New Roman" w:cs="Times New Roman"/>
          <w:color w:val="000000"/>
          <w:sz w:val="24"/>
          <w:szCs w:val="24"/>
        </w:rPr>
        <w:t xml:space="preserve"> susidūrimų</w:t>
      </w:r>
      <w:r w:rsidRPr="00E76E89">
        <w:rPr>
          <w:rStyle w:val="CharStyle104"/>
          <w:rFonts w:ascii="Times New Roman" w:hAnsi="Times New Roman" w:cs="Times New Roman"/>
          <w:color w:val="000000"/>
          <w:sz w:val="24"/>
          <w:szCs w:val="24"/>
        </w:rPr>
        <w:t>.</w:t>
      </w:r>
    </w:p>
    <w:p w:rsidR="00630F2E" w:rsidRPr="00E76E89" w:rsidRDefault="00630F2E" w:rsidP="00321748">
      <w:pPr>
        <w:pStyle w:val="ListParagraph"/>
        <w:numPr>
          <w:ilvl w:val="1"/>
          <w:numId w:val="6"/>
        </w:numPr>
        <w:spacing w:before="120" w:after="120"/>
        <w:ind w:left="992" w:hanging="992"/>
        <w:contextualSpacing w:val="0"/>
        <w:rPr>
          <w:szCs w:val="24"/>
        </w:rPr>
      </w:pPr>
      <w:r w:rsidRPr="00E76E89">
        <w:rPr>
          <w:szCs w:val="24"/>
        </w:rPr>
        <w:t>Teismo padarytos išvados neatitinka faktinių</w:t>
      </w:r>
      <w:r w:rsidR="001E5596" w:rsidRPr="00E76E89">
        <w:rPr>
          <w:szCs w:val="24"/>
        </w:rPr>
        <w:t xml:space="preserve"> bylos</w:t>
      </w:r>
      <w:r w:rsidRPr="00E76E89">
        <w:rPr>
          <w:szCs w:val="24"/>
        </w:rPr>
        <w:t xml:space="preserve"> aplinkybių. Priešingai nei nustatė teismas, </w:t>
      </w:r>
      <w:r w:rsidR="006036E7" w:rsidRPr="00E76E89">
        <w:rPr>
          <w:szCs w:val="24"/>
        </w:rPr>
        <w:t>S. K.</w:t>
      </w:r>
      <w:r w:rsidRPr="00E76E89">
        <w:rPr>
          <w:szCs w:val="24"/>
        </w:rPr>
        <w:t xml:space="preserve"> nebuvo duotas įsakymas dėl objekto šturmo. Pagal paties </w:t>
      </w:r>
      <w:r w:rsidR="006036E7" w:rsidRPr="00E76E89">
        <w:rPr>
          <w:szCs w:val="24"/>
        </w:rPr>
        <w:t>S. K.</w:t>
      </w:r>
      <w:r w:rsidRPr="00E76E89">
        <w:rPr>
          <w:szCs w:val="24"/>
        </w:rPr>
        <w:t xml:space="preserve"> parodymus 1991 m. sausio 12 d. dalinio vadovybė įsakė paruošti maršrutą</w:t>
      </w:r>
      <w:r w:rsidR="001E5596" w:rsidRPr="00E76E89">
        <w:rPr>
          <w:szCs w:val="24"/>
        </w:rPr>
        <w:t>,</w:t>
      </w:r>
      <w:r w:rsidRPr="00E76E89">
        <w:rPr>
          <w:szCs w:val="24"/>
        </w:rPr>
        <w:t xml:space="preserve"> transportą, </w:t>
      </w:r>
      <w:r w:rsidR="00720E64" w:rsidRPr="00E76E89">
        <w:rPr>
          <w:szCs w:val="24"/>
        </w:rPr>
        <w:t>į</w:t>
      </w:r>
      <w:r w:rsidRPr="00E76E89">
        <w:rPr>
          <w:szCs w:val="24"/>
        </w:rPr>
        <w:t xml:space="preserve">pilti </w:t>
      </w:r>
      <w:r w:rsidR="00720E64" w:rsidRPr="00E76E89">
        <w:rPr>
          <w:szCs w:val="24"/>
        </w:rPr>
        <w:t>degalų</w:t>
      </w:r>
      <w:r w:rsidRPr="00E76E89">
        <w:rPr>
          <w:szCs w:val="24"/>
        </w:rPr>
        <w:t xml:space="preserve"> ir </w:t>
      </w:r>
      <w:r w:rsidRPr="00E76E89">
        <w:rPr>
          <w:szCs w:val="24"/>
        </w:rPr>
        <w:lastRenderedPageBreak/>
        <w:t xml:space="preserve">žinoti tikslų maršrutą. Daugiau jokių duomenų apie </w:t>
      </w:r>
      <w:r w:rsidR="006036E7" w:rsidRPr="00E76E89">
        <w:rPr>
          <w:szCs w:val="24"/>
        </w:rPr>
        <w:t>S. K.</w:t>
      </w:r>
      <w:r w:rsidRPr="00E76E89">
        <w:rPr>
          <w:szCs w:val="24"/>
        </w:rPr>
        <w:t xml:space="preserve"> dalyvavimą operacijose nėra, jis nėra nurodytas ir byloje esančiuose sąrašuose apie dalinio Nr.</w:t>
      </w:r>
      <w:r w:rsidR="00744A08" w:rsidRPr="00E76E89">
        <w:rPr>
          <w:szCs w:val="24"/>
        </w:rPr>
        <w:t> </w:t>
      </w:r>
      <w:r w:rsidRPr="00E76E89">
        <w:rPr>
          <w:szCs w:val="24"/>
        </w:rPr>
        <w:t>74</w:t>
      </w:r>
      <w:r w:rsidR="001E5596" w:rsidRPr="00E76E89">
        <w:rPr>
          <w:szCs w:val="24"/>
        </w:rPr>
        <w:t>268 sudėtį (t. 152, b. l. 51–57;</w:t>
      </w:r>
      <w:r w:rsidRPr="00E76E89">
        <w:rPr>
          <w:szCs w:val="24"/>
        </w:rPr>
        <w:t xml:space="preserve"> t. 451, b. l. 139–144). </w:t>
      </w:r>
      <w:r w:rsidR="006036E7" w:rsidRPr="00E76E89">
        <w:rPr>
          <w:szCs w:val="24"/>
        </w:rPr>
        <w:t>S. K.</w:t>
      </w:r>
      <w:r w:rsidRPr="00E76E89">
        <w:rPr>
          <w:szCs w:val="24"/>
        </w:rPr>
        <w:t xml:space="preserve"> nedalyvavo ir </w:t>
      </w:r>
      <w:r w:rsidR="00720E64" w:rsidRPr="00E76E89">
        <w:rPr>
          <w:szCs w:val="24"/>
        </w:rPr>
        <w:t xml:space="preserve">užimant </w:t>
      </w:r>
      <w:r w:rsidRPr="00E76E89">
        <w:rPr>
          <w:szCs w:val="24"/>
        </w:rPr>
        <w:t>Policijos akademij</w:t>
      </w:r>
      <w:r w:rsidR="00720E64" w:rsidRPr="00E76E89">
        <w:rPr>
          <w:szCs w:val="24"/>
        </w:rPr>
        <w:t>ą</w:t>
      </w:r>
      <w:r w:rsidRPr="00E76E89">
        <w:rPr>
          <w:szCs w:val="24"/>
        </w:rPr>
        <w:t>, Spaudos rūm</w:t>
      </w:r>
      <w:r w:rsidR="00720E64" w:rsidRPr="00E76E89">
        <w:rPr>
          <w:szCs w:val="24"/>
        </w:rPr>
        <w:t>us</w:t>
      </w:r>
      <w:r w:rsidRPr="00E76E89">
        <w:rPr>
          <w:szCs w:val="24"/>
        </w:rPr>
        <w:t xml:space="preserve"> ir kit</w:t>
      </w:r>
      <w:r w:rsidR="00720E64" w:rsidRPr="00E76E89">
        <w:rPr>
          <w:szCs w:val="24"/>
        </w:rPr>
        <w:t>us</w:t>
      </w:r>
      <w:r w:rsidRPr="00E76E89">
        <w:rPr>
          <w:szCs w:val="24"/>
        </w:rPr>
        <w:t xml:space="preserve"> punkt</w:t>
      </w:r>
      <w:r w:rsidR="00720E64" w:rsidRPr="00E76E89">
        <w:rPr>
          <w:szCs w:val="24"/>
        </w:rPr>
        <w:t>us</w:t>
      </w:r>
      <w:r w:rsidRPr="00E76E89">
        <w:rPr>
          <w:szCs w:val="24"/>
        </w:rPr>
        <w:t>, nors pulkas, kuriame jis tarnavo</w:t>
      </w:r>
      <w:r w:rsidR="001E5596" w:rsidRPr="00E76E89">
        <w:rPr>
          <w:szCs w:val="24"/>
        </w:rPr>
        <w:t>,</w:t>
      </w:r>
      <w:r w:rsidRPr="00E76E89">
        <w:rPr>
          <w:szCs w:val="24"/>
        </w:rPr>
        <w:t xml:space="preserve"> šiuos</w:t>
      </w:r>
      <w:r w:rsidR="001E5596" w:rsidRPr="00E76E89">
        <w:rPr>
          <w:szCs w:val="24"/>
        </w:rPr>
        <w:t>e įvykiuose iš tiesų dalyvavo,</w:t>
      </w:r>
      <w:r w:rsidRPr="00E76E89">
        <w:rPr>
          <w:szCs w:val="24"/>
        </w:rPr>
        <w:t xml:space="preserve"> pastarojo ten nebuvo. Priešingai nei nurodė teismas (nuosprendžio 208 lapas), Pskovo 76-osios oro desanto divizijos kariškiai </w:t>
      </w:r>
      <w:r w:rsidR="00385BC9" w:rsidRPr="00E76E89">
        <w:rPr>
          <w:szCs w:val="24"/>
        </w:rPr>
        <w:t>V. S. 2</w:t>
      </w:r>
      <w:r w:rsidRPr="00E76E89">
        <w:rPr>
          <w:szCs w:val="24"/>
        </w:rPr>
        <w:t xml:space="preserve">, </w:t>
      </w:r>
      <w:r w:rsidR="006036E7" w:rsidRPr="00E76E89">
        <w:rPr>
          <w:szCs w:val="24"/>
        </w:rPr>
        <w:t>A. G. 2</w:t>
      </w:r>
      <w:r w:rsidRPr="00E76E89">
        <w:rPr>
          <w:szCs w:val="24"/>
        </w:rPr>
        <w:t xml:space="preserve"> ir liudy</w:t>
      </w:r>
      <w:r w:rsidR="001E5596" w:rsidRPr="00E76E89">
        <w:rPr>
          <w:szCs w:val="24"/>
        </w:rPr>
        <w:t>tojai</w:t>
      </w:r>
      <w:r w:rsidRPr="00E76E89">
        <w:rPr>
          <w:szCs w:val="24"/>
        </w:rPr>
        <w:t xml:space="preserve"> </w:t>
      </w:r>
      <w:r w:rsidR="00DD1A27" w:rsidRPr="00E76E89">
        <w:rPr>
          <w:szCs w:val="24"/>
        </w:rPr>
        <w:t>I. R.</w:t>
      </w:r>
      <w:r w:rsidRPr="00E76E89">
        <w:rPr>
          <w:szCs w:val="24"/>
        </w:rPr>
        <w:t xml:space="preserve">, </w:t>
      </w:r>
      <w:r w:rsidR="00DD1A27" w:rsidRPr="00E76E89">
        <w:rPr>
          <w:szCs w:val="24"/>
        </w:rPr>
        <w:t>D. J.</w:t>
      </w:r>
      <w:r w:rsidRPr="00E76E89">
        <w:rPr>
          <w:szCs w:val="24"/>
        </w:rPr>
        <w:t xml:space="preserve">, </w:t>
      </w:r>
      <w:r w:rsidR="00DD1A27" w:rsidRPr="00E76E89">
        <w:rPr>
          <w:szCs w:val="24"/>
        </w:rPr>
        <w:t>Š. B.</w:t>
      </w:r>
      <w:r w:rsidRPr="00E76E89">
        <w:rPr>
          <w:szCs w:val="24"/>
        </w:rPr>
        <w:t xml:space="preserve"> apie </w:t>
      </w:r>
      <w:r w:rsidR="006036E7" w:rsidRPr="00E76E89">
        <w:rPr>
          <w:szCs w:val="24"/>
        </w:rPr>
        <w:t>S. K.</w:t>
      </w:r>
      <w:r w:rsidR="00DD1A27" w:rsidRPr="00E76E89">
        <w:rPr>
          <w:szCs w:val="24"/>
        </w:rPr>
        <w:t xml:space="preserve"> dalyvavimą Spaudos </w:t>
      </w:r>
      <w:r w:rsidRPr="00E76E89">
        <w:rPr>
          <w:szCs w:val="24"/>
        </w:rPr>
        <w:t>rūmų šturme net neužsiminė. To nenustatė ir tyrimą atlikęs specialistas J.</w:t>
      </w:r>
      <w:r w:rsidR="00720E64" w:rsidRPr="00E76E89">
        <w:rPr>
          <w:szCs w:val="24"/>
        </w:rPr>
        <w:t> </w:t>
      </w:r>
      <w:r w:rsidRPr="00E76E89">
        <w:rPr>
          <w:szCs w:val="24"/>
        </w:rPr>
        <w:t xml:space="preserve">Andriškevičius. Teismas taip pat nepagrįstai nustatė, kad su kitais kaltinamaisiais </w:t>
      </w:r>
      <w:r w:rsidR="006036E7" w:rsidRPr="00E76E89">
        <w:rPr>
          <w:szCs w:val="24"/>
        </w:rPr>
        <w:t>S. K.</w:t>
      </w:r>
      <w:r w:rsidR="00A34D0A" w:rsidRPr="00E76E89">
        <w:rPr>
          <w:szCs w:val="24"/>
        </w:rPr>
        <w:t xml:space="preserve"> vadovavo 234-ojo pulko 3</w:t>
      </w:r>
      <w:r w:rsidR="0073668D" w:rsidRPr="00E76E89">
        <w:rPr>
          <w:szCs w:val="24"/>
        </w:rPr>
        <w:t>-i</w:t>
      </w:r>
      <w:r w:rsidRPr="00E76E89">
        <w:rPr>
          <w:szCs w:val="24"/>
        </w:rPr>
        <w:t>ojo bataliono 8-osios ir 9-osios k</w:t>
      </w:r>
      <w:r w:rsidR="00E76E89">
        <w:rPr>
          <w:szCs w:val="24"/>
        </w:rPr>
        <w:t>uopų kariškiams, šturmuojant TV </w:t>
      </w:r>
      <w:r w:rsidRPr="00E76E89">
        <w:rPr>
          <w:szCs w:val="24"/>
        </w:rPr>
        <w:t>bokštą (nuosprendžio 437 lapas) ir dalyvavo užimant Polici</w:t>
      </w:r>
      <w:r w:rsidR="00E76E89">
        <w:rPr>
          <w:szCs w:val="24"/>
        </w:rPr>
        <w:t>jos akademijos pastatą, Spaudos </w:t>
      </w:r>
      <w:r w:rsidRPr="00E76E89">
        <w:rPr>
          <w:szCs w:val="24"/>
        </w:rPr>
        <w:t xml:space="preserve">rūmus ir </w:t>
      </w:r>
      <w:r w:rsidR="00DE3B19" w:rsidRPr="00E76E89">
        <w:rPr>
          <w:szCs w:val="24"/>
        </w:rPr>
        <w:t xml:space="preserve">TV </w:t>
      </w:r>
      <w:r w:rsidRPr="00E76E89">
        <w:rPr>
          <w:szCs w:val="24"/>
        </w:rPr>
        <w:t>bokštą (nuosprendžio 859 ir 872 lapai). Byloje nėra tai patvirtinančių duomenų. N</w:t>
      </w:r>
      <w:r w:rsidR="00720E64" w:rsidRPr="00E76E89">
        <w:rPr>
          <w:szCs w:val="24"/>
        </w:rPr>
        <w:t>ė</w:t>
      </w:r>
      <w:r w:rsidRPr="00E76E89">
        <w:rPr>
          <w:szCs w:val="24"/>
        </w:rPr>
        <w:t xml:space="preserve"> vienas iš byloje apklaustų liudytojų, nukentėjusiųjų ir kareivių (karininkų) </w:t>
      </w:r>
      <w:r w:rsidR="006036E7" w:rsidRPr="00E76E89">
        <w:rPr>
          <w:szCs w:val="24"/>
        </w:rPr>
        <w:t>S. K.</w:t>
      </w:r>
      <w:r w:rsidRPr="00E76E89">
        <w:rPr>
          <w:szCs w:val="24"/>
        </w:rPr>
        <w:t xml:space="preserve"> pavardės nemini ir neduoda parodymų apie jo dalyvavimą nei įvykiuose prie </w:t>
      </w:r>
      <w:r w:rsidR="00DE3B19" w:rsidRPr="00E76E89">
        <w:rPr>
          <w:szCs w:val="24"/>
        </w:rPr>
        <w:t>TV</w:t>
      </w:r>
      <w:r w:rsidRPr="00E76E89">
        <w:rPr>
          <w:szCs w:val="24"/>
        </w:rPr>
        <w:t xml:space="preserve"> bokšto, nei kituose įvykiuose Lietuvos Respublikos teritorijoje.</w:t>
      </w:r>
    </w:p>
    <w:p w:rsidR="00630F2E" w:rsidRPr="00E76E89" w:rsidRDefault="008D533C" w:rsidP="00321748">
      <w:pPr>
        <w:pStyle w:val="ListParagraph"/>
        <w:numPr>
          <w:ilvl w:val="1"/>
          <w:numId w:val="6"/>
        </w:numPr>
        <w:spacing w:before="120" w:after="120"/>
        <w:ind w:left="992" w:hanging="992"/>
        <w:contextualSpacing w:val="0"/>
        <w:rPr>
          <w:szCs w:val="24"/>
        </w:rPr>
      </w:pPr>
      <w:r w:rsidRPr="00E76E89">
        <w:rPr>
          <w:szCs w:val="24"/>
        </w:rPr>
        <w:t>Nusikaltimai žmoniškumu</w:t>
      </w:r>
      <w:r w:rsidR="00630F2E" w:rsidRPr="00E76E89">
        <w:rPr>
          <w:szCs w:val="24"/>
        </w:rPr>
        <w:t xml:space="preserve">i ir karo nusikaltimai gali būti padaromi tik tiesiogine tyčia. Nagrinėjamu atveju </w:t>
      </w:r>
      <w:r w:rsidR="006036E7" w:rsidRPr="00E76E89">
        <w:rPr>
          <w:szCs w:val="24"/>
        </w:rPr>
        <w:t>S. K.</w:t>
      </w:r>
      <w:r w:rsidR="00630F2E" w:rsidRPr="00E76E89">
        <w:rPr>
          <w:szCs w:val="24"/>
        </w:rPr>
        <w:t xml:space="preserve"> nenorėjo ir nesiekė numatytų padarinių, nesuprato ir nesuvokė daromų veiksmų pavojingumo, įsakymų ir užduočių n</w:t>
      </w:r>
      <w:r w:rsidR="00E307D8" w:rsidRPr="00E76E89">
        <w:rPr>
          <w:szCs w:val="24"/>
        </w:rPr>
        <w:t>eteisėtumo. Pagal TSRS ginkluotų</w:t>
      </w:r>
      <w:r w:rsidR="00630F2E" w:rsidRPr="00E76E89">
        <w:rPr>
          <w:szCs w:val="24"/>
        </w:rPr>
        <w:t xml:space="preserve">jų pajėgų </w:t>
      </w:r>
      <w:r w:rsidR="001E5596" w:rsidRPr="00E76E89">
        <w:rPr>
          <w:szCs w:val="24"/>
        </w:rPr>
        <w:t>vidaus tarnybos statuto nuostata</w:t>
      </w:r>
      <w:r w:rsidR="00630F2E" w:rsidRPr="00E76E89">
        <w:rPr>
          <w:szCs w:val="24"/>
        </w:rPr>
        <w:t xml:space="preserve">s </w:t>
      </w:r>
      <w:r w:rsidR="006036E7" w:rsidRPr="00E76E89">
        <w:rPr>
          <w:szCs w:val="24"/>
        </w:rPr>
        <w:t>S. K.</w:t>
      </w:r>
      <w:r w:rsidR="00630F2E" w:rsidRPr="00E76E89">
        <w:rPr>
          <w:szCs w:val="24"/>
        </w:rPr>
        <w:t>, kaip pulko degalų ir tepalų tarnybos viršininkas, įvykių metu neturėjo pavaldžių kareivių ir negali atsakyti už k</w:t>
      </w:r>
      <w:r w:rsidR="00E307D8" w:rsidRPr="00E76E89">
        <w:rPr>
          <w:szCs w:val="24"/>
        </w:rPr>
        <w:t>areivių veiksmus. TSRS ginkluotų</w:t>
      </w:r>
      <w:r w:rsidR="00630F2E" w:rsidRPr="00E76E89">
        <w:rPr>
          <w:szCs w:val="24"/>
        </w:rPr>
        <w:t>jų pajėgų vidaus tarnybos statute nurodyta, kad pulko degalų ir tepalų tarnybos viršininkas taikos ir karo metu atsako už pulko aprūpinimą degalais, tepalais, specialiaisiais skysčiais ir tarnybos techninėmis priemonėmis, už tinkamą jų laikymą, saugojimą ir ekonomišką panaudojimą, taip pat už saugumo p</w:t>
      </w:r>
      <w:r w:rsidR="001E5596" w:rsidRPr="00E76E89">
        <w:rPr>
          <w:szCs w:val="24"/>
        </w:rPr>
        <w:t>riemonių laikymąsi</w:t>
      </w:r>
      <w:r w:rsidR="00630F2E" w:rsidRPr="00E76E89">
        <w:rPr>
          <w:szCs w:val="24"/>
        </w:rPr>
        <w:t xml:space="preserve">, dirbant su degalais ir tepalais; už degalų ir tepalų tarnybos kovinę ir mobilizacinę padėtį; už pavaldaus jam karinio personalo kovinį ir politinį pasirengimą, jo auklėjimą, karinę drausmę ir politinę moralinę būklę (t. 506, b. l. 34; t. 506, b. l. 62). </w:t>
      </w:r>
    </w:p>
    <w:p w:rsidR="00630F2E" w:rsidRPr="00E76E89" w:rsidRDefault="00630F2E" w:rsidP="00321748">
      <w:pPr>
        <w:pStyle w:val="ListParagraph"/>
        <w:numPr>
          <w:ilvl w:val="1"/>
          <w:numId w:val="6"/>
        </w:numPr>
        <w:spacing w:before="120" w:after="120"/>
        <w:ind w:left="992" w:hanging="992"/>
        <w:contextualSpacing w:val="0"/>
        <w:rPr>
          <w:rStyle w:val="CharStyle111"/>
          <w:rFonts w:ascii="Times New Roman" w:hAnsi="Times New Roman" w:cs="Times New Roman"/>
          <w:sz w:val="24"/>
          <w:szCs w:val="24"/>
          <w:shd w:val="clear" w:color="auto" w:fill="auto"/>
        </w:rPr>
      </w:pPr>
      <w:r w:rsidRPr="00E76E89">
        <w:rPr>
          <w:szCs w:val="24"/>
        </w:rPr>
        <w:t xml:space="preserve">Gynėjas nesutinka ir su nuosprendžio dalimi dėl </w:t>
      </w:r>
      <w:r w:rsidR="006036E7" w:rsidRPr="00E76E89">
        <w:rPr>
          <w:szCs w:val="24"/>
        </w:rPr>
        <w:t>S. K.</w:t>
      </w:r>
      <w:r w:rsidRPr="00E76E89">
        <w:rPr>
          <w:szCs w:val="24"/>
        </w:rPr>
        <w:t xml:space="preserve"> nuteisimo už uždraustų karo priemonių naudojimą. Iš nuosprendžio neaišku</w:t>
      </w:r>
      <w:r w:rsidRPr="00E76E89">
        <w:rPr>
          <w:rStyle w:val="CharStyle111"/>
          <w:rFonts w:ascii="Times New Roman" w:hAnsi="Times New Roman" w:cs="Times New Roman"/>
          <w:color w:val="000000"/>
          <w:sz w:val="24"/>
          <w:szCs w:val="24"/>
          <w:lang w:eastAsia="lt-LT"/>
        </w:rPr>
        <w:t xml:space="preserve">, kokiais teisės aktais reglamentuotas </w:t>
      </w:r>
      <w:r w:rsidRPr="00E76E89">
        <w:rPr>
          <w:rStyle w:val="CharStyle111"/>
          <w:rFonts w:ascii="Times New Roman" w:hAnsi="Times New Roman" w:cs="Times New Roman"/>
          <w:color w:val="000000"/>
          <w:sz w:val="24"/>
          <w:szCs w:val="24"/>
        </w:rPr>
        <w:t>5,45</w:t>
      </w:r>
      <w:r w:rsidR="00744A08" w:rsidRPr="00E76E89">
        <w:rPr>
          <w:rStyle w:val="CharStyle111"/>
          <w:rFonts w:ascii="Times New Roman" w:hAnsi="Times New Roman" w:cs="Times New Roman"/>
          <w:color w:val="000000"/>
          <w:sz w:val="24"/>
          <w:szCs w:val="24"/>
        </w:rPr>
        <w:t> </w:t>
      </w:r>
      <w:r w:rsidR="001E5596" w:rsidRPr="00E76E89">
        <w:rPr>
          <w:rStyle w:val="CharStyle111"/>
          <w:rFonts w:ascii="Times New Roman" w:hAnsi="Times New Roman" w:cs="Times New Roman"/>
          <w:color w:val="000000"/>
          <w:sz w:val="24"/>
          <w:szCs w:val="24"/>
          <w:lang w:eastAsia="lt-LT"/>
        </w:rPr>
        <w:t>mm kalibro šovinių</w:t>
      </w:r>
      <w:r w:rsidRPr="00E76E89">
        <w:rPr>
          <w:rStyle w:val="CharStyle111"/>
          <w:rFonts w:ascii="Times New Roman" w:hAnsi="Times New Roman" w:cs="Times New Roman"/>
          <w:color w:val="000000"/>
          <w:sz w:val="24"/>
          <w:szCs w:val="24"/>
          <w:lang w:eastAsia="lt-LT"/>
        </w:rPr>
        <w:t xml:space="preserve"> uždraudimas. Byloje </w:t>
      </w:r>
      <w:r w:rsidR="00720E64" w:rsidRPr="00E76E89">
        <w:rPr>
          <w:rStyle w:val="CharStyle111"/>
          <w:rFonts w:ascii="Times New Roman" w:hAnsi="Times New Roman" w:cs="Times New Roman"/>
          <w:color w:val="000000"/>
          <w:sz w:val="24"/>
          <w:szCs w:val="24"/>
          <w:lang w:eastAsia="lt-LT"/>
        </w:rPr>
        <w:t xml:space="preserve">į </w:t>
      </w:r>
      <w:r w:rsidR="001E5596" w:rsidRPr="00E76E89">
        <w:rPr>
          <w:rStyle w:val="CharStyle111"/>
          <w:rFonts w:ascii="Times New Roman" w:hAnsi="Times New Roman" w:cs="Times New Roman"/>
          <w:color w:val="000000"/>
          <w:sz w:val="24"/>
          <w:szCs w:val="24"/>
          <w:lang w:eastAsia="lt-LT"/>
        </w:rPr>
        <w:t>apklaus</w:t>
      </w:r>
      <w:r w:rsidR="00720E64" w:rsidRPr="00E76E89">
        <w:rPr>
          <w:rStyle w:val="CharStyle111"/>
          <w:rFonts w:ascii="Times New Roman" w:hAnsi="Times New Roman" w:cs="Times New Roman"/>
          <w:color w:val="000000"/>
          <w:sz w:val="24"/>
          <w:szCs w:val="24"/>
          <w:lang w:eastAsia="lt-LT"/>
        </w:rPr>
        <w:t xml:space="preserve">ą </w:t>
      </w:r>
      <w:r w:rsidRPr="00E76E89">
        <w:rPr>
          <w:rStyle w:val="CharStyle111"/>
          <w:rFonts w:ascii="Times New Roman" w:hAnsi="Times New Roman" w:cs="Times New Roman"/>
          <w:color w:val="000000"/>
          <w:sz w:val="24"/>
          <w:szCs w:val="24"/>
          <w:lang w:eastAsia="lt-LT"/>
        </w:rPr>
        <w:t xml:space="preserve">nebuvo iškviesti balistikos, trasologijos, teismo medicinos specialistai, kurie galėtų paneigti ar patvirtinti teiginį, kad </w:t>
      </w:r>
      <w:r w:rsidRPr="00E76E89">
        <w:rPr>
          <w:rStyle w:val="CharStyle111"/>
          <w:rFonts w:ascii="Times New Roman" w:hAnsi="Times New Roman" w:cs="Times New Roman"/>
          <w:color w:val="000000"/>
          <w:sz w:val="24"/>
          <w:szCs w:val="24"/>
        </w:rPr>
        <w:t xml:space="preserve">5,45 </w:t>
      </w:r>
      <w:r w:rsidR="001E5596" w:rsidRPr="00E76E89">
        <w:rPr>
          <w:rStyle w:val="CharStyle111"/>
          <w:rFonts w:ascii="Times New Roman" w:hAnsi="Times New Roman" w:cs="Times New Roman"/>
          <w:color w:val="000000"/>
          <w:sz w:val="24"/>
          <w:szCs w:val="24"/>
          <w:lang w:eastAsia="lt-LT"/>
        </w:rPr>
        <w:t>mm kalibro šovinius</w:t>
      </w:r>
      <w:r w:rsidRPr="00E76E89">
        <w:rPr>
          <w:rStyle w:val="CharStyle111"/>
          <w:rFonts w:ascii="Times New Roman" w:hAnsi="Times New Roman" w:cs="Times New Roman"/>
          <w:color w:val="000000"/>
          <w:sz w:val="24"/>
          <w:szCs w:val="24"/>
          <w:lang w:eastAsia="lt-LT"/>
        </w:rPr>
        <w:t>, kuriuos naudojo TSRS ginkluotosios pajėgos ir šiuo metu naudoja ne viena šalis, galima priskirti prie uždraustų.</w:t>
      </w:r>
      <w:r w:rsidR="001E5596" w:rsidRPr="00E76E89">
        <w:rPr>
          <w:rStyle w:val="CharStyle111"/>
          <w:rFonts w:ascii="Times New Roman" w:hAnsi="Times New Roman" w:cs="Times New Roman"/>
          <w:color w:val="000000"/>
          <w:sz w:val="24"/>
          <w:szCs w:val="24"/>
          <w:lang w:eastAsia="lt-LT"/>
        </w:rPr>
        <w:t xml:space="preserve"> </w:t>
      </w:r>
    </w:p>
    <w:p w:rsidR="00630F2E" w:rsidRPr="00C00255" w:rsidRDefault="00630F2E" w:rsidP="00321748">
      <w:pPr>
        <w:pStyle w:val="ListParagraph"/>
        <w:numPr>
          <w:ilvl w:val="1"/>
          <w:numId w:val="6"/>
        </w:numPr>
        <w:spacing w:before="120" w:after="120"/>
        <w:ind w:left="992" w:hanging="992"/>
        <w:contextualSpacing w:val="0"/>
        <w:rPr>
          <w:szCs w:val="24"/>
        </w:rPr>
      </w:pPr>
      <w:r w:rsidRPr="00C00255">
        <w:rPr>
          <w:szCs w:val="24"/>
        </w:rPr>
        <w:t xml:space="preserve">Pasak gynėjo, šioje byloje </w:t>
      </w:r>
      <w:r w:rsidR="006036E7">
        <w:rPr>
          <w:szCs w:val="24"/>
        </w:rPr>
        <w:t>S. K.</w:t>
      </w:r>
      <w:r w:rsidRPr="00C00255">
        <w:rPr>
          <w:szCs w:val="24"/>
        </w:rPr>
        <w:t xml:space="preserve"> negalėjo būti nuteistas, nes apkaltinamasis nuosprendis negali būti grindžiamas prielaidomis, teismo išvados turi būti pagrįstos įrodymais, neginčijamai patvirtinančiais kaltinamojo kaltę padarius nusikalstamą veiką ir kitas svarbias bylos aplinkybes, o abejonės aiškinamos kaltinamojo naudai tik tada, kai išnaudojus visas galimybes nepavyksta jų </w:t>
      </w:r>
      <w:r w:rsidR="00001989" w:rsidRPr="00C00255">
        <w:rPr>
          <w:szCs w:val="24"/>
        </w:rPr>
        <w:t xml:space="preserve">pašalinti (LAT nutartis </w:t>
      </w:r>
      <w:r w:rsidR="00671CA0" w:rsidRPr="00C00255">
        <w:rPr>
          <w:szCs w:val="24"/>
        </w:rPr>
        <w:t xml:space="preserve">baudžiamojoje byloje </w:t>
      </w:r>
      <w:r w:rsidR="00001989" w:rsidRPr="00C00255">
        <w:rPr>
          <w:szCs w:val="24"/>
        </w:rPr>
        <w:t>Nr. 2K-</w:t>
      </w:r>
      <w:r w:rsidRPr="00C00255">
        <w:rPr>
          <w:szCs w:val="24"/>
        </w:rPr>
        <w:t xml:space="preserve">251/2008). </w:t>
      </w:r>
    </w:p>
    <w:p w:rsidR="001F2EC0" w:rsidRPr="00E76E89" w:rsidRDefault="00630F2E" w:rsidP="00321748">
      <w:pPr>
        <w:pStyle w:val="ListParagraph"/>
        <w:numPr>
          <w:ilvl w:val="1"/>
          <w:numId w:val="6"/>
        </w:numPr>
        <w:spacing w:before="120" w:after="120"/>
        <w:ind w:left="992" w:hanging="992"/>
        <w:contextualSpacing w:val="0"/>
        <w:rPr>
          <w:szCs w:val="24"/>
        </w:rPr>
      </w:pPr>
      <w:r w:rsidRPr="00E76E89">
        <w:rPr>
          <w:szCs w:val="24"/>
        </w:rPr>
        <w:t xml:space="preserve">Gynėjas nesutinka su nuosprendžio dalimi dėl bausmės </w:t>
      </w:r>
      <w:r w:rsidR="006036E7" w:rsidRPr="00E76E89">
        <w:rPr>
          <w:szCs w:val="24"/>
        </w:rPr>
        <w:t>S. K.</w:t>
      </w:r>
      <w:r w:rsidRPr="00E76E89">
        <w:rPr>
          <w:szCs w:val="24"/>
        </w:rPr>
        <w:t xml:space="preserve"> paskyrimo ir nurodo, kad teismo motyvai nurodant jo padarytos nusikalstamos veikos pobūdį neteisingi</w:t>
      </w:r>
      <w:r w:rsidR="00720E64" w:rsidRPr="00E76E89">
        <w:rPr>
          <w:szCs w:val="24"/>
        </w:rPr>
        <w:t xml:space="preserve"> ir</w:t>
      </w:r>
      <w:r w:rsidRPr="00E76E89">
        <w:rPr>
          <w:szCs w:val="24"/>
        </w:rPr>
        <w:t xml:space="preserve"> prieštarauja faktinėms bylos aplinkybėms. Gynėjas neigia teismo išvadas dėl </w:t>
      </w:r>
      <w:r w:rsidR="006036E7" w:rsidRPr="00E76E89">
        <w:rPr>
          <w:szCs w:val="24"/>
        </w:rPr>
        <w:t>S. K.</w:t>
      </w:r>
      <w:r w:rsidR="00DD1A27" w:rsidRPr="00E76E89">
        <w:rPr>
          <w:szCs w:val="24"/>
        </w:rPr>
        <w:t xml:space="preserve"> dalyvavimo užgrobiant p</w:t>
      </w:r>
      <w:r w:rsidRPr="00E76E89">
        <w:rPr>
          <w:szCs w:val="24"/>
        </w:rPr>
        <w:t xml:space="preserve">olicijos akademijos pastatą, šturmuojant Spaudos rūmus ir TV bokštą, tačiau atkreipia dėmesį į </w:t>
      </w:r>
      <w:r w:rsidR="006036E7" w:rsidRPr="00E76E89">
        <w:rPr>
          <w:szCs w:val="24"/>
        </w:rPr>
        <w:t>S. K.</w:t>
      </w:r>
      <w:r w:rsidRPr="00E76E89">
        <w:rPr>
          <w:szCs w:val="24"/>
        </w:rPr>
        <w:t xml:space="preserve"> parodymus, pagal kuriuos jis dalyvavo įvykiuose prie TV</w:t>
      </w:r>
      <w:r w:rsidR="00720E64" w:rsidRPr="00E76E89">
        <w:rPr>
          <w:szCs w:val="24"/>
        </w:rPr>
        <w:t> </w:t>
      </w:r>
      <w:r w:rsidRPr="00E76E89">
        <w:rPr>
          <w:szCs w:val="24"/>
        </w:rPr>
        <w:t>bokšto, kad visas jo neteisėta</w:t>
      </w:r>
      <w:r w:rsidR="001E5596" w:rsidRPr="00E76E89">
        <w:rPr>
          <w:szCs w:val="24"/>
        </w:rPr>
        <w:t>s veikimas pasireiškė tik tuo, jog</w:t>
      </w:r>
      <w:r w:rsidRPr="00E76E89">
        <w:rPr>
          <w:szCs w:val="24"/>
        </w:rPr>
        <w:t xml:space="preserve"> padėjo kareiviui nustumti vieną civilį. Tokie veiksmai visuomenei nesukėlė padarinių, kurie jam inkriminuojami.</w:t>
      </w:r>
    </w:p>
    <w:p w:rsidR="001F2EC0" w:rsidRPr="00C00255" w:rsidRDefault="001F2EC0" w:rsidP="00321748">
      <w:pPr>
        <w:pStyle w:val="ListParagraph"/>
        <w:numPr>
          <w:ilvl w:val="0"/>
          <w:numId w:val="6"/>
        </w:numPr>
        <w:spacing w:before="120" w:after="120"/>
        <w:ind w:left="992" w:hanging="992"/>
        <w:contextualSpacing w:val="0"/>
        <w:rPr>
          <w:szCs w:val="24"/>
        </w:rPr>
      </w:pPr>
      <w:bookmarkStart w:id="57" w:name="_Toc37947846"/>
      <w:bookmarkStart w:id="58" w:name="_Toc67677325"/>
      <w:bookmarkStart w:id="59" w:name="_Toc67985452"/>
      <w:r w:rsidRPr="009522D9">
        <w:rPr>
          <w:b/>
        </w:rPr>
        <w:t xml:space="preserve">Nuteistojo </w:t>
      </w:r>
      <w:r w:rsidR="006036E7" w:rsidRPr="009522D9">
        <w:rPr>
          <w:b/>
        </w:rPr>
        <w:t>J. G.</w:t>
      </w:r>
      <w:r w:rsidRPr="009522D9">
        <w:rPr>
          <w:b/>
        </w:rPr>
        <w:t xml:space="preserve"> gynėjas</w:t>
      </w:r>
      <w:bookmarkEnd w:id="57"/>
      <w:bookmarkEnd w:id="58"/>
      <w:bookmarkEnd w:id="59"/>
      <w:r w:rsidRPr="00C00255">
        <w:rPr>
          <w:rStyle w:val="Heading1Char"/>
          <w:sz w:val="22"/>
          <w:szCs w:val="24"/>
        </w:rPr>
        <w:t xml:space="preserve"> </w:t>
      </w:r>
      <w:r w:rsidRPr="00C00255">
        <w:rPr>
          <w:b/>
        </w:rPr>
        <w:t>advokatas K. Blažys</w:t>
      </w:r>
      <w:r w:rsidRPr="00C00255">
        <w:t xml:space="preserve"> apeliaciniu skundu prašo panaikinti pirmosios instancijos teismo nuosprendį ir jo ginamąjį išteisinti bei panaikinti jam taikomą kardomąją priemonę – suėmimą. </w:t>
      </w:r>
    </w:p>
    <w:p w:rsidR="001F2EC0" w:rsidRPr="00E76E89" w:rsidRDefault="001F2EC0" w:rsidP="00321748">
      <w:pPr>
        <w:pStyle w:val="ListParagraph"/>
        <w:numPr>
          <w:ilvl w:val="1"/>
          <w:numId w:val="6"/>
        </w:numPr>
        <w:spacing w:before="120" w:after="120"/>
        <w:ind w:left="992" w:hanging="992"/>
        <w:contextualSpacing w:val="0"/>
        <w:rPr>
          <w:szCs w:val="24"/>
        </w:rPr>
      </w:pPr>
      <w:r w:rsidRPr="00E76E89">
        <w:lastRenderedPageBreak/>
        <w:t xml:space="preserve">Gynybos įsitikinimu, byloje buvo pažeistas principas, </w:t>
      </w:r>
      <w:r w:rsidR="00720E64" w:rsidRPr="00E76E89">
        <w:t xml:space="preserve">kuriuo </w:t>
      </w:r>
      <w:r w:rsidRPr="00E76E89">
        <w:t>draudžia</w:t>
      </w:r>
      <w:r w:rsidR="00720E64" w:rsidRPr="00E76E89">
        <w:t>ma</w:t>
      </w:r>
      <w:r w:rsidRPr="00E76E89">
        <w:t xml:space="preserve"> taikyti atsakomybę griežtinantį įstatymą atgal, kadangi šioje byloje inkriminuotų nusikalstamų veikų požymiai nuo 2003 iki 2011 metų išsiplėtė. Šių argumentų pirmosios instancijos teismas iš esmės netyrė ir dėl jų išsamiai nepasisakė. Anot gynėjo, nėra teisėto pagrindo kaltinti ir nuteisti asmens už tai, kas nebuvo laikoma karo nusikaltimu ar nusikaltimu žmoniškumui inkriminuojamos veikos padarymo metu. Kaltinimą palaikę prokurorai teisiamajame posėdyje pripažino, kad byloje aktualių BK nuostatų pokyčius 2011 m. nulėmė Romos statutas. Anot gynėjo, veikų sudėtys buvo išplėstos ir suderintos su šiuo</w:t>
      </w:r>
      <w:r w:rsidR="00392F75" w:rsidRPr="00E76E89">
        <w:t xml:space="preserve"> tarptautinės teisės aktu</w:t>
      </w:r>
      <w:r w:rsidRPr="00E76E89">
        <w:t xml:space="preserve">, </w:t>
      </w:r>
      <w:r w:rsidR="00392F75" w:rsidRPr="00E76E89">
        <w:t xml:space="preserve">priimtu </w:t>
      </w:r>
      <w:r w:rsidRPr="00E76E89">
        <w:t>vėliau</w:t>
      </w:r>
      <w:r w:rsidR="00392F75" w:rsidRPr="00E76E89">
        <w:t>,</w:t>
      </w:r>
      <w:r w:rsidRPr="00E76E89">
        <w:t xml:space="preserve"> nei </w:t>
      </w:r>
      <w:r w:rsidR="00392F75" w:rsidRPr="00E76E89">
        <w:t xml:space="preserve">buvo </w:t>
      </w:r>
      <w:r w:rsidRPr="00E76E89">
        <w:t xml:space="preserve">padarytos veikos. Gynybos vertinimu, tai lemia, jog </w:t>
      </w:r>
      <w:r w:rsidR="006036E7" w:rsidRPr="00E76E89">
        <w:t>J. G.</w:t>
      </w:r>
      <w:r w:rsidRPr="00E76E89">
        <w:t xml:space="preserve"> veiksmuose negalima konstatuoti esant jam inkriminuotų nusikaltimų sudėčių požymių. </w:t>
      </w:r>
    </w:p>
    <w:p w:rsidR="00036128" w:rsidRPr="00E76E89" w:rsidRDefault="000837B3" w:rsidP="00321748">
      <w:pPr>
        <w:pStyle w:val="ListParagraph"/>
        <w:numPr>
          <w:ilvl w:val="1"/>
          <w:numId w:val="6"/>
        </w:numPr>
        <w:spacing w:before="120" w:after="120"/>
        <w:ind w:left="992" w:hanging="992"/>
        <w:contextualSpacing w:val="0"/>
        <w:rPr>
          <w:szCs w:val="24"/>
        </w:rPr>
      </w:pPr>
      <w:r w:rsidRPr="00E76E89">
        <w:t>Anot gynėjo, pirmosios instancijos teismas tinkamai neįvertino įrodymų, nenustatė reikšmingų bylai faktinių aplinkybių, pažeidė įrodinėjimo ir įrodymų vertinimo taisykles i</w:t>
      </w:r>
      <w:r w:rsidR="00392F75" w:rsidRPr="00E76E89">
        <w:t>r</w:t>
      </w:r>
      <w:r w:rsidRPr="00E76E89">
        <w:t xml:space="preserve"> dėl to priėmė nepagrįstą nuosprendį. Pasak </w:t>
      </w:r>
      <w:r w:rsidR="00116040" w:rsidRPr="00E76E89">
        <w:t>apelianto</w:t>
      </w:r>
      <w:r w:rsidR="001F2EC0" w:rsidRPr="00E76E89">
        <w:t xml:space="preserve">, teismas neteisingai nustatė ir nepagrįstai sureikšmino </w:t>
      </w:r>
      <w:r w:rsidR="006036E7" w:rsidRPr="00E76E89">
        <w:t>J. G.</w:t>
      </w:r>
      <w:r w:rsidR="001F2EC0" w:rsidRPr="00E76E89">
        <w:t xml:space="preserve"> vaidmenį inkriminuojamose veikose. Nuosprendžiu </w:t>
      </w:r>
      <w:r w:rsidR="006036E7" w:rsidRPr="00E76E89">
        <w:t>J. G.</w:t>
      </w:r>
      <w:r w:rsidR="001F2EC0" w:rsidRPr="00E76E89">
        <w:t xml:space="preserve"> pripažintas karinės operacijos koordinatoriumi ir vadovu šturmuojant LRT, tačiau tai patvirtinančių duomenų nėra. Kapitonas </w:t>
      </w:r>
      <w:r w:rsidR="006036E7" w:rsidRPr="00E76E89">
        <w:t>J. G.</w:t>
      </w:r>
      <w:r w:rsidR="001F2EC0" w:rsidRPr="00E76E89">
        <w:t xml:space="preserve"> apie sausio 13-osios operaciją, jos laiką sužinojo tik išvakarėse. Anot gynėjo, jaunesniųjų karininkų niekas neinformavo, kodėl jie vyksta į Lietuvą: aukštesniųjų vadų buvo nurodomas išgalvotas tikslas – užtikrinti jaunuolių šaukimą į TSRS kariuomenę. Tokią išvadą patvirtina jaunesniųjų karininkų </w:t>
      </w:r>
      <w:r w:rsidR="00DD1A27" w:rsidRPr="00E76E89">
        <w:t>A. Š.</w:t>
      </w:r>
      <w:r w:rsidR="001F2EC0" w:rsidRPr="00E76E89">
        <w:t xml:space="preserve">, </w:t>
      </w:r>
      <w:r w:rsidR="006036E7" w:rsidRPr="00E76E89">
        <w:t>J. J.</w:t>
      </w:r>
      <w:r w:rsidR="001F2EC0" w:rsidRPr="00E76E89">
        <w:t xml:space="preserve">, </w:t>
      </w:r>
      <w:r w:rsidR="00DD1A27" w:rsidRPr="00E76E89">
        <w:t>O. C.</w:t>
      </w:r>
      <w:r w:rsidR="001F2EC0" w:rsidRPr="00E76E89">
        <w:t xml:space="preserve">, </w:t>
      </w:r>
      <w:r w:rsidR="006036E7" w:rsidRPr="00E76E89">
        <w:t>A. F. 2</w:t>
      </w:r>
      <w:r w:rsidR="001F2EC0" w:rsidRPr="00E76E89">
        <w:t xml:space="preserve">, </w:t>
      </w:r>
      <w:r w:rsidR="006036E7" w:rsidRPr="00E76E89">
        <w:t>R. J. 2</w:t>
      </w:r>
      <w:r w:rsidR="00DD1A27" w:rsidRPr="00E76E89">
        <w:t>, A. </w:t>
      </w:r>
      <w:r w:rsidR="001F2EC0" w:rsidRPr="00E76E89">
        <w:t>M</w:t>
      </w:r>
      <w:r w:rsidR="00DD1A27" w:rsidRPr="00E76E89">
        <w:t>.</w:t>
      </w:r>
      <w:r w:rsidR="001F2EC0" w:rsidRPr="00E76E89">
        <w:t xml:space="preserve">, </w:t>
      </w:r>
      <w:r w:rsidR="00DD1A27" w:rsidRPr="00E76E89">
        <w:t>V. V.</w:t>
      </w:r>
      <w:r w:rsidR="001F2EC0" w:rsidRPr="00E76E89">
        <w:t xml:space="preserve">, </w:t>
      </w:r>
      <w:r w:rsidR="00DD1A27" w:rsidRPr="00E76E89">
        <w:t>A. V.</w:t>
      </w:r>
      <w:r w:rsidR="001F2EC0" w:rsidRPr="00E76E89">
        <w:t>, V. G</w:t>
      </w:r>
      <w:r w:rsidR="00DD1A27" w:rsidRPr="00E76E89">
        <w:t>.</w:t>
      </w:r>
      <w:r w:rsidR="001F2EC0" w:rsidRPr="00E76E89">
        <w:t>, S. Ž</w:t>
      </w:r>
      <w:r w:rsidR="00DD1A27" w:rsidRPr="00E76E89">
        <w:t>.</w:t>
      </w:r>
      <w:r w:rsidR="001F2EC0" w:rsidRPr="00E76E89">
        <w:t xml:space="preserve"> ir kt. parodymai. Atitinkamai teisiamajame posėdyje apklaustas liudytojas </w:t>
      </w:r>
      <w:r w:rsidR="00660130" w:rsidRPr="00E76E89">
        <w:t>J. T.</w:t>
      </w:r>
      <w:r w:rsidR="001F2EC0" w:rsidRPr="00E76E89">
        <w:t xml:space="preserve"> nurodė, kad niekas neinformavo</w:t>
      </w:r>
      <w:r w:rsidR="00392F75" w:rsidRPr="00E76E89">
        <w:t>,</w:t>
      </w:r>
      <w:r w:rsidR="001F2EC0" w:rsidRPr="00E76E89">
        <w:t xml:space="preserve"> kur ir kod</w:t>
      </w:r>
      <w:r w:rsidRPr="00E76E89">
        <w:t xml:space="preserve">ėl jie skrenda, o liudytojas </w:t>
      </w:r>
      <w:r w:rsidR="00DD1A27" w:rsidRPr="00E76E89">
        <w:t>P. L.</w:t>
      </w:r>
      <w:r w:rsidR="001F2EC0" w:rsidRPr="00E76E89">
        <w:t xml:space="preserve"> – jog jam buvo žinoma, kad desantininkai atvyko užtikrinti jaunuolių šaukimą į kariuomenę. Taigi, apelianto įsitikinimu, jaunesnieji karininkai, kaip ir </w:t>
      </w:r>
      <w:r w:rsidR="006036E7" w:rsidRPr="00E76E89">
        <w:t>J. G.</w:t>
      </w:r>
      <w:r w:rsidR="001F2EC0" w:rsidRPr="00E76E89">
        <w:t xml:space="preserve">, buvo sąmoningai klaidinami, nutylint tikruosius vykimo į Lietuvą tikslus, iki jų įtraukimo į šią operaciją. </w:t>
      </w:r>
    </w:p>
    <w:p w:rsidR="00036128" w:rsidRPr="00E76E89" w:rsidRDefault="001F2EC0" w:rsidP="00321748">
      <w:pPr>
        <w:pStyle w:val="ListParagraph"/>
        <w:numPr>
          <w:ilvl w:val="1"/>
          <w:numId w:val="6"/>
        </w:numPr>
        <w:spacing w:before="120" w:after="120"/>
        <w:ind w:left="992" w:hanging="992"/>
        <w:contextualSpacing w:val="0"/>
        <w:rPr>
          <w:szCs w:val="24"/>
        </w:rPr>
      </w:pPr>
      <w:r w:rsidRPr="00E76E89">
        <w:t xml:space="preserve">Byloje nėra jokių duomenų, kad </w:t>
      </w:r>
      <w:r w:rsidR="006036E7" w:rsidRPr="00E76E89">
        <w:t>J. G.</w:t>
      </w:r>
      <w:r w:rsidRPr="00E76E89">
        <w:t xml:space="preserve"> dalyvavo 1991 m. sausio 10 d. vykusiame karininkų pasitarime, apie kurį nurodė </w:t>
      </w:r>
      <w:r w:rsidR="006036E7" w:rsidRPr="00E76E89">
        <w:t>S. P.</w:t>
      </w:r>
      <w:r w:rsidRPr="00E76E89">
        <w:t xml:space="preserve"> ir kuriame buvo aptariami operacijos tikslai. Tai, kad jo ginamasis iki operacijos užimti LRT pastatą pradžios apie tai nežinojo, patvirtina nurodymų ir pranešimų žurnalo išrašas. Jame nurodyta, kad nute</w:t>
      </w:r>
      <w:r w:rsidR="00001989" w:rsidRPr="00E76E89">
        <w:t>istajam 1991 m. sausio 12 d. 16–</w:t>
      </w:r>
      <w:r w:rsidRPr="00E76E89">
        <w:t>17</w:t>
      </w:r>
      <w:r w:rsidR="00FB618F" w:rsidRPr="00E76E89">
        <w:t> </w:t>
      </w:r>
      <w:r w:rsidRPr="00E76E89">
        <w:t xml:space="preserve">val. duotas žodinis nurodymas užimti ir apsaugoti LRT pastatą bei atsakingu paskirtas būtent jis. Todėl byloje esanti specialisto J. Andriškevičiaus išvada, jog operacijos planavimas ir vykdymas buvo koordinuojamas nuo vadovavimo viršūnės iki smulkiausių padalinių, gynėjo įsitikinimu, vertintina kritiškai, nes prieštarauja byloje surinktiems duomenims. </w:t>
      </w:r>
      <w:r w:rsidR="006036E7" w:rsidRPr="00E76E89">
        <w:t>J. G.</w:t>
      </w:r>
      <w:r w:rsidRPr="00E76E89">
        <w:t xml:space="preserve"> negalėjo būti pripažintas operacijos koordinatoriumi – jam buvo paskirta tik įvykdyti atitinkamus veiksmus.</w:t>
      </w:r>
    </w:p>
    <w:p w:rsidR="00036128" w:rsidRPr="00E76E89" w:rsidRDefault="001F2EC0" w:rsidP="00321748">
      <w:pPr>
        <w:pStyle w:val="ListParagraph"/>
        <w:numPr>
          <w:ilvl w:val="1"/>
          <w:numId w:val="6"/>
        </w:numPr>
        <w:spacing w:before="120" w:after="120"/>
        <w:ind w:left="992" w:hanging="992"/>
        <w:contextualSpacing w:val="0"/>
        <w:rPr>
          <w:szCs w:val="24"/>
        </w:rPr>
      </w:pPr>
      <w:r w:rsidRPr="00E76E89">
        <w:t xml:space="preserve">Anot gynėjo, teismas neįvertino aplinkybės, kad </w:t>
      </w:r>
      <w:r w:rsidR="006036E7" w:rsidRPr="00E76E89">
        <w:t>J. G.</w:t>
      </w:r>
      <w:r w:rsidR="00C66292" w:rsidRPr="00E76E89">
        <w:t xml:space="preserve"> netrukus po atvykimo prie LRT </w:t>
      </w:r>
      <w:r w:rsidRPr="00E76E89">
        <w:t xml:space="preserve">pastato buvo sužeistas sprogstamuoju įtaisu ir buvo netekęs sąmonės, todėl jo dalyvavimas buvo trumpas ir nereikšmingas. Sužeidimo faktas konstatuotas karinio dalinio vado pažymoje, jį patvirtina </w:t>
      </w:r>
      <w:r w:rsidR="002A2E2B" w:rsidRPr="00E76E89">
        <w:t xml:space="preserve">ekspertizės išvada, </w:t>
      </w:r>
      <w:r w:rsidRPr="00E76E89">
        <w:t>drabužių poėmio protokolas. Eilinis A. M</w:t>
      </w:r>
      <w:r w:rsidR="00660130" w:rsidRPr="00E76E89">
        <w:t xml:space="preserve">. </w:t>
      </w:r>
      <w:r w:rsidRPr="00E76E89">
        <w:t>nurodė, kad</w:t>
      </w:r>
      <w:r w:rsidR="00392F75" w:rsidRPr="00E76E89">
        <w:t>,</w:t>
      </w:r>
      <w:r w:rsidRPr="00E76E89">
        <w:t xml:space="preserve"> atvykus prie LRT pastato kartu su kuopos vadu </w:t>
      </w:r>
      <w:r w:rsidR="006036E7" w:rsidRPr="00E76E89">
        <w:t>J. G.</w:t>
      </w:r>
      <w:r w:rsidRPr="00E76E89">
        <w:t xml:space="preserve">, po sprogimo pastebėjo jį sužeistą. Sužeistą jį prilaikė </w:t>
      </w:r>
      <w:r w:rsidR="00DD1A27" w:rsidRPr="00E76E89">
        <w:t>A. Š.</w:t>
      </w:r>
      <w:r w:rsidR="00C66292" w:rsidRPr="00E76E89">
        <w:t>, tai patvirtina karių O. </w:t>
      </w:r>
      <w:r w:rsidRPr="00E76E89">
        <w:t>S</w:t>
      </w:r>
      <w:r w:rsidR="00660130" w:rsidRPr="00E76E89">
        <w:t>.</w:t>
      </w:r>
      <w:r w:rsidRPr="00E76E89">
        <w:t xml:space="preserve">, </w:t>
      </w:r>
      <w:r w:rsidR="00DD1A27" w:rsidRPr="00E76E89">
        <w:t>V. T.</w:t>
      </w:r>
      <w:r w:rsidRPr="00E76E89">
        <w:t xml:space="preserve">, </w:t>
      </w:r>
      <w:r w:rsidR="00DD1A27" w:rsidRPr="00E76E89">
        <w:t>V. T.</w:t>
      </w:r>
      <w:r w:rsidRPr="00E76E89">
        <w:t xml:space="preserve"> ir kt. parodymai. Vi</w:t>
      </w:r>
      <w:r w:rsidR="00C66292" w:rsidRPr="00E76E89">
        <w:t xml:space="preserve">sa tai rodo, kad operacijoje </w:t>
      </w:r>
      <w:r w:rsidR="006036E7" w:rsidRPr="00E76E89">
        <w:t>J. G.</w:t>
      </w:r>
      <w:r w:rsidRPr="00E76E89">
        <w:t xml:space="preserve"> dalyvavo kel</w:t>
      </w:r>
      <w:r w:rsidR="00C846AB" w:rsidRPr="00E76E89">
        <w:t>etą</w:t>
      </w:r>
      <w:r w:rsidRPr="00E76E89">
        <w:t xml:space="preserve"> ar keliolika minučių.</w:t>
      </w:r>
    </w:p>
    <w:p w:rsidR="00036128" w:rsidRPr="00E76E89" w:rsidRDefault="001F2EC0" w:rsidP="00321748">
      <w:pPr>
        <w:pStyle w:val="ListParagraph"/>
        <w:numPr>
          <w:ilvl w:val="1"/>
          <w:numId w:val="6"/>
        </w:numPr>
        <w:spacing w:before="120" w:after="120"/>
        <w:ind w:left="992" w:hanging="992"/>
        <w:contextualSpacing w:val="0"/>
        <w:rPr>
          <w:szCs w:val="24"/>
        </w:rPr>
      </w:pPr>
      <w:r w:rsidRPr="00E76E89">
        <w:t xml:space="preserve">Apelianto teigimu, byloje nėra duomenų, jog </w:t>
      </w:r>
      <w:r w:rsidR="006036E7" w:rsidRPr="00E76E89">
        <w:t>J. G.</w:t>
      </w:r>
      <w:r w:rsidRPr="00E76E89">
        <w:t xml:space="preserve"> davė įsakymą kitiems kariams atlikti inkriminuojamus veiksmus ar pats tokius veiksmus atliko prieš civilius gyventojus. Todėl skundžiamu nuosprendžiu nepagrįstai konstatuota ir nuteistojo atsakomybę sunkinanti aplinkybė, kad jo veika buvo padaryta visuotinai pavojingu būdu – panaudojant sprogmenis </w:t>
      </w:r>
      <w:r w:rsidRPr="00E76E89">
        <w:lastRenderedPageBreak/>
        <w:t xml:space="preserve">ir (ar) šaunamuosius ginklus. Anot gynėjo, tai rodo, kad </w:t>
      </w:r>
      <w:r w:rsidR="006036E7" w:rsidRPr="00E76E89">
        <w:t>J. G.</w:t>
      </w:r>
      <w:r w:rsidRPr="00E76E89">
        <w:t xml:space="preserve"> vaidmuo įvykiuose buvo epizodinis ir nesukėlė inkriminuojamų sunkių padarinių.</w:t>
      </w:r>
    </w:p>
    <w:p w:rsidR="000837B3" w:rsidRPr="00E76E89" w:rsidRDefault="001F2EC0" w:rsidP="00321748">
      <w:pPr>
        <w:pStyle w:val="ListParagraph"/>
        <w:numPr>
          <w:ilvl w:val="1"/>
          <w:numId w:val="6"/>
        </w:numPr>
        <w:spacing w:before="120" w:after="120"/>
        <w:ind w:left="992" w:hanging="992"/>
        <w:contextualSpacing w:val="0"/>
        <w:rPr>
          <w:szCs w:val="24"/>
        </w:rPr>
      </w:pPr>
      <w:r w:rsidRPr="00E76E89">
        <w:t xml:space="preserve">Teismas išsamiai neištyrė visų reikšmingų bylos aplinkybių ir neatskleidė </w:t>
      </w:r>
      <w:r w:rsidR="006036E7" w:rsidRPr="00E76E89">
        <w:t>J. G.</w:t>
      </w:r>
      <w:r w:rsidR="001E5596" w:rsidRPr="00E76E89">
        <w:t>,</w:t>
      </w:r>
      <w:r w:rsidRPr="00E76E89">
        <w:t xml:space="preserve"> kaip bendrininko</w:t>
      </w:r>
      <w:r w:rsidR="001E5596" w:rsidRPr="00E76E89">
        <w:t>,</w:t>
      </w:r>
      <w:r w:rsidRPr="00E76E89">
        <w:t xml:space="preserve"> vaidmens, būtinų</w:t>
      </w:r>
      <w:r w:rsidR="001E5596" w:rsidRPr="00E76E89">
        <w:t>jų</w:t>
      </w:r>
      <w:r w:rsidRPr="00E76E89">
        <w:t xml:space="preserve"> bendrininkavimo objektyviųjų ir subjektyviųjų požymių ir nepagrįstai sureikšmino </w:t>
      </w:r>
      <w:r w:rsidR="006036E7" w:rsidRPr="00E76E89">
        <w:t>J. G.</w:t>
      </w:r>
      <w:r w:rsidRPr="00E76E89">
        <w:t xml:space="preserve"> vaidmenį, todėl jis išteisintinas. </w:t>
      </w:r>
    </w:p>
    <w:p w:rsidR="001F2EC0" w:rsidRPr="00E76E89" w:rsidRDefault="001F2EC0" w:rsidP="00321748">
      <w:pPr>
        <w:pStyle w:val="ListParagraph"/>
        <w:numPr>
          <w:ilvl w:val="1"/>
          <w:numId w:val="6"/>
        </w:numPr>
        <w:spacing w:before="120" w:after="120"/>
        <w:ind w:left="992" w:hanging="992"/>
        <w:contextualSpacing w:val="0"/>
        <w:rPr>
          <w:szCs w:val="24"/>
        </w:rPr>
      </w:pPr>
      <w:r w:rsidRPr="00E76E89">
        <w:t xml:space="preserve">Gynėjo vertinimu, jei apeliacinės instancijos teismas nesutiktų su jo pozicija dėl </w:t>
      </w:r>
      <w:r w:rsidR="006036E7" w:rsidRPr="00E76E89">
        <w:t>J. G.</w:t>
      </w:r>
      <w:r w:rsidRPr="00E76E89">
        <w:t xml:space="preserve"> išteisinimo, jau minėtos aplinkybės yra pakankamos konstatuoti, jog nuteistajam nepagrįstai paskirta</w:t>
      </w:r>
      <w:r w:rsidR="000837B3" w:rsidRPr="00E76E89">
        <w:t xml:space="preserve"> 12 metų</w:t>
      </w:r>
      <w:r w:rsidRPr="00E76E89">
        <w:t xml:space="preserve"> laisvės atėmimo bausmė. </w:t>
      </w:r>
      <w:r w:rsidR="000837B3" w:rsidRPr="00E76E89">
        <w:t xml:space="preserve">Apelianto įsitikinimu, byloje neteisingai aiškintos ir taikytos bausmių skyrimo nuostatos. </w:t>
      </w:r>
      <w:r w:rsidRPr="00E76E89">
        <w:t xml:space="preserve">Tokia bausmės rūšis pažeidžia teisingumo principą ir BK 54 straipsnio nuostatas, todėl byloje turėjo būti taikomos BK 54 straipsnio 3 dalies nuostatos dėl švelnesnės nei baudžiamojo įstatymo sankcijoje numatytos bausmės skyrimo. </w:t>
      </w:r>
    </w:p>
    <w:p w:rsidR="000837B3" w:rsidRPr="00E76E89" w:rsidRDefault="001F2EC0" w:rsidP="00321748">
      <w:pPr>
        <w:pStyle w:val="ListParagraph"/>
        <w:numPr>
          <w:ilvl w:val="1"/>
          <w:numId w:val="6"/>
        </w:numPr>
        <w:spacing w:before="120" w:after="120"/>
        <w:ind w:left="992" w:hanging="992"/>
        <w:contextualSpacing w:val="0"/>
        <w:rPr>
          <w:szCs w:val="24"/>
        </w:rPr>
      </w:pPr>
      <w:r w:rsidRPr="00E76E89">
        <w:t xml:space="preserve">Apeliaciniame skunde nurodoma, kad proceso metu padaryta ir esminių BPK pažeidimų. Visiems nuteistiesiems pareikštas kaltinimas šioje byloje buvo identiškas, o kuo pasireiškė </w:t>
      </w:r>
      <w:r w:rsidR="006036E7" w:rsidRPr="00E76E89">
        <w:t>J. G.</w:t>
      </w:r>
      <w:r w:rsidRPr="00E76E89">
        <w:t xml:space="preserve"> veiksmai šiuose epizoduose, prokurorai ir teismas nenurodė. Taigi </w:t>
      </w:r>
      <w:bookmarkStart w:id="60" w:name="_Hlk34296214"/>
      <w:r w:rsidRPr="00E76E89">
        <w:t>prokurorai tinkamai neįvykdė BPK 219 straipsnio 3 dalies reikalavimų</w:t>
      </w:r>
      <w:r w:rsidR="002A2E2B" w:rsidRPr="00E76E89">
        <w:t>,</w:t>
      </w:r>
      <w:r w:rsidRPr="00E76E89">
        <w:t xml:space="preserve"> keliamų kaltinamajam aktui, o pirmosios instancijos teismas pažeidė BPK 305 straipsnio reikalavimus, keliamus nuosprendžio turiniui</w:t>
      </w:r>
      <w:bookmarkEnd w:id="60"/>
      <w:r w:rsidRPr="00E76E89">
        <w:t xml:space="preserve">. </w:t>
      </w:r>
    </w:p>
    <w:p w:rsidR="001F2EC0" w:rsidRPr="00E76E89" w:rsidRDefault="001F2EC0" w:rsidP="00321748">
      <w:pPr>
        <w:pStyle w:val="ListParagraph"/>
        <w:numPr>
          <w:ilvl w:val="1"/>
          <w:numId w:val="6"/>
        </w:numPr>
        <w:spacing w:before="120" w:after="120"/>
        <w:ind w:left="992" w:hanging="992"/>
        <w:contextualSpacing w:val="0"/>
        <w:rPr>
          <w:szCs w:val="24"/>
        </w:rPr>
      </w:pPr>
      <w:r w:rsidRPr="00E76E89">
        <w:t xml:space="preserve">Pirmosios instancijos teismas neatsižvelgė ir į tai, kad nuteistasis nebuvo tinkamai informuotas apie jam pareikštus įtarimus ir kaltinimus. Skunde pažymima, kad Vilniaus miesto apylinkės teismo </w:t>
      </w:r>
      <w:bookmarkStart w:id="61" w:name="_Hlk34296120"/>
      <w:r w:rsidR="002A2E2B" w:rsidRPr="00E76E89">
        <w:t xml:space="preserve">2013 m. birželio 10 d. </w:t>
      </w:r>
      <w:r w:rsidRPr="00E76E89">
        <w:t xml:space="preserve">pranešimas apie įtarimą ir </w:t>
      </w:r>
      <w:r w:rsidR="006036E7" w:rsidRPr="00E76E89">
        <w:t>J. G.</w:t>
      </w:r>
      <w:r w:rsidRPr="00E76E89">
        <w:t xml:space="preserve"> pareikštas kaltinimas nėra teisiškai identiški</w:t>
      </w:r>
      <w:bookmarkEnd w:id="61"/>
      <w:r w:rsidRPr="00E76E89">
        <w:t xml:space="preserve">. Bet kokia kaltinimo modifikacija, nežinant, ar buvo imtasi visų priemonių tinkamai informuoti nuteistąjį apie pakitusias inkriminuojamas aplinkybes, iš kaltinimo šalintina. </w:t>
      </w:r>
    </w:p>
    <w:p w:rsidR="00450806" w:rsidRPr="00C00255" w:rsidRDefault="00450806" w:rsidP="00321748">
      <w:pPr>
        <w:pStyle w:val="ListParagraph"/>
        <w:numPr>
          <w:ilvl w:val="0"/>
          <w:numId w:val="6"/>
        </w:numPr>
        <w:spacing w:before="120" w:after="120"/>
        <w:ind w:left="992" w:hanging="992"/>
        <w:contextualSpacing w:val="0"/>
      </w:pPr>
      <w:bookmarkStart w:id="62" w:name="_Toc37947847"/>
      <w:bookmarkStart w:id="63" w:name="_Toc67677326"/>
      <w:bookmarkStart w:id="64" w:name="_Toc67985453"/>
      <w:r w:rsidRPr="009522D9">
        <w:rPr>
          <w:b/>
        </w:rPr>
        <w:t xml:space="preserve">Nuteistojo </w:t>
      </w:r>
      <w:r w:rsidR="006036E7" w:rsidRPr="009522D9">
        <w:rPr>
          <w:b/>
        </w:rPr>
        <w:t>I. Š.</w:t>
      </w:r>
      <w:r w:rsidRPr="009522D9">
        <w:rPr>
          <w:b/>
        </w:rPr>
        <w:t xml:space="preserve"> gynėjas</w:t>
      </w:r>
      <w:bookmarkEnd w:id="62"/>
      <w:bookmarkEnd w:id="63"/>
      <w:bookmarkEnd w:id="64"/>
      <w:r w:rsidRPr="00C00255">
        <w:rPr>
          <w:sz w:val="22"/>
        </w:rPr>
        <w:t xml:space="preserve"> </w:t>
      </w:r>
      <w:r w:rsidRPr="00C00255">
        <w:rPr>
          <w:b/>
        </w:rPr>
        <w:t xml:space="preserve">advokatas A. Kviatkovskis </w:t>
      </w:r>
      <w:r w:rsidRPr="00C00255">
        <w:t>apeliaciniu skundu prašo skundžiamą apygardos teismo nuosprendį panaikinti ir baudžiamąją bylą nutraukti, suėjus apkaltinamojo nuosprendžio priėmimo senaties terminams, o byloje pareikštus civilinius ieškinius palikti nenagrinėtus.</w:t>
      </w:r>
    </w:p>
    <w:p w:rsidR="00450806" w:rsidRPr="00E76E89" w:rsidRDefault="00450806"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nuteistojo veiksmai turėjo būti kvalifikuoti </w:t>
      </w:r>
      <w:r w:rsidR="00AB0627" w:rsidRPr="00E76E89">
        <w:rPr>
          <w:szCs w:val="24"/>
        </w:rPr>
        <w:t>pagal įvykių metu galiojusias baudžiamojo įstatymo</w:t>
      </w:r>
      <w:r w:rsidRPr="00E76E89">
        <w:rPr>
          <w:szCs w:val="24"/>
        </w:rPr>
        <w:t xml:space="preserve"> normas, atitinkančias </w:t>
      </w:r>
      <w:r w:rsidR="006036E7" w:rsidRPr="00E76E89">
        <w:rPr>
          <w:szCs w:val="24"/>
        </w:rPr>
        <w:t>I. Š.</w:t>
      </w:r>
      <w:r w:rsidRPr="00E76E89">
        <w:rPr>
          <w:szCs w:val="24"/>
        </w:rPr>
        <w:t xml:space="preserve"> veiksmus, ir dėl minėtų nusikalstamų veikų suėjus baudžiamosios atsakomybės senaties terminams baudžiamoji byla turėjo būti nutraukta. Baudžiamoji atsakomybė už nusikaltimus, už kuriuos nuteistas </w:t>
      </w:r>
      <w:r w:rsidR="006036E7" w:rsidRPr="00E76E89">
        <w:rPr>
          <w:szCs w:val="24"/>
        </w:rPr>
        <w:t>I. Š.</w:t>
      </w:r>
      <w:r w:rsidRPr="00E76E89">
        <w:rPr>
          <w:szCs w:val="24"/>
        </w:rPr>
        <w:t>, Lietuvoje buvo įtvirtinta tik 2011 m. įstatymu Nr. XI-1291, kuri</w:t>
      </w:r>
      <w:r w:rsidR="002A2E2B" w:rsidRPr="00E76E89">
        <w:rPr>
          <w:szCs w:val="24"/>
        </w:rPr>
        <w:t>ame</w:t>
      </w:r>
      <w:r w:rsidRPr="00E76E89">
        <w:rPr>
          <w:szCs w:val="24"/>
        </w:rPr>
        <w:t xml:space="preserve"> nu</w:t>
      </w:r>
      <w:r w:rsidR="002A2E2B" w:rsidRPr="00E76E89">
        <w:rPr>
          <w:szCs w:val="24"/>
        </w:rPr>
        <w:t xml:space="preserve">matyta </w:t>
      </w:r>
      <w:r w:rsidRPr="00E76E89">
        <w:rPr>
          <w:szCs w:val="24"/>
        </w:rPr>
        <w:t>galimyb</w:t>
      </w:r>
      <w:r w:rsidR="002A2E2B" w:rsidRPr="00E76E89">
        <w:rPr>
          <w:szCs w:val="24"/>
        </w:rPr>
        <w:t xml:space="preserve">ė </w:t>
      </w:r>
      <w:r w:rsidRPr="00E76E89">
        <w:rPr>
          <w:szCs w:val="24"/>
        </w:rPr>
        <w:t xml:space="preserve">atgaline data taikyti atsakomybę už nusikaltimus žmoniškumui ir karo nusikaltimus. Nusikalstamų veikų padarymo metu </w:t>
      </w:r>
      <w:r w:rsidR="006036E7" w:rsidRPr="00E76E89">
        <w:rPr>
          <w:szCs w:val="24"/>
        </w:rPr>
        <w:t>I. Š.</w:t>
      </w:r>
      <w:r w:rsidRPr="00E76E89">
        <w:rPr>
          <w:szCs w:val="24"/>
        </w:rPr>
        <w:t xml:space="preserve"> savo veiksmus galėjo sieti tik su tuo metu </w:t>
      </w:r>
      <w:r w:rsidR="00AB0627" w:rsidRPr="00E76E89">
        <w:rPr>
          <w:szCs w:val="24"/>
        </w:rPr>
        <w:t>baudžiamajame įstatyme</w:t>
      </w:r>
      <w:r w:rsidRPr="00E76E89">
        <w:rPr>
          <w:szCs w:val="24"/>
        </w:rPr>
        <w:t xml:space="preserve"> įtvirtintomis nusikalstamomis veikomis, o ne su galimai jam nežinomomis tarptautinės teisės normomis. Be to, 1999 m. Vilniaus apygardos teismo išnagrinėtoje byloje kitų kaltinamųjų veiksmai už tų pačių nusikalstamų veikų padarymą buvo kvalifikuoti pagal veikų padarymo metu galiojusias </w:t>
      </w:r>
      <w:r w:rsidR="00AB0627" w:rsidRPr="00E76E89">
        <w:rPr>
          <w:szCs w:val="24"/>
        </w:rPr>
        <w:t>baudžiamojo įstatymo</w:t>
      </w:r>
      <w:r w:rsidRPr="00E76E89">
        <w:rPr>
          <w:szCs w:val="24"/>
        </w:rPr>
        <w:t xml:space="preserve"> normas.</w:t>
      </w:r>
    </w:p>
    <w:p w:rsidR="00450806" w:rsidRPr="00E76E89" w:rsidRDefault="00450806" w:rsidP="00321748">
      <w:pPr>
        <w:pStyle w:val="ListParagraph"/>
        <w:numPr>
          <w:ilvl w:val="1"/>
          <w:numId w:val="6"/>
        </w:numPr>
        <w:spacing w:before="120" w:after="120"/>
        <w:ind w:left="992" w:hanging="992"/>
        <w:contextualSpacing w:val="0"/>
        <w:rPr>
          <w:szCs w:val="24"/>
        </w:rPr>
      </w:pPr>
      <w:r w:rsidRPr="00E76E89">
        <w:rPr>
          <w:szCs w:val="24"/>
        </w:rPr>
        <w:t xml:space="preserve">Apeliaciniame skunde išdėstyti ir atskiri argumentai dėl ginamojo išteisinimo. Gynėjo teigimu, byloje nėra surinkta įrodymų, patvirtinančių teismo išvadas, kad </w:t>
      </w:r>
      <w:r w:rsidR="006036E7" w:rsidRPr="00E76E89">
        <w:rPr>
          <w:szCs w:val="24"/>
        </w:rPr>
        <w:t>I. Š.</w:t>
      </w:r>
      <w:r w:rsidRPr="00E76E89">
        <w:rPr>
          <w:szCs w:val="24"/>
        </w:rPr>
        <w:t xml:space="preserve"> karinės operacijos prie LRT pastato metu organizavo ir vykdė LRT pastate dirbusių ir pastatą gynusių civilių asmenų puolimą. Byloje nepaneigti paties </w:t>
      </w:r>
      <w:r w:rsidR="006036E7" w:rsidRPr="00E76E89">
        <w:rPr>
          <w:szCs w:val="24"/>
        </w:rPr>
        <w:t>I. Š.</w:t>
      </w:r>
      <w:r w:rsidRPr="00E76E89">
        <w:rPr>
          <w:szCs w:val="24"/>
        </w:rPr>
        <w:t xml:space="preserve"> parodymai, kad jis ginklo nenaudojo. Nenustačius, kad </w:t>
      </w:r>
      <w:r w:rsidR="006036E7" w:rsidRPr="00E76E89">
        <w:rPr>
          <w:szCs w:val="24"/>
        </w:rPr>
        <w:t>I. Š.</w:t>
      </w:r>
      <w:r w:rsidRPr="00E76E89">
        <w:rPr>
          <w:szCs w:val="24"/>
        </w:rPr>
        <w:t xml:space="preserve"> savo veiksmais kam nors padarė žalą, jis turi būti išteisintas. Taip pat </w:t>
      </w:r>
      <w:r w:rsidR="006036E7" w:rsidRPr="00E76E89">
        <w:rPr>
          <w:szCs w:val="24"/>
        </w:rPr>
        <w:t>I. Š.</w:t>
      </w:r>
      <w:r w:rsidRPr="00E76E89">
        <w:rPr>
          <w:szCs w:val="24"/>
        </w:rPr>
        <w:t xml:space="preserve"> negali būti nuteistas už jam inkriminuotus nusikaltimus, kadangi jis, būdamas karininkas ir davęs priesaiką, vykdė įsakymą, už kurio nevykdymą grėsė griežta atsakomybė. Be to, nuteistasis neturėjo daug žinių apie tuometę Lietuvos politinę situaciją </w:t>
      </w:r>
      <w:r w:rsidRPr="00E76E89">
        <w:rPr>
          <w:szCs w:val="24"/>
        </w:rPr>
        <w:lastRenderedPageBreak/>
        <w:t>bei negalėjo žinoti apie naujai priimtų teisės aktų sąsają su 1940</w:t>
      </w:r>
      <w:r w:rsidR="00392F75" w:rsidRPr="00E76E89">
        <w:rPr>
          <w:szCs w:val="24"/>
        </w:rPr>
        <w:t> </w:t>
      </w:r>
      <w:r w:rsidRPr="00E76E89">
        <w:rPr>
          <w:szCs w:val="24"/>
        </w:rPr>
        <w:t xml:space="preserve">m. galiojusiais teisės aktais. Jis manė, kad atvyko į TSRS teritoriją, kur galioja TSRS įstatymai. Todėl nėra pagrindo </w:t>
      </w:r>
      <w:r w:rsidR="00AA44C7" w:rsidRPr="00E76E89">
        <w:rPr>
          <w:szCs w:val="24"/>
        </w:rPr>
        <w:t xml:space="preserve">teismui </w:t>
      </w:r>
      <w:r w:rsidR="00392F75" w:rsidRPr="00E76E89">
        <w:rPr>
          <w:szCs w:val="24"/>
        </w:rPr>
        <w:t xml:space="preserve">daryti </w:t>
      </w:r>
      <w:r w:rsidRPr="00E76E89">
        <w:rPr>
          <w:szCs w:val="24"/>
        </w:rPr>
        <w:t>išvad</w:t>
      </w:r>
      <w:r w:rsidR="002A2E2B" w:rsidRPr="00E76E89">
        <w:rPr>
          <w:szCs w:val="24"/>
        </w:rPr>
        <w:t>os</w:t>
      </w:r>
      <w:r w:rsidRPr="00E76E89">
        <w:rPr>
          <w:szCs w:val="24"/>
        </w:rPr>
        <w:t xml:space="preserve">, kad kiekvienas kaltinamasis (tarp jų ir </w:t>
      </w:r>
      <w:r w:rsidR="006036E7" w:rsidRPr="00E76E89">
        <w:rPr>
          <w:szCs w:val="24"/>
        </w:rPr>
        <w:t>I. Š.</w:t>
      </w:r>
      <w:r w:rsidRPr="00E76E89">
        <w:rPr>
          <w:szCs w:val="24"/>
        </w:rPr>
        <w:t>) atliko tam tikrus konkrečius veiksmus, susijusius su TSRS ir TSKP politikos vykdymu, karinės operacijos inici</w:t>
      </w:r>
      <w:r w:rsidR="00CD32BC" w:rsidRPr="00E76E89">
        <w:rPr>
          <w:szCs w:val="24"/>
        </w:rPr>
        <w:t>j</w:t>
      </w:r>
      <w:r w:rsidRPr="00E76E89">
        <w:rPr>
          <w:szCs w:val="24"/>
        </w:rPr>
        <w:t xml:space="preserve">avimu, planavimu, karinių pajėgų perdislokavimu bei paskirstymu, civilių taikaus pasipriešinimo palaužimu, panaudojant smurto ir bauginimo priemones, šaunamuosius ginklus, sprogstamuosius užtaisus ir kovinę techniką. </w:t>
      </w:r>
    </w:p>
    <w:p w:rsidR="00450806" w:rsidRPr="00E76E89" w:rsidRDefault="00450806" w:rsidP="00321748">
      <w:pPr>
        <w:pStyle w:val="ListParagraph"/>
        <w:numPr>
          <w:ilvl w:val="1"/>
          <w:numId w:val="6"/>
        </w:numPr>
        <w:spacing w:before="120" w:after="120"/>
        <w:ind w:left="992" w:hanging="992"/>
        <w:contextualSpacing w:val="0"/>
        <w:rPr>
          <w:szCs w:val="24"/>
        </w:rPr>
      </w:pPr>
      <w:r w:rsidRPr="00E76E89">
        <w:rPr>
          <w:szCs w:val="24"/>
        </w:rPr>
        <w:t xml:space="preserve">Apeliaciniame skunde nurodoma, kad teismas padarė baudžiamojo proceso pažeidimą, nuteistojo kaltę iš esmės grįsdamas jo paties parodymais, kurie duoti ikiteisminio tyrimo metu apklausiant jį </w:t>
      </w:r>
      <w:r w:rsidR="00392F75" w:rsidRPr="00E76E89">
        <w:rPr>
          <w:szCs w:val="24"/>
        </w:rPr>
        <w:t xml:space="preserve">kaip </w:t>
      </w:r>
      <w:r w:rsidRPr="00E76E89">
        <w:rPr>
          <w:szCs w:val="24"/>
        </w:rPr>
        <w:t>liudytoj</w:t>
      </w:r>
      <w:r w:rsidR="00392F75" w:rsidRPr="00E76E89">
        <w:rPr>
          <w:szCs w:val="24"/>
        </w:rPr>
        <w:t>ą</w:t>
      </w:r>
      <w:r w:rsidRPr="00E76E89">
        <w:rPr>
          <w:szCs w:val="24"/>
        </w:rPr>
        <w:t xml:space="preserve">. Taip buvo pažeistas konstitucinis principas, </w:t>
      </w:r>
      <w:r w:rsidR="00392F75" w:rsidRPr="00E76E89">
        <w:rPr>
          <w:szCs w:val="24"/>
        </w:rPr>
        <w:t xml:space="preserve">kuriuo </w:t>
      </w:r>
      <w:r w:rsidRPr="00E76E89">
        <w:rPr>
          <w:szCs w:val="24"/>
        </w:rPr>
        <w:t>draudžia</w:t>
      </w:r>
      <w:r w:rsidR="00392F75" w:rsidRPr="00E76E89">
        <w:rPr>
          <w:szCs w:val="24"/>
        </w:rPr>
        <w:t>ma</w:t>
      </w:r>
      <w:r w:rsidRPr="00E76E89">
        <w:rPr>
          <w:szCs w:val="24"/>
        </w:rPr>
        <w:t xml:space="preserve"> versti duoti parodymus prieš save. </w:t>
      </w:r>
    </w:p>
    <w:p w:rsidR="00A15474" w:rsidRPr="00C00255" w:rsidRDefault="007168F4" w:rsidP="00321748">
      <w:pPr>
        <w:pStyle w:val="ListParagraph"/>
        <w:numPr>
          <w:ilvl w:val="0"/>
          <w:numId w:val="6"/>
        </w:numPr>
        <w:spacing w:before="120" w:after="120"/>
        <w:ind w:left="992" w:hanging="992"/>
        <w:contextualSpacing w:val="0"/>
      </w:pPr>
      <w:bookmarkStart w:id="65" w:name="_Toc37947848"/>
      <w:bookmarkStart w:id="66" w:name="_Toc67677327"/>
      <w:bookmarkStart w:id="67" w:name="_Toc67985454"/>
      <w:r w:rsidRPr="009522D9">
        <w:rPr>
          <w:b/>
        </w:rPr>
        <w:t>N</w:t>
      </w:r>
      <w:r w:rsidR="00A15474" w:rsidRPr="009522D9">
        <w:rPr>
          <w:b/>
        </w:rPr>
        <w:t xml:space="preserve">uteistojo </w:t>
      </w:r>
      <w:r w:rsidR="006036E7" w:rsidRPr="009522D9">
        <w:rPr>
          <w:b/>
        </w:rPr>
        <w:t>A. Z.</w:t>
      </w:r>
      <w:r w:rsidR="00A15474" w:rsidRPr="009522D9">
        <w:rPr>
          <w:b/>
        </w:rPr>
        <w:t xml:space="preserve"> gynėjai</w:t>
      </w:r>
      <w:bookmarkEnd w:id="65"/>
      <w:bookmarkEnd w:id="66"/>
      <w:bookmarkEnd w:id="67"/>
      <w:r w:rsidR="00A15474" w:rsidRPr="00C00255">
        <w:rPr>
          <w:rStyle w:val="Heading1Char"/>
          <w:sz w:val="22"/>
          <w:szCs w:val="24"/>
        </w:rPr>
        <w:t xml:space="preserve"> </w:t>
      </w:r>
      <w:r w:rsidR="00A15474" w:rsidRPr="00C00255">
        <w:rPr>
          <w:b/>
          <w:szCs w:val="24"/>
        </w:rPr>
        <w:t>advokatai</w:t>
      </w:r>
      <w:r w:rsidR="00A15474" w:rsidRPr="00C00255">
        <w:rPr>
          <w:b/>
        </w:rPr>
        <w:t xml:space="preserve"> A. Jurgelėnas ir A. Danielius </w:t>
      </w:r>
      <w:r w:rsidR="00A15474" w:rsidRPr="00C00255">
        <w:t xml:space="preserve">apeliaciniu skundu prašo pirmosios instancijos teismo nuosprendį </w:t>
      </w:r>
      <w:r w:rsidR="004E12C8" w:rsidRPr="00C00255">
        <w:t xml:space="preserve">panaikinti </w:t>
      </w:r>
      <w:r w:rsidR="00A15474" w:rsidRPr="00C00255">
        <w:rPr>
          <w:szCs w:val="24"/>
        </w:rPr>
        <w:t xml:space="preserve">ir dėl jų ginamojo priimti išteisinamąjį nuosprendį bei atmesti civilinį ieškinį. </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 xml:space="preserve">Nuteistojo gynėjų teigimu, </w:t>
      </w:r>
      <w:r w:rsidR="006036E7" w:rsidRPr="00E76E89">
        <w:rPr>
          <w:szCs w:val="24"/>
        </w:rPr>
        <w:t>A. Z.</w:t>
      </w:r>
      <w:r w:rsidRPr="00E76E89">
        <w:rPr>
          <w:szCs w:val="24"/>
        </w:rPr>
        <w:t xml:space="preserve"> turi būti išteisintas dėl jam inkriminuotų veikų, kadangi jis, vadovaudamasis TSRS ginkluotųjų pajėgų vidaus tarnybos statutu (t.</w:t>
      </w:r>
      <w:r w:rsidR="004F640D" w:rsidRPr="00E76E89">
        <w:rPr>
          <w:szCs w:val="24"/>
        </w:rPr>
        <w:t> </w:t>
      </w:r>
      <w:r w:rsidR="00B824D6" w:rsidRPr="00E76E89">
        <w:rPr>
          <w:szCs w:val="24"/>
        </w:rPr>
        <w:t>506, </w:t>
      </w:r>
      <w:r w:rsidRPr="00E76E89">
        <w:rPr>
          <w:szCs w:val="24"/>
        </w:rPr>
        <w:t>b.</w:t>
      </w:r>
      <w:r w:rsidR="00392F75" w:rsidRPr="00E76E89">
        <w:rPr>
          <w:szCs w:val="24"/>
        </w:rPr>
        <w:t> </w:t>
      </w:r>
      <w:r w:rsidRPr="00E76E89">
        <w:rPr>
          <w:szCs w:val="24"/>
        </w:rPr>
        <w:t>l.</w:t>
      </w:r>
      <w:r w:rsidR="00392F75" w:rsidRPr="00E76E89">
        <w:rPr>
          <w:szCs w:val="24"/>
        </w:rPr>
        <w:t> </w:t>
      </w:r>
      <w:r w:rsidRPr="00E76E89">
        <w:rPr>
          <w:szCs w:val="24"/>
        </w:rPr>
        <w:t xml:space="preserve">46) bei duota kario priesaika, tik vykdė jam duotus įsakymus. Skunde pažymima, kad pagal tarptautinės teisės principus už neteisėtus veiksmus yra teisiami vadai, o ne vykdytojai, todėl nagrinėjamu atveju už karių veiksmus turi atsakyti juos pasiuntusi valstybė. Be to, </w:t>
      </w:r>
      <w:r w:rsidR="006036E7" w:rsidRPr="00E76E89">
        <w:rPr>
          <w:szCs w:val="24"/>
        </w:rPr>
        <w:t>A. Z.</w:t>
      </w:r>
      <w:r w:rsidRPr="00E76E89">
        <w:rPr>
          <w:szCs w:val="24"/>
        </w:rPr>
        <w:t xml:space="preserve"> nesuvokė, kad laikotarpiu nuo 1918 m. iki 1940 m. Lietuva buvo nepriklaus</w:t>
      </w:r>
      <w:r w:rsidR="00660130" w:rsidRPr="00E76E89">
        <w:rPr>
          <w:szCs w:val="24"/>
        </w:rPr>
        <w:t>oma valstybė, ir 1991 m. sausio 6 </w:t>
      </w:r>
      <w:r w:rsidRPr="00E76E89">
        <w:rPr>
          <w:szCs w:val="24"/>
        </w:rPr>
        <w:t xml:space="preserve">d. atskridęs į Lietuvą jis nesuprato, kad atvyko į nepriklausomą valstybę. </w:t>
      </w:r>
      <w:r w:rsidR="006036E7" w:rsidRPr="00E76E89">
        <w:rPr>
          <w:szCs w:val="24"/>
        </w:rPr>
        <w:t>A. Z.</w:t>
      </w:r>
      <w:r w:rsidR="00392F75" w:rsidRPr="00E76E89">
        <w:rPr>
          <w:szCs w:val="24"/>
        </w:rPr>
        <w:t>,</w:t>
      </w:r>
      <w:r w:rsidRPr="00E76E89">
        <w:rPr>
          <w:szCs w:val="24"/>
        </w:rPr>
        <w:t xml:space="preserve"> 1991 m. sausio 17 d. apklaustas ka</w:t>
      </w:r>
      <w:r w:rsidR="00001989" w:rsidRPr="00E76E89">
        <w:rPr>
          <w:szCs w:val="24"/>
        </w:rPr>
        <w:t>ip liudytojas (t. 598, b. l. 51–56, 57–</w:t>
      </w:r>
      <w:r w:rsidRPr="00E76E89">
        <w:rPr>
          <w:szCs w:val="24"/>
        </w:rPr>
        <w:t>59)</w:t>
      </w:r>
      <w:r w:rsidR="002A2E2B" w:rsidRPr="00E76E89">
        <w:rPr>
          <w:szCs w:val="24"/>
        </w:rPr>
        <w:t>,</w:t>
      </w:r>
      <w:r w:rsidRPr="00E76E89">
        <w:rPr>
          <w:szCs w:val="24"/>
        </w:rPr>
        <w:t xml:space="preserve"> paaiškino, kad 1991 m. sausio 6 d. lėktuvu nusileido </w:t>
      </w:r>
      <w:r w:rsidR="00660130" w:rsidRPr="00E76E89">
        <w:rPr>
          <w:szCs w:val="24"/>
        </w:rPr>
        <w:t>(duomenys neskelbtini)</w:t>
      </w:r>
      <w:r w:rsidRPr="00E76E89">
        <w:rPr>
          <w:szCs w:val="24"/>
        </w:rPr>
        <w:t xml:space="preserve">, suprasdamas, kad Lietuva yra </w:t>
      </w:r>
      <w:r w:rsidR="00970DB0" w:rsidRPr="00E76E89">
        <w:rPr>
          <w:szCs w:val="24"/>
        </w:rPr>
        <w:t>TSRS</w:t>
      </w:r>
      <w:r w:rsidRPr="00E76E89">
        <w:rPr>
          <w:szCs w:val="24"/>
        </w:rPr>
        <w:t xml:space="preserve"> respublika. Dalinio vadas </w:t>
      </w:r>
      <w:r w:rsidR="00C507EF" w:rsidRPr="00E76E89">
        <w:rPr>
          <w:szCs w:val="24"/>
        </w:rPr>
        <w:t>I. K.</w:t>
      </w:r>
      <w:r w:rsidRPr="00E76E89">
        <w:rPr>
          <w:szCs w:val="24"/>
        </w:rPr>
        <w:t xml:space="preserve"> pranešė, kad atvyko užtikrinti šaukimų į kariuomenę vykdymą, todėl </w:t>
      </w:r>
      <w:r w:rsidR="006036E7" w:rsidRPr="00E76E89">
        <w:rPr>
          <w:szCs w:val="24"/>
        </w:rPr>
        <w:t>A. Z.</w:t>
      </w:r>
      <w:r w:rsidR="004E12C8" w:rsidRPr="00E76E89">
        <w:rPr>
          <w:szCs w:val="24"/>
        </w:rPr>
        <w:t>,</w:t>
      </w:r>
      <w:r w:rsidRPr="00E76E89">
        <w:rPr>
          <w:szCs w:val="24"/>
        </w:rPr>
        <w:t xml:space="preserve"> nežinodamas tikrųjų atvykimo į Lietuvą tikslų</w:t>
      </w:r>
      <w:r w:rsidR="004E12C8" w:rsidRPr="00E76E89">
        <w:rPr>
          <w:szCs w:val="24"/>
        </w:rPr>
        <w:t>,</w:t>
      </w:r>
      <w:r w:rsidRPr="00E76E89">
        <w:rPr>
          <w:szCs w:val="24"/>
        </w:rPr>
        <w:t xml:space="preserve"> buvo suklaidintas.</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Apeliaciniame skunde</w:t>
      </w:r>
      <w:r w:rsidR="00FD13EB" w:rsidRPr="00E76E89">
        <w:rPr>
          <w:szCs w:val="24"/>
        </w:rPr>
        <w:t xml:space="preserve"> nurodoma, kad nut</w:t>
      </w:r>
      <w:r w:rsidR="002C298B" w:rsidRPr="00E76E89">
        <w:rPr>
          <w:szCs w:val="24"/>
        </w:rPr>
        <w:t xml:space="preserve">eistasis </w:t>
      </w:r>
      <w:r w:rsidR="006036E7" w:rsidRPr="00E76E89">
        <w:rPr>
          <w:szCs w:val="24"/>
        </w:rPr>
        <w:t>A. Z.</w:t>
      </w:r>
      <w:r w:rsidR="002C298B" w:rsidRPr="00E76E89">
        <w:rPr>
          <w:szCs w:val="24"/>
        </w:rPr>
        <w:t xml:space="preserve"> kaip karininkas pagal TSRS ginkluotųjų pajėgų vidaus tarnybos statutą vykdė kariuomenės vadų įsakymus, todėl negalėjo su kitais asmenimis iš anksto susitarti dėl jokių veiksmų, taigi nuosprendyje nepagrįstai pripažinta, jog jis priklausė organizuotai grupei. </w:t>
      </w:r>
    </w:p>
    <w:p w:rsidR="00A15474" w:rsidRPr="00E76E89" w:rsidRDefault="00DE3B19" w:rsidP="00321748">
      <w:pPr>
        <w:pStyle w:val="ListParagraph"/>
        <w:numPr>
          <w:ilvl w:val="1"/>
          <w:numId w:val="6"/>
        </w:numPr>
        <w:spacing w:before="120" w:after="120"/>
        <w:ind w:left="992" w:hanging="992"/>
        <w:contextualSpacing w:val="0"/>
        <w:rPr>
          <w:szCs w:val="24"/>
        </w:rPr>
      </w:pPr>
      <w:r w:rsidRPr="00E76E89">
        <w:rPr>
          <w:szCs w:val="24"/>
        </w:rPr>
        <w:t>Gynėjų teigimu, įvykių prie TV</w:t>
      </w:r>
      <w:r w:rsidR="00A15474" w:rsidRPr="00E76E89">
        <w:rPr>
          <w:szCs w:val="24"/>
        </w:rPr>
        <w:t xml:space="preserve"> bokšto metu kareiviai pagal </w:t>
      </w:r>
      <w:r w:rsidR="006036E7" w:rsidRPr="00E76E89">
        <w:rPr>
          <w:szCs w:val="24"/>
        </w:rPr>
        <w:t>A. Z.</w:t>
      </w:r>
      <w:r w:rsidR="00A15474" w:rsidRPr="00E76E89">
        <w:rPr>
          <w:szCs w:val="24"/>
        </w:rPr>
        <w:t xml:space="preserve"> komandą šaudė į viršų tuščiais šoviniais, tačiau, miniai suagresyvėjus, </w:t>
      </w:r>
      <w:r w:rsidR="006036E7" w:rsidRPr="00E76E89">
        <w:rPr>
          <w:szCs w:val="24"/>
        </w:rPr>
        <w:t>A. Z.</w:t>
      </w:r>
      <w:r w:rsidR="00A15474" w:rsidRPr="00E76E89">
        <w:rPr>
          <w:szCs w:val="24"/>
        </w:rPr>
        <w:t xml:space="preserve"> iššovė trumpas serijas virš žmonių galvų, </w:t>
      </w:r>
      <w:r w:rsidR="001F0A6A" w:rsidRPr="00E76E89">
        <w:rPr>
          <w:szCs w:val="24"/>
        </w:rPr>
        <w:t xml:space="preserve">nes </w:t>
      </w:r>
      <w:r w:rsidR="00A15474" w:rsidRPr="00E76E89">
        <w:rPr>
          <w:szCs w:val="24"/>
        </w:rPr>
        <w:t>stresinėje situacijoje nebegalė</w:t>
      </w:r>
      <w:r w:rsidR="001F0A6A" w:rsidRPr="00E76E89">
        <w:rPr>
          <w:szCs w:val="24"/>
        </w:rPr>
        <w:t>jo</w:t>
      </w:r>
      <w:r w:rsidR="00AA4EFE" w:rsidRPr="00E76E89">
        <w:rPr>
          <w:szCs w:val="24"/>
        </w:rPr>
        <w:t xml:space="preserve"> pasinaudoti savo moraliniu</w:t>
      </w:r>
      <w:r w:rsidR="001F0A6A" w:rsidRPr="00E76E89">
        <w:rPr>
          <w:szCs w:val="24"/>
        </w:rPr>
        <w:t xml:space="preserve"> ir </w:t>
      </w:r>
      <w:r w:rsidR="00A15474" w:rsidRPr="00E76E89">
        <w:rPr>
          <w:szCs w:val="24"/>
        </w:rPr>
        <w:t xml:space="preserve">dvasiniu suvokimu. Toje vietoje, kur buvo </w:t>
      </w:r>
      <w:r w:rsidR="006036E7" w:rsidRPr="00E76E89">
        <w:rPr>
          <w:szCs w:val="24"/>
        </w:rPr>
        <w:t>A. Z.</w:t>
      </w:r>
      <w:r w:rsidR="00A15474" w:rsidRPr="00E76E89">
        <w:rPr>
          <w:szCs w:val="24"/>
        </w:rPr>
        <w:t>, nei nužudytų, nei sužeistų asmenų nebuvo.</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w:t>
      </w:r>
      <w:r w:rsidR="006036E7" w:rsidRPr="00E76E89">
        <w:rPr>
          <w:szCs w:val="24"/>
        </w:rPr>
        <w:t>A. Z.</w:t>
      </w:r>
      <w:r w:rsidRPr="00E76E89">
        <w:rPr>
          <w:szCs w:val="24"/>
        </w:rPr>
        <w:t xml:space="preserve"> veiksmai nepagrįstai buvo kvalifikuoti pagal nuosprendžio priėmimo metu galiojusią BK redakciją, o ne pagal įvykių metu galiojusią švelnesnę 1961 m. BK redakciją, nors kiti susiję asmenys (</w:t>
      </w:r>
      <w:r w:rsidR="00C507EF" w:rsidRPr="00E76E89">
        <w:rPr>
          <w:szCs w:val="24"/>
        </w:rPr>
        <w:t>M. B.</w:t>
      </w:r>
      <w:r w:rsidRPr="00E76E89">
        <w:rPr>
          <w:szCs w:val="24"/>
        </w:rPr>
        <w:t xml:space="preserve">, </w:t>
      </w:r>
      <w:r w:rsidR="00C507EF" w:rsidRPr="00E76E89">
        <w:rPr>
          <w:szCs w:val="24"/>
        </w:rPr>
        <w:t>J. K.</w:t>
      </w:r>
      <w:r w:rsidRPr="00E76E89">
        <w:rPr>
          <w:szCs w:val="24"/>
        </w:rPr>
        <w:t>) buvo nuteisti būtent pagal 1961 m. BK redakciją.</w:t>
      </w:r>
    </w:p>
    <w:p w:rsidR="00A15474" w:rsidRPr="00C00255" w:rsidRDefault="00A15474" w:rsidP="00321748">
      <w:pPr>
        <w:pStyle w:val="ListParagraph"/>
        <w:numPr>
          <w:ilvl w:val="0"/>
          <w:numId w:val="6"/>
        </w:numPr>
        <w:spacing w:before="120" w:after="120"/>
        <w:ind w:left="992" w:hanging="992"/>
        <w:contextualSpacing w:val="0"/>
      </w:pPr>
      <w:bookmarkStart w:id="68" w:name="_Toc37947849"/>
      <w:bookmarkStart w:id="69" w:name="_Toc67677328"/>
      <w:bookmarkStart w:id="70" w:name="_Toc67985455"/>
      <w:r w:rsidRPr="00D43DF2">
        <w:rPr>
          <w:b/>
        </w:rPr>
        <w:t xml:space="preserve">Nuteistojo </w:t>
      </w:r>
      <w:r w:rsidR="006036E7" w:rsidRPr="00D43DF2">
        <w:rPr>
          <w:b/>
        </w:rPr>
        <w:t>R. J. 2</w:t>
      </w:r>
      <w:r w:rsidRPr="00D43DF2">
        <w:rPr>
          <w:b/>
        </w:rPr>
        <w:t xml:space="preserve"> gynėjas</w:t>
      </w:r>
      <w:bookmarkEnd w:id="68"/>
      <w:bookmarkEnd w:id="69"/>
      <w:bookmarkEnd w:id="70"/>
      <w:r w:rsidRPr="00C00255">
        <w:rPr>
          <w:b/>
          <w:sz w:val="22"/>
        </w:rPr>
        <w:t xml:space="preserve"> </w:t>
      </w:r>
      <w:r w:rsidRPr="00C00255">
        <w:rPr>
          <w:b/>
        </w:rPr>
        <w:t>advokatas Č. Bakasėnas</w:t>
      </w:r>
      <w:r w:rsidRPr="00C00255">
        <w:t xml:space="preserve"> apeliaciniu skundu prašo pakeisti pirmosios instancijos teismo nuosprendį ir jo ginamąjį išteisinti arba sušvelninti jam paskirtą bausmę.</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Gynėjo teigimu, nuteistam negalėjo būti inkriminuoti karo n</w:t>
      </w:r>
      <w:r w:rsidR="004E12C8" w:rsidRPr="00E76E89">
        <w:rPr>
          <w:szCs w:val="24"/>
        </w:rPr>
        <w:t>usikaltimai ir nusikaltimai žmon</w:t>
      </w:r>
      <w:r w:rsidRPr="00E76E89">
        <w:rPr>
          <w:szCs w:val="24"/>
        </w:rPr>
        <w:t>iškumui, nes įvykio metu Lietuvos R</w:t>
      </w:r>
      <w:r w:rsidR="00244308" w:rsidRPr="00E76E89">
        <w:rPr>
          <w:szCs w:val="24"/>
        </w:rPr>
        <w:t>espublikos baudžiamajame įstatyme</w:t>
      </w:r>
      <w:r w:rsidRPr="00E76E89">
        <w:rPr>
          <w:szCs w:val="24"/>
        </w:rPr>
        <w:t xml:space="preserve"> straipsnių, kuri</w:t>
      </w:r>
      <w:r w:rsidR="001F0A6A" w:rsidRPr="00E76E89">
        <w:rPr>
          <w:szCs w:val="24"/>
        </w:rPr>
        <w:t>uose</w:t>
      </w:r>
      <w:r w:rsidRPr="00E76E89">
        <w:rPr>
          <w:szCs w:val="24"/>
        </w:rPr>
        <w:t xml:space="preserve"> numat</w:t>
      </w:r>
      <w:r w:rsidR="001F0A6A" w:rsidRPr="00E76E89">
        <w:rPr>
          <w:szCs w:val="24"/>
        </w:rPr>
        <w:t>yta</w:t>
      </w:r>
      <w:r w:rsidRPr="00E76E89">
        <w:rPr>
          <w:szCs w:val="24"/>
        </w:rPr>
        <w:t xml:space="preserve"> atsakomyb</w:t>
      </w:r>
      <w:r w:rsidR="001F0A6A" w:rsidRPr="00E76E89">
        <w:rPr>
          <w:szCs w:val="24"/>
        </w:rPr>
        <w:t>ė</w:t>
      </w:r>
      <w:r w:rsidRPr="00E76E89">
        <w:rPr>
          <w:szCs w:val="24"/>
        </w:rPr>
        <w:t xml:space="preserve"> už karo n</w:t>
      </w:r>
      <w:r w:rsidR="004E12C8" w:rsidRPr="00E76E89">
        <w:rPr>
          <w:szCs w:val="24"/>
        </w:rPr>
        <w:t>usikaltimus ir nusikaltimus žmon</w:t>
      </w:r>
      <w:r w:rsidRPr="00E76E89">
        <w:rPr>
          <w:szCs w:val="24"/>
        </w:rPr>
        <w:t>iškumui, nebuvo. Taip pat nebuvo ir BK nuostatos, kuri dabar nu</w:t>
      </w:r>
      <w:r w:rsidR="001F0A6A" w:rsidRPr="00E76E89">
        <w:rPr>
          <w:szCs w:val="24"/>
        </w:rPr>
        <w:t>st</w:t>
      </w:r>
      <w:r w:rsidRPr="00E76E89">
        <w:rPr>
          <w:szCs w:val="24"/>
        </w:rPr>
        <w:t>atyta BK 3 straipsnio 3 dalyje, t.</w:t>
      </w:r>
      <w:r w:rsidR="001F0A6A" w:rsidRPr="00E76E89">
        <w:rPr>
          <w:szCs w:val="24"/>
        </w:rPr>
        <w:t> </w:t>
      </w:r>
      <w:r w:rsidRPr="00E76E89">
        <w:rPr>
          <w:szCs w:val="24"/>
        </w:rPr>
        <w:t xml:space="preserve">y. dėl </w:t>
      </w:r>
      <w:r w:rsidRPr="00E76E89">
        <w:rPr>
          <w:szCs w:val="24"/>
        </w:rPr>
        <w:lastRenderedPageBreak/>
        <w:t>baudžiamojo įstatymo grįžtamosios galios išimties. Tokių veikų inkriminavimas negalimas ir pagal Lietuvos Respublikos tarptautinius įsipareigojimus ir tarptautinę teisę. 1948</w:t>
      </w:r>
      <w:r w:rsidR="004F640D" w:rsidRPr="00E76E89">
        <w:rPr>
          <w:szCs w:val="24"/>
        </w:rPr>
        <w:t> </w:t>
      </w:r>
      <w:r w:rsidR="004B2109" w:rsidRPr="00E76E89">
        <w:rPr>
          <w:szCs w:val="24"/>
        </w:rPr>
        <w:t>m. </w:t>
      </w:r>
      <w:r w:rsidRPr="00E76E89">
        <w:rPr>
          <w:szCs w:val="24"/>
        </w:rPr>
        <w:t>gru</w:t>
      </w:r>
      <w:r w:rsidR="00660130" w:rsidRPr="00E76E89">
        <w:rPr>
          <w:szCs w:val="24"/>
        </w:rPr>
        <w:t>odžio </w:t>
      </w:r>
      <w:r w:rsidR="0042306C" w:rsidRPr="00E76E89">
        <w:rPr>
          <w:szCs w:val="24"/>
        </w:rPr>
        <w:t xml:space="preserve">10 d. </w:t>
      </w:r>
      <w:r w:rsidRPr="00E76E89">
        <w:rPr>
          <w:szCs w:val="24"/>
        </w:rPr>
        <w:t>Visuotinės žmogaus teisių deklaracijos 11 straipsnio 2 punkte nustatyta, kad niekas negali būti nuteistas už jokį veiksmą ar neveikimą, kuris pagal tuo metu galiojusius valstybės įstatymus arba tarptautinę teisę nebuvo laikomas baudžiamuoju nusikaltimu. 1949 m.</w:t>
      </w:r>
      <w:r w:rsidR="00171173" w:rsidRPr="00E76E89">
        <w:rPr>
          <w:szCs w:val="24"/>
        </w:rPr>
        <w:t> rugpjūčio 12 d. </w:t>
      </w:r>
      <w:r w:rsidRPr="00E76E89">
        <w:rPr>
          <w:szCs w:val="24"/>
        </w:rPr>
        <w:t>Ženevos</w:t>
      </w:r>
      <w:r w:rsidR="00171173" w:rsidRPr="00E76E89">
        <w:rPr>
          <w:szCs w:val="24"/>
        </w:rPr>
        <w:t> </w:t>
      </w:r>
      <w:r w:rsidRPr="00E76E89">
        <w:rPr>
          <w:szCs w:val="24"/>
        </w:rPr>
        <w:t xml:space="preserve">konvencijos dėl civilių </w:t>
      </w:r>
      <w:r w:rsidR="00171173" w:rsidRPr="00E76E89">
        <w:rPr>
          <w:szCs w:val="24"/>
        </w:rPr>
        <w:t>apsaugos karo metu 6 straipsnio </w:t>
      </w:r>
      <w:r w:rsidRPr="00E76E89">
        <w:rPr>
          <w:szCs w:val="24"/>
        </w:rPr>
        <w:t>2 dalyje nustatyta, kad k</w:t>
      </w:r>
      <w:r w:rsidR="00171173" w:rsidRPr="00E76E89">
        <w:rPr>
          <w:szCs w:val="24"/>
        </w:rPr>
        <w:t>onflikto šalių teritorijoje ši k</w:t>
      </w:r>
      <w:r w:rsidRPr="00E76E89">
        <w:rPr>
          <w:szCs w:val="24"/>
        </w:rPr>
        <w:t>onvencija nebetaikoma visuotinai pasibaigus karinėms operacijoms, o 6 straipsnio 3 dalyje nurodyta, k</w:t>
      </w:r>
      <w:r w:rsidR="00171173" w:rsidRPr="00E76E89">
        <w:rPr>
          <w:szCs w:val="24"/>
        </w:rPr>
        <w:t>ad okupuotoje teritorijoje ši k</w:t>
      </w:r>
      <w:r w:rsidRPr="00E76E89">
        <w:rPr>
          <w:szCs w:val="24"/>
        </w:rPr>
        <w:t xml:space="preserve">onvencija nebetaikoma praėjus metams nuo to laiko, kai visuotinai baigtos karinės operacijos. </w:t>
      </w:r>
      <w:r w:rsidR="00491A27" w:rsidRPr="00E76E89">
        <w:rPr>
          <w:szCs w:val="24"/>
        </w:rPr>
        <w:t xml:space="preserve">EŽTK </w:t>
      </w:r>
      <w:r w:rsidRPr="00E76E89">
        <w:rPr>
          <w:szCs w:val="24"/>
        </w:rPr>
        <w:t>7 straipsnio 1 dalyje nustatyta, kad niekas negali būti nuteistas už veiksmus ar neveikimą, kurie</w:t>
      </w:r>
      <w:r w:rsidR="004E12C8" w:rsidRPr="00E76E89">
        <w:rPr>
          <w:szCs w:val="24"/>
        </w:rPr>
        <w:t>, vadovaujantis</w:t>
      </w:r>
      <w:r w:rsidRPr="00E76E89">
        <w:rPr>
          <w:szCs w:val="24"/>
        </w:rPr>
        <w:t xml:space="preserve"> jų padarymo metu galiojusia nacionaline ar tarptautine teise</w:t>
      </w:r>
      <w:r w:rsidR="004E12C8" w:rsidRPr="00E76E89">
        <w:rPr>
          <w:szCs w:val="24"/>
        </w:rPr>
        <w:t>,</w:t>
      </w:r>
      <w:r w:rsidRPr="00E76E89">
        <w:rPr>
          <w:szCs w:val="24"/>
        </w:rPr>
        <w:t xml:space="preserve"> nebuvo laikomi nusikaltimais. 1966 </w:t>
      </w:r>
      <w:r w:rsidR="0042306C" w:rsidRPr="00E76E89">
        <w:rPr>
          <w:szCs w:val="24"/>
        </w:rPr>
        <w:t xml:space="preserve">m. gruodžio 19 d. </w:t>
      </w:r>
      <w:r w:rsidRPr="00E76E89">
        <w:rPr>
          <w:szCs w:val="24"/>
        </w:rPr>
        <w:t xml:space="preserve">Tarptautinio pilietinių ir politinių teisių pakto 15 straipsnio 1 dalyje nustatyta, kad niekas negali būti laikomas kaltu padaręs baudžiamąjį nusikaltimą dėl veikimo ar neveikimo, kuris pagal jo padarymo metu galiojusius nacionalinius įstatymus arba tarptautinę teisę nebuvo laikomas baudžiamuoju nusikaltimu. 1998 m. liepos 17 d. </w:t>
      </w:r>
      <w:r w:rsidR="0012467A" w:rsidRPr="00E76E89">
        <w:rPr>
          <w:szCs w:val="24"/>
        </w:rPr>
        <w:t>Romos </w:t>
      </w:r>
      <w:r w:rsidRPr="00E76E89">
        <w:rPr>
          <w:szCs w:val="24"/>
        </w:rPr>
        <w:t xml:space="preserve">statuto 24 straipsnio 1 </w:t>
      </w:r>
      <w:r w:rsidR="00171173" w:rsidRPr="00E76E89">
        <w:rPr>
          <w:szCs w:val="24"/>
        </w:rPr>
        <w:t>dalyje nustatyta, kad pagal šį s</w:t>
      </w:r>
      <w:r w:rsidRPr="00E76E89">
        <w:rPr>
          <w:szCs w:val="24"/>
        </w:rPr>
        <w:t>tatutą niekas baudžiamąja</w:t>
      </w:r>
      <w:r w:rsidR="00171173" w:rsidRPr="00E76E89">
        <w:rPr>
          <w:szCs w:val="24"/>
        </w:rPr>
        <w:t xml:space="preserve"> tvarka neatsako už elgesį iki s</w:t>
      </w:r>
      <w:r w:rsidRPr="00E76E89">
        <w:rPr>
          <w:szCs w:val="24"/>
        </w:rPr>
        <w:t>tatuto įsigaliojimo.</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 xml:space="preserve">Gynėjas teigia, kad pirmosios instancijos teismas padarė neteisingas ir faktinėms bylos aplinkybėms prieštaraujančias išvadas apie </w:t>
      </w:r>
      <w:r w:rsidR="006036E7" w:rsidRPr="00E76E89">
        <w:rPr>
          <w:szCs w:val="24"/>
        </w:rPr>
        <w:t>R. J. 2</w:t>
      </w:r>
      <w:r w:rsidRPr="00E76E89">
        <w:rPr>
          <w:szCs w:val="24"/>
        </w:rPr>
        <w:t xml:space="preserve"> veiksmus užimant LRT pastatą. </w:t>
      </w:r>
      <w:r w:rsidR="006036E7" w:rsidRPr="00E76E89">
        <w:rPr>
          <w:szCs w:val="24"/>
        </w:rPr>
        <w:t>R. J. 2</w:t>
      </w:r>
      <w:r w:rsidRPr="00E76E89">
        <w:rPr>
          <w:szCs w:val="24"/>
        </w:rPr>
        <w:t xml:space="preserve"> dalyvavo užimant LRT pastatus, tačiau jis vadovavo tik nedideliam būriui desantininkų, kurie turėjo blokuoti LRT sargybos patalpas. </w:t>
      </w:r>
      <w:r w:rsidR="006036E7" w:rsidRPr="00E76E89">
        <w:rPr>
          <w:szCs w:val="24"/>
        </w:rPr>
        <w:t>R. J. 2</w:t>
      </w:r>
      <w:r w:rsidRPr="00E76E89">
        <w:rPr>
          <w:szCs w:val="24"/>
        </w:rPr>
        <w:t xml:space="preserve"> vadovaujami kariškiai užėmė sargybos patalpas, kuriose buvo rastas vienas gaisrininkas, prieš kurį niekas nesmurtavo. </w:t>
      </w:r>
      <w:r w:rsidR="006036E7" w:rsidRPr="00E76E89">
        <w:rPr>
          <w:szCs w:val="24"/>
        </w:rPr>
        <w:t>R. J. 2</w:t>
      </w:r>
      <w:r w:rsidRPr="00E76E89">
        <w:rPr>
          <w:szCs w:val="24"/>
        </w:rPr>
        <w:t xml:space="preserve"> vadovaujami kariškiai turėjo automatus AKM</w:t>
      </w:r>
      <w:r w:rsidR="00FD13EB" w:rsidRPr="00E76E89">
        <w:rPr>
          <w:szCs w:val="24"/>
        </w:rPr>
        <w:t>S</w:t>
      </w:r>
      <w:r w:rsidRPr="00E76E89">
        <w:rPr>
          <w:szCs w:val="24"/>
        </w:rPr>
        <w:t>, tačiau į susirinkusius žmones nešaudė, buožėmis jų nedaužė, sprogstamųjų paketų nemėtė, karinės technikos (BMD) neturėjo ir jos panaudoti prieš LRT gynėjus ar ten susirinkusius kitus asmenis negalėjo.</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 xml:space="preserve">Pasak gynėjo, </w:t>
      </w:r>
      <w:r w:rsidR="006036E7" w:rsidRPr="00E76E89">
        <w:rPr>
          <w:szCs w:val="24"/>
        </w:rPr>
        <w:t>R. J. 2</w:t>
      </w:r>
      <w:r w:rsidRPr="00E76E89">
        <w:rPr>
          <w:szCs w:val="24"/>
        </w:rPr>
        <w:t xml:space="preserve"> buvo vienos iš keturių grupių vadas, kuris kartu su </w:t>
      </w:r>
      <w:r w:rsidR="00385BC9" w:rsidRPr="00E76E89">
        <w:rPr>
          <w:szCs w:val="24"/>
        </w:rPr>
        <w:t>G. G.</w:t>
      </w:r>
      <w:r w:rsidRPr="00E76E89">
        <w:rPr>
          <w:szCs w:val="24"/>
        </w:rPr>
        <w:t xml:space="preserve"> vadovavo tik 26 kariškių grupei (iš specialisto J. Andriškevičiaus išvados matyti, kad LRT šturmui vadovavo </w:t>
      </w:r>
      <w:r w:rsidR="00C507EF" w:rsidRPr="00E76E89">
        <w:rPr>
          <w:szCs w:val="24"/>
        </w:rPr>
        <w:t>V. O.</w:t>
      </w:r>
      <w:r w:rsidRPr="00E76E89">
        <w:rPr>
          <w:szCs w:val="24"/>
        </w:rPr>
        <w:t xml:space="preserve"> ir </w:t>
      </w:r>
      <w:r w:rsidR="006036E7" w:rsidRPr="00E76E89">
        <w:rPr>
          <w:szCs w:val="24"/>
        </w:rPr>
        <w:t>V. U. 1</w:t>
      </w:r>
      <w:r w:rsidRPr="00E76E89">
        <w:rPr>
          <w:szCs w:val="24"/>
        </w:rPr>
        <w:t>, o užimant LRT patalpas dalyvavo 249 kariškiai</w:t>
      </w:r>
      <w:r w:rsidR="004E12C8" w:rsidRPr="00E76E89">
        <w:rPr>
          <w:szCs w:val="24"/>
        </w:rPr>
        <w:t>)</w:t>
      </w:r>
      <w:r w:rsidRPr="00E76E89">
        <w:rPr>
          <w:szCs w:val="24"/>
        </w:rPr>
        <w:t xml:space="preserve">. </w:t>
      </w:r>
      <w:r w:rsidR="006036E7" w:rsidRPr="00E76E89">
        <w:rPr>
          <w:szCs w:val="24"/>
        </w:rPr>
        <w:t>R. J. 2</w:t>
      </w:r>
      <w:r w:rsidRPr="00E76E89">
        <w:rPr>
          <w:szCs w:val="24"/>
        </w:rPr>
        <w:t xml:space="preserve"> vadovaujamoje grupėje buvo tankas T-72, kuriam vadovavo </w:t>
      </w:r>
      <w:r w:rsidR="00C82C9D" w:rsidRPr="00E76E89">
        <w:rPr>
          <w:szCs w:val="24"/>
        </w:rPr>
        <w:t>E. R.</w:t>
      </w:r>
      <w:r w:rsidRPr="00E76E89">
        <w:rPr>
          <w:szCs w:val="24"/>
        </w:rPr>
        <w:t xml:space="preserve">. Desantininkai iš </w:t>
      </w:r>
      <w:r w:rsidR="006036E7" w:rsidRPr="00E76E89">
        <w:rPr>
          <w:szCs w:val="24"/>
        </w:rPr>
        <w:t>R. J. 2</w:t>
      </w:r>
      <w:r w:rsidRPr="00E76E89">
        <w:rPr>
          <w:szCs w:val="24"/>
        </w:rPr>
        <w:t xml:space="preserve"> vadovaujamos grupės pateko į techninę LRT teritoriją, įėjo į sargybos pastatą, išvarė iš patalpos vieną žmogų</w:t>
      </w:r>
      <w:r w:rsidR="002A2E2B" w:rsidRPr="00E76E89">
        <w:rPr>
          <w:szCs w:val="24"/>
        </w:rPr>
        <w:t>,</w:t>
      </w:r>
      <w:r w:rsidRPr="00E76E89">
        <w:rPr>
          <w:szCs w:val="24"/>
        </w:rPr>
        <w:t xml:space="preserve"> </w:t>
      </w:r>
      <w:r w:rsidR="00385BC9" w:rsidRPr="00E76E89">
        <w:rPr>
          <w:szCs w:val="24"/>
        </w:rPr>
        <w:t>G. G.</w:t>
      </w:r>
      <w:r w:rsidRPr="00E76E89">
        <w:rPr>
          <w:szCs w:val="24"/>
        </w:rPr>
        <w:t xml:space="preserve"> nurodymu pro šonines 4 aukštų LRT pastato duris įėjo į vi</w:t>
      </w:r>
      <w:r w:rsidR="00DE3B19" w:rsidRPr="00E76E89">
        <w:rPr>
          <w:szCs w:val="24"/>
        </w:rPr>
        <w:t xml:space="preserve">dų ir prisijungė prie </w:t>
      </w:r>
      <w:r w:rsidR="00930046" w:rsidRPr="00E76E89">
        <w:rPr>
          <w:szCs w:val="24"/>
        </w:rPr>
        <w:t>VSK,</w:t>
      </w:r>
      <w:r w:rsidRPr="00E76E89">
        <w:rPr>
          <w:szCs w:val="24"/>
        </w:rPr>
        <w:t xml:space="preserve"> </w:t>
      </w:r>
      <w:r w:rsidR="00930046" w:rsidRPr="00E76E89">
        <w:rPr>
          <w:szCs w:val="24"/>
        </w:rPr>
        <w:t>VRM</w:t>
      </w:r>
      <w:r w:rsidRPr="00E76E89">
        <w:rPr>
          <w:szCs w:val="24"/>
        </w:rPr>
        <w:t xml:space="preserve"> ir oro desanto kariškių, kurie buvo pastato viduje. Byloje nėra duomenų, kad </w:t>
      </w:r>
      <w:r w:rsidR="006036E7" w:rsidRPr="00E76E89">
        <w:rPr>
          <w:szCs w:val="24"/>
        </w:rPr>
        <w:t>R. J. 2</w:t>
      </w:r>
      <w:r w:rsidRPr="00E76E89">
        <w:rPr>
          <w:szCs w:val="24"/>
        </w:rPr>
        <w:t xml:space="preserve"> vadovaujami kariškiai, t.</w:t>
      </w:r>
      <w:r w:rsidR="00ED3CBD" w:rsidRPr="00E76E89">
        <w:rPr>
          <w:szCs w:val="24"/>
        </w:rPr>
        <w:t> </w:t>
      </w:r>
      <w:r w:rsidRPr="00E76E89">
        <w:rPr>
          <w:szCs w:val="24"/>
        </w:rPr>
        <w:t xml:space="preserve">y. būtinosios tarnybos kareiviai, patekdami į LRT teritoriją ar eidami į sargybos pastatą, o vėliau būdami LRT 4 aukštų pastate, būtų padarę kūno sužalojimus civiliams asmenims, siekė juos žaloti ar </w:t>
      </w:r>
      <w:r w:rsidR="001F0A6A" w:rsidRPr="00E76E89">
        <w:rPr>
          <w:szCs w:val="24"/>
        </w:rPr>
        <w:t xml:space="preserve">prieš </w:t>
      </w:r>
      <w:r w:rsidRPr="00E76E89">
        <w:rPr>
          <w:szCs w:val="24"/>
        </w:rPr>
        <w:t>civili</w:t>
      </w:r>
      <w:r w:rsidR="001F0A6A" w:rsidRPr="00E76E89">
        <w:rPr>
          <w:szCs w:val="24"/>
        </w:rPr>
        <w:t>us</w:t>
      </w:r>
      <w:r w:rsidRPr="00E76E89">
        <w:rPr>
          <w:szCs w:val="24"/>
        </w:rPr>
        <w:t xml:space="preserve"> asmen</w:t>
      </w:r>
      <w:r w:rsidR="001F0A6A" w:rsidRPr="00E76E89">
        <w:rPr>
          <w:szCs w:val="24"/>
        </w:rPr>
        <w:t>is</w:t>
      </w:r>
      <w:r w:rsidRPr="00E76E89">
        <w:rPr>
          <w:szCs w:val="24"/>
        </w:rPr>
        <w:t xml:space="preserve"> būtų panaudoję uždraustas karo priemones. Byloje nėra duomenų, kad </w:t>
      </w:r>
      <w:r w:rsidR="006036E7" w:rsidRPr="00E76E89">
        <w:rPr>
          <w:szCs w:val="24"/>
        </w:rPr>
        <w:t>R. J. 2</w:t>
      </w:r>
      <w:r w:rsidRPr="00E76E89">
        <w:rPr>
          <w:szCs w:val="24"/>
        </w:rPr>
        <w:t xml:space="preserve"> vadovaujamiems kareiviams operacijos vykdymo metu LRT gynėjai ar kiti ten buvę civiliai asmenys būtų pasipriešinę ir dėl to būtų sužaloti kokie nors asmenys. </w:t>
      </w:r>
      <w:r w:rsidR="001F0A6A" w:rsidRPr="00E76E89">
        <w:rPr>
          <w:szCs w:val="24"/>
        </w:rPr>
        <w:t xml:space="preserve">Užgrobiant </w:t>
      </w:r>
      <w:r w:rsidRPr="00E76E89">
        <w:rPr>
          <w:szCs w:val="24"/>
        </w:rPr>
        <w:t>LRT dalyvavę žvalgų kuopos kariai D. K</w:t>
      </w:r>
      <w:r w:rsidR="00660130" w:rsidRPr="00E76E89">
        <w:rPr>
          <w:szCs w:val="24"/>
        </w:rPr>
        <w:t>.</w:t>
      </w:r>
      <w:r w:rsidRPr="00E76E89">
        <w:rPr>
          <w:szCs w:val="24"/>
        </w:rPr>
        <w:t xml:space="preserve">, </w:t>
      </w:r>
      <w:r w:rsidR="00DD1A27" w:rsidRPr="00E76E89">
        <w:rPr>
          <w:szCs w:val="24"/>
        </w:rPr>
        <w:t>V. V.</w:t>
      </w:r>
      <w:r w:rsidRPr="00E76E89">
        <w:rPr>
          <w:szCs w:val="24"/>
        </w:rPr>
        <w:t>, D. K</w:t>
      </w:r>
      <w:r w:rsidR="00660130" w:rsidRPr="00E76E89">
        <w:rPr>
          <w:szCs w:val="24"/>
        </w:rPr>
        <w:t>.</w:t>
      </w:r>
      <w:r w:rsidRPr="00E76E89">
        <w:rPr>
          <w:szCs w:val="24"/>
        </w:rPr>
        <w:t xml:space="preserve">, </w:t>
      </w:r>
      <w:r w:rsidR="00DD1A27" w:rsidRPr="00E76E89">
        <w:rPr>
          <w:szCs w:val="24"/>
        </w:rPr>
        <w:t>A. V.</w:t>
      </w:r>
      <w:r w:rsidRPr="00E76E89">
        <w:rPr>
          <w:szCs w:val="24"/>
        </w:rPr>
        <w:t>, V.</w:t>
      </w:r>
      <w:r w:rsidR="001F0A6A" w:rsidRPr="00E76E89">
        <w:rPr>
          <w:szCs w:val="24"/>
        </w:rPr>
        <w:t> </w:t>
      </w:r>
      <w:r w:rsidRPr="00E76E89">
        <w:rPr>
          <w:szCs w:val="24"/>
        </w:rPr>
        <w:t>K</w:t>
      </w:r>
      <w:r w:rsidR="00660130" w:rsidRPr="00E76E89">
        <w:rPr>
          <w:szCs w:val="24"/>
        </w:rPr>
        <w:t>.</w:t>
      </w:r>
      <w:r w:rsidRPr="00E76E89">
        <w:rPr>
          <w:szCs w:val="24"/>
        </w:rPr>
        <w:t xml:space="preserve"> ir P. Č</w:t>
      </w:r>
      <w:r w:rsidR="00660130" w:rsidRPr="00E76E89">
        <w:rPr>
          <w:szCs w:val="24"/>
        </w:rPr>
        <w:t>.</w:t>
      </w:r>
      <w:r w:rsidRPr="00E76E89">
        <w:rPr>
          <w:szCs w:val="24"/>
        </w:rPr>
        <w:t xml:space="preserve"> nu</w:t>
      </w:r>
      <w:r w:rsidRPr="00E76E89">
        <w:rPr>
          <w:rFonts w:eastAsiaTheme="minorHAnsi"/>
          <w:szCs w:val="24"/>
        </w:rPr>
        <w:t xml:space="preserve">rodė, kad </w:t>
      </w:r>
      <w:r w:rsidRPr="00E76E89">
        <w:rPr>
          <w:szCs w:val="24"/>
        </w:rPr>
        <w:t xml:space="preserve">kariškiai neišnaudojo nė vieno šovinio, LRT techninių patalpų užėmimas truko apie 5 minutes, jokio pasipriešinimo patenkant į tas patalpas nebuvo, nes prie pastato iš vidinės kiemo pusės susirinkusiųjų civilių asmenų nebuvo ir niekas tų patalpų nesaugojo. Pastato viduje buvo vienas civilis asmuo, kuris nesipriešino ir nebuvo jokio reikalo </w:t>
      </w:r>
      <w:r w:rsidR="001F0A6A" w:rsidRPr="00E76E89">
        <w:rPr>
          <w:szCs w:val="24"/>
        </w:rPr>
        <w:t>prieš jį naudoti</w:t>
      </w:r>
      <w:r w:rsidRPr="00E76E89">
        <w:rPr>
          <w:szCs w:val="24"/>
        </w:rPr>
        <w:t xml:space="preserve"> jėgos. Atsižvelg</w:t>
      </w:r>
      <w:r w:rsidR="002A2E2B" w:rsidRPr="00E76E89">
        <w:rPr>
          <w:szCs w:val="24"/>
        </w:rPr>
        <w:t>damas</w:t>
      </w:r>
      <w:r w:rsidRPr="00E76E89">
        <w:rPr>
          <w:szCs w:val="24"/>
        </w:rPr>
        <w:t xml:space="preserve"> į tai, pirmosios instancijos teismas padarė nepagrįstą išvadą, jog civiliams asmenims buvo padaryti įvairaus sunkumo kūno sužalojimai.</w:t>
      </w:r>
    </w:p>
    <w:p w:rsidR="00A15474" w:rsidRPr="00E76E89" w:rsidRDefault="00A15474" w:rsidP="00321748">
      <w:pPr>
        <w:pStyle w:val="ListParagraph"/>
        <w:numPr>
          <w:ilvl w:val="1"/>
          <w:numId w:val="6"/>
        </w:numPr>
        <w:spacing w:before="120" w:after="120"/>
        <w:ind w:left="992" w:hanging="992"/>
        <w:contextualSpacing w:val="0"/>
        <w:rPr>
          <w:rStyle w:val="CharStyle133"/>
          <w:i w:val="0"/>
          <w:iCs w:val="0"/>
          <w:sz w:val="24"/>
          <w:szCs w:val="24"/>
          <w:shd w:val="clear" w:color="auto" w:fill="auto"/>
        </w:rPr>
      </w:pPr>
      <w:r w:rsidRPr="00E76E89">
        <w:lastRenderedPageBreak/>
        <w:t xml:space="preserve">Iš </w:t>
      </w:r>
      <w:r w:rsidR="006036E7" w:rsidRPr="00E76E89">
        <w:t>R. J. 2</w:t>
      </w:r>
      <w:r w:rsidRPr="00E76E89">
        <w:t xml:space="preserve"> parodymų matyti, kad jis nerengė jokių karinių operacijų LRT pastat</w:t>
      </w:r>
      <w:r w:rsidR="001F0A6A" w:rsidRPr="00E76E89">
        <w:t>ui</w:t>
      </w:r>
      <w:r w:rsidRPr="00E76E89">
        <w:t xml:space="preserve"> už</w:t>
      </w:r>
      <w:r w:rsidR="001F0A6A" w:rsidRPr="00E76E89">
        <w:t>imti</w:t>
      </w:r>
      <w:r w:rsidRPr="00E76E89">
        <w:t xml:space="preserve">, nekūrė jokių karinių planų, siekiant užimti strateginę reikšmę turinčius Lietuvos objektus, nedavė jokių įsakymų nežmoniškai elgtis su civiliais asmenimis, pažeidžiant tarptautinę teisę, pats nepadarė nė vieno šūvio iš savo automato, nevykdė draudžiamos karo atakos, prieš civilius asmenis nenaudojo uždraustų karo priemonių. Pasak gynėjo, </w:t>
      </w:r>
      <w:r w:rsidRPr="00E76E89">
        <w:rPr>
          <w:rFonts w:eastAsiaTheme="majorEastAsia"/>
        </w:rPr>
        <w:t xml:space="preserve">LRT užėmimo operacijos vadovu buvo paskirtas </w:t>
      </w:r>
      <w:r w:rsidR="006036E7" w:rsidRPr="00E76E89">
        <w:rPr>
          <w:rFonts w:eastAsiaTheme="majorEastAsia"/>
        </w:rPr>
        <w:t>S. P.</w:t>
      </w:r>
      <w:r w:rsidRPr="00E76E89">
        <w:rPr>
          <w:rFonts w:eastAsiaTheme="majorEastAsia"/>
        </w:rPr>
        <w:t xml:space="preserve">. Būtent jis rengė detalų LRT užėmimo planą ir schemas užduotims, o </w:t>
      </w:r>
      <w:r w:rsidR="006036E7" w:rsidRPr="00E76E89">
        <w:rPr>
          <w:rFonts w:eastAsiaTheme="majorEastAsia"/>
        </w:rPr>
        <w:t>R. J. 2</w:t>
      </w:r>
      <w:r w:rsidRPr="00E76E89">
        <w:rPr>
          <w:rFonts w:eastAsiaTheme="majorEastAsia"/>
        </w:rPr>
        <w:t xml:space="preserve"> vykdė jo ir </w:t>
      </w:r>
      <w:r w:rsidR="00385BC9" w:rsidRPr="00E76E89">
        <w:rPr>
          <w:rFonts w:eastAsiaTheme="majorEastAsia"/>
        </w:rPr>
        <w:t>G. G.</w:t>
      </w:r>
      <w:r w:rsidRPr="00E76E89">
        <w:rPr>
          <w:rFonts w:eastAsiaTheme="majorEastAsia"/>
        </w:rPr>
        <w:t xml:space="preserve"> nurodymus</w:t>
      </w:r>
      <w:r w:rsidRPr="00E76E89">
        <w:t xml:space="preserve">. Dėl to </w:t>
      </w:r>
      <w:r w:rsidR="006036E7" w:rsidRPr="00E76E89">
        <w:t>R. J. 2</w:t>
      </w:r>
      <w:r w:rsidRPr="00E76E89">
        <w:t xml:space="preserve"> negali atsakyti už kitų</w:t>
      </w:r>
      <w:r w:rsidR="004E12C8" w:rsidRPr="00E76E89">
        <w:t xml:space="preserve"> asmenų, kurie net nebuvo jam pavaldūs</w:t>
      </w:r>
      <w:r w:rsidRPr="00E76E89">
        <w:t>, veiksmus, nes neturėjo jokių galimybių jų kontroliuoti, jiems vadovauti ar numatyti jų veiksmų pa</w:t>
      </w:r>
      <w:r w:rsidR="001F0A6A" w:rsidRPr="00E76E89">
        <w:t>darinių</w:t>
      </w:r>
      <w:r w:rsidRPr="00E76E89">
        <w:rPr>
          <w:rStyle w:val="CharStyle133"/>
          <w:i w:val="0"/>
          <w:color w:val="000000"/>
          <w:sz w:val="24"/>
          <w:szCs w:val="24"/>
          <w:lang w:eastAsia="lt-LT"/>
        </w:rPr>
        <w:t>.</w:t>
      </w:r>
    </w:p>
    <w:p w:rsidR="00A15474" w:rsidRPr="00C00255" w:rsidRDefault="00A15474" w:rsidP="00321748">
      <w:pPr>
        <w:pStyle w:val="ListParagraph"/>
        <w:numPr>
          <w:ilvl w:val="1"/>
          <w:numId w:val="6"/>
        </w:numPr>
        <w:spacing w:before="120" w:after="120"/>
        <w:ind w:left="992" w:hanging="992"/>
        <w:contextualSpacing w:val="0"/>
        <w:rPr>
          <w:rStyle w:val="CharStyle133"/>
          <w:i w:val="0"/>
          <w:iCs w:val="0"/>
          <w:sz w:val="24"/>
          <w:szCs w:val="24"/>
          <w:shd w:val="clear" w:color="auto" w:fill="auto"/>
        </w:rPr>
      </w:pPr>
      <w:r w:rsidRPr="00E76E89">
        <w:rPr>
          <w:rStyle w:val="CharStyle133"/>
          <w:i w:val="0"/>
          <w:color w:val="000000"/>
          <w:sz w:val="24"/>
          <w:szCs w:val="24"/>
          <w:lang w:eastAsia="lt-LT"/>
        </w:rPr>
        <w:t xml:space="preserve">Skunde nurodoma, kad </w:t>
      </w:r>
      <w:r w:rsidR="006036E7" w:rsidRPr="00E76E89">
        <w:rPr>
          <w:rStyle w:val="CharStyle133"/>
          <w:i w:val="0"/>
          <w:color w:val="000000"/>
          <w:sz w:val="24"/>
          <w:szCs w:val="24"/>
          <w:lang w:eastAsia="lt-LT"/>
        </w:rPr>
        <w:t>R. J. 2</w:t>
      </w:r>
      <w:r w:rsidRPr="00E76E89">
        <w:rPr>
          <w:rStyle w:val="CharStyle133"/>
          <w:i w:val="0"/>
          <w:color w:val="000000"/>
          <w:sz w:val="24"/>
          <w:szCs w:val="24"/>
          <w:lang w:eastAsia="lt-LT"/>
        </w:rPr>
        <w:t xml:space="preserve"> įvykio metu buvo </w:t>
      </w:r>
      <w:r w:rsidR="00660130" w:rsidRPr="00E76E89">
        <w:rPr>
          <w:rStyle w:val="CharStyle133"/>
          <w:i w:val="0"/>
          <w:color w:val="000000"/>
          <w:sz w:val="24"/>
          <w:szCs w:val="24"/>
          <w:lang w:eastAsia="lt-LT"/>
        </w:rPr>
        <w:t>(duomenys neskelbtini)</w:t>
      </w:r>
      <w:r w:rsidRPr="00E76E89">
        <w:rPr>
          <w:rStyle w:val="CharStyle133"/>
          <w:i w:val="0"/>
          <w:color w:val="000000"/>
          <w:sz w:val="24"/>
          <w:szCs w:val="24"/>
          <w:lang w:eastAsia="lt-LT"/>
        </w:rPr>
        <w:t xml:space="preserve"> metai. </w:t>
      </w:r>
      <w:r w:rsidR="002A2E2B" w:rsidRPr="00E76E89">
        <w:rPr>
          <w:rStyle w:val="CharStyle133"/>
          <w:i w:val="0"/>
          <w:color w:val="000000"/>
          <w:sz w:val="24"/>
          <w:szCs w:val="24"/>
          <w:lang w:eastAsia="lt-LT"/>
        </w:rPr>
        <w:t>Jam, k</w:t>
      </w:r>
      <w:r w:rsidRPr="00E76E89">
        <w:rPr>
          <w:rStyle w:val="CharStyle133"/>
          <w:i w:val="0"/>
          <w:color w:val="000000"/>
          <w:sz w:val="24"/>
          <w:szCs w:val="24"/>
          <w:lang w:eastAsia="lt-LT"/>
        </w:rPr>
        <w:t xml:space="preserve">aip neaukšto rango kariškiui, nebuvo gerai žinoma politinė situacija Lietuvoje, todėl jis negalėjo teisingai vertinti politinių įvykių. Todėl teismas nepagrįstai nuteisė </w:t>
      </w:r>
      <w:r w:rsidR="006036E7" w:rsidRPr="00E76E89">
        <w:rPr>
          <w:rStyle w:val="CharStyle133"/>
          <w:i w:val="0"/>
          <w:color w:val="000000"/>
          <w:sz w:val="24"/>
          <w:szCs w:val="24"/>
          <w:lang w:eastAsia="lt-LT"/>
        </w:rPr>
        <w:t>R. J. 2</w:t>
      </w:r>
      <w:r w:rsidRPr="00E76E89">
        <w:rPr>
          <w:rStyle w:val="CharStyle133"/>
          <w:i w:val="0"/>
          <w:color w:val="000000"/>
          <w:sz w:val="24"/>
          <w:szCs w:val="24"/>
          <w:lang w:eastAsia="lt-LT"/>
        </w:rPr>
        <w:t xml:space="preserve"> už karo nusikaltimus ir nusikaltimus žmoniškumui ir paskyrė per griežtą bausmę. Pasak gynėjo, </w:t>
      </w:r>
      <w:r w:rsidR="006036E7" w:rsidRPr="00E76E89">
        <w:rPr>
          <w:rStyle w:val="CharStyle133"/>
          <w:i w:val="0"/>
          <w:color w:val="000000"/>
          <w:sz w:val="24"/>
          <w:szCs w:val="24"/>
          <w:lang w:eastAsia="lt-LT"/>
        </w:rPr>
        <w:t>R. J. 2</w:t>
      </w:r>
      <w:r w:rsidRPr="00E76E89">
        <w:rPr>
          <w:rStyle w:val="CharStyle133"/>
          <w:i w:val="0"/>
          <w:color w:val="000000"/>
          <w:sz w:val="24"/>
          <w:szCs w:val="24"/>
          <w:lang w:eastAsia="lt-LT"/>
        </w:rPr>
        <w:t xml:space="preserve"> padaryta veika nesukėlė sunkių pa</w:t>
      </w:r>
      <w:r w:rsidR="001F0A6A" w:rsidRPr="00E76E89">
        <w:rPr>
          <w:rStyle w:val="CharStyle133"/>
          <w:i w:val="0"/>
          <w:color w:val="000000"/>
          <w:sz w:val="24"/>
          <w:szCs w:val="24"/>
          <w:lang w:eastAsia="lt-LT"/>
        </w:rPr>
        <w:t>darinių</w:t>
      </w:r>
      <w:r w:rsidRPr="00C00255">
        <w:rPr>
          <w:rStyle w:val="CharStyle133"/>
          <w:i w:val="0"/>
          <w:color w:val="000000"/>
          <w:sz w:val="24"/>
          <w:szCs w:val="24"/>
          <w:lang w:eastAsia="lt-LT"/>
        </w:rPr>
        <w:t xml:space="preserve">. </w:t>
      </w:r>
    </w:p>
    <w:p w:rsidR="00A15474" w:rsidRPr="00C00255" w:rsidRDefault="00A15474" w:rsidP="00321748">
      <w:pPr>
        <w:pStyle w:val="ListParagraph"/>
        <w:numPr>
          <w:ilvl w:val="0"/>
          <w:numId w:val="6"/>
        </w:numPr>
        <w:spacing w:before="120" w:after="120"/>
        <w:ind w:left="992" w:hanging="992"/>
        <w:contextualSpacing w:val="0"/>
        <w:rPr>
          <w:szCs w:val="24"/>
        </w:rPr>
      </w:pPr>
      <w:bookmarkStart w:id="71" w:name="_Toc37947850"/>
      <w:bookmarkStart w:id="72" w:name="_Toc67677329"/>
      <w:bookmarkStart w:id="73" w:name="_Toc67985456"/>
      <w:r w:rsidRPr="00D43DF2">
        <w:rPr>
          <w:b/>
        </w:rPr>
        <w:t xml:space="preserve">Nuteistojo </w:t>
      </w:r>
      <w:r w:rsidR="006036E7" w:rsidRPr="00D43DF2">
        <w:rPr>
          <w:b/>
        </w:rPr>
        <w:t>S. G.</w:t>
      </w:r>
      <w:r w:rsidRPr="00D43DF2">
        <w:rPr>
          <w:b/>
        </w:rPr>
        <w:t xml:space="preserve"> gynėjas</w:t>
      </w:r>
      <w:bookmarkEnd w:id="71"/>
      <w:bookmarkEnd w:id="72"/>
      <w:bookmarkEnd w:id="73"/>
      <w:r w:rsidRPr="00C00255">
        <w:rPr>
          <w:b/>
          <w:sz w:val="22"/>
        </w:rPr>
        <w:t xml:space="preserve"> </w:t>
      </w:r>
      <w:r w:rsidRPr="00C00255">
        <w:rPr>
          <w:b/>
        </w:rPr>
        <w:t>advokatas Š. Vadeikis</w:t>
      </w:r>
      <w:r w:rsidRPr="00C00255">
        <w:rPr>
          <w:szCs w:val="24"/>
        </w:rPr>
        <w:t xml:space="preserve"> apeliaciniu skundu prašo ištirti visus šioje byloje surinktus su </w:t>
      </w:r>
      <w:r w:rsidR="006036E7">
        <w:rPr>
          <w:szCs w:val="24"/>
        </w:rPr>
        <w:t>S. G.</w:t>
      </w:r>
      <w:r w:rsidRPr="00C00255">
        <w:rPr>
          <w:szCs w:val="24"/>
        </w:rPr>
        <w:t xml:space="preserve"> susijusius įrodymus ir panaikinti apygardos teismo nuosprendį bei </w:t>
      </w:r>
      <w:r w:rsidR="006036E7">
        <w:rPr>
          <w:szCs w:val="24"/>
        </w:rPr>
        <w:t>S. G.</w:t>
      </w:r>
      <w:r w:rsidRPr="00C00255">
        <w:rPr>
          <w:szCs w:val="24"/>
        </w:rPr>
        <w:t xml:space="preserve"> išteisinti, nesant jo veiksmuose inkriminuotų nusikaltimų sudėties.</w:t>
      </w:r>
    </w:p>
    <w:p w:rsidR="00A15474" w:rsidRPr="00C00255" w:rsidRDefault="00A15474" w:rsidP="00321748">
      <w:pPr>
        <w:pStyle w:val="ListParagraph"/>
        <w:numPr>
          <w:ilvl w:val="1"/>
          <w:numId w:val="6"/>
        </w:numPr>
        <w:spacing w:before="120" w:after="120"/>
        <w:ind w:left="992" w:hanging="992"/>
        <w:contextualSpacing w:val="0"/>
        <w:rPr>
          <w:szCs w:val="24"/>
        </w:rPr>
      </w:pPr>
      <w:r w:rsidRPr="00E76E89">
        <w:rPr>
          <w:szCs w:val="24"/>
        </w:rPr>
        <w:t>Gynėjas skunde akcentuoja principo, kad visos abejonės turi būti traktuojamos kaltinamojo naudai, svarbą ir būtinumą bylo</w:t>
      </w:r>
      <w:r w:rsidR="002C298B" w:rsidRPr="00E76E89">
        <w:rPr>
          <w:szCs w:val="24"/>
        </w:rPr>
        <w:t>je surinktais įrodymais nustatyti konkrečius kiekvieno asmens nusikalstamus veiksmus bei įrodyti jo kaltę. Gynėjo vertinimu, byloje iš esmės visiems kaltinamiesiems pareikšti vienodi kaltinimai, neatsižvelgiant į jų skirtingus karinius laipsnius, eitas pareigas, konkrečius</w:t>
      </w:r>
      <w:r w:rsidRPr="00E76E89">
        <w:rPr>
          <w:szCs w:val="24"/>
        </w:rPr>
        <w:t xml:space="preserve"> veiksmus įvykių metu. Nėra aišku, kokių konkrečiai veiksmų, sudarančių nusikaltimų žmoniškumui ar karo nusikaltimų sudėtį, padarymu yra kaltinamas </w:t>
      </w:r>
      <w:r w:rsidR="006036E7" w:rsidRPr="00E76E89">
        <w:rPr>
          <w:szCs w:val="24"/>
        </w:rPr>
        <w:t>S. G.</w:t>
      </w:r>
      <w:r w:rsidRPr="00E76E89">
        <w:rPr>
          <w:szCs w:val="24"/>
        </w:rPr>
        <w:t>, t.</w:t>
      </w:r>
      <w:r w:rsidR="006B02BC" w:rsidRPr="00E76E89">
        <w:rPr>
          <w:szCs w:val="24"/>
        </w:rPr>
        <w:t> </w:t>
      </w:r>
      <w:r w:rsidRPr="00E76E89">
        <w:rPr>
          <w:szCs w:val="24"/>
        </w:rPr>
        <w:t>y. individualizuotai neaprašyta padarytos nusikalstamos veikos vieta, laikas, būdas, padariniai ir priežastinis ryšys</w:t>
      </w:r>
      <w:r w:rsidRPr="00C00255">
        <w:rPr>
          <w:szCs w:val="24"/>
        </w:rPr>
        <w:t>.</w:t>
      </w:r>
    </w:p>
    <w:p w:rsidR="00A15474" w:rsidRPr="00C00255" w:rsidRDefault="00A15474" w:rsidP="00321748">
      <w:pPr>
        <w:pStyle w:val="ListParagraph"/>
        <w:numPr>
          <w:ilvl w:val="1"/>
          <w:numId w:val="6"/>
        </w:numPr>
        <w:spacing w:before="120" w:after="120"/>
        <w:ind w:left="992" w:hanging="992"/>
        <w:contextualSpacing w:val="0"/>
        <w:rPr>
          <w:szCs w:val="24"/>
        </w:rPr>
      </w:pPr>
      <w:r w:rsidRPr="00E76E89">
        <w:rPr>
          <w:szCs w:val="24"/>
        </w:rPr>
        <w:t>Nuosprendis surašytas bendromis frazėmis, prieštarauja</w:t>
      </w:r>
      <w:r w:rsidR="002A2E2B" w:rsidRPr="00E76E89">
        <w:rPr>
          <w:szCs w:val="24"/>
        </w:rPr>
        <w:t>nčiom</w:t>
      </w:r>
      <w:r w:rsidR="006B02BC" w:rsidRPr="00E76E89">
        <w:rPr>
          <w:szCs w:val="24"/>
        </w:rPr>
        <w:t>i</w:t>
      </w:r>
      <w:r w:rsidR="002A2E2B" w:rsidRPr="00E76E89">
        <w:rPr>
          <w:szCs w:val="24"/>
        </w:rPr>
        <w:t>s</w:t>
      </w:r>
      <w:r w:rsidRPr="00E76E89">
        <w:rPr>
          <w:szCs w:val="24"/>
        </w:rPr>
        <w:t xml:space="preserve"> viena kitai. </w:t>
      </w:r>
      <w:r w:rsidR="006036E7" w:rsidRPr="00E76E89">
        <w:rPr>
          <w:szCs w:val="24"/>
        </w:rPr>
        <w:t>S. G.</w:t>
      </w:r>
      <w:r w:rsidRPr="00E76E89">
        <w:rPr>
          <w:szCs w:val="24"/>
        </w:rPr>
        <w:t xml:space="preserve"> veiksmai konkrečiai aprašyti tik prie įvykių, susijusių su </w:t>
      </w:r>
      <w:r w:rsidR="007403E5" w:rsidRPr="00E76E89">
        <w:rPr>
          <w:szCs w:val="24"/>
        </w:rPr>
        <w:t>LRT</w:t>
      </w:r>
      <w:r w:rsidRPr="00E76E89">
        <w:rPr>
          <w:szCs w:val="24"/>
        </w:rPr>
        <w:t xml:space="preserve"> užėmimu. Kaltinimo pradžioje nurodoma, kad 23 kariškių grupei vadovavo </w:t>
      </w:r>
      <w:r w:rsidR="006036E7" w:rsidRPr="00E76E89">
        <w:rPr>
          <w:szCs w:val="24"/>
        </w:rPr>
        <w:t>B. S.</w:t>
      </w:r>
      <w:r w:rsidRPr="00E76E89">
        <w:rPr>
          <w:szCs w:val="24"/>
        </w:rPr>
        <w:t xml:space="preserve">, </w:t>
      </w:r>
      <w:r w:rsidR="006036E7" w:rsidRPr="00E76E89">
        <w:rPr>
          <w:szCs w:val="24"/>
        </w:rPr>
        <w:t>S. G.</w:t>
      </w:r>
      <w:r w:rsidRPr="00E76E89">
        <w:rPr>
          <w:szCs w:val="24"/>
        </w:rPr>
        <w:t xml:space="preserve"> ir </w:t>
      </w:r>
      <w:r w:rsidR="006036E7" w:rsidRPr="00E76E89">
        <w:rPr>
          <w:szCs w:val="24"/>
        </w:rPr>
        <w:t>V. G.</w:t>
      </w:r>
      <w:r w:rsidRPr="00E76E89">
        <w:rPr>
          <w:szCs w:val="24"/>
        </w:rPr>
        <w:t xml:space="preserve">, toliau, aprašant jų veiksmus, nurodoma, kad 23 kariškių grupė, vadovaujama kaltinamojo </w:t>
      </w:r>
      <w:r w:rsidR="006036E7" w:rsidRPr="00E76E89">
        <w:rPr>
          <w:szCs w:val="24"/>
        </w:rPr>
        <w:t>B. S.</w:t>
      </w:r>
      <w:r w:rsidRPr="00E76E89">
        <w:rPr>
          <w:szCs w:val="24"/>
        </w:rPr>
        <w:t>, atliko tam tikrus veiksmus, o galiausiai ir vėl rašoma, kad gr</w:t>
      </w:r>
      <w:r w:rsidR="007403E5" w:rsidRPr="00E76E89">
        <w:rPr>
          <w:szCs w:val="24"/>
        </w:rPr>
        <w:t xml:space="preserve">upei vadovavo </w:t>
      </w:r>
      <w:r w:rsidR="006036E7" w:rsidRPr="00E76E89">
        <w:rPr>
          <w:szCs w:val="24"/>
        </w:rPr>
        <w:t>B. S.</w:t>
      </w:r>
      <w:r w:rsidR="007403E5" w:rsidRPr="00E76E89">
        <w:rPr>
          <w:szCs w:val="24"/>
        </w:rPr>
        <w:t xml:space="preserve"> ir </w:t>
      </w:r>
      <w:r w:rsidR="006036E7" w:rsidRPr="00E76E89">
        <w:rPr>
          <w:szCs w:val="24"/>
        </w:rPr>
        <w:t>S. G.</w:t>
      </w:r>
      <w:r w:rsidRPr="00E76E89">
        <w:rPr>
          <w:szCs w:val="24"/>
        </w:rPr>
        <w:t>. Tai prieštarauja specialisto J. A</w:t>
      </w:r>
      <w:r w:rsidR="004B2109" w:rsidRPr="00E76E89">
        <w:rPr>
          <w:szCs w:val="24"/>
        </w:rPr>
        <w:t>ndriškevičiaus išvadai (t. 480, </w:t>
      </w:r>
      <w:r w:rsidRPr="00E76E89">
        <w:rPr>
          <w:szCs w:val="24"/>
        </w:rPr>
        <w:t>b.</w:t>
      </w:r>
      <w:r w:rsidR="0073668D" w:rsidRPr="00E76E89">
        <w:rPr>
          <w:szCs w:val="24"/>
        </w:rPr>
        <w:t> </w:t>
      </w:r>
      <w:r w:rsidRPr="00E76E89">
        <w:rPr>
          <w:szCs w:val="24"/>
        </w:rPr>
        <w:t>l.</w:t>
      </w:r>
      <w:r w:rsidR="0073668D" w:rsidRPr="00E76E89">
        <w:rPr>
          <w:szCs w:val="24"/>
        </w:rPr>
        <w:t> </w:t>
      </w:r>
      <w:r w:rsidRPr="00E76E89">
        <w:rPr>
          <w:szCs w:val="24"/>
        </w:rPr>
        <w:t>55), kad vadinama</w:t>
      </w:r>
      <w:r w:rsidR="001F1679" w:rsidRPr="00E76E89">
        <w:rPr>
          <w:szCs w:val="24"/>
        </w:rPr>
        <w:t>ja</w:t>
      </w:r>
      <w:r w:rsidRPr="00E76E89">
        <w:rPr>
          <w:szCs w:val="24"/>
        </w:rPr>
        <w:t>i trečia</w:t>
      </w:r>
      <w:r w:rsidR="006B02BC" w:rsidRPr="00E76E89">
        <w:rPr>
          <w:szCs w:val="24"/>
        </w:rPr>
        <w:t>ja</w:t>
      </w:r>
      <w:r w:rsidRPr="00E76E89">
        <w:rPr>
          <w:szCs w:val="24"/>
        </w:rPr>
        <w:t>i grupei, kuri pateko į pastatą iš vidinės pusės,</w:t>
      </w:r>
      <w:r w:rsidR="007403E5" w:rsidRPr="00E76E89">
        <w:rPr>
          <w:szCs w:val="24"/>
        </w:rPr>
        <w:t xml:space="preserve"> vadovavo </w:t>
      </w:r>
      <w:r w:rsidR="006036E7" w:rsidRPr="00E76E89">
        <w:rPr>
          <w:szCs w:val="24"/>
        </w:rPr>
        <w:t>B. S.</w:t>
      </w:r>
      <w:r w:rsidR="007403E5" w:rsidRPr="00E76E89">
        <w:rPr>
          <w:szCs w:val="24"/>
        </w:rPr>
        <w:t xml:space="preserve">, todėl </w:t>
      </w:r>
      <w:r w:rsidR="006036E7" w:rsidRPr="00E76E89">
        <w:rPr>
          <w:szCs w:val="24"/>
        </w:rPr>
        <w:t>S. G.</w:t>
      </w:r>
      <w:r w:rsidRPr="00E76E89">
        <w:rPr>
          <w:szCs w:val="24"/>
        </w:rPr>
        <w:t xml:space="preserve"> vadovaujamas vaidmuo nėra įrodytas. </w:t>
      </w:r>
      <w:r w:rsidR="006036E7" w:rsidRPr="00E76E89">
        <w:rPr>
          <w:szCs w:val="24"/>
        </w:rPr>
        <w:t>S. G.</w:t>
      </w:r>
      <w:r w:rsidRPr="00E76E89">
        <w:rPr>
          <w:szCs w:val="24"/>
        </w:rPr>
        <w:t xml:space="preserve"> tik palaikė ryšį bei perdavinėjo aukštesnių vadų nurodymus. Tai patvirtina </w:t>
      </w:r>
      <w:r w:rsidR="006036E7" w:rsidRPr="00E76E89">
        <w:rPr>
          <w:szCs w:val="24"/>
        </w:rPr>
        <w:t>B. S.</w:t>
      </w:r>
      <w:r w:rsidRPr="00E76E89">
        <w:rPr>
          <w:szCs w:val="24"/>
        </w:rPr>
        <w:t xml:space="preserve"> parodymai (t.</w:t>
      </w:r>
      <w:r w:rsidR="0073668D" w:rsidRPr="00E76E89">
        <w:rPr>
          <w:szCs w:val="24"/>
        </w:rPr>
        <w:t> </w:t>
      </w:r>
      <w:r w:rsidRPr="00E76E89">
        <w:rPr>
          <w:szCs w:val="24"/>
        </w:rPr>
        <w:t>435, b.</w:t>
      </w:r>
      <w:r w:rsidR="0073668D" w:rsidRPr="00E76E89">
        <w:rPr>
          <w:szCs w:val="24"/>
        </w:rPr>
        <w:t> </w:t>
      </w:r>
      <w:r w:rsidRPr="00E76E89">
        <w:rPr>
          <w:szCs w:val="24"/>
        </w:rPr>
        <w:t>l. 22)</w:t>
      </w:r>
      <w:r w:rsidRPr="00C00255">
        <w:rPr>
          <w:szCs w:val="24"/>
        </w:rPr>
        <w:t>.</w:t>
      </w:r>
    </w:p>
    <w:p w:rsidR="00A15474" w:rsidRPr="00C00255" w:rsidRDefault="00A15474"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apygardos teismas nuosprendyje nepagrįstai konstatavo, jog </w:t>
      </w:r>
      <w:r w:rsidR="006036E7" w:rsidRPr="00E76E89">
        <w:rPr>
          <w:szCs w:val="24"/>
        </w:rPr>
        <w:t>S. G.</w:t>
      </w:r>
      <w:r w:rsidRPr="00E76E89">
        <w:rPr>
          <w:szCs w:val="24"/>
        </w:rPr>
        <w:t xml:space="preserve"> vadovavo </w:t>
      </w:r>
      <w:r w:rsidR="007403E5" w:rsidRPr="00E76E89">
        <w:rPr>
          <w:szCs w:val="24"/>
        </w:rPr>
        <w:t>LRT</w:t>
      </w:r>
      <w:r w:rsidRPr="00E76E89">
        <w:rPr>
          <w:szCs w:val="24"/>
        </w:rPr>
        <w:t xml:space="preserve"> </w:t>
      </w:r>
      <w:r w:rsidR="00DE3B19" w:rsidRPr="00E76E89">
        <w:rPr>
          <w:szCs w:val="24"/>
        </w:rPr>
        <w:t xml:space="preserve">televizijos </w:t>
      </w:r>
      <w:r w:rsidRPr="00E76E89">
        <w:rPr>
          <w:szCs w:val="24"/>
        </w:rPr>
        <w:t>pastato šturmui, brovėsi per civilių minią, blokavo įėjimus, šalino iš patalpų civilius, o motyvuose prie bausmė</w:t>
      </w:r>
      <w:r w:rsidR="00DE3B19" w:rsidRPr="00E76E89">
        <w:rPr>
          <w:szCs w:val="24"/>
        </w:rPr>
        <w:t xml:space="preserve">s skyrimo dar ir nurodė, kad </w:t>
      </w:r>
      <w:r w:rsidR="006036E7" w:rsidRPr="00E76E89">
        <w:rPr>
          <w:szCs w:val="24"/>
        </w:rPr>
        <w:t>S. G.</w:t>
      </w:r>
      <w:r w:rsidRPr="00E76E89">
        <w:rPr>
          <w:szCs w:val="24"/>
        </w:rPr>
        <w:t xml:space="preserve"> priešais pastatą išrikiavo BMD, nukreipė pabūklus bei karinės technikos apšvietimo prietaisus į pastatą. Iš byloje esančių duomenų (liudytojų parodymų, </w:t>
      </w:r>
      <w:r w:rsidR="00B824D6" w:rsidRPr="00E76E89">
        <w:rPr>
          <w:szCs w:val="24"/>
        </w:rPr>
        <w:t xml:space="preserve">specialisto </w:t>
      </w:r>
      <w:r w:rsidRPr="00E76E89">
        <w:rPr>
          <w:szCs w:val="24"/>
        </w:rPr>
        <w:t xml:space="preserve">J. Andriškevičiaus išvados) matyti, kad </w:t>
      </w:r>
      <w:r w:rsidR="006036E7" w:rsidRPr="00E76E89">
        <w:rPr>
          <w:szCs w:val="24"/>
        </w:rPr>
        <w:t>S. G.</w:t>
      </w:r>
      <w:r w:rsidRPr="00E76E89">
        <w:rPr>
          <w:szCs w:val="24"/>
        </w:rPr>
        <w:t xml:space="preserve"> prie minėto pastato atvyko pavėlavęs ir į pastatą pateko iš vidinio kiemo, kuriame nebuvo n</w:t>
      </w:r>
      <w:r w:rsidR="001F1679" w:rsidRPr="00E76E89">
        <w:rPr>
          <w:szCs w:val="24"/>
        </w:rPr>
        <w:t>ė</w:t>
      </w:r>
      <w:r w:rsidRPr="00E76E89">
        <w:rPr>
          <w:szCs w:val="24"/>
        </w:rPr>
        <w:t xml:space="preserve"> vieno civilio </w:t>
      </w:r>
      <w:r w:rsidR="002A2E2B" w:rsidRPr="00E76E89">
        <w:rPr>
          <w:szCs w:val="24"/>
        </w:rPr>
        <w:t>ir</w:t>
      </w:r>
      <w:r w:rsidRPr="00E76E89">
        <w:rPr>
          <w:szCs w:val="24"/>
        </w:rPr>
        <w:t xml:space="preserve"> jokių BMD, o pastatas jau buvo kontroliuojamas kitų ginkluotų</w:t>
      </w:r>
      <w:r w:rsidR="006B02BC" w:rsidRPr="00E76E89">
        <w:rPr>
          <w:szCs w:val="24"/>
        </w:rPr>
        <w:t>jų</w:t>
      </w:r>
      <w:r w:rsidR="00B824D6" w:rsidRPr="00E76E89">
        <w:rPr>
          <w:szCs w:val="24"/>
        </w:rPr>
        <w:t xml:space="preserve"> pajėgų. Grupė, kurioje buvo </w:t>
      </w:r>
      <w:r w:rsidR="006036E7" w:rsidRPr="00E76E89">
        <w:rPr>
          <w:szCs w:val="24"/>
        </w:rPr>
        <w:t>S. G.</w:t>
      </w:r>
      <w:r w:rsidRPr="00E76E89">
        <w:rPr>
          <w:szCs w:val="24"/>
        </w:rPr>
        <w:t>, nepaleido n</w:t>
      </w:r>
      <w:r w:rsidR="001F1679" w:rsidRPr="00E76E89">
        <w:rPr>
          <w:szCs w:val="24"/>
        </w:rPr>
        <w:t>ė</w:t>
      </w:r>
      <w:r w:rsidRPr="00E76E89">
        <w:rPr>
          <w:szCs w:val="24"/>
        </w:rPr>
        <w:t xml:space="preserve"> vieno šūvio ir nenaudojo jokių kitų specialių priemonių, kadangi jiems niekas nebesipriešino, jie tik išvedinėjo darbuotojus iš pastato. Tai pagrindžia kartu su </w:t>
      </w:r>
      <w:r w:rsidR="006036E7" w:rsidRPr="00E76E89">
        <w:rPr>
          <w:szCs w:val="24"/>
        </w:rPr>
        <w:t>S. G.</w:t>
      </w:r>
      <w:r w:rsidRPr="00E76E89">
        <w:rPr>
          <w:szCs w:val="24"/>
        </w:rPr>
        <w:t xml:space="preserve"> buvusių kariškių apklausos protokola</w:t>
      </w:r>
      <w:r w:rsidR="00001989" w:rsidRPr="00E76E89">
        <w:rPr>
          <w:szCs w:val="24"/>
        </w:rPr>
        <w:t xml:space="preserve">i: </w:t>
      </w:r>
      <w:r w:rsidR="00660130" w:rsidRPr="00E76E89">
        <w:rPr>
          <w:szCs w:val="24"/>
        </w:rPr>
        <w:t>J. M.</w:t>
      </w:r>
      <w:r w:rsidR="00001989" w:rsidRPr="00E76E89">
        <w:rPr>
          <w:szCs w:val="24"/>
        </w:rPr>
        <w:t xml:space="preserve"> (t. 435, b. l. 40–</w:t>
      </w:r>
      <w:r w:rsidR="00B824D6" w:rsidRPr="00E76E89">
        <w:rPr>
          <w:szCs w:val="24"/>
        </w:rPr>
        <w:t xml:space="preserve">41), </w:t>
      </w:r>
      <w:r w:rsidR="00660130" w:rsidRPr="00E76E89">
        <w:rPr>
          <w:szCs w:val="24"/>
        </w:rPr>
        <w:t>L. Z.</w:t>
      </w:r>
      <w:r w:rsidRPr="00E76E89">
        <w:rPr>
          <w:szCs w:val="24"/>
        </w:rPr>
        <w:t xml:space="preserve"> (t. 427, b. l. 233), J.</w:t>
      </w:r>
      <w:r w:rsidR="00C00255" w:rsidRPr="00E76E89">
        <w:rPr>
          <w:szCs w:val="24"/>
        </w:rPr>
        <w:t> </w:t>
      </w:r>
      <w:r w:rsidRPr="00E76E89">
        <w:rPr>
          <w:szCs w:val="24"/>
        </w:rPr>
        <w:t>J</w:t>
      </w:r>
      <w:r w:rsidR="00660130" w:rsidRPr="00E76E89">
        <w:rPr>
          <w:szCs w:val="24"/>
        </w:rPr>
        <w:t xml:space="preserve">. </w:t>
      </w:r>
      <w:r w:rsidRPr="00E76E89">
        <w:rPr>
          <w:szCs w:val="24"/>
        </w:rPr>
        <w:t>(t. 427, b. l. 215</w:t>
      </w:r>
      <w:r w:rsidR="00660130" w:rsidRPr="00E76E89">
        <w:rPr>
          <w:szCs w:val="24"/>
        </w:rPr>
        <w:t>), M. </w:t>
      </w:r>
      <w:r w:rsidR="00001989" w:rsidRPr="00E76E89">
        <w:rPr>
          <w:szCs w:val="24"/>
        </w:rPr>
        <w:t>T</w:t>
      </w:r>
      <w:r w:rsidR="00660130" w:rsidRPr="00E76E89">
        <w:rPr>
          <w:szCs w:val="24"/>
        </w:rPr>
        <w:t>.</w:t>
      </w:r>
      <w:r w:rsidR="00001989" w:rsidRPr="00E76E89">
        <w:rPr>
          <w:szCs w:val="24"/>
        </w:rPr>
        <w:t xml:space="preserve"> (t. 435, b. l. 74–</w:t>
      </w:r>
      <w:r w:rsidR="00C96771" w:rsidRPr="00E76E89">
        <w:rPr>
          <w:szCs w:val="24"/>
        </w:rPr>
        <w:t xml:space="preserve">78) parodymai, liudytojo </w:t>
      </w:r>
      <w:r w:rsidR="00660130" w:rsidRPr="00E76E89">
        <w:rPr>
          <w:szCs w:val="24"/>
        </w:rPr>
        <w:t>J. T.</w:t>
      </w:r>
      <w:r w:rsidRPr="00E76E89">
        <w:rPr>
          <w:szCs w:val="24"/>
        </w:rPr>
        <w:t xml:space="preserve"> teisme duoti parodymai bei pažyma apie išnaudo</w:t>
      </w:r>
      <w:r w:rsidR="00001989" w:rsidRPr="00E76E89">
        <w:rPr>
          <w:szCs w:val="24"/>
        </w:rPr>
        <w:t>tus šovinius (t. 427, b. l. 160–</w:t>
      </w:r>
      <w:r w:rsidRPr="00E76E89">
        <w:rPr>
          <w:szCs w:val="24"/>
        </w:rPr>
        <w:t xml:space="preserve">162). Teismo išvadą, kad </w:t>
      </w:r>
      <w:r w:rsidR="006036E7" w:rsidRPr="00E76E89">
        <w:rPr>
          <w:szCs w:val="24"/>
        </w:rPr>
        <w:t>S. G.</w:t>
      </w:r>
      <w:r w:rsidRPr="00E76E89">
        <w:rPr>
          <w:szCs w:val="24"/>
        </w:rPr>
        <w:t xml:space="preserve"> vadovavo </w:t>
      </w:r>
      <w:r w:rsidRPr="00E76E89">
        <w:rPr>
          <w:szCs w:val="24"/>
        </w:rPr>
        <w:lastRenderedPageBreak/>
        <w:t>pastato šturmui ir brovėsi per civilių minią</w:t>
      </w:r>
      <w:r w:rsidR="001F1679" w:rsidRPr="00E76E89">
        <w:rPr>
          <w:szCs w:val="24"/>
        </w:rPr>
        <w:t>,</w:t>
      </w:r>
      <w:r w:rsidRPr="00E76E89">
        <w:rPr>
          <w:szCs w:val="24"/>
        </w:rPr>
        <w:t xml:space="preserve"> paneigia ir pastate buvusių darbuotojų parodymai: liudytojo R.</w:t>
      </w:r>
      <w:r w:rsidR="001F1679" w:rsidRPr="00E76E89">
        <w:rPr>
          <w:szCs w:val="24"/>
        </w:rPr>
        <w:t> </w:t>
      </w:r>
      <w:r w:rsidRPr="00E76E89">
        <w:rPr>
          <w:szCs w:val="24"/>
        </w:rPr>
        <w:t>P</w:t>
      </w:r>
      <w:r w:rsidR="00660130" w:rsidRPr="00E76E89">
        <w:rPr>
          <w:szCs w:val="24"/>
        </w:rPr>
        <w:t>.</w:t>
      </w:r>
      <w:r w:rsidRPr="00E76E89">
        <w:rPr>
          <w:szCs w:val="24"/>
        </w:rPr>
        <w:t xml:space="preserve"> (t</w:t>
      </w:r>
      <w:r w:rsidR="00001989" w:rsidRPr="00E76E89">
        <w:rPr>
          <w:szCs w:val="24"/>
        </w:rPr>
        <w:t>. 152, b. l. 108–</w:t>
      </w:r>
      <w:r w:rsidRPr="00E76E89">
        <w:rPr>
          <w:szCs w:val="24"/>
        </w:rPr>
        <w:t>109), kuris stebėjosi, kodėl pastatas nepuolamas iš tos pusės, kur nėra žmonių, parodymai; liudyt</w:t>
      </w:r>
      <w:r w:rsidR="00660130" w:rsidRPr="00E76E89">
        <w:rPr>
          <w:szCs w:val="24"/>
        </w:rPr>
        <w:t>ojų K. </w:t>
      </w:r>
      <w:r w:rsidR="00A34D0A" w:rsidRPr="00E76E89">
        <w:rPr>
          <w:szCs w:val="24"/>
        </w:rPr>
        <w:t>P</w:t>
      </w:r>
      <w:r w:rsidR="00660130" w:rsidRPr="00E76E89">
        <w:rPr>
          <w:szCs w:val="24"/>
        </w:rPr>
        <w:t>.</w:t>
      </w:r>
      <w:r w:rsidR="00A34D0A" w:rsidRPr="00E76E89">
        <w:rPr>
          <w:szCs w:val="24"/>
        </w:rPr>
        <w:t xml:space="preserve"> (t. 55, b. l. 35–</w:t>
      </w:r>
      <w:r w:rsidRPr="00E76E89">
        <w:rPr>
          <w:szCs w:val="24"/>
        </w:rPr>
        <w:t>3</w:t>
      </w:r>
      <w:r w:rsidR="00660130" w:rsidRPr="00E76E89">
        <w:rPr>
          <w:szCs w:val="24"/>
        </w:rPr>
        <w:t>7), V. </w:t>
      </w:r>
      <w:r w:rsidR="00B824D6" w:rsidRPr="00E76E89">
        <w:rPr>
          <w:szCs w:val="24"/>
        </w:rPr>
        <w:t>M</w:t>
      </w:r>
      <w:r w:rsidR="00660130" w:rsidRPr="00E76E89">
        <w:rPr>
          <w:szCs w:val="24"/>
        </w:rPr>
        <w:t>.</w:t>
      </w:r>
      <w:r w:rsidR="00B824D6" w:rsidRPr="00E76E89">
        <w:rPr>
          <w:szCs w:val="24"/>
        </w:rPr>
        <w:t xml:space="preserve"> (t. 54, </w:t>
      </w:r>
      <w:r w:rsidR="00001989" w:rsidRPr="00E76E89">
        <w:rPr>
          <w:szCs w:val="24"/>
        </w:rPr>
        <w:t>b.</w:t>
      </w:r>
      <w:r w:rsidR="001F1679" w:rsidRPr="00E76E89">
        <w:rPr>
          <w:szCs w:val="24"/>
        </w:rPr>
        <w:t> </w:t>
      </w:r>
      <w:r w:rsidR="00001989" w:rsidRPr="00E76E89">
        <w:rPr>
          <w:szCs w:val="24"/>
        </w:rPr>
        <w:t>l.</w:t>
      </w:r>
      <w:r w:rsidR="001F1679" w:rsidRPr="00E76E89">
        <w:rPr>
          <w:szCs w:val="24"/>
        </w:rPr>
        <w:t> </w:t>
      </w:r>
      <w:r w:rsidR="00001989" w:rsidRPr="00E76E89">
        <w:rPr>
          <w:szCs w:val="24"/>
        </w:rPr>
        <w:t>163–</w:t>
      </w:r>
      <w:r w:rsidRPr="00E76E89">
        <w:rPr>
          <w:szCs w:val="24"/>
        </w:rPr>
        <w:t>165</w:t>
      </w:r>
      <w:r w:rsidR="00001989" w:rsidRPr="00E76E89">
        <w:rPr>
          <w:szCs w:val="24"/>
        </w:rPr>
        <w:t>), R. P</w:t>
      </w:r>
      <w:r w:rsidR="00660130" w:rsidRPr="00E76E89">
        <w:rPr>
          <w:szCs w:val="24"/>
        </w:rPr>
        <w:t>.</w:t>
      </w:r>
      <w:r w:rsidR="00001989" w:rsidRPr="00E76E89">
        <w:rPr>
          <w:szCs w:val="24"/>
        </w:rPr>
        <w:t xml:space="preserve"> (t. 55, b. l. 97–</w:t>
      </w:r>
      <w:r w:rsidRPr="00E76E89">
        <w:rPr>
          <w:szCs w:val="24"/>
        </w:rPr>
        <w:t xml:space="preserve">99) parodymai, kurių esmė, kad iš pastato liepė išeiti „grupa zachvata“, o desantininkai, su kuriais buvo ir </w:t>
      </w:r>
      <w:r w:rsidR="006036E7" w:rsidRPr="00E76E89">
        <w:rPr>
          <w:szCs w:val="24"/>
        </w:rPr>
        <w:t>S. G.</w:t>
      </w:r>
      <w:r w:rsidRPr="00E76E89">
        <w:rPr>
          <w:szCs w:val="24"/>
        </w:rPr>
        <w:t xml:space="preserve">, faktiškai jau užėmus pastatą, dar nebuvo pasirodę. Apie civilių nebuvimą vidiniame kieme nurodė ir įvykių naktį prie vidinio kiemo budėjęs </w:t>
      </w:r>
      <w:r w:rsidR="00660130" w:rsidRPr="00E76E89">
        <w:rPr>
          <w:szCs w:val="24"/>
        </w:rPr>
        <w:t>(duomenys neskelbtini)</w:t>
      </w:r>
      <w:r w:rsidRPr="00E76E89">
        <w:rPr>
          <w:szCs w:val="24"/>
        </w:rPr>
        <w:t xml:space="preserve"> </w:t>
      </w:r>
      <w:r w:rsidR="00660130" w:rsidRPr="00E76E89">
        <w:rPr>
          <w:szCs w:val="24"/>
        </w:rPr>
        <w:t>A. R.</w:t>
      </w:r>
      <w:r w:rsidRPr="00E76E89">
        <w:rPr>
          <w:szCs w:val="24"/>
        </w:rPr>
        <w:t xml:space="preserve"> (t. 6</w:t>
      </w:r>
      <w:r w:rsidR="00001989" w:rsidRPr="00E76E89">
        <w:rPr>
          <w:szCs w:val="24"/>
        </w:rPr>
        <w:t>6, b. l. 110–111</w:t>
      </w:r>
      <w:r w:rsidR="006B02BC" w:rsidRPr="00E76E89">
        <w:rPr>
          <w:szCs w:val="24"/>
        </w:rPr>
        <w:t>;</w:t>
      </w:r>
      <w:r w:rsidR="00001989" w:rsidRPr="00E76E89">
        <w:rPr>
          <w:szCs w:val="24"/>
        </w:rPr>
        <w:t xml:space="preserve"> t.</w:t>
      </w:r>
      <w:r w:rsidR="006B02BC" w:rsidRPr="00E76E89">
        <w:rPr>
          <w:szCs w:val="24"/>
        </w:rPr>
        <w:t> </w:t>
      </w:r>
      <w:r w:rsidR="00001989" w:rsidRPr="00E76E89">
        <w:rPr>
          <w:szCs w:val="24"/>
        </w:rPr>
        <w:t>64, b.</w:t>
      </w:r>
      <w:r w:rsidR="001F1679" w:rsidRPr="00E76E89">
        <w:rPr>
          <w:szCs w:val="24"/>
        </w:rPr>
        <w:t> </w:t>
      </w:r>
      <w:r w:rsidR="00001989" w:rsidRPr="00E76E89">
        <w:rPr>
          <w:szCs w:val="24"/>
        </w:rPr>
        <w:t>l.</w:t>
      </w:r>
      <w:r w:rsidR="001F1679" w:rsidRPr="00E76E89">
        <w:rPr>
          <w:szCs w:val="24"/>
        </w:rPr>
        <w:t> </w:t>
      </w:r>
      <w:r w:rsidR="00001989" w:rsidRPr="00E76E89">
        <w:rPr>
          <w:szCs w:val="24"/>
        </w:rPr>
        <w:t>1–</w:t>
      </w:r>
      <w:r w:rsidRPr="00E76E89">
        <w:rPr>
          <w:szCs w:val="24"/>
        </w:rPr>
        <w:t>2), kuris taip pat patvirtino, kad prieš milicininkus smurtas nebuvo naudotas, ginklai iš jų nebuvo atimti</w:t>
      </w:r>
      <w:r w:rsidRPr="00C00255">
        <w:rPr>
          <w:szCs w:val="24"/>
        </w:rPr>
        <w:t>.</w:t>
      </w:r>
    </w:p>
    <w:p w:rsidR="00A15474" w:rsidRPr="00C00255" w:rsidRDefault="00A15474" w:rsidP="00321748">
      <w:pPr>
        <w:pStyle w:val="ListParagraph"/>
        <w:numPr>
          <w:ilvl w:val="1"/>
          <w:numId w:val="6"/>
        </w:numPr>
        <w:spacing w:before="120" w:after="120"/>
        <w:ind w:left="992" w:hanging="992"/>
        <w:contextualSpacing w:val="0"/>
        <w:rPr>
          <w:szCs w:val="24"/>
        </w:rPr>
      </w:pPr>
      <w:r w:rsidRPr="00E76E89">
        <w:rPr>
          <w:szCs w:val="24"/>
        </w:rPr>
        <w:t xml:space="preserve">Apeliantas ginčija nuteistojo </w:t>
      </w:r>
      <w:r w:rsidR="006036E7" w:rsidRPr="00E76E89">
        <w:rPr>
          <w:szCs w:val="24"/>
        </w:rPr>
        <w:t>S. G.</w:t>
      </w:r>
      <w:r w:rsidRPr="00E76E89">
        <w:rPr>
          <w:szCs w:val="24"/>
        </w:rPr>
        <w:t xml:space="preserve"> kaltę padarius atskirus nuosprendžiu konstatuotus nusikaltimus, cituoja BK nuostatas, remiasi teismų praktika kitose bylose (</w:t>
      </w:r>
      <w:r w:rsidR="00DB7E07" w:rsidRPr="00E76E89">
        <w:rPr>
          <w:szCs w:val="24"/>
        </w:rPr>
        <w:t>pvz.</w:t>
      </w:r>
      <w:r w:rsidRPr="00E76E89">
        <w:rPr>
          <w:szCs w:val="24"/>
        </w:rPr>
        <w:t>, Vilniaus apygardos teismo 2015 m. birželio 4 d. išteisinamuoju nuosprendžiu baudžiamojoje byloje Nr.</w:t>
      </w:r>
      <w:r w:rsidR="00C00255" w:rsidRPr="00E76E89">
        <w:rPr>
          <w:szCs w:val="24"/>
        </w:rPr>
        <w:t> </w:t>
      </w:r>
      <w:r w:rsidRPr="00E76E89">
        <w:rPr>
          <w:szCs w:val="24"/>
        </w:rPr>
        <w:t>1-66-497/2015 pateiktais išaiškinimais) ir nurodo atskirus nusikalstamų veikų požymius, kurie</w:t>
      </w:r>
      <w:r w:rsidR="00AC4991" w:rsidRPr="00E76E89">
        <w:rPr>
          <w:szCs w:val="24"/>
        </w:rPr>
        <w:t>,</w:t>
      </w:r>
      <w:r w:rsidRPr="00E76E89">
        <w:rPr>
          <w:szCs w:val="24"/>
        </w:rPr>
        <w:t xml:space="preserve"> anot gynėjo, nėra įrodyti šioje byloje</w:t>
      </w:r>
      <w:r w:rsidRPr="00C00255">
        <w:rPr>
          <w:szCs w:val="24"/>
        </w:rPr>
        <w:t xml:space="preserve">. </w:t>
      </w:r>
    </w:p>
    <w:p w:rsidR="00A15474" w:rsidRPr="00E76E89" w:rsidRDefault="00A15474" w:rsidP="00321748">
      <w:pPr>
        <w:pStyle w:val="ListParagraph"/>
        <w:numPr>
          <w:ilvl w:val="2"/>
          <w:numId w:val="6"/>
        </w:numPr>
        <w:spacing w:before="120" w:after="120"/>
        <w:ind w:left="992" w:hanging="992"/>
        <w:contextualSpacing w:val="0"/>
        <w:rPr>
          <w:szCs w:val="24"/>
        </w:rPr>
      </w:pPr>
      <w:r w:rsidRPr="00E76E89">
        <w:rPr>
          <w:szCs w:val="24"/>
        </w:rPr>
        <w:t>BK 100 straipsnis – neįrodytas specialus tikslas, t.</w:t>
      </w:r>
      <w:r w:rsidR="00AC4991" w:rsidRPr="00E76E89">
        <w:rPr>
          <w:szCs w:val="24"/>
        </w:rPr>
        <w:t> </w:t>
      </w:r>
      <w:r w:rsidRPr="00E76E89">
        <w:rPr>
          <w:szCs w:val="24"/>
        </w:rPr>
        <w:t xml:space="preserve">y. kad nuteistasis siekė ir norėjo žudyti civilius, ir neįrodyta, kad nuteistasis civilius žalojo. </w:t>
      </w:r>
    </w:p>
    <w:p w:rsidR="00A15474" w:rsidRPr="00E76E89" w:rsidRDefault="00A15474" w:rsidP="00321748">
      <w:pPr>
        <w:pStyle w:val="ListParagraph"/>
        <w:numPr>
          <w:ilvl w:val="2"/>
          <w:numId w:val="6"/>
        </w:numPr>
        <w:spacing w:before="120" w:after="120"/>
        <w:ind w:left="992" w:hanging="992"/>
        <w:contextualSpacing w:val="0"/>
        <w:rPr>
          <w:szCs w:val="24"/>
        </w:rPr>
      </w:pPr>
      <w:r w:rsidRPr="00E76E89">
        <w:rPr>
          <w:szCs w:val="24"/>
        </w:rPr>
        <w:t>BK 101 straipsnis – įvykių metu tarp Lietuvos ir TSRS nebuvo karo ar tarptautinio g</w:t>
      </w:r>
      <w:r w:rsidR="004E12C8" w:rsidRPr="00E76E89">
        <w:rPr>
          <w:szCs w:val="24"/>
        </w:rPr>
        <w:t>inkluoto konflikto, Lietuva ne</w:t>
      </w:r>
      <w:r w:rsidR="00974E0B" w:rsidRPr="00E76E89">
        <w:rPr>
          <w:szCs w:val="24"/>
        </w:rPr>
        <w:t>be</w:t>
      </w:r>
      <w:r w:rsidRPr="00E76E89">
        <w:rPr>
          <w:szCs w:val="24"/>
        </w:rPr>
        <w:t xml:space="preserve">buvo okupuota ar aneksuota, be to, </w:t>
      </w:r>
      <w:r w:rsidR="006036E7" w:rsidRPr="00E76E89">
        <w:rPr>
          <w:szCs w:val="24"/>
        </w:rPr>
        <w:t>S. G.</w:t>
      </w:r>
      <w:r w:rsidRPr="00E76E89">
        <w:rPr>
          <w:szCs w:val="24"/>
        </w:rPr>
        <w:t xml:space="preserve"> nebuvo ir agresijos nusikaltimo subjektas. Gynėjo teigimu, agresijos sampratą labai t</w:t>
      </w:r>
      <w:r w:rsidR="004E12C8" w:rsidRPr="00E76E89">
        <w:rPr>
          <w:szCs w:val="24"/>
        </w:rPr>
        <w:t>iksliai yra išaiškinęs Vilniaus </w:t>
      </w:r>
      <w:r w:rsidRPr="00E76E89">
        <w:rPr>
          <w:szCs w:val="24"/>
        </w:rPr>
        <w:t xml:space="preserve">apygardos teismas 2015 m. birželio 4 d. nuosprendyje byloje Nr. 1-66-497/2015, kuriame iš esmės pasakyta, kad </w:t>
      </w:r>
      <w:bookmarkStart w:id="74" w:name="_Hlk33685360"/>
      <w:r w:rsidRPr="00E76E89">
        <w:rPr>
          <w:szCs w:val="24"/>
        </w:rPr>
        <w:t>agresijos subjektais gali būti tik valstybių vadovai ir politiniai lyderiai</w:t>
      </w:r>
      <w:bookmarkEnd w:id="74"/>
      <w:r w:rsidRPr="00E76E89">
        <w:rPr>
          <w:szCs w:val="24"/>
        </w:rPr>
        <w:t xml:space="preserve">. Be to, neįrodyta, kad nuteistasis kurstė, organizavo žudymus ar pats žudė civilius asmenis. Gynėjo teigimu, įsakymo žudyti apskritai nebuvo, todėl tokio įsakymo negalėjo duoti ir žemiausio rango karininkas – </w:t>
      </w:r>
      <w:r w:rsidR="006036E7" w:rsidRPr="00E76E89">
        <w:rPr>
          <w:szCs w:val="24"/>
        </w:rPr>
        <w:t>S. G.</w:t>
      </w:r>
      <w:r w:rsidRPr="00E76E89">
        <w:rPr>
          <w:szCs w:val="24"/>
        </w:rPr>
        <w:t xml:space="preserve">. </w:t>
      </w:r>
    </w:p>
    <w:p w:rsidR="00A15474" w:rsidRPr="00E76E89" w:rsidRDefault="00A15474" w:rsidP="00321748">
      <w:pPr>
        <w:pStyle w:val="ListParagraph"/>
        <w:numPr>
          <w:ilvl w:val="2"/>
          <w:numId w:val="6"/>
        </w:numPr>
        <w:spacing w:before="120" w:after="120"/>
        <w:ind w:left="992" w:hanging="992"/>
        <w:contextualSpacing w:val="0"/>
        <w:rPr>
          <w:szCs w:val="24"/>
        </w:rPr>
      </w:pPr>
      <w:r w:rsidRPr="00E76E89">
        <w:rPr>
          <w:szCs w:val="24"/>
        </w:rPr>
        <w:t>BK 103 straipsnio 1 dalis – neįrodyti tie patys požymiai, kurie numatyti BK 101 straipsnyje, be to, neįrodyta, kad nuteistasis įsakė, kurstė ar organizavo nežmonišką elgesį su tarptautinės humanitarinės teisės saugomais asmenimis ar kad pats juos žalojo. Nėra ir tyčios – siekio ir noro sužaloti minėtus asmenis</w:t>
      </w:r>
      <w:r w:rsidR="002A2E2B" w:rsidRPr="00E76E89">
        <w:rPr>
          <w:szCs w:val="24"/>
        </w:rPr>
        <w:t>.</w:t>
      </w:r>
    </w:p>
    <w:p w:rsidR="00A15474" w:rsidRPr="00E76E89" w:rsidRDefault="00A15474" w:rsidP="00321748">
      <w:pPr>
        <w:pStyle w:val="ListParagraph"/>
        <w:numPr>
          <w:ilvl w:val="2"/>
          <w:numId w:val="6"/>
        </w:numPr>
        <w:spacing w:before="120" w:after="120"/>
        <w:ind w:left="992" w:hanging="992"/>
        <w:contextualSpacing w:val="0"/>
        <w:rPr>
          <w:szCs w:val="24"/>
        </w:rPr>
      </w:pPr>
      <w:r w:rsidRPr="00E76E89">
        <w:rPr>
          <w:szCs w:val="24"/>
        </w:rPr>
        <w:t>BK 111 straipsnis – neįrodyti aktyvūs veiksmai ir tiesioginė tyčia. Nėra įrodymų, kad</w:t>
      </w:r>
      <w:r w:rsidR="00AC33E7" w:rsidRPr="00E76E89">
        <w:rPr>
          <w:szCs w:val="24"/>
        </w:rPr>
        <w:t>,</w:t>
      </w:r>
      <w:r w:rsidRPr="00E76E89">
        <w:rPr>
          <w:szCs w:val="24"/>
        </w:rPr>
        <w:t xml:space="preserve"> kariškiams užimant </w:t>
      </w:r>
      <w:r w:rsidR="00DE3B19" w:rsidRPr="00E76E89">
        <w:rPr>
          <w:szCs w:val="24"/>
        </w:rPr>
        <w:t>LRT</w:t>
      </w:r>
      <w:r w:rsidRPr="00E76E89">
        <w:rPr>
          <w:szCs w:val="24"/>
        </w:rPr>
        <w:t xml:space="preserve"> pastatus, aukšto rango kariškiai būtų įsakę šaudyti koviniais šoviniais į taikiai prie pastato stovinčius civilius asmenis. Koviniai šoviniai buvo išduoti tik tam atvejui, jei kiltų tiesioginis pavojus karių gyvybei. Grupėje, kurioje buvo </w:t>
      </w:r>
      <w:r w:rsidR="006036E7" w:rsidRPr="00E76E89">
        <w:rPr>
          <w:szCs w:val="24"/>
        </w:rPr>
        <w:t>S. G.</w:t>
      </w:r>
      <w:r w:rsidRPr="00E76E89">
        <w:rPr>
          <w:szCs w:val="24"/>
        </w:rPr>
        <w:t xml:space="preserve">, niekas neiššovė net tuščiais šoviniais. Už prie centrinio įėjimo į televiziją atliktus šūvius turi atsakyti tik tie asmenys, kurie šaudė, o ne </w:t>
      </w:r>
      <w:r w:rsidR="006036E7" w:rsidRPr="00E76E89">
        <w:rPr>
          <w:szCs w:val="24"/>
        </w:rPr>
        <w:t>S. G.</w:t>
      </w:r>
      <w:r w:rsidRPr="00E76E89">
        <w:rPr>
          <w:szCs w:val="24"/>
        </w:rPr>
        <w:t>.</w:t>
      </w:r>
    </w:p>
    <w:p w:rsidR="00A15474" w:rsidRPr="00E76E89" w:rsidRDefault="00A15474" w:rsidP="00321748">
      <w:pPr>
        <w:pStyle w:val="ListParagraph"/>
        <w:numPr>
          <w:ilvl w:val="2"/>
          <w:numId w:val="6"/>
        </w:numPr>
        <w:spacing w:before="120" w:after="120"/>
        <w:ind w:left="992" w:hanging="992"/>
        <w:contextualSpacing w:val="0"/>
        <w:rPr>
          <w:szCs w:val="24"/>
        </w:rPr>
      </w:pPr>
      <w:r w:rsidRPr="00E76E89">
        <w:rPr>
          <w:szCs w:val="24"/>
        </w:rPr>
        <w:t xml:space="preserve">BK 112 straipsnis – karo tarp Lietuvos ir TSRS nebuvo. Taip pat nuteistasis negalėjo daryti įtakos tam, kokie ginklai naudojami </w:t>
      </w:r>
      <w:r w:rsidR="003F49BF" w:rsidRPr="00E76E89">
        <w:rPr>
          <w:szCs w:val="24"/>
        </w:rPr>
        <w:t>TSRS</w:t>
      </w:r>
      <w:r w:rsidRPr="00E76E89">
        <w:rPr>
          <w:szCs w:val="24"/>
        </w:rPr>
        <w:t xml:space="preserve"> armijoje</w:t>
      </w:r>
      <w:r w:rsidR="00AC4991" w:rsidRPr="00E76E89">
        <w:rPr>
          <w:szCs w:val="24"/>
        </w:rPr>
        <w:t>,</w:t>
      </w:r>
      <w:r w:rsidRPr="00E76E89">
        <w:rPr>
          <w:szCs w:val="24"/>
        </w:rPr>
        <w:t xml:space="preserve"> bei negalėjo žinoti, kad 5,45</w:t>
      </w:r>
      <w:r w:rsidR="00AC33E7" w:rsidRPr="00E76E89">
        <w:rPr>
          <w:szCs w:val="24"/>
        </w:rPr>
        <w:t> </w:t>
      </w:r>
      <w:r w:rsidRPr="00E76E89">
        <w:rPr>
          <w:szCs w:val="24"/>
        </w:rPr>
        <w:t xml:space="preserve">mm </w:t>
      </w:r>
      <w:r w:rsidR="008E62C3" w:rsidRPr="00E76E89">
        <w:rPr>
          <w:szCs w:val="24"/>
        </w:rPr>
        <w:t xml:space="preserve">kalibro </w:t>
      </w:r>
      <w:r w:rsidRPr="00E76E89">
        <w:rPr>
          <w:szCs w:val="24"/>
        </w:rPr>
        <w:t>kulkos yra uždraustos (</w:t>
      </w:r>
      <w:r w:rsidR="006036E7" w:rsidRPr="00E76E89">
        <w:rPr>
          <w:szCs w:val="24"/>
        </w:rPr>
        <w:t>S. G.</w:t>
      </w:r>
      <w:r w:rsidRPr="00E76E89">
        <w:rPr>
          <w:szCs w:val="24"/>
        </w:rPr>
        <w:t xml:space="preserve"> buvo ginkluotas tradiciniu desantininkų ginklu – automatu AKS-74U). Be to, </w:t>
      </w:r>
      <w:r w:rsidR="006036E7" w:rsidRPr="00E76E89">
        <w:rPr>
          <w:szCs w:val="24"/>
        </w:rPr>
        <w:t>S. G.</w:t>
      </w:r>
      <w:r w:rsidRPr="00E76E89">
        <w:rPr>
          <w:szCs w:val="24"/>
        </w:rPr>
        <w:t xml:space="preserve"> ir su juo buvę kariškiai turėtų ginklų įvykių metu apskritai nepanaudojo.</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 xml:space="preserve">Gynėjo teigimu, teismas taip pat nepagrįstai konstatavo, kad visi kaltinamieji veikė bendrininkų grupe, kadangi </w:t>
      </w:r>
      <w:r w:rsidR="00970DB0" w:rsidRPr="00E76E89">
        <w:rPr>
          <w:szCs w:val="24"/>
        </w:rPr>
        <w:t>TSRS</w:t>
      </w:r>
      <w:r w:rsidRPr="00E76E89">
        <w:rPr>
          <w:szCs w:val="24"/>
        </w:rPr>
        <w:t xml:space="preserve"> galiojo kariniai statutai, kariškiai buvo davę priesaiką ir privalėjo besąlygiškai paklusti aukštesnių vadų įsakymams, todėl aukštesniems pareigūnams nereikėjo burti nusikalstamos grupuotės, nereikėjo tartis su žemesnio rango kariškiais ar juos pasitelkti nusikalstam</w:t>
      </w:r>
      <w:r w:rsidR="00AC4991" w:rsidRPr="00E76E89">
        <w:rPr>
          <w:szCs w:val="24"/>
        </w:rPr>
        <w:t>oms</w:t>
      </w:r>
      <w:r w:rsidRPr="00E76E89">
        <w:rPr>
          <w:szCs w:val="24"/>
        </w:rPr>
        <w:t xml:space="preserve"> veik</w:t>
      </w:r>
      <w:r w:rsidR="00AC4991" w:rsidRPr="00E76E89">
        <w:rPr>
          <w:szCs w:val="24"/>
        </w:rPr>
        <w:t>oms</w:t>
      </w:r>
      <w:r w:rsidRPr="00E76E89">
        <w:rPr>
          <w:szCs w:val="24"/>
        </w:rPr>
        <w:t xml:space="preserve"> dary</w:t>
      </w:r>
      <w:r w:rsidR="00AC4991" w:rsidRPr="00E76E89">
        <w:rPr>
          <w:szCs w:val="24"/>
        </w:rPr>
        <w:t>ti</w:t>
      </w:r>
      <w:r w:rsidRPr="00E76E89">
        <w:rPr>
          <w:szCs w:val="24"/>
        </w:rPr>
        <w:t xml:space="preserve">. </w:t>
      </w:r>
      <w:r w:rsidR="006036E7" w:rsidRPr="00E76E89">
        <w:rPr>
          <w:szCs w:val="24"/>
        </w:rPr>
        <w:t>S. G.</w:t>
      </w:r>
      <w:r w:rsidR="004E12C8" w:rsidRPr="00E76E89">
        <w:rPr>
          <w:szCs w:val="24"/>
        </w:rPr>
        <w:t xml:space="preserve"> įvykių metu buvo </w:t>
      </w:r>
      <w:r w:rsidR="00660130" w:rsidRPr="00E76E89">
        <w:rPr>
          <w:szCs w:val="24"/>
        </w:rPr>
        <w:t>(duomenys neskelbtini)</w:t>
      </w:r>
      <w:r w:rsidR="004E12C8" w:rsidRPr="00E76E89">
        <w:rPr>
          <w:szCs w:val="24"/>
        </w:rPr>
        <w:t xml:space="preserve"> metai</w:t>
      </w:r>
      <w:r w:rsidRPr="00E76E89">
        <w:rPr>
          <w:szCs w:val="24"/>
        </w:rPr>
        <w:t>,</w:t>
      </w:r>
      <w:r w:rsidR="004E12C8" w:rsidRPr="00E76E89">
        <w:rPr>
          <w:szCs w:val="24"/>
        </w:rPr>
        <w:t xml:space="preserve"> jis</w:t>
      </w:r>
      <w:r w:rsidRPr="00E76E89">
        <w:rPr>
          <w:szCs w:val="24"/>
        </w:rPr>
        <w:t xml:space="preserve"> buvo vyr.</w:t>
      </w:r>
      <w:r w:rsidR="00AC4991" w:rsidRPr="00E76E89">
        <w:rPr>
          <w:szCs w:val="24"/>
        </w:rPr>
        <w:t> </w:t>
      </w:r>
      <w:r w:rsidRPr="00E76E89">
        <w:rPr>
          <w:szCs w:val="24"/>
        </w:rPr>
        <w:t xml:space="preserve">leitenantas, todėl neturėjo jokių galimybių tartis su aukščiausio rango karo pareigūnais ar nevykdyti jų įsakymų. Siekiant konstatuoti bendrininkavimą, būtina </w:t>
      </w:r>
      <w:r w:rsidRPr="00E76E89">
        <w:rPr>
          <w:szCs w:val="24"/>
        </w:rPr>
        <w:lastRenderedPageBreak/>
        <w:t xml:space="preserve">nustatyti subjektyviuosius bendrininkavimo požymius – tyčią ir susitarimą. Byloje nėra nustatyta, kad kaltinamieji, prieš užimdami </w:t>
      </w:r>
      <w:r w:rsidR="007403E5" w:rsidRPr="00E76E89">
        <w:rPr>
          <w:szCs w:val="24"/>
        </w:rPr>
        <w:t>LRT</w:t>
      </w:r>
      <w:r w:rsidRPr="00E76E89">
        <w:rPr>
          <w:szCs w:val="24"/>
        </w:rPr>
        <w:t xml:space="preserve"> pastatą, iš anksto būtų suderinę būsimo fizinio smurto pobūdį ir intensyvumą, todėl nukentėjusiojo </w:t>
      </w:r>
      <w:r w:rsidR="004E4879" w:rsidRPr="00E76E89">
        <w:rPr>
          <w:szCs w:val="24"/>
        </w:rPr>
        <w:t>A. K.</w:t>
      </w:r>
      <w:r w:rsidRPr="00E76E89">
        <w:rPr>
          <w:szCs w:val="24"/>
        </w:rPr>
        <w:t xml:space="preserve"> žūtis bei kitų civilių sužalojimas turi būti vertinami kaip kitų vykdytojų ekscesas. Pagrindiniai kaltininkai yra įvard</w:t>
      </w:r>
      <w:r w:rsidR="002A2E2B" w:rsidRPr="00E76E89">
        <w:rPr>
          <w:szCs w:val="24"/>
        </w:rPr>
        <w:t>y</w:t>
      </w:r>
      <w:r w:rsidRPr="00E76E89">
        <w:rPr>
          <w:szCs w:val="24"/>
        </w:rPr>
        <w:t>ti eksperto</w:t>
      </w:r>
      <w:r w:rsidR="00001989" w:rsidRPr="00E76E89">
        <w:rPr>
          <w:szCs w:val="24"/>
        </w:rPr>
        <w:t xml:space="preserve"> išvadoje (t. 201, b.</w:t>
      </w:r>
      <w:r w:rsidR="00C00255" w:rsidRPr="00E76E89">
        <w:rPr>
          <w:szCs w:val="24"/>
        </w:rPr>
        <w:t> </w:t>
      </w:r>
      <w:r w:rsidR="00001989" w:rsidRPr="00E76E89">
        <w:rPr>
          <w:szCs w:val="24"/>
        </w:rPr>
        <w:t>l.</w:t>
      </w:r>
      <w:r w:rsidR="00C00255" w:rsidRPr="00E76E89">
        <w:rPr>
          <w:szCs w:val="24"/>
        </w:rPr>
        <w:t> </w:t>
      </w:r>
      <w:r w:rsidR="00001989" w:rsidRPr="00E76E89">
        <w:rPr>
          <w:szCs w:val="24"/>
        </w:rPr>
        <w:t>63–</w:t>
      </w:r>
      <w:r w:rsidRPr="00E76E89">
        <w:rPr>
          <w:szCs w:val="24"/>
        </w:rPr>
        <w:t>77).</w:t>
      </w:r>
    </w:p>
    <w:p w:rsidR="00A15474" w:rsidRPr="00E76E89" w:rsidRDefault="00A15474" w:rsidP="00321748">
      <w:pPr>
        <w:pStyle w:val="ListParagraph"/>
        <w:numPr>
          <w:ilvl w:val="1"/>
          <w:numId w:val="6"/>
        </w:numPr>
        <w:spacing w:before="120" w:after="120"/>
        <w:ind w:left="992" w:hanging="992"/>
        <w:contextualSpacing w:val="0"/>
        <w:rPr>
          <w:szCs w:val="24"/>
        </w:rPr>
      </w:pPr>
      <w:r w:rsidRPr="00E76E89">
        <w:rPr>
          <w:szCs w:val="24"/>
        </w:rPr>
        <w:t xml:space="preserve">Anot gynėjo, byloje buvo pažeistas </w:t>
      </w:r>
      <w:r w:rsidRPr="00E76E89">
        <w:rPr>
          <w:i/>
          <w:szCs w:val="24"/>
        </w:rPr>
        <w:t xml:space="preserve">nullum crimen sine lege </w:t>
      </w:r>
      <w:r w:rsidRPr="00E76E89">
        <w:rPr>
          <w:szCs w:val="24"/>
        </w:rPr>
        <w:t xml:space="preserve">principas, kadangi </w:t>
      </w:r>
      <w:r w:rsidR="006036E7" w:rsidRPr="00E76E89">
        <w:rPr>
          <w:szCs w:val="24"/>
        </w:rPr>
        <w:t>S. G.</w:t>
      </w:r>
      <w:r w:rsidRPr="00E76E89">
        <w:rPr>
          <w:szCs w:val="24"/>
        </w:rPr>
        <w:t xml:space="preserve"> pripažintas kaltu dėl nusikaltimų, kurie buvo padaryti anksčiau</w:t>
      </w:r>
      <w:r w:rsidR="00AC4991" w:rsidRPr="00E76E89">
        <w:rPr>
          <w:szCs w:val="24"/>
        </w:rPr>
        <w:t>,</w:t>
      </w:r>
      <w:r w:rsidRPr="00E76E89">
        <w:rPr>
          <w:szCs w:val="24"/>
        </w:rPr>
        <w:t xml:space="preserve"> nei įsigaliojo BK straipsniai, pagal kuriuos jis yra nuteistas. </w:t>
      </w:r>
    </w:p>
    <w:p w:rsidR="007168F4" w:rsidRPr="00C00255" w:rsidRDefault="007168F4" w:rsidP="00321748">
      <w:pPr>
        <w:pStyle w:val="ListParagraph"/>
        <w:numPr>
          <w:ilvl w:val="0"/>
          <w:numId w:val="6"/>
        </w:numPr>
        <w:spacing w:before="120" w:after="120"/>
        <w:ind w:left="992" w:hanging="992"/>
        <w:contextualSpacing w:val="0"/>
        <w:rPr>
          <w:szCs w:val="24"/>
        </w:rPr>
      </w:pPr>
      <w:bookmarkStart w:id="75" w:name="_Toc37947851"/>
      <w:bookmarkStart w:id="76" w:name="_Toc67677330"/>
      <w:bookmarkStart w:id="77" w:name="_Toc67985457"/>
      <w:r w:rsidRPr="00D43DF2">
        <w:rPr>
          <w:b/>
        </w:rPr>
        <w:t xml:space="preserve">Nuteistojo </w:t>
      </w:r>
      <w:r w:rsidR="006036E7" w:rsidRPr="00D43DF2">
        <w:rPr>
          <w:b/>
        </w:rPr>
        <w:t>S. M.</w:t>
      </w:r>
      <w:r w:rsidRPr="00D43DF2">
        <w:rPr>
          <w:b/>
        </w:rPr>
        <w:t xml:space="preserve"> gynėjas</w:t>
      </w:r>
      <w:bookmarkEnd w:id="75"/>
      <w:bookmarkEnd w:id="76"/>
      <w:bookmarkEnd w:id="77"/>
      <w:r w:rsidRPr="00C00255">
        <w:rPr>
          <w:b/>
          <w:sz w:val="22"/>
          <w:szCs w:val="24"/>
        </w:rPr>
        <w:t xml:space="preserve"> </w:t>
      </w:r>
      <w:r w:rsidRPr="00C00255">
        <w:rPr>
          <w:b/>
          <w:szCs w:val="24"/>
        </w:rPr>
        <w:t>advokatas P. Prijalgauskas</w:t>
      </w:r>
      <w:r w:rsidRPr="00C00255">
        <w:rPr>
          <w:szCs w:val="24"/>
        </w:rPr>
        <w:t xml:space="preserve"> apeliaciniu skundu </w:t>
      </w:r>
      <w:r w:rsidR="004E12C8" w:rsidRPr="00C00255">
        <w:rPr>
          <w:szCs w:val="24"/>
        </w:rPr>
        <w:t xml:space="preserve">prašo </w:t>
      </w:r>
      <w:r w:rsidRPr="00C00255">
        <w:t>panaikinti pirmosios instancijos teismo nuosprendį ir dėl jo ginamojo priimti išteisinamąjį nuosprendį.</w:t>
      </w:r>
    </w:p>
    <w:p w:rsidR="00941BCC" w:rsidRPr="00E76E89" w:rsidRDefault="007168F4"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teismas nepagrįstai konstatavo, jog </w:t>
      </w:r>
      <w:r w:rsidR="006036E7" w:rsidRPr="00E76E89">
        <w:rPr>
          <w:szCs w:val="24"/>
        </w:rPr>
        <w:t>S. M.</w:t>
      </w:r>
      <w:r w:rsidRPr="00E76E89">
        <w:rPr>
          <w:szCs w:val="24"/>
        </w:rPr>
        <w:t xml:space="preserve"> su kitais kariškiais veikė bendrininkų grupe, o prokuroras kvalifikavo veikimą organizuota grupe. </w:t>
      </w:r>
      <w:r w:rsidR="006036E7" w:rsidRPr="00E76E89">
        <w:rPr>
          <w:szCs w:val="24"/>
        </w:rPr>
        <w:t>S. M.</w:t>
      </w:r>
      <w:r w:rsidRPr="00E76E89">
        <w:rPr>
          <w:szCs w:val="24"/>
        </w:rPr>
        <w:t xml:space="preserve"> su kitais kariškiais atvyko į Vilnių pagal įsakymą, su niekuo nesitarė dėl nusikalstamų veikų darymo ir neturėjo tyčios toki</w:t>
      </w:r>
      <w:r w:rsidR="00C40159" w:rsidRPr="00E76E89">
        <w:rPr>
          <w:szCs w:val="24"/>
        </w:rPr>
        <w:t>oms</w:t>
      </w:r>
      <w:r w:rsidRPr="00E76E89">
        <w:rPr>
          <w:szCs w:val="24"/>
        </w:rPr>
        <w:t xml:space="preserve"> veik</w:t>
      </w:r>
      <w:r w:rsidR="00C40159" w:rsidRPr="00E76E89">
        <w:rPr>
          <w:szCs w:val="24"/>
        </w:rPr>
        <w:t>oms</w:t>
      </w:r>
      <w:r w:rsidRPr="00E76E89">
        <w:rPr>
          <w:szCs w:val="24"/>
        </w:rPr>
        <w:t xml:space="preserve"> daryti. Kariškiai buvo informuoti, kad jų atvykimo į Vilnių tikslas yra viešosios tvarkos užtikrinimas, TSRS nuosavybės gynyba ir šauktinių surinkimo užtikrinimas. Kitų tikslų nei </w:t>
      </w:r>
      <w:r w:rsidR="006036E7" w:rsidRPr="00E76E89">
        <w:rPr>
          <w:szCs w:val="24"/>
        </w:rPr>
        <w:t>S. M.</w:t>
      </w:r>
      <w:r w:rsidRPr="00E76E89">
        <w:rPr>
          <w:szCs w:val="24"/>
        </w:rPr>
        <w:t>, nei kiti nuteistieji neturėjo. Jie veikė pagal duotą įsakymą ir jo negalėjo nevykdyti. Organizuotos gr</w:t>
      </w:r>
      <w:r w:rsidR="004E12C8" w:rsidRPr="00E76E89">
        <w:rPr>
          <w:szCs w:val="24"/>
        </w:rPr>
        <w:t>upės požymis buvo inkriminuotas</w:t>
      </w:r>
      <w:r w:rsidRPr="00E76E89">
        <w:rPr>
          <w:szCs w:val="24"/>
        </w:rPr>
        <w:t xml:space="preserve"> tik turint tikslą visiems kaltinamiesiems pritaikyti kolektyvinę atsakomybę. </w:t>
      </w:r>
      <w:r w:rsidR="00C40159" w:rsidRPr="00E76E89">
        <w:rPr>
          <w:szCs w:val="24"/>
        </w:rPr>
        <w:t>Šiurkščiai</w:t>
      </w:r>
      <w:r w:rsidRPr="00E76E89">
        <w:rPr>
          <w:szCs w:val="24"/>
        </w:rPr>
        <w:t xml:space="preserve"> pažeidžiant nekaltumo prezumpciją, kaltinime buvo nurodyta, kad „karo atakos metu dalyvavę 76-osios oro desanto divizijos ir kitų minėtų struktūrų kariškiai kartu su draugovininkais, panaudoję minėtus šaunamuosius ginklus, specialiąsias priemones ir artimosios kovos veiksmus</w:t>
      </w:r>
      <w:r w:rsidR="00C40159" w:rsidRPr="00E76E89">
        <w:rPr>
          <w:szCs w:val="24"/>
        </w:rPr>
        <w:t>,</w:t>
      </w:r>
      <w:r w:rsidRPr="00E76E89">
        <w:rPr>
          <w:szCs w:val="24"/>
        </w:rPr>
        <w:t xml:space="preserve"> bendrais veiksmais tyčia nužudė 14</w:t>
      </w:r>
      <w:r w:rsidR="00631E2C" w:rsidRPr="00E76E89">
        <w:rPr>
          <w:szCs w:val="24"/>
        </w:rPr>
        <w:t> </w:t>
      </w:r>
      <w:r w:rsidRPr="00E76E89">
        <w:rPr>
          <w:szCs w:val="24"/>
        </w:rPr>
        <w:t>asmenų, padarė daugybę sunkių ir nesunkių sveikatos sutrikdymų žmonėms</w:t>
      </w:r>
      <w:r w:rsidR="00C40159" w:rsidRPr="00E76E89">
        <w:rPr>
          <w:szCs w:val="24"/>
        </w:rPr>
        <w:t xml:space="preserve"> &lt;</w:t>
      </w:r>
      <w:r w:rsidRPr="00E76E89">
        <w:rPr>
          <w:szCs w:val="24"/>
        </w:rPr>
        <w:t>...</w:t>
      </w:r>
      <w:r w:rsidR="00C40159" w:rsidRPr="00E76E89">
        <w:rPr>
          <w:szCs w:val="24"/>
        </w:rPr>
        <w:t>&gt;</w:t>
      </w:r>
      <w:r w:rsidRPr="00E76E89">
        <w:rPr>
          <w:szCs w:val="24"/>
        </w:rPr>
        <w:t>“.</w:t>
      </w:r>
    </w:p>
    <w:p w:rsidR="00941BCC" w:rsidRPr="00E76E89" w:rsidRDefault="007168F4" w:rsidP="00321748">
      <w:pPr>
        <w:pStyle w:val="ListParagraph"/>
        <w:numPr>
          <w:ilvl w:val="1"/>
          <w:numId w:val="6"/>
        </w:numPr>
        <w:spacing w:before="120" w:after="120"/>
        <w:ind w:left="992" w:hanging="992"/>
        <w:contextualSpacing w:val="0"/>
        <w:rPr>
          <w:szCs w:val="24"/>
        </w:rPr>
      </w:pPr>
      <w:r w:rsidRPr="00E76E89">
        <w:rPr>
          <w:szCs w:val="24"/>
        </w:rPr>
        <w:t xml:space="preserve">Gynėjo teigimu, konkrečiai </w:t>
      </w:r>
      <w:r w:rsidR="006036E7" w:rsidRPr="00E76E89">
        <w:rPr>
          <w:szCs w:val="24"/>
        </w:rPr>
        <w:t>S. M.</w:t>
      </w:r>
      <w:r w:rsidRPr="00E76E89">
        <w:rPr>
          <w:szCs w:val="24"/>
        </w:rPr>
        <w:t xml:space="preserve"> kaltinimas buvo pareikš</w:t>
      </w:r>
      <w:r w:rsidR="00660130" w:rsidRPr="00E76E89">
        <w:rPr>
          <w:szCs w:val="24"/>
        </w:rPr>
        <w:t>tas tik dėl buvimo prie Spaudos </w:t>
      </w:r>
      <w:r w:rsidRPr="00E76E89">
        <w:rPr>
          <w:szCs w:val="24"/>
        </w:rPr>
        <w:t xml:space="preserve">rūmų, tačiau niekur nebuvo paminėta, kad </w:t>
      </w:r>
      <w:r w:rsidR="006036E7" w:rsidRPr="00E76E89">
        <w:rPr>
          <w:szCs w:val="24"/>
        </w:rPr>
        <w:t>S. M.</w:t>
      </w:r>
      <w:r w:rsidRPr="00E76E89">
        <w:rPr>
          <w:szCs w:val="24"/>
        </w:rPr>
        <w:t xml:space="preserve"> prie Spaudos rūmų dalyvavo, savo kuopos kariams duodamas įsakymą šaudyti koviniais šoviniais į žmones, mušti juos ar panašiai, ar kad pats asmeniškai būtų šaudęs ar mušęs žmones. </w:t>
      </w:r>
      <w:r w:rsidR="00941BCC" w:rsidRPr="00E76E89">
        <w:rPr>
          <w:szCs w:val="24"/>
        </w:rPr>
        <w:t>Teismas, pažeisdamas BPK 255 </w:t>
      </w:r>
      <w:r w:rsidRPr="00E76E89">
        <w:rPr>
          <w:szCs w:val="24"/>
        </w:rPr>
        <w:t xml:space="preserve">straipsnio nuostatas, išeidamas iš kaltinimo ribų, savavališkai kaltinamajame akte vartotą žodį „buvo“ pakeitė į žodį „dalyvavo“, nors </w:t>
      </w:r>
      <w:r w:rsidR="002A2E2B" w:rsidRPr="00E76E89">
        <w:rPr>
          <w:szCs w:val="24"/>
        </w:rPr>
        <w:t>žodis „</w:t>
      </w:r>
      <w:r w:rsidRPr="00E76E89">
        <w:rPr>
          <w:szCs w:val="24"/>
        </w:rPr>
        <w:t>būti</w:t>
      </w:r>
      <w:r w:rsidR="002A2E2B" w:rsidRPr="00E76E89">
        <w:rPr>
          <w:szCs w:val="24"/>
        </w:rPr>
        <w:t>“</w:t>
      </w:r>
      <w:r w:rsidRPr="00E76E89">
        <w:rPr>
          <w:szCs w:val="24"/>
        </w:rPr>
        <w:t xml:space="preserve"> nereiškia </w:t>
      </w:r>
      <w:r w:rsidR="00AA44C7" w:rsidRPr="00E76E89">
        <w:rPr>
          <w:szCs w:val="24"/>
        </w:rPr>
        <w:t>„</w:t>
      </w:r>
      <w:r w:rsidRPr="00E76E89">
        <w:rPr>
          <w:szCs w:val="24"/>
        </w:rPr>
        <w:t>dalyvauti</w:t>
      </w:r>
      <w:r w:rsidR="00AA44C7" w:rsidRPr="00E76E89">
        <w:rPr>
          <w:szCs w:val="24"/>
        </w:rPr>
        <w:t>“</w:t>
      </w:r>
      <w:r w:rsidRPr="00E76E89">
        <w:rPr>
          <w:szCs w:val="24"/>
        </w:rPr>
        <w:t xml:space="preserve">. </w:t>
      </w:r>
    </w:p>
    <w:p w:rsidR="007168F4" w:rsidRPr="00E76E89" w:rsidRDefault="007168F4" w:rsidP="00321748">
      <w:pPr>
        <w:pStyle w:val="ListParagraph"/>
        <w:numPr>
          <w:ilvl w:val="1"/>
          <w:numId w:val="6"/>
        </w:numPr>
        <w:spacing w:before="120" w:after="120"/>
        <w:ind w:left="992" w:hanging="992"/>
        <w:contextualSpacing w:val="0"/>
        <w:rPr>
          <w:szCs w:val="24"/>
        </w:rPr>
      </w:pPr>
      <w:r w:rsidRPr="00E76E89">
        <w:rPr>
          <w:szCs w:val="24"/>
        </w:rPr>
        <w:t>Apeliaciniame skunde taip pat akcentuojama tai, kad byloje nustatyta, kas konkrečiai vadovavo Spaudos rūmų šturmui ir kas sužalojo nukentėjusįjį V</w:t>
      </w:r>
      <w:r w:rsidR="00C507EF" w:rsidRPr="00E76E89">
        <w:rPr>
          <w:szCs w:val="24"/>
        </w:rPr>
        <w:t>. </w:t>
      </w:r>
      <w:r w:rsidRPr="00E76E89">
        <w:rPr>
          <w:szCs w:val="24"/>
        </w:rPr>
        <w:t>L</w:t>
      </w:r>
      <w:r w:rsidR="00C507EF" w:rsidRPr="00E76E89">
        <w:rPr>
          <w:szCs w:val="24"/>
        </w:rPr>
        <w:t>.</w:t>
      </w:r>
      <w:r w:rsidRPr="00E76E89">
        <w:rPr>
          <w:szCs w:val="24"/>
        </w:rPr>
        <w:t>. T</w:t>
      </w:r>
      <w:r w:rsidR="00941BCC" w:rsidRPr="00E76E89">
        <w:rPr>
          <w:szCs w:val="24"/>
        </w:rPr>
        <w:t xml:space="preserve">ai padarė ne </w:t>
      </w:r>
      <w:r w:rsidR="006036E7" w:rsidRPr="00E76E89">
        <w:rPr>
          <w:szCs w:val="24"/>
        </w:rPr>
        <w:t>S. M.</w:t>
      </w:r>
      <w:r w:rsidRPr="00E76E89">
        <w:rPr>
          <w:szCs w:val="24"/>
        </w:rPr>
        <w:t xml:space="preserve">, todėl </w:t>
      </w:r>
      <w:r w:rsidR="00631E2C" w:rsidRPr="00E76E89">
        <w:rPr>
          <w:szCs w:val="24"/>
        </w:rPr>
        <w:t xml:space="preserve">dėl jo priimtas </w:t>
      </w:r>
      <w:r w:rsidRPr="00E76E89">
        <w:rPr>
          <w:szCs w:val="24"/>
        </w:rPr>
        <w:t xml:space="preserve">nuosprendis </w:t>
      </w:r>
      <w:r w:rsidR="00631E2C" w:rsidRPr="00E76E89">
        <w:rPr>
          <w:szCs w:val="24"/>
        </w:rPr>
        <w:t xml:space="preserve">yra </w:t>
      </w:r>
      <w:r w:rsidRPr="00E76E89">
        <w:rPr>
          <w:szCs w:val="24"/>
        </w:rPr>
        <w:t>nepagrįstas.</w:t>
      </w:r>
    </w:p>
    <w:p w:rsidR="00941BCC" w:rsidRPr="00C00255" w:rsidRDefault="00941BCC" w:rsidP="00321748">
      <w:pPr>
        <w:pStyle w:val="ListParagraph"/>
        <w:numPr>
          <w:ilvl w:val="0"/>
          <w:numId w:val="6"/>
        </w:numPr>
        <w:spacing w:before="120" w:after="120"/>
        <w:ind w:left="992" w:hanging="992"/>
        <w:contextualSpacing w:val="0"/>
        <w:rPr>
          <w:szCs w:val="24"/>
        </w:rPr>
      </w:pPr>
      <w:bookmarkStart w:id="78" w:name="_Toc37947852"/>
      <w:bookmarkStart w:id="79" w:name="_Toc67677331"/>
      <w:bookmarkStart w:id="80" w:name="_Toc67985458"/>
      <w:r w:rsidRPr="00D43DF2">
        <w:rPr>
          <w:b/>
        </w:rPr>
        <w:t xml:space="preserve">Nuteistojo </w:t>
      </w:r>
      <w:r w:rsidR="006036E7" w:rsidRPr="00D43DF2">
        <w:rPr>
          <w:b/>
        </w:rPr>
        <w:t>K. U.</w:t>
      </w:r>
      <w:r w:rsidRPr="00D43DF2">
        <w:rPr>
          <w:b/>
        </w:rPr>
        <w:t xml:space="preserve"> gynėjas</w:t>
      </w:r>
      <w:bookmarkEnd w:id="78"/>
      <w:bookmarkEnd w:id="79"/>
      <w:bookmarkEnd w:id="80"/>
      <w:r w:rsidRPr="00C00255">
        <w:rPr>
          <w:b/>
          <w:sz w:val="22"/>
        </w:rPr>
        <w:t xml:space="preserve"> </w:t>
      </w:r>
      <w:r w:rsidRPr="00C00255">
        <w:rPr>
          <w:b/>
        </w:rPr>
        <w:t>advokatas G. Česnulevičius</w:t>
      </w:r>
      <w:r w:rsidRPr="00C00255">
        <w:t xml:space="preserve"> apeliaciniu skundu prašo panaikinti pirmosios instancijos teismo nuosprendį ir jo ginamąjį išteisinti.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Gynėjo įsitikinimu, nustatytos aplinkybės, jog </w:t>
      </w:r>
      <w:r w:rsidR="006036E7" w:rsidRPr="00E76E89">
        <w:t>K. U.</w:t>
      </w:r>
      <w:r w:rsidRPr="00E76E89">
        <w:t xml:space="preserve"> vadovavo LRT šturmui, padėjo desantui užimti šį pastatą, vadovavo pastatą gynusių civilių puolimui, jėga vedė žmones ir apsaugos darbuotojus iš patalpų, neatitinka šiam asmeniui inkriminuotų nusikaltimų sudėčių požymių. Inkriminuotų aplinkybių nepatvirtina ir </w:t>
      </w:r>
      <w:r w:rsidR="006036E7" w:rsidRPr="00E76E89">
        <w:t>K. U.</w:t>
      </w:r>
      <w:r w:rsidRPr="00E76E89">
        <w:t xml:space="preserve"> parodymai, kuriuos, gynėjo teigimu, patvirtina kiti byloje surinkti įrodymai. Apeliaciniame skunde gynėjas detalizuoja ginamojo parodymus</w:t>
      </w:r>
      <w:r w:rsidR="009800C8" w:rsidRPr="00E76E89">
        <w:t>,</w:t>
      </w:r>
      <w:r w:rsidRPr="00E76E89">
        <w:t xml:space="preserve"> iš kurių matyti, kad </w:t>
      </w:r>
      <w:r w:rsidR="006036E7" w:rsidRPr="00E76E89">
        <w:t>K. U.</w:t>
      </w:r>
      <w:r w:rsidRPr="00E76E89">
        <w:t xml:space="preserve"> buvo karinio dalinio Nr. 57264 2-</w:t>
      </w:r>
      <w:r w:rsidR="00A34D0A" w:rsidRPr="00E76E89">
        <w:t>os</w:t>
      </w:r>
      <w:r w:rsidRPr="00E76E89">
        <w:t>ios kuopos vadas. Minėto dalinio, susidedančio iš dviejų kuopų</w:t>
      </w:r>
      <w:r w:rsidR="009800C8" w:rsidRPr="00E76E89">
        <w:t>,</w:t>
      </w:r>
      <w:r w:rsidRPr="00E76E89">
        <w:t xml:space="preserve"> vyresniuoju buvo </w:t>
      </w:r>
      <w:r w:rsidR="006036E7" w:rsidRPr="00E76E89">
        <w:t>J. G.</w:t>
      </w:r>
      <w:r w:rsidRPr="00E76E89">
        <w:t>, kuris pranešė apie užduotį „paimti apsaugon“ LRT pastatą, atjungti aparatūrą, esančią patalpoje Nr. 313</w:t>
      </w:r>
      <w:r w:rsidR="009800C8" w:rsidRPr="00E76E89">
        <w:t>,</w:t>
      </w:r>
      <w:r w:rsidRPr="00E76E89">
        <w:t xml:space="preserve"> ir pašalinti iš pastato ten dirbusį personalą. </w:t>
      </w:r>
      <w:r w:rsidR="006036E7" w:rsidRPr="00E76E89">
        <w:t>J. G.</w:t>
      </w:r>
      <w:r w:rsidRPr="00E76E89">
        <w:t xml:space="preserve"> nurodymu, buvo išduoti koviniai ir tušti šoviniai. Į pastatą kartu vyko net tik jų dalinio, bet ir kiti nežinomi asmenys su karine amunicija bei OMON kuopa. Jų grupė pro minią prasibrovė į pastatą ir iš jo išvedė </w:t>
      </w:r>
      <w:r w:rsidRPr="00E76E89">
        <w:lastRenderedPageBreak/>
        <w:t xml:space="preserve">darbuotojus bei pastate atjungė aparatūrą. </w:t>
      </w:r>
      <w:r w:rsidR="006036E7" w:rsidRPr="00E76E89">
        <w:t>K. U.</w:t>
      </w:r>
      <w:r w:rsidRPr="00E76E89">
        <w:t xml:space="preserve"> teigė, kad pastate į lubas šaudė tik OMON kariai, o jų kuopa panaudojo tik tuščius šovinius.</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Pasak apelianto, iš bylos medžiagos matyti, kad nuteistasis vykdė konkrečius įsakymus, laikydamasis tarnybos statuto ir, manytina, būdamas įsitikinęs, kad veikia teisėtai – jis įsakymų nevertino kaip akivaizdžiai neteisėtų. Duotų įsakymų nekvestionavo, nes už jų nevykdymą buvo numatytos griežtos sankcijos. Esant tokioms aplinkybėms, apelianto įsitikinimu, atsakomybė už </w:t>
      </w:r>
      <w:r w:rsidR="006036E7" w:rsidRPr="00E76E89">
        <w:t>K. U.</w:t>
      </w:r>
      <w:r w:rsidRPr="00E76E89">
        <w:t xml:space="preserve"> atliktų veiksmų pa</w:t>
      </w:r>
      <w:r w:rsidR="00C40159" w:rsidRPr="00E76E89">
        <w:t>darinius</w:t>
      </w:r>
      <w:r w:rsidRPr="00E76E89">
        <w:t xml:space="preserve"> turėjo tekti įsakymus davusiems asmenims. </w:t>
      </w:r>
      <w:r w:rsidR="006036E7" w:rsidRPr="00E76E89">
        <w:t>K. U.</w:t>
      </w:r>
      <w:r w:rsidRPr="00E76E89">
        <w:t xml:space="preserve"> negavo įsakymų daryti karo nusikaltimus ir nusikaltimus žmoniškumui bei tokių įsakymų nedavė pavaldiniams. Dėl to, kad veikė įsakymo pagrindu, jis negalėjo būti bendrininkas BK 24 straipsnio prasme. </w:t>
      </w:r>
      <w:r w:rsidR="006036E7" w:rsidRPr="00E76E89">
        <w:t>K. U.</w:t>
      </w:r>
      <w:r w:rsidRPr="00E76E89">
        <w:t xml:space="preserve"> yra atsakingas tik už savo veiksmų pa</w:t>
      </w:r>
      <w:r w:rsidR="00C40159" w:rsidRPr="00E76E89">
        <w:t>darinius</w:t>
      </w:r>
      <w:r w:rsidRPr="00E76E89">
        <w:t xml:space="preserve">.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Apeliaciniame skunde nurodoma, kad </w:t>
      </w:r>
      <w:r w:rsidR="006036E7" w:rsidRPr="00E76E89">
        <w:t>K. U.</w:t>
      </w:r>
      <w:r w:rsidRPr="00E76E89">
        <w:t xml:space="preserve"> įtarimas nebuvo pareikštas, o kaltinimas suformuotas pagal jo parodymus</w:t>
      </w:r>
      <w:r w:rsidR="00C40159" w:rsidRPr="00E76E89">
        <w:t>,</w:t>
      </w:r>
      <w:r w:rsidRPr="00E76E89">
        <w:t xml:space="preserve"> duotus ikiteisminio tyrimo metu jį apklausus </w:t>
      </w:r>
      <w:r w:rsidR="00C40159" w:rsidRPr="00E76E89">
        <w:t xml:space="preserve">kaip </w:t>
      </w:r>
      <w:r w:rsidRPr="00E76E89">
        <w:t>liudytoj</w:t>
      </w:r>
      <w:r w:rsidR="00C40159" w:rsidRPr="00E76E89">
        <w:t>ą</w:t>
      </w:r>
      <w:r w:rsidRPr="00E76E89">
        <w:t>. Gynybos manymu, t</w:t>
      </w:r>
      <w:r w:rsidR="00C40159" w:rsidRPr="00E76E89">
        <w:t>aip</w:t>
      </w:r>
      <w:r w:rsidRPr="00E76E89">
        <w:t xml:space="preserve"> buvo pažeistas nekaltumo prezumpcijos principas. </w:t>
      </w:r>
      <w:r w:rsidR="006036E7" w:rsidRPr="00E76E89">
        <w:t>K. U.</w:t>
      </w:r>
      <w:r w:rsidRPr="00E76E89">
        <w:t xml:space="preserve"> teismui pripažinus kaltu, nesant pakankamai jo kaltės įrodymų, minėtas principas taip</w:t>
      </w:r>
      <w:r w:rsidR="00C40159" w:rsidRPr="00E76E89">
        <w:t xml:space="preserve"> pat</w:t>
      </w:r>
      <w:r w:rsidRPr="00E76E89">
        <w:t xml:space="preserve"> buvo pažeistas. Apelianto įsitikinimu, nuosprendžiu pažeistas ir asmenų lygybės prieš įstatymą principas, nes kitoje baudžiamojoje byloje už tuos pačius veiksmus asmenys nuteisti pagal </w:t>
      </w:r>
      <w:r w:rsidR="00C96771" w:rsidRPr="00E76E89">
        <w:t xml:space="preserve">1961 m. </w:t>
      </w:r>
      <w:r w:rsidRPr="00E76E89">
        <w:t>BK straipsnius</w:t>
      </w:r>
      <w:r w:rsidR="002A2E2B" w:rsidRPr="00E76E89">
        <w:t>, kuriuose numatyta švelnesnė atsakomybė</w:t>
      </w:r>
      <w:r w:rsidRPr="00E76E89">
        <w:t xml:space="preserve">. </w:t>
      </w:r>
    </w:p>
    <w:p w:rsidR="00941BCC" w:rsidRPr="00D43DF2" w:rsidRDefault="00E76E89" w:rsidP="00D43DF2">
      <w:pPr>
        <w:pStyle w:val="ListParagraph"/>
        <w:numPr>
          <w:ilvl w:val="0"/>
          <w:numId w:val="6"/>
        </w:numPr>
        <w:spacing w:after="120"/>
        <w:ind w:left="992" w:hanging="992"/>
        <w:contextualSpacing w:val="0"/>
        <w:rPr>
          <w:b/>
        </w:rPr>
      </w:pPr>
      <w:r>
        <w:rPr>
          <w:b/>
          <w:szCs w:val="24"/>
        </w:rPr>
        <w:t>Nuteistojo A. F. </w:t>
      </w:r>
      <w:r w:rsidR="00D43DF2" w:rsidRPr="00D43DF2">
        <w:rPr>
          <w:b/>
          <w:szCs w:val="24"/>
        </w:rPr>
        <w:t>1 gynėjas advokatas A. Sokolovskis</w:t>
      </w:r>
      <w:r w:rsidR="00D43DF2" w:rsidRPr="00D43DF2">
        <w:rPr>
          <w:szCs w:val="24"/>
        </w:rPr>
        <w:t xml:space="preserve"> apeliaciniu skundu prašo panaikinti pirmosios instancijos teismo nuosprendį ir jo ginamąjį išteisinti. </w:t>
      </w:r>
      <w:r w:rsidR="00941BCC" w:rsidRPr="00D43DF2">
        <w:rPr>
          <w:szCs w:val="24"/>
        </w:rPr>
        <w:t xml:space="preserve"> </w:t>
      </w:r>
    </w:p>
    <w:p w:rsidR="00941BCC" w:rsidRPr="00E76E89" w:rsidRDefault="006036E7" w:rsidP="00321748">
      <w:pPr>
        <w:pStyle w:val="ListParagraph"/>
        <w:numPr>
          <w:ilvl w:val="1"/>
          <w:numId w:val="6"/>
        </w:numPr>
        <w:spacing w:before="120" w:after="120"/>
        <w:ind w:left="992" w:hanging="992"/>
        <w:contextualSpacing w:val="0"/>
        <w:rPr>
          <w:szCs w:val="24"/>
        </w:rPr>
      </w:pPr>
      <w:r w:rsidRPr="00E76E89">
        <w:rPr>
          <w:szCs w:val="24"/>
        </w:rPr>
        <w:t>A. F. 1</w:t>
      </w:r>
      <w:r w:rsidR="00941BCC" w:rsidRPr="00E76E89">
        <w:rPr>
          <w:szCs w:val="24"/>
        </w:rPr>
        <w:t xml:space="preserve"> nepagrįstai nuteistas pagal jam inkriminuotus BK straipsnius, nes juose numatytos veikos gali būti padaromos tik tiesiogine tyčia. Teismas turėjo nustatyti, kad </w:t>
      </w:r>
      <w:r w:rsidRPr="00E76E89">
        <w:rPr>
          <w:szCs w:val="24"/>
        </w:rPr>
        <w:t>A. F. 1</w:t>
      </w:r>
      <w:r w:rsidR="00941BCC" w:rsidRPr="00E76E89">
        <w:rPr>
          <w:szCs w:val="24"/>
        </w:rPr>
        <w:t xml:space="preserve"> žinojo, jog nusikalstamos veikos bus daromos bendrininkų grupe, tai suprato ir norėjo būtent taip veikti. Bendro pobūdžio supratimo apie daromą nusikalstamą veiką ne visada užtenka. Tokios nuomonės laikosi ir </w:t>
      </w:r>
      <w:r w:rsidR="00970DB0" w:rsidRPr="00E76E89">
        <w:rPr>
          <w:szCs w:val="24"/>
        </w:rPr>
        <w:t>LAT</w:t>
      </w:r>
      <w:r w:rsidR="00941BCC" w:rsidRPr="00E76E89">
        <w:rPr>
          <w:szCs w:val="24"/>
        </w:rPr>
        <w:t xml:space="preserve"> (</w:t>
      </w:r>
      <w:r w:rsidR="00056CFA" w:rsidRPr="00E76E89">
        <w:rPr>
          <w:szCs w:val="24"/>
        </w:rPr>
        <w:t>LAT</w:t>
      </w:r>
      <w:r w:rsidR="00941BCC" w:rsidRPr="00E76E89">
        <w:rPr>
          <w:szCs w:val="24"/>
        </w:rPr>
        <w:t xml:space="preserve"> nutartis </w:t>
      </w:r>
      <w:r w:rsidR="00056CFA" w:rsidRPr="00E76E89">
        <w:rPr>
          <w:szCs w:val="24"/>
        </w:rPr>
        <w:t xml:space="preserve">baudžiamojoje </w:t>
      </w:r>
      <w:r w:rsidR="00941BCC" w:rsidRPr="00E76E89">
        <w:rPr>
          <w:szCs w:val="24"/>
        </w:rPr>
        <w:t>byloje Nr.</w:t>
      </w:r>
      <w:r w:rsidR="00C40159" w:rsidRPr="00E76E89">
        <w:rPr>
          <w:szCs w:val="24"/>
        </w:rPr>
        <w:t> </w:t>
      </w:r>
      <w:r w:rsidR="00941BCC" w:rsidRPr="00E76E89">
        <w:rPr>
          <w:szCs w:val="24"/>
        </w:rPr>
        <w:t>2K-24/2014). Taigi</w:t>
      </w:r>
      <w:r w:rsidR="002A2E2B" w:rsidRPr="00E76E89">
        <w:rPr>
          <w:szCs w:val="24"/>
        </w:rPr>
        <w:t>,</w:t>
      </w:r>
      <w:r w:rsidR="00941BCC" w:rsidRPr="00E76E89">
        <w:rPr>
          <w:szCs w:val="24"/>
        </w:rPr>
        <w:t xml:space="preserve"> nesant neginčytinų kaltinamojo kaltės įrodymų, visos abejonės turėjo būti aiškinamos </w:t>
      </w:r>
      <w:r w:rsidRPr="00E76E89">
        <w:rPr>
          <w:szCs w:val="24"/>
        </w:rPr>
        <w:t>A. F. 1</w:t>
      </w:r>
      <w:r w:rsidR="00941BCC" w:rsidRPr="00E76E89">
        <w:rPr>
          <w:szCs w:val="24"/>
        </w:rPr>
        <w:t xml:space="preserve"> naudai.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szCs w:val="24"/>
        </w:rPr>
        <w:t xml:space="preserve">Gynėjas cituoja </w:t>
      </w:r>
      <w:r w:rsidR="006036E7" w:rsidRPr="00E76E89">
        <w:rPr>
          <w:szCs w:val="24"/>
        </w:rPr>
        <w:t>A. F. 1</w:t>
      </w:r>
      <w:r w:rsidRPr="00E76E89">
        <w:rPr>
          <w:szCs w:val="24"/>
        </w:rPr>
        <w:t xml:space="preserve"> parodymus apie jo atvykimą į Lietuvą ir nurodo, kad pastarasis, kaip kariškis, vykdė vadovybės duotą įsakymą perimti </w:t>
      </w:r>
      <w:r w:rsidR="00DE3B19" w:rsidRPr="00E76E89">
        <w:rPr>
          <w:szCs w:val="24"/>
        </w:rPr>
        <w:t>LRT</w:t>
      </w:r>
      <w:r w:rsidRPr="00E76E89">
        <w:rPr>
          <w:szCs w:val="24"/>
        </w:rPr>
        <w:t xml:space="preserve"> </w:t>
      </w:r>
      <w:r w:rsidR="00DE3B19" w:rsidRPr="00E76E89">
        <w:rPr>
          <w:szCs w:val="24"/>
        </w:rPr>
        <w:t>pastato apsaugą ir atjungti 311 </w:t>
      </w:r>
      <w:r w:rsidRPr="00E76E89">
        <w:rPr>
          <w:szCs w:val="24"/>
        </w:rPr>
        <w:t xml:space="preserve">kambaryje esančią aparatūrą. </w:t>
      </w:r>
      <w:r w:rsidR="006036E7" w:rsidRPr="00E76E89">
        <w:rPr>
          <w:bCs/>
          <w:szCs w:val="24"/>
        </w:rPr>
        <w:t>A. F. 1</w:t>
      </w:r>
      <w:r w:rsidRPr="00E76E89">
        <w:rPr>
          <w:bCs/>
          <w:szCs w:val="24"/>
        </w:rPr>
        <w:t xml:space="preserve"> parodė, kad buvo draudžiama naudoti ginklus, išskyrus</w:t>
      </w:r>
      <w:r w:rsidR="00C40159" w:rsidRPr="00E76E89">
        <w:rPr>
          <w:bCs/>
          <w:szCs w:val="24"/>
        </w:rPr>
        <w:t xml:space="preserve"> atvejus</w:t>
      </w:r>
      <w:r w:rsidRPr="00E76E89">
        <w:rPr>
          <w:bCs/>
          <w:szCs w:val="24"/>
        </w:rPr>
        <w:t xml:space="preserve">, kai grėsė pavojus kareivių gyvybei. </w:t>
      </w:r>
      <w:r w:rsidR="006036E7" w:rsidRPr="00E76E89">
        <w:rPr>
          <w:bCs/>
          <w:szCs w:val="24"/>
        </w:rPr>
        <w:t>A. F. 1</w:t>
      </w:r>
      <w:r w:rsidRPr="00E76E89">
        <w:rPr>
          <w:bCs/>
          <w:szCs w:val="24"/>
        </w:rPr>
        <w:t xml:space="preserve"> asmeniškai instruktavo apie tai pirmosios tarnybos kareivius. Byloje nėra duomenų, kad </w:t>
      </w:r>
      <w:r w:rsidR="006036E7" w:rsidRPr="00E76E89">
        <w:rPr>
          <w:bCs/>
          <w:szCs w:val="24"/>
        </w:rPr>
        <w:t>A. F. 1</w:t>
      </w:r>
      <w:r w:rsidRPr="00E76E89">
        <w:rPr>
          <w:bCs/>
          <w:szCs w:val="24"/>
        </w:rPr>
        <w:t xml:space="preserve"> įsakė savo pavaldiniams pulti civilius, juos žudyti ar žaloti ir pats tai darė. Tokių parodymų nedavė ir </w:t>
      </w:r>
      <w:r w:rsidR="00C40159" w:rsidRPr="00E76E89">
        <w:rPr>
          <w:bCs/>
          <w:szCs w:val="24"/>
        </w:rPr>
        <w:t xml:space="preserve">kaip </w:t>
      </w:r>
      <w:r w:rsidRPr="00E76E89">
        <w:rPr>
          <w:bCs/>
          <w:szCs w:val="24"/>
        </w:rPr>
        <w:t xml:space="preserve">liudytojai apklausti privalomosios karinės tarnybos kariai </w:t>
      </w:r>
      <w:r w:rsidR="00DD1A27" w:rsidRPr="00E76E89">
        <w:rPr>
          <w:bCs/>
          <w:szCs w:val="24"/>
        </w:rPr>
        <w:t>V. T.</w:t>
      </w:r>
      <w:r w:rsidRPr="00E76E89">
        <w:rPr>
          <w:bCs/>
          <w:szCs w:val="24"/>
        </w:rPr>
        <w:t xml:space="preserve">, </w:t>
      </w:r>
      <w:r w:rsidR="00DD1A27" w:rsidRPr="00E76E89">
        <w:rPr>
          <w:bCs/>
          <w:szCs w:val="24"/>
        </w:rPr>
        <w:t>P. S.</w:t>
      </w:r>
      <w:r w:rsidR="00DE3B19" w:rsidRPr="00E76E89">
        <w:rPr>
          <w:bCs/>
          <w:szCs w:val="24"/>
        </w:rPr>
        <w:t xml:space="preserve">, </w:t>
      </w:r>
      <w:r w:rsidR="00DD1A27" w:rsidRPr="00E76E89">
        <w:rPr>
          <w:bCs/>
          <w:szCs w:val="24"/>
        </w:rPr>
        <w:t>V. C.</w:t>
      </w:r>
      <w:r w:rsidR="00DE3B19" w:rsidRPr="00E76E89">
        <w:rPr>
          <w:bCs/>
          <w:szCs w:val="24"/>
        </w:rPr>
        <w:t xml:space="preserve">, </w:t>
      </w:r>
      <w:r w:rsidR="00DD1A27" w:rsidRPr="00E76E89">
        <w:rPr>
          <w:bCs/>
          <w:szCs w:val="24"/>
        </w:rPr>
        <w:t>A. Š.</w:t>
      </w:r>
      <w:r w:rsidR="00DE3B19" w:rsidRPr="00E76E89">
        <w:rPr>
          <w:bCs/>
          <w:szCs w:val="24"/>
        </w:rPr>
        <w:t>, A. </w:t>
      </w:r>
      <w:r w:rsidRPr="00E76E89">
        <w:rPr>
          <w:bCs/>
          <w:szCs w:val="24"/>
        </w:rPr>
        <w:t>F</w:t>
      </w:r>
      <w:r w:rsidR="00660130" w:rsidRPr="00E76E89">
        <w:rPr>
          <w:bCs/>
          <w:szCs w:val="24"/>
        </w:rPr>
        <w:t>.</w:t>
      </w:r>
      <w:r w:rsidRPr="00E76E89">
        <w:rPr>
          <w:bCs/>
          <w:szCs w:val="24"/>
        </w:rPr>
        <w:t>, O. T</w:t>
      </w:r>
      <w:r w:rsidR="00660130" w:rsidRPr="00E76E89">
        <w:rPr>
          <w:bCs/>
          <w:szCs w:val="24"/>
        </w:rPr>
        <w:t>., A. </w:t>
      </w:r>
      <w:r w:rsidR="009800C8" w:rsidRPr="00E76E89">
        <w:rPr>
          <w:bCs/>
          <w:szCs w:val="24"/>
        </w:rPr>
        <w:t>A</w:t>
      </w:r>
      <w:r w:rsidR="00660130" w:rsidRPr="00E76E89">
        <w:rPr>
          <w:bCs/>
          <w:szCs w:val="24"/>
        </w:rPr>
        <w:t>.</w:t>
      </w:r>
      <w:r w:rsidR="009800C8" w:rsidRPr="00E76E89">
        <w:rPr>
          <w:bCs/>
          <w:szCs w:val="24"/>
        </w:rPr>
        <w:t xml:space="preserve"> ir kit</w:t>
      </w:r>
      <w:r w:rsidR="00511D5A" w:rsidRPr="00E76E89">
        <w:rPr>
          <w:bCs/>
          <w:szCs w:val="24"/>
        </w:rPr>
        <w:t>i</w:t>
      </w:r>
      <w:r w:rsidR="009800C8" w:rsidRPr="00E76E89">
        <w:rPr>
          <w:bCs/>
          <w:szCs w:val="24"/>
        </w:rPr>
        <w:t xml:space="preserve"> 1-osios bei </w:t>
      </w:r>
      <w:r w:rsidRPr="00E76E89">
        <w:rPr>
          <w:bCs/>
          <w:szCs w:val="24"/>
        </w:rPr>
        <w:t>2</w:t>
      </w:r>
      <w:r w:rsidR="009800C8" w:rsidRPr="00E76E89">
        <w:rPr>
          <w:bCs/>
          <w:szCs w:val="24"/>
        </w:rPr>
        <w:t>-osios</w:t>
      </w:r>
      <w:r w:rsidRPr="00E76E89">
        <w:rPr>
          <w:bCs/>
          <w:szCs w:val="24"/>
        </w:rPr>
        <w:t xml:space="preserve"> kuopų kariai, kurių parodymus teismas </w:t>
      </w:r>
      <w:r w:rsidR="00962260" w:rsidRPr="00E76E89">
        <w:rPr>
          <w:bCs/>
          <w:szCs w:val="24"/>
        </w:rPr>
        <w:t xml:space="preserve">perskaitė </w:t>
      </w:r>
      <w:r w:rsidRPr="00E76E89">
        <w:rPr>
          <w:bCs/>
          <w:szCs w:val="24"/>
        </w:rPr>
        <w:t>teisiamajame posėdyje. Dėl to teismas p</w:t>
      </w:r>
      <w:r w:rsidR="00DE3B19" w:rsidRPr="00E76E89">
        <w:rPr>
          <w:bCs/>
          <w:szCs w:val="24"/>
        </w:rPr>
        <w:t xml:space="preserve">adarė nepagrįstą išvadą, kad </w:t>
      </w:r>
      <w:r w:rsidR="006036E7" w:rsidRPr="00E76E89">
        <w:rPr>
          <w:bCs/>
          <w:szCs w:val="24"/>
        </w:rPr>
        <w:t>A. F. 1</w:t>
      </w:r>
      <w:r w:rsidRPr="00E76E89">
        <w:rPr>
          <w:bCs/>
          <w:szCs w:val="24"/>
        </w:rPr>
        <w:t xml:space="preserve"> vadovavo LRT pastate dirbusių ir pastatą gynusių civilių puolimui ir atakos metu mušė žmones.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bCs/>
          <w:szCs w:val="24"/>
        </w:rPr>
        <w:t xml:space="preserve">Byloje nustatyta, kad, panaudojus šviesos ir garso sprogstamąjį užtaisą „Zaria-2“, prie jau minėto pastato žuvo </w:t>
      </w:r>
      <w:r w:rsidR="004E4879" w:rsidRPr="00E76E89">
        <w:rPr>
          <w:bCs/>
          <w:szCs w:val="24"/>
        </w:rPr>
        <w:t>A. K.</w:t>
      </w:r>
      <w:r w:rsidRPr="00E76E89">
        <w:rPr>
          <w:bCs/>
          <w:szCs w:val="24"/>
        </w:rPr>
        <w:t xml:space="preserve">. Iš bylos medžiagos matyti, kad šios sprogstamosios medžiagos jo dalinio kariškiai neturėjo. </w:t>
      </w:r>
    </w:p>
    <w:p w:rsidR="00941BCC" w:rsidRPr="00E76E89" w:rsidRDefault="006036E7" w:rsidP="00321748">
      <w:pPr>
        <w:pStyle w:val="ListParagraph"/>
        <w:numPr>
          <w:ilvl w:val="1"/>
          <w:numId w:val="6"/>
        </w:numPr>
        <w:spacing w:before="120" w:after="120"/>
        <w:ind w:left="992" w:hanging="992"/>
        <w:contextualSpacing w:val="0"/>
        <w:rPr>
          <w:szCs w:val="24"/>
        </w:rPr>
      </w:pPr>
      <w:r w:rsidRPr="00E76E89">
        <w:rPr>
          <w:bCs/>
          <w:szCs w:val="24"/>
        </w:rPr>
        <w:t>A. F. 1</w:t>
      </w:r>
      <w:r w:rsidR="00941BCC" w:rsidRPr="00E76E89">
        <w:rPr>
          <w:bCs/>
          <w:szCs w:val="24"/>
        </w:rPr>
        <w:t xml:space="preserve"> privalėjo besąlygiškai vykdyti visus karinius statutus, vadų ir viršininkų įsakymus. Įvykio metu jis vykdė </w:t>
      </w:r>
      <w:r w:rsidR="00385BC9" w:rsidRPr="00E76E89">
        <w:rPr>
          <w:bCs/>
          <w:szCs w:val="24"/>
        </w:rPr>
        <w:t>D. J.</w:t>
      </w:r>
      <w:r w:rsidR="00941BCC" w:rsidRPr="00E76E89">
        <w:rPr>
          <w:bCs/>
          <w:szCs w:val="24"/>
        </w:rPr>
        <w:t xml:space="preserve">, </w:t>
      </w:r>
      <w:r w:rsidR="00C507EF" w:rsidRPr="00E76E89">
        <w:rPr>
          <w:bCs/>
          <w:szCs w:val="24"/>
        </w:rPr>
        <w:t>V. A.</w:t>
      </w:r>
      <w:r w:rsidR="00941BCC" w:rsidRPr="00E76E89">
        <w:rPr>
          <w:bCs/>
          <w:szCs w:val="24"/>
        </w:rPr>
        <w:t xml:space="preserve">, </w:t>
      </w:r>
      <w:r w:rsidR="00385BC9" w:rsidRPr="00E76E89">
        <w:rPr>
          <w:bCs/>
          <w:szCs w:val="24"/>
        </w:rPr>
        <w:t>V. K. 1</w:t>
      </w:r>
      <w:r w:rsidR="00941BCC" w:rsidRPr="00E76E89">
        <w:rPr>
          <w:bCs/>
          <w:szCs w:val="24"/>
        </w:rPr>
        <w:t xml:space="preserve"> ir </w:t>
      </w:r>
      <w:r w:rsidR="00C507EF" w:rsidRPr="00E76E89">
        <w:rPr>
          <w:bCs/>
          <w:szCs w:val="24"/>
        </w:rPr>
        <w:t>I. K.</w:t>
      </w:r>
      <w:r w:rsidR="00941BCC" w:rsidRPr="00E76E89">
        <w:rPr>
          <w:bCs/>
          <w:szCs w:val="24"/>
        </w:rPr>
        <w:t xml:space="preserve"> nurodymus. Specialistas J. Andriškevičius teisme pažymėjo, kad operacijai Lietuvoje buvo suformuotas karinis junginys, jungiantis tam tikrus karinius dalinius, tačiau karinio junginio negalima laikyti banditų gauja. Dėl to teismas nepagrįstai pripažino, kad jis veikė bendrininkų grupe su kitais karininkais.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bCs/>
          <w:szCs w:val="24"/>
        </w:rPr>
        <w:lastRenderedPageBreak/>
        <w:t xml:space="preserve">Aptardamas nuosprendžio dalį dėl </w:t>
      </w:r>
      <w:r w:rsidR="006036E7" w:rsidRPr="00E76E89">
        <w:rPr>
          <w:bCs/>
          <w:szCs w:val="24"/>
        </w:rPr>
        <w:t>A. F. 1</w:t>
      </w:r>
      <w:r w:rsidRPr="00E76E89">
        <w:rPr>
          <w:bCs/>
          <w:szCs w:val="24"/>
        </w:rPr>
        <w:t xml:space="preserve"> nuteisimo pagal BK 112 straipsnį, gynėjas atkreipia dėmesį į tai, kad nenustatyta, jog </w:t>
      </w:r>
      <w:r w:rsidR="006036E7" w:rsidRPr="00E76E89">
        <w:rPr>
          <w:bCs/>
          <w:szCs w:val="24"/>
        </w:rPr>
        <w:t>A. F. 1</w:t>
      </w:r>
      <w:r w:rsidRPr="00E76E89">
        <w:rPr>
          <w:bCs/>
          <w:szCs w:val="24"/>
        </w:rPr>
        <w:t xml:space="preserve"> panaudojo 5,45 mm kalibro šovinius. Nepaneigti </w:t>
      </w:r>
      <w:r w:rsidR="006036E7" w:rsidRPr="00E76E89">
        <w:rPr>
          <w:bCs/>
          <w:szCs w:val="24"/>
        </w:rPr>
        <w:t>A. F. 1</w:t>
      </w:r>
      <w:r w:rsidRPr="00E76E89">
        <w:rPr>
          <w:bCs/>
          <w:szCs w:val="24"/>
        </w:rPr>
        <w:t xml:space="preserve"> parodymai, kad jis po užduoties įvykdymo patikrino šovinių </w:t>
      </w:r>
      <w:r w:rsidR="00C40159" w:rsidRPr="00E76E89">
        <w:rPr>
          <w:bCs/>
          <w:szCs w:val="24"/>
        </w:rPr>
        <w:t>skaičių</w:t>
      </w:r>
      <w:r w:rsidRPr="00E76E89">
        <w:rPr>
          <w:bCs/>
          <w:szCs w:val="24"/>
        </w:rPr>
        <w:t xml:space="preserve"> ir buvo visi šoviniai. Taigi nei jis, nei jo kuopos kareiviai nešaudė.</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bCs/>
          <w:szCs w:val="24"/>
        </w:rPr>
        <w:t>Teismas nepagrįstai nurodė, kad 5,45 mm kalibro šovinių naudojimas yra uždraustas tarptautinėmis sutartimis. Kokios tai sutartys</w:t>
      </w:r>
      <w:r w:rsidR="00C40159" w:rsidRPr="00E76E89">
        <w:rPr>
          <w:bCs/>
          <w:szCs w:val="24"/>
        </w:rPr>
        <w:t>,</w:t>
      </w:r>
      <w:r w:rsidRPr="00E76E89">
        <w:rPr>
          <w:bCs/>
          <w:szCs w:val="24"/>
        </w:rPr>
        <w:t xml:space="preserve"> teismas nuosprendyje nenurodė. 1899 m. Hagos konvencija dėl sausumos karo įstatymų ir papročių draudžia</w:t>
      </w:r>
      <w:r w:rsidR="00511D5A" w:rsidRPr="00E76E89">
        <w:rPr>
          <w:bCs/>
          <w:szCs w:val="24"/>
        </w:rPr>
        <w:t>ma</w:t>
      </w:r>
      <w:r w:rsidRPr="00E76E89">
        <w:rPr>
          <w:bCs/>
          <w:szCs w:val="24"/>
        </w:rPr>
        <w:t xml:space="preserve"> naudoti ekspansyvias kulkas. Byloje nėra duomenų, kad jau minėto kalibro šovinys priskiriamas ekspansyvių kulkų kategorijai, apie</w:t>
      </w:r>
      <w:r w:rsidR="002A2E2B" w:rsidRPr="00E76E89">
        <w:rPr>
          <w:bCs/>
          <w:szCs w:val="24"/>
        </w:rPr>
        <w:t xml:space="preserve"> jas</w:t>
      </w:r>
      <w:r w:rsidRPr="00E76E89">
        <w:rPr>
          <w:bCs/>
          <w:szCs w:val="24"/>
        </w:rPr>
        <w:t xml:space="preserve"> rašoma Lietuvos teismo ekspertizės centro interneto svetainės skiltyje „Balistinė ir šūvio pėdsakų ekspertizė“. </w:t>
      </w:r>
      <w:bookmarkStart w:id="81" w:name="_Hlk34551615"/>
      <w:r w:rsidRPr="00E76E89">
        <w:rPr>
          <w:bCs/>
          <w:szCs w:val="24"/>
        </w:rPr>
        <w:t>Šiai išvadai pagrįsti reik</w:t>
      </w:r>
      <w:r w:rsidR="002A2E2B" w:rsidRPr="00E76E89">
        <w:rPr>
          <w:bCs/>
          <w:szCs w:val="24"/>
        </w:rPr>
        <w:t>ia</w:t>
      </w:r>
      <w:r w:rsidRPr="00E76E89">
        <w:rPr>
          <w:bCs/>
          <w:szCs w:val="24"/>
        </w:rPr>
        <w:t xml:space="preserve"> gauti kompetentingų specialistų išvadą, o teismas padarė tik prielaidų pobūdžio išvadą dėl tokių šovinių priskyrimo </w:t>
      </w:r>
      <w:r w:rsidR="00511D5A" w:rsidRPr="00E76E89">
        <w:rPr>
          <w:bCs/>
          <w:szCs w:val="24"/>
        </w:rPr>
        <w:t xml:space="preserve">prie </w:t>
      </w:r>
      <w:r w:rsidRPr="00E76E89">
        <w:rPr>
          <w:bCs/>
          <w:szCs w:val="24"/>
        </w:rPr>
        <w:t>uždraust</w:t>
      </w:r>
      <w:r w:rsidR="00511D5A" w:rsidRPr="00E76E89">
        <w:rPr>
          <w:bCs/>
          <w:szCs w:val="24"/>
        </w:rPr>
        <w:t>ų</w:t>
      </w:r>
      <w:bookmarkEnd w:id="81"/>
      <w:r w:rsidRPr="00E76E89">
        <w:rPr>
          <w:bCs/>
          <w:szCs w:val="24"/>
        </w:rPr>
        <w:t xml:space="preserve">. Skunde nurodoma ir tai, kad </w:t>
      </w:r>
      <w:r w:rsidR="006036E7" w:rsidRPr="00E76E89">
        <w:rPr>
          <w:bCs/>
          <w:szCs w:val="24"/>
        </w:rPr>
        <w:t>A. F. 1</w:t>
      </w:r>
      <w:r w:rsidRPr="00E76E89">
        <w:rPr>
          <w:bCs/>
          <w:szCs w:val="24"/>
        </w:rPr>
        <w:t xml:space="preserve"> negalėjo pasirinkti jam išduodamų šovinių rūšies. </w:t>
      </w:r>
      <w:r w:rsidR="00001989" w:rsidRPr="00E76E89">
        <w:rPr>
          <w:bCs/>
          <w:szCs w:val="24"/>
        </w:rPr>
        <w:t xml:space="preserve">Automatas </w:t>
      </w:r>
      <w:r w:rsidR="00511D5A" w:rsidRPr="00E76E89">
        <w:rPr>
          <w:bCs/>
          <w:szCs w:val="24"/>
        </w:rPr>
        <w:t>„</w:t>
      </w:r>
      <w:r w:rsidR="00001989" w:rsidRPr="00E76E89">
        <w:rPr>
          <w:bCs/>
          <w:szCs w:val="24"/>
        </w:rPr>
        <w:t>AK-74</w:t>
      </w:r>
      <w:r w:rsidR="00511D5A" w:rsidRPr="00E76E89">
        <w:rPr>
          <w:bCs/>
          <w:szCs w:val="24"/>
        </w:rPr>
        <w:t>“</w:t>
      </w:r>
      <w:r w:rsidR="00001989" w:rsidRPr="00E76E89">
        <w:rPr>
          <w:bCs/>
          <w:szCs w:val="24"/>
        </w:rPr>
        <w:t xml:space="preserve"> buvo įprasta 76-</w:t>
      </w:r>
      <w:r w:rsidRPr="00E76E89">
        <w:rPr>
          <w:bCs/>
          <w:szCs w:val="24"/>
        </w:rPr>
        <w:t xml:space="preserve">osios Pskovo oro desanto divizijos ginkluotė, kurioje naudojama 5,45 mm kalibro kulka.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bCs/>
          <w:szCs w:val="24"/>
        </w:rPr>
        <w:t>Gynėjas skunde atkreipia dėmesį į Romos statuto 33 straipsnio 1 dalį, kurioje nurodyta, kad asmuo, vykdęs vyriausybės arba karinio ar civilio vadovo įsakymą ir padaręs nusikaltimą, gali būti atleidžiamas nuo baudžiamosios atsakomybės, jei vykdyti įsakymus buvo šio asmens pareiga pagal įstatymą, šis asmuo nežinojo, kad įsakymas yra neteisėtas</w:t>
      </w:r>
      <w:r w:rsidR="00511D5A" w:rsidRPr="00E76E89">
        <w:rPr>
          <w:bCs/>
          <w:szCs w:val="24"/>
        </w:rPr>
        <w:t>,</w:t>
      </w:r>
      <w:r w:rsidRPr="00E76E89">
        <w:rPr>
          <w:bCs/>
          <w:szCs w:val="24"/>
        </w:rPr>
        <w:t xml:space="preserve"> ir įsakymas nebuvo akivaizdžiai neteisėtas. Pasak gynėjo, </w:t>
      </w:r>
      <w:r w:rsidR="006036E7" w:rsidRPr="00E76E89">
        <w:rPr>
          <w:bCs/>
          <w:szCs w:val="24"/>
        </w:rPr>
        <w:t>A. F. 1</w:t>
      </w:r>
      <w:r w:rsidRPr="00E76E89">
        <w:rPr>
          <w:bCs/>
          <w:szCs w:val="24"/>
        </w:rPr>
        <w:t xml:space="preserve"> atitinka minėto teisės akto</w:t>
      </w:r>
      <w:r w:rsidR="009800C8" w:rsidRPr="00E76E89">
        <w:rPr>
          <w:bCs/>
          <w:szCs w:val="24"/>
        </w:rPr>
        <w:t xml:space="preserve"> taikymo</w:t>
      </w:r>
      <w:r w:rsidRPr="00E76E89">
        <w:rPr>
          <w:bCs/>
          <w:szCs w:val="24"/>
        </w:rPr>
        <w:t xml:space="preserve"> sąlygas, todėl negali būti teisiamas už nusikaltimus žmoniškumui ir karo nusikaltimus. </w:t>
      </w:r>
    </w:p>
    <w:p w:rsidR="00941BCC" w:rsidRPr="00C00255" w:rsidRDefault="00941BCC" w:rsidP="00321748">
      <w:pPr>
        <w:pStyle w:val="ListParagraph"/>
        <w:numPr>
          <w:ilvl w:val="0"/>
          <w:numId w:val="6"/>
        </w:numPr>
        <w:spacing w:before="120" w:after="120"/>
        <w:ind w:left="992" w:hanging="992"/>
        <w:contextualSpacing w:val="0"/>
        <w:rPr>
          <w:szCs w:val="24"/>
        </w:rPr>
      </w:pPr>
      <w:bookmarkStart w:id="82" w:name="_Toc37947854"/>
      <w:bookmarkStart w:id="83" w:name="_Toc67677333"/>
      <w:bookmarkStart w:id="84" w:name="_Toc67985460"/>
      <w:r w:rsidRPr="00D43DF2">
        <w:rPr>
          <w:b/>
        </w:rPr>
        <w:t xml:space="preserve">Nuteistojo </w:t>
      </w:r>
      <w:r w:rsidR="006036E7" w:rsidRPr="00D43DF2">
        <w:rPr>
          <w:b/>
        </w:rPr>
        <w:t>A. N. 2</w:t>
      </w:r>
      <w:r w:rsidRPr="00D43DF2">
        <w:rPr>
          <w:b/>
        </w:rPr>
        <w:t xml:space="preserve"> gynėjas</w:t>
      </w:r>
      <w:bookmarkEnd w:id="82"/>
      <w:bookmarkEnd w:id="83"/>
      <w:bookmarkEnd w:id="84"/>
      <w:r w:rsidRPr="00C00255">
        <w:rPr>
          <w:b/>
          <w:sz w:val="22"/>
          <w:szCs w:val="24"/>
        </w:rPr>
        <w:t xml:space="preserve"> </w:t>
      </w:r>
      <w:r w:rsidRPr="00D43DF2">
        <w:rPr>
          <w:b/>
        </w:rPr>
        <w:t>advokatas E. A. Burokas</w:t>
      </w:r>
      <w:r w:rsidRPr="00C00255">
        <w:rPr>
          <w:b/>
          <w:szCs w:val="24"/>
        </w:rPr>
        <w:t xml:space="preserve"> </w:t>
      </w:r>
      <w:r w:rsidRPr="00C00255">
        <w:rPr>
          <w:szCs w:val="24"/>
        </w:rPr>
        <w:t>apeliaciniu skundu prašo baudžiamąją bylą nutraukti, kadangi jo ginamasis nepadarė jam inkriminuotų nusikalstamų veikų (pagal skundo turinį prašoma išteisinti).</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szCs w:val="24"/>
        </w:rPr>
        <w:t xml:space="preserve">Apeliaciniame skunde, remiantis </w:t>
      </w:r>
      <w:r w:rsidR="006036E7" w:rsidRPr="00E76E89">
        <w:rPr>
          <w:szCs w:val="24"/>
        </w:rPr>
        <w:t>A. N. 2</w:t>
      </w:r>
      <w:r w:rsidR="00ED3CBD" w:rsidRPr="00E76E89">
        <w:rPr>
          <w:szCs w:val="24"/>
        </w:rPr>
        <w:t>,</w:t>
      </w:r>
      <w:r w:rsidRPr="00E76E89">
        <w:rPr>
          <w:szCs w:val="24"/>
        </w:rPr>
        <w:t xml:space="preserve"> kaip liudytojo</w:t>
      </w:r>
      <w:r w:rsidR="00ED3CBD" w:rsidRPr="00E76E89">
        <w:rPr>
          <w:szCs w:val="24"/>
        </w:rPr>
        <w:t>,</w:t>
      </w:r>
      <w:r w:rsidRPr="00E76E89">
        <w:rPr>
          <w:szCs w:val="24"/>
        </w:rPr>
        <w:t xml:space="preserve"> apklausos protokolu, teigiama, kad </w:t>
      </w:r>
      <w:r w:rsidR="006036E7" w:rsidRPr="00E76E89">
        <w:rPr>
          <w:szCs w:val="24"/>
        </w:rPr>
        <w:t>A. N. 2</w:t>
      </w:r>
      <w:r w:rsidRPr="00E76E89">
        <w:rPr>
          <w:szCs w:val="24"/>
        </w:rPr>
        <w:t xml:space="preserve"> pagal įsakymą dalyvavo LRT pastato, esančio Konarskio g.</w:t>
      </w:r>
      <w:r w:rsidR="00ED3CBD" w:rsidRPr="00E76E89">
        <w:rPr>
          <w:szCs w:val="24"/>
        </w:rPr>
        <w:t> </w:t>
      </w:r>
      <w:r w:rsidRPr="00E76E89">
        <w:rPr>
          <w:szCs w:val="24"/>
        </w:rPr>
        <w:t>49, šturme, tačiau nepaisydamas civilių elgesio, neiššovė nei tuščiais, nei koviniais šoviniais, o įėjęs į jau kitų kariškių užimtą pastatą, smurto prieš civilius ne</w:t>
      </w:r>
      <w:r w:rsidR="00ED3CBD" w:rsidRPr="00E76E89">
        <w:rPr>
          <w:szCs w:val="24"/>
        </w:rPr>
        <w:t>naudojo</w:t>
      </w:r>
      <w:r w:rsidRPr="00E76E89">
        <w:rPr>
          <w:szCs w:val="24"/>
        </w:rPr>
        <w:t xml:space="preserve">. Nuosprendyje nėra nurodyti konkretūs </w:t>
      </w:r>
      <w:r w:rsidR="006036E7" w:rsidRPr="00E76E89">
        <w:rPr>
          <w:szCs w:val="24"/>
        </w:rPr>
        <w:t>A. N. 2</w:t>
      </w:r>
      <w:r w:rsidRPr="00E76E89">
        <w:rPr>
          <w:szCs w:val="24"/>
        </w:rPr>
        <w:t xml:space="preserve"> veiksmai, kurie užtraukia atsako</w:t>
      </w:r>
      <w:r w:rsidR="00660130" w:rsidRPr="00E76E89">
        <w:rPr>
          <w:szCs w:val="24"/>
        </w:rPr>
        <w:t>mybę pagal jam inkriminuotus BK </w:t>
      </w:r>
      <w:r w:rsidRPr="00E76E89">
        <w:rPr>
          <w:szCs w:val="24"/>
        </w:rPr>
        <w:t>straipsnius, kadangi nuteistasis tokių veiksmų nepadarė.</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szCs w:val="24"/>
        </w:rPr>
        <w:t xml:space="preserve">Gynėjo teigimu, teismo išvados dėl to, kad </w:t>
      </w:r>
      <w:r w:rsidR="006036E7" w:rsidRPr="00E76E89">
        <w:rPr>
          <w:szCs w:val="24"/>
        </w:rPr>
        <w:t>A. N. 2</w:t>
      </w:r>
      <w:r w:rsidRPr="00E76E89">
        <w:rPr>
          <w:szCs w:val="24"/>
        </w:rPr>
        <w:t xml:space="preserve"> vadovavo LRT pastato šturmui, yra prieštaringos, nes nuosprendžio 514 lape nurodyta, kad minėtą funkciją atliko tiesioginis </w:t>
      </w:r>
      <w:r w:rsidR="006036E7" w:rsidRPr="00E76E89">
        <w:rPr>
          <w:szCs w:val="24"/>
        </w:rPr>
        <w:t>A. N. 2</w:t>
      </w:r>
      <w:r w:rsidRPr="00E76E89">
        <w:rPr>
          <w:szCs w:val="24"/>
        </w:rPr>
        <w:t xml:space="preserve"> viršininkas, t.</w:t>
      </w:r>
      <w:r w:rsidR="00ED3CBD" w:rsidRPr="00E76E89">
        <w:rPr>
          <w:szCs w:val="24"/>
        </w:rPr>
        <w:t> </w:t>
      </w:r>
      <w:r w:rsidRPr="00E76E89">
        <w:rPr>
          <w:szCs w:val="24"/>
        </w:rPr>
        <w:t>y. 76</w:t>
      </w:r>
      <w:r w:rsidR="00DD2DC5" w:rsidRPr="00E76E89">
        <w:rPr>
          <w:szCs w:val="24"/>
        </w:rPr>
        <w:t>-osios</w:t>
      </w:r>
      <w:r w:rsidRPr="00E76E89">
        <w:rPr>
          <w:szCs w:val="24"/>
        </w:rPr>
        <w:t xml:space="preserve"> oro desanto divizijos 234</w:t>
      </w:r>
      <w:r w:rsidR="00DD2DC5" w:rsidRPr="00E76E89">
        <w:rPr>
          <w:szCs w:val="24"/>
        </w:rPr>
        <w:t>-ojo</w:t>
      </w:r>
      <w:r w:rsidRPr="00E76E89">
        <w:rPr>
          <w:szCs w:val="24"/>
        </w:rPr>
        <w:t xml:space="preserve"> pulko štabo viršininkas </w:t>
      </w:r>
      <w:r w:rsidR="00385BC9" w:rsidRPr="00E76E89">
        <w:rPr>
          <w:szCs w:val="24"/>
        </w:rPr>
        <w:t>G. G.</w:t>
      </w:r>
      <w:r w:rsidRPr="00E76E89">
        <w:rPr>
          <w:szCs w:val="24"/>
        </w:rPr>
        <w:t xml:space="preserve">.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rPr>
          <w:szCs w:val="24"/>
        </w:rPr>
        <w:t>Apeliaciniame skunde nurodoma, kad apygardos te</w:t>
      </w:r>
      <w:r w:rsidR="009800C8" w:rsidRPr="00E76E89">
        <w:rPr>
          <w:szCs w:val="24"/>
        </w:rPr>
        <w:t>ismas</w:t>
      </w:r>
      <w:r w:rsidR="002A2E2B" w:rsidRPr="00E76E89">
        <w:rPr>
          <w:szCs w:val="24"/>
        </w:rPr>
        <w:t>,</w:t>
      </w:r>
      <w:r w:rsidR="009800C8" w:rsidRPr="00E76E89">
        <w:rPr>
          <w:szCs w:val="24"/>
        </w:rPr>
        <w:t xml:space="preserve"> visų kaltinamųjų veiksmus</w:t>
      </w:r>
      <w:r w:rsidRPr="00E76E89">
        <w:rPr>
          <w:szCs w:val="24"/>
        </w:rPr>
        <w:t xml:space="preserve"> vertindamas kaip padarytus veikiant bendrininkų grupe, neatsižvelgė į tai, kad kariuomenėje galioja įsakymo taisyklė ir už įsakymo nevykdymą gresia bausmė. Pasaulio praktikoje nėra žinomi atvejai, kad karin</w:t>
      </w:r>
      <w:r w:rsidR="00C96771" w:rsidRPr="00E76E89">
        <w:rPr>
          <w:szCs w:val="24"/>
        </w:rPr>
        <w:t xml:space="preserve">ės agresijos atveju valstybės </w:t>
      </w:r>
      <w:r w:rsidRPr="00E76E89">
        <w:rPr>
          <w:szCs w:val="24"/>
        </w:rPr>
        <w:t>ag</w:t>
      </w:r>
      <w:r w:rsidRPr="00E76E89">
        <w:t>resorės vadovybė būtų teisiama kartu su į karą pasiųstais kareiviais. Be to, byloje nėra duomenų, kad</w:t>
      </w:r>
      <w:r w:rsidR="002A2E2B" w:rsidRPr="00E76E89">
        <w:t>,</w:t>
      </w:r>
      <w:r w:rsidRPr="00E76E89">
        <w:t xml:space="preserve"> užim</w:t>
      </w:r>
      <w:r w:rsidR="002A2E2B" w:rsidRPr="00E76E89">
        <w:t>dami</w:t>
      </w:r>
      <w:r w:rsidRPr="00E76E89">
        <w:t xml:space="preserve"> LRT pastatą, kariškiai veikė ne įsakymo, o tarpusavio susitarimo pagrindu.</w:t>
      </w:r>
    </w:p>
    <w:p w:rsidR="006E39A8" w:rsidRPr="00E76E89" w:rsidRDefault="00941BCC" w:rsidP="00321748">
      <w:pPr>
        <w:pStyle w:val="ListParagraph"/>
        <w:numPr>
          <w:ilvl w:val="1"/>
          <w:numId w:val="6"/>
        </w:numPr>
        <w:spacing w:before="120" w:after="120"/>
        <w:ind w:left="992" w:hanging="992"/>
        <w:contextualSpacing w:val="0"/>
        <w:rPr>
          <w:szCs w:val="24"/>
        </w:rPr>
      </w:pPr>
      <w:r w:rsidRPr="00E76E89">
        <w:rPr>
          <w:szCs w:val="24"/>
        </w:rPr>
        <w:t xml:space="preserve">Skunde taip pat pažymima, kad teismas byloje neakcentavo fakto, jog TSRS įvykdė karinę agresiją prieš kitą valstybę – nepriklausomybę paskelbusią Lietuvą. Be to, atsakomybėn buvo patraukti tik karininkai, o kodėl atsakomybėn nebuvo patrauktas organizatorius </w:t>
      </w:r>
      <w:r w:rsidR="00DD1A27" w:rsidRPr="00E76E89">
        <w:rPr>
          <w:szCs w:val="24"/>
        </w:rPr>
        <w:t>M. G.</w:t>
      </w:r>
      <w:r w:rsidRPr="00E76E89">
        <w:rPr>
          <w:szCs w:val="24"/>
        </w:rPr>
        <w:t xml:space="preserve"> ir tiesioginiai vykdytojai (eiliniai kareiviai), teismas neišsiaiškino. </w:t>
      </w:r>
    </w:p>
    <w:p w:rsidR="00941BCC" w:rsidRPr="00C00255" w:rsidRDefault="001B2545" w:rsidP="00321748">
      <w:pPr>
        <w:pStyle w:val="ListParagraph"/>
        <w:numPr>
          <w:ilvl w:val="0"/>
          <w:numId w:val="6"/>
        </w:numPr>
        <w:spacing w:before="120" w:after="120"/>
        <w:ind w:left="992" w:hanging="992"/>
        <w:contextualSpacing w:val="0"/>
        <w:rPr>
          <w:szCs w:val="24"/>
        </w:rPr>
      </w:pPr>
      <w:bookmarkStart w:id="85" w:name="_Toc37947855"/>
      <w:bookmarkStart w:id="86" w:name="_Toc67677334"/>
      <w:bookmarkStart w:id="87" w:name="_Toc67985461"/>
      <w:r w:rsidRPr="00D43DF2">
        <w:rPr>
          <w:b/>
        </w:rPr>
        <w:t xml:space="preserve">Nuteistojo </w:t>
      </w:r>
      <w:r w:rsidR="006036E7" w:rsidRPr="00D43DF2">
        <w:rPr>
          <w:b/>
        </w:rPr>
        <w:t>E. M.</w:t>
      </w:r>
      <w:r w:rsidRPr="00D43DF2">
        <w:rPr>
          <w:b/>
        </w:rPr>
        <w:t xml:space="preserve"> </w:t>
      </w:r>
      <w:r w:rsidR="00941BCC" w:rsidRPr="00D43DF2">
        <w:rPr>
          <w:b/>
        </w:rPr>
        <w:t>gynėja</w:t>
      </w:r>
      <w:bookmarkEnd w:id="85"/>
      <w:bookmarkEnd w:id="86"/>
      <w:bookmarkEnd w:id="87"/>
      <w:r w:rsidR="00941BCC" w:rsidRPr="00D43DF2">
        <w:rPr>
          <w:b/>
        </w:rPr>
        <w:t xml:space="preserve"> advokatė</w:t>
      </w:r>
      <w:r w:rsidR="00941BCC" w:rsidRPr="00C00255">
        <w:rPr>
          <w:b/>
        </w:rPr>
        <w:t xml:space="preserve"> J</w:t>
      </w:r>
      <w:r w:rsidRPr="00C00255">
        <w:rPr>
          <w:b/>
        </w:rPr>
        <w:t>. </w:t>
      </w:r>
      <w:r w:rsidR="00941BCC" w:rsidRPr="00C00255">
        <w:rPr>
          <w:b/>
        </w:rPr>
        <w:t>Jablonskienė</w:t>
      </w:r>
      <w:r w:rsidR="00941BCC" w:rsidRPr="00C00255">
        <w:t xml:space="preserve"> apeliaciniu sku</w:t>
      </w:r>
      <w:r w:rsidRPr="00C00255">
        <w:t>ndu prašo panaikinti pirmosios instancijos teismo</w:t>
      </w:r>
      <w:r w:rsidR="00941BCC" w:rsidRPr="00C00255">
        <w:t xml:space="preserve"> nuosprendį ir jos ginamąjį išteisinti. Jei jos ginamasis nebūtų išteisintas, prašoma sušvelninti paskirtą bausmę. </w:t>
      </w:r>
    </w:p>
    <w:p w:rsidR="000837B3" w:rsidRPr="00E76E89" w:rsidRDefault="000837B3" w:rsidP="00321748">
      <w:pPr>
        <w:pStyle w:val="ListParagraph"/>
        <w:numPr>
          <w:ilvl w:val="1"/>
          <w:numId w:val="6"/>
        </w:numPr>
        <w:spacing w:before="120" w:after="120"/>
        <w:ind w:left="992" w:hanging="992"/>
        <w:contextualSpacing w:val="0"/>
        <w:rPr>
          <w:szCs w:val="24"/>
        </w:rPr>
      </w:pPr>
      <w:r w:rsidRPr="00E76E89">
        <w:lastRenderedPageBreak/>
        <w:t>Anot gynėjos, teismo išvados nepagrįstos visapusišku ir objektyviu bylos aplinkybių ištyrimu ir neatitinka faktinių bylos aplinkybių, taip pat byloje buvo padaryti esminiai BPK pažeidimai ir netinkamai pritaikytas baudžiamasis įstatymas.</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Apeliantės įsitikinimu, byloje buvo pažeista </w:t>
      </w:r>
      <w:r w:rsidR="006036E7" w:rsidRPr="00E76E89">
        <w:t>E. M.</w:t>
      </w:r>
      <w:r w:rsidR="001B2545" w:rsidRPr="00E76E89">
        <w:t xml:space="preserve"> teisė į gynybą ir BPK 305 </w:t>
      </w:r>
      <w:r w:rsidRPr="00E76E89">
        <w:t>straipsnio nuostatos. Anot gynėjos, kaltinimas nebuvo konkretus ir suvaržė teisę į gynybą. Iš teismo nuosprendžio neaišku</w:t>
      </w:r>
      <w:r w:rsidR="00904148" w:rsidRPr="00E76E89">
        <w:t>,</w:t>
      </w:r>
      <w:r w:rsidRPr="00E76E89">
        <w:t xml:space="preserve"> ką, kur ir kada padarė nuteistasis ir koki</w:t>
      </w:r>
      <w:r w:rsidR="00904148" w:rsidRPr="00E76E89">
        <w:t>e</w:t>
      </w:r>
      <w:r w:rsidRPr="00E76E89">
        <w:t xml:space="preserve"> buvo jo elgesio pa</w:t>
      </w:r>
      <w:r w:rsidR="00904148" w:rsidRPr="00E76E89">
        <w:t>dariniai</w:t>
      </w:r>
      <w:r w:rsidRPr="00E76E89">
        <w:t xml:space="preserve">. Byloje nėra duomenų apie konkrečius jo veiksmus tiek </w:t>
      </w:r>
      <w:r w:rsidR="00660130" w:rsidRPr="00E76E89">
        <w:t>prie Spaudos rūmų, tiek prie TV </w:t>
      </w:r>
      <w:r w:rsidRPr="00E76E89">
        <w:t xml:space="preserve">bokšto. Apkaltinamasis nuosprendis yra paremtas prielaidomis, nors visos abejonės turėjo būti įvertintos ginamojo naudai.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Be to, skundžiamu nuosprendžiu pažeistos BPK 20 straipsnio nuostatos ir nekaltumo prezumpcijos principas, nes nuteistojo </w:t>
      </w:r>
      <w:r w:rsidR="006036E7" w:rsidRPr="00E76E89">
        <w:t>E. M.</w:t>
      </w:r>
      <w:r w:rsidRPr="00E76E89">
        <w:t xml:space="preserve"> kaltė grindžiama jo paties parodymais, duotais </w:t>
      </w:r>
      <w:r w:rsidR="001B2545" w:rsidRPr="00E76E89">
        <w:t xml:space="preserve">apklausiant jį </w:t>
      </w:r>
      <w:r w:rsidR="00904148" w:rsidRPr="00E76E89">
        <w:t xml:space="preserve">kaip </w:t>
      </w:r>
      <w:r w:rsidR="001B2545" w:rsidRPr="00E76E89">
        <w:t>liudytoj</w:t>
      </w:r>
      <w:r w:rsidR="00904148" w:rsidRPr="00E76E89">
        <w:t>ą</w:t>
      </w:r>
      <w:r w:rsidR="001B2545" w:rsidRPr="00E76E89">
        <w:t>, t.</w:t>
      </w:r>
      <w:r w:rsidR="00904148" w:rsidRPr="00E76E89">
        <w:t> </w:t>
      </w:r>
      <w:r w:rsidR="001B2545" w:rsidRPr="00E76E89">
        <w:t>y.</w:t>
      </w:r>
      <w:r w:rsidRPr="00E76E89">
        <w:t xml:space="preserve"> verčiant duoti parodymus apie savo paties galimai padarytą veiką. Taip pat buvo apklausti ir kiti kaltinamieji, kurių parodymais grindžiamas ir svarbiausias nuteistųjų kaltę galimai pagrindžiantis duomuo – 2014 m. birželio 10</w:t>
      </w:r>
      <w:r w:rsidR="00904148" w:rsidRPr="00E76E89">
        <w:t> </w:t>
      </w:r>
      <w:r w:rsidRPr="00E76E89">
        <w:t xml:space="preserve">d. specialisto išvada.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Gynėjos įsitikinimu, byloje pažeistos ir BPK 246 straipsnio nuostatos, nes nebuvo pagrindo bylą nagrinėti </w:t>
      </w:r>
      <w:r w:rsidR="006036E7" w:rsidRPr="00E76E89">
        <w:t>E. M.</w:t>
      </w:r>
      <w:r w:rsidRPr="00E76E89">
        <w:t xml:space="preserve"> nedalyvaujant. Jokie prokuratūros </w:t>
      </w:r>
      <w:r w:rsidR="002A2E2B" w:rsidRPr="00E76E89">
        <w:t>pa</w:t>
      </w:r>
      <w:r w:rsidRPr="00E76E89">
        <w:t xml:space="preserve">teikti teisinės pagalbos prašymai </w:t>
      </w:r>
      <w:r w:rsidR="00904148" w:rsidRPr="00E76E89">
        <w:t xml:space="preserve">įteikti </w:t>
      </w:r>
      <w:r w:rsidRPr="00E76E89">
        <w:t>dokument</w:t>
      </w:r>
      <w:r w:rsidR="00904148" w:rsidRPr="00E76E89">
        <w:t>us</w:t>
      </w:r>
      <w:r w:rsidRPr="00E76E89">
        <w:t xml:space="preserve"> </w:t>
      </w:r>
      <w:r w:rsidR="006036E7" w:rsidRPr="00E76E89">
        <w:t>E. M.</w:t>
      </w:r>
      <w:r w:rsidRPr="00E76E89">
        <w:t xml:space="preserve"> nebuvo įvykdyti. Tai rodo, kad </w:t>
      </w:r>
      <w:r w:rsidR="006036E7" w:rsidRPr="00E76E89">
        <w:t>E. M.</w:t>
      </w:r>
      <w:r w:rsidRPr="00E76E89">
        <w:t xml:space="preserve"> nežino apie jam pareikštą kaltinimą ir bylos nagrinėjimą teisme. Gynėjos įsitikinimu, byloje nėra duomenų</w:t>
      </w:r>
      <w:r w:rsidR="00904148" w:rsidRPr="00E76E89">
        <w:t>,</w:t>
      </w:r>
      <w:r w:rsidRPr="00E76E89">
        <w:t xml:space="preserve"> ar </w:t>
      </w:r>
      <w:r w:rsidR="006036E7" w:rsidRPr="00E76E89">
        <w:t>E. M.</w:t>
      </w:r>
      <w:r w:rsidRPr="00E76E89">
        <w:t xml:space="preserve"> gyvas, todėl konstatuoti, kad jis vengė proceso, negalima. Tokioje situacijoje nagrinėjant bylą kaltinamajam nedalyvaujant buvo pažeistos kaltinamojo teisės, numatytos BPK 22 straipsnio 3 dalyje.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Apeliantė nesutinka su teismo išvada, kad </w:t>
      </w:r>
      <w:r w:rsidR="006036E7" w:rsidRPr="00E76E89">
        <w:t>E. M.</w:t>
      </w:r>
      <w:r w:rsidRPr="00E76E89">
        <w:t xml:space="preserve"> turėjo laisvę nevykdyti neteisėtų įsakymų</w:t>
      </w:r>
      <w:r w:rsidR="00AA44C7" w:rsidRPr="00E76E89">
        <w:t>, žinodamas, kad jie neteisėti</w:t>
      </w:r>
      <w:r w:rsidRPr="00E76E89">
        <w:t xml:space="preserve">. Byloje nėra duomenų apie tai, kad nuteistasis galėjo suprasti vykdomų įsakymų neteisėtą pobūdį, </w:t>
      </w:r>
      <w:r w:rsidR="001B2545" w:rsidRPr="00E76E89">
        <w:t>jog</w:t>
      </w:r>
      <w:r w:rsidRPr="00E76E89">
        <w:t xml:space="preserve"> </w:t>
      </w:r>
      <w:r w:rsidR="006036E7" w:rsidRPr="00E76E89">
        <w:t>E. M.</w:t>
      </w:r>
      <w:r w:rsidRPr="00E76E89">
        <w:t xml:space="preserve"> žinojo apie Lietuvos nepriklausomybės atkūrimo aktą. </w:t>
      </w:r>
      <w:r w:rsidR="006036E7" w:rsidRPr="00E76E89">
        <w:t>E. M.</w:t>
      </w:r>
      <w:r w:rsidRPr="00E76E89">
        <w:t xml:space="preserve"> nebuvo Lietuvos pilie</w:t>
      </w:r>
      <w:r w:rsidR="00262B32" w:rsidRPr="00E76E89">
        <w:t>tis</w:t>
      </w:r>
      <w:r w:rsidRPr="00E76E89">
        <w:t xml:space="preserve"> ir jam</w:t>
      </w:r>
      <w:r w:rsidRPr="00E76E89" w:rsidDel="005C59B2">
        <w:t xml:space="preserve"> </w:t>
      </w:r>
      <w:r w:rsidRPr="00E76E89">
        <w:t>nebuvo žinomi tikrieji misijos tikslai, o už įsakymų nevykdymą grėsė teisės aktuose</w:t>
      </w:r>
      <w:r w:rsidR="001B2545" w:rsidRPr="00E76E89">
        <w:t xml:space="preserve"> nustatyta griežta atsakomybė. </w:t>
      </w:r>
      <w:r w:rsidRPr="00E76E89">
        <w:t xml:space="preserve">Jam, kaip žemesnio rango kariškiui, buvo pateikiama ribota informacija. Anot gynėjos, net iš specialisto J. Andriškevičiaus išvados matyti, kad planas sugrąžinti Lietuvą į TSRS sudėtį buvo rengiamas slaptai, todėl pagal </w:t>
      </w:r>
      <w:r w:rsidR="00904148" w:rsidRPr="00E76E89">
        <w:t>einamas</w:t>
      </w:r>
      <w:r w:rsidRPr="00E76E89">
        <w:t xml:space="preserve"> pareigas </w:t>
      </w:r>
      <w:r w:rsidR="006036E7" w:rsidRPr="00E76E89">
        <w:t>E. M.</w:t>
      </w:r>
      <w:r w:rsidRPr="00E76E89">
        <w:t xml:space="preserve"> neturėjo galimybių žinoti tikrųjų vadovybės tikslų ar prisidėti prie jų planų. Už neteisėtus veiksmus ir kilusius padarinius turėtų atsakyti tik tie, k</w:t>
      </w:r>
      <w:r w:rsidR="00904148" w:rsidRPr="00E76E89">
        <w:t>urie</w:t>
      </w:r>
      <w:r w:rsidRPr="00E76E89">
        <w:t xml:space="preserve"> nepakluso įsakymui vengti žmonių aukų, tokių asmenų veiksmai vertintini kaip vykdytojo ekscesas. Gynėja</w:t>
      </w:r>
      <w:r w:rsidR="00904148" w:rsidRPr="00E76E89">
        <w:t>i</w:t>
      </w:r>
      <w:r w:rsidRPr="00E76E89">
        <w:t xml:space="preserve"> nesuprantama kaltinimo pozicija ir dėl to, jog priešingai nei </w:t>
      </w:r>
      <w:r w:rsidR="006036E7" w:rsidRPr="00E76E89">
        <w:t>E. M.</w:t>
      </w:r>
      <w:r w:rsidRPr="00E76E89">
        <w:t xml:space="preserve">, su juo buvę kiti pavaldūs, konkretūs tą pačią užduotį vykdę kariškiai ir įsakymus davę aukščiausi pareigūnai atsakomybėn nebuvo patraukti ir dėl jų kaltės nepasisakyta.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Apeliantės </w:t>
      </w:r>
      <w:r w:rsidR="00C96771" w:rsidRPr="00E76E89">
        <w:t>teigimu, įvykių metu galioj</w:t>
      </w:r>
      <w:r w:rsidR="00904148" w:rsidRPr="00E76E89">
        <w:t>usiame</w:t>
      </w:r>
      <w:r w:rsidR="00C96771" w:rsidRPr="00E76E89">
        <w:t xml:space="preserve"> Lietuvos Respublikos baudžiama</w:t>
      </w:r>
      <w:r w:rsidR="00904148" w:rsidRPr="00E76E89">
        <w:t>jame</w:t>
      </w:r>
      <w:r w:rsidR="00C96771" w:rsidRPr="00E76E89">
        <w:t xml:space="preserve"> įstatym</w:t>
      </w:r>
      <w:r w:rsidR="00904148" w:rsidRPr="00E76E89">
        <w:t>e</w:t>
      </w:r>
      <w:r w:rsidRPr="00E76E89">
        <w:t xml:space="preserve"> ne</w:t>
      </w:r>
      <w:r w:rsidR="00904148" w:rsidRPr="00E76E89">
        <w:t xml:space="preserve">buvo </w:t>
      </w:r>
      <w:r w:rsidRPr="00E76E89">
        <w:t>numat</w:t>
      </w:r>
      <w:r w:rsidR="00904148" w:rsidRPr="00E76E89">
        <w:t>yta</w:t>
      </w:r>
      <w:r w:rsidRPr="00E76E89">
        <w:t xml:space="preserve"> atsakomybė už jos ginamajam inkriminuotus nusikaltimus. Todėl buvo pažeistas principas, kad nėra nusikaltimo be įstatymo</w:t>
      </w:r>
      <w:r w:rsidR="002A2E2B" w:rsidRPr="00E76E89">
        <w:t>,</w:t>
      </w:r>
      <w:r w:rsidRPr="00E76E89">
        <w:t xml:space="preserve"> bei šį principą įtvirtinančios tarptautinės teisės normos. Šiuo aspektu gynėja akcentuoja ir plačiai aptaria Romos statuto, Lietuvoje įsigalioj</w:t>
      </w:r>
      <w:r w:rsidR="00904148" w:rsidRPr="00E76E89">
        <w:t>usio</w:t>
      </w:r>
      <w:r w:rsidRPr="00E76E89">
        <w:t xml:space="preserve"> jau po inkriminuojamų veikų padarymo</w:t>
      </w:r>
      <w:r w:rsidR="00904148" w:rsidRPr="00E76E89">
        <w:t>, nuostatas</w:t>
      </w:r>
      <w:r w:rsidRPr="00E76E89">
        <w:t>. Gynėjos įsitikinimu, byloje nesilaikyta Romos statuto 24 straipsnio 1 dalies, 33 straipsnio 1 dalies, 63</w:t>
      </w:r>
      <w:r w:rsidR="00904148" w:rsidRPr="00E76E89">
        <w:t> </w:t>
      </w:r>
      <w:r w:rsidRPr="00E76E89">
        <w:t>straips</w:t>
      </w:r>
      <w:r w:rsidR="001B2545" w:rsidRPr="00E76E89">
        <w:t>nio 1 dalies nuostatų, kurių</w:t>
      </w:r>
      <w:r w:rsidRPr="00E76E89">
        <w:t xml:space="preserve"> taikymas aptartas </w:t>
      </w:r>
      <w:r w:rsidR="007403E5" w:rsidRPr="00E76E89">
        <w:t>ir Konstitucinio </w:t>
      </w:r>
      <w:r w:rsidRPr="00E76E89">
        <w:t>Teismo 2014</w:t>
      </w:r>
      <w:r w:rsidR="00311415" w:rsidRPr="00E76E89">
        <w:t> </w:t>
      </w:r>
      <w:r w:rsidR="00275E2D" w:rsidRPr="00E76E89">
        <w:t>m. </w:t>
      </w:r>
      <w:r w:rsidRPr="00E76E89">
        <w:t xml:space="preserve">kovo 18 d. nutarime.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Be to, už tuos pačius veiksmus </w:t>
      </w:r>
      <w:r w:rsidR="00C507EF" w:rsidRPr="00E76E89">
        <w:t>M. B.</w:t>
      </w:r>
      <w:r w:rsidRPr="00E76E89">
        <w:t xml:space="preserve"> ir kiti </w:t>
      </w:r>
      <w:r w:rsidR="00904148" w:rsidRPr="00E76E89">
        <w:t xml:space="preserve">asmenys </w:t>
      </w:r>
      <w:r w:rsidRPr="00E76E89">
        <w:t>1999 m. rugpjūčio 23</w:t>
      </w:r>
      <w:r w:rsidR="00262B32" w:rsidRPr="00E76E89">
        <w:t> </w:t>
      </w:r>
      <w:r w:rsidRPr="00E76E89">
        <w:t xml:space="preserve">d. nuosprendžiu buvo nuteisti ne už karo nusikaltimus ir nusikaltimus žmoniškumui. Minėta byla yra </w:t>
      </w:r>
      <w:r w:rsidRPr="00E76E89">
        <w:lastRenderedPageBreak/>
        <w:t>nagrinėjamos bylos sud</w:t>
      </w:r>
      <w:r w:rsidR="00904148" w:rsidRPr="00E76E89">
        <w:t>edamoji</w:t>
      </w:r>
      <w:r w:rsidRPr="00E76E89">
        <w:t xml:space="preserve"> dalis, todėl ir nuteistųjų šioje byloje veikos turėjo būti kvalifikuojamos analogiškai, o tokiu atveju dėl minėtų veikų jau yra suėjusi apkaltinamojo nuosprendžio priėmimo senatis. Todėl sprendimas taikyti BK nuostatas, kurios įsigaliojo 2011 metais, prieštarauja asmenų lygybės prieš įstatymą principui. </w:t>
      </w:r>
      <w:r w:rsidR="00904148" w:rsidRPr="00E76E89">
        <w:t>Be Rusijos Federacijos, n</w:t>
      </w:r>
      <w:r w:rsidRPr="00E76E89">
        <w:t xml:space="preserve">uomonę dėl minėtų pažeidimų byloje yra išreiškusios ir Italijos </w:t>
      </w:r>
      <w:r w:rsidR="00311415" w:rsidRPr="00E76E89">
        <w:t xml:space="preserve">Respublikos </w:t>
      </w:r>
      <w:r w:rsidRPr="00E76E89">
        <w:t xml:space="preserve">bei Austrijos Respublikos kompetentingos institucijos. </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Be to, eilinis kariškis </w:t>
      </w:r>
      <w:r w:rsidR="006036E7" w:rsidRPr="00E76E89">
        <w:t>E. M.</w:t>
      </w:r>
      <w:r w:rsidRPr="00E76E89">
        <w:t xml:space="preserve"> negalėjo atsakyti už inkriminuojamus nusikaltimus ir todėl, kad jam inkriminuojamų nusikaltimų subjektais yra agresijos kurstytojai, organizatoriai, platintojai, pat</w:t>
      </w:r>
      <w:r w:rsidR="00AA4EFE" w:rsidRPr="00E76E89">
        <w:t>ies aukščiausiojo lygio karinės</w:t>
      </w:r>
      <w:r w:rsidR="00904148" w:rsidRPr="00E76E89">
        <w:t xml:space="preserve"> ir </w:t>
      </w:r>
      <w:r w:rsidRPr="00E76E89">
        <w:t>politinės valdžios asmenys (t</w:t>
      </w:r>
      <w:r w:rsidR="00904148" w:rsidRPr="00E76E89">
        <w:t>ai</w:t>
      </w:r>
      <w:r w:rsidRPr="00E76E89">
        <w:t xml:space="preserve"> numat</w:t>
      </w:r>
      <w:r w:rsidR="00904148" w:rsidRPr="00E76E89">
        <w:t>yta</w:t>
      </w:r>
      <w:r w:rsidRPr="00E76E89">
        <w:t xml:space="preserve"> ir </w:t>
      </w:r>
      <w:r w:rsidR="00EC1D9A" w:rsidRPr="00E76E89">
        <w:t xml:space="preserve">Niurnbergo </w:t>
      </w:r>
      <w:r w:rsidRPr="00E76E89">
        <w:t>tribunolo statut</w:t>
      </w:r>
      <w:r w:rsidR="00904148" w:rsidRPr="00E76E89">
        <w:t>e</w:t>
      </w:r>
      <w:r w:rsidRPr="00E76E89">
        <w:t>). Gynėja pabrėžia, kad pagal tarptautinės teisės šaltinius už TSRS karių veiksmus turi atsakyti valstybė, o ne kariai</w:t>
      </w:r>
      <w:r w:rsidR="00904148" w:rsidRPr="00E76E89">
        <w:t>,</w:t>
      </w:r>
      <w:r w:rsidRPr="00E76E89">
        <w:t xml:space="preserve"> vykdę įsakymus. </w:t>
      </w:r>
    </w:p>
    <w:p w:rsidR="00941BCC" w:rsidRPr="00E76E89" w:rsidRDefault="006036E7" w:rsidP="00321748">
      <w:pPr>
        <w:pStyle w:val="ListParagraph"/>
        <w:numPr>
          <w:ilvl w:val="1"/>
          <w:numId w:val="6"/>
        </w:numPr>
        <w:spacing w:before="120" w:after="120"/>
        <w:ind w:left="992" w:hanging="992"/>
        <w:contextualSpacing w:val="0"/>
        <w:rPr>
          <w:szCs w:val="24"/>
        </w:rPr>
      </w:pPr>
      <w:r w:rsidRPr="00E76E89">
        <w:t>E. M.</w:t>
      </w:r>
      <w:r w:rsidR="00941BCC" w:rsidRPr="00E76E89">
        <w:t xml:space="preserve"> veikoje – kiekvieno jam inkriminuojamo nusikaltimo atveju – nėra nustatytas ir veikimas tiesiogine tyčia bei priežastinis ryšys tarp jo veikos ir inkriminuojamų padarinių. Tiesioginės tyčios nuteistojo veikoje negalima konstatuoti, nes jis negalėjo suvokti savo veikos pavojingumo, numatyti pavojingų pa</w:t>
      </w:r>
      <w:r w:rsidR="00904148" w:rsidRPr="00E76E89">
        <w:t>darinių</w:t>
      </w:r>
      <w:r w:rsidR="00941BCC" w:rsidRPr="00E76E89">
        <w:t>. Užduotys buvo vykdomos naktį, tikintis, kad civilių nebus, jie buvo skatinami skirstytis. Pati užduotis buvo susijusi su objektų perėmimu, o ne siekiant žudyti ar žaloti žmones. Tą iš esmės konstatavo ir specialistas J.</w:t>
      </w:r>
      <w:r w:rsidR="00904148" w:rsidRPr="00E76E89">
        <w:t> </w:t>
      </w:r>
      <w:r w:rsidR="00941BCC" w:rsidRPr="00E76E89">
        <w:t>Andriškevičius. Gynėjos įsitikinimu, skundžiamu nuosprendžiu konstatuoti karo nusikaltimai ir nusikaltimai žmoniškumui negalėjo būti inkriminuoti ir dėl to, kad civiliai buvo naudojami kaip gyvasis skydas ir sąmoningai rizikavo.</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Apeliantė ginčija nuteistojo </w:t>
      </w:r>
      <w:r w:rsidR="006036E7" w:rsidRPr="00E76E89">
        <w:t>E. M.</w:t>
      </w:r>
      <w:r w:rsidR="009800C8" w:rsidRPr="00E76E89">
        <w:t xml:space="preserve"> kaltę padarius atskiras nuosprendžiu konstatuota</w:t>
      </w:r>
      <w:r w:rsidRPr="00E76E89">
        <w:t>s nu</w:t>
      </w:r>
      <w:r w:rsidR="009800C8" w:rsidRPr="00E76E89">
        <w:t>sikalstamas veikas</w:t>
      </w:r>
      <w:r w:rsidRPr="00E76E89">
        <w:t xml:space="preserve"> ir nurodo kiekvienos iš jam inkriminuojamų nusikalstamų veikų požymius, kurie, anot gynėjos, nėra įrodyti šioje byloje:</w:t>
      </w:r>
    </w:p>
    <w:p w:rsidR="00941BCC" w:rsidRPr="00E76E89" w:rsidRDefault="00941BCC" w:rsidP="00321748">
      <w:pPr>
        <w:pStyle w:val="ListParagraph"/>
        <w:numPr>
          <w:ilvl w:val="2"/>
          <w:numId w:val="6"/>
        </w:numPr>
        <w:spacing w:before="120" w:after="120"/>
        <w:ind w:left="992" w:hanging="992"/>
        <w:contextualSpacing w:val="0"/>
        <w:rPr>
          <w:szCs w:val="24"/>
        </w:rPr>
      </w:pPr>
      <w:r w:rsidRPr="00E76E89">
        <w:rPr>
          <w:szCs w:val="24"/>
        </w:rPr>
        <w:t xml:space="preserve">BK 100 straipsnis – byloje neįrodyta, kad nuteistasis tyčia dideliu mastu ar sistemingai užpuldinėjo civilius, juos žudė arba sunkiai sutrikdė jų sveikatą. </w:t>
      </w:r>
    </w:p>
    <w:p w:rsidR="00941BCC" w:rsidRPr="00E76E89" w:rsidRDefault="00941BCC" w:rsidP="00321748">
      <w:pPr>
        <w:pStyle w:val="ListParagraph"/>
        <w:numPr>
          <w:ilvl w:val="2"/>
          <w:numId w:val="6"/>
        </w:numPr>
        <w:spacing w:before="120" w:after="120"/>
        <w:ind w:left="992" w:hanging="992"/>
        <w:contextualSpacing w:val="0"/>
        <w:rPr>
          <w:szCs w:val="24"/>
        </w:rPr>
      </w:pPr>
      <w:r w:rsidRPr="00E76E89">
        <w:rPr>
          <w:szCs w:val="24"/>
        </w:rPr>
        <w:t xml:space="preserve">BK 101 straipsnis – </w:t>
      </w:r>
      <w:r w:rsidRPr="00E76E89">
        <w:t xml:space="preserve">įvykių metu nebuvo įvesta karo padėtis. Be to, </w:t>
      </w:r>
      <w:r w:rsidRPr="00E76E89">
        <w:rPr>
          <w:szCs w:val="24"/>
        </w:rPr>
        <w:t xml:space="preserve">neįrodyta, kad </w:t>
      </w:r>
      <w:r w:rsidR="006036E7" w:rsidRPr="00E76E89">
        <w:rPr>
          <w:szCs w:val="24"/>
        </w:rPr>
        <w:t>E. M.</w:t>
      </w:r>
      <w:r w:rsidRPr="00E76E89">
        <w:rPr>
          <w:szCs w:val="24"/>
        </w:rPr>
        <w:t xml:space="preserve"> kurstė, organizavo civilių asmenų žudymą ar pats juos žudė. Gynėjos teigimu, tokių veiksmų jis neatliko ir negalėjo atlikti. </w:t>
      </w:r>
    </w:p>
    <w:p w:rsidR="00941BCC" w:rsidRPr="00E76E89" w:rsidRDefault="00941BCC" w:rsidP="00321748">
      <w:pPr>
        <w:pStyle w:val="ListParagraph"/>
        <w:numPr>
          <w:ilvl w:val="2"/>
          <w:numId w:val="6"/>
        </w:numPr>
        <w:spacing w:before="120" w:after="120"/>
        <w:ind w:left="992" w:hanging="992"/>
        <w:contextualSpacing w:val="0"/>
        <w:rPr>
          <w:szCs w:val="24"/>
        </w:rPr>
      </w:pPr>
      <w:r w:rsidRPr="00E76E89">
        <w:rPr>
          <w:szCs w:val="24"/>
        </w:rPr>
        <w:t xml:space="preserve">BK 103 straipsnio 1 dalis – </w:t>
      </w:r>
      <w:r w:rsidRPr="00E76E89">
        <w:t>įvykių metu nebuvo įvesta karo padėtis.</w:t>
      </w:r>
      <w:r w:rsidRPr="00E76E89">
        <w:rPr>
          <w:szCs w:val="24"/>
        </w:rPr>
        <w:t xml:space="preserve"> </w:t>
      </w:r>
      <w:r w:rsidRPr="00E76E89">
        <w:t>Be to,</w:t>
      </w:r>
      <w:r w:rsidRPr="00E76E89">
        <w:rPr>
          <w:szCs w:val="24"/>
        </w:rPr>
        <w:t xml:space="preserve"> neįrodyta, kad nuteistasis, pažeisdamas humanitarinės teisės normas, sunkiai sužalojo, susargdino arba kankino sužeistus asmenis, karo belaisvius ar civilius. </w:t>
      </w:r>
    </w:p>
    <w:p w:rsidR="00941BCC" w:rsidRPr="00E76E89" w:rsidRDefault="00941BCC" w:rsidP="00321748">
      <w:pPr>
        <w:pStyle w:val="ListParagraph"/>
        <w:numPr>
          <w:ilvl w:val="2"/>
          <w:numId w:val="6"/>
        </w:numPr>
        <w:spacing w:before="120" w:after="120"/>
        <w:ind w:left="992" w:hanging="992"/>
        <w:contextualSpacing w:val="0"/>
        <w:rPr>
          <w:szCs w:val="24"/>
        </w:rPr>
      </w:pPr>
      <w:r w:rsidRPr="00E76E89">
        <w:rPr>
          <w:szCs w:val="24"/>
        </w:rPr>
        <w:t xml:space="preserve">BK 111 straipsnis – </w:t>
      </w:r>
      <w:r w:rsidRPr="00E76E89">
        <w:t>įvykių metu nebuvo įvesta karo padėtis</w:t>
      </w:r>
      <w:r w:rsidRPr="00E76E89">
        <w:rPr>
          <w:szCs w:val="24"/>
        </w:rPr>
        <w:t xml:space="preserve">. Neįrodyti neteisėti veiksmai, tiesioginė tyčia ir specialus tikslas. Byloje nėra įrodymų, kad tai suvokdamas </w:t>
      </w:r>
      <w:r w:rsidR="006036E7" w:rsidRPr="00E76E89">
        <w:rPr>
          <w:szCs w:val="24"/>
        </w:rPr>
        <w:t>E. M.</w:t>
      </w:r>
      <w:r w:rsidRPr="00E76E89">
        <w:rPr>
          <w:szCs w:val="24"/>
        </w:rPr>
        <w:t xml:space="preserve"> atliko konkrečius veiksmus, kurie laikytini draudžiama karo ataka. </w:t>
      </w:r>
    </w:p>
    <w:p w:rsidR="00941BCC" w:rsidRPr="00E76E89" w:rsidRDefault="00941BCC" w:rsidP="00321748">
      <w:pPr>
        <w:pStyle w:val="ListParagraph"/>
        <w:numPr>
          <w:ilvl w:val="2"/>
          <w:numId w:val="6"/>
        </w:numPr>
        <w:spacing w:before="120" w:after="120"/>
        <w:ind w:left="992" w:hanging="992"/>
        <w:contextualSpacing w:val="0"/>
        <w:rPr>
          <w:szCs w:val="24"/>
        </w:rPr>
      </w:pPr>
      <w:r w:rsidRPr="00E76E89">
        <w:rPr>
          <w:szCs w:val="24"/>
        </w:rPr>
        <w:t xml:space="preserve">BK 112 straipsnis – </w:t>
      </w:r>
      <w:r w:rsidRPr="00E76E89">
        <w:t>įvykių metu nebuvo įvesta karo padėtis.</w:t>
      </w:r>
      <w:r w:rsidRPr="00E76E89">
        <w:rPr>
          <w:szCs w:val="24"/>
        </w:rPr>
        <w:t xml:space="preserve"> Byloje neįrodyta, kad </w:t>
      </w:r>
      <w:r w:rsidR="006036E7" w:rsidRPr="00E76E89">
        <w:rPr>
          <w:szCs w:val="24"/>
        </w:rPr>
        <w:t>E. M.</w:t>
      </w:r>
      <w:r w:rsidRPr="00E76E89">
        <w:rPr>
          <w:szCs w:val="24"/>
        </w:rPr>
        <w:t xml:space="preserve"> būtų įsakęs panaudoti ar pats panaudojo uždraustas karo priemones ar kariavimo būdus.</w:t>
      </w:r>
      <w:r w:rsidRPr="00E76E89">
        <w:t xml:space="preserve"> Be to, nėra duomenų ir apie tai, kad </w:t>
      </w:r>
      <w:r w:rsidR="006036E7" w:rsidRPr="00E76E89">
        <w:t>E. M.</w:t>
      </w:r>
      <w:r w:rsidRPr="00E76E89">
        <w:t xml:space="preserve"> ar jo būrys naudojo uždraustas kulkas ar kitus ginklus – dūminius užtaisus ir granatas, šaudė 7,62</w:t>
      </w:r>
      <w:r w:rsidR="0049485C" w:rsidRPr="00E76E89">
        <w:t xml:space="preserve"> mm kalibro</w:t>
      </w:r>
      <w:r w:rsidRPr="00E76E89">
        <w:t xml:space="preserve"> SVD šautuvais, naudojo 5,45</w:t>
      </w:r>
      <w:r w:rsidR="0049485C" w:rsidRPr="00E76E89">
        <w:t xml:space="preserve"> mm</w:t>
      </w:r>
      <w:r w:rsidRPr="00E76E89">
        <w:t xml:space="preserve"> kalibro išcentruotas kulkas bei nužudė </w:t>
      </w:r>
      <w:r w:rsidR="004472EE" w:rsidRPr="00E76E89">
        <w:t>I. Š.</w:t>
      </w:r>
      <w:r w:rsidRPr="00E76E89">
        <w:t xml:space="preserve">. Gynybos įsitikinimu, byloje apskritai nėra duomenų, kad </w:t>
      </w:r>
      <w:r w:rsidR="006036E7" w:rsidRPr="00E76E89">
        <w:t>E. M.</w:t>
      </w:r>
      <w:r w:rsidRPr="00E76E89">
        <w:t xml:space="preserve"> davė savo būriui įsakymus, susijusius su ginklų panaudojimu</w:t>
      </w:r>
      <w:r w:rsidR="00904148" w:rsidRPr="00E76E89">
        <w:t>,</w:t>
      </w:r>
      <w:r w:rsidRPr="00E76E89">
        <w:t xml:space="preserve"> ir buvo atsakingas už jų ginkluotę bei jos panaudojimą.</w:t>
      </w:r>
    </w:p>
    <w:p w:rsidR="00941BCC" w:rsidRPr="00E76E89" w:rsidRDefault="00941BCC" w:rsidP="00321748">
      <w:pPr>
        <w:pStyle w:val="ListParagraph"/>
        <w:numPr>
          <w:ilvl w:val="1"/>
          <w:numId w:val="6"/>
        </w:numPr>
        <w:spacing w:before="120" w:after="120"/>
        <w:ind w:left="992" w:hanging="992"/>
        <w:contextualSpacing w:val="0"/>
        <w:rPr>
          <w:szCs w:val="24"/>
        </w:rPr>
      </w:pPr>
      <w:r w:rsidRPr="00E76E89">
        <w:t xml:space="preserve">Advokatė nesutinka ir su </w:t>
      </w:r>
      <w:r w:rsidR="006036E7" w:rsidRPr="00E76E89">
        <w:t>E. M.</w:t>
      </w:r>
      <w:r w:rsidRPr="00E76E89">
        <w:t xml:space="preserve"> paskirta bausme. Ji yra akivaizdžiai neproporcinga, atsižvelgiant į jo veiksmų svarbą, prieštaringus, nebūdingus nuosprendžiams bausmių skyrimo motyvus ir jų stoką. </w:t>
      </w:r>
    </w:p>
    <w:p w:rsidR="001B2545" w:rsidRPr="00C00255" w:rsidRDefault="001B2545" w:rsidP="00321748">
      <w:pPr>
        <w:pStyle w:val="ListParagraph"/>
        <w:numPr>
          <w:ilvl w:val="0"/>
          <w:numId w:val="6"/>
        </w:numPr>
        <w:spacing w:before="120" w:after="120"/>
        <w:ind w:left="992" w:hanging="992"/>
        <w:contextualSpacing w:val="0"/>
        <w:rPr>
          <w:szCs w:val="24"/>
        </w:rPr>
      </w:pPr>
      <w:bookmarkStart w:id="88" w:name="_Toc37947856"/>
      <w:bookmarkStart w:id="89" w:name="_Toc67677335"/>
      <w:bookmarkStart w:id="90" w:name="_Toc67985462"/>
      <w:r w:rsidRPr="00D43DF2">
        <w:rPr>
          <w:b/>
        </w:rPr>
        <w:lastRenderedPageBreak/>
        <w:t xml:space="preserve">Nuteistojo </w:t>
      </w:r>
      <w:r w:rsidR="006036E7" w:rsidRPr="00D43DF2">
        <w:rPr>
          <w:b/>
        </w:rPr>
        <w:t>V. G.</w:t>
      </w:r>
      <w:r w:rsidRPr="00D43DF2">
        <w:rPr>
          <w:b/>
        </w:rPr>
        <w:t xml:space="preserve"> gynėja</w:t>
      </w:r>
      <w:bookmarkEnd w:id="88"/>
      <w:bookmarkEnd w:id="89"/>
      <w:bookmarkEnd w:id="90"/>
      <w:r w:rsidRPr="00D43DF2">
        <w:rPr>
          <w:b/>
        </w:rPr>
        <w:t xml:space="preserve"> advokatė S. Jovaišienė (dabar Budėnė)</w:t>
      </w:r>
      <w:r w:rsidRPr="00D43DF2">
        <w:t xml:space="preserve"> </w:t>
      </w:r>
      <w:r w:rsidRPr="00C00255">
        <w:t xml:space="preserve">apeliaciniu skundu prašo panaikinti </w:t>
      </w:r>
      <w:r w:rsidR="009800C8" w:rsidRPr="00C00255">
        <w:t>pirmosios instancijos teismo</w:t>
      </w:r>
      <w:r w:rsidRPr="00C00255">
        <w:t xml:space="preserve"> nuosprendį ir jos ginamąjį išteisinti. </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t xml:space="preserve">Apeliantės teigimu, išvada apie </w:t>
      </w:r>
      <w:r w:rsidR="006036E7" w:rsidRPr="00E76E89">
        <w:t>V. G.</w:t>
      </w:r>
      <w:r w:rsidRPr="00E76E89">
        <w:t xml:space="preserve"> veikimą bendrininkų grupe buvo padaryta neįvertinus, kad jis neturėjo pasirinkimo laisvės dalyvauti operacijoje. Nuteistasis buvo žemesniosios grandies karini</w:t>
      </w:r>
      <w:r w:rsidR="00FD13EB" w:rsidRPr="00E76E89">
        <w:t>nkas – leitenantas, pagal TSRS g</w:t>
      </w:r>
      <w:r w:rsidRPr="00E76E89">
        <w:t>inkluotų</w:t>
      </w:r>
      <w:r w:rsidR="00FD13EB" w:rsidRPr="00E76E89">
        <w:t>jų</w:t>
      </w:r>
      <w:r w:rsidRPr="00E76E89">
        <w:t xml:space="preserve"> pajėgų vidaus tarnybos ir </w:t>
      </w:r>
      <w:r w:rsidR="00FD13EB" w:rsidRPr="00E76E89">
        <w:t>TSRS g</w:t>
      </w:r>
      <w:r w:rsidRPr="00E76E89">
        <w:t>inkluotų</w:t>
      </w:r>
      <w:r w:rsidR="00FD13EB" w:rsidRPr="00E76E89">
        <w:t>jų</w:t>
      </w:r>
      <w:r w:rsidRPr="00E76E89">
        <w:t xml:space="preserve"> pajėgų drausmės statutus turėjęs besąlygiškai vykdyti įsakymus. Jis buvo pavaldus dalinio vadui papulkinink</w:t>
      </w:r>
      <w:r w:rsidR="005F5803" w:rsidRPr="00E76E89">
        <w:t>i</w:t>
      </w:r>
      <w:r w:rsidRPr="00E76E89">
        <w:t xml:space="preserve">ui </w:t>
      </w:r>
      <w:r w:rsidR="00C507EF" w:rsidRPr="00E76E89">
        <w:t>I. K.</w:t>
      </w:r>
      <w:r w:rsidRPr="00E76E89">
        <w:t xml:space="preserve">, LRT užėmimo operacijai vadovauti buvo paskirtas kapitonas </w:t>
      </w:r>
      <w:r w:rsidR="006036E7" w:rsidRPr="00E76E89">
        <w:t>S. P.</w:t>
      </w:r>
      <w:r w:rsidRPr="00E76E89">
        <w:t xml:space="preserve">, o baterijai vadovavo vyresnysis leitenantas </w:t>
      </w:r>
      <w:r w:rsidR="006036E7" w:rsidRPr="00E76E89">
        <w:t>S. G.</w:t>
      </w:r>
      <w:r w:rsidRPr="00E76E89">
        <w:t xml:space="preserve">. Pasak advokatės, būtent jų nurodymus nuteistasis privalėjo vykdyti, o susitarimo tarp jo ir vadų nebuvo. Nuteistojo gynėjos įsitikinimu, toks </w:t>
      </w:r>
      <w:r w:rsidR="006036E7" w:rsidRPr="00E76E89">
        <w:t>V. G.</w:t>
      </w:r>
      <w:r w:rsidRPr="00E76E89">
        <w:t xml:space="preserve"> ir aukštesniųjų vadų tarpusavio santykis negali būti vertinamas kaip susitarimas dėl bendrų veiksmų ar savanoriškas nuteistojo dalyvavimas neteisėtuose veiksmuose.</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t xml:space="preserve">Apeliantė nesutinka su teismo išvadomis </w:t>
      </w:r>
      <w:r w:rsidR="000837B3" w:rsidRPr="00E76E89">
        <w:t xml:space="preserve">ir </w:t>
      </w:r>
      <w:r w:rsidRPr="00E76E89">
        <w:t xml:space="preserve">dėl </w:t>
      </w:r>
      <w:r w:rsidR="006036E7" w:rsidRPr="00E76E89">
        <w:t>V. G.</w:t>
      </w:r>
      <w:r w:rsidRPr="00E76E89">
        <w:t xml:space="preserve"> vaidmens 1991 m. sausio mėnesio įvykių metu. Vadovaudamasi </w:t>
      </w:r>
      <w:r w:rsidR="0042306C" w:rsidRPr="00E76E89">
        <w:t>TBT</w:t>
      </w:r>
      <w:r w:rsidRPr="00E76E89">
        <w:t xml:space="preserve"> praktika, apeliantė teigia, kad šioje byloje labai svarbu nustatyti konkrečius nuteistojo atliktus veiksmus ir įvertinti, ar jie sudaro nusikaltimo prieš civilius gyventojus sudėtį. Gynėja neginčija teismo išvados, kad </w:t>
      </w:r>
      <w:r w:rsidR="006036E7" w:rsidRPr="00E76E89">
        <w:t>V. G.</w:t>
      </w:r>
      <w:r w:rsidRPr="00E76E89">
        <w:t xml:space="preserve"> LRT pastate atjungė aparatūrą ir iš šio pastato šalino civilius. Tačiau teismo išvada, kad jos ginamasis veikė bendrininkų grupe, vadovavo operacijai užimant LRT, išrikiavo BMD, nukreipė pabūklus į pastatą ir atliko kitus jam inkriminuojamus veiksmus, neatitink</w:t>
      </w:r>
      <w:r w:rsidR="00C66292" w:rsidRPr="00E76E89">
        <w:t>a faktinių bylos aplinkybių. Be </w:t>
      </w:r>
      <w:r w:rsidRPr="00E76E89">
        <w:t xml:space="preserve">to, </w:t>
      </w:r>
      <w:bookmarkStart w:id="91" w:name="_Hlk35415509"/>
      <w:r w:rsidRPr="00E76E89">
        <w:t xml:space="preserve">kaltinime nuteistojo </w:t>
      </w:r>
      <w:r w:rsidR="006036E7" w:rsidRPr="00E76E89">
        <w:t>V. G.</w:t>
      </w:r>
      <w:r w:rsidRPr="00E76E89">
        <w:t xml:space="preserve"> veiksmai buvo apibrėžti siauriau</w:t>
      </w:r>
      <w:r w:rsidR="008E472E" w:rsidRPr="00E76E89">
        <w:t>,</w:t>
      </w:r>
      <w:r w:rsidRPr="00E76E89">
        <w:t xml:space="preserve"> nei nustatė teismas, nes kaltinime nebuvo inkriminuota, jog </w:t>
      </w:r>
      <w:r w:rsidR="006036E7" w:rsidRPr="00E76E89">
        <w:t>V. G.</w:t>
      </w:r>
      <w:r w:rsidRPr="00E76E89">
        <w:t xml:space="preserve"> vadovavo karinei operacijai prie LRT, išrikiavo ir nukreipė pabūklus bei karinės operacijos apšvietimo prietaisus į puolamą pastatą, išlaužė duris ir blokavo įėjimus.</w:t>
      </w:r>
      <w:bookmarkEnd w:id="91"/>
    </w:p>
    <w:p w:rsidR="00783710" w:rsidRPr="00E76E89" w:rsidRDefault="001B2545" w:rsidP="00321748">
      <w:pPr>
        <w:pStyle w:val="ListParagraph"/>
        <w:numPr>
          <w:ilvl w:val="1"/>
          <w:numId w:val="6"/>
        </w:numPr>
        <w:spacing w:before="120" w:after="120"/>
        <w:ind w:left="992" w:hanging="992"/>
        <w:contextualSpacing w:val="0"/>
        <w:rPr>
          <w:szCs w:val="24"/>
        </w:rPr>
      </w:pPr>
      <w:r w:rsidRPr="00E76E89">
        <w:t xml:space="preserve">Anot gynėjos, specialisto išvadoje nepagrįstai nurodoma, kad baterijai vadovavo </w:t>
      </w:r>
      <w:r w:rsidR="006036E7" w:rsidRPr="00E76E89">
        <w:t>V. G.</w:t>
      </w:r>
      <w:r w:rsidRPr="00E76E89">
        <w:t xml:space="preserve">. Vadovaudamasi nuteistojo apklausos protokolu, apeliantė teigia, kad jis buvo ne visos baterijos, o tik jos 2-ojo būrio vadas, todėl specialisto išvadoje padaryta klaida. Gynėjos įsitikinimu, tai, kad </w:t>
      </w:r>
      <w:r w:rsidR="006036E7" w:rsidRPr="00E76E89">
        <w:t>V. G.</w:t>
      </w:r>
      <w:r w:rsidRPr="00E76E89">
        <w:t xml:space="preserve"> nevadovavo užimant LRT pastatą ir neatliko kitų veiksmų, patvirtina ir kiti duomenys. </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t xml:space="preserve">Nuteistasis </w:t>
      </w:r>
      <w:r w:rsidR="006036E7" w:rsidRPr="00E76E89">
        <w:t>S. G.</w:t>
      </w:r>
      <w:r w:rsidRPr="00E76E89">
        <w:t xml:space="preserve"> patvirtino, kad būtent jis vadova</w:t>
      </w:r>
      <w:r w:rsidR="00783710" w:rsidRPr="00E76E89">
        <w:t>vo karių grupei, užimančiai LRT </w:t>
      </w:r>
      <w:r w:rsidRPr="00E76E89">
        <w:t>pastatą. Liudytojai D. Č</w:t>
      </w:r>
      <w:r w:rsidR="00660130" w:rsidRPr="00E76E89">
        <w:t>.</w:t>
      </w:r>
      <w:r w:rsidRPr="00E76E89">
        <w:t xml:space="preserve"> ir P. S</w:t>
      </w:r>
      <w:r w:rsidR="00660130" w:rsidRPr="00E76E89">
        <w:t>.</w:t>
      </w:r>
      <w:r w:rsidRPr="00E76E89">
        <w:t xml:space="preserve"> parodė, kad būtent </w:t>
      </w:r>
      <w:r w:rsidR="006036E7" w:rsidRPr="00E76E89">
        <w:t>S. G.</w:t>
      </w:r>
      <w:r w:rsidRPr="00E76E89">
        <w:t xml:space="preserve"> jiems p</w:t>
      </w:r>
      <w:r w:rsidR="00660130" w:rsidRPr="00E76E89">
        <w:t>ranešė apie užduotį saugoti LRT </w:t>
      </w:r>
      <w:r w:rsidRPr="00E76E89">
        <w:t>pastatą ir vedė instruktažą dėl ginklų naudojimo.</w:t>
      </w:r>
      <w:r w:rsidR="00783710" w:rsidRPr="00E76E89">
        <w:t xml:space="preserve"> </w:t>
      </w:r>
      <w:r w:rsidRPr="00E76E89">
        <w:t>Liudytojas S. P</w:t>
      </w:r>
      <w:r w:rsidR="00660130" w:rsidRPr="00E76E89">
        <w:t>.</w:t>
      </w:r>
      <w:r w:rsidRPr="00E76E89">
        <w:t xml:space="preserve"> nurodė, kad jų baterija sulipo į automobilį, kuriame vyresniuoju buvo leitenantas </w:t>
      </w:r>
      <w:r w:rsidR="006036E7" w:rsidRPr="00E76E89">
        <w:t>V. G.</w:t>
      </w:r>
      <w:r w:rsidRPr="00E76E89">
        <w:t>, tačiau jokių faktinių vadovauja</w:t>
      </w:r>
      <w:r w:rsidR="00262B32" w:rsidRPr="00E76E89">
        <w:t>mojo</w:t>
      </w:r>
      <w:r w:rsidRPr="00E76E89">
        <w:t xml:space="preserve"> pobūdžio veiksmų nenurodė. Teigė, kad </w:t>
      </w:r>
      <w:r w:rsidR="006036E7" w:rsidRPr="00E76E89">
        <w:t>S. G.</w:t>
      </w:r>
      <w:r w:rsidRPr="00E76E89">
        <w:t xml:space="preserve"> davė užduotį kuopai ir vadovavo baterijai. Liudytojas </w:t>
      </w:r>
      <w:r w:rsidR="00660130" w:rsidRPr="00E76E89">
        <w:t>L. Z.</w:t>
      </w:r>
      <w:r w:rsidRPr="00E76E89">
        <w:t xml:space="preserve">, kuris važiavo tuo pačiu automobiliu kaip </w:t>
      </w:r>
      <w:r w:rsidR="006036E7" w:rsidRPr="00E76E89">
        <w:t>V. G.</w:t>
      </w:r>
      <w:r w:rsidRPr="00E76E89">
        <w:t xml:space="preserve">, vyresniuoju automobilyje įvardijo majorą </w:t>
      </w:r>
      <w:r w:rsidR="006036E7" w:rsidRPr="00E76E89">
        <w:t>B. S.</w:t>
      </w:r>
      <w:r w:rsidRPr="00E76E89">
        <w:t xml:space="preserve">. Liudytojas </w:t>
      </w:r>
      <w:r w:rsidR="00660130" w:rsidRPr="00E76E89">
        <w:t>J. T.</w:t>
      </w:r>
      <w:r w:rsidRPr="00E76E89">
        <w:t xml:space="preserve"> nurodė, kad </w:t>
      </w:r>
      <w:r w:rsidR="006036E7" w:rsidRPr="00E76E89">
        <w:t>S. G.</w:t>
      </w:r>
      <w:r w:rsidRPr="00E76E89">
        <w:t xml:space="preserve"> davė komandą išlaužti LRT pastato duris, o </w:t>
      </w:r>
      <w:r w:rsidR="006036E7" w:rsidRPr="00E76E89">
        <w:t>V. G.</w:t>
      </w:r>
      <w:r w:rsidRPr="00E76E89">
        <w:t xml:space="preserve"> jokių komandų nedavė.</w:t>
      </w:r>
      <w:r w:rsidR="00783710" w:rsidRPr="00E76E89">
        <w:t xml:space="preserve"> </w:t>
      </w:r>
      <w:r w:rsidRPr="00E76E89">
        <w:t>Apeliantės teigimu, priešingai nei nurodė pirmosios instancijos teismas, teisiamajame posėdyje perskaityti kariškių V. A</w:t>
      </w:r>
      <w:r w:rsidR="00660130" w:rsidRPr="00E76E89">
        <w:t>.</w:t>
      </w:r>
      <w:r w:rsidRPr="00E76E89">
        <w:t xml:space="preserve">, </w:t>
      </w:r>
      <w:r w:rsidR="00660130" w:rsidRPr="00E76E89">
        <w:t>J. M., V. V.</w:t>
      </w:r>
      <w:r w:rsidRPr="00E76E89">
        <w:t xml:space="preserve"> ir kitų parodymai nepatvirtina, kad šiai operacijai turėjo vadovauti </w:t>
      </w:r>
      <w:r w:rsidR="006036E7" w:rsidRPr="00E76E89">
        <w:t>V. G.</w:t>
      </w:r>
      <w:r w:rsidRPr="00E76E89">
        <w:t xml:space="preserve">. Gynėjos teigimu, jų parodymuose net nepaminėta pastarojo pavardė. </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t xml:space="preserve">Nuteistojo gynėjos įsitikinimu, minėti duomenys paneigia teismo išvadą, kad </w:t>
      </w:r>
      <w:r w:rsidR="006036E7" w:rsidRPr="00E76E89">
        <w:t>V. G.</w:t>
      </w:r>
      <w:r w:rsidRPr="00E76E89">
        <w:t xml:space="preserve"> vadovavo karinei operacijai prie LRT pastato ir atliko kitus veiksmus šioje vietoje. Minėtų kariškių parodymų analizė rodo ir tai, kad</w:t>
      </w:r>
      <w:r w:rsidR="008309B3" w:rsidRPr="00E76E89">
        <w:t>,</w:t>
      </w:r>
      <w:r w:rsidRPr="00E76E89">
        <w:t xml:space="preserve"> operacinės grupės kariškiams atvykus, pastatas jau buvo užimtas, todėl jie nesulaukė jokio pasipriešinimo ir nebuvo panaudotas smurtas prieš pastate buvusius darbuotojus. Pastate buvę liudytojai E. V</w:t>
      </w:r>
      <w:r w:rsidR="00660130" w:rsidRPr="00E76E89">
        <w:t>., G. </w:t>
      </w:r>
      <w:r w:rsidRPr="00E76E89">
        <w:t>Z</w:t>
      </w:r>
      <w:r w:rsidR="00660130" w:rsidRPr="00E76E89">
        <w:t>.</w:t>
      </w:r>
      <w:r w:rsidRPr="00E76E89">
        <w:t>, J. B</w:t>
      </w:r>
      <w:r w:rsidR="00660130" w:rsidRPr="00E76E89">
        <w:t>.</w:t>
      </w:r>
      <w:r w:rsidRPr="00E76E89">
        <w:t xml:space="preserve"> ir </w:t>
      </w:r>
      <w:r w:rsidR="00660130" w:rsidRPr="00E76E89">
        <w:t>A. R.</w:t>
      </w:r>
      <w:r w:rsidRPr="00E76E89">
        <w:t xml:space="preserve"> nurodė matę, kaip pastatas užimamas, darbuotojai iš jo šalinami, tačiau nematė desantininkų smurto prieš civilius. Tai rodo, kad </w:t>
      </w:r>
      <w:r w:rsidR="006036E7" w:rsidRPr="00E76E89">
        <w:t>V. G.</w:t>
      </w:r>
      <w:r w:rsidRPr="00E76E89">
        <w:t xml:space="preserve"> veiksmais n</w:t>
      </w:r>
      <w:r w:rsidR="00262B32" w:rsidRPr="00E76E89">
        <w:t>ė</w:t>
      </w:r>
      <w:r w:rsidRPr="00E76E89">
        <w:t xml:space="preserve"> vienas asmuo nebuvo nužudytas ar sužalotas, su civiliais nebuvo elgiamasi nežmoniškai, nebuvo naudojamos uždraustos karo priemonės. </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lastRenderedPageBreak/>
        <w:t xml:space="preserve">Gynėjos įsitikinimu, teismas tinkamai neindividualizavo bausmės </w:t>
      </w:r>
      <w:r w:rsidR="006036E7" w:rsidRPr="00E76E89">
        <w:t>V. G.</w:t>
      </w:r>
      <w:r w:rsidRPr="00E76E89">
        <w:t xml:space="preserve"> ir neatsižvelgė į jo atsakomybę švelninančias aplinkybes. Teismas neatsižvelgė į tai, kad nuteistasis vykdė įsakymą, kuriam nepaklusti galimybė labai ribota, o ši aplinkybė pagal tarptautinę praktiką lengvina asmens atsakomybę. Byloje nenustatyta ir tai, kad dėl paties </w:t>
      </w:r>
      <w:r w:rsidR="006036E7" w:rsidRPr="00E76E89">
        <w:t>V. G.</w:t>
      </w:r>
      <w:r w:rsidRPr="00E76E89">
        <w:t xml:space="preserve"> atliktų veiksmų būtų nukentėję civiliai. Nuo byloje nagrinėjamų įvykių praėjo daugiau nei 27 metai, o įtarimai dėl veikos padarymo nuteistajam buvo pareikšti tik praėjus 22 metams. Anot nuteistojo gynėjos, todėl ir ilga proceso trukmė, kuriai įtakos neturėjo nuteistojo veiksmai, lengvina jo atsakomybę. </w:t>
      </w:r>
    </w:p>
    <w:p w:rsidR="001B2545" w:rsidRPr="00C00255" w:rsidRDefault="001B2545" w:rsidP="00321748">
      <w:pPr>
        <w:pStyle w:val="ListParagraph"/>
        <w:numPr>
          <w:ilvl w:val="0"/>
          <w:numId w:val="6"/>
        </w:numPr>
        <w:spacing w:before="120" w:after="120"/>
        <w:ind w:left="992" w:hanging="992"/>
        <w:contextualSpacing w:val="0"/>
      </w:pPr>
      <w:bookmarkStart w:id="92" w:name="_Toc37947857"/>
      <w:bookmarkStart w:id="93" w:name="_Toc67677336"/>
      <w:bookmarkStart w:id="94" w:name="_Toc67985463"/>
      <w:r w:rsidRPr="00D43DF2">
        <w:rPr>
          <w:b/>
        </w:rPr>
        <w:t xml:space="preserve">Nuteistojo </w:t>
      </w:r>
      <w:r w:rsidR="006036E7" w:rsidRPr="00D43DF2">
        <w:rPr>
          <w:b/>
        </w:rPr>
        <w:t>A. S.</w:t>
      </w:r>
      <w:r w:rsidRPr="00D43DF2">
        <w:rPr>
          <w:b/>
        </w:rPr>
        <w:t xml:space="preserve"> gynėjas</w:t>
      </w:r>
      <w:bookmarkEnd w:id="92"/>
      <w:bookmarkEnd w:id="93"/>
      <w:bookmarkEnd w:id="94"/>
      <w:r w:rsidRPr="00D43DF2">
        <w:rPr>
          <w:b/>
        </w:rPr>
        <w:t xml:space="preserve"> advokatas A. Kojal</w:t>
      </w:r>
      <w:r w:rsidR="008309B3" w:rsidRPr="00D43DF2">
        <w:rPr>
          <w:b/>
        </w:rPr>
        <w:t>a</w:t>
      </w:r>
      <w:r w:rsidRPr="00D43DF2">
        <w:t xml:space="preserve"> </w:t>
      </w:r>
      <w:r w:rsidRPr="00C00255">
        <w:t xml:space="preserve">apeliaciniu skundu prašo pakeisti skundžiamą apygardos teismo nuosprendį BPK 328 straipsnio 1 ir </w:t>
      </w:r>
      <w:r w:rsidR="00D64F26" w:rsidRPr="00C00255">
        <w:t>2 punkt</w:t>
      </w:r>
      <w:r w:rsidR="00262B32" w:rsidRPr="00C00255">
        <w:t>uose</w:t>
      </w:r>
      <w:r w:rsidR="00D64F26" w:rsidRPr="00C00255">
        <w:t xml:space="preserve"> numatytais pagrindais </w:t>
      </w:r>
      <w:r w:rsidRPr="00C00255">
        <w:t>ir sušvelninti</w:t>
      </w:r>
      <w:r w:rsidR="008434B8" w:rsidRPr="00C00255">
        <w:t xml:space="preserve"> </w:t>
      </w:r>
      <w:r w:rsidRPr="00C00255">
        <w:t>paskirtą bausmę</w:t>
      </w:r>
      <w:r w:rsidR="00783710" w:rsidRPr="00C00255">
        <w:t xml:space="preserve"> (a</w:t>
      </w:r>
      <w:r w:rsidRPr="00C00255">
        <w:t xml:space="preserve">peliaciniame skunde nurodyta, kad </w:t>
      </w:r>
      <w:r w:rsidR="006036E7">
        <w:t>A. S.</w:t>
      </w:r>
      <w:r w:rsidRPr="00C00255">
        <w:t xml:space="preserve"> veikos kvalifikacija neatitinka faktinių bylos aplinkybių, tačiau tikslesnių prašymų dėl veikų perkvalifikavimo ar motyvų šiuo klausimu nepateikta</w:t>
      </w:r>
      <w:r w:rsidR="00783710" w:rsidRPr="00C00255">
        <w:t>)</w:t>
      </w:r>
      <w:r w:rsidRPr="00C00255">
        <w:t>.</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teismas netiksliai aprašė </w:t>
      </w:r>
      <w:r w:rsidR="006036E7" w:rsidRPr="00E76E89">
        <w:rPr>
          <w:szCs w:val="24"/>
        </w:rPr>
        <w:t>A. S.</w:t>
      </w:r>
      <w:r w:rsidRPr="00E76E89">
        <w:rPr>
          <w:szCs w:val="24"/>
        </w:rPr>
        <w:t xml:space="preserve"> kvalifikuotų nusikalstamų veikų padarymo aplinkybes, t.</w:t>
      </w:r>
      <w:r w:rsidR="00262B32" w:rsidRPr="00E76E89">
        <w:rPr>
          <w:szCs w:val="24"/>
        </w:rPr>
        <w:t> </w:t>
      </w:r>
      <w:r w:rsidRPr="00E76E89">
        <w:rPr>
          <w:szCs w:val="24"/>
        </w:rPr>
        <w:t xml:space="preserve">y. nuosprendžio 791 lape ir prie bausmės skyrimo motyvų teismas nurodė, kad </w:t>
      </w:r>
      <w:r w:rsidR="006036E7" w:rsidRPr="00E76E89">
        <w:rPr>
          <w:szCs w:val="24"/>
        </w:rPr>
        <w:t>A. S.</w:t>
      </w:r>
      <w:r w:rsidRPr="00E76E89">
        <w:rPr>
          <w:szCs w:val="24"/>
        </w:rPr>
        <w:t xml:space="preserve">, dalyvaudamas </w:t>
      </w:r>
      <w:r w:rsidR="007403E5" w:rsidRPr="00E76E89">
        <w:rPr>
          <w:szCs w:val="24"/>
        </w:rPr>
        <w:t>LRT</w:t>
      </w:r>
      <w:r w:rsidRPr="00E76E89">
        <w:rPr>
          <w:szCs w:val="24"/>
        </w:rPr>
        <w:t xml:space="preserve"> pastato šturme, be kitų veiksmų</w:t>
      </w:r>
      <w:r w:rsidR="00A64F38" w:rsidRPr="00E76E89">
        <w:rPr>
          <w:szCs w:val="24"/>
        </w:rPr>
        <w:t>,</w:t>
      </w:r>
      <w:r w:rsidRPr="00E76E89">
        <w:rPr>
          <w:szCs w:val="24"/>
        </w:rPr>
        <w:t xml:space="preserve"> dar ir šaudė į priešais esantį gyvenamąjį namą snaiperiniu šautuvu 7,62</w:t>
      </w:r>
      <w:r w:rsidR="003A52DB" w:rsidRPr="00E76E89">
        <w:rPr>
          <w:szCs w:val="24"/>
        </w:rPr>
        <w:t> </w:t>
      </w:r>
      <w:r w:rsidRPr="00E76E89">
        <w:rPr>
          <w:szCs w:val="24"/>
        </w:rPr>
        <w:t>mm</w:t>
      </w:r>
      <w:r w:rsidR="0049485C" w:rsidRPr="00E76E89">
        <w:rPr>
          <w:szCs w:val="24"/>
        </w:rPr>
        <w:t xml:space="preserve"> kalibro</w:t>
      </w:r>
      <w:r w:rsidRPr="00E76E89">
        <w:rPr>
          <w:szCs w:val="24"/>
        </w:rPr>
        <w:t xml:space="preserve"> šoviniais. Gynėjo vertinimu, byloje nėra įrodymų apie </w:t>
      </w:r>
      <w:r w:rsidR="006036E7" w:rsidRPr="00E76E89">
        <w:rPr>
          <w:szCs w:val="24"/>
        </w:rPr>
        <w:t>A. S.</w:t>
      </w:r>
      <w:r w:rsidRPr="00E76E89">
        <w:rPr>
          <w:szCs w:val="24"/>
        </w:rPr>
        <w:t xml:space="preserve"> daug</w:t>
      </w:r>
      <w:r w:rsidR="0049485C" w:rsidRPr="00E76E89">
        <w:rPr>
          <w:szCs w:val="24"/>
        </w:rPr>
        <w:t>ybinį šaudymą 7,62 </w:t>
      </w:r>
      <w:r w:rsidRPr="00E76E89">
        <w:rPr>
          <w:szCs w:val="24"/>
        </w:rPr>
        <w:t>mm</w:t>
      </w:r>
      <w:r w:rsidR="0049485C" w:rsidRPr="00E76E89">
        <w:rPr>
          <w:szCs w:val="24"/>
        </w:rPr>
        <w:t xml:space="preserve"> kalibro</w:t>
      </w:r>
      <w:r w:rsidRPr="00E76E89">
        <w:rPr>
          <w:szCs w:val="24"/>
        </w:rPr>
        <w:t xml:space="preserve"> šoviniais į minėtą pastatą. Bylos duomenys patvirtina, kad nuteistasis po to, kai iš gyvenamojo namo į kariškių pusę buvo iššauta viena automatinė serija, pamatęs laiptinės lange galimai šaudžiusio žmogaus siluetą, vieną kartą iš SVD šautuvo šovė 7,62 mm kalibro koviniu šoviniu į laiptinės langą, bet dėl to n</w:t>
      </w:r>
      <w:r w:rsidR="00A64F38" w:rsidRPr="00E76E89">
        <w:rPr>
          <w:szCs w:val="24"/>
        </w:rPr>
        <w:t>ė</w:t>
      </w:r>
      <w:r w:rsidRPr="00E76E89">
        <w:rPr>
          <w:szCs w:val="24"/>
        </w:rPr>
        <w:t xml:space="preserve"> vienas žmogus</w:t>
      </w:r>
      <w:r w:rsidR="0049485C" w:rsidRPr="00E76E89">
        <w:rPr>
          <w:szCs w:val="24"/>
        </w:rPr>
        <w:t xml:space="preserve"> nenukentėjo (nuosprendžio 483, </w:t>
      </w:r>
      <w:r w:rsidRPr="00E76E89">
        <w:rPr>
          <w:szCs w:val="24"/>
        </w:rPr>
        <w:t>593, 708, 710, 722 ir 723 lapai).</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rPr>
          <w:szCs w:val="24"/>
        </w:rPr>
        <w:t xml:space="preserve">Gynėjo teigimu, nuosprendyje nėra jokių duomenų, patvirtinančių, kad būtent </w:t>
      </w:r>
      <w:r w:rsidR="006036E7" w:rsidRPr="00E76E89">
        <w:rPr>
          <w:szCs w:val="24"/>
        </w:rPr>
        <w:t>A. S.</w:t>
      </w:r>
      <w:r w:rsidRPr="00E76E89">
        <w:rPr>
          <w:szCs w:val="24"/>
        </w:rPr>
        <w:t xml:space="preserve"> savo asmeniniais nusikalstamais veiksmais būtų žalojęs ar sužalojęs civilius asmenis ar kad būtų kam nors įsakęs vykdyti karinę ataką, žudyti civilius žmones bei nežmoniškai elgtis su jais.</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rPr>
          <w:szCs w:val="24"/>
        </w:rPr>
        <w:t xml:space="preserve">Apeliaciniame skunde nurodoma, kad atvykęs į Lietuvą </w:t>
      </w:r>
      <w:r w:rsidR="006036E7" w:rsidRPr="00E76E89">
        <w:rPr>
          <w:szCs w:val="24"/>
        </w:rPr>
        <w:t>A. S.</w:t>
      </w:r>
      <w:r w:rsidRPr="00E76E89">
        <w:rPr>
          <w:szCs w:val="24"/>
        </w:rPr>
        <w:t xml:space="preserve"> buvo suklaidintas dėl atvykimo tikslo. Iš Pskovo atvykusiems kariškiams buvo teigiama, kad jie užtikrins jaunuolių šaukimą į armiją, o vėliau duotas įsakymas dėl civilinių pastatų kontrolės perėmimo buvo aiškinamas mieste kilusiais neramumais. Taigi kariškiai apgaulės būdu buvo priversti dalyvauti karinėje operacijoje prieš civilius gyventojus. Įsakymą vykdyti civilinių objektų puolimą ir jų perėmimą davė TSRS </w:t>
      </w:r>
      <w:r w:rsidR="00BB560E" w:rsidRPr="00E76E89">
        <w:rPr>
          <w:szCs w:val="24"/>
        </w:rPr>
        <w:t>GM</w:t>
      </w:r>
      <w:r w:rsidRPr="00E76E89">
        <w:rPr>
          <w:szCs w:val="24"/>
        </w:rPr>
        <w:t xml:space="preserve">, o konkrečiai </w:t>
      </w:r>
      <w:r w:rsidR="006036E7" w:rsidRPr="00E76E89">
        <w:rPr>
          <w:szCs w:val="24"/>
        </w:rPr>
        <w:t>A. S.</w:t>
      </w:r>
      <w:r w:rsidRPr="00E76E89">
        <w:rPr>
          <w:szCs w:val="24"/>
        </w:rPr>
        <w:t xml:space="preserve"> nurodymą davė kuopos vadas vyr. leitenantas </w:t>
      </w:r>
      <w:r w:rsidR="006036E7" w:rsidRPr="00E76E89">
        <w:rPr>
          <w:szCs w:val="24"/>
        </w:rPr>
        <w:t>S. M.</w:t>
      </w:r>
      <w:r w:rsidRPr="00E76E89">
        <w:rPr>
          <w:szCs w:val="24"/>
        </w:rPr>
        <w:t>. Nuteistasis negalėjo atsisakyti vykdyti įsakymo, nes jam būtų grėsęs kar</w:t>
      </w:r>
      <w:r w:rsidR="0049485C" w:rsidRPr="00E76E89">
        <w:rPr>
          <w:szCs w:val="24"/>
        </w:rPr>
        <w:t>o</w:t>
      </w:r>
      <w:r w:rsidRPr="00E76E89">
        <w:rPr>
          <w:szCs w:val="24"/>
        </w:rPr>
        <w:t xml:space="preserve"> tribunolas. Gynėjo vertinimu, vien įsakymo vykdymas neatleidžia nuo baudžiamosios atsakomybės, bet šis faktas turi įtakos individualiam nuteistojo veiksmų vertinimui ir bausmės parinkimui, todėl nuteistajam, užtikrinant teisingumo principo įgyvendinimą, turėtų būti paskirta švelnesnė bausmė. </w:t>
      </w:r>
    </w:p>
    <w:p w:rsidR="001B2545" w:rsidRPr="00E76E89" w:rsidRDefault="001B2545" w:rsidP="00321748">
      <w:pPr>
        <w:pStyle w:val="ListParagraph"/>
        <w:numPr>
          <w:ilvl w:val="1"/>
          <w:numId w:val="6"/>
        </w:numPr>
        <w:spacing w:before="120" w:after="120"/>
        <w:ind w:left="992" w:hanging="992"/>
        <w:contextualSpacing w:val="0"/>
        <w:rPr>
          <w:szCs w:val="24"/>
        </w:rPr>
      </w:pPr>
      <w:r w:rsidRPr="00E76E89">
        <w:rPr>
          <w:szCs w:val="24"/>
        </w:rPr>
        <w:t xml:space="preserve">Anot gynėjo, nuosprendžio 578 lape buvo padaryta rašymo apsirikimo klaida, klaidingai nurodant </w:t>
      </w:r>
      <w:r w:rsidR="006036E7" w:rsidRPr="00E76E89">
        <w:rPr>
          <w:szCs w:val="24"/>
        </w:rPr>
        <w:t>A. S.</w:t>
      </w:r>
      <w:r w:rsidRPr="00E76E89">
        <w:rPr>
          <w:szCs w:val="24"/>
        </w:rPr>
        <w:t xml:space="preserve"> karinį laipsnį – vyr. leitenantas, nors jis buvo leitenantas.</w:t>
      </w:r>
    </w:p>
    <w:p w:rsidR="00BE4595" w:rsidRPr="00E76E89" w:rsidRDefault="001B2545" w:rsidP="00321748">
      <w:pPr>
        <w:pStyle w:val="ListParagraph"/>
        <w:numPr>
          <w:ilvl w:val="1"/>
          <w:numId w:val="6"/>
        </w:numPr>
        <w:spacing w:before="120" w:after="120"/>
        <w:ind w:left="992" w:hanging="992"/>
        <w:contextualSpacing w:val="0"/>
        <w:rPr>
          <w:szCs w:val="24"/>
        </w:rPr>
      </w:pPr>
      <w:r w:rsidRPr="00E76E89">
        <w:rPr>
          <w:szCs w:val="24"/>
        </w:rPr>
        <w:t xml:space="preserve">Taip pat apeliaciniame skunde pažymima, kad </w:t>
      </w:r>
      <w:r w:rsidR="006036E7" w:rsidRPr="00E76E89">
        <w:rPr>
          <w:szCs w:val="24"/>
        </w:rPr>
        <w:t>A. S.</w:t>
      </w:r>
      <w:r w:rsidRPr="00E76E89">
        <w:rPr>
          <w:szCs w:val="24"/>
        </w:rPr>
        <w:t xml:space="preserve"> buvo apklaustas tik kaip liudytojas, o ne įtariamasis</w:t>
      </w:r>
      <w:r w:rsidR="008309B3" w:rsidRPr="00E76E89">
        <w:rPr>
          <w:szCs w:val="24"/>
        </w:rPr>
        <w:t>,</w:t>
      </w:r>
      <w:r w:rsidRPr="00E76E89">
        <w:rPr>
          <w:szCs w:val="24"/>
        </w:rPr>
        <w:t xml:space="preserve"> ir būtent šiais parodymais teismas grindė apkaltinamąjį nuosprendį.</w:t>
      </w:r>
    </w:p>
    <w:p w:rsidR="00D43DF2" w:rsidRDefault="00D43DF2" w:rsidP="00D43DF2">
      <w:pPr>
        <w:pStyle w:val="ListParagraph"/>
        <w:numPr>
          <w:ilvl w:val="0"/>
          <w:numId w:val="6"/>
        </w:numPr>
        <w:spacing w:before="120" w:after="120"/>
        <w:ind w:left="992" w:hanging="992"/>
        <w:contextualSpacing w:val="0"/>
      </w:pPr>
      <w:r w:rsidRPr="00D43DF2">
        <w:rPr>
          <w:b/>
        </w:rPr>
        <w:t>Nuteistojo A. L. gynėjai advokatai A. Švedas ir S. Lauraitis</w:t>
      </w:r>
      <w:r w:rsidRPr="00D43DF2">
        <w:t xml:space="preserve"> apeliaciniu skundu prašo panaikinti pirmosios instancijos teismo nuosprendį ir dėl jų ginamojo priimti išteisinamąjį nuosprendį, kadangi nepadarytos veikos, turinčios nusikaltimo požymių.</w:t>
      </w:r>
    </w:p>
    <w:p w:rsidR="007C094E" w:rsidRPr="00E76E89" w:rsidRDefault="007C094E" w:rsidP="00321748">
      <w:pPr>
        <w:pStyle w:val="ListParagraph"/>
        <w:numPr>
          <w:ilvl w:val="1"/>
          <w:numId w:val="6"/>
        </w:numPr>
        <w:spacing w:before="120" w:after="120"/>
        <w:ind w:left="992" w:hanging="992"/>
        <w:contextualSpacing w:val="0"/>
        <w:rPr>
          <w:szCs w:val="24"/>
        </w:rPr>
      </w:pPr>
      <w:r w:rsidRPr="00E76E89">
        <w:rPr>
          <w:szCs w:val="24"/>
        </w:rPr>
        <w:lastRenderedPageBreak/>
        <w:t xml:space="preserve">Apeliaciniame skunde teigiama, kad byloje nėra duomenų, kurie patvirtintų </w:t>
      </w:r>
      <w:r w:rsidR="006036E7" w:rsidRPr="00E76E89">
        <w:rPr>
          <w:szCs w:val="24"/>
        </w:rPr>
        <w:t>A. L.</w:t>
      </w:r>
      <w:r w:rsidRPr="00E76E89">
        <w:rPr>
          <w:szCs w:val="24"/>
        </w:rPr>
        <w:t xml:space="preserve"> inkriminuotų nusikalstamų veikų objektyviuosius požymius – neteisėtus veiksmus ir priežastinį ryšį su kilusi</w:t>
      </w:r>
      <w:r w:rsidR="00A64F38" w:rsidRPr="00E76E89">
        <w:rPr>
          <w:szCs w:val="24"/>
        </w:rPr>
        <w:t>ais padariniais</w:t>
      </w:r>
      <w:r w:rsidRPr="00E76E89">
        <w:rPr>
          <w:szCs w:val="24"/>
        </w:rPr>
        <w:t xml:space="preserve">. Taip pat nuteistasis nėra atsakomybės už jam inkriminuotas veikas subjektas. Nuteistasis 1991 m. sausio mėnesio įvykių metu į žmones nešaudė, jų nežalojo bei tokių įsakymų nedavė jam pavaldiems kareiviams. Jis tik vykdydamas aukštesnių pareigūnų įsakymus padėjo atstumti minią nuo </w:t>
      </w:r>
      <w:r w:rsidR="00DE3B19" w:rsidRPr="00E76E89">
        <w:rPr>
          <w:szCs w:val="24"/>
        </w:rPr>
        <w:t>TV</w:t>
      </w:r>
      <w:r w:rsidRPr="00E76E89">
        <w:rPr>
          <w:szCs w:val="24"/>
        </w:rPr>
        <w:t xml:space="preserve"> bokšto. N</w:t>
      </w:r>
      <w:r w:rsidR="00A64F38" w:rsidRPr="00E76E89">
        <w:rPr>
          <w:szCs w:val="24"/>
        </w:rPr>
        <w:t>ė</w:t>
      </w:r>
      <w:r w:rsidRPr="00E76E89">
        <w:rPr>
          <w:szCs w:val="24"/>
        </w:rPr>
        <w:t xml:space="preserve"> vienas liudytojas nenurodė, kad </w:t>
      </w:r>
      <w:r w:rsidR="006036E7" w:rsidRPr="00E76E89">
        <w:rPr>
          <w:szCs w:val="24"/>
        </w:rPr>
        <w:t>A. L.</w:t>
      </w:r>
      <w:r w:rsidRPr="00E76E89">
        <w:rPr>
          <w:szCs w:val="24"/>
        </w:rPr>
        <w:t xml:space="preserve"> prie TV bokšto būtų šaudęs į žmones ar kitaip juos žalojęs, nėra ir kitų </w:t>
      </w:r>
      <w:r w:rsidR="00E707EC" w:rsidRPr="00E76E89">
        <w:rPr>
          <w:szCs w:val="24"/>
        </w:rPr>
        <w:t xml:space="preserve">duomenų (garso įrašų ir pan.), jog </w:t>
      </w:r>
      <w:r w:rsidR="006036E7" w:rsidRPr="00E76E89">
        <w:rPr>
          <w:szCs w:val="24"/>
        </w:rPr>
        <w:t>A. L.</w:t>
      </w:r>
      <w:r w:rsidRPr="00E76E89">
        <w:rPr>
          <w:szCs w:val="24"/>
        </w:rPr>
        <w:t xml:space="preserve"> tokį įsakymą būtų davęs jam pavaldiems kareiviams. Byloje taip pat nėra duomenų apie konkrečius humanitarinės teisės saugomus asmenis, prieš kuriuos </w:t>
      </w:r>
      <w:r w:rsidR="006036E7" w:rsidRPr="00E76E89">
        <w:rPr>
          <w:szCs w:val="24"/>
        </w:rPr>
        <w:t>A. L.</w:t>
      </w:r>
      <w:r w:rsidR="00E707EC" w:rsidRPr="00E76E89">
        <w:rPr>
          <w:szCs w:val="24"/>
        </w:rPr>
        <w:t xml:space="preserve"> </w:t>
      </w:r>
      <w:r w:rsidRPr="00E76E89">
        <w:rPr>
          <w:szCs w:val="24"/>
        </w:rPr>
        <w:t>asmeniškai būtų atlikęs nusikalstamus veiksmus.</w:t>
      </w:r>
    </w:p>
    <w:p w:rsidR="007C094E" w:rsidRPr="00E76E89" w:rsidRDefault="007C094E" w:rsidP="00321748">
      <w:pPr>
        <w:pStyle w:val="ListParagraph"/>
        <w:numPr>
          <w:ilvl w:val="1"/>
          <w:numId w:val="6"/>
        </w:numPr>
        <w:spacing w:before="120" w:after="120"/>
        <w:ind w:left="992" w:hanging="992"/>
        <w:contextualSpacing w:val="0"/>
        <w:rPr>
          <w:szCs w:val="24"/>
        </w:rPr>
      </w:pPr>
      <w:r w:rsidRPr="00E76E89">
        <w:rPr>
          <w:szCs w:val="24"/>
        </w:rPr>
        <w:t>Gynėjų teigimu, nuteistasis negalėjo dalyvauti jokiame nusikalstamame susitarime, kadangi jis pagal kariuomenės tvarką privalėjo vykdyti visus aukštesnių karininkų įsakymus ir neturėjo jokių galimybių su jais tartis. Gynėjų vertinimu, įsakymo vykdymas nei faktine, nei logine prasme negali būti tapatinamas su nusikalstamu susitarimu ir jo vykdymu.</w:t>
      </w:r>
    </w:p>
    <w:p w:rsidR="007C094E" w:rsidRPr="00E76E89" w:rsidRDefault="007C094E" w:rsidP="00321748">
      <w:pPr>
        <w:pStyle w:val="ListParagraph"/>
        <w:numPr>
          <w:ilvl w:val="1"/>
          <w:numId w:val="6"/>
        </w:numPr>
        <w:spacing w:before="120" w:after="120"/>
        <w:ind w:left="992" w:hanging="992"/>
        <w:contextualSpacing w:val="0"/>
        <w:rPr>
          <w:szCs w:val="24"/>
        </w:rPr>
      </w:pPr>
      <w:r w:rsidRPr="00E76E89">
        <w:rPr>
          <w:szCs w:val="24"/>
        </w:rPr>
        <w:t xml:space="preserve">Apeliaciniame skunde cituojamos 1948 m. gruodžio 10 d. Visuotinės žmogaus teisių deklaracijos, 1949 m. rugpjūčio 12 d. Ženevos konvencijos dėl civilių apsaugos karo </w:t>
      </w:r>
      <w:r w:rsidR="0042306C" w:rsidRPr="00E76E89">
        <w:rPr>
          <w:szCs w:val="24"/>
        </w:rPr>
        <w:t>metu, 1966 m. gruodžio 19 d.</w:t>
      </w:r>
      <w:r w:rsidRPr="00E76E89">
        <w:rPr>
          <w:szCs w:val="24"/>
        </w:rPr>
        <w:t xml:space="preserve"> Tarptautinio pilietinių ir politinių teisių pakto nuostatos, susijusios su baudžiamąją atsakomybę nustatančių normų galiojimu laike</w:t>
      </w:r>
      <w:r w:rsidR="008309B3" w:rsidRPr="00E76E89">
        <w:rPr>
          <w:szCs w:val="24"/>
        </w:rPr>
        <w:t>,</w:t>
      </w:r>
      <w:r w:rsidRPr="00E76E89">
        <w:rPr>
          <w:szCs w:val="24"/>
        </w:rPr>
        <w:t xml:space="preserve"> ir teigiama, kad teismas nepagrįstai </w:t>
      </w:r>
      <w:r w:rsidR="006036E7" w:rsidRPr="00E76E89">
        <w:rPr>
          <w:szCs w:val="24"/>
        </w:rPr>
        <w:t>A. L.</w:t>
      </w:r>
      <w:r w:rsidRPr="00E76E89">
        <w:rPr>
          <w:szCs w:val="24"/>
        </w:rPr>
        <w:t xml:space="preserve"> veiksmus kvalifikavo pagal nuosprendžio priėmimo metu galiojusias BK normas. Skunde </w:t>
      </w:r>
      <w:r w:rsidR="00E707EC" w:rsidRPr="00E76E89">
        <w:rPr>
          <w:szCs w:val="24"/>
        </w:rPr>
        <w:t>pabrėžiama, kad BK 3 straipsnio </w:t>
      </w:r>
      <w:r w:rsidRPr="00E76E89">
        <w:rPr>
          <w:szCs w:val="24"/>
        </w:rPr>
        <w:t xml:space="preserve">3 dalies nuostatos, </w:t>
      </w:r>
      <w:r w:rsidR="00A64F38" w:rsidRPr="00E76E89">
        <w:rPr>
          <w:szCs w:val="24"/>
        </w:rPr>
        <w:t xml:space="preserve">kuriomis </w:t>
      </w:r>
      <w:r w:rsidRPr="00E76E89">
        <w:rPr>
          <w:szCs w:val="24"/>
        </w:rPr>
        <w:t>nustat</w:t>
      </w:r>
      <w:r w:rsidR="008309B3" w:rsidRPr="00E76E89">
        <w:rPr>
          <w:szCs w:val="24"/>
        </w:rPr>
        <w:t>yta</w:t>
      </w:r>
      <w:r w:rsidRPr="00E76E89">
        <w:rPr>
          <w:szCs w:val="24"/>
        </w:rPr>
        <w:t xml:space="preserve"> išimt</w:t>
      </w:r>
      <w:r w:rsidR="00A64F38" w:rsidRPr="00E76E89">
        <w:rPr>
          <w:szCs w:val="24"/>
        </w:rPr>
        <w:t>is</w:t>
      </w:r>
      <w:r w:rsidRPr="00E76E89">
        <w:rPr>
          <w:szCs w:val="24"/>
        </w:rPr>
        <w:t xml:space="preserve"> iš taisyklės dėl griežtesnio baudžiamojo įstatymo grįžtamosios galios nebuvimo, prieštarauja Romos statutui, kurio Lietuva privalo laikytis. </w:t>
      </w:r>
    </w:p>
    <w:p w:rsidR="007C094E" w:rsidRPr="00E76E89" w:rsidRDefault="007C094E" w:rsidP="00321748">
      <w:pPr>
        <w:pStyle w:val="ListParagraph"/>
        <w:numPr>
          <w:ilvl w:val="1"/>
          <w:numId w:val="6"/>
        </w:numPr>
        <w:spacing w:before="120" w:after="120"/>
        <w:ind w:left="992" w:hanging="992"/>
        <w:contextualSpacing w:val="0"/>
        <w:rPr>
          <w:szCs w:val="24"/>
        </w:rPr>
      </w:pPr>
      <w:r w:rsidRPr="00E76E89">
        <w:rPr>
          <w:szCs w:val="24"/>
        </w:rPr>
        <w:t>Gynėjų teigimu, nuosprendyje neteisingai įvard</w:t>
      </w:r>
      <w:r w:rsidR="008309B3" w:rsidRPr="00E76E89">
        <w:rPr>
          <w:szCs w:val="24"/>
        </w:rPr>
        <w:t>y</w:t>
      </w:r>
      <w:r w:rsidRPr="00E76E89">
        <w:rPr>
          <w:szCs w:val="24"/>
        </w:rPr>
        <w:t>ti nuteistojo veiksmai, nėra aišku</w:t>
      </w:r>
      <w:r w:rsidR="00A64F38" w:rsidRPr="00E76E89">
        <w:rPr>
          <w:szCs w:val="24"/>
        </w:rPr>
        <w:t>,</w:t>
      </w:r>
      <w:r w:rsidRPr="00E76E89">
        <w:rPr>
          <w:szCs w:val="24"/>
        </w:rPr>
        <w:t xml:space="preserve"> už k</w:t>
      </w:r>
      <w:r w:rsidR="00E707EC" w:rsidRPr="00E76E89">
        <w:rPr>
          <w:szCs w:val="24"/>
        </w:rPr>
        <w:t>ą konkrečiai jis yra nuteistas</w:t>
      </w:r>
      <w:r w:rsidRPr="00E76E89">
        <w:rPr>
          <w:szCs w:val="24"/>
        </w:rPr>
        <w:t>, nuosprendžio motyvai yra nesuprantami. Pavyzdžiui, nuosprendžio 215 ir 216 lapuose du kartus ir skirting</w:t>
      </w:r>
      <w:r w:rsidR="00E707EC" w:rsidRPr="00E76E89">
        <w:rPr>
          <w:szCs w:val="24"/>
        </w:rPr>
        <w:t xml:space="preserve">ai yra nurodytas kaltinamojo </w:t>
      </w:r>
      <w:r w:rsidR="006036E7" w:rsidRPr="00E76E89">
        <w:rPr>
          <w:szCs w:val="24"/>
        </w:rPr>
        <w:t>A. L.</w:t>
      </w:r>
      <w:r w:rsidRPr="00E76E89">
        <w:rPr>
          <w:szCs w:val="24"/>
        </w:rPr>
        <w:t xml:space="preserve"> vadovavimo faktas, tačiau, anot gynėjų, taip ne</w:t>
      </w:r>
      <w:r w:rsidR="00E707EC" w:rsidRPr="00E76E89">
        <w:rPr>
          <w:szCs w:val="24"/>
        </w:rPr>
        <w:t xml:space="preserve">galėjo būti, nes leitenantas </w:t>
      </w:r>
      <w:r w:rsidR="006036E7" w:rsidRPr="00E76E89">
        <w:rPr>
          <w:szCs w:val="24"/>
        </w:rPr>
        <w:t>A. L.</w:t>
      </w:r>
      <w:r w:rsidRPr="00E76E89">
        <w:rPr>
          <w:szCs w:val="24"/>
        </w:rPr>
        <w:t xml:space="preserve"> buvo tik būrio vadas, kuris negalėjo vadovauti nei kuopai, nei stambesniam kariniam junginiui, esant jų vadams. Nuosprendyje išdės</w:t>
      </w:r>
      <w:r w:rsidR="00660130" w:rsidRPr="00E76E89">
        <w:rPr>
          <w:szCs w:val="24"/>
        </w:rPr>
        <w:t>tyti liudytojų A. </w:t>
      </w:r>
      <w:r w:rsidR="00E707EC" w:rsidRPr="00E76E89">
        <w:rPr>
          <w:szCs w:val="24"/>
        </w:rPr>
        <w:t>Z</w:t>
      </w:r>
      <w:r w:rsidR="00660130" w:rsidRPr="00E76E89">
        <w:rPr>
          <w:szCs w:val="24"/>
        </w:rPr>
        <w:t>.</w:t>
      </w:r>
      <w:r w:rsidR="00E707EC" w:rsidRPr="00E76E89">
        <w:rPr>
          <w:szCs w:val="24"/>
        </w:rPr>
        <w:t xml:space="preserve"> ir S. </w:t>
      </w:r>
      <w:r w:rsidRPr="00E76E89">
        <w:rPr>
          <w:szCs w:val="24"/>
        </w:rPr>
        <w:t>P</w:t>
      </w:r>
      <w:r w:rsidR="00660130" w:rsidRPr="00E76E89">
        <w:rPr>
          <w:szCs w:val="24"/>
        </w:rPr>
        <w:t>.</w:t>
      </w:r>
      <w:r w:rsidRPr="00E76E89">
        <w:rPr>
          <w:szCs w:val="24"/>
        </w:rPr>
        <w:t xml:space="preserve"> parodymai prieštarauja nuosprendyje padarytoms išvadoms dėl </w:t>
      </w:r>
      <w:r w:rsidR="006036E7" w:rsidRPr="00E76E89">
        <w:rPr>
          <w:szCs w:val="24"/>
        </w:rPr>
        <w:t>A. L.</w:t>
      </w:r>
      <w:r w:rsidRPr="00E76E89">
        <w:rPr>
          <w:szCs w:val="24"/>
        </w:rPr>
        <w:t xml:space="preserve"> vadovavimo veiksmų. Taip pat nuosprendžio 874 lape nurodyta, kad </w:t>
      </w:r>
      <w:r w:rsidR="006036E7" w:rsidRPr="00E76E89">
        <w:rPr>
          <w:szCs w:val="24"/>
        </w:rPr>
        <w:t>A. L.</w:t>
      </w:r>
      <w:r w:rsidRPr="00E76E89">
        <w:rPr>
          <w:szCs w:val="24"/>
        </w:rPr>
        <w:t xml:space="preserve"> dalyvavo įvykiuose prie </w:t>
      </w:r>
      <w:r w:rsidR="007403E5" w:rsidRPr="00E76E89">
        <w:rPr>
          <w:szCs w:val="24"/>
        </w:rPr>
        <w:t>LRT</w:t>
      </w:r>
      <w:r w:rsidRPr="00E76E89">
        <w:rPr>
          <w:szCs w:val="24"/>
        </w:rPr>
        <w:t>, nors nuteistasis šiuo adresu nebuvo, o nuosprendžio 884 lape jau nurodomi visai kiti nu</w:t>
      </w:r>
      <w:r w:rsidR="00660130" w:rsidRPr="00E76E89">
        <w:rPr>
          <w:szCs w:val="24"/>
        </w:rPr>
        <w:t>teistojo veiksmai, susiję su TV </w:t>
      </w:r>
      <w:r w:rsidRPr="00E76E89">
        <w:rPr>
          <w:szCs w:val="24"/>
        </w:rPr>
        <w:t>bokšto šturmu.</w:t>
      </w:r>
    </w:p>
    <w:p w:rsidR="00E707EC" w:rsidRPr="00C00255" w:rsidRDefault="00E707EC" w:rsidP="00321748">
      <w:pPr>
        <w:pStyle w:val="ListParagraph"/>
        <w:numPr>
          <w:ilvl w:val="0"/>
          <w:numId w:val="6"/>
        </w:numPr>
        <w:spacing w:before="120" w:after="120"/>
        <w:ind w:left="992" w:hanging="992"/>
        <w:contextualSpacing w:val="0"/>
        <w:rPr>
          <w:szCs w:val="24"/>
        </w:rPr>
      </w:pPr>
      <w:bookmarkStart w:id="95" w:name="_Toc37947859"/>
      <w:bookmarkStart w:id="96" w:name="_Toc67677338"/>
      <w:bookmarkStart w:id="97" w:name="_Toc67985465"/>
      <w:r w:rsidRPr="00D43DF2">
        <w:rPr>
          <w:b/>
        </w:rPr>
        <w:t xml:space="preserve">Nuteistojo </w:t>
      </w:r>
      <w:r w:rsidR="006036E7" w:rsidRPr="00D43DF2">
        <w:rPr>
          <w:b/>
        </w:rPr>
        <w:t>J. J.</w:t>
      </w:r>
      <w:r w:rsidRPr="00D43DF2">
        <w:rPr>
          <w:b/>
        </w:rPr>
        <w:t xml:space="preserve"> gynėja</w:t>
      </w:r>
      <w:bookmarkEnd w:id="95"/>
      <w:bookmarkEnd w:id="96"/>
      <w:bookmarkEnd w:id="97"/>
      <w:r w:rsidRPr="00D43DF2">
        <w:rPr>
          <w:b/>
        </w:rPr>
        <w:t xml:space="preserve"> advokatė </w:t>
      </w:r>
      <w:r w:rsidR="003642D8" w:rsidRPr="00D43DF2">
        <w:rPr>
          <w:b/>
        </w:rPr>
        <w:t>R</w:t>
      </w:r>
      <w:r w:rsidRPr="00D43DF2">
        <w:rPr>
          <w:b/>
        </w:rPr>
        <w:t>. </w:t>
      </w:r>
      <w:r w:rsidR="003642D8" w:rsidRPr="00D43DF2">
        <w:rPr>
          <w:b/>
        </w:rPr>
        <w:t>D</w:t>
      </w:r>
      <w:r w:rsidRPr="00D43DF2">
        <w:rPr>
          <w:b/>
        </w:rPr>
        <w:t>. Paltarokaitė</w:t>
      </w:r>
      <w:r w:rsidRPr="00D43DF2">
        <w:rPr>
          <w:szCs w:val="24"/>
          <w:lang w:eastAsia="lt-LT"/>
        </w:rPr>
        <w:t xml:space="preserve"> </w:t>
      </w:r>
      <w:r w:rsidRPr="00C00255">
        <w:rPr>
          <w:szCs w:val="24"/>
          <w:lang w:eastAsia="lt-LT"/>
        </w:rPr>
        <w:t xml:space="preserve">apeliaciniu skundu prašo panaikinti pirmosios instancijos </w:t>
      </w:r>
      <w:r w:rsidRPr="00C00255">
        <w:rPr>
          <w:szCs w:val="24"/>
        </w:rPr>
        <w:t xml:space="preserve">teismo nuosprendį ir dėl </w:t>
      </w:r>
      <w:r w:rsidR="006036E7">
        <w:rPr>
          <w:szCs w:val="24"/>
        </w:rPr>
        <w:t>J. J.</w:t>
      </w:r>
      <w:r w:rsidRPr="00C00255">
        <w:rPr>
          <w:szCs w:val="24"/>
        </w:rPr>
        <w:t xml:space="preserve"> priimti išteisinamąjį nuosprendį.</w:t>
      </w:r>
    </w:p>
    <w:p w:rsidR="00E707EC" w:rsidRPr="00E76E89" w:rsidRDefault="00E707EC" w:rsidP="00321748">
      <w:pPr>
        <w:pStyle w:val="ListParagraph"/>
        <w:numPr>
          <w:ilvl w:val="1"/>
          <w:numId w:val="6"/>
        </w:numPr>
        <w:spacing w:before="120" w:after="120"/>
        <w:ind w:left="992" w:hanging="992"/>
        <w:contextualSpacing w:val="0"/>
        <w:rPr>
          <w:szCs w:val="24"/>
        </w:rPr>
      </w:pPr>
      <w:r w:rsidRPr="00E76E89">
        <w:rPr>
          <w:szCs w:val="24"/>
        </w:rPr>
        <w:t>Apeliaciniame skunde cituojama teismų praktika dėl teisės į teisingą teismą svarbos bei vieno iš esminių šios teisės aspektų – kaltinamojo teisės žinoti, kuo tik</w:t>
      </w:r>
      <w:r w:rsidR="00660130" w:rsidRPr="00E76E89">
        <w:rPr>
          <w:szCs w:val="24"/>
        </w:rPr>
        <w:t>sliai jis yra kaltinamas (pvz., </w:t>
      </w:r>
      <w:r w:rsidRPr="00E76E89">
        <w:rPr>
          <w:szCs w:val="24"/>
        </w:rPr>
        <w:t xml:space="preserve">nurodomi LAT </w:t>
      </w:r>
      <w:r w:rsidR="00671CA0" w:rsidRPr="00E76E89">
        <w:rPr>
          <w:szCs w:val="24"/>
        </w:rPr>
        <w:t xml:space="preserve">nutartys </w:t>
      </w:r>
      <w:r w:rsidR="0049485C" w:rsidRPr="00E76E89">
        <w:rPr>
          <w:szCs w:val="24"/>
        </w:rPr>
        <w:t xml:space="preserve">baudžiamosiose </w:t>
      </w:r>
      <w:r w:rsidRPr="00E76E89">
        <w:rPr>
          <w:szCs w:val="24"/>
        </w:rPr>
        <w:t>bylose Nr. 2K-383/2004; 2K-7-13/2007; 2K-660/2007; 2K-7-198/2008; 2K-233/2008; 2K-390/2005 ir kt</w:t>
      </w:r>
      <w:r w:rsidR="0049485C" w:rsidRPr="00E76E89">
        <w:rPr>
          <w:szCs w:val="24"/>
        </w:rPr>
        <w:t>.; Konstitucinio Teismo 2000 m. </w:t>
      </w:r>
      <w:r w:rsidRPr="00E76E89">
        <w:rPr>
          <w:szCs w:val="24"/>
        </w:rPr>
        <w:t xml:space="preserve">rugsėjo 19 d. ir 2006 m. sausio 16 d. nutarimai; EŽTT sprendimas byloje </w:t>
      </w:r>
      <w:r w:rsidRPr="00E76E89">
        <w:rPr>
          <w:i/>
          <w:iCs/>
          <w:szCs w:val="24"/>
        </w:rPr>
        <w:t>Pelissier ir Sassi prieš Prancūziją</w:t>
      </w:r>
      <w:r w:rsidRPr="00E76E89">
        <w:rPr>
          <w:szCs w:val="24"/>
        </w:rPr>
        <w:t xml:space="preserve">). Vadovaujantis minėta teismų praktika, skunde teigiama, kad teismas pažeidė kaltinamojo teisę į gynybą, nes </w:t>
      </w:r>
      <w:r w:rsidR="00A64F38" w:rsidRPr="00E76E89">
        <w:rPr>
          <w:szCs w:val="24"/>
        </w:rPr>
        <w:t>peržengė</w:t>
      </w:r>
      <w:r w:rsidRPr="00E76E89">
        <w:rPr>
          <w:szCs w:val="24"/>
        </w:rPr>
        <w:t xml:space="preserve"> kaltinimo rib</w:t>
      </w:r>
      <w:r w:rsidR="00A64F38" w:rsidRPr="00E76E89">
        <w:rPr>
          <w:szCs w:val="24"/>
        </w:rPr>
        <w:t>as</w:t>
      </w:r>
      <w:r w:rsidRPr="00E76E89">
        <w:rPr>
          <w:szCs w:val="24"/>
        </w:rPr>
        <w:t xml:space="preserve">, nuosprendyje konstatuodamas pakeistas kaltinimo formuluotes. Pasak apelianto, teismas atsisakė dalies kaltinimų ir paliko tik tuos kaltinimus, kurie susiję su </w:t>
      </w:r>
      <w:r w:rsidR="007403E5" w:rsidRPr="00E76E89">
        <w:rPr>
          <w:szCs w:val="24"/>
        </w:rPr>
        <w:t>LRT</w:t>
      </w:r>
      <w:r w:rsidR="00001989" w:rsidRPr="00E76E89">
        <w:rPr>
          <w:szCs w:val="24"/>
        </w:rPr>
        <w:t xml:space="preserve"> užgrobimu (nuosprendžio 514–</w:t>
      </w:r>
      <w:r w:rsidRPr="00E76E89">
        <w:rPr>
          <w:szCs w:val="24"/>
        </w:rPr>
        <w:t>818</w:t>
      </w:r>
      <w:r w:rsidR="0026514F" w:rsidRPr="00E76E89">
        <w:rPr>
          <w:szCs w:val="24"/>
        </w:rPr>
        <w:t> </w:t>
      </w:r>
      <w:r w:rsidRPr="00E76E89">
        <w:rPr>
          <w:szCs w:val="24"/>
        </w:rPr>
        <w:t>lapai).</w:t>
      </w:r>
      <w:r w:rsidR="007403E5" w:rsidRPr="00E76E89">
        <w:rPr>
          <w:szCs w:val="24"/>
        </w:rPr>
        <w:t xml:space="preserve"> Be to, teismas, vertindamas </w:t>
      </w:r>
      <w:r w:rsidR="006036E7" w:rsidRPr="00E76E89">
        <w:rPr>
          <w:szCs w:val="24"/>
        </w:rPr>
        <w:t>J. J.</w:t>
      </w:r>
      <w:r w:rsidRPr="00E76E89">
        <w:rPr>
          <w:szCs w:val="24"/>
        </w:rPr>
        <w:t xml:space="preserve"> veiksmus, sukonkretino juos iki Pskovo 76-osios oro desanto divizijos kariškių veiksmų, užimant </w:t>
      </w:r>
      <w:r w:rsidR="007403E5" w:rsidRPr="00E76E89">
        <w:rPr>
          <w:szCs w:val="24"/>
        </w:rPr>
        <w:t>LRT</w:t>
      </w:r>
      <w:r w:rsidRPr="00E76E89">
        <w:rPr>
          <w:szCs w:val="24"/>
        </w:rPr>
        <w:t>. Teismas nepasisakė dėl visų kitų</w:t>
      </w:r>
      <w:r w:rsidR="0049485C" w:rsidRPr="00E76E89">
        <w:rPr>
          <w:szCs w:val="24"/>
        </w:rPr>
        <w:t xml:space="preserve"> </w:t>
      </w:r>
      <w:r w:rsidR="006036E7" w:rsidRPr="00E76E89">
        <w:rPr>
          <w:szCs w:val="24"/>
        </w:rPr>
        <w:t>J. J.</w:t>
      </w:r>
      <w:r w:rsidRPr="00E76E89">
        <w:rPr>
          <w:szCs w:val="24"/>
        </w:rPr>
        <w:t xml:space="preserve"> pareikštų kaltinimų.</w:t>
      </w:r>
    </w:p>
    <w:p w:rsidR="00E707EC" w:rsidRPr="00E76E89" w:rsidRDefault="00E707EC" w:rsidP="00321748">
      <w:pPr>
        <w:pStyle w:val="ListParagraph"/>
        <w:numPr>
          <w:ilvl w:val="1"/>
          <w:numId w:val="6"/>
        </w:numPr>
        <w:spacing w:before="120" w:after="120"/>
        <w:ind w:left="992" w:hanging="992"/>
        <w:contextualSpacing w:val="0"/>
        <w:rPr>
          <w:szCs w:val="24"/>
        </w:rPr>
      </w:pPr>
      <w:r w:rsidRPr="00E76E89">
        <w:rPr>
          <w:szCs w:val="24"/>
        </w:rPr>
        <w:lastRenderedPageBreak/>
        <w:t xml:space="preserve">Gynėjos teigimu, teismas pažeidė BPK 20 straipsnio nuostatas, nes įrodymais pripažino </w:t>
      </w:r>
      <w:r w:rsidR="006036E7" w:rsidRPr="00E76E89">
        <w:rPr>
          <w:szCs w:val="24"/>
        </w:rPr>
        <w:t>J. J.</w:t>
      </w:r>
      <w:r w:rsidRPr="00E76E89">
        <w:rPr>
          <w:szCs w:val="24"/>
        </w:rPr>
        <w:t xml:space="preserve"> parodymus, duotus ikiteisminio tyrimo metu. Skunde teigiama, kad nuteistasis niekada nebuvo apklaustas kaip įtariamasis ar kaltinamasis, taip pat jis nebuvo apklaustas kaip specialusis liudytojas, jam nebuvo paaiškinta, kad</w:t>
      </w:r>
      <w:r w:rsidR="00A64F38" w:rsidRPr="00E76E89">
        <w:rPr>
          <w:szCs w:val="24"/>
        </w:rPr>
        <w:t>,</w:t>
      </w:r>
      <w:r w:rsidRPr="00E76E89">
        <w:rPr>
          <w:szCs w:val="24"/>
        </w:rPr>
        <w:t xml:space="preserve"> duodamas parodymus apie savo paties įvykdytą nusikalstamą veiką, gali atsisakyti duoti parodymus, todėl taip buvo pažeista asmens teisė neduoti parodymų prieš save. Skunde pažymima, kad draudimas versti asmenį duoti parodymus prieš save galiojo ir ikiteisminio tyrimo metu, todėl teismų praktikoje tokie asmenų parodymai nebuvo laikomi įrodymais ir galiojant ankstesniam baudžiamojo proceso įstatymui.</w:t>
      </w:r>
    </w:p>
    <w:p w:rsidR="00E707EC" w:rsidRPr="00E76E89" w:rsidRDefault="00E707EC" w:rsidP="00321748">
      <w:pPr>
        <w:pStyle w:val="ListParagraph"/>
        <w:numPr>
          <w:ilvl w:val="1"/>
          <w:numId w:val="6"/>
        </w:numPr>
        <w:spacing w:before="120" w:after="120"/>
        <w:ind w:left="992" w:hanging="992"/>
        <w:contextualSpacing w:val="0"/>
        <w:rPr>
          <w:szCs w:val="24"/>
        </w:rPr>
      </w:pPr>
      <w:r w:rsidRPr="00E76E89">
        <w:rPr>
          <w:szCs w:val="24"/>
        </w:rPr>
        <w:t>Apeliaciniame skunde cituojamos Romos statuto, Jugoslavijos, Ruandos tribunolų statutų nuostatos, susijusios su nusikaltimų žmoniškumui apibrėž</w:t>
      </w:r>
      <w:r w:rsidR="00A64F38" w:rsidRPr="00E76E89">
        <w:rPr>
          <w:szCs w:val="24"/>
        </w:rPr>
        <w:t>timi</w:t>
      </w:r>
      <w:r w:rsidRPr="00E76E89">
        <w:rPr>
          <w:szCs w:val="24"/>
        </w:rPr>
        <w:t>,</w:t>
      </w:r>
      <w:r w:rsidR="0049485C" w:rsidRPr="00E76E89">
        <w:rPr>
          <w:szCs w:val="24"/>
        </w:rPr>
        <w:t xml:space="preserve"> apžvelgiama EŽTT, Jugoslavijos ir</w:t>
      </w:r>
      <w:r w:rsidRPr="00E76E89">
        <w:rPr>
          <w:szCs w:val="24"/>
        </w:rPr>
        <w:t xml:space="preserve"> R</w:t>
      </w:r>
      <w:r w:rsidR="0012467A" w:rsidRPr="00E76E89">
        <w:rPr>
          <w:szCs w:val="24"/>
        </w:rPr>
        <w:t>uandos</w:t>
      </w:r>
      <w:r w:rsidR="0049485C" w:rsidRPr="00E76E89">
        <w:rPr>
          <w:szCs w:val="24"/>
        </w:rPr>
        <w:t xml:space="preserve"> </w:t>
      </w:r>
      <w:r w:rsidR="0049485C" w:rsidRPr="00E76E89">
        <w:t xml:space="preserve">tarptautinių </w:t>
      </w:r>
      <w:r w:rsidR="0049485C" w:rsidRPr="00E76E89">
        <w:rPr>
          <w:szCs w:val="24"/>
        </w:rPr>
        <w:t>karo</w:t>
      </w:r>
      <w:r w:rsidR="0012467A" w:rsidRPr="00E76E89">
        <w:rPr>
          <w:szCs w:val="24"/>
        </w:rPr>
        <w:t xml:space="preserve"> tribunolų, </w:t>
      </w:r>
      <w:r w:rsidR="0042306C" w:rsidRPr="00E76E89">
        <w:rPr>
          <w:szCs w:val="24"/>
        </w:rPr>
        <w:t>TBT</w:t>
      </w:r>
      <w:r w:rsidRPr="00E76E89">
        <w:rPr>
          <w:szCs w:val="24"/>
        </w:rPr>
        <w:t xml:space="preserve"> praktika, nagrinėjant bylas dėl inkriminuojamo pobūdžio nusikaltimų, pabrėžiama ypatinga LAT 2018 m. balan</w:t>
      </w:r>
      <w:r w:rsidR="00FF7B46" w:rsidRPr="00E76E89">
        <w:rPr>
          <w:szCs w:val="24"/>
        </w:rPr>
        <w:t xml:space="preserve">džio 18 d. nutarties </w:t>
      </w:r>
      <w:r w:rsidR="00671CA0" w:rsidRPr="00E76E89">
        <w:rPr>
          <w:szCs w:val="24"/>
        </w:rPr>
        <w:t xml:space="preserve">baudžiamojoje </w:t>
      </w:r>
      <w:r w:rsidR="00FF7B46" w:rsidRPr="00E76E89">
        <w:rPr>
          <w:szCs w:val="24"/>
        </w:rPr>
        <w:t>byloje Nr. </w:t>
      </w:r>
      <w:r w:rsidRPr="00E76E89">
        <w:rPr>
          <w:szCs w:val="24"/>
        </w:rPr>
        <w:t>2K-7-1-163/2017 reikšmė dėl 1991 m. įvykių ir konstatuoj</w:t>
      </w:r>
      <w:r w:rsidR="00FF7B46" w:rsidRPr="00E76E89">
        <w:rPr>
          <w:szCs w:val="24"/>
        </w:rPr>
        <w:t xml:space="preserve">ama, kad teismas neteisingai </w:t>
      </w:r>
      <w:r w:rsidR="006036E7" w:rsidRPr="00E76E89">
        <w:rPr>
          <w:szCs w:val="24"/>
        </w:rPr>
        <w:t>J. J.</w:t>
      </w:r>
      <w:r w:rsidRPr="00E76E89">
        <w:rPr>
          <w:szCs w:val="24"/>
        </w:rPr>
        <w:t xml:space="preserve"> veiksmus kvalifikavo pagal BK 100 straipsnį, nes jo veiksmuose nėra privalomų šios nusikalstamos veikos sudėties požymių. </w:t>
      </w:r>
    </w:p>
    <w:p w:rsidR="00E707EC" w:rsidRPr="00E76E89" w:rsidRDefault="00E707EC" w:rsidP="00321748">
      <w:pPr>
        <w:pStyle w:val="ListParagraph"/>
        <w:numPr>
          <w:ilvl w:val="2"/>
          <w:numId w:val="6"/>
        </w:numPr>
        <w:spacing w:before="120" w:after="120"/>
        <w:ind w:left="992" w:hanging="992"/>
        <w:contextualSpacing w:val="0"/>
        <w:rPr>
          <w:szCs w:val="24"/>
        </w:rPr>
      </w:pPr>
      <w:r w:rsidRPr="00E76E89">
        <w:rPr>
          <w:szCs w:val="24"/>
        </w:rPr>
        <w:t xml:space="preserve">Pirmiausia </w:t>
      </w:r>
      <w:r w:rsidRPr="00E76E89">
        <w:t>siekiant asmens veiksmus kvalifikuoti pagal BK 100 straipsnį, turi būti įrodytas didelis mastas ar sistemingumas.</w:t>
      </w:r>
      <w:r w:rsidRPr="00E76E89">
        <w:rPr>
          <w:color w:val="000000"/>
          <w:szCs w:val="24"/>
          <w:lang w:eastAsia="lt-LT" w:bidi="lt-LT"/>
        </w:rPr>
        <w:t xml:space="preserve"> Nuo nusikaltimų žmoniškumui įtvirtinimo tarptautinės teisės aktuose pradžios buvo reikalaujama, kad kėsinimasis į žmoniškumą būtų nepaprastai sunkus, nusikalstamo elgesio būdo (sistemos) dalis ir neapsiribotų pavieniu, atsitiktiniu atveju. Paprastai tam, kad nusikaltimas, baudžiamas pagal vidaus teisę, būtų vertinamas kaip nusikaltimas žmoniškumui ir taptų tarptautinės teisės dalyku, būtini sistemingi, masiniai veiksmai. </w:t>
      </w:r>
    </w:p>
    <w:p w:rsidR="00E707EC" w:rsidRPr="00E76E89" w:rsidRDefault="00E707EC" w:rsidP="00321748">
      <w:pPr>
        <w:pStyle w:val="ListParagraph"/>
        <w:numPr>
          <w:ilvl w:val="2"/>
          <w:numId w:val="6"/>
        </w:numPr>
        <w:spacing w:before="120" w:after="120"/>
        <w:ind w:left="992" w:hanging="992"/>
        <w:contextualSpacing w:val="0"/>
        <w:rPr>
          <w:szCs w:val="24"/>
        </w:rPr>
      </w:pPr>
      <w:r w:rsidRPr="00E76E89">
        <w:rPr>
          <w:rFonts w:eastAsiaTheme="minorEastAsia"/>
        </w:rPr>
        <w:t xml:space="preserve">Sąvoka „didelis mastas“ </w:t>
      </w:r>
      <w:r w:rsidRPr="00E76E89">
        <w:t xml:space="preserve">reiškia, kad užpuolimas vykdomas plačiu mastu (teritorijos požiūriu) ir prieš didelį nukentėjusiųjų skaičių. Iš Jugoslavijos </w:t>
      </w:r>
      <w:r w:rsidR="0049485C" w:rsidRPr="00E76E89">
        <w:t xml:space="preserve">tarptautinio karo </w:t>
      </w:r>
      <w:r w:rsidRPr="00E76E89">
        <w:t>tribunolo praktikos matyti, kad nusikaltimo didelį mastą gali nulemti bendras veikų prieš žmoniškumą skaičius arba nepaprastas vienos nežmoniškos veikos (įvykio) sunkumas (</w:t>
      </w:r>
      <w:r w:rsidR="00275E2D" w:rsidRPr="00E76E89">
        <w:t>2005 m. sausio </w:t>
      </w:r>
      <w:r w:rsidRPr="00E76E89">
        <w:t>17</w:t>
      </w:r>
      <w:r w:rsidR="00A64F38" w:rsidRPr="00E76E89">
        <w:t> </w:t>
      </w:r>
      <w:r w:rsidRPr="00E76E89">
        <w:t xml:space="preserve">d. sprendimo 545 par. </w:t>
      </w:r>
      <w:r w:rsidRPr="00E76E89">
        <w:rPr>
          <w:i/>
        </w:rPr>
        <w:t>Blagojevic</w:t>
      </w:r>
      <w:r w:rsidRPr="00E76E89">
        <w:t xml:space="preserve"> ir </w:t>
      </w:r>
      <w:r w:rsidRPr="00E76E89">
        <w:rPr>
          <w:i/>
        </w:rPr>
        <w:t>Jokic</w:t>
      </w:r>
      <w:r w:rsidRPr="00E76E89">
        <w:t xml:space="preserve"> byloje; 2001 m. vasario 6 d. sprendimo 179 par. </w:t>
      </w:r>
      <w:r w:rsidRPr="00E76E89">
        <w:rPr>
          <w:i/>
        </w:rPr>
        <w:t>Kordic</w:t>
      </w:r>
      <w:r w:rsidRPr="00E76E89">
        <w:t xml:space="preserve"> ir </w:t>
      </w:r>
      <w:r w:rsidRPr="00E76E89">
        <w:rPr>
          <w:i/>
        </w:rPr>
        <w:t xml:space="preserve">Cerkez </w:t>
      </w:r>
      <w:r w:rsidRPr="00E76E89">
        <w:t>byloje). Ruandos</w:t>
      </w:r>
      <w:r w:rsidR="0049485C" w:rsidRPr="00E76E89">
        <w:t xml:space="preserve"> tarptautinio karo</w:t>
      </w:r>
      <w:r w:rsidRPr="00E76E89">
        <w:t xml:space="preserve"> tribunolo praktikoje nurodoma, kad plataus masto užpuolimas prieš civilius gyventojus gali būti apibūdinamas kaip masinis, pasikartojantis didelio masto veikimas, vykdomas kolektyviai ir „pakankamai rimtai“ (sunkumo prasme) bei nukreiptas prieš daugelį aukų (2006 </w:t>
      </w:r>
      <w:r w:rsidR="001C5185" w:rsidRPr="00E76E89">
        <w:t>m. gruodžio 13 d. sprendimo 356 </w:t>
      </w:r>
      <w:r w:rsidRPr="00E76E89">
        <w:t xml:space="preserve">par. </w:t>
      </w:r>
      <w:r w:rsidRPr="00E76E89">
        <w:rPr>
          <w:i/>
        </w:rPr>
        <w:t>Seromba</w:t>
      </w:r>
      <w:r w:rsidRPr="00E76E89">
        <w:t xml:space="preserve"> byloje). Iš esmės analogiški princi</w:t>
      </w:r>
      <w:r w:rsidR="0012467A" w:rsidRPr="00E76E89">
        <w:t xml:space="preserve">pai įtvirtinti ir </w:t>
      </w:r>
      <w:r w:rsidR="0042306C" w:rsidRPr="00E76E89">
        <w:t>TBT</w:t>
      </w:r>
      <w:r w:rsidR="001C5185" w:rsidRPr="00E76E89">
        <w:t xml:space="preserve"> praktikoje (pvz., 2014 </w:t>
      </w:r>
      <w:r w:rsidRPr="00E76E89">
        <w:t>m. kovo 7 d., 2016</w:t>
      </w:r>
      <w:r w:rsidR="0026514F" w:rsidRPr="00E76E89">
        <w:t> </w:t>
      </w:r>
      <w:r w:rsidRPr="00E76E89">
        <w:t>m.</w:t>
      </w:r>
      <w:r w:rsidR="0026514F" w:rsidRPr="00E76E89">
        <w:t> </w:t>
      </w:r>
      <w:r w:rsidRPr="00E76E89">
        <w:t>kovo 21 d. sprendimai).</w:t>
      </w:r>
    </w:p>
    <w:p w:rsidR="00E707EC" w:rsidRPr="00E76E89" w:rsidRDefault="00E707EC" w:rsidP="00321748">
      <w:pPr>
        <w:pStyle w:val="ListParagraph"/>
        <w:numPr>
          <w:ilvl w:val="2"/>
          <w:numId w:val="6"/>
        </w:numPr>
        <w:spacing w:before="120" w:after="120"/>
        <w:ind w:left="992" w:hanging="992"/>
        <w:contextualSpacing w:val="0"/>
        <w:rPr>
          <w:rStyle w:val="Bodytext3Bold"/>
          <w:bCs w:val="0"/>
          <w:color w:val="auto"/>
          <w:shd w:val="clear" w:color="auto" w:fill="auto"/>
          <w:lang w:eastAsia="en-US" w:bidi="ar-SA"/>
        </w:rPr>
      </w:pPr>
      <w:r w:rsidRPr="00E76E89">
        <w:rPr>
          <w:rFonts w:eastAsiaTheme="minorEastAsia"/>
        </w:rPr>
        <w:t xml:space="preserve">Sąvoka „sistemingas“ </w:t>
      </w:r>
      <w:r w:rsidRPr="00E76E89">
        <w:t xml:space="preserve">atskleidžia organizuotą smurtinių veiksmų pobūdį ir tai, jog jie nebuvo atsitiktiniai, sistemingumą taip pat rodo </w:t>
      </w:r>
      <w:r w:rsidRPr="00E76E89">
        <w:rPr>
          <w:rFonts w:eastAsiaTheme="minorEastAsia"/>
        </w:rPr>
        <w:t xml:space="preserve">tyčinis ir reguliarus analogiško nusikalstamo elgesio pasikartojimas </w:t>
      </w:r>
      <w:r w:rsidRPr="00E76E89">
        <w:t>(Jugoslavijos</w:t>
      </w:r>
      <w:r w:rsidR="0049485C" w:rsidRPr="00E76E89">
        <w:t xml:space="preserve"> tarptautinio karo</w:t>
      </w:r>
      <w:r w:rsidRPr="00E76E89">
        <w:t xml:space="preserve"> tribunolo 201</w:t>
      </w:r>
      <w:r w:rsidR="0049485C" w:rsidRPr="00E76E89">
        <w:t>3 m. gegužės 29 d. sprendimo 41 </w:t>
      </w:r>
      <w:r w:rsidRPr="00E76E89">
        <w:t xml:space="preserve">par. </w:t>
      </w:r>
      <w:r w:rsidRPr="00E76E89">
        <w:rPr>
          <w:i/>
        </w:rPr>
        <w:t>Prlic</w:t>
      </w:r>
      <w:r w:rsidRPr="00E76E89">
        <w:t xml:space="preserve"> ir kt. byloje; 2016 m. kovo 24 d. sprendimo 477 par. </w:t>
      </w:r>
      <w:r w:rsidRPr="00E76E89">
        <w:rPr>
          <w:i/>
        </w:rPr>
        <w:t>Radovan Karadžic</w:t>
      </w:r>
      <w:r w:rsidR="0012467A" w:rsidRPr="00E76E89">
        <w:t xml:space="preserve"> byloje; </w:t>
      </w:r>
      <w:r w:rsidR="0042306C" w:rsidRPr="00E76E89">
        <w:t>TBT</w:t>
      </w:r>
      <w:r w:rsidR="00C66292" w:rsidRPr="00E76E89">
        <w:t> </w:t>
      </w:r>
      <w:r w:rsidR="00FF7B46" w:rsidRPr="00E76E89">
        <w:t>2004 m. kovo 7 </w:t>
      </w:r>
      <w:r w:rsidRPr="00E76E89">
        <w:t xml:space="preserve">d. sprendimo 1123 par. </w:t>
      </w:r>
      <w:r w:rsidRPr="00E76E89">
        <w:rPr>
          <w:i/>
        </w:rPr>
        <w:t>Germain Katanga</w:t>
      </w:r>
      <w:r w:rsidRPr="00E76E89">
        <w:t xml:space="preserve"> byloje)</w:t>
      </w:r>
      <w:r w:rsidRPr="00E76E89">
        <w:rPr>
          <w:rStyle w:val="Bodytext3Bold"/>
          <w:rFonts w:eastAsiaTheme="minorEastAsia"/>
          <w:b w:val="0"/>
        </w:rPr>
        <w:t xml:space="preserve">. </w:t>
      </w:r>
    </w:p>
    <w:p w:rsidR="00E707EC" w:rsidRPr="00E76E89" w:rsidRDefault="00E707EC" w:rsidP="00321748">
      <w:pPr>
        <w:pStyle w:val="ListParagraph"/>
        <w:numPr>
          <w:ilvl w:val="2"/>
          <w:numId w:val="6"/>
        </w:numPr>
        <w:spacing w:before="120" w:after="120"/>
        <w:ind w:left="992" w:hanging="992"/>
        <w:contextualSpacing w:val="0"/>
        <w:rPr>
          <w:szCs w:val="24"/>
        </w:rPr>
      </w:pPr>
      <w:r w:rsidRPr="00E76E89">
        <w:t>BK 100 straipsnio požymis „užpuldinėti civilius“, remiant</w:t>
      </w:r>
      <w:r w:rsidR="00C66292" w:rsidRPr="00E76E89">
        <w:t>is Romos statuto 7 straipsnio 2 </w:t>
      </w:r>
      <w:r w:rsidRPr="00E76E89">
        <w:t xml:space="preserve">dalies a punktu, reiškia daugybinius veiksmus, o nuosprendyje nurodoma, kad </w:t>
      </w:r>
      <w:r w:rsidR="006036E7" w:rsidRPr="00E76E89">
        <w:t>J. J.</w:t>
      </w:r>
      <w:r w:rsidRPr="00E76E89">
        <w:t xml:space="preserve"> baugino civilius, stumdė norėdamas praeiti ir pan. Taip teismas pernelyg plačiai aiškino tarptautinėje teisėje suformuluotas sąvokas, kadangi</w:t>
      </w:r>
      <w:r w:rsidRPr="00E76E89">
        <w:rPr>
          <w:color w:val="000000"/>
          <w:szCs w:val="24"/>
          <w:lang w:eastAsia="lt-LT" w:bidi="lt-LT"/>
        </w:rPr>
        <w:t xml:space="preserve"> </w:t>
      </w:r>
      <w:r w:rsidR="006036E7" w:rsidRPr="00E76E89">
        <w:rPr>
          <w:color w:val="000000"/>
          <w:szCs w:val="24"/>
          <w:lang w:eastAsia="lt-LT" w:bidi="lt-LT"/>
        </w:rPr>
        <w:t>J. J.</w:t>
      </w:r>
      <w:r w:rsidRPr="00E76E89">
        <w:rPr>
          <w:color w:val="000000"/>
          <w:szCs w:val="24"/>
          <w:lang w:eastAsia="lt-LT" w:bidi="lt-LT"/>
        </w:rPr>
        <w:t xml:space="preserve"> padarytos veikos turėtų būti vertinamos kaip atsitiktinės ir chaotiškos</w:t>
      </w:r>
      <w:r w:rsidRPr="00E76E89">
        <w:t xml:space="preserve">. Nusikaltimų žmoniškumui atveju akcentuojamas ne individualus nukentėjusysis, bet kolektyvas, individualiai aukai nukenčiant ne dėl jos individualių savybių, o labiau dėl priklausymo civiliams gyventojams, prieš kuriuos nukreiptas užpuolimas. Be to, užpuolimas gali būti laikomas nukreiptu prieš civilius gyventojus, jei </w:t>
      </w:r>
      <w:r w:rsidRPr="00E76E89">
        <w:lastRenderedPageBreak/>
        <w:t>civiliai yra pagrindinis, o ne atsitiktinis užpuolimo taikinys (Jugoslavijos </w:t>
      </w:r>
      <w:r w:rsidR="0049485C" w:rsidRPr="00E76E89">
        <w:t xml:space="preserve">tarptautinio karo </w:t>
      </w:r>
      <w:r w:rsidR="00660130" w:rsidRPr="00E76E89">
        <w:t>tribunolo 2013 m. gegužės </w:t>
      </w:r>
      <w:r w:rsidRPr="00E76E89">
        <w:t xml:space="preserve">29 d. sprendimo 35 par. </w:t>
      </w:r>
      <w:r w:rsidRPr="00E76E89">
        <w:rPr>
          <w:i/>
        </w:rPr>
        <w:t xml:space="preserve">Prlic </w:t>
      </w:r>
      <w:r w:rsidRPr="00E76E89">
        <w:t xml:space="preserve">ir kt. byloje; 2016 m. kovo 24 d. sprendimo 473 par. </w:t>
      </w:r>
      <w:r w:rsidRPr="00E76E89">
        <w:rPr>
          <w:i/>
        </w:rPr>
        <w:t xml:space="preserve">Radovan Karadžic </w:t>
      </w:r>
      <w:r w:rsidRPr="00E76E89">
        <w:t xml:space="preserve">byloje). </w:t>
      </w:r>
      <w:r w:rsidR="006036E7" w:rsidRPr="00E76E89">
        <w:t>J. J.</w:t>
      </w:r>
      <w:r w:rsidRPr="00E76E89">
        <w:t xml:space="preserve"> ir jo vadovaujamų kelių asmenų tikslas buvo ne civilių užpuolimas, bet patekimas į patalpas, jose veikiančių aparatų išjungimas ir civilių išvedimas.</w:t>
      </w:r>
    </w:p>
    <w:p w:rsidR="00E707EC" w:rsidRPr="00E76E89" w:rsidRDefault="00E707EC" w:rsidP="00321748">
      <w:pPr>
        <w:pStyle w:val="ListParagraph"/>
        <w:numPr>
          <w:ilvl w:val="2"/>
          <w:numId w:val="6"/>
        </w:numPr>
        <w:spacing w:before="120" w:after="120"/>
        <w:ind w:left="992" w:hanging="992"/>
        <w:contextualSpacing w:val="0"/>
        <w:rPr>
          <w:szCs w:val="24"/>
        </w:rPr>
      </w:pPr>
      <w:r w:rsidRPr="00E76E89">
        <w:rPr>
          <w:color w:val="000000"/>
          <w:szCs w:val="24"/>
          <w:lang w:eastAsia="lt-LT" w:bidi="lt-LT"/>
        </w:rPr>
        <w:t>Siekiant asmenį patraukti baudžiamojon atsakomybėn pagal BK 100 straipsnį, reikia nustatyti, kad asmuo vykdė ar rėmė valstybės ar</w:t>
      </w:r>
      <w:r w:rsidR="000623CB" w:rsidRPr="00E76E89">
        <w:rPr>
          <w:color w:val="000000"/>
          <w:szCs w:val="24"/>
          <w:lang w:eastAsia="lt-LT" w:bidi="lt-LT"/>
        </w:rPr>
        <w:t>ba</w:t>
      </w:r>
      <w:r w:rsidRPr="00E76E89">
        <w:rPr>
          <w:color w:val="000000"/>
          <w:szCs w:val="24"/>
          <w:lang w:eastAsia="lt-LT" w:bidi="lt-LT"/>
        </w:rPr>
        <w:t xml:space="preserve"> organizacijos politiką dideliu mastu ar sistemingai užpuldinėti civilius. Gynėjos teigimu, nors </w:t>
      </w:r>
      <w:r w:rsidR="006036E7" w:rsidRPr="00E76E89">
        <w:rPr>
          <w:color w:val="000000"/>
          <w:szCs w:val="24"/>
          <w:lang w:eastAsia="lt-LT" w:bidi="lt-LT"/>
        </w:rPr>
        <w:t>J. J.</w:t>
      </w:r>
      <w:r w:rsidRPr="00E76E89">
        <w:rPr>
          <w:color w:val="000000"/>
          <w:szCs w:val="24"/>
          <w:lang w:eastAsia="lt-LT" w:bidi="lt-LT"/>
        </w:rPr>
        <w:t xml:space="preserve"> veiksmai ir sudarė dalį kryptingos sistemingos TSRS bei jos partinės organizacijos (</w:t>
      </w:r>
      <w:r w:rsidR="00FF7B46" w:rsidRPr="00E76E89">
        <w:rPr>
          <w:color w:val="000000"/>
          <w:szCs w:val="24"/>
          <w:lang w:eastAsia="lt-LT" w:bidi="lt-LT"/>
        </w:rPr>
        <w:t>TSKP) politikos, naudojant jėgą</w:t>
      </w:r>
      <w:r w:rsidRPr="00E76E89">
        <w:rPr>
          <w:color w:val="000000"/>
          <w:szCs w:val="24"/>
          <w:lang w:eastAsia="lt-LT" w:bidi="lt-LT"/>
        </w:rPr>
        <w:t xml:space="preserve"> išsaugoti TSRS vientisumą, šių veiksmų tikslas nebuvo daryti nusikaltimus žmoniškumui ar karo nusikaltimus. Užpuolimus vykdė TSRS karinės pajėgos, struktūriniai jų padaliniai, buvo naudojama sunkioji karinė technika, koviniai šaunamieji ginklai, šaudmenys, bet byloje esantys duomenys patvirtina, kad minėtas priemones naudoję asmenys stengėsi jiems paskirtas užduotis įvykdyti, nenaudodami prievartos prieš civilius. Be to, </w:t>
      </w:r>
      <w:r w:rsidR="006036E7" w:rsidRPr="00E76E89">
        <w:rPr>
          <w:color w:val="000000"/>
          <w:szCs w:val="24"/>
          <w:lang w:eastAsia="lt-LT" w:bidi="lt-LT"/>
        </w:rPr>
        <w:t>J. J.</w:t>
      </w:r>
      <w:r w:rsidRPr="00E76E89">
        <w:rPr>
          <w:color w:val="000000"/>
          <w:szCs w:val="24"/>
          <w:lang w:eastAsia="lt-LT" w:bidi="lt-LT"/>
        </w:rPr>
        <w:t xml:space="preserve"> neveikė kaip TSRS atstovas ir galimai dalyvavo tik viename epizode, įgyvendinant TSRS politiką, todėl jis nėra nusikaltimo žmoniškumui subjektas pagal tarptautinę teisę. Taip pat teismas neįrodė ir </w:t>
      </w:r>
      <w:r w:rsidR="006036E7" w:rsidRPr="00E76E89">
        <w:rPr>
          <w:color w:val="000000"/>
          <w:szCs w:val="24"/>
          <w:lang w:eastAsia="lt-LT" w:bidi="lt-LT"/>
        </w:rPr>
        <w:t>J. J.</w:t>
      </w:r>
      <w:r w:rsidRPr="00E76E89">
        <w:rPr>
          <w:color w:val="000000"/>
          <w:szCs w:val="24"/>
          <w:lang w:eastAsia="lt-LT" w:bidi="lt-LT"/>
        </w:rPr>
        <w:t xml:space="preserve"> tiesioginės tyčios daryti nusikaltimus žmoniškumui. Teismo nuosprendyje </w:t>
      </w:r>
      <w:r w:rsidR="006036E7" w:rsidRPr="00E76E89">
        <w:rPr>
          <w:color w:val="000000"/>
          <w:szCs w:val="24"/>
          <w:lang w:eastAsia="lt-LT" w:bidi="lt-LT"/>
        </w:rPr>
        <w:t>J. J.</w:t>
      </w:r>
      <w:r w:rsidRPr="00E76E89">
        <w:rPr>
          <w:color w:val="000000"/>
          <w:szCs w:val="24"/>
          <w:lang w:eastAsia="lt-LT" w:bidi="lt-LT"/>
        </w:rPr>
        <w:t xml:space="preserve"> kaltė nėra atskleista. Galimai </w:t>
      </w:r>
      <w:r w:rsidR="006036E7" w:rsidRPr="00E76E89">
        <w:rPr>
          <w:color w:val="000000"/>
          <w:szCs w:val="24"/>
          <w:lang w:eastAsia="lt-LT" w:bidi="lt-LT"/>
        </w:rPr>
        <w:t>J. J.</w:t>
      </w:r>
      <w:r w:rsidRPr="00E76E89">
        <w:rPr>
          <w:color w:val="000000"/>
          <w:szCs w:val="24"/>
          <w:lang w:eastAsia="lt-LT" w:bidi="lt-LT"/>
        </w:rPr>
        <w:t xml:space="preserve"> veiksmais ar grupės susitarusių asmenų veiksmais padarytas nužudymas, sunkus kūno sužalojimas, apysunkis kūno sužalojimas ar lengvas kūno sužalojimas, turto sunaikinimas, sugadinimas ar pagrobimas galėtų būti vertinami kaip kitos nusikalstamos veikos, tačiau šie veiksmai negali būti traktuojami kaip nusikaltimai žmoniškumui.</w:t>
      </w:r>
    </w:p>
    <w:p w:rsidR="00D43DF2" w:rsidRPr="00D43DF2" w:rsidRDefault="00D43DF2" w:rsidP="00D43DF2">
      <w:pPr>
        <w:pStyle w:val="ListParagraph"/>
        <w:numPr>
          <w:ilvl w:val="1"/>
          <w:numId w:val="6"/>
        </w:numPr>
        <w:spacing w:before="120" w:after="120"/>
        <w:ind w:left="992" w:hanging="992"/>
        <w:contextualSpacing w:val="0"/>
        <w:rPr>
          <w:rStyle w:val="Bodytext3Bold"/>
          <w:b w:val="0"/>
          <w:bCs w:val="0"/>
          <w:color w:val="auto"/>
          <w:szCs w:val="20"/>
          <w:shd w:val="clear" w:color="auto" w:fill="auto"/>
          <w:lang w:eastAsia="en-US" w:bidi="ar-SA"/>
        </w:rPr>
      </w:pPr>
      <w:r w:rsidRPr="00E76E89">
        <w:t>Apeliaciniame skunde nurodoma, kad byloje galimai buvo pažeistas nullum crimen sine lege principas bei EŽTK 7 straipsnis, kadangi J. J. veiksmai buvo kvalifikuoti pagal jų padarymo metu negaliojusias BK normas. Skunde aptariama EŽTT praktika dėl EŽTK 7 straipsnio taikymo, LAT praktika dėl atsakomybę griežtinančių įstatymų galiojimo atgal, tarptautiniai aktai, BK normų pakeitimai ir apibendrinant daroma išvada, jog, priimdamas apkaltinamąjį nuosprendį, teismas privalėjo įsitikinti, kad 1991 m. J. J. inkriminuotos veikos buvo laikomos nusikaltimais pagal tarptautinę teisę ar civilizuotų tautų visuotinai pripažintus bendruosius teisės principus ir kad J. J. galėjo numatyti, jog jo veiksmai bus laikomi nusikaltimais žmoniškumui. Teismo išvados dėl veikos pripažinimo nusikaltimu tarptautinėje teisėje turėtų būti grindžiamos nurodant konkrečius tarptautinės teisės šaltinius</w:t>
      </w:r>
      <w:r w:rsidRPr="00A90DEB">
        <w:t xml:space="preserve"> (EŽTT 2006 m. sausio 17 d. sprendimas byloje K</w:t>
      </w:r>
      <w:r w:rsidRPr="00D43DF2">
        <w:rPr>
          <w:i/>
        </w:rPr>
        <w:t>olk ir Kislyiy prieš Estiją</w:t>
      </w:r>
      <w:r w:rsidRPr="00A90DEB">
        <w:t xml:space="preserve">, Nr. 23052/04 ir 24018/04). Skunde pažymima, kad BK 100 straipsnio pakeitimais buvo siekiama įgyvendinti Romos statuto nuostatas, tačiau Romos statute nenumatytos jokios išimtys dėl galimybės asmenims taikyti baudžiamąją atsakomybę už veikas, padarytas iki Romos statuto įsigaliojimo. Reikšmingas tarptautinis dokumentas yra ir 1996 m. birželio 27 d. Europos Tarybos Parlamentinės Asamblėjos rezoliucija Nr. 1096 dėl priemonių, skirtų panaikinti buvusių komunistinių totalitarinių režimų palikimą, kurioje numatyta, kad „7. Asamblėja taip pat rekomenduoja už kriminalinius nusikaltimus, įvykdytus asmenų komunistinio totalitarinio režimo metu, persekioti ir bausti pagal standartinį baudžiamąjį kodeksą. Jei baudžiamasis kodeksas tam tikriems nusikaltimams numato senaties terminą, jis gali būti pratęsiamas, kadangi tai yra tik procesinis, o ne materialusis klausimas. Tačiau retroaktyvus baudžiamųjų įstatymų priėmimas ir taikymas nėra leidžiamas“. Gynėjos teigimu, EŽTT praktikoje, atsižvelgiant į EŽTK parengiamųjų dokumentų turinį, pripažinta, kad EŽTK 7 straipsnio 2 dalis turi būti aiškinama siaurai, t. y. ne kaip įtvirtinanti bendro pobūdžio išlygą iš draudimo retroaktyviai taikyti baudžiamąją atsakomybę (EŽTK 7 straipsnio 1 dalis), bet kaip įtvirtinanti EŽTK rengėjų siekį užtikrinti, kad nebus kvestionuojamas po Antrojo pasaulinio </w:t>
      </w:r>
      <w:r w:rsidRPr="00A90DEB">
        <w:lastRenderedPageBreak/>
        <w:t xml:space="preserve">karo vykdyto baudžiamojo persekiojimo už karo metu padarytus nusikaltimus teisėtumas (sprendimas byloje </w:t>
      </w:r>
      <w:r w:rsidRPr="00D43DF2">
        <w:rPr>
          <w:i/>
        </w:rPr>
        <w:t>Maktouf ir Damjanovič</w:t>
      </w:r>
      <w:r w:rsidR="00E76E89">
        <w:t>, 2010 </w:t>
      </w:r>
      <w:r w:rsidRPr="00A90DEB">
        <w:t xml:space="preserve">m. gegužės 17 d. sprendimas </w:t>
      </w:r>
      <w:r w:rsidRPr="00D43DF2">
        <w:rPr>
          <w:i/>
        </w:rPr>
        <w:t>Kononov prieš Latviją</w:t>
      </w:r>
      <w:r w:rsidRPr="00A90DEB">
        <w:t xml:space="preserve">, Nr. 36376/04). Tačiau skunde cituojama ir EŽTT praktika, kurioje pripažįstama, kad atsakomybės už nusikaltimus žmoniškumui taikymas negali būti apribotas tik tam tikrų valstybių piliečiais ir tik veiksmais, įvykdytais Antrojo pasaulinio karo metu (2006 m. sausio 17 d. sprendimas </w:t>
      </w:r>
      <w:r w:rsidRPr="00D43DF2">
        <w:rPr>
          <w:i/>
        </w:rPr>
        <w:t>Kolk ir Kislyiy prieš Estiją</w:t>
      </w:r>
      <w:r w:rsidRPr="00A90DEB">
        <w:t xml:space="preserve">, Nr. 23052/04, 24018/04; 2006 m. sausio 24 d. sprendimas </w:t>
      </w:r>
      <w:r w:rsidRPr="00D43DF2">
        <w:rPr>
          <w:i/>
        </w:rPr>
        <w:t>Penart prieš Estiją</w:t>
      </w:r>
      <w:r w:rsidR="00315CAF">
        <w:t>, Nr. </w:t>
      </w:r>
      <w:r w:rsidRPr="00A90DEB">
        <w:t>14685/04), aptariama LAT 2012 m. apžvalga ir nutartys baudžiamosiose bylose Nr. 2K-P-18-648/2016, 2K-214-976/2016, kuriose konstatuota, kad baudžiamojo įstatymo retrospektyvus taikymas nustatant baudžiamąją atsakomybę už veiką, padarytą iki šio įstatymo įsigaliojimo, galimas tik tuo atveju, jeigu ši veika jos padarymo metu buvo pakankamai aiškiai apibrėžta kaip nusikalstama tarptautinėje teisėje arba laikoma nusikaltimu pagal civilizuotų tautų visuotinai pripažintus bendruosius teisės principus.</w:t>
      </w:r>
    </w:p>
    <w:p w:rsidR="00F45C41" w:rsidRPr="00C00255" w:rsidRDefault="00F45C41" w:rsidP="00321748">
      <w:pPr>
        <w:pStyle w:val="ListParagraph"/>
        <w:numPr>
          <w:ilvl w:val="0"/>
          <w:numId w:val="6"/>
        </w:numPr>
        <w:spacing w:before="120" w:after="120"/>
        <w:ind w:left="992" w:hanging="992"/>
        <w:contextualSpacing w:val="0"/>
        <w:rPr>
          <w:szCs w:val="24"/>
        </w:rPr>
      </w:pPr>
      <w:bookmarkStart w:id="98" w:name="_Toc37947860"/>
      <w:bookmarkStart w:id="99" w:name="_Toc67677339"/>
      <w:bookmarkStart w:id="100" w:name="_Toc67985466"/>
      <w:r w:rsidRPr="00D43DF2">
        <w:rPr>
          <w:b/>
        </w:rPr>
        <w:t xml:space="preserve">Nuteistojo </w:t>
      </w:r>
      <w:r w:rsidR="006036E7" w:rsidRPr="00D43DF2">
        <w:rPr>
          <w:b/>
        </w:rPr>
        <w:t>A. F. 2</w:t>
      </w:r>
      <w:r w:rsidRPr="00D43DF2">
        <w:rPr>
          <w:b/>
        </w:rPr>
        <w:t xml:space="preserve"> gynėjas</w:t>
      </w:r>
      <w:bookmarkEnd w:id="98"/>
      <w:bookmarkEnd w:id="99"/>
      <w:bookmarkEnd w:id="100"/>
      <w:r w:rsidRPr="00D43DF2">
        <w:rPr>
          <w:b/>
        </w:rPr>
        <w:t xml:space="preserve"> advokatas V. Griežė</w:t>
      </w:r>
      <w:r w:rsidRPr="00C00255">
        <w:t xml:space="preserve"> apeliaciniu skundu prašo panaikinti pirmosios instancijos teismo nuosprendį ir jo ginamąjį išteisinti</w:t>
      </w:r>
      <w:r w:rsidR="00B415C4" w:rsidRPr="00C00255">
        <w:t>, nes jis</w:t>
      </w:r>
      <w:r w:rsidR="0049485C" w:rsidRPr="00C00255">
        <w:t xml:space="preserve"> </w:t>
      </w:r>
      <w:r w:rsidRPr="00C00255">
        <w:t xml:space="preserve">neatliko jam inkriminuojamų nusikaltimų požymius atitinkančių veiksmų, jie neįrodyti. </w:t>
      </w:r>
    </w:p>
    <w:p w:rsidR="00F45C41" w:rsidRPr="00E76E89" w:rsidRDefault="00F45C41" w:rsidP="00321748">
      <w:pPr>
        <w:pStyle w:val="ListParagraph"/>
        <w:numPr>
          <w:ilvl w:val="1"/>
          <w:numId w:val="6"/>
        </w:numPr>
        <w:spacing w:before="120" w:after="120"/>
        <w:ind w:left="992" w:hanging="992"/>
        <w:contextualSpacing w:val="0"/>
        <w:rPr>
          <w:szCs w:val="24"/>
        </w:rPr>
      </w:pPr>
      <w:r w:rsidRPr="00E76E89">
        <w:t xml:space="preserve">Nuteistojo gynėjo teigimu, pirmosios instancijos teismo išvados apie </w:t>
      </w:r>
      <w:r w:rsidR="006036E7" w:rsidRPr="00E76E89">
        <w:t>A. F. 2</w:t>
      </w:r>
      <w:r w:rsidRPr="00E76E89">
        <w:t xml:space="preserve"> dalyvavimą ir vaidmenį užimant LRT buvo padarytos vadovaujantis paties nuteistojo parodymais, kuriuos jis davė dar būdamas apklaustas </w:t>
      </w:r>
      <w:r w:rsidR="00874C2D" w:rsidRPr="00E76E89">
        <w:t xml:space="preserve">kaip </w:t>
      </w:r>
      <w:r w:rsidRPr="00E76E89">
        <w:t>liudytoj</w:t>
      </w:r>
      <w:r w:rsidR="00874C2D" w:rsidRPr="00E76E89">
        <w:t>as</w:t>
      </w:r>
      <w:r w:rsidRPr="00E76E89">
        <w:t xml:space="preserve">. Visgi </w:t>
      </w:r>
      <w:r w:rsidR="006036E7" w:rsidRPr="00E76E89">
        <w:t>A. F. 2</w:t>
      </w:r>
      <w:r w:rsidRPr="00E76E89">
        <w:t xml:space="preserve"> apklausos protokoluose nėra duomenų, kad jis iš anksto žinojo, jog objekto užėmimas galimai bus prieš civilius nukreipta karinė ataka ir operacijos metu gali būti bauginami ar net nužudyti asmenys, naudojamos uždraustos karo priemonės arba jog panašų veiksmą atliks jis pats. Apelianto teigimu, jam nebuvo paaiškinta</w:t>
      </w:r>
      <w:r w:rsidR="00874C2D" w:rsidRPr="00E76E89">
        <w:t>,</w:t>
      </w:r>
      <w:r w:rsidRPr="00E76E89">
        <w:t xml:space="preserve"> kokiu tikslu vykstama į Lietuvą</w:t>
      </w:r>
      <w:r w:rsidR="00874C2D" w:rsidRPr="00E76E89">
        <w:t>,</w:t>
      </w:r>
      <w:r w:rsidRPr="00E76E89">
        <w:t xml:space="preserve"> ir tik atvykus nurodyta, kad operacijos tikslas – užtikrinti šaukimą į TSRS armiją. Anot gynėjo, įsakymas užimti LRT pastatą buvo gautas tik 1991 m. sausio 12 d., o užduoties vykdymas paskirtas kapitonui </w:t>
      </w:r>
      <w:r w:rsidR="006036E7" w:rsidRPr="00E76E89">
        <w:t>J. G.</w:t>
      </w:r>
      <w:r w:rsidRPr="00E76E89">
        <w:t xml:space="preserve">. Tiek iš nuteistojo, tiek iš kitų liudytojų parodymų matyti, kad ir desantininkų grupei prie LRT pastato vadovavo </w:t>
      </w:r>
      <w:r w:rsidR="006036E7" w:rsidRPr="00E76E89">
        <w:t>J. G.</w:t>
      </w:r>
      <w:r w:rsidRPr="00E76E89">
        <w:t xml:space="preserve">, be to, buvo ir daugiau aukštesnį laipsnį nei nuteistasis turinčių kariškių, todėl teismo išvada, jog </w:t>
      </w:r>
      <w:r w:rsidR="006036E7" w:rsidRPr="00E76E89">
        <w:t>A. F. 2</w:t>
      </w:r>
      <w:r w:rsidRPr="00E76E89">
        <w:t xml:space="preserve"> vadovavo puolimui, yra nepagrįsta. </w:t>
      </w:r>
    </w:p>
    <w:p w:rsidR="00F45C41" w:rsidRPr="00E76E89" w:rsidRDefault="00F45C41" w:rsidP="00321748">
      <w:pPr>
        <w:pStyle w:val="ListParagraph"/>
        <w:numPr>
          <w:ilvl w:val="1"/>
          <w:numId w:val="6"/>
        </w:numPr>
        <w:spacing w:before="120" w:after="120"/>
        <w:ind w:left="992" w:hanging="992"/>
        <w:contextualSpacing w:val="0"/>
        <w:rPr>
          <w:szCs w:val="24"/>
        </w:rPr>
      </w:pPr>
      <w:r w:rsidRPr="00E76E89">
        <w:t xml:space="preserve">Anot advokato, nors karo nusikaltimai minėtų įvykių metu buvo padaryti, </w:t>
      </w:r>
      <w:r w:rsidR="006036E7" w:rsidRPr="00E76E89">
        <w:t>A. F. 2</w:t>
      </w:r>
      <w:r w:rsidRPr="00E76E89">
        <w:t xml:space="preserve"> negalima laikyti šių nusikaltimų padarymo bendrininku. Byloje nėra duomenų, jog jis suvokė kitų asmenų sumanymą ir savo veiksmais prisidėjo prie jo įgyvendinimo – jo veikoje nebuvo tyčios padaryti nusikaltimus. Teismas nuosprendyje akcentavo tai, kad n</w:t>
      </w:r>
      <w:r w:rsidR="00874C2D" w:rsidRPr="00E76E89">
        <w:t>ė</w:t>
      </w:r>
      <w:r w:rsidRPr="00E76E89">
        <w:t xml:space="preserve"> vienas iš kaltinamų kariškių neatsisakė vykdyti neteisėto įsakymo, nors buvo akivaizdu, kad dėl jų veiksmų gali kilti nusikalstam</w:t>
      </w:r>
      <w:r w:rsidR="00874C2D" w:rsidRPr="00E76E89">
        <w:t>ų</w:t>
      </w:r>
      <w:r w:rsidRPr="00E76E89">
        <w:t xml:space="preserve"> padarini</w:t>
      </w:r>
      <w:r w:rsidR="00874C2D" w:rsidRPr="00E76E89">
        <w:t>ų</w:t>
      </w:r>
      <w:r w:rsidRPr="00E76E89">
        <w:t>. Tačiau nuteistasis negalėjo iš karto suvokti, kad įsakymas akivaizdžiai neteisėtas, todėl neturėjo pagrindo atsisakyti jį vykdyti. Įsakymas buvo užimti LRT pastatą, t.</w:t>
      </w:r>
      <w:r w:rsidR="00DF49FB" w:rsidRPr="00E76E89">
        <w:t> </w:t>
      </w:r>
      <w:r w:rsidRPr="00E76E89">
        <w:t xml:space="preserve">y. nesusijęs su veiksmais prieš civilius. Anot gynėjo, byloje nėra duomenų, jog nuteistasis, jau suvokęs, kad įsakymas paimti objektą yra neteisėtas, būtų atlikęs aktyvius neteisėtus veiksmus prieš civilius. Apelianto teigimu, nuteistasis savo pasyvumu atsisakė dalyvauti padarant nusikaltimus: jo dalyvavimas buvo formalus, konkrečiais veiksmais jis neprisidėjo prie neteisėto įsakymo, keliančio pavojų civiliams, įgyvendinimo. Nuteistojo išsakyta frazė, kad jam pavyko prasibrauti iki LRT pastato, gali reikšti, jog buvo kliūčių jį pasiekiant, tačiau ji nepatvirtina, kad jas įveikiant prieš civilius naudotas smurtas ar bauginimas. </w:t>
      </w:r>
    </w:p>
    <w:p w:rsidR="00F45C41" w:rsidRPr="00E76E89" w:rsidRDefault="00F45C41" w:rsidP="00321748">
      <w:pPr>
        <w:pStyle w:val="ListParagraph"/>
        <w:numPr>
          <w:ilvl w:val="1"/>
          <w:numId w:val="6"/>
        </w:numPr>
        <w:spacing w:before="120" w:after="120"/>
        <w:ind w:left="992" w:hanging="992"/>
        <w:contextualSpacing w:val="0"/>
        <w:rPr>
          <w:szCs w:val="24"/>
        </w:rPr>
      </w:pPr>
      <w:r w:rsidRPr="00E76E89">
        <w:t xml:space="preserve">Anot nuteistojo gynėjo, neteisingai įvertinus </w:t>
      </w:r>
      <w:r w:rsidR="006036E7" w:rsidRPr="00E76E89">
        <w:t>A. F. 2</w:t>
      </w:r>
      <w:r w:rsidRPr="00E76E89">
        <w:t xml:space="preserve"> vaidmenį įvykių metu, pastarajam paskirtos bausmės motyvai taip pat nepagrįsti. Teismo nuosprendyje nepagrįstai nurodyta, kad </w:t>
      </w:r>
      <w:r w:rsidR="006036E7" w:rsidRPr="00E76E89">
        <w:t>A. F. 2</w:t>
      </w:r>
      <w:r w:rsidRPr="00E76E89">
        <w:t xml:space="preserve"> ne tik vadovavo LRT puolimui, bet ir m</w:t>
      </w:r>
      <w:r w:rsidR="000623CB" w:rsidRPr="00E76E89">
        <w:t>ė</w:t>
      </w:r>
      <w:r w:rsidRPr="00E76E89">
        <w:t xml:space="preserve">tė sprogmenis, šaudė, baugino ir mušė civilius. </w:t>
      </w:r>
    </w:p>
    <w:p w:rsidR="00D43DF2" w:rsidRPr="00E76E89" w:rsidRDefault="00D43DF2" w:rsidP="00D43DF2">
      <w:pPr>
        <w:pStyle w:val="ListParagraph"/>
        <w:numPr>
          <w:ilvl w:val="0"/>
          <w:numId w:val="6"/>
        </w:numPr>
        <w:spacing w:before="120" w:after="120"/>
        <w:ind w:left="992" w:hanging="992"/>
        <w:contextualSpacing w:val="0"/>
      </w:pPr>
      <w:r w:rsidRPr="00D43DF2">
        <w:rPr>
          <w:b/>
          <w:szCs w:val="24"/>
        </w:rPr>
        <w:lastRenderedPageBreak/>
        <w:t>Nuteistojo A. I. gynėja advokatė J. Savčenko</w:t>
      </w:r>
      <w:r w:rsidRPr="00A90DEB">
        <w:rPr>
          <w:szCs w:val="24"/>
        </w:rPr>
        <w:t xml:space="preserve"> </w:t>
      </w:r>
      <w:r w:rsidRPr="00E76E89">
        <w:t xml:space="preserve">apeliaciniu skundu prašo panaikinti pirmosios instancijos teismo nuosprendį ir jos ginamąjį išteisinti. Advokatės teigimu, byloje esančiais duomenimis neįrodyta, kad A. I. padarė veikas, turinčias BK 100 straipsnyje, BK 101 straipsnyje, BK 103 straipsnio 1 dalyje, BK 111 straipsnio 1 dalyje ir BK 112 straipsnyje numatytų nusikaltimų požymių. Anot gynėjos, A. I. pagal savo einamas pareigas kariuomenėje – 237-ojo pulko slaptosios tarnybos viršininkas vyr. praporščikas – neturėjo įgalinimų nei kurstyti, įsakyti ar organizuoti humanitarinės teisės saugomų asmenų žudymo, nežmoniško elgesio su jais aktų, nei įsakyti vykdyti tarptautinės humanitarinės teisės draudžiamą ataką ir panaudoti karo veiksmuose uždraustas priemones ar būdus, nei pats įvykdyti šiuos veiksmus.  </w:t>
      </w:r>
    </w:p>
    <w:p w:rsidR="00316A87" w:rsidRPr="00C00255" w:rsidRDefault="00316A87" w:rsidP="00321748">
      <w:pPr>
        <w:pStyle w:val="ListParagraph"/>
        <w:numPr>
          <w:ilvl w:val="0"/>
          <w:numId w:val="6"/>
        </w:numPr>
        <w:spacing w:before="120" w:after="120"/>
        <w:ind w:left="992" w:hanging="992"/>
        <w:contextualSpacing w:val="0"/>
        <w:rPr>
          <w:szCs w:val="24"/>
        </w:rPr>
      </w:pPr>
      <w:bookmarkStart w:id="101" w:name="_Toc37947862"/>
      <w:bookmarkStart w:id="102" w:name="_Toc67677341"/>
      <w:bookmarkStart w:id="103" w:name="_Toc67985468"/>
      <w:r w:rsidRPr="00D43DF2">
        <w:rPr>
          <w:rFonts w:eastAsiaTheme="majorEastAsia"/>
          <w:b/>
        </w:rPr>
        <w:t xml:space="preserve">Nuteistojo </w:t>
      </w:r>
      <w:r w:rsidR="006036E7" w:rsidRPr="00D43DF2">
        <w:rPr>
          <w:rFonts w:eastAsiaTheme="majorEastAsia"/>
          <w:b/>
        </w:rPr>
        <w:t>A. C.</w:t>
      </w:r>
      <w:r w:rsidRPr="00D43DF2">
        <w:rPr>
          <w:rFonts w:eastAsiaTheme="majorEastAsia"/>
          <w:b/>
        </w:rPr>
        <w:t xml:space="preserve"> gynėjas</w:t>
      </w:r>
      <w:bookmarkEnd w:id="101"/>
      <w:bookmarkEnd w:id="102"/>
      <w:bookmarkEnd w:id="103"/>
      <w:r w:rsidRPr="00D43DF2">
        <w:rPr>
          <w:b/>
        </w:rPr>
        <w:t xml:space="preserve"> advokatas V. Vlasovas</w:t>
      </w:r>
      <w:r w:rsidRPr="00C00255">
        <w:t xml:space="preserve"> apeliaciniu skundu prašo </w:t>
      </w:r>
      <w:r w:rsidR="00FF7B46" w:rsidRPr="00C00255">
        <w:t xml:space="preserve">panaikinti </w:t>
      </w:r>
      <w:r w:rsidRPr="00C00255">
        <w:t xml:space="preserve">pirmosios instancijos teismo nuosprendį ir </w:t>
      </w:r>
      <w:r w:rsidR="006036E7">
        <w:t>A. C.</w:t>
      </w:r>
      <w:r w:rsidRPr="00C00255">
        <w:t xml:space="preserve"> baudžiamąją bylą nutraukti. </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Gynėjo teigimu, skundžiamame nuosprendyje nuteistųjų veiksmai neindividualizuoti, visiems asmenims pateikti kaltinimai buvo vienodi, ne</w:t>
      </w:r>
      <w:r w:rsidR="00396E84" w:rsidRPr="00E76E89">
        <w:t>atsižve</w:t>
      </w:r>
      <w:r w:rsidR="0098573B" w:rsidRPr="00E76E89">
        <w:t>l</w:t>
      </w:r>
      <w:r w:rsidR="00396E84" w:rsidRPr="00E76E89">
        <w:t>giant į</w:t>
      </w:r>
      <w:r w:rsidRPr="00E76E89">
        <w:t xml:space="preserve"> karin</w:t>
      </w:r>
      <w:r w:rsidR="00396E84" w:rsidRPr="00E76E89">
        <w:t>į</w:t>
      </w:r>
      <w:r w:rsidRPr="00E76E89">
        <w:t xml:space="preserve"> laipsn</w:t>
      </w:r>
      <w:r w:rsidR="00396E84" w:rsidRPr="00E76E89">
        <w:t>į</w:t>
      </w:r>
      <w:r w:rsidRPr="00E76E89">
        <w:t xml:space="preserve"> ir </w:t>
      </w:r>
      <w:r w:rsidR="00396E84" w:rsidRPr="00E76E89">
        <w:t xml:space="preserve">einamas </w:t>
      </w:r>
      <w:r w:rsidRPr="00E76E89">
        <w:t>pareig</w:t>
      </w:r>
      <w:r w:rsidR="00396E84" w:rsidRPr="00E76E89">
        <w:t>as</w:t>
      </w:r>
      <w:r w:rsidRPr="00E76E89">
        <w:t>. Nuosprendyje nenurodyta</w:t>
      </w:r>
      <w:r w:rsidR="00845F2F" w:rsidRPr="00E76E89">
        <w:t>,</w:t>
      </w:r>
      <w:r w:rsidRPr="00E76E89">
        <w:t xml:space="preserve"> kokius konkrečius veiksmus atliko kiekvienas nuteistasis. Nuteistojo vaidmuo dėl inkriminuojamų nusikalstamų veikų turėjo būti vertinamas nekaltumo prezumpcijos principo kontekste, visas abejones vertinant nuteistojo naudai.</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Anot nuteistojo gynėjo, pirmosios instancijos teismo išvados, jog Pskovo 76-osios desantininkų divizijos 237</w:t>
      </w:r>
      <w:r w:rsidR="00C96771" w:rsidRPr="00E76E89">
        <w:t>-ojo</w:t>
      </w:r>
      <w:r w:rsidRPr="00E76E89">
        <w:t xml:space="preserve"> pulko 7</w:t>
      </w:r>
      <w:r w:rsidR="00C96771" w:rsidRPr="00E76E89">
        <w:t xml:space="preserve">-osios </w:t>
      </w:r>
      <w:r w:rsidRPr="00E76E89">
        <w:t>kuopos puska</w:t>
      </w:r>
      <w:r w:rsidR="00055C65" w:rsidRPr="00E76E89">
        <w:t xml:space="preserve">rininkis </w:t>
      </w:r>
      <w:r w:rsidR="006036E7" w:rsidRPr="00E76E89">
        <w:t>A. C.</w:t>
      </w:r>
      <w:r w:rsidR="00055C65" w:rsidRPr="00E76E89">
        <w:t xml:space="preserve"> vadovavo LRT </w:t>
      </w:r>
      <w:r w:rsidRPr="00E76E89">
        <w:t xml:space="preserve">pastato šturmui, nukreipė pabūklus bei karinės technikos apšvietimo prietaisus į pastatą, baugino civilius, nepatvirtina jokie objektyvūs duomenys. Apeliaciniame skunde, vadovaujantis </w:t>
      </w:r>
      <w:r w:rsidR="006036E7" w:rsidRPr="00E76E89">
        <w:t>A. C.</w:t>
      </w:r>
      <w:r w:rsidRPr="00E76E89">
        <w:t xml:space="preserve"> parodymais, teigiama, jog pastarasis iš kitų kareivių sužinojo, kad skrenda į Lietuvą užtikrinti jaunimo šaukimą į karinę tarnybą. Vykdydamas įsakymą 1991 m. sausio 13 d. naktį jis važiavo karinės technikos kolonos gale, tačiau kur – nežinojo. Kai atvyko prie LRT pastato, </w:t>
      </w:r>
      <w:r w:rsidR="006A475C" w:rsidRPr="00E76E89">
        <w:t>š</w:t>
      </w:r>
      <w:r w:rsidRPr="00E76E89">
        <w:t>is jau buvo užimtas kareivių, jis pats n</w:t>
      </w:r>
      <w:r w:rsidR="00845F2F" w:rsidRPr="00E76E89">
        <w:t>ė</w:t>
      </w:r>
      <w:r w:rsidRPr="00E76E89">
        <w:t xml:space="preserve"> karto neiššovė, žmonių nemušė ir nestumdė, o kitiems kariams nurodymų atlikti neteisėtus veiksmus nedavė. </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 xml:space="preserve">Apelianto teigimu, </w:t>
      </w:r>
      <w:r w:rsidR="006036E7" w:rsidRPr="00E76E89">
        <w:t>A. C.</w:t>
      </w:r>
      <w:r w:rsidRPr="00E76E89">
        <w:t xml:space="preserve"> davė priesaiką tėvynei ir privalėjo vykdyti vadovybės duotus įsakymus, kitaip jam grėsė mirties bausmė. Nuteistasis negali būti baudžiamas iš esmės tik už tai, kad atsidūrė netinkamoje vietoje netinkamu laiku. Apelianto teigimu, teismo išvada, kad </w:t>
      </w:r>
      <w:r w:rsidR="006036E7" w:rsidRPr="00E76E89">
        <w:t>A. C.</w:t>
      </w:r>
      <w:r w:rsidRPr="00E76E89">
        <w:t xml:space="preserve"> žinojo apie Molotovo</w:t>
      </w:r>
      <w:r w:rsidR="00845F2F" w:rsidRPr="00E76E89">
        <w:t>–</w:t>
      </w:r>
      <w:r w:rsidRPr="00E76E89">
        <w:t xml:space="preserve">Ribentropo paktą ir Lietuvos nepriklausomybės atkūrimo eigą, yra nepagrįsta ir neteisinga. Nuteistasis žinojo, kad Lietuva buvo TSRS sudėtyje. </w:t>
      </w:r>
    </w:p>
    <w:p w:rsidR="00316A87" w:rsidRPr="00C00255" w:rsidRDefault="00316A87" w:rsidP="00321748">
      <w:pPr>
        <w:pStyle w:val="ListParagraph"/>
        <w:numPr>
          <w:ilvl w:val="0"/>
          <w:numId w:val="6"/>
        </w:numPr>
        <w:spacing w:before="120" w:after="120"/>
        <w:ind w:left="992" w:hanging="992"/>
        <w:contextualSpacing w:val="0"/>
        <w:rPr>
          <w:szCs w:val="24"/>
        </w:rPr>
      </w:pPr>
      <w:bookmarkStart w:id="104" w:name="_Toc37947863"/>
      <w:bookmarkStart w:id="105" w:name="_Toc67677342"/>
      <w:bookmarkStart w:id="106" w:name="_Toc67985469"/>
      <w:r w:rsidRPr="00D43DF2">
        <w:rPr>
          <w:b/>
        </w:rPr>
        <w:t xml:space="preserve">Nuteistojo </w:t>
      </w:r>
      <w:r w:rsidR="006036E7" w:rsidRPr="00D43DF2">
        <w:rPr>
          <w:b/>
        </w:rPr>
        <w:t>A. Ž.</w:t>
      </w:r>
      <w:r w:rsidRPr="00D43DF2">
        <w:rPr>
          <w:b/>
        </w:rPr>
        <w:t xml:space="preserve"> gynėjas</w:t>
      </w:r>
      <w:bookmarkEnd w:id="104"/>
      <w:bookmarkEnd w:id="105"/>
      <w:bookmarkEnd w:id="106"/>
      <w:r w:rsidRPr="00D43DF2">
        <w:rPr>
          <w:b/>
        </w:rPr>
        <w:t xml:space="preserve"> advokatas V. Kupcikevičius</w:t>
      </w:r>
      <w:r w:rsidRPr="00C00255">
        <w:t xml:space="preserve"> apeliaciniu skundu prašo panaikinti pirmosios instancijos teismo nuosprendį ir jo ginamąjį išteisinti. </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Anot gynybos, nuosprendis surašytas pažeidžiant BPK 305 straipsnyje numatytus reikalavimus ir nuteistojo teisę į gynybą. Iš nuosprendžio neaišku</w:t>
      </w:r>
      <w:r w:rsidR="00845F2F" w:rsidRPr="00E76E89">
        <w:t>,</w:t>
      </w:r>
      <w:r w:rsidRPr="00E76E89">
        <w:t xml:space="preserve"> dėl ko nuteistasis yra pripažintas kaltu, nes įrodytomis pripažintų aplinkybių reikia ieškoti itin didelės apimties ir prieštaringame nuosprendyje. Tokie pažeidimai laikytini esminiais, nes per terminą apeliaciniam skundui paduoti neįmanoma susipažinti su taip surašytu nuosprendžiu, jį tinkamai išanalizuoti ir motyvuotai apskųsti.</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Apelianto teigimu, baudžiamojo proceso įstatymas reikalauja nurodyti, kurie kiekvieno nuteistojo veiksmai ar jo įsakymai sudarė jam inkriminuojamų nusikaltimų sudėtis, tačiau pirmosios instancijos teismas šių reikalavimų neįvykdė. Nuosprendžio dalyje dėl nusikalstamų veiksmų prieš Lietuvos valstybę rengimo, karinės operacijos planavimo</w:t>
      </w:r>
      <w:r w:rsidRPr="00E76E89">
        <w:rPr>
          <w:i/>
          <w:iCs/>
        </w:rPr>
        <w:t xml:space="preserve"> </w:t>
      </w:r>
      <w:r w:rsidRPr="00E76E89">
        <w:t xml:space="preserve">bandoma detalizuoti nuteistųjų veiksmus, tačiau nuteistųjų veiksmai liko neatskleisti. </w:t>
      </w:r>
      <w:r w:rsidR="006036E7" w:rsidRPr="00E76E89">
        <w:t>A. Ž.</w:t>
      </w:r>
      <w:r w:rsidRPr="00E76E89">
        <w:t xml:space="preserve"> inkriminuojama, kad jis buvo 1989 m. pabaigoje įkurto vadovavimo karinei operacijai štabo </w:t>
      </w:r>
      <w:r w:rsidRPr="00E76E89">
        <w:lastRenderedPageBreak/>
        <w:t xml:space="preserve">narys, tačiau aplinkybės apie štabo įkūrimo laiką, jo sudėtį nėra pagrįstos jokiais įrodymais bei teismo nemotyvuotos. Nuosprendžio nustatomojoje dalyje nurodyta, kad </w:t>
      </w:r>
      <w:r w:rsidR="006036E7" w:rsidRPr="00E76E89">
        <w:t>A. Ž.</w:t>
      </w:r>
      <w:r w:rsidRPr="00E76E89">
        <w:t xml:space="preserve"> su viršininku </w:t>
      </w:r>
      <w:r w:rsidR="00385BC9" w:rsidRPr="00E76E89">
        <w:t>V. S. 1</w:t>
      </w:r>
      <w:r w:rsidRPr="00E76E89">
        <w:t xml:space="preserve"> perdavė vadovybės nurodymus divizijos kariškiams dėl dalyvavimo karinėje operacijoje ir konkrečių veiksmų atlikimo, tačiau nenurodyta</w:t>
      </w:r>
      <w:r w:rsidR="00845F2F" w:rsidRPr="00E76E89">
        <w:t>,</w:t>
      </w:r>
      <w:r w:rsidRPr="00E76E89">
        <w:t xml:space="preserve"> kokie tai buvo nurodymai ir dėl kokių konkrečių veiksmų. Gynėjo teigimu, skundžiamame nuosprendyje nenurodyta</w:t>
      </w:r>
      <w:r w:rsidR="00845F2F" w:rsidRPr="00E76E89">
        <w:t xml:space="preserve">, </w:t>
      </w:r>
      <w:r w:rsidRPr="00E76E89">
        <w:t xml:space="preserve">kokius konkrečius veiksmus užimant objektus atliko nors vienas </w:t>
      </w:r>
      <w:r w:rsidR="006036E7" w:rsidRPr="00E76E89">
        <w:t>A. Ž.</w:t>
      </w:r>
      <w:r w:rsidRPr="00E76E89">
        <w:t xml:space="preserve"> vadovautos divizijos kariškis. Nuosprendžio nustatomojoje dalyje prieštaringai nurodyta, kad 1991 m. sausio mėn. tarptautinės humanitarinės teisės draudžiamas karo atakas prieš civilius vykdė TSRS kariuomenės ir TSRS VSK grupės „A“ kariškiai, nes tokia teismo išvada eliminuoja galimybę inkriminuoti atitinka</w:t>
      </w:r>
      <w:r w:rsidR="00F43D61" w:rsidRPr="00E76E89">
        <w:t xml:space="preserve">mus veiksmus </w:t>
      </w:r>
      <w:r w:rsidR="006036E7" w:rsidRPr="00E76E89">
        <w:t>A. Ž.</w:t>
      </w:r>
      <w:r w:rsidR="00F43D61" w:rsidRPr="00E76E89">
        <w:t xml:space="preserve"> ir jam</w:t>
      </w:r>
      <w:r w:rsidRPr="00E76E89">
        <w:t xml:space="preserve"> pavaldiems asmenims. Nuosprendžio prieštaringumą pagrindžia ir išvada, kad nusikalstamas veikas prieš Lietuvos valstybę pradėta rengti dar 1989</w:t>
      </w:r>
      <w:r w:rsidR="00845F2F" w:rsidRPr="00E76E89">
        <w:t> </w:t>
      </w:r>
      <w:r w:rsidRPr="00E76E89">
        <w:t>m. pabaigoje, nors tuo metu Lietuva dar nebuvo paskelbusi nepriklausomybės ir tikslo grąžinti ją į TSRS sudėtį nebuvo.</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 xml:space="preserve">Apeliaciniu skundu teigiama, kad priimant nuosprendį buvo pažeistos ir įrodymų vertinimo taisyklės, o padarytos išvados prieštarauja bylos duomenims bei pažeidžia </w:t>
      </w:r>
      <w:r w:rsidRPr="00E76E89">
        <w:rPr>
          <w:i/>
        </w:rPr>
        <w:t xml:space="preserve">in dubio pro reo </w:t>
      </w:r>
      <w:r w:rsidRPr="00E76E89">
        <w:t>principą.</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Apelianto vertinimu, nuosprendyje dėl TSRS vidaus kariuomenės kariškių veiksmų, užimant LRT,</w:t>
      </w:r>
      <w:r w:rsidRPr="00E76E89">
        <w:rPr>
          <w:i/>
        </w:rPr>
        <w:t xml:space="preserve"> </w:t>
      </w:r>
      <w:r w:rsidRPr="00E76E89">
        <w:t>tėra išdėstyti ikiteisminio ty</w:t>
      </w:r>
      <w:r w:rsidR="00660130" w:rsidRPr="00E76E89">
        <w:t>rimo metu apklaustų kariškių K. </w:t>
      </w:r>
      <w:r w:rsidRPr="00E76E89">
        <w:t>G</w:t>
      </w:r>
      <w:r w:rsidR="00660130" w:rsidRPr="00E76E89">
        <w:t>.</w:t>
      </w:r>
      <w:r w:rsidRPr="00E76E89">
        <w:t>, J. S</w:t>
      </w:r>
      <w:r w:rsidR="00660130" w:rsidRPr="00E76E89">
        <w:t>.</w:t>
      </w:r>
      <w:r w:rsidRPr="00E76E89">
        <w:t>, B. D</w:t>
      </w:r>
      <w:r w:rsidR="00660130" w:rsidRPr="00E76E89">
        <w:t>.</w:t>
      </w:r>
      <w:r w:rsidRPr="00E76E89">
        <w:t xml:space="preserve"> ir daugelio kitų asmenų parodymai, kurie </w:t>
      </w:r>
      <w:r w:rsidR="006036E7" w:rsidRPr="00E76E89">
        <w:t>A. Ž.</w:t>
      </w:r>
      <w:r w:rsidRPr="00E76E89">
        <w:t xml:space="preserve"> kaltės padarius jam inkriminuojamas veikas niekaip nepagrindžia. Gynybos įsitikinimu, nuteistasis buvo pripažintas kaltu tik todėl, kad buvo vien</w:t>
      </w:r>
      <w:r w:rsidR="00A354C8" w:rsidRPr="00E76E89">
        <w:t>as</w:t>
      </w:r>
      <w:r w:rsidRPr="00E76E89">
        <w:t xml:space="preserve"> iš Vilniuje dislokuotų karinių dalinių vadų.</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 xml:space="preserve">Anot gynėjo, teismo išvada, kad nuteistųjų dalyvavimą padarant nusikalstamas veikas patvirtina kaltinamųjų </w:t>
      </w:r>
      <w:r w:rsidR="00385BC9" w:rsidRPr="00E76E89">
        <w:t>V. Š. 1</w:t>
      </w:r>
      <w:r w:rsidRPr="00E76E89">
        <w:t xml:space="preserve">, </w:t>
      </w:r>
      <w:r w:rsidR="00385BC9" w:rsidRPr="00E76E89">
        <w:t>M. G.</w:t>
      </w:r>
      <w:r w:rsidRPr="00E76E89">
        <w:t xml:space="preserve">, </w:t>
      </w:r>
      <w:r w:rsidR="00385BC9" w:rsidRPr="00E76E89">
        <w:t>N. D.</w:t>
      </w:r>
      <w:r w:rsidRPr="00E76E89">
        <w:t xml:space="preserve">, </w:t>
      </w:r>
      <w:r w:rsidR="00385BC9" w:rsidRPr="00E76E89">
        <w:t>V. S. 1</w:t>
      </w:r>
      <w:r w:rsidRPr="00E76E89">
        <w:t xml:space="preserve">, </w:t>
      </w:r>
      <w:r w:rsidR="004069BF" w:rsidRPr="00E76E89">
        <w:t>N. A.</w:t>
      </w:r>
      <w:r w:rsidRPr="00E76E89">
        <w:t xml:space="preserve"> ir kitų kaltinamųjų bei liudytojų parodymai, yra nepagrįsta. Apelianto teigimu, teismas vadovautis kaltinamųjų parodymais, kaip atskiru įrodymų šaltiniu, negalėjo, nes n</w:t>
      </w:r>
      <w:r w:rsidR="00845F2F" w:rsidRPr="00E76E89">
        <w:t>ė</w:t>
      </w:r>
      <w:r w:rsidRPr="00E76E89">
        <w:t xml:space="preserve"> vienas iš minėtų kaltinamųjų teisiamajame posėdyje nebuvo apklaustas. </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Gynėjo teigimu, n</w:t>
      </w:r>
      <w:r w:rsidR="00845F2F" w:rsidRPr="00E76E89">
        <w:t>ė</w:t>
      </w:r>
      <w:r w:rsidRPr="00E76E89">
        <w:t xml:space="preserve"> vienas iš liudytojų, kurie konkrečiai teismo nuosprendyje neįvard</w:t>
      </w:r>
      <w:r w:rsidR="00845F2F" w:rsidRPr="00E76E89">
        <w:t>y</w:t>
      </w:r>
      <w:r w:rsidRPr="00E76E89">
        <w:t xml:space="preserve">inti, nenurodė, kad </w:t>
      </w:r>
      <w:r w:rsidR="006036E7" w:rsidRPr="00E76E89">
        <w:t>A. Ž.</w:t>
      </w:r>
      <w:r w:rsidRPr="00E76E89">
        <w:t xml:space="preserve"> dalyvavo nusikalstamose veikose ar davė įsakymus jas daryti kitiems. Kaltinamasis </w:t>
      </w:r>
      <w:r w:rsidR="00A97F74" w:rsidRPr="00E76E89">
        <w:t>S. F.</w:t>
      </w:r>
      <w:r w:rsidRPr="00E76E89">
        <w:t xml:space="preserve"> apskritai teigė, kad 1991 m. sausio 13 d. apie 0.00 val. paskambinęs generolas majoras </w:t>
      </w:r>
      <w:r w:rsidR="006036E7" w:rsidRPr="00E76E89">
        <w:t>A. Ž.</w:t>
      </w:r>
      <w:r w:rsidRPr="00E76E89">
        <w:t xml:space="preserve"> nurodė, jog būtina su rezervu atvykti į Šiaurės miestelį bei padėti desantininkams užtikrinti visuomenės tvarką. Apelianto įsitikinimu, kadangi viena iš VRM funkcijų ir buvo palaikyti viešąją tvarką, šios funkcijos vykdymas ar nurodymas ją vykdyti negali būti pripažįstamas nusikaltimu. </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 xml:space="preserve">Gynybos įsitikinimu, byloje nėra duomenų, kad vykdydamas nurodymus perduoti oro desanto divizijos vadų žinion dalį jam pavaldžių VRM kariškių, </w:t>
      </w:r>
      <w:r w:rsidR="006036E7" w:rsidRPr="00E76E89">
        <w:t>A. Ž.</w:t>
      </w:r>
      <w:r w:rsidRPr="00E76E89">
        <w:t xml:space="preserve"> žinojo, jog pastarieji bus panaudoti karo nusikaltimams daryti. Pasak gynėjo, remiantis Romos statutu ir </w:t>
      </w:r>
      <w:r w:rsidR="0049485C" w:rsidRPr="00E76E89">
        <w:t>Jugoslavijos tarptautinio karo tribunolo</w:t>
      </w:r>
      <w:r w:rsidRPr="00E76E89">
        <w:t xml:space="preserve"> praktika, </w:t>
      </w:r>
      <w:r w:rsidR="006036E7" w:rsidRPr="00E76E89">
        <w:t>A. Ž.</w:t>
      </w:r>
      <w:r w:rsidRPr="00E76E89">
        <w:t xml:space="preserve"> atsakomybė už karo nusikaltimus gali būti taikoma tik konstatavus, kad tai jis žinojo, t.</w:t>
      </w:r>
      <w:r w:rsidR="00607B54" w:rsidRPr="00E76E89">
        <w:t> </w:t>
      </w:r>
      <w:r w:rsidRPr="00E76E89">
        <w:t>y. jo tiesioginę tyčią.</w:t>
      </w:r>
    </w:p>
    <w:p w:rsidR="00316A87" w:rsidRPr="00E76E89" w:rsidRDefault="00316A87" w:rsidP="00321748">
      <w:pPr>
        <w:pStyle w:val="ListParagraph"/>
        <w:numPr>
          <w:ilvl w:val="2"/>
          <w:numId w:val="6"/>
        </w:numPr>
        <w:spacing w:before="120" w:after="120"/>
        <w:ind w:left="992" w:hanging="992"/>
        <w:contextualSpacing w:val="0"/>
        <w:rPr>
          <w:szCs w:val="24"/>
        </w:rPr>
      </w:pPr>
      <w:r w:rsidRPr="00E76E89">
        <w:t xml:space="preserve">Liudytojas </w:t>
      </w:r>
      <w:r w:rsidR="00DD1A27" w:rsidRPr="00E76E89">
        <w:t>M. M.</w:t>
      </w:r>
      <w:r w:rsidRPr="00E76E89">
        <w:t xml:space="preserve"> teismo posėdyje nurodė, kad </w:t>
      </w:r>
      <w:r w:rsidR="006036E7" w:rsidRPr="00E76E89">
        <w:t>A. Ž.</w:t>
      </w:r>
      <w:r w:rsidRPr="00E76E89">
        <w:t xml:space="preserve"> aiškiai deklaravo nenorįs įsivelti į konfliktą su Lietuvos gyventojais. Jam susi</w:t>
      </w:r>
      <w:r w:rsidR="000622E7" w:rsidRPr="00E76E89">
        <w:t>darė</w:t>
      </w:r>
      <w:r w:rsidRPr="00E76E89">
        <w:t xml:space="preserve"> vaizdas, jog pats </w:t>
      </w:r>
      <w:r w:rsidR="006036E7" w:rsidRPr="00E76E89">
        <w:t>A. Ž.</w:t>
      </w:r>
      <w:r w:rsidRPr="00E76E89">
        <w:t xml:space="preserve"> nežinojo apie </w:t>
      </w:r>
      <w:r w:rsidR="00660130" w:rsidRPr="00E76E89">
        <w:t>1991 m. </w:t>
      </w:r>
      <w:r w:rsidRPr="00E76E89">
        <w:t xml:space="preserve">sausio 13 d. planus. </w:t>
      </w:r>
    </w:p>
    <w:p w:rsidR="00316A87" w:rsidRPr="00C00255" w:rsidRDefault="00316A87" w:rsidP="00321748">
      <w:pPr>
        <w:pStyle w:val="ListParagraph"/>
        <w:numPr>
          <w:ilvl w:val="2"/>
          <w:numId w:val="6"/>
        </w:numPr>
        <w:spacing w:before="120" w:after="120"/>
        <w:ind w:left="992" w:hanging="992"/>
        <w:contextualSpacing w:val="0"/>
        <w:rPr>
          <w:szCs w:val="24"/>
        </w:rPr>
      </w:pPr>
      <w:r w:rsidRPr="00C00255">
        <w:t xml:space="preserve">Liudytojas </w:t>
      </w:r>
      <w:r w:rsidR="00DD1A27">
        <w:t>P. L.</w:t>
      </w:r>
      <w:r w:rsidRPr="00C00255">
        <w:t xml:space="preserve"> </w:t>
      </w:r>
      <w:r w:rsidR="006036E7">
        <w:t>A. Ž.</w:t>
      </w:r>
      <w:r w:rsidRPr="00C00255">
        <w:t xml:space="preserve"> apibūdino kaip Lietuvos atžvilgiu ramiai nusiteikusį asmenį, kuris su šeima gyveno </w:t>
      </w:r>
      <w:r w:rsidR="00660130">
        <w:t>(duomenys neskelbtini)</w:t>
      </w:r>
      <w:r w:rsidRPr="00C00255">
        <w:t xml:space="preserve">. </w:t>
      </w:r>
    </w:p>
    <w:p w:rsidR="00316A87" w:rsidRPr="00E76E89" w:rsidRDefault="00316A87" w:rsidP="00321748">
      <w:pPr>
        <w:pStyle w:val="ListParagraph"/>
        <w:numPr>
          <w:ilvl w:val="2"/>
          <w:numId w:val="6"/>
        </w:numPr>
        <w:spacing w:before="120" w:after="120"/>
        <w:ind w:left="992" w:hanging="992"/>
        <w:contextualSpacing w:val="0"/>
        <w:rPr>
          <w:szCs w:val="24"/>
        </w:rPr>
      </w:pPr>
      <w:r w:rsidRPr="00E76E89">
        <w:t xml:space="preserve">Iš liudytojų </w:t>
      </w:r>
      <w:r w:rsidR="00660130" w:rsidRPr="00E76E89">
        <w:t>R. M.</w:t>
      </w:r>
      <w:r w:rsidR="00E420BD" w:rsidRPr="00E76E89">
        <w:t xml:space="preserve"> </w:t>
      </w:r>
      <w:r w:rsidRPr="00E76E89">
        <w:t xml:space="preserve">ir </w:t>
      </w:r>
      <w:r w:rsidR="00DD1A27" w:rsidRPr="00E76E89">
        <w:t>V. L.</w:t>
      </w:r>
      <w:r w:rsidRPr="00E76E89">
        <w:t xml:space="preserve"> parodymų matyti, kad </w:t>
      </w:r>
      <w:r w:rsidR="006036E7" w:rsidRPr="00E76E89">
        <w:t>A. Ž.</w:t>
      </w:r>
      <w:r w:rsidRPr="00E76E89">
        <w:t xml:space="preserve"> buvo tik nominalus karinio padalinio vadovas. Šie liudytojai jį įvardijo kaip pakankamai galių neturintį asmenį, kuris apie jam </w:t>
      </w:r>
      <w:r w:rsidRPr="00E76E89">
        <w:lastRenderedPageBreak/>
        <w:t>formaliai pavaldaus OMON padalinio veiksmus sužino</w:t>
      </w:r>
      <w:r w:rsidR="000622E7" w:rsidRPr="00E76E89">
        <w:t>jo</w:t>
      </w:r>
      <w:r w:rsidRPr="00E76E89">
        <w:t xml:space="preserve"> tik po informacijos paskelbimo viešai. </w:t>
      </w:r>
      <w:r w:rsidR="00660130" w:rsidRPr="00E76E89">
        <w:t xml:space="preserve"> </w:t>
      </w:r>
    </w:p>
    <w:p w:rsidR="00316A87" w:rsidRPr="00E76E89" w:rsidRDefault="00316A87" w:rsidP="00321748">
      <w:pPr>
        <w:pStyle w:val="ListParagraph"/>
        <w:numPr>
          <w:ilvl w:val="2"/>
          <w:numId w:val="6"/>
        </w:numPr>
        <w:spacing w:before="120" w:after="120"/>
        <w:ind w:left="992" w:hanging="992"/>
        <w:contextualSpacing w:val="0"/>
        <w:rPr>
          <w:szCs w:val="24"/>
        </w:rPr>
      </w:pPr>
      <w:r w:rsidRPr="00E76E89">
        <w:t xml:space="preserve">Tai, kad </w:t>
      </w:r>
      <w:r w:rsidR="006036E7" w:rsidRPr="00E76E89">
        <w:t>A. Ž.</w:t>
      </w:r>
      <w:r w:rsidRPr="00E76E89">
        <w:t xml:space="preserve"> buvo ignoruojamas VRM divizijos padalinių vadų, patvirtina ir vaizdo įrašas, kuriame užfiksuotas interviu su OMON Vilniaus padalinio vadu </w:t>
      </w:r>
      <w:r w:rsidR="00660130" w:rsidRPr="00E76E89">
        <w:t>B. M.</w:t>
      </w:r>
      <w:r w:rsidRPr="00E76E89">
        <w:t xml:space="preserve">. Pastarasis įraše teigė nelaukęs jokių VRM ar Vilniaus divizijos vado nurodymų – įvykio vietoje veikė pagal situaciją. </w:t>
      </w:r>
      <w:r w:rsidR="00660130" w:rsidRPr="00E76E89">
        <w:t xml:space="preserve"> </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 xml:space="preserve">Anot nuteistojo gynėjo, aptarti duomenys ne tik rodo, jog </w:t>
      </w:r>
      <w:r w:rsidR="006036E7" w:rsidRPr="00E76E89">
        <w:t>A. Ž.</w:t>
      </w:r>
      <w:r w:rsidRPr="00E76E89">
        <w:t xml:space="preserve"> nežinojo apie jo kariškių panaudojimą darant nusikaltimus žmoniškumui, </w:t>
      </w:r>
      <w:r w:rsidR="00EC0588" w:rsidRPr="00E76E89">
        <w:t>bet ir</w:t>
      </w:r>
      <w:r w:rsidR="00C66292" w:rsidRPr="00E76E89">
        <w:t xml:space="preserve"> patvirtina tai, kad VRM </w:t>
      </w:r>
      <w:r w:rsidRPr="00E76E89">
        <w:t xml:space="preserve">kariškiai turėjo planą perimti ir saugoti kitų padalinių jau užimtus objektus. Apelianto teigimu, apie tokią VRM pareigūnų funkciją įvykių metu nurodė specialistas J. Andriškevičius, nuteistasis </w:t>
      </w:r>
      <w:r w:rsidR="00385BC9" w:rsidRPr="00E76E89">
        <w:t>V. S. 1</w:t>
      </w:r>
      <w:r w:rsidRPr="00E76E89">
        <w:t xml:space="preserve"> bei </w:t>
      </w:r>
      <w:r w:rsidR="00EC0588" w:rsidRPr="00E76E89">
        <w:t>patvirtina</w:t>
      </w:r>
      <w:r w:rsidRPr="00E76E89">
        <w:t xml:space="preserve"> kiti rašytiniai dokumentai. Iš perimtų kariškių pokalbių radijo ryšio priemonėmis turinio girdėti draudimai šaudyti, nurodymai nieko netraiškyti. Apelianto įsitikinimu, perdavus pavaldžius kariškius kito kariškio pavaldumui ir byloje nenustačius </w:t>
      </w:r>
      <w:r w:rsidR="006036E7" w:rsidRPr="00E76E89">
        <w:t>A. Ž.</w:t>
      </w:r>
      <w:r w:rsidRPr="00E76E89">
        <w:t xml:space="preserve"> susitarimo, kad kariškiai bus panaudoti inkriminuojamiems nusikaltimams daryti, nuteistojo baudžiamoji atsakomybė negalima. Nuteistasis taip pat negali atsakyti už kario, kurio neturėjo galimybės kontroliuoti, ekscesą.</w:t>
      </w:r>
      <w:r w:rsidR="00783710" w:rsidRPr="00E76E89">
        <w:t xml:space="preserve"> </w:t>
      </w:r>
      <w:r w:rsidR="0049485C" w:rsidRPr="00E76E89">
        <w:t xml:space="preserve">Byloje nėra jokių duomenų, kad </w:t>
      </w:r>
      <w:r w:rsidR="006036E7" w:rsidRPr="00E76E89">
        <w:t>A. Ž.</w:t>
      </w:r>
      <w:r w:rsidR="0049485C" w:rsidRPr="00E76E89">
        <w:t xml:space="preserve"> vadovaujamos divizijos kariškiai, perduoti kito vado žinion, atliko veiksmus, kuriais </w:t>
      </w:r>
      <w:r w:rsidR="008309B3" w:rsidRPr="00E76E89">
        <w:t xml:space="preserve">buvo </w:t>
      </w:r>
      <w:r w:rsidR="0049485C" w:rsidRPr="00E76E89">
        <w:t xml:space="preserve">nužudytas </w:t>
      </w:r>
      <w:r w:rsidR="004E4879" w:rsidRPr="00E76E89">
        <w:t>A. K.</w:t>
      </w:r>
      <w:r w:rsidR="0049485C" w:rsidRPr="00E76E89">
        <w:t xml:space="preserve"> ar sužaloti civiliai. </w:t>
      </w:r>
    </w:p>
    <w:p w:rsidR="00316A87" w:rsidRPr="00E76E89" w:rsidRDefault="006036E7" w:rsidP="00321748">
      <w:pPr>
        <w:pStyle w:val="ListParagraph"/>
        <w:numPr>
          <w:ilvl w:val="1"/>
          <w:numId w:val="6"/>
        </w:numPr>
        <w:spacing w:before="120" w:after="120"/>
        <w:ind w:left="992" w:hanging="992"/>
        <w:contextualSpacing w:val="0"/>
        <w:rPr>
          <w:szCs w:val="24"/>
        </w:rPr>
      </w:pPr>
      <w:r w:rsidRPr="00E76E89">
        <w:t>A. Ž.</w:t>
      </w:r>
      <w:r w:rsidR="00316A87" w:rsidRPr="00E76E89">
        <w:t xml:space="preserve"> negali būti traukiamas atsakomybėn už inkriminuotus nusikaltimus, nes nėra duomenų apie susitarimą daryti tokius nusikaltimus ir </w:t>
      </w:r>
      <w:r w:rsidR="00EC0588" w:rsidRPr="00E76E89">
        <w:t>bendrą</w:t>
      </w:r>
      <w:r w:rsidR="00316A87" w:rsidRPr="00E76E89">
        <w:t xml:space="preserve"> tikslą bauginti civilius bei juos žudyti ar žaloti. Neįrodžius tokio tikslo</w:t>
      </w:r>
      <w:r w:rsidR="00EC0588" w:rsidRPr="00E76E89">
        <w:t>,</w:t>
      </w:r>
      <w:r w:rsidR="00316A87" w:rsidRPr="00E76E89">
        <w:t xml:space="preserve"> negalima </w:t>
      </w:r>
      <w:r w:rsidRPr="00E76E89">
        <w:t>A. Ž.</w:t>
      </w:r>
      <w:r w:rsidR="00316A87" w:rsidRPr="00E76E89">
        <w:t xml:space="preserve"> kaltinti ir pagal BK 112 straipsnį. Teismas šio nusikaltimo požymių nenustatė, o nuosprendyje, apibūdinant </w:t>
      </w:r>
      <w:r w:rsidRPr="00E76E89">
        <w:t>A. Ž.</w:t>
      </w:r>
      <w:r w:rsidR="00316A87" w:rsidRPr="00E76E89">
        <w:t xml:space="preserve"> ir jo vadovautos divizijos karių veiksmus, jie neaprašyti.</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 xml:space="preserve">Gynybos teigimu, </w:t>
      </w:r>
      <w:r w:rsidR="006036E7" w:rsidRPr="00E76E89">
        <w:t>A. Ž.</w:t>
      </w:r>
      <w:r w:rsidRPr="00E76E89">
        <w:t xml:space="preserve"> vadovaujamos divizijos kariškiai, vykdydami jiems pavestas apsaugos ir viešosios tvarkos užtikrinimo funkcijas, nenaudojo humanitarinės teisės draudžiamų priemonių – tokios priemonės jiems net nebuvo išduotos. Anot nuteistojo gynėjo, specialistas J. Andriškevičius išvadoje nurodė, kokios priemonės buvo i</w:t>
      </w:r>
      <w:r w:rsidR="00C66292" w:rsidRPr="00E76E89">
        <w:t>šduotos VRM </w:t>
      </w:r>
      <w:r w:rsidR="00C96771" w:rsidRPr="00E76E89">
        <w:t>konvojaus pulko moko</w:t>
      </w:r>
      <w:r w:rsidRPr="00E76E89">
        <w:t xml:space="preserve">majai specialiosios paskirties kuopai. Teismo posėdyje jis patikslino, kad pastarosios nėra letalinio pobūdžio ginklai – tai įbauginimo ir atgrasymo priemonės. Gynėjo įsitikinimu, net jei humanitarinės teisės draudžiamas priemones kiti asmenys naudojo arba jos buvo naudojamos kitų asmenų nurodymu, </w:t>
      </w:r>
      <w:r w:rsidR="006036E7" w:rsidRPr="00E76E89">
        <w:t>A. Ž.</w:t>
      </w:r>
      <w:r w:rsidRPr="00E76E89">
        <w:t xml:space="preserve"> už tai atsakyti negali. </w:t>
      </w:r>
    </w:p>
    <w:p w:rsidR="00316A87" w:rsidRPr="00E76E89" w:rsidRDefault="00316A87" w:rsidP="00321748">
      <w:pPr>
        <w:pStyle w:val="ListParagraph"/>
        <w:numPr>
          <w:ilvl w:val="1"/>
          <w:numId w:val="6"/>
        </w:numPr>
        <w:spacing w:before="120" w:after="120"/>
        <w:ind w:left="992" w:hanging="992"/>
        <w:contextualSpacing w:val="0"/>
        <w:rPr>
          <w:szCs w:val="24"/>
        </w:rPr>
      </w:pPr>
      <w:r w:rsidRPr="00E76E89">
        <w:t xml:space="preserve">Gynėjas pastebi, kad jau minėtas specialistas J. Andriškevičius apskritai abejojo galimybe inkriminuoti karo nusikaltimus šioje byloje. Duomenų, liudijančių apie galimą VRM padalinių kariškių atsakomybę už karo nusikaltimus, neįžvelgė ir nepriklausomos organizacijos „Ščit“ kariniai ekspertai bei liudytojas </w:t>
      </w:r>
      <w:r w:rsidR="00660130" w:rsidRPr="00E76E89">
        <w:t>M. P.</w:t>
      </w:r>
      <w:r w:rsidRPr="00E76E89">
        <w:t xml:space="preserve">. </w:t>
      </w:r>
    </w:p>
    <w:p w:rsidR="00D7241A" w:rsidRPr="00E76E89" w:rsidRDefault="00316A87" w:rsidP="00321748">
      <w:pPr>
        <w:pStyle w:val="ListParagraph"/>
        <w:numPr>
          <w:ilvl w:val="1"/>
          <w:numId w:val="6"/>
        </w:numPr>
        <w:spacing w:before="120" w:after="120"/>
        <w:ind w:left="992" w:hanging="992"/>
        <w:contextualSpacing w:val="0"/>
        <w:rPr>
          <w:szCs w:val="24"/>
        </w:rPr>
      </w:pPr>
      <w:r w:rsidRPr="00E76E89">
        <w:t xml:space="preserve">Nuosprendžiu konstatuotas </w:t>
      </w:r>
      <w:r w:rsidR="006036E7" w:rsidRPr="00E76E89">
        <w:t>A. Ž.</w:t>
      </w:r>
      <w:r w:rsidRPr="00E76E89">
        <w:t xml:space="preserve"> vadovautos divizijos kariškių </w:t>
      </w:r>
      <w:r w:rsidR="00A97F74" w:rsidRPr="00E76E89">
        <w:t>V. R.</w:t>
      </w:r>
      <w:r w:rsidRPr="00E76E89">
        <w:t xml:space="preserve"> ir </w:t>
      </w:r>
      <w:r w:rsidR="00DC0414" w:rsidRPr="00E76E89">
        <w:t>G. P.</w:t>
      </w:r>
      <w:r w:rsidRPr="00E76E89">
        <w:t xml:space="preserve"> veikimas leidžiant garso įrašą su kreipimusi į civilius LNGK vardu – kad visą valdžią Lietuvoje perima šis komitetas, bet koks priešinimasis beprasmis </w:t>
      </w:r>
      <w:r w:rsidR="000622E7" w:rsidRPr="00E76E89">
        <w:t>ir</w:t>
      </w:r>
      <w:r w:rsidRPr="00E76E89">
        <w:t xml:space="preserve"> liepiama civiliams skirstytis</w:t>
      </w:r>
      <w:r w:rsidR="000622E7" w:rsidRPr="00E76E89">
        <w:t xml:space="preserve"> –</w:t>
      </w:r>
      <w:r w:rsidRPr="00E76E89">
        <w:t xml:space="preserve"> neatitinka n</w:t>
      </w:r>
      <w:r w:rsidR="00EC0588" w:rsidRPr="00E76E89">
        <w:t>ė</w:t>
      </w:r>
      <w:r w:rsidRPr="00E76E89">
        <w:t xml:space="preserve"> vieno iš nuteistiesiems inkriminuotų nusikaltimų sudėties. </w:t>
      </w:r>
    </w:p>
    <w:p w:rsidR="00D7241A" w:rsidRPr="00C00255" w:rsidRDefault="00D7241A" w:rsidP="00321748">
      <w:pPr>
        <w:pStyle w:val="ListParagraph"/>
        <w:numPr>
          <w:ilvl w:val="0"/>
          <w:numId w:val="6"/>
        </w:numPr>
        <w:spacing w:before="120" w:after="120"/>
        <w:ind w:left="992" w:hanging="992"/>
        <w:contextualSpacing w:val="0"/>
        <w:rPr>
          <w:szCs w:val="24"/>
        </w:rPr>
      </w:pPr>
      <w:bookmarkStart w:id="107" w:name="_Toc37947864"/>
      <w:bookmarkStart w:id="108" w:name="_Toc67677343"/>
      <w:bookmarkStart w:id="109" w:name="_Toc67985470"/>
      <w:r w:rsidRPr="00D43DF2">
        <w:rPr>
          <w:b/>
        </w:rPr>
        <w:t xml:space="preserve">Nuteistojo </w:t>
      </w:r>
      <w:r w:rsidR="006036E7" w:rsidRPr="00D43DF2">
        <w:rPr>
          <w:b/>
        </w:rPr>
        <w:t>V. U. 1</w:t>
      </w:r>
      <w:r w:rsidRPr="00D43DF2">
        <w:rPr>
          <w:b/>
        </w:rPr>
        <w:t xml:space="preserve"> gynėjas</w:t>
      </w:r>
      <w:bookmarkEnd w:id="107"/>
      <w:bookmarkEnd w:id="108"/>
      <w:bookmarkEnd w:id="109"/>
      <w:r w:rsidR="002C298B" w:rsidRPr="00D43DF2">
        <w:rPr>
          <w:b/>
          <w:sz w:val="22"/>
        </w:rPr>
        <w:t xml:space="preserve"> </w:t>
      </w:r>
      <w:r w:rsidR="002C298B" w:rsidRPr="00D43DF2">
        <w:rPr>
          <w:b/>
        </w:rPr>
        <w:t xml:space="preserve">advokatas </w:t>
      </w:r>
      <w:r w:rsidR="002C298B" w:rsidRPr="00D43DF2">
        <w:rPr>
          <w:b/>
          <w:szCs w:val="24"/>
        </w:rPr>
        <w:t>A. Asovskis</w:t>
      </w:r>
      <w:r w:rsidR="002C298B" w:rsidRPr="00D43DF2">
        <w:t xml:space="preserve"> </w:t>
      </w:r>
      <w:r w:rsidR="002C298B" w:rsidRPr="00C00255">
        <w:rPr>
          <w:szCs w:val="24"/>
        </w:rPr>
        <w:t xml:space="preserve">apeliaciniu skundu prašo panaikinti pirmosios instancijos teismo nuosprendį ir </w:t>
      </w:r>
      <w:r w:rsidRPr="00C00255">
        <w:rPr>
          <w:szCs w:val="24"/>
        </w:rPr>
        <w:t xml:space="preserve">dėl </w:t>
      </w:r>
      <w:r w:rsidR="006036E7">
        <w:rPr>
          <w:szCs w:val="24"/>
        </w:rPr>
        <w:t>V. U. 1</w:t>
      </w:r>
      <w:r w:rsidRPr="00C00255">
        <w:rPr>
          <w:szCs w:val="24"/>
        </w:rPr>
        <w:t xml:space="preserve"> bei jo pavaldinių priimti išteisinamąjį nuosprendį.</w:t>
      </w:r>
    </w:p>
    <w:p w:rsidR="00D7241A" w:rsidRPr="00E76E89" w:rsidRDefault="00D7241A"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w:t>
      </w:r>
      <w:r w:rsidR="006036E7" w:rsidRPr="00E76E89">
        <w:rPr>
          <w:szCs w:val="24"/>
        </w:rPr>
        <w:t>V. U. 1</w:t>
      </w:r>
      <w:r w:rsidRPr="00E76E89">
        <w:rPr>
          <w:szCs w:val="24"/>
        </w:rPr>
        <w:t xml:space="preserve"> veiksmuose nėra jam inkriminuotų nusikaltimų sudėties bei nėra įrodymų dėl inkriminuotų nusikaltimų žmoniškumui įvykdymo. </w:t>
      </w:r>
      <w:r w:rsidRPr="00E76E89">
        <w:rPr>
          <w:szCs w:val="24"/>
        </w:rPr>
        <w:lastRenderedPageBreak/>
        <w:t>Remdamasis nuteistojo paro</w:t>
      </w:r>
      <w:r w:rsidR="00A34D0A" w:rsidRPr="00E76E89">
        <w:rPr>
          <w:szCs w:val="24"/>
        </w:rPr>
        <w:t>dymų protokolu (t. 1, b. l. 133–</w:t>
      </w:r>
      <w:r w:rsidRPr="00E76E89">
        <w:rPr>
          <w:szCs w:val="24"/>
        </w:rPr>
        <w:t>141), gynėjas teigia, kad</w:t>
      </w:r>
      <w:r w:rsidR="00D4595C" w:rsidRPr="00E76E89">
        <w:rPr>
          <w:szCs w:val="24"/>
        </w:rPr>
        <w:t xml:space="preserve"> </w:t>
      </w:r>
      <w:r w:rsidR="006036E7" w:rsidRPr="00E76E89">
        <w:rPr>
          <w:szCs w:val="24"/>
        </w:rPr>
        <w:t>V. U. 1</w:t>
      </w:r>
      <w:r w:rsidRPr="00E76E89">
        <w:rPr>
          <w:szCs w:val="24"/>
        </w:rPr>
        <w:t xml:space="preserve"> buvo TSRS armijos dalis ir tik vykdė įsakymus. Lietuva įvykių metu buvo </w:t>
      </w:r>
      <w:r w:rsidR="00970DB0" w:rsidRPr="00E76E89">
        <w:rPr>
          <w:szCs w:val="24"/>
        </w:rPr>
        <w:t>TSRS</w:t>
      </w:r>
      <w:r w:rsidRPr="00E76E89">
        <w:rPr>
          <w:szCs w:val="24"/>
        </w:rPr>
        <w:t xml:space="preserve"> dalimi ir jokių sovietinės Lietuvos įstatymų </w:t>
      </w:r>
      <w:r w:rsidR="006036E7" w:rsidRPr="00E76E89">
        <w:rPr>
          <w:szCs w:val="24"/>
        </w:rPr>
        <w:t>V. U. 1</w:t>
      </w:r>
      <w:r w:rsidRPr="00E76E89">
        <w:rPr>
          <w:szCs w:val="24"/>
        </w:rPr>
        <w:t xml:space="preserve"> nepažeidė. Prie tuom</w:t>
      </w:r>
      <w:r w:rsidR="00D4595C" w:rsidRPr="00E76E89">
        <w:rPr>
          <w:szCs w:val="24"/>
        </w:rPr>
        <w:t>e</w:t>
      </w:r>
      <w:r w:rsidR="000622E7" w:rsidRPr="00E76E89">
        <w:rPr>
          <w:szCs w:val="24"/>
        </w:rPr>
        <w:t xml:space="preserve">čių </w:t>
      </w:r>
      <w:r w:rsidR="00D4595C" w:rsidRPr="00E76E89">
        <w:rPr>
          <w:szCs w:val="24"/>
        </w:rPr>
        <w:t>įvykių privedė tuometė valdžia</w:t>
      </w:r>
      <w:r w:rsidRPr="00E76E89">
        <w:rPr>
          <w:szCs w:val="24"/>
        </w:rPr>
        <w:t xml:space="preserve">, o </w:t>
      </w:r>
      <w:r w:rsidR="006036E7" w:rsidRPr="00E76E89">
        <w:rPr>
          <w:szCs w:val="24"/>
        </w:rPr>
        <w:t>V. U. 1</w:t>
      </w:r>
      <w:r w:rsidRPr="00E76E89">
        <w:rPr>
          <w:szCs w:val="24"/>
        </w:rPr>
        <w:t xml:space="preserve"> padarė viską, kad nebūtų pralietas kraujas</w:t>
      </w:r>
      <w:r w:rsidR="00A3715B" w:rsidRPr="00E76E89">
        <w:rPr>
          <w:szCs w:val="24"/>
        </w:rPr>
        <w:t>,</w:t>
      </w:r>
      <w:r w:rsidRPr="00E76E89">
        <w:rPr>
          <w:szCs w:val="24"/>
        </w:rPr>
        <w:t xml:space="preserve"> ir nedavė įsakymų panaudoti ginklų, atvirkščiai – kategoriškai tai draudė. </w:t>
      </w:r>
    </w:p>
    <w:p w:rsidR="00D7241A" w:rsidRPr="00E76E89" w:rsidRDefault="00D7241A" w:rsidP="00321748">
      <w:pPr>
        <w:pStyle w:val="ListParagraph"/>
        <w:numPr>
          <w:ilvl w:val="1"/>
          <w:numId w:val="6"/>
        </w:numPr>
        <w:spacing w:before="120" w:after="120"/>
        <w:ind w:left="992" w:hanging="992"/>
        <w:contextualSpacing w:val="0"/>
        <w:rPr>
          <w:szCs w:val="24"/>
        </w:rPr>
      </w:pPr>
      <w:r w:rsidRPr="00E76E89">
        <w:rPr>
          <w:szCs w:val="24"/>
        </w:rPr>
        <w:t>Kariai</w:t>
      </w:r>
      <w:r w:rsidR="008309B3" w:rsidRPr="00E76E89">
        <w:rPr>
          <w:szCs w:val="24"/>
        </w:rPr>
        <w:t>,</w:t>
      </w:r>
      <w:r w:rsidRPr="00E76E89">
        <w:rPr>
          <w:szCs w:val="24"/>
        </w:rPr>
        <w:t xml:space="preserve"> vykdami į Lietuvą, nežinojo tikrojo atvykimo tikslo, nes jiems buvo sakoma, kad jie vyksta vykdyti šaukimų (tik </w:t>
      </w:r>
      <w:r w:rsidR="00C507EF" w:rsidRPr="00E76E89">
        <w:rPr>
          <w:szCs w:val="24"/>
        </w:rPr>
        <w:t>V. A.</w:t>
      </w:r>
      <w:r w:rsidRPr="00E76E89">
        <w:rPr>
          <w:szCs w:val="24"/>
        </w:rPr>
        <w:t xml:space="preserve"> ir </w:t>
      </w:r>
      <w:r w:rsidR="00660130" w:rsidRPr="00E76E89">
        <w:rPr>
          <w:szCs w:val="24"/>
        </w:rPr>
        <w:t>V. V.</w:t>
      </w:r>
      <w:r w:rsidRPr="00E76E89">
        <w:rPr>
          <w:szCs w:val="24"/>
        </w:rPr>
        <w:t xml:space="preserve"> žinojo tikrąjį tikslą). </w:t>
      </w:r>
      <w:r w:rsidR="006036E7" w:rsidRPr="00E76E89">
        <w:rPr>
          <w:szCs w:val="24"/>
        </w:rPr>
        <w:t>V. U. 1</w:t>
      </w:r>
      <w:r w:rsidRPr="00E76E89">
        <w:rPr>
          <w:szCs w:val="24"/>
        </w:rPr>
        <w:t xml:space="preserve"> nedavė įsakymo panaudoti kovinių ginklų ir kategoriškai tai uždraudė, be to, įsakė užpuolimo atveju šaudyti tik tuščiais šoviniais ir tik į viršų, t.</w:t>
      </w:r>
      <w:r w:rsidR="00340BA7" w:rsidRPr="00E76E89">
        <w:rPr>
          <w:szCs w:val="24"/>
        </w:rPr>
        <w:t> </w:t>
      </w:r>
      <w:r w:rsidRPr="00E76E89">
        <w:rPr>
          <w:szCs w:val="24"/>
        </w:rPr>
        <w:t>y. padarė viską, kad Vilniuje nebūtų prali</w:t>
      </w:r>
      <w:r w:rsidR="00660130" w:rsidRPr="00E76E89">
        <w:rPr>
          <w:szCs w:val="24"/>
        </w:rPr>
        <w:t>etas kraujas. Tai patvirtina G. </w:t>
      </w:r>
      <w:r w:rsidRPr="00E76E89">
        <w:rPr>
          <w:szCs w:val="24"/>
        </w:rPr>
        <w:t>G</w:t>
      </w:r>
      <w:r w:rsidR="00660130" w:rsidRPr="00E76E89">
        <w:rPr>
          <w:szCs w:val="24"/>
        </w:rPr>
        <w:t>.</w:t>
      </w:r>
      <w:r w:rsidRPr="00E76E89">
        <w:rPr>
          <w:szCs w:val="24"/>
        </w:rPr>
        <w:t xml:space="preserve"> (t. 7, b. l. 176), </w:t>
      </w:r>
      <w:r w:rsidR="006036E7" w:rsidRPr="00E76E89">
        <w:rPr>
          <w:szCs w:val="24"/>
        </w:rPr>
        <w:t>E. M.</w:t>
      </w:r>
      <w:r w:rsidRPr="00E76E89">
        <w:rPr>
          <w:szCs w:val="24"/>
        </w:rPr>
        <w:t xml:space="preserve"> (t. 3, b. l. 176) ir kitų karių bei karininkų parodymai, kad kariams buvo išduoti tik tušti, o ne koviniai šoviniai. Bylos duomenys taip pat įrodo, kad tankai ant žmonių nevažiavo ir tyčia nieko nenužudė, tankai šaudė maksimaliai į viršų tuščia</w:t>
      </w:r>
      <w:r w:rsidR="00660130" w:rsidRPr="00E76E89">
        <w:rPr>
          <w:szCs w:val="24"/>
        </w:rPr>
        <w:t>is šoviniais. Liudytojas H. </w:t>
      </w:r>
      <w:r w:rsidRPr="00E76E89">
        <w:rPr>
          <w:szCs w:val="24"/>
        </w:rPr>
        <w:t>V</w:t>
      </w:r>
      <w:r w:rsidR="00660130" w:rsidRPr="00E76E89">
        <w:rPr>
          <w:szCs w:val="24"/>
        </w:rPr>
        <w:t>.</w:t>
      </w:r>
      <w:r w:rsidRPr="00E76E89">
        <w:rPr>
          <w:szCs w:val="24"/>
        </w:rPr>
        <w:t xml:space="preserve"> teigė iš kito liudytojo M</w:t>
      </w:r>
      <w:r w:rsidR="00660130" w:rsidRPr="00E76E89">
        <w:rPr>
          <w:szCs w:val="24"/>
        </w:rPr>
        <w:t>.</w:t>
      </w:r>
      <w:r w:rsidRPr="00E76E89">
        <w:rPr>
          <w:szCs w:val="24"/>
        </w:rPr>
        <w:t xml:space="preserve"> girdėjęs, jog į ligoninę vežama L.</w:t>
      </w:r>
      <w:r w:rsidR="00340BA7" w:rsidRPr="00E76E89">
        <w:rPr>
          <w:szCs w:val="24"/>
        </w:rPr>
        <w:t> </w:t>
      </w:r>
      <w:r w:rsidRPr="00E76E89">
        <w:rPr>
          <w:szCs w:val="24"/>
        </w:rPr>
        <w:t>A</w:t>
      </w:r>
      <w:r w:rsidR="00660130" w:rsidRPr="00E76E89">
        <w:rPr>
          <w:szCs w:val="24"/>
        </w:rPr>
        <w:t>.</w:t>
      </w:r>
      <w:r w:rsidRPr="00E76E89">
        <w:rPr>
          <w:szCs w:val="24"/>
        </w:rPr>
        <w:t xml:space="preserve"> sakė, kad po kovine mašina ją pastūmė </w:t>
      </w:r>
      <w:r w:rsidR="00A34D0A" w:rsidRPr="00E76E89">
        <w:rPr>
          <w:szCs w:val="24"/>
        </w:rPr>
        <w:t>keli vaikinai (t. 134, b. l. 14–</w:t>
      </w:r>
      <w:r w:rsidRPr="00E76E89">
        <w:rPr>
          <w:szCs w:val="24"/>
        </w:rPr>
        <w:t>15). Tai, kad buvo duotas įsakymas nešaudyti į žmones, patvirtina ir</w:t>
      </w:r>
      <w:r w:rsidR="00660130" w:rsidRPr="00E76E89">
        <w:rPr>
          <w:szCs w:val="24"/>
        </w:rPr>
        <w:t xml:space="preserve"> O. </w:t>
      </w:r>
      <w:r w:rsidRPr="00E76E89">
        <w:rPr>
          <w:szCs w:val="24"/>
        </w:rPr>
        <w:t>M</w:t>
      </w:r>
      <w:r w:rsidR="00660130" w:rsidRPr="00E76E89">
        <w:rPr>
          <w:szCs w:val="24"/>
        </w:rPr>
        <w:t xml:space="preserve">. </w:t>
      </w:r>
      <w:r w:rsidRPr="00E76E89">
        <w:rPr>
          <w:szCs w:val="24"/>
        </w:rPr>
        <w:t xml:space="preserve">parodymai, </w:t>
      </w:r>
      <w:r w:rsidR="00D4595C" w:rsidRPr="00E76E89">
        <w:rPr>
          <w:szCs w:val="24"/>
        </w:rPr>
        <w:t>jog</w:t>
      </w:r>
      <w:r w:rsidRPr="00E76E89">
        <w:rPr>
          <w:szCs w:val="24"/>
        </w:rPr>
        <w:t>, jį vienam lietuviui įžeidus, jis į pastarąjį vis tiek nešovė.</w:t>
      </w:r>
    </w:p>
    <w:p w:rsidR="00D7241A" w:rsidRPr="00E76E89" w:rsidRDefault="00D7241A" w:rsidP="00321748">
      <w:pPr>
        <w:pStyle w:val="ListParagraph"/>
        <w:numPr>
          <w:ilvl w:val="1"/>
          <w:numId w:val="6"/>
        </w:numPr>
        <w:spacing w:before="120" w:after="120"/>
        <w:ind w:left="992" w:hanging="992"/>
        <w:contextualSpacing w:val="0"/>
        <w:rPr>
          <w:szCs w:val="24"/>
        </w:rPr>
      </w:pPr>
      <w:r w:rsidRPr="00E76E89">
        <w:rPr>
          <w:szCs w:val="24"/>
        </w:rPr>
        <w:t xml:space="preserve">Skunde pažymima, kad kariai prie </w:t>
      </w:r>
      <w:r w:rsidR="00DE3B19" w:rsidRPr="00E76E89">
        <w:rPr>
          <w:szCs w:val="24"/>
        </w:rPr>
        <w:t xml:space="preserve">TV </w:t>
      </w:r>
      <w:r w:rsidRPr="00E76E89">
        <w:rPr>
          <w:szCs w:val="24"/>
        </w:rPr>
        <w:t>bokšto žmonėms smūgiavo kumščiais, kojomis, buožėmis, atsakydami į įžeidinėjimus, mušimą pagaliais, geležiniais strypais ir akmenimis. Nagrinėjamų įvykių metu abiejose pusėse buvo žuvusiųjų ir sužeistų</w:t>
      </w:r>
      <w:r w:rsidR="00340BA7" w:rsidRPr="00E76E89">
        <w:rPr>
          <w:szCs w:val="24"/>
        </w:rPr>
        <w:t>jų</w:t>
      </w:r>
      <w:r w:rsidRPr="00E76E89">
        <w:rPr>
          <w:szCs w:val="24"/>
        </w:rPr>
        <w:t xml:space="preserve">, 78 sovietų kariai patyrė įvairaus sunkumo kūno sužalojimus. Be to, prie </w:t>
      </w:r>
      <w:r w:rsidR="00DE3B19" w:rsidRPr="00E76E89">
        <w:rPr>
          <w:szCs w:val="24"/>
        </w:rPr>
        <w:t>TV</w:t>
      </w:r>
      <w:r w:rsidRPr="00E76E89">
        <w:rPr>
          <w:szCs w:val="24"/>
        </w:rPr>
        <w:t xml:space="preserve"> bokšto buvo rasti šoviniai tokių ginklų, kurių neturėjo sovietų kariai, o tai rodo, kad buvo šaudoma ir iš medžioklinių šautuvų, automatų ir kitų ginklų. Kaltinamajame akte nekalbama ir apie tai, kas metė sprogmenį į kapitoną </w:t>
      </w:r>
      <w:r w:rsidR="006036E7" w:rsidRPr="00E76E89">
        <w:rPr>
          <w:szCs w:val="24"/>
        </w:rPr>
        <w:t>J. G.</w:t>
      </w:r>
      <w:r w:rsidRPr="00E76E89">
        <w:rPr>
          <w:szCs w:val="24"/>
        </w:rPr>
        <w:t xml:space="preserve">, kas nušovė leitenantą </w:t>
      </w:r>
      <w:r w:rsidR="00D4595C" w:rsidRPr="00E76E89">
        <w:rPr>
          <w:szCs w:val="24"/>
        </w:rPr>
        <w:t>V. </w:t>
      </w:r>
      <w:r w:rsidRPr="00E76E89">
        <w:rPr>
          <w:szCs w:val="24"/>
        </w:rPr>
        <w:t>Š</w:t>
      </w:r>
      <w:r w:rsidR="00660130" w:rsidRPr="00E76E89">
        <w:rPr>
          <w:szCs w:val="24"/>
        </w:rPr>
        <w:t>.</w:t>
      </w:r>
      <w:r w:rsidRPr="00E76E89">
        <w:rPr>
          <w:szCs w:val="24"/>
        </w:rPr>
        <w:t>, kas mirtinai sumušė piliečius B</w:t>
      </w:r>
      <w:r w:rsidR="00660130" w:rsidRPr="00E76E89">
        <w:rPr>
          <w:szCs w:val="24"/>
        </w:rPr>
        <w:t xml:space="preserve">. </w:t>
      </w:r>
      <w:r w:rsidRPr="00E76E89">
        <w:rPr>
          <w:szCs w:val="24"/>
        </w:rPr>
        <w:t>ir A</w:t>
      </w:r>
      <w:r w:rsidR="00660130" w:rsidRPr="00E76E89">
        <w:rPr>
          <w:szCs w:val="24"/>
        </w:rPr>
        <w:t>. (t. 151, b. l. </w:t>
      </w:r>
      <w:r w:rsidRPr="00E76E89">
        <w:rPr>
          <w:szCs w:val="24"/>
        </w:rPr>
        <w:t>258).</w:t>
      </w:r>
    </w:p>
    <w:p w:rsidR="00D7241A" w:rsidRPr="00C00255" w:rsidRDefault="00D7241A" w:rsidP="00321748">
      <w:pPr>
        <w:pStyle w:val="ListParagraph"/>
        <w:numPr>
          <w:ilvl w:val="1"/>
          <w:numId w:val="6"/>
        </w:numPr>
        <w:spacing w:before="120" w:after="120"/>
        <w:ind w:left="992" w:hanging="992"/>
        <w:contextualSpacing w:val="0"/>
        <w:rPr>
          <w:szCs w:val="24"/>
        </w:rPr>
      </w:pPr>
      <w:r w:rsidRPr="00E76E89">
        <w:rPr>
          <w:szCs w:val="24"/>
        </w:rPr>
        <w:t xml:space="preserve">Apeliaciniame skunde nurodoma, kad </w:t>
      </w:r>
      <w:r w:rsidR="006036E7" w:rsidRPr="00E76E89">
        <w:rPr>
          <w:szCs w:val="24"/>
        </w:rPr>
        <w:t>V. U. 1</w:t>
      </w:r>
      <w:r w:rsidRPr="00E76E89">
        <w:rPr>
          <w:szCs w:val="24"/>
        </w:rPr>
        <w:t xml:space="preserve"> vadovaujama motorizuota divizija tik teikė palaikymą desantininkams, kurie turėjo užimti </w:t>
      </w:r>
      <w:r w:rsidR="00DE3B19" w:rsidRPr="00E76E89">
        <w:rPr>
          <w:szCs w:val="24"/>
        </w:rPr>
        <w:t>TV</w:t>
      </w:r>
      <w:r w:rsidRPr="00E76E89">
        <w:rPr>
          <w:szCs w:val="24"/>
        </w:rPr>
        <w:t xml:space="preserve"> bokštą ir kitus objektus</w:t>
      </w:r>
      <w:r w:rsidR="00D4595C" w:rsidRPr="00E76E89">
        <w:rPr>
          <w:szCs w:val="24"/>
        </w:rPr>
        <w:t xml:space="preserve"> (t. </w:t>
      </w:r>
      <w:r w:rsidRPr="00E76E89">
        <w:rPr>
          <w:szCs w:val="24"/>
        </w:rPr>
        <w:t>6</w:t>
      </w:r>
      <w:r w:rsidR="00D4595C" w:rsidRPr="00E76E89">
        <w:rPr>
          <w:szCs w:val="24"/>
        </w:rPr>
        <w:t>60, </w:t>
      </w:r>
      <w:r w:rsidR="00DE3B19" w:rsidRPr="00E76E89">
        <w:rPr>
          <w:szCs w:val="24"/>
        </w:rPr>
        <w:t>b. l. </w:t>
      </w:r>
      <w:r w:rsidRPr="00E76E89">
        <w:rPr>
          <w:szCs w:val="24"/>
        </w:rPr>
        <w:t xml:space="preserve">48). Iš </w:t>
      </w:r>
      <w:r w:rsidR="006036E7" w:rsidRPr="00E76E89">
        <w:rPr>
          <w:szCs w:val="24"/>
        </w:rPr>
        <w:t>V. U. 1</w:t>
      </w:r>
      <w:r w:rsidRPr="00E76E89">
        <w:rPr>
          <w:szCs w:val="24"/>
        </w:rPr>
        <w:t xml:space="preserve"> vadovaujamos divizijos buvo suteikti septyni tankai ir karių padalinys, kuriems įsakinėjo </w:t>
      </w:r>
      <w:r w:rsidR="00C82C9D" w:rsidRPr="00E76E89">
        <w:rPr>
          <w:szCs w:val="24"/>
        </w:rPr>
        <w:t>V. P.</w:t>
      </w:r>
      <w:r w:rsidRPr="00E76E89">
        <w:rPr>
          <w:szCs w:val="24"/>
        </w:rPr>
        <w:t xml:space="preserve">. Tankams išvažiavus iš bazės Šiaurės miestelyje, </w:t>
      </w:r>
      <w:r w:rsidR="006036E7" w:rsidRPr="00E76E89">
        <w:rPr>
          <w:szCs w:val="24"/>
        </w:rPr>
        <w:t>V. U. 1</w:t>
      </w:r>
      <w:r w:rsidRPr="00E76E89">
        <w:rPr>
          <w:szCs w:val="24"/>
        </w:rPr>
        <w:t xml:space="preserve"> karių veiksmų nebekontroliavo, nes kariai perėjo į </w:t>
      </w:r>
      <w:r w:rsidR="00C507EF" w:rsidRPr="00E76E89">
        <w:rPr>
          <w:szCs w:val="24"/>
        </w:rPr>
        <w:t>V. A.</w:t>
      </w:r>
      <w:r w:rsidRPr="00E76E89">
        <w:rPr>
          <w:szCs w:val="24"/>
        </w:rPr>
        <w:t xml:space="preserve"> pavaldumą. </w:t>
      </w:r>
      <w:r w:rsidR="006036E7" w:rsidRPr="00E76E89">
        <w:rPr>
          <w:szCs w:val="24"/>
        </w:rPr>
        <w:t>V. U. 1</w:t>
      </w:r>
      <w:r w:rsidRPr="00E76E89">
        <w:rPr>
          <w:szCs w:val="24"/>
        </w:rPr>
        <w:t xml:space="preserve"> pavaldinys </w:t>
      </w:r>
      <w:r w:rsidR="00BA18FA" w:rsidRPr="00E76E89">
        <w:rPr>
          <w:szCs w:val="24"/>
        </w:rPr>
        <w:t>G. I.</w:t>
      </w:r>
      <w:r w:rsidRPr="00E76E89">
        <w:rPr>
          <w:szCs w:val="24"/>
        </w:rPr>
        <w:t xml:space="preserve"> sėdėjo ant tanko, kai tankas judėjo Spaudos rūmų link</w:t>
      </w:r>
      <w:r w:rsidR="00340BA7" w:rsidRPr="00E76E89">
        <w:rPr>
          <w:szCs w:val="24"/>
        </w:rPr>
        <w:t>,</w:t>
      </w:r>
      <w:r w:rsidRPr="00E76E89">
        <w:rPr>
          <w:szCs w:val="24"/>
        </w:rPr>
        <w:t xml:space="preserve"> ir tanko vadas, gavęs įsakymą iš </w:t>
      </w:r>
      <w:r w:rsidR="00C507EF" w:rsidRPr="00E76E89">
        <w:rPr>
          <w:szCs w:val="24"/>
        </w:rPr>
        <w:t>V. A.</w:t>
      </w:r>
      <w:r w:rsidRPr="00E76E89">
        <w:rPr>
          <w:szCs w:val="24"/>
        </w:rPr>
        <w:t xml:space="preserve"> ir </w:t>
      </w:r>
      <w:r w:rsidR="00660130" w:rsidRPr="00E76E89">
        <w:rPr>
          <w:szCs w:val="24"/>
        </w:rPr>
        <w:t>V. V.</w:t>
      </w:r>
      <w:r w:rsidRPr="00E76E89">
        <w:rPr>
          <w:szCs w:val="24"/>
        </w:rPr>
        <w:t xml:space="preserve">, iššovė vieną šūvį tuščiu šoviniu maksimaliai į viršų, kad niekas nenukentėtų (niekas nebuvo nužudytas ar sužeistas). Be to, prokuratūra klaidingai nurodė, kad </w:t>
      </w:r>
      <w:r w:rsidR="00BA18FA" w:rsidRPr="00E76E89">
        <w:rPr>
          <w:szCs w:val="24"/>
        </w:rPr>
        <w:t>G. I.</w:t>
      </w:r>
      <w:r w:rsidRPr="00E76E89">
        <w:rPr>
          <w:szCs w:val="24"/>
        </w:rPr>
        <w:t xml:space="preserve"> vadovavo 106</w:t>
      </w:r>
      <w:r w:rsidR="00F43D61" w:rsidRPr="00E76E89">
        <w:rPr>
          <w:szCs w:val="24"/>
        </w:rPr>
        <w:t>-ojo</w:t>
      </w:r>
      <w:r w:rsidRPr="00E76E89">
        <w:rPr>
          <w:szCs w:val="24"/>
        </w:rPr>
        <w:t xml:space="preserve"> tankų pulko bendram ekipažui, nes jis buvo artilerijos tarnybos vadas. Komendanto valanda taip pat buvo įvesta pagal </w:t>
      </w:r>
      <w:r w:rsidR="00C507EF" w:rsidRPr="00E76E89">
        <w:rPr>
          <w:szCs w:val="24"/>
        </w:rPr>
        <w:t>V. A.</w:t>
      </w:r>
      <w:r w:rsidRPr="00E76E89">
        <w:rPr>
          <w:szCs w:val="24"/>
        </w:rPr>
        <w:t xml:space="preserve"> ir </w:t>
      </w:r>
      <w:r w:rsidR="00660130" w:rsidRPr="00E76E89">
        <w:rPr>
          <w:szCs w:val="24"/>
        </w:rPr>
        <w:t>V. V.</w:t>
      </w:r>
      <w:r w:rsidRPr="00E76E89">
        <w:rPr>
          <w:szCs w:val="24"/>
        </w:rPr>
        <w:t xml:space="preserve"> įsakymą, o </w:t>
      </w:r>
      <w:r w:rsidR="006036E7" w:rsidRPr="00E76E89">
        <w:rPr>
          <w:szCs w:val="24"/>
        </w:rPr>
        <w:t>V. U. 1</w:t>
      </w:r>
      <w:r w:rsidRPr="00E76E89">
        <w:rPr>
          <w:szCs w:val="24"/>
        </w:rPr>
        <w:t xml:space="preserve"> nedalyvavo jokiose civilių organizacijose ir nebandė vykdyti perversmo šalyje, su </w:t>
      </w:r>
      <w:r w:rsidR="00C507EF" w:rsidRPr="00E76E89">
        <w:rPr>
          <w:szCs w:val="24"/>
        </w:rPr>
        <w:t>M. B.</w:t>
      </w:r>
      <w:r w:rsidRPr="00E76E89">
        <w:rPr>
          <w:szCs w:val="24"/>
        </w:rPr>
        <w:t xml:space="preserve"> ir </w:t>
      </w:r>
      <w:r w:rsidR="00385BC9" w:rsidRPr="00E76E89">
        <w:rPr>
          <w:szCs w:val="24"/>
        </w:rPr>
        <w:t>A. N. 1</w:t>
      </w:r>
      <w:r w:rsidRPr="00E76E89">
        <w:rPr>
          <w:szCs w:val="24"/>
        </w:rPr>
        <w:t xml:space="preserve"> susitikęs nebuvo. </w:t>
      </w:r>
      <w:r w:rsidR="006036E7" w:rsidRPr="00E76E89">
        <w:rPr>
          <w:szCs w:val="24"/>
        </w:rPr>
        <w:t>V. U. 1</w:t>
      </w:r>
      <w:r w:rsidRPr="00E76E89">
        <w:rPr>
          <w:szCs w:val="24"/>
        </w:rPr>
        <w:t xml:space="preserve"> pagal </w:t>
      </w:r>
      <w:r w:rsidR="00C507EF" w:rsidRPr="00E76E89">
        <w:rPr>
          <w:szCs w:val="24"/>
        </w:rPr>
        <w:t>V. A.</w:t>
      </w:r>
      <w:r w:rsidRPr="00E76E89">
        <w:rPr>
          <w:szCs w:val="24"/>
        </w:rPr>
        <w:t xml:space="preserve"> įsakymą siuntė kelis karius sulaikyti grupės „Skydas“ atstovus, kurie kvietė dezertyruoti ir turėjo svarbius dokumentus, tačiau po kelių asmenų sulaikymo </w:t>
      </w:r>
      <w:r w:rsidR="006036E7" w:rsidRPr="00E76E89">
        <w:rPr>
          <w:szCs w:val="24"/>
        </w:rPr>
        <w:t>V. U. 1</w:t>
      </w:r>
      <w:r w:rsidRPr="00E76E89">
        <w:rPr>
          <w:szCs w:val="24"/>
        </w:rPr>
        <w:t xml:space="preserve"> nematė, kokie tai buvo dokumentai</w:t>
      </w:r>
      <w:r w:rsidRPr="00C00255">
        <w:rPr>
          <w:szCs w:val="24"/>
        </w:rPr>
        <w:t>.</w:t>
      </w:r>
    </w:p>
    <w:p w:rsidR="00D7241A" w:rsidRPr="00E76E89" w:rsidRDefault="00D7241A" w:rsidP="00321748">
      <w:pPr>
        <w:pStyle w:val="ListParagraph"/>
        <w:numPr>
          <w:ilvl w:val="1"/>
          <w:numId w:val="6"/>
        </w:numPr>
        <w:spacing w:before="120" w:after="120"/>
        <w:ind w:left="992" w:hanging="992"/>
        <w:contextualSpacing w:val="0"/>
        <w:rPr>
          <w:szCs w:val="24"/>
        </w:rPr>
      </w:pPr>
      <w:r w:rsidRPr="00E76E89">
        <w:rPr>
          <w:szCs w:val="24"/>
        </w:rPr>
        <w:t>Gynėjo teigimu, kaltinamiesiems nepagrįstai buvo pareikšti kaltinimai dėl 13 žmonių nužudymo, kadangi pasivirtino duomenys tik dėl penkių nežinomomis aplinkybėmis žuvusių žmonių. Medicinos specialisto A.</w:t>
      </w:r>
      <w:r w:rsidR="00340BA7" w:rsidRPr="00E76E89">
        <w:rPr>
          <w:szCs w:val="24"/>
        </w:rPr>
        <w:t> </w:t>
      </w:r>
      <w:r w:rsidRPr="00E76E89">
        <w:rPr>
          <w:szCs w:val="24"/>
        </w:rPr>
        <w:t>Garmaus</w:t>
      </w:r>
      <w:r w:rsidR="00C96771" w:rsidRPr="00E76E89">
        <w:rPr>
          <w:szCs w:val="24"/>
        </w:rPr>
        <w:t>o</w:t>
      </w:r>
      <w:r w:rsidRPr="00E76E89">
        <w:rPr>
          <w:szCs w:val="24"/>
        </w:rPr>
        <w:t xml:space="preserve"> apklausos pr</w:t>
      </w:r>
      <w:r w:rsidR="00D4595C" w:rsidRPr="00E76E89">
        <w:rPr>
          <w:szCs w:val="24"/>
        </w:rPr>
        <w:t>otokole užfiksuota, kad 1991 m. </w:t>
      </w:r>
      <w:r w:rsidRPr="00E76E89">
        <w:rPr>
          <w:szCs w:val="24"/>
        </w:rPr>
        <w:t>sausio 13 d. į morgą buvo pristatyti aštuoni kūnai, iš kurių du buvo nesusiję su nagrinėjamais įvykiais, o trečias mirė</w:t>
      </w:r>
      <w:r w:rsidR="00A34D0A" w:rsidRPr="00E76E89">
        <w:rPr>
          <w:szCs w:val="24"/>
        </w:rPr>
        <w:t xml:space="preserve"> nuo infarkto (t. 284, b. l. 49–</w:t>
      </w:r>
      <w:r w:rsidRPr="00E76E89">
        <w:rPr>
          <w:szCs w:val="24"/>
        </w:rPr>
        <w:t>53). Liudytojas greitosios pagalbos vairuotojas I. V</w:t>
      </w:r>
      <w:r w:rsidR="00660130" w:rsidRPr="00E76E89">
        <w:rPr>
          <w:szCs w:val="24"/>
        </w:rPr>
        <w:t>.</w:t>
      </w:r>
      <w:r w:rsidRPr="00E76E89">
        <w:rPr>
          <w:szCs w:val="24"/>
        </w:rPr>
        <w:t xml:space="preserve"> taip pat paaiškino, kad lavonų ir sužeistųjų skaičius realybėje nebuvo toks didelis, kaip </w:t>
      </w:r>
      <w:r w:rsidR="00A34D0A" w:rsidRPr="00E76E89">
        <w:rPr>
          <w:szCs w:val="24"/>
        </w:rPr>
        <w:t>buvo teigiama (t. 134, b. l. 51–</w:t>
      </w:r>
      <w:r w:rsidRPr="00E76E89">
        <w:rPr>
          <w:szCs w:val="24"/>
        </w:rPr>
        <w:t>52). Bylos duomenys</w:t>
      </w:r>
      <w:r w:rsidR="00D4595C" w:rsidRPr="00E76E89">
        <w:rPr>
          <w:szCs w:val="24"/>
        </w:rPr>
        <w:t xml:space="preserve"> (t. 284, </w:t>
      </w:r>
      <w:r w:rsidRPr="00E76E89">
        <w:rPr>
          <w:szCs w:val="24"/>
        </w:rPr>
        <w:t>b. l. 77) patvir</w:t>
      </w:r>
      <w:r w:rsidR="00C943F4" w:rsidRPr="00E76E89">
        <w:rPr>
          <w:szCs w:val="24"/>
        </w:rPr>
        <w:t>tina ir faktą, kad A. </w:t>
      </w:r>
      <w:r w:rsidRPr="00E76E89">
        <w:rPr>
          <w:szCs w:val="24"/>
        </w:rPr>
        <w:t>K</w:t>
      </w:r>
      <w:r w:rsidR="00C943F4" w:rsidRPr="00E76E89">
        <w:rPr>
          <w:szCs w:val="24"/>
        </w:rPr>
        <w:t>.</w:t>
      </w:r>
      <w:r w:rsidRPr="00E76E89">
        <w:rPr>
          <w:szCs w:val="24"/>
        </w:rPr>
        <w:t xml:space="preserve"> mirė sausio 4 d., o ne buvo nužudytas sausio 13 d., kaip klaidingai nurodė ekspertas akte Nr. 57 (t. 1).</w:t>
      </w:r>
      <w:r w:rsidR="00D4595C" w:rsidRPr="00E76E89">
        <w:rPr>
          <w:szCs w:val="24"/>
        </w:rPr>
        <w:t xml:space="preserve"> Be to, ekspertai, tyrę A. </w:t>
      </w:r>
      <w:r w:rsidRPr="00E76E89">
        <w:rPr>
          <w:szCs w:val="24"/>
        </w:rPr>
        <w:t>K</w:t>
      </w:r>
      <w:r w:rsidR="00C943F4" w:rsidRPr="00E76E89">
        <w:rPr>
          <w:szCs w:val="24"/>
        </w:rPr>
        <w:t>.</w:t>
      </w:r>
      <w:r w:rsidRPr="00E76E89">
        <w:rPr>
          <w:szCs w:val="24"/>
        </w:rPr>
        <w:t xml:space="preserve"> kūną, padarė </w:t>
      </w:r>
      <w:r w:rsidRPr="00E76E89">
        <w:rPr>
          <w:szCs w:val="24"/>
        </w:rPr>
        <w:lastRenderedPageBreak/>
        <w:t>išvadą, kad jo sužalojimai panaš</w:t>
      </w:r>
      <w:r w:rsidR="008309B3" w:rsidRPr="00E76E89">
        <w:rPr>
          <w:szCs w:val="24"/>
        </w:rPr>
        <w:t>esni</w:t>
      </w:r>
      <w:r w:rsidRPr="00E76E89">
        <w:rPr>
          <w:szCs w:val="24"/>
        </w:rPr>
        <w:t xml:space="preserve"> į padarytus automobilio, o ne tanko, be to, jo kraujyje buvo rasta 2,52 promilės alkoholio (t. 151, b.</w:t>
      </w:r>
      <w:r w:rsidR="00340BA7" w:rsidRPr="00E76E89">
        <w:rPr>
          <w:szCs w:val="24"/>
        </w:rPr>
        <w:t> </w:t>
      </w:r>
      <w:r w:rsidRPr="00E76E89">
        <w:rPr>
          <w:szCs w:val="24"/>
        </w:rPr>
        <w:t>l.</w:t>
      </w:r>
      <w:r w:rsidR="00340BA7" w:rsidRPr="00E76E89">
        <w:rPr>
          <w:szCs w:val="24"/>
        </w:rPr>
        <w:t> </w:t>
      </w:r>
      <w:r w:rsidRPr="00E76E89">
        <w:rPr>
          <w:szCs w:val="24"/>
        </w:rPr>
        <w:t xml:space="preserve">259). </w:t>
      </w:r>
    </w:p>
    <w:p w:rsidR="00D7241A" w:rsidRPr="00E76E89" w:rsidRDefault="00D7241A" w:rsidP="00321748">
      <w:pPr>
        <w:pStyle w:val="ListParagraph"/>
        <w:numPr>
          <w:ilvl w:val="1"/>
          <w:numId w:val="6"/>
        </w:numPr>
        <w:spacing w:before="120" w:after="120"/>
        <w:ind w:left="992" w:hanging="992"/>
        <w:contextualSpacing w:val="0"/>
        <w:rPr>
          <w:szCs w:val="24"/>
        </w:rPr>
      </w:pPr>
      <w:r w:rsidRPr="00E76E89">
        <w:rPr>
          <w:szCs w:val="24"/>
        </w:rPr>
        <w:t xml:space="preserve">Apeliaciniame skunde nesutinkama ir su prokuratūros teiginiais dėl kitų žuvusių asmenų. Dėl </w:t>
      </w:r>
      <w:r w:rsidR="004E4879" w:rsidRPr="00E76E89">
        <w:rPr>
          <w:szCs w:val="24"/>
        </w:rPr>
        <w:t>A. K.</w:t>
      </w:r>
      <w:r w:rsidRPr="00E76E89">
        <w:rPr>
          <w:szCs w:val="24"/>
        </w:rPr>
        <w:t xml:space="preserve"> teigiama, kad jis buvo ne nušautas karių, bet žuvo ant jo sprogus sprogmeniui, kurį jis norėjo mesti į karius. Ekspertams kilo abejonių ir dėl </w:t>
      </w:r>
      <w:r w:rsidR="004472EE" w:rsidRPr="00E76E89">
        <w:rPr>
          <w:szCs w:val="24"/>
        </w:rPr>
        <w:t>D. G.</w:t>
      </w:r>
      <w:r w:rsidR="00660130" w:rsidRPr="00E76E89">
        <w:rPr>
          <w:szCs w:val="24"/>
        </w:rPr>
        <w:t>, V. </w:t>
      </w:r>
      <w:r w:rsidRPr="00E76E89">
        <w:rPr>
          <w:szCs w:val="24"/>
        </w:rPr>
        <w:t>V</w:t>
      </w:r>
      <w:r w:rsidR="00660130" w:rsidRPr="00E76E89">
        <w:rPr>
          <w:szCs w:val="24"/>
        </w:rPr>
        <w:t>.</w:t>
      </w:r>
      <w:r w:rsidRPr="00E76E89">
        <w:rPr>
          <w:szCs w:val="24"/>
        </w:rPr>
        <w:t>, I. Š</w:t>
      </w:r>
      <w:r w:rsidR="004472EE" w:rsidRPr="00E76E89">
        <w:rPr>
          <w:szCs w:val="24"/>
        </w:rPr>
        <w:t>.</w:t>
      </w:r>
      <w:r w:rsidRPr="00E76E89">
        <w:rPr>
          <w:szCs w:val="24"/>
        </w:rPr>
        <w:t>, ant kurių kūnų rasta įvairių krypčių šautinių žaiz</w:t>
      </w:r>
      <w:r w:rsidR="00D4595C" w:rsidRPr="00E76E89">
        <w:rPr>
          <w:szCs w:val="24"/>
        </w:rPr>
        <w:t>dų, mirties aplinkybių (t. 151, b. </w:t>
      </w:r>
      <w:r w:rsidRPr="00E76E89">
        <w:rPr>
          <w:szCs w:val="24"/>
        </w:rPr>
        <w:t xml:space="preserve">l. 259, 279). Žuvusiųjų žmonoms buvo uždrausta duoti parodymus </w:t>
      </w:r>
      <w:r w:rsidR="00970DB0" w:rsidRPr="00E76E89">
        <w:rPr>
          <w:szCs w:val="24"/>
        </w:rPr>
        <w:t>TSRS</w:t>
      </w:r>
      <w:r w:rsidRPr="00E76E89">
        <w:rPr>
          <w:szCs w:val="24"/>
        </w:rPr>
        <w:t xml:space="preserve"> prokurorams, siekiant nuslėpti tikrąsias žūties aplinkybes, nors buvo susitarimas dėl bendro šios bylos tyrimo (t. 134, b. l. 54</w:t>
      </w:r>
      <w:r w:rsidR="00340BA7" w:rsidRPr="00E76E89">
        <w:rPr>
          <w:szCs w:val="24"/>
        </w:rPr>
        <w:t>;</w:t>
      </w:r>
      <w:r w:rsidRPr="00E76E89">
        <w:rPr>
          <w:szCs w:val="24"/>
        </w:rPr>
        <w:t xml:space="preserve"> t. 136, b. l. 19). </w:t>
      </w:r>
    </w:p>
    <w:p w:rsidR="00D7241A" w:rsidRPr="00E76E89" w:rsidRDefault="00D7241A" w:rsidP="00321748">
      <w:pPr>
        <w:pStyle w:val="ListParagraph"/>
        <w:numPr>
          <w:ilvl w:val="1"/>
          <w:numId w:val="6"/>
        </w:numPr>
        <w:spacing w:before="120" w:after="120"/>
        <w:ind w:left="992" w:hanging="992"/>
        <w:contextualSpacing w:val="0"/>
        <w:rPr>
          <w:szCs w:val="24"/>
        </w:rPr>
      </w:pPr>
      <w:r w:rsidRPr="00E76E89">
        <w:rPr>
          <w:szCs w:val="24"/>
        </w:rPr>
        <w:t xml:space="preserve">Apeliaciniame skunde teigiama, kad Lietuvos prokurorai, uždrausdami nukentėjusiųjų artimiesiems vykti į sovietų tyrėjų apklausas, neleisdami </w:t>
      </w:r>
      <w:r w:rsidR="00D4595C" w:rsidRPr="00E76E89">
        <w:rPr>
          <w:szCs w:val="24"/>
        </w:rPr>
        <w:t xml:space="preserve">mirusių asmenų kūnų tyrimuose </w:t>
      </w:r>
      <w:r w:rsidRPr="00E76E89">
        <w:rPr>
          <w:szCs w:val="24"/>
        </w:rPr>
        <w:t xml:space="preserve">dalyvauti iš Maskvos atvykusiam ekspertui ir pan., nesilaikė Lietuvos prokuratūros ir </w:t>
      </w:r>
      <w:r w:rsidR="00970DB0" w:rsidRPr="00E76E89">
        <w:rPr>
          <w:szCs w:val="24"/>
        </w:rPr>
        <w:t>TSRS</w:t>
      </w:r>
      <w:r w:rsidRPr="00E76E89">
        <w:rPr>
          <w:szCs w:val="24"/>
        </w:rPr>
        <w:t xml:space="preserve"> prokuratūros sudarytos bendr</w:t>
      </w:r>
      <w:r w:rsidR="00D64F26" w:rsidRPr="00E76E89">
        <w:rPr>
          <w:szCs w:val="24"/>
        </w:rPr>
        <w:t>adarbiavimo sutarties, tiriant s</w:t>
      </w:r>
      <w:r w:rsidRPr="00E76E89">
        <w:rPr>
          <w:szCs w:val="24"/>
        </w:rPr>
        <w:t xml:space="preserve">ausio 13-osios įvykius. </w:t>
      </w:r>
    </w:p>
    <w:p w:rsidR="00D7241A" w:rsidRPr="00E76E89" w:rsidRDefault="00D7241A" w:rsidP="00321748">
      <w:pPr>
        <w:pStyle w:val="ListParagraph"/>
        <w:numPr>
          <w:ilvl w:val="1"/>
          <w:numId w:val="6"/>
        </w:numPr>
        <w:spacing w:before="120" w:after="120"/>
        <w:ind w:left="992" w:hanging="992"/>
        <w:contextualSpacing w:val="0"/>
        <w:rPr>
          <w:szCs w:val="24"/>
        </w:rPr>
      </w:pPr>
      <w:r w:rsidRPr="00E76E89">
        <w:rPr>
          <w:szCs w:val="24"/>
        </w:rPr>
        <w:t xml:space="preserve">Apeliaciniame skunde nurodoma, kad teismas nuteistųjų veiksmus </w:t>
      </w:r>
      <w:r w:rsidR="00D4595C" w:rsidRPr="00E76E89">
        <w:rPr>
          <w:szCs w:val="24"/>
        </w:rPr>
        <w:t xml:space="preserve">nepagrįstai </w:t>
      </w:r>
      <w:r w:rsidRPr="00E76E89">
        <w:rPr>
          <w:szCs w:val="24"/>
        </w:rPr>
        <w:t xml:space="preserve">vertino kaip atliktus nusikalstamos organizacijos, kadangi kariuomenė veikia pagal konkrečius statutus ir pagal juos įsakymai turi būti vykdomi be prieštaravimų. </w:t>
      </w:r>
      <w:r w:rsidRPr="00E76E89">
        <w:t xml:space="preserve">Kariuomenėje negali būti tokios sąvokos, kurią </w:t>
      </w:r>
      <w:r w:rsidR="00340BA7" w:rsidRPr="00E76E89">
        <w:t>vartoja</w:t>
      </w:r>
      <w:r w:rsidRPr="00E76E89">
        <w:t xml:space="preserve"> prokurorai</w:t>
      </w:r>
      <w:r w:rsidR="00340BA7" w:rsidRPr="00E76E89">
        <w:t>,</w:t>
      </w:r>
      <w:r w:rsidRPr="00E76E89">
        <w:t xml:space="preserve"> – įtraukimo į nusikalstamą veiką.</w:t>
      </w:r>
      <w:r w:rsidRPr="00E76E89">
        <w:rPr>
          <w:szCs w:val="24"/>
        </w:rPr>
        <w:t xml:space="preserve"> Anot gynėjo, byloje nėra įrodyta kaltinamųjų tyčia įvykdyti nusikaltimus žmoniškumui, o ir prokurorai kaltinamajame akte nurodė, kad kaltinamieji tik „galimai“ įvykdė nusikaltimus.</w:t>
      </w:r>
      <w:r w:rsidR="00D4595C" w:rsidRPr="00E76E89">
        <w:rPr>
          <w:szCs w:val="24"/>
        </w:rPr>
        <w:t xml:space="preserve"> </w:t>
      </w:r>
    </w:p>
    <w:p w:rsidR="00D4595C" w:rsidRPr="00C00255" w:rsidRDefault="00D4595C" w:rsidP="00321748">
      <w:pPr>
        <w:pStyle w:val="ListParagraph"/>
        <w:numPr>
          <w:ilvl w:val="0"/>
          <w:numId w:val="6"/>
        </w:numPr>
        <w:spacing w:before="120" w:after="120"/>
        <w:ind w:left="992" w:hanging="992"/>
        <w:contextualSpacing w:val="0"/>
        <w:rPr>
          <w:szCs w:val="24"/>
        </w:rPr>
      </w:pPr>
      <w:bookmarkStart w:id="110" w:name="_Toc37947865"/>
      <w:bookmarkStart w:id="111" w:name="_Toc67677344"/>
      <w:bookmarkStart w:id="112" w:name="_Toc67985471"/>
      <w:r w:rsidRPr="00D43DF2">
        <w:rPr>
          <w:b/>
        </w:rPr>
        <w:t xml:space="preserve">Nuteistojo </w:t>
      </w:r>
      <w:r w:rsidR="006036E7" w:rsidRPr="00D43DF2">
        <w:rPr>
          <w:b/>
        </w:rPr>
        <w:t>G. B.</w:t>
      </w:r>
      <w:r w:rsidRPr="00D43DF2">
        <w:rPr>
          <w:b/>
        </w:rPr>
        <w:t xml:space="preserve"> gynėjas</w:t>
      </w:r>
      <w:bookmarkEnd w:id="110"/>
      <w:bookmarkEnd w:id="111"/>
      <w:bookmarkEnd w:id="112"/>
      <w:r w:rsidRPr="00D43DF2">
        <w:rPr>
          <w:b/>
        </w:rPr>
        <w:t xml:space="preserve"> advokatas S. Pelšas</w:t>
      </w:r>
      <w:r w:rsidRPr="00C00255">
        <w:rPr>
          <w:szCs w:val="24"/>
        </w:rPr>
        <w:t xml:space="preserve"> apeliaciniu skundu prašo panaikinti pirmosios instancijos teismo nuosprendį ir dėl jo ginamojo priimti išteisinamąjį nuosprendį, kadangi nepadarytos veikos, turinčios nusikaltimo požymių.</w:t>
      </w:r>
    </w:p>
    <w:p w:rsidR="00D4595C" w:rsidRPr="00E76E89" w:rsidRDefault="00D4595C" w:rsidP="00321748">
      <w:pPr>
        <w:pStyle w:val="ListParagraph"/>
        <w:numPr>
          <w:ilvl w:val="1"/>
          <w:numId w:val="6"/>
        </w:numPr>
        <w:spacing w:before="120" w:after="120"/>
        <w:ind w:left="992" w:hanging="992"/>
        <w:contextualSpacing w:val="0"/>
        <w:rPr>
          <w:szCs w:val="24"/>
        </w:rPr>
      </w:pPr>
      <w:r w:rsidRPr="00E76E89">
        <w:rPr>
          <w:szCs w:val="24"/>
        </w:rPr>
        <w:t xml:space="preserve">Apeliaciniame skunde plačiau analizuojami tik konkrečiai </w:t>
      </w:r>
      <w:r w:rsidR="006036E7" w:rsidRPr="00E76E89">
        <w:rPr>
          <w:szCs w:val="24"/>
        </w:rPr>
        <w:t>G. B.</w:t>
      </w:r>
      <w:r w:rsidRPr="00E76E89">
        <w:rPr>
          <w:szCs w:val="24"/>
        </w:rPr>
        <w:t xml:space="preserve"> pareikšti kaltinimai dėl komendanto valandos įvedimo ir įgyvendinimo. Teigiama, kad </w:t>
      </w:r>
      <w:r w:rsidR="006036E7" w:rsidRPr="00E76E89">
        <w:rPr>
          <w:szCs w:val="24"/>
        </w:rPr>
        <w:t>G. B.</w:t>
      </w:r>
      <w:r w:rsidRPr="00E76E89">
        <w:rPr>
          <w:szCs w:val="24"/>
        </w:rPr>
        <w:t xml:space="preserve"> pareikšti kaltinimai g</w:t>
      </w:r>
      <w:r w:rsidR="00A34D0A" w:rsidRPr="00E76E89">
        <w:rPr>
          <w:szCs w:val="24"/>
        </w:rPr>
        <w:t>rindžiami tik tuo, kad jis 1990–</w:t>
      </w:r>
      <w:r w:rsidRPr="00E76E89">
        <w:rPr>
          <w:szCs w:val="24"/>
        </w:rPr>
        <w:t>1991</w:t>
      </w:r>
      <w:r w:rsidR="005E0576" w:rsidRPr="00E76E89">
        <w:rPr>
          <w:szCs w:val="24"/>
        </w:rPr>
        <w:t> </w:t>
      </w:r>
      <w:r w:rsidRPr="00E76E89">
        <w:rPr>
          <w:szCs w:val="24"/>
        </w:rPr>
        <w:t>m. ėjo Vilniaus įgulos komendanto pareigas. Akcentuojama, kad tarnyba ginkluotos</w:t>
      </w:r>
      <w:r w:rsidR="007C17D7" w:rsidRPr="00E76E89">
        <w:rPr>
          <w:szCs w:val="24"/>
        </w:rPr>
        <w:t>ios</w:t>
      </w:r>
      <w:r w:rsidRPr="00E76E89">
        <w:rPr>
          <w:szCs w:val="24"/>
        </w:rPr>
        <w:t xml:space="preserve">e pajėgose pati savaime negali būti laikoma nusikalstama veika, o jokių konkrečių </w:t>
      </w:r>
      <w:r w:rsidR="006036E7" w:rsidRPr="00E76E89">
        <w:rPr>
          <w:szCs w:val="24"/>
        </w:rPr>
        <w:t>G. B.</w:t>
      </w:r>
      <w:r w:rsidRPr="00E76E89">
        <w:rPr>
          <w:szCs w:val="24"/>
        </w:rPr>
        <w:t xml:space="preserve"> veiksmų, kuriuos būtų galima vertinti pagal jam inkriminuotus BK straipsnius, byloje nėra nustatyta. Gynėjo teigimu, nuosprendyje tik bendrai aprašyti komendanto valandos įvedimo įvykiai, iš kurių negalima daryti išvados, kad </w:t>
      </w:r>
      <w:r w:rsidR="006036E7" w:rsidRPr="00E76E89">
        <w:rPr>
          <w:szCs w:val="24"/>
        </w:rPr>
        <w:t>G. B.</w:t>
      </w:r>
      <w:r w:rsidRPr="00E76E89">
        <w:rPr>
          <w:szCs w:val="24"/>
        </w:rPr>
        <w:t xml:space="preserve"> yra atsakingas už </w:t>
      </w:r>
      <w:r w:rsidR="004E4879" w:rsidRPr="00E76E89">
        <w:rPr>
          <w:szCs w:val="24"/>
        </w:rPr>
        <w:t>J. T.</w:t>
      </w:r>
      <w:r w:rsidRPr="00E76E89">
        <w:rPr>
          <w:szCs w:val="24"/>
        </w:rPr>
        <w:t xml:space="preserve"> nužudymą ir </w:t>
      </w:r>
      <w:r w:rsidR="004E4879" w:rsidRPr="00E76E89">
        <w:rPr>
          <w:szCs w:val="24"/>
        </w:rPr>
        <w:t>R. D.</w:t>
      </w:r>
      <w:r w:rsidRPr="00E76E89">
        <w:rPr>
          <w:szCs w:val="24"/>
        </w:rPr>
        <w:t xml:space="preserve"> sunkų sveikatos sutrikdymą. Nuosprendyje perrašytas kaltinamasis aktas, nurodant, kad grupė nenustatytų Vilniaus įgulos kariškių neteisėtai sulaikė </w:t>
      </w:r>
      <w:r w:rsidR="004E4879" w:rsidRPr="00E76E89">
        <w:rPr>
          <w:szCs w:val="24"/>
        </w:rPr>
        <w:t>R. D.</w:t>
      </w:r>
      <w:r w:rsidRPr="00E76E89">
        <w:rPr>
          <w:szCs w:val="24"/>
        </w:rPr>
        <w:t xml:space="preserve">, jį nuvežė į Vilniaus įgulos karinio komendanto </w:t>
      </w:r>
      <w:r w:rsidR="006036E7" w:rsidRPr="00E76E89">
        <w:rPr>
          <w:szCs w:val="24"/>
        </w:rPr>
        <w:t>G. B.</w:t>
      </w:r>
      <w:r w:rsidRPr="00E76E89">
        <w:rPr>
          <w:szCs w:val="24"/>
        </w:rPr>
        <w:t xml:space="preserve"> vadovaujamą Vilniaus įgulos karinę komendantūrą ir </w:t>
      </w:r>
      <w:r w:rsidR="006036E7" w:rsidRPr="00E76E89">
        <w:rPr>
          <w:szCs w:val="24"/>
        </w:rPr>
        <w:t>G. B.</w:t>
      </w:r>
      <w:r w:rsidRPr="00E76E89">
        <w:rPr>
          <w:szCs w:val="24"/>
        </w:rPr>
        <w:t xml:space="preserve"> pa</w:t>
      </w:r>
      <w:r w:rsidR="004E4879" w:rsidRPr="00E76E89">
        <w:rPr>
          <w:szCs w:val="24"/>
        </w:rPr>
        <w:t>valdūs nenustatyti kariškiai R. </w:t>
      </w:r>
      <w:r w:rsidRPr="00E76E89">
        <w:rPr>
          <w:szCs w:val="24"/>
        </w:rPr>
        <w:t>D</w:t>
      </w:r>
      <w:r w:rsidR="004E4879" w:rsidRPr="00E76E89">
        <w:rPr>
          <w:szCs w:val="24"/>
        </w:rPr>
        <w:t>.</w:t>
      </w:r>
      <w:r w:rsidRPr="00E76E89">
        <w:rPr>
          <w:szCs w:val="24"/>
        </w:rPr>
        <w:t xml:space="preserve"> padarė sunkų sveikatos sutrikdymą. Gynėjo vertinimu, bylos duomenys nepatvirtina, kad </w:t>
      </w:r>
      <w:r w:rsidR="004E4879" w:rsidRPr="00E76E89">
        <w:rPr>
          <w:szCs w:val="24"/>
        </w:rPr>
        <w:t>R. D.</w:t>
      </w:r>
      <w:r w:rsidRPr="00E76E89">
        <w:rPr>
          <w:szCs w:val="24"/>
        </w:rPr>
        <w:t xml:space="preserve"> sulaikė būtent </w:t>
      </w:r>
      <w:r w:rsidR="006036E7" w:rsidRPr="00E76E89">
        <w:rPr>
          <w:szCs w:val="24"/>
        </w:rPr>
        <w:t>G. B.</w:t>
      </w:r>
      <w:r w:rsidRPr="00E76E89">
        <w:rPr>
          <w:szCs w:val="24"/>
        </w:rPr>
        <w:t xml:space="preserve"> pavaldūs </w:t>
      </w:r>
      <w:r w:rsidR="002C298B" w:rsidRPr="00E76E89">
        <w:rPr>
          <w:szCs w:val="24"/>
        </w:rPr>
        <w:t>kariškiai, nes į Lietuvą buvo perdislokuota daug įvairaus pavaldumo dalinių. Ankstesni</w:t>
      </w:r>
      <w:r w:rsidRPr="00E76E89">
        <w:rPr>
          <w:szCs w:val="24"/>
        </w:rPr>
        <w:t xml:space="preserve">uose kaltinamuosiuose aktuose (1994 m. lapkričio 17 d. akte, </w:t>
      </w:r>
      <w:r w:rsidR="00660130" w:rsidRPr="00E76E89">
        <w:rPr>
          <w:szCs w:val="24"/>
        </w:rPr>
        <w:t>surašytame prokuroro K. B.</w:t>
      </w:r>
      <w:r w:rsidRPr="00E76E89">
        <w:rPr>
          <w:szCs w:val="24"/>
        </w:rPr>
        <w:t>, ir 2006 m. birželio 13 d. akte, surašytame prokurorės G.</w:t>
      </w:r>
      <w:r w:rsidR="005E0576" w:rsidRPr="00E76E89">
        <w:rPr>
          <w:szCs w:val="24"/>
        </w:rPr>
        <w:t> </w:t>
      </w:r>
      <w:r w:rsidRPr="00E76E89">
        <w:rPr>
          <w:szCs w:val="24"/>
        </w:rPr>
        <w:t>V</w:t>
      </w:r>
      <w:r w:rsidR="00660130" w:rsidRPr="00E76E89">
        <w:rPr>
          <w:szCs w:val="24"/>
        </w:rPr>
        <w:t>.</w:t>
      </w:r>
      <w:r w:rsidRPr="00E76E89">
        <w:rPr>
          <w:szCs w:val="24"/>
        </w:rPr>
        <w:t>) minėti kariškiai buvo įvard</w:t>
      </w:r>
      <w:r w:rsidR="005E0576" w:rsidRPr="00E76E89">
        <w:rPr>
          <w:szCs w:val="24"/>
        </w:rPr>
        <w:t>y</w:t>
      </w:r>
      <w:r w:rsidRPr="00E76E89">
        <w:rPr>
          <w:szCs w:val="24"/>
        </w:rPr>
        <w:t>ti kaip „grupė kitos valstybės TSRS GM civiliais drabužiais persirengusių kariškių“. Nuo minėtų kaltinamųjų aktų surašymo byloje neatsirado jokių naujų duomenų, kurie būtų leidę minėtus asmenis įvard</w:t>
      </w:r>
      <w:r w:rsidR="005E0576" w:rsidRPr="00E76E89">
        <w:rPr>
          <w:szCs w:val="24"/>
        </w:rPr>
        <w:t>y</w:t>
      </w:r>
      <w:r w:rsidRPr="00E76E89">
        <w:rPr>
          <w:szCs w:val="24"/>
        </w:rPr>
        <w:t>ti „nenustatytais Vilniaus įgulos kariškiais“. Be to, byloje nėra duomenų, kad sa</w:t>
      </w:r>
      <w:r w:rsidR="00A34D0A" w:rsidRPr="00E76E89">
        <w:rPr>
          <w:szCs w:val="24"/>
        </w:rPr>
        <w:t>usio 13–</w:t>
      </w:r>
      <w:r w:rsidRPr="00E76E89">
        <w:rPr>
          <w:szCs w:val="24"/>
        </w:rPr>
        <w:t>14</w:t>
      </w:r>
      <w:r w:rsidR="005E0576" w:rsidRPr="00E76E89">
        <w:rPr>
          <w:szCs w:val="24"/>
        </w:rPr>
        <w:t> </w:t>
      </w:r>
      <w:r w:rsidRPr="00E76E89">
        <w:rPr>
          <w:szCs w:val="24"/>
        </w:rPr>
        <w:t xml:space="preserve">d. </w:t>
      </w:r>
      <w:r w:rsidR="006036E7" w:rsidRPr="00E76E89">
        <w:rPr>
          <w:szCs w:val="24"/>
        </w:rPr>
        <w:t>G. B.</w:t>
      </w:r>
      <w:r w:rsidRPr="00E76E89">
        <w:rPr>
          <w:szCs w:val="24"/>
        </w:rPr>
        <w:t xml:space="preserve"> apskritai buvo komendantūroje ir kad matė nukentėjusįjį. Taip pat nėra duomenų, kurie patvirtintų nukentėjusiojo </w:t>
      </w:r>
      <w:r w:rsidR="004E4879" w:rsidRPr="00E76E89">
        <w:rPr>
          <w:szCs w:val="24"/>
        </w:rPr>
        <w:t>R. D.</w:t>
      </w:r>
      <w:r w:rsidRPr="00E76E89">
        <w:rPr>
          <w:szCs w:val="24"/>
        </w:rPr>
        <w:t xml:space="preserve"> parodymus dėl sužalojimo aplinkybių. Neatmestina galimybė, kad jis buvo sužalotas kitur, ir melagingais parodymais tik norėjo gauti nukentėjusiojo statusą. Gynėjas skunde atkreipia dėmesį į tai, kad į komendantūros pastatą buvo komandiruoti karinio dalinio </w:t>
      </w:r>
      <w:r w:rsidR="001C5185" w:rsidRPr="00E76E89">
        <w:rPr>
          <w:szCs w:val="24"/>
        </w:rPr>
        <w:t xml:space="preserve">Nr. </w:t>
      </w:r>
      <w:r w:rsidRPr="00E76E89">
        <w:rPr>
          <w:szCs w:val="24"/>
        </w:rPr>
        <w:t xml:space="preserve">22238 VSK </w:t>
      </w:r>
      <w:r w:rsidR="00C70DE3" w:rsidRPr="00E76E89">
        <w:t>ypatingos</w:t>
      </w:r>
      <w:r w:rsidR="008309B3" w:rsidRPr="00E76E89">
        <w:t>ios</w:t>
      </w:r>
      <w:r w:rsidR="00C70DE3" w:rsidRPr="00E76E89">
        <w:t xml:space="preserve"> dalies</w:t>
      </w:r>
      <w:r w:rsidRPr="00E76E89">
        <w:rPr>
          <w:szCs w:val="24"/>
        </w:rPr>
        <w:t xml:space="preserve"> skyriaus darbuot</w:t>
      </w:r>
      <w:r w:rsidR="004E4879" w:rsidRPr="00E76E89">
        <w:rPr>
          <w:szCs w:val="24"/>
        </w:rPr>
        <w:t>ojai, kurie ten budėjo, o ir R. </w:t>
      </w:r>
      <w:r w:rsidRPr="00E76E89">
        <w:rPr>
          <w:szCs w:val="24"/>
        </w:rPr>
        <w:t>D</w:t>
      </w:r>
      <w:r w:rsidR="004E4879" w:rsidRPr="00E76E89">
        <w:rPr>
          <w:szCs w:val="24"/>
        </w:rPr>
        <w:t>.</w:t>
      </w:r>
      <w:r w:rsidRPr="00E76E89">
        <w:rPr>
          <w:szCs w:val="24"/>
        </w:rPr>
        <w:t xml:space="preserve"> nurodė, kad komendantūroje su juo bendravo KGB karininkas. Tai įrodo, kad </w:t>
      </w:r>
      <w:r w:rsidRPr="00E76E89">
        <w:rPr>
          <w:szCs w:val="24"/>
        </w:rPr>
        <w:lastRenderedPageBreak/>
        <w:t xml:space="preserve">komendantūroje buvo ir </w:t>
      </w:r>
      <w:r w:rsidR="006036E7" w:rsidRPr="00E76E89">
        <w:rPr>
          <w:szCs w:val="24"/>
        </w:rPr>
        <w:t>G. B.</w:t>
      </w:r>
      <w:r w:rsidRPr="00E76E89">
        <w:rPr>
          <w:szCs w:val="24"/>
        </w:rPr>
        <w:t xml:space="preserve"> nepavaldžių TSRS jėgos struktūrų pareigūnai, todėl neįmanoma nustatyti, kas atsakingas už galimą </w:t>
      </w:r>
      <w:r w:rsidR="004E4879" w:rsidRPr="00E76E89">
        <w:rPr>
          <w:szCs w:val="24"/>
        </w:rPr>
        <w:t>R. D.</w:t>
      </w:r>
      <w:r w:rsidRPr="00E76E89">
        <w:rPr>
          <w:szCs w:val="24"/>
        </w:rPr>
        <w:t xml:space="preserve"> sužalojimą. Anot gynėjo, nuosprendyje aprašant aplinkybes dėl </w:t>
      </w:r>
      <w:r w:rsidR="004E4879" w:rsidRPr="00E76E89">
        <w:rPr>
          <w:szCs w:val="24"/>
        </w:rPr>
        <w:t>J. T.</w:t>
      </w:r>
      <w:r w:rsidRPr="00E76E89">
        <w:rPr>
          <w:szCs w:val="24"/>
        </w:rPr>
        <w:t xml:space="preserve"> nužudymo, analogiškai kaip ir dėl </w:t>
      </w:r>
      <w:r w:rsidR="004E4879" w:rsidRPr="00E76E89">
        <w:rPr>
          <w:szCs w:val="24"/>
        </w:rPr>
        <w:t>R. D.</w:t>
      </w:r>
      <w:r w:rsidRPr="00E76E89">
        <w:rPr>
          <w:szCs w:val="24"/>
        </w:rPr>
        <w:t>, įvard</w:t>
      </w:r>
      <w:r w:rsidR="005E0576" w:rsidRPr="00E76E89">
        <w:rPr>
          <w:szCs w:val="24"/>
        </w:rPr>
        <w:t>y</w:t>
      </w:r>
      <w:r w:rsidRPr="00E76E89">
        <w:rPr>
          <w:szCs w:val="24"/>
        </w:rPr>
        <w:t xml:space="preserve">ta, kad nusikalstamus veiksmus atliko nenustatyti Vilniaus įgulos kariškiai, įgyvendindami </w:t>
      </w:r>
      <w:r w:rsidR="006036E7" w:rsidRPr="00E76E89">
        <w:rPr>
          <w:szCs w:val="24"/>
        </w:rPr>
        <w:t>V. U. 1</w:t>
      </w:r>
      <w:r w:rsidRPr="00E76E89">
        <w:rPr>
          <w:szCs w:val="24"/>
        </w:rPr>
        <w:t xml:space="preserve"> ir </w:t>
      </w:r>
      <w:r w:rsidR="006036E7" w:rsidRPr="00E76E89">
        <w:rPr>
          <w:szCs w:val="24"/>
        </w:rPr>
        <w:t>G. B.</w:t>
      </w:r>
      <w:r w:rsidRPr="00E76E89">
        <w:rPr>
          <w:szCs w:val="24"/>
        </w:rPr>
        <w:t xml:space="preserve"> neteisėtai įvestą komendanto valandą bei vykdydami </w:t>
      </w:r>
      <w:r w:rsidR="006036E7" w:rsidRPr="00E76E89">
        <w:rPr>
          <w:szCs w:val="24"/>
        </w:rPr>
        <w:t>V. U. 1</w:t>
      </w:r>
      <w:r w:rsidRPr="00E76E89">
        <w:rPr>
          <w:szCs w:val="24"/>
        </w:rPr>
        <w:t xml:space="preserve"> ir </w:t>
      </w:r>
      <w:r w:rsidR="006036E7" w:rsidRPr="00E76E89">
        <w:rPr>
          <w:szCs w:val="24"/>
        </w:rPr>
        <w:t>G. B.</w:t>
      </w:r>
      <w:r w:rsidRPr="00E76E89">
        <w:rPr>
          <w:szCs w:val="24"/>
        </w:rPr>
        <w:t xml:space="preserve"> nurodymus šaudyti į reikalavimų nevykdančius civilius. Minėtuose ankstesniuose kaltinamuosiuose aktuose šiame epizode veikę kariškiai buvo įvard</w:t>
      </w:r>
      <w:r w:rsidR="005E0576" w:rsidRPr="00E76E89">
        <w:rPr>
          <w:szCs w:val="24"/>
        </w:rPr>
        <w:t>y</w:t>
      </w:r>
      <w:r w:rsidRPr="00E76E89">
        <w:rPr>
          <w:szCs w:val="24"/>
        </w:rPr>
        <w:t xml:space="preserve">ti kaip „nenustatyti TSRS GM kariškiai“, o vėliau prokuroras be jokio pagrindo minėtus kariškius įvardijo kaip „Vilniaus įgulos kariškiai“. </w:t>
      </w:r>
    </w:p>
    <w:p w:rsidR="00D43DF2" w:rsidRPr="00E76E89" w:rsidRDefault="00D4595C" w:rsidP="00D43DF2">
      <w:pPr>
        <w:pStyle w:val="ListParagraph"/>
        <w:numPr>
          <w:ilvl w:val="1"/>
          <w:numId w:val="6"/>
        </w:numPr>
        <w:spacing w:before="120" w:after="120"/>
        <w:ind w:left="992" w:hanging="992"/>
        <w:contextualSpacing w:val="0"/>
        <w:rPr>
          <w:szCs w:val="24"/>
        </w:rPr>
      </w:pPr>
      <w:r w:rsidRPr="00E76E89">
        <w:rPr>
          <w:szCs w:val="24"/>
        </w:rPr>
        <w:t xml:space="preserve">Apeliaciniame skunde, remiantis </w:t>
      </w:r>
      <w:r w:rsidR="006036E7" w:rsidRPr="00E76E89">
        <w:rPr>
          <w:szCs w:val="24"/>
        </w:rPr>
        <w:t>G. B.</w:t>
      </w:r>
      <w:r w:rsidR="005E0576" w:rsidRPr="00E76E89">
        <w:rPr>
          <w:szCs w:val="24"/>
        </w:rPr>
        <w:t>,</w:t>
      </w:r>
      <w:r w:rsidRPr="00E76E89">
        <w:rPr>
          <w:szCs w:val="24"/>
        </w:rPr>
        <w:t xml:space="preserve"> kaip įtariamojo</w:t>
      </w:r>
      <w:r w:rsidR="005E0576" w:rsidRPr="00E76E89">
        <w:rPr>
          <w:szCs w:val="24"/>
        </w:rPr>
        <w:t>,</w:t>
      </w:r>
      <w:r w:rsidRPr="00E76E89">
        <w:rPr>
          <w:szCs w:val="24"/>
        </w:rPr>
        <w:t xml:space="preserve"> apklausos protokolu, nurodoma, kad ypa</w:t>
      </w:r>
      <w:r w:rsidR="00A34D0A" w:rsidRPr="00E76E89">
        <w:rPr>
          <w:szCs w:val="24"/>
        </w:rPr>
        <w:t>tingu laikotarpiu (po sausio 12–</w:t>
      </w:r>
      <w:r w:rsidRPr="00E76E89">
        <w:rPr>
          <w:szCs w:val="24"/>
        </w:rPr>
        <w:t xml:space="preserve">13 d. įvykių) slaptu įsakymu </w:t>
      </w:r>
      <w:r w:rsidR="006036E7" w:rsidRPr="00E76E89">
        <w:rPr>
          <w:szCs w:val="24"/>
        </w:rPr>
        <w:t>G. B.</w:t>
      </w:r>
      <w:r w:rsidRPr="00E76E89">
        <w:rPr>
          <w:szCs w:val="24"/>
        </w:rPr>
        <w:t xml:space="preserve"> funkcijas perrėmė </w:t>
      </w:r>
      <w:r w:rsidR="006036E7" w:rsidRPr="00E76E89">
        <w:rPr>
          <w:szCs w:val="24"/>
        </w:rPr>
        <w:t>V. U. 1</w:t>
      </w:r>
      <w:r w:rsidRPr="00E76E89">
        <w:rPr>
          <w:szCs w:val="24"/>
        </w:rPr>
        <w:t>. Be to, ir teismas nuos</w:t>
      </w:r>
      <w:r w:rsidR="00446F2F" w:rsidRPr="00E76E89">
        <w:rPr>
          <w:szCs w:val="24"/>
        </w:rPr>
        <w:t>prendyje cituoja 1991 m. sausio </w:t>
      </w:r>
      <w:r w:rsidRPr="00E76E89">
        <w:rPr>
          <w:szCs w:val="24"/>
        </w:rPr>
        <w:t>14</w:t>
      </w:r>
      <w:r w:rsidR="005E0576" w:rsidRPr="00E76E89">
        <w:rPr>
          <w:szCs w:val="24"/>
        </w:rPr>
        <w:t> </w:t>
      </w:r>
      <w:r w:rsidRPr="00E76E89">
        <w:rPr>
          <w:szCs w:val="24"/>
        </w:rPr>
        <w:t>d. įsakymą Nr. 1 „Dėl komendantinės vala</w:t>
      </w:r>
      <w:r w:rsidR="00446F2F" w:rsidRPr="00E76E89">
        <w:rPr>
          <w:szCs w:val="24"/>
        </w:rPr>
        <w:t>ndos aprūpinimo“ (t. 238, b. l. </w:t>
      </w:r>
      <w:r w:rsidRPr="00E76E89">
        <w:rPr>
          <w:szCs w:val="24"/>
        </w:rPr>
        <w:t>163) ir įsakymą</w:t>
      </w:r>
      <w:r w:rsidR="007C17D7" w:rsidRPr="00E76E89">
        <w:rPr>
          <w:szCs w:val="24"/>
        </w:rPr>
        <w:t> </w:t>
      </w:r>
      <w:r w:rsidRPr="00E76E89">
        <w:rPr>
          <w:szCs w:val="24"/>
        </w:rPr>
        <w:t>Nr.</w:t>
      </w:r>
      <w:r w:rsidR="007C17D7" w:rsidRPr="00E76E89">
        <w:rPr>
          <w:szCs w:val="24"/>
        </w:rPr>
        <w:t> </w:t>
      </w:r>
      <w:r w:rsidRPr="00E76E89">
        <w:rPr>
          <w:szCs w:val="24"/>
        </w:rPr>
        <w:t xml:space="preserve">3 dėl pavedimo Vilniaus įgulos komendantui palaikyti ryšius su teisėsaugos organais, kuriuose aiškiai nurodyta, kad Vilniaus karinis komendantas buvo </w:t>
      </w:r>
      <w:r w:rsidR="006036E7" w:rsidRPr="00E76E89">
        <w:rPr>
          <w:szCs w:val="24"/>
        </w:rPr>
        <w:t>V. U. 1</w:t>
      </w:r>
      <w:r w:rsidRPr="00E76E89">
        <w:rPr>
          <w:szCs w:val="24"/>
        </w:rPr>
        <w:t xml:space="preserve">. Liudytojas </w:t>
      </w:r>
      <w:r w:rsidR="00660130" w:rsidRPr="00E76E89">
        <w:rPr>
          <w:szCs w:val="24"/>
        </w:rPr>
        <w:t>K. M.</w:t>
      </w:r>
      <w:r w:rsidRPr="00E76E89">
        <w:rPr>
          <w:szCs w:val="24"/>
        </w:rPr>
        <w:t xml:space="preserve"> taip pat patvirtino, kad dėl komendanto valandos įvedimo tarėsi su </w:t>
      </w:r>
      <w:r w:rsidR="00660130" w:rsidRPr="00E76E89">
        <w:rPr>
          <w:szCs w:val="24"/>
        </w:rPr>
        <w:t>V. V.</w:t>
      </w:r>
      <w:r w:rsidRPr="00E76E89">
        <w:rPr>
          <w:szCs w:val="24"/>
        </w:rPr>
        <w:t xml:space="preserve"> ir </w:t>
      </w:r>
      <w:r w:rsidR="006036E7" w:rsidRPr="00E76E89">
        <w:rPr>
          <w:szCs w:val="24"/>
        </w:rPr>
        <w:t>V. U. 1</w:t>
      </w:r>
      <w:r w:rsidRPr="00E76E89">
        <w:rPr>
          <w:szCs w:val="24"/>
        </w:rPr>
        <w:t>, nedalyvau</w:t>
      </w:r>
      <w:r w:rsidR="00446F2F" w:rsidRPr="00E76E89">
        <w:rPr>
          <w:szCs w:val="24"/>
        </w:rPr>
        <w:t xml:space="preserve">jant </w:t>
      </w:r>
      <w:r w:rsidR="006036E7" w:rsidRPr="00E76E89">
        <w:rPr>
          <w:szCs w:val="24"/>
        </w:rPr>
        <w:t>G. B.</w:t>
      </w:r>
      <w:r w:rsidR="00446F2F" w:rsidRPr="00E76E89">
        <w:rPr>
          <w:szCs w:val="24"/>
        </w:rPr>
        <w:t xml:space="preserve"> (t. 252, b. l. </w:t>
      </w:r>
      <w:r w:rsidRPr="00E76E89">
        <w:rPr>
          <w:szCs w:val="24"/>
        </w:rPr>
        <w:t xml:space="preserve">34). Kad </w:t>
      </w:r>
      <w:r w:rsidR="006036E7" w:rsidRPr="00E76E89">
        <w:rPr>
          <w:szCs w:val="24"/>
        </w:rPr>
        <w:t>G. B.</w:t>
      </w:r>
      <w:r w:rsidRPr="00E76E89">
        <w:rPr>
          <w:szCs w:val="24"/>
        </w:rPr>
        <w:t xml:space="preserve"> vykdė minėtą </w:t>
      </w:r>
      <w:r w:rsidR="006036E7" w:rsidRPr="00E76E89">
        <w:rPr>
          <w:szCs w:val="24"/>
        </w:rPr>
        <w:t>V. U. 1</w:t>
      </w:r>
      <w:r w:rsidRPr="00E76E89">
        <w:rPr>
          <w:szCs w:val="24"/>
        </w:rPr>
        <w:t xml:space="preserve"> įsakymą Nr. 3 ir padėjo teisėsaugos institucijoms, perduodamas informaciją apie kariškių planus, byloje patvirtino ir </w:t>
      </w:r>
      <w:r w:rsidR="005E0576" w:rsidRPr="00E76E89">
        <w:rPr>
          <w:szCs w:val="24"/>
        </w:rPr>
        <w:t xml:space="preserve">kaip </w:t>
      </w:r>
      <w:r w:rsidRPr="00E76E89">
        <w:rPr>
          <w:szCs w:val="24"/>
        </w:rPr>
        <w:t>liudytoj</w:t>
      </w:r>
      <w:r w:rsidR="005E0576" w:rsidRPr="00E76E89">
        <w:rPr>
          <w:szCs w:val="24"/>
        </w:rPr>
        <w:t>as</w:t>
      </w:r>
      <w:r w:rsidRPr="00E76E89">
        <w:rPr>
          <w:szCs w:val="24"/>
        </w:rPr>
        <w:t xml:space="preserve"> a</w:t>
      </w:r>
      <w:r w:rsidR="00FD13EB" w:rsidRPr="00E76E89">
        <w:rPr>
          <w:szCs w:val="24"/>
        </w:rPr>
        <w:t xml:space="preserve">pklaustas tuometis </w:t>
      </w:r>
      <w:r w:rsidR="00660130" w:rsidRPr="00E76E89">
        <w:rPr>
          <w:szCs w:val="24"/>
        </w:rPr>
        <w:t>(duomenys neskelbtini)</w:t>
      </w:r>
      <w:r w:rsidR="00FD13EB" w:rsidRPr="00E76E89">
        <w:rPr>
          <w:szCs w:val="24"/>
        </w:rPr>
        <w:t xml:space="preserve"> vyriausiojo policijos komisariato</w:t>
      </w:r>
      <w:r w:rsidR="00660130" w:rsidRPr="00E76E89">
        <w:rPr>
          <w:szCs w:val="24"/>
        </w:rPr>
        <w:t xml:space="preserve"> viršininkas V. </w:t>
      </w:r>
      <w:r w:rsidRPr="00E76E89">
        <w:rPr>
          <w:szCs w:val="24"/>
        </w:rPr>
        <w:t>L</w:t>
      </w:r>
      <w:r w:rsidR="00660130" w:rsidRPr="00E76E89">
        <w:rPr>
          <w:szCs w:val="24"/>
        </w:rPr>
        <w:t>.</w:t>
      </w:r>
      <w:r w:rsidRPr="00E76E89">
        <w:rPr>
          <w:szCs w:val="24"/>
        </w:rPr>
        <w:t xml:space="preserve">. </w:t>
      </w:r>
      <w:r w:rsidR="006036E7" w:rsidRPr="00E76E89">
        <w:rPr>
          <w:szCs w:val="24"/>
        </w:rPr>
        <w:t>G. B.</w:t>
      </w:r>
      <w:r w:rsidRPr="00E76E89">
        <w:rPr>
          <w:szCs w:val="24"/>
        </w:rPr>
        <w:t xml:space="preserve"> kaltė dėl komendanto valandos įvedimo ir vykdymo nuosprendyje nepagrįstai grindžiama ir faktu, kad </w:t>
      </w:r>
      <w:r w:rsidR="006036E7" w:rsidRPr="00E76E89">
        <w:rPr>
          <w:szCs w:val="24"/>
        </w:rPr>
        <w:t>G. B.</w:t>
      </w:r>
      <w:r w:rsidRPr="00E76E89">
        <w:rPr>
          <w:szCs w:val="24"/>
        </w:rPr>
        <w:t xml:space="preserve"> apie komendanto valandos eigą ir rezultatus pasisakė per televiziją. Gynėjo vertinimu, toks pasisakymas turėtų būti vertinamas tik kaip atstovo spaudai pranešimas žiniasklaidai.</w:t>
      </w:r>
      <w:r w:rsidR="00660130" w:rsidRPr="00E76E89">
        <w:rPr>
          <w:szCs w:val="24"/>
        </w:rPr>
        <w:t xml:space="preserve"> </w:t>
      </w:r>
    </w:p>
    <w:p w:rsidR="00D43DF2" w:rsidRPr="00E76E89" w:rsidRDefault="00D43DF2" w:rsidP="00D43DF2">
      <w:pPr>
        <w:pStyle w:val="ListParagraph"/>
        <w:numPr>
          <w:ilvl w:val="1"/>
          <w:numId w:val="6"/>
        </w:numPr>
        <w:spacing w:before="120" w:after="120"/>
        <w:ind w:left="992" w:hanging="992"/>
        <w:contextualSpacing w:val="0"/>
        <w:rPr>
          <w:szCs w:val="24"/>
        </w:rPr>
      </w:pPr>
      <w:r w:rsidRPr="00E76E89">
        <w:t>Gynėjo teigimu, anksčiau aptartos aplinkybės patvirtina ir tai, kad tik prielaidomis, o ne įrodymais yra grįsta teismo išvada, jog G. B. neteisėtai įvestos komendanto valandos priemonėms įgyvendinti nustatė neteisėtą asmenų judėjimo kontrolę Vilniaus mieste ir jo apylinkėse, asmenų ir transporto priemonių patikrą, numatytų priemonių įgyvendinimą pavedė pavaldiems kariškiams, aprūpino juos karine technika ir 5,45 mm kalibro automatiniais ginklais. Skunde pažymima, jog G. B. nepažeidė Lietuvos Respublikos interesų ir netgi priešingai – jam prieinamais būdais padėjo teisėsaugos institucijoms suvaldyti Vilniuje nagrinėjamų įvykių metu susidariusią sudėtingą situaciją.</w:t>
      </w:r>
    </w:p>
    <w:p w:rsidR="00D43DF2" w:rsidRPr="00E76E89" w:rsidRDefault="00D4595C" w:rsidP="00D43DF2">
      <w:pPr>
        <w:pStyle w:val="ListParagraph"/>
        <w:numPr>
          <w:ilvl w:val="1"/>
          <w:numId w:val="6"/>
        </w:numPr>
        <w:spacing w:before="120" w:after="120"/>
        <w:ind w:left="992" w:hanging="992"/>
        <w:contextualSpacing w:val="0"/>
        <w:rPr>
          <w:szCs w:val="24"/>
        </w:rPr>
      </w:pPr>
      <w:r w:rsidRPr="00E76E89">
        <w:rPr>
          <w:szCs w:val="24"/>
        </w:rPr>
        <w:t xml:space="preserve">Apeliaciniame skunde taip pat nurodoma, kad nuosprendžiu buvo pažeistas </w:t>
      </w:r>
      <w:r w:rsidRPr="00E76E89">
        <w:rPr>
          <w:i/>
          <w:szCs w:val="24"/>
        </w:rPr>
        <w:t xml:space="preserve">nullum crimen sine lege </w:t>
      </w:r>
      <w:r w:rsidRPr="00E76E89">
        <w:rPr>
          <w:szCs w:val="24"/>
        </w:rPr>
        <w:t xml:space="preserve">principas, nes kaltinamieji buvo nuteisti pagal nusikalstamų veikų padarymo metu negaliojusias BK normas. Visuomenės informavimo priemonėse buvo plačiai pranešama, kad </w:t>
      </w:r>
      <w:bookmarkStart w:id="113" w:name="_Hlk33700266"/>
      <w:r w:rsidRPr="00E76E89">
        <w:rPr>
          <w:szCs w:val="24"/>
        </w:rPr>
        <w:t xml:space="preserve">2011 m. BK pakeitimai buvo padaryti, siekiant tęsti Sausio įvykių bylos kaltinamųjų baudžiamąjį procesą, nes pagal ankstesnes </w:t>
      </w:r>
      <w:r w:rsidR="00C96771" w:rsidRPr="00E76E89">
        <w:rPr>
          <w:szCs w:val="24"/>
        </w:rPr>
        <w:t xml:space="preserve">1961 m. </w:t>
      </w:r>
      <w:r w:rsidRPr="00E76E89">
        <w:rPr>
          <w:szCs w:val="24"/>
        </w:rPr>
        <w:t xml:space="preserve">BK nuostatas, pagal kurias buvo nuteisti </w:t>
      </w:r>
      <w:r w:rsidR="00C507EF" w:rsidRPr="00E76E89">
        <w:rPr>
          <w:szCs w:val="24"/>
        </w:rPr>
        <w:t>M. B.</w:t>
      </w:r>
      <w:r w:rsidRPr="00E76E89">
        <w:rPr>
          <w:szCs w:val="24"/>
        </w:rPr>
        <w:t xml:space="preserve"> ir </w:t>
      </w:r>
      <w:r w:rsidR="00C507EF" w:rsidRPr="00E76E89">
        <w:rPr>
          <w:szCs w:val="24"/>
        </w:rPr>
        <w:t>J. J.</w:t>
      </w:r>
      <w:r w:rsidRPr="00E76E89">
        <w:rPr>
          <w:szCs w:val="24"/>
        </w:rPr>
        <w:t>, jau buvo suėję senaties terminai. Gynėjo vertinimu, pirmosios instancijos teismas nepagrįstai atmetė ir prašymą dėl minėtų BK pakeitimų konstitucingumo kreiptis į Konstitucinį Teismą, todėl byloje priimtas apkaltinamasis teismo nuosprendis yra labiau politinio, nei teisinio pobūdžio.</w:t>
      </w:r>
      <w:bookmarkEnd w:id="113"/>
    </w:p>
    <w:p w:rsidR="00D43DF2" w:rsidRPr="00D43DF2" w:rsidRDefault="00D43DF2" w:rsidP="00D43DF2">
      <w:pPr>
        <w:pStyle w:val="ListParagraph"/>
        <w:numPr>
          <w:ilvl w:val="0"/>
          <w:numId w:val="6"/>
        </w:numPr>
        <w:spacing w:before="120" w:after="120"/>
        <w:ind w:left="992" w:hanging="992"/>
        <w:contextualSpacing w:val="0"/>
      </w:pPr>
      <w:r w:rsidRPr="00E76E89">
        <w:rPr>
          <w:b/>
        </w:rPr>
        <w:t>Nuteistasis G. I.</w:t>
      </w:r>
      <w:r w:rsidRPr="00D43DF2">
        <w:rPr>
          <w:b/>
        </w:rPr>
        <w:t> </w:t>
      </w:r>
      <w:r w:rsidRPr="00E76E89">
        <w:t>apeliaciniu skundu prašo panaikinti pirmosios instancijos teismo nuosprendį ir dėl jo priimti išteisinamąjį nuosprendį. Palikus galioti apkaltinamąjį nuosprendį, prašoma nuosprendį pakeisti ir paskirti su laisvės atėmimu nesusijusią bausmę bei taikyti BK 76 straipsnio nuostatas ir atleisti jį nuo bausmės dėl ligos</w:t>
      </w:r>
      <w:r w:rsidRPr="00A90DEB">
        <w:t>.</w:t>
      </w:r>
    </w:p>
    <w:p w:rsidR="00270DB0" w:rsidRPr="00E76E89" w:rsidRDefault="00270DB0" w:rsidP="00321748">
      <w:pPr>
        <w:pStyle w:val="ListParagraph"/>
        <w:numPr>
          <w:ilvl w:val="1"/>
          <w:numId w:val="6"/>
        </w:numPr>
        <w:spacing w:after="120"/>
        <w:ind w:left="992" w:hanging="992"/>
        <w:contextualSpacing w:val="0"/>
      </w:pPr>
      <w:r w:rsidRPr="00E76E89">
        <w:t xml:space="preserve">Apeliaciniame skunde nurodoma, kad nuosprendis yra nepagrįstas ir neteisėtas, nes teismas bylos aplinkybes ištyrė neišsamiai ir šališkai, įrodymus vertino selektyviai ir padarė išvadas, prieštaraujančias bylos aplinkybėms. Nuosprendyje, aprašant padarytas nusikalstamas </w:t>
      </w:r>
      <w:r w:rsidRPr="00E76E89">
        <w:lastRenderedPageBreak/>
        <w:t xml:space="preserve">veikas, dėl konkrečių </w:t>
      </w:r>
      <w:r w:rsidR="00BA18FA" w:rsidRPr="00E76E89">
        <w:t>G. I.</w:t>
      </w:r>
      <w:r w:rsidRPr="00E76E89">
        <w:t xml:space="preserve"> atliktų veiksmų tik nurodyta, kad jis vadovavo tankų pulko kolonai, vykstančiai prie Spaudos rūmų</w:t>
      </w:r>
      <w:r w:rsidR="008309B3" w:rsidRPr="00E76E89">
        <w:t>,</w:t>
      </w:r>
      <w:r w:rsidRPr="00E76E89">
        <w:t xml:space="preserve"> ir jungtiniams ekipažams pastato šturmo metu. Nenustatęs jokių kitų nuteistojo veiksmų, teismas konstatavo, kad </w:t>
      </w:r>
      <w:r w:rsidR="00BA18FA" w:rsidRPr="00E76E89">
        <w:t>G. I.</w:t>
      </w:r>
      <w:r w:rsidRPr="00E76E89">
        <w:t xml:space="preserve"> kartu su kitais nuteistaisiais padarė jam inkriminuotus nusikaltimus žmoniškumui ir karo nusikaltimus, nors jokių neteisėtų veiksmų jis neatliko ir nėra įrodymų, kad dėl jo veiksmų atsirado sunk</w:t>
      </w:r>
      <w:r w:rsidR="005E0576" w:rsidRPr="00E76E89">
        <w:t>ū</w:t>
      </w:r>
      <w:r w:rsidRPr="00E76E89">
        <w:t>s pa</w:t>
      </w:r>
      <w:r w:rsidR="005E0576" w:rsidRPr="00E76E89">
        <w:t>dariniai</w:t>
      </w:r>
      <w:r w:rsidRPr="00E76E89">
        <w:t>.</w:t>
      </w:r>
    </w:p>
    <w:p w:rsidR="00270DB0" w:rsidRPr="00E76E89" w:rsidRDefault="00270DB0" w:rsidP="00321748">
      <w:pPr>
        <w:pStyle w:val="ListParagraph"/>
        <w:numPr>
          <w:ilvl w:val="1"/>
          <w:numId w:val="6"/>
        </w:numPr>
        <w:spacing w:after="120"/>
        <w:ind w:left="992" w:hanging="992"/>
        <w:contextualSpacing w:val="0"/>
      </w:pPr>
      <w:r w:rsidRPr="00E76E89">
        <w:t>Nuteistojo teigimu, asmuo gali būti pripažintas kaltu, tik jei byloje surinktais konkrečiais, objektyviais ir neginčytinais įrodymais yra įrodyta jo kaltė, o to nagrinėjamoje byloje nebuvo padaryta. Nuteistasis nuosekliai ikiteisminio tyrimo metu bei teisminio nagrinėjimo metu paaiškino, kur bu</w:t>
      </w:r>
      <w:r w:rsidR="00A34D0A" w:rsidRPr="00E76E89">
        <w:t>vo ir ką darė 1991 m. sausio 11–</w:t>
      </w:r>
      <w:r w:rsidRPr="00E76E89">
        <w:t xml:space="preserve">13 d. Jo parodymus ir nekaltumą patvirtina liudytojų parodymai, rašytiniai įrodymai, ekspertizės aktas, vaizdo ir garso įrašai, karo specialistų išvados. Įvykių metu jis nemokėjo lietuvių kalbos, nežinojo </w:t>
      </w:r>
      <w:r w:rsidR="00ED6AF4" w:rsidRPr="00E76E89">
        <w:t xml:space="preserve">Lietuvos </w:t>
      </w:r>
      <w:r w:rsidRPr="00E76E89">
        <w:t>istorijos, kariuomenėje niekada n</w:t>
      </w:r>
      <w:r w:rsidR="002E3214" w:rsidRPr="00E76E89">
        <w:t>ėjo vadovaujamų</w:t>
      </w:r>
      <w:r w:rsidRPr="00E76E89">
        <w:t xml:space="preserve"> pareigų, jis užsiėmė technikos rem</w:t>
      </w:r>
      <w:r w:rsidR="00ED6AF4" w:rsidRPr="00E76E89">
        <w:t>ontu. 1991 </w:t>
      </w:r>
      <w:r w:rsidR="00446F2F" w:rsidRPr="00E76E89">
        <w:t>m. </w:t>
      </w:r>
      <w:r w:rsidRPr="00E76E89">
        <w:t>sausio 11 d. į dalinį atvyko desantininkai, bet kas vyko mieste ir Šiaurės miestelyje</w:t>
      </w:r>
      <w:r w:rsidR="008309B3" w:rsidRPr="00E76E89">
        <w:t>,</w:t>
      </w:r>
      <w:r w:rsidRPr="00E76E89">
        <w:t xml:space="preserve"> nei jis, nei jo tiesioginis viršininkas </w:t>
      </w:r>
      <w:r w:rsidR="00660130" w:rsidRPr="00E76E89">
        <w:t>A. K.</w:t>
      </w:r>
      <w:r w:rsidRPr="00E76E89">
        <w:t xml:space="preserve"> nežinojo, jam jokių įsakymų nebuvo duota. Iš smalsumo jis užšoko ant iš teritorijos išvažiuojančio tanko ir liko ant jo, nes esant padidintai karinei parengčiai jam vienam grįžti į dalinį nebuvo galima (grėsė ka</w:t>
      </w:r>
      <w:r w:rsidR="0049485C" w:rsidRPr="00E76E89">
        <w:t>ro</w:t>
      </w:r>
      <w:r w:rsidRPr="00E76E89">
        <w:t xml:space="preserve"> tribunolas). Taip jis atvažiavo prie Spaudos rūmų, kur būdamas ant tanko tik stebėjo įvykius, bet jokiuose tankis</w:t>
      </w:r>
      <w:r w:rsidR="00DE3B19" w:rsidRPr="00E76E89">
        <w:t>tų, desantininkų ir grupės „A</w:t>
      </w:r>
      <w:r w:rsidRPr="00E76E89">
        <w:t>“ veiksmuose nedalyvavo. Tai įrodo ir vaizdo įrašai, kuriuose mat</w:t>
      </w:r>
      <w:r w:rsidR="002E3214" w:rsidRPr="00E76E89">
        <w:t>yti</w:t>
      </w:r>
      <w:r w:rsidRPr="00E76E89">
        <w:t>, kad jis yra be šalmo su ausinėmis, o be tokio šalmo vadovauti tankis</w:t>
      </w:r>
      <w:r w:rsidR="00C96771" w:rsidRPr="00E76E89">
        <w:t>tų veiksmams yra neįmanoma (tai </w:t>
      </w:r>
      <w:r w:rsidRPr="00E76E89">
        <w:t xml:space="preserve">patvirtino ir specialistas Palevičius). Taip ant tanko jis ir grįžo į dalinį, iš kurio daugiau nebuvo išėjęs. Skunde atkreipiamas dėmesys į tai, kad </w:t>
      </w:r>
      <w:r w:rsidR="00BA18FA" w:rsidRPr="00E76E89">
        <w:t>G. I.</w:t>
      </w:r>
      <w:r w:rsidRPr="00E76E89">
        <w:t xml:space="preserve"> pareigos buvo susijusios su raketų įrenginių remontu ir ginkluotės papildymu, jis niekada nevairavo ir nevadovavo tankų ekipažams. Tyrimo metu n</w:t>
      </w:r>
      <w:r w:rsidR="002E3214" w:rsidRPr="00E76E89">
        <w:t>ė</w:t>
      </w:r>
      <w:r w:rsidRPr="00E76E89">
        <w:t xml:space="preserve"> vienas tankų ekipažo narys nenurodė, kad jis (</w:t>
      </w:r>
      <w:r w:rsidR="00BA18FA" w:rsidRPr="00E76E89">
        <w:t>G. I.</w:t>
      </w:r>
      <w:r w:rsidRPr="00E76E89">
        <w:t xml:space="preserve">) jiems vadovavo, pakeliui Spaudos rūmų </w:t>
      </w:r>
      <w:r w:rsidR="002E3214" w:rsidRPr="00E76E89">
        <w:t xml:space="preserve">link </w:t>
      </w:r>
      <w:r w:rsidRPr="00E76E89">
        <w:t xml:space="preserve">bei šalia jų užfiksuotuose garso įrašuose yra užfiksuoti šaukiniai ir pokalbiai, bet juose, kaip nurodė specialistas, nėra užfiksuotas </w:t>
      </w:r>
      <w:r w:rsidR="00BA18FA" w:rsidRPr="00E76E89">
        <w:t>G. I.</w:t>
      </w:r>
      <w:r w:rsidRPr="00E76E89">
        <w:t xml:space="preserve"> balsas (bylos duomenys patvirtina, kad tank</w:t>
      </w:r>
      <w:r w:rsidR="00ED6AF4" w:rsidRPr="00E76E89">
        <w:t xml:space="preserve">ams vadovavo </w:t>
      </w:r>
      <w:r w:rsidR="004069BF" w:rsidRPr="00E76E89">
        <w:t>N. A.</w:t>
      </w:r>
      <w:r w:rsidRPr="00E76E89">
        <w:t xml:space="preserve">, o desantininkams vadovavo </w:t>
      </w:r>
      <w:r w:rsidR="00385BC9" w:rsidRPr="00E76E89">
        <w:t>V. K. 1</w:t>
      </w:r>
      <w:r w:rsidRPr="00E76E89">
        <w:t>). Apeliantas pažymi, kad nei liudytojai, nei nukentėjusieji ar karo specialistai prieš jį jokių parodymų nedavė, o ir pats jis iš karto po įvykių vykusio tyrimo metu nebuvo apklaustas. Jis į bylą kaip įtariamasis buvo įtrauktas tik 2011 m. po bylos atnaujinimo, kai tyrėjams prireikė Lietuvoje gyvenančių įtariamųjų. Taip prieš jį buvo sufabrikuota byla ir jis nuteistas, nenustačius objektyviosios nusikalstamų veikų pusės (jo neteisėtų veiksmų ir jais sukeltų pa</w:t>
      </w:r>
      <w:r w:rsidR="002E3214" w:rsidRPr="00E76E89">
        <w:t>darinių</w:t>
      </w:r>
      <w:r w:rsidRPr="00E76E89">
        <w:t>) bei neįrodžius jo tiesioginės tyčios padaryti jam inkriminuotus nusikaltimus.</w:t>
      </w:r>
    </w:p>
    <w:p w:rsidR="00270DB0" w:rsidRPr="00E76E89" w:rsidRDefault="00270DB0" w:rsidP="00321748">
      <w:pPr>
        <w:pStyle w:val="ListParagraph"/>
        <w:numPr>
          <w:ilvl w:val="1"/>
          <w:numId w:val="6"/>
        </w:numPr>
        <w:spacing w:after="120"/>
        <w:ind w:left="992" w:hanging="992"/>
        <w:contextualSpacing w:val="0"/>
      </w:pPr>
      <w:r w:rsidRPr="00E76E89">
        <w:t xml:space="preserve">Nuteistasis skunde pabrėžia, kad jis </w:t>
      </w:r>
      <w:r w:rsidRPr="00E76E89">
        <w:rPr>
          <w:color w:val="000000"/>
          <w:szCs w:val="24"/>
          <w:lang w:eastAsia="lt-LT" w:bidi="lt-LT"/>
        </w:rPr>
        <w:t xml:space="preserve">neteisėtų veiksmų prieš civilius neatliko ir su niekuo nesitarė dėl tokių veiksmų. Jis negavo jokių įsakymų iš </w:t>
      </w:r>
      <w:r w:rsidR="006036E7" w:rsidRPr="00E76E89">
        <w:rPr>
          <w:color w:val="000000"/>
          <w:szCs w:val="24"/>
          <w:lang w:eastAsia="lt-LT" w:bidi="lt-LT"/>
        </w:rPr>
        <w:t>V. U. 1</w:t>
      </w:r>
      <w:r w:rsidRPr="00E76E89">
        <w:rPr>
          <w:color w:val="000000"/>
          <w:szCs w:val="24"/>
          <w:lang w:eastAsia="lt-LT" w:bidi="lt-LT"/>
        </w:rPr>
        <w:t xml:space="preserve">, </w:t>
      </w:r>
      <w:r w:rsidR="004069BF" w:rsidRPr="00E76E89">
        <w:rPr>
          <w:color w:val="000000"/>
          <w:szCs w:val="24"/>
          <w:lang w:eastAsia="lt-LT" w:bidi="lt-LT"/>
        </w:rPr>
        <w:t>N. A.</w:t>
      </w:r>
      <w:r w:rsidRPr="00E76E89">
        <w:rPr>
          <w:color w:val="000000"/>
          <w:szCs w:val="24"/>
          <w:lang w:eastAsia="lt-LT" w:bidi="lt-LT"/>
        </w:rPr>
        <w:t xml:space="preserve"> ar kitų divizijos štabo karininkų. Jis negavo jokių nurodymų dėl dalyvavimo kokiose nors grupėse ar planuose sistemiškai puldinėti civilius gyventojus, patvirtintuose </w:t>
      </w:r>
      <w:r w:rsidR="00385BC9" w:rsidRPr="00E76E89">
        <w:rPr>
          <w:color w:val="000000"/>
          <w:szCs w:val="24"/>
          <w:lang w:eastAsia="lt-LT" w:bidi="lt-LT"/>
        </w:rPr>
        <w:t>D. J.</w:t>
      </w:r>
      <w:r w:rsidRPr="00E76E89">
        <w:rPr>
          <w:color w:val="000000"/>
          <w:szCs w:val="24"/>
          <w:lang w:eastAsia="lt-LT" w:bidi="lt-LT"/>
        </w:rPr>
        <w:t xml:space="preserve">, </w:t>
      </w:r>
      <w:r w:rsidR="00C507EF" w:rsidRPr="00E76E89">
        <w:rPr>
          <w:color w:val="000000"/>
          <w:szCs w:val="24"/>
          <w:lang w:eastAsia="lt-LT" w:bidi="lt-LT"/>
        </w:rPr>
        <w:t>B. P.</w:t>
      </w:r>
      <w:r w:rsidRPr="00E76E89">
        <w:rPr>
          <w:color w:val="000000"/>
          <w:szCs w:val="24"/>
          <w:lang w:eastAsia="lt-LT" w:bidi="lt-LT"/>
        </w:rPr>
        <w:t xml:space="preserve">, </w:t>
      </w:r>
      <w:r w:rsidR="00C507EF" w:rsidRPr="00E76E89">
        <w:rPr>
          <w:color w:val="000000"/>
          <w:szCs w:val="24"/>
          <w:lang w:eastAsia="lt-LT" w:bidi="lt-LT"/>
        </w:rPr>
        <w:t>V. K.</w:t>
      </w:r>
      <w:r w:rsidRPr="00E76E89">
        <w:rPr>
          <w:color w:val="000000"/>
          <w:szCs w:val="24"/>
          <w:lang w:eastAsia="lt-LT" w:bidi="lt-LT"/>
        </w:rPr>
        <w:t xml:space="preserve">, </w:t>
      </w:r>
      <w:r w:rsidR="00D37127" w:rsidRPr="00E76E89">
        <w:rPr>
          <w:color w:val="000000"/>
          <w:szCs w:val="24"/>
          <w:lang w:eastAsia="lt-LT" w:bidi="lt-LT"/>
        </w:rPr>
        <w:t>O. Š.</w:t>
      </w:r>
      <w:r w:rsidRPr="00E76E89">
        <w:rPr>
          <w:color w:val="000000"/>
          <w:szCs w:val="24"/>
          <w:lang w:eastAsia="lt-LT" w:bidi="lt-LT"/>
        </w:rPr>
        <w:t xml:space="preserve"> ar kitų asmenų. </w:t>
      </w:r>
      <w:r w:rsidR="00385BC9" w:rsidRPr="00E76E89">
        <w:rPr>
          <w:color w:val="000000"/>
          <w:szCs w:val="24"/>
          <w:lang w:eastAsia="lt-LT" w:bidi="lt-LT"/>
        </w:rPr>
        <w:t>D. J.</w:t>
      </w:r>
      <w:r w:rsidRPr="00E76E89">
        <w:rPr>
          <w:color w:val="000000"/>
          <w:szCs w:val="24"/>
          <w:lang w:eastAsia="lt-LT" w:bidi="lt-LT"/>
        </w:rPr>
        <w:t xml:space="preserve">, </w:t>
      </w:r>
      <w:r w:rsidR="00C507EF" w:rsidRPr="00E76E89">
        <w:rPr>
          <w:color w:val="000000"/>
          <w:szCs w:val="24"/>
          <w:lang w:eastAsia="lt-LT" w:bidi="lt-LT"/>
        </w:rPr>
        <w:t>B. P.</w:t>
      </w:r>
      <w:r w:rsidRPr="00E76E89">
        <w:rPr>
          <w:color w:val="000000"/>
          <w:szCs w:val="24"/>
          <w:lang w:eastAsia="lt-LT" w:bidi="lt-LT"/>
        </w:rPr>
        <w:t xml:space="preserve">, </w:t>
      </w:r>
      <w:r w:rsidR="00C507EF" w:rsidRPr="00E76E89">
        <w:rPr>
          <w:color w:val="000000"/>
          <w:szCs w:val="24"/>
          <w:lang w:eastAsia="lt-LT" w:bidi="lt-LT"/>
        </w:rPr>
        <w:t>V. K.</w:t>
      </w:r>
      <w:r w:rsidRPr="00E76E89">
        <w:rPr>
          <w:color w:val="000000"/>
          <w:szCs w:val="24"/>
          <w:lang w:eastAsia="lt-LT" w:bidi="lt-LT"/>
        </w:rPr>
        <w:t xml:space="preserve">, </w:t>
      </w:r>
      <w:r w:rsidR="00D37127" w:rsidRPr="00E76E89">
        <w:rPr>
          <w:color w:val="000000"/>
          <w:szCs w:val="24"/>
          <w:lang w:eastAsia="lt-LT" w:bidi="lt-LT"/>
        </w:rPr>
        <w:t>O. Š.</w:t>
      </w:r>
      <w:r w:rsidR="002E3214" w:rsidRPr="00E76E89">
        <w:rPr>
          <w:color w:val="000000"/>
          <w:szCs w:val="24"/>
          <w:lang w:eastAsia="lt-LT" w:bidi="lt-LT"/>
        </w:rPr>
        <w:t xml:space="preserve"> ir</w:t>
      </w:r>
      <w:r w:rsidRPr="00E76E89">
        <w:rPr>
          <w:color w:val="000000"/>
          <w:szCs w:val="24"/>
          <w:lang w:eastAsia="lt-LT" w:bidi="lt-LT"/>
        </w:rPr>
        <w:t xml:space="preserve"> kitų kaltinamajame akte nurodytų asmenų jis nebuvo matęs ir nebuvo su jais susitikęs. Taip pat jis nepažinojo </w:t>
      </w:r>
      <w:r w:rsidR="00C507EF" w:rsidRPr="00E76E89">
        <w:rPr>
          <w:color w:val="000000"/>
          <w:szCs w:val="24"/>
          <w:lang w:eastAsia="lt-LT" w:bidi="lt-LT"/>
        </w:rPr>
        <w:t>M. B.</w:t>
      </w:r>
      <w:r w:rsidRPr="00E76E89">
        <w:rPr>
          <w:color w:val="000000"/>
          <w:szCs w:val="24"/>
          <w:lang w:eastAsia="lt-LT" w:bidi="lt-LT"/>
        </w:rPr>
        <w:t xml:space="preserve">, </w:t>
      </w:r>
      <w:r w:rsidR="00BA18FA" w:rsidRPr="00E76E89">
        <w:rPr>
          <w:color w:val="000000"/>
          <w:szCs w:val="24"/>
          <w:lang w:eastAsia="lt-LT" w:bidi="lt-LT"/>
        </w:rPr>
        <w:t>V. Š. 1</w:t>
      </w:r>
      <w:r w:rsidRPr="00E76E89">
        <w:rPr>
          <w:color w:val="000000"/>
          <w:szCs w:val="24"/>
          <w:lang w:eastAsia="lt-LT" w:bidi="lt-LT"/>
        </w:rPr>
        <w:t xml:space="preserve">, </w:t>
      </w:r>
      <w:r w:rsidR="00385BC9" w:rsidRPr="00E76E89">
        <w:rPr>
          <w:color w:val="000000"/>
          <w:szCs w:val="24"/>
          <w:lang w:eastAsia="lt-LT" w:bidi="lt-LT"/>
        </w:rPr>
        <w:t>A. N. 1</w:t>
      </w:r>
      <w:r w:rsidRPr="00E76E89">
        <w:rPr>
          <w:color w:val="000000"/>
          <w:szCs w:val="24"/>
          <w:lang w:eastAsia="lt-LT" w:bidi="lt-LT"/>
        </w:rPr>
        <w:t xml:space="preserve"> ir kitų asmenų bei nedalyvavo jokiuose jų organizuotuose veiksmuose.</w:t>
      </w:r>
    </w:p>
    <w:p w:rsidR="00270DB0" w:rsidRPr="00E76E89" w:rsidRDefault="00270DB0" w:rsidP="00321748">
      <w:pPr>
        <w:pStyle w:val="ListParagraph"/>
        <w:numPr>
          <w:ilvl w:val="1"/>
          <w:numId w:val="6"/>
        </w:numPr>
        <w:spacing w:after="120"/>
        <w:ind w:left="992" w:hanging="992"/>
        <w:contextualSpacing w:val="0"/>
      </w:pPr>
      <w:r w:rsidRPr="00E76E89">
        <w:rPr>
          <w:color w:val="000000"/>
          <w:szCs w:val="24"/>
          <w:lang w:eastAsia="lt-LT" w:bidi="lt-LT"/>
        </w:rPr>
        <w:t xml:space="preserve">Apeliaciniame skunde teigiama, kad nuosprendžiu galimai buvo pažeistas </w:t>
      </w:r>
      <w:r w:rsidRPr="00E76E89">
        <w:rPr>
          <w:i/>
          <w:szCs w:val="24"/>
        </w:rPr>
        <w:t xml:space="preserve">nullum crimen sine lege </w:t>
      </w:r>
      <w:r w:rsidRPr="00E76E89">
        <w:rPr>
          <w:szCs w:val="24"/>
        </w:rPr>
        <w:t>principas, nes kaltinamieji nuteisti pagal nusikalstamų veikų padarymo metu negaliojusias BK normas, o kitų kaltinamųjų (</w:t>
      </w:r>
      <w:r w:rsidR="00C507EF" w:rsidRPr="00E76E89">
        <w:rPr>
          <w:szCs w:val="24"/>
        </w:rPr>
        <w:t>M. B.</w:t>
      </w:r>
      <w:r w:rsidRPr="00E76E89">
        <w:rPr>
          <w:szCs w:val="24"/>
        </w:rPr>
        <w:t xml:space="preserve"> ir kt.) veiksmai ankstesniu nuosprendžiu jau buvo kvalifikuoti pagal 1961 m. BK normas ir šią kvalif</w:t>
      </w:r>
      <w:r w:rsidR="00C96771" w:rsidRPr="00E76E89">
        <w:rPr>
          <w:szCs w:val="24"/>
        </w:rPr>
        <w:t>ikaciją EŽTT 2008</w:t>
      </w:r>
      <w:r w:rsidR="002E3214" w:rsidRPr="00E76E89">
        <w:rPr>
          <w:szCs w:val="24"/>
        </w:rPr>
        <w:t> </w:t>
      </w:r>
      <w:r w:rsidR="00C96771" w:rsidRPr="00E76E89">
        <w:rPr>
          <w:szCs w:val="24"/>
        </w:rPr>
        <w:t>m.</w:t>
      </w:r>
      <w:r w:rsidR="0026514F" w:rsidRPr="00E76E89">
        <w:rPr>
          <w:szCs w:val="24"/>
        </w:rPr>
        <w:t> </w:t>
      </w:r>
      <w:r w:rsidR="00C96771" w:rsidRPr="00E76E89">
        <w:rPr>
          <w:szCs w:val="24"/>
        </w:rPr>
        <w:t>vasario 19 </w:t>
      </w:r>
      <w:r w:rsidRPr="00E76E89">
        <w:rPr>
          <w:szCs w:val="24"/>
        </w:rPr>
        <w:t>d. sprendimu patvirtino kaip teisingą. Be to, visiems kaltinamiesiems (nuteistiems ankstesniu ir šiuo nuosprendži</w:t>
      </w:r>
      <w:r w:rsidR="008309B3" w:rsidRPr="00E76E89">
        <w:rPr>
          <w:szCs w:val="24"/>
        </w:rPr>
        <w:t>ais</w:t>
      </w:r>
      <w:r w:rsidRPr="00E76E89">
        <w:rPr>
          <w:szCs w:val="24"/>
        </w:rPr>
        <w:t xml:space="preserve">) yra inkriminuojamas bendrininkavimas ir </w:t>
      </w:r>
      <w:r w:rsidRPr="00E76E89">
        <w:rPr>
          <w:szCs w:val="24"/>
        </w:rPr>
        <w:lastRenderedPageBreak/>
        <w:t xml:space="preserve">kaltinimai skiriasi tik kvalifikavimu, bet ne turiniu. Taip </w:t>
      </w:r>
      <w:r w:rsidR="008309B3" w:rsidRPr="00E76E89">
        <w:rPr>
          <w:szCs w:val="24"/>
        </w:rPr>
        <w:t xml:space="preserve">buvo </w:t>
      </w:r>
      <w:r w:rsidRPr="00E76E89">
        <w:rPr>
          <w:szCs w:val="24"/>
        </w:rPr>
        <w:t>pažeisti asmenų lygybės prieš įstatymą bei atsakomybės individualizavimo principai. Jau suėjus senaties terminui, buvo priimti BK įstatymų pakeitimai ir pagal šias naujas BK normas asmenys buvo nepagrįstai nuteisti, kadangi naujos teisės normos turi būti taikomos tik po jų įsigaliojimo padarytoms veikoms.</w:t>
      </w:r>
    </w:p>
    <w:p w:rsidR="00270DB0" w:rsidRPr="00E76E89" w:rsidRDefault="00270DB0" w:rsidP="00321748">
      <w:pPr>
        <w:pStyle w:val="ListParagraph"/>
        <w:numPr>
          <w:ilvl w:val="1"/>
          <w:numId w:val="6"/>
        </w:numPr>
        <w:spacing w:after="120"/>
        <w:ind w:left="992" w:hanging="992"/>
        <w:contextualSpacing w:val="0"/>
      </w:pPr>
      <w:r w:rsidRPr="00E76E89">
        <w:t xml:space="preserve">Nuteistasis </w:t>
      </w:r>
      <w:r w:rsidR="00BA18FA" w:rsidRPr="00E76E89">
        <w:t>G. I.</w:t>
      </w:r>
      <w:r w:rsidRPr="00E76E89">
        <w:t xml:space="preserve"> teigia, kad byla jo atžvilgiu buvo sufabrikuota siekiant įtraukti į bylą ir Lietuvoje esanči</w:t>
      </w:r>
      <w:r w:rsidR="002E3214" w:rsidRPr="00E76E89">
        <w:t>us</w:t>
      </w:r>
      <w:r w:rsidRPr="00E76E89">
        <w:t xml:space="preserve"> asmen</w:t>
      </w:r>
      <w:r w:rsidR="002E3214" w:rsidRPr="00E76E89">
        <w:t>is</w:t>
      </w:r>
      <w:r w:rsidRPr="00E76E89">
        <w:t>, tačiau jo veiksmuose nėra inkriminuotų nusikalstamų veikų sudėties požymių. Byloje nenustatyta, kokiais konkrečiais veiksmais ar neveikimu jis padarė inkriminuoja</w:t>
      </w:r>
      <w:r w:rsidR="00ED6AF4" w:rsidRPr="00E76E89">
        <w:t>mus nusikaltimus. Tai, kad jis iš</w:t>
      </w:r>
      <w:r w:rsidRPr="00E76E89">
        <w:t xml:space="preserve"> smalsumo važiavo ant tanko</w:t>
      </w:r>
      <w:r w:rsidR="00ED6AF4" w:rsidRPr="00E76E89">
        <w:t>,</w:t>
      </w:r>
      <w:r w:rsidRPr="00E76E89">
        <w:t xml:space="preserve"> nerodo jokio nusikalstamo elgesio. Byloje nustatyta, kad jokių komandų kitiems asmenims jis nedavė, tanko ekipažai jam nebuvo pavaldūs, ginklų niekam jis neišdavinėjo. Byloje esantys trys dokumentai apie ginklų išdavimą, kuriuos pasirašė </w:t>
      </w:r>
      <w:r w:rsidR="00BA18FA" w:rsidRPr="00E76E89">
        <w:t>G. I.</w:t>
      </w:r>
      <w:r w:rsidRPr="00E76E89">
        <w:t>, jo kaltės nerodo, nes nenustatyta, ka</w:t>
      </w:r>
      <w:r w:rsidR="002E3214" w:rsidRPr="00E76E89">
        <w:t>d</w:t>
      </w:r>
      <w:r w:rsidRPr="00E76E89">
        <w:t xml:space="preserve"> </w:t>
      </w:r>
      <w:r w:rsidR="00ED6AF4" w:rsidRPr="00E76E89">
        <w:t xml:space="preserve">jis </w:t>
      </w:r>
      <w:r w:rsidRPr="00E76E89">
        <w:t xml:space="preserve">iš tiesų pasirašė šiuos dokumentus (byloje atlikta grafologinė ekspertizė parodė, kad minėtus dokumentus pasirašė ne nuteistasis </w:t>
      </w:r>
      <w:r w:rsidR="00BA18FA" w:rsidRPr="00E76E89">
        <w:t>G. I.</w:t>
      </w:r>
      <w:r w:rsidRPr="00E76E89">
        <w:t xml:space="preserve">). </w:t>
      </w:r>
    </w:p>
    <w:p w:rsidR="00270DB0" w:rsidRPr="00E76E89" w:rsidRDefault="00270DB0" w:rsidP="00321748">
      <w:pPr>
        <w:pStyle w:val="ListParagraph"/>
        <w:numPr>
          <w:ilvl w:val="1"/>
          <w:numId w:val="6"/>
        </w:numPr>
        <w:spacing w:after="120"/>
        <w:ind w:left="992" w:hanging="992"/>
        <w:contextualSpacing w:val="0"/>
      </w:pPr>
      <w:r w:rsidRPr="00E76E89">
        <w:t>Nuteistasis neigia savo kaltę ir analizuodamas atskirų jam inkriminuotų nusikalstamų veikų sudėties požymius</w:t>
      </w:r>
      <w:r w:rsidR="008434B8" w:rsidRPr="00E76E89">
        <w:t xml:space="preserve"> </w:t>
      </w:r>
      <w:r w:rsidRPr="00E76E89">
        <w:t>nurodo, kad turi būti išteisintas dėl visų jam pareikštų kaltinimų.</w:t>
      </w:r>
    </w:p>
    <w:p w:rsidR="00270DB0" w:rsidRPr="00E76E89" w:rsidRDefault="00270DB0" w:rsidP="00321748">
      <w:pPr>
        <w:pStyle w:val="ListParagraph"/>
        <w:numPr>
          <w:ilvl w:val="2"/>
          <w:numId w:val="6"/>
        </w:numPr>
        <w:spacing w:before="120" w:after="120"/>
        <w:ind w:left="992" w:hanging="992"/>
        <w:contextualSpacing w:val="0"/>
      </w:pPr>
      <w:r w:rsidRPr="00E76E89">
        <w:t xml:space="preserve">Dėl BK 100 straipsnio, nes byloje nėra surinkta įrodymų, kad </w:t>
      </w:r>
      <w:r w:rsidR="00BA18FA" w:rsidRPr="00E76E89">
        <w:t>G. I.</w:t>
      </w:r>
      <w:r w:rsidRPr="00E76E89">
        <w:t xml:space="preserve"> rėmė TSRS ar LKP</w:t>
      </w:r>
      <w:r w:rsidR="00A00A6B" w:rsidRPr="00E76E89">
        <w:t> </w:t>
      </w:r>
      <w:r w:rsidRPr="00E76E89">
        <w:t>CK politiką ar</w:t>
      </w:r>
      <w:r w:rsidR="008309B3" w:rsidRPr="00E76E89">
        <w:t>ba</w:t>
      </w:r>
      <w:r w:rsidRPr="00E76E89">
        <w:t xml:space="preserve"> kad jis žudė ar žalojo civilius.</w:t>
      </w:r>
    </w:p>
    <w:p w:rsidR="00270DB0" w:rsidRPr="00E76E89" w:rsidRDefault="00270DB0" w:rsidP="00321748">
      <w:pPr>
        <w:pStyle w:val="ListParagraph"/>
        <w:numPr>
          <w:ilvl w:val="2"/>
          <w:numId w:val="6"/>
        </w:numPr>
        <w:spacing w:before="120" w:after="120"/>
        <w:ind w:left="992" w:hanging="992"/>
        <w:contextualSpacing w:val="0"/>
      </w:pPr>
      <w:r w:rsidRPr="00E76E89">
        <w:t>Dėl BK 101 straipsnio, nes byloje turi būti įrodyta, kad asmuo tyčia įsakė, kurstė ar organizavo tarptautinės humanitarinės teisės saugomų asmenų žudymą arba tuos asmenis žudė (byloje yra nustatyta priešingai, t.</w:t>
      </w:r>
      <w:r w:rsidR="008C3406" w:rsidRPr="00E76E89">
        <w:t> </w:t>
      </w:r>
      <w:r w:rsidRPr="00E76E89">
        <w:t xml:space="preserve">y. kad </w:t>
      </w:r>
      <w:r w:rsidR="00BA18FA" w:rsidRPr="00E76E89">
        <w:t>G. I.</w:t>
      </w:r>
      <w:r w:rsidRPr="00E76E89">
        <w:t xml:space="preserve"> niekam nedavė įsakymų dėl minėtų asmenų žudymo, nekurstė žudyti ir to neorganizavo, juo labiau nieko pats nežudė).</w:t>
      </w:r>
    </w:p>
    <w:p w:rsidR="00270DB0" w:rsidRPr="00E76E89" w:rsidRDefault="00270DB0" w:rsidP="00321748">
      <w:pPr>
        <w:pStyle w:val="ListParagraph"/>
        <w:numPr>
          <w:ilvl w:val="2"/>
          <w:numId w:val="6"/>
        </w:numPr>
        <w:spacing w:before="120" w:after="120"/>
        <w:ind w:left="992" w:hanging="992"/>
        <w:contextualSpacing w:val="0"/>
      </w:pPr>
      <w:r w:rsidRPr="00E76E89">
        <w:t xml:space="preserve">Dėl BK 103 straipsnio, nes byloje nėra įrodyta, kad </w:t>
      </w:r>
      <w:r w:rsidR="00BA18FA" w:rsidRPr="00E76E89">
        <w:t>G. I.</w:t>
      </w:r>
      <w:r w:rsidRPr="00E76E89">
        <w:t xml:space="preserve"> kažkam įsakinėjo, kurstė ar organizavo nežmonišką elgesį su tarptautinės humanitarinės teisės saugomais asmenimis ar juo labiau pats asmeniškai sužalojo minėtus asmenis.</w:t>
      </w:r>
    </w:p>
    <w:p w:rsidR="00270DB0" w:rsidRPr="00E76E89" w:rsidRDefault="00270DB0" w:rsidP="00321748">
      <w:pPr>
        <w:pStyle w:val="ListParagraph"/>
        <w:numPr>
          <w:ilvl w:val="2"/>
          <w:numId w:val="6"/>
        </w:numPr>
        <w:spacing w:before="120" w:after="120"/>
        <w:ind w:left="992" w:hanging="992"/>
        <w:contextualSpacing w:val="0"/>
      </w:pPr>
      <w:r w:rsidRPr="00E76E89">
        <w:t xml:space="preserve">Dėl BK 111 straipsnio, nes byloje nėra įrodyta, kad </w:t>
      </w:r>
      <w:r w:rsidR="00BA18FA" w:rsidRPr="00E76E89">
        <w:t>G. I.</w:t>
      </w:r>
      <w:r w:rsidRPr="00E76E89">
        <w:t xml:space="preserve"> kažkam įsakinėjo ar pats vykdė draudžiamą karo ataką prieš civilius.</w:t>
      </w:r>
    </w:p>
    <w:p w:rsidR="00270DB0" w:rsidRPr="00E76E89" w:rsidRDefault="002C298B" w:rsidP="00321748">
      <w:pPr>
        <w:pStyle w:val="ListParagraph"/>
        <w:numPr>
          <w:ilvl w:val="2"/>
          <w:numId w:val="6"/>
        </w:numPr>
        <w:spacing w:before="120" w:after="120"/>
        <w:ind w:left="992" w:hanging="992"/>
        <w:contextualSpacing w:val="0"/>
      </w:pPr>
      <w:r w:rsidRPr="00E76E89">
        <w:t>Dėl BK 112 straipsnio,</w:t>
      </w:r>
      <w:r w:rsidR="00270DB0" w:rsidRPr="00E76E89">
        <w:t xml:space="preserve"> nes byloje nustatyta, kad </w:t>
      </w:r>
      <w:r w:rsidR="00BA18FA" w:rsidRPr="00E76E89">
        <w:t>G. I.</w:t>
      </w:r>
      <w:r w:rsidR="00270DB0" w:rsidRPr="00E76E89">
        <w:t xml:space="preserve"> niekam nedavė įsakymų dėl ginklų naudojimo ir pats jokių ginklų nenaudojo. </w:t>
      </w:r>
    </w:p>
    <w:p w:rsidR="00270DB0" w:rsidRPr="00E76E89" w:rsidRDefault="00270DB0" w:rsidP="00321748">
      <w:pPr>
        <w:pStyle w:val="ListParagraph"/>
        <w:numPr>
          <w:ilvl w:val="1"/>
          <w:numId w:val="6"/>
        </w:numPr>
        <w:spacing w:after="120"/>
        <w:ind w:left="992" w:hanging="992"/>
        <w:contextualSpacing w:val="0"/>
      </w:pPr>
      <w:r w:rsidRPr="00E76E89">
        <w:rPr>
          <w:color w:val="000000"/>
          <w:lang w:bidi="lt-LT"/>
        </w:rPr>
        <w:t xml:space="preserve">Nuteistasis </w:t>
      </w:r>
      <w:r w:rsidR="00BA18FA" w:rsidRPr="00E76E89">
        <w:rPr>
          <w:color w:val="000000"/>
          <w:lang w:bidi="lt-LT"/>
        </w:rPr>
        <w:t>G. I.</w:t>
      </w:r>
      <w:r w:rsidRPr="00E76E89">
        <w:rPr>
          <w:color w:val="000000"/>
          <w:lang w:bidi="lt-LT"/>
        </w:rPr>
        <w:t xml:space="preserve"> teigia, kad net ir nustačius jo kaltę, atsižvelgiant į inkriminuotų nusikalstamų veikų apimtį bei pavojingumą, jam turėjo būti paskirtos švelnesnės bausmės. </w:t>
      </w:r>
      <w:r w:rsidRPr="00E76E89">
        <w:t>Skunde pažymima, kad teismas pagrįstai rėmėsi BK 54 straipsnio 3 dalies nuostatomis ir jam skyrė mažesnę bausmę</w:t>
      </w:r>
      <w:r w:rsidR="00E625A8" w:rsidRPr="00E76E89">
        <w:t>,</w:t>
      </w:r>
      <w:r w:rsidRPr="00E76E89">
        <w:t xml:space="preserve"> nei nustatyta sankcijoje, tačiau nepakankamai atsižvelgė į tai, jog bausmė turi atitikti ne tik veikos, bet ir kaltininko asmenybės pavojingumą. Apeliantas pažymi, kad jis yra visiškai nepavojingas visuomenei. Po </w:t>
      </w:r>
      <w:r w:rsidR="005B0434" w:rsidRPr="00E76E89">
        <w:t xml:space="preserve">1991 m. </w:t>
      </w:r>
      <w:r w:rsidRPr="00E76E89">
        <w:t>sausio įvykių liko gyventi</w:t>
      </w:r>
      <w:r w:rsidR="00660130" w:rsidRPr="00E76E89">
        <w:t xml:space="preserve"> (duomenys neskelbtini)</w:t>
      </w:r>
      <w:r w:rsidRPr="00E76E89">
        <w:t xml:space="preserve">, čia gyvena jo žmona, vaikai ir </w:t>
      </w:r>
      <w:r w:rsidR="00E625A8" w:rsidRPr="00E76E89">
        <w:t>vaikaičiai</w:t>
      </w:r>
      <w:r w:rsidRPr="00E76E89">
        <w:t>, kurie tapo dorais Lietuvos piliečiais</w:t>
      </w:r>
      <w:r w:rsidR="00E625A8" w:rsidRPr="00E76E89">
        <w:t>,</w:t>
      </w:r>
      <w:r w:rsidRPr="00E76E89">
        <w:t xml:space="preserve"> ir nei jis, nei jo šeimos nariai nebuvo pažeidę Lietuvos įstatymų. Be to, per šešerius metus, kol vyksta bylos tyrimas, </w:t>
      </w:r>
      <w:r w:rsidR="00E625A8" w:rsidRPr="00E76E89">
        <w:t>labai</w:t>
      </w:r>
      <w:r w:rsidRPr="00E76E89">
        <w:t xml:space="preserve"> pablogėjo jo sveikata. Jis serga sunkia nepagydoma </w:t>
      </w:r>
      <w:r w:rsidR="00660130" w:rsidRPr="00E76E89">
        <w:t>(duomenys neskelbtini)</w:t>
      </w:r>
      <w:r w:rsidRPr="00E76E89">
        <w:t xml:space="preserve"> liga </w:t>
      </w:r>
      <w:r w:rsidR="00660130" w:rsidRPr="00E76E89">
        <w:t>(duomenys neskelbtini)</w:t>
      </w:r>
      <w:r w:rsidRPr="00E76E89">
        <w:t xml:space="preserve">. Dėl ligos yra nuolat stebimas gydytojų, laukia eilės dėl </w:t>
      </w:r>
      <w:r w:rsidR="00660130" w:rsidRPr="00E76E89">
        <w:t>(duomenys neskelbtini)</w:t>
      </w:r>
      <w:r w:rsidRPr="00E76E89">
        <w:t>, todėl jam būtų per sunku atlikti realią laisvės atėmimo bausmę. Dėl minėtų priežasčių ir siek</w:t>
      </w:r>
      <w:r w:rsidR="008309B3" w:rsidRPr="00E76E89">
        <w:t>damas</w:t>
      </w:r>
      <w:r w:rsidRPr="00E76E89">
        <w:t xml:space="preserve"> įvertinti BK 76 straipsnio taikymo galimybes</w:t>
      </w:r>
      <w:r w:rsidR="008309B3" w:rsidRPr="00E76E89">
        <w:t>,</w:t>
      </w:r>
      <w:r w:rsidRPr="00E76E89">
        <w:t xml:space="preserve"> teismas turėtų atlikti įrodymų tyrimą ir paskirti ekspertizę, kuria būtų nustatyta, ar jis gali būti atleistas nuo bausmės dėl ligos.</w:t>
      </w:r>
    </w:p>
    <w:p w:rsidR="007B0F39" w:rsidRPr="00C00255" w:rsidRDefault="007B0F39" w:rsidP="00321748">
      <w:pPr>
        <w:pStyle w:val="ListParagraph"/>
        <w:numPr>
          <w:ilvl w:val="0"/>
          <w:numId w:val="6"/>
        </w:numPr>
        <w:spacing w:before="120" w:after="120"/>
        <w:ind w:left="992" w:hanging="992"/>
        <w:contextualSpacing w:val="0"/>
      </w:pPr>
      <w:bookmarkStart w:id="114" w:name="_Toc37947867"/>
      <w:bookmarkStart w:id="115" w:name="_Toc67677346"/>
      <w:bookmarkStart w:id="116" w:name="_Toc67985473"/>
      <w:r w:rsidRPr="00D43DF2">
        <w:rPr>
          <w:b/>
        </w:rPr>
        <w:t xml:space="preserve">Nuteistojo </w:t>
      </w:r>
      <w:r w:rsidR="00C82C9D" w:rsidRPr="00D43DF2">
        <w:rPr>
          <w:b/>
        </w:rPr>
        <w:t>V. U. 2</w:t>
      </w:r>
      <w:r w:rsidRPr="00D43DF2">
        <w:rPr>
          <w:b/>
        </w:rPr>
        <w:t xml:space="preserve"> gynėja</w:t>
      </w:r>
      <w:bookmarkEnd w:id="114"/>
      <w:bookmarkEnd w:id="115"/>
      <w:bookmarkEnd w:id="116"/>
      <w:r w:rsidRPr="00D43DF2">
        <w:rPr>
          <w:b/>
          <w:sz w:val="22"/>
          <w:szCs w:val="24"/>
        </w:rPr>
        <w:t xml:space="preserve"> </w:t>
      </w:r>
      <w:r w:rsidRPr="00D43DF2">
        <w:rPr>
          <w:b/>
          <w:szCs w:val="24"/>
        </w:rPr>
        <w:t>advokatė R. Budrytė</w:t>
      </w:r>
      <w:r w:rsidRPr="00C00255">
        <w:rPr>
          <w:szCs w:val="24"/>
        </w:rPr>
        <w:t xml:space="preserve"> apeliaciniu skundu prašo panaikinti pirmosios instancijos teismo nuosprendį ir jos ginamąjį išteisinti. </w:t>
      </w:r>
    </w:p>
    <w:p w:rsidR="007B0F39" w:rsidRPr="00E76E89" w:rsidRDefault="007B0F39" w:rsidP="00321748">
      <w:pPr>
        <w:pStyle w:val="ListParagraph"/>
        <w:numPr>
          <w:ilvl w:val="1"/>
          <w:numId w:val="6"/>
        </w:numPr>
        <w:spacing w:before="120" w:after="120"/>
        <w:ind w:left="992" w:hanging="992"/>
        <w:contextualSpacing w:val="0"/>
      </w:pPr>
      <w:r w:rsidRPr="00E76E89">
        <w:lastRenderedPageBreak/>
        <w:t xml:space="preserve">Nurodo, kad pirmosios instancijos teismas neteisingai įvertino įrodymus, pažeidė BPK 20 straipsnio 5 dalies reikalavimus, netinkamai pritaikė BK nuostatas ir tarptautinės teisės normas, todėl priėmė šališką ir įrodymais nepagrįstą apkaltinamąjį nuosprendį. Be to, teismas pažeidė ir BPK </w:t>
      </w:r>
      <w:r w:rsidRPr="00E76E89">
        <w:rPr>
          <w:szCs w:val="24"/>
        </w:rPr>
        <w:t xml:space="preserve">305 straipsnio 1 dalies 2 punkto nuostatas, </w:t>
      </w:r>
      <w:r w:rsidR="00E625A8" w:rsidRPr="00E76E89">
        <w:rPr>
          <w:szCs w:val="24"/>
        </w:rPr>
        <w:t xml:space="preserve">kuriomis </w:t>
      </w:r>
      <w:r w:rsidRPr="00E76E89">
        <w:rPr>
          <w:szCs w:val="24"/>
        </w:rPr>
        <w:t>reglamentuoj</w:t>
      </w:r>
      <w:r w:rsidR="00E625A8" w:rsidRPr="00E76E89">
        <w:rPr>
          <w:szCs w:val="24"/>
        </w:rPr>
        <w:t>ami</w:t>
      </w:r>
      <w:r w:rsidRPr="00E76E89">
        <w:rPr>
          <w:szCs w:val="24"/>
        </w:rPr>
        <w:t xml:space="preserve"> teismo nuosprendžio turiniui</w:t>
      </w:r>
      <w:r w:rsidR="00E625A8" w:rsidRPr="00E76E89">
        <w:rPr>
          <w:szCs w:val="24"/>
        </w:rPr>
        <w:t xml:space="preserve"> keliami reikalavimai</w:t>
      </w:r>
      <w:r w:rsidRPr="00E76E89">
        <w:rPr>
          <w:szCs w:val="24"/>
        </w:rPr>
        <w:t>.</w:t>
      </w:r>
    </w:p>
    <w:p w:rsidR="007B0F39" w:rsidRPr="00315CAF" w:rsidRDefault="007B0F39" w:rsidP="00321748">
      <w:pPr>
        <w:pStyle w:val="ListParagraph"/>
        <w:numPr>
          <w:ilvl w:val="1"/>
          <w:numId w:val="6"/>
        </w:numPr>
        <w:spacing w:before="120" w:after="120"/>
        <w:ind w:left="992" w:hanging="992"/>
        <w:contextualSpacing w:val="0"/>
        <w:rPr>
          <w:rStyle w:val="CharStyle133"/>
          <w:i w:val="0"/>
          <w:iCs w:val="0"/>
          <w:sz w:val="24"/>
          <w:shd w:val="clear" w:color="auto" w:fill="auto"/>
        </w:rPr>
      </w:pPr>
      <w:r w:rsidRPr="00315CAF">
        <w:t xml:space="preserve">Apeliantė nesutinka su teismo išvada, jog </w:t>
      </w:r>
      <w:r w:rsidR="00C82C9D" w:rsidRPr="00315CAF">
        <w:t>V. U. 2</w:t>
      </w:r>
      <w:r w:rsidRPr="00315CAF">
        <w:t xml:space="preserve"> inkriminuojamas veikas padarė veikdamas tiesiogine tyčia. Pasak gynėjos, </w:t>
      </w:r>
      <w:r w:rsidR="00C82C9D" w:rsidRPr="00315CAF">
        <w:t>V. U. 2</w:t>
      </w:r>
      <w:r w:rsidRPr="00315CAF">
        <w:t xml:space="preserve"> buvo profesionalus kariškis, kuris vykdė profesinę pareigą. Pagal karinės struktūros hierarchiją nuteistasis buvo pavaldus pulko vadui, divizijos vadui ir jam duotų nurodymų negalėjo nevykdyti, nes, priešingu atveju, būtų persekiojamas. Pavaldinys privalo vykdyti ir tokį įsakymą, kuriuo teisėtumu jis abejoja. Iš byloje pateiktos specialisto išvados matyti, kad planas dėl teisėtos Lietuvos valdžios nuvertimo buvo r</w:t>
      </w:r>
      <w:r w:rsidR="00FA3613" w:rsidRPr="00315CAF">
        <w:t>engiamas</w:t>
      </w:r>
      <w:r w:rsidRPr="00315CAF">
        <w:rPr>
          <w:rFonts w:eastAsiaTheme="majorEastAsia"/>
        </w:rPr>
        <w:t xml:space="preserve"> visiškai slaptai, todėl </w:t>
      </w:r>
      <w:r w:rsidR="00C82C9D" w:rsidRPr="00315CAF">
        <w:t>V. U. 2</w:t>
      </w:r>
      <w:r w:rsidRPr="00315CAF">
        <w:t xml:space="preserve"> nei pagal savo </w:t>
      </w:r>
      <w:r w:rsidR="00E625A8" w:rsidRPr="00315CAF">
        <w:t>einamas</w:t>
      </w:r>
      <w:r w:rsidRPr="00315CAF">
        <w:t xml:space="preserve"> pareigas, nei pagal turimą karinį laipsnį neturėjo teisės žinoti ir negalėjo žinoti apie minimo plano r</w:t>
      </w:r>
      <w:r w:rsidR="00DA46CB" w:rsidRPr="00315CAF">
        <w:t>engimą</w:t>
      </w:r>
      <w:r w:rsidRPr="00315CAF">
        <w:t>. Nežinodamas apie bendrą tikslą</w:t>
      </w:r>
      <w:r w:rsidR="00E625A8" w:rsidRPr="00315CAF">
        <w:t>,</w:t>
      </w:r>
      <w:r w:rsidRPr="00315CAF">
        <w:t xml:space="preserve"> </w:t>
      </w:r>
      <w:r w:rsidR="00C82C9D" w:rsidRPr="00315CAF">
        <w:t>V. U. 2</w:t>
      </w:r>
      <w:r w:rsidRPr="00315CAF">
        <w:t xml:space="preserve"> niekaip negalėjo išreikšti savo valios dėl šio tikslo – pritarti jam ar </w:t>
      </w:r>
      <w:r w:rsidR="00E625A8" w:rsidRPr="00315CAF">
        <w:t xml:space="preserve">su juo </w:t>
      </w:r>
      <w:r w:rsidRPr="00315CAF">
        <w:t xml:space="preserve">nesutikti. Be to, </w:t>
      </w:r>
      <w:r w:rsidR="00C82C9D" w:rsidRPr="00315CAF">
        <w:t>V. U. 2</w:t>
      </w:r>
      <w:r w:rsidRPr="00315CAF">
        <w:t xml:space="preserve"> žinojo, kad Lietuva tarptautiniu lygiu buvo pripažinta TSRS sudėtyje. Tik po 1991 m. rugpjūčio įvykių Maskvoje Lietuva buvo pripažinta </w:t>
      </w:r>
      <w:r w:rsidR="00C96771" w:rsidRPr="00315CAF">
        <w:t>nepriklausoma valstybe</w:t>
      </w:r>
      <w:r w:rsidRPr="00315CAF">
        <w:t xml:space="preserve"> tarptautiniu mastu.</w:t>
      </w:r>
    </w:p>
    <w:p w:rsidR="007403E5" w:rsidRPr="00E76E89" w:rsidRDefault="007B0F39" w:rsidP="00321748">
      <w:pPr>
        <w:pStyle w:val="ListParagraph"/>
        <w:numPr>
          <w:ilvl w:val="1"/>
          <w:numId w:val="6"/>
        </w:numPr>
        <w:spacing w:before="120" w:after="120"/>
        <w:ind w:left="992" w:hanging="992"/>
        <w:contextualSpacing w:val="0"/>
        <w:rPr>
          <w:szCs w:val="24"/>
        </w:rPr>
      </w:pPr>
      <w:r w:rsidRPr="00E76E89">
        <w:rPr>
          <w:rStyle w:val="CharStyle133"/>
          <w:i w:val="0"/>
          <w:sz w:val="24"/>
          <w:szCs w:val="24"/>
          <w:lang w:eastAsia="lt-LT"/>
        </w:rPr>
        <w:t>Byloje nustatyta, kad</w:t>
      </w:r>
      <w:r w:rsidRPr="00E76E89">
        <w:rPr>
          <w:rStyle w:val="CharStyle133"/>
          <w:sz w:val="24"/>
          <w:szCs w:val="24"/>
          <w:lang w:eastAsia="lt-LT"/>
        </w:rPr>
        <w:t xml:space="preserve"> </w:t>
      </w:r>
      <w:r w:rsidRPr="00E76E89">
        <w:rPr>
          <w:szCs w:val="24"/>
        </w:rPr>
        <w:t xml:space="preserve">tanko Nr. 511, kuriam vadovavo </w:t>
      </w:r>
      <w:r w:rsidR="00C82C9D" w:rsidRPr="00E76E89">
        <w:rPr>
          <w:szCs w:val="24"/>
        </w:rPr>
        <w:t>V. U. 2</w:t>
      </w:r>
      <w:r w:rsidRPr="00E76E89">
        <w:rPr>
          <w:szCs w:val="24"/>
        </w:rPr>
        <w:t>, įgula buvo suformuota prieš pat operacijos vykdymą</w:t>
      </w:r>
      <w:r w:rsidR="00E625A8" w:rsidRPr="00E76E89">
        <w:rPr>
          <w:szCs w:val="24"/>
        </w:rPr>
        <w:t xml:space="preserve"> ir jai</w:t>
      </w:r>
      <w:r w:rsidRPr="00E76E89">
        <w:rPr>
          <w:szCs w:val="24"/>
        </w:rPr>
        <w:t xml:space="preserve"> buvo duota užduotis saugoti, </w:t>
      </w:r>
      <w:r w:rsidR="00962FE6" w:rsidRPr="00E76E89">
        <w:rPr>
          <w:szCs w:val="24"/>
        </w:rPr>
        <w:t>bet ne šturmuoti Spaudos </w:t>
      </w:r>
      <w:r w:rsidRPr="00E76E89">
        <w:rPr>
          <w:szCs w:val="24"/>
        </w:rPr>
        <w:t xml:space="preserve">rūmus. </w:t>
      </w:r>
      <w:r w:rsidR="00C82C9D" w:rsidRPr="00E76E89">
        <w:rPr>
          <w:szCs w:val="24"/>
        </w:rPr>
        <w:t>V. U. 2</w:t>
      </w:r>
      <w:r w:rsidRPr="00E76E89">
        <w:rPr>
          <w:szCs w:val="24"/>
        </w:rPr>
        <w:t xml:space="preserve"> vadovaujamas tankas nešaudė iš pabūklo. Tanko įgula žinojo, kad tanke yra tik išmetamieji užtaisai tanko pabūklo sviediniams</w:t>
      </w:r>
      <w:r w:rsidR="00E625A8" w:rsidRPr="00E76E89">
        <w:rPr>
          <w:szCs w:val="24"/>
        </w:rPr>
        <w:t>,</w:t>
      </w:r>
      <w:r w:rsidRPr="00E76E89">
        <w:rPr>
          <w:szCs w:val="24"/>
        </w:rPr>
        <w:t xml:space="preserve"> ir j</w:t>
      </w:r>
      <w:r w:rsidR="00E625A8" w:rsidRPr="00E76E89">
        <w:rPr>
          <w:szCs w:val="24"/>
        </w:rPr>
        <w:t>ai</w:t>
      </w:r>
      <w:r w:rsidRPr="00E76E89">
        <w:rPr>
          <w:szCs w:val="24"/>
        </w:rPr>
        <w:t xml:space="preserve"> buvo nurodyta laikytis saugumo taisyklių naudojant ši</w:t>
      </w:r>
      <w:r w:rsidR="00DA46CB" w:rsidRPr="00E76E89">
        <w:rPr>
          <w:szCs w:val="24"/>
        </w:rPr>
        <w:t>u</w:t>
      </w:r>
      <w:r w:rsidRPr="00E76E89">
        <w:rPr>
          <w:szCs w:val="24"/>
        </w:rPr>
        <w:t>os užtaisus: šaudyti</w:t>
      </w:r>
      <w:r w:rsidR="00962FE6" w:rsidRPr="00E76E89">
        <w:rPr>
          <w:szCs w:val="24"/>
        </w:rPr>
        <w:t xml:space="preserve"> tik pakėlus pabūklą aukščiausiu kampu</w:t>
      </w:r>
      <w:r w:rsidRPr="00E76E89">
        <w:rPr>
          <w:szCs w:val="24"/>
        </w:rPr>
        <w:t xml:space="preserve">, bet netaikant į žmones. Todėl </w:t>
      </w:r>
      <w:r w:rsidR="00C82C9D" w:rsidRPr="00E76E89">
        <w:rPr>
          <w:szCs w:val="24"/>
        </w:rPr>
        <w:t>V. U. 2</w:t>
      </w:r>
      <w:r w:rsidRPr="00E76E89">
        <w:rPr>
          <w:szCs w:val="24"/>
        </w:rPr>
        <w:t xml:space="preserve"> neturėjo tikslo žudyti žmonių</w:t>
      </w:r>
      <w:r w:rsidR="00962FE6" w:rsidRPr="00E76E89">
        <w:rPr>
          <w:szCs w:val="24"/>
        </w:rPr>
        <w:t xml:space="preserve"> ar sutrikdyti jų sveikat</w:t>
      </w:r>
      <w:r w:rsidR="00DA46CB" w:rsidRPr="00E76E89">
        <w:rPr>
          <w:szCs w:val="24"/>
        </w:rPr>
        <w:t>os</w:t>
      </w:r>
      <w:r w:rsidR="00962FE6" w:rsidRPr="00E76E89">
        <w:rPr>
          <w:szCs w:val="24"/>
        </w:rPr>
        <w:t xml:space="preserve">. Be </w:t>
      </w:r>
      <w:r w:rsidRPr="00E76E89">
        <w:rPr>
          <w:szCs w:val="24"/>
        </w:rPr>
        <w:t>to, jų tankas, atvykus prie Spaudos rūmų, negalėjo nei važiuoti, nei šaudyti, nes sugedo.</w:t>
      </w:r>
    </w:p>
    <w:p w:rsidR="007B0F39" w:rsidRPr="00E76E89" w:rsidRDefault="007B0F39" w:rsidP="00321748">
      <w:pPr>
        <w:pStyle w:val="ListParagraph"/>
        <w:numPr>
          <w:ilvl w:val="1"/>
          <w:numId w:val="6"/>
        </w:numPr>
        <w:spacing w:before="120" w:after="120"/>
        <w:ind w:left="992" w:hanging="992"/>
        <w:contextualSpacing w:val="0"/>
        <w:rPr>
          <w:szCs w:val="24"/>
        </w:rPr>
      </w:pPr>
      <w:r w:rsidRPr="00E76E89">
        <w:rPr>
          <w:szCs w:val="24"/>
        </w:rPr>
        <w:t xml:space="preserve">Gynėja teigia, kad </w:t>
      </w:r>
      <w:r w:rsidR="00C82C9D" w:rsidRPr="00E76E89">
        <w:rPr>
          <w:szCs w:val="24"/>
        </w:rPr>
        <w:t>V. U. 2</w:t>
      </w:r>
      <w:r w:rsidRPr="00E76E89">
        <w:rPr>
          <w:szCs w:val="24"/>
        </w:rPr>
        <w:t xml:space="preserve"> negalėjo būti pripažintas inkriminuojamų nusikaltimų subjektu. Niurnbergo tribunolo statut</w:t>
      </w:r>
      <w:r w:rsidR="00E625A8" w:rsidRPr="00E76E89">
        <w:rPr>
          <w:szCs w:val="24"/>
        </w:rPr>
        <w:t>e</w:t>
      </w:r>
      <w:r w:rsidRPr="00E76E89">
        <w:rPr>
          <w:szCs w:val="24"/>
        </w:rPr>
        <w:t xml:space="preserve"> aiškiai apibrėž</w:t>
      </w:r>
      <w:r w:rsidR="00E625A8" w:rsidRPr="00E76E89">
        <w:rPr>
          <w:szCs w:val="24"/>
        </w:rPr>
        <w:t>tas</w:t>
      </w:r>
      <w:r w:rsidRPr="00E76E89">
        <w:rPr>
          <w:szCs w:val="24"/>
        </w:rPr>
        <w:t xml:space="preserve"> už tokius nusikaltimus trauktinų baudžiamojon atsakomybėn asmenų rat</w:t>
      </w:r>
      <w:r w:rsidR="00E625A8" w:rsidRPr="00E76E89">
        <w:rPr>
          <w:szCs w:val="24"/>
        </w:rPr>
        <w:t>as</w:t>
      </w:r>
      <w:r w:rsidRPr="00E76E89">
        <w:rPr>
          <w:szCs w:val="24"/>
        </w:rPr>
        <w:t xml:space="preserve"> – agresijos kurstytoj</w:t>
      </w:r>
      <w:r w:rsidR="00E625A8" w:rsidRPr="00E76E89">
        <w:rPr>
          <w:szCs w:val="24"/>
        </w:rPr>
        <w:t>ai</w:t>
      </w:r>
      <w:r w:rsidRPr="00E76E89">
        <w:rPr>
          <w:szCs w:val="24"/>
        </w:rPr>
        <w:t>, organizatori</w:t>
      </w:r>
      <w:r w:rsidR="00E625A8" w:rsidRPr="00E76E89">
        <w:rPr>
          <w:szCs w:val="24"/>
        </w:rPr>
        <w:t>ai</w:t>
      </w:r>
      <w:r w:rsidRPr="00E76E89">
        <w:rPr>
          <w:szCs w:val="24"/>
        </w:rPr>
        <w:t>, bet ne eilini</w:t>
      </w:r>
      <w:r w:rsidR="00E625A8" w:rsidRPr="00E76E89">
        <w:rPr>
          <w:szCs w:val="24"/>
        </w:rPr>
        <w:t>ai</w:t>
      </w:r>
      <w:r w:rsidRPr="00E76E89">
        <w:rPr>
          <w:szCs w:val="24"/>
        </w:rPr>
        <w:t xml:space="preserve"> vykdytoj</w:t>
      </w:r>
      <w:r w:rsidR="00E625A8" w:rsidRPr="00E76E89">
        <w:rPr>
          <w:szCs w:val="24"/>
        </w:rPr>
        <w:t>ai</w:t>
      </w:r>
      <w:r w:rsidRPr="00E76E89">
        <w:rPr>
          <w:szCs w:val="24"/>
        </w:rPr>
        <w:t xml:space="preserve">, kuriuo byloje yra jos ginamasis. </w:t>
      </w:r>
      <w:r w:rsidR="0012467A" w:rsidRPr="00E76E89">
        <w:rPr>
          <w:szCs w:val="24"/>
        </w:rPr>
        <w:t>Romos</w:t>
      </w:r>
      <w:r w:rsidRPr="00E76E89">
        <w:rPr>
          <w:szCs w:val="24"/>
        </w:rPr>
        <w:t xml:space="preserve"> statuto 33 straipsnio 1 punkte numatyta baudžiamosios atsakomybės netaikymo išlyga asmeniui, kuris padarė tarptautinėje teisėje uždraustą veiką vykdydamas vyriausybės arba karinio ar civilio vadovo įsakymą, kai: a) vykdyti tos vyriausybės arba vadovo įsakymus buvo šio asmens pareiga pagal įstatymą; b) nežinojo, kad įsakymas yra neteisėtas</w:t>
      </w:r>
      <w:r w:rsidR="00FA3613" w:rsidRPr="00E76E89">
        <w:rPr>
          <w:szCs w:val="24"/>
        </w:rPr>
        <w:t>;</w:t>
      </w:r>
      <w:r w:rsidRPr="00E76E89">
        <w:rPr>
          <w:szCs w:val="24"/>
        </w:rPr>
        <w:t xml:space="preserve"> ir c) įsakymas nebuvo akivaizdžiai neteisėtas. </w:t>
      </w:r>
      <w:r w:rsidR="00C82C9D" w:rsidRPr="00E76E89">
        <w:rPr>
          <w:szCs w:val="24"/>
        </w:rPr>
        <w:t>V. U. 2</w:t>
      </w:r>
      <w:r w:rsidRPr="00E76E89">
        <w:rPr>
          <w:szCs w:val="24"/>
        </w:rPr>
        <w:t xml:space="preserve"> atitinka šiuos reikalavimus, todėl negali atsakyti už tarptautinės teisės uždraustas nusikalstamas veikas. </w:t>
      </w:r>
    </w:p>
    <w:p w:rsidR="007B0F39" w:rsidRPr="00E76E89" w:rsidRDefault="007B0F39" w:rsidP="00321748">
      <w:pPr>
        <w:pStyle w:val="ListParagraph"/>
        <w:numPr>
          <w:ilvl w:val="1"/>
          <w:numId w:val="6"/>
        </w:numPr>
        <w:spacing w:before="120" w:after="120"/>
        <w:ind w:left="992" w:hanging="992"/>
        <w:contextualSpacing w:val="0"/>
        <w:rPr>
          <w:szCs w:val="24"/>
        </w:rPr>
      </w:pPr>
      <w:r w:rsidRPr="00E76E89">
        <w:rPr>
          <w:szCs w:val="24"/>
        </w:rPr>
        <w:t>Apeliantė nurodo ir tai, kad V.</w:t>
      </w:r>
      <w:r w:rsidR="00C82C9D" w:rsidRPr="00E76E89">
        <w:rPr>
          <w:szCs w:val="24"/>
        </w:rPr>
        <w:t> U. 2</w:t>
      </w:r>
      <w:r w:rsidRPr="00E76E89">
        <w:rPr>
          <w:szCs w:val="24"/>
        </w:rPr>
        <w:t xml:space="preserve"> negalėjo būti nuteistas pagal 2011 m. BK nuostatas</w:t>
      </w:r>
      <w:r w:rsidR="008C3406" w:rsidRPr="00E76E89">
        <w:rPr>
          <w:szCs w:val="24"/>
        </w:rPr>
        <w:t>,</w:t>
      </w:r>
      <w:r w:rsidRPr="00E76E89">
        <w:rPr>
          <w:szCs w:val="24"/>
        </w:rPr>
        <w:t xml:space="preserve"> nes atsakomybė už </w:t>
      </w:r>
      <w:r w:rsidR="00C82C9D" w:rsidRPr="00E76E89">
        <w:rPr>
          <w:szCs w:val="24"/>
        </w:rPr>
        <w:t>V. U. 2</w:t>
      </w:r>
      <w:r w:rsidRPr="00E76E89">
        <w:rPr>
          <w:szCs w:val="24"/>
        </w:rPr>
        <w:t xml:space="preserve"> inkriminuotus nusikaltimus nustatyta daug vėliau</w:t>
      </w:r>
      <w:r w:rsidR="00084C86" w:rsidRPr="00E76E89">
        <w:rPr>
          <w:szCs w:val="24"/>
        </w:rPr>
        <w:t>,</w:t>
      </w:r>
      <w:r w:rsidRPr="00E76E89">
        <w:rPr>
          <w:szCs w:val="24"/>
        </w:rPr>
        <w:t xml:space="preserve"> nei </w:t>
      </w:r>
      <w:r w:rsidR="002C298B" w:rsidRPr="00E76E89">
        <w:rPr>
          <w:szCs w:val="24"/>
        </w:rPr>
        <w:t xml:space="preserve">padarytos inkriminuojamos veikos. Todėl byloje buvo pažeistas ir </w:t>
      </w:r>
      <w:r w:rsidR="002C298B" w:rsidRPr="00E76E89">
        <w:rPr>
          <w:i/>
          <w:iCs/>
          <w:szCs w:val="24"/>
        </w:rPr>
        <w:t>nullum crimen sine lege</w:t>
      </w:r>
      <w:r w:rsidR="002C298B" w:rsidRPr="00E76E89">
        <w:rPr>
          <w:szCs w:val="24"/>
        </w:rPr>
        <w:t xml:space="preserve"> principas. Gynėja akcentuoja, kad pagal 1998 m. Romos statuto 24 straipsnį niekas baudžiamąj</w:t>
      </w:r>
      <w:r w:rsidR="00084C86" w:rsidRPr="00E76E89">
        <w:rPr>
          <w:szCs w:val="24"/>
        </w:rPr>
        <w:t>a</w:t>
      </w:r>
      <w:r w:rsidR="002C298B" w:rsidRPr="00E76E89">
        <w:rPr>
          <w:szCs w:val="24"/>
        </w:rPr>
        <w:t xml:space="preserve"> tvarka neatsako už elgesį iki statuto įsigaliojimo, o jeigu prieš priimant galutinį sprendimą pakeičiamas konkrečiai bylai taikytinas įstatymas, tai</w:t>
      </w:r>
      <w:r w:rsidR="00ED6AF4" w:rsidRPr="00E76E89">
        <w:rPr>
          <w:szCs w:val="24"/>
        </w:rPr>
        <w:t xml:space="preserve"> įta</w:t>
      </w:r>
      <w:r w:rsidRPr="00E76E89">
        <w:rPr>
          <w:szCs w:val="24"/>
        </w:rPr>
        <w:t xml:space="preserve">riamajam, kaltinamajam ar nuteistajam taikomas palankesnis įstatymas. </w:t>
      </w:r>
    </w:p>
    <w:p w:rsidR="00AA29F8" w:rsidRPr="00C00255" w:rsidRDefault="000239A2" w:rsidP="00321748">
      <w:pPr>
        <w:pStyle w:val="ListParagraph"/>
        <w:numPr>
          <w:ilvl w:val="0"/>
          <w:numId w:val="6"/>
        </w:numPr>
        <w:spacing w:before="120" w:after="120"/>
        <w:ind w:left="992" w:hanging="992"/>
        <w:contextualSpacing w:val="0"/>
        <w:rPr>
          <w:szCs w:val="24"/>
        </w:rPr>
      </w:pPr>
      <w:bookmarkStart w:id="117" w:name="_Toc37947868"/>
      <w:bookmarkStart w:id="118" w:name="_Toc67677347"/>
      <w:bookmarkStart w:id="119" w:name="_Toc67985474"/>
      <w:r w:rsidRPr="00D43DF2">
        <w:rPr>
          <w:b/>
        </w:rPr>
        <w:t xml:space="preserve">Nuteistojo </w:t>
      </w:r>
      <w:r w:rsidR="00C82C9D" w:rsidRPr="00D43DF2">
        <w:rPr>
          <w:b/>
        </w:rPr>
        <w:t>V. S. 4</w:t>
      </w:r>
      <w:r w:rsidRPr="00D43DF2">
        <w:rPr>
          <w:b/>
        </w:rPr>
        <w:t xml:space="preserve"> gynėjas</w:t>
      </w:r>
      <w:bookmarkEnd w:id="117"/>
      <w:bookmarkEnd w:id="118"/>
      <w:bookmarkEnd w:id="119"/>
      <w:r w:rsidRPr="00D43DF2">
        <w:rPr>
          <w:b/>
          <w:sz w:val="22"/>
          <w:szCs w:val="24"/>
        </w:rPr>
        <w:t xml:space="preserve"> </w:t>
      </w:r>
      <w:r w:rsidRPr="00D43DF2">
        <w:rPr>
          <w:b/>
          <w:szCs w:val="24"/>
        </w:rPr>
        <w:t>advokatas G. A. Perednis</w:t>
      </w:r>
      <w:r w:rsidRPr="00D43DF2">
        <w:rPr>
          <w:szCs w:val="24"/>
        </w:rPr>
        <w:t xml:space="preserve"> </w:t>
      </w:r>
      <w:r w:rsidRPr="00C00255">
        <w:rPr>
          <w:szCs w:val="24"/>
        </w:rPr>
        <w:t xml:space="preserve">apeliaciniu skundu </w:t>
      </w:r>
      <w:r w:rsidR="00AA29F8" w:rsidRPr="00C00255">
        <w:rPr>
          <w:szCs w:val="24"/>
        </w:rPr>
        <w:t xml:space="preserve">prašo panaikinti </w:t>
      </w:r>
      <w:r w:rsidRPr="00C00255">
        <w:rPr>
          <w:szCs w:val="24"/>
        </w:rPr>
        <w:t>pirmosios instancijos</w:t>
      </w:r>
      <w:r w:rsidR="00AA29F8" w:rsidRPr="00C00255">
        <w:rPr>
          <w:szCs w:val="24"/>
        </w:rPr>
        <w:t xml:space="preserve"> teismo nuosprendį ir dėl jo ginamojo priimti išteisinamąjį nuosprendį.</w:t>
      </w:r>
    </w:p>
    <w:p w:rsidR="000239A2" w:rsidRPr="00E76E89" w:rsidRDefault="00AA29F8" w:rsidP="00321748">
      <w:pPr>
        <w:pStyle w:val="ListParagraph"/>
        <w:numPr>
          <w:ilvl w:val="1"/>
          <w:numId w:val="6"/>
        </w:numPr>
        <w:spacing w:after="120"/>
        <w:ind w:left="992" w:hanging="992"/>
        <w:contextualSpacing w:val="0"/>
      </w:pPr>
      <w:r w:rsidRPr="00E76E89">
        <w:t>Apeliaciniame skunde teigiama, kad apygard</w:t>
      </w:r>
      <w:r w:rsidR="00446F2F" w:rsidRPr="00E76E89">
        <w:t>os teismas, aiškindamas 1949 m. </w:t>
      </w:r>
      <w:r w:rsidRPr="00E76E89">
        <w:t>rugpj</w:t>
      </w:r>
      <w:r w:rsidR="00446F2F" w:rsidRPr="00E76E89">
        <w:t>ūčio </w:t>
      </w:r>
      <w:r w:rsidRPr="00E76E89">
        <w:t>12</w:t>
      </w:r>
      <w:r w:rsidR="00084C86" w:rsidRPr="00E76E89">
        <w:t> </w:t>
      </w:r>
      <w:r w:rsidRPr="00E76E89">
        <w:t>d. Ženevos konvencijos</w:t>
      </w:r>
      <w:r w:rsidR="008F38EB" w:rsidRPr="00E76E89">
        <w:t xml:space="preserve"> dė</w:t>
      </w:r>
      <w:r w:rsidR="00171173" w:rsidRPr="00E76E89">
        <w:t>l civilių apsaugos karo metu</w:t>
      </w:r>
      <w:r w:rsidRPr="00E76E89">
        <w:t xml:space="preserve"> ir </w:t>
      </w:r>
      <w:r w:rsidR="00446F2F" w:rsidRPr="00E76E89">
        <w:t>1949 m. </w:t>
      </w:r>
      <w:r w:rsidR="00D76BE4" w:rsidRPr="00E76E89">
        <w:t>rugpjūčio 12</w:t>
      </w:r>
      <w:r w:rsidR="00084C86" w:rsidRPr="00E76E89">
        <w:t> </w:t>
      </w:r>
      <w:r w:rsidR="00D76BE4" w:rsidRPr="00E76E89">
        <w:t>d. Ženevos </w:t>
      </w:r>
      <w:r w:rsidR="00171173" w:rsidRPr="00E76E89">
        <w:t>konvencijų</w:t>
      </w:r>
      <w:r w:rsidR="00D76BE4" w:rsidRPr="00E76E89">
        <w:t xml:space="preserve"> P</w:t>
      </w:r>
      <w:r w:rsidRPr="00E76E89">
        <w:t xml:space="preserve">apildomų protokolų nuostatas, nepagrįstai </w:t>
      </w:r>
      <w:r w:rsidR="00C82C9D" w:rsidRPr="00E76E89">
        <w:lastRenderedPageBreak/>
        <w:t>V. S. 4</w:t>
      </w:r>
      <w:r w:rsidRPr="00E76E89">
        <w:t xml:space="preserve"> nesuteikė kombatanto statuso. </w:t>
      </w:r>
      <w:r w:rsidR="00C82C9D" w:rsidRPr="00E76E89">
        <w:t>V. S. 4</w:t>
      </w:r>
      <w:r w:rsidRPr="00E76E89">
        <w:t xml:space="preserve"> buvo TSRS tankų pulko bataliono vado pavaduotojas ginkluotei, t.</w:t>
      </w:r>
      <w:r w:rsidR="00084C86" w:rsidRPr="00E76E89">
        <w:t> </w:t>
      </w:r>
      <w:r w:rsidRPr="00E76E89">
        <w:t xml:space="preserve">y. konflikto šalies ginkluotųjų pajėgų narys, turėjo majoro laipsnį, savo priklausomybės ginkluotosioms pajėgoms neslėpė. </w:t>
      </w:r>
      <w:r w:rsidR="00C82C9D" w:rsidRPr="00E76E89">
        <w:t>V. S. 4</w:t>
      </w:r>
      <w:r w:rsidRPr="00E76E89">
        <w:t xml:space="preserve">, būdamas kombatantas, turėjo teisę dalyvauti karo veiksmuose ir jam galiojo savo šaliai duota priesaika, kurios esmė yra vykdyti visus vadų įsakymus. Tarptautinės teisės normų, taikomų vykstant ginkluotiems konfliktams, pažeidimas neatima iš kombatanto teisės būti kombatantu. </w:t>
      </w:r>
    </w:p>
    <w:p w:rsidR="000239A2" w:rsidRPr="00E76E89" w:rsidRDefault="00AA29F8" w:rsidP="00321748">
      <w:pPr>
        <w:pStyle w:val="ListParagraph"/>
        <w:numPr>
          <w:ilvl w:val="1"/>
          <w:numId w:val="6"/>
        </w:numPr>
        <w:spacing w:after="120"/>
        <w:ind w:left="992" w:hanging="992"/>
        <w:contextualSpacing w:val="0"/>
      </w:pPr>
      <w:r w:rsidRPr="00E76E89">
        <w:rPr>
          <w:szCs w:val="24"/>
        </w:rPr>
        <w:t xml:space="preserve">Apeliaciniame skunde nurodoma, kad byloje nėra nei tiesioginių, nei netiesioginių įrodymų, kurie patvirtintų </w:t>
      </w:r>
      <w:r w:rsidR="00C82C9D" w:rsidRPr="00E76E89">
        <w:rPr>
          <w:szCs w:val="24"/>
        </w:rPr>
        <w:t>V. S. 4</w:t>
      </w:r>
      <w:r w:rsidRPr="00E76E89">
        <w:rPr>
          <w:szCs w:val="24"/>
        </w:rPr>
        <w:t xml:space="preserve"> pareikštus kaltinimus. </w:t>
      </w:r>
      <w:r w:rsidR="00302023" w:rsidRPr="00E76E89">
        <w:rPr>
          <w:szCs w:val="24"/>
        </w:rPr>
        <w:t>S</w:t>
      </w:r>
      <w:r w:rsidRPr="00E76E89">
        <w:rPr>
          <w:szCs w:val="24"/>
        </w:rPr>
        <w:t xml:space="preserve">kunde gynėjas </w:t>
      </w:r>
      <w:r w:rsidR="00302023" w:rsidRPr="00E76E89">
        <w:rPr>
          <w:szCs w:val="24"/>
        </w:rPr>
        <w:t xml:space="preserve">plačiau </w:t>
      </w:r>
      <w:r w:rsidRPr="00E76E89">
        <w:rPr>
          <w:szCs w:val="24"/>
        </w:rPr>
        <w:t xml:space="preserve">pasisako tik apie aplinkybes dėl įvykių prie </w:t>
      </w:r>
      <w:r w:rsidR="00DE3B19" w:rsidRPr="00E76E89">
        <w:rPr>
          <w:szCs w:val="24"/>
        </w:rPr>
        <w:t>TV</w:t>
      </w:r>
      <w:r w:rsidRPr="00E76E89">
        <w:rPr>
          <w:szCs w:val="24"/>
        </w:rPr>
        <w:t xml:space="preserve"> bokšto, kur </w:t>
      </w:r>
      <w:r w:rsidR="00C82C9D" w:rsidRPr="00E76E89">
        <w:rPr>
          <w:szCs w:val="24"/>
        </w:rPr>
        <w:t>V. S. 4</w:t>
      </w:r>
      <w:r w:rsidRPr="00E76E89">
        <w:rPr>
          <w:szCs w:val="24"/>
        </w:rPr>
        <w:t xml:space="preserve"> dalyvavo tiesiogiai, t.</w:t>
      </w:r>
      <w:r w:rsidR="00302023" w:rsidRPr="00E76E89">
        <w:rPr>
          <w:szCs w:val="24"/>
        </w:rPr>
        <w:t> </w:t>
      </w:r>
      <w:r w:rsidRPr="00E76E89">
        <w:rPr>
          <w:szCs w:val="24"/>
        </w:rPr>
        <w:t xml:space="preserve">y. dėl </w:t>
      </w:r>
      <w:r w:rsidR="00C82C9D" w:rsidRPr="00E76E89">
        <w:rPr>
          <w:szCs w:val="24"/>
        </w:rPr>
        <w:t>V. S. 4</w:t>
      </w:r>
      <w:r w:rsidRPr="00E76E89">
        <w:rPr>
          <w:szCs w:val="24"/>
        </w:rPr>
        <w:t xml:space="preserve"> pareikšto kaltinimo dėl to, kad jis, vairuodamas tanką, užvažiavo ant keturių nukentėjusiųjų (L. A</w:t>
      </w:r>
      <w:r w:rsidR="00C943F4" w:rsidRPr="00E76E89">
        <w:rPr>
          <w:szCs w:val="24"/>
        </w:rPr>
        <w:t>.</w:t>
      </w:r>
      <w:r w:rsidRPr="00E76E89">
        <w:rPr>
          <w:szCs w:val="24"/>
        </w:rPr>
        <w:t>, L. T</w:t>
      </w:r>
      <w:r w:rsidR="00C943F4" w:rsidRPr="00E76E89">
        <w:rPr>
          <w:szCs w:val="24"/>
        </w:rPr>
        <w:t>.</w:t>
      </w:r>
      <w:r w:rsidRPr="00E76E89">
        <w:rPr>
          <w:szCs w:val="24"/>
        </w:rPr>
        <w:t>, A. M. P</w:t>
      </w:r>
      <w:r w:rsidR="00C943F4" w:rsidRPr="00E76E89">
        <w:rPr>
          <w:szCs w:val="24"/>
        </w:rPr>
        <w:t>.</w:t>
      </w:r>
      <w:r w:rsidRPr="00E76E89">
        <w:rPr>
          <w:szCs w:val="24"/>
        </w:rPr>
        <w:t xml:space="preserve">, </w:t>
      </w:r>
      <w:r w:rsidR="00C943F4" w:rsidRPr="00E76E89">
        <w:rPr>
          <w:szCs w:val="24"/>
        </w:rPr>
        <w:t>A. S.</w:t>
      </w:r>
      <w:r w:rsidRPr="00E76E89">
        <w:rPr>
          <w:szCs w:val="24"/>
        </w:rPr>
        <w:t xml:space="preserve">) ir juos sužalojo. Anot gynėjo, byloje nustatyta, kad vadui </w:t>
      </w:r>
      <w:r w:rsidR="004069BF" w:rsidRPr="00E76E89">
        <w:rPr>
          <w:szCs w:val="24"/>
        </w:rPr>
        <w:t>N. A.</w:t>
      </w:r>
      <w:r w:rsidRPr="00E76E89">
        <w:rPr>
          <w:szCs w:val="24"/>
        </w:rPr>
        <w:t xml:space="preserve"> davus komandą iš tanko buvo paleistas vienas šūvis, tačiau </w:t>
      </w:r>
      <w:r w:rsidR="00C82C9D" w:rsidRPr="00E76E89">
        <w:rPr>
          <w:szCs w:val="24"/>
        </w:rPr>
        <w:t>V. S. 4</w:t>
      </w:r>
      <w:r w:rsidRPr="00E76E89">
        <w:rPr>
          <w:szCs w:val="24"/>
        </w:rPr>
        <w:t xml:space="preserve"> prie šio šūvio neprisidėjo, jo neiššovė ir nekontroliavo, nes </w:t>
      </w:r>
      <w:r w:rsidR="00C82C9D" w:rsidRPr="00E76E89">
        <w:rPr>
          <w:szCs w:val="24"/>
        </w:rPr>
        <w:t>V. S. 4</w:t>
      </w:r>
      <w:r w:rsidR="00ED6AF4" w:rsidRPr="00E76E89">
        <w:rPr>
          <w:szCs w:val="24"/>
        </w:rPr>
        <w:t xml:space="preserve"> buvo paskirtas tanko mechaniku</w:t>
      </w:r>
      <w:r w:rsidR="00302023" w:rsidRPr="00E76E89">
        <w:rPr>
          <w:szCs w:val="24"/>
        </w:rPr>
        <w:t>-</w:t>
      </w:r>
      <w:r w:rsidRPr="00E76E89">
        <w:rPr>
          <w:szCs w:val="24"/>
        </w:rPr>
        <w:t>vairuotoju, o ne taikytoju.</w:t>
      </w:r>
    </w:p>
    <w:p w:rsidR="000239A2" w:rsidRPr="00E76E89" w:rsidRDefault="00AA29F8" w:rsidP="00321748">
      <w:pPr>
        <w:pStyle w:val="ListParagraph"/>
        <w:numPr>
          <w:ilvl w:val="1"/>
          <w:numId w:val="6"/>
        </w:numPr>
        <w:spacing w:after="120"/>
        <w:ind w:left="992" w:hanging="992"/>
        <w:contextualSpacing w:val="0"/>
      </w:pPr>
      <w:r w:rsidRPr="00E76E89">
        <w:rPr>
          <w:szCs w:val="24"/>
        </w:rPr>
        <w:t xml:space="preserve">Gynėjo teigimu, nors įsakymo vykdymas nepanaikina atsakomybės už nusikaltimus žmoniškumui, bylos duomenys rodo, kad </w:t>
      </w:r>
      <w:r w:rsidR="00C82C9D" w:rsidRPr="00E76E89">
        <w:rPr>
          <w:szCs w:val="24"/>
        </w:rPr>
        <w:t>V. S. 4</w:t>
      </w:r>
      <w:r w:rsidRPr="00E76E89">
        <w:rPr>
          <w:szCs w:val="24"/>
        </w:rPr>
        <w:t xml:space="preserve"> aklai nevykdė įsakymų. Bū</w:t>
      </w:r>
      <w:r w:rsidR="00110172" w:rsidRPr="00E76E89">
        <w:rPr>
          <w:szCs w:val="24"/>
        </w:rPr>
        <w:t>damas paskirtas tanko mechaniku</w:t>
      </w:r>
      <w:r w:rsidR="00302023" w:rsidRPr="00E76E89">
        <w:rPr>
          <w:szCs w:val="24"/>
        </w:rPr>
        <w:t>-</w:t>
      </w:r>
      <w:r w:rsidRPr="00E76E89">
        <w:rPr>
          <w:szCs w:val="24"/>
        </w:rPr>
        <w:t xml:space="preserve">vairuotoju, </w:t>
      </w:r>
      <w:r w:rsidR="00C82C9D" w:rsidRPr="00E76E89">
        <w:rPr>
          <w:szCs w:val="24"/>
        </w:rPr>
        <w:t>V. S. 4</w:t>
      </w:r>
      <w:r w:rsidRPr="00E76E89">
        <w:rPr>
          <w:szCs w:val="24"/>
        </w:rPr>
        <w:t xml:space="preserve"> įvykių prie </w:t>
      </w:r>
      <w:r w:rsidR="00DE3B19" w:rsidRPr="00E76E89">
        <w:rPr>
          <w:szCs w:val="24"/>
        </w:rPr>
        <w:t>TV</w:t>
      </w:r>
      <w:r w:rsidRPr="00E76E89">
        <w:rPr>
          <w:szCs w:val="24"/>
        </w:rPr>
        <w:t xml:space="preserve"> bokšto metu, vairuodamas tanką, sustojo prieš iš sunkvežimių sudarytą kliūtį ir kliūties nestumdė (tai darė kitas tankas), toliau nevažiavo. Šios aplinkybės rodo, kad </w:t>
      </w:r>
      <w:r w:rsidR="00C82C9D" w:rsidRPr="00E76E89">
        <w:rPr>
          <w:szCs w:val="24"/>
        </w:rPr>
        <w:t>V. S. 4</w:t>
      </w:r>
      <w:r w:rsidRPr="00E76E89">
        <w:rPr>
          <w:szCs w:val="24"/>
        </w:rPr>
        <w:t xml:space="preserve"> įvykių naktį padarė viską, ką galėjo, kad būtų padaryta kuo mažesnė žala. Tiesiogiai prieštarauti vadams jis negalėjo, nes už priesaikos sulaužymą būtų buvęs nuteistas griežta bausme. Šių aplinkybių kontekste gynėjas atkreipia dėmesį ir į tai, kad </w:t>
      </w:r>
      <w:r w:rsidR="00C82C9D" w:rsidRPr="00E76E89">
        <w:rPr>
          <w:szCs w:val="24"/>
        </w:rPr>
        <w:t>V. S. 4</w:t>
      </w:r>
      <w:r w:rsidR="000239A2" w:rsidRPr="00E76E89">
        <w:rPr>
          <w:szCs w:val="24"/>
        </w:rPr>
        <w:t>,</w:t>
      </w:r>
      <w:r w:rsidRPr="00E76E89">
        <w:rPr>
          <w:szCs w:val="24"/>
        </w:rPr>
        <w:t xml:space="preserve"> net ir turėdamas majoro laipsnį, nebuvo partinis, o tai rodo, kad jis nepasižymėjo lojalumu TSRS valdžiai.</w:t>
      </w:r>
      <w:r w:rsidR="008434B8" w:rsidRPr="00E76E89">
        <w:rPr>
          <w:szCs w:val="24"/>
        </w:rPr>
        <w:t xml:space="preserve"> </w:t>
      </w:r>
    </w:p>
    <w:p w:rsidR="000239A2" w:rsidRPr="00E76E89" w:rsidRDefault="00AA29F8" w:rsidP="00321748">
      <w:pPr>
        <w:pStyle w:val="ListParagraph"/>
        <w:numPr>
          <w:ilvl w:val="1"/>
          <w:numId w:val="6"/>
        </w:numPr>
        <w:spacing w:after="120"/>
        <w:ind w:left="992" w:hanging="992"/>
        <w:contextualSpacing w:val="0"/>
      </w:pPr>
      <w:r w:rsidRPr="00E76E89">
        <w:rPr>
          <w:szCs w:val="24"/>
        </w:rPr>
        <w:t>Nuteistojo gynėjo teigimu, teismas, remdamasis tik spėjimais, o ne įrodymais</w:t>
      </w:r>
      <w:r w:rsidR="00C77D4E" w:rsidRPr="00E76E89">
        <w:rPr>
          <w:szCs w:val="24"/>
        </w:rPr>
        <w:t>,</w:t>
      </w:r>
      <w:r w:rsidRPr="00E76E89">
        <w:rPr>
          <w:szCs w:val="24"/>
        </w:rPr>
        <w:t xml:space="preserve"> ir taip pažeisdamas nekaltumo prezumpcijos principą, padarė išvadą ir dėl to, kad </w:t>
      </w:r>
      <w:r w:rsidR="00C82C9D" w:rsidRPr="00E76E89">
        <w:rPr>
          <w:szCs w:val="24"/>
        </w:rPr>
        <w:t>V. S. 4</w:t>
      </w:r>
      <w:r w:rsidRPr="00E76E89">
        <w:rPr>
          <w:szCs w:val="24"/>
        </w:rPr>
        <w:t xml:space="preserve"> buvo žinoma apie Lietuvos aneksiją 1940 m. ir apie Lietuvos nepriklausomybės atkūrimą 1990</w:t>
      </w:r>
      <w:r w:rsidR="00C77D4E" w:rsidRPr="00E76E89">
        <w:rPr>
          <w:szCs w:val="24"/>
        </w:rPr>
        <w:t> </w:t>
      </w:r>
      <w:r w:rsidRPr="00E76E89">
        <w:rPr>
          <w:szCs w:val="24"/>
        </w:rPr>
        <w:t>m.</w:t>
      </w:r>
    </w:p>
    <w:p w:rsidR="00AA29F8" w:rsidRPr="00E76E89" w:rsidRDefault="00AA29F8" w:rsidP="00321748">
      <w:pPr>
        <w:pStyle w:val="ListParagraph"/>
        <w:numPr>
          <w:ilvl w:val="1"/>
          <w:numId w:val="6"/>
        </w:numPr>
        <w:spacing w:after="120"/>
        <w:ind w:left="992" w:hanging="992"/>
        <w:contextualSpacing w:val="0"/>
      </w:pPr>
      <w:r w:rsidRPr="00E76E89">
        <w:rPr>
          <w:szCs w:val="24"/>
        </w:rPr>
        <w:t xml:space="preserve">Gynėjo vertinimu, </w:t>
      </w:r>
      <w:r w:rsidR="00C82C9D" w:rsidRPr="00E76E89">
        <w:rPr>
          <w:szCs w:val="24"/>
        </w:rPr>
        <w:t>V. S. 4</w:t>
      </w:r>
      <w:r w:rsidRPr="00E76E89">
        <w:rPr>
          <w:szCs w:val="24"/>
        </w:rPr>
        <w:t xml:space="preserve"> nepagrįstai buvo inkriminuotas ir veikimas bendrininkų grupe, kadangi </w:t>
      </w:r>
      <w:r w:rsidR="00C82C9D" w:rsidRPr="00E76E89">
        <w:rPr>
          <w:szCs w:val="24"/>
        </w:rPr>
        <w:t>V. S. 4</w:t>
      </w:r>
      <w:r w:rsidRPr="00E76E89">
        <w:rPr>
          <w:szCs w:val="24"/>
        </w:rPr>
        <w:t xml:space="preserve"> visada veikė kaip savo šaliai priesaiką davęs karys, laikydamasis karinio pavaldumo taisyklių bei karinio statuto, o ne veikdamas bendrininkų grupe. Duomenų apie tai, kad kuris nors karinis dalinys Vilniuje būtų veikęs savarankiškai ir neklausęs vadovybės, byloje nėra.</w:t>
      </w:r>
      <w:r w:rsidR="008434B8" w:rsidRPr="00E76E89">
        <w:rPr>
          <w:szCs w:val="24"/>
        </w:rPr>
        <w:t xml:space="preserve"> </w:t>
      </w:r>
    </w:p>
    <w:p w:rsidR="00A874C1" w:rsidRPr="00C00255" w:rsidRDefault="00A874C1" w:rsidP="00321748">
      <w:pPr>
        <w:pStyle w:val="ListParagraph"/>
        <w:numPr>
          <w:ilvl w:val="0"/>
          <w:numId w:val="6"/>
        </w:numPr>
        <w:spacing w:before="120" w:after="120"/>
        <w:ind w:left="992" w:hanging="992"/>
        <w:contextualSpacing w:val="0"/>
        <w:rPr>
          <w:szCs w:val="24"/>
        </w:rPr>
      </w:pPr>
      <w:bookmarkStart w:id="120" w:name="_Toc37947869"/>
      <w:bookmarkStart w:id="121" w:name="_Toc67677348"/>
      <w:bookmarkStart w:id="122" w:name="_Toc67985475"/>
      <w:r w:rsidRPr="00D43DF2">
        <w:rPr>
          <w:b/>
        </w:rPr>
        <w:t xml:space="preserve">Nuteistojo </w:t>
      </w:r>
      <w:r w:rsidR="00C82C9D" w:rsidRPr="00D43DF2">
        <w:rPr>
          <w:b/>
        </w:rPr>
        <w:t>V. Š. 3</w:t>
      </w:r>
      <w:r w:rsidRPr="00D43DF2">
        <w:rPr>
          <w:b/>
        </w:rPr>
        <w:t xml:space="preserve"> gynėja</w:t>
      </w:r>
      <w:bookmarkEnd w:id="120"/>
      <w:bookmarkEnd w:id="121"/>
      <w:bookmarkEnd w:id="122"/>
      <w:r w:rsidRPr="00D43DF2">
        <w:rPr>
          <w:b/>
          <w:sz w:val="22"/>
          <w:szCs w:val="24"/>
        </w:rPr>
        <w:t xml:space="preserve"> </w:t>
      </w:r>
      <w:r w:rsidRPr="00D43DF2">
        <w:rPr>
          <w:b/>
          <w:szCs w:val="24"/>
        </w:rPr>
        <w:t>advokatė I. M. Vaitiekaitienė</w:t>
      </w:r>
      <w:r w:rsidRPr="00C00255">
        <w:rPr>
          <w:szCs w:val="24"/>
        </w:rPr>
        <w:t xml:space="preserve"> apeliaciniu skundu prašo panaikinti pirmosios instancijos teismo nuosprendį ir jos ginamąjį išteisinti. </w:t>
      </w:r>
    </w:p>
    <w:p w:rsidR="00A874C1" w:rsidRPr="00E76E89" w:rsidRDefault="00A874C1" w:rsidP="00321748">
      <w:pPr>
        <w:pStyle w:val="ListParagraph"/>
        <w:numPr>
          <w:ilvl w:val="1"/>
          <w:numId w:val="6"/>
        </w:numPr>
        <w:spacing w:before="120" w:after="120"/>
        <w:ind w:left="992" w:hanging="992"/>
        <w:contextualSpacing w:val="0"/>
        <w:rPr>
          <w:szCs w:val="24"/>
        </w:rPr>
      </w:pPr>
      <w:r w:rsidRPr="00E76E89">
        <w:rPr>
          <w:szCs w:val="24"/>
        </w:rPr>
        <w:t xml:space="preserve">Byloje nėra jokių įrodymų, kad </w:t>
      </w:r>
      <w:r w:rsidR="00C82C9D" w:rsidRPr="00E76E89">
        <w:rPr>
          <w:szCs w:val="24"/>
        </w:rPr>
        <w:t>V. Š. 3</w:t>
      </w:r>
      <w:r w:rsidRPr="00E76E89">
        <w:rPr>
          <w:szCs w:val="24"/>
        </w:rPr>
        <w:t xml:space="preserve"> kartu su TSRS ginkluotų</w:t>
      </w:r>
      <w:r w:rsidR="00110172" w:rsidRPr="00E76E89">
        <w:rPr>
          <w:szCs w:val="24"/>
        </w:rPr>
        <w:t>jų</w:t>
      </w:r>
      <w:r w:rsidR="00055C65" w:rsidRPr="00E76E89">
        <w:rPr>
          <w:szCs w:val="24"/>
        </w:rPr>
        <w:t xml:space="preserve"> pajėgų, TSRS </w:t>
      </w:r>
      <w:r w:rsidRPr="00E76E89">
        <w:rPr>
          <w:szCs w:val="24"/>
        </w:rPr>
        <w:t>VRM ir TSRS VSK (KGB) jėgos struktūrų vyriausiąja vadovybe politiniais tikslais siekė Lietuvą grąžinti į TSRS sudėtį ir tęsti Lietuvos okupaci</w:t>
      </w:r>
      <w:r w:rsidR="00055C65" w:rsidRPr="00E76E89">
        <w:rPr>
          <w:szCs w:val="24"/>
        </w:rPr>
        <w:t>ją bei aneksiją, dėl to 1991 m. </w:t>
      </w:r>
      <w:r w:rsidRPr="00E76E89">
        <w:rPr>
          <w:szCs w:val="24"/>
        </w:rPr>
        <w:t>Lietuvoje dideliu mastu ir sistemingai užpuldinėjo civilius gyventojus, juos žudė, žalojo, užgrobė Lietuvai svarbius objektus, juos suniokojo</w:t>
      </w:r>
      <w:r w:rsidR="00055C65" w:rsidRPr="00E76E89">
        <w:rPr>
          <w:szCs w:val="24"/>
        </w:rPr>
        <w:t xml:space="preserve"> ir laikė užgrobtus iki 1991 m. </w:t>
      </w:r>
      <w:r w:rsidRPr="00E76E89">
        <w:rPr>
          <w:szCs w:val="24"/>
        </w:rPr>
        <w:t xml:space="preserve">rugpjūčio mėn. </w:t>
      </w:r>
    </w:p>
    <w:p w:rsidR="00A874C1" w:rsidRPr="00E76E89" w:rsidRDefault="00A874C1" w:rsidP="00321748">
      <w:pPr>
        <w:pStyle w:val="ListParagraph"/>
        <w:numPr>
          <w:ilvl w:val="1"/>
          <w:numId w:val="6"/>
        </w:numPr>
        <w:spacing w:before="120" w:after="120"/>
        <w:ind w:left="992" w:hanging="992"/>
        <w:contextualSpacing w:val="0"/>
        <w:rPr>
          <w:szCs w:val="24"/>
        </w:rPr>
      </w:pPr>
      <w:r w:rsidRPr="00E76E89">
        <w:rPr>
          <w:szCs w:val="24"/>
        </w:rPr>
        <w:t xml:space="preserve">Gynėja skunde cituoja </w:t>
      </w:r>
      <w:r w:rsidR="00C82C9D" w:rsidRPr="00E76E89">
        <w:rPr>
          <w:szCs w:val="24"/>
        </w:rPr>
        <w:t>V. Š. 3</w:t>
      </w:r>
      <w:r w:rsidRPr="00E76E89">
        <w:rPr>
          <w:szCs w:val="24"/>
        </w:rPr>
        <w:t>, kaip liudytojo</w:t>
      </w:r>
      <w:r w:rsidR="00302023" w:rsidRPr="00E76E89">
        <w:rPr>
          <w:szCs w:val="24"/>
        </w:rPr>
        <w:t>,</w:t>
      </w:r>
      <w:r w:rsidRPr="00E76E89">
        <w:rPr>
          <w:szCs w:val="24"/>
        </w:rPr>
        <w:t xml:space="preserve"> duotus parodymus, iš kurių matyti, kad jos ginamasis vykdė vienkartinę užduotį – tankų kolonos sudėtyje važiuoti </w:t>
      </w:r>
      <w:r w:rsidR="00DE3B19" w:rsidRPr="00E76E89">
        <w:rPr>
          <w:szCs w:val="24"/>
        </w:rPr>
        <w:t xml:space="preserve">TV </w:t>
      </w:r>
      <w:r w:rsidRPr="00E76E89">
        <w:rPr>
          <w:szCs w:val="24"/>
        </w:rPr>
        <w:t xml:space="preserve">bokšto </w:t>
      </w:r>
      <w:r w:rsidR="00302023" w:rsidRPr="00E76E89">
        <w:rPr>
          <w:szCs w:val="24"/>
        </w:rPr>
        <w:t xml:space="preserve">link </w:t>
      </w:r>
      <w:r w:rsidRPr="00E76E89">
        <w:rPr>
          <w:szCs w:val="24"/>
        </w:rPr>
        <w:t>ir užtikrinti priėjimą prie bokšto desantininkams, kad šie galėtų įvykdyti savo užduotį. Kokia buvo užduotis, jis nežinojo. Taigi jam nebuvo žinomas TSRS karinės ir politinės vadovybės planas Lietuvos atžvilgiu.</w:t>
      </w:r>
    </w:p>
    <w:p w:rsidR="00A874C1" w:rsidRPr="00E76E89" w:rsidRDefault="00A874C1" w:rsidP="00321748">
      <w:pPr>
        <w:pStyle w:val="ListParagraph"/>
        <w:numPr>
          <w:ilvl w:val="1"/>
          <w:numId w:val="6"/>
        </w:numPr>
        <w:spacing w:before="120" w:after="120"/>
        <w:ind w:left="992" w:hanging="992"/>
        <w:contextualSpacing w:val="0"/>
        <w:rPr>
          <w:szCs w:val="24"/>
        </w:rPr>
      </w:pPr>
      <w:r w:rsidRPr="00E76E89">
        <w:rPr>
          <w:szCs w:val="24"/>
        </w:rPr>
        <w:t xml:space="preserve">Iš </w:t>
      </w:r>
      <w:r w:rsidR="00C82C9D" w:rsidRPr="00E76E89">
        <w:rPr>
          <w:szCs w:val="24"/>
        </w:rPr>
        <w:t>V. Š. 3</w:t>
      </w:r>
      <w:r w:rsidRPr="00E76E89">
        <w:rPr>
          <w:szCs w:val="24"/>
        </w:rPr>
        <w:t xml:space="preserve"> parodymų taip pat matyti, kad vykdant užduotį jam ir jo tanko įgulos nariams buvo uždrausta naudoti šaunamuosius ginklus. Karininkai galėjo šaudyti tik tuščiais artilerijos </w:t>
      </w:r>
      <w:r w:rsidRPr="00E76E89">
        <w:rPr>
          <w:szCs w:val="24"/>
        </w:rPr>
        <w:lastRenderedPageBreak/>
        <w:t>šoviniais, pakėl</w:t>
      </w:r>
      <w:r w:rsidR="00302023" w:rsidRPr="00E76E89">
        <w:rPr>
          <w:szCs w:val="24"/>
        </w:rPr>
        <w:t>ę</w:t>
      </w:r>
      <w:r w:rsidRPr="00E76E89">
        <w:rPr>
          <w:szCs w:val="24"/>
        </w:rPr>
        <w:t xml:space="preserve"> tanko pabūklo vamzdį </w:t>
      </w:r>
      <w:r w:rsidR="006910C5" w:rsidRPr="00E76E89">
        <w:rPr>
          <w:szCs w:val="24"/>
        </w:rPr>
        <w:t>aukščiausiu</w:t>
      </w:r>
      <w:r w:rsidRPr="00E76E89">
        <w:rPr>
          <w:szCs w:val="24"/>
        </w:rPr>
        <w:t xml:space="preserve"> kampu ir tik gav</w:t>
      </w:r>
      <w:r w:rsidR="00302023" w:rsidRPr="00E76E89">
        <w:rPr>
          <w:szCs w:val="24"/>
        </w:rPr>
        <w:t>ę</w:t>
      </w:r>
      <w:r w:rsidRPr="00E76E89">
        <w:rPr>
          <w:szCs w:val="24"/>
        </w:rPr>
        <w:t xml:space="preserve"> dalinio vadovo įsakymą. Įsakymo žaloti ir žudyti civilius niekas nedavė. </w:t>
      </w:r>
      <w:r w:rsidR="006910C5" w:rsidRPr="00E76E89">
        <w:rPr>
          <w:szCs w:val="24"/>
        </w:rPr>
        <w:t>Kai g</w:t>
      </w:r>
      <w:r w:rsidRPr="00E76E89">
        <w:rPr>
          <w:szCs w:val="24"/>
        </w:rPr>
        <w:t>av</w:t>
      </w:r>
      <w:r w:rsidR="006910C5" w:rsidRPr="00E76E89">
        <w:rPr>
          <w:szCs w:val="24"/>
        </w:rPr>
        <w:t>o</w:t>
      </w:r>
      <w:r w:rsidRPr="00E76E89">
        <w:rPr>
          <w:szCs w:val="24"/>
        </w:rPr>
        <w:t xml:space="preserve"> pulko vado įsakymą, jo tankas išlaužė </w:t>
      </w:r>
      <w:r w:rsidR="00DE3B19" w:rsidRPr="00E76E89">
        <w:rPr>
          <w:szCs w:val="24"/>
        </w:rPr>
        <w:t>TV</w:t>
      </w:r>
      <w:r w:rsidRPr="00E76E89">
        <w:rPr>
          <w:szCs w:val="24"/>
        </w:rPr>
        <w:t xml:space="preserve"> bokšto teritoriją juosiančią tvorą rytų pusėje ir du kartus iššovė į viršų išmušamaisiais užtaisais, dėl </w:t>
      </w:r>
      <w:r w:rsidR="00302023" w:rsidRPr="00E76E89">
        <w:rPr>
          <w:szCs w:val="24"/>
        </w:rPr>
        <w:t xml:space="preserve">to </w:t>
      </w:r>
      <w:r w:rsidRPr="00E76E89">
        <w:rPr>
          <w:szCs w:val="24"/>
        </w:rPr>
        <w:t xml:space="preserve">žmonės ėmė trauktis nuo bokšto, o desantininkai veržėsi prie jo. Dėl tokių veiksmų </w:t>
      </w:r>
      <w:r w:rsidR="00DE3B19" w:rsidRPr="00E76E89">
        <w:rPr>
          <w:szCs w:val="24"/>
        </w:rPr>
        <w:t>TV</w:t>
      </w:r>
      <w:r w:rsidRPr="00E76E89">
        <w:rPr>
          <w:szCs w:val="24"/>
        </w:rPr>
        <w:t xml:space="preserve"> bokštą gynusiems asmenims galėjo būti padaryti nežymūs sveikatos sutrikdymai. </w:t>
      </w:r>
      <w:r w:rsidR="00C82C9D" w:rsidRPr="00E76E89">
        <w:rPr>
          <w:szCs w:val="24"/>
        </w:rPr>
        <w:t>V. Š. 3</w:t>
      </w:r>
      <w:r w:rsidRPr="00E76E89">
        <w:rPr>
          <w:szCs w:val="24"/>
        </w:rPr>
        <w:t xml:space="preserve"> neturėjo tiesioginės tyčios sužaloti žmones, tačiau galėjo numatyti, kad</w:t>
      </w:r>
      <w:r w:rsidR="00DA46CB" w:rsidRPr="00E76E89">
        <w:rPr>
          <w:szCs w:val="24"/>
        </w:rPr>
        <w:t>,</w:t>
      </w:r>
      <w:r w:rsidRPr="00E76E89">
        <w:rPr>
          <w:szCs w:val="24"/>
        </w:rPr>
        <w:t xml:space="preserve"> panaudojus užtaisus, bus sužaloti žmonės. Būtent dėl to jis turėtų atsakyti, tačiau ne pagal jam inkriminuojamus straipsnius.</w:t>
      </w:r>
    </w:p>
    <w:p w:rsidR="0012467A" w:rsidRPr="00E76E89" w:rsidRDefault="00A874C1" w:rsidP="00321748">
      <w:pPr>
        <w:pStyle w:val="ListParagraph"/>
        <w:numPr>
          <w:ilvl w:val="1"/>
          <w:numId w:val="6"/>
        </w:numPr>
        <w:spacing w:before="120" w:after="120"/>
        <w:ind w:left="992" w:hanging="992"/>
        <w:contextualSpacing w:val="0"/>
        <w:rPr>
          <w:rStyle w:val="CharStyle5"/>
          <w:szCs w:val="24"/>
          <w:shd w:val="clear" w:color="auto" w:fill="auto"/>
        </w:rPr>
      </w:pPr>
      <w:r w:rsidRPr="00E76E89">
        <w:rPr>
          <w:rStyle w:val="CharStyle5"/>
          <w:color w:val="000000"/>
          <w:szCs w:val="24"/>
          <w:lang w:eastAsia="lt-LT"/>
        </w:rPr>
        <w:t xml:space="preserve">Už BK </w:t>
      </w:r>
      <w:r w:rsidRPr="00E76E89">
        <w:rPr>
          <w:rStyle w:val="CharStyle5"/>
          <w:color w:val="000000"/>
          <w:szCs w:val="24"/>
        </w:rPr>
        <w:t xml:space="preserve">100 </w:t>
      </w:r>
      <w:r w:rsidRPr="00E76E89">
        <w:rPr>
          <w:rStyle w:val="CharStyle5"/>
          <w:color w:val="000000"/>
          <w:szCs w:val="24"/>
          <w:lang w:eastAsia="lt-LT"/>
        </w:rPr>
        <w:t xml:space="preserve">straipsnyje, </w:t>
      </w:r>
      <w:r w:rsidRPr="00E76E89">
        <w:rPr>
          <w:rStyle w:val="CharStyle5"/>
          <w:color w:val="000000"/>
          <w:szCs w:val="24"/>
        </w:rPr>
        <w:t xml:space="preserve">101 </w:t>
      </w:r>
      <w:r w:rsidRPr="00E76E89">
        <w:rPr>
          <w:rStyle w:val="CharStyle5"/>
          <w:color w:val="000000"/>
          <w:szCs w:val="24"/>
          <w:lang w:eastAsia="lt-LT"/>
        </w:rPr>
        <w:t xml:space="preserve">straipsnyje, </w:t>
      </w:r>
      <w:r w:rsidRPr="00E76E89">
        <w:rPr>
          <w:rStyle w:val="CharStyle5"/>
          <w:color w:val="000000"/>
          <w:szCs w:val="24"/>
        </w:rPr>
        <w:t xml:space="preserve">103 </w:t>
      </w:r>
      <w:r w:rsidRPr="00E76E89">
        <w:rPr>
          <w:rStyle w:val="CharStyle5"/>
          <w:color w:val="000000"/>
          <w:szCs w:val="24"/>
          <w:lang w:eastAsia="lt-LT"/>
        </w:rPr>
        <w:t>straipsnyje, 111</w:t>
      </w:r>
      <w:r w:rsidRPr="00E76E89">
        <w:rPr>
          <w:rStyle w:val="CharStyle5"/>
          <w:color w:val="000000"/>
          <w:szCs w:val="24"/>
        </w:rPr>
        <w:t xml:space="preserve"> </w:t>
      </w:r>
      <w:r w:rsidRPr="00E76E89">
        <w:rPr>
          <w:rStyle w:val="CharStyle5"/>
          <w:color w:val="000000"/>
          <w:szCs w:val="24"/>
          <w:lang w:eastAsia="lt-LT"/>
        </w:rPr>
        <w:t xml:space="preserve">straipsnio </w:t>
      </w:r>
      <w:r w:rsidRPr="00E76E89">
        <w:rPr>
          <w:rStyle w:val="CharStyle5"/>
          <w:color w:val="000000"/>
          <w:szCs w:val="24"/>
        </w:rPr>
        <w:t xml:space="preserve">1 </w:t>
      </w:r>
      <w:r w:rsidRPr="00E76E89">
        <w:rPr>
          <w:rStyle w:val="CharStyle5"/>
          <w:color w:val="000000"/>
          <w:szCs w:val="24"/>
          <w:lang w:eastAsia="lt-LT"/>
        </w:rPr>
        <w:t>dalyje, 112 straipsnyje numatytų nusikaltimų padarymą baudžiamoji atsakomybė numatyta tik po BK pakeitimų, priimtų 2011 m. (</w:t>
      </w:r>
      <w:r w:rsidRPr="00E76E89">
        <w:rPr>
          <w:rStyle w:val="CharStyle5"/>
          <w:color w:val="000000"/>
          <w:szCs w:val="24"/>
        </w:rPr>
        <w:t>2011 </w:t>
      </w:r>
      <w:r w:rsidR="006910C5" w:rsidRPr="00E76E89">
        <w:rPr>
          <w:rStyle w:val="CharStyle5"/>
          <w:color w:val="000000"/>
          <w:szCs w:val="24"/>
        </w:rPr>
        <w:t>m. </w:t>
      </w:r>
      <w:r w:rsidRPr="00E76E89">
        <w:rPr>
          <w:rStyle w:val="CharStyle5"/>
          <w:color w:val="000000"/>
          <w:szCs w:val="24"/>
          <w:lang w:eastAsia="lt-LT"/>
        </w:rPr>
        <w:t xml:space="preserve">kovo </w:t>
      </w:r>
      <w:r w:rsidRPr="00E76E89">
        <w:rPr>
          <w:rStyle w:val="CharStyle5"/>
          <w:color w:val="000000"/>
          <w:szCs w:val="24"/>
        </w:rPr>
        <w:t xml:space="preserve">22 </w:t>
      </w:r>
      <w:r w:rsidRPr="00E76E89">
        <w:rPr>
          <w:rStyle w:val="CharStyle5"/>
          <w:color w:val="000000"/>
          <w:szCs w:val="24"/>
          <w:lang w:eastAsia="lt-LT"/>
        </w:rPr>
        <w:t xml:space="preserve">d. įstatymo </w:t>
      </w:r>
      <w:r w:rsidRPr="00E76E89">
        <w:rPr>
          <w:rStyle w:val="CharStyle5"/>
          <w:color w:val="000000"/>
          <w:szCs w:val="24"/>
        </w:rPr>
        <w:t xml:space="preserve">Nr. </w:t>
      </w:r>
      <w:r w:rsidRPr="00E76E89">
        <w:rPr>
          <w:rStyle w:val="CharStyle5"/>
          <w:color w:val="000000"/>
          <w:szCs w:val="24"/>
          <w:lang w:eastAsia="lt-LT"/>
        </w:rPr>
        <w:t>XI</w:t>
      </w:r>
      <w:r w:rsidRPr="00E76E89">
        <w:rPr>
          <w:rStyle w:val="CharStyle5"/>
          <w:color w:val="000000"/>
          <w:szCs w:val="24"/>
        </w:rPr>
        <w:t xml:space="preserve">-1291, </w:t>
      </w:r>
      <w:r w:rsidRPr="00E76E89">
        <w:rPr>
          <w:rStyle w:val="CharStyle5"/>
          <w:color w:val="000000"/>
          <w:szCs w:val="24"/>
          <w:lang w:eastAsia="lt-LT"/>
        </w:rPr>
        <w:t xml:space="preserve">įsigaliojusio </w:t>
      </w:r>
      <w:r w:rsidRPr="00E76E89">
        <w:rPr>
          <w:rStyle w:val="CharStyle5"/>
          <w:color w:val="000000"/>
          <w:szCs w:val="24"/>
        </w:rPr>
        <w:t>2011 </w:t>
      </w:r>
      <w:r w:rsidRPr="00E76E89">
        <w:rPr>
          <w:rStyle w:val="CharStyle5"/>
          <w:color w:val="000000"/>
          <w:szCs w:val="24"/>
          <w:lang w:eastAsia="lt-LT"/>
        </w:rPr>
        <w:t xml:space="preserve">m. kovo 31 d., redakcija). Nusikalstamų veikų padarymo metu galiojo tik tarptautinės teisės papročiai ir tarptautinės teisės normos, </w:t>
      </w:r>
      <w:r w:rsidR="006910C5" w:rsidRPr="00E76E89">
        <w:rPr>
          <w:rStyle w:val="CharStyle5"/>
          <w:color w:val="000000"/>
          <w:szCs w:val="24"/>
          <w:lang w:eastAsia="lt-LT"/>
        </w:rPr>
        <w:t xml:space="preserve">kuriais </w:t>
      </w:r>
      <w:r w:rsidRPr="00E76E89">
        <w:rPr>
          <w:rStyle w:val="CharStyle5"/>
          <w:color w:val="000000"/>
          <w:szCs w:val="24"/>
          <w:lang w:eastAsia="lt-LT"/>
        </w:rPr>
        <w:t>draudžia</w:t>
      </w:r>
      <w:r w:rsidR="006910C5" w:rsidRPr="00E76E89">
        <w:rPr>
          <w:rStyle w:val="CharStyle5"/>
          <w:color w:val="000000"/>
          <w:szCs w:val="24"/>
          <w:lang w:eastAsia="lt-LT"/>
        </w:rPr>
        <w:t>mi</w:t>
      </w:r>
      <w:r w:rsidRPr="00E76E89">
        <w:rPr>
          <w:rStyle w:val="CharStyle5"/>
          <w:color w:val="000000"/>
          <w:szCs w:val="24"/>
          <w:lang w:eastAsia="lt-LT"/>
        </w:rPr>
        <w:t xml:space="preserve"> nusikaltim</w:t>
      </w:r>
      <w:r w:rsidR="006910C5" w:rsidRPr="00E76E89">
        <w:rPr>
          <w:rStyle w:val="CharStyle5"/>
          <w:color w:val="000000"/>
          <w:szCs w:val="24"/>
          <w:lang w:eastAsia="lt-LT"/>
        </w:rPr>
        <w:t>ai</w:t>
      </w:r>
      <w:r w:rsidRPr="00E76E89">
        <w:rPr>
          <w:rStyle w:val="CharStyle5"/>
          <w:color w:val="000000"/>
          <w:szCs w:val="24"/>
          <w:lang w:eastAsia="lt-LT"/>
        </w:rPr>
        <w:t xml:space="preserve"> žmoniškumui ir karo nusikaltim</w:t>
      </w:r>
      <w:r w:rsidR="006910C5" w:rsidRPr="00E76E89">
        <w:rPr>
          <w:rStyle w:val="CharStyle5"/>
          <w:color w:val="000000"/>
          <w:szCs w:val="24"/>
          <w:lang w:eastAsia="lt-LT"/>
        </w:rPr>
        <w:t>ai</w:t>
      </w:r>
      <w:r w:rsidRPr="00E76E89">
        <w:rPr>
          <w:rStyle w:val="CharStyle5"/>
          <w:color w:val="000000"/>
          <w:szCs w:val="24"/>
          <w:lang w:eastAsia="lt-LT"/>
        </w:rPr>
        <w:t xml:space="preserve">. Taigi būtina vadovautis </w:t>
      </w:r>
      <w:r w:rsidR="00302023" w:rsidRPr="00E76E89">
        <w:rPr>
          <w:rStyle w:val="CharStyle10"/>
          <w:color w:val="000000"/>
          <w:szCs w:val="24"/>
        </w:rPr>
        <w:t>nullum crimen sine lege</w:t>
      </w:r>
      <w:r w:rsidR="00302023" w:rsidRPr="00E76E89">
        <w:rPr>
          <w:rStyle w:val="CharStyle5"/>
          <w:color w:val="000000"/>
          <w:szCs w:val="24"/>
          <w:lang w:eastAsia="lt-LT"/>
        </w:rPr>
        <w:t xml:space="preserve"> (</w:t>
      </w:r>
      <w:r w:rsidRPr="00E76E89">
        <w:rPr>
          <w:rStyle w:val="CharStyle5"/>
          <w:color w:val="000000"/>
          <w:szCs w:val="24"/>
          <w:lang w:eastAsia="lt-LT"/>
        </w:rPr>
        <w:t>nėra nusikaltimo be įstatymo</w:t>
      </w:r>
      <w:r w:rsidR="00302023" w:rsidRPr="00E76E89">
        <w:rPr>
          <w:rStyle w:val="CharStyle5"/>
          <w:color w:val="000000"/>
          <w:szCs w:val="24"/>
          <w:lang w:eastAsia="lt-LT"/>
        </w:rPr>
        <w:t>)</w:t>
      </w:r>
      <w:r w:rsidRPr="00E76E89">
        <w:rPr>
          <w:rStyle w:val="CharStyle5"/>
          <w:color w:val="000000"/>
          <w:szCs w:val="24"/>
          <w:lang w:eastAsia="lt-LT"/>
        </w:rPr>
        <w:t xml:space="preserve"> </w:t>
      </w:r>
      <w:r w:rsidR="00302023" w:rsidRPr="00E76E89">
        <w:rPr>
          <w:rStyle w:val="CharStyle5"/>
          <w:color w:val="000000"/>
          <w:szCs w:val="24"/>
          <w:lang w:eastAsia="lt-LT"/>
        </w:rPr>
        <w:t>principu</w:t>
      </w:r>
      <w:r w:rsidRPr="00E76E89">
        <w:rPr>
          <w:rStyle w:val="CharStyle10"/>
          <w:i w:val="0"/>
          <w:color w:val="000000"/>
          <w:szCs w:val="24"/>
        </w:rPr>
        <w:t>,</w:t>
      </w:r>
      <w:r w:rsidRPr="00E76E89">
        <w:rPr>
          <w:rStyle w:val="CharStyle10"/>
          <w:color w:val="000000"/>
          <w:szCs w:val="24"/>
        </w:rPr>
        <w:t xml:space="preserve"> </w:t>
      </w:r>
      <w:r w:rsidRPr="00E76E89">
        <w:rPr>
          <w:rStyle w:val="CharStyle10"/>
          <w:i w:val="0"/>
          <w:color w:val="000000"/>
          <w:szCs w:val="24"/>
        </w:rPr>
        <w:t>kurio taikymo pagrįstumas gynėj</w:t>
      </w:r>
      <w:r w:rsidR="009D4423" w:rsidRPr="00E76E89">
        <w:rPr>
          <w:rStyle w:val="CharStyle10"/>
          <w:i w:val="0"/>
          <w:color w:val="000000"/>
          <w:szCs w:val="24"/>
        </w:rPr>
        <w:t>ai</w:t>
      </w:r>
      <w:r w:rsidRPr="00E76E89">
        <w:rPr>
          <w:rStyle w:val="CharStyle10"/>
          <w:i w:val="0"/>
          <w:color w:val="000000"/>
          <w:szCs w:val="24"/>
        </w:rPr>
        <w:t xml:space="preserve"> kelia abejon</w:t>
      </w:r>
      <w:r w:rsidR="00302023" w:rsidRPr="00E76E89">
        <w:rPr>
          <w:rStyle w:val="CharStyle10"/>
          <w:i w:val="0"/>
          <w:color w:val="000000"/>
          <w:szCs w:val="24"/>
        </w:rPr>
        <w:t>ių</w:t>
      </w:r>
      <w:r w:rsidRPr="00E76E89">
        <w:rPr>
          <w:rStyle w:val="CharStyle5"/>
          <w:i/>
          <w:color w:val="000000"/>
          <w:szCs w:val="24"/>
          <w:lang w:eastAsia="lt-LT"/>
        </w:rPr>
        <w:t>.</w:t>
      </w:r>
      <w:r w:rsidRPr="00E76E89">
        <w:rPr>
          <w:rStyle w:val="CharStyle5"/>
          <w:color w:val="000000"/>
          <w:szCs w:val="24"/>
          <w:lang w:eastAsia="lt-LT"/>
        </w:rPr>
        <w:t xml:space="preserve"> Pasak gynėjo</w:t>
      </w:r>
      <w:r w:rsidR="009D4423" w:rsidRPr="00E76E89">
        <w:rPr>
          <w:rStyle w:val="CharStyle5"/>
          <w:color w:val="000000"/>
          <w:szCs w:val="24"/>
          <w:lang w:eastAsia="lt-LT"/>
        </w:rPr>
        <w:t>s</w:t>
      </w:r>
      <w:r w:rsidRPr="00E76E89">
        <w:rPr>
          <w:rStyle w:val="CharStyle5"/>
          <w:color w:val="000000"/>
          <w:szCs w:val="24"/>
          <w:lang w:eastAsia="lt-LT"/>
        </w:rPr>
        <w:t xml:space="preserve">, veikos nusikalstamumą ir asmens baudžiamumą nustato veikos padarymo metu galiojęs baudžiamasis įstatymas. Dėl to </w:t>
      </w:r>
      <w:r w:rsidR="00C82C9D" w:rsidRPr="00E76E89">
        <w:rPr>
          <w:rStyle w:val="CharStyle5"/>
          <w:color w:val="000000"/>
          <w:szCs w:val="24"/>
          <w:lang w:eastAsia="lt-LT"/>
        </w:rPr>
        <w:t>V. Š. 3</w:t>
      </w:r>
      <w:r w:rsidRPr="00E76E89">
        <w:rPr>
          <w:rStyle w:val="CharStyle5"/>
          <w:color w:val="000000"/>
          <w:szCs w:val="24"/>
          <w:lang w:eastAsia="lt-LT"/>
        </w:rPr>
        <w:t xml:space="preserve"> nepagrįstai nuteistas už nusi</w:t>
      </w:r>
      <w:r w:rsidR="00244308" w:rsidRPr="00E76E89">
        <w:rPr>
          <w:rStyle w:val="CharStyle5"/>
          <w:color w:val="000000"/>
          <w:szCs w:val="24"/>
          <w:lang w:eastAsia="lt-LT"/>
        </w:rPr>
        <w:t>kaltimus, už kuriuos baudžiamoji</w:t>
      </w:r>
      <w:r w:rsidRPr="00E76E89">
        <w:rPr>
          <w:rStyle w:val="CharStyle5"/>
          <w:color w:val="000000"/>
          <w:szCs w:val="24"/>
          <w:lang w:eastAsia="lt-LT"/>
        </w:rPr>
        <w:t xml:space="preserve"> atsakomybė numatyta daug vėliau.</w:t>
      </w:r>
    </w:p>
    <w:p w:rsidR="00A874C1" w:rsidRPr="00E76E89" w:rsidRDefault="00A874C1" w:rsidP="00321748">
      <w:pPr>
        <w:pStyle w:val="ListParagraph"/>
        <w:numPr>
          <w:ilvl w:val="1"/>
          <w:numId w:val="6"/>
        </w:numPr>
        <w:spacing w:before="120" w:after="120"/>
        <w:ind w:left="992" w:hanging="992"/>
        <w:contextualSpacing w:val="0"/>
        <w:rPr>
          <w:szCs w:val="24"/>
        </w:rPr>
      </w:pPr>
      <w:r w:rsidRPr="00E76E89">
        <w:rPr>
          <w:szCs w:val="24"/>
        </w:rPr>
        <w:t xml:space="preserve">Iki 1998 m. </w:t>
      </w:r>
      <w:r w:rsidR="00C96771" w:rsidRPr="00E76E89">
        <w:rPr>
          <w:szCs w:val="24"/>
        </w:rPr>
        <w:t>Lietuvos Respublikos baudžiamajame įstatyme</w:t>
      </w:r>
      <w:r w:rsidRPr="00E76E89">
        <w:rPr>
          <w:szCs w:val="24"/>
        </w:rPr>
        <w:t xml:space="preserve"> nebuvo normos dėl baudžiamojo įstatymo grįžtamosios galios taikymo išimčių (dabar galiojančio BK 3 straipsnio 3 dalis). Romos statut</w:t>
      </w:r>
      <w:r w:rsidR="00DA46CB" w:rsidRPr="00E76E89">
        <w:rPr>
          <w:szCs w:val="24"/>
        </w:rPr>
        <w:t>e</w:t>
      </w:r>
      <w:r w:rsidR="0012467A" w:rsidRPr="00E76E89">
        <w:rPr>
          <w:szCs w:val="24"/>
        </w:rPr>
        <w:t>, priimta</w:t>
      </w:r>
      <w:r w:rsidR="00DA46CB" w:rsidRPr="00E76E89">
        <w:rPr>
          <w:szCs w:val="24"/>
        </w:rPr>
        <w:t>me</w:t>
      </w:r>
      <w:r w:rsidR="0012467A" w:rsidRPr="00E76E89">
        <w:rPr>
          <w:szCs w:val="24"/>
        </w:rPr>
        <w:t xml:space="preserve"> 1998 m. liepos 17 d., nustat</w:t>
      </w:r>
      <w:r w:rsidR="00DA46CB" w:rsidRPr="00E76E89">
        <w:rPr>
          <w:szCs w:val="24"/>
        </w:rPr>
        <w:t>yta</w:t>
      </w:r>
      <w:r w:rsidRPr="00E76E89">
        <w:rPr>
          <w:szCs w:val="24"/>
        </w:rPr>
        <w:t xml:space="preserve"> </w:t>
      </w:r>
      <w:r w:rsidR="0042306C" w:rsidRPr="00E76E89">
        <w:rPr>
          <w:szCs w:val="24"/>
        </w:rPr>
        <w:t>TBT</w:t>
      </w:r>
      <w:r w:rsidRPr="00E76E89">
        <w:rPr>
          <w:szCs w:val="24"/>
        </w:rPr>
        <w:t xml:space="preserve"> jurisdikcij</w:t>
      </w:r>
      <w:r w:rsidR="00DA46CB" w:rsidRPr="00E76E89">
        <w:rPr>
          <w:szCs w:val="24"/>
        </w:rPr>
        <w:t>a</w:t>
      </w:r>
      <w:r w:rsidRPr="00E76E89">
        <w:rPr>
          <w:szCs w:val="24"/>
        </w:rPr>
        <w:t xml:space="preserve"> už genocidą, karo nusikaltimus, naikinimą, pavergimą ir t.</w:t>
      </w:r>
      <w:r w:rsidR="00302023" w:rsidRPr="00E76E89">
        <w:rPr>
          <w:szCs w:val="24"/>
        </w:rPr>
        <w:t> </w:t>
      </w:r>
      <w:r w:rsidRPr="00E76E89">
        <w:rPr>
          <w:szCs w:val="24"/>
        </w:rPr>
        <w:t xml:space="preserve">t., tačiau Romos statutą Lietuva ratifikavo tik 2003 m. balandžio 1 d. ir tik </w:t>
      </w:r>
      <w:r w:rsidR="00DA46CB" w:rsidRPr="00E76E89">
        <w:rPr>
          <w:szCs w:val="24"/>
        </w:rPr>
        <w:t>tada</w:t>
      </w:r>
      <w:r w:rsidRPr="00E76E89">
        <w:rPr>
          <w:szCs w:val="24"/>
        </w:rPr>
        <w:t xml:space="preserve"> šis tarptautinis teisės aktas tapo sudedamąja Lietuvos Respublikos teisinės sistemos dalimi. Ratifikuotos tarptautinės teisės normos įgyja tiesioginio taikymo galią ir turi viršenybę prieš nacionalinės teisės normas. Romos statuto 24</w:t>
      </w:r>
      <w:r w:rsidR="00302023" w:rsidRPr="00E76E89">
        <w:rPr>
          <w:szCs w:val="24"/>
        </w:rPr>
        <w:t> </w:t>
      </w:r>
      <w:r w:rsidRPr="00E76E89">
        <w:rPr>
          <w:szCs w:val="24"/>
        </w:rPr>
        <w:t>straipsnyje įtvirtintas grįžtamo</w:t>
      </w:r>
      <w:r w:rsidR="00C96771" w:rsidRPr="00E76E89">
        <w:rPr>
          <w:szCs w:val="24"/>
        </w:rPr>
        <w:t>sios galios nebuvimo principas (</w:t>
      </w:r>
      <w:r w:rsidRPr="00E76E89">
        <w:rPr>
          <w:i/>
          <w:szCs w:val="24"/>
        </w:rPr>
        <w:t xml:space="preserve">ratione personale), </w:t>
      </w:r>
      <w:r w:rsidRPr="00E76E89">
        <w:rPr>
          <w:szCs w:val="24"/>
        </w:rPr>
        <w:t>o tai reiškia, kad „niekas baudžiamąja tvarka neatsako už elgesį iki Statuto įsigaliojimo“, t.</w:t>
      </w:r>
      <w:r w:rsidR="00302023" w:rsidRPr="00E76E89">
        <w:rPr>
          <w:szCs w:val="24"/>
        </w:rPr>
        <w:t> </w:t>
      </w:r>
      <w:r w:rsidRPr="00E76E89">
        <w:rPr>
          <w:szCs w:val="24"/>
        </w:rPr>
        <w:t xml:space="preserve">y. jo normos gali būti taikomos tik ateityje. </w:t>
      </w:r>
    </w:p>
    <w:p w:rsidR="00A874C1" w:rsidRPr="00E76E89" w:rsidRDefault="00A874C1" w:rsidP="00321748">
      <w:pPr>
        <w:pStyle w:val="ListParagraph"/>
        <w:numPr>
          <w:ilvl w:val="1"/>
          <w:numId w:val="6"/>
        </w:numPr>
        <w:spacing w:before="120" w:after="120"/>
        <w:ind w:left="992" w:hanging="992"/>
        <w:contextualSpacing w:val="0"/>
        <w:rPr>
          <w:szCs w:val="24"/>
        </w:rPr>
      </w:pPr>
      <w:r w:rsidRPr="00E76E89">
        <w:rPr>
          <w:szCs w:val="24"/>
        </w:rPr>
        <w:t>Gynėja prašo vadovautis BK 7 straipsnio 1 dalimi, kurioje nustatyta, kad asmenys atsako pagal šį kodeksą, nesvarbu, &lt;...&gt; ar už padarytą veiką baudžiama pagal nusikaltimo padarymo įstatymus, kai padaro nusikaltimus, už kuriuos atsakomybė numatyta tarptautinių sutarčių pagrindu, t.</w:t>
      </w:r>
      <w:r w:rsidR="00D40DFB" w:rsidRPr="00E76E89">
        <w:rPr>
          <w:szCs w:val="24"/>
        </w:rPr>
        <w:t> </w:t>
      </w:r>
      <w:r w:rsidRPr="00E76E89">
        <w:rPr>
          <w:szCs w:val="24"/>
        </w:rPr>
        <w:t>y. šiuo atveju už nusikaltimus žmoniškumui ir karo nusikaltimus. 1945 m. birželio 26 d. įsteigtas Niurnbergo tarptautinis kar</w:t>
      </w:r>
      <w:r w:rsidR="0049485C" w:rsidRPr="00E76E89">
        <w:rPr>
          <w:szCs w:val="24"/>
        </w:rPr>
        <w:t>o</w:t>
      </w:r>
      <w:r w:rsidRPr="00E76E89">
        <w:rPr>
          <w:szCs w:val="24"/>
        </w:rPr>
        <w:t xml:space="preserve"> tribunolas Trečiojo Reicho kariškiams teisti už padarytus nusikaltimus taikai, karo nusikaltimus ir nusikaltimus žmoniškumui. </w:t>
      </w:r>
      <w:r w:rsidR="0049485C" w:rsidRPr="00E76E89">
        <w:rPr>
          <w:szCs w:val="24"/>
        </w:rPr>
        <w:t>Šis tribunolas</w:t>
      </w:r>
      <w:r w:rsidRPr="00E76E89">
        <w:rPr>
          <w:szCs w:val="24"/>
        </w:rPr>
        <w:t xml:space="preserve"> buvo skirtas tik Trečiojo Reicho aukščiausiojo rango kariškiams teisti. Pagal</w:t>
      </w:r>
      <w:r w:rsidR="00C96771" w:rsidRPr="00E76E89">
        <w:rPr>
          <w:szCs w:val="24"/>
        </w:rPr>
        <w:t xml:space="preserve"> šio t</w:t>
      </w:r>
      <w:r w:rsidRPr="00E76E89">
        <w:rPr>
          <w:szCs w:val="24"/>
        </w:rPr>
        <w:t>ribunolo įstatus gali būti teisiami tik tie asmenys, kurie pasiuntė karius vykdyti neteisėt</w:t>
      </w:r>
      <w:r w:rsidR="009D4423" w:rsidRPr="00E76E89">
        <w:rPr>
          <w:szCs w:val="24"/>
        </w:rPr>
        <w:t>ų</w:t>
      </w:r>
      <w:r w:rsidRPr="00E76E89">
        <w:rPr>
          <w:szCs w:val="24"/>
        </w:rPr>
        <w:t xml:space="preserve"> veiksm</w:t>
      </w:r>
      <w:r w:rsidR="009D4423" w:rsidRPr="00E76E89">
        <w:rPr>
          <w:szCs w:val="24"/>
        </w:rPr>
        <w:t>ų</w:t>
      </w:r>
      <w:r w:rsidRPr="00E76E89">
        <w:rPr>
          <w:szCs w:val="24"/>
        </w:rPr>
        <w:t xml:space="preserve">, o ne kariai, kurie vykdė šių asmenų </w:t>
      </w:r>
      <w:r w:rsidR="0049485C" w:rsidRPr="00E76E89">
        <w:rPr>
          <w:szCs w:val="24"/>
        </w:rPr>
        <w:t xml:space="preserve">nurodymus. Todėl sprendžiant </w:t>
      </w:r>
      <w:r w:rsidR="00C82C9D" w:rsidRPr="00E76E89">
        <w:rPr>
          <w:szCs w:val="24"/>
        </w:rPr>
        <w:t>V. Š. 3</w:t>
      </w:r>
      <w:r w:rsidRPr="00E76E89">
        <w:rPr>
          <w:szCs w:val="24"/>
        </w:rPr>
        <w:t xml:space="preserve"> baudžiamosios atsakomybės klausimą, būtina vadovau</w:t>
      </w:r>
      <w:r w:rsidR="009D4423" w:rsidRPr="00E76E89">
        <w:rPr>
          <w:szCs w:val="24"/>
        </w:rPr>
        <w:t>tis</w:t>
      </w:r>
      <w:r w:rsidRPr="00E76E89">
        <w:rPr>
          <w:szCs w:val="24"/>
        </w:rPr>
        <w:t xml:space="preserve"> minėto </w:t>
      </w:r>
      <w:r w:rsidR="00EC1D9A" w:rsidRPr="00E76E89">
        <w:rPr>
          <w:szCs w:val="24"/>
        </w:rPr>
        <w:t>Niurnbergo tribunolo statuto</w:t>
      </w:r>
      <w:r w:rsidRPr="00E76E89">
        <w:rPr>
          <w:szCs w:val="24"/>
        </w:rPr>
        <w:t xml:space="preserve"> nuostatomis ir atsižvelgti į pastarojo karinį laipsnį ir </w:t>
      </w:r>
      <w:r w:rsidR="00D40DFB" w:rsidRPr="00E76E89">
        <w:rPr>
          <w:szCs w:val="24"/>
        </w:rPr>
        <w:t>einamas</w:t>
      </w:r>
      <w:r w:rsidRPr="00E76E89">
        <w:rPr>
          <w:szCs w:val="24"/>
        </w:rPr>
        <w:t xml:space="preserve"> pareigas. Juo labiau kad nei ikiteisminis tyrimas, nei teismas nesiėmė veiksmų į kaltinamųjų sąrašą įtraukti TSRS prezidentą ir vyriaus</w:t>
      </w:r>
      <w:r w:rsidR="00B00A5F" w:rsidRPr="00E76E89">
        <w:rPr>
          <w:szCs w:val="24"/>
        </w:rPr>
        <w:t xml:space="preserve">iąjį ginkluotųjų pajėgų vadą </w:t>
      </w:r>
      <w:r w:rsidR="00DD1A27" w:rsidRPr="00E76E89">
        <w:rPr>
          <w:szCs w:val="24"/>
        </w:rPr>
        <w:t>M. G.</w:t>
      </w:r>
      <w:r w:rsidRPr="00E76E89">
        <w:rPr>
          <w:szCs w:val="24"/>
        </w:rPr>
        <w:t>, be kurio žinios 1991 m. sausio 13-osios įvykiai Vilniuje negalėjo įvykti.</w:t>
      </w:r>
    </w:p>
    <w:p w:rsidR="00A874C1" w:rsidRPr="00E76E89" w:rsidRDefault="00A874C1" w:rsidP="00321748">
      <w:pPr>
        <w:pStyle w:val="ListParagraph"/>
        <w:numPr>
          <w:ilvl w:val="0"/>
          <w:numId w:val="6"/>
        </w:numPr>
        <w:spacing w:before="120" w:after="120"/>
        <w:ind w:left="992" w:hanging="992"/>
        <w:contextualSpacing w:val="0"/>
        <w:rPr>
          <w:szCs w:val="24"/>
        </w:rPr>
      </w:pPr>
      <w:bookmarkStart w:id="123" w:name="_Toc37947870"/>
      <w:bookmarkStart w:id="124" w:name="_Toc67677349"/>
      <w:bookmarkStart w:id="125" w:name="_Toc67985476"/>
      <w:r w:rsidRPr="00D43DF2">
        <w:rPr>
          <w:b/>
        </w:rPr>
        <w:t xml:space="preserve">Nuteistojo </w:t>
      </w:r>
      <w:r w:rsidR="00C82C9D" w:rsidRPr="00D43DF2">
        <w:rPr>
          <w:b/>
        </w:rPr>
        <w:t>V. P.</w:t>
      </w:r>
      <w:r w:rsidRPr="00D43DF2">
        <w:rPr>
          <w:b/>
        </w:rPr>
        <w:t xml:space="preserve"> gynėjas</w:t>
      </w:r>
      <w:bookmarkEnd w:id="123"/>
      <w:bookmarkEnd w:id="124"/>
      <w:bookmarkEnd w:id="125"/>
      <w:r w:rsidRPr="00D43DF2">
        <w:rPr>
          <w:b/>
          <w:szCs w:val="24"/>
        </w:rPr>
        <w:t xml:space="preserve"> advokatas M. Girdiušas</w:t>
      </w:r>
      <w:r w:rsidRPr="00C00255">
        <w:rPr>
          <w:szCs w:val="24"/>
        </w:rPr>
        <w:t xml:space="preserve"> </w:t>
      </w:r>
      <w:r w:rsidRPr="00E76E89">
        <w:rPr>
          <w:szCs w:val="24"/>
        </w:rPr>
        <w:t xml:space="preserve">apeliaciniu skundu prašo </w:t>
      </w:r>
      <w:r w:rsidR="00BB560E" w:rsidRPr="00E76E89">
        <w:rPr>
          <w:szCs w:val="24"/>
        </w:rPr>
        <w:t xml:space="preserve">panaikinti </w:t>
      </w:r>
      <w:r w:rsidRPr="00E76E89">
        <w:rPr>
          <w:szCs w:val="24"/>
        </w:rPr>
        <w:t>pirmosios instancijos teismo nuosprendį, nuteistojo veiksmus perkvalifikuoti pagal nusikalt</w:t>
      </w:r>
      <w:r w:rsidR="00BB560E" w:rsidRPr="00E76E89">
        <w:rPr>
          <w:szCs w:val="24"/>
        </w:rPr>
        <w:t>imų padarymo metu galiojusius 1961 m. BK</w:t>
      </w:r>
      <w:r w:rsidRPr="00E76E89">
        <w:rPr>
          <w:szCs w:val="24"/>
        </w:rPr>
        <w:t xml:space="preserve"> straipsnius ir baudžiamąją bylą nutraukti, suėjus patraukimo baudžiamojon atsakomybėn senaties terminui.</w:t>
      </w:r>
      <w:r w:rsidR="00BB560E" w:rsidRPr="00E76E89">
        <w:rPr>
          <w:szCs w:val="24"/>
        </w:rPr>
        <w:t xml:space="preserve"> </w:t>
      </w:r>
    </w:p>
    <w:p w:rsidR="00A874C1" w:rsidRPr="00E76E89" w:rsidRDefault="00A874C1" w:rsidP="00321748">
      <w:pPr>
        <w:pStyle w:val="ListParagraph"/>
        <w:numPr>
          <w:ilvl w:val="1"/>
          <w:numId w:val="6"/>
        </w:numPr>
        <w:tabs>
          <w:tab w:val="left" w:pos="284"/>
        </w:tabs>
        <w:spacing w:before="120" w:after="120"/>
        <w:ind w:left="992" w:hanging="992"/>
        <w:contextualSpacing w:val="0"/>
      </w:pPr>
      <w:r w:rsidRPr="00E76E89">
        <w:lastRenderedPageBreak/>
        <w:t xml:space="preserve">Apeliaciniame skunde nurodoma, kad pagal tarptautinę teisę baudžiamojon atsakomybėn dėl karo nusikaltimų ir nusikaltimų žmoniškumui gali būti traukiami tik tie asmenys, kurie turi pakankamai valdžios priimti lemiamus sprendimus dėl nusikalstamų veikų darymo. </w:t>
      </w:r>
      <w:r w:rsidR="00C82C9D" w:rsidRPr="00E76E89">
        <w:t>V. P.</w:t>
      </w:r>
      <w:r w:rsidRPr="00E76E89">
        <w:t xml:space="preserve"> buvo kuopos vadas, kapitonas (ketvirtas nuo žemiausio karinio laipsnio), kuris pagal savo rangą buvo pavaldus divizijos, bataliono, pulko vadams, jų pavaduotojams bei Pabaltijo karinės apygardos ir </w:t>
      </w:r>
      <w:r w:rsidR="00BB560E" w:rsidRPr="00E76E89">
        <w:t>GM</w:t>
      </w:r>
      <w:r w:rsidRPr="00E76E89">
        <w:t xml:space="preserve"> vadams, todėl </w:t>
      </w:r>
      <w:r w:rsidR="00C82C9D" w:rsidRPr="00E76E89">
        <w:t>V. P.</w:t>
      </w:r>
      <w:r w:rsidRPr="00E76E89">
        <w:t xml:space="preserve"> neturėjo tiek valdžios ir galių, kad būtų galėjęs priimti sprendimus dėl nusikalstamų veikų ar būtų galėjęs išsakyti savo nuomonę dėl numatomų vykdyti veiksmų teisėtumo. </w:t>
      </w:r>
      <w:r w:rsidR="001C5185" w:rsidRPr="00E76E89">
        <w:t xml:space="preserve">Pulko vado </w:t>
      </w:r>
      <w:r w:rsidR="004069BF" w:rsidRPr="00E76E89">
        <w:t>N. A.</w:t>
      </w:r>
      <w:r w:rsidR="001C5185" w:rsidRPr="00E76E89">
        <w:t xml:space="preserve"> 1991 m. </w:t>
      </w:r>
      <w:r w:rsidRPr="00E76E89">
        <w:t>sausio</w:t>
      </w:r>
      <w:r w:rsidR="001C5185" w:rsidRPr="00E76E89">
        <w:t> </w:t>
      </w:r>
      <w:r w:rsidR="00A34D0A" w:rsidRPr="00E76E89">
        <w:t>9 d. įsakymu (t. 127, b. l. 10–</w:t>
      </w:r>
      <w:r w:rsidRPr="00E76E89">
        <w:t xml:space="preserve">11) buvo sudaryti tankų ekipažai ir </w:t>
      </w:r>
      <w:r w:rsidR="00C82C9D" w:rsidRPr="00E76E89">
        <w:t>V. P.</w:t>
      </w:r>
      <w:r w:rsidRPr="00E76E89">
        <w:t xml:space="preserve"> buvo paskirtas tanko Nr. 571 vadu. Pagal tuo metu galiojusius </w:t>
      </w:r>
      <w:r w:rsidR="00997C9B" w:rsidRPr="00E76E89">
        <w:t>TSRS ginkluotųjų pajėgų v</w:t>
      </w:r>
      <w:r w:rsidRPr="00E76E89">
        <w:t xml:space="preserve">idaus tarnybos statutą ir TSRS </w:t>
      </w:r>
      <w:r w:rsidR="00FD13EB" w:rsidRPr="00E76E89">
        <w:t xml:space="preserve">ginkluotųjų </w:t>
      </w:r>
      <w:r w:rsidRPr="00E76E89">
        <w:t>pajėgų drausmės statutą</w:t>
      </w:r>
      <w:r w:rsidR="00EC1D9A" w:rsidRPr="00E76E89">
        <w:t xml:space="preserve"> </w:t>
      </w:r>
      <w:r w:rsidR="00C82C9D" w:rsidRPr="00E76E89">
        <w:t>V. P.</w:t>
      </w:r>
      <w:r w:rsidRPr="00E76E89">
        <w:t xml:space="preserve"> negalėjo atsisakyti vykdyti vado įsakym</w:t>
      </w:r>
      <w:r w:rsidR="00D40DFB" w:rsidRPr="00E76E89">
        <w:t>o</w:t>
      </w:r>
      <w:r w:rsidRPr="00E76E89">
        <w:t xml:space="preserve"> ir su tanku nevažiuoti ten, kur jam liepta, nes kario priesaikos sulaužymas būtų lėmęs ilgus metus įkalinimo bei neigiam</w:t>
      </w:r>
      <w:r w:rsidR="00D40DFB" w:rsidRPr="00E76E89">
        <w:t>us</w:t>
      </w:r>
      <w:r w:rsidRPr="00E76E89">
        <w:t xml:space="preserve"> pa</w:t>
      </w:r>
      <w:r w:rsidR="00D40DFB" w:rsidRPr="00E76E89">
        <w:t>darinius</w:t>
      </w:r>
      <w:r w:rsidRPr="00E76E89">
        <w:t xml:space="preserve"> jo šeimai. Pagal susidariusias aplinkybes iš nuteistojo nebuvo galima reikalauti kitokio elgesio nei važiavimo tanku ten, kur liepta, o pagal BK 2 straipsnio 3 dalį asmuo gali būti traukiamas baudžiamojon atsakomybėn tik tuo atveju, jeigu jis yra kaltas padaręs nusikalstamą veiką ir tik jeigu veikos padarymo metu iš jo buvo galima reikalauti įstatymus atitinkančio elgesio.</w:t>
      </w:r>
    </w:p>
    <w:p w:rsidR="00A874C1" w:rsidRPr="00E76E89" w:rsidRDefault="00A874C1" w:rsidP="00321748">
      <w:pPr>
        <w:pStyle w:val="ListParagraph"/>
        <w:numPr>
          <w:ilvl w:val="1"/>
          <w:numId w:val="6"/>
        </w:numPr>
        <w:tabs>
          <w:tab w:val="left" w:pos="284"/>
        </w:tabs>
        <w:spacing w:before="120" w:after="120"/>
        <w:ind w:left="992" w:hanging="992"/>
        <w:contextualSpacing w:val="0"/>
      </w:pPr>
      <w:r w:rsidRPr="00E76E89">
        <w:t>Gynėjas skunde cituoja BK 33 straipsnio 2 dalies nuostatas dėl traukimo baudžiam</w:t>
      </w:r>
      <w:r w:rsidR="00570C83" w:rsidRPr="00E76E89">
        <w:t xml:space="preserve">ojo atsakomybėn už </w:t>
      </w:r>
      <w:r w:rsidRPr="00E76E89">
        <w:t>įsakymo</w:t>
      </w:r>
      <w:r w:rsidR="00D40DFB" w:rsidRPr="00E76E89">
        <w:t>, žinant, kad jis nusikalstamas,</w:t>
      </w:r>
      <w:r w:rsidRPr="00E76E89">
        <w:t xml:space="preserve"> vykdymą ir sutinka, kad nagrinėjamu atveju įsakymai buvo neteisėti ir nusikalstami, tačiau pažymi, jog sprendžiant klausimą, ar neteisėto įsakymo vykdymas gali būti pripažintas baudžiamąją atsakomybę šalinančia aplinkybe, reikia įvertinti kaltininko galimybę suvokti politinę situaciją, galimybę atsisakyti vykdyti įsakymą ir pasirinkti teisėtą elgesio variantą. </w:t>
      </w:r>
      <w:r w:rsidR="00C82C9D" w:rsidRPr="00E76E89">
        <w:t>V. P.</w:t>
      </w:r>
      <w:r w:rsidRPr="00E76E89">
        <w:t xml:space="preserve"> nesuvokė, kad įsakymai yra neteisėti, nes juose nebuvo tiesiogiai nurodoma atlikti nusikalstamus veiksmus – žudyti, trikdyti sveikatą, kankinti, o viso politinio konteksto jis taip pat negalėjo suvokti.</w:t>
      </w:r>
    </w:p>
    <w:p w:rsidR="00A874C1" w:rsidRPr="00E76E89" w:rsidRDefault="002C298B" w:rsidP="00321748">
      <w:pPr>
        <w:pStyle w:val="ListParagraph"/>
        <w:numPr>
          <w:ilvl w:val="1"/>
          <w:numId w:val="6"/>
        </w:numPr>
        <w:tabs>
          <w:tab w:val="left" w:pos="284"/>
        </w:tabs>
        <w:spacing w:before="120" w:after="120"/>
        <w:ind w:left="992" w:hanging="992"/>
        <w:contextualSpacing w:val="0"/>
      </w:pPr>
      <w:r w:rsidRPr="00E76E89">
        <w:t xml:space="preserve">Apeliaciniame skunde išdėstyti ir atskiri argumentai dėl nepagrįsto </w:t>
      </w:r>
      <w:r w:rsidR="00C82C9D" w:rsidRPr="00E76E89">
        <w:t>V. P.</w:t>
      </w:r>
      <w:r w:rsidRPr="00E76E89">
        <w:t xml:space="preserve"> nuteisimo pagal konkrečius BK straipsnius:</w:t>
      </w:r>
    </w:p>
    <w:p w:rsidR="00A874C1" w:rsidRPr="00E76E89" w:rsidRDefault="00C82C9D" w:rsidP="00321748">
      <w:pPr>
        <w:pStyle w:val="ListParagraph"/>
        <w:numPr>
          <w:ilvl w:val="2"/>
          <w:numId w:val="6"/>
        </w:numPr>
        <w:tabs>
          <w:tab w:val="left" w:pos="284"/>
        </w:tabs>
        <w:spacing w:before="120" w:after="120"/>
        <w:ind w:left="992" w:hanging="992"/>
        <w:contextualSpacing w:val="0"/>
      </w:pPr>
      <w:r w:rsidRPr="00E76E89">
        <w:t>V. P.</w:t>
      </w:r>
      <w:r w:rsidR="00A874C1" w:rsidRPr="00E76E89">
        <w:t xml:space="preserve"> nepagrįstai nuteistas pagal BK 100 straipsnį, kadangi nebuvo įrodytas nusikalstamų veiksmų sistemingumas ir mastas bei neįrodyta nuteistojo tiesioginė tyčia, t.</w:t>
      </w:r>
      <w:r w:rsidR="00694AB1" w:rsidRPr="00E76E89">
        <w:t> </w:t>
      </w:r>
      <w:r w:rsidR="00A874C1" w:rsidRPr="00E76E89">
        <w:t xml:space="preserve">y. žinojimas apie daromų veiksmų mastą, sistemingumą ir tikslas tuos veiksmus daryti. Bylos duomenys patvirtina, kad nuteistasis pagal įsakymą 1991 m. sausio 11 d. tanku atvažiavo prie Spaudos rūmų ir 1991 m. sausio 13 d. atvažiavo prie </w:t>
      </w:r>
      <w:r w:rsidR="00DE3B19" w:rsidRPr="00E76E89">
        <w:t>LRT</w:t>
      </w:r>
      <w:r w:rsidR="00A874C1" w:rsidRPr="00E76E89">
        <w:t xml:space="preserve"> pastato, kur du kartus iš pabūklo iššovė išmušamaisiais užtaisais, kurių paskirtis </w:t>
      </w:r>
      <w:r w:rsidR="00DA46CB" w:rsidRPr="00E76E89">
        <w:t xml:space="preserve">– </w:t>
      </w:r>
      <w:r w:rsidR="00A874C1" w:rsidRPr="00E76E89">
        <w:t xml:space="preserve">sukelti garsinį efektą. Kituose kariškių veiksmuose nuteistasis nedalyvavo, todėl minėti </w:t>
      </w:r>
      <w:r w:rsidRPr="00E76E89">
        <w:t>V. P.</w:t>
      </w:r>
      <w:r w:rsidR="00A874C1" w:rsidRPr="00E76E89">
        <w:t xml:space="preserve"> veiksmai neatitinka nei didelio masto, nei sistemingumo požymių. Byloje nėra duomenų, įrodančių, kad </w:t>
      </w:r>
      <w:r w:rsidRPr="00E76E89">
        <w:t>V. P.</w:t>
      </w:r>
      <w:r w:rsidR="00A874C1" w:rsidRPr="00E76E89">
        <w:t xml:space="preserve"> pritarė </w:t>
      </w:r>
      <w:r w:rsidR="00970DB0" w:rsidRPr="00E76E89">
        <w:rPr>
          <w:szCs w:val="24"/>
        </w:rPr>
        <w:t xml:space="preserve">TSRS </w:t>
      </w:r>
      <w:r w:rsidR="00A874C1" w:rsidRPr="00E76E89">
        <w:t>vadovų politikai Lietuvoje ir suvokė vykdomos politikos nusikalstamą pobūdį. Teismas tik padarė prielaidą, kad, jei nuteistasis dalyvavo dviejose karinėse operacijose, jis pritarė aukštų pareigūnų vykdomai politikai. Anot gynėjo, nuteistasis nežinojo tikrųjų TSRS vadovų planų, taip pat nežinojo operacijų masto (nežinojo apie kitus veiksmus Vilniuje, Alytuje, Prienuose), nesuvokė įvykių visumos. Menką nuteistojo suvokimą apie to meto įv</w:t>
      </w:r>
      <w:r w:rsidR="000F5BFE" w:rsidRPr="00E76E89">
        <w:t>ykius, anot gynėjo, įrodo ir A. M. B.</w:t>
      </w:r>
      <w:r w:rsidR="00A874C1" w:rsidRPr="00E76E89">
        <w:t xml:space="preserve"> kitoje byloje duoti parodymai (t. 374, b. l. 114).</w:t>
      </w:r>
    </w:p>
    <w:p w:rsidR="00A874C1" w:rsidRPr="00E76E89" w:rsidRDefault="00C82C9D" w:rsidP="00321748">
      <w:pPr>
        <w:pStyle w:val="ListParagraph"/>
        <w:numPr>
          <w:ilvl w:val="2"/>
          <w:numId w:val="6"/>
        </w:numPr>
        <w:tabs>
          <w:tab w:val="left" w:pos="284"/>
        </w:tabs>
        <w:spacing w:before="120" w:after="120"/>
        <w:ind w:left="992" w:hanging="992"/>
        <w:contextualSpacing w:val="0"/>
      </w:pPr>
      <w:r w:rsidRPr="00E76E89">
        <w:t>V. P.</w:t>
      </w:r>
      <w:r w:rsidR="00A874C1" w:rsidRPr="00E76E89">
        <w:t xml:space="preserve"> nepagrįstai nuteistas pagal BK 101 straipsnį, kuri</w:t>
      </w:r>
      <w:r w:rsidR="00694AB1" w:rsidRPr="00E76E89">
        <w:t>ame</w:t>
      </w:r>
      <w:r w:rsidR="00A874C1" w:rsidRPr="00E76E89">
        <w:t xml:space="preserve"> numat</w:t>
      </w:r>
      <w:r w:rsidR="00694AB1" w:rsidRPr="00E76E89">
        <w:t>yta</w:t>
      </w:r>
      <w:r w:rsidR="00A874C1" w:rsidRPr="00E76E89">
        <w:t xml:space="preserve"> atsakomyb</w:t>
      </w:r>
      <w:r w:rsidR="00694AB1" w:rsidRPr="00E76E89">
        <w:t>ė</w:t>
      </w:r>
      <w:r w:rsidR="00A874C1" w:rsidRPr="00E76E89">
        <w:t xml:space="preserve"> tik už veiksmus, atliktus karo, ginkluoto konflikto, agresijos, okupacijos ar aneksijos m</w:t>
      </w:r>
      <w:r w:rsidR="00A34D0A" w:rsidRPr="00E76E89">
        <w:t>etu. Pasak gynėjo, Lietuva 1940–</w:t>
      </w:r>
      <w:r w:rsidR="00A874C1" w:rsidRPr="00E76E89">
        <w:t xml:space="preserve">1990 metais turėjo dalinės okupacijos požymių, todėl nuteistasis negalėjo suprasti, kad tai, kas vyksta Lietuvoje, yra karas ar agresija, jog Lietuva yra okupuota ar aneksuota, kadangi jis nesimokė Lietuvos istorijos, nemokėjo lietuvių kalbos, gyveno kitoje ideologinėje ir informacinėje aplinkoje. Traukiant asmenį atsakomybėn pagal </w:t>
      </w:r>
      <w:r w:rsidR="00A874C1" w:rsidRPr="00E76E89">
        <w:lastRenderedPageBreak/>
        <w:t xml:space="preserve">BK 101 straipsnį, turi būti įrodytas ir to asmens tikslas žudyti tarptautinės humanitarinės teisės saugomus asmenis. </w:t>
      </w:r>
      <w:r w:rsidRPr="00E76E89">
        <w:t>V. P.</w:t>
      </w:r>
      <w:r w:rsidR="00A874C1" w:rsidRPr="00E76E89">
        <w:t xml:space="preserve"> negavo įsakymo žudyti asmenis ir asmeniškai nieko nenužudė, o už visus kareivius ir karininkus jis negali atsakyti. Net ir oficialaus karo atveju pasitaiko atskirų žudymo, marodieriavimo atvejų, už kuriuos privalo atsakyti konkretūs, tuos veiksmus atlikę asmenys. </w:t>
      </w:r>
    </w:p>
    <w:p w:rsidR="00A874C1" w:rsidRPr="00E76E89" w:rsidRDefault="00C82C9D" w:rsidP="00321748">
      <w:pPr>
        <w:pStyle w:val="ListParagraph"/>
        <w:numPr>
          <w:ilvl w:val="2"/>
          <w:numId w:val="6"/>
        </w:numPr>
        <w:tabs>
          <w:tab w:val="left" w:pos="284"/>
        </w:tabs>
        <w:spacing w:before="120" w:after="120"/>
        <w:ind w:left="992" w:hanging="992"/>
        <w:contextualSpacing w:val="0"/>
      </w:pPr>
      <w:r w:rsidRPr="00E76E89">
        <w:t>V. P.</w:t>
      </w:r>
      <w:r w:rsidR="00A874C1" w:rsidRPr="00E76E89">
        <w:t xml:space="preserve"> nepagrįstai nuteistas pagal BK 103 straipsnį, nes, kaip ir BK 101 straipsnio atveju, nuteistasis neturėjo žinių apie tuometę Lietuvos teisinę padėtį bei neturėjo tyčios žaloti, kankinti ar kitaip nežmoniškai elgtis su civiliais asmenimis.</w:t>
      </w:r>
    </w:p>
    <w:p w:rsidR="00A874C1" w:rsidRPr="00E76E89" w:rsidRDefault="00C82C9D" w:rsidP="00321748">
      <w:pPr>
        <w:pStyle w:val="ListParagraph"/>
        <w:numPr>
          <w:ilvl w:val="2"/>
          <w:numId w:val="6"/>
        </w:numPr>
        <w:tabs>
          <w:tab w:val="left" w:pos="284"/>
        </w:tabs>
        <w:spacing w:before="120" w:after="120"/>
        <w:ind w:left="992" w:hanging="992"/>
        <w:contextualSpacing w:val="0"/>
      </w:pPr>
      <w:r w:rsidRPr="00E76E89">
        <w:t>V. P.</w:t>
      </w:r>
      <w:r w:rsidR="00A874C1" w:rsidRPr="00E76E89">
        <w:t xml:space="preserve"> nepagrįstai nuteistas pagal BK 111 straipsnio 1 dalį, nes, kaip jau minėta anksčiau, nuteistasis nesuvokė, kad dalyvauja karo atakoje. Įvykių metu situacija Lietuvoje </w:t>
      </w:r>
      <w:r w:rsidR="002C298B" w:rsidRPr="00E76E89">
        <w:t>buvo tokia neapibrėžta ir neaiški, kad net ir Lietuvos valdžios struktūros įvykių nelaikė karu ar agresija. Civiliai prie objektų susirinko, per žiniasklaidą išgirdę pranešimus apie būtinybę ginti objektus nuo kariškių. Gynėjo vertinimu, jei Lietuvos valdžios institucijos laikė, kad vyksta karas, jos negalėjo kviesti civilių gyventojų dėl objektų, kurie, specialisto</w:t>
      </w:r>
      <w:r w:rsidR="00A874C1" w:rsidRPr="00E76E89">
        <w:t xml:space="preserve"> J. Andriškevičiaus teigimu, pagal paskirtį buvo kariniai</w:t>
      </w:r>
      <w:r w:rsidR="000E240F" w:rsidRPr="00E76E89">
        <w:t>-</w:t>
      </w:r>
      <w:r w:rsidR="00A874C1" w:rsidRPr="00E76E89">
        <w:t>civiliniai, apsaugos. 1949 </w:t>
      </w:r>
      <w:r w:rsidR="00171173" w:rsidRPr="00E76E89">
        <w:t xml:space="preserve">m. rugpjūčio 12 d. Ženevos </w:t>
      </w:r>
      <w:r w:rsidR="00491A27" w:rsidRPr="00E76E89">
        <w:t>k</w:t>
      </w:r>
      <w:r w:rsidR="00171173" w:rsidRPr="00E76E89">
        <w:t>onvencijų I</w:t>
      </w:r>
      <w:r w:rsidR="00D76BE4" w:rsidRPr="00E76E89">
        <w:t>-ojo P</w:t>
      </w:r>
      <w:r w:rsidR="00A874C1" w:rsidRPr="00E76E89">
        <w:t>api</w:t>
      </w:r>
      <w:r w:rsidR="00171173" w:rsidRPr="00E76E89">
        <w:t>ldomo protokolo 51 straipsnio 7 </w:t>
      </w:r>
      <w:r w:rsidR="00A874C1" w:rsidRPr="00E76E89">
        <w:t>punkt</w:t>
      </w:r>
      <w:r w:rsidR="00DA46CB" w:rsidRPr="00E76E89">
        <w:t xml:space="preserve">u </w:t>
      </w:r>
      <w:r w:rsidR="00A874C1" w:rsidRPr="00E76E89">
        <w:t>draudžia</w:t>
      </w:r>
      <w:r w:rsidR="00DA46CB" w:rsidRPr="00E76E89">
        <w:t>mas</w:t>
      </w:r>
      <w:r w:rsidR="00A874C1" w:rsidRPr="00E76E89">
        <w:t xml:space="preserve"> vadinam</w:t>
      </w:r>
      <w:r w:rsidR="00B54770" w:rsidRPr="00E76E89">
        <w:t>ojo</w:t>
      </w:r>
      <w:r w:rsidR="00A874C1" w:rsidRPr="00E76E89">
        <w:t xml:space="preserve"> žmonių skydo </w:t>
      </w:r>
      <w:r w:rsidR="00B54770" w:rsidRPr="00E76E89">
        <w:t xml:space="preserve">(ar gyvojo skydo) </w:t>
      </w:r>
      <w:r w:rsidR="00A874C1" w:rsidRPr="00E76E89">
        <w:t>naudojim</w:t>
      </w:r>
      <w:r w:rsidR="00DA46CB" w:rsidRPr="00E76E89">
        <w:t>as</w:t>
      </w:r>
      <w:r w:rsidR="00A874C1" w:rsidRPr="00E76E89">
        <w:t>. Romos statute „žmonių skydas“ yra kvalifikuojamas kaip karo nusikaltimas.</w:t>
      </w:r>
    </w:p>
    <w:p w:rsidR="00A874C1" w:rsidRPr="00E76E89" w:rsidRDefault="00C82C9D" w:rsidP="00321748">
      <w:pPr>
        <w:pStyle w:val="ListParagraph"/>
        <w:numPr>
          <w:ilvl w:val="2"/>
          <w:numId w:val="6"/>
        </w:numPr>
        <w:tabs>
          <w:tab w:val="left" w:pos="284"/>
        </w:tabs>
        <w:spacing w:before="120" w:after="120"/>
        <w:ind w:left="992" w:hanging="992"/>
        <w:contextualSpacing w:val="0"/>
      </w:pPr>
      <w:r w:rsidRPr="00E76E89">
        <w:t>V. P.</w:t>
      </w:r>
      <w:r w:rsidR="00A874C1" w:rsidRPr="00E76E89">
        <w:t xml:space="preserve"> nepagrįstai nuteistas pagal BK 112 straipsnį, nes jis, vykdydamas įsakymą, naudojo tokias karines priemones, kokios jam buvo priskirtos, o jo tankas apskritai iššovė tik tuščiais šoviniais. Jis negali būti traukiamas atsakomybėn už visos armijos apginklavimą. </w:t>
      </w:r>
    </w:p>
    <w:p w:rsidR="00A874C1" w:rsidRPr="00E76E89" w:rsidRDefault="00A874C1" w:rsidP="00321748">
      <w:pPr>
        <w:pStyle w:val="ListParagraph"/>
        <w:numPr>
          <w:ilvl w:val="1"/>
          <w:numId w:val="6"/>
        </w:numPr>
        <w:tabs>
          <w:tab w:val="left" w:pos="284"/>
        </w:tabs>
        <w:spacing w:after="120"/>
        <w:ind w:left="992" w:hanging="992"/>
        <w:contextualSpacing w:val="0"/>
      </w:pPr>
      <w:r w:rsidRPr="00E76E89">
        <w:t>Gynėjo teigimu, nuteistojo veiksmuose nesant minėtų karo nusikaltimų ir nusikaltimų žmoniškumui sudėties ir atsižvelgiant į karinės operacijos metu sukelt</w:t>
      </w:r>
      <w:r w:rsidR="000E240F" w:rsidRPr="00E76E89">
        <w:t>us padarinius</w:t>
      </w:r>
      <w:r w:rsidRPr="00E76E89">
        <w:t xml:space="preserve">, </w:t>
      </w:r>
      <w:r w:rsidR="00C82C9D" w:rsidRPr="00E76E89">
        <w:t>V. P.</w:t>
      </w:r>
      <w:r w:rsidRPr="00E76E89">
        <w:t xml:space="preserve"> veiksmai, susiję su 1991 m. sausio 11 d. įvykiais prie Spaudos rūmų, kur asmenims buvo padaryti sunkūs, nesunkūs ir nežymūs sveikatos sutrikdymai, turi būti perkvalifikuoti į veikų padarymo metu galiojusio </w:t>
      </w:r>
      <w:r w:rsidR="00BB560E" w:rsidRPr="00E76E89">
        <w:t xml:space="preserve">1961 m. </w:t>
      </w:r>
      <w:r w:rsidRPr="00E76E89">
        <w:t xml:space="preserve">BK 111, 112 ir 116 straipsnius. Nuteistojo veiksmai, susiję su 1991 m. sausio 13 d. įvykiais prie </w:t>
      </w:r>
      <w:r w:rsidR="007403E5" w:rsidRPr="00E76E89">
        <w:t>LRT</w:t>
      </w:r>
      <w:r w:rsidRPr="00E76E89">
        <w:t xml:space="preserve">, kur buvo nužudytas vienas asmuo, kitiems asmenims padaryti sunkūs, nesunkūs ir nežymūs sveikatos sutrikdymai, turi būti perkvalifikuoti </w:t>
      </w:r>
      <w:r w:rsidR="000E240F" w:rsidRPr="00E76E89">
        <w:t>pagal</w:t>
      </w:r>
      <w:r w:rsidRPr="00E76E89">
        <w:t xml:space="preserve"> veikų padarymo metu galiojusio </w:t>
      </w:r>
      <w:r w:rsidR="00BB560E" w:rsidRPr="00E76E89">
        <w:t xml:space="preserve">1961 m. </w:t>
      </w:r>
      <w:r w:rsidRPr="00E76E89">
        <w:t>BK 105 straipsnio 8 punktą, 111, 112 ir 116 straipsnius. Suėjus nusikalstamų veikų padary</w:t>
      </w:r>
      <w:r w:rsidR="00055C65" w:rsidRPr="00E76E89">
        <w:t>mo metu galiojusio 1961 m. </w:t>
      </w:r>
      <w:r w:rsidR="00BB560E" w:rsidRPr="00E76E89">
        <w:t>BK 49 </w:t>
      </w:r>
      <w:r w:rsidRPr="00E76E89">
        <w:t xml:space="preserve">straipsnyje nustatytam 15 metų patraukimo baudžiamojon atsakomybėn senaties terminui ir nesant duomenų apie naujus nuteistojo padarytus nusikaltimus, baudžiamoji byla turi būti nutraukta. </w:t>
      </w:r>
    </w:p>
    <w:p w:rsidR="00A874C1" w:rsidRPr="00C00255" w:rsidRDefault="00B85D8F" w:rsidP="00321748">
      <w:pPr>
        <w:pStyle w:val="ListParagraph"/>
        <w:numPr>
          <w:ilvl w:val="0"/>
          <w:numId w:val="6"/>
        </w:numPr>
        <w:spacing w:before="120" w:after="120"/>
        <w:ind w:left="992" w:hanging="992"/>
        <w:contextualSpacing w:val="0"/>
        <w:rPr>
          <w:szCs w:val="24"/>
        </w:rPr>
      </w:pPr>
      <w:bookmarkStart w:id="126" w:name="_Toc37947871"/>
      <w:bookmarkStart w:id="127" w:name="_Toc67677350"/>
      <w:bookmarkStart w:id="128" w:name="_Toc67985477"/>
      <w:r w:rsidRPr="00D43DF2">
        <w:rPr>
          <w:b/>
        </w:rPr>
        <w:t xml:space="preserve">Nuteistojo </w:t>
      </w:r>
      <w:r w:rsidR="00C82C9D" w:rsidRPr="00D43DF2">
        <w:rPr>
          <w:b/>
        </w:rPr>
        <w:t>E. R.</w:t>
      </w:r>
      <w:r w:rsidR="00A874C1" w:rsidRPr="00D43DF2">
        <w:rPr>
          <w:b/>
        </w:rPr>
        <w:t xml:space="preserve"> gynėja</w:t>
      </w:r>
      <w:bookmarkEnd w:id="126"/>
      <w:bookmarkEnd w:id="127"/>
      <w:bookmarkEnd w:id="128"/>
      <w:r w:rsidR="00A874C1" w:rsidRPr="00D43DF2">
        <w:rPr>
          <w:b/>
          <w:sz w:val="22"/>
        </w:rPr>
        <w:t xml:space="preserve"> </w:t>
      </w:r>
      <w:r w:rsidR="00A874C1" w:rsidRPr="00D43DF2">
        <w:rPr>
          <w:b/>
        </w:rPr>
        <w:t>advokatė J</w:t>
      </w:r>
      <w:r w:rsidRPr="00D43DF2">
        <w:rPr>
          <w:b/>
        </w:rPr>
        <w:t>. </w:t>
      </w:r>
      <w:r w:rsidR="00A874C1" w:rsidRPr="00D43DF2">
        <w:rPr>
          <w:b/>
        </w:rPr>
        <w:t>Asovskaja</w:t>
      </w:r>
      <w:r w:rsidR="00A874C1" w:rsidRPr="00C00255">
        <w:t xml:space="preserve"> apeli</w:t>
      </w:r>
      <w:r w:rsidRPr="00C00255">
        <w:t>aciniu skundu prašo panaikinti pirmosios instancijos teismo</w:t>
      </w:r>
      <w:r w:rsidR="00A874C1" w:rsidRPr="00C00255">
        <w:t xml:space="preserve"> nuosprendį ir jos ginamąjį išteisinti bei j</w:t>
      </w:r>
      <w:r w:rsidR="00EF601C" w:rsidRPr="00C00255">
        <w:t>am</w:t>
      </w:r>
      <w:r w:rsidR="00A874C1" w:rsidRPr="00C00255">
        <w:t xml:space="preserve"> pareikštus civilinius ieškinius atmesti.</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Apeliantės įsitikinimu, teismas </w:t>
      </w:r>
      <w:r w:rsidR="00C82C9D" w:rsidRPr="00E76E89">
        <w:t>E. R.</w:t>
      </w:r>
      <w:r w:rsidRPr="00E76E89">
        <w:t xml:space="preserve"> priimdamas apkaltinamąjį nuosprendį buvo šališkas, netinkamai vertino bylos faktines aplinkybes, sprendimą grindė tik jį kaltinančiais įrodymais, netyrė kai kurių kitų įrodymų bei nepašalino neaiškumų, kuriuos turėjo vertinti nuteistojo naudai.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Apeliantės įsitikini</w:t>
      </w:r>
      <w:r w:rsidR="00DE3B19" w:rsidRPr="00E76E89">
        <w:t xml:space="preserve">mu, teismo išvados dėl to, kad </w:t>
      </w:r>
      <w:r w:rsidR="00C82C9D" w:rsidRPr="00E76E89">
        <w:t>E. R.</w:t>
      </w:r>
      <w:r w:rsidRPr="00E76E89">
        <w:t xml:space="preserve">, tanko Nr. 574 vadas, dalyvavo Spaudos rūmų ir LRT pastatų šturme, užtikrino desantininkų judėjimą, leido iš tanko dūmus, prie </w:t>
      </w:r>
      <w:r w:rsidR="00DE3B19" w:rsidRPr="00E76E89">
        <w:t>LRT</w:t>
      </w:r>
      <w:r w:rsidR="00D64F26" w:rsidRPr="00E76E89">
        <w:t xml:space="preserve"> šovė 2–</w:t>
      </w:r>
      <w:r w:rsidRPr="00E76E89">
        <w:t>3 kartus, davė įsakymą dėl vartų išlaužimo, švietė į žmonių minią tanko prožektoriumi,</w:t>
      </w:r>
      <w:r w:rsidR="001C5185" w:rsidRPr="00E76E89">
        <w:t xml:space="preserve"> šaudė išmušamaisiais užtaisais</w:t>
      </w:r>
      <w:r w:rsidRPr="00E76E89">
        <w:t xml:space="preserve">, yra prieštaringos. Teismas nuosprendyje du kartus pakartojo nuteistojo nusikalstamus veiksmus, nurodydamas, kad prie LRT pastato jis du kartus iššovė, o vėliau šaudė išmušamaisiais užtaisais. Nuosprendyje padaryta išvada, kad </w:t>
      </w:r>
      <w:r w:rsidRPr="00E76E89">
        <w:lastRenderedPageBreak/>
        <w:t>nuteista</w:t>
      </w:r>
      <w:r w:rsidR="00D64F26" w:rsidRPr="00E76E89">
        <w:t xml:space="preserve">sis </w:t>
      </w:r>
      <w:r w:rsidR="00C82C9D" w:rsidRPr="00E76E89">
        <w:t>E. R.</w:t>
      </w:r>
      <w:r w:rsidR="00D64F26" w:rsidRPr="00E76E89">
        <w:t xml:space="preserve"> prie LRT šovė 2–</w:t>
      </w:r>
      <w:r w:rsidRPr="00E76E89">
        <w:t>3 kartus</w:t>
      </w:r>
      <w:r w:rsidR="00DA46CB" w:rsidRPr="00E76E89">
        <w:t>,</w:t>
      </w:r>
      <w:r w:rsidRPr="00E76E89">
        <w:t xml:space="preserve"> yra neaiški, nes nenurodyta</w:t>
      </w:r>
      <w:r w:rsidR="00EF601C" w:rsidRPr="00E76E89">
        <w:t>,</w:t>
      </w:r>
      <w:r w:rsidRPr="00E76E89">
        <w:t xml:space="preserve"> iš ko buvo šauta bei kas šioje situacijoje turima omeny. Anot gynybos, kartu su nuteistuoju tanke buvusių asmenų </w:t>
      </w:r>
      <w:r w:rsidR="00A97F74" w:rsidRPr="00E76E89">
        <w:t>A. K. 2</w:t>
      </w:r>
      <w:r w:rsidRPr="00E76E89">
        <w:t xml:space="preserve"> ir </w:t>
      </w:r>
      <w:r w:rsidR="00C82C9D" w:rsidRPr="00E76E89">
        <w:t>N. S.</w:t>
      </w:r>
      <w:r w:rsidRPr="00E76E89">
        <w:t xml:space="preserve"> veiksmai vėlgi aprašyti kitaip</w:t>
      </w:r>
      <w:r w:rsidR="00EF601C" w:rsidRPr="00E76E89">
        <w:t>,</w:t>
      </w:r>
      <w:r w:rsidRPr="00E76E89">
        <w:t xml:space="preserve"> nei inkriminuoti </w:t>
      </w:r>
      <w:r w:rsidR="00C82C9D" w:rsidRPr="00E76E89">
        <w:t>E. R.</w:t>
      </w:r>
      <w:r w:rsidRPr="00E76E89">
        <w:t xml:space="preserve">. Taigi teismas negalėjo kategoriškai nurodyti ir individualizuoti </w:t>
      </w:r>
      <w:r w:rsidR="00EF601C" w:rsidRPr="00E76E89">
        <w:t>bendrų</w:t>
      </w:r>
      <w:r w:rsidRPr="00E76E89">
        <w:t xml:space="preserve"> to paties ekipažo narių veiksmų. Skirdamas bausmes nuteistiesiems</w:t>
      </w:r>
      <w:r w:rsidR="00A1014F" w:rsidRPr="00E76E89">
        <w:t>,</w:t>
      </w:r>
      <w:r w:rsidRPr="00E76E89">
        <w:t xml:space="preserve"> teismas nuosprendyje nurodė, kad nėra galimybių konkretizuoti, dėl kurio iš kaltinamųjų veiksmų kilo sunkiausi pa</w:t>
      </w:r>
      <w:r w:rsidR="00EF601C" w:rsidRPr="00E76E89">
        <w:t>dariniai</w:t>
      </w:r>
      <w:r w:rsidRPr="00E76E89">
        <w:t>, todėl nuosprendžiu netinkamai pritaikytos ir materialinės teisės normos.</w:t>
      </w:r>
      <w:r w:rsidR="008434B8" w:rsidRPr="00E76E89">
        <w:t xml:space="preserve">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Gynėjos teigimu, teismas pažeidė BPK 20 straipsnio nuostatas, nes įrodymai byloje įvertinti netinkamai. Apeliaciniame skunde teigiama, kad teismas nepagrįstai konstatavo, jog </w:t>
      </w:r>
      <w:r w:rsidR="00C82C9D" w:rsidRPr="00E76E89">
        <w:t>E. R.</w:t>
      </w:r>
      <w:r w:rsidRPr="00E76E89">
        <w:t xml:space="preserve"> su kitais kariškiais veikė bendrininkų grupe. Jokie karininkai į jokias grupes savo noru nesijungė ir nebuvo jokio nusikalstamo susitarimo. Teismas neįvertino to, kad asmenys, vykdantys karo tarnybą, negali būti bendrininkais dėl veikimo karinio statuto pagrindu, nors iš esmės tokius paaiškinimus pateikė ir specialistas J. Andriškevičius. Gynybos įsitikinimu, tokios išvados nebūtų padarytos, jei bylą būtų nagrinėję</w:t>
      </w:r>
      <w:r w:rsidR="00B85D8F" w:rsidRPr="00E76E89">
        <w:t xml:space="preserve">s specializuotas </w:t>
      </w:r>
      <w:r w:rsidR="0049485C" w:rsidRPr="00E76E89">
        <w:t>teismas – k</w:t>
      </w:r>
      <w:r w:rsidR="00B85D8F" w:rsidRPr="00E76E89">
        <w:t>aro </w:t>
      </w:r>
      <w:r w:rsidRPr="00E76E89">
        <w:t xml:space="preserve">tribunolas.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rPr>
          <w:color w:val="000000"/>
          <w:lang w:bidi="lt-LT"/>
        </w:rPr>
        <w:t xml:space="preserve">Teismas pažeidė kaltinamųjų teisę neduoti parodymų prieš save, kadangi byloje tinkamais įrodymais pripažino kaltinamųjų, </w:t>
      </w:r>
      <w:r w:rsidR="00EF601C" w:rsidRPr="00E76E89">
        <w:rPr>
          <w:color w:val="000000"/>
          <w:lang w:bidi="lt-LT"/>
        </w:rPr>
        <w:t xml:space="preserve">kurie </w:t>
      </w:r>
      <w:r w:rsidRPr="00E76E89">
        <w:rPr>
          <w:color w:val="000000"/>
          <w:lang w:bidi="lt-LT"/>
        </w:rPr>
        <w:t xml:space="preserve">tyrimo metu </w:t>
      </w:r>
      <w:r w:rsidR="00EF601C" w:rsidRPr="00E76E89">
        <w:rPr>
          <w:color w:val="000000"/>
          <w:lang w:bidi="lt-LT"/>
        </w:rPr>
        <w:t xml:space="preserve">buvo </w:t>
      </w:r>
      <w:r w:rsidRPr="00E76E89">
        <w:rPr>
          <w:color w:val="000000"/>
          <w:lang w:bidi="lt-LT"/>
        </w:rPr>
        <w:t>apklaust</w:t>
      </w:r>
      <w:r w:rsidR="00EF601C" w:rsidRPr="00E76E89">
        <w:rPr>
          <w:color w:val="000000"/>
          <w:lang w:bidi="lt-LT"/>
        </w:rPr>
        <w:t>i</w:t>
      </w:r>
      <w:r w:rsidRPr="00E76E89">
        <w:rPr>
          <w:color w:val="000000"/>
          <w:lang w:bidi="lt-LT"/>
        </w:rPr>
        <w:t xml:space="preserve"> </w:t>
      </w:r>
      <w:r w:rsidR="00EF601C" w:rsidRPr="00E76E89">
        <w:rPr>
          <w:color w:val="000000"/>
          <w:lang w:bidi="lt-LT"/>
        </w:rPr>
        <w:t xml:space="preserve">kaip </w:t>
      </w:r>
      <w:r w:rsidRPr="00E76E89">
        <w:rPr>
          <w:color w:val="000000"/>
          <w:lang w:bidi="lt-LT"/>
        </w:rPr>
        <w:t>liudytoj</w:t>
      </w:r>
      <w:r w:rsidR="00EF601C" w:rsidRPr="00E76E89">
        <w:rPr>
          <w:color w:val="000000"/>
          <w:lang w:bidi="lt-LT"/>
        </w:rPr>
        <w:t>ai</w:t>
      </w:r>
      <w:r w:rsidRPr="00E76E89">
        <w:rPr>
          <w:color w:val="000000"/>
          <w:lang w:bidi="lt-LT"/>
        </w:rPr>
        <w:t xml:space="preserve">, duotus parodymus ir būtent jie buvo </w:t>
      </w:r>
      <w:r w:rsidR="00A1014F" w:rsidRPr="00E76E89">
        <w:rPr>
          <w:color w:val="000000"/>
          <w:lang w:bidi="lt-LT"/>
        </w:rPr>
        <w:t xml:space="preserve">laikomi </w:t>
      </w:r>
      <w:r w:rsidRPr="00E76E89">
        <w:rPr>
          <w:color w:val="000000"/>
          <w:lang w:bidi="lt-LT"/>
        </w:rPr>
        <w:t>pagrindiniais duomenimis pripažįstant nuteistuosius kaltais</w:t>
      </w:r>
      <w:r w:rsidRPr="00E76E89">
        <w:t xml:space="preserve">. Anot gynėjos, šie parodymai neturi įrodomosios galios, nes </w:t>
      </w:r>
      <w:r w:rsidR="00C82C9D" w:rsidRPr="00E76E89">
        <w:t>E. R.</w:t>
      </w:r>
      <w:r w:rsidRPr="00E76E89">
        <w:t xml:space="preserve"> ir kitiems nuteistiesiems tyrimo metu nebuvo išaiškinta teisė atsisakyti duoti parodymus prieš save. Pastariesiems, vadovaujantis apklausų metu galiojusiomis procesinėmis normomis, buvo išaiškinta pareiga duoti teisingus parodymus ir atsakomybė už atsisakymą juos duoti, o rašydamas paaiškinimą </w:t>
      </w:r>
      <w:r w:rsidR="00C82C9D" w:rsidRPr="00E76E89">
        <w:t>E. R.</w:t>
      </w:r>
      <w:r w:rsidRPr="00E76E89">
        <w:t xml:space="preserve"> vykdė majoro nurodymą. T</w:t>
      </w:r>
      <w:r w:rsidR="00EF601C" w:rsidRPr="00E76E89">
        <w:t>aigi</w:t>
      </w:r>
      <w:r w:rsidRPr="00E76E89">
        <w:t xml:space="preserve"> </w:t>
      </w:r>
      <w:r w:rsidR="00C82C9D" w:rsidRPr="00E76E89">
        <w:t>E. R.</w:t>
      </w:r>
      <w:r w:rsidRPr="00E76E89">
        <w:t xml:space="preserve"> ir kiti nuteistieji buvo priversti duoti parodymus apie savo galimai padarytą nusikalstamą veiką, o tai draudžia tiek tarptautinė teismų praktika, tiek BPK ir Konstitucijos nuostatos.</w:t>
      </w:r>
      <w:r w:rsidR="008434B8" w:rsidRPr="00E76E89">
        <w:t xml:space="preserve">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Gynėja nesutinka ir su teismo sprendimu </w:t>
      </w:r>
      <w:r w:rsidR="00C82C9D" w:rsidRPr="00E76E89">
        <w:t>E. R.</w:t>
      </w:r>
      <w:r w:rsidRPr="00E76E89">
        <w:t xml:space="preserve"> kaltę grįsti vaizdo</w:t>
      </w:r>
      <w:r w:rsidR="00EF601C" w:rsidRPr="00E76E89">
        <w:t xml:space="preserve"> medžiaga</w:t>
      </w:r>
      <w:r w:rsidRPr="00E76E89">
        <w:t xml:space="preserve"> ir fotomedžiaga. Pirmosios instancijos teismas atmetė gynybos prašymą pavesti prokurorams nurodyti konkrečią vaizdo </w:t>
      </w:r>
      <w:r w:rsidR="00EF601C" w:rsidRPr="00E76E89">
        <w:t xml:space="preserve">medžiagą </w:t>
      </w:r>
      <w:r w:rsidRPr="00E76E89">
        <w:t>ir fotomedžiagą, kuria kaltinimas įrodinėja jos ginamojo kaltę, bei ją peržiūrėti teisme. Apeliantės teigimu, t</w:t>
      </w:r>
      <w:r w:rsidR="00EF601C" w:rsidRPr="00E76E89">
        <w:t>aip</w:t>
      </w:r>
      <w:r w:rsidRPr="00E76E89">
        <w:t xml:space="preserve"> buvo pažeistas šalių rungimosi principas. </w:t>
      </w:r>
      <w:r w:rsidR="00EF601C" w:rsidRPr="00E76E89">
        <w:t>Dėl š</w:t>
      </w:r>
      <w:r w:rsidRPr="00E76E89">
        <w:t>io</w:t>
      </w:r>
      <w:r w:rsidR="00EF601C" w:rsidRPr="00E76E89">
        <w:t>s</w:t>
      </w:r>
      <w:r w:rsidRPr="00E76E89">
        <w:t xml:space="preserve"> dal</w:t>
      </w:r>
      <w:r w:rsidR="00EF601C" w:rsidRPr="00E76E89">
        <w:t>ie</w:t>
      </w:r>
      <w:r w:rsidR="00DA46CB" w:rsidRPr="00E76E89">
        <w:t>s</w:t>
      </w:r>
      <w:r w:rsidRPr="00E76E89">
        <w:t xml:space="preserve"> būtina atlikti papildomą įrodymų tyrimą apeliacinės instancijos teisme ir peržiūrėti vaizdo </w:t>
      </w:r>
      <w:r w:rsidR="00EF601C" w:rsidRPr="00E76E89">
        <w:t xml:space="preserve">medžiagą </w:t>
      </w:r>
      <w:r w:rsidRPr="00E76E89">
        <w:t xml:space="preserve">ir fotomedžiagą, kuria grįsta </w:t>
      </w:r>
      <w:r w:rsidR="00C82C9D" w:rsidRPr="00E76E89">
        <w:t>E. R.</w:t>
      </w:r>
      <w:r w:rsidRPr="00E76E89">
        <w:t xml:space="preserve"> kaltė.</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Apeliaciniame skunde nurodoma, kad pirmosios instancijos teismas išsamiai neištyrė ir kaltinime nurodytų faktinių </w:t>
      </w:r>
      <w:r w:rsidR="00DA46CB" w:rsidRPr="00E76E89">
        <w:t xml:space="preserve">aplinkybių </w:t>
      </w:r>
      <w:r w:rsidRPr="00E76E89">
        <w:t xml:space="preserve">dėl </w:t>
      </w:r>
      <w:r w:rsidR="00C82C9D" w:rsidRPr="00E76E89">
        <w:t>E. R.</w:t>
      </w:r>
      <w:r w:rsidRPr="00E76E89">
        <w:t xml:space="preserve"> inkriminuotų tanko šūvių. Gynėjos teigimu, tanko šūviai jokios realios grėsmės sukelti negalėjo, nes tanko užtaisai buvo tušti, o šūviai atlikti maksimaliu kampu pakėlus pabūklo vamzdį ir pasirinkus kryptį, kur nebuvo žmonių. Teisiamajame posėdyje nuteistojo gynėjai nebuvo leista užduoti su tuo susijusių klausimų specialistui J. Andriškevičiui.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Pirmosios instancijos teismas taip pat neišsiaiškino, kas yra tanko dūminė užsklanda, kokia jos sudėtis, išleidimo mechanizmas bei kokie neigiami padariniai žmonių sveikatai atsiranda užsklandą paskleidus. Taip pat teisiamojo posėdžio metu neišsiaiškinta, kokie yra tanko </w:t>
      </w:r>
      <w:r w:rsidR="001C5185" w:rsidRPr="00E76E89">
        <w:t xml:space="preserve">T-72 </w:t>
      </w:r>
      <w:r w:rsidRPr="00E76E89">
        <w:t xml:space="preserve">šūvio tuščiu užtaisu niokojantys </w:t>
      </w:r>
      <w:r w:rsidR="00EF601C" w:rsidRPr="00E76E89">
        <w:t>veiksniai</w:t>
      </w:r>
      <w:r w:rsidRPr="00E76E89">
        <w:t xml:space="preserve">, kokia yra šūvio tuščiu užtaisu smūginės bangos jėga pabūklą pakėlus maksimaliu paaukštinimu, garso jėga kelių metrų atstumu nuo pabūklo šaudant tuščiu užtaisu bei kokiai garso jėgai esant galima akustinės traumos rizika. Gynėjos įsitikinimu, nesant tokios specifinės informacijos, negalima tikėti specialistų išvadomis dėl akustinių traumų, kurios neva padarytos būtent tankų šūviais, nes įvykio vietoje naudoti ir kiti prietaisai, galintys sukelti tokius padarinius. Teisme specialistas J. Andriškevičius pagal jam iš anksto pateiktus raštiškus klausimus nurodė, jog tarp jam pateiktų klausimų nėra </w:t>
      </w:r>
      <w:r w:rsidRPr="00E76E89">
        <w:lastRenderedPageBreak/>
        <w:t>tokių, į kuriuos jis negalėtų atsakyti. Gynėjos teigimu, nepaisant to, pirmosios instancijos teismas, pradėjus uždavinėti klausimus, nepagrįstai nutraukė specialisto ir jos dialogą. Gynėjos įsitikinimu, visas šias aplinkybes būtina išsiaiškinti bylą nagrinėjant apeliacinės instancijos teisme ir papildomai apklausiant specialistą J. Andriškevičių (pagal klausimyną, kuris buvo pateiktas pirmosios instancijos teisme</w:t>
      </w:r>
      <w:r w:rsidRPr="00E76E89" w:rsidDel="0048606F">
        <w:t xml:space="preserve"> </w:t>
      </w:r>
      <w:r w:rsidR="00953644" w:rsidRPr="00E76E89">
        <w:t>(t. 754, b. l. 19</w:t>
      </w:r>
      <w:r w:rsidRPr="00E76E89">
        <w:t>)).</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Gynėja nesutinka ir su išvadomis dėl </w:t>
      </w:r>
      <w:r w:rsidR="00570C83" w:rsidRPr="00E76E89">
        <w:t>įsakymo</w:t>
      </w:r>
      <w:r w:rsidR="00DA46CB" w:rsidRPr="00E76E89">
        <w:t>, žinant, kad jis neteisėtas,</w:t>
      </w:r>
      <w:r w:rsidRPr="00E76E89">
        <w:t xml:space="preserve"> vykdymo, nes </w:t>
      </w:r>
      <w:r w:rsidR="00C82C9D" w:rsidRPr="00E76E89">
        <w:t>E. R.</w:t>
      </w:r>
      <w:r w:rsidRPr="00E76E89">
        <w:t xml:space="preserve"> negalėjo suvokti, kad tokį vykdo. Nuteistasis nemoka lietuvių kalbos, nežino Lietuvos istorijos, į Lietuvą tarnauti paskirtas tik </w:t>
      </w:r>
      <w:r w:rsidR="000F5BFE" w:rsidRPr="00E76E89">
        <w:t>(duomenys neskelbtini)</w:t>
      </w:r>
      <w:r w:rsidRPr="00E76E89">
        <w:t xml:space="preserve">, todėl neturėjo pagrindo suabejoti įsakymo teisėtumu. Nuteistojo </w:t>
      </w:r>
      <w:r w:rsidR="004069BF" w:rsidRPr="00E76E89">
        <w:t>N. A.</w:t>
      </w:r>
      <w:r w:rsidR="00B85D8F" w:rsidRPr="00E76E89">
        <w:t xml:space="preserve"> įsakymu prie Spaudos rūmų </w:t>
      </w:r>
      <w:r w:rsidR="00C82C9D" w:rsidRPr="00E76E89">
        <w:t>E. R.</w:t>
      </w:r>
      <w:r w:rsidRPr="00E76E89">
        <w:t xml:space="preserve"> </w:t>
      </w:r>
      <w:r w:rsidR="00A34D0A" w:rsidRPr="00E76E89">
        <w:t>ekipažas buvo tik apie 2</w:t>
      </w:r>
      <w:r w:rsidR="00D64F26" w:rsidRPr="00E76E89">
        <w:t>–</w:t>
      </w:r>
      <w:r w:rsidRPr="00E76E89">
        <w:t xml:space="preserve">3 valandas, ginklų ir fizinio smurto nenaudojo, o prie LRT griežtai buvo vykdomas nurodymas dėl judėjimo ir sustojimo prie šio pastato. Apeliantė teigia, kad jos ginamojo veiksmai nesukėlė jokios grėsmės ar žalos civiliams. Todėl iš nuosprendžio neaišku, ką neteisėto </w:t>
      </w:r>
      <w:r w:rsidR="00C82C9D" w:rsidRPr="00E76E89">
        <w:t>E. R.</w:t>
      </w:r>
      <w:r w:rsidRPr="00E76E89">
        <w:t xml:space="preserve"> buvo įsakyta padaryti ir iš ko jis turėjo suprasti vykdąs neteisėtą įsakymą. </w:t>
      </w:r>
      <w:r w:rsidR="00DA46CB" w:rsidRPr="00E76E89">
        <w:t>Jis, k</w:t>
      </w:r>
      <w:r w:rsidRPr="00E76E89">
        <w:t>aip tanko įgulos vadas</w:t>
      </w:r>
      <w:r w:rsidR="004F7465" w:rsidRPr="00E76E89">
        <w:t>,</w:t>
      </w:r>
      <w:r w:rsidRPr="00E76E89">
        <w:t xml:space="preserve"> buvo atsakingas už įgulos narius ir karinę techniką, todėl privalėjo juos saugoti bei neleisti civiliams prie jų pavojingai artintis, </w:t>
      </w:r>
      <w:r w:rsidR="004F7465" w:rsidRPr="00E76E89">
        <w:t>tai jis</w:t>
      </w:r>
      <w:r w:rsidRPr="00E76E89">
        <w:t xml:space="preserve"> ir darė. Apeliantės teigimu, skirtingai nei nurodyta nuosprendyje, nuteistasis ėmėsi visų atsargumo priemonių apsaug</w:t>
      </w:r>
      <w:r w:rsidR="005770E9" w:rsidRPr="00E76E89">
        <w:t>oti</w:t>
      </w:r>
      <w:r w:rsidRPr="00E76E89">
        <w:t xml:space="preserve"> civilius ir įgulos narius nuo neigiamų pa</w:t>
      </w:r>
      <w:r w:rsidR="004F7465" w:rsidRPr="00E76E89">
        <w:t>darinių</w:t>
      </w:r>
      <w:r w:rsidRPr="00E76E89">
        <w:t xml:space="preserve">.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Apeliantė nesutinka su teismo išvada, kad Lietuvos gyventojai nebuvo naudojami kaip gyvasis skydas objektams ginti. Iš liudytojų parodymų matyti, kad Lietuvos vadovai per visuomenės informavimo priemones kvietė civilius atvykti prie strategiškai svarbių objektų ir juos ginti. Taigi Lietuvos vadovybė nesilaikė </w:t>
      </w:r>
      <w:r w:rsidR="00171173" w:rsidRPr="00E76E89">
        <w:t xml:space="preserve">1949 m. rugpjūčio 12 d. </w:t>
      </w:r>
      <w:r w:rsidR="00491A27" w:rsidRPr="00E76E89">
        <w:t>Ženevos k</w:t>
      </w:r>
      <w:r w:rsidR="00D76BE4" w:rsidRPr="00E76E89">
        <w:t>onvencijų I-ojo P</w:t>
      </w:r>
      <w:r w:rsidRPr="00E76E89">
        <w:t xml:space="preserve">apildomo protokolo 51 straipsnio 8 dalies nuostatų, </w:t>
      </w:r>
      <w:r w:rsidR="00DA46CB" w:rsidRPr="00E76E89">
        <w:t xml:space="preserve">kuriomis </w:t>
      </w:r>
      <w:r w:rsidRPr="00E76E89">
        <w:t>draudžia</w:t>
      </w:r>
      <w:r w:rsidR="00DA46CB" w:rsidRPr="00E76E89">
        <w:t>ma</w:t>
      </w:r>
      <w:r w:rsidRPr="00E76E89">
        <w:t xml:space="preserve"> naudoti gyvąjį skydą objektų gynybai.</w:t>
      </w:r>
    </w:p>
    <w:p w:rsidR="00A874C1" w:rsidRPr="00E76E89" w:rsidRDefault="00A874C1" w:rsidP="00321748">
      <w:pPr>
        <w:pStyle w:val="ListParagraph"/>
        <w:numPr>
          <w:ilvl w:val="1"/>
          <w:numId w:val="6"/>
        </w:numPr>
        <w:tabs>
          <w:tab w:val="left" w:pos="284"/>
        </w:tabs>
        <w:spacing w:after="120"/>
        <w:ind w:left="992" w:hanging="992"/>
        <w:contextualSpacing w:val="0"/>
      </w:pPr>
      <w:r w:rsidRPr="00E76E89">
        <w:t xml:space="preserve">Nuteistojo gynėja neigia savo ginamojo kaltę ir, analizuodama atskirų jam inkriminuotų nusikaltimų sudėties požymius, nurodo, kad jis turi būti išteisintas dėl visų </w:t>
      </w:r>
      <w:r w:rsidR="005770E9" w:rsidRPr="00E76E89">
        <w:t xml:space="preserve">jam </w:t>
      </w:r>
      <w:r w:rsidRPr="00E76E89">
        <w:t>pareikštų kaltinimų.</w:t>
      </w:r>
    </w:p>
    <w:p w:rsidR="00B85D8F" w:rsidRPr="00E76E89" w:rsidRDefault="00A874C1" w:rsidP="00321748">
      <w:pPr>
        <w:pStyle w:val="ListParagraph"/>
        <w:numPr>
          <w:ilvl w:val="2"/>
          <w:numId w:val="6"/>
        </w:numPr>
        <w:tabs>
          <w:tab w:val="left" w:pos="284"/>
        </w:tabs>
        <w:spacing w:before="120" w:after="120"/>
        <w:ind w:left="992" w:hanging="992"/>
        <w:contextualSpacing w:val="0"/>
      </w:pPr>
      <w:r w:rsidRPr="00E76E89">
        <w:t xml:space="preserve">Dėl BK 100 straipsnio, nes numatytas nusikaltimas padaromas tik tiesiogine tyčia – asmeniui siekiant vykdyti ar remti valstybės politiką dideliu mastu arba sistemingai užpuldinėti, žudyti ar žaloti civilius. Byloje nėra surinkta įrodymų, kad </w:t>
      </w:r>
      <w:r w:rsidR="00C82C9D" w:rsidRPr="00E76E89">
        <w:t>E. R.</w:t>
      </w:r>
      <w:r w:rsidRPr="00E76E89">
        <w:t xml:space="preserve"> būtų rėmęs TSRS ar LKP politiką, būtų žalojęs civilius ar sudaręs sąlygas, kurios nulemtų jų žūtį. Teismas nenurodė</w:t>
      </w:r>
      <w:r w:rsidR="00E22A82" w:rsidRPr="00E76E89">
        <w:t xml:space="preserve">, </w:t>
      </w:r>
      <w:r w:rsidRPr="00E76E89">
        <w:t>kokius konkrečius šio nusikaltimo sudėties požymius</w:t>
      </w:r>
      <w:r w:rsidR="008434B8" w:rsidRPr="00E76E89">
        <w:t xml:space="preserve"> </w:t>
      </w:r>
      <w:r w:rsidRPr="00E76E89">
        <w:t xml:space="preserve">atitinkančius veiksmus atliko </w:t>
      </w:r>
      <w:r w:rsidR="00C82C9D" w:rsidRPr="00E76E89">
        <w:t>E. R.</w:t>
      </w:r>
      <w:r w:rsidRPr="00E76E89">
        <w:t xml:space="preserve">. </w:t>
      </w:r>
    </w:p>
    <w:p w:rsidR="00B85D8F" w:rsidRPr="00E76E89" w:rsidRDefault="00A874C1" w:rsidP="00321748">
      <w:pPr>
        <w:pStyle w:val="ListParagraph"/>
        <w:numPr>
          <w:ilvl w:val="2"/>
          <w:numId w:val="6"/>
        </w:numPr>
        <w:tabs>
          <w:tab w:val="left" w:pos="284"/>
        </w:tabs>
        <w:spacing w:before="120" w:after="120"/>
        <w:ind w:left="992" w:hanging="992"/>
        <w:contextualSpacing w:val="0"/>
      </w:pPr>
      <w:r w:rsidRPr="00E76E89">
        <w:t xml:space="preserve">Dėl BK 101 straipsnio, nes byloje nėra jokių įrodymų, kad nuteistasis būtų įsakęs, kurstęs ar organizavęs tarptautinės humanitarinės teisės saugomų asmenų žudymą ir </w:t>
      </w:r>
      <w:r w:rsidR="00E22A82" w:rsidRPr="00E76E89">
        <w:t>kad</w:t>
      </w:r>
      <w:r w:rsidRPr="00E76E89">
        <w:t xml:space="preserve"> visa tai darė veikdamas tiesiogine tyčia.</w:t>
      </w:r>
    </w:p>
    <w:p w:rsidR="00B85D8F" w:rsidRPr="00E76E89" w:rsidRDefault="00A874C1" w:rsidP="00321748">
      <w:pPr>
        <w:pStyle w:val="ListParagraph"/>
        <w:numPr>
          <w:ilvl w:val="2"/>
          <w:numId w:val="6"/>
        </w:numPr>
        <w:tabs>
          <w:tab w:val="left" w:pos="284"/>
        </w:tabs>
        <w:spacing w:before="120" w:after="120"/>
        <w:ind w:left="992" w:hanging="992"/>
        <w:contextualSpacing w:val="0"/>
      </w:pPr>
      <w:r w:rsidRPr="00E76E89">
        <w:t>Dėl BK 103 straipsnio, nes byloje nėra įrodymų, kad prieš civilius jis atliko juos žalojančio, kankinančio ar kitokio nežmoniško elgesio aktus ar</w:t>
      </w:r>
      <w:r w:rsidR="005770E9" w:rsidRPr="00E76E89">
        <w:t>ba</w:t>
      </w:r>
      <w:r w:rsidRPr="00E76E89">
        <w:t xml:space="preserve"> </w:t>
      </w:r>
      <w:r w:rsidR="005770E9" w:rsidRPr="00E76E89">
        <w:t xml:space="preserve">kurstė </w:t>
      </w:r>
      <w:r w:rsidRPr="00E76E89">
        <w:t>tam tikrus asmenis tai daryti ar jiems įsakė. Gynybos teigimu, šūviais iš tanko galėjo būti siekiama neprileisti civilių prie karinės technikos, nes vaizdo įrašuose užfiksuoti neadekvatūs civilių veiksmai, dėl kurių jie gali susižaloti tiek patys, tiek padaryti sužalojimus kareiviams. Teismo išvada, kad tanko T-72 apšvietimo prietaisais buvo bandoma akinti ir gąsdinti asmenis, yra nelogiška. Gynėjos teigimu, tanko T-72 kėbulo apšvietimo prietaisai skirti tik pa</w:t>
      </w:r>
      <w:r w:rsidR="00DA46CB" w:rsidRPr="00E76E89">
        <w:t>čiam</w:t>
      </w:r>
      <w:r w:rsidRPr="00E76E89">
        <w:t xml:space="preserve"> tank</w:t>
      </w:r>
      <w:r w:rsidR="00DA46CB" w:rsidRPr="00E76E89">
        <w:t>ui</w:t>
      </w:r>
      <w:r w:rsidRPr="00E76E89">
        <w:t xml:space="preserve"> apšvie</w:t>
      </w:r>
      <w:r w:rsidR="00DA46CB" w:rsidRPr="00E76E89">
        <w:t>sti</w:t>
      </w:r>
      <w:r w:rsidRPr="00E76E89">
        <w:t xml:space="preserve"> ir jokios akinimo ar gąsdinimo funkcijos neturi. Apeliantės įsitikinimu, ir dūminė užsklanda nėra specialiai žmon</w:t>
      </w:r>
      <w:r w:rsidR="00DA46CB" w:rsidRPr="00E76E89">
        <w:t>ėms</w:t>
      </w:r>
      <w:r w:rsidRPr="00E76E89">
        <w:t xml:space="preserve"> gąsdin</w:t>
      </w:r>
      <w:r w:rsidR="00DA46CB" w:rsidRPr="00E76E89">
        <w:t>ti</w:t>
      </w:r>
      <w:r w:rsidRPr="00E76E89">
        <w:t xml:space="preserve"> ir sveikatai žaloti skirtas įrenginys. Net darant prielaidą, kad dėl tanko Nr. 574 iššauto tuščio užtaiso nors vienas asmuo patyrė akustinę traumą, dėl to jau yra suėjęs apkaltinamojo nuosprendžio priėmimo senaties terminas ir nuteistasis atsakomybėn negali būti traukiamas.</w:t>
      </w:r>
    </w:p>
    <w:p w:rsidR="00B85D8F" w:rsidRPr="00E76E89" w:rsidRDefault="00A874C1" w:rsidP="00321748">
      <w:pPr>
        <w:pStyle w:val="ListParagraph"/>
        <w:numPr>
          <w:ilvl w:val="2"/>
          <w:numId w:val="6"/>
        </w:numPr>
        <w:tabs>
          <w:tab w:val="left" w:pos="284"/>
        </w:tabs>
        <w:spacing w:before="120" w:after="120"/>
        <w:ind w:left="992" w:hanging="992"/>
        <w:contextualSpacing w:val="0"/>
      </w:pPr>
      <w:r w:rsidRPr="00E76E89">
        <w:lastRenderedPageBreak/>
        <w:t xml:space="preserve">Dėl BK 111 straipsnio, nes byloje nėra jokių įrodymų, kad </w:t>
      </w:r>
      <w:r w:rsidR="00C82C9D" w:rsidRPr="00E76E89">
        <w:t>E. R.</w:t>
      </w:r>
      <w:r w:rsidRPr="00E76E89">
        <w:t xml:space="preserve"> dalyvavo draudžiamoj</w:t>
      </w:r>
      <w:r w:rsidR="005770E9" w:rsidRPr="00E76E89">
        <w:t>e</w:t>
      </w:r>
      <w:r w:rsidRPr="00E76E89">
        <w:t xml:space="preserve"> karo atakoje. Be to, nuosprendyje tokie veiksmai nėra nurodyti ir konkretizuoti. </w:t>
      </w:r>
    </w:p>
    <w:p w:rsidR="00A874C1" w:rsidRPr="00E76E89" w:rsidRDefault="00A874C1" w:rsidP="00321748">
      <w:pPr>
        <w:pStyle w:val="ListParagraph"/>
        <w:numPr>
          <w:ilvl w:val="2"/>
          <w:numId w:val="6"/>
        </w:numPr>
        <w:tabs>
          <w:tab w:val="left" w:pos="284"/>
        </w:tabs>
        <w:spacing w:before="120" w:after="120"/>
        <w:ind w:left="992" w:hanging="992"/>
        <w:contextualSpacing w:val="0"/>
      </w:pPr>
      <w:r w:rsidRPr="00E76E89">
        <w:t xml:space="preserve">Dėl BK 112 straipsnio, nes nuteistasis nenaudojo uždraustų karo priemonių. Byloje esantys oficialūs dokumentai patvirtina, kad </w:t>
      </w:r>
      <w:r w:rsidR="00C82C9D" w:rsidRPr="00E76E89">
        <w:t>E. R.</w:t>
      </w:r>
      <w:r w:rsidRPr="00E76E89">
        <w:t xml:space="preserve"> nepanaudojo</w:t>
      </w:r>
      <w:r w:rsidRPr="00E76E89" w:rsidDel="00D04D4C">
        <w:t xml:space="preserve"> </w:t>
      </w:r>
      <w:r w:rsidR="00B85D8F" w:rsidRPr="00E76E89">
        <w:t>n</w:t>
      </w:r>
      <w:r w:rsidR="007B47B6" w:rsidRPr="00E76E89">
        <w:t>ė</w:t>
      </w:r>
      <w:r w:rsidR="00B85D8F" w:rsidRPr="00E76E89">
        <w:t xml:space="preserve"> vienos jam išduotos 5,45 </w:t>
      </w:r>
      <w:r w:rsidRPr="00E76E89">
        <w:t>mm kalibro ypatingos kulkos. Be to, n</w:t>
      </w:r>
      <w:r w:rsidR="007B47B6" w:rsidRPr="00E76E89">
        <w:t>ė</w:t>
      </w:r>
      <w:r w:rsidRPr="00E76E89">
        <w:t xml:space="preserve"> vienas asmuo byloje nenurodė, kad jis naudojo tokias kulkas.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Nuteistojo gynėjos manymu, susidaro nelogiška situacija, kai visų asmenų tie patys veiksmai kvalifikuojami net pagal 4 skirtingus BK straipsniu</w:t>
      </w:r>
      <w:r w:rsidR="00A34D0A" w:rsidRPr="00E76E89">
        <w:t xml:space="preserve">s. BK 100, BK </w:t>
      </w:r>
      <w:r w:rsidR="00B85D8F" w:rsidRPr="00E76E89">
        <w:t>101, BK 103 ir BK 111 </w:t>
      </w:r>
      <w:r w:rsidRPr="00E76E89">
        <w:t>straipsniuose aprašyti veiksmai skiriasi pagal objektyviųjų požymių realizavimo laiką, aplinką bei aplinkybes, be to</w:t>
      </w:r>
      <w:r w:rsidR="007B47B6" w:rsidRPr="00E76E89">
        <w:t>,</w:t>
      </w:r>
      <w:r w:rsidRPr="00E76E89">
        <w:t xml:space="preserve"> skiriasi ir vertybės, </w:t>
      </w:r>
      <w:r w:rsidR="007B47B6" w:rsidRPr="00E76E89">
        <w:t xml:space="preserve">ginamos </w:t>
      </w:r>
      <w:r w:rsidRPr="00E76E89">
        <w:t>šio</w:t>
      </w:r>
      <w:r w:rsidR="007B47B6" w:rsidRPr="00E76E89">
        <w:t>mi</w:t>
      </w:r>
      <w:r w:rsidRPr="00E76E89">
        <w:t>s normo</w:t>
      </w:r>
      <w:r w:rsidR="007B47B6" w:rsidRPr="00E76E89">
        <w:t>mi</w:t>
      </w:r>
      <w:r w:rsidRPr="00E76E89">
        <w:t xml:space="preserve">s.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Apeliantė nurodo, kad nuteistajam inkriminuojamos veikos padarytos anksčiau</w:t>
      </w:r>
      <w:r w:rsidR="007B47B6" w:rsidRPr="00E76E89">
        <w:t>,</w:t>
      </w:r>
      <w:r w:rsidRPr="00E76E89">
        <w:t xml:space="preserve"> nei priimtos BK pataisos, įtvirtinančios karo nusikaltimus ir nusikaltimus žmoniškumui. Todėl teismui pripažinus nuteistuosius kaltais pagal šias normas buvo pažeistas </w:t>
      </w:r>
      <w:r w:rsidRPr="00E76E89">
        <w:rPr>
          <w:i/>
        </w:rPr>
        <w:t>nullum crimen sine lege</w:t>
      </w:r>
      <w:r w:rsidRPr="00E76E89">
        <w:t xml:space="preserve"> principas. Gynybos teigimu, 1991 m. baudžiamajame įstatyme nebuvo ne tik straipsnių, </w:t>
      </w:r>
      <w:r w:rsidR="007B47B6" w:rsidRPr="00E76E89">
        <w:t>kuriuose numatyta</w:t>
      </w:r>
      <w:r w:rsidRPr="00E76E89">
        <w:t xml:space="preserve"> atsakomyb</w:t>
      </w:r>
      <w:r w:rsidR="007B47B6" w:rsidRPr="00E76E89">
        <w:t>ė</w:t>
      </w:r>
      <w:r w:rsidRPr="00E76E89">
        <w:t xml:space="preserve"> už šiuos nusikaltimus, </w:t>
      </w:r>
      <w:r w:rsidR="007B47B6" w:rsidRPr="00E76E89">
        <w:t>bet ir</w:t>
      </w:r>
      <w:r w:rsidRPr="00E76E89">
        <w:t xml:space="preserve"> i</w:t>
      </w:r>
      <w:r w:rsidR="00B85D8F" w:rsidRPr="00E76E89">
        <w:t>ki 1998 m. nebuvo priimtos BK 3 </w:t>
      </w:r>
      <w:r w:rsidRPr="00E76E89">
        <w:t xml:space="preserve">straipsnio 3 dalies normos dėl baudžiamojo įstatymo grįžtamosios galios taikymo išimties. Dėl to susidarė situacija, kad baudžiamojoje byloje Nr. 1-2/1999 </w:t>
      </w:r>
      <w:r w:rsidR="00C507EF" w:rsidRPr="00E76E89">
        <w:t>M. B.</w:t>
      </w:r>
      <w:r w:rsidRPr="00E76E89">
        <w:t xml:space="preserve"> ir kitiems </w:t>
      </w:r>
      <w:r w:rsidR="005770E9" w:rsidRPr="00E76E89">
        <w:t xml:space="preserve">asmenims </w:t>
      </w:r>
      <w:r w:rsidRPr="00E76E89">
        <w:t>už tų pačių įvykių metu atliktus veiksmus buvo pritaikytos 1961</w:t>
      </w:r>
      <w:r w:rsidR="0026514F" w:rsidRPr="00E76E89">
        <w:t> </w:t>
      </w:r>
      <w:r w:rsidRPr="00E76E89">
        <w:t>m.</w:t>
      </w:r>
      <w:r w:rsidR="0026514F" w:rsidRPr="00E76E89">
        <w:t> </w:t>
      </w:r>
      <w:r w:rsidRPr="00E76E89">
        <w:t>BK</w:t>
      </w:r>
      <w:r w:rsidR="005770E9" w:rsidRPr="00E76E89">
        <w:t> </w:t>
      </w:r>
      <w:r w:rsidRPr="00E76E89">
        <w:t xml:space="preserve">nuostatos, </w:t>
      </w:r>
      <w:r w:rsidR="007B47B6" w:rsidRPr="00E76E89">
        <w:t>kuriomis numat</w:t>
      </w:r>
      <w:r w:rsidR="005770E9" w:rsidRPr="00E76E89">
        <w:t>yta</w:t>
      </w:r>
      <w:r w:rsidRPr="00E76E89">
        <w:t xml:space="preserve"> atsakomyb</w:t>
      </w:r>
      <w:r w:rsidR="007B47B6" w:rsidRPr="00E76E89">
        <w:t>ė</w:t>
      </w:r>
      <w:r w:rsidRPr="00E76E89">
        <w:t xml:space="preserve"> už nusikaltimus asmenų gyvybei ir sveikatai. O šioje byloje kaltinamiems asmenims už dalyvavimą tuose pačiuose įvykiuose – </w:t>
      </w:r>
      <w:r w:rsidR="005770E9" w:rsidRPr="00E76E89">
        <w:t xml:space="preserve">už </w:t>
      </w:r>
      <w:r w:rsidRPr="00E76E89">
        <w:t>karo nusikaltim</w:t>
      </w:r>
      <w:r w:rsidR="005770E9" w:rsidRPr="00E76E89">
        <w:t>us</w:t>
      </w:r>
      <w:r w:rsidRPr="00E76E89">
        <w:t xml:space="preserve"> ir nusikaltim</w:t>
      </w:r>
      <w:r w:rsidR="005770E9" w:rsidRPr="00E76E89">
        <w:t>us</w:t>
      </w:r>
      <w:r w:rsidRPr="00E76E89">
        <w:t xml:space="preserve"> žmoniškumui </w:t>
      </w:r>
      <w:r w:rsidR="004C5CD6" w:rsidRPr="00E76E89">
        <w:t xml:space="preserve">– </w:t>
      </w:r>
      <w:r w:rsidRPr="00E76E89">
        <w:t xml:space="preserve">redakcija, įsigaliojusi 2011 metais. Įstatymo nuostatų galiojimo atgal draudimas yra numatytas tiek tarptautinės teisės aktuose, tiek Konstitucijoje, tačiau teismas šių draudimų nepaisė. Jei </w:t>
      </w:r>
      <w:r w:rsidR="00C82C9D" w:rsidRPr="00E76E89">
        <w:t>E. R.</w:t>
      </w:r>
      <w:r w:rsidRPr="00E76E89">
        <w:t xml:space="preserve"> ve</w:t>
      </w:r>
      <w:r w:rsidR="00B85D8F" w:rsidRPr="00E76E89">
        <w:t xml:space="preserve">ikos būtų kvalifikuotos kaip </w:t>
      </w:r>
      <w:r w:rsidR="00C507EF" w:rsidRPr="00E76E89">
        <w:t>M. B.</w:t>
      </w:r>
      <w:r w:rsidRPr="00E76E89">
        <w:t xml:space="preserve">, jau būtų suėjęs patraukimo baudžiamojon atsakomybėn senaties terminas ir byla jo atžvilgiu </w:t>
      </w:r>
      <w:r w:rsidR="00DC3E4F" w:rsidRPr="00E76E89">
        <w:t xml:space="preserve">būtų </w:t>
      </w:r>
      <w:r w:rsidRPr="00E76E89">
        <w:t xml:space="preserve">nutraukta.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Gynėjos įsitikinimu, atsižvelgiant į minėtas aplinkybes, byloje</w:t>
      </w:r>
      <w:r w:rsidR="00B85D8F" w:rsidRPr="00E76E89">
        <w:t xml:space="preserve"> būtina kreiptis į Konstitucinį </w:t>
      </w:r>
      <w:r w:rsidRPr="00E76E89">
        <w:t>Teismą</w:t>
      </w:r>
      <w:r w:rsidR="007B47B6" w:rsidRPr="00E76E89">
        <w:t>,</w:t>
      </w:r>
      <w:r w:rsidRPr="00E76E89">
        <w:t xml:space="preserve"> siekiant išsiaiškinti, </w:t>
      </w:r>
      <w:r w:rsidRPr="00E76E89">
        <w:rPr>
          <w:color w:val="000000"/>
          <w:lang w:eastAsia="lt-LT" w:bidi="lt-LT"/>
        </w:rPr>
        <w:t xml:space="preserve">ar BK 3 straipsnio 3 </w:t>
      </w:r>
      <w:r w:rsidRPr="00E76E89">
        <w:rPr>
          <w:color w:val="000000"/>
          <w:szCs w:val="24"/>
          <w:lang w:eastAsia="lt-LT" w:bidi="lt-LT"/>
        </w:rPr>
        <w:t xml:space="preserve">dalis </w:t>
      </w:r>
      <w:r w:rsidRPr="00E76E89">
        <w:rPr>
          <w:rStyle w:val="Bodytext2Italic"/>
          <w:i w:val="0"/>
          <w:iCs w:val="0"/>
        </w:rPr>
        <w:t>(2011 m. kovo 22</w:t>
      </w:r>
      <w:r w:rsidR="005770E9" w:rsidRPr="00E76E89">
        <w:rPr>
          <w:rStyle w:val="Bodytext2Italic"/>
          <w:i w:val="0"/>
          <w:iCs w:val="0"/>
        </w:rPr>
        <w:t> </w:t>
      </w:r>
      <w:r w:rsidRPr="00E76E89">
        <w:rPr>
          <w:rStyle w:val="Bodytext2Italic"/>
          <w:i w:val="0"/>
          <w:iCs w:val="0"/>
        </w:rPr>
        <w:t>d. redakcija; Žinios, 2011, Nr. 38-1805</w:t>
      </w:r>
      <w:r w:rsidRPr="00E76E89">
        <w:rPr>
          <w:color w:val="000000"/>
          <w:szCs w:val="24"/>
          <w:lang w:eastAsia="lt-LT" w:bidi="lt-LT"/>
        </w:rPr>
        <w:t>)</w:t>
      </w:r>
      <w:r w:rsidRPr="00E76E89">
        <w:rPr>
          <w:i/>
          <w:color w:val="000000"/>
          <w:szCs w:val="24"/>
          <w:lang w:eastAsia="lt-LT" w:bidi="lt-LT"/>
        </w:rPr>
        <w:t xml:space="preserve"> </w:t>
      </w:r>
      <w:r w:rsidRPr="00E76E89">
        <w:rPr>
          <w:color w:val="000000"/>
          <w:lang w:eastAsia="lt-LT" w:bidi="lt-LT"/>
        </w:rPr>
        <w:t>tiek, kiek joje nustaty</w:t>
      </w:r>
      <w:r w:rsidR="00B85D8F" w:rsidRPr="00E76E89">
        <w:rPr>
          <w:color w:val="000000"/>
          <w:lang w:eastAsia="lt-LT" w:bidi="lt-LT"/>
        </w:rPr>
        <w:t>tas reguliavimas, pagal kurį BK </w:t>
      </w:r>
      <w:r w:rsidRPr="00E76E89">
        <w:rPr>
          <w:color w:val="000000"/>
          <w:lang w:eastAsia="lt-LT" w:bidi="lt-LT"/>
        </w:rPr>
        <w:t>100, 101, 103, 111, 112 straipsniams nustatyta išimtis iš taisyklės, kad veikų nusikalstamumą nustatantis, griežtinantis bausmę arba kitaip sunkinantis nusikalstamą veiką padariusio asmens teisinę padėtį baudžiamasis įstatymas neturi grįžtamosios galios, neprieštarauja 2003 m.</w:t>
      </w:r>
      <w:r w:rsidR="007B47B6" w:rsidRPr="00E76E89">
        <w:rPr>
          <w:color w:val="000000"/>
          <w:lang w:eastAsia="lt-LT" w:bidi="lt-LT"/>
        </w:rPr>
        <w:t xml:space="preserve"> </w:t>
      </w:r>
      <w:r w:rsidR="00B85D8F" w:rsidRPr="00E76E89">
        <w:rPr>
          <w:color w:val="000000"/>
          <w:lang w:eastAsia="lt-LT" w:bidi="lt-LT"/>
        </w:rPr>
        <w:t>rugpjūčio 1 </w:t>
      </w:r>
      <w:r w:rsidRPr="00E76E89">
        <w:rPr>
          <w:color w:val="000000"/>
          <w:lang w:eastAsia="lt-LT" w:bidi="lt-LT"/>
        </w:rPr>
        <w:t>d. įsigaliojusi</w:t>
      </w:r>
      <w:r w:rsidR="007B47B6" w:rsidRPr="00E76E89">
        <w:rPr>
          <w:color w:val="000000"/>
          <w:lang w:eastAsia="lt-LT" w:bidi="lt-LT"/>
        </w:rPr>
        <w:t>o</w:t>
      </w:r>
      <w:r w:rsidRPr="00E76E89">
        <w:rPr>
          <w:color w:val="000000"/>
          <w:lang w:eastAsia="lt-LT" w:bidi="lt-LT"/>
        </w:rPr>
        <w:t xml:space="preserve"> </w:t>
      </w:r>
      <w:r w:rsidR="007403E5" w:rsidRPr="00E76E89">
        <w:rPr>
          <w:color w:val="000000"/>
          <w:lang w:eastAsia="lt-LT" w:bidi="lt-LT"/>
        </w:rPr>
        <w:t>Romos statut</w:t>
      </w:r>
      <w:r w:rsidR="007B47B6" w:rsidRPr="00E76E89">
        <w:rPr>
          <w:color w:val="000000"/>
          <w:lang w:eastAsia="lt-LT" w:bidi="lt-LT"/>
        </w:rPr>
        <w:t>o</w:t>
      </w:r>
      <w:r w:rsidR="007403E5" w:rsidRPr="00E76E89">
        <w:rPr>
          <w:color w:val="000000"/>
          <w:lang w:eastAsia="lt-LT" w:bidi="lt-LT"/>
        </w:rPr>
        <w:t>, priimt</w:t>
      </w:r>
      <w:r w:rsidR="007B47B6" w:rsidRPr="00E76E89">
        <w:rPr>
          <w:color w:val="000000"/>
          <w:lang w:eastAsia="lt-LT" w:bidi="lt-LT"/>
        </w:rPr>
        <w:t xml:space="preserve">o </w:t>
      </w:r>
      <w:r w:rsidR="0042306C" w:rsidRPr="00E76E89">
        <w:rPr>
          <w:color w:val="000000"/>
          <w:lang w:eastAsia="lt-LT" w:bidi="lt-LT"/>
        </w:rPr>
        <w:t>1998 m.</w:t>
      </w:r>
      <w:r w:rsidR="007B47B6" w:rsidRPr="00E76E89">
        <w:rPr>
          <w:color w:val="000000"/>
          <w:lang w:eastAsia="lt-LT" w:bidi="lt-LT"/>
        </w:rPr>
        <w:t xml:space="preserve"> </w:t>
      </w:r>
      <w:r w:rsidR="0042306C" w:rsidRPr="00E76E89">
        <w:rPr>
          <w:color w:val="000000"/>
          <w:lang w:eastAsia="lt-LT" w:bidi="lt-LT"/>
        </w:rPr>
        <w:t>liepos</w:t>
      </w:r>
      <w:r w:rsidR="007B47B6" w:rsidRPr="00E76E89">
        <w:rPr>
          <w:color w:val="000000"/>
          <w:lang w:eastAsia="lt-LT" w:bidi="lt-LT"/>
        </w:rPr>
        <w:t xml:space="preserve"> </w:t>
      </w:r>
      <w:r w:rsidRPr="00E76E89">
        <w:rPr>
          <w:color w:val="000000"/>
          <w:lang w:eastAsia="lt-LT" w:bidi="lt-LT"/>
        </w:rPr>
        <w:t>17</w:t>
      </w:r>
      <w:r w:rsidR="007B47B6" w:rsidRPr="00E76E89">
        <w:rPr>
          <w:color w:val="000000"/>
          <w:lang w:eastAsia="lt-LT" w:bidi="lt-LT"/>
        </w:rPr>
        <w:t> </w:t>
      </w:r>
      <w:r w:rsidRPr="00E76E89">
        <w:rPr>
          <w:color w:val="000000"/>
          <w:lang w:eastAsia="lt-LT" w:bidi="lt-LT"/>
        </w:rPr>
        <w:t xml:space="preserve">d., principams ir </w:t>
      </w:r>
      <w:r w:rsidR="007403E5" w:rsidRPr="00E76E89">
        <w:rPr>
          <w:color w:val="000000"/>
          <w:lang w:eastAsia="lt-LT" w:bidi="lt-LT"/>
        </w:rPr>
        <w:t>nuostatoms bei Konstitucijos 31 </w:t>
      </w:r>
      <w:r w:rsidRPr="00E76E89">
        <w:rPr>
          <w:color w:val="000000"/>
          <w:lang w:eastAsia="lt-LT" w:bidi="lt-LT"/>
        </w:rPr>
        <w:t>straipsnio 4 dalies, 135 straipsnio 1</w:t>
      </w:r>
      <w:r w:rsidR="005770E9" w:rsidRPr="00E76E89">
        <w:rPr>
          <w:color w:val="000000"/>
          <w:lang w:eastAsia="lt-LT" w:bidi="lt-LT"/>
        </w:rPr>
        <w:t> </w:t>
      </w:r>
      <w:r w:rsidRPr="00E76E89">
        <w:rPr>
          <w:color w:val="000000"/>
          <w:lang w:eastAsia="lt-LT" w:bidi="lt-LT"/>
        </w:rPr>
        <w:t>dalies ir 1</w:t>
      </w:r>
      <w:r w:rsidR="000F5BFE" w:rsidRPr="00E76E89">
        <w:rPr>
          <w:color w:val="000000"/>
          <w:szCs w:val="24"/>
          <w:lang w:eastAsia="lt-LT" w:bidi="lt-LT"/>
        </w:rPr>
        <w:t>38 </w:t>
      </w:r>
      <w:r w:rsidRPr="00E76E89">
        <w:rPr>
          <w:color w:val="000000"/>
          <w:szCs w:val="24"/>
          <w:lang w:eastAsia="lt-LT" w:bidi="lt-LT"/>
        </w:rPr>
        <w:t>straipsnio 3 dalies nuostatoms.</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 xml:space="preserve">Apeliaciniame skunde taip pat nurodoma, kad pirmosios instancijos teismas buvo šališkas, o pats procesas yra politinio pobūdžio. </w:t>
      </w:r>
      <w:r w:rsidRPr="00E76E89">
        <w:rPr>
          <w:color w:val="000000"/>
          <w:lang w:bidi="lt-LT"/>
        </w:rPr>
        <w:t xml:space="preserve">Vilniaus apygardos teismo teisėja A. K. Macevičienė, duodama interviu leidiniui </w:t>
      </w:r>
      <w:r w:rsidRPr="00E76E89">
        <w:rPr>
          <w:color w:val="000000"/>
          <w:lang w:bidi="en-US"/>
        </w:rPr>
        <w:t xml:space="preserve">TEISMAI.lt, </w:t>
      </w:r>
      <w:r w:rsidRPr="00E76E89">
        <w:rPr>
          <w:color w:val="000000"/>
          <w:lang w:bidi="lt-LT"/>
        </w:rPr>
        <w:t>pareiškė, kad „</w:t>
      </w:r>
      <w:r w:rsidR="007B47B6" w:rsidRPr="00E76E89">
        <w:rPr>
          <w:color w:val="000000"/>
          <w:lang w:bidi="lt-LT"/>
        </w:rPr>
        <w:t>b</w:t>
      </w:r>
      <w:r w:rsidRPr="00E76E89">
        <w:rPr>
          <w:color w:val="000000"/>
          <w:lang w:bidi="lt-LT"/>
        </w:rPr>
        <w:t xml:space="preserve">audžiamojon atsakomybėn patraukti asmenys bus teisiami už akių ir visą likusį gyvenimą pragyvens savo šalyje, iš kurios negalės išvykti“ (2016 m. kovas, </w:t>
      </w:r>
      <w:bookmarkStart w:id="129" w:name="_Hlk34032136"/>
      <w:r w:rsidRPr="00E76E89">
        <w:rPr>
          <w:color w:val="000000"/>
          <w:lang w:bidi="lt-LT"/>
        </w:rPr>
        <w:t>Nr. 1(21), p. 19</w:t>
      </w:r>
      <w:bookmarkEnd w:id="129"/>
      <w:r w:rsidRPr="00E76E89">
        <w:rPr>
          <w:color w:val="000000"/>
          <w:lang w:bidi="lt-LT"/>
        </w:rPr>
        <w:t xml:space="preserve">). Gynėjos teigimu, tokie pasisakymai rodo, kad bylą nagrinėjusi teisėja turėjo išankstinį nusistatymą byloje keliamais klausimais. Be to, </w:t>
      </w:r>
      <w:r w:rsidRPr="00E76E89">
        <w:t>išankstinis teismo nusistatymas atsiskleidė ir bylos nagrinėjimo pirmosios instancijos teisme metu, nes buvo atmetami gynybos prašymai. Taip buvo užkirsta galimybė efektyviai gintis bei vadovautis ne tik prokuroro siūlomais kaltinančiais, bet ir galimai kaltinamuosius teisinančiais ar jų atsakomybę lengvinančiais duomenimis. Net ir patenkinus dalį apeliantės prašymų, jie vykdyti tik formaliai. Teismo šališkumą rodo ir tai, kad teismas nepasisakė dėl gynėjų pozicijų bei jas ignoravo.</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lastRenderedPageBreak/>
        <w:t xml:space="preserve">Anot advokatės, baudžiamojo proceso metu buvo pažeista </w:t>
      </w:r>
      <w:r w:rsidR="00C82C9D" w:rsidRPr="00E76E89">
        <w:t>E. R.</w:t>
      </w:r>
      <w:r w:rsidRPr="00E76E89">
        <w:t xml:space="preserve"> teisė į gynybą. Ikiteisminis tyrimas šioje byloje buvo atliekamas net 25 metus ir tik 2013 m. prokurorai priėmė sprendimą dėl asmenų pripažinimo įtariamaisiais. Neaišku, kodėl </w:t>
      </w:r>
      <w:r w:rsidR="00C82C9D" w:rsidRPr="00E76E89">
        <w:t>E. R.</w:t>
      </w:r>
      <w:r w:rsidRPr="00E76E89">
        <w:t xml:space="preserve"> įtarimai nebuvo pateikti anksčiau, nes jis Lietuvoje buvo iki </w:t>
      </w:r>
      <w:r w:rsidR="000F5BFE" w:rsidRPr="00E76E89">
        <w:t>(duomenys neskelbtini)</w:t>
      </w:r>
      <w:r w:rsidRPr="00E76E89">
        <w:t xml:space="preserve">, be to, Lietuvoje jis yra buvęs ir </w:t>
      </w:r>
      <w:r w:rsidR="000F5BFE" w:rsidRPr="00E76E89">
        <w:t>(duomenys neskelbtini)</w:t>
      </w:r>
      <w:r w:rsidRPr="00E76E89">
        <w:t xml:space="preserve"> m., nes tais metais kirto Lietuvos valstybinę sieną. Gynybos įsitikinimu, tokia tyrimo eiga rodo, kad iki pat 2013 m. niekas neįžvelgė </w:t>
      </w:r>
      <w:r w:rsidR="00C82C9D" w:rsidRPr="00E76E89">
        <w:t>E. R.</w:t>
      </w:r>
      <w:r w:rsidRPr="00E76E89">
        <w:t xml:space="preserve"> veiksmuose nusikaltimų požymių. Apeliantės įsitikinimu, bandymas po nepateisinamai ilgai vykusio tyrimo rasti ir nustatyti tiesą, neatitinka teisingumo ir protingumo principų bei pažeidžia kaltinamųjų ir nukentėjusiųjų teises, tarp jų ir kaltinamųjų teisę į gynybą. Net ir procesas dėl Niurnbergo karo nusikaltimų buvo įvykdytas per 5 metus, tad pareigūnų pastangos ir operatyvumas šiame tyrime buvo menki. </w:t>
      </w:r>
    </w:p>
    <w:p w:rsidR="00B85D8F" w:rsidRPr="00E76E89" w:rsidRDefault="00A874C1" w:rsidP="00321748">
      <w:pPr>
        <w:pStyle w:val="ListParagraph"/>
        <w:numPr>
          <w:ilvl w:val="1"/>
          <w:numId w:val="6"/>
        </w:numPr>
        <w:tabs>
          <w:tab w:val="left" w:pos="284"/>
        </w:tabs>
        <w:spacing w:after="120"/>
        <w:ind w:left="992" w:hanging="992"/>
        <w:contextualSpacing w:val="0"/>
      </w:pPr>
      <w:r w:rsidRPr="00E76E89">
        <w:t>Nuteistojo teisė į gynybą buvo suvaržyta ir dėl netinkamai s</w:t>
      </w:r>
      <w:r w:rsidR="00B85D8F" w:rsidRPr="00E76E89">
        <w:t xml:space="preserve">urašyto kaltinamojo akto. Jame </w:t>
      </w:r>
      <w:r w:rsidRPr="00E76E89">
        <w:t xml:space="preserve">tik </w:t>
      </w:r>
      <w:r w:rsidR="007B47B6" w:rsidRPr="00E76E89">
        <w:t>du</w:t>
      </w:r>
      <w:r w:rsidRPr="00E76E89">
        <w:t xml:space="preserve"> kartus ir </w:t>
      </w:r>
      <w:r w:rsidR="007B47B6" w:rsidRPr="00E76E89">
        <w:t>dviem</w:t>
      </w:r>
      <w:r w:rsidRPr="00E76E89">
        <w:t xml:space="preserve"> sakiniais buvo aprašyti </w:t>
      </w:r>
      <w:r w:rsidR="00C82C9D" w:rsidRPr="00E76E89">
        <w:t>E. R.</w:t>
      </w:r>
      <w:r w:rsidRPr="00E76E89">
        <w:t xml:space="preserve"> veiksmai. Prokuroras baigiamojoje kalboje dėl </w:t>
      </w:r>
      <w:r w:rsidR="00C82C9D" w:rsidRPr="00E76E89">
        <w:t>E. R.</w:t>
      </w:r>
      <w:r w:rsidRPr="00E76E89">
        <w:t xml:space="preserve"> nurodė tik tai, kad jis vadovavo tankui Nr. 574, dalyvav</w:t>
      </w:r>
      <w:r w:rsidR="000F5BFE" w:rsidRPr="00E76E89">
        <w:t>o įvykiuose prie LRT ir Spaudos </w:t>
      </w:r>
      <w:r w:rsidRPr="00E76E89">
        <w:t xml:space="preserve">rūmų, kur šaudė tuščiais šoviniais. Toks kaltinimas neleido nuteistajam tinkamai gintis. </w:t>
      </w:r>
    </w:p>
    <w:p w:rsidR="00A874C1" w:rsidRPr="00E76E89" w:rsidRDefault="00A874C1" w:rsidP="00321748">
      <w:pPr>
        <w:pStyle w:val="ListParagraph"/>
        <w:numPr>
          <w:ilvl w:val="1"/>
          <w:numId w:val="6"/>
        </w:numPr>
        <w:tabs>
          <w:tab w:val="left" w:pos="284"/>
        </w:tabs>
        <w:spacing w:after="120"/>
        <w:ind w:left="992" w:hanging="992"/>
        <w:contextualSpacing w:val="0"/>
      </w:pPr>
      <w:r w:rsidRPr="00E76E89">
        <w:t>Pirmosios instancijos teismas privalėjo kiekvieną nuteistajam inkriminuotą veiką aptarti ir nurodyti konkrečius įrodymus dėl jo kaltumo, tačiau jo vaidmuo atskleistas bendromis frazėmis, pasikartojimais, nepateikiant jokios veiksmų anal</w:t>
      </w:r>
      <w:r w:rsidR="00B85D8F" w:rsidRPr="00E76E89">
        <w:t>izės, dėl to buvo pažeistos BPK </w:t>
      </w:r>
      <w:r w:rsidRPr="00E76E89">
        <w:t>nuostatos</w:t>
      </w:r>
      <w:r w:rsidR="007B47B6" w:rsidRPr="00E76E89">
        <w:t>, kuriomis</w:t>
      </w:r>
      <w:r w:rsidRPr="00E76E89">
        <w:t xml:space="preserve"> reglamentuoja</w:t>
      </w:r>
      <w:r w:rsidR="007B47B6" w:rsidRPr="00E76E89">
        <w:t>mos</w:t>
      </w:r>
      <w:r w:rsidRPr="00E76E89">
        <w:t xml:space="preserve"> nuosprendžio surašymo taisykl</w:t>
      </w:r>
      <w:r w:rsidR="007B47B6" w:rsidRPr="00E76E89">
        <w:t>ė</w:t>
      </w:r>
      <w:r w:rsidRPr="00E76E89">
        <w:t>s.</w:t>
      </w:r>
    </w:p>
    <w:p w:rsidR="00B85D8F" w:rsidRPr="00E76E89" w:rsidRDefault="00B85D8F" w:rsidP="00321748">
      <w:pPr>
        <w:pStyle w:val="ListParagraph"/>
        <w:numPr>
          <w:ilvl w:val="0"/>
          <w:numId w:val="6"/>
        </w:numPr>
        <w:spacing w:before="120" w:after="120"/>
        <w:ind w:left="992" w:hanging="992"/>
        <w:contextualSpacing w:val="0"/>
        <w:rPr>
          <w:szCs w:val="24"/>
        </w:rPr>
      </w:pPr>
      <w:bookmarkStart w:id="130" w:name="_Toc37947872"/>
      <w:bookmarkStart w:id="131" w:name="_Toc67677351"/>
      <w:bookmarkStart w:id="132" w:name="_Toc67985478"/>
      <w:r w:rsidRPr="00D43DF2">
        <w:rPr>
          <w:b/>
        </w:rPr>
        <w:t xml:space="preserve">Nuteistojo </w:t>
      </w:r>
      <w:r w:rsidR="00C82C9D" w:rsidRPr="00D43DF2">
        <w:rPr>
          <w:b/>
        </w:rPr>
        <w:t>J. O.</w:t>
      </w:r>
      <w:r w:rsidRPr="00D43DF2">
        <w:rPr>
          <w:b/>
        </w:rPr>
        <w:t xml:space="preserve"> gynėjas</w:t>
      </w:r>
      <w:bookmarkEnd w:id="130"/>
      <w:bookmarkEnd w:id="131"/>
      <w:bookmarkEnd w:id="132"/>
      <w:r w:rsidRPr="00C00255">
        <w:rPr>
          <w:b/>
          <w:sz w:val="22"/>
        </w:rPr>
        <w:t xml:space="preserve"> </w:t>
      </w:r>
      <w:r w:rsidRPr="00C00255">
        <w:rPr>
          <w:b/>
        </w:rPr>
        <w:t>advokatas A. Remeikis</w:t>
      </w:r>
      <w:r w:rsidRPr="00C00255">
        <w:t xml:space="preserve"> </w:t>
      </w:r>
      <w:r w:rsidRPr="00E76E89">
        <w:t xml:space="preserve">apeliaciniu skundu prašo panaikinti pirmosios instancijos teismo nuosprendį ir bylą perduoti nagrinėti iš naujo. Teismo nuosprendis, kuriuo jo ginamajam paskirta laisvės atėmimo bausmė, yra neteisingas. Byloje nebuvo teisiamas tuometis TSRS vadovas </w:t>
      </w:r>
      <w:r w:rsidR="00DD1A27" w:rsidRPr="00E76E89">
        <w:t>M. G.</w:t>
      </w:r>
      <w:r w:rsidRPr="00E76E89">
        <w:t xml:space="preserve">, kuris vykdė tas pačias veikas ir darė </w:t>
      </w:r>
      <w:r w:rsidR="00C82C9D" w:rsidRPr="00E76E89">
        <w:t>J. O.</w:t>
      </w:r>
      <w:r w:rsidRPr="00E76E89">
        <w:t xml:space="preserve"> įtaką, kad pastarasis vykdytų jam inkriminuotus nusikaltimus. Gynėjo teigimu, apygardos teismas netyrė nusikalstamų </w:t>
      </w:r>
      <w:r w:rsidR="00DD1A27" w:rsidRPr="00E76E89">
        <w:t>M. G.</w:t>
      </w:r>
      <w:r w:rsidRPr="00E76E89">
        <w:t xml:space="preserve"> veiksmų, o ši baudžiamoji byla negali būti užbaigta</w:t>
      </w:r>
      <w:r w:rsidR="00C9595D" w:rsidRPr="00E76E89">
        <w:t>,</w:t>
      </w:r>
      <w:r w:rsidRPr="00E76E89">
        <w:t xml:space="preserve"> iki jie nebus įvertinti baudžiamųjų įstatymų kontekste. Apygardos teismas buvo nutaręs iškviesti </w:t>
      </w:r>
      <w:r w:rsidR="00DD1A27" w:rsidRPr="00E76E89">
        <w:t>M. G.</w:t>
      </w:r>
      <w:r w:rsidRPr="00E76E89">
        <w:t xml:space="preserve"> į teismo posėdį, tačiau savo nutarimo nevykdė, nors šaukimas asmeniui buvo įteiktas. Dėl to bylą būtina grąžinti nagrinėti iš naujo ir joje apklausti </w:t>
      </w:r>
      <w:r w:rsidR="00DD1A27" w:rsidRPr="00E76E89">
        <w:t>M. G.</w:t>
      </w:r>
      <w:r w:rsidRPr="00E76E89">
        <w:t xml:space="preserve">, buvusį </w:t>
      </w:r>
      <w:r w:rsidR="00C9595D" w:rsidRPr="00E76E89">
        <w:t>g</w:t>
      </w:r>
      <w:r w:rsidRPr="00E76E89">
        <w:t>eneralinį prokurorą A</w:t>
      </w:r>
      <w:r w:rsidR="000F5BFE" w:rsidRPr="00E76E89">
        <w:t>.</w:t>
      </w:r>
      <w:r w:rsidRPr="00E76E89">
        <w:t> P</w:t>
      </w:r>
      <w:r w:rsidR="000F5BFE" w:rsidRPr="00E76E89">
        <w:t>.</w:t>
      </w:r>
      <w:r w:rsidRPr="00E76E89">
        <w:t xml:space="preserve"> apie išduotą arešto orderį </w:t>
      </w:r>
      <w:r w:rsidR="00DD1A27" w:rsidRPr="00E76E89">
        <w:t>M. G.</w:t>
      </w:r>
      <w:r w:rsidRPr="00E76E89">
        <w:t xml:space="preserve"> atžvilgiu bei A</w:t>
      </w:r>
      <w:r w:rsidR="000F5BFE" w:rsidRPr="00E76E89">
        <w:t>. G.</w:t>
      </w:r>
      <w:r w:rsidR="004C5CD6" w:rsidRPr="00E76E89">
        <w:t xml:space="preserve">, </w:t>
      </w:r>
      <w:r w:rsidRPr="00E76E89">
        <w:t xml:space="preserve">dirbusį </w:t>
      </w:r>
      <w:r w:rsidR="00DD1A27" w:rsidRPr="00E76E89">
        <w:t>M. G.</w:t>
      </w:r>
      <w:r w:rsidRPr="00E76E89">
        <w:t xml:space="preserve"> padėjėju veikų padarymo metu, kuris galėtų patvirtinti buvusio vadovo nusikalstamus veiksmus Lietuvos Respublikos ir jos piliečių atžvilgiu. Kol šie asmenys neapklausti, </w:t>
      </w:r>
      <w:r w:rsidR="00C82C9D" w:rsidRPr="00E76E89">
        <w:t>J. O.</w:t>
      </w:r>
      <w:r w:rsidRPr="00E76E89">
        <w:t xml:space="preserve"> veikų faktinės aplinkybės nėra </w:t>
      </w:r>
      <w:r w:rsidR="00C9595D" w:rsidRPr="00E76E89">
        <w:t xml:space="preserve">visiškai </w:t>
      </w:r>
      <w:r w:rsidRPr="00E76E89">
        <w:t xml:space="preserve">išnagrinėtos, o tokia situacija prieštarauja Konstitucijai. </w:t>
      </w:r>
    </w:p>
    <w:p w:rsidR="00B85D8F" w:rsidRPr="00E76E89" w:rsidRDefault="00B85D8F" w:rsidP="00321748">
      <w:pPr>
        <w:pStyle w:val="ListParagraph"/>
        <w:numPr>
          <w:ilvl w:val="0"/>
          <w:numId w:val="6"/>
        </w:numPr>
        <w:spacing w:before="120" w:after="120"/>
        <w:ind w:left="992" w:hanging="992"/>
        <w:contextualSpacing w:val="0"/>
        <w:rPr>
          <w:szCs w:val="24"/>
        </w:rPr>
      </w:pPr>
      <w:bookmarkStart w:id="133" w:name="_Toc37947873"/>
      <w:bookmarkStart w:id="134" w:name="_Toc67677352"/>
      <w:bookmarkStart w:id="135" w:name="_Toc67985479"/>
      <w:r w:rsidRPr="00D43DF2">
        <w:rPr>
          <w:b/>
        </w:rPr>
        <w:t xml:space="preserve">Nuteistasis </w:t>
      </w:r>
      <w:r w:rsidR="00C82C9D" w:rsidRPr="00D43DF2">
        <w:rPr>
          <w:b/>
        </w:rPr>
        <w:t>A. G. 1</w:t>
      </w:r>
      <w:r w:rsidRPr="00D43DF2">
        <w:rPr>
          <w:b/>
        </w:rPr>
        <w:t xml:space="preserve"> ir jo gynėjas</w:t>
      </w:r>
      <w:bookmarkEnd w:id="133"/>
      <w:bookmarkEnd w:id="134"/>
      <w:bookmarkEnd w:id="135"/>
      <w:r w:rsidRPr="00D43DF2">
        <w:rPr>
          <w:b/>
          <w:sz w:val="20"/>
          <w:szCs w:val="24"/>
        </w:rPr>
        <w:t xml:space="preserve"> </w:t>
      </w:r>
      <w:r w:rsidRPr="00D43DF2">
        <w:rPr>
          <w:b/>
          <w:szCs w:val="24"/>
        </w:rPr>
        <w:t>advokatas N. Voinovas</w:t>
      </w:r>
      <w:r w:rsidRPr="00C00255">
        <w:rPr>
          <w:szCs w:val="24"/>
        </w:rPr>
        <w:t xml:space="preserve"> </w:t>
      </w:r>
      <w:r w:rsidRPr="00E76E89">
        <w:rPr>
          <w:szCs w:val="24"/>
        </w:rPr>
        <w:t xml:space="preserve">apeliaciniu skundu prašo panaikinti pirmosios instancijos teismo nuosprendį ir dėl </w:t>
      </w:r>
      <w:r w:rsidR="00C82C9D" w:rsidRPr="00E76E89">
        <w:rPr>
          <w:szCs w:val="24"/>
        </w:rPr>
        <w:t>A. G. 1</w:t>
      </w:r>
      <w:r w:rsidRPr="00E76E89">
        <w:rPr>
          <w:szCs w:val="24"/>
        </w:rPr>
        <w:t xml:space="preserve"> priimti išteisinamąjį nuosprendį. Be to, a</w:t>
      </w:r>
      <w:r w:rsidRPr="00E76E89">
        <w:t xml:space="preserve">peliantai prašo byloje atlikti dalinį įrodymų tyrimą ir kreiptis į </w:t>
      </w:r>
      <w:r w:rsidRPr="00E76E89">
        <w:rPr>
          <w:color w:val="000000"/>
          <w:lang w:eastAsia="lt-LT" w:bidi="lt-LT"/>
        </w:rPr>
        <w:t xml:space="preserve">Konstitucinį Teismą su prašymu ištirti, ar BK 3 straipsnio 3 dalis </w:t>
      </w:r>
      <w:r w:rsidRPr="00E76E89">
        <w:rPr>
          <w:rStyle w:val="Bodytext2Italic"/>
          <w:rFonts w:eastAsiaTheme="majorEastAsia"/>
          <w:i w:val="0"/>
        </w:rPr>
        <w:t>(2011 m. kovo 22</w:t>
      </w:r>
      <w:r w:rsidR="00C9595D" w:rsidRPr="00E76E89">
        <w:rPr>
          <w:rStyle w:val="Bodytext2Italic"/>
          <w:rFonts w:eastAsiaTheme="majorEastAsia"/>
          <w:i w:val="0"/>
        </w:rPr>
        <w:t> </w:t>
      </w:r>
      <w:r w:rsidRPr="00E76E89">
        <w:rPr>
          <w:rStyle w:val="Bodytext2Italic"/>
          <w:rFonts w:eastAsiaTheme="majorEastAsia"/>
          <w:i w:val="0"/>
        </w:rPr>
        <w:t>d. redakcija; Žinios, 2011, Nr. 38-1805</w:t>
      </w:r>
      <w:r w:rsidRPr="00E76E89">
        <w:rPr>
          <w:color w:val="000000"/>
          <w:szCs w:val="24"/>
          <w:lang w:eastAsia="lt-LT" w:bidi="lt-LT"/>
        </w:rPr>
        <w:t>)</w:t>
      </w:r>
      <w:r w:rsidRPr="00E76E89">
        <w:rPr>
          <w:color w:val="000000"/>
          <w:lang w:eastAsia="lt-LT" w:bidi="lt-LT"/>
        </w:rPr>
        <w:t xml:space="preserve"> tiek, kiek joje nustatytas reguliavimas, pagal kurį </w:t>
      </w:r>
      <w:r w:rsidRPr="00E76E89">
        <w:t>BK </w:t>
      </w:r>
      <w:r w:rsidRPr="00E76E89">
        <w:rPr>
          <w:lang w:bidi="lt-LT"/>
        </w:rPr>
        <w:t>100</w:t>
      </w:r>
      <w:r w:rsidRPr="00E76E89">
        <w:rPr>
          <w:color w:val="000000"/>
          <w:lang w:eastAsia="lt-LT" w:bidi="lt-LT"/>
        </w:rPr>
        <w:t>, 101, 102, 103, 110, 111, 112 straipsniams nustatyta išimtis iš taisyklės, kad veikų nusikalstamumą nustatantis, griežtinantis bausmę arba kitaip sunkinantis nusikalstamą veiką padariusio asmens teisinę padėtį baudžiamasis įstatymas neturi grįžtamosios galios, neprieštarauja 2003 m.</w:t>
      </w:r>
      <w:r w:rsidR="0012467A" w:rsidRPr="00E76E89">
        <w:rPr>
          <w:color w:val="000000"/>
          <w:lang w:eastAsia="lt-LT" w:bidi="lt-LT"/>
        </w:rPr>
        <w:t> </w:t>
      </w:r>
      <w:r w:rsidRPr="00E76E89">
        <w:rPr>
          <w:color w:val="000000"/>
          <w:lang w:eastAsia="lt-LT" w:bidi="lt-LT"/>
        </w:rPr>
        <w:t>rugpjūčio 1 d. įsigaliojusi</w:t>
      </w:r>
      <w:r w:rsidR="00C9595D" w:rsidRPr="00E76E89">
        <w:rPr>
          <w:color w:val="000000"/>
          <w:lang w:eastAsia="lt-LT" w:bidi="lt-LT"/>
        </w:rPr>
        <w:t>o</w:t>
      </w:r>
      <w:r w:rsidRPr="00E76E89">
        <w:rPr>
          <w:color w:val="000000"/>
          <w:lang w:eastAsia="lt-LT" w:bidi="lt-LT"/>
        </w:rPr>
        <w:t xml:space="preserve"> Romos </w:t>
      </w:r>
      <w:r w:rsidR="007403E5" w:rsidRPr="00E76E89">
        <w:rPr>
          <w:color w:val="000000"/>
          <w:lang w:eastAsia="lt-LT" w:bidi="lt-LT"/>
        </w:rPr>
        <w:t>statut</w:t>
      </w:r>
      <w:r w:rsidR="00C9595D" w:rsidRPr="00E76E89">
        <w:rPr>
          <w:color w:val="000000"/>
          <w:lang w:eastAsia="lt-LT" w:bidi="lt-LT"/>
        </w:rPr>
        <w:t>o</w:t>
      </w:r>
      <w:r w:rsidRPr="00E76E89">
        <w:rPr>
          <w:color w:val="000000"/>
          <w:lang w:eastAsia="lt-LT" w:bidi="lt-LT"/>
        </w:rPr>
        <w:t>,</w:t>
      </w:r>
      <w:r w:rsidR="007403E5" w:rsidRPr="00E76E89">
        <w:rPr>
          <w:color w:val="000000"/>
          <w:lang w:eastAsia="lt-LT" w:bidi="lt-LT"/>
        </w:rPr>
        <w:t xml:space="preserve"> priimt</w:t>
      </w:r>
      <w:r w:rsidR="00C9595D" w:rsidRPr="00E76E89">
        <w:rPr>
          <w:color w:val="000000"/>
          <w:lang w:eastAsia="lt-LT" w:bidi="lt-LT"/>
        </w:rPr>
        <w:t>o</w:t>
      </w:r>
      <w:r w:rsidR="0042306C" w:rsidRPr="00E76E89">
        <w:rPr>
          <w:color w:val="000000"/>
          <w:lang w:eastAsia="lt-LT" w:bidi="lt-LT"/>
        </w:rPr>
        <w:t xml:space="preserve"> 1998 m.</w:t>
      </w:r>
      <w:r w:rsidR="00446F2F" w:rsidRPr="00E76E89">
        <w:rPr>
          <w:color w:val="000000"/>
          <w:lang w:eastAsia="lt-LT" w:bidi="lt-LT"/>
        </w:rPr>
        <w:t> </w:t>
      </w:r>
      <w:r w:rsidR="0042306C" w:rsidRPr="00E76E89">
        <w:rPr>
          <w:color w:val="000000"/>
          <w:lang w:eastAsia="lt-LT" w:bidi="lt-LT"/>
        </w:rPr>
        <w:t>liepos</w:t>
      </w:r>
      <w:r w:rsidR="00446F2F" w:rsidRPr="00E76E89">
        <w:rPr>
          <w:color w:val="000000"/>
          <w:lang w:eastAsia="lt-LT" w:bidi="lt-LT"/>
        </w:rPr>
        <w:t> </w:t>
      </w:r>
      <w:r w:rsidRPr="00E76E89">
        <w:rPr>
          <w:color w:val="000000"/>
          <w:lang w:eastAsia="lt-LT" w:bidi="lt-LT"/>
        </w:rPr>
        <w:t>17</w:t>
      </w:r>
      <w:r w:rsidR="00C9595D" w:rsidRPr="00E76E89">
        <w:rPr>
          <w:color w:val="000000"/>
          <w:lang w:eastAsia="lt-LT" w:bidi="lt-LT"/>
        </w:rPr>
        <w:t> </w:t>
      </w:r>
      <w:r w:rsidRPr="00E76E89">
        <w:rPr>
          <w:color w:val="000000"/>
          <w:lang w:eastAsia="lt-LT" w:bidi="lt-LT"/>
        </w:rPr>
        <w:t xml:space="preserve">d., principams ir nuostatoms bei </w:t>
      </w:r>
      <w:r w:rsidR="00DE3B19" w:rsidRPr="00E76E89">
        <w:rPr>
          <w:color w:val="000000"/>
          <w:lang w:eastAsia="lt-LT" w:bidi="lt-LT"/>
        </w:rPr>
        <w:t>Konstitucijos </w:t>
      </w:r>
      <w:r w:rsidR="00EC1D9A" w:rsidRPr="00E76E89">
        <w:rPr>
          <w:color w:val="000000"/>
          <w:lang w:eastAsia="lt-LT" w:bidi="lt-LT"/>
        </w:rPr>
        <w:t>31 straipsnio 4 dalies, 135 </w:t>
      </w:r>
      <w:r w:rsidRPr="00E76E89">
        <w:rPr>
          <w:color w:val="000000"/>
          <w:lang w:eastAsia="lt-LT" w:bidi="lt-LT"/>
        </w:rPr>
        <w:t>straipsnio 1 dalies ir 138 straipsnio 3 dalies nuostatoms.</w:t>
      </w:r>
    </w:p>
    <w:p w:rsidR="00B85D8F" w:rsidRPr="00E76E89" w:rsidRDefault="00B85D8F" w:rsidP="00321748">
      <w:pPr>
        <w:pStyle w:val="ListParagraph"/>
        <w:numPr>
          <w:ilvl w:val="1"/>
          <w:numId w:val="6"/>
        </w:numPr>
        <w:tabs>
          <w:tab w:val="left" w:pos="284"/>
        </w:tabs>
        <w:spacing w:after="120"/>
        <w:ind w:left="992" w:hanging="992"/>
        <w:contextualSpacing w:val="0"/>
      </w:pPr>
      <w:r w:rsidRPr="00E76E89">
        <w:t>Skunde nurodoma, kad materialinės teisės normos, kuriomis vadovavosi teismas, suraš</w:t>
      </w:r>
      <w:r w:rsidR="00C9595D" w:rsidRPr="00E76E89">
        <w:t>ydamas</w:t>
      </w:r>
      <w:r w:rsidRPr="00E76E89">
        <w:t xml:space="preserve"> apkaltinamąjį nuosprendį, pritaikytos neteisėtai ir netinkamai, nes nuteistiesiems inkriminuoti nusikaltimai skirtingi pagal objektyviuosius požymius, padarymo </w:t>
      </w:r>
      <w:r w:rsidRPr="00E76E89">
        <w:lastRenderedPageBreak/>
        <w:t xml:space="preserve">laiką, aplinką ir aplinkybes. Apygardos teismas, konstatavęs, jog 1991 m. agresijos metu kaltinamųjų padarytos nusikalstamos veikos tarptautinėje teisėje buvo apibrėžtos kaip nusikaltimai žmoniškumui, tarptautiniais aktais vadovavosi ne visa apimtimi. Teismas neatsižvelgė į </w:t>
      </w:r>
      <w:r w:rsidR="00D76BE4" w:rsidRPr="00E76E89">
        <w:t>1949 m. rugpjūčio 12 d. </w:t>
      </w:r>
      <w:r w:rsidRPr="00E76E89">
        <w:t>Ženevos konvencijos</w:t>
      </w:r>
      <w:r w:rsidR="00D76BE4" w:rsidRPr="00E76E89">
        <w:t xml:space="preserve"> dėl civilių apsaugos karo metu</w:t>
      </w:r>
      <w:r w:rsidRPr="00E76E89">
        <w:t xml:space="preserve">, </w:t>
      </w:r>
      <w:r w:rsidR="00EC1D9A" w:rsidRPr="00E76E89">
        <w:t>1949 m. rugpjūčio </w:t>
      </w:r>
      <w:r w:rsidR="00D76BE4" w:rsidRPr="00E76E89">
        <w:t>12 d. Ženevos konvencijų Papildomų protokolų</w:t>
      </w:r>
      <w:r w:rsidRPr="00E76E89">
        <w:t xml:space="preserve">, </w:t>
      </w:r>
      <w:r w:rsidR="0012467A" w:rsidRPr="00E76E89">
        <w:t>Romos</w:t>
      </w:r>
      <w:r w:rsidRPr="00E76E89">
        <w:t xml:space="preserve"> statuto nuostatas, </w:t>
      </w:r>
      <w:r w:rsidR="00C9595D" w:rsidRPr="00E76E89">
        <w:t xml:space="preserve">kuriomis </w:t>
      </w:r>
      <w:r w:rsidRPr="00E76E89">
        <w:t>draudžia</w:t>
      </w:r>
      <w:r w:rsidR="00C9595D" w:rsidRPr="00E76E89">
        <w:t>ma</w:t>
      </w:r>
      <w:r w:rsidRPr="00E76E89">
        <w:t xml:space="preserve"> civilius asmenis naudoti kaip </w:t>
      </w:r>
      <w:r w:rsidR="00B54770" w:rsidRPr="00E76E89">
        <w:t xml:space="preserve">gyvuosius </w:t>
      </w:r>
      <w:r w:rsidRPr="00E76E89">
        <w:t xml:space="preserve">skydus. Teismas neįvertino, kad ir Lietuvos vadovai, viešai kviesdami gyventojus atvykti prie strategiškai svarbių objektų ir dalyvauti jų apsaugoje, nesilaikė </w:t>
      </w:r>
      <w:r w:rsidR="00D76BE4" w:rsidRPr="00E76E89">
        <w:t xml:space="preserve">1949 m. rugpjūčio 12 d. Ženevos konvencijos dėl civilių apsaugos karo metu </w:t>
      </w:r>
      <w:r w:rsidRPr="00E76E89">
        <w:t xml:space="preserve">bei </w:t>
      </w:r>
      <w:r w:rsidR="001C5185" w:rsidRPr="00E76E89">
        <w:t>1949 m. rugpjūčio </w:t>
      </w:r>
      <w:r w:rsidR="00D76BE4" w:rsidRPr="00E76E89">
        <w:t xml:space="preserve">12 d. Ženevos konvencijų Papildomų protokolų </w:t>
      </w:r>
      <w:r w:rsidRPr="00E76E89">
        <w:t xml:space="preserve">nuostatų, </w:t>
      </w:r>
      <w:r w:rsidR="00C9595D" w:rsidRPr="00E76E89">
        <w:t xml:space="preserve">kuriomis </w:t>
      </w:r>
      <w:r w:rsidRPr="00E76E89">
        <w:t>draudžia</w:t>
      </w:r>
      <w:r w:rsidR="00C9595D" w:rsidRPr="00E76E89">
        <w:t>ma</w:t>
      </w:r>
      <w:r w:rsidRPr="00E76E89">
        <w:t xml:space="preserve"> civilius asmenis naudoti kaip gyvuosius skydus, siekiant apsaugoti tam tikrus objektus nuo karinių operacijų ar kitaip trukdant karinėms operacijoms, net jeigu civiliai tokią priedangą teikia savanoriškai. Visiems karinio konflikto dalyviams turi būti taikomi vienodi standartai laikytis tarptautinių normų, susitarimų ir konvencijų reikalavimų, priešingu atveju būtų pažeistas lygybės prieš įstatymą principas</w:t>
      </w:r>
      <w:r w:rsidR="00E76E89">
        <w:rPr>
          <w:color w:val="000000"/>
          <w:szCs w:val="24"/>
          <w:lang w:eastAsia="lt-LT" w:bidi="lt-LT"/>
        </w:rPr>
        <w:t>.</w:t>
      </w:r>
    </w:p>
    <w:p w:rsidR="00B85D8F" w:rsidRPr="00E76E89" w:rsidRDefault="00B85D8F" w:rsidP="00321748">
      <w:pPr>
        <w:pStyle w:val="ListParagraph"/>
        <w:numPr>
          <w:ilvl w:val="1"/>
          <w:numId w:val="6"/>
        </w:numPr>
        <w:tabs>
          <w:tab w:val="left" w:pos="284"/>
        </w:tabs>
        <w:spacing w:after="120"/>
        <w:ind w:left="992" w:hanging="992"/>
        <w:contextualSpacing w:val="0"/>
      </w:pPr>
      <w:r w:rsidRPr="00E76E89">
        <w:rPr>
          <w:color w:val="000000"/>
          <w:lang w:eastAsia="lt-LT" w:bidi="lt-LT"/>
        </w:rPr>
        <w:t>Teismas nepagrįstai konstatavo kaltinamuosius veikus bendrininkų grupe, kadangi nepanaikino nuosprendyje nurodyto prieštaravimo, kad asmenys, vykdantys karo tarnybą</w:t>
      </w:r>
      <w:r w:rsidRPr="00E76E89">
        <w:rPr>
          <w:color w:val="000000"/>
          <w:lang w:bidi="lt-LT"/>
        </w:rPr>
        <w:t xml:space="preserve">, negali būti bendrininkais dėl veikimo karinio statuto pagrindu. </w:t>
      </w:r>
    </w:p>
    <w:p w:rsidR="00B85D8F" w:rsidRPr="00E76E89" w:rsidRDefault="00B85D8F" w:rsidP="00321748">
      <w:pPr>
        <w:pStyle w:val="ListParagraph"/>
        <w:numPr>
          <w:ilvl w:val="1"/>
          <w:numId w:val="6"/>
        </w:numPr>
        <w:tabs>
          <w:tab w:val="left" w:pos="284"/>
        </w:tabs>
        <w:spacing w:after="120"/>
        <w:ind w:left="992" w:hanging="992"/>
        <w:contextualSpacing w:val="0"/>
      </w:pPr>
      <w:r w:rsidRPr="00E76E89">
        <w:rPr>
          <w:szCs w:val="24"/>
        </w:rPr>
        <w:t xml:space="preserve">Nebuvo nustatytas priežastinis ryšys tarp konkrečių </w:t>
      </w:r>
      <w:r w:rsidR="00C82C9D" w:rsidRPr="00E76E89">
        <w:rPr>
          <w:szCs w:val="24"/>
        </w:rPr>
        <w:t>A. G. 1</w:t>
      </w:r>
      <w:r w:rsidRPr="00E76E89">
        <w:rPr>
          <w:szCs w:val="24"/>
        </w:rPr>
        <w:t xml:space="preserve"> veiksmų</w:t>
      </w:r>
      <w:r w:rsidRPr="00E76E89">
        <w:rPr>
          <w:color w:val="000000"/>
          <w:lang w:bidi="lt-LT"/>
        </w:rPr>
        <w:t xml:space="preserve"> (būdamas tanko Nr.</w:t>
      </w:r>
      <w:r w:rsidR="008C67FA" w:rsidRPr="00E76E89">
        <w:rPr>
          <w:color w:val="000000"/>
          <w:lang w:bidi="lt-LT"/>
        </w:rPr>
        <w:t> </w:t>
      </w:r>
      <w:r w:rsidRPr="00E76E89">
        <w:rPr>
          <w:color w:val="000000"/>
          <w:lang w:bidi="lt-LT"/>
        </w:rPr>
        <w:t>541 taikytoju, dalyvavo TV bokšto šturme, tanku išlaužė tvorą, pavojingai manevravo, šaudė išmušamaisiais užtaisais)</w:t>
      </w:r>
      <w:r w:rsidRPr="00E76E89">
        <w:rPr>
          <w:szCs w:val="24"/>
        </w:rPr>
        <w:t xml:space="preserve"> ir nuosprendyje jam inkriminuotų pa</w:t>
      </w:r>
      <w:r w:rsidR="00C9595D" w:rsidRPr="00E76E89">
        <w:rPr>
          <w:szCs w:val="24"/>
        </w:rPr>
        <w:t>darinių</w:t>
      </w:r>
      <w:r w:rsidRPr="00E76E89">
        <w:rPr>
          <w:szCs w:val="24"/>
        </w:rPr>
        <w:t xml:space="preserve">. Taip pat neįrodyta tiesioginė tyčia. Byloje nėra duomenų, kad </w:t>
      </w:r>
      <w:r w:rsidR="00C82C9D" w:rsidRPr="00E76E89">
        <w:rPr>
          <w:szCs w:val="24"/>
        </w:rPr>
        <w:t>A. G. 1</w:t>
      </w:r>
      <w:r w:rsidRPr="00E76E89">
        <w:rPr>
          <w:szCs w:val="24"/>
        </w:rPr>
        <w:t xml:space="preserve"> žinojo, planav</w:t>
      </w:r>
      <w:r w:rsidR="00DE3B19" w:rsidRPr="00E76E89">
        <w:rPr>
          <w:szCs w:val="24"/>
        </w:rPr>
        <w:t xml:space="preserve">o ir vadovavo žmonių žudymui. </w:t>
      </w:r>
      <w:r w:rsidR="00C82C9D" w:rsidRPr="00E76E89">
        <w:rPr>
          <w:szCs w:val="24"/>
        </w:rPr>
        <w:t>A. G. 1</w:t>
      </w:r>
      <w:r w:rsidRPr="00E76E89">
        <w:rPr>
          <w:color w:val="000000"/>
          <w:lang w:bidi="lt-LT"/>
        </w:rPr>
        <w:t xml:space="preserve"> į tanko ekipažą taikytoju buvo įtrauktas pulko vado </w:t>
      </w:r>
      <w:r w:rsidR="004069BF" w:rsidRPr="00E76E89">
        <w:rPr>
          <w:color w:val="000000"/>
          <w:lang w:bidi="lt-LT"/>
        </w:rPr>
        <w:t>N. A.</w:t>
      </w:r>
      <w:r w:rsidRPr="00E76E89">
        <w:rPr>
          <w:color w:val="000000"/>
          <w:lang w:bidi="lt-LT"/>
        </w:rPr>
        <w:t xml:space="preserve"> 1991 m. sausi</w:t>
      </w:r>
      <w:r w:rsidR="000F5BFE" w:rsidRPr="00E76E89">
        <w:rPr>
          <w:color w:val="000000"/>
          <w:lang w:bidi="lt-LT"/>
        </w:rPr>
        <w:t>o 9 </w:t>
      </w:r>
      <w:r w:rsidR="00A34D0A" w:rsidRPr="00E76E89">
        <w:rPr>
          <w:color w:val="000000"/>
          <w:lang w:bidi="lt-LT"/>
        </w:rPr>
        <w:t>d. įsakymu (t. 127 b. l. 10–</w:t>
      </w:r>
      <w:r w:rsidRPr="00E76E89">
        <w:rPr>
          <w:color w:val="000000"/>
          <w:lang w:bidi="lt-LT"/>
        </w:rPr>
        <w:t xml:space="preserve">11) ir tiesiogiai su įsakymu buvo supažindintas tik prieš išvykstant prie TV bokšto, todėl nėra pagrindo teigti, jog </w:t>
      </w:r>
      <w:r w:rsidR="00C82C9D" w:rsidRPr="00E76E89">
        <w:rPr>
          <w:color w:val="000000"/>
          <w:lang w:bidi="lt-LT"/>
        </w:rPr>
        <w:t>A. G. 1</w:t>
      </w:r>
      <w:r w:rsidRPr="00E76E89">
        <w:rPr>
          <w:color w:val="000000"/>
          <w:lang w:bidi="lt-LT"/>
        </w:rPr>
        <w:t xml:space="preserve"> veikė bendrininkų grupe, iš anksto susitaręs su kitais 159 kariškiais, kad galėjo ar turėjo galimybę suvokti, jog jis dalyvauja bendrai su kitais asmenimis darant nusikaltimą. Be to, byloje nustatyta, kad įsakymo žudyti, luošinti civilius gyventojus kariškiams nebuvo duota, priešingai – visų instruktažų metu buvo pažymima, kad ginklus galima panaudoti tik esant realiam pavojui kariškių sveikatai ir gyvybei. Apeliantų teigimu, teismas nepagrįstai atmetė kaltinamųjų ir liudytojų (kariškių) teiginius apie tai, kad objektų šturmo metu į juos buvo šaudoma nuo aplinkinių namų stogų. Teismas atmetė gynėjo R. Burdos 2018 m. vasario 7 d. prašymą dėl liudytojų D</w:t>
      </w:r>
      <w:r w:rsidR="000F5BFE" w:rsidRPr="00E76E89">
        <w:rPr>
          <w:color w:val="000000"/>
          <w:lang w:bidi="lt-LT"/>
        </w:rPr>
        <w:t>. </w:t>
      </w:r>
      <w:r w:rsidRPr="00E76E89">
        <w:rPr>
          <w:color w:val="000000"/>
          <w:lang w:bidi="lt-LT"/>
        </w:rPr>
        <w:t>R</w:t>
      </w:r>
      <w:r w:rsidR="000F5BFE" w:rsidRPr="00E76E89">
        <w:rPr>
          <w:color w:val="000000"/>
          <w:lang w:bidi="lt-LT"/>
        </w:rPr>
        <w:t>.</w:t>
      </w:r>
      <w:r w:rsidRPr="00E76E89">
        <w:rPr>
          <w:color w:val="000000"/>
          <w:lang w:bidi="lt-LT"/>
        </w:rPr>
        <w:t>, S</w:t>
      </w:r>
      <w:r w:rsidR="000F5BFE" w:rsidRPr="00E76E89">
        <w:rPr>
          <w:color w:val="000000"/>
          <w:lang w:bidi="lt-LT"/>
        </w:rPr>
        <w:t>. </w:t>
      </w:r>
      <w:r w:rsidRPr="00E76E89">
        <w:rPr>
          <w:color w:val="000000"/>
          <w:lang w:bidi="lt-LT"/>
        </w:rPr>
        <w:t>S</w:t>
      </w:r>
      <w:r w:rsidR="000F5BFE" w:rsidRPr="00E76E89">
        <w:rPr>
          <w:color w:val="000000"/>
          <w:lang w:bidi="lt-LT"/>
        </w:rPr>
        <w:t>.</w:t>
      </w:r>
      <w:r w:rsidRPr="00E76E89">
        <w:rPr>
          <w:color w:val="000000"/>
          <w:lang w:bidi="lt-LT"/>
        </w:rPr>
        <w:t>, A</w:t>
      </w:r>
      <w:r w:rsidR="000F5BFE" w:rsidRPr="00E76E89">
        <w:rPr>
          <w:color w:val="000000"/>
          <w:lang w:bidi="lt-LT"/>
        </w:rPr>
        <w:t>. </w:t>
      </w:r>
      <w:r w:rsidRPr="00E76E89">
        <w:rPr>
          <w:color w:val="000000"/>
          <w:lang w:bidi="lt-LT"/>
        </w:rPr>
        <w:t>V</w:t>
      </w:r>
      <w:r w:rsidR="000F5BFE" w:rsidRPr="00E76E89">
        <w:rPr>
          <w:color w:val="000000"/>
          <w:lang w:bidi="lt-LT"/>
        </w:rPr>
        <w:t>.</w:t>
      </w:r>
      <w:r w:rsidRPr="00E76E89">
        <w:rPr>
          <w:color w:val="000000"/>
          <w:lang w:bidi="lt-LT"/>
        </w:rPr>
        <w:t>, V</w:t>
      </w:r>
      <w:r w:rsidR="000F5BFE" w:rsidRPr="00E76E89">
        <w:rPr>
          <w:color w:val="000000"/>
          <w:lang w:bidi="lt-LT"/>
        </w:rPr>
        <w:t>. </w:t>
      </w:r>
      <w:r w:rsidRPr="00E76E89">
        <w:rPr>
          <w:color w:val="000000"/>
          <w:lang w:bidi="lt-LT"/>
        </w:rPr>
        <w:t>Š</w:t>
      </w:r>
      <w:r w:rsidR="000F5BFE" w:rsidRPr="00E76E89">
        <w:rPr>
          <w:color w:val="000000"/>
          <w:lang w:bidi="lt-LT"/>
        </w:rPr>
        <w:t>.</w:t>
      </w:r>
      <w:r w:rsidRPr="00E76E89">
        <w:rPr>
          <w:color w:val="000000"/>
          <w:lang w:bidi="lt-LT"/>
        </w:rPr>
        <w:t>, M</w:t>
      </w:r>
      <w:r w:rsidR="000F5BFE" w:rsidRPr="00E76E89">
        <w:rPr>
          <w:color w:val="000000"/>
          <w:lang w:bidi="lt-LT"/>
        </w:rPr>
        <w:t>. </w:t>
      </w:r>
      <w:r w:rsidRPr="00E76E89">
        <w:rPr>
          <w:color w:val="000000"/>
          <w:lang w:bidi="lt-LT"/>
        </w:rPr>
        <w:t>B</w:t>
      </w:r>
      <w:r w:rsidR="000F5BFE" w:rsidRPr="00E76E89">
        <w:rPr>
          <w:color w:val="000000"/>
          <w:lang w:bidi="lt-LT"/>
        </w:rPr>
        <w:t>.</w:t>
      </w:r>
      <w:r w:rsidRPr="00E76E89">
        <w:rPr>
          <w:color w:val="000000"/>
          <w:lang w:bidi="lt-LT"/>
        </w:rPr>
        <w:t>, J</w:t>
      </w:r>
      <w:r w:rsidR="000F5BFE" w:rsidRPr="00E76E89">
        <w:rPr>
          <w:color w:val="000000"/>
          <w:lang w:bidi="lt-LT"/>
        </w:rPr>
        <w:t>. </w:t>
      </w:r>
      <w:r w:rsidRPr="00E76E89">
        <w:rPr>
          <w:color w:val="000000"/>
          <w:lang w:bidi="lt-LT"/>
        </w:rPr>
        <w:t>A</w:t>
      </w:r>
      <w:r w:rsidR="000F5BFE" w:rsidRPr="00E76E89">
        <w:rPr>
          <w:color w:val="000000"/>
          <w:lang w:bidi="lt-LT"/>
        </w:rPr>
        <w:t>.</w:t>
      </w:r>
      <w:r w:rsidRPr="00E76E89">
        <w:rPr>
          <w:color w:val="000000"/>
          <w:lang w:bidi="lt-LT"/>
        </w:rPr>
        <w:t>, P</w:t>
      </w:r>
      <w:r w:rsidR="000F5BFE" w:rsidRPr="00E76E89">
        <w:rPr>
          <w:color w:val="000000"/>
          <w:lang w:bidi="lt-LT"/>
        </w:rPr>
        <w:t>. </w:t>
      </w:r>
      <w:r w:rsidRPr="00E76E89">
        <w:rPr>
          <w:color w:val="000000"/>
          <w:lang w:bidi="lt-LT"/>
        </w:rPr>
        <w:t>L</w:t>
      </w:r>
      <w:r w:rsidR="000F5BFE" w:rsidRPr="00E76E89">
        <w:rPr>
          <w:color w:val="000000"/>
          <w:lang w:bidi="lt-LT"/>
        </w:rPr>
        <w:t>.</w:t>
      </w:r>
      <w:r w:rsidRPr="00E76E89">
        <w:rPr>
          <w:color w:val="000000"/>
          <w:lang w:bidi="lt-LT"/>
        </w:rPr>
        <w:t>, K</w:t>
      </w:r>
      <w:r w:rsidR="000F5BFE" w:rsidRPr="00E76E89">
        <w:rPr>
          <w:color w:val="000000"/>
          <w:lang w:bidi="lt-LT"/>
        </w:rPr>
        <w:t>.</w:t>
      </w:r>
      <w:r w:rsidRPr="00E76E89">
        <w:rPr>
          <w:color w:val="000000"/>
          <w:lang w:bidi="lt-LT"/>
        </w:rPr>
        <w:t> B</w:t>
      </w:r>
      <w:r w:rsidR="000F5BFE" w:rsidRPr="00E76E89">
        <w:rPr>
          <w:color w:val="000000"/>
          <w:lang w:bidi="lt-LT"/>
        </w:rPr>
        <w:t xml:space="preserve">. </w:t>
      </w:r>
      <w:r w:rsidRPr="00E76E89">
        <w:rPr>
          <w:color w:val="000000"/>
          <w:lang w:bidi="lt-LT"/>
        </w:rPr>
        <w:t xml:space="preserve">parodymų, duotų baudžiamojoje byloje Nr. </w:t>
      </w:r>
      <w:r w:rsidRPr="00E76E89">
        <w:rPr>
          <w:color w:val="000000"/>
          <w:lang w:eastAsia="ru-RU" w:bidi="ru-RU"/>
        </w:rPr>
        <w:t>1-410-88/2011,</w:t>
      </w:r>
      <w:r w:rsidRPr="00E76E89">
        <w:rPr>
          <w:color w:val="000000"/>
          <w:lang w:bidi="lt-LT"/>
        </w:rPr>
        <w:t xml:space="preserve"> apie tai, kad iš aplinkinių namų prie TV bokšto buvo šaudoma į kariškius, pri</w:t>
      </w:r>
      <w:r w:rsidR="00C9595D" w:rsidRPr="00E76E89">
        <w:rPr>
          <w:color w:val="000000"/>
          <w:lang w:bidi="lt-LT"/>
        </w:rPr>
        <w:t>dėjimo</w:t>
      </w:r>
      <w:r w:rsidRPr="00E76E89">
        <w:rPr>
          <w:color w:val="000000"/>
          <w:lang w:bidi="lt-LT"/>
        </w:rPr>
        <w:t xml:space="preserve"> prie bylos. Liudytojų kariškių </w:t>
      </w:r>
      <w:r w:rsidR="00DD1A27" w:rsidRPr="00E76E89">
        <w:rPr>
          <w:color w:val="000000"/>
          <w:lang w:bidi="lt-LT"/>
        </w:rPr>
        <w:t>A. S.</w:t>
      </w:r>
      <w:r w:rsidR="000F5BFE" w:rsidRPr="00E76E89">
        <w:rPr>
          <w:color w:val="000000"/>
          <w:lang w:bidi="lt-LT"/>
        </w:rPr>
        <w:t xml:space="preserve"> ir V. </w:t>
      </w:r>
      <w:r w:rsidRPr="00E76E89">
        <w:rPr>
          <w:color w:val="000000"/>
          <w:lang w:bidi="lt-LT"/>
        </w:rPr>
        <w:t>R</w:t>
      </w:r>
      <w:r w:rsidR="000F5BFE" w:rsidRPr="00E76E89">
        <w:rPr>
          <w:color w:val="000000"/>
          <w:lang w:bidi="lt-LT"/>
        </w:rPr>
        <w:t>.</w:t>
      </w:r>
      <w:r w:rsidRPr="00E76E89">
        <w:rPr>
          <w:color w:val="000000"/>
          <w:lang w:bidi="lt-LT"/>
        </w:rPr>
        <w:t>, mačiusių, kaip prie TV bokšto iš aplinkinių namų buvo šaudoma į kariškius, parodymus teismas nuospr</w:t>
      </w:r>
      <w:r w:rsidR="00DF6C9E" w:rsidRPr="00E76E89">
        <w:rPr>
          <w:color w:val="000000"/>
          <w:lang w:bidi="lt-LT"/>
        </w:rPr>
        <w:t xml:space="preserve">endyje citavo (nuosprendžio 197 </w:t>
      </w:r>
      <w:r w:rsidRPr="00E76E89">
        <w:rPr>
          <w:color w:val="000000"/>
          <w:lang w:bidi="lt-LT"/>
        </w:rPr>
        <w:t xml:space="preserve">ir 201 lapai), tačiau taip pat vertino kritiškai. </w:t>
      </w:r>
    </w:p>
    <w:p w:rsidR="00B85D8F" w:rsidRPr="00E76E89" w:rsidRDefault="00B85D8F" w:rsidP="00321748">
      <w:pPr>
        <w:pStyle w:val="ListParagraph"/>
        <w:numPr>
          <w:ilvl w:val="1"/>
          <w:numId w:val="6"/>
        </w:numPr>
        <w:tabs>
          <w:tab w:val="left" w:pos="284"/>
        </w:tabs>
        <w:spacing w:after="120"/>
        <w:ind w:left="992" w:hanging="992"/>
        <w:contextualSpacing w:val="0"/>
      </w:pPr>
      <w:r w:rsidRPr="00E76E89">
        <w:rPr>
          <w:szCs w:val="24"/>
        </w:rPr>
        <w:t xml:space="preserve">Apeliaciniame skunde nurodoma, kad pirmosios instancijos teismas nagrinėdamas bylą padarė procesinių normų pažeidimus: </w:t>
      </w:r>
    </w:p>
    <w:p w:rsidR="00B85D8F" w:rsidRPr="00E76E89" w:rsidRDefault="00B85D8F" w:rsidP="00321748">
      <w:pPr>
        <w:pStyle w:val="ListParagraph"/>
        <w:numPr>
          <w:ilvl w:val="2"/>
          <w:numId w:val="6"/>
        </w:numPr>
        <w:tabs>
          <w:tab w:val="left" w:pos="284"/>
        </w:tabs>
        <w:spacing w:before="120" w:after="120"/>
        <w:ind w:left="992" w:hanging="992"/>
        <w:contextualSpacing w:val="0"/>
      </w:pPr>
      <w:r w:rsidRPr="00E76E89">
        <w:rPr>
          <w:szCs w:val="24"/>
        </w:rPr>
        <w:t>Apeliantų teigimu, nukentėjusieji buvo apklausiami, pažeidžiant BPK 279 ir 283 straipsnių nuostatas, t.</w:t>
      </w:r>
      <w:r w:rsidR="00C9595D" w:rsidRPr="00E76E89">
        <w:rPr>
          <w:szCs w:val="24"/>
        </w:rPr>
        <w:t> </w:t>
      </w:r>
      <w:r w:rsidRPr="00E76E89">
        <w:rPr>
          <w:szCs w:val="24"/>
        </w:rPr>
        <w:t>y. jie buvo apklausiami, nepašalinus kitų nukentėjusiųjų iš salės, ir nukentėjusieji, išklausę prieš tai parodymus davusio nukentėjusiojo parodymus, pareikšdavo, kad patvirtina prieš tai duotus parodymus ir daugiau neturi ką papildyti (</w:t>
      </w:r>
      <w:r w:rsidRPr="00E76E89">
        <w:rPr>
          <w:color w:val="000000"/>
          <w:lang w:eastAsia="lt-LT" w:bidi="lt-LT"/>
        </w:rPr>
        <w:t>2017 m. kovo 22</w:t>
      </w:r>
      <w:r w:rsidR="008C67FA" w:rsidRPr="00E76E89">
        <w:rPr>
          <w:color w:val="000000"/>
          <w:lang w:eastAsia="lt-LT" w:bidi="lt-LT"/>
        </w:rPr>
        <w:t> </w:t>
      </w:r>
      <w:r w:rsidRPr="00E76E89">
        <w:rPr>
          <w:color w:val="000000"/>
          <w:lang w:eastAsia="lt-LT" w:bidi="lt-LT"/>
        </w:rPr>
        <w:t xml:space="preserve">d. vykusi nukentėjusiųjų </w:t>
      </w:r>
      <w:r w:rsidR="004472EE" w:rsidRPr="00E76E89">
        <w:rPr>
          <w:color w:val="000000"/>
          <w:lang w:eastAsia="lt-LT" w:bidi="lt-LT"/>
        </w:rPr>
        <w:t>A. R.</w:t>
      </w:r>
      <w:r w:rsidRPr="00E76E89">
        <w:rPr>
          <w:color w:val="000000"/>
          <w:lang w:eastAsia="lt-LT" w:bidi="lt-LT"/>
        </w:rPr>
        <w:t>, J.</w:t>
      </w:r>
      <w:r w:rsidR="000F5BFE" w:rsidRPr="00E76E89">
        <w:rPr>
          <w:color w:val="000000"/>
          <w:lang w:eastAsia="lt-LT" w:bidi="lt-LT"/>
        </w:rPr>
        <w:t> J., V. </w:t>
      </w:r>
      <w:r w:rsidRPr="00E76E89">
        <w:rPr>
          <w:color w:val="000000"/>
          <w:lang w:eastAsia="lt-LT" w:bidi="lt-LT"/>
        </w:rPr>
        <w:t>G</w:t>
      </w:r>
      <w:r w:rsidR="000F5BFE" w:rsidRPr="00E76E89">
        <w:rPr>
          <w:color w:val="000000"/>
          <w:lang w:eastAsia="lt-LT" w:bidi="lt-LT"/>
        </w:rPr>
        <w:t>., G. G. apklausa, 2017 m. </w:t>
      </w:r>
      <w:r w:rsidRPr="00E76E89">
        <w:rPr>
          <w:color w:val="000000"/>
          <w:lang w:eastAsia="lt-LT" w:bidi="lt-LT"/>
        </w:rPr>
        <w:t>gegužė</w:t>
      </w:r>
      <w:r w:rsidR="000F5BFE" w:rsidRPr="00E76E89">
        <w:rPr>
          <w:color w:val="000000"/>
          <w:lang w:eastAsia="lt-LT" w:bidi="lt-LT"/>
        </w:rPr>
        <w:t>s 3 d. vykusi nukentėjusiųjų V. </w:t>
      </w:r>
      <w:r w:rsidRPr="00E76E89">
        <w:rPr>
          <w:color w:val="000000"/>
          <w:lang w:eastAsia="lt-LT" w:bidi="lt-LT"/>
        </w:rPr>
        <w:t>M</w:t>
      </w:r>
      <w:r w:rsidR="000F5BFE" w:rsidRPr="00E76E89">
        <w:rPr>
          <w:color w:val="000000"/>
          <w:lang w:eastAsia="lt-LT" w:bidi="lt-LT"/>
        </w:rPr>
        <w:t>., K. A. </w:t>
      </w:r>
      <w:r w:rsidRPr="00E76E89">
        <w:rPr>
          <w:color w:val="000000"/>
          <w:lang w:eastAsia="lt-LT" w:bidi="lt-LT"/>
        </w:rPr>
        <w:t>M</w:t>
      </w:r>
      <w:r w:rsidR="000F5BFE" w:rsidRPr="00E76E89">
        <w:rPr>
          <w:color w:val="000000"/>
          <w:lang w:eastAsia="lt-LT" w:bidi="lt-LT"/>
        </w:rPr>
        <w:t>.</w:t>
      </w:r>
      <w:r w:rsidRPr="00E76E89">
        <w:rPr>
          <w:color w:val="000000"/>
          <w:lang w:eastAsia="lt-LT" w:bidi="lt-LT"/>
        </w:rPr>
        <w:t>, V. M</w:t>
      </w:r>
      <w:r w:rsidR="000F5BFE" w:rsidRPr="00E76E89">
        <w:rPr>
          <w:color w:val="000000"/>
          <w:lang w:eastAsia="lt-LT" w:bidi="lt-LT"/>
        </w:rPr>
        <w:t>.</w:t>
      </w:r>
      <w:r w:rsidRPr="00E76E89">
        <w:rPr>
          <w:color w:val="000000"/>
          <w:lang w:eastAsia="lt-LT" w:bidi="lt-LT"/>
        </w:rPr>
        <w:t xml:space="preserve"> apklausa). Taip prokurorams buvo sudarytos sąlygos užduoti atsakymą menančius klausimus ir suvaržyta kaltinamųjų teisė į nešališką teismą.</w:t>
      </w:r>
    </w:p>
    <w:p w:rsidR="00B85D8F" w:rsidRPr="00E76E89" w:rsidRDefault="00B85D8F" w:rsidP="00321748">
      <w:pPr>
        <w:pStyle w:val="ListParagraph"/>
        <w:numPr>
          <w:ilvl w:val="2"/>
          <w:numId w:val="6"/>
        </w:numPr>
        <w:tabs>
          <w:tab w:val="left" w:pos="284"/>
        </w:tabs>
        <w:spacing w:before="120" w:after="120"/>
        <w:ind w:left="992" w:hanging="992"/>
        <w:contextualSpacing w:val="0"/>
      </w:pPr>
      <w:r w:rsidRPr="00E76E89">
        <w:rPr>
          <w:color w:val="000000"/>
          <w:lang w:eastAsia="lt-LT" w:bidi="lt-LT"/>
        </w:rPr>
        <w:t xml:space="preserve">Teismas pažeidė kaltinamųjų teisę neduoti parodymų prieš save, kadangi byloje tinkamais įrodymais pripažino kaltinamųjų, </w:t>
      </w:r>
      <w:r w:rsidR="00C9595D" w:rsidRPr="00E76E89">
        <w:rPr>
          <w:color w:val="000000"/>
          <w:lang w:eastAsia="lt-LT" w:bidi="lt-LT"/>
        </w:rPr>
        <w:t xml:space="preserve">kurie buvo </w:t>
      </w:r>
      <w:r w:rsidRPr="00E76E89">
        <w:rPr>
          <w:color w:val="000000"/>
          <w:lang w:eastAsia="lt-LT" w:bidi="lt-LT"/>
        </w:rPr>
        <w:t>apklaust</w:t>
      </w:r>
      <w:r w:rsidR="00C9595D" w:rsidRPr="00E76E89">
        <w:rPr>
          <w:color w:val="000000"/>
          <w:lang w:eastAsia="lt-LT" w:bidi="lt-LT"/>
        </w:rPr>
        <w:t>i kaip</w:t>
      </w:r>
      <w:r w:rsidRPr="00E76E89">
        <w:rPr>
          <w:color w:val="000000"/>
          <w:lang w:eastAsia="lt-LT" w:bidi="lt-LT"/>
        </w:rPr>
        <w:t xml:space="preserve"> liudytojai, duotus parodymus.</w:t>
      </w:r>
    </w:p>
    <w:p w:rsidR="00B85D8F" w:rsidRPr="00E76E89" w:rsidRDefault="00B85D8F" w:rsidP="00321748">
      <w:pPr>
        <w:pStyle w:val="ListParagraph"/>
        <w:numPr>
          <w:ilvl w:val="2"/>
          <w:numId w:val="6"/>
        </w:numPr>
        <w:tabs>
          <w:tab w:val="left" w:pos="284"/>
        </w:tabs>
        <w:spacing w:before="120" w:after="120"/>
        <w:ind w:left="992" w:hanging="992"/>
        <w:contextualSpacing w:val="0"/>
      </w:pPr>
      <w:r w:rsidRPr="00E76E89">
        <w:rPr>
          <w:color w:val="000000"/>
          <w:lang w:eastAsia="lt-LT" w:bidi="lt-LT"/>
        </w:rPr>
        <w:lastRenderedPageBreak/>
        <w:t xml:space="preserve">Bylą išnagrinėjo šališkas teismas, nes teisėja A. K. Macevičienė, duodama interviu leidiniui </w:t>
      </w:r>
      <w:r w:rsidRPr="00E76E89">
        <w:rPr>
          <w:color w:val="000000"/>
          <w:lang w:bidi="en-US"/>
        </w:rPr>
        <w:t xml:space="preserve">TEISMAI.lt, </w:t>
      </w:r>
      <w:r w:rsidRPr="00E76E89">
        <w:rPr>
          <w:color w:val="000000"/>
          <w:lang w:eastAsia="lt-LT" w:bidi="lt-LT"/>
        </w:rPr>
        <w:t>pareiškė, kad „</w:t>
      </w:r>
      <w:r w:rsidR="00C9595D" w:rsidRPr="00E76E89">
        <w:rPr>
          <w:color w:val="000000"/>
          <w:lang w:eastAsia="lt-LT" w:bidi="lt-LT"/>
        </w:rPr>
        <w:t>b</w:t>
      </w:r>
      <w:r w:rsidRPr="00E76E89">
        <w:rPr>
          <w:color w:val="000000"/>
          <w:lang w:eastAsia="lt-LT" w:bidi="lt-LT"/>
        </w:rPr>
        <w:t>audžiamojon atsakomybėn patraukti asmenys bus teisiami už akių ir visą likusį gyvenimą pragyvens savo šalyje, iš kurios n</w:t>
      </w:r>
      <w:r w:rsidR="000F5BFE" w:rsidRPr="00E76E89">
        <w:rPr>
          <w:color w:val="000000"/>
          <w:lang w:eastAsia="lt-LT" w:bidi="lt-LT"/>
        </w:rPr>
        <w:t xml:space="preserve">egalės išvykti“ (2016 m. kovas, </w:t>
      </w:r>
      <w:r w:rsidRPr="00E76E89">
        <w:rPr>
          <w:color w:val="000000"/>
          <w:lang w:eastAsia="lt-LT" w:bidi="lt-LT"/>
        </w:rPr>
        <w:t>Nr.</w:t>
      </w:r>
      <w:r w:rsidR="00C9595D" w:rsidRPr="00E76E89">
        <w:rPr>
          <w:color w:val="000000"/>
          <w:lang w:eastAsia="lt-LT" w:bidi="lt-LT"/>
        </w:rPr>
        <w:t> </w:t>
      </w:r>
      <w:r w:rsidRPr="00E76E89">
        <w:rPr>
          <w:color w:val="000000"/>
          <w:lang w:eastAsia="lt-LT" w:bidi="lt-LT"/>
        </w:rPr>
        <w:t>1(21), p. 19). Tokie vieši pasisakymai įrodo teisėjos šališkumą, tačiau teisėja nuo bylos nagrinėjimo ir nuosprendžio surašymo nenusišalino.</w:t>
      </w:r>
    </w:p>
    <w:p w:rsidR="00B85D8F" w:rsidRPr="00E76E89" w:rsidRDefault="00B85D8F" w:rsidP="00321748">
      <w:pPr>
        <w:pStyle w:val="ListParagraph"/>
        <w:numPr>
          <w:ilvl w:val="2"/>
          <w:numId w:val="6"/>
        </w:numPr>
        <w:tabs>
          <w:tab w:val="left" w:pos="284"/>
        </w:tabs>
        <w:spacing w:before="120" w:after="120"/>
        <w:ind w:left="992" w:hanging="992"/>
        <w:contextualSpacing w:val="0"/>
      </w:pPr>
      <w:r w:rsidRPr="00E76E89">
        <w:rPr>
          <w:color w:val="000000"/>
          <w:lang w:eastAsia="lt-LT" w:bidi="lt-LT"/>
        </w:rPr>
        <w:t>Teismas neteisingai vertino bylos faktines aplinkybes ir apkaltinamąjį nuosprendį grindė tik kaltinančiais įrodymais, visiškai nepasisakydamas dėl teisinančių įrodymų.</w:t>
      </w:r>
    </w:p>
    <w:p w:rsidR="00B85D8F" w:rsidRPr="00E76E89" w:rsidRDefault="00B85D8F" w:rsidP="00321748">
      <w:pPr>
        <w:pStyle w:val="ListParagraph"/>
        <w:numPr>
          <w:ilvl w:val="2"/>
          <w:numId w:val="6"/>
        </w:numPr>
        <w:tabs>
          <w:tab w:val="left" w:pos="284"/>
        </w:tabs>
        <w:spacing w:before="120" w:after="120"/>
        <w:ind w:left="992" w:hanging="992"/>
        <w:contextualSpacing w:val="0"/>
      </w:pPr>
      <w:r w:rsidRPr="00E76E89">
        <w:rPr>
          <w:color w:val="000000"/>
          <w:lang w:eastAsia="lt-LT" w:bidi="lt-LT"/>
        </w:rPr>
        <w:t>Teismas pažeidė principą, kad visos abejonės turi būti traktuojamos kaltinamojo naudai, kadangi priėmė apkaltinamąjį nuosprendį, nepašalinęs reikšmingų prieštaravimų liudytojų ir nukentėjusiųjų parodymuose bei atsisakęs kreiptis į Konstitucinį Teismą dėl kaltinamiesiems inkriminuotų BK normų atitik</w:t>
      </w:r>
      <w:r w:rsidR="00C9595D" w:rsidRPr="00E76E89">
        <w:rPr>
          <w:color w:val="000000"/>
          <w:lang w:eastAsia="lt-LT" w:bidi="lt-LT"/>
        </w:rPr>
        <w:t>ties</w:t>
      </w:r>
      <w:r w:rsidRPr="00E76E89">
        <w:rPr>
          <w:color w:val="000000"/>
          <w:lang w:eastAsia="lt-LT" w:bidi="lt-LT"/>
        </w:rPr>
        <w:t xml:space="preserve"> Romos statutui ir Konstitucijai.</w:t>
      </w:r>
    </w:p>
    <w:p w:rsidR="00C84C56" w:rsidRPr="00C00255" w:rsidRDefault="00C84C56" w:rsidP="00321748">
      <w:pPr>
        <w:pStyle w:val="ListParagraph"/>
        <w:numPr>
          <w:ilvl w:val="0"/>
          <w:numId w:val="6"/>
        </w:numPr>
        <w:spacing w:before="120" w:after="120"/>
        <w:ind w:left="992" w:hanging="992"/>
        <w:contextualSpacing w:val="0"/>
        <w:rPr>
          <w:szCs w:val="24"/>
        </w:rPr>
      </w:pPr>
      <w:bookmarkStart w:id="136" w:name="_Toc37947874"/>
      <w:bookmarkStart w:id="137" w:name="_Toc67677353"/>
      <w:bookmarkStart w:id="138" w:name="_Toc67985480"/>
      <w:r w:rsidRPr="00D43DF2">
        <w:rPr>
          <w:b/>
        </w:rPr>
        <w:t xml:space="preserve">Nuteistojo </w:t>
      </w:r>
      <w:r w:rsidR="00C82C9D" w:rsidRPr="00D43DF2">
        <w:rPr>
          <w:b/>
        </w:rPr>
        <w:t>A. B.</w:t>
      </w:r>
      <w:r w:rsidRPr="00D43DF2">
        <w:rPr>
          <w:b/>
        </w:rPr>
        <w:t xml:space="preserve"> gynėjas</w:t>
      </w:r>
      <w:bookmarkEnd w:id="136"/>
      <w:bookmarkEnd w:id="137"/>
      <w:bookmarkEnd w:id="138"/>
      <w:r w:rsidRPr="00D43DF2">
        <w:rPr>
          <w:b/>
        </w:rPr>
        <w:t xml:space="preserve"> advokatas R. Polubianko</w:t>
      </w:r>
      <w:r w:rsidRPr="00C00255">
        <w:rPr>
          <w:szCs w:val="24"/>
        </w:rPr>
        <w:t xml:space="preserve"> apeliaciniu skundu prašo panaikinti pirmosios instancijos teismo nuosprendį ir jo ginamąjį išteisinti. </w:t>
      </w:r>
    </w:p>
    <w:p w:rsidR="00C84C56" w:rsidRPr="00E76E89" w:rsidRDefault="00160DF5" w:rsidP="00321748">
      <w:pPr>
        <w:pStyle w:val="ListParagraph"/>
        <w:numPr>
          <w:ilvl w:val="1"/>
          <w:numId w:val="6"/>
        </w:numPr>
        <w:spacing w:before="120" w:after="120"/>
        <w:ind w:left="992" w:hanging="992"/>
        <w:contextualSpacing w:val="0"/>
      </w:pPr>
      <w:r w:rsidRPr="00E76E89">
        <w:rPr>
          <w:szCs w:val="24"/>
        </w:rPr>
        <w:t>Apeliantas n</w:t>
      </w:r>
      <w:r w:rsidR="00C84C56" w:rsidRPr="00E76E89">
        <w:rPr>
          <w:szCs w:val="24"/>
        </w:rPr>
        <w:t xml:space="preserve">urodo, kad teismas neteisingai įvertino </w:t>
      </w:r>
      <w:r w:rsidR="004C5CD6" w:rsidRPr="00E76E89">
        <w:rPr>
          <w:szCs w:val="24"/>
        </w:rPr>
        <w:t xml:space="preserve">faktines </w:t>
      </w:r>
      <w:r w:rsidR="00C84C56" w:rsidRPr="00E76E89">
        <w:rPr>
          <w:szCs w:val="24"/>
        </w:rPr>
        <w:t xml:space="preserve">bylos aplinkybes, rėmėsi prielaidomis ir suteikė prioritetą </w:t>
      </w:r>
      <w:r w:rsidR="00C82C9D" w:rsidRPr="00E76E89">
        <w:rPr>
          <w:szCs w:val="24"/>
        </w:rPr>
        <w:t>A. B.</w:t>
      </w:r>
      <w:r w:rsidR="00C84C56" w:rsidRPr="00E76E89">
        <w:rPr>
          <w:szCs w:val="24"/>
        </w:rPr>
        <w:t xml:space="preserve"> kaltinantiems įrodymams, dalies įrodymų apskritai nevertino, dėl to, pažeidęs BPK 20 straipsnio reikalavimus, priėmė šališką, neteisėtą ir nepagrįstą apkaltinamąjį nuosprendį. Be to, teismas netinkamai pritaikė baudžiamąjį įstatymą.</w:t>
      </w:r>
    </w:p>
    <w:p w:rsidR="00C84C56" w:rsidRPr="00E76E89" w:rsidRDefault="00C84C56" w:rsidP="00321748">
      <w:pPr>
        <w:pStyle w:val="ListParagraph"/>
        <w:numPr>
          <w:ilvl w:val="1"/>
          <w:numId w:val="6"/>
        </w:numPr>
        <w:spacing w:before="120" w:after="120"/>
        <w:ind w:left="992" w:hanging="992"/>
        <w:contextualSpacing w:val="0"/>
      </w:pPr>
      <w:r w:rsidRPr="00E76E89">
        <w:t xml:space="preserve">Byloje nėra </w:t>
      </w:r>
      <w:r w:rsidR="00C82C9D" w:rsidRPr="00E76E89">
        <w:t>A. B.</w:t>
      </w:r>
      <w:r w:rsidRPr="00E76E89">
        <w:t xml:space="preserve"> kaltę patvirtinančių įrodymų. N</w:t>
      </w:r>
      <w:r w:rsidR="003736F3" w:rsidRPr="00E76E89">
        <w:t>ė</w:t>
      </w:r>
      <w:r w:rsidRPr="00E76E89">
        <w:t xml:space="preserve"> vienas nukentėjusysis ar liudytojas nenurodė, kad </w:t>
      </w:r>
      <w:r w:rsidR="00C82C9D" w:rsidRPr="00E76E89">
        <w:t>A. B.</w:t>
      </w:r>
      <w:r w:rsidRPr="00E76E89">
        <w:t xml:space="preserve"> atliko kokius nors neteisėtus veiksmus. To apkaltinamajame nuosprendyje nenurodė ir teismas. Be to, iš nuosprendžio neaišku, kokioje konkrečiai operacijoje dalyvavo </w:t>
      </w:r>
      <w:r w:rsidR="00C82C9D" w:rsidRPr="00E76E89">
        <w:t>A. B.</w:t>
      </w:r>
      <w:r w:rsidRPr="00E76E89">
        <w:t>, t.</w:t>
      </w:r>
      <w:r w:rsidR="005A0CC1" w:rsidRPr="00E76E89">
        <w:t> </w:t>
      </w:r>
      <w:r w:rsidRPr="00E76E89">
        <w:t>y. ar dėl veiksmų prie Spaudos rūmų, T</w:t>
      </w:r>
      <w:r w:rsidR="007403E5" w:rsidRPr="00E76E89">
        <w:t>V</w:t>
      </w:r>
      <w:r w:rsidR="004C5CD6" w:rsidRPr="00E76E89">
        <w:t> </w:t>
      </w:r>
      <w:r w:rsidRPr="00E76E89">
        <w:t xml:space="preserve">bokšto, </w:t>
      </w:r>
      <w:r w:rsidR="007403E5" w:rsidRPr="00E76E89">
        <w:t>LRT</w:t>
      </w:r>
      <w:r w:rsidR="00055C65" w:rsidRPr="00E76E89">
        <w:t> </w:t>
      </w:r>
      <w:r w:rsidRPr="00E76E89">
        <w:t>pastato, ar</w:t>
      </w:r>
      <w:r w:rsidR="00160DF5" w:rsidRPr="00E76E89">
        <w:t xml:space="preserve"> dėl įvykių įvedant komendanto</w:t>
      </w:r>
      <w:r w:rsidRPr="00E76E89">
        <w:t xml:space="preserve"> valandą. Nuteistasis buvo kaltintas tuo, kad veikas padarė, esant jo atsakomybę sunkinančioms aplinkybėms</w:t>
      </w:r>
      <w:r w:rsidR="00DE3B19" w:rsidRPr="00E76E89">
        <w:t>, numatytoms BK</w:t>
      </w:r>
      <w:r w:rsidR="00EC1D9A" w:rsidRPr="00E76E89">
        <w:t> 60 straipsnio </w:t>
      </w:r>
      <w:r w:rsidR="00DE3B19" w:rsidRPr="00E76E89">
        <w:t>1 </w:t>
      </w:r>
      <w:r w:rsidRPr="00E76E89">
        <w:t>dalies 2 ir 10 punktuose (</w:t>
      </w:r>
      <w:r w:rsidR="003736F3" w:rsidRPr="00E76E89">
        <w:t xml:space="preserve">veikdamas </w:t>
      </w:r>
      <w:r w:rsidRPr="00E76E89">
        <w:t>organizuot</w:t>
      </w:r>
      <w:r w:rsidR="003736F3" w:rsidRPr="00E76E89">
        <w:t>a</w:t>
      </w:r>
      <w:r w:rsidRPr="00E76E89">
        <w:t xml:space="preserve"> grupe ir visuotinai pavojingu būdu, panaudo</w:t>
      </w:r>
      <w:r w:rsidR="002714BC" w:rsidRPr="00E76E89">
        <w:t>damas</w:t>
      </w:r>
      <w:r w:rsidRPr="00E76E89">
        <w:t xml:space="preserve"> šaunamuosius ginklus ir sprogmenis). Visgi nei kaltinamajame akte, nei nuosprendyje nenurodyta, jog būtent </w:t>
      </w:r>
      <w:r w:rsidR="00C82C9D" w:rsidRPr="00E76E89">
        <w:t>A. B.</w:t>
      </w:r>
      <w:r w:rsidRPr="00E76E89">
        <w:t xml:space="preserve"> turėjo ir panaudojo ginklą, neįvard</w:t>
      </w:r>
      <w:r w:rsidR="003736F3" w:rsidRPr="00E76E89">
        <w:t>y</w:t>
      </w:r>
      <w:r w:rsidRPr="00E76E89">
        <w:t>tas pats ginklas ir prieš kokį asmenį šis panaudotas, koks asmuo dėl to nukentėjo. Prokuroras savo baigiamojoje kalboje nurodė tik tai, kad kaltinamasis</w:t>
      </w:r>
      <w:r w:rsidR="00160DF5" w:rsidRPr="00E76E89">
        <w:t xml:space="preserve"> </w:t>
      </w:r>
      <w:r w:rsidR="00C82C9D" w:rsidRPr="00E76E89">
        <w:t>A. B.</w:t>
      </w:r>
      <w:r w:rsidR="00160DF5" w:rsidRPr="00E76E89">
        <w:t xml:space="preserve"> 1991 m. </w:t>
      </w:r>
      <w:r w:rsidRPr="00E76E89">
        <w:t>sausio 11 d. važiavo tanke prie Spaudos rūmų, todėl yra kaltas dėl dalyvavimo kariniuose veiksmuose. Pasak gynėjo, to nepakanka, kad asm</w:t>
      </w:r>
      <w:r w:rsidR="003736F3" w:rsidRPr="00E76E89">
        <w:t>uo būtų pripažintas</w:t>
      </w:r>
      <w:r w:rsidRPr="00E76E89">
        <w:t xml:space="preserve"> kaltu dėl jam inkriminu</w:t>
      </w:r>
      <w:r w:rsidR="007403E5" w:rsidRPr="00E76E89">
        <w:t xml:space="preserve">ojamų veikų padarymo. Nors </w:t>
      </w:r>
      <w:r w:rsidR="00C82C9D" w:rsidRPr="00E76E89">
        <w:t>A. B.</w:t>
      </w:r>
      <w:r w:rsidRPr="00E76E89">
        <w:t xml:space="preserve"> važiavo nurodytame tanke, tačiau nežinojo užduoties ir neturėjo tyčios padaryti karo nusikaltimus ir nusikaltimus žmoniškumui. </w:t>
      </w:r>
    </w:p>
    <w:p w:rsidR="00C84C56" w:rsidRPr="00E76E89" w:rsidRDefault="00C84C56" w:rsidP="00321748">
      <w:pPr>
        <w:pStyle w:val="ListParagraph"/>
        <w:numPr>
          <w:ilvl w:val="1"/>
          <w:numId w:val="6"/>
        </w:numPr>
        <w:spacing w:before="120" w:after="120"/>
        <w:ind w:left="992" w:hanging="992"/>
        <w:contextualSpacing w:val="0"/>
      </w:pPr>
      <w:r w:rsidRPr="00E76E89">
        <w:t xml:space="preserve">Teismas nepagrįstai vadovavosi tanko Nr. 511 ekipažo parodymais. Iš nuosprendžio neaišku, kada šie parodymai buvo gauti. Be to, </w:t>
      </w:r>
      <w:r w:rsidR="00C82C9D" w:rsidRPr="00E76E89">
        <w:t>A. B.</w:t>
      </w:r>
      <w:r w:rsidRPr="00E76E89">
        <w:t xml:space="preserve"> ir kiti šio tanko ekipažo nariai buvo apklausti kitoje baudžiamoj</w:t>
      </w:r>
      <w:r w:rsidR="00D64F26" w:rsidRPr="00E76E89">
        <w:t>oje byloje, kuri nesusijusi su 1991 m. s</w:t>
      </w:r>
      <w:r w:rsidR="00EC1D9A" w:rsidRPr="00E76E89">
        <w:t>ausio 13-osios įvykiais, t. </w:t>
      </w:r>
      <w:r w:rsidRPr="00E76E89">
        <w:t xml:space="preserve">y. dėl eismo įvykio, kurį sukėlė tankas. Dėl to baudžiamojon atsakomybėn buvo traukiamas tik tanko vairuotojas </w:t>
      </w:r>
      <w:r w:rsidR="00A97F74" w:rsidRPr="00E76E89">
        <w:t>A. R.</w:t>
      </w:r>
      <w:r w:rsidRPr="00E76E89">
        <w:t xml:space="preserve"> ir tanko vadas </w:t>
      </w:r>
      <w:r w:rsidR="00C82C9D" w:rsidRPr="00E76E89">
        <w:t>V. U. 2</w:t>
      </w:r>
      <w:r w:rsidRPr="00E76E89">
        <w:t xml:space="preserve">, kuriems vėliau ikiteisminis tyrimas buvo nutrauktas. Dėl valstybės perversmo </w:t>
      </w:r>
      <w:r w:rsidR="00C82C9D" w:rsidRPr="00E76E89">
        <w:t>A. B.</w:t>
      </w:r>
      <w:r w:rsidRPr="00E76E89">
        <w:t xml:space="preserve"> pareikštas kaltinimas tik 2013 m., tačiau minėto eismo įvykio metu tankas buvo stipriai apgadintas ir negalėjo dalyvauti kariniuose veiksmuose, nes jokiems koviniams veiksmams atlikti buvo nebetinkamas. Tai patvirtina ne tik liudytojų parodymai, bet ir vaizdo medžiaga. Tankas prie Spaudos rūmų važiavo ne kolonoje, ne kartą buvo sustojęs dėl gedimų (sugadinta alyvos padavimo į variklį žarnelė) ir Spaudos rūmus pasiekė, kai karinė operacija faktiškai buvo baigta. </w:t>
      </w:r>
    </w:p>
    <w:p w:rsidR="00C84C56" w:rsidRPr="00E76E89" w:rsidRDefault="00C84C56" w:rsidP="00321748">
      <w:pPr>
        <w:pStyle w:val="ListParagraph"/>
        <w:numPr>
          <w:ilvl w:val="1"/>
          <w:numId w:val="6"/>
        </w:numPr>
        <w:spacing w:before="120" w:after="120"/>
        <w:ind w:left="992" w:hanging="992"/>
        <w:contextualSpacing w:val="0"/>
      </w:pPr>
      <w:r w:rsidRPr="00E76E89">
        <w:t xml:space="preserve">Dėl </w:t>
      </w:r>
      <w:r w:rsidR="00AC7155" w:rsidRPr="00E76E89">
        <w:t>pirmiau</w:t>
      </w:r>
      <w:r w:rsidRPr="00E76E89">
        <w:t xml:space="preserve"> nurodytų priežasčių gynėjas mano, kad buvo surašytas BPK 219 straipsnio reikalavimų neatitinkantis kaltinamasis aktas. Be to, </w:t>
      </w:r>
      <w:r w:rsidR="00C82C9D" w:rsidRPr="00E76E89">
        <w:t>A. B.</w:t>
      </w:r>
      <w:r w:rsidRPr="00E76E89">
        <w:t xml:space="preserve"> negalėjo būti patrauktas </w:t>
      </w:r>
      <w:r w:rsidRPr="00E76E89">
        <w:lastRenderedPageBreak/>
        <w:t>baudžiamojon atsakomybėn pagal jam inkriminuojamus straipsnius, nes nėra šių nusikalstamų veikų subjektas, neturėjo jokios tyčios atlikti nusikalstamus veiksmus. Nei kaltinamajame akte, nei nuosprendyje konkrečiai neįvard</w:t>
      </w:r>
      <w:r w:rsidR="00AC7155" w:rsidRPr="00E76E89">
        <w:t>y</w:t>
      </w:r>
      <w:r w:rsidRPr="00E76E89">
        <w:t>tas nusikaltimo objektas, t.</w:t>
      </w:r>
      <w:r w:rsidR="00AC7155" w:rsidRPr="00E76E89">
        <w:t> </w:t>
      </w:r>
      <w:r w:rsidRPr="00E76E89">
        <w:t xml:space="preserve">y. kas konkrečiai nukentėjo nuo </w:t>
      </w:r>
      <w:r w:rsidR="00C82C9D" w:rsidRPr="00E76E89">
        <w:t>A. B.</w:t>
      </w:r>
      <w:r w:rsidRPr="00E76E89">
        <w:t xml:space="preserve"> veiksmų ir</w:t>
      </w:r>
      <w:r w:rsidR="00160DF5" w:rsidRPr="00E76E89">
        <w:t xml:space="preserve"> ar yra tokių nukentėjusiųjų, bei</w:t>
      </w:r>
      <w:r w:rsidRPr="00E76E89">
        <w:t xml:space="preserve"> nenu</w:t>
      </w:r>
      <w:r w:rsidR="00160DF5" w:rsidRPr="00E76E89">
        <w:t>r</w:t>
      </w:r>
      <w:r w:rsidRPr="00E76E89">
        <w:t xml:space="preserve">odyti jo kaltę patvirtinantys įrodymai. </w:t>
      </w:r>
    </w:p>
    <w:p w:rsidR="00160DF5" w:rsidRPr="00C00255" w:rsidRDefault="00160DF5" w:rsidP="00321748">
      <w:pPr>
        <w:pStyle w:val="ListParagraph"/>
        <w:numPr>
          <w:ilvl w:val="0"/>
          <w:numId w:val="6"/>
        </w:numPr>
        <w:spacing w:before="120" w:after="120"/>
        <w:ind w:left="992" w:hanging="992"/>
        <w:contextualSpacing w:val="0"/>
      </w:pPr>
      <w:bookmarkStart w:id="139" w:name="_Toc37947875"/>
      <w:bookmarkStart w:id="140" w:name="_Toc67677354"/>
      <w:bookmarkStart w:id="141" w:name="_Toc67985481"/>
      <w:r w:rsidRPr="00D43DF2">
        <w:rPr>
          <w:b/>
        </w:rPr>
        <w:t xml:space="preserve">Nuteistojo </w:t>
      </w:r>
      <w:r w:rsidR="00C82C9D" w:rsidRPr="00D43DF2">
        <w:rPr>
          <w:b/>
        </w:rPr>
        <w:t>O. A.</w:t>
      </w:r>
      <w:r w:rsidRPr="00D43DF2">
        <w:rPr>
          <w:b/>
        </w:rPr>
        <w:t xml:space="preserve"> gynėjas</w:t>
      </w:r>
      <w:bookmarkEnd w:id="139"/>
      <w:bookmarkEnd w:id="140"/>
      <w:bookmarkEnd w:id="141"/>
      <w:r w:rsidRPr="00D43DF2">
        <w:rPr>
          <w:b/>
        </w:rPr>
        <w:t xml:space="preserve"> advokatas L. Ignatovas</w:t>
      </w:r>
      <w:r w:rsidRPr="00C00255">
        <w:t xml:space="preserve"> apeliaciniu skundu </w:t>
      </w:r>
      <w:r w:rsidRPr="00C00255">
        <w:rPr>
          <w:szCs w:val="24"/>
        </w:rPr>
        <w:t xml:space="preserve">prašo panaikinti pirmosios instancijos teismo nuosprendį ir dėl </w:t>
      </w:r>
      <w:r w:rsidR="00C82C9D">
        <w:rPr>
          <w:szCs w:val="24"/>
        </w:rPr>
        <w:t>O. A.</w:t>
      </w:r>
      <w:r w:rsidRPr="00C00255">
        <w:rPr>
          <w:szCs w:val="24"/>
        </w:rPr>
        <w:t xml:space="preserve"> priimti išteisinamąjį nuosprendį.</w:t>
      </w:r>
    </w:p>
    <w:p w:rsidR="003F375C" w:rsidRPr="00E76E89" w:rsidRDefault="00160DF5" w:rsidP="00321748">
      <w:pPr>
        <w:pStyle w:val="ListParagraph"/>
        <w:numPr>
          <w:ilvl w:val="1"/>
          <w:numId w:val="6"/>
        </w:numPr>
        <w:tabs>
          <w:tab w:val="left" w:pos="6946"/>
        </w:tabs>
        <w:spacing w:before="120" w:after="120"/>
        <w:ind w:left="992" w:hanging="992"/>
        <w:contextualSpacing w:val="0"/>
      </w:pPr>
      <w:r w:rsidRPr="00E76E89">
        <w:rPr>
          <w:szCs w:val="24"/>
        </w:rPr>
        <w:t xml:space="preserve">Apeliaciniame skunde teigiama, kad teismas, priimdamas apkaltinamąjį nuosprendį, neatsižvelgė į tai, kad </w:t>
      </w:r>
      <w:r w:rsidR="00C82C9D" w:rsidRPr="00E76E89">
        <w:rPr>
          <w:szCs w:val="24"/>
        </w:rPr>
        <w:t>O. A.</w:t>
      </w:r>
      <w:r w:rsidRPr="00E76E89">
        <w:rPr>
          <w:szCs w:val="24"/>
        </w:rPr>
        <w:t>, veikiamas TSRS armijos politinių jėgų, manė, kad Lietuva priklauso TSRS ir Lietuvoje veikia TSRS įstatymai, o jis, kaip priesaiką davęs karininkas, turi vykdyti įsakymus ir ginti TSRS nuo įvairių grėsmių. Iš paties ginamojo apklausos matyti, kad jis manė, jog įtampa Lietuvoje kilo dėl kainų pakėlimo. Vykdydamas aukštesnių karininkų įsakymą, jis</w:t>
      </w:r>
      <w:r w:rsidR="00AC7155" w:rsidRPr="00E76E89">
        <w:rPr>
          <w:szCs w:val="24"/>
        </w:rPr>
        <w:t>,</w:t>
      </w:r>
      <w:r w:rsidRPr="00E76E89">
        <w:rPr>
          <w:szCs w:val="24"/>
        </w:rPr>
        <w:t xml:space="preserve"> kaip tanko taikytojas</w:t>
      </w:r>
      <w:r w:rsidR="00AC7155" w:rsidRPr="00E76E89">
        <w:rPr>
          <w:szCs w:val="24"/>
        </w:rPr>
        <w:t>,</w:t>
      </w:r>
      <w:r w:rsidRPr="00E76E89">
        <w:rPr>
          <w:szCs w:val="24"/>
        </w:rPr>
        <w:t xml:space="preserve"> nuvyko </w:t>
      </w:r>
      <w:r w:rsidR="00AC7155" w:rsidRPr="00E76E89">
        <w:rPr>
          <w:szCs w:val="24"/>
        </w:rPr>
        <w:t xml:space="preserve">tanku </w:t>
      </w:r>
      <w:r w:rsidRPr="00E76E89">
        <w:rPr>
          <w:szCs w:val="24"/>
        </w:rPr>
        <w:t xml:space="preserve">prie TV bokšto, tačiau karinės operacijos neplanavo. Prieš vykimą prie TV bokšto </w:t>
      </w:r>
      <w:r w:rsidR="00C82C9D" w:rsidRPr="00E76E89">
        <w:rPr>
          <w:szCs w:val="24"/>
        </w:rPr>
        <w:t>O. A.</w:t>
      </w:r>
      <w:r w:rsidRPr="00E76E89">
        <w:rPr>
          <w:szCs w:val="24"/>
        </w:rPr>
        <w:t xml:space="preserve"> buvo pasakyta, kad jo ekipažui vadovaus pulko vadas </w:t>
      </w:r>
      <w:r w:rsidR="004069BF" w:rsidRPr="00E76E89">
        <w:rPr>
          <w:szCs w:val="24"/>
        </w:rPr>
        <w:t>N. A.</w:t>
      </w:r>
      <w:r w:rsidRPr="00E76E89">
        <w:rPr>
          <w:szCs w:val="24"/>
        </w:rPr>
        <w:t>, tačiau nebuvo paaiškintas nei vykimo tikslas, n</w:t>
      </w:r>
      <w:r w:rsidR="000F5BFE" w:rsidRPr="00E76E89">
        <w:rPr>
          <w:szCs w:val="24"/>
        </w:rPr>
        <w:t>ei uždaviniai. Įvažiuojant į TV </w:t>
      </w:r>
      <w:r w:rsidRPr="00E76E89">
        <w:rPr>
          <w:szCs w:val="24"/>
        </w:rPr>
        <w:t xml:space="preserve">bokšto teritoriją, vykdydamas </w:t>
      </w:r>
      <w:r w:rsidR="004069BF" w:rsidRPr="00E76E89">
        <w:rPr>
          <w:szCs w:val="24"/>
        </w:rPr>
        <w:t>N. A.</w:t>
      </w:r>
      <w:r w:rsidRPr="00E76E89">
        <w:rPr>
          <w:szCs w:val="24"/>
        </w:rPr>
        <w:t xml:space="preserve"> įsakymą, už kurio nevykdymą jam grėsė atsakomybė, </w:t>
      </w:r>
      <w:r w:rsidR="00C82C9D" w:rsidRPr="00E76E89">
        <w:rPr>
          <w:szCs w:val="24"/>
        </w:rPr>
        <w:t>O. A.</w:t>
      </w:r>
      <w:r w:rsidRPr="00E76E89">
        <w:rPr>
          <w:szCs w:val="24"/>
        </w:rPr>
        <w:t xml:space="preserve"> maksimaliai pakeltu patrankos vamzdžiu iššovė iš tuščio užtaiso, tačiau savo iniciatyva jokių veiksmų neatliko, todėl jo veiksmuose nebuvo kaltės (tiesioginės tyčios). Teismas neįrodė ir priežastinio ryšio tarp </w:t>
      </w:r>
      <w:r w:rsidR="00C82C9D" w:rsidRPr="00E76E89">
        <w:rPr>
          <w:szCs w:val="24"/>
        </w:rPr>
        <w:t>O. A.</w:t>
      </w:r>
      <w:r w:rsidRPr="00E76E89">
        <w:rPr>
          <w:szCs w:val="24"/>
        </w:rPr>
        <w:t xml:space="preserve"> veiksmų ir kilusių pa</w:t>
      </w:r>
      <w:r w:rsidR="00AC7155" w:rsidRPr="00E76E89">
        <w:rPr>
          <w:szCs w:val="24"/>
        </w:rPr>
        <w:t>darinių</w:t>
      </w:r>
      <w:r w:rsidRPr="00E76E89">
        <w:rPr>
          <w:szCs w:val="24"/>
        </w:rPr>
        <w:t xml:space="preserve">. </w:t>
      </w:r>
    </w:p>
    <w:p w:rsidR="00160DF5" w:rsidRPr="00E76E89" w:rsidRDefault="00160DF5" w:rsidP="00321748">
      <w:pPr>
        <w:pStyle w:val="ListParagraph"/>
        <w:numPr>
          <w:ilvl w:val="1"/>
          <w:numId w:val="6"/>
        </w:numPr>
        <w:spacing w:before="120" w:after="120"/>
        <w:ind w:left="992" w:hanging="992"/>
        <w:contextualSpacing w:val="0"/>
      </w:pPr>
      <w:r w:rsidRPr="00E76E89">
        <w:rPr>
          <w:szCs w:val="24"/>
        </w:rPr>
        <w:t xml:space="preserve">Gynėjo teigimu, teismas </w:t>
      </w:r>
      <w:r w:rsidR="00C82C9D" w:rsidRPr="00E76E89">
        <w:rPr>
          <w:szCs w:val="24"/>
        </w:rPr>
        <w:t>O. A.</w:t>
      </w:r>
      <w:r w:rsidRPr="00E76E89">
        <w:rPr>
          <w:szCs w:val="24"/>
        </w:rPr>
        <w:t xml:space="preserve"> nuteisė pagal tuos pačius BK straipsnius kaip ir karinės vadovybės karininkus bei paskyrė panašaus dydžio bausmę, o tai prieštarauja bet kokiai logikai.</w:t>
      </w:r>
      <w:r w:rsidR="008434B8" w:rsidRPr="00E76E89">
        <w:rPr>
          <w:szCs w:val="24"/>
        </w:rPr>
        <w:t xml:space="preserve"> </w:t>
      </w:r>
    </w:p>
    <w:p w:rsidR="00160DF5" w:rsidRPr="00C00255" w:rsidRDefault="00160DF5" w:rsidP="00321748">
      <w:pPr>
        <w:pStyle w:val="ListParagraph"/>
        <w:numPr>
          <w:ilvl w:val="0"/>
          <w:numId w:val="6"/>
        </w:numPr>
        <w:spacing w:before="120" w:after="120"/>
        <w:ind w:left="992" w:hanging="992"/>
        <w:contextualSpacing w:val="0"/>
      </w:pPr>
      <w:bookmarkStart w:id="142" w:name="_Toc37947876"/>
      <w:bookmarkStart w:id="143" w:name="_Toc67677355"/>
      <w:bookmarkStart w:id="144" w:name="_Toc67985482"/>
      <w:r w:rsidRPr="00D43DF2">
        <w:rPr>
          <w:b/>
        </w:rPr>
        <w:t xml:space="preserve">Nuteistojo </w:t>
      </w:r>
      <w:r w:rsidR="00C82C9D" w:rsidRPr="00D43DF2">
        <w:rPr>
          <w:b/>
        </w:rPr>
        <w:t>N. S.</w:t>
      </w:r>
      <w:r w:rsidRPr="00D43DF2">
        <w:rPr>
          <w:b/>
        </w:rPr>
        <w:t xml:space="preserve"> gynėjas</w:t>
      </w:r>
      <w:bookmarkEnd w:id="142"/>
      <w:bookmarkEnd w:id="143"/>
      <w:bookmarkEnd w:id="144"/>
      <w:r w:rsidRPr="00D43DF2">
        <w:rPr>
          <w:b/>
        </w:rPr>
        <w:t xml:space="preserve"> advokatas F. Vrubliauskas</w:t>
      </w:r>
      <w:r w:rsidRPr="00D43DF2">
        <w:t xml:space="preserve"> </w:t>
      </w:r>
      <w:r w:rsidRPr="00C00255">
        <w:rPr>
          <w:szCs w:val="24"/>
          <w:lang w:eastAsia="lt-LT"/>
        </w:rPr>
        <w:t>apeliaciniu skundu</w:t>
      </w:r>
      <w:r w:rsidRPr="00C00255">
        <w:rPr>
          <w:b/>
          <w:szCs w:val="24"/>
          <w:lang w:eastAsia="lt-LT"/>
        </w:rPr>
        <w:t xml:space="preserve"> </w:t>
      </w:r>
      <w:r w:rsidRPr="00C00255">
        <w:t>prašo panaikinti pirmosios instancijos teismo nuosprendį ir dėl jo ginamojo priimti išteisinamąjį nuosprendį.</w:t>
      </w:r>
    </w:p>
    <w:p w:rsidR="00160DF5" w:rsidRPr="00E76E89" w:rsidRDefault="00160DF5" w:rsidP="00321748">
      <w:pPr>
        <w:pStyle w:val="ListParagraph"/>
        <w:numPr>
          <w:ilvl w:val="1"/>
          <w:numId w:val="6"/>
        </w:numPr>
        <w:spacing w:before="120" w:after="120"/>
        <w:ind w:left="992" w:hanging="992"/>
        <w:contextualSpacing w:val="0"/>
      </w:pPr>
      <w:r w:rsidRPr="00E76E89">
        <w:t xml:space="preserve">Apeliaciniame skunde teigiama, kad apygardos teismas pažeidė įrodymų tyrimo bei vertinimo taisykles. Nuosprendis grindžiamas </w:t>
      </w:r>
      <w:r w:rsidR="00C82C9D" w:rsidRPr="00E76E89">
        <w:t>N. S.</w:t>
      </w:r>
      <w:r w:rsidRPr="00E76E89">
        <w:t xml:space="preserve"> </w:t>
      </w:r>
      <w:r w:rsidR="00BB560E" w:rsidRPr="00E76E89">
        <w:t>ir kitų kaltinamųjų,</w:t>
      </w:r>
      <w:r w:rsidR="009629DB" w:rsidRPr="00E76E89">
        <w:t xml:space="preserve"> kurie buvo</w:t>
      </w:r>
      <w:r w:rsidR="00BB560E" w:rsidRPr="00E76E89">
        <w:t xml:space="preserve"> apklaust</w:t>
      </w:r>
      <w:r w:rsidR="009629DB" w:rsidRPr="00E76E89">
        <w:t>i kaip</w:t>
      </w:r>
      <w:r w:rsidR="00BB560E" w:rsidRPr="00E76E89">
        <w:t xml:space="preserve"> </w:t>
      </w:r>
      <w:r w:rsidRPr="00E76E89">
        <w:t xml:space="preserve">liudytojai, apklausos protokoluose užfiksuotais parodymais. Apklausas atliko TSRS </w:t>
      </w:r>
      <w:r w:rsidR="00BB560E" w:rsidRPr="00E76E89">
        <w:t>GM</w:t>
      </w:r>
      <w:r w:rsidRPr="00E76E89">
        <w:t xml:space="preserve"> pavaldūs statutiniai pareigūnai, kurie, kaip ir apklausi</w:t>
      </w:r>
      <w:r w:rsidR="009629DB" w:rsidRPr="00E76E89">
        <w:t>ami</w:t>
      </w:r>
      <w:r w:rsidRPr="00E76E89">
        <w:t xml:space="preserve"> kariškiai, buvo saistomi TSRS duot</w:t>
      </w:r>
      <w:r w:rsidR="00E829A9" w:rsidRPr="00E76E89">
        <w:t>os</w:t>
      </w:r>
      <w:r w:rsidRPr="00E76E89">
        <w:t xml:space="preserve"> priesaik</w:t>
      </w:r>
      <w:r w:rsidR="00E829A9" w:rsidRPr="00E76E89">
        <w:t>os</w:t>
      </w:r>
      <w:r w:rsidRPr="00E76E89">
        <w:t xml:space="preserve">. Pagal nuosprendžio motyvaciją visi kariškiai </w:t>
      </w:r>
      <w:r w:rsidR="00DE3B19" w:rsidRPr="00E76E89">
        <w:t>siekė įgyvendinti TSRS Konstituciją ir vykdė TSRS, TSKP politiką</w:t>
      </w:r>
      <w:r w:rsidRPr="00E76E89">
        <w:t xml:space="preserve"> Lietuvoje, </w:t>
      </w:r>
      <w:r w:rsidR="009629DB" w:rsidRPr="00E76E89">
        <w:t>o tai</w:t>
      </w:r>
      <w:r w:rsidRPr="00E76E89">
        <w:t xml:space="preserve"> leidžia pagrįstai manyti, kad parodymai galėjo būti surašomi ne iš apklausiamo liudytojo savarankiškai duotų parodymų. Be to, didžioji dauguma kariškių, kurių parodymais grindžiamas apkaltinamasis nuosprendis, nebuvo apklausti teisiamajame posėdyje ir jie savo prieš 28 metus duotų parodymų nepatvirtino teisme. Minėtos aplinkybės kelia abejonių dėl šių parodymų tinkamumo ir patikimumo bei jų pripažinimo įrodymais pagrįstumo. Teismas turėjo įvertinti, ar byloje</w:t>
      </w:r>
      <w:r w:rsidR="009629DB" w:rsidRPr="00E76E89">
        <w:t>,</w:t>
      </w:r>
      <w:r w:rsidRPr="00E76E89">
        <w:t xml:space="preserve"> be minėtų įrodymų</w:t>
      </w:r>
      <w:r w:rsidR="009629DB" w:rsidRPr="00E76E89">
        <w:t>,</w:t>
      </w:r>
      <w:r w:rsidRPr="00E76E89">
        <w:t xml:space="preserve"> yra pakankamai papildomų įrodymų dėl kaltinamųjų kaltės. Be to, </w:t>
      </w:r>
      <w:r w:rsidR="009629DB" w:rsidRPr="00E76E89">
        <w:t xml:space="preserve">kaip </w:t>
      </w:r>
      <w:r w:rsidRPr="00E76E89">
        <w:t>liudytojai negali būti apklausiami asmenys, kurie gali duoti parodymus apie savo pačių galimai padarytą veiką. Todėl byloje kaltinamųjų</w:t>
      </w:r>
      <w:r w:rsidR="004A3C5A" w:rsidRPr="00E76E89">
        <w:t>,</w:t>
      </w:r>
      <w:r w:rsidRPr="00E76E89">
        <w:t xml:space="preserve"> kaip liudytojų</w:t>
      </w:r>
      <w:r w:rsidR="004A3C5A" w:rsidRPr="00E76E89">
        <w:t>,</w:t>
      </w:r>
      <w:r w:rsidRPr="00E76E89">
        <w:t xml:space="preserve"> duotus parodymus pripažinus tinkamais ir patikimais įrodymais, buvo pažeista konstitucinė asmens teisė neduoti parodymų prieš save bei pažeistos BPK 20 straipsnio ir 301 straipsnio nuostatos. Skunde pažymima, kad tiek pagal EŽTT, tiek pagal LAT praktiką liudytojų (kaltinamųjų) parodymai, duoti jiems neišaiškinus teisės atsisakyti duoti parodymus apie savo galimai padarytą veiką, yra niekiniai.</w:t>
      </w:r>
    </w:p>
    <w:p w:rsidR="00160DF5" w:rsidRPr="00E76E89" w:rsidRDefault="00160DF5" w:rsidP="00321748">
      <w:pPr>
        <w:pStyle w:val="ListParagraph"/>
        <w:numPr>
          <w:ilvl w:val="1"/>
          <w:numId w:val="6"/>
        </w:numPr>
        <w:spacing w:before="120" w:after="120"/>
        <w:ind w:left="992" w:hanging="992"/>
        <w:contextualSpacing w:val="0"/>
      </w:pPr>
      <w:r w:rsidRPr="00E76E89">
        <w:rPr>
          <w:szCs w:val="24"/>
        </w:rPr>
        <w:t xml:space="preserve">Gynėjo teigimu, teismas pažeidė ir asmenų lygybės prieš įstatymą principą. Daliai kariškių, kurie buvo apklausti </w:t>
      </w:r>
      <w:r w:rsidR="009629DB" w:rsidRPr="00E76E89">
        <w:rPr>
          <w:szCs w:val="24"/>
        </w:rPr>
        <w:t xml:space="preserve">kaip </w:t>
      </w:r>
      <w:r w:rsidRPr="00E76E89">
        <w:rPr>
          <w:szCs w:val="24"/>
        </w:rPr>
        <w:t xml:space="preserve">liudytojai ir kurie 1991 m. sausio mėnesį dalyvavo specialioje karinėje operacijoje Lietuvoje (buvo ginkluoti ir turėjo tiesioginį kontaktą su civiliais), </w:t>
      </w:r>
      <w:r w:rsidRPr="00E76E89">
        <w:rPr>
          <w:szCs w:val="24"/>
        </w:rPr>
        <w:lastRenderedPageBreak/>
        <w:t xml:space="preserve">byloje buvo suteiktas liudytojų procesinis statusas (pvz., </w:t>
      </w:r>
      <w:r w:rsidR="004E4879" w:rsidRPr="00E76E89">
        <w:rPr>
          <w:szCs w:val="24"/>
        </w:rPr>
        <w:t>A. R.</w:t>
      </w:r>
      <w:bookmarkStart w:id="145" w:name="_Hlk34053800"/>
      <w:r w:rsidRPr="00E76E89">
        <w:rPr>
          <w:szCs w:val="24"/>
        </w:rPr>
        <w:t xml:space="preserve">, </w:t>
      </w:r>
      <w:r w:rsidR="00C943F4" w:rsidRPr="00E76E89">
        <w:rPr>
          <w:szCs w:val="24"/>
        </w:rPr>
        <w:t>S. D.</w:t>
      </w:r>
      <w:r w:rsidR="00AA4EFE" w:rsidRPr="00E76E89">
        <w:rPr>
          <w:szCs w:val="24"/>
        </w:rPr>
        <w:t>, kurie buvo tanko vairuotojai-</w:t>
      </w:r>
      <w:r w:rsidRPr="00E76E89">
        <w:rPr>
          <w:szCs w:val="24"/>
        </w:rPr>
        <w:t>mechanikai</w:t>
      </w:r>
      <w:r w:rsidR="00A34D0A" w:rsidRPr="00E76E89">
        <w:rPr>
          <w:szCs w:val="24"/>
        </w:rPr>
        <w:t>,</w:t>
      </w:r>
      <w:r w:rsidRPr="00E76E89">
        <w:rPr>
          <w:szCs w:val="24"/>
        </w:rPr>
        <w:t xml:space="preserve"> kaip ir </w:t>
      </w:r>
      <w:r w:rsidR="00C82C9D" w:rsidRPr="00E76E89">
        <w:rPr>
          <w:szCs w:val="24"/>
        </w:rPr>
        <w:t>N. S.</w:t>
      </w:r>
      <w:bookmarkEnd w:id="145"/>
      <w:r w:rsidRPr="00E76E89">
        <w:rPr>
          <w:szCs w:val="24"/>
        </w:rPr>
        <w:t xml:space="preserve">), o kitiems kariškiams, tarp jų ir </w:t>
      </w:r>
      <w:r w:rsidR="00C82C9D" w:rsidRPr="00E76E89">
        <w:rPr>
          <w:szCs w:val="24"/>
        </w:rPr>
        <w:t>N. S.</w:t>
      </w:r>
      <w:r w:rsidRPr="00E76E89">
        <w:rPr>
          <w:szCs w:val="24"/>
        </w:rPr>
        <w:t>, dėl tų pačių faktinių aplinkybių buvo pareikšti kaltinimai ir jie nuteisti. Toks aiškiais kriterijais nepagrįstas liudytojų diferencijavimas vertintinas kaip Konstitucijos 29</w:t>
      </w:r>
      <w:r w:rsidR="009629DB" w:rsidRPr="00E76E89">
        <w:rPr>
          <w:szCs w:val="24"/>
        </w:rPr>
        <w:t> </w:t>
      </w:r>
      <w:r w:rsidRPr="00E76E89">
        <w:rPr>
          <w:szCs w:val="24"/>
        </w:rPr>
        <w:t xml:space="preserve">straipsnio 1 dalies, </w:t>
      </w:r>
      <w:r w:rsidR="009629DB" w:rsidRPr="00E76E89">
        <w:rPr>
          <w:szCs w:val="24"/>
        </w:rPr>
        <w:t>kuri</w:t>
      </w:r>
      <w:r w:rsidR="00B74358" w:rsidRPr="00E76E89">
        <w:rPr>
          <w:szCs w:val="24"/>
        </w:rPr>
        <w:t>oje nustatyta</w:t>
      </w:r>
      <w:r w:rsidRPr="00E76E89">
        <w:rPr>
          <w:szCs w:val="24"/>
        </w:rPr>
        <w:t>, kad visi asmenys prieš įstatymą yra lygūs, pažeidimas.</w:t>
      </w:r>
    </w:p>
    <w:p w:rsidR="00160DF5" w:rsidRPr="00E76E89" w:rsidRDefault="00160DF5" w:rsidP="00321748">
      <w:pPr>
        <w:pStyle w:val="ListParagraph"/>
        <w:numPr>
          <w:ilvl w:val="1"/>
          <w:numId w:val="6"/>
        </w:numPr>
        <w:spacing w:before="120" w:after="120"/>
        <w:ind w:left="992" w:hanging="992"/>
        <w:contextualSpacing w:val="0"/>
      </w:pPr>
      <w:r w:rsidRPr="00E76E89">
        <w:rPr>
          <w:szCs w:val="24"/>
        </w:rPr>
        <w:t xml:space="preserve">Apeliaciniame skunde taip pat nurodoma, kad byloje nėra pakankamai </w:t>
      </w:r>
      <w:r w:rsidR="00C82C9D" w:rsidRPr="00E76E89">
        <w:rPr>
          <w:szCs w:val="24"/>
        </w:rPr>
        <w:t>N. S.</w:t>
      </w:r>
      <w:r w:rsidRPr="00E76E89">
        <w:rPr>
          <w:szCs w:val="24"/>
        </w:rPr>
        <w:t xml:space="preserve"> kaltę pagrindžiančių įrodymų. Bylos nagrinėjimo teisme metu apklausti liudytojai ir nukentėjusieji nenurodė </w:t>
      </w:r>
      <w:r w:rsidR="00C82C9D" w:rsidRPr="00E76E89">
        <w:rPr>
          <w:szCs w:val="24"/>
        </w:rPr>
        <w:t>N. S.</w:t>
      </w:r>
      <w:r w:rsidRPr="00E76E89">
        <w:rPr>
          <w:szCs w:val="24"/>
        </w:rPr>
        <w:t xml:space="preserve"> kaip asmens, atlikusio jam inkriminuotas nusikalstamas veikas, taip pat neišskyrė tanko Nr. 574 veiksmų. Tokie duomenys nebuvo užfiksuoti ir teisme ištirtuose vaizdo, garso įrašuose</w:t>
      </w:r>
      <w:r w:rsidR="00B74358" w:rsidRPr="00E76E89">
        <w:rPr>
          <w:szCs w:val="24"/>
        </w:rPr>
        <w:t xml:space="preserve"> ir fotoįrašuose</w:t>
      </w:r>
      <w:r w:rsidRPr="00E76E89">
        <w:rPr>
          <w:szCs w:val="24"/>
        </w:rPr>
        <w:t xml:space="preserve">. Teismas visapusiškai ir išsamiai neištyrė kaltinime nurodytų faktinių aplinkybių ir </w:t>
      </w:r>
      <w:r w:rsidR="00C82C9D" w:rsidRPr="00E76E89">
        <w:rPr>
          <w:szCs w:val="24"/>
        </w:rPr>
        <w:t>N. S.</w:t>
      </w:r>
      <w:r w:rsidRPr="00E76E89">
        <w:rPr>
          <w:szCs w:val="24"/>
        </w:rPr>
        <w:t xml:space="preserve"> kaltę grindė tik 1991 m. TSRS </w:t>
      </w:r>
      <w:r w:rsidR="00C6327C" w:rsidRPr="00E76E89">
        <w:rPr>
          <w:szCs w:val="24"/>
        </w:rPr>
        <w:t>GM</w:t>
      </w:r>
      <w:r w:rsidRPr="00E76E89">
        <w:rPr>
          <w:szCs w:val="24"/>
        </w:rPr>
        <w:t xml:space="preserve"> pavaldžių tardytojų atlikto tyrimo metu užfiksuotais duomenimis.</w:t>
      </w:r>
    </w:p>
    <w:p w:rsidR="00160DF5" w:rsidRPr="00E76E89" w:rsidRDefault="00160DF5" w:rsidP="00321748">
      <w:pPr>
        <w:pStyle w:val="ListParagraph"/>
        <w:numPr>
          <w:ilvl w:val="1"/>
          <w:numId w:val="6"/>
        </w:numPr>
        <w:spacing w:before="120" w:after="120"/>
        <w:ind w:left="992" w:hanging="992"/>
        <w:contextualSpacing w:val="0"/>
      </w:pPr>
      <w:r w:rsidRPr="00E76E89">
        <w:rPr>
          <w:szCs w:val="24"/>
        </w:rPr>
        <w:t xml:space="preserve">Gynėjo teigimu, teismas nepagrįstai konstatavo </w:t>
      </w:r>
      <w:r w:rsidR="00C82C9D" w:rsidRPr="00E76E89">
        <w:rPr>
          <w:szCs w:val="24"/>
        </w:rPr>
        <w:t>N. S.</w:t>
      </w:r>
      <w:r w:rsidRPr="00E76E89">
        <w:rPr>
          <w:szCs w:val="24"/>
        </w:rPr>
        <w:t xml:space="preserve"> veiksmuose esant tiesioginę tyčią, kadangi nuosprendyje nuteistojo kaltė, padarius jam inkriminuotus nusikaltimus, grindžiama ne objektyviais įrodymais, bet teismo prielaidomis ir spėjimais. Nuosprendyje konstatuota, kad </w:t>
      </w:r>
      <w:r w:rsidRPr="00E76E89">
        <w:rPr>
          <w:color w:val="000000"/>
          <w:szCs w:val="24"/>
          <w:lang w:eastAsia="lt-LT" w:bidi="lt-LT"/>
        </w:rPr>
        <w:t xml:space="preserve">buvo veikiama tiesiogine tyčia, t. y. suvokiant, kad visi naudojami smurto ir bauginimo veiksmai yra nukreipti prieš beginklius civilius asmenis, to norint bei sąmoningai siekiant padarinių. Taip pat konstatuota, kad dalyvaudami karinėje operacijoje kaltinamieji žinojo, jog prisideda įgyvendinant TSRS bei jos partinės organizacijos (TSKP) politiką, kurios tikslas – agresijos būdu, pasitelkiant ginkluotąsias pajėgas, nuversti teisėtą Lietuvos Respublikos valdžią ir susigrąžinti nepriklausomybę paskelbusią Lietuvą į TSRS sudėtį. Gynėjo vertinimu, nėra įrodyta, kad </w:t>
      </w:r>
      <w:r w:rsidR="00C82C9D" w:rsidRPr="00E76E89">
        <w:rPr>
          <w:color w:val="000000"/>
          <w:szCs w:val="24"/>
          <w:lang w:eastAsia="lt-LT" w:bidi="lt-LT"/>
        </w:rPr>
        <w:t>N. S.</w:t>
      </w:r>
      <w:r w:rsidRPr="00E76E89">
        <w:rPr>
          <w:color w:val="000000"/>
          <w:szCs w:val="24"/>
          <w:lang w:eastAsia="lt-LT" w:bidi="lt-LT"/>
        </w:rPr>
        <w:t xml:space="preserve"> suprato politinę situaciją, susidariusią Lietuvoje po nepriklausomybės atkūrimo, kadangi jis buvo tik </w:t>
      </w:r>
      <w:r w:rsidR="000F5BFE" w:rsidRPr="00E76E89">
        <w:rPr>
          <w:color w:val="000000"/>
          <w:szCs w:val="24"/>
          <w:lang w:eastAsia="lt-LT" w:bidi="lt-LT"/>
        </w:rPr>
        <w:t xml:space="preserve">(duomenys neskelbtini) </w:t>
      </w:r>
      <w:r w:rsidRPr="00E76E89">
        <w:rPr>
          <w:color w:val="000000"/>
          <w:szCs w:val="24"/>
          <w:lang w:eastAsia="lt-LT" w:bidi="lt-LT"/>
        </w:rPr>
        <w:t>m</w:t>
      </w:r>
      <w:r w:rsidR="00B74358" w:rsidRPr="00E76E89">
        <w:rPr>
          <w:color w:val="000000"/>
          <w:szCs w:val="24"/>
          <w:lang w:eastAsia="lt-LT" w:bidi="lt-LT"/>
        </w:rPr>
        <w:t>etų</w:t>
      </w:r>
      <w:r w:rsidRPr="00E76E89">
        <w:rPr>
          <w:color w:val="000000"/>
          <w:szCs w:val="24"/>
          <w:lang w:eastAsia="lt-LT" w:bidi="lt-LT"/>
        </w:rPr>
        <w:t xml:space="preserve"> amžiaus, Vilniuje dislokuotame kariniame dalinyje pradėjo tarnauti nuo </w:t>
      </w:r>
      <w:r w:rsidR="000F5BFE" w:rsidRPr="00E76E89">
        <w:rPr>
          <w:color w:val="000000"/>
          <w:szCs w:val="24"/>
          <w:lang w:eastAsia="lt-LT" w:bidi="lt-LT"/>
        </w:rPr>
        <w:t>(duomenys neskelbtini)</w:t>
      </w:r>
      <w:r w:rsidRPr="00E76E89">
        <w:rPr>
          <w:color w:val="000000"/>
          <w:szCs w:val="24"/>
          <w:lang w:eastAsia="lt-LT" w:bidi="lt-LT"/>
        </w:rPr>
        <w:t>, turėjo leitenanto karinį laipsnį ir vykdė kuopos vado pavaduotojo g</w:t>
      </w:r>
      <w:r w:rsidR="00D64F26" w:rsidRPr="00E76E89">
        <w:rPr>
          <w:color w:val="000000"/>
          <w:szCs w:val="24"/>
          <w:lang w:eastAsia="lt-LT" w:bidi="lt-LT"/>
        </w:rPr>
        <w:t>inkluotei pareigas, o istorinis</w:t>
      </w:r>
      <w:r w:rsidR="00B74358" w:rsidRPr="00E76E89">
        <w:rPr>
          <w:color w:val="000000"/>
          <w:szCs w:val="24"/>
          <w:lang w:eastAsia="lt-LT" w:bidi="lt-LT"/>
        </w:rPr>
        <w:t xml:space="preserve"> ir </w:t>
      </w:r>
      <w:r w:rsidRPr="00E76E89">
        <w:rPr>
          <w:color w:val="000000"/>
          <w:szCs w:val="24"/>
          <w:lang w:eastAsia="lt-LT" w:bidi="lt-LT"/>
        </w:rPr>
        <w:t>politinis Lietuvos kontekstas buvo sunkiai suvokiamas net ir Lietuvos gyventojams. Be to, po 1990</w:t>
      </w:r>
      <w:r w:rsidR="00B74358" w:rsidRPr="00E76E89">
        <w:rPr>
          <w:color w:val="000000"/>
          <w:szCs w:val="24"/>
          <w:lang w:eastAsia="lt-LT" w:bidi="lt-LT"/>
        </w:rPr>
        <w:t> </w:t>
      </w:r>
      <w:r w:rsidR="000F5BFE" w:rsidRPr="00E76E89">
        <w:rPr>
          <w:color w:val="000000"/>
          <w:szCs w:val="24"/>
          <w:lang w:eastAsia="lt-LT" w:bidi="lt-LT"/>
        </w:rPr>
        <w:t>m. kovo 11 </w:t>
      </w:r>
      <w:r w:rsidRPr="00E76E89">
        <w:rPr>
          <w:color w:val="000000"/>
          <w:szCs w:val="24"/>
          <w:lang w:eastAsia="lt-LT" w:bidi="lt-LT"/>
        </w:rPr>
        <w:t xml:space="preserve">d. akto paskelbimo Lietuva iš karto neįgijo suvereniteto tarptautinės teisės prasme, nes dar nebuvo pripažinta tarptautinės bendruomenės. Neatmestina galimybė, kad nagrinėjamų įvykių metu </w:t>
      </w:r>
      <w:r w:rsidR="00C82C9D" w:rsidRPr="00E76E89">
        <w:rPr>
          <w:color w:val="000000"/>
          <w:szCs w:val="24"/>
          <w:lang w:eastAsia="lt-LT" w:bidi="lt-LT"/>
        </w:rPr>
        <w:t>N. S.</w:t>
      </w:r>
      <w:r w:rsidRPr="00E76E89">
        <w:rPr>
          <w:color w:val="000000"/>
          <w:szCs w:val="24"/>
          <w:lang w:eastAsia="lt-LT" w:bidi="lt-LT"/>
        </w:rPr>
        <w:t xml:space="preserve"> galėjo manyti, jog Lietuva vis dar yra TSRS sudėtyje</w:t>
      </w:r>
      <w:r w:rsidR="002714BC" w:rsidRPr="00E76E89">
        <w:rPr>
          <w:color w:val="000000"/>
          <w:szCs w:val="24"/>
          <w:lang w:eastAsia="lt-LT" w:bidi="lt-LT"/>
        </w:rPr>
        <w:t>,</w:t>
      </w:r>
      <w:r w:rsidRPr="00E76E89">
        <w:rPr>
          <w:color w:val="000000"/>
          <w:szCs w:val="24"/>
          <w:lang w:eastAsia="lt-LT" w:bidi="lt-LT"/>
        </w:rPr>
        <w:t xml:space="preserve"> ir jo veiksmai, vykdant įsakymus, nėra susiję su TSRS agresija, vykdoma prieš nepriklausomą Lietuvos valstybę. Byloje nėra duomenų ir apie tai, kaip </w:t>
      </w:r>
      <w:r w:rsidR="00C82C9D" w:rsidRPr="00E76E89">
        <w:rPr>
          <w:color w:val="000000"/>
          <w:szCs w:val="24"/>
          <w:lang w:eastAsia="lt-LT" w:bidi="lt-LT"/>
        </w:rPr>
        <w:t>N. S.</w:t>
      </w:r>
      <w:r w:rsidRPr="00E76E89">
        <w:rPr>
          <w:color w:val="000000"/>
          <w:szCs w:val="24"/>
          <w:lang w:eastAsia="lt-LT" w:bidi="lt-LT"/>
        </w:rPr>
        <w:t xml:space="preserve"> suvokė ir vertino savo tiesioginių vadų duotus įsakymus užimti civilinius objektus, t. y. ar jis suprato, kad įsakymai yra neteisėti. Nuosprendis grindžiamas tik prielaida, kad </w:t>
      </w:r>
      <w:r w:rsidR="00C82C9D" w:rsidRPr="00E76E89">
        <w:rPr>
          <w:color w:val="000000"/>
          <w:szCs w:val="24"/>
          <w:lang w:eastAsia="lt-LT" w:bidi="lt-LT"/>
        </w:rPr>
        <w:t>N. S.</w:t>
      </w:r>
      <w:r w:rsidRPr="00E76E89">
        <w:rPr>
          <w:color w:val="000000"/>
          <w:szCs w:val="24"/>
          <w:lang w:eastAsia="lt-LT" w:bidi="lt-LT"/>
        </w:rPr>
        <w:t xml:space="preserve"> turėjo suvokti, jog įsakymas užimti civilinius objektus yra neteisėtas. Be to, kyla abejonių ir dėl to, ar kaltinamasis norėjo elgtis taip, kaip nurodyta nuosprendyje, ir ar jis siekė bei norėjo žudyti, žaloti bei bauginti civilius asmenis.</w:t>
      </w:r>
    </w:p>
    <w:p w:rsidR="00160DF5" w:rsidRPr="00E76E89" w:rsidRDefault="00160DF5" w:rsidP="00321748">
      <w:pPr>
        <w:pStyle w:val="ListParagraph"/>
        <w:numPr>
          <w:ilvl w:val="1"/>
          <w:numId w:val="6"/>
        </w:numPr>
        <w:spacing w:before="120" w:after="120"/>
        <w:ind w:left="992" w:hanging="992"/>
        <w:contextualSpacing w:val="0"/>
      </w:pPr>
      <w:r w:rsidRPr="00E76E89">
        <w:rPr>
          <w:color w:val="000000"/>
          <w:szCs w:val="24"/>
          <w:lang w:eastAsia="lt-LT" w:bidi="lt-LT"/>
        </w:rPr>
        <w:t xml:space="preserve">Apeliaciniame skunde taip pat pažymima, jog teismas nepagrįstai kaltinamųjų veiksmus kvalifikavo kaip padarytus bendrininkų grupe, kadangi byloje nėra įrodytas subjektyvusis bendrininkų grupės požymis – susitarimas kartu daryti nusikalstamą veiką bei tyčios bendrumas. </w:t>
      </w:r>
      <w:r w:rsidR="00C82C9D" w:rsidRPr="00E76E89">
        <w:rPr>
          <w:color w:val="000000"/>
          <w:szCs w:val="24"/>
          <w:lang w:eastAsia="lt-LT" w:bidi="lt-LT"/>
        </w:rPr>
        <w:t>N. S.</w:t>
      </w:r>
      <w:r w:rsidRPr="00E76E89">
        <w:rPr>
          <w:color w:val="000000"/>
          <w:szCs w:val="24"/>
          <w:lang w:eastAsia="lt-LT" w:bidi="lt-LT"/>
        </w:rPr>
        <w:t xml:space="preserve"> buvo TSRS kariuomenės, griežtai subordinuotos ir organizuotos institucijos dalis, jis priklausė žemiausiai </w:t>
      </w:r>
      <w:r w:rsidR="00BB560E" w:rsidRPr="00E76E89">
        <w:rPr>
          <w:color w:val="000000"/>
          <w:szCs w:val="24"/>
          <w:lang w:eastAsia="lt-LT" w:bidi="lt-LT"/>
        </w:rPr>
        <w:t xml:space="preserve">kariškių </w:t>
      </w:r>
      <w:r w:rsidRPr="00E76E89">
        <w:rPr>
          <w:color w:val="000000"/>
          <w:szCs w:val="24"/>
          <w:lang w:eastAsia="lt-LT" w:bidi="lt-LT"/>
        </w:rPr>
        <w:t xml:space="preserve">grandžiai (neturėjo sau pavaldžių asmenų), todėl </w:t>
      </w:r>
      <w:r w:rsidR="00C82C9D" w:rsidRPr="00E76E89">
        <w:rPr>
          <w:color w:val="000000"/>
          <w:szCs w:val="24"/>
          <w:lang w:eastAsia="lt-LT" w:bidi="lt-LT"/>
        </w:rPr>
        <w:t>N. S.</w:t>
      </w:r>
      <w:r w:rsidRPr="00E76E89">
        <w:rPr>
          <w:color w:val="000000"/>
          <w:szCs w:val="24"/>
          <w:lang w:eastAsia="lt-LT" w:bidi="lt-LT"/>
        </w:rPr>
        <w:t xml:space="preserve"> su kitais kaltinamaisiais dėl karinės operacijos nesitarė, niekam nedavė įsakymų, tik pats vykdė aukštesniųjų vadų įsakymus. Nuosprendyje nurodyta aplinkybė, jog kaltinamieji buvo pasidali</w:t>
      </w:r>
      <w:r w:rsidR="00B74358" w:rsidRPr="00E76E89">
        <w:rPr>
          <w:color w:val="000000"/>
          <w:szCs w:val="24"/>
          <w:lang w:eastAsia="lt-LT" w:bidi="lt-LT"/>
        </w:rPr>
        <w:t>j</w:t>
      </w:r>
      <w:r w:rsidRPr="00E76E89">
        <w:rPr>
          <w:color w:val="000000"/>
          <w:szCs w:val="24"/>
          <w:lang w:eastAsia="lt-LT" w:bidi="lt-LT"/>
        </w:rPr>
        <w:t xml:space="preserve">ę operacijos bei kontrolės funkcijas ir pavaldumo tvarka paskirstę kariškius (nuosprendžio 859 lapas), patvirtina aplinkybę, kad buvo nustatytos griežtai organizuotos planavimo, valdymo ir kontrolės funkcijos, buvo veiksmų organizatoriai bei vadovai, kurie davė nurodymus, suplanavo, organizavo ir per sau pavaldžias žemesnes </w:t>
      </w:r>
      <w:r w:rsidRPr="00E76E89">
        <w:rPr>
          <w:color w:val="000000"/>
          <w:szCs w:val="24"/>
          <w:lang w:eastAsia="lt-LT" w:bidi="lt-LT"/>
        </w:rPr>
        <w:lastRenderedPageBreak/>
        <w:t xml:space="preserve">grandis realizavo specialios karinės operacijos veiksmų planą. Tai nepatvirtina nuosprendžiu padarytos išvados, kad </w:t>
      </w:r>
      <w:r w:rsidR="00C82C9D" w:rsidRPr="00E76E89">
        <w:rPr>
          <w:color w:val="000000"/>
          <w:szCs w:val="24"/>
          <w:lang w:eastAsia="lt-LT" w:bidi="lt-LT"/>
        </w:rPr>
        <w:t>N. S.</w:t>
      </w:r>
      <w:r w:rsidRPr="00E76E89">
        <w:rPr>
          <w:color w:val="000000"/>
          <w:szCs w:val="24"/>
          <w:lang w:eastAsia="lt-LT" w:bidi="lt-LT"/>
        </w:rPr>
        <w:t xml:space="preserve"> veikė kaip </w:t>
      </w:r>
      <w:r w:rsidR="00B74358" w:rsidRPr="00E76E89">
        <w:rPr>
          <w:color w:val="000000"/>
          <w:szCs w:val="24"/>
          <w:lang w:eastAsia="lt-LT" w:bidi="lt-LT"/>
        </w:rPr>
        <w:t xml:space="preserve">bendrininkų grupės </w:t>
      </w:r>
      <w:r w:rsidRPr="00E76E89">
        <w:rPr>
          <w:color w:val="000000"/>
          <w:szCs w:val="24"/>
          <w:lang w:eastAsia="lt-LT" w:bidi="lt-LT"/>
        </w:rPr>
        <w:t>vykdytojas. Tai, kad kaltinamasis įsakymo pagrindu buvo paskirtas tanko įgulos nariu (mechaniku-vairuotoju), neduoda pagrindo</w:t>
      </w:r>
      <w:r w:rsidR="00B74358" w:rsidRPr="00E76E89">
        <w:rPr>
          <w:color w:val="000000"/>
          <w:szCs w:val="24"/>
          <w:lang w:eastAsia="lt-LT" w:bidi="lt-LT"/>
        </w:rPr>
        <w:t xml:space="preserve"> daryti</w:t>
      </w:r>
      <w:r w:rsidRPr="00E76E89">
        <w:rPr>
          <w:color w:val="000000"/>
          <w:szCs w:val="24"/>
          <w:lang w:eastAsia="lt-LT" w:bidi="lt-LT"/>
        </w:rPr>
        <w:t xml:space="preserve"> išvad</w:t>
      </w:r>
      <w:r w:rsidR="00B74358" w:rsidRPr="00E76E89">
        <w:rPr>
          <w:color w:val="000000"/>
          <w:szCs w:val="24"/>
          <w:lang w:eastAsia="lt-LT" w:bidi="lt-LT"/>
        </w:rPr>
        <w:t>os</w:t>
      </w:r>
      <w:r w:rsidRPr="00E76E89">
        <w:rPr>
          <w:color w:val="000000"/>
          <w:szCs w:val="24"/>
          <w:lang w:eastAsia="lt-LT" w:bidi="lt-LT"/>
        </w:rPr>
        <w:t xml:space="preserve">, jog tai buvo susitarimas ar pritarimas, atspindintis jo vidinę psichinę būseną. Byloje esantys duomenys patvirtina, kad galimai buvo gautas vyriausiojo ginkluotųjų pajėgų vado </w:t>
      </w:r>
      <w:r w:rsidR="00DD1A27" w:rsidRPr="00E76E89">
        <w:rPr>
          <w:color w:val="000000"/>
          <w:szCs w:val="24"/>
          <w:lang w:eastAsia="lt-LT" w:bidi="lt-LT"/>
        </w:rPr>
        <w:t>M. G.</w:t>
      </w:r>
      <w:r w:rsidRPr="00E76E89">
        <w:rPr>
          <w:color w:val="000000"/>
          <w:szCs w:val="24"/>
          <w:lang w:eastAsia="lt-LT" w:bidi="lt-LT"/>
        </w:rPr>
        <w:t xml:space="preserve"> pritarimas specialiai karinei operacijai</w:t>
      </w:r>
      <w:r w:rsidR="00B74358" w:rsidRPr="00E76E89">
        <w:rPr>
          <w:color w:val="000000"/>
          <w:szCs w:val="24"/>
          <w:lang w:eastAsia="lt-LT" w:bidi="lt-LT"/>
        </w:rPr>
        <w:t>,</w:t>
      </w:r>
      <w:r w:rsidRPr="00E76E89">
        <w:rPr>
          <w:color w:val="000000"/>
          <w:szCs w:val="24"/>
          <w:lang w:eastAsia="lt-LT" w:bidi="lt-LT"/>
        </w:rPr>
        <w:t xml:space="preserve"> ir tai rodo, kad susitarimas galėjo būti sudarytas tik tarp aukščiausio rango asmenų.</w:t>
      </w:r>
    </w:p>
    <w:p w:rsidR="00160DF5" w:rsidRPr="00E76E89" w:rsidRDefault="00160DF5" w:rsidP="00321748">
      <w:pPr>
        <w:pStyle w:val="ListParagraph"/>
        <w:numPr>
          <w:ilvl w:val="1"/>
          <w:numId w:val="6"/>
        </w:numPr>
        <w:spacing w:before="120" w:after="120"/>
        <w:ind w:left="992" w:hanging="992"/>
        <w:contextualSpacing w:val="0"/>
      </w:pPr>
      <w:r w:rsidRPr="00E76E89">
        <w:rPr>
          <w:color w:val="000000"/>
          <w:szCs w:val="24"/>
          <w:lang w:eastAsia="lt-LT" w:bidi="lt-LT"/>
        </w:rPr>
        <w:t xml:space="preserve">Anot gynėjo, </w:t>
      </w:r>
      <w:r w:rsidR="00C82C9D" w:rsidRPr="00E76E89">
        <w:rPr>
          <w:color w:val="000000"/>
          <w:szCs w:val="24"/>
          <w:lang w:eastAsia="lt-LT" w:bidi="lt-LT"/>
        </w:rPr>
        <w:t>N. S.</w:t>
      </w:r>
      <w:r w:rsidRPr="00E76E89">
        <w:rPr>
          <w:color w:val="000000"/>
          <w:szCs w:val="24"/>
          <w:lang w:eastAsia="lt-LT" w:bidi="lt-LT"/>
        </w:rPr>
        <w:t xml:space="preserve"> negalėjo būti pripažintas kaltu dėl nusikalti</w:t>
      </w:r>
      <w:r w:rsidR="00E76E89" w:rsidRPr="00E76E89">
        <w:rPr>
          <w:color w:val="000000"/>
          <w:szCs w:val="24"/>
          <w:lang w:eastAsia="lt-LT" w:bidi="lt-LT"/>
        </w:rPr>
        <w:t>mų, padarytų agresijos metu, t. </w:t>
      </w:r>
      <w:r w:rsidRPr="00E76E89">
        <w:rPr>
          <w:color w:val="000000"/>
          <w:szCs w:val="24"/>
          <w:lang w:eastAsia="lt-LT" w:bidi="lt-LT"/>
        </w:rPr>
        <w:t xml:space="preserve">y. tęsiant TSRS karinę agresiją prieš Lietuvą, pradėtą 1940 m., kadangi pagal tarptautinės teisės doktriną atsakomybė už agresijos nusikaltimus yra taikoma tik subjektams, kurie turi pakankamus įgalinimus inicijuoti agresijos aktus. </w:t>
      </w:r>
      <w:r w:rsidR="00C82C9D" w:rsidRPr="00E76E89">
        <w:rPr>
          <w:color w:val="000000"/>
          <w:szCs w:val="24"/>
          <w:lang w:eastAsia="lt-LT" w:bidi="lt-LT"/>
        </w:rPr>
        <w:t>N. S.</w:t>
      </w:r>
      <w:r w:rsidRPr="00E76E89">
        <w:rPr>
          <w:color w:val="000000"/>
          <w:szCs w:val="24"/>
          <w:lang w:eastAsia="lt-LT" w:bidi="lt-LT"/>
        </w:rPr>
        <w:t xml:space="preserve"> tokių įgalinimų neturėjo. Taip pat jis neturėjo valios laisvai priimti sprendimus, nes veikė tik griežtai pagal įsakymus.</w:t>
      </w:r>
    </w:p>
    <w:p w:rsidR="00160DF5" w:rsidRPr="00E76E89" w:rsidRDefault="00160DF5" w:rsidP="00321748">
      <w:pPr>
        <w:pStyle w:val="ListParagraph"/>
        <w:numPr>
          <w:ilvl w:val="1"/>
          <w:numId w:val="6"/>
        </w:numPr>
        <w:spacing w:before="120" w:after="120"/>
        <w:ind w:left="992" w:hanging="992"/>
        <w:contextualSpacing w:val="0"/>
      </w:pPr>
      <w:r w:rsidRPr="00E76E89">
        <w:rPr>
          <w:color w:val="000000"/>
          <w:szCs w:val="24"/>
          <w:lang w:eastAsia="lt-LT" w:bidi="lt-LT"/>
        </w:rPr>
        <w:t xml:space="preserve">Apeliaciniame skunde pasisakoma ir dėl per griežtos bausmės paskyrimo nuteistajam. Skunde teigiama, kad </w:t>
      </w:r>
      <w:r w:rsidR="00C82C9D" w:rsidRPr="00E76E89">
        <w:rPr>
          <w:color w:val="000000"/>
          <w:szCs w:val="24"/>
          <w:lang w:eastAsia="lt-LT" w:bidi="lt-LT"/>
        </w:rPr>
        <w:t>N. S.</w:t>
      </w:r>
      <w:r w:rsidRPr="00E76E89">
        <w:rPr>
          <w:color w:val="000000"/>
          <w:szCs w:val="24"/>
          <w:lang w:eastAsia="lt-LT" w:bidi="lt-LT"/>
        </w:rPr>
        <w:t xml:space="preserve"> paskirta 10 metų laisvės atėmimo bausmė, atsižvelgiant į ilgą proceso trukmę, nuteistojo asmenybę, nusikalstamų veikų padarymo motyvus, veikų sunkumą, pavojingumą ir sukelt</w:t>
      </w:r>
      <w:r w:rsidR="00B74358" w:rsidRPr="00E76E89">
        <w:rPr>
          <w:color w:val="000000"/>
          <w:szCs w:val="24"/>
          <w:lang w:eastAsia="lt-LT" w:bidi="lt-LT"/>
        </w:rPr>
        <w:t>us padarinius</w:t>
      </w:r>
      <w:r w:rsidRPr="00E76E89">
        <w:rPr>
          <w:color w:val="000000"/>
          <w:szCs w:val="24"/>
          <w:lang w:eastAsia="lt-LT" w:bidi="lt-LT"/>
        </w:rPr>
        <w:t>, neatitinka teisingumo principo.</w:t>
      </w:r>
    </w:p>
    <w:p w:rsidR="00783710" w:rsidRPr="00C00255" w:rsidRDefault="00160DF5" w:rsidP="00321748">
      <w:pPr>
        <w:pStyle w:val="ListParagraph"/>
        <w:numPr>
          <w:ilvl w:val="0"/>
          <w:numId w:val="6"/>
        </w:numPr>
        <w:spacing w:before="120" w:after="120"/>
        <w:ind w:left="992" w:hanging="992"/>
        <w:contextualSpacing w:val="0"/>
      </w:pPr>
      <w:bookmarkStart w:id="146" w:name="_Toc37947877"/>
      <w:bookmarkStart w:id="147" w:name="_Toc67677356"/>
      <w:bookmarkStart w:id="148" w:name="_Toc67985483"/>
      <w:r w:rsidRPr="00D43DF2">
        <w:rPr>
          <w:b/>
        </w:rPr>
        <w:t xml:space="preserve">Nuteistojo </w:t>
      </w:r>
      <w:r w:rsidR="00C82C9D" w:rsidRPr="00D43DF2">
        <w:rPr>
          <w:b/>
        </w:rPr>
        <w:t>A. U.</w:t>
      </w:r>
      <w:r w:rsidRPr="00D43DF2">
        <w:rPr>
          <w:b/>
        </w:rPr>
        <w:t xml:space="preserve"> gynėja</w:t>
      </w:r>
      <w:bookmarkEnd w:id="146"/>
      <w:bookmarkEnd w:id="147"/>
      <w:bookmarkEnd w:id="148"/>
      <w:r w:rsidRPr="00D43DF2">
        <w:rPr>
          <w:b/>
        </w:rPr>
        <w:t xml:space="preserve"> advokatė L. Blinkevičienė</w:t>
      </w:r>
      <w:r w:rsidRPr="00C00255">
        <w:t xml:space="preserve"> apeliaciniu skundu prašo panaikinti </w:t>
      </w:r>
      <w:r w:rsidR="00BB560E" w:rsidRPr="00C00255">
        <w:t>pirmosios instancijos teismo</w:t>
      </w:r>
      <w:r w:rsidRPr="00C00255">
        <w:t xml:space="preserve"> nuosprendį ir jos ginamąjį išteisinti. </w:t>
      </w:r>
    </w:p>
    <w:p w:rsidR="00160DF5" w:rsidRPr="00E76E89" w:rsidRDefault="00160DF5" w:rsidP="00321748">
      <w:pPr>
        <w:pStyle w:val="ListParagraph"/>
        <w:numPr>
          <w:ilvl w:val="1"/>
          <w:numId w:val="6"/>
        </w:numPr>
        <w:spacing w:before="120" w:after="120"/>
        <w:ind w:left="992" w:hanging="992"/>
        <w:contextualSpacing w:val="0"/>
      </w:pPr>
      <w:r w:rsidRPr="00E76E89">
        <w:t>Anot gynėjos, teismas netinkamai pritaikė baudžiamąjį įstatymą bei padarė esmini</w:t>
      </w:r>
      <w:r w:rsidR="004A3C5A" w:rsidRPr="00E76E89">
        <w:t>us</w:t>
      </w:r>
      <w:r w:rsidRPr="00E76E89">
        <w:t xml:space="preserve"> BPK normų pažeidim</w:t>
      </w:r>
      <w:r w:rsidR="004A3C5A" w:rsidRPr="00E76E89">
        <w:t>us</w:t>
      </w:r>
      <w:r w:rsidRPr="00E76E89">
        <w:t xml:space="preserve">. Skundžiamo nuosprendžio išvados neatitinka faktinių bylos aplinkybių, įrodymai įvertinti netinkamai, dėl </w:t>
      </w:r>
      <w:r w:rsidR="00B74358" w:rsidRPr="00E76E89">
        <w:t>t</w:t>
      </w:r>
      <w:r w:rsidRPr="00E76E89">
        <w:t xml:space="preserve">o buvo suvaržytos </w:t>
      </w:r>
      <w:r w:rsidR="00C82C9D" w:rsidRPr="00E76E89">
        <w:t>A. U.</w:t>
      </w:r>
      <w:r w:rsidRPr="00E76E89">
        <w:t xml:space="preserve"> teisės į teisingą procesą ir nešališką bylos nagrinėjimą</w:t>
      </w:r>
      <w:r w:rsidRPr="00E76E89">
        <w:rPr>
          <w:color w:val="000000"/>
          <w:szCs w:val="24"/>
          <w:lang w:eastAsia="lt-LT" w:bidi="lt-LT"/>
        </w:rPr>
        <w:t>.</w:t>
      </w:r>
    </w:p>
    <w:p w:rsidR="00160DF5" w:rsidRPr="00C00255" w:rsidRDefault="00160DF5" w:rsidP="00321748">
      <w:pPr>
        <w:pStyle w:val="ListParagraph"/>
        <w:numPr>
          <w:ilvl w:val="1"/>
          <w:numId w:val="6"/>
        </w:numPr>
        <w:spacing w:before="120" w:after="120"/>
        <w:ind w:left="992" w:hanging="992"/>
        <w:contextualSpacing w:val="0"/>
      </w:pPr>
      <w:r w:rsidRPr="00E76E89">
        <w:t xml:space="preserve">Nuteistojo gynėjos įsitikinimu, byloje nėra jokių įrodymų, kad tanko mechanikas ir vairuotojas </w:t>
      </w:r>
      <w:r w:rsidR="00C82C9D" w:rsidRPr="00E76E89">
        <w:t>A. U.</w:t>
      </w:r>
      <w:r w:rsidRPr="00E76E89">
        <w:t xml:space="preserve"> padarė </w:t>
      </w:r>
      <w:r w:rsidR="002714BC" w:rsidRPr="00E76E89">
        <w:t xml:space="preserve">jam </w:t>
      </w:r>
      <w:r w:rsidRPr="00E76E89">
        <w:t xml:space="preserve">inkriminuojamas veikas. Teismas nuosprendyje nepagrįstai nurodė, kad </w:t>
      </w:r>
      <w:r w:rsidR="00C82C9D" w:rsidRPr="00E76E89">
        <w:t>A. U.</w:t>
      </w:r>
      <w:r w:rsidRPr="00E76E89">
        <w:t xml:space="preserve"> dalyvavo LRT ir Spaudos rūmų pastatų šturme. Nors jis buvo prie šių objektų įvykių metu, jo vairuotas tankas judėjo iš lėto paskui </w:t>
      </w:r>
      <w:r w:rsidR="00C82C9D" w:rsidRPr="00E76E89">
        <w:t>J. O.</w:t>
      </w:r>
      <w:r w:rsidRPr="00E76E89">
        <w:t xml:space="preserve"> tanką, o pastatų šturme jis nedalyvavo. Dėl įvykių prie Spaudos rūmų jis tyrimo metu net nebuvo apklaustas. Vadovaudamasis </w:t>
      </w:r>
      <w:r w:rsidR="00C82C9D" w:rsidRPr="00E76E89">
        <w:t>A. U.</w:t>
      </w:r>
      <w:r w:rsidRPr="00E76E89">
        <w:t>, apklausto kaip liudytojo</w:t>
      </w:r>
      <w:r w:rsidR="00B74358" w:rsidRPr="00E76E89">
        <w:t>,</w:t>
      </w:r>
      <w:r w:rsidRPr="00E76E89">
        <w:t xml:space="preserve"> parodymais, gynėjas teigia, kad </w:t>
      </w:r>
      <w:r w:rsidR="00C82C9D" w:rsidRPr="00E76E89">
        <w:t>A. U.</w:t>
      </w:r>
      <w:r w:rsidRPr="00E76E89">
        <w:t xml:space="preserve"> tanką vairavo atsargiai ir iš lėto bei ant žmonių neužvažiavo, neiššovė n</w:t>
      </w:r>
      <w:r w:rsidR="00B74358" w:rsidRPr="00E76E89">
        <w:t>ė</w:t>
      </w:r>
      <w:r w:rsidRPr="00E76E89">
        <w:t xml:space="preserve"> vieno šūvio, niekas dėl jo veiksmų nenukentėjo. Teismo išvada, kad</w:t>
      </w:r>
      <w:r w:rsidR="00B74358" w:rsidRPr="00E76E89">
        <w:t>,</w:t>
      </w:r>
      <w:r w:rsidRPr="00E76E89">
        <w:t xml:space="preserve"> vairuodamas tanką, jis pavojingai manevravo ir šaudė išmušamaisiais užtaisais, taip pat nepagrįsta. </w:t>
      </w:r>
      <w:r w:rsidR="00C82C9D" w:rsidRPr="00E76E89">
        <w:t>A. U.</w:t>
      </w:r>
      <w:r w:rsidRPr="00E76E89">
        <w:t xml:space="preserve"> parodė, kad būtent civiliai, tarp kurių buvo ir neblaivių asmenų, elgėsi agresyviai, m</w:t>
      </w:r>
      <w:r w:rsidR="00B74358" w:rsidRPr="00E76E89">
        <w:t>ė</w:t>
      </w:r>
      <w:r w:rsidRPr="00E76E89">
        <w:t xml:space="preserve">tė į tankus akmenis, degtinės butelius ir kitus metalinius daiktus bei sprogstamuosius užtaisus, kažkas šaudė iš devynaukščio namo ir pan. Vadui įsakius, </w:t>
      </w:r>
      <w:r w:rsidR="00A97F74" w:rsidRPr="00E76E89">
        <w:t>N. O.</w:t>
      </w:r>
      <w:r w:rsidRPr="00E76E89">
        <w:t xml:space="preserve"> iššovė vieną įspėjamąjį šūvį išmušamuoju užtaisu. Liudytojas </w:t>
      </w:r>
      <w:r w:rsidR="00DD1A27" w:rsidRPr="00E76E89">
        <w:t>P. L.</w:t>
      </w:r>
      <w:r w:rsidRPr="00E76E89">
        <w:t xml:space="preserve"> teisme nurodė, kad strateginiai objektai 1991 m. sausio mėn. buvo saugomi ginkluotu būdu, tą taip pat patvirtino ir </w:t>
      </w:r>
      <w:r w:rsidR="00B74358" w:rsidRPr="00E76E89">
        <w:t xml:space="preserve">kaip </w:t>
      </w:r>
      <w:r w:rsidRPr="00E76E89">
        <w:t>liudytojai apklausti kariškiai</w:t>
      </w:r>
      <w:r w:rsidRPr="00C00255">
        <w:t xml:space="preserve">. </w:t>
      </w:r>
    </w:p>
    <w:p w:rsidR="00160DF5" w:rsidRPr="00E76E89" w:rsidRDefault="00160DF5" w:rsidP="00321748">
      <w:pPr>
        <w:pStyle w:val="ListParagraph"/>
        <w:numPr>
          <w:ilvl w:val="1"/>
          <w:numId w:val="6"/>
        </w:numPr>
        <w:spacing w:before="120" w:after="120"/>
        <w:ind w:left="992" w:hanging="992"/>
        <w:contextualSpacing w:val="0"/>
      </w:pPr>
      <w:r w:rsidRPr="00E76E89">
        <w:t xml:space="preserve">Apeliaciniame skunde teigiama, kad </w:t>
      </w:r>
      <w:r w:rsidR="00C82C9D" w:rsidRPr="00E76E89">
        <w:t>A. U.</w:t>
      </w:r>
      <w:r w:rsidRPr="00E76E89">
        <w:t xml:space="preserve"> veiksmuose nėra objektyviųjų ir su</w:t>
      </w:r>
      <w:r w:rsidR="000F5BFE" w:rsidRPr="00E76E89">
        <w:t>bjektyviųjų BK </w:t>
      </w:r>
      <w:r w:rsidRPr="00E76E89">
        <w:t>100 straipsnyje, BK 101 straipsnyje, BK 103 straipsni</w:t>
      </w:r>
      <w:r w:rsidR="004B14C6" w:rsidRPr="00E76E89">
        <w:t>o 1 dalyje, BK </w:t>
      </w:r>
      <w:r w:rsidR="00BB560E" w:rsidRPr="00E76E89">
        <w:t>111</w:t>
      </w:r>
      <w:r w:rsidR="00B74358" w:rsidRPr="00E76E89">
        <w:t> </w:t>
      </w:r>
      <w:r w:rsidR="00BB560E" w:rsidRPr="00E76E89">
        <w:t>straipsnio 1 </w:t>
      </w:r>
      <w:r w:rsidRPr="00E76E89">
        <w:t xml:space="preserve">dalyje ir BK 112 straipsnyje numatytų nusikaltimų požymių, taip pat jis nėra šių nusikaltimų subjektu. Pasak gynėjos, skirtingai nei </w:t>
      </w:r>
      <w:r w:rsidR="00C82C9D" w:rsidRPr="00E76E89">
        <w:t>A. U.</w:t>
      </w:r>
      <w:r w:rsidRPr="00E76E89">
        <w:t xml:space="preserve"> atveju, kiti eiliniai</w:t>
      </w:r>
      <w:r w:rsidR="000F5BFE" w:rsidRPr="00E76E89">
        <w:t xml:space="preserve"> kariai, vairavę tankus 1991 m. </w:t>
      </w:r>
      <w:r w:rsidRPr="00E76E89">
        <w:t xml:space="preserve">sausio įvykių metu, nebuvo patraukti atsakomybėn. Apeliaciniame skunde pasisakoma ir dėl subjektyviosios nusikaltimų pusės požymių nebuvimo </w:t>
      </w:r>
      <w:r w:rsidR="00C82C9D" w:rsidRPr="00E76E89">
        <w:t>A. U.</w:t>
      </w:r>
      <w:r w:rsidRPr="00E76E89">
        <w:t xml:space="preserve"> veikoje. Anot gynėjos, nuteistasis nesitarė ir nedalyvavo bendrininkų grupėje, nežinojo TSRS va</w:t>
      </w:r>
      <w:r w:rsidR="00FD13EB" w:rsidRPr="00E76E89">
        <w:t xml:space="preserve">dovų planų. </w:t>
      </w:r>
      <w:r w:rsidR="002E21CB" w:rsidRPr="00E76E89">
        <w:t>P</w:t>
      </w:r>
      <w:r w:rsidR="003F375C" w:rsidRPr="00E76E89">
        <w:t>agal</w:t>
      </w:r>
      <w:r w:rsidR="00FD13EB" w:rsidRPr="00E76E89">
        <w:t xml:space="preserve"> TSRS g</w:t>
      </w:r>
      <w:r w:rsidRPr="00E76E89">
        <w:t>inkluotų</w:t>
      </w:r>
      <w:r w:rsidR="00FD13EB" w:rsidRPr="00E76E89">
        <w:t>jų pajėgų v</w:t>
      </w:r>
      <w:r w:rsidRPr="00E76E89">
        <w:t>idaus tarnybos statut</w:t>
      </w:r>
      <w:r w:rsidR="003F375C" w:rsidRPr="00E76E89">
        <w:t>ą</w:t>
      </w:r>
      <w:r w:rsidRPr="00E76E89">
        <w:t xml:space="preserve"> </w:t>
      </w:r>
      <w:r w:rsidR="00C82C9D" w:rsidRPr="00E76E89">
        <w:t>A. U.</w:t>
      </w:r>
      <w:r w:rsidRPr="00E76E89">
        <w:t xml:space="preserve"> privalėjo besąlygiškai vykdyti įsakymus, nes kitaip jam grėsė atsakomybė. Be to, nuteistasis gimė </w:t>
      </w:r>
      <w:r w:rsidR="000F5BFE" w:rsidRPr="00E76E89">
        <w:t xml:space="preserve">(duomenys </w:t>
      </w:r>
      <w:r w:rsidR="000F5BFE" w:rsidRPr="00E76E89">
        <w:lastRenderedPageBreak/>
        <w:t>neskelbtini)</w:t>
      </w:r>
      <w:r w:rsidRPr="00E76E89">
        <w:t xml:space="preserve"> ir nemokėjo lietuvių kalbos, todėl nežinojo apie Lietuvos nepriklausomybės akto paskelbimą. </w:t>
      </w:r>
    </w:p>
    <w:p w:rsidR="00160DF5" w:rsidRPr="00E76E89" w:rsidRDefault="00160DF5" w:rsidP="00321748">
      <w:pPr>
        <w:pStyle w:val="ListParagraph"/>
        <w:numPr>
          <w:ilvl w:val="1"/>
          <w:numId w:val="6"/>
        </w:numPr>
        <w:spacing w:before="120" w:after="120"/>
        <w:ind w:left="992" w:hanging="992"/>
        <w:contextualSpacing w:val="0"/>
      </w:pPr>
      <w:r w:rsidRPr="00E76E89">
        <w:t xml:space="preserve">Skunde nurodoma, kad </w:t>
      </w:r>
      <w:r w:rsidR="00C82C9D" w:rsidRPr="00E76E89">
        <w:t>A. U.</w:t>
      </w:r>
      <w:r w:rsidRPr="00E76E89">
        <w:t xml:space="preserve"> negalėjo būti teisiamas už karo nusikaltimus ir nusikaltimus žmoniškumui, nes tokios veikos 1991 m. sausio mėn. įvykių metu galiojusiame baudžiamajame įstatyme nebuvo numatytos, o vėliau priimtas ir griežtinantis atsakomybę įstatymas negali būti taikomas atgal. </w:t>
      </w:r>
    </w:p>
    <w:p w:rsidR="00160DF5" w:rsidRPr="00E76E89" w:rsidRDefault="00160DF5" w:rsidP="00321748">
      <w:pPr>
        <w:pStyle w:val="ListParagraph"/>
        <w:numPr>
          <w:ilvl w:val="1"/>
          <w:numId w:val="6"/>
        </w:numPr>
        <w:spacing w:before="120" w:after="120"/>
        <w:ind w:left="992" w:hanging="992"/>
        <w:contextualSpacing w:val="0"/>
        <w:rPr>
          <w:szCs w:val="24"/>
        </w:rPr>
      </w:pPr>
      <w:r w:rsidRPr="00E76E89">
        <w:t xml:space="preserve">Gynėjos įsitikinimu, teismas negalėjo nagrinėti bylos kaltinamajam nedalyvaujant, nes nuteistajam </w:t>
      </w:r>
      <w:r w:rsidR="00C82C9D" w:rsidRPr="00E76E89">
        <w:t>A. U.</w:t>
      </w:r>
      <w:r w:rsidRPr="00E76E89">
        <w:t xml:space="preserve"> nebuvo pranešta apie vykstantį baudžiamąjį procesą. Rusijos Federacija atsisakė vykdyti Lietuvos Respublikos teisinės pagalbos prašymą pranešti </w:t>
      </w:r>
      <w:r w:rsidR="00C82C9D" w:rsidRPr="00E76E89">
        <w:t>A. U.</w:t>
      </w:r>
      <w:r w:rsidRPr="00E76E89">
        <w:t xml:space="preserve"> apie įtarimus, nurodydama, kad tai padarytų žalos valstybės interesams, o inkriminuotos veikos nebuvo nusikalstamos įvykių metu. Procesas kaltinamajam nedalyvaujant galimas tik tada, jei jis gyvena užsienyje ir vengia atvykti. Tokių duomenų byloje nėra, todėl buvo pažeistos BPK</w:t>
      </w:r>
      <w:r w:rsidRPr="00E76E89">
        <w:rPr>
          <w:szCs w:val="24"/>
        </w:rPr>
        <w:t> 246 straipsnio nuostatos.</w:t>
      </w:r>
    </w:p>
    <w:p w:rsidR="00160DF5" w:rsidRPr="00C00255" w:rsidRDefault="00160DF5" w:rsidP="00321748">
      <w:pPr>
        <w:pStyle w:val="ListParagraph"/>
        <w:numPr>
          <w:ilvl w:val="0"/>
          <w:numId w:val="6"/>
        </w:numPr>
        <w:spacing w:before="120" w:after="120"/>
        <w:ind w:left="992" w:hanging="992"/>
        <w:contextualSpacing w:val="0"/>
        <w:rPr>
          <w:szCs w:val="24"/>
        </w:rPr>
      </w:pPr>
      <w:bookmarkStart w:id="149" w:name="_Toc37947878"/>
      <w:bookmarkStart w:id="150" w:name="_Toc67677357"/>
      <w:bookmarkStart w:id="151" w:name="_Toc67985484"/>
      <w:r w:rsidRPr="00D43DF2">
        <w:rPr>
          <w:b/>
        </w:rPr>
        <w:t xml:space="preserve">Nuteistojo </w:t>
      </w:r>
      <w:r w:rsidR="00A97F74" w:rsidRPr="00D43DF2">
        <w:rPr>
          <w:b/>
        </w:rPr>
        <w:t>A. K. 1</w:t>
      </w:r>
      <w:r w:rsidRPr="00D43DF2">
        <w:rPr>
          <w:b/>
        </w:rPr>
        <w:t xml:space="preserve"> gynėja</w:t>
      </w:r>
      <w:bookmarkEnd w:id="149"/>
      <w:bookmarkEnd w:id="150"/>
      <w:bookmarkEnd w:id="151"/>
      <w:r w:rsidRPr="00D43DF2">
        <w:rPr>
          <w:b/>
        </w:rPr>
        <w:t xml:space="preserve"> advokatė J. Tamulevičiūtė</w:t>
      </w:r>
      <w:r w:rsidRPr="00C00255">
        <w:rPr>
          <w:szCs w:val="24"/>
        </w:rPr>
        <w:t xml:space="preserve"> apeliaciniu skundu prašo panaikinti pirmosios instancijos teismo nuosprendį ir jos ginamąjį išteisinti, neįrodžius jo dalyvavimo padarant inkriminuojamas nusikalstamas veikas.</w:t>
      </w:r>
      <w:r w:rsidR="008434B8" w:rsidRPr="00C00255">
        <w:rPr>
          <w:szCs w:val="24"/>
        </w:rPr>
        <w:t xml:space="preserve">  </w:t>
      </w:r>
    </w:p>
    <w:p w:rsidR="00160DF5" w:rsidRPr="00E76E89" w:rsidRDefault="00BB560E" w:rsidP="00321748">
      <w:pPr>
        <w:pStyle w:val="ListParagraph"/>
        <w:numPr>
          <w:ilvl w:val="1"/>
          <w:numId w:val="6"/>
        </w:numPr>
        <w:spacing w:before="120" w:after="120"/>
        <w:ind w:left="992" w:hanging="992"/>
        <w:contextualSpacing w:val="0"/>
        <w:rPr>
          <w:szCs w:val="24"/>
        </w:rPr>
      </w:pPr>
      <w:r w:rsidRPr="00E76E89">
        <w:rPr>
          <w:szCs w:val="24"/>
        </w:rPr>
        <w:t>Skunde n</w:t>
      </w:r>
      <w:r w:rsidR="00160DF5" w:rsidRPr="00E76E89">
        <w:rPr>
          <w:szCs w:val="24"/>
        </w:rPr>
        <w:t>urodo</w:t>
      </w:r>
      <w:r w:rsidRPr="00E76E89">
        <w:rPr>
          <w:szCs w:val="24"/>
        </w:rPr>
        <w:t>ma</w:t>
      </w:r>
      <w:r w:rsidR="00160DF5" w:rsidRPr="00E76E89">
        <w:rPr>
          <w:szCs w:val="24"/>
        </w:rPr>
        <w:t xml:space="preserve">, kad nuosprendis yra prieštaringas, priimtas neteisingai įvertinus </w:t>
      </w:r>
      <w:r w:rsidR="00160DF5" w:rsidRPr="00E76E89">
        <w:rPr>
          <w:rStyle w:val="CharStyle10"/>
          <w:i w:val="0"/>
          <w:szCs w:val="24"/>
          <w:lang w:eastAsia="lt-LT"/>
        </w:rPr>
        <w:t>bylos įrodymus,</w:t>
      </w:r>
      <w:r w:rsidR="00160DF5" w:rsidRPr="00E76E89">
        <w:rPr>
          <w:rStyle w:val="CharStyle10"/>
          <w:szCs w:val="24"/>
          <w:lang w:eastAsia="lt-LT"/>
        </w:rPr>
        <w:t xml:space="preserve"> </w:t>
      </w:r>
      <w:r w:rsidR="00160DF5" w:rsidRPr="00E76E89">
        <w:rPr>
          <w:rStyle w:val="CharStyle10"/>
          <w:i w:val="0"/>
          <w:szCs w:val="24"/>
          <w:lang w:eastAsia="lt-LT"/>
        </w:rPr>
        <w:t>netinkamai pritaikius materialinės ir procesinės teisės normas.</w:t>
      </w:r>
      <w:r w:rsidR="00160DF5" w:rsidRPr="00E76E89">
        <w:rPr>
          <w:szCs w:val="24"/>
        </w:rPr>
        <w:t xml:space="preserve"> Apelianto teigimu, </w:t>
      </w:r>
      <w:r w:rsidR="00A97F74" w:rsidRPr="00E76E89">
        <w:rPr>
          <w:szCs w:val="24"/>
        </w:rPr>
        <w:t>A. K. 1</w:t>
      </w:r>
      <w:r w:rsidR="00160DF5" w:rsidRPr="00E76E89">
        <w:rPr>
          <w:szCs w:val="24"/>
        </w:rPr>
        <w:t xml:space="preserve"> nėra inkriminuojamų nusikalstamų veikų subjektas, jo veiksmuose nėra tyčios padaryti minėtus nusikaltimus, byloje nėra tiksl</w:t>
      </w:r>
      <w:r w:rsidRPr="00E76E89">
        <w:rPr>
          <w:szCs w:val="24"/>
        </w:rPr>
        <w:t>i</w:t>
      </w:r>
      <w:r w:rsidR="00160DF5" w:rsidRPr="00E76E89">
        <w:rPr>
          <w:szCs w:val="24"/>
        </w:rPr>
        <w:t xml:space="preserve">ai nustatytas nusikaltimo objektas ir nuo </w:t>
      </w:r>
      <w:r w:rsidR="00A97F74" w:rsidRPr="00E76E89">
        <w:rPr>
          <w:szCs w:val="24"/>
        </w:rPr>
        <w:t>A. K. 1</w:t>
      </w:r>
      <w:r w:rsidR="00160DF5" w:rsidRPr="00E76E89">
        <w:rPr>
          <w:szCs w:val="24"/>
        </w:rPr>
        <w:t xml:space="preserve"> nukentėję asmenys, be to, byloje nenurodyti konkretūs </w:t>
      </w:r>
      <w:r w:rsidR="00A97F74" w:rsidRPr="00E76E89">
        <w:rPr>
          <w:szCs w:val="24"/>
        </w:rPr>
        <w:t>A. K. 1</w:t>
      </w:r>
      <w:r w:rsidR="00160DF5" w:rsidRPr="00E76E89">
        <w:rPr>
          <w:szCs w:val="24"/>
        </w:rPr>
        <w:t xml:space="preserve"> veiksmai</w:t>
      </w:r>
      <w:r w:rsidR="00A10CB9" w:rsidRPr="00E76E89">
        <w:rPr>
          <w:szCs w:val="24"/>
        </w:rPr>
        <w:t>,</w:t>
      </w:r>
      <w:r w:rsidR="00160DF5" w:rsidRPr="00E76E89">
        <w:rPr>
          <w:szCs w:val="24"/>
        </w:rPr>
        <w:t xml:space="preserve"> </w:t>
      </w:r>
      <w:r w:rsidR="00107A19" w:rsidRPr="00E76E89">
        <w:rPr>
          <w:szCs w:val="24"/>
        </w:rPr>
        <w:t xml:space="preserve">atlikti </w:t>
      </w:r>
      <w:r w:rsidR="00160DF5" w:rsidRPr="00E76E89">
        <w:rPr>
          <w:szCs w:val="24"/>
        </w:rPr>
        <w:t>bendrininkų grupe.</w:t>
      </w:r>
    </w:p>
    <w:p w:rsidR="00160DF5" w:rsidRPr="00E76E89" w:rsidRDefault="00160DF5" w:rsidP="00321748">
      <w:pPr>
        <w:pStyle w:val="ListParagraph"/>
        <w:numPr>
          <w:ilvl w:val="1"/>
          <w:numId w:val="6"/>
        </w:numPr>
        <w:spacing w:before="120" w:after="120"/>
        <w:ind w:left="992" w:hanging="992"/>
        <w:contextualSpacing w:val="0"/>
        <w:rPr>
          <w:szCs w:val="24"/>
        </w:rPr>
      </w:pPr>
      <w:r w:rsidRPr="00E76E89">
        <w:rPr>
          <w:rStyle w:val="CharStyle10"/>
          <w:i w:val="0"/>
          <w:szCs w:val="24"/>
          <w:lang w:eastAsia="lt-LT"/>
        </w:rPr>
        <w:t xml:space="preserve">Pasak gynėjos, teismas nepagrįstai nustatė, kad nusikalstamos veikos buvo padarytos </w:t>
      </w:r>
      <w:r w:rsidR="00BB560E" w:rsidRPr="00E76E89">
        <w:rPr>
          <w:rStyle w:val="CharStyle10"/>
          <w:i w:val="0"/>
          <w:szCs w:val="24"/>
          <w:lang w:eastAsia="lt-LT"/>
        </w:rPr>
        <w:t xml:space="preserve">kaltininkams </w:t>
      </w:r>
      <w:r w:rsidRPr="00E76E89">
        <w:rPr>
          <w:rStyle w:val="CharStyle10"/>
          <w:i w:val="0"/>
          <w:szCs w:val="24"/>
          <w:lang w:eastAsia="lt-LT"/>
        </w:rPr>
        <w:t xml:space="preserve">veikiant bendrininkų grupe. </w:t>
      </w:r>
      <w:r w:rsidR="00A97F74" w:rsidRPr="00E76E89">
        <w:rPr>
          <w:rStyle w:val="CharStyle10"/>
          <w:i w:val="0"/>
          <w:szCs w:val="24"/>
          <w:lang w:eastAsia="lt-LT"/>
        </w:rPr>
        <w:t>A. K. 1</w:t>
      </w:r>
      <w:r w:rsidRPr="00E76E89">
        <w:rPr>
          <w:rStyle w:val="CharStyle10"/>
          <w:i w:val="0"/>
          <w:szCs w:val="24"/>
          <w:lang w:eastAsia="lt-LT"/>
        </w:rPr>
        <w:t xml:space="preserve"> neturėjo tikslo užgrobti kaltinime nurodytų objektų ir nežinojo nusikalstamo plano, tik vykdė</w:t>
      </w:r>
      <w:r w:rsidR="00BB560E" w:rsidRPr="00E76E89">
        <w:rPr>
          <w:rStyle w:val="CharStyle10"/>
          <w:i w:val="0"/>
          <w:szCs w:val="24"/>
          <w:lang w:eastAsia="lt-LT"/>
        </w:rPr>
        <w:t xml:space="preserve"> vadų nurodymus ir užduotis. </w:t>
      </w:r>
      <w:r w:rsidR="00A97F74" w:rsidRPr="00E76E89">
        <w:rPr>
          <w:rStyle w:val="CharStyle10"/>
          <w:i w:val="0"/>
          <w:szCs w:val="24"/>
          <w:lang w:eastAsia="lt-LT"/>
        </w:rPr>
        <w:t>A. K. 1</w:t>
      </w:r>
      <w:r w:rsidR="00107A19" w:rsidRPr="00E76E89">
        <w:rPr>
          <w:rStyle w:val="CharStyle10"/>
          <w:i w:val="0"/>
          <w:szCs w:val="24"/>
          <w:lang w:eastAsia="lt-LT"/>
        </w:rPr>
        <w:t xml:space="preserve"> </w:t>
      </w:r>
      <w:r w:rsidRPr="00E76E89">
        <w:rPr>
          <w:rStyle w:val="CharStyle10"/>
          <w:i w:val="0"/>
          <w:szCs w:val="24"/>
          <w:lang w:eastAsia="lt-LT"/>
        </w:rPr>
        <w:t xml:space="preserve">nepažinojo </w:t>
      </w:r>
      <w:r w:rsidR="00385BC9" w:rsidRPr="00E76E89">
        <w:rPr>
          <w:rStyle w:val="CharStyle10"/>
          <w:i w:val="0"/>
          <w:szCs w:val="24"/>
          <w:lang w:eastAsia="lt-LT"/>
        </w:rPr>
        <w:t>D. J.</w:t>
      </w:r>
      <w:r w:rsidRPr="00E76E89">
        <w:rPr>
          <w:rStyle w:val="CharStyle10"/>
          <w:i w:val="0"/>
          <w:szCs w:val="24"/>
          <w:lang w:eastAsia="lt-LT"/>
        </w:rPr>
        <w:t xml:space="preserve"> ir kitų kaltinime nurodytų asmenų, su jais nebendravo, todėl negalėjo žinoti ir jų ketinimų. Priešingai nei nustatė pirmosios instancijos teismas, </w:t>
      </w:r>
      <w:r w:rsidR="00A97F74" w:rsidRPr="00E76E89">
        <w:rPr>
          <w:rStyle w:val="CharStyle10"/>
          <w:i w:val="0"/>
          <w:szCs w:val="24"/>
          <w:lang w:eastAsia="lt-LT"/>
        </w:rPr>
        <w:t>A. K. 1</w:t>
      </w:r>
      <w:r w:rsidRPr="00E76E89">
        <w:rPr>
          <w:rStyle w:val="CharStyle10"/>
          <w:i w:val="0"/>
          <w:szCs w:val="24"/>
          <w:lang w:eastAsia="lt-LT"/>
        </w:rPr>
        <w:t xml:space="preserve"> neorganizavo, neplanavo ir nevykdė jokių karinės operacijos veiksmų. Teismas nuosprendyje nurodė, kad </w:t>
      </w:r>
      <w:r w:rsidRPr="00E76E89">
        <w:rPr>
          <w:szCs w:val="24"/>
          <w:lang w:eastAsia="lt-LT"/>
        </w:rPr>
        <w:t xml:space="preserve">karinės atakos </w:t>
      </w:r>
      <w:r w:rsidR="00107A19" w:rsidRPr="00E76E89">
        <w:rPr>
          <w:szCs w:val="24"/>
          <w:lang w:eastAsia="lt-LT"/>
        </w:rPr>
        <w:t>prie TV bokšto metu vadovavo ir</w:t>
      </w:r>
      <w:r w:rsidRPr="00E76E89">
        <w:rPr>
          <w:szCs w:val="24"/>
          <w:lang w:eastAsia="lt-LT"/>
        </w:rPr>
        <w:t xml:space="preserve"> kariškių veiksmus koordinavo 76-osios oro desanto divizijos 234-ojo pulko </w:t>
      </w:r>
      <w:r w:rsidRPr="00E76E89">
        <w:rPr>
          <w:szCs w:val="24"/>
        </w:rPr>
        <w:t>3</w:t>
      </w:r>
      <w:r w:rsidR="00A34D0A" w:rsidRPr="00E76E89">
        <w:rPr>
          <w:szCs w:val="24"/>
        </w:rPr>
        <w:t>-</w:t>
      </w:r>
      <w:r w:rsidR="00B66F4C" w:rsidRPr="00E76E89">
        <w:rPr>
          <w:szCs w:val="24"/>
        </w:rPr>
        <w:t>i</w:t>
      </w:r>
      <w:r w:rsidR="00A34D0A" w:rsidRPr="00E76E89">
        <w:rPr>
          <w:szCs w:val="24"/>
        </w:rPr>
        <w:t>ojo</w:t>
      </w:r>
      <w:r w:rsidRPr="00E76E89">
        <w:rPr>
          <w:szCs w:val="24"/>
          <w:lang w:eastAsia="lt-LT"/>
        </w:rPr>
        <w:t xml:space="preserve"> bataliono</w:t>
      </w:r>
      <w:r w:rsidR="00BB560E" w:rsidRPr="00E76E89">
        <w:rPr>
          <w:szCs w:val="24"/>
          <w:lang w:eastAsia="lt-LT"/>
        </w:rPr>
        <w:t xml:space="preserve"> vadas kaltinamasis </w:t>
      </w:r>
      <w:r w:rsidR="00385BC9" w:rsidRPr="00E76E89">
        <w:rPr>
          <w:szCs w:val="24"/>
          <w:lang w:eastAsia="lt-LT"/>
        </w:rPr>
        <w:t>V. S. 2</w:t>
      </w:r>
      <w:r w:rsidRPr="00E76E89">
        <w:rPr>
          <w:szCs w:val="24"/>
          <w:lang w:eastAsia="lt-LT"/>
        </w:rPr>
        <w:t xml:space="preserve"> kartu su 76-osios oro desanto divizijos 23</w:t>
      </w:r>
      <w:r w:rsidR="00EC1D9A" w:rsidRPr="00E76E89">
        <w:rPr>
          <w:szCs w:val="24"/>
          <w:lang w:eastAsia="lt-LT"/>
        </w:rPr>
        <w:t>4</w:t>
      </w:r>
      <w:r w:rsidRPr="00E76E89">
        <w:rPr>
          <w:szCs w:val="24"/>
          <w:lang w:eastAsia="lt-LT"/>
        </w:rPr>
        <w:t xml:space="preserve">-ojo pulko vadu </w:t>
      </w:r>
      <w:r w:rsidR="00C507EF" w:rsidRPr="00E76E89">
        <w:rPr>
          <w:szCs w:val="24"/>
          <w:lang w:eastAsia="lt-LT"/>
        </w:rPr>
        <w:t>I. K.</w:t>
      </w:r>
      <w:r w:rsidRPr="00E76E89">
        <w:rPr>
          <w:szCs w:val="24"/>
          <w:lang w:eastAsia="lt-LT"/>
        </w:rPr>
        <w:t xml:space="preserve">, kuris savo veiksmus ryšio priemonėmis tiesiogiai derino su vadovavimo štabe buvusiu 76-osios oro desanto divizijos vado pavaduotoju kaltinamuoju </w:t>
      </w:r>
      <w:r w:rsidR="00385BC9" w:rsidRPr="00E76E89">
        <w:rPr>
          <w:szCs w:val="24"/>
          <w:lang w:eastAsia="lt-LT"/>
        </w:rPr>
        <w:t>V. K. 1</w:t>
      </w:r>
      <w:r w:rsidRPr="00E76E89">
        <w:rPr>
          <w:szCs w:val="24"/>
          <w:lang w:eastAsia="lt-LT"/>
        </w:rPr>
        <w:t xml:space="preserve">. Taigi būtent šie asmenys buvo atsakingi už karinės operacijos įvykdymą, o ne </w:t>
      </w:r>
      <w:r w:rsidR="00A97F74" w:rsidRPr="00E76E89">
        <w:rPr>
          <w:szCs w:val="24"/>
          <w:lang w:eastAsia="lt-LT"/>
        </w:rPr>
        <w:t>A. K. 1</w:t>
      </w:r>
      <w:r w:rsidRPr="00E76E89">
        <w:rPr>
          <w:szCs w:val="24"/>
          <w:lang w:eastAsia="lt-LT"/>
        </w:rPr>
        <w:t xml:space="preserve">. </w:t>
      </w:r>
    </w:p>
    <w:p w:rsidR="00160DF5" w:rsidRPr="00121EB4" w:rsidRDefault="00160DF5" w:rsidP="00321748">
      <w:pPr>
        <w:pStyle w:val="ListParagraph"/>
        <w:numPr>
          <w:ilvl w:val="1"/>
          <w:numId w:val="6"/>
        </w:numPr>
        <w:spacing w:before="120" w:after="120"/>
        <w:ind w:left="992" w:hanging="992"/>
        <w:contextualSpacing w:val="0"/>
        <w:rPr>
          <w:szCs w:val="24"/>
        </w:rPr>
      </w:pPr>
      <w:r w:rsidRPr="00121EB4">
        <w:rPr>
          <w:szCs w:val="24"/>
        </w:rPr>
        <w:t xml:space="preserve">Pagal </w:t>
      </w:r>
      <w:r w:rsidR="00970DB0" w:rsidRPr="00121EB4">
        <w:rPr>
          <w:szCs w:val="24"/>
        </w:rPr>
        <w:t>LAT</w:t>
      </w:r>
      <w:r w:rsidRPr="00121EB4">
        <w:rPr>
          <w:szCs w:val="24"/>
        </w:rPr>
        <w:t xml:space="preserve"> senato 2003 m. birž</w:t>
      </w:r>
      <w:r w:rsidR="00E307D8" w:rsidRPr="00121EB4">
        <w:rPr>
          <w:szCs w:val="24"/>
        </w:rPr>
        <w:t>elio 20 d. nutarimo Nr. 40 „Dėl </w:t>
      </w:r>
      <w:r w:rsidRPr="00121EB4">
        <w:rPr>
          <w:szCs w:val="24"/>
        </w:rPr>
        <w:t>teismų praktikos taikant Baudžiamojo proceso kodekso normas, reglamentuojanči</w:t>
      </w:r>
      <w:r w:rsidR="00E52EE3" w:rsidRPr="00121EB4">
        <w:rPr>
          <w:szCs w:val="24"/>
        </w:rPr>
        <w:t>as nuosprendžio surašymą“ 3.1.8 </w:t>
      </w:r>
      <w:r w:rsidRPr="00121EB4">
        <w:rPr>
          <w:szCs w:val="24"/>
        </w:rPr>
        <w:t>p</w:t>
      </w:r>
      <w:r w:rsidR="00A10CB9" w:rsidRPr="00121EB4">
        <w:rPr>
          <w:szCs w:val="24"/>
        </w:rPr>
        <w:t>apunktį</w:t>
      </w:r>
      <w:r w:rsidRPr="00121EB4">
        <w:rPr>
          <w:szCs w:val="24"/>
        </w:rPr>
        <w:t xml:space="preserve"> apkaltinamasis nuosprendis negali būti grindžiamas prielaidomis, teismo išvados turi būti pagrįstos įrodymais, neginčijamai patvirtinančiais kaltinamojo kaltę padarius nusikalstamą veiką ir kitas svarbias bylos aplinkybes (Teismų praktika, 2003, Nr.</w:t>
      </w:r>
      <w:r w:rsidR="00A10CB9" w:rsidRPr="00121EB4">
        <w:rPr>
          <w:szCs w:val="24"/>
        </w:rPr>
        <w:t> </w:t>
      </w:r>
      <w:r w:rsidRPr="00121EB4">
        <w:rPr>
          <w:szCs w:val="24"/>
        </w:rPr>
        <w:t xml:space="preserve">19). Nagrinėjamu atveju pirmosios instancijos teismo išvada, kad būtent </w:t>
      </w:r>
      <w:r w:rsidR="00A97F74" w:rsidRPr="00121EB4">
        <w:rPr>
          <w:szCs w:val="24"/>
        </w:rPr>
        <w:t>A. K. 1</w:t>
      </w:r>
      <w:r w:rsidRPr="00121EB4">
        <w:rPr>
          <w:szCs w:val="24"/>
        </w:rPr>
        <w:t xml:space="preserve"> vairuojamu tanku buvo sužalotas A. P. K</w:t>
      </w:r>
      <w:r w:rsidR="00C943F4" w:rsidRPr="00121EB4">
        <w:rPr>
          <w:szCs w:val="24"/>
        </w:rPr>
        <w:t>.</w:t>
      </w:r>
      <w:r w:rsidRPr="00121EB4">
        <w:rPr>
          <w:szCs w:val="24"/>
        </w:rPr>
        <w:t>, pagrįsta prielaidomis, o tai sudaro pagrindą naikinti nuosprendį. Teismas nuosprendyje (213 </w:t>
      </w:r>
      <w:r w:rsidR="003F375C" w:rsidRPr="00121EB4">
        <w:rPr>
          <w:szCs w:val="24"/>
        </w:rPr>
        <w:t>lapas</w:t>
      </w:r>
      <w:r w:rsidRPr="00121EB4">
        <w:rPr>
          <w:szCs w:val="24"/>
        </w:rPr>
        <w:t>) konstatavo, kad „vienas iš užtvaras šalinusių tankų, stumdamas nuo pravažiavimo smėlio barstytuvą &lt;..</w:t>
      </w:r>
      <w:r w:rsidR="00EC1D9A" w:rsidRPr="00121EB4">
        <w:rPr>
          <w:szCs w:val="24"/>
        </w:rPr>
        <w:t>.&gt;, prie jo prispaudė A</w:t>
      </w:r>
      <w:r w:rsidR="00C943F4" w:rsidRPr="00121EB4">
        <w:rPr>
          <w:szCs w:val="24"/>
        </w:rPr>
        <w:t>.</w:t>
      </w:r>
      <w:r w:rsidR="00EC1D9A" w:rsidRPr="00121EB4">
        <w:rPr>
          <w:szCs w:val="24"/>
        </w:rPr>
        <w:t> </w:t>
      </w:r>
      <w:r w:rsidR="00C943F4" w:rsidRPr="00121EB4">
        <w:rPr>
          <w:szCs w:val="24"/>
        </w:rPr>
        <w:t>P. </w:t>
      </w:r>
      <w:r w:rsidRPr="00121EB4">
        <w:rPr>
          <w:szCs w:val="24"/>
        </w:rPr>
        <w:t>K</w:t>
      </w:r>
      <w:r w:rsidR="00C943F4" w:rsidRPr="00121EB4">
        <w:rPr>
          <w:szCs w:val="24"/>
        </w:rPr>
        <w:t>.</w:t>
      </w:r>
      <w:r w:rsidRPr="00121EB4">
        <w:rPr>
          <w:szCs w:val="24"/>
        </w:rPr>
        <w:t xml:space="preserve">, kuris &lt;...&gt; mirė, t. y. nukentėjusįjį tyčia nužudė“. </w:t>
      </w:r>
      <w:bookmarkStart w:id="152" w:name="_Hlk34661926"/>
      <w:r w:rsidRPr="00121EB4">
        <w:rPr>
          <w:szCs w:val="24"/>
        </w:rPr>
        <w:t xml:space="preserve">Byloje neįrodyta, jog būtent </w:t>
      </w:r>
      <w:r w:rsidR="00A97F74" w:rsidRPr="00121EB4">
        <w:rPr>
          <w:szCs w:val="24"/>
        </w:rPr>
        <w:t>A. K. 1</w:t>
      </w:r>
      <w:r w:rsidRPr="00121EB4">
        <w:rPr>
          <w:szCs w:val="24"/>
        </w:rPr>
        <w:t xml:space="preserve"> vairuojamas tankas padarė mirtinus </w:t>
      </w:r>
      <w:r w:rsidR="00107A19" w:rsidRPr="00121EB4">
        <w:rPr>
          <w:szCs w:val="24"/>
        </w:rPr>
        <w:t>A. </w:t>
      </w:r>
      <w:r w:rsidRPr="00121EB4">
        <w:rPr>
          <w:szCs w:val="24"/>
        </w:rPr>
        <w:t>P. K</w:t>
      </w:r>
      <w:r w:rsidR="00C943F4" w:rsidRPr="00121EB4">
        <w:rPr>
          <w:szCs w:val="24"/>
        </w:rPr>
        <w:t>.</w:t>
      </w:r>
      <w:r w:rsidRPr="00121EB4">
        <w:rPr>
          <w:szCs w:val="24"/>
        </w:rPr>
        <w:t xml:space="preserve"> sužalojimus, todėl apkaltinamasis </w:t>
      </w:r>
      <w:r w:rsidRPr="00121EB4">
        <w:rPr>
          <w:szCs w:val="24"/>
        </w:rPr>
        <w:lastRenderedPageBreak/>
        <w:t xml:space="preserve">nuosprendis </w:t>
      </w:r>
      <w:r w:rsidR="00A97F74" w:rsidRPr="00121EB4">
        <w:rPr>
          <w:szCs w:val="24"/>
        </w:rPr>
        <w:t>A. K. 1</w:t>
      </w:r>
      <w:r w:rsidRPr="00121EB4">
        <w:rPr>
          <w:szCs w:val="24"/>
        </w:rPr>
        <w:t xml:space="preserve"> atžvilgiu priimtas nepagrįstai. Be to, byloje nėra tiksliai nustatyta</w:t>
      </w:r>
      <w:r w:rsidR="00A10CB9" w:rsidRPr="00121EB4">
        <w:rPr>
          <w:szCs w:val="24"/>
        </w:rPr>
        <w:t>,</w:t>
      </w:r>
      <w:r w:rsidRPr="00121EB4">
        <w:rPr>
          <w:szCs w:val="24"/>
        </w:rPr>
        <w:t xml:space="preserve"> kas konkrečiai nukentėjo nuo </w:t>
      </w:r>
      <w:r w:rsidR="00A97F74" w:rsidRPr="00121EB4">
        <w:rPr>
          <w:szCs w:val="24"/>
        </w:rPr>
        <w:t>A. K. 1</w:t>
      </w:r>
      <w:r w:rsidRPr="00121EB4">
        <w:rPr>
          <w:szCs w:val="24"/>
        </w:rPr>
        <w:t xml:space="preserve"> veiksmų ir ar tokių nukentėjusiųjų apskritai yra. </w:t>
      </w:r>
    </w:p>
    <w:p w:rsidR="00160DF5" w:rsidRPr="00C00255" w:rsidRDefault="00160DF5" w:rsidP="00321748">
      <w:pPr>
        <w:pStyle w:val="ListParagraph"/>
        <w:numPr>
          <w:ilvl w:val="1"/>
          <w:numId w:val="6"/>
        </w:numPr>
        <w:spacing w:before="120" w:after="120"/>
        <w:ind w:left="992" w:hanging="992"/>
        <w:contextualSpacing w:val="0"/>
        <w:rPr>
          <w:szCs w:val="24"/>
        </w:rPr>
      </w:pPr>
      <w:r w:rsidRPr="00C00255">
        <w:rPr>
          <w:szCs w:val="24"/>
        </w:rPr>
        <w:t xml:space="preserve">Gynėja pažymi, kad </w:t>
      </w:r>
      <w:r w:rsidR="00A97F74">
        <w:rPr>
          <w:szCs w:val="24"/>
        </w:rPr>
        <w:t>A. K. 1</w:t>
      </w:r>
      <w:r w:rsidRPr="00C00255">
        <w:rPr>
          <w:szCs w:val="24"/>
        </w:rPr>
        <w:t xml:space="preserve"> vykdė karinio dalinio dislokacijos vietoje tanko vado pareigas einančio kapitono </w:t>
      </w:r>
      <w:r w:rsidR="00C82C9D">
        <w:rPr>
          <w:szCs w:val="24"/>
        </w:rPr>
        <w:t>S. V.</w:t>
      </w:r>
      <w:r w:rsidRPr="00C00255">
        <w:rPr>
          <w:szCs w:val="24"/>
        </w:rPr>
        <w:t xml:space="preserve"> jam duotą užduotį važiuoti prie </w:t>
      </w:r>
      <w:r w:rsidR="00DE3B19" w:rsidRPr="00C00255">
        <w:rPr>
          <w:szCs w:val="24"/>
        </w:rPr>
        <w:t>TV</w:t>
      </w:r>
      <w:r w:rsidRPr="00C00255">
        <w:rPr>
          <w:szCs w:val="24"/>
        </w:rPr>
        <w:t xml:space="preserve"> bokšto, siekiant užtikrinti laisvą priėjimą </w:t>
      </w:r>
      <w:r w:rsidR="00107A19" w:rsidRPr="00C00255">
        <w:rPr>
          <w:szCs w:val="24"/>
        </w:rPr>
        <w:t xml:space="preserve">prie </w:t>
      </w:r>
      <w:r w:rsidR="00DE3B19" w:rsidRPr="00C00255">
        <w:rPr>
          <w:szCs w:val="24"/>
        </w:rPr>
        <w:t>TV</w:t>
      </w:r>
      <w:r w:rsidR="00107A19" w:rsidRPr="00C00255">
        <w:rPr>
          <w:szCs w:val="24"/>
        </w:rPr>
        <w:t xml:space="preserve"> bokšto. Taigi </w:t>
      </w:r>
      <w:r w:rsidRPr="00C00255">
        <w:rPr>
          <w:szCs w:val="24"/>
        </w:rPr>
        <w:t xml:space="preserve">tikslas ir užduotis buvo ne žaloti ar žudyti žmones, o tik užtikrinti desantininkų padaliniams laisvą priėjimą prie </w:t>
      </w:r>
      <w:r w:rsidR="00DE3B19" w:rsidRPr="00C00255">
        <w:rPr>
          <w:szCs w:val="24"/>
        </w:rPr>
        <w:t>TV</w:t>
      </w:r>
      <w:r w:rsidRPr="00C00255">
        <w:rPr>
          <w:szCs w:val="24"/>
        </w:rPr>
        <w:t xml:space="preserve"> bokšto. </w:t>
      </w:r>
      <w:r w:rsidRPr="00C00255">
        <w:rPr>
          <w:rStyle w:val="CharStyle10"/>
          <w:i w:val="0"/>
          <w:szCs w:val="24"/>
          <w:lang w:eastAsia="lt-LT"/>
        </w:rPr>
        <w:t>Teismas</w:t>
      </w:r>
      <w:r w:rsidR="00CF48C4" w:rsidRPr="00C00255">
        <w:rPr>
          <w:rStyle w:val="CharStyle10"/>
          <w:i w:val="0"/>
          <w:szCs w:val="24"/>
          <w:lang w:eastAsia="lt-LT"/>
        </w:rPr>
        <w:t>,</w:t>
      </w:r>
      <w:r w:rsidRPr="00C00255">
        <w:rPr>
          <w:rStyle w:val="CharStyle10"/>
          <w:i w:val="0"/>
          <w:szCs w:val="24"/>
          <w:lang w:eastAsia="lt-LT"/>
        </w:rPr>
        <w:t xml:space="preserve"> be kita ko</w:t>
      </w:r>
      <w:r w:rsidR="00CF48C4" w:rsidRPr="00C00255">
        <w:rPr>
          <w:rStyle w:val="CharStyle10"/>
          <w:i w:val="0"/>
          <w:szCs w:val="24"/>
          <w:lang w:eastAsia="lt-LT"/>
        </w:rPr>
        <w:t>,</w:t>
      </w:r>
      <w:r w:rsidRPr="00C00255">
        <w:rPr>
          <w:rStyle w:val="CharStyle10"/>
          <w:i w:val="0"/>
          <w:szCs w:val="24"/>
          <w:lang w:eastAsia="lt-LT"/>
        </w:rPr>
        <w:t xml:space="preserve"> nurodė, kad prieš karinės operacijos pradžią dauguma kaltinamųjų nežinojo</w:t>
      </w:r>
      <w:r w:rsidR="00A10CB9" w:rsidRPr="00C00255">
        <w:rPr>
          <w:rStyle w:val="CharStyle10"/>
          <w:i w:val="0"/>
          <w:szCs w:val="24"/>
          <w:lang w:eastAsia="lt-LT"/>
        </w:rPr>
        <w:t>,</w:t>
      </w:r>
      <w:r w:rsidRPr="00C00255">
        <w:rPr>
          <w:rStyle w:val="CharStyle10"/>
          <w:i w:val="0"/>
          <w:szCs w:val="24"/>
          <w:lang w:eastAsia="lt-LT"/>
        </w:rPr>
        <w:t xml:space="preserve"> į kokį objektą vykst</w:t>
      </w:r>
      <w:r w:rsidR="00107A19" w:rsidRPr="00C00255">
        <w:rPr>
          <w:rStyle w:val="CharStyle10"/>
          <w:i w:val="0"/>
          <w:szCs w:val="24"/>
          <w:lang w:eastAsia="lt-LT"/>
        </w:rPr>
        <w:t>a, kad tik atvyk</w:t>
      </w:r>
      <w:r w:rsidR="00A10CB9" w:rsidRPr="00C00255">
        <w:rPr>
          <w:rStyle w:val="CharStyle10"/>
          <w:i w:val="0"/>
          <w:szCs w:val="24"/>
          <w:lang w:eastAsia="lt-LT"/>
        </w:rPr>
        <w:t>ę</w:t>
      </w:r>
      <w:r w:rsidR="00107A19" w:rsidRPr="00C00255">
        <w:rPr>
          <w:rStyle w:val="CharStyle10"/>
          <w:i w:val="0"/>
          <w:szCs w:val="24"/>
          <w:lang w:eastAsia="lt-LT"/>
        </w:rPr>
        <w:t xml:space="preserve"> prie objekto</w:t>
      </w:r>
      <w:r w:rsidRPr="00C00255">
        <w:rPr>
          <w:rStyle w:val="CharStyle10"/>
          <w:i w:val="0"/>
          <w:szCs w:val="24"/>
          <w:lang w:eastAsia="lt-LT"/>
        </w:rPr>
        <w:t xml:space="preserve"> gaudavo konkrečias užduotis </w:t>
      </w:r>
      <w:r w:rsidRPr="00C00255">
        <w:rPr>
          <w:rStyle w:val="CharStyle10"/>
          <w:i w:val="0"/>
          <w:szCs w:val="24"/>
        </w:rPr>
        <w:t xml:space="preserve">(nuosprendžio 870 </w:t>
      </w:r>
      <w:r w:rsidR="00A10CB9" w:rsidRPr="00C00255">
        <w:rPr>
          <w:rStyle w:val="CharStyle10"/>
          <w:i w:val="0"/>
          <w:szCs w:val="24"/>
          <w:lang w:eastAsia="lt-LT"/>
        </w:rPr>
        <w:t>lapas</w:t>
      </w:r>
      <w:r w:rsidRPr="00C00255">
        <w:rPr>
          <w:rStyle w:val="CharStyle10"/>
          <w:i w:val="0"/>
          <w:szCs w:val="24"/>
          <w:lang w:eastAsia="lt-LT"/>
        </w:rPr>
        <w:t>). Be to, gynėjas skunde nesutinka su p</w:t>
      </w:r>
      <w:r w:rsidRPr="00C00255">
        <w:rPr>
          <w:szCs w:val="24"/>
        </w:rPr>
        <w:t xml:space="preserve">irmosios instancijos teismo išvada, kad civilių asmenų aukų ir jų sužeidimų buvo tikimasi, jos buvo </w:t>
      </w:r>
      <w:r w:rsidR="00107A19" w:rsidRPr="00C00255">
        <w:rPr>
          <w:szCs w:val="24"/>
        </w:rPr>
        <w:t>planuojamos ir to buvo siekiama –</w:t>
      </w:r>
      <w:r w:rsidRPr="00C00255">
        <w:rPr>
          <w:szCs w:val="24"/>
        </w:rPr>
        <w:t xml:space="preserve"> nebuvo siekiama išvengti civilių asmenų aukų. </w:t>
      </w:r>
      <w:r w:rsidR="00A97F74">
        <w:rPr>
          <w:szCs w:val="24"/>
        </w:rPr>
        <w:t>A. K. 1</w:t>
      </w:r>
      <w:r w:rsidRPr="00C00255">
        <w:rPr>
          <w:szCs w:val="24"/>
        </w:rPr>
        <w:t xml:space="preserve"> aukų neplanavo, jų nenorėjo ir stengėsi jų išvengti. Tai užfiksuota jo paties parodymuose, kurie negalėjo būti panaudoti prieš jį patį, nes jis buvo apklaustas kaip liudytojas. </w:t>
      </w:r>
      <w:bookmarkEnd w:id="152"/>
    </w:p>
    <w:p w:rsidR="00160DF5" w:rsidRPr="00A81196" w:rsidRDefault="00160DF5" w:rsidP="00321748">
      <w:pPr>
        <w:pStyle w:val="ListParagraph"/>
        <w:numPr>
          <w:ilvl w:val="1"/>
          <w:numId w:val="6"/>
        </w:numPr>
        <w:spacing w:before="120" w:after="120"/>
        <w:ind w:left="992" w:hanging="992"/>
        <w:contextualSpacing w:val="0"/>
        <w:rPr>
          <w:szCs w:val="24"/>
        </w:rPr>
      </w:pPr>
      <w:r w:rsidRPr="00A81196">
        <w:rPr>
          <w:szCs w:val="24"/>
        </w:rPr>
        <w:t xml:space="preserve">Inkriminuojamų veikų metu </w:t>
      </w:r>
      <w:r w:rsidR="00A97F74" w:rsidRPr="00A81196">
        <w:rPr>
          <w:szCs w:val="24"/>
        </w:rPr>
        <w:t>A. K. 1</w:t>
      </w:r>
      <w:r w:rsidRPr="00A81196">
        <w:rPr>
          <w:szCs w:val="24"/>
        </w:rPr>
        <w:t xml:space="preserve"> buvo tik</w:t>
      </w:r>
      <w:r w:rsidR="000F5BFE" w:rsidRPr="00A81196">
        <w:rPr>
          <w:szCs w:val="24"/>
        </w:rPr>
        <w:t xml:space="preserve"> (duomenys neskelbtini)</w:t>
      </w:r>
      <w:r w:rsidRPr="00A81196">
        <w:rPr>
          <w:szCs w:val="24"/>
        </w:rPr>
        <w:t xml:space="preserve"> metai. Jis yra </w:t>
      </w:r>
      <w:r w:rsidR="000F5BFE" w:rsidRPr="00A81196">
        <w:rPr>
          <w:szCs w:val="24"/>
        </w:rPr>
        <w:t>(duomenys neskelbtini)</w:t>
      </w:r>
      <w:r w:rsidRPr="00A81196">
        <w:rPr>
          <w:szCs w:val="24"/>
        </w:rPr>
        <w:t>, todėl nežinojo ir negalėjo suprasti TSRS vykdytos politikos</w:t>
      </w:r>
      <w:r w:rsidRPr="00A81196">
        <w:rPr>
          <w:szCs w:val="24"/>
          <w:lang w:eastAsia="lt-LT"/>
        </w:rPr>
        <w:t xml:space="preserve"> bei </w:t>
      </w:r>
      <w:r w:rsidRPr="00A81196">
        <w:rPr>
          <w:rStyle w:val="CharStyle10"/>
          <w:i w:val="0"/>
          <w:szCs w:val="24"/>
          <w:lang w:eastAsia="lt-LT"/>
        </w:rPr>
        <w:t>istorinių įvykių, kuriuose dalyvauja</w:t>
      </w:r>
      <w:r w:rsidRPr="00A81196">
        <w:rPr>
          <w:szCs w:val="24"/>
        </w:rPr>
        <w:t xml:space="preserve">. Vien pats faktas, kad </w:t>
      </w:r>
      <w:r w:rsidR="00A97F74" w:rsidRPr="00A81196">
        <w:rPr>
          <w:szCs w:val="24"/>
        </w:rPr>
        <w:t>A. K. 1</w:t>
      </w:r>
      <w:r w:rsidRPr="00A81196">
        <w:rPr>
          <w:szCs w:val="24"/>
        </w:rPr>
        <w:t>, kaip ir kiti eili</w:t>
      </w:r>
      <w:r w:rsidR="000F5BFE" w:rsidRPr="00A81196">
        <w:rPr>
          <w:szCs w:val="24"/>
        </w:rPr>
        <w:t>niai karininkai, 1991 m. sausio </w:t>
      </w:r>
      <w:r w:rsidRPr="00A81196">
        <w:rPr>
          <w:szCs w:val="24"/>
        </w:rPr>
        <w:t>įvykiuose vienokiu ar kitokiu būdu dalyvavo karinėje operacijoje, neleidžia daryti išvados, kad jis pagal tarptautinę teisę yra nusikaltimų žmoniškumui subjektas.</w:t>
      </w:r>
    </w:p>
    <w:p w:rsidR="00160DF5" w:rsidRPr="00A81196" w:rsidRDefault="00160DF5" w:rsidP="00321748">
      <w:pPr>
        <w:pStyle w:val="ListParagraph"/>
        <w:numPr>
          <w:ilvl w:val="1"/>
          <w:numId w:val="6"/>
        </w:numPr>
        <w:spacing w:before="120" w:after="120"/>
        <w:ind w:left="992" w:hanging="992"/>
        <w:contextualSpacing w:val="0"/>
        <w:rPr>
          <w:szCs w:val="24"/>
        </w:rPr>
      </w:pPr>
      <w:r w:rsidRPr="00A81196">
        <w:rPr>
          <w:szCs w:val="24"/>
        </w:rPr>
        <w:t xml:space="preserve">Teismas nesiaiškino, ar bylos nagrinėjimo metu </w:t>
      </w:r>
      <w:r w:rsidR="00A97F74" w:rsidRPr="00A81196">
        <w:rPr>
          <w:szCs w:val="24"/>
        </w:rPr>
        <w:t>A. K. 1</w:t>
      </w:r>
      <w:r w:rsidRPr="00A81196">
        <w:rPr>
          <w:szCs w:val="24"/>
        </w:rPr>
        <w:t xml:space="preserve"> yra gyvas ir gali būti kaltinamas jam inkriminuojamų nusikaltimų padarymu. Teismas nesiėmė visų įmanomų priemonių </w:t>
      </w:r>
      <w:r w:rsidR="00A97F74" w:rsidRPr="00A81196">
        <w:rPr>
          <w:szCs w:val="24"/>
        </w:rPr>
        <w:t>A. K. 1</w:t>
      </w:r>
      <w:r w:rsidRPr="00A81196">
        <w:rPr>
          <w:szCs w:val="24"/>
        </w:rPr>
        <w:t xml:space="preserve"> gyvenam</w:t>
      </w:r>
      <w:r w:rsidR="006B63CE" w:rsidRPr="00A81196">
        <w:rPr>
          <w:szCs w:val="24"/>
        </w:rPr>
        <w:t>ajai</w:t>
      </w:r>
      <w:r w:rsidRPr="00A81196">
        <w:rPr>
          <w:szCs w:val="24"/>
        </w:rPr>
        <w:t xml:space="preserve"> viet</w:t>
      </w:r>
      <w:r w:rsidR="006B63CE" w:rsidRPr="00A81196">
        <w:rPr>
          <w:szCs w:val="24"/>
        </w:rPr>
        <w:t>ai nustatyti</w:t>
      </w:r>
      <w:r w:rsidRPr="00A81196">
        <w:rPr>
          <w:szCs w:val="24"/>
        </w:rPr>
        <w:t xml:space="preserve">. Dėl to, gynėjos nuomone, teisminis procesas negali būti laikomas tinkamu. </w:t>
      </w:r>
    </w:p>
    <w:p w:rsidR="00E307D8" w:rsidRPr="00C00255" w:rsidRDefault="00E307D8" w:rsidP="00321748">
      <w:pPr>
        <w:pStyle w:val="ListParagraph"/>
        <w:numPr>
          <w:ilvl w:val="0"/>
          <w:numId w:val="6"/>
        </w:numPr>
        <w:spacing w:before="120" w:after="120"/>
        <w:ind w:left="992" w:hanging="992"/>
        <w:contextualSpacing w:val="0"/>
        <w:rPr>
          <w:szCs w:val="24"/>
        </w:rPr>
      </w:pPr>
      <w:bookmarkStart w:id="153" w:name="_Toc37947879"/>
      <w:bookmarkStart w:id="154" w:name="_Toc67677358"/>
      <w:bookmarkStart w:id="155" w:name="_Toc67985485"/>
      <w:r w:rsidRPr="00D43DF2">
        <w:rPr>
          <w:b/>
        </w:rPr>
        <w:t xml:space="preserve">Nuteistojo </w:t>
      </w:r>
      <w:r w:rsidR="00A97F74" w:rsidRPr="00D43DF2">
        <w:rPr>
          <w:b/>
        </w:rPr>
        <w:t>D. F.</w:t>
      </w:r>
      <w:r w:rsidRPr="00D43DF2">
        <w:rPr>
          <w:b/>
        </w:rPr>
        <w:t xml:space="preserve"> gynėjas</w:t>
      </w:r>
      <w:bookmarkEnd w:id="153"/>
      <w:bookmarkEnd w:id="154"/>
      <w:bookmarkEnd w:id="155"/>
      <w:r w:rsidRPr="00D43DF2">
        <w:rPr>
          <w:b/>
        </w:rPr>
        <w:t xml:space="preserve"> advokatas D. Karvelis</w:t>
      </w:r>
      <w:r w:rsidRPr="00C00255">
        <w:t xml:space="preserve"> apeliaciniu skundu prašo panaikinti </w:t>
      </w:r>
      <w:r w:rsidR="00BB560E" w:rsidRPr="00C00255">
        <w:t>pirmosios instancijos teismo</w:t>
      </w:r>
      <w:r w:rsidRPr="00C00255">
        <w:t xml:space="preserve"> nuosprendį ir jo ginamąjį išteisinti. Nuosprendžio dalį, kuria prokuratūros ieškinys paliktas nenagrinėt</w:t>
      </w:r>
      <w:r w:rsidR="00A10CB9" w:rsidRPr="00C00255">
        <w:t>as</w:t>
      </w:r>
      <w:r w:rsidRPr="00C00255">
        <w:t>, o</w:t>
      </w:r>
      <w:r w:rsidR="0093200A">
        <w:t xml:space="preserve"> nukentėjusiųjų </w:t>
      </w:r>
      <w:r w:rsidR="00C507EF">
        <w:t>V. L.</w:t>
      </w:r>
      <w:r w:rsidR="0093200A">
        <w:t xml:space="preserve"> ir R. </w:t>
      </w:r>
      <w:r w:rsidRPr="00C00255">
        <w:t>P</w:t>
      </w:r>
      <w:r w:rsidR="0093200A">
        <w:t>.</w:t>
      </w:r>
      <w:r w:rsidRPr="00C00255">
        <w:t xml:space="preserve"> civiliniai ieškiniai atmesti, prašoma palikti galioti nepakeistą. </w:t>
      </w:r>
    </w:p>
    <w:p w:rsidR="00E307D8" w:rsidRPr="00C00255" w:rsidRDefault="00E307D8" w:rsidP="00321748">
      <w:pPr>
        <w:pStyle w:val="ListParagraph"/>
        <w:numPr>
          <w:ilvl w:val="1"/>
          <w:numId w:val="6"/>
        </w:numPr>
        <w:spacing w:before="120" w:after="120"/>
        <w:ind w:left="992" w:hanging="992"/>
        <w:contextualSpacing w:val="0"/>
        <w:rPr>
          <w:szCs w:val="24"/>
        </w:rPr>
      </w:pPr>
      <w:r w:rsidRPr="00A81196">
        <w:t>Apelianto įsitikinimu, teismas pažeidė BPK 20 straipsnio nuostatas, nes padarė išvadas, kurių nepatvirtina byloje surinkti įrodymai. Nuteistajam nepagrįstai inkriminuojam</w:t>
      </w:r>
      <w:r w:rsidR="00CF2A31" w:rsidRPr="00A81196">
        <w:t>i</w:t>
      </w:r>
      <w:r w:rsidRPr="00A81196">
        <w:t xml:space="preserve"> 1991 m. sausio įvykių metu kil</w:t>
      </w:r>
      <w:r w:rsidR="00A10CB9" w:rsidRPr="00A81196">
        <w:t>ę padariniai</w:t>
      </w:r>
      <w:r w:rsidRPr="00A81196">
        <w:t>, nors jis dalyvavo tik užimant LRT patalpas</w:t>
      </w:r>
      <w:r w:rsidR="00A10CB9" w:rsidRPr="00A81196">
        <w:t>, esančias</w:t>
      </w:r>
      <w:r w:rsidRPr="00A81196">
        <w:t xml:space="preserve"> Konarskio g. Skundžiamu nuosprendžiu liko neatsakytas klausimas</w:t>
      </w:r>
      <w:r w:rsidR="00A10CB9" w:rsidRPr="00A81196">
        <w:t>,</w:t>
      </w:r>
      <w:r w:rsidRPr="00A81196">
        <w:t xml:space="preserve"> ar nusikaltimus vykdė TSRS kaip valstybė, vykdydama valstybinę politiką, ar keletas savarankiškai susibūrusių asmenų, o šios abejonės nepagrįstai įvertintos kaltinimui naudinga linkme</w:t>
      </w:r>
      <w:r w:rsidRPr="00C00255">
        <w:t>.</w:t>
      </w:r>
    </w:p>
    <w:p w:rsidR="00E307D8" w:rsidRPr="00A81196" w:rsidRDefault="00E307D8" w:rsidP="00321748">
      <w:pPr>
        <w:pStyle w:val="ListParagraph"/>
        <w:numPr>
          <w:ilvl w:val="1"/>
          <w:numId w:val="6"/>
        </w:numPr>
        <w:spacing w:before="120" w:after="120"/>
        <w:ind w:left="992" w:hanging="992"/>
        <w:contextualSpacing w:val="0"/>
        <w:rPr>
          <w:szCs w:val="24"/>
        </w:rPr>
      </w:pPr>
      <w:r w:rsidRPr="00A81196">
        <w:t xml:space="preserve">Apelianto įsitikinimu, </w:t>
      </w:r>
      <w:r w:rsidR="00A97F74" w:rsidRPr="00A81196">
        <w:t>D. F.</w:t>
      </w:r>
      <w:r w:rsidRPr="00A81196">
        <w:t xml:space="preserve"> nepagrįstai pripažintas nusikaltimų bendrininku, nes jo veikoje nėra bendrininkavimo požymių – savanoriško susitarimo daryti nusikaltimus, dalyvavimo juos darant bei tyčios bendrumo atliekant neteisėtus veiksmus prieš civilius. Skundu nurodoma, kad nuteistasis buvo žemiausios grandies karininkas, pavaldus aukštesniems pagal laipsnį kariškiams ir nedalyvavęs susitarimuose dėl minėtos operacijos. Jis nemokėjo lietuvių kalbos, nežinojo Lietuvos istorijos bei to, kad ji deklaravo nepriklausomybę. Be to, apelianto teigimu, tuo metu Lietuva dar nebuvo pripažinta kaip valstybė, o TSRS vadovai visus Lietuvos valdžios priimtus teisės aktus laikė neteisėtais. </w:t>
      </w:r>
      <w:r w:rsidR="00A97F74" w:rsidRPr="00A81196">
        <w:t>D. F.</w:t>
      </w:r>
      <w:r w:rsidRPr="00A81196">
        <w:t>, kaip TSRS armijos karys, vadovavosi TSRS įstatymais, TSRS ginkluotųjų pajėgų vidaus tarnybos, TSRS ginkluotųjų pajėgų įgulos tarnybos</w:t>
      </w:r>
      <w:r w:rsidR="007F031E" w:rsidRPr="00A81196">
        <w:t xml:space="preserve"> ir sargybų</w:t>
      </w:r>
      <w:r w:rsidRPr="00A81196">
        <w:t xml:space="preserve">, TSRS ginkluotųjų pajėgų drausmės statutais ir vykdė jam duotus įsakymus. Byloje esantis dalinio vadovo nuteistojo </w:t>
      </w:r>
      <w:r w:rsidR="004069BF" w:rsidRPr="00A81196">
        <w:t>N. A.</w:t>
      </w:r>
      <w:r w:rsidRPr="00A81196">
        <w:t xml:space="preserve"> įsakymas rodo, kad </w:t>
      </w:r>
      <w:r w:rsidR="00A97F74" w:rsidRPr="00A81196">
        <w:t>D. F.</w:t>
      </w:r>
      <w:r w:rsidRPr="00A81196">
        <w:t xml:space="preserve"> neturėjo pasirinkimo laisvės vykdant įsakymą, o už jo nevykdymą jam grėsė itin griežta atsakomybė. Nors nuosprendžio 870 lape konstatuota, kad įsakymo įvykdymas negali </w:t>
      </w:r>
      <w:r w:rsidRPr="00A81196">
        <w:lastRenderedPageBreak/>
        <w:t>būti vertinamas kaip aplinkybė</w:t>
      </w:r>
      <w:r w:rsidR="00A10CB9" w:rsidRPr="00A81196">
        <w:t>,</w:t>
      </w:r>
      <w:r w:rsidRPr="00A81196">
        <w:t xml:space="preserve"> šalinanti atsakomybę dėl padaryto nusikaltimo žmoniškumui, toks teiginys </w:t>
      </w:r>
      <w:r w:rsidR="00D64F26" w:rsidRPr="00A81196">
        <w:t xml:space="preserve">prieštarauja BK 33 straipsnio 1 ir </w:t>
      </w:r>
      <w:r w:rsidRPr="00A81196">
        <w:t>2 dalių nuostatoms. Gynėjas teigia, kad</w:t>
      </w:r>
      <w:r w:rsidR="006B63CE" w:rsidRPr="00A81196">
        <w:t>,</w:t>
      </w:r>
      <w:r w:rsidRPr="00A81196">
        <w:t xml:space="preserve"> sprendžiant iš nuteistajam duoto įsakymo turinio, jis nežinojo ir negalėjo žinoti, jog įsakymas neteisėtas. Dėl šios priežasties, vadovaujantis tarptautinės teisės normomis, tokio įsakymo vykdymas atleidžia nuteistąjį nuo atsakomybės. </w:t>
      </w:r>
      <w:r w:rsidR="00A97F74" w:rsidRPr="00A81196">
        <w:t>D. F.</w:t>
      </w:r>
      <w:r w:rsidRPr="00A81196">
        <w:t xml:space="preserve"> buvo duotas įsakymas užtikrinti priėjimą prie LRT pastato. Kitaip tariant, įsakymas nebuvo susijęs su civilių žudymu, jų sveikatos sutrikdymu, kankinimu bei užpuldinėjimu ir todėl nebuvo akivaizdžiai neteisėtas. Gynėjo teigimu, apygardos teismas nepaneigė tokio įsakymo buvimo fakto, todėl laikytina, jog kai kurie kariai patys savavališkai ėmė naudoti kovinius šovinius. Tokiu atveju visi kariai negali būti laikomi bendrininkais. Operacijos metu </w:t>
      </w:r>
      <w:r w:rsidR="00A97F74" w:rsidRPr="00A81196">
        <w:t>D. F.</w:t>
      </w:r>
      <w:r w:rsidRPr="00A81196">
        <w:t xml:space="preserve"> niekam jokių įsakymų nedavė ir jam pavaldžių asmenų kartu su juo nebuvo, todėl jis yra atsakingas tik už konkrečius savo veiksmus ir jų sukelt</w:t>
      </w:r>
      <w:r w:rsidR="00A10CB9" w:rsidRPr="00A81196">
        <w:t>us padarinius</w:t>
      </w:r>
      <w:r w:rsidRPr="00A81196">
        <w:t xml:space="preserve">. Jis neatsakingas už nužudymus, kitų objektų užgrobimą, nes nedalyvavo nei susitarimuose dėl operacijos pobūdžio, nei pačiuose įvykiuose prie šių objektų. </w:t>
      </w:r>
    </w:p>
    <w:p w:rsidR="00E307D8" w:rsidRPr="00C00255" w:rsidRDefault="00E307D8" w:rsidP="00321748">
      <w:pPr>
        <w:pStyle w:val="ListParagraph"/>
        <w:numPr>
          <w:ilvl w:val="1"/>
          <w:numId w:val="6"/>
        </w:numPr>
        <w:spacing w:before="120" w:after="120"/>
        <w:ind w:left="992" w:hanging="992"/>
        <w:contextualSpacing w:val="0"/>
        <w:rPr>
          <w:szCs w:val="24"/>
        </w:rPr>
      </w:pPr>
      <w:r w:rsidRPr="00A81196">
        <w:t>Nuteistojo gynėjas neigia savo ginamojo kaltę analizuodamas atskirų jam inkriminuotų nusikaltimų sudėties požymius bei nurodo, kad pastarasis turi būti išteisintas dėl visų jam pareikštų kaltinimų</w:t>
      </w:r>
      <w:r w:rsidRPr="00C00255">
        <w:t xml:space="preserve">. </w:t>
      </w:r>
    </w:p>
    <w:p w:rsidR="00E307D8" w:rsidRPr="00C00255" w:rsidRDefault="00E307D8" w:rsidP="00321748">
      <w:pPr>
        <w:pStyle w:val="ListParagraph"/>
        <w:numPr>
          <w:ilvl w:val="2"/>
          <w:numId w:val="6"/>
        </w:numPr>
        <w:tabs>
          <w:tab w:val="left" w:pos="284"/>
        </w:tabs>
        <w:spacing w:before="120" w:after="120"/>
        <w:ind w:left="992" w:hanging="992"/>
        <w:contextualSpacing w:val="0"/>
      </w:pPr>
      <w:r w:rsidRPr="00A81196">
        <w:t>Dėl BK 100 ir 101 straipsnių</w:t>
      </w:r>
      <w:r w:rsidR="00A10CB9" w:rsidRPr="00A81196">
        <w:t xml:space="preserve">, </w:t>
      </w:r>
      <w:r w:rsidRPr="00A81196">
        <w:t>nes neįrodyti neteisėti veiksmai ir priežastinis ryšys tarp jų ir kilusių nusikalstamų pa</w:t>
      </w:r>
      <w:r w:rsidR="00A10CB9" w:rsidRPr="00A81196">
        <w:t>darinių</w:t>
      </w:r>
      <w:r w:rsidRPr="00A81196">
        <w:t xml:space="preserve">. </w:t>
      </w:r>
      <w:r w:rsidR="00A97F74" w:rsidRPr="00A81196">
        <w:t>D. F.</w:t>
      </w:r>
      <w:r w:rsidRPr="00A81196">
        <w:t xml:space="preserve"> neužpuolė civilių ir nėra duomenų, jog dėl jo veiksmų būtų sunkiai sutrikdyta sveikata nors vienam humanitarinės teisės saugomam asmeniui</w:t>
      </w:r>
      <w:r w:rsidR="00A10CB9" w:rsidRPr="00A81196">
        <w:t xml:space="preserve"> ar toks asmuo būtų žuvęs</w:t>
      </w:r>
      <w:r w:rsidRPr="00A81196">
        <w:t xml:space="preserve">. Apelianto teigimu, valstybinis kaltintojas baigiamojoje kalboje taip pat nenurodė, kokiais konkrečiai </w:t>
      </w:r>
      <w:r w:rsidR="00A97F74" w:rsidRPr="00A81196">
        <w:t>D. F.</w:t>
      </w:r>
      <w:r w:rsidRPr="00A81196">
        <w:t xml:space="preserve"> veiksmais buvo kas </w:t>
      </w:r>
      <w:r w:rsidR="00A10CB9" w:rsidRPr="00A81196">
        <w:t xml:space="preserve">nors </w:t>
      </w:r>
      <w:r w:rsidRPr="00A81196">
        <w:t xml:space="preserve">nužudytas ar kam </w:t>
      </w:r>
      <w:r w:rsidR="00A10CB9" w:rsidRPr="00A81196">
        <w:t xml:space="preserve">nors </w:t>
      </w:r>
      <w:r w:rsidRPr="00A81196">
        <w:t xml:space="preserve">sunkiai sutrikdyta sveikata. </w:t>
      </w:r>
      <w:bookmarkStart w:id="156" w:name="_Hlk35504325"/>
      <w:r w:rsidRPr="00A81196">
        <w:t xml:space="preserve">Iš </w:t>
      </w:r>
      <w:r w:rsidR="00F11D25" w:rsidRPr="00A81196">
        <w:t>byloje esančio papulkinink</w:t>
      </w:r>
      <w:r w:rsidR="005F5803" w:rsidRPr="00A81196">
        <w:t>i</w:t>
      </w:r>
      <w:r w:rsidR="00F11D25" w:rsidRPr="00A81196">
        <w:t>o S</w:t>
      </w:r>
      <w:r w:rsidR="000F5BFE" w:rsidRPr="00A81196">
        <w:t>.</w:t>
      </w:r>
      <w:r w:rsidRPr="00A81196">
        <w:t xml:space="preserve"> rašto (vertimas</w:t>
      </w:r>
      <w:r w:rsidR="00A10CB9" w:rsidRPr="00A81196">
        <w:t>,</w:t>
      </w:r>
      <w:r w:rsidRPr="00A81196">
        <w:t> t. 440,</w:t>
      </w:r>
      <w:r w:rsidR="00A10CB9" w:rsidRPr="00A81196">
        <w:t xml:space="preserve"> </w:t>
      </w:r>
      <w:r w:rsidRPr="00A81196">
        <w:t>b.</w:t>
      </w:r>
      <w:r w:rsidR="00A10CB9" w:rsidRPr="00A81196">
        <w:t> </w:t>
      </w:r>
      <w:r w:rsidRPr="00A81196">
        <w:t>l. 26) matyti, kad jokių sprogstamųjų užtaisų, lėm</w:t>
      </w:r>
      <w:r w:rsidR="006B63CE" w:rsidRPr="00A81196">
        <w:t>usių</w:t>
      </w:r>
      <w:r w:rsidRPr="00A81196">
        <w:t xml:space="preserve"> </w:t>
      </w:r>
      <w:r w:rsidR="004E4879" w:rsidRPr="00A81196">
        <w:t>A. K.</w:t>
      </w:r>
      <w:r w:rsidRPr="00A81196">
        <w:t xml:space="preserve"> mirtį prie LRT pastato, nuteistasis nenaudojo ir naudoti negalėjo, nes tokių užtaisų tankų dalinyje nebuvo. </w:t>
      </w:r>
      <w:bookmarkEnd w:id="156"/>
      <w:r w:rsidRPr="00A81196">
        <w:t>Be to, asmenys, kurie gynė LRT pastatą ir TV bokštą,</w:t>
      </w:r>
      <w:r w:rsidR="00BB560E" w:rsidRPr="00A81196">
        <w:t xml:space="preserve"> nėra nukentėjus</w:t>
      </w:r>
      <w:r w:rsidR="006B63CE" w:rsidRPr="00A81196">
        <w:t>ieji</w:t>
      </w:r>
      <w:r w:rsidR="00BB560E" w:rsidRPr="00A81196">
        <w:t xml:space="preserve"> BK 100</w:t>
      </w:r>
      <w:r w:rsidR="00A34D0A" w:rsidRPr="00A81196">
        <w:t xml:space="preserve"> ir </w:t>
      </w:r>
      <w:r w:rsidRPr="00A81196">
        <w:t xml:space="preserve">101 straipsnių prasme. Tarptautinė humanitarinė teisė negina civilių, kurie naudojami kaip gyvasis skydas. Apelianto teigimu, tarptautinėje teisėje minėtų nusikaltimų subjektais pripažįstami tik valstybių vadovai bei politiniai lyderiai, turintys įgaliojimus vykdyti ar remti valstybės arba organizacijos politiką. Todėl </w:t>
      </w:r>
      <w:r w:rsidR="00A97F74" w:rsidRPr="00A81196">
        <w:t>D. F.</w:t>
      </w:r>
      <w:r w:rsidRPr="00A81196">
        <w:t>, žemiausios grandies karinink</w:t>
      </w:r>
      <w:r w:rsidR="00A34D0A" w:rsidRPr="00A81196">
        <w:t xml:space="preserve">as, negali būti laikomas BK 100 ir </w:t>
      </w:r>
      <w:r w:rsidRPr="00A81196">
        <w:t>101 straipsniuose numatytų nusikaltimų subjektu</w:t>
      </w:r>
      <w:r w:rsidRPr="00C00255">
        <w:t xml:space="preserve">. </w:t>
      </w:r>
    </w:p>
    <w:p w:rsidR="00E307D8" w:rsidRPr="00C00255" w:rsidRDefault="00E307D8" w:rsidP="00321748">
      <w:pPr>
        <w:pStyle w:val="ListParagraph"/>
        <w:numPr>
          <w:ilvl w:val="2"/>
          <w:numId w:val="6"/>
        </w:numPr>
        <w:tabs>
          <w:tab w:val="left" w:pos="284"/>
        </w:tabs>
        <w:spacing w:before="120" w:after="120"/>
        <w:ind w:left="992" w:hanging="992"/>
        <w:contextualSpacing w:val="0"/>
      </w:pPr>
      <w:r w:rsidRPr="00A81196">
        <w:t xml:space="preserve">Dėl BK 103 straipsnio </w:t>
      </w:r>
      <w:r w:rsidR="00A97F74" w:rsidRPr="00A81196">
        <w:t>D. F.</w:t>
      </w:r>
      <w:r w:rsidRPr="00A81196">
        <w:t xml:space="preserve"> turi būti išteisintas, nes prie LRT pastatų civilių nekankino, nežmoniškai su jais nesielgė, nesukėlė </w:t>
      </w:r>
      <w:r w:rsidR="009210EE" w:rsidRPr="00A81196">
        <w:t xml:space="preserve">jiems </w:t>
      </w:r>
      <w:r w:rsidRPr="00A81196">
        <w:t xml:space="preserve">sunkių sužalojimų, neatliko jokių teroro ir bauginimo veiksmų. Dėl </w:t>
      </w:r>
      <w:r w:rsidR="00A97F74" w:rsidRPr="00A81196">
        <w:t>D. F.</w:t>
      </w:r>
      <w:r w:rsidRPr="00A81196">
        <w:t xml:space="preserve"> tanko šūvių niekas nežuvo ir sunkūs sveikatos sužalojimai nebuvo padaryti. Nėra neginčijamų įrodymų, kad būtent </w:t>
      </w:r>
      <w:r w:rsidR="00A97F74" w:rsidRPr="00A81196">
        <w:t>D. F.</w:t>
      </w:r>
      <w:r w:rsidRPr="00A81196">
        <w:t xml:space="preserve"> šūviai būtų sukėlę nežymius ir nesunkius nukentėjusiųjų sužalojimus, nes įvykiuose dalyvavo 3 tankai ir visi jie galimai šaudė tuščiais užtaisais. Tanką vairavo </w:t>
      </w:r>
      <w:r w:rsidR="004E4879" w:rsidRPr="00A81196">
        <w:t>A. R.</w:t>
      </w:r>
      <w:r w:rsidRPr="00A81196">
        <w:t xml:space="preserve">, kuris ir tegalėjo atlikti kaltinime nurodytą pavojingą manevravimą tanku, tačiau jis nėra traukiamas atsakomybėn ir </w:t>
      </w:r>
      <w:r w:rsidR="00582E22" w:rsidRPr="00A81196">
        <w:t>teismo nelaikomas bendrininku</w:t>
      </w:r>
      <w:r w:rsidR="00582E22" w:rsidRPr="00C00255">
        <w:t xml:space="preserve">. </w:t>
      </w:r>
    </w:p>
    <w:p w:rsidR="00E307D8" w:rsidRPr="00C00255" w:rsidRDefault="00E307D8" w:rsidP="00321748">
      <w:pPr>
        <w:pStyle w:val="ListParagraph"/>
        <w:numPr>
          <w:ilvl w:val="2"/>
          <w:numId w:val="6"/>
        </w:numPr>
        <w:tabs>
          <w:tab w:val="left" w:pos="284"/>
        </w:tabs>
        <w:spacing w:before="120" w:after="120"/>
        <w:ind w:left="992" w:hanging="992"/>
        <w:contextualSpacing w:val="0"/>
      </w:pPr>
      <w:r w:rsidRPr="00A81196">
        <w:t xml:space="preserve">Dėl BK 111 straipsnio </w:t>
      </w:r>
      <w:r w:rsidR="00A97F74" w:rsidRPr="00A81196">
        <w:t>D. F.</w:t>
      </w:r>
      <w:r w:rsidRPr="00A81196">
        <w:t xml:space="preserve"> turi būti išteisintas, nes jo veiksmai negali būti laikomi draudžiama karo ataka. 1991 m. sausio 9 d. buvo suformuota užduotis perimti statinio</w:t>
      </w:r>
      <w:r w:rsidR="009210EE" w:rsidRPr="00A81196">
        <w:t>, esančio</w:t>
      </w:r>
      <w:r w:rsidRPr="00A81196">
        <w:t xml:space="preserve"> Konarskio g.</w:t>
      </w:r>
      <w:r w:rsidR="009210EE" w:rsidRPr="00A81196">
        <w:t>,</w:t>
      </w:r>
      <w:r w:rsidRPr="00A81196">
        <w:t xml:space="preserve"> apsaugą, nebuvo nurodymo kovoti su civiliais, juos žaloti, žudyti – įsakyta ginklus naudoti tik kilus pavojui. Jėga buvo panaudota ir veiksmai nukreipti ne tiesiogiai prieš civilius, tačiau kaip atsakas į jų tyčinius veiksmus trukdant kariams prieiti prie pastato ir jį užimti. Gynėjo vertinimu, </w:t>
      </w:r>
      <w:r w:rsidR="00A97F74" w:rsidRPr="00A81196">
        <w:t>D. F.</w:t>
      </w:r>
      <w:r w:rsidRPr="00A81196">
        <w:t xml:space="preserve"> veikoje nėra ir subjektyviosios nusikaltimo pusės požymių. </w:t>
      </w:r>
      <w:r w:rsidR="00A97F74" w:rsidRPr="00A81196">
        <w:t>D. F.</w:t>
      </w:r>
      <w:r w:rsidRPr="00A81196">
        <w:t xml:space="preserve"> vykdė įsakymą, o kadangi tiek jis, tiek tankas buvo ginkluoti tuščiais šoviniais, savo veiksmų jis nesuvokė kaip karo atakos ir manė, jog veikė teisėtai</w:t>
      </w:r>
      <w:r w:rsidRPr="00C00255">
        <w:t xml:space="preserve">. </w:t>
      </w:r>
    </w:p>
    <w:p w:rsidR="00E307D8" w:rsidRPr="00C00255" w:rsidRDefault="00E307D8" w:rsidP="00321748">
      <w:pPr>
        <w:pStyle w:val="ListParagraph"/>
        <w:numPr>
          <w:ilvl w:val="2"/>
          <w:numId w:val="6"/>
        </w:numPr>
        <w:tabs>
          <w:tab w:val="left" w:pos="284"/>
        </w:tabs>
        <w:spacing w:before="120" w:after="120"/>
        <w:ind w:left="992" w:hanging="992"/>
        <w:contextualSpacing w:val="0"/>
      </w:pPr>
      <w:r w:rsidRPr="00A81196">
        <w:lastRenderedPageBreak/>
        <w:t xml:space="preserve">Dėl BK 112 straipsnio </w:t>
      </w:r>
      <w:r w:rsidR="00A97F74" w:rsidRPr="00A81196">
        <w:t>D. F.</w:t>
      </w:r>
      <w:r w:rsidRPr="00A81196">
        <w:t xml:space="preserve"> išteisintinas, nes nenaudojo uždraustų karo priemonių ir kariavimo būdų bei pats jokių įsakymų ir nurodymų dėl to nedavė. Jis disponavo tik Makarovo tipo pistoletu, tačiau jo nepanaudojo. Byloje nėra duomenų, kad </w:t>
      </w:r>
      <w:r w:rsidR="00A97F74" w:rsidRPr="00A81196">
        <w:t>D. F.</w:t>
      </w:r>
      <w:r w:rsidRPr="00A81196">
        <w:t xml:space="preserve"> būtų turėjęs ar panaudojęs kitą ginklą</w:t>
      </w:r>
      <w:r w:rsidRPr="00C00255">
        <w:t>.</w:t>
      </w:r>
      <w:r w:rsidR="008434B8" w:rsidRPr="00C00255">
        <w:t xml:space="preserve"> </w:t>
      </w:r>
    </w:p>
    <w:p w:rsidR="00E307D8" w:rsidRPr="00C00255" w:rsidRDefault="00E307D8" w:rsidP="00321748">
      <w:pPr>
        <w:pStyle w:val="ListParagraph"/>
        <w:numPr>
          <w:ilvl w:val="1"/>
          <w:numId w:val="6"/>
        </w:numPr>
        <w:spacing w:before="120" w:after="120"/>
        <w:ind w:left="992" w:hanging="992"/>
        <w:contextualSpacing w:val="0"/>
        <w:rPr>
          <w:szCs w:val="24"/>
        </w:rPr>
      </w:pPr>
      <w:r w:rsidRPr="00A81196">
        <w:t xml:space="preserve">Anot nuteistojo gynėjo, skundžiamu nuosprendžiu buvo pažeistas asmenų lygybės prieš įstatymą principas. Vilniaus apygardos teismas 1999 m. rugpjūčio 23 d. nuosprendžiu baudžiamojoje byloje Nr. 1-2-1999 pripažino </w:t>
      </w:r>
      <w:r w:rsidR="00C507EF" w:rsidRPr="00A81196">
        <w:t>M. B.</w:t>
      </w:r>
      <w:r w:rsidRPr="00A81196">
        <w:t xml:space="preserve"> ir kitus asmenis kaltais dėl tyčinio nužudymo sunkinančiomis aplinkybėmis, tyčinio sunkaus, apysunkio, lengvo kūno sužalojimų</w:t>
      </w:r>
      <w:r w:rsidR="009210EE" w:rsidRPr="00A81196">
        <w:t>,</w:t>
      </w:r>
      <w:r w:rsidRPr="00A81196">
        <w:t xml:space="preserve"> padarytų tų pačių 1991 m. sausio mėn. įvykių metu. </w:t>
      </w:r>
      <w:r w:rsidR="00A97F74" w:rsidRPr="00A81196">
        <w:t>D. F.</w:t>
      </w:r>
      <w:r w:rsidRPr="00A81196">
        <w:t xml:space="preserve"> dėl dalyvavimo tuose pačiuose įvyki</w:t>
      </w:r>
      <w:r w:rsidR="00582E22" w:rsidRPr="00A81196">
        <w:t>uose pripažintas kaltu pagal BK </w:t>
      </w:r>
      <w:r w:rsidRPr="00A81196">
        <w:t xml:space="preserve">normas, </w:t>
      </w:r>
      <w:r w:rsidR="009210EE" w:rsidRPr="00A81196">
        <w:t xml:space="preserve">kuriomis </w:t>
      </w:r>
      <w:r w:rsidRPr="00A81196">
        <w:t>numat</w:t>
      </w:r>
      <w:r w:rsidR="009210EE" w:rsidRPr="00A81196">
        <w:t>oma</w:t>
      </w:r>
      <w:r w:rsidRPr="00A81196">
        <w:t xml:space="preserve"> griežtesn</w:t>
      </w:r>
      <w:r w:rsidR="009210EE" w:rsidRPr="00A81196">
        <w:t>ė</w:t>
      </w:r>
      <w:r w:rsidRPr="00A81196">
        <w:t xml:space="preserve"> atsakomyb</w:t>
      </w:r>
      <w:r w:rsidR="009210EE" w:rsidRPr="00A81196">
        <w:t>ė</w:t>
      </w:r>
      <w:r w:rsidRPr="00A81196">
        <w:t xml:space="preserve"> ir kurioms netaikomas senaties terminas, t.</w:t>
      </w:r>
      <w:r w:rsidR="009210EE" w:rsidRPr="00A81196">
        <w:t> </w:t>
      </w:r>
      <w:r w:rsidRPr="00A81196">
        <w:t xml:space="preserve">y. už karo nusikaltimus. Nors karo nusikaltimai į </w:t>
      </w:r>
      <w:r w:rsidR="00C96771" w:rsidRPr="00A81196">
        <w:t xml:space="preserve">1961 m. </w:t>
      </w:r>
      <w:r w:rsidRPr="00A81196">
        <w:t xml:space="preserve">BK buvo </w:t>
      </w:r>
      <w:r w:rsidR="00582E22" w:rsidRPr="00A81196">
        <w:t>įtraukti dar 1998 m. </w:t>
      </w:r>
      <w:r w:rsidR="00C96771" w:rsidRPr="00A81196">
        <w:t>birželio 9 </w:t>
      </w:r>
      <w:r w:rsidRPr="00A81196">
        <w:t xml:space="preserve">d., šiuos pakeitimus priėmus, </w:t>
      </w:r>
      <w:r w:rsidR="00C507EF" w:rsidRPr="00A81196">
        <w:t>M. B.</w:t>
      </w:r>
      <w:r w:rsidRPr="00A81196">
        <w:t xml:space="preserve"> ir kitų asmenų veikos nebuvo perkvalifikuotos pagal šias normas. Gynėjo įsitikinimu, tai nebuvo padaryta, nes tiek prokurorams, tiek teisėjams buvo akivaizdu, kad karo nusikaltimai nepadaryti. Apelianto vertinimu, </w:t>
      </w:r>
      <w:r w:rsidR="00A97F74" w:rsidRPr="00A81196">
        <w:t>D. F.</w:t>
      </w:r>
      <w:r w:rsidRPr="00A81196">
        <w:t xml:space="preserve"> veikos kvalifikavimas vėliau pakito tik dėl to, kad ją kvalifikavus kaip </w:t>
      </w:r>
      <w:r w:rsidR="00C507EF" w:rsidRPr="00A81196">
        <w:t>M. B.</w:t>
      </w:r>
      <w:r w:rsidRPr="00A81196">
        <w:t xml:space="preserve"> ir kitų</w:t>
      </w:r>
      <w:r w:rsidR="009210EE" w:rsidRPr="00A81196">
        <w:t xml:space="preserve"> asmenų</w:t>
      </w:r>
      <w:r w:rsidRPr="00A81196">
        <w:t xml:space="preserve">, jau būtų suėję patraukimo baudžiamojon atsakomybėn senaties terminai ir jo atžvilgiu byla nutraukta. Tokia </w:t>
      </w:r>
      <w:r w:rsidR="00A97F74" w:rsidRPr="00A81196">
        <w:t>D. F.</w:t>
      </w:r>
      <w:r w:rsidRPr="00A81196">
        <w:t xml:space="preserve"> veikų kvalifikacija nulemia akivaizdžiai sunkesnę jo teisinę padėtį nei nuteistųjų byloje Nr. 1-2-1999. Tai laikytina esminiu BPK pažeidimu ir nuosprendis naikintinas</w:t>
      </w:r>
      <w:r w:rsidRPr="00C00255">
        <w:t>.</w:t>
      </w:r>
      <w:r w:rsidR="008434B8" w:rsidRPr="00C00255">
        <w:t xml:space="preserve"> </w:t>
      </w:r>
    </w:p>
    <w:p w:rsidR="00E307D8" w:rsidRPr="00C00255" w:rsidRDefault="00E307D8" w:rsidP="00321748">
      <w:pPr>
        <w:pStyle w:val="ListParagraph"/>
        <w:numPr>
          <w:ilvl w:val="1"/>
          <w:numId w:val="6"/>
        </w:numPr>
        <w:spacing w:before="120" w:after="120"/>
        <w:ind w:left="992" w:hanging="992"/>
        <w:contextualSpacing w:val="0"/>
        <w:rPr>
          <w:szCs w:val="24"/>
        </w:rPr>
      </w:pPr>
      <w:r w:rsidRPr="00A81196">
        <w:t>Apeliant</w:t>
      </w:r>
      <w:r w:rsidR="009210EE" w:rsidRPr="00A81196">
        <w:t>as</w:t>
      </w:r>
      <w:r w:rsidRPr="00A81196">
        <w:t xml:space="preserve"> teigia, kad nagrinėjant bylą nebuvo nustatyti nuteistojo anketiniai duomenys, todėl </w:t>
      </w:r>
      <w:r w:rsidR="00A97F74" w:rsidRPr="00A81196">
        <w:t>D. F.</w:t>
      </w:r>
      <w:r w:rsidRPr="00A81196">
        <w:t xml:space="preserve"> nebuvo tinkamai informuotas apie vykstantį baudžiamąjį procesą ir byla negalėjo būti nagrinėjama jam nedalyvaujant. Gynėjo įsitikinimu, iš byloje esančių duomenų negalima daryti išvados, kad </w:t>
      </w:r>
      <w:r w:rsidR="00A97F74" w:rsidRPr="00A81196">
        <w:t>D. F.</w:t>
      </w:r>
      <w:r w:rsidRPr="00A81196">
        <w:t xml:space="preserve"> yra </w:t>
      </w:r>
      <w:r w:rsidR="000F5BFE" w:rsidRPr="00A81196">
        <w:t>(duomenys neskelbtini)</w:t>
      </w:r>
      <w:r w:rsidRPr="00A81196">
        <w:t xml:space="preserve"> pilietis ir gyvena šioje valstybėje, todėl procesinių dokumentų siuntimas į </w:t>
      </w:r>
      <w:r w:rsidR="000F5BFE" w:rsidRPr="00A81196">
        <w:t>(duomenys neskelbtini)</w:t>
      </w:r>
      <w:r w:rsidRPr="00A81196">
        <w:t xml:space="preserve">, siekiant įteikti juos </w:t>
      </w:r>
      <w:r w:rsidR="00A97F74" w:rsidRPr="00A81196">
        <w:t>D. F.</w:t>
      </w:r>
      <w:r w:rsidRPr="00A81196">
        <w:t xml:space="preserve">, nebuvo galimas. Gynėjo įsitikinimu, </w:t>
      </w:r>
      <w:r w:rsidR="00A97F74" w:rsidRPr="00A81196">
        <w:t>D. F.</w:t>
      </w:r>
      <w:r w:rsidRPr="00A81196">
        <w:t xml:space="preserve"> nežinojo apie jo atžvilgiu vykdomą baudžiamąjį procesą, todėl byla išnagrinėta pažeidžiant BPK 246 straipsnio nuostatas</w:t>
      </w:r>
      <w:r w:rsidRPr="00C00255">
        <w:t xml:space="preserve">. </w:t>
      </w:r>
    </w:p>
    <w:p w:rsidR="00E307D8" w:rsidRPr="00C00255" w:rsidRDefault="00E307D8" w:rsidP="00321748">
      <w:pPr>
        <w:pStyle w:val="ListParagraph"/>
        <w:numPr>
          <w:ilvl w:val="1"/>
          <w:numId w:val="6"/>
        </w:numPr>
        <w:spacing w:before="120" w:after="120"/>
        <w:ind w:left="992" w:hanging="992"/>
        <w:contextualSpacing w:val="0"/>
        <w:rPr>
          <w:szCs w:val="24"/>
        </w:rPr>
      </w:pPr>
      <w:r w:rsidRPr="00A81196">
        <w:t>Byloje buvo pažeista nuteistojo teisė į gynybą, nes kaltinamasis aktas neatitiko BPK 219 straipsnyje numatytų reikalavimų. Gynėjo teigimu, sprendžiant baudžiamosios atsakomybės klausimą</w:t>
      </w:r>
      <w:r w:rsidR="00DE4FB0" w:rsidRPr="00A81196">
        <w:t>,</w:t>
      </w:r>
      <w:r w:rsidRPr="00A81196">
        <w:t xml:space="preserve"> svarbu </w:t>
      </w:r>
      <w:r w:rsidR="006D2C21" w:rsidRPr="00A81196">
        <w:t>nustatyti</w:t>
      </w:r>
      <w:r w:rsidR="003162FB" w:rsidRPr="00A81196">
        <w:t xml:space="preserve"> kiekvieno </w:t>
      </w:r>
      <w:r w:rsidR="009210EE" w:rsidRPr="00A81196">
        <w:t xml:space="preserve">iš </w:t>
      </w:r>
      <w:r w:rsidR="003162FB" w:rsidRPr="00A81196">
        <w:t>bendrininkų</w:t>
      </w:r>
      <w:r w:rsidRPr="00A81196">
        <w:t xml:space="preserve"> atliktus veiksmus, jų vaidmenį darant nusikaltimus bei atliktų veiksmų pobūdį. Iš kaltinamojo akto neaišku, kuo pasireiškė kaltinamojo </w:t>
      </w:r>
      <w:r w:rsidR="00A97F74" w:rsidRPr="00A81196">
        <w:t>D. F.</w:t>
      </w:r>
      <w:r w:rsidRPr="00A81196">
        <w:t xml:space="preserve"> veiksmai. Kaltinamajame akt</w:t>
      </w:r>
      <w:r w:rsidR="000F5BFE" w:rsidRPr="00A81196">
        <w:t>e nurodoma, kad tankai iššovė 7 </w:t>
      </w:r>
      <w:r w:rsidRPr="00A81196">
        <w:t>kartus, pavojingai manevruodami važinėjo po užimamo objekto teritoriją, šalino civilių minią, išlaužė LRT juosiančią tvoros dalį, važinėjo ir šaudė išmušamaisiais užtaisais. Visgi visus šiuos veiksmus atliko žmonės, o ne šarvuotoji technika, tačiau neįvardijama, kurie asmenys tai atliko. Anot apelianto, pirmosios instancijos teismas prokurorui pavedė įvard</w:t>
      </w:r>
      <w:r w:rsidR="009210EE" w:rsidRPr="00A81196">
        <w:t>y</w:t>
      </w:r>
      <w:r w:rsidRPr="00A81196">
        <w:t xml:space="preserve">ti konkrečius duomenis, kurie įrodo </w:t>
      </w:r>
      <w:r w:rsidR="00A97F74" w:rsidRPr="00A81196">
        <w:t>D. F.</w:t>
      </w:r>
      <w:r w:rsidRPr="00A81196">
        <w:t xml:space="preserve"> ir kitų nuteistųjų kaltę, tačiau nurodymas nebuvo įvykdytas. Nors </w:t>
      </w:r>
      <w:r w:rsidR="004E4879" w:rsidRPr="00A81196">
        <w:t>A. R.</w:t>
      </w:r>
      <w:r w:rsidRPr="00A81196">
        <w:t xml:space="preserve"> vairavo tanką, jis neįvard</w:t>
      </w:r>
      <w:r w:rsidR="009210EE" w:rsidRPr="00A81196">
        <w:t>y</w:t>
      </w:r>
      <w:r w:rsidRPr="00A81196">
        <w:t xml:space="preserve">tas </w:t>
      </w:r>
      <w:r w:rsidR="009210EE" w:rsidRPr="00A81196">
        <w:t xml:space="preserve">kaip </w:t>
      </w:r>
      <w:r w:rsidRPr="00A81196">
        <w:t>bendrinink</w:t>
      </w:r>
      <w:r w:rsidR="009210EE" w:rsidRPr="00A81196">
        <w:t>as</w:t>
      </w:r>
      <w:r w:rsidRPr="00A81196">
        <w:t xml:space="preserve">, skirtingai nei tame pačiame tanke buvęs </w:t>
      </w:r>
      <w:r w:rsidR="00A97F74" w:rsidRPr="00A81196">
        <w:t>D. F.</w:t>
      </w:r>
      <w:r w:rsidRPr="00A81196">
        <w:t>. Apelianto teigimu, tai rodo, kad baudžiamojoje byloje traukiant atsakomybėn asmenis buvo taikomi dvigubi standartai</w:t>
      </w:r>
      <w:r w:rsidRPr="00C00255">
        <w:t xml:space="preserve">. </w:t>
      </w:r>
    </w:p>
    <w:p w:rsidR="00E307D8" w:rsidRPr="00A81196" w:rsidRDefault="00E307D8" w:rsidP="00321748">
      <w:pPr>
        <w:pStyle w:val="ListParagraph"/>
        <w:numPr>
          <w:ilvl w:val="0"/>
          <w:numId w:val="6"/>
        </w:numPr>
        <w:spacing w:before="120" w:after="120"/>
        <w:ind w:left="992" w:hanging="992"/>
        <w:contextualSpacing w:val="0"/>
        <w:rPr>
          <w:szCs w:val="24"/>
        </w:rPr>
      </w:pPr>
      <w:bookmarkStart w:id="157" w:name="_Toc37947880"/>
      <w:bookmarkStart w:id="158" w:name="_Toc67677359"/>
      <w:bookmarkStart w:id="159" w:name="_Toc67985486"/>
      <w:r w:rsidRPr="00D43DF2">
        <w:rPr>
          <w:b/>
        </w:rPr>
        <w:t xml:space="preserve">Nuteistojo </w:t>
      </w:r>
      <w:r w:rsidR="00BA18FA" w:rsidRPr="00D43DF2">
        <w:rPr>
          <w:b/>
        </w:rPr>
        <w:t>J. M.</w:t>
      </w:r>
      <w:r w:rsidRPr="00D43DF2">
        <w:rPr>
          <w:b/>
        </w:rPr>
        <w:t xml:space="preserve"> gynėja</w:t>
      </w:r>
      <w:bookmarkEnd w:id="157"/>
      <w:bookmarkEnd w:id="158"/>
      <w:bookmarkEnd w:id="159"/>
      <w:r w:rsidRPr="00D43DF2">
        <w:rPr>
          <w:b/>
        </w:rPr>
        <w:t xml:space="preserve"> advokatė G. Kardanovskaja</w:t>
      </w:r>
      <w:r w:rsidRPr="00C00255">
        <w:rPr>
          <w:szCs w:val="24"/>
          <w:lang w:eastAsia="lt-LT"/>
        </w:rPr>
        <w:t xml:space="preserve"> </w:t>
      </w:r>
      <w:r w:rsidRPr="00A81196">
        <w:rPr>
          <w:szCs w:val="24"/>
          <w:lang w:eastAsia="lt-LT"/>
        </w:rPr>
        <w:t xml:space="preserve">apeliaciniu skundu </w:t>
      </w:r>
      <w:r w:rsidRPr="00A81196">
        <w:t xml:space="preserve">prašo </w:t>
      </w:r>
      <w:r w:rsidR="003162FB" w:rsidRPr="00A81196">
        <w:t xml:space="preserve">panaikinti </w:t>
      </w:r>
      <w:r w:rsidRPr="00A81196">
        <w:t>pirmosios instancijos teismo nuosprendį ir baudžiamąją bylą nutraukti, suėjus apkaltinamojo nuosprendžio priėmimo senaties terminui. Palikus galioti apkaltinamąjį nuosprendį, prašoma ginamajam skirti mažesnę bausmę.</w:t>
      </w:r>
    </w:p>
    <w:p w:rsidR="00E307D8" w:rsidRPr="00C00255" w:rsidRDefault="00E307D8" w:rsidP="00321748">
      <w:pPr>
        <w:pStyle w:val="ListParagraph"/>
        <w:numPr>
          <w:ilvl w:val="1"/>
          <w:numId w:val="6"/>
        </w:numPr>
        <w:spacing w:after="120"/>
        <w:ind w:left="992" w:hanging="992"/>
        <w:contextualSpacing w:val="0"/>
      </w:pPr>
      <w:r w:rsidRPr="00A81196">
        <w:t xml:space="preserve">Apeliaciniame skunde teigiama, kad apygardos teismas apkaltinamąjį nuosprendį grindė tik selektyviai atrinktais, kaltinimo pusę palaikančiais įrodymais ir neįvertino įrodymų visumos, nepašalino esminių prieštaravimų ir abejonių dėl reikšmingų bylos aplinkybių. Teismas neobjektyviai įvertino kariškių, kurie buvo tiesioginiai liudytojai, parodymus, neatsižvelgė į </w:t>
      </w:r>
      <w:r w:rsidRPr="00A81196">
        <w:lastRenderedPageBreak/>
        <w:t xml:space="preserve">duomenis apie galimai į kariškius šaudžiusius kitus asmenis, į liudytojų, teigusių, kad operacijoje dalyvavo ir kiti subjektai (pvz., </w:t>
      </w:r>
      <w:r w:rsidR="00056CFA" w:rsidRPr="00A81196">
        <w:t>OMON</w:t>
      </w:r>
      <w:r w:rsidR="00974E0B" w:rsidRPr="00A81196">
        <w:t xml:space="preserve"> pareigūnai</w:t>
      </w:r>
      <w:r w:rsidRPr="00A81196">
        <w:t>), parodym</w:t>
      </w:r>
      <w:r w:rsidR="00056CFA" w:rsidRPr="00A81196">
        <w:t>us, nepri</w:t>
      </w:r>
      <w:r w:rsidR="009210EE" w:rsidRPr="00A81196">
        <w:t>dėjo</w:t>
      </w:r>
      <w:r w:rsidR="00056CFA" w:rsidRPr="00A81196">
        <w:t xml:space="preserve"> prie bylos A. </w:t>
      </w:r>
      <w:r w:rsidRPr="00A81196">
        <w:t>P</w:t>
      </w:r>
      <w:r w:rsidR="000F5BFE" w:rsidRPr="00A81196">
        <w:t>.</w:t>
      </w:r>
      <w:r w:rsidRPr="00A81196">
        <w:t xml:space="preserve"> byloje apklaustų liudytojų parodymų</w:t>
      </w:r>
      <w:r w:rsidRPr="00C00255">
        <w:t>.</w:t>
      </w:r>
    </w:p>
    <w:p w:rsidR="00E307D8" w:rsidRPr="00C00255" w:rsidRDefault="00E307D8" w:rsidP="00321748">
      <w:pPr>
        <w:pStyle w:val="ListParagraph"/>
        <w:numPr>
          <w:ilvl w:val="1"/>
          <w:numId w:val="6"/>
        </w:numPr>
        <w:spacing w:after="120"/>
        <w:ind w:left="992" w:hanging="992"/>
        <w:contextualSpacing w:val="0"/>
      </w:pPr>
      <w:r w:rsidRPr="00A81196">
        <w:rPr>
          <w:szCs w:val="24"/>
        </w:rPr>
        <w:t xml:space="preserve">Gynėjos teigimu, </w:t>
      </w:r>
      <w:r w:rsidR="00BA18FA" w:rsidRPr="00A81196">
        <w:rPr>
          <w:szCs w:val="24"/>
        </w:rPr>
        <w:t>J. M.</w:t>
      </w:r>
      <w:r w:rsidRPr="00A81196">
        <w:rPr>
          <w:szCs w:val="24"/>
        </w:rPr>
        <w:t xml:space="preserve"> veiksmai nepagrįstai kvalifiku</w:t>
      </w:r>
      <w:r w:rsidR="000F5BFE" w:rsidRPr="00A81196">
        <w:rPr>
          <w:szCs w:val="24"/>
        </w:rPr>
        <w:t>oti pagal jam inkriminuotus BK </w:t>
      </w:r>
      <w:r w:rsidRPr="00A81196">
        <w:rPr>
          <w:szCs w:val="24"/>
        </w:rPr>
        <w:t xml:space="preserve">straipsnius. Teismas nenustatė konkrečių </w:t>
      </w:r>
      <w:r w:rsidR="00BA18FA" w:rsidRPr="00A81196">
        <w:rPr>
          <w:szCs w:val="24"/>
        </w:rPr>
        <w:t>J. M.</w:t>
      </w:r>
      <w:r w:rsidRPr="00A81196">
        <w:rPr>
          <w:szCs w:val="24"/>
        </w:rPr>
        <w:t xml:space="preserve"> veiksmų dėl kiekvieno iš nusikaltimų ir nenurodė, kas konkrečiai nukentėjo būtent nuo jo atliktų veiksmų. Inkriminuoti nusikaltimai yra skirtingi pagal padarymo laiką, aplinką, aplinkybes, </w:t>
      </w:r>
      <w:r w:rsidR="00A2339A" w:rsidRPr="00A81196">
        <w:rPr>
          <w:szCs w:val="24"/>
        </w:rPr>
        <w:t xml:space="preserve">taip pat </w:t>
      </w:r>
      <w:r w:rsidRPr="00A81196">
        <w:rPr>
          <w:szCs w:val="24"/>
        </w:rPr>
        <w:t>skirting</w:t>
      </w:r>
      <w:r w:rsidR="00A2339A" w:rsidRPr="00A81196">
        <w:rPr>
          <w:szCs w:val="24"/>
        </w:rPr>
        <w:t>os įstatymo saugomos</w:t>
      </w:r>
      <w:r w:rsidRPr="00A81196">
        <w:rPr>
          <w:szCs w:val="24"/>
        </w:rPr>
        <w:t xml:space="preserve"> vertybės, o teismas dėl neaiškių priežasčių visus juos kvalifikavo kaip padarytus idealiąja sutaptimi</w:t>
      </w:r>
      <w:r w:rsidRPr="00C00255">
        <w:rPr>
          <w:szCs w:val="24"/>
        </w:rPr>
        <w:t xml:space="preserve">. </w:t>
      </w:r>
    </w:p>
    <w:p w:rsidR="00E307D8" w:rsidRPr="00C00255" w:rsidRDefault="00E307D8" w:rsidP="00321748">
      <w:pPr>
        <w:pStyle w:val="ListParagraph"/>
        <w:numPr>
          <w:ilvl w:val="1"/>
          <w:numId w:val="6"/>
        </w:numPr>
        <w:spacing w:after="120"/>
        <w:ind w:left="992" w:hanging="992"/>
        <w:contextualSpacing w:val="0"/>
      </w:pPr>
      <w:r w:rsidRPr="00A81196">
        <w:t xml:space="preserve">Apeliaciniame skunde atskirai keliamos abejonės dėl veiksmų kvalifikavimo kartu pagal BK 100, 101 ir 103 straipsnius kaip padarytų idealiąja sutaptimi. Minėti straipsniai BK buvo įtvirtinti tik 2011 m. ir iki šiol nei teismų praktikoje, nei doktrinoje nėra aiškiai apibrėžtos esminės šių nusikalstamų veikų sąvokos, pavyzdžiui, „ginkluotas konfliktas“, „tarptautinis nusikaltimas“. Skunde, remiantis </w:t>
      </w:r>
      <w:r w:rsidRPr="00A81196">
        <w:rPr>
          <w:color w:val="000000"/>
          <w:lang w:eastAsia="lt-LT" w:bidi="lt-LT"/>
        </w:rPr>
        <w:t xml:space="preserve">1996 m. </w:t>
      </w:r>
      <w:r w:rsidR="0042306C" w:rsidRPr="00A81196">
        <w:rPr>
          <w:color w:val="000000"/>
          <w:lang w:eastAsia="lt-LT" w:bidi="lt-LT"/>
        </w:rPr>
        <w:t>JT</w:t>
      </w:r>
      <w:r w:rsidRPr="00A81196">
        <w:rPr>
          <w:color w:val="000000"/>
          <w:lang w:eastAsia="lt-LT" w:bidi="lt-LT"/>
        </w:rPr>
        <w:t xml:space="preserve"> Tarptautinės teisės komisijos Straipsnių dėl valstybių atsakomybės projekto 19 straipsniu, V. Vadapalo vadovėlyje „Tarptautinė teisė“ pateikta informacija, teigiama, kad tik tarptautinė institucija (Saugumo Taryba, Generalin</w:t>
      </w:r>
      <w:r w:rsidR="00BC1034" w:rsidRPr="00A81196">
        <w:rPr>
          <w:color w:val="000000"/>
          <w:lang w:eastAsia="lt-LT" w:bidi="lt-LT"/>
        </w:rPr>
        <w:t>ė </w:t>
      </w:r>
      <w:r w:rsidRPr="00A81196">
        <w:rPr>
          <w:color w:val="000000"/>
          <w:lang w:eastAsia="lt-LT" w:bidi="lt-LT"/>
        </w:rPr>
        <w:t>Asamblėja, Tarptautinis Teisingumo Teismas) gali konstatuoti, jog tam tikras nusikaltimas yra tarptautinis. Lietuva dėl 1991 m. sausio mėnesio į</w:t>
      </w:r>
      <w:r w:rsidR="00E52EE3" w:rsidRPr="00A81196">
        <w:rPr>
          <w:color w:val="000000"/>
          <w:lang w:eastAsia="lt-LT" w:bidi="lt-LT"/>
        </w:rPr>
        <w:t xml:space="preserve">vykių nesikreipė į </w:t>
      </w:r>
      <w:r w:rsidR="0042306C" w:rsidRPr="00A81196">
        <w:rPr>
          <w:color w:val="000000"/>
          <w:lang w:eastAsia="lt-LT" w:bidi="lt-LT"/>
        </w:rPr>
        <w:t>TBT</w:t>
      </w:r>
      <w:r w:rsidRPr="00A81196">
        <w:rPr>
          <w:color w:val="000000"/>
          <w:lang w:eastAsia="lt-LT" w:bidi="lt-LT"/>
        </w:rPr>
        <w:t>, bet pati ėmėsi spręsti klausimą dėl tarptautinės humanitarinės teisės normų taikymo.</w:t>
      </w:r>
      <w:r w:rsidRPr="00A81196">
        <w:rPr>
          <w:color w:val="000000"/>
          <w:lang w:bidi="lt-LT"/>
        </w:rPr>
        <w:t xml:space="preserve"> </w:t>
      </w:r>
      <w:r w:rsidRPr="00A81196">
        <w:rPr>
          <w:color w:val="000000"/>
          <w:lang w:eastAsia="lt-LT" w:bidi="lt-LT"/>
        </w:rPr>
        <w:t>Iki šiol nėra vien</w:t>
      </w:r>
      <w:r w:rsidR="004F0E77" w:rsidRPr="00A81196">
        <w:rPr>
          <w:color w:val="000000"/>
          <w:lang w:eastAsia="lt-LT" w:bidi="lt-LT"/>
        </w:rPr>
        <w:t>os</w:t>
      </w:r>
      <w:r w:rsidRPr="00A81196">
        <w:rPr>
          <w:color w:val="000000"/>
          <w:lang w:eastAsia="lt-LT" w:bidi="lt-LT"/>
        </w:rPr>
        <w:t xml:space="preserve"> mokslinės ar teisinės</w:t>
      </w:r>
      <w:r w:rsidR="008434B8" w:rsidRPr="00A81196">
        <w:rPr>
          <w:color w:val="000000"/>
          <w:lang w:eastAsia="lt-LT" w:bidi="lt-LT"/>
        </w:rPr>
        <w:t xml:space="preserve"> </w:t>
      </w:r>
      <w:r w:rsidRPr="00A81196">
        <w:rPr>
          <w:color w:val="000000"/>
          <w:lang w:eastAsia="lt-LT" w:bidi="lt-LT"/>
        </w:rPr>
        <w:t>nuomonės, kas Li</w:t>
      </w:r>
      <w:r w:rsidR="00AA4EFE" w:rsidRPr="00A81196">
        <w:rPr>
          <w:color w:val="000000"/>
          <w:lang w:eastAsia="lt-LT" w:bidi="lt-LT"/>
        </w:rPr>
        <w:t>etuvoje įvyko 1991 m. sausio 11–</w:t>
      </w:r>
      <w:r w:rsidRPr="00A81196">
        <w:rPr>
          <w:color w:val="000000"/>
          <w:lang w:eastAsia="lt-LT" w:bidi="lt-LT"/>
        </w:rPr>
        <w:t xml:space="preserve">13 dienomis – tarptautinis konfliktas, karas, ginkluotas konfliktas, agresija, okupacija ar aneksija. Skunde abejojama, ar teismas yra kompetentingas atsakyti į šį klausimą, kadangi nuosprendyje pati teisėjų kolegija </w:t>
      </w:r>
      <w:r w:rsidR="004F0E77" w:rsidRPr="00A81196">
        <w:rPr>
          <w:color w:val="000000"/>
          <w:lang w:eastAsia="lt-LT" w:bidi="lt-LT"/>
        </w:rPr>
        <w:t>vartoja</w:t>
      </w:r>
      <w:r w:rsidRPr="00A81196">
        <w:rPr>
          <w:color w:val="000000"/>
          <w:lang w:eastAsia="lt-LT" w:bidi="lt-LT"/>
        </w:rPr>
        <w:t xml:space="preserve"> skirtingus terminus – tęstinė okupacija, aneksija, agresija, karo ataka. Tai rodo, kad ir </w:t>
      </w:r>
      <w:r w:rsidR="00BA18FA" w:rsidRPr="00A81196">
        <w:rPr>
          <w:color w:val="000000"/>
          <w:lang w:eastAsia="lt-LT" w:bidi="lt-LT"/>
        </w:rPr>
        <w:t>J. M.</w:t>
      </w:r>
      <w:r w:rsidRPr="00A81196">
        <w:rPr>
          <w:color w:val="000000"/>
          <w:lang w:eastAsia="lt-LT" w:bidi="lt-LT"/>
        </w:rPr>
        <w:t xml:space="preserve"> turėjo ribotas galimybes tiksliai suvokti įvykių esmę ir numatyti, jog karinė operacija,</w:t>
      </w:r>
      <w:r w:rsidR="00974E0B" w:rsidRPr="00A81196">
        <w:rPr>
          <w:color w:val="000000"/>
          <w:lang w:eastAsia="lt-LT" w:bidi="lt-LT"/>
        </w:rPr>
        <w:t xml:space="preserve"> susijusi su pastato apsauga</w:t>
      </w:r>
      <w:r w:rsidRPr="00A81196">
        <w:rPr>
          <w:color w:val="000000"/>
          <w:lang w:eastAsia="lt-LT" w:bidi="lt-LT"/>
        </w:rPr>
        <w:t>, ateityje bus vertinama kaip nusikaltimai žmoniškumui ir karo nusikaltimai</w:t>
      </w:r>
      <w:r w:rsidRPr="00C00255">
        <w:rPr>
          <w:color w:val="000000"/>
          <w:lang w:eastAsia="lt-LT" w:bidi="lt-LT"/>
        </w:rPr>
        <w:t xml:space="preserve">. </w:t>
      </w:r>
    </w:p>
    <w:p w:rsidR="00E307D8" w:rsidRPr="00C00255" w:rsidRDefault="00E307D8" w:rsidP="00321748">
      <w:pPr>
        <w:pStyle w:val="ListParagraph"/>
        <w:numPr>
          <w:ilvl w:val="1"/>
          <w:numId w:val="6"/>
        </w:numPr>
        <w:spacing w:after="120"/>
        <w:ind w:left="992" w:hanging="992"/>
        <w:contextualSpacing w:val="0"/>
      </w:pPr>
      <w:r w:rsidRPr="00A81196">
        <w:rPr>
          <w:color w:val="000000"/>
          <w:szCs w:val="24"/>
          <w:lang w:eastAsia="lt-LT" w:bidi="lt-LT"/>
        </w:rPr>
        <w:t xml:space="preserve">Anot gynėjos, </w:t>
      </w:r>
      <w:r w:rsidR="00BA18FA" w:rsidRPr="00A81196">
        <w:rPr>
          <w:color w:val="000000"/>
          <w:szCs w:val="24"/>
          <w:lang w:eastAsia="lt-LT" w:bidi="lt-LT"/>
        </w:rPr>
        <w:t>J. M.</w:t>
      </w:r>
      <w:r w:rsidRPr="00A81196">
        <w:rPr>
          <w:color w:val="000000"/>
          <w:szCs w:val="24"/>
          <w:lang w:eastAsia="lt-LT" w:bidi="lt-LT"/>
        </w:rPr>
        <w:t xml:space="preserve"> veiksmai turėjo būti kvalifikuoti lygiai taip pat kaip ir kitų bendrininkų (</w:t>
      </w:r>
      <w:r w:rsidR="00C507EF" w:rsidRPr="00A81196">
        <w:rPr>
          <w:color w:val="000000"/>
          <w:szCs w:val="24"/>
          <w:lang w:eastAsia="lt-LT" w:bidi="lt-LT"/>
        </w:rPr>
        <w:t>M. B.</w:t>
      </w:r>
      <w:r w:rsidRPr="00A81196">
        <w:rPr>
          <w:color w:val="000000"/>
          <w:szCs w:val="24"/>
          <w:lang w:eastAsia="lt-LT" w:bidi="lt-LT"/>
        </w:rPr>
        <w:t xml:space="preserve"> ir kt.) veiksmai ankstesnėje byloje, t.</w:t>
      </w:r>
      <w:r w:rsidR="004F0E77" w:rsidRPr="00A81196">
        <w:rPr>
          <w:color w:val="000000"/>
          <w:szCs w:val="24"/>
          <w:lang w:eastAsia="lt-LT" w:bidi="lt-LT"/>
        </w:rPr>
        <w:t> </w:t>
      </w:r>
      <w:r w:rsidRPr="00A81196">
        <w:rPr>
          <w:color w:val="000000"/>
          <w:szCs w:val="24"/>
          <w:lang w:eastAsia="lt-LT" w:bidi="lt-LT"/>
        </w:rPr>
        <w:t>y. pagal 1961 m. BK norm</w:t>
      </w:r>
      <w:r w:rsidR="00AA4EFE" w:rsidRPr="00A81196">
        <w:rPr>
          <w:color w:val="000000"/>
          <w:szCs w:val="24"/>
          <w:lang w:eastAsia="lt-LT" w:bidi="lt-LT"/>
        </w:rPr>
        <w:t>as. Skunde pabrėžiama, kad 1999–</w:t>
      </w:r>
      <w:r w:rsidRPr="00A81196">
        <w:rPr>
          <w:color w:val="000000"/>
          <w:szCs w:val="24"/>
          <w:lang w:eastAsia="lt-LT" w:bidi="lt-LT"/>
        </w:rPr>
        <w:t>200</w:t>
      </w:r>
      <w:r w:rsidR="00D64F26" w:rsidRPr="00A81196">
        <w:rPr>
          <w:color w:val="000000"/>
          <w:szCs w:val="24"/>
          <w:lang w:eastAsia="lt-LT" w:bidi="lt-LT"/>
        </w:rPr>
        <w:t>1 m. įsiteisėję sprendimai dėl 1991 m. s</w:t>
      </w:r>
      <w:r w:rsidRPr="00A81196">
        <w:rPr>
          <w:color w:val="000000"/>
          <w:szCs w:val="24"/>
          <w:lang w:eastAsia="lt-LT" w:bidi="lt-LT"/>
        </w:rPr>
        <w:t xml:space="preserve">ausio 13-osios įvykių turi įrodomąją, prejudicinę ir privalomąją </w:t>
      </w:r>
      <w:r w:rsidRPr="00A81196">
        <w:rPr>
          <w:i/>
        </w:rPr>
        <w:t>r</w:t>
      </w:r>
      <w:r w:rsidR="00E46DE6" w:rsidRPr="00A81196">
        <w:rPr>
          <w:i/>
        </w:rPr>
        <w:t>es i</w:t>
      </w:r>
      <w:r w:rsidRPr="00A81196">
        <w:rPr>
          <w:i/>
        </w:rPr>
        <w:t>udicata</w:t>
      </w:r>
      <w:r w:rsidR="00E46DE6" w:rsidRPr="00A81196">
        <w:rPr>
          <w:i/>
        </w:rPr>
        <w:t xml:space="preserve"> </w:t>
      </w:r>
      <w:r w:rsidR="00E46DE6" w:rsidRPr="00A81196">
        <w:t>(galutinio sprendimo)</w:t>
      </w:r>
      <w:r w:rsidRPr="00A81196">
        <w:t xml:space="preserve"> galią, o tai reiškia, kad baudžiamoji byla jau buvo išspręsta galutinai ir negrįžtamai. LAT 2013 m. sausio 22 d. nutartimi </w:t>
      </w:r>
      <w:r w:rsidR="00671CA0" w:rsidRPr="00A81196">
        <w:t xml:space="preserve">baudžiamojoje </w:t>
      </w:r>
      <w:r w:rsidRPr="00A81196">
        <w:t>byloje Nr. 2K-7-102/2013 (kaltinamasis A. P</w:t>
      </w:r>
      <w:r w:rsidR="000F5BFE" w:rsidRPr="00A81196">
        <w:t>.</w:t>
      </w:r>
      <w:r w:rsidRPr="00A81196">
        <w:t>) taip pat konstatavo, kad „&lt;...&gt; neturi būti iš naujo aiškinamasi, kas vyko 1991</w:t>
      </w:r>
      <w:r w:rsidR="0047049F" w:rsidRPr="00A81196">
        <w:t xml:space="preserve"> m. sausio 13 d.</w:t>
      </w:r>
      <w:r w:rsidRPr="00A81196">
        <w:t xml:space="preserve">, nes teismų sprendimais nustatyti </w:t>
      </w:r>
      <w:r w:rsidRPr="00A81196">
        <w:rPr>
          <w:color w:val="000000"/>
          <w:szCs w:val="24"/>
          <w:lang w:eastAsia="lt-LT" w:bidi="lt-LT"/>
        </w:rPr>
        <w:t>ir įstatymais pripažinti faktai kiekvienoje atskiroje byloje iš naujo neturi būti nustatinėjami &lt;...&gt;“.</w:t>
      </w:r>
      <w:r w:rsidRPr="00A81196">
        <w:t xml:space="preserve"> Vien dėl to šiuo metu nagrinėjamoje byloje turėjo būti priimtas išteisinamasis nuosprendis. Be to, skunde pažymima, kad apygardos t</w:t>
      </w:r>
      <w:r w:rsidRPr="00A81196">
        <w:rPr>
          <w:color w:val="000000"/>
          <w:szCs w:val="24"/>
          <w:lang w:eastAsia="lt-LT" w:bidi="lt-LT"/>
        </w:rPr>
        <w:t>eismas n</w:t>
      </w:r>
      <w:r w:rsidRPr="00A81196">
        <w:t>agrinėjamos bylos istorinį ir politinį kontekstą grindė EŽTT 2008 m. vasario 19</w:t>
      </w:r>
      <w:r w:rsidR="004F0E77" w:rsidRPr="00A81196">
        <w:t> </w:t>
      </w:r>
      <w:r w:rsidRPr="00A81196">
        <w:t xml:space="preserve">d. sprendime, priimtame byloje </w:t>
      </w:r>
      <w:r w:rsidRPr="00A81196">
        <w:rPr>
          <w:i/>
        </w:rPr>
        <w:t>Kuolelis,</w:t>
      </w:r>
      <w:r w:rsidR="00BC1034" w:rsidRPr="00A81196">
        <w:rPr>
          <w:i/>
        </w:rPr>
        <w:t> </w:t>
      </w:r>
      <w:r w:rsidRPr="00A81196">
        <w:rPr>
          <w:i/>
        </w:rPr>
        <w:t>Bartoševičius ir Burokevičius prieš Lietuvą</w:t>
      </w:r>
      <w:r w:rsidR="002C298B" w:rsidRPr="00A81196">
        <w:rPr>
          <w:iCs/>
        </w:rPr>
        <w:t>,</w:t>
      </w:r>
      <w:r w:rsidRPr="00A81196">
        <w:rPr>
          <w:iCs/>
        </w:rPr>
        <w:t xml:space="preserve"> </w:t>
      </w:r>
      <w:r w:rsidRPr="00A81196">
        <w:t xml:space="preserve">pateiktu to meto istorinio ir politinio konteksto apibendrinimu, tačiau minėtoje byloje konstatuotą nuteistųjų veikų kvalifikaciją dėl nepaaiškinamų priežasčių atmetė. Anot gynėjos, perkvalifikavus </w:t>
      </w:r>
      <w:r w:rsidR="00BA18FA" w:rsidRPr="00A81196">
        <w:t>J. M.</w:t>
      </w:r>
      <w:r w:rsidRPr="00A81196">
        <w:t xml:space="preserve"> inkriminuotas nusikalstamas veikas, baudžiamasis procesas turi būti nutrauktas, suėjus patraukimo baudžiamojon atsakomybėn senaties terminams</w:t>
      </w:r>
      <w:r w:rsidRPr="00C00255">
        <w:t>.</w:t>
      </w:r>
    </w:p>
    <w:p w:rsidR="00E307D8" w:rsidRPr="00C00255" w:rsidRDefault="00E307D8" w:rsidP="00321748">
      <w:pPr>
        <w:pStyle w:val="ListParagraph"/>
        <w:numPr>
          <w:ilvl w:val="1"/>
          <w:numId w:val="6"/>
        </w:numPr>
        <w:spacing w:after="120"/>
        <w:ind w:left="992" w:hanging="992"/>
        <w:contextualSpacing w:val="0"/>
      </w:pPr>
      <w:r w:rsidRPr="00A81196">
        <w:rPr>
          <w:szCs w:val="24"/>
        </w:rPr>
        <w:t xml:space="preserve">Skunde pažymima, kad pirmosios instancijos teismas, priimdamas apkaltinamąjį nuosprendį, vadovavosi </w:t>
      </w:r>
      <w:r w:rsidR="00EC1D9A" w:rsidRPr="00A81196">
        <w:rPr>
          <w:szCs w:val="24"/>
        </w:rPr>
        <w:t xml:space="preserve">Niurnbergo tribunolo </w:t>
      </w:r>
      <w:r w:rsidRPr="00A81196">
        <w:rPr>
          <w:szCs w:val="24"/>
        </w:rPr>
        <w:t xml:space="preserve">statuto nuostatomis, tačiau teismas neatsižvelgė į tai, kad tarptautinės sutartys baudžiamosios teisės klausimų tiesiogiai nereglamentuoja ir šių teisės aktų nuostatos turi būti perkeltos į nacionalinius baudžiamuosius kodeksus ar specialius įstatymus. Be to, pagal tarptautinių </w:t>
      </w:r>
      <w:r w:rsidRPr="00A81196">
        <w:rPr>
          <w:color w:val="000000"/>
          <w:szCs w:val="24"/>
          <w:lang w:eastAsia="lt-LT" w:bidi="lt-LT"/>
        </w:rPr>
        <w:t>k</w:t>
      </w:r>
      <w:r w:rsidR="0049485C" w:rsidRPr="00A81196">
        <w:rPr>
          <w:color w:val="000000"/>
          <w:szCs w:val="24"/>
          <w:lang w:eastAsia="lt-LT" w:bidi="lt-LT"/>
        </w:rPr>
        <w:t>aro</w:t>
      </w:r>
      <w:r w:rsidRPr="00A81196">
        <w:rPr>
          <w:color w:val="000000"/>
          <w:szCs w:val="24"/>
          <w:lang w:eastAsia="lt-LT" w:bidi="lt-LT"/>
        </w:rPr>
        <w:t xml:space="preserve"> tribunolų doktriną nusikaltimai žmoniškumui yra </w:t>
      </w:r>
      <w:r w:rsidRPr="00A81196">
        <w:rPr>
          <w:color w:val="000000"/>
          <w:szCs w:val="24"/>
          <w:lang w:eastAsia="lt-LT" w:bidi="lt-LT"/>
        </w:rPr>
        <w:lastRenderedPageBreak/>
        <w:t xml:space="preserve">neatsiejami nuo laikotarpio, apibrėžto kaip „prieš karą“ ar „karo metu“. </w:t>
      </w:r>
      <w:r w:rsidRPr="00A81196">
        <w:rPr>
          <w:szCs w:val="24"/>
        </w:rPr>
        <w:t>Taip pat teismas ignoravo faktą, kad Romos statuto nuostatos į Lietuvos tei</w:t>
      </w:r>
      <w:r w:rsidR="00EC1D9A" w:rsidRPr="00A81196">
        <w:rPr>
          <w:szCs w:val="24"/>
        </w:rPr>
        <w:t>sės sistemą buvo perkeltos 1998–</w:t>
      </w:r>
      <w:r w:rsidRPr="00A81196">
        <w:rPr>
          <w:szCs w:val="24"/>
        </w:rPr>
        <w:t>2000</w:t>
      </w:r>
      <w:r w:rsidR="006D2C21" w:rsidRPr="00A81196">
        <w:rPr>
          <w:szCs w:val="24"/>
        </w:rPr>
        <w:t> </w:t>
      </w:r>
      <w:r w:rsidRPr="00A81196">
        <w:rPr>
          <w:szCs w:val="24"/>
        </w:rPr>
        <w:t xml:space="preserve">m. ir negaliojo nagrinėjamų įvykių metu. </w:t>
      </w:r>
      <w:r w:rsidRPr="00A81196">
        <w:rPr>
          <w:color w:val="000000"/>
          <w:szCs w:val="24"/>
          <w:lang w:eastAsia="lt-LT" w:bidi="lt-LT"/>
        </w:rPr>
        <w:t>Iki 1998 m. Romos statuto priėmimo tarptautinėje baudžiamojoje teisėje nebuvo savarankiško</w:t>
      </w:r>
      <w:r w:rsidR="004F0E77" w:rsidRPr="00A81196">
        <w:rPr>
          <w:color w:val="000000"/>
          <w:szCs w:val="24"/>
          <w:lang w:eastAsia="lt-LT" w:bidi="lt-LT"/>
        </w:rPr>
        <w:t>s</w:t>
      </w:r>
      <w:r w:rsidRPr="00A81196">
        <w:rPr>
          <w:color w:val="000000"/>
          <w:szCs w:val="24"/>
          <w:lang w:eastAsia="lt-LT" w:bidi="lt-LT"/>
        </w:rPr>
        <w:t xml:space="preserve"> karo nusikaltimų ir nusikaltimų žmoniškumui </w:t>
      </w:r>
      <w:r w:rsidRPr="00A81196">
        <w:rPr>
          <w:szCs w:val="24"/>
          <w:lang w:eastAsia="lt-LT" w:bidi="lt-LT"/>
        </w:rPr>
        <w:t>apibrėž</w:t>
      </w:r>
      <w:r w:rsidR="004F0E77" w:rsidRPr="00A81196">
        <w:rPr>
          <w:szCs w:val="24"/>
          <w:lang w:eastAsia="lt-LT" w:bidi="lt-LT"/>
        </w:rPr>
        <w:t>ties</w:t>
      </w:r>
      <w:r w:rsidRPr="00A81196">
        <w:rPr>
          <w:szCs w:val="24"/>
        </w:rPr>
        <w:t xml:space="preserve">. Siekiant teisingai kvalifikuoti kaltinamųjų veiksmus, būtina nustatyti, ar nagrinėjamų įvykių metu kaltinamiesiems </w:t>
      </w:r>
      <w:r w:rsidRPr="00A81196">
        <w:rPr>
          <w:color w:val="000000"/>
          <w:szCs w:val="24"/>
          <w:lang w:eastAsia="lt-LT" w:bidi="lt-LT"/>
        </w:rPr>
        <w:t xml:space="preserve">inkriminuoti nusikaltimai buvo pakankamai aiškiai apibrėžti tuo metu galiojusiuose tarptautiniuose aktuose bei Lietuvos įstatymuose ir ar įvykių metu </w:t>
      </w:r>
      <w:r w:rsidR="00BA18FA" w:rsidRPr="00A81196">
        <w:rPr>
          <w:color w:val="000000"/>
          <w:szCs w:val="24"/>
          <w:lang w:eastAsia="lt-LT" w:bidi="lt-LT"/>
        </w:rPr>
        <w:t>J. M.</w:t>
      </w:r>
      <w:r w:rsidRPr="00A81196">
        <w:rPr>
          <w:color w:val="000000"/>
          <w:szCs w:val="24"/>
          <w:lang w:eastAsia="lt-LT" w:bidi="lt-LT"/>
        </w:rPr>
        <w:t xml:space="preserve"> galėjo suprasti, kokio elgesio iš jo yra reikalaujama</w:t>
      </w:r>
      <w:r w:rsidR="00DE4FB0" w:rsidRPr="00A81196">
        <w:rPr>
          <w:color w:val="000000"/>
          <w:szCs w:val="24"/>
          <w:lang w:eastAsia="lt-LT" w:bidi="lt-LT"/>
        </w:rPr>
        <w:t>,</w:t>
      </w:r>
      <w:r w:rsidRPr="00A81196">
        <w:rPr>
          <w:color w:val="000000"/>
          <w:szCs w:val="24"/>
          <w:lang w:eastAsia="lt-LT" w:bidi="lt-LT"/>
        </w:rPr>
        <w:t xml:space="preserve"> bei atitinkamai pakoreguoti savo veiksmus. Kadangi ginamajam inkriminuotos nusikalstamos veikos 1991 m. nebuvo įtvirtintos įstatyme, o Romos statutas priimtas tik 1998 m., </w:t>
      </w:r>
      <w:r w:rsidR="00BA18FA" w:rsidRPr="00A81196">
        <w:rPr>
          <w:color w:val="000000"/>
          <w:szCs w:val="24"/>
          <w:lang w:eastAsia="lt-LT" w:bidi="lt-LT"/>
        </w:rPr>
        <w:t>J. M.</w:t>
      </w:r>
      <w:r w:rsidRPr="00A81196">
        <w:rPr>
          <w:color w:val="000000"/>
          <w:szCs w:val="24"/>
          <w:lang w:eastAsia="lt-LT" w:bidi="lt-LT"/>
        </w:rPr>
        <w:t xml:space="preserve"> turi būti taikomas </w:t>
      </w:r>
      <w:r w:rsidRPr="00A81196">
        <w:rPr>
          <w:i/>
          <w:szCs w:val="24"/>
        </w:rPr>
        <w:t xml:space="preserve">nullum crimen sine lege </w:t>
      </w:r>
      <w:r w:rsidRPr="00A81196">
        <w:rPr>
          <w:szCs w:val="24"/>
        </w:rPr>
        <w:t>principas</w:t>
      </w:r>
      <w:r w:rsidRPr="00C00255">
        <w:rPr>
          <w:szCs w:val="24"/>
        </w:rPr>
        <w:t>.</w:t>
      </w:r>
      <w:r w:rsidRPr="00C00255">
        <w:rPr>
          <w:color w:val="000000"/>
          <w:szCs w:val="24"/>
          <w:lang w:eastAsia="lt-LT" w:bidi="lt-LT"/>
        </w:rPr>
        <w:t xml:space="preserve"> </w:t>
      </w:r>
    </w:p>
    <w:p w:rsidR="00E307D8" w:rsidRPr="00A81196" w:rsidRDefault="00E307D8" w:rsidP="00321748">
      <w:pPr>
        <w:pStyle w:val="ListParagraph"/>
        <w:numPr>
          <w:ilvl w:val="1"/>
          <w:numId w:val="6"/>
        </w:numPr>
        <w:spacing w:after="120"/>
        <w:ind w:left="992" w:hanging="992"/>
        <w:contextualSpacing w:val="0"/>
      </w:pPr>
      <w:r w:rsidRPr="00A81196">
        <w:rPr>
          <w:szCs w:val="24"/>
        </w:rPr>
        <w:t xml:space="preserve">Skunde pažymima, kad apygardos teismas, spręsdamas klausimą dėl veikų kvalifikavimo, nepagrįstai kaip precedentais rėmėsi </w:t>
      </w:r>
      <w:r w:rsidR="0049485C" w:rsidRPr="00A81196">
        <w:rPr>
          <w:color w:val="000000"/>
          <w:szCs w:val="24"/>
          <w:lang w:eastAsia="lt-LT" w:bidi="lt-LT"/>
        </w:rPr>
        <w:t>Jugoslavijos ir</w:t>
      </w:r>
      <w:r w:rsidRPr="00A81196">
        <w:rPr>
          <w:color w:val="000000"/>
          <w:szCs w:val="24"/>
          <w:lang w:eastAsia="lt-LT" w:bidi="lt-LT"/>
        </w:rPr>
        <w:t xml:space="preserve"> Ruandos</w:t>
      </w:r>
      <w:r w:rsidR="0049485C" w:rsidRPr="00A81196">
        <w:rPr>
          <w:color w:val="000000"/>
          <w:szCs w:val="24"/>
          <w:lang w:eastAsia="lt-LT" w:bidi="lt-LT"/>
        </w:rPr>
        <w:t xml:space="preserve"> </w:t>
      </w:r>
      <w:r w:rsidR="0049485C" w:rsidRPr="00A81196">
        <w:t>tarptautinių</w:t>
      </w:r>
      <w:r w:rsidR="0049485C" w:rsidRPr="00A81196">
        <w:rPr>
          <w:color w:val="000000"/>
          <w:szCs w:val="24"/>
          <w:lang w:eastAsia="lt-LT" w:bidi="lt-LT"/>
        </w:rPr>
        <w:t xml:space="preserve"> karo</w:t>
      </w:r>
      <w:r w:rsidRPr="00A81196">
        <w:rPr>
          <w:color w:val="000000"/>
          <w:szCs w:val="24"/>
          <w:lang w:eastAsia="lt-LT" w:bidi="lt-LT"/>
        </w:rPr>
        <w:t xml:space="preserve"> tribunolų išvadomis, EŽTT 2006 </w:t>
      </w:r>
      <w:r w:rsidR="00DE3B19" w:rsidRPr="00A81196">
        <w:rPr>
          <w:color w:val="000000"/>
          <w:szCs w:val="24"/>
          <w:lang w:eastAsia="lt-LT" w:bidi="lt-LT"/>
        </w:rPr>
        <w:t>m. sausio 17 d. sprendimu byloje</w:t>
      </w:r>
      <w:r w:rsidRPr="00A81196">
        <w:rPr>
          <w:color w:val="000000"/>
          <w:szCs w:val="24"/>
          <w:lang w:eastAsia="lt-LT" w:bidi="lt-LT"/>
        </w:rPr>
        <w:t xml:space="preserve"> </w:t>
      </w:r>
      <w:r w:rsidRPr="00A81196">
        <w:rPr>
          <w:i/>
          <w:color w:val="000000"/>
          <w:szCs w:val="24"/>
          <w:lang w:eastAsia="lt-LT" w:bidi="lt-LT"/>
        </w:rPr>
        <w:t>Kolk ir Kislyjy prieš Estiją</w:t>
      </w:r>
      <w:r w:rsidR="00DE3B19" w:rsidRPr="00A81196">
        <w:rPr>
          <w:color w:val="000000"/>
          <w:szCs w:val="24"/>
          <w:lang w:eastAsia="lt-LT" w:bidi="lt-LT"/>
        </w:rPr>
        <w:t xml:space="preserve"> ir </w:t>
      </w:r>
      <w:r w:rsidR="0049485C" w:rsidRPr="00A81196">
        <w:rPr>
          <w:color w:val="000000"/>
          <w:szCs w:val="24"/>
          <w:lang w:eastAsia="lt-LT" w:bidi="lt-LT"/>
        </w:rPr>
        <w:t>2010 m. </w:t>
      </w:r>
      <w:r w:rsidRPr="00A81196">
        <w:rPr>
          <w:color w:val="000000"/>
          <w:szCs w:val="24"/>
          <w:lang w:eastAsia="lt-LT" w:bidi="lt-LT"/>
        </w:rPr>
        <w:t xml:space="preserve">gegužės 17 d. sprendimu byloje </w:t>
      </w:r>
      <w:r w:rsidRPr="00A81196">
        <w:rPr>
          <w:i/>
          <w:color w:val="000000"/>
          <w:szCs w:val="24"/>
          <w:lang w:eastAsia="lt-LT" w:bidi="lt-LT"/>
        </w:rPr>
        <w:t>Kononov prieš Latviją</w:t>
      </w:r>
      <w:r w:rsidRPr="00A81196">
        <w:rPr>
          <w:color w:val="000000"/>
          <w:szCs w:val="24"/>
          <w:lang w:eastAsia="lt-LT" w:bidi="lt-LT"/>
        </w:rPr>
        <w:t>, Konstitucinio Teismo 2004 m. gruodžio </w:t>
      </w:r>
      <w:r w:rsidR="00DE3B19" w:rsidRPr="00A81196">
        <w:rPr>
          <w:color w:val="000000"/>
          <w:szCs w:val="24"/>
          <w:lang w:eastAsia="lt-LT" w:bidi="lt-LT"/>
        </w:rPr>
        <w:t>13 d., 2006 m. sausio 16 </w:t>
      </w:r>
      <w:r w:rsidRPr="00A81196">
        <w:rPr>
          <w:color w:val="000000"/>
          <w:szCs w:val="24"/>
          <w:lang w:eastAsia="lt-LT" w:bidi="lt-LT"/>
        </w:rPr>
        <w:t xml:space="preserve">d., 2014 m. kovo </w:t>
      </w:r>
      <w:r w:rsidR="0049485C" w:rsidRPr="00A81196">
        <w:rPr>
          <w:color w:val="000000"/>
          <w:szCs w:val="24"/>
          <w:lang w:eastAsia="lt-LT" w:bidi="lt-LT"/>
        </w:rPr>
        <w:t xml:space="preserve">18 d. nutarimais bei kitais LAT </w:t>
      </w:r>
      <w:r w:rsidRPr="00A81196">
        <w:rPr>
          <w:color w:val="000000"/>
          <w:szCs w:val="24"/>
          <w:lang w:eastAsia="lt-LT" w:bidi="lt-LT"/>
        </w:rPr>
        <w:t>ir EŽTT sprendimais, nes minėtose bylose nagrinėtos faktinės aplinkybės iš esmės skiriasi nuo nagrinėjamos bylos aplinkybių.</w:t>
      </w:r>
    </w:p>
    <w:p w:rsidR="00E307D8" w:rsidRPr="00A81196" w:rsidRDefault="00E307D8" w:rsidP="00321748">
      <w:pPr>
        <w:pStyle w:val="ListParagraph"/>
        <w:numPr>
          <w:ilvl w:val="1"/>
          <w:numId w:val="6"/>
        </w:numPr>
        <w:spacing w:after="120"/>
        <w:ind w:left="992" w:hanging="992"/>
        <w:contextualSpacing w:val="0"/>
      </w:pPr>
      <w:r w:rsidRPr="00A81196">
        <w:rPr>
          <w:color w:val="000000"/>
          <w:szCs w:val="24"/>
          <w:lang w:eastAsia="lt-LT" w:bidi="lt-LT"/>
        </w:rPr>
        <w:t xml:space="preserve">Apeliaciniame skunde taip pat nurodoma, kad Romos statutas nustatė baudžiamosios atsakomybės galiojimo atgal draudimą („niekas baudžiamąja tvarka neatsako už elgesį iki Statuto įsigaliojimo“). Šią taisyklę iš esmės patvirtino ir Konstitucinis Teismas 2014 m. kovo 18 d. nutarime, todėl BK 3 straipsnio 3 dalis dėl grįžtamosios galios draudimo netaikymo tam tikriems BK straipsniams prieštarauja tarptautinės teisės normoms bei Konstitucijai. </w:t>
      </w:r>
      <w:r w:rsidRPr="00A81196">
        <w:rPr>
          <w:szCs w:val="24"/>
        </w:rPr>
        <w:t xml:space="preserve">Skunde cituojamos nuostatos iš Konstitucinio Teismo </w:t>
      </w:r>
      <w:r w:rsidRPr="00A81196">
        <w:rPr>
          <w:color w:val="000000"/>
          <w:szCs w:val="24"/>
          <w:lang w:eastAsia="lt-LT" w:bidi="lt-LT"/>
        </w:rPr>
        <w:t>2004 m. gruodžio 13 d., 2006 m. sausio 16 d.,</w:t>
      </w:r>
      <w:r w:rsidRPr="00A81196">
        <w:rPr>
          <w:szCs w:val="24"/>
        </w:rPr>
        <w:t xml:space="preserve"> 2013 m. lapkričio 15 d. nutarimų dėl galimumo bausmę skirti tik remiantis įstatymu, dėl būtinumo teisės aktuose aiškiai apibrėžti teisės pažeidimus, už kuriuos nustatoma atsakomybė, taip pat aptariamos </w:t>
      </w:r>
      <w:r w:rsidR="00491A27" w:rsidRPr="00A81196">
        <w:rPr>
          <w:szCs w:val="24"/>
        </w:rPr>
        <w:t>EŽTK</w:t>
      </w:r>
      <w:r w:rsidRPr="00A81196">
        <w:rPr>
          <w:szCs w:val="24"/>
        </w:rPr>
        <w:t xml:space="preserve"> 7 straipsnio nuostatos bei jų aiškinimas EŽTT praktikoje. Apibendrinant minėtą jurisprudenciją, skunde daroma išvada, kad šioje byloje, taika</w:t>
      </w:r>
      <w:r w:rsidR="00EC1D9A" w:rsidRPr="00A81196">
        <w:rPr>
          <w:szCs w:val="24"/>
        </w:rPr>
        <w:t>nt Romos statutą, buvo pažeisti</w:t>
      </w:r>
      <w:r w:rsidRPr="00A81196">
        <w:rPr>
          <w:szCs w:val="24"/>
        </w:rPr>
        <w:t xml:space="preserve"> teisės numatomumo ir prieinamumo bei</w:t>
      </w:r>
      <w:r w:rsidR="00DD2DC5" w:rsidRPr="00A81196">
        <w:rPr>
          <w:i/>
          <w:szCs w:val="24"/>
        </w:rPr>
        <w:t xml:space="preserve"> nullum </w:t>
      </w:r>
      <w:r w:rsidRPr="00A81196">
        <w:rPr>
          <w:i/>
          <w:szCs w:val="24"/>
        </w:rPr>
        <w:t>crimen sine lege</w:t>
      </w:r>
      <w:r w:rsidR="0012467A" w:rsidRPr="00A81196">
        <w:rPr>
          <w:szCs w:val="24"/>
        </w:rPr>
        <w:t xml:space="preserve"> principai, Romos </w:t>
      </w:r>
      <w:r w:rsidRPr="00A81196">
        <w:rPr>
          <w:szCs w:val="24"/>
        </w:rPr>
        <w:t xml:space="preserve">statuto 22 ir 24 straipsniai bei </w:t>
      </w:r>
      <w:r w:rsidR="00491A27" w:rsidRPr="00A81196">
        <w:rPr>
          <w:szCs w:val="24"/>
        </w:rPr>
        <w:t>EŽTK</w:t>
      </w:r>
      <w:r w:rsidRPr="00A81196">
        <w:rPr>
          <w:szCs w:val="24"/>
        </w:rPr>
        <w:t xml:space="preserve"> 7</w:t>
      </w:r>
      <w:r w:rsidR="006D2C21" w:rsidRPr="00A81196">
        <w:rPr>
          <w:szCs w:val="24"/>
        </w:rPr>
        <w:t> </w:t>
      </w:r>
      <w:r w:rsidRPr="00A81196">
        <w:rPr>
          <w:szCs w:val="24"/>
        </w:rPr>
        <w:t>straipsnis.</w:t>
      </w:r>
      <w:r w:rsidR="008434B8" w:rsidRPr="00A81196">
        <w:rPr>
          <w:szCs w:val="24"/>
        </w:rPr>
        <w:t xml:space="preserve"> </w:t>
      </w:r>
    </w:p>
    <w:p w:rsidR="00E307D8" w:rsidRPr="00A81196" w:rsidRDefault="00E307D8" w:rsidP="00321748">
      <w:pPr>
        <w:pStyle w:val="ListParagraph"/>
        <w:numPr>
          <w:ilvl w:val="1"/>
          <w:numId w:val="6"/>
        </w:numPr>
        <w:spacing w:after="120"/>
        <w:ind w:left="992" w:hanging="992"/>
        <w:contextualSpacing w:val="0"/>
      </w:pPr>
      <w:r w:rsidRPr="00A81196">
        <w:rPr>
          <w:szCs w:val="24"/>
        </w:rPr>
        <w:t>Gynėjos teigimu, teismas padarė esminį BPK pažeidimą, atsisak</w:t>
      </w:r>
      <w:r w:rsidR="00DE3B19" w:rsidRPr="00A81196">
        <w:rPr>
          <w:szCs w:val="24"/>
        </w:rPr>
        <w:t>ydamas kreiptis į Konstitucinį </w:t>
      </w:r>
      <w:r w:rsidRPr="00A81196">
        <w:rPr>
          <w:szCs w:val="24"/>
        </w:rPr>
        <w:t xml:space="preserve">Teismą </w:t>
      </w:r>
      <w:r w:rsidRPr="00A81196">
        <w:rPr>
          <w:color w:val="000000"/>
          <w:lang w:eastAsia="lt-LT" w:bidi="lt-LT"/>
        </w:rPr>
        <w:t xml:space="preserve">su prašymu ištirti, ar BK 3 straipsnio 3 dalis </w:t>
      </w:r>
      <w:r w:rsidRPr="00A81196">
        <w:rPr>
          <w:rStyle w:val="Bodytext2Italic"/>
          <w:rFonts w:eastAsiaTheme="majorEastAsia"/>
          <w:i w:val="0"/>
        </w:rPr>
        <w:t>(2011 m. kovo 22</w:t>
      </w:r>
      <w:r w:rsidR="006D2C21" w:rsidRPr="00A81196">
        <w:rPr>
          <w:rStyle w:val="Bodytext2Italic"/>
          <w:rFonts w:eastAsiaTheme="majorEastAsia"/>
          <w:i w:val="0"/>
        </w:rPr>
        <w:t> </w:t>
      </w:r>
      <w:r w:rsidRPr="00A81196">
        <w:rPr>
          <w:rStyle w:val="Bodytext2Italic"/>
          <w:rFonts w:eastAsiaTheme="majorEastAsia"/>
          <w:i w:val="0"/>
        </w:rPr>
        <w:t>d. redakcija; Žinios, 2011, Nr. 38-1805</w:t>
      </w:r>
      <w:r w:rsidRPr="00A81196">
        <w:rPr>
          <w:color w:val="000000"/>
          <w:szCs w:val="24"/>
          <w:lang w:eastAsia="lt-LT" w:bidi="lt-LT"/>
        </w:rPr>
        <w:t>)</w:t>
      </w:r>
      <w:r w:rsidRPr="00A81196">
        <w:rPr>
          <w:color w:val="000000"/>
          <w:lang w:eastAsia="lt-LT" w:bidi="lt-LT"/>
        </w:rPr>
        <w:t xml:space="preserve"> tiek, kiek joje nustaty</w:t>
      </w:r>
      <w:r w:rsidR="00E52EE3" w:rsidRPr="00A81196">
        <w:rPr>
          <w:color w:val="000000"/>
          <w:lang w:eastAsia="lt-LT" w:bidi="lt-LT"/>
        </w:rPr>
        <w:t>tas reguliavimas, pagal kurį BK </w:t>
      </w:r>
      <w:r w:rsidRPr="00A81196">
        <w:rPr>
          <w:color w:val="000000"/>
          <w:lang w:eastAsia="lt-LT" w:bidi="lt-LT"/>
        </w:rPr>
        <w:t>100, 101, 102, 103, 110, 111, 112 straipsniams nustatyta išimtis iš taisyklės, kad veikų nusikalstamumą nustatantis, griežtinantis bausmę arba kitaip sunkinantis nusikalstamą veiką padariusio asmens teisinę padėtį baudžiamasis įstatymas neturi grįžtamosios galios, neprieštarauja 2003 m. rugpjūčio 1 d. įsigaliojus</w:t>
      </w:r>
      <w:r w:rsidR="0012467A" w:rsidRPr="00A81196">
        <w:rPr>
          <w:color w:val="000000"/>
          <w:lang w:eastAsia="lt-LT" w:bidi="lt-LT"/>
        </w:rPr>
        <w:t>io</w:t>
      </w:r>
      <w:r w:rsidRPr="00A81196">
        <w:rPr>
          <w:color w:val="000000"/>
          <w:lang w:eastAsia="lt-LT" w:bidi="lt-LT"/>
        </w:rPr>
        <w:t xml:space="preserve"> Romos sta</w:t>
      </w:r>
      <w:r w:rsidR="00974E0B" w:rsidRPr="00A81196">
        <w:rPr>
          <w:color w:val="000000"/>
          <w:lang w:eastAsia="lt-LT" w:bidi="lt-LT"/>
        </w:rPr>
        <w:t xml:space="preserve">tuto </w:t>
      </w:r>
      <w:r w:rsidRPr="00A81196">
        <w:rPr>
          <w:color w:val="000000"/>
          <w:lang w:eastAsia="lt-LT" w:bidi="lt-LT"/>
        </w:rPr>
        <w:t xml:space="preserve">principams ir nuostatoms bei </w:t>
      </w:r>
      <w:r w:rsidR="0012467A" w:rsidRPr="00A81196">
        <w:rPr>
          <w:color w:val="000000"/>
          <w:lang w:eastAsia="lt-LT" w:bidi="lt-LT"/>
        </w:rPr>
        <w:t>Konstitucijos 31 </w:t>
      </w:r>
      <w:r w:rsidRPr="00A81196">
        <w:rPr>
          <w:color w:val="000000"/>
          <w:lang w:eastAsia="lt-LT" w:bidi="lt-LT"/>
        </w:rPr>
        <w:t>straipsnio 4 dalies, 135 straipsnio 1 dalies ir 1</w:t>
      </w:r>
      <w:r w:rsidR="00DE3B19" w:rsidRPr="00A81196">
        <w:rPr>
          <w:color w:val="000000"/>
          <w:szCs w:val="24"/>
          <w:lang w:eastAsia="lt-LT" w:bidi="lt-LT"/>
        </w:rPr>
        <w:t>38 </w:t>
      </w:r>
      <w:r w:rsidRPr="00A81196">
        <w:rPr>
          <w:color w:val="000000"/>
          <w:szCs w:val="24"/>
          <w:lang w:eastAsia="lt-LT" w:bidi="lt-LT"/>
        </w:rPr>
        <w:t>straipsnio 3 dalies nuostatoms. Apeliaciniu skundu prašoma iš dalies atnaujinti įrodymų tyrimą ir su minėtu prašymu kreiptis į Konstitucinį Teismą.</w:t>
      </w:r>
    </w:p>
    <w:p w:rsidR="00E307D8" w:rsidRPr="00A81196" w:rsidRDefault="00E307D8" w:rsidP="00321748">
      <w:pPr>
        <w:pStyle w:val="ListParagraph"/>
        <w:numPr>
          <w:ilvl w:val="1"/>
          <w:numId w:val="6"/>
        </w:numPr>
        <w:spacing w:after="120"/>
        <w:ind w:left="992" w:hanging="992"/>
        <w:contextualSpacing w:val="0"/>
      </w:pPr>
      <w:r w:rsidRPr="00A81196">
        <w:rPr>
          <w:color w:val="000000"/>
          <w:szCs w:val="24"/>
          <w:lang w:eastAsia="lt-LT" w:bidi="lt-LT"/>
        </w:rPr>
        <w:t>Greta gynėjos argumentų dėl netinkamos nusikalstamų veikų kvalifikacijos</w:t>
      </w:r>
      <w:r w:rsidR="00B16CFA" w:rsidRPr="00A81196">
        <w:rPr>
          <w:color w:val="000000"/>
          <w:szCs w:val="24"/>
          <w:lang w:eastAsia="lt-LT" w:bidi="lt-LT"/>
        </w:rPr>
        <w:t>,</w:t>
      </w:r>
      <w:r w:rsidRPr="00A81196">
        <w:rPr>
          <w:color w:val="000000"/>
          <w:szCs w:val="24"/>
          <w:lang w:eastAsia="lt-LT" w:bidi="lt-LT"/>
        </w:rPr>
        <w:t xml:space="preserve"> apeliaciniame skunde pasisakoma ir dėl inkriminuotų nusikalstamų veikų sudėties nebuvimo </w:t>
      </w:r>
      <w:r w:rsidR="00BA18FA" w:rsidRPr="00A81196">
        <w:rPr>
          <w:color w:val="000000"/>
          <w:szCs w:val="24"/>
          <w:lang w:eastAsia="lt-LT" w:bidi="lt-LT"/>
        </w:rPr>
        <w:t>J. M.</w:t>
      </w:r>
      <w:r w:rsidRPr="00A81196">
        <w:rPr>
          <w:color w:val="000000"/>
          <w:szCs w:val="24"/>
          <w:lang w:eastAsia="lt-LT" w:bidi="lt-LT"/>
        </w:rPr>
        <w:t xml:space="preserve"> veiksmuose. Apeliaciniame skunde teigiama, kad teismo išvados, jog visi kariškiai turėjo moralinį pasirinkimą vykdyti neteisėtą įsakymą žudyti civilius</w:t>
      </w:r>
      <w:r w:rsidR="00B16CFA" w:rsidRPr="00A81196">
        <w:rPr>
          <w:color w:val="000000"/>
          <w:szCs w:val="24"/>
          <w:lang w:eastAsia="lt-LT" w:bidi="lt-LT"/>
        </w:rPr>
        <w:t xml:space="preserve"> ar jo nevykdyti</w:t>
      </w:r>
      <w:r w:rsidRPr="00A81196">
        <w:rPr>
          <w:color w:val="000000"/>
          <w:szCs w:val="24"/>
          <w:lang w:eastAsia="lt-LT" w:bidi="lt-LT"/>
        </w:rPr>
        <w:t xml:space="preserve">, yra nepagrįstos, nes bylos duomenys nepatvirtina, kad apskritai toks neteisėtas įsakymas buvo </w:t>
      </w:r>
      <w:r w:rsidRPr="00A81196">
        <w:rPr>
          <w:color w:val="000000"/>
          <w:szCs w:val="24"/>
          <w:lang w:eastAsia="lt-LT" w:bidi="lt-LT"/>
        </w:rPr>
        <w:lastRenderedPageBreak/>
        <w:t xml:space="preserve">duotas. </w:t>
      </w:r>
      <w:r w:rsidR="00BA18FA" w:rsidRPr="00A81196">
        <w:rPr>
          <w:color w:val="000000"/>
          <w:szCs w:val="24"/>
          <w:lang w:eastAsia="lt-LT" w:bidi="lt-LT"/>
        </w:rPr>
        <w:t>J. M.</w:t>
      </w:r>
      <w:r w:rsidRPr="00A81196">
        <w:rPr>
          <w:color w:val="000000"/>
          <w:szCs w:val="24"/>
          <w:lang w:eastAsia="lt-LT" w:bidi="lt-LT"/>
        </w:rPr>
        <w:t xml:space="preserve"> buvo duotas įsakymas perimti objektus apsaugai ir toks įsakymas negali būti prilyginamas įsakymui žudyti civilius. </w:t>
      </w:r>
    </w:p>
    <w:p w:rsidR="00E307D8" w:rsidRPr="00A81196" w:rsidRDefault="00E307D8" w:rsidP="00321748">
      <w:pPr>
        <w:pStyle w:val="ListParagraph"/>
        <w:numPr>
          <w:ilvl w:val="1"/>
          <w:numId w:val="6"/>
        </w:numPr>
        <w:spacing w:after="120"/>
        <w:ind w:left="992" w:hanging="992"/>
        <w:contextualSpacing w:val="0"/>
      </w:pPr>
      <w:r w:rsidRPr="00A81196">
        <w:rPr>
          <w:color w:val="000000"/>
          <w:szCs w:val="24"/>
          <w:lang w:eastAsia="lt-LT" w:bidi="lt-LT"/>
        </w:rPr>
        <w:t xml:space="preserve">Gynėjos vertinimu, byloje nepagrįstai buvo konstatuotas ir veikimas bendrininkų grupe, kadangi TSRS kariuomenėje santykiai buvo grindžiami griežto statutinio pavaldumo pagrindu ir </w:t>
      </w:r>
      <w:r w:rsidR="00BA18FA" w:rsidRPr="00A81196">
        <w:rPr>
          <w:color w:val="000000"/>
          <w:szCs w:val="24"/>
          <w:lang w:eastAsia="lt-LT" w:bidi="lt-LT"/>
        </w:rPr>
        <w:t>J. M.</w:t>
      </w:r>
      <w:r w:rsidRPr="00A81196">
        <w:rPr>
          <w:color w:val="000000"/>
          <w:szCs w:val="24"/>
          <w:lang w:eastAsia="lt-LT" w:bidi="lt-LT"/>
        </w:rPr>
        <w:t>, nežinodamas kitų asmenų planų ir tikslų, neturėdamas savarankiškumo, vykdė privalomus aukštesnių vadų įsakymus, o ne veikė bendrai pagal susitarimą. Taip pat nėra teisinio pagrindo priklausymą TSRS kariuomenei ar TSKP vertinti kaip priklausymą nusikalstamai grupei. Kad nebuvo susitarimo šaudyti į žmones, patvirtina ir paties teismo išvados, jog „&lt;...&gt;</w:t>
      </w:r>
      <w:r w:rsidR="008434B8" w:rsidRPr="00A81196">
        <w:rPr>
          <w:color w:val="000000"/>
          <w:szCs w:val="24"/>
          <w:lang w:eastAsia="lt-LT" w:bidi="lt-LT"/>
        </w:rPr>
        <w:t xml:space="preserve"> </w:t>
      </w:r>
      <w:r w:rsidRPr="00A81196">
        <w:rPr>
          <w:color w:val="000000"/>
          <w:szCs w:val="24"/>
          <w:lang w:eastAsia="lt-LT" w:bidi="lt-LT"/>
        </w:rPr>
        <w:t>kariškiai, vykdydami įsakymus užimti pastatus ir pašalinti civilius iš pastatų, šturmo metu savo iniciatyva šaudė koviniais šoviniais“ (nuosprendžio 870 lapas), „&lt;...&gt; ne vienas iš objektų šturme dalyvavusių kariškių yra nurodęs, kad įsakymo panaudoti ginklą nebuvo, kad kariškiai šaudė spontaniškai ir savo iniciatyva“ (nuosprendžio 865 lapas). Šios teismo išvados įrodo, kad nebuvo įsakymo ar susitarimo žudyti žmones ir iš anksto nebuvo žinoma apie vykdytojų veiksmus (vykdytojo ekscesas).</w:t>
      </w:r>
    </w:p>
    <w:p w:rsidR="00E307D8" w:rsidRPr="00C00255" w:rsidRDefault="00E307D8" w:rsidP="00321748">
      <w:pPr>
        <w:pStyle w:val="ListParagraph"/>
        <w:numPr>
          <w:ilvl w:val="1"/>
          <w:numId w:val="6"/>
        </w:numPr>
        <w:spacing w:after="120"/>
        <w:ind w:left="992" w:hanging="992"/>
        <w:contextualSpacing w:val="0"/>
      </w:pPr>
      <w:r w:rsidRPr="00A81196">
        <w:rPr>
          <w:color w:val="000000"/>
          <w:szCs w:val="24"/>
          <w:lang w:eastAsia="lt-LT" w:bidi="lt-LT"/>
        </w:rPr>
        <w:t xml:space="preserve">Skunde teigiama, kad </w:t>
      </w:r>
      <w:r w:rsidR="00BA18FA" w:rsidRPr="00A81196">
        <w:rPr>
          <w:color w:val="000000"/>
          <w:szCs w:val="24"/>
          <w:lang w:eastAsia="lt-LT" w:bidi="lt-LT"/>
        </w:rPr>
        <w:t>J. M.</w:t>
      </w:r>
      <w:r w:rsidRPr="00A81196">
        <w:rPr>
          <w:color w:val="000000"/>
          <w:szCs w:val="24"/>
          <w:lang w:eastAsia="lt-LT" w:bidi="lt-LT"/>
        </w:rPr>
        <w:t xml:space="preserve"> veiksmuose nėra būtinojo jam inkriminuotų nusikalstamų veikų subjektyviosios pusės požymio – kaltės (tiesioginės tyčios), t. y. byloje neįrodyta, kad kaltinamasis suvokė savo veiksmų prasmę ir norėjo pasiekti konkreči</w:t>
      </w:r>
      <w:r w:rsidR="00B16CFA" w:rsidRPr="00A81196">
        <w:rPr>
          <w:color w:val="000000"/>
          <w:szCs w:val="24"/>
          <w:lang w:eastAsia="lt-LT" w:bidi="lt-LT"/>
        </w:rPr>
        <w:t>u</w:t>
      </w:r>
      <w:r w:rsidRPr="00A81196">
        <w:rPr>
          <w:color w:val="000000"/>
          <w:szCs w:val="24"/>
          <w:lang w:eastAsia="lt-LT" w:bidi="lt-LT"/>
        </w:rPr>
        <w:t>s, jam inkriminuot</w:t>
      </w:r>
      <w:r w:rsidR="005A0CC1" w:rsidRPr="00A81196">
        <w:rPr>
          <w:color w:val="000000"/>
          <w:szCs w:val="24"/>
          <w:lang w:eastAsia="lt-LT" w:bidi="lt-LT"/>
        </w:rPr>
        <w:t>us padarinius</w:t>
      </w:r>
      <w:r w:rsidRPr="00A81196">
        <w:rPr>
          <w:color w:val="000000"/>
          <w:szCs w:val="24"/>
          <w:lang w:eastAsia="lt-LT" w:bidi="lt-LT"/>
        </w:rPr>
        <w:t xml:space="preserve">. Nusikaltimų žmoniškumui ar karo nusikaltimų negalima padaryti neatsargiai. </w:t>
      </w:r>
      <w:r w:rsidR="00BA18FA" w:rsidRPr="00A81196">
        <w:rPr>
          <w:color w:val="000000"/>
          <w:szCs w:val="24"/>
          <w:lang w:eastAsia="lt-LT" w:bidi="lt-LT"/>
        </w:rPr>
        <w:t>J. M.</w:t>
      </w:r>
      <w:r w:rsidRPr="00A81196">
        <w:rPr>
          <w:color w:val="000000"/>
          <w:szCs w:val="24"/>
          <w:lang w:eastAsia="lt-LT" w:bidi="lt-LT"/>
        </w:rPr>
        <w:t xml:space="preserve"> pagal tuo metu jam prieinamą informaciją (oficialią TSRS poziciją, istorijos pamokas) negalėjo žinoti, kad 1940 m. Lietuva buvo okupuota ar aneksuota, todėl jis negalėjo vienareikšmiškai suvokti, </w:t>
      </w:r>
      <w:r w:rsidR="00974E0B" w:rsidRPr="00A81196">
        <w:rPr>
          <w:color w:val="000000"/>
          <w:szCs w:val="24"/>
          <w:lang w:eastAsia="lt-LT" w:bidi="lt-LT"/>
        </w:rPr>
        <w:t>jog</w:t>
      </w:r>
      <w:r w:rsidRPr="00A81196">
        <w:rPr>
          <w:color w:val="000000"/>
          <w:szCs w:val="24"/>
          <w:lang w:eastAsia="lt-LT" w:bidi="lt-LT"/>
        </w:rPr>
        <w:t xml:space="preserve"> įsakymus vykdo kitos valstybės teritorijoje. Skunde įvardijami įvairūs po 1990 m. kovo 11 d. Lietuvoje ir TSRS priimti teisės aktai, kurie, gynėjos vertinimu, įrodo sudėtingą nagrinėjamo laikotarpio politinį kontekstą (</w:t>
      </w:r>
      <w:r w:rsidR="00DB7E07" w:rsidRPr="00A81196">
        <w:rPr>
          <w:color w:val="000000"/>
          <w:szCs w:val="24"/>
          <w:lang w:eastAsia="lt-LT" w:bidi="lt-LT"/>
        </w:rPr>
        <w:t>pvz.</w:t>
      </w:r>
      <w:r w:rsidRPr="00A81196">
        <w:rPr>
          <w:color w:val="000000"/>
          <w:szCs w:val="24"/>
          <w:lang w:eastAsia="lt-LT" w:bidi="lt-LT"/>
        </w:rPr>
        <w:t xml:space="preserve">, 1990 m. kovo 15 d. TSRS </w:t>
      </w:r>
      <w:r w:rsidR="007F5BBE" w:rsidRPr="00A81196">
        <w:rPr>
          <w:color w:val="000000"/>
          <w:szCs w:val="24"/>
          <w:lang w:eastAsia="lt-LT" w:bidi="lt-LT"/>
        </w:rPr>
        <w:t>l</w:t>
      </w:r>
      <w:r w:rsidRPr="00A81196">
        <w:rPr>
          <w:color w:val="000000"/>
          <w:szCs w:val="24"/>
          <w:lang w:eastAsia="lt-LT" w:bidi="lt-LT"/>
        </w:rPr>
        <w:t>iaudies deputatų suvažiavime priimtas nutarimas „Dėl Lietuvos TSR Aukščiausiosios Tarybos 1990 m. kovo 11</w:t>
      </w:r>
      <w:r w:rsidR="007F5BBE" w:rsidRPr="00A81196">
        <w:rPr>
          <w:color w:val="000000"/>
          <w:szCs w:val="24"/>
          <w:lang w:eastAsia="lt-LT" w:bidi="lt-LT"/>
        </w:rPr>
        <w:t>–</w:t>
      </w:r>
      <w:r w:rsidRPr="00A81196">
        <w:rPr>
          <w:color w:val="000000"/>
          <w:szCs w:val="24"/>
          <w:lang w:eastAsia="lt-LT" w:bidi="lt-LT"/>
        </w:rPr>
        <w:t>12 dienų nutarimų“, kuriuo TSR</w:t>
      </w:r>
      <w:r w:rsidR="00056CFA" w:rsidRPr="00A81196">
        <w:rPr>
          <w:color w:val="000000"/>
          <w:szCs w:val="24"/>
          <w:lang w:eastAsia="lt-LT" w:bidi="lt-LT"/>
        </w:rPr>
        <w:t>S Aukščiausioji Taryba Lietuvos </w:t>
      </w:r>
      <w:r w:rsidRPr="00A81196">
        <w:rPr>
          <w:color w:val="000000"/>
          <w:szCs w:val="24"/>
          <w:lang w:eastAsia="lt-LT" w:bidi="lt-LT"/>
        </w:rPr>
        <w:t>Respublikos nepriklausomybės atkūrimo aktus paskelbė negaliojančiais). Karinių veiksmų tikslas buvo ne žudyti, kankinti ir pan., bet grąžinti Lietuvą į TSRS sudėtį, o ir Lietuva tarptautinės teisės prasme nebuvo įgijusi reikiamo subjektiškumo lygio, nes nepriklausomybės atkūrimo proce</w:t>
      </w:r>
      <w:r w:rsidR="00446F2F" w:rsidRPr="00A81196">
        <w:rPr>
          <w:color w:val="000000"/>
          <w:szCs w:val="24"/>
          <w:lang w:eastAsia="lt-LT" w:bidi="lt-LT"/>
        </w:rPr>
        <w:t>sas užtruko iki 1991 m. rugsėjo </w:t>
      </w:r>
      <w:r w:rsidRPr="00A81196">
        <w:rPr>
          <w:color w:val="000000"/>
          <w:szCs w:val="24"/>
          <w:lang w:eastAsia="lt-LT" w:bidi="lt-LT"/>
        </w:rPr>
        <w:t>6</w:t>
      </w:r>
      <w:r w:rsidR="00DF1AB5" w:rsidRPr="00A81196">
        <w:rPr>
          <w:color w:val="000000"/>
          <w:szCs w:val="24"/>
          <w:lang w:eastAsia="lt-LT" w:bidi="lt-LT"/>
        </w:rPr>
        <w:t> </w:t>
      </w:r>
      <w:r w:rsidRPr="00A81196">
        <w:rPr>
          <w:color w:val="000000"/>
          <w:szCs w:val="24"/>
          <w:lang w:eastAsia="lt-LT" w:bidi="lt-LT"/>
        </w:rPr>
        <w:t>d</w:t>
      </w:r>
      <w:r w:rsidRPr="00C00255">
        <w:rPr>
          <w:color w:val="000000"/>
          <w:szCs w:val="24"/>
          <w:lang w:eastAsia="lt-LT" w:bidi="lt-LT"/>
        </w:rPr>
        <w:t>.</w:t>
      </w:r>
    </w:p>
    <w:p w:rsidR="00E307D8" w:rsidRPr="00A81196" w:rsidRDefault="00E307D8" w:rsidP="00321748">
      <w:pPr>
        <w:pStyle w:val="ListParagraph"/>
        <w:numPr>
          <w:ilvl w:val="1"/>
          <w:numId w:val="6"/>
        </w:numPr>
        <w:spacing w:after="120"/>
        <w:ind w:left="992" w:hanging="992"/>
        <w:contextualSpacing w:val="0"/>
      </w:pPr>
      <w:r w:rsidRPr="00A81196">
        <w:t xml:space="preserve">Apeliaciniame skunde taip pat išdėstyti atskiri argumentai dėl nepagrįsto </w:t>
      </w:r>
      <w:r w:rsidR="00BA18FA" w:rsidRPr="00A81196">
        <w:t>J. M.</w:t>
      </w:r>
      <w:r w:rsidRPr="00A81196">
        <w:t xml:space="preserve"> nuteisimo pagal BK 111 straipsnį. Teigiama, kad </w:t>
      </w:r>
      <w:r w:rsidR="00BA18FA" w:rsidRPr="00A81196">
        <w:t>J. M.</w:t>
      </w:r>
      <w:r w:rsidRPr="00A81196">
        <w:t xml:space="preserve"> nėra šio nusikaltimo subjektas, kadangi pagal doktriną agresijos subjektais yra pripažįstami tik valstybių vadovai bei politiniai lyderiai, kurie turi pakankamus įgalinimus inicijuoti agresijos aktus. Atsakomybėn traukiami tik sprendimus priėmę asmenys, o kiti dalyviai nuo atsakomybės atleidžiami. Byloje nėra įrodyta, kad buvo duotas įsakymas vykdyti karo ataką prieš civilius. Nustatyta, kad buvo duoti įsakymai užimti pastatus saugojimui ir nenaudoti ginklų, nebent iškiltų pavojus gyvybei. Operacijai buvo pasirinktas nakties metas, kad objektuose nebūtų civilių asmenų, apie puolimą buvo perspėta garsiakalbiais, balsu, šaudant tuščiomis kulkomis ir užtaisais. Taigi buvo imtasi visų įmanomų atsargumo priemonių, kad būtų padaryta kuo mažiau žalos. Prokurorai objektus (televi</w:t>
      </w:r>
      <w:r w:rsidR="00491A27" w:rsidRPr="00A81196">
        <w:t>zijos, radijo, ryšio pastatus, S</w:t>
      </w:r>
      <w:r w:rsidRPr="00A81196">
        <w:t>paudos rūmus) vienur įvardijo civiliniais, kitur strateginiais. Skunde pažymima, kad nėra abejonių, jog objektai buvo strateginiai, t.</w:t>
      </w:r>
      <w:r w:rsidR="00DF1AB5" w:rsidRPr="00A81196">
        <w:t> </w:t>
      </w:r>
      <w:r w:rsidRPr="00A81196">
        <w:t>y. prilyginami kariniams, kurių puolimas pagal tarptautin</w:t>
      </w:r>
      <w:r w:rsidR="00B16CFA" w:rsidRPr="00A81196">
        <w:t>ės</w:t>
      </w:r>
      <w:r w:rsidRPr="00A81196">
        <w:t xml:space="preserve"> teisės aktus nėra draudžiamas. Draudžiamos karo atakos nusikaltimas gali būti padaromas tik tiesiogine tyčia, kaltininkui suvokiant savo įsakymo ar veikos pavojingumą, labai sunkių padarinių</w:t>
      </w:r>
      <w:r w:rsidR="00974E0B" w:rsidRPr="00A81196">
        <w:t xml:space="preserve"> kilimo</w:t>
      </w:r>
      <w:r w:rsidRPr="00A81196">
        <w:t xml:space="preserve"> galimybę ir to siekiant. </w:t>
      </w:r>
      <w:r w:rsidR="00BA18FA" w:rsidRPr="00A81196">
        <w:t>J. M.</w:t>
      </w:r>
      <w:r w:rsidRPr="00A81196">
        <w:t xml:space="preserve"> nedavė įsakymo pulti civilius ir pats jų nepuolė, jis tik dalyvavo </w:t>
      </w:r>
      <w:r w:rsidR="00DF1AB5" w:rsidRPr="00A81196">
        <w:t xml:space="preserve">užimant </w:t>
      </w:r>
      <w:r w:rsidRPr="00A81196">
        <w:t>strategin</w:t>
      </w:r>
      <w:r w:rsidR="00DF1AB5" w:rsidRPr="00A81196">
        <w:t>į</w:t>
      </w:r>
      <w:r w:rsidRPr="00A81196">
        <w:t xml:space="preserve"> objekt</w:t>
      </w:r>
      <w:r w:rsidR="00DF1AB5" w:rsidRPr="00A81196">
        <w:t>ą ir tuo</w:t>
      </w:r>
      <w:r w:rsidRPr="00A81196">
        <w:t xml:space="preserve"> metu buvo taikomos visos minėtos atsargumo priemonės. Be to, anot gynėjos, </w:t>
      </w:r>
      <w:r w:rsidR="005B0434" w:rsidRPr="00A81196">
        <w:t>1991 m. s</w:t>
      </w:r>
      <w:r w:rsidRPr="00A81196">
        <w:t>ausio įvykių metu prie užimamų objektų buvę civiliai neati</w:t>
      </w:r>
      <w:r w:rsidR="00974E0B" w:rsidRPr="00A81196">
        <w:t xml:space="preserve">tinka </w:t>
      </w:r>
      <w:r w:rsidR="00974E0B" w:rsidRPr="00A81196">
        <w:lastRenderedPageBreak/>
        <w:t>civilių apibrėž</w:t>
      </w:r>
      <w:r w:rsidR="00DF1AB5" w:rsidRPr="00A81196">
        <w:t>ties</w:t>
      </w:r>
      <w:r w:rsidR="00974E0B" w:rsidRPr="00A81196">
        <w:t xml:space="preserve"> BK 111 </w:t>
      </w:r>
      <w:r w:rsidRPr="00A81196">
        <w:t xml:space="preserve">straipsnio prasme, kadangi savanoriškas civilių dalyvavimas </w:t>
      </w:r>
      <w:r w:rsidR="00B54770" w:rsidRPr="00A81196">
        <w:t xml:space="preserve">būnant </w:t>
      </w:r>
      <w:r w:rsidRPr="00A81196">
        <w:t>gyv</w:t>
      </w:r>
      <w:r w:rsidR="00B54770" w:rsidRPr="00A81196">
        <w:t>uoju</w:t>
      </w:r>
      <w:r w:rsidRPr="00A81196">
        <w:t xml:space="preserve"> skyd</w:t>
      </w:r>
      <w:r w:rsidR="00B54770" w:rsidRPr="00A81196">
        <w:t>u</w:t>
      </w:r>
      <w:r w:rsidRPr="00A81196">
        <w:t xml:space="preserve">, kai kurių humanitarinės teisės doktrinos autorių nuomone, yra prilyginamas dalyvavimui kariniame konflikte. Lietuvos vadovybė turėjo laikytis </w:t>
      </w:r>
      <w:r w:rsidR="00D76BE4" w:rsidRPr="00A81196">
        <w:t>1949</w:t>
      </w:r>
      <w:r w:rsidR="00DF1AB5" w:rsidRPr="00A81196">
        <w:t> </w:t>
      </w:r>
      <w:r w:rsidR="00D76BE4" w:rsidRPr="00A81196">
        <w:t>m. rugpjūčio 12 d. Ženevos konvencijų I-ojo</w:t>
      </w:r>
      <w:r w:rsidRPr="00A81196">
        <w:t xml:space="preserve"> Papildomo protokolo 51</w:t>
      </w:r>
      <w:r w:rsidR="003022D0" w:rsidRPr="00A81196">
        <w:t> </w:t>
      </w:r>
      <w:r w:rsidRPr="00A81196">
        <w:t>straipsnio 8</w:t>
      </w:r>
      <w:r w:rsidR="00FB0BE7" w:rsidRPr="00A81196">
        <w:t> </w:t>
      </w:r>
      <w:r w:rsidRPr="00A81196">
        <w:t xml:space="preserve">dalies nuostatų, </w:t>
      </w:r>
      <w:r w:rsidR="00DF1AB5" w:rsidRPr="00A81196">
        <w:t xml:space="preserve">kuriomis </w:t>
      </w:r>
      <w:r w:rsidRPr="00A81196">
        <w:t>draudži</w:t>
      </w:r>
      <w:r w:rsidR="00DF1AB5" w:rsidRPr="00A81196">
        <w:t>ama</w:t>
      </w:r>
      <w:r w:rsidRPr="00A81196">
        <w:t xml:space="preserve"> naudoti gyvąjį skydą objektų gynybai, o milicija turėjo apginti civil</w:t>
      </w:r>
      <w:r w:rsidR="00974E0B" w:rsidRPr="00A81196">
        <w:t>ius, tačiau ji savo funkcijos ap</w:t>
      </w:r>
      <w:r w:rsidRPr="00A81196">
        <w:t>saugoti civilius neatliko.</w:t>
      </w:r>
    </w:p>
    <w:p w:rsidR="00E307D8" w:rsidRPr="00A81196" w:rsidRDefault="00E307D8" w:rsidP="00321748">
      <w:pPr>
        <w:pStyle w:val="ListParagraph"/>
        <w:numPr>
          <w:ilvl w:val="1"/>
          <w:numId w:val="6"/>
        </w:numPr>
        <w:spacing w:after="120"/>
        <w:ind w:left="992" w:hanging="992"/>
        <w:contextualSpacing w:val="0"/>
      </w:pPr>
      <w:r w:rsidRPr="00A81196">
        <w:t xml:space="preserve">Skunde teigiama, kad </w:t>
      </w:r>
      <w:r w:rsidR="00BA18FA" w:rsidRPr="00A81196">
        <w:t>J. M.</w:t>
      </w:r>
      <w:r w:rsidRPr="00A81196">
        <w:t xml:space="preserve"> nepagrįstai nuteistas ir pagal BK 112 straipsnį, kadangi byloje nėra įrodyta, jog jis ar kiti kaltinamieji naudojo uždraustas karo priemones ar kariavimo būdus. Nuo 1974 m. TSRS kariuomenėje naudoti 5,45</w:t>
      </w:r>
      <w:r w:rsidR="00DF1AB5" w:rsidRPr="00A81196">
        <w:t> </w:t>
      </w:r>
      <w:r w:rsidRPr="00A81196">
        <w:t>x</w:t>
      </w:r>
      <w:r w:rsidR="00DF1AB5" w:rsidRPr="00A81196">
        <w:t> </w:t>
      </w:r>
      <w:r w:rsidRPr="00A81196">
        <w:t>39 mm kalibro šo</w:t>
      </w:r>
      <w:r w:rsidR="00A854E1" w:rsidRPr="00A81196">
        <w:t>viniai nebuvo uždrausti 1899 m. </w:t>
      </w:r>
      <w:r w:rsidRPr="00A81196">
        <w:t>liepos 29 d. Hagos deklaracija „Dėl nenaudojimo lengvai apsisukančių ir susiplojančių kulkų“, kuria susitariančios šalys įsipareigojo nenaudoti kulkų, kurios lengvai apsisuka arba susiploja žmogaus kūne, kurioms priskirtinos apvalkalinės kulkos, kurių apvalkalas padengia ne visą šerdį arba turi įpjovas (ekspansyvios kulkos). Minėtų TSRS naudotų šovinių konstrukcija yra visiškai apvalkalinė ir kulkos pakeičia savo kryptį ar rikošetuoja tik smaigaliui susidūrus su kietąja kliūtimi. Teisme buvo apžiūrėtos kelios iš nukentėjusiųjų kūnų išimtos kulkos, kurios nebuvo visiškai deformuotos. Taip paneigtas mitas, kad šios kulkos</w:t>
      </w:r>
      <w:r w:rsidR="00DF1AB5" w:rsidRPr="00A81196">
        <w:t>,</w:t>
      </w:r>
      <w:r w:rsidRPr="00A81196">
        <w:t xml:space="preserve"> įėjusios pro koją</w:t>
      </w:r>
      <w:r w:rsidR="00974E0B" w:rsidRPr="00A81196">
        <w:t>, išeina per</w:t>
      </w:r>
      <w:r w:rsidRPr="00A81196">
        <w:t xml:space="preserve"> petį. Minėtos kulkos rikošetuoja taip pat kaip ir nuo 1960 m. NATO naudojamų šovinių </w:t>
      </w:r>
      <w:r w:rsidR="00DF1AB5" w:rsidRPr="00A81196">
        <w:t>„</w:t>
      </w:r>
      <w:r w:rsidRPr="00A81196">
        <w:t>Remington</w:t>
      </w:r>
      <w:r w:rsidR="00DF1AB5" w:rsidRPr="00A81196">
        <w:t>“</w:t>
      </w:r>
      <w:r w:rsidRPr="00A81196">
        <w:t xml:space="preserve"> 5,56</w:t>
      </w:r>
      <w:r w:rsidR="00DF1AB5" w:rsidRPr="00A81196">
        <w:t> </w:t>
      </w:r>
      <w:r w:rsidRPr="00A81196">
        <w:t>x</w:t>
      </w:r>
      <w:r w:rsidR="00DF1AB5" w:rsidRPr="00A81196">
        <w:t> </w:t>
      </w:r>
      <w:r w:rsidRPr="00A81196">
        <w:t xml:space="preserve">45 mm </w:t>
      </w:r>
      <w:r w:rsidR="00C70DE3" w:rsidRPr="00A81196">
        <w:t xml:space="preserve">kalibro </w:t>
      </w:r>
      <w:r w:rsidRPr="00A81196">
        <w:t>kulkos. Skunde pateiktos TSRS ir NATO naudojamų šovinių palyginimo fotonuotraukos. Be to, gynėjos teigimu, ikiteisminio tyrimo metu nebuvo nustatyti konkretūs šaunamieji ginklai, kuriais buvo sužaloti žmonės, o prie TV bokšto ginkluotų asmenų buvo skirtingose pusėse, ne tik tarp TSRS karių.</w:t>
      </w:r>
    </w:p>
    <w:p w:rsidR="00E307D8" w:rsidRPr="00C00255" w:rsidRDefault="00E307D8" w:rsidP="00321748">
      <w:pPr>
        <w:pStyle w:val="ListParagraph"/>
        <w:numPr>
          <w:ilvl w:val="1"/>
          <w:numId w:val="6"/>
        </w:numPr>
        <w:spacing w:after="120"/>
        <w:ind w:left="992" w:hanging="992"/>
        <w:contextualSpacing w:val="0"/>
      </w:pPr>
      <w:r w:rsidRPr="00A81196">
        <w:t xml:space="preserve">Apeliaciniame skunde nesutinkama ir su teismo nuosprendžiu paskirta bausme. Mažesnė bausmė skirtina, atsižvelgus į antraeilį nuteistojo vaidmenį nagrinėjamuose įvykiuose, į tai, kad asmeniškai jis pats jokių sužalojimų asmenims nepadarė, yra suimtas ilgą laiką, yra </w:t>
      </w:r>
      <w:r w:rsidR="00A854E1" w:rsidRPr="00A81196">
        <w:t>(duomenys neskelbtini)</w:t>
      </w:r>
      <w:r w:rsidRPr="00A81196">
        <w:t>, serga nepagydoma liga</w:t>
      </w:r>
      <w:r w:rsidRPr="00C00255">
        <w:t>.</w:t>
      </w:r>
    </w:p>
    <w:p w:rsidR="00775C32" w:rsidRPr="00C00255" w:rsidRDefault="00775C32" w:rsidP="00321748">
      <w:pPr>
        <w:pStyle w:val="ListParagraph"/>
        <w:numPr>
          <w:ilvl w:val="0"/>
          <w:numId w:val="6"/>
        </w:numPr>
        <w:spacing w:after="120"/>
        <w:ind w:left="992" w:hanging="992"/>
        <w:contextualSpacing w:val="0"/>
        <w:rPr>
          <w:color w:val="000000"/>
          <w:szCs w:val="24"/>
          <w:lang w:eastAsia="lt-LT" w:bidi="lt-LT"/>
        </w:rPr>
      </w:pPr>
      <w:bookmarkStart w:id="160" w:name="_Toc37947881"/>
      <w:bookmarkStart w:id="161" w:name="_Toc67677360"/>
      <w:bookmarkStart w:id="162" w:name="_Toc67985487"/>
      <w:r w:rsidRPr="00D43DF2">
        <w:rPr>
          <w:b/>
        </w:rPr>
        <w:t xml:space="preserve">Nuteistojo </w:t>
      </w:r>
      <w:r w:rsidR="00A97F74" w:rsidRPr="00D43DF2">
        <w:rPr>
          <w:b/>
        </w:rPr>
        <w:t>N. O.</w:t>
      </w:r>
      <w:r w:rsidRPr="00D43DF2">
        <w:rPr>
          <w:b/>
        </w:rPr>
        <w:t xml:space="preserve"> gynėjas</w:t>
      </w:r>
      <w:bookmarkEnd w:id="160"/>
      <w:bookmarkEnd w:id="161"/>
      <w:bookmarkEnd w:id="162"/>
      <w:r w:rsidRPr="00D43DF2">
        <w:rPr>
          <w:b/>
        </w:rPr>
        <w:t xml:space="preserve"> advokatas B. Paulauskas</w:t>
      </w:r>
      <w:r w:rsidRPr="00C00255">
        <w:rPr>
          <w:color w:val="000000"/>
          <w:szCs w:val="24"/>
          <w:lang w:eastAsia="lt-LT" w:bidi="lt-LT"/>
        </w:rPr>
        <w:t xml:space="preserve"> apeliaciniu skundu </w:t>
      </w:r>
      <w:r w:rsidRPr="00C00255">
        <w:t xml:space="preserve">prašo panaikinti </w:t>
      </w:r>
      <w:r w:rsidR="00835C83" w:rsidRPr="00C00255">
        <w:t>pirmosios instancijos</w:t>
      </w:r>
      <w:r w:rsidRPr="00C00255">
        <w:t xml:space="preserve"> teismo nuosprendį ir dėl jo ginamojo priimti išteisinamąjį nuosprendį.</w:t>
      </w:r>
    </w:p>
    <w:p w:rsidR="00E57C0F" w:rsidRPr="00C00255" w:rsidRDefault="00775C32" w:rsidP="00321748">
      <w:pPr>
        <w:pStyle w:val="ListParagraph"/>
        <w:numPr>
          <w:ilvl w:val="1"/>
          <w:numId w:val="6"/>
        </w:numPr>
        <w:spacing w:after="120"/>
        <w:ind w:left="992" w:hanging="992"/>
        <w:contextualSpacing w:val="0"/>
      </w:pPr>
      <w:r w:rsidRPr="00A81196">
        <w:rPr>
          <w:szCs w:val="24"/>
        </w:rPr>
        <w:t xml:space="preserve">Apeliaciniame skunde teigiama, kad </w:t>
      </w:r>
      <w:r w:rsidR="00A97F74" w:rsidRPr="00A81196">
        <w:rPr>
          <w:szCs w:val="24"/>
        </w:rPr>
        <w:t>N. O.</w:t>
      </w:r>
      <w:r w:rsidRPr="00A81196">
        <w:rPr>
          <w:szCs w:val="24"/>
        </w:rPr>
        <w:t xml:space="preserve"> veiksmuose nebuvo tyčios padaryti jam inkriminuotas nusikalstamas veikas ir nenustatyta, kad nuteistasis siekė byloje konstatuotų pa</w:t>
      </w:r>
      <w:r w:rsidR="00DF1AB5" w:rsidRPr="00A81196">
        <w:rPr>
          <w:szCs w:val="24"/>
        </w:rPr>
        <w:t>darinių</w:t>
      </w:r>
      <w:r w:rsidRPr="00A81196">
        <w:rPr>
          <w:szCs w:val="24"/>
        </w:rPr>
        <w:t xml:space="preserve"> kilimo. Taip pat byloje nėra duomenų ir dėl konkrečių </w:t>
      </w:r>
      <w:r w:rsidR="00A97F74" w:rsidRPr="00A81196">
        <w:rPr>
          <w:szCs w:val="24"/>
        </w:rPr>
        <w:t>N. O.</w:t>
      </w:r>
      <w:r w:rsidRPr="00A81196">
        <w:rPr>
          <w:szCs w:val="24"/>
        </w:rPr>
        <w:t xml:space="preserve"> veiksmų, kurie būtų sukėlę jam inkriminuotų straipsnių dispozicijose nustatyt</w:t>
      </w:r>
      <w:r w:rsidR="00DF1AB5" w:rsidRPr="00A81196">
        <w:rPr>
          <w:szCs w:val="24"/>
        </w:rPr>
        <w:t>us padarinius</w:t>
      </w:r>
      <w:r w:rsidRPr="00C00255">
        <w:rPr>
          <w:szCs w:val="24"/>
        </w:rPr>
        <w:t>.</w:t>
      </w:r>
    </w:p>
    <w:p w:rsidR="00E57C0F" w:rsidRPr="00C00255" w:rsidRDefault="00775C32" w:rsidP="00321748">
      <w:pPr>
        <w:pStyle w:val="ListParagraph"/>
        <w:numPr>
          <w:ilvl w:val="1"/>
          <w:numId w:val="6"/>
        </w:numPr>
        <w:spacing w:after="120"/>
        <w:ind w:left="992" w:hanging="992"/>
        <w:contextualSpacing w:val="0"/>
      </w:pPr>
      <w:r w:rsidRPr="00A81196">
        <w:rPr>
          <w:szCs w:val="24"/>
        </w:rPr>
        <w:t>Gynėjo teigimu, nuosprendyje nepagrįstai buvo konstatuota, kad nuteistasis veikė bendrininkų grupe su kitais nuteista</w:t>
      </w:r>
      <w:r w:rsidR="00974E0B" w:rsidRPr="00A81196">
        <w:rPr>
          <w:szCs w:val="24"/>
        </w:rPr>
        <w:t>i</w:t>
      </w:r>
      <w:r w:rsidRPr="00A81196">
        <w:rPr>
          <w:szCs w:val="24"/>
        </w:rPr>
        <w:t>si</w:t>
      </w:r>
      <w:r w:rsidR="00835C83" w:rsidRPr="00A81196">
        <w:rPr>
          <w:szCs w:val="24"/>
        </w:rPr>
        <w:t>ai</w:t>
      </w:r>
      <w:r w:rsidRPr="00A81196">
        <w:rPr>
          <w:szCs w:val="24"/>
        </w:rPr>
        <w:t>s. Nuteistasis tik vykdė įsakymą ir nėra duomenų, kad jis būtų prisidėjęs prie karinių operacijų planų rengimo</w:t>
      </w:r>
      <w:r w:rsidRPr="00C00255">
        <w:rPr>
          <w:szCs w:val="24"/>
        </w:rPr>
        <w:t>.</w:t>
      </w:r>
    </w:p>
    <w:p w:rsidR="00775C32" w:rsidRPr="00C00255" w:rsidRDefault="00775C32" w:rsidP="00321748">
      <w:pPr>
        <w:pStyle w:val="ListParagraph"/>
        <w:numPr>
          <w:ilvl w:val="1"/>
          <w:numId w:val="6"/>
        </w:numPr>
        <w:spacing w:after="120"/>
        <w:ind w:left="992" w:hanging="992"/>
        <w:contextualSpacing w:val="0"/>
      </w:pPr>
      <w:r w:rsidRPr="00A81196">
        <w:rPr>
          <w:szCs w:val="24"/>
        </w:rPr>
        <w:t>Apeliaciniame skunde nurodoma, kad teismas padarė baudžiamojo proceso pažeidimą, nuteistojo kaltę grįsdamas ir ikiteisminio tyrimo metu</w:t>
      </w:r>
      <w:r w:rsidR="000D2DF3" w:rsidRPr="00A81196">
        <w:rPr>
          <w:szCs w:val="24"/>
        </w:rPr>
        <w:t xml:space="preserve"> jo paties</w:t>
      </w:r>
      <w:r w:rsidR="00835C83" w:rsidRPr="00A81196">
        <w:rPr>
          <w:szCs w:val="24"/>
        </w:rPr>
        <w:t xml:space="preserve">, apklausto </w:t>
      </w:r>
      <w:r w:rsidR="00DF1AB5" w:rsidRPr="00A81196">
        <w:rPr>
          <w:szCs w:val="24"/>
        </w:rPr>
        <w:t xml:space="preserve">kaip </w:t>
      </w:r>
      <w:r w:rsidR="00835C83" w:rsidRPr="00A81196">
        <w:rPr>
          <w:szCs w:val="24"/>
        </w:rPr>
        <w:t>liudytoj</w:t>
      </w:r>
      <w:r w:rsidR="00DF1AB5" w:rsidRPr="00A81196">
        <w:rPr>
          <w:szCs w:val="24"/>
        </w:rPr>
        <w:t>o</w:t>
      </w:r>
      <w:r w:rsidR="00835C83" w:rsidRPr="00A81196">
        <w:rPr>
          <w:szCs w:val="24"/>
        </w:rPr>
        <w:t>,</w:t>
      </w:r>
      <w:r w:rsidRPr="00A81196">
        <w:rPr>
          <w:szCs w:val="24"/>
        </w:rPr>
        <w:t xml:space="preserve"> duotais parodymais. Taip buvo pažeista asmens teisė neduoti parodymų prieš save</w:t>
      </w:r>
      <w:r w:rsidRPr="00C00255">
        <w:rPr>
          <w:szCs w:val="24"/>
        </w:rPr>
        <w:t>.</w:t>
      </w:r>
    </w:p>
    <w:p w:rsidR="00835C83" w:rsidRPr="00C00255" w:rsidRDefault="00835C83" w:rsidP="00321748">
      <w:pPr>
        <w:pStyle w:val="ListParagraph"/>
        <w:numPr>
          <w:ilvl w:val="0"/>
          <w:numId w:val="6"/>
        </w:numPr>
        <w:spacing w:after="120"/>
        <w:ind w:left="992" w:hanging="992"/>
        <w:contextualSpacing w:val="0"/>
        <w:rPr>
          <w:color w:val="000000"/>
          <w:szCs w:val="24"/>
          <w:lang w:eastAsia="lt-LT" w:bidi="lt-LT"/>
        </w:rPr>
      </w:pPr>
      <w:bookmarkStart w:id="163" w:name="_Toc37947882"/>
      <w:bookmarkStart w:id="164" w:name="_Toc67677361"/>
      <w:bookmarkStart w:id="165" w:name="_Toc67985488"/>
      <w:r w:rsidRPr="00D43DF2">
        <w:rPr>
          <w:b/>
        </w:rPr>
        <w:t xml:space="preserve">Nuteistojo </w:t>
      </w:r>
      <w:r w:rsidR="00A97F74" w:rsidRPr="00D43DF2">
        <w:rPr>
          <w:b/>
        </w:rPr>
        <w:t>A. K. 2</w:t>
      </w:r>
      <w:r w:rsidRPr="00D43DF2">
        <w:rPr>
          <w:b/>
        </w:rPr>
        <w:t xml:space="preserve"> gynėja</w:t>
      </w:r>
      <w:bookmarkEnd w:id="163"/>
      <w:bookmarkEnd w:id="164"/>
      <w:bookmarkEnd w:id="165"/>
      <w:r w:rsidRPr="00D43DF2">
        <w:rPr>
          <w:b/>
        </w:rPr>
        <w:t xml:space="preserve"> advokatė E. Gylienė</w:t>
      </w:r>
      <w:r w:rsidRPr="00C00255">
        <w:t xml:space="preserve"> </w:t>
      </w:r>
      <w:r w:rsidRPr="00A81196">
        <w:t>apeliaciniu skundu prašo panaikinti pirmosios instancijos teismo nuosprendį ir jos ginamąjį išteisinti bei baudžiamojoje byloje pareikštus civilinius ieškinius palikti nenagrinėtus</w:t>
      </w:r>
      <w:r w:rsidRPr="00C00255">
        <w:t xml:space="preserve">. </w:t>
      </w:r>
    </w:p>
    <w:p w:rsidR="00835C83" w:rsidRPr="00C00255" w:rsidRDefault="00835C83" w:rsidP="00321748">
      <w:pPr>
        <w:pStyle w:val="ListParagraph"/>
        <w:numPr>
          <w:ilvl w:val="1"/>
          <w:numId w:val="6"/>
        </w:numPr>
        <w:spacing w:after="120"/>
        <w:ind w:left="992" w:hanging="992"/>
        <w:contextualSpacing w:val="0"/>
      </w:pPr>
      <w:r w:rsidRPr="00A81196">
        <w:t xml:space="preserve">Nuteistojo gynėja nurodo, kad teismo nuosprendyje </w:t>
      </w:r>
      <w:r w:rsidR="00A97F74" w:rsidRPr="00A81196">
        <w:t>A. K. 2</w:t>
      </w:r>
      <w:r w:rsidRPr="00A81196">
        <w:t xml:space="preserve"> inkriminuotos nusikalstamos veikos nedetalizuotos. Iš teismo nuosprendžio neaišku</w:t>
      </w:r>
      <w:r w:rsidR="00DF1AB5" w:rsidRPr="00A81196">
        <w:t>,</w:t>
      </w:r>
      <w:r w:rsidRPr="00A81196">
        <w:t xml:space="preserve"> kokius veiksmus jis atliko, koki</w:t>
      </w:r>
      <w:r w:rsidR="00DF1AB5" w:rsidRPr="00A81196">
        <w:t>e</w:t>
      </w:r>
      <w:r w:rsidRPr="00A81196">
        <w:t xml:space="preserve"> jų pa</w:t>
      </w:r>
      <w:r w:rsidR="00DF1AB5" w:rsidRPr="00A81196">
        <w:t>dariniai</w:t>
      </w:r>
      <w:r w:rsidRPr="00A81196">
        <w:t>, kaip kaltinamojo veiksmai susiję su ši</w:t>
      </w:r>
      <w:r w:rsidR="00DF1AB5" w:rsidRPr="00A81196">
        <w:t>ais</w:t>
      </w:r>
      <w:r w:rsidRPr="00A81196">
        <w:t xml:space="preserve"> pa</w:t>
      </w:r>
      <w:r w:rsidR="00DF1AB5" w:rsidRPr="00A81196">
        <w:t>dariniais</w:t>
      </w:r>
      <w:r w:rsidRPr="00A81196">
        <w:t xml:space="preserve">. Be to, </w:t>
      </w:r>
      <w:r w:rsidR="00A854E1" w:rsidRPr="00A81196">
        <w:rPr>
          <w:szCs w:val="24"/>
        </w:rPr>
        <w:t>teismas pažeidė ir BPK </w:t>
      </w:r>
      <w:r w:rsidRPr="00A81196">
        <w:rPr>
          <w:szCs w:val="24"/>
        </w:rPr>
        <w:t>20 straipsnio nuostatas</w:t>
      </w:r>
      <w:r w:rsidRPr="00A81196">
        <w:t xml:space="preserve">, nes įrodymai byloje įvertinti netinkamai. Byloje apklausti </w:t>
      </w:r>
      <w:r w:rsidRPr="00A81196">
        <w:lastRenderedPageBreak/>
        <w:t xml:space="preserve">liudytojai ir nukentėjusieji nematė jokių neteisėtų </w:t>
      </w:r>
      <w:r w:rsidR="00A97F74" w:rsidRPr="00A81196">
        <w:t>A. K. 2</w:t>
      </w:r>
      <w:r w:rsidRPr="00A81196">
        <w:t xml:space="preserve"> veiksmų. Prie Spaudos rūmų ir LRT pastato civiliams nebuvo padaryti sužalojimai dėl tanko veiksmų, kuriame taikytoju buvo </w:t>
      </w:r>
      <w:r w:rsidR="00A97F74" w:rsidRPr="00A81196">
        <w:t>A. K. 2</w:t>
      </w:r>
      <w:r w:rsidRPr="00A81196">
        <w:t xml:space="preserve">. Teismas nepagrįstai rėmėsi </w:t>
      </w:r>
      <w:r w:rsidR="00A97F74" w:rsidRPr="00A81196">
        <w:t>A. K. 2</w:t>
      </w:r>
      <w:r w:rsidRPr="00A81196">
        <w:t xml:space="preserve"> ir kitų kariškių, </w:t>
      </w:r>
      <w:r w:rsidR="00DF1AB5" w:rsidRPr="00A81196">
        <w:t xml:space="preserve">kurie buvo </w:t>
      </w:r>
      <w:r w:rsidRPr="00A81196">
        <w:t>apklaust</w:t>
      </w:r>
      <w:r w:rsidR="00DF1AB5" w:rsidRPr="00A81196">
        <w:t>i kaip</w:t>
      </w:r>
      <w:r w:rsidRPr="00A81196">
        <w:t xml:space="preserve"> liudytojai, parodymais, duotais TSRS karinei prokuratūrai. Tokius parodymus nuteistasis davė neišaiškinus jam teisės neduoti parodymų prieš save. Šie parodymai teisme buvo tik pagarsinti, bet neištirti. Be to, teismas </w:t>
      </w:r>
      <w:bookmarkStart w:id="166" w:name="_Hlk35505175"/>
      <w:r w:rsidRPr="00A81196">
        <w:t xml:space="preserve">vadovavosi vaizdo ir garso įrašais, tačiau juose </w:t>
      </w:r>
      <w:r w:rsidR="00A97F74" w:rsidRPr="00A81196">
        <w:t>A. K. 2</w:t>
      </w:r>
      <w:r w:rsidRPr="00A81196">
        <w:t xml:space="preserve"> nebuvo identifikuotas kaip asmuo</w:t>
      </w:r>
      <w:r w:rsidR="00DF1AB5" w:rsidRPr="00A81196">
        <w:t>,</w:t>
      </w:r>
      <w:r w:rsidRPr="00A81196">
        <w:t xml:space="preserve"> atliekantis jam inkriminuojamas veikas</w:t>
      </w:r>
      <w:r w:rsidRPr="00C00255">
        <w:t xml:space="preserve">. </w:t>
      </w:r>
      <w:bookmarkEnd w:id="166"/>
    </w:p>
    <w:p w:rsidR="00835C83" w:rsidRPr="00C00255" w:rsidRDefault="00835C83" w:rsidP="00321748">
      <w:pPr>
        <w:pStyle w:val="ListParagraph"/>
        <w:numPr>
          <w:ilvl w:val="1"/>
          <w:numId w:val="6"/>
        </w:numPr>
        <w:spacing w:after="120"/>
        <w:ind w:left="992" w:hanging="992"/>
        <w:contextualSpacing w:val="0"/>
      </w:pPr>
      <w:r w:rsidRPr="00A81196">
        <w:t xml:space="preserve">Teismas nepagrįstai inkriminavo </w:t>
      </w:r>
      <w:r w:rsidR="00A97F74" w:rsidRPr="00A81196">
        <w:t>A. K. 2</w:t>
      </w:r>
      <w:r w:rsidRPr="00A81196">
        <w:t xml:space="preserve"> veikimą bendrininkų grupe. </w:t>
      </w:r>
      <w:r w:rsidR="00A97F74" w:rsidRPr="00A81196">
        <w:t>A. K. 2</w:t>
      </w:r>
      <w:r w:rsidRPr="00A81196">
        <w:t xml:space="preserve">, būdamas motorizuotų šaulių divizijos 106-ojo tankų pulko būrio vadu, veikė pagal tankų pulko vado papulkininkio </w:t>
      </w:r>
      <w:r w:rsidR="004069BF" w:rsidRPr="00A81196">
        <w:t>N. A.</w:t>
      </w:r>
      <w:r w:rsidR="00974E0B" w:rsidRPr="00A81196">
        <w:t xml:space="preserve"> įsakymą vykti tanku</w:t>
      </w:r>
      <w:r w:rsidRPr="00A81196">
        <w:t xml:space="preserve"> iki LRT pastato. Jis neturėjo pasirinkimo laisvės ir negalėjo atsisakyti vykdyti įsakymą. Be to, kariškiai negalėjo žinoti, kad duoti įsakymai yra neteisėti. Vadovaudamasis nuteistųjų </w:t>
      </w:r>
      <w:r w:rsidR="004069BF" w:rsidRPr="00A81196">
        <w:t>N. A.</w:t>
      </w:r>
      <w:r w:rsidRPr="00A81196">
        <w:t xml:space="preserve">, </w:t>
      </w:r>
      <w:r w:rsidR="00C82C9D" w:rsidRPr="00A81196">
        <w:t>E. R.</w:t>
      </w:r>
      <w:r w:rsidRPr="00A81196">
        <w:t xml:space="preserve"> bei </w:t>
      </w:r>
      <w:r w:rsidR="00C82C9D" w:rsidRPr="00A81196">
        <w:t>N. S.</w:t>
      </w:r>
      <w:r w:rsidRPr="00A81196">
        <w:t xml:space="preserve"> parodymais</w:t>
      </w:r>
      <w:r w:rsidR="00974E0B" w:rsidRPr="00A81196">
        <w:t>,</w:t>
      </w:r>
      <w:r w:rsidRPr="00A81196">
        <w:t xml:space="preserve"> apeliantas teigia, kad kariškiai neturėjo visos informacijos apie operaciją ir vykdė aukštesnių pareigūnų įsakymus saugoti objektus, palaikyti viešąją tvarką ir neturėjo tikslo žaloti ar žudyti civilius asmenis. </w:t>
      </w:r>
      <w:r w:rsidR="00A97F74" w:rsidRPr="00A81196">
        <w:t>A. K. 2</w:t>
      </w:r>
      <w:r w:rsidRPr="00A81196">
        <w:t xml:space="preserve"> pagal savo </w:t>
      </w:r>
      <w:r w:rsidR="00DF1AB5" w:rsidRPr="00A81196">
        <w:t>einamas</w:t>
      </w:r>
      <w:r w:rsidRPr="00A81196">
        <w:t xml:space="preserve"> pareigas ir karinį laipsnį neturėjo teisės ir negalėjo žinoti apie Lietuvos valdžios nuvertimo planą.</w:t>
      </w:r>
      <w:r w:rsidRPr="00A81196" w:rsidDel="00E65B9E">
        <w:t xml:space="preserve"> </w:t>
      </w:r>
      <w:r w:rsidRPr="00A81196">
        <w:t>Specialistas J. Andriškevičius nurodė, kad šis planas buvo r</w:t>
      </w:r>
      <w:r w:rsidR="000D2DF3" w:rsidRPr="00A81196">
        <w:t>engiamas</w:t>
      </w:r>
      <w:r w:rsidRPr="00A81196">
        <w:t xml:space="preserve"> slaptai. Iš bylos medžiagos taip pat matyti, kad šį planą </w:t>
      </w:r>
      <w:r w:rsidR="000D2DF3" w:rsidRPr="00A81196">
        <w:t>rengė</w:t>
      </w:r>
      <w:r w:rsidRPr="00A81196">
        <w:t xml:space="preserve"> aukščiausia TSRS politinė valdžia, todėl žemiausioji grandis r</w:t>
      </w:r>
      <w:r w:rsidR="000D2DF3" w:rsidRPr="00A81196">
        <w:t>engiant</w:t>
      </w:r>
      <w:r w:rsidRPr="00A81196">
        <w:t xml:space="preserve"> šiuos planus nedalyvavo, jai tebuvo iškeliami visiškai konkretūs plano įgyvendinimo uždaviniai</w:t>
      </w:r>
      <w:r w:rsidRPr="00C00255">
        <w:t xml:space="preserve">. </w:t>
      </w:r>
    </w:p>
    <w:p w:rsidR="00835C83" w:rsidRPr="00C00255" w:rsidRDefault="00835C83" w:rsidP="00321748">
      <w:pPr>
        <w:pStyle w:val="ListParagraph"/>
        <w:numPr>
          <w:ilvl w:val="1"/>
          <w:numId w:val="6"/>
        </w:numPr>
        <w:spacing w:after="120"/>
        <w:ind w:left="992" w:hanging="992"/>
        <w:contextualSpacing w:val="0"/>
      </w:pPr>
      <w:r w:rsidRPr="00A81196">
        <w:t xml:space="preserve">Gynėja nesutinka ir su teismo išvada, kad nuteistasis </w:t>
      </w:r>
      <w:r w:rsidR="00A97F74" w:rsidRPr="00A81196">
        <w:t>A. K. 2</w:t>
      </w:r>
      <w:r w:rsidRPr="00A81196">
        <w:t xml:space="preserve"> žinojo apie politinę situaciją Lietuvoje ir siekė nuversti jos valdžią. Anot gynybos, paskelbusi nepriklausomybę Lietuva tarptautinės teisės prasme netapo suvereni ir nepriklausoma valstybė – TSRS tik 1991 m. rugsėjo mėnesį panaikino 1940 m. įstatymą dėl Lietuvos inkorporavimo į TSRS sudėtį. Todėl apie Lietuvos valstybės teisinę padėtį po 1990 m. kovo 11</w:t>
      </w:r>
      <w:r w:rsidR="0016157D" w:rsidRPr="00A81196">
        <w:t> </w:t>
      </w:r>
      <w:r w:rsidRPr="00A81196">
        <w:t>d. Nepriklausomybės akto paskelbimo nuteistasis nežinojo ir negalėjo žinoti</w:t>
      </w:r>
      <w:r w:rsidRPr="00C00255">
        <w:t>.</w:t>
      </w:r>
    </w:p>
    <w:p w:rsidR="00835C83" w:rsidRPr="00C00255" w:rsidRDefault="00835C83" w:rsidP="00321748">
      <w:pPr>
        <w:pStyle w:val="ListParagraph"/>
        <w:numPr>
          <w:ilvl w:val="1"/>
          <w:numId w:val="6"/>
        </w:numPr>
        <w:spacing w:after="120"/>
        <w:ind w:left="992" w:hanging="992"/>
        <w:contextualSpacing w:val="0"/>
      </w:pPr>
      <w:r w:rsidRPr="00A81196">
        <w:t xml:space="preserve">Apeliantės teigimu, nuteistasis negalėjo būti jam inkriminuojamų veikų subjektu, nes už įsakymų vykdymą negali atsakyti eiliniai kariai. Pagal tarptautinę humanitarinę bei baudžiamąją teisę karo nusikaltimų ir nusikaltimų žmoniškumui kaltininkais gali būti pripažįstami asmenys, turintys galių, kad priimtų sprendimus dėl tokių nusikaltimų vykdymo. Tokią poziciją išdėstė ir </w:t>
      </w:r>
      <w:r w:rsidR="00A854E1" w:rsidRPr="00A81196">
        <w:t xml:space="preserve">(duomenys neskelbtini) </w:t>
      </w:r>
      <w:r w:rsidRPr="00A81196">
        <w:t xml:space="preserve">teismas, spręsdamas dėl nuteistojo </w:t>
      </w:r>
      <w:r w:rsidR="006036E7" w:rsidRPr="00A81196">
        <w:t>V. K. 2</w:t>
      </w:r>
      <w:r w:rsidRPr="00A81196">
        <w:t xml:space="preserve"> išdavimo Lietuvai</w:t>
      </w:r>
      <w:r w:rsidRPr="00C00255">
        <w:t xml:space="preserve">. </w:t>
      </w:r>
    </w:p>
    <w:p w:rsidR="00835C83" w:rsidRPr="00C00255" w:rsidRDefault="00835C83" w:rsidP="00321748">
      <w:pPr>
        <w:pStyle w:val="ListParagraph"/>
        <w:numPr>
          <w:ilvl w:val="1"/>
          <w:numId w:val="6"/>
        </w:numPr>
        <w:spacing w:after="120"/>
        <w:ind w:left="992" w:hanging="992"/>
        <w:contextualSpacing w:val="0"/>
      </w:pPr>
      <w:r w:rsidRPr="00A81196">
        <w:t>Nuteistojo gynėja neigia savo ginamojo kaltę analizuodama atskirų jam inkriminuotų nusikaltimų sudėties požymius bei nurodo, kad pastarasis turi būti išteisintas dėl visų jam pareikštų kaltinimų</w:t>
      </w:r>
      <w:r w:rsidRPr="00C00255">
        <w:t xml:space="preserve">. </w:t>
      </w:r>
    </w:p>
    <w:p w:rsidR="00835C83" w:rsidRPr="00C00255" w:rsidRDefault="00835C83" w:rsidP="00321748">
      <w:pPr>
        <w:pStyle w:val="ListParagraph"/>
        <w:numPr>
          <w:ilvl w:val="2"/>
          <w:numId w:val="6"/>
        </w:numPr>
        <w:tabs>
          <w:tab w:val="left" w:pos="284"/>
        </w:tabs>
        <w:spacing w:before="120" w:after="120"/>
        <w:ind w:left="992" w:hanging="992"/>
        <w:contextualSpacing w:val="0"/>
      </w:pPr>
      <w:r w:rsidRPr="00A81196">
        <w:t>Dėl BK 100 straipsnio</w:t>
      </w:r>
      <w:r w:rsidR="0016157D" w:rsidRPr="00A81196">
        <w:t xml:space="preserve">, </w:t>
      </w:r>
      <w:r w:rsidRPr="00A81196">
        <w:t>nes byloje nėra įrodyta tiesioginė tyčia. Nuteistasis nežinojo valdžios tikrųjų planų ir operacijos masto, dalyvaudamas dviejose karinėse operacijose nesuvokė vykstančių įvykių visumos ir tik aklai vykdė vyresniųjų įsakymus</w:t>
      </w:r>
      <w:r w:rsidRPr="00C00255">
        <w:t xml:space="preserve">. </w:t>
      </w:r>
    </w:p>
    <w:p w:rsidR="00835C83" w:rsidRPr="00C00255" w:rsidRDefault="00835C83" w:rsidP="00321748">
      <w:pPr>
        <w:pStyle w:val="ListParagraph"/>
        <w:numPr>
          <w:ilvl w:val="2"/>
          <w:numId w:val="6"/>
        </w:numPr>
        <w:tabs>
          <w:tab w:val="left" w:pos="284"/>
        </w:tabs>
        <w:spacing w:before="120" w:after="120"/>
        <w:ind w:left="992" w:hanging="992"/>
        <w:contextualSpacing w:val="0"/>
      </w:pPr>
      <w:r w:rsidRPr="00A81196">
        <w:t>Dėl BK 101 straipsnio</w:t>
      </w:r>
      <w:r w:rsidR="0016157D" w:rsidRPr="00A81196">
        <w:t xml:space="preserve">, </w:t>
      </w:r>
      <w:r w:rsidRPr="00A81196">
        <w:t>nes byloje nėra įrodyta tiesioginė tyčia ir specialus tikslas, t.</w:t>
      </w:r>
      <w:r w:rsidR="0016157D" w:rsidRPr="00A81196">
        <w:t> </w:t>
      </w:r>
      <w:r w:rsidRPr="00A81196">
        <w:t xml:space="preserve">y. kad jis siekė, jog būtų žudomi tarptautinės humanitarinės teisės saugomi asmenys. </w:t>
      </w:r>
      <w:r w:rsidR="00A97F74" w:rsidRPr="00A81196">
        <w:t>A. K. 2</w:t>
      </w:r>
      <w:r w:rsidRPr="00A81196">
        <w:t xml:space="preserve"> vykdė užduotį saugoti pastatus, jis negavo įsakymo žudyti ir nieko nenužudė</w:t>
      </w:r>
      <w:r w:rsidRPr="00C00255">
        <w:t xml:space="preserve">. </w:t>
      </w:r>
    </w:p>
    <w:p w:rsidR="00835C83" w:rsidRPr="00C00255" w:rsidRDefault="00835C83" w:rsidP="00321748">
      <w:pPr>
        <w:pStyle w:val="ListParagraph"/>
        <w:numPr>
          <w:ilvl w:val="2"/>
          <w:numId w:val="6"/>
        </w:numPr>
        <w:tabs>
          <w:tab w:val="left" w:pos="284"/>
        </w:tabs>
        <w:spacing w:before="120" w:after="120"/>
        <w:ind w:left="992" w:hanging="992"/>
        <w:contextualSpacing w:val="0"/>
      </w:pPr>
      <w:r w:rsidRPr="00A81196">
        <w:t>Dėl BK 103 straipsnio 1 dalyje</w:t>
      </w:r>
      <w:r w:rsidR="0016157D" w:rsidRPr="00A81196">
        <w:t xml:space="preserve">, </w:t>
      </w:r>
      <w:r w:rsidRPr="00A81196">
        <w:t>nes neįrodyta</w:t>
      </w:r>
      <w:r w:rsidR="00974E0B" w:rsidRPr="00A81196">
        <w:t>,</w:t>
      </w:r>
      <w:r w:rsidRPr="00A81196">
        <w:t xml:space="preserve"> kad inkriminuota veika buvo padaryta TSRS agresijos ar ginkluoto konflikto Lietuvoje metu, be to, </w:t>
      </w:r>
      <w:r w:rsidR="00A97F74" w:rsidRPr="00A81196">
        <w:t>A. K. 2</w:t>
      </w:r>
      <w:r w:rsidRPr="00A81196">
        <w:t xml:space="preserve"> neturėjo tikslo žaloti civilius ar atlikti kitus šios normos dispozicijoje numatytus veiksmus</w:t>
      </w:r>
      <w:r w:rsidRPr="00C00255">
        <w:t>.</w:t>
      </w:r>
      <w:r w:rsidR="008434B8" w:rsidRPr="00C00255">
        <w:t xml:space="preserve"> </w:t>
      </w:r>
    </w:p>
    <w:p w:rsidR="00835C83" w:rsidRPr="00A81196" w:rsidRDefault="00835C83" w:rsidP="00321748">
      <w:pPr>
        <w:pStyle w:val="ListParagraph"/>
        <w:numPr>
          <w:ilvl w:val="2"/>
          <w:numId w:val="6"/>
        </w:numPr>
        <w:tabs>
          <w:tab w:val="left" w:pos="284"/>
        </w:tabs>
        <w:spacing w:before="120" w:after="120"/>
        <w:ind w:left="992" w:hanging="992"/>
        <w:contextualSpacing w:val="0"/>
      </w:pPr>
      <w:r w:rsidRPr="00A81196">
        <w:t>Dėl BK 111 straipsnio</w:t>
      </w:r>
      <w:r w:rsidR="0016157D" w:rsidRPr="00A81196">
        <w:t xml:space="preserve">, </w:t>
      </w:r>
      <w:r w:rsidRPr="00A81196">
        <w:t xml:space="preserve">nes byloje nėra įrodyta tiesioginė tyčia bei karo, ginkluoto konflikto ar agresijos padėtis. </w:t>
      </w:r>
    </w:p>
    <w:p w:rsidR="00835C83" w:rsidRPr="00A81196" w:rsidRDefault="00835C83" w:rsidP="00321748">
      <w:pPr>
        <w:pStyle w:val="ListParagraph"/>
        <w:numPr>
          <w:ilvl w:val="2"/>
          <w:numId w:val="6"/>
        </w:numPr>
        <w:tabs>
          <w:tab w:val="left" w:pos="284"/>
        </w:tabs>
        <w:spacing w:before="120" w:after="120"/>
        <w:ind w:left="992" w:hanging="992"/>
        <w:contextualSpacing w:val="0"/>
      </w:pPr>
      <w:r w:rsidRPr="00A81196">
        <w:lastRenderedPageBreak/>
        <w:t>Dėl BK 112 straipsnio</w:t>
      </w:r>
      <w:r w:rsidR="0016157D" w:rsidRPr="00A81196">
        <w:t>,</w:t>
      </w:r>
      <w:r w:rsidRPr="00A81196">
        <w:t xml:space="preserve"> nes byloje nėra įrodyti neteisėti veiksmai naudojant neteisėtas karo priemones bei tiesioginė tyčia. Byloje nustatyta, kad nuteistasis niekam jokių įsakymų dėl draudžiamų karo priemonių naudojimo nedavė, pats naudojo tik jam priskirtas priemones. Kaip tanko 574 taikytojas, gavęs vado įsakymą, iššovė tuščius išmušamuosius užtaisus, kurių paskirtis </w:t>
      </w:r>
      <w:r w:rsidR="0016157D" w:rsidRPr="00A81196">
        <w:t xml:space="preserve">– </w:t>
      </w:r>
      <w:r w:rsidRPr="00A81196">
        <w:t xml:space="preserve">sukelti garsinį efektą. Apeliantės teigimu, byloje nėra duomenų, kad nuo šių šūvių būtų nukentėję civiliai. Kokiais ginklais buvo apsiginklavę desantininkai ir vidaus tarnybos pulko kariai bei kokius šaudmenis jie naudojo, </w:t>
      </w:r>
      <w:r w:rsidR="00A97F74" w:rsidRPr="00A81196">
        <w:t>A. K. 2</w:t>
      </w:r>
      <w:r w:rsidRPr="00A81196">
        <w:t xml:space="preserve"> nežinojo. </w:t>
      </w:r>
    </w:p>
    <w:p w:rsidR="00835C83" w:rsidRPr="00C00255" w:rsidRDefault="00835C83" w:rsidP="00321748">
      <w:pPr>
        <w:pStyle w:val="ListParagraph"/>
        <w:numPr>
          <w:ilvl w:val="1"/>
          <w:numId w:val="6"/>
        </w:numPr>
        <w:spacing w:after="120"/>
        <w:ind w:left="992" w:hanging="992"/>
        <w:contextualSpacing w:val="0"/>
      </w:pPr>
      <w:r w:rsidRPr="00A81196">
        <w:t xml:space="preserve">Apeliantė nesutinka su byloje pareikštais kaltinimais dėl karo nusikaltimų ir nusikaltimų žmoniškumui ir dėl to, jog dėl tų pačių įvykių kitoje byloje kaltinti asmenys buvo nuteisti už lengvesnius nusikaltimus. Apeliantė pažymi, kad sprendimai minėtoje byloje jau yra įsiteisėję, peržiūrėti kasacine tvarka bei </w:t>
      </w:r>
      <w:r w:rsidR="00930046" w:rsidRPr="00A81196">
        <w:t>EŽTT</w:t>
      </w:r>
      <w:r w:rsidRPr="00A81196">
        <w:t xml:space="preserve">. Pagal Romos statutą niekas baudžiamąja tvarka neatsako už nusikaltimus, padarytus iki jo įsigaliojimo. </w:t>
      </w:r>
      <w:r w:rsidRPr="00A81196">
        <w:rPr>
          <w:szCs w:val="24"/>
        </w:rPr>
        <w:t xml:space="preserve">Teismas ignoravo faktą, kad Romos statuto nuostatos į Lietuvos teisės </w:t>
      </w:r>
      <w:r w:rsidR="00D64F26" w:rsidRPr="00A81196">
        <w:rPr>
          <w:szCs w:val="24"/>
        </w:rPr>
        <w:t>sistemą buvo perkeltos tik 1998–</w:t>
      </w:r>
      <w:r w:rsidRPr="00A81196">
        <w:rPr>
          <w:szCs w:val="24"/>
        </w:rPr>
        <w:t xml:space="preserve">2000 m. ir negaliojo nagrinėjamų įvykių metu. </w:t>
      </w:r>
      <w:r w:rsidRPr="00A81196">
        <w:rPr>
          <w:color w:val="000000"/>
          <w:szCs w:val="24"/>
          <w:lang w:eastAsia="lt-LT" w:bidi="lt-LT"/>
        </w:rPr>
        <w:t>Iki Romos statuto priėmimo 1998 m. tarptautinėje baudžiamojoje teisėje nebuvo savarankiško</w:t>
      </w:r>
      <w:r w:rsidR="0016157D" w:rsidRPr="00A81196">
        <w:rPr>
          <w:color w:val="000000"/>
          <w:szCs w:val="24"/>
          <w:lang w:eastAsia="lt-LT" w:bidi="lt-LT"/>
        </w:rPr>
        <w:t>s</w:t>
      </w:r>
      <w:r w:rsidRPr="00A81196">
        <w:rPr>
          <w:color w:val="000000"/>
          <w:szCs w:val="24"/>
          <w:lang w:eastAsia="lt-LT" w:bidi="lt-LT"/>
        </w:rPr>
        <w:t xml:space="preserve"> karo nusikaltimų ir nusikaltimų žmoniškumui </w:t>
      </w:r>
      <w:r w:rsidRPr="00A81196">
        <w:rPr>
          <w:szCs w:val="24"/>
          <w:lang w:eastAsia="lt-LT" w:bidi="lt-LT"/>
        </w:rPr>
        <w:t>apibrėž</w:t>
      </w:r>
      <w:r w:rsidR="0016157D" w:rsidRPr="00A81196">
        <w:rPr>
          <w:szCs w:val="24"/>
          <w:lang w:eastAsia="lt-LT" w:bidi="lt-LT"/>
        </w:rPr>
        <w:t>ties</w:t>
      </w:r>
      <w:r w:rsidRPr="00C00255">
        <w:rPr>
          <w:szCs w:val="24"/>
          <w:lang w:eastAsia="lt-LT" w:bidi="lt-LT"/>
        </w:rPr>
        <w:t xml:space="preserve">. </w:t>
      </w:r>
    </w:p>
    <w:p w:rsidR="00835C83" w:rsidRPr="00C00255" w:rsidRDefault="00835C83" w:rsidP="00321748">
      <w:pPr>
        <w:pStyle w:val="ListParagraph"/>
        <w:numPr>
          <w:ilvl w:val="1"/>
          <w:numId w:val="6"/>
        </w:numPr>
        <w:spacing w:after="120"/>
        <w:ind w:left="992" w:hanging="992"/>
        <w:contextualSpacing w:val="0"/>
      </w:pPr>
      <w:r w:rsidRPr="00A81196">
        <w:t xml:space="preserve">Gynėja atkreipia dėmesį ir į tai, kad </w:t>
      </w:r>
      <w:r w:rsidR="00A97F74" w:rsidRPr="00A81196">
        <w:t>A. K. 2</w:t>
      </w:r>
      <w:r w:rsidRPr="00A81196">
        <w:t xml:space="preserve"> įtariamuoju buvo pripažintas tik praėjus 22 metams nuo pirminės jo apklausos. Byloje </w:t>
      </w:r>
      <w:r w:rsidR="00712379" w:rsidRPr="00A81196">
        <w:t xml:space="preserve">buvo suvaržyta jo teisė į gynybą, nes </w:t>
      </w:r>
      <w:r w:rsidRPr="00A81196">
        <w:t>jis negalėjo susipažinti su tyrimo medžiaga bei pateikti prašymus, kaip tai numatyt</w:t>
      </w:r>
      <w:r w:rsidR="00DC3E4F" w:rsidRPr="00A81196">
        <w:t>a BPK </w:t>
      </w:r>
      <w:r w:rsidR="00EC1D9A" w:rsidRPr="00A81196">
        <w:t>218 straipsnio 1</w:t>
      </w:r>
      <w:r w:rsidR="0026514F" w:rsidRPr="00A81196">
        <w:t> </w:t>
      </w:r>
      <w:r w:rsidR="00EC1D9A" w:rsidRPr="00A81196">
        <w:t>dalies 3 </w:t>
      </w:r>
      <w:r w:rsidRPr="00A81196">
        <w:t>punkte</w:t>
      </w:r>
      <w:r w:rsidR="00712379" w:rsidRPr="00A81196">
        <w:t>.</w:t>
      </w:r>
      <w:r w:rsidRPr="00A81196">
        <w:t xml:space="preserve"> Lietuva tik 2014 m. lapkričio 27 d. išsiuntė teisinės pagalbos prašymą </w:t>
      </w:r>
      <w:r w:rsidR="00A854E1" w:rsidRPr="00A81196">
        <w:t>(duomenys neskelbtini)</w:t>
      </w:r>
      <w:r w:rsidRPr="00A81196">
        <w:t xml:space="preserve"> dėl pranešimo apie i</w:t>
      </w:r>
      <w:r w:rsidR="00EC1D9A" w:rsidRPr="00A81196">
        <w:t xml:space="preserve">kiteisminio tyrimo pabaigą </w:t>
      </w:r>
      <w:r w:rsidR="00A97F74" w:rsidRPr="00A81196">
        <w:t>A. K. 2</w:t>
      </w:r>
      <w:r w:rsidRPr="00A81196">
        <w:t>, tačiau byloje nėra duomenų</w:t>
      </w:r>
      <w:r w:rsidR="000D2DF3" w:rsidRPr="00A81196">
        <w:t>,</w:t>
      </w:r>
      <w:r w:rsidRPr="00A81196">
        <w:t xml:space="preserve"> ar dokumentai buvo įteikti</w:t>
      </w:r>
      <w:r w:rsidRPr="00C00255">
        <w:t xml:space="preserve">. </w:t>
      </w:r>
    </w:p>
    <w:p w:rsidR="00914E6E" w:rsidRPr="00C00255" w:rsidRDefault="00914E6E" w:rsidP="00321748">
      <w:pPr>
        <w:pStyle w:val="ListParagraph"/>
        <w:numPr>
          <w:ilvl w:val="0"/>
          <w:numId w:val="6"/>
        </w:numPr>
        <w:spacing w:after="120"/>
        <w:ind w:left="992" w:hanging="992"/>
        <w:contextualSpacing w:val="0"/>
        <w:rPr>
          <w:color w:val="000000"/>
          <w:szCs w:val="24"/>
          <w:lang w:eastAsia="lt-LT" w:bidi="lt-LT"/>
        </w:rPr>
      </w:pPr>
      <w:bookmarkStart w:id="167" w:name="_Toc37947883"/>
      <w:bookmarkStart w:id="168" w:name="_Toc67677362"/>
      <w:bookmarkStart w:id="169" w:name="_Toc67985489"/>
      <w:r w:rsidRPr="00D43DF2">
        <w:rPr>
          <w:b/>
        </w:rPr>
        <w:t xml:space="preserve">Nuteistojo </w:t>
      </w:r>
      <w:r w:rsidR="00A97F74" w:rsidRPr="00D43DF2">
        <w:rPr>
          <w:b/>
        </w:rPr>
        <w:t>A. R.</w:t>
      </w:r>
      <w:r w:rsidRPr="00D43DF2">
        <w:rPr>
          <w:b/>
        </w:rPr>
        <w:t xml:space="preserve"> gynėjas</w:t>
      </w:r>
      <w:bookmarkEnd w:id="167"/>
      <w:bookmarkEnd w:id="168"/>
      <w:bookmarkEnd w:id="169"/>
      <w:r w:rsidRPr="00D43DF2">
        <w:rPr>
          <w:b/>
        </w:rPr>
        <w:t xml:space="preserve"> advokatas A. Verpečinskas</w:t>
      </w:r>
      <w:r w:rsidRPr="00C00255">
        <w:rPr>
          <w:szCs w:val="24"/>
        </w:rPr>
        <w:t xml:space="preserve"> </w:t>
      </w:r>
      <w:r w:rsidRPr="00A81196">
        <w:rPr>
          <w:szCs w:val="24"/>
        </w:rPr>
        <w:t>apeliaciniu skundu prašo panaikinti pirmosios instancijos teismo nuosprendį ir jo ginamąjį išteisinti</w:t>
      </w:r>
      <w:r w:rsidRPr="00C00255">
        <w:rPr>
          <w:szCs w:val="24"/>
        </w:rPr>
        <w:t>.</w:t>
      </w:r>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t>Apelianto įsitikinimu, nuosprendis neatitinka jam keliamų reikalavimų. Jis nesusietas su konkrečiais faktais, kuri</w:t>
      </w:r>
      <w:r w:rsidR="0016157D" w:rsidRPr="00A81196">
        <w:rPr>
          <w:szCs w:val="24"/>
        </w:rPr>
        <w:t>ais remiantis</w:t>
      </w:r>
      <w:r w:rsidRPr="00A81196">
        <w:rPr>
          <w:szCs w:val="24"/>
        </w:rPr>
        <w:t xml:space="preserve"> būtų galima daryti pagrįstą išvadą apie kaltinamojo dalyvavimą konkrečioje veikoje. Iš nuosprendžio motyvuojamosios dalies neaišku, kokias konkrečias tyčines veikas nuteistasis padarė, jo veiksmai nedetalizuoti. Nuosprendžiu nenustatyta, ar </w:t>
      </w:r>
      <w:r w:rsidR="00A97F74" w:rsidRPr="00A81196">
        <w:rPr>
          <w:szCs w:val="24"/>
        </w:rPr>
        <w:t>A. R.</w:t>
      </w:r>
      <w:r w:rsidRPr="00A81196">
        <w:rPr>
          <w:szCs w:val="24"/>
        </w:rPr>
        <w:t xml:space="preserve"> veiksmai sukėlė kokius nors padarinius. Kaltinimas paremtas tik prielaidomis ir aplinkybe, jog vykdydamas įsakymą </w:t>
      </w:r>
      <w:r w:rsidR="00A97F74" w:rsidRPr="00A81196">
        <w:rPr>
          <w:szCs w:val="24"/>
        </w:rPr>
        <w:t>A. R.</w:t>
      </w:r>
      <w:r w:rsidRPr="00A81196">
        <w:rPr>
          <w:szCs w:val="24"/>
        </w:rPr>
        <w:t xml:space="preserve"> buvo prie Spaudos rūmų, t. y. prieš savo valią netinkamu laiku atsidūrė netinkamoje vietoje</w:t>
      </w:r>
      <w:r w:rsidRPr="00C00255">
        <w:rPr>
          <w:szCs w:val="24"/>
        </w:rPr>
        <w:t>.</w:t>
      </w:r>
      <w:r w:rsidR="008434B8" w:rsidRPr="00C00255">
        <w:rPr>
          <w:szCs w:val="24"/>
        </w:rPr>
        <w:t xml:space="preserve"> </w:t>
      </w:r>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t>Gynėjas nesutinka su teismo išvada, kad kariai negalėjo nesuprasti vykdantys neteisėtą įsakymą ir galėjo atsisakyti jį vykdyti be neigiamų pa</w:t>
      </w:r>
      <w:r w:rsidR="0016157D" w:rsidRPr="00A81196">
        <w:rPr>
          <w:szCs w:val="24"/>
        </w:rPr>
        <w:t>darinių</w:t>
      </w:r>
      <w:r w:rsidRPr="00A81196">
        <w:rPr>
          <w:szCs w:val="24"/>
        </w:rPr>
        <w:t>. Galioję teisės aktai nesuteik</w:t>
      </w:r>
      <w:r w:rsidR="0016157D" w:rsidRPr="00A81196">
        <w:rPr>
          <w:szCs w:val="24"/>
        </w:rPr>
        <w:t>ė</w:t>
      </w:r>
      <w:r w:rsidRPr="00A81196">
        <w:rPr>
          <w:szCs w:val="24"/>
        </w:rPr>
        <w:t xml:space="preserve"> galimybės kariams vertinti duotų įsakymų teisėtumo. Galiojusio T</w:t>
      </w:r>
      <w:r w:rsidR="00D50E9E" w:rsidRPr="00A81196">
        <w:rPr>
          <w:szCs w:val="24"/>
        </w:rPr>
        <w:t>SRS g</w:t>
      </w:r>
      <w:r w:rsidRPr="00A81196">
        <w:rPr>
          <w:szCs w:val="24"/>
        </w:rPr>
        <w:t>inkluotų</w:t>
      </w:r>
      <w:r w:rsidR="00D50E9E" w:rsidRPr="00A81196">
        <w:rPr>
          <w:szCs w:val="24"/>
        </w:rPr>
        <w:t xml:space="preserve">jų </w:t>
      </w:r>
      <w:r w:rsidRPr="00A81196">
        <w:rPr>
          <w:szCs w:val="24"/>
        </w:rPr>
        <w:t xml:space="preserve">pajėgų </w:t>
      </w:r>
      <w:r w:rsidR="0056278C" w:rsidRPr="00A81196">
        <w:rPr>
          <w:szCs w:val="24"/>
        </w:rPr>
        <w:t xml:space="preserve">drausmės </w:t>
      </w:r>
      <w:r w:rsidRPr="00A81196">
        <w:rPr>
          <w:szCs w:val="24"/>
        </w:rPr>
        <w:t xml:space="preserve">statuto nuostatos rodo, kad karys įsakymą privalėjo vykdyti, o </w:t>
      </w:r>
      <w:r w:rsidR="0016157D" w:rsidRPr="00A81196">
        <w:rPr>
          <w:szCs w:val="24"/>
        </w:rPr>
        <w:t xml:space="preserve">jam </w:t>
      </w:r>
      <w:r w:rsidRPr="00A81196">
        <w:rPr>
          <w:szCs w:val="24"/>
        </w:rPr>
        <w:t xml:space="preserve">nepaklusus, kiti kariškiai privalėjo panaudoti prievartos priemones ar net ginklus, jog jį priverstų tai daryti. Anot apelianto, net ir pagal Lietuvoje galiojantį </w:t>
      </w:r>
      <w:r w:rsidR="0042306C" w:rsidRPr="00A81196">
        <w:rPr>
          <w:szCs w:val="24"/>
        </w:rPr>
        <w:t>Lietuvos Respublikos k</w:t>
      </w:r>
      <w:r w:rsidRPr="00A81196">
        <w:rPr>
          <w:szCs w:val="24"/>
        </w:rPr>
        <w:t xml:space="preserve">ariuomenės drausmės statutą kario atsisakymas vykdyti įsakymą yra šiurkščiausias drausmės pažeidimas. Gynėjo įsitikinimu, vadovaujantis </w:t>
      </w:r>
      <w:r w:rsidR="0056278C" w:rsidRPr="00A81196">
        <w:rPr>
          <w:szCs w:val="24"/>
        </w:rPr>
        <w:t>TSRS g</w:t>
      </w:r>
      <w:r w:rsidRPr="00A81196">
        <w:rPr>
          <w:szCs w:val="24"/>
        </w:rPr>
        <w:t>inkluotų</w:t>
      </w:r>
      <w:r w:rsidR="0056278C" w:rsidRPr="00A81196">
        <w:rPr>
          <w:szCs w:val="24"/>
        </w:rPr>
        <w:t>jų</w:t>
      </w:r>
      <w:r w:rsidRPr="00A81196">
        <w:rPr>
          <w:szCs w:val="24"/>
        </w:rPr>
        <w:t xml:space="preserve"> pajėgų</w:t>
      </w:r>
      <w:r w:rsidR="0056278C" w:rsidRPr="00A81196">
        <w:rPr>
          <w:szCs w:val="24"/>
        </w:rPr>
        <w:t xml:space="preserve"> drausmės</w:t>
      </w:r>
      <w:r w:rsidRPr="00A81196">
        <w:rPr>
          <w:szCs w:val="24"/>
        </w:rPr>
        <w:t xml:space="preserve"> statuto nuostatomis, vien kario patraukimas atsakomybėn drausmine tvarka už įsakymo nevykdymą neatleisdavo jo nuo galimos baudžiamosios atsakomybės. Apelianto nuomone, nuteistiesiems buvo inkriminuoti karo nusikaltimai, todėl 1991 m. sausio įvykiai vertintini kaip karinė operacija. O įsakymo nevykdymas karo metu ar kautynių aplinkybėmis pagal 1961 m. BK buvo baudžiamas mirtimi arba laisvės atėmimu nuo 5 iki 10 metų. Taigi nuteistasis buvo priverstas vykdyti įsakymą, nes kitaip jo gyvybei grėstų realus pavojus</w:t>
      </w:r>
      <w:r w:rsidRPr="00C00255">
        <w:rPr>
          <w:szCs w:val="24"/>
        </w:rPr>
        <w:t xml:space="preserve">. </w:t>
      </w:r>
    </w:p>
    <w:p w:rsidR="00914E6E" w:rsidRPr="00C00255" w:rsidRDefault="00914E6E" w:rsidP="00321748">
      <w:pPr>
        <w:pStyle w:val="ListParagraph"/>
        <w:numPr>
          <w:ilvl w:val="1"/>
          <w:numId w:val="6"/>
        </w:numPr>
        <w:spacing w:after="120"/>
        <w:ind w:left="992" w:hanging="992"/>
        <w:contextualSpacing w:val="0"/>
        <w:rPr>
          <w:szCs w:val="24"/>
        </w:rPr>
      </w:pPr>
      <w:r w:rsidRPr="00A81196">
        <w:lastRenderedPageBreak/>
        <w:t xml:space="preserve">Apeliaciniame skunde taip pat teigiama, kad įsakymą tankams važiuoti prie Spaudos rūmų tanko Nr. 511 vairuotojas </w:t>
      </w:r>
      <w:r w:rsidR="00A97F74" w:rsidRPr="00A81196">
        <w:t>A. R.</w:t>
      </w:r>
      <w:r w:rsidRPr="00A81196">
        <w:t xml:space="preserve"> gavo iš pulko vado nuteistojo </w:t>
      </w:r>
      <w:r w:rsidR="004069BF" w:rsidRPr="00A81196">
        <w:t>N. A.</w:t>
      </w:r>
      <w:r w:rsidRPr="00A81196">
        <w:t xml:space="preserve">. Kitų tankų ekipažų nariai nuteistieji </w:t>
      </w:r>
      <w:r w:rsidR="00BA18FA" w:rsidRPr="00A81196">
        <w:t>J. M.</w:t>
      </w:r>
      <w:r w:rsidRPr="00A81196">
        <w:t xml:space="preserve">, </w:t>
      </w:r>
      <w:r w:rsidR="00C82C9D" w:rsidRPr="00A81196">
        <w:t>V. P.</w:t>
      </w:r>
      <w:r w:rsidRPr="00A81196">
        <w:t xml:space="preserve">, </w:t>
      </w:r>
      <w:r w:rsidR="006036E7" w:rsidRPr="00A81196">
        <w:t>V. U. 1</w:t>
      </w:r>
      <w:r w:rsidRPr="00A81196">
        <w:t xml:space="preserve">, taip pat liudytojas </w:t>
      </w:r>
      <w:r w:rsidR="00A854E1" w:rsidRPr="00A81196">
        <w:t xml:space="preserve">J. K. </w:t>
      </w:r>
      <w:r w:rsidRPr="00A81196">
        <w:t xml:space="preserve">patvirtino, kad būtent </w:t>
      </w:r>
      <w:r w:rsidR="004069BF" w:rsidRPr="00A81196">
        <w:t>N. A.</w:t>
      </w:r>
      <w:r w:rsidRPr="00A81196">
        <w:t xml:space="preserve"> davė įsakymus ir instrukcijas tankų ekipažams. Tokias aplinkybes patvirtino ir liudytojas ryšininkas </w:t>
      </w:r>
      <w:r w:rsidR="00DD1A27" w:rsidRPr="00A81196">
        <w:t>A. Š.</w:t>
      </w:r>
      <w:r w:rsidRPr="00A81196">
        <w:t xml:space="preserve">. </w:t>
      </w:r>
      <w:r w:rsidR="00A97F74" w:rsidRPr="00A81196">
        <w:t>A. R.</w:t>
      </w:r>
      <w:r w:rsidRPr="00A81196">
        <w:t xml:space="preserve"> negalėjo žinoti</w:t>
      </w:r>
      <w:r w:rsidR="0016157D" w:rsidRPr="00A81196">
        <w:t>,</w:t>
      </w:r>
      <w:r w:rsidRPr="00A81196">
        <w:t xml:space="preserve"> kokiu tikslu važiuoja prie Spaudos rūmų. Jam buvo duota užduotis važiuoti 4 tankų kolonoje, sustoti į kovos rikiuotę ir laukti tolesnių nurodymų, o apie civilius prie pastato informuotas nebuvo</w:t>
      </w:r>
      <w:r w:rsidRPr="00C00255">
        <w:rPr>
          <w:szCs w:val="24"/>
        </w:rPr>
        <w:t xml:space="preserve">. </w:t>
      </w:r>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t xml:space="preserve">Gynėjo įsitikinimu, teismas netinkamai įvertino </w:t>
      </w:r>
      <w:r w:rsidR="00A97F74" w:rsidRPr="00A81196">
        <w:rPr>
          <w:szCs w:val="24"/>
        </w:rPr>
        <w:t>A. R.</w:t>
      </w:r>
      <w:r w:rsidRPr="00A81196">
        <w:rPr>
          <w:szCs w:val="24"/>
        </w:rPr>
        <w:t xml:space="preserve"> ir tanko Nr. 511 ekipažo narių vaidmenį įvykių metu. Apeliantas teigia, kad jų tankas prie Spaudos rūmų dėl gedimo atvažiavo paskutinis iš 4 tankų kolonos jau besibaigiant įvykiams. Tą patvirtina ne tik paties </w:t>
      </w:r>
      <w:r w:rsidR="00A97F74" w:rsidRPr="00A81196">
        <w:rPr>
          <w:szCs w:val="24"/>
        </w:rPr>
        <w:t>A. R.</w:t>
      </w:r>
      <w:r w:rsidR="00A854E1" w:rsidRPr="00A81196">
        <w:rPr>
          <w:szCs w:val="24"/>
        </w:rPr>
        <w:t>, bet ir liudytojo A. </w:t>
      </w:r>
      <w:r w:rsidRPr="00A81196">
        <w:rPr>
          <w:szCs w:val="24"/>
        </w:rPr>
        <w:t>B</w:t>
      </w:r>
      <w:r w:rsidR="00A854E1" w:rsidRPr="00A81196">
        <w:rPr>
          <w:szCs w:val="24"/>
        </w:rPr>
        <w:t>.</w:t>
      </w:r>
      <w:r w:rsidRPr="00A81196">
        <w:rPr>
          <w:szCs w:val="24"/>
        </w:rPr>
        <w:t>, nukentėjusiųjų A. J</w:t>
      </w:r>
      <w:r w:rsidR="00A854E1" w:rsidRPr="00A81196">
        <w:rPr>
          <w:szCs w:val="24"/>
        </w:rPr>
        <w:t>.</w:t>
      </w:r>
      <w:r w:rsidRPr="00A81196">
        <w:rPr>
          <w:szCs w:val="24"/>
        </w:rPr>
        <w:t>, A. S</w:t>
      </w:r>
      <w:r w:rsidR="00A854E1" w:rsidRPr="00A81196">
        <w:rPr>
          <w:szCs w:val="24"/>
        </w:rPr>
        <w:t>.</w:t>
      </w:r>
      <w:r w:rsidRPr="00A81196">
        <w:rPr>
          <w:szCs w:val="24"/>
        </w:rPr>
        <w:t xml:space="preserve">, </w:t>
      </w:r>
      <w:r w:rsidR="00A854E1" w:rsidRPr="00A81196">
        <w:rPr>
          <w:szCs w:val="24"/>
        </w:rPr>
        <w:t>R. S., G. </w:t>
      </w:r>
      <w:r w:rsidRPr="00A81196">
        <w:rPr>
          <w:szCs w:val="24"/>
        </w:rPr>
        <w:t>Š</w:t>
      </w:r>
      <w:r w:rsidR="00A854E1" w:rsidRPr="00A81196">
        <w:rPr>
          <w:szCs w:val="24"/>
        </w:rPr>
        <w:t>.</w:t>
      </w:r>
      <w:r w:rsidRPr="00A81196">
        <w:rPr>
          <w:szCs w:val="24"/>
        </w:rPr>
        <w:t xml:space="preserve"> bei k</w:t>
      </w:r>
      <w:r w:rsidR="00513C98" w:rsidRPr="00A81196">
        <w:rPr>
          <w:szCs w:val="24"/>
        </w:rPr>
        <w:t>itų</w:t>
      </w:r>
      <w:r w:rsidRPr="00A81196">
        <w:rPr>
          <w:szCs w:val="24"/>
        </w:rPr>
        <w:t xml:space="preserve"> asmenų parodymai apie įvykio vietoje buvusius tik 3 tankus. Iš tanko ekipažo narių parodymų matyti, kad jų tankas neiššovė n</w:t>
      </w:r>
      <w:r w:rsidR="0016157D" w:rsidRPr="00A81196">
        <w:rPr>
          <w:szCs w:val="24"/>
        </w:rPr>
        <w:t>ė</w:t>
      </w:r>
      <w:r w:rsidRPr="00A81196">
        <w:rPr>
          <w:szCs w:val="24"/>
        </w:rPr>
        <w:t xml:space="preserve"> vieno šūvio imitaciniais ar koviniais užtaisais (749 bylos tomas). Apie tai, kad šis tankas būtų šaudęs</w:t>
      </w:r>
      <w:r w:rsidR="0016157D" w:rsidRPr="00A81196">
        <w:rPr>
          <w:szCs w:val="24"/>
        </w:rPr>
        <w:t>,</w:t>
      </w:r>
      <w:r w:rsidRPr="00A81196">
        <w:rPr>
          <w:szCs w:val="24"/>
        </w:rPr>
        <w:t xml:space="preserve"> nenurodė n</w:t>
      </w:r>
      <w:r w:rsidR="0016157D" w:rsidRPr="00A81196">
        <w:rPr>
          <w:szCs w:val="24"/>
        </w:rPr>
        <w:t>ė</w:t>
      </w:r>
      <w:r w:rsidRPr="00A81196">
        <w:rPr>
          <w:szCs w:val="24"/>
        </w:rPr>
        <w:t xml:space="preserve"> vienas nukentėjusysis ar liudytojas. Be to, neveikiant tanko varikliui, </w:t>
      </w:r>
      <w:r w:rsidR="00BF0403" w:rsidRPr="00A81196">
        <w:rPr>
          <w:szCs w:val="24"/>
        </w:rPr>
        <w:t>tankas</w:t>
      </w:r>
      <w:r w:rsidRPr="00A81196">
        <w:rPr>
          <w:szCs w:val="24"/>
        </w:rPr>
        <w:t xml:space="preserve"> savarankiškai judėti ir šaudyti negalėjo. Iš vaizdo medžiagos matyti, kad šis tankas stovi kitoje gatvės pusėje, už žmonių nugarų. Vėliau, </w:t>
      </w:r>
      <w:r w:rsidR="00974E0B" w:rsidRPr="00A81196">
        <w:rPr>
          <w:szCs w:val="24"/>
        </w:rPr>
        <w:t>vadovaujantis</w:t>
      </w:r>
      <w:r w:rsidRPr="00A81196">
        <w:rPr>
          <w:szCs w:val="24"/>
        </w:rPr>
        <w:t xml:space="preserve"> nuteistojo </w:t>
      </w:r>
      <w:r w:rsidR="00C82C9D" w:rsidRPr="00A81196">
        <w:rPr>
          <w:szCs w:val="24"/>
        </w:rPr>
        <w:t>V. Š. 3</w:t>
      </w:r>
      <w:r w:rsidRPr="00A81196">
        <w:rPr>
          <w:szCs w:val="24"/>
        </w:rPr>
        <w:t xml:space="preserve"> bei šio tanko ekipažo narių parodymais, sugedęs tankas buvo nuvilktas į karinį dalinį</w:t>
      </w:r>
      <w:r w:rsidRPr="00C00255">
        <w:rPr>
          <w:szCs w:val="24"/>
        </w:rPr>
        <w:t>.</w:t>
      </w:r>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t xml:space="preserve">Apeliantas nesutinka su teismo išvada, kad </w:t>
      </w:r>
      <w:r w:rsidR="00A97F74" w:rsidRPr="00A81196">
        <w:rPr>
          <w:szCs w:val="24"/>
        </w:rPr>
        <w:t>A. R.</w:t>
      </w:r>
      <w:r w:rsidRPr="00A81196">
        <w:rPr>
          <w:szCs w:val="24"/>
        </w:rPr>
        <w:t xml:space="preserve"> veiką padarė bendrininkų grupe. Išankstinis susitarimas tarp viršininko ir pavaldinių, esant pavaldumo grandinei ir hierarchijai, neįmanomas, o viršininko duotų įsakymų vykdymas negali būti vertinamas kaip susitarimas vykdyti nusikaltimus. Siekiant pripažinti nuteistąjį šios grupės nariu, būtina įrodyti jį žinojus TSRS vadovų ir aukštų pareigūnų sumanymus ir tarp jų buvus susitarimą. Apelianto teigimu, tokios aplinkybės byloje nenustatytos, kaip ir nėra duomenų, kad rašytiniuose įsakymuose buvo nurodyta vykdyti uždraustas veikas. Apelianto teigimu, bylos duomenys rodo, kad tik tankų vadai buvo kviečiami į </w:t>
      </w:r>
      <w:r w:rsidR="004069BF" w:rsidRPr="00A81196">
        <w:rPr>
          <w:szCs w:val="24"/>
        </w:rPr>
        <w:t>N. A.</w:t>
      </w:r>
      <w:r w:rsidRPr="00A81196">
        <w:rPr>
          <w:szCs w:val="24"/>
        </w:rPr>
        <w:t xml:space="preserve"> kabinetą ir ten instruktuoj</w:t>
      </w:r>
      <w:r w:rsidR="00A854E1" w:rsidRPr="00A81196">
        <w:rPr>
          <w:szCs w:val="24"/>
        </w:rPr>
        <w:t>ami prieš vykstant prie Spaudos </w:t>
      </w:r>
      <w:r w:rsidRPr="00A81196">
        <w:rPr>
          <w:szCs w:val="24"/>
        </w:rPr>
        <w:t xml:space="preserve">rūmų. Tai pirmiausia patvirtina </w:t>
      </w:r>
      <w:r w:rsidR="00DD1A27" w:rsidRPr="00A81196">
        <w:rPr>
          <w:szCs w:val="24"/>
        </w:rPr>
        <w:t>A. Š.</w:t>
      </w:r>
      <w:r w:rsidRPr="00A81196">
        <w:rPr>
          <w:szCs w:val="24"/>
        </w:rPr>
        <w:t xml:space="preserve"> parodymai, kad į tankų ekipažus pats pasiprašė tik </w:t>
      </w:r>
      <w:r w:rsidR="00C82C9D" w:rsidRPr="00A81196">
        <w:rPr>
          <w:szCs w:val="24"/>
        </w:rPr>
        <w:t>A. G. 1</w:t>
      </w:r>
      <w:r w:rsidRPr="00A81196">
        <w:rPr>
          <w:szCs w:val="24"/>
        </w:rPr>
        <w:t>, tuo papiktinęs kitus kariškius. Liudytojas V. G</w:t>
      </w:r>
      <w:r w:rsidR="00A854E1" w:rsidRPr="00A81196">
        <w:rPr>
          <w:szCs w:val="24"/>
        </w:rPr>
        <w:t>.</w:t>
      </w:r>
      <w:r w:rsidRPr="00A81196">
        <w:rPr>
          <w:szCs w:val="24"/>
        </w:rPr>
        <w:t xml:space="preserve"> nurodė, kad tik siauras asmenų ratas žinojo apie duotų įsakymų pobūdį, o eiliniai kariškiai neturėjo pasirinkimo galimybės</w:t>
      </w:r>
      <w:r w:rsidR="00BF0403" w:rsidRPr="00A81196">
        <w:rPr>
          <w:szCs w:val="24"/>
        </w:rPr>
        <w:t xml:space="preserve"> dėl</w:t>
      </w:r>
      <w:r w:rsidRPr="00A81196">
        <w:rPr>
          <w:szCs w:val="24"/>
        </w:rPr>
        <w:t xml:space="preserve"> įsakym</w:t>
      </w:r>
      <w:r w:rsidR="00BF0403" w:rsidRPr="00A81196">
        <w:rPr>
          <w:szCs w:val="24"/>
        </w:rPr>
        <w:t>o vykdymo</w:t>
      </w:r>
      <w:r w:rsidRPr="00A81196">
        <w:rPr>
          <w:szCs w:val="24"/>
        </w:rPr>
        <w:t>. Gynėjo teigimu, minėtais duomenimis paneigta versija, jog tankų ekipažai buvo suformuoti savanoriškumo principu, kuris būtinas siekiant konstatuoti asmenis veikus kaip bendrininkus</w:t>
      </w:r>
      <w:r w:rsidRPr="00C00255">
        <w:rPr>
          <w:szCs w:val="24"/>
        </w:rPr>
        <w:t>.</w:t>
      </w:r>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t xml:space="preserve">Teismo išvada, </w:t>
      </w:r>
      <w:r w:rsidR="0047049F" w:rsidRPr="00A81196">
        <w:rPr>
          <w:szCs w:val="24"/>
        </w:rPr>
        <w:t xml:space="preserve">kad </w:t>
      </w:r>
      <w:r w:rsidRPr="00A81196">
        <w:rPr>
          <w:szCs w:val="24"/>
        </w:rPr>
        <w:t>TSRS kariškiai žinojo apie Lietuvos nepriklausomybės paskelbimą, Molotovo</w:t>
      </w:r>
      <w:r w:rsidR="0016157D" w:rsidRPr="00A81196">
        <w:rPr>
          <w:szCs w:val="24"/>
        </w:rPr>
        <w:t>–</w:t>
      </w:r>
      <w:r w:rsidRPr="00A81196">
        <w:rPr>
          <w:szCs w:val="24"/>
        </w:rPr>
        <w:t>Ribentropo paktą</w:t>
      </w:r>
      <w:r w:rsidR="00BF0403" w:rsidRPr="00A81196">
        <w:rPr>
          <w:szCs w:val="24"/>
        </w:rPr>
        <w:t>,</w:t>
      </w:r>
      <w:r w:rsidRPr="00A81196">
        <w:rPr>
          <w:szCs w:val="24"/>
        </w:rPr>
        <w:t xml:space="preserve"> neatitinka byloje surinktų duomenų. Vadovaujantis liudytojų H. B</w:t>
      </w:r>
      <w:r w:rsidR="00A854E1" w:rsidRPr="00A81196">
        <w:rPr>
          <w:szCs w:val="24"/>
        </w:rPr>
        <w:t>., V. </w:t>
      </w:r>
      <w:r w:rsidRPr="00A81196">
        <w:rPr>
          <w:szCs w:val="24"/>
        </w:rPr>
        <w:t>S</w:t>
      </w:r>
      <w:r w:rsidR="00A854E1" w:rsidRPr="00A81196">
        <w:rPr>
          <w:szCs w:val="24"/>
        </w:rPr>
        <w:t>.</w:t>
      </w:r>
      <w:r w:rsidRPr="00A81196">
        <w:rPr>
          <w:szCs w:val="24"/>
        </w:rPr>
        <w:t xml:space="preserve">, </w:t>
      </w:r>
      <w:r w:rsidR="00DD1A27" w:rsidRPr="00A81196">
        <w:rPr>
          <w:szCs w:val="24"/>
        </w:rPr>
        <w:t>E. B.</w:t>
      </w:r>
      <w:r w:rsidRPr="00A81196">
        <w:rPr>
          <w:szCs w:val="24"/>
        </w:rPr>
        <w:t xml:space="preserve">, </w:t>
      </w:r>
      <w:r w:rsidR="00DD1A27" w:rsidRPr="00A81196">
        <w:rPr>
          <w:szCs w:val="24"/>
        </w:rPr>
        <w:t>A. Š.</w:t>
      </w:r>
      <w:r w:rsidRPr="00A81196">
        <w:rPr>
          <w:szCs w:val="24"/>
        </w:rPr>
        <w:t xml:space="preserve"> ir M. G</w:t>
      </w:r>
      <w:r w:rsidR="00A854E1" w:rsidRPr="00A81196">
        <w:rPr>
          <w:szCs w:val="24"/>
        </w:rPr>
        <w:t>.</w:t>
      </w:r>
      <w:r w:rsidRPr="00A81196">
        <w:rPr>
          <w:szCs w:val="24"/>
        </w:rPr>
        <w:t xml:space="preserve">, nuteistųjų </w:t>
      </w:r>
      <w:r w:rsidR="00BA18FA" w:rsidRPr="00A81196">
        <w:rPr>
          <w:szCs w:val="24"/>
        </w:rPr>
        <w:t>J. M.</w:t>
      </w:r>
      <w:r w:rsidRPr="00A81196">
        <w:rPr>
          <w:szCs w:val="24"/>
        </w:rPr>
        <w:t xml:space="preserve">, </w:t>
      </w:r>
      <w:r w:rsidR="00385BC9" w:rsidRPr="00A81196">
        <w:rPr>
          <w:szCs w:val="24"/>
        </w:rPr>
        <w:t>M. G.</w:t>
      </w:r>
      <w:r w:rsidRPr="00A81196">
        <w:rPr>
          <w:szCs w:val="24"/>
        </w:rPr>
        <w:t xml:space="preserve"> ir kitų parodymais, dalinio teritorijoje apie šios valstybės nepriklausomybę viešai kalbama nebuvo. Todėl, apelianto įsitikinimu, galima teigti, kad TSRS leitenantui, nemokančiam lietuvių kalbos, objektyvi tiesa negalėjo būti žinoma</w:t>
      </w:r>
      <w:r w:rsidRPr="00C00255">
        <w:rPr>
          <w:szCs w:val="24"/>
        </w:rPr>
        <w:t>.</w:t>
      </w:r>
      <w:r w:rsidR="008434B8" w:rsidRPr="00C00255">
        <w:rPr>
          <w:szCs w:val="24"/>
        </w:rPr>
        <w:t xml:space="preserve"> </w:t>
      </w:r>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t xml:space="preserve">Apelianto teigimu, nuosprendyje neatskleistas esminis inkriminuojamų nusikaltimų požymis – jų padarymo motyvas. Pirmosios instancijos teismas konstatavo, jog buvimas TSKP nariu ir TSRS ginkluotųjų pajėgų nariu rodo, kad </w:t>
      </w:r>
      <w:r w:rsidR="00A97F74" w:rsidRPr="00A81196">
        <w:rPr>
          <w:szCs w:val="24"/>
        </w:rPr>
        <w:t>A. R.</w:t>
      </w:r>
      <w:r w:rsidRPr="00A81196">
        <w:rPr>
          <w:szCs w:val="24"/>
        </w:rPr>
        <w:t xml:space="preserve"> žinojo ir suvokė šių institucijų tikslą naikinti, žaloti ar terorizuoti civilius Lietuvoje. Tokia išvada nelogiška, nes TSKP nebuvo paskelbta nusikalstama organizacija. Kaip TSRS karys, nuteistasis privalėjo būti šios partijos nariu, tačiau buvimas jos nariu ir tarnavimas karinėse pajėgose nesudaro pagrindo jo atsakomybei</w:t>
      </w:r>
      <w:r w:rsidRPr="00C00255">
        <w:rPr>
          <w:szCs w:val="24"/>
        </w:rPr>
        <w:t>.</w:t>
      </w:r>
      <w:r w:rsidR="008434B8" w:rsidRPr="00C00255">
        <w:rPr>
          <w:szCs w:val="24"/>
        </w:rPr>
        <w:t xml:space="preserve"> </w:t>
      </w:r>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lastRenderedPageBreak/>
        <w:t>Nuteistojo gynėjas neigia savo ginamojo kaltę analizuodamas atskirų jam inkriminuotų nusikaltimų sudėties požymius ir nurodo, kad jis turi būti išteisintas dėl visų pareikštų kaltinimų</w:t>
      </w:r>
      <w:r w:rsidRPr="00C00255">
        <w:rPr>
          <w:szCs w:val="24"/>
        </w:rPr>
        <w:t>.</w:t>
      </w:r>
    </w:p>
    <w:p w:rsidR="00914E6E" w:rsidRPr="00C00255" w:rsidRDefault="00914E6E" w:rsidP="00321748">
      <w:pPr>
        <w:pStyle w:val="ListParagraph"/>
        <w:numPr>
          <w:ilvl w:val="2"/>
          <w:numId w:val="6"/>
        </w:numPr>
        <w:tabs>
          <w:tab w:val="left" w:pos="284"/>
        </w:tabs>
        <w:spacing w:before="120" w:after="120"/>
        <w:ind w:left="992" w:hanging="992"/>
        <w:contextualSpacing w:val="0"/>
        <w:rPr>
          <w:szCs w:val="24"/>
        </w:rPr>
      </w:pPr>
      <w:r w:rsidRPr="00A81196">
        <w:rPr>
          <w:szCs w:val="24"/>
        </w:rPr>
        <w:t>Dėl BK 100 straipsnio</w:t>
      </w:r>
      <w:r w:rsidR="001F066A" w:rsidRPr="00A81196">
        <w:rPr>
          <w:szCs w:val="24"/>
        </w:rPr>
        <w:t xml:space="preserve">, </w:t>
      </w:r>
      <w:r w:rsidRPr="00A81196">
        <w:rPr>
          <w:szCs w:val="24"/>
        </w:rPr>
        <w:t>nes byloje nėra įrodyta tiesioginė tyčia. Nuteistasis jokiuose sisteminguose ar didelio masto civilių užpuldinėjimuose nedalyvavo ir nesuvokė, kad juose dalyvauja</w:t>
      </w:r>
      <w:r w:rsidRPr="00C00255">
        <w:rPr>
          <w:szCs w:val="24"/>
        </w:rPr>
        <w:t>.</w:t>
      </w:r>
    </w:p>
    <w:p w:rsidR="00914E6E" w:rsidRPr="00C00255" w:rsidRDefault="00914E6E" w:rsidP="00321748">
      <w:pPr>
        <w:pStyle w:val="ListParagraph"/>
        <w:numPr>
          <w:ilvl w:val="2"/>
          <w:numId w:val="6"/>
        </w:numPr>
        <w:tabs>
          <w:tab w:val="left" w:pos="284"/>
        </w:tabs>
        <w:spacing w:before="120" w:after="120"/>
        <w:ind w:left="992" w:hanging="992"/>
        <w:contextualSpacing w:val="0"/>
        <w:rPr>
          <w:szCs w:val="24"/>
        </w:rPr>
      </w:pPr>
      <w:r w:rsidRPr="00A81196">
        <w:rPr>
          <w:szCs w:val="24"/>
        </w:rPr>
        <w:t>Dėl BK 101 straipsnio</w:t>
      </w:r>
      <w:r w:rsidR="001F066A" w:rsidRPr="00A81196">
        <w:rPr>
          <w:szCs w:val="24"/>
        </w:rPr>
        <w:t xml:space="preserve">, </w:t>
      </w:r>
      <w:r w:rsidRPr="00A81196">
        <w:rPr>
          <w:szCs w:val="24"/>
        </w:rPr>
        <w:t xml:space="preserve">nes prie Spaudos rūmų niekas nežuvo. Nors minėtoje vietoje sužalotas </w:t>
      </w:r>
      <w:r w:rsidR="00C507EF" w:rsidRPr="00A81196">
        <w:rPr>
          <w:szCs w:val="24"/>
        </w:rPr>
        <w:t>V. L.</w:t>
      </w:r>
      <w:r w:rsidRPr="00A81196">
        <w:rPr>
          <w:szCs w:val="24"/>
        </w:rPr>
        <w:t xml:space="preserve">, tai įvyko dėl spontaniškų nuteistojo </w:t>
      </w:r>
      <w:r w:rsidR="00385BC9" w:rsidRPr="00A81196">
        <w:rPr>
          <w:szCs w:val="24"/>
        </w:rPr>
        <w:t>V. K. 1</w:t>
      </w:r>
      <w:r w:rsidRPr="00A81196">
        <w:rPr>
          <w:szCs w:val="24"/>
        </w:rPr>
        <w:t xml:space="preserve"> veiksmų, prie kurių </w:t>
      </w:r>
      <w:r w:rsidR="00A97F74" w:rsidRPr="00A81196">
        <w:rPr>
          <w:szCs w:val="24"/>
        </w:rPr>
        <w:t>A. R.</w:t>
      </w:r>
      <w:r w:rsidRPr="00A81196">
        <w:rPr>
          <w:szCs w:val="24"/>
        </w:rPr>
        <w:t xml:space="preserve"> neprisidėjo</w:t>
      </w:r>
      <w:r w:rsidRPr="00C00255">
        <w:rPr>
          <w:szCs w:val="24"/>
        </w:rPr>
        <w:t xml:space="preserve">. </w:t>
      </w:r>
    </w:p>
    <w:p w:rsidR="00914E6E" w:rsidRPr="00C00255" w:rsidRDefault="00914E6E" w:rsidP="00321748">
      <w:pPr>
        <w:pStyle w:val="ListParagraph"/>
        <w:numPr>
          <w:ilvl w:val="2"/>
          <w:numId w:val="6"/>
        </w:numPr>
        <w:tabs>
          <w:tab w:val="left" w:pos="284"/>
        </w:tabs>
        <w:spacing w:before="120" w:after="120"/>
        <w:ind w:left="992" w:hanging="992"/>
        <w:contextualSpacing w:val="0"/>
        <w:rPr>
          <w:szCs w:val="24"/>
        </w:rPr>
      </w:pPr>
      <w:r w:rsidRPr="00A81196">
        <w:rPr>
          <w:szCs w:val="24"/>
        </w:rPr>
        <w:t>Dėl BK 103 straipsnio</w:t>
      </w:r>
      <w:r w:rsidR="001F066A" w:rsidRPr="00A81196">
        <w:rPr>
          <w:szCs w:val="24"/>
        </w:rPr>
        <w:t>,</w:t>
      </w:r>
      <w:r w:rsidRPr="00A81196">
        <w:rPr>
          <w:szCs w:val="24"/>
        </w:rPr>
        <w:t xml:space="preserve"> nes dėl </w:t>
      </w:r>
      <w:r w:rsidR="00A97F74" w:rsidRPr="00A81196">
        <w:rPr>
          <w:szCs w:val="24"/>
        </w:rPr>
        <w:t>A. R.</w:t>
      </w:r>
      <w:r w:rsidRPr="00A81196">
        <w:rPr>
          <w:szCs w:val="24"/>
        </w:rPr>
        <w:t xml:space="preserve"> veiksmų civiliai nebuvo sužaloti (civiliai buvo sužaloti kitų tankų šūviais bei desantininkų veiksmais</w:t>
      </w:r>
      <w:r w:rsidRPr="00C00255">
        <w:rPr>
          <w:szCs w:val="24"/>
        </w:rPr>
        <w:t>).</w:t>
      </w:r>
    </w:p>
    <w:p w:rsidR="00914E6E" w:rsidRPr="00C00255" w:rsidRDefault="00914E6E" w:rsidP="00321748">
      <w:pPr>
        <w:pStyle w:val="ListParagraph"/>
        <w:numPr>
          <w:ilvl w:val="2"/>
          <w:numId w:val="6"/>
        </w:numPr>
        <w:tabs>
          <w:tab w:val="left" w:pos="284"/>
        </w:tabs>
        <w:spacing w:before="120" w:after="120"/>
        <w:ind w:left="992" w:hanging="992"/>
        <w:contextualSpacing w:val="0"/>
        <w:rPr>
          <w:szCs w:val="24"/>
        </w:rPr>
      </w:pPr>
      <w:r w:rsidRPr="00A81196">
        <w:rPr>
          <w:szCs w:val="24"/>
        </w:rPr>
        <w:t>Dėl BK 111 straipsnio</w:t>
      </w:r>
      <w:r w:rsidR="001F066A" w:rsidRPr="00A81196">
        <w:rPr>
          <w:szCs w:val="24"/>
        </w:rPr>
        <w:t xml:space="preserve">, </w:t>
      </w:r>
      <w:r w:rsidRPr="00A81196">
        <w:rPr>
          <w:szCs w:val="24"/>
        </w:rPr>
        <w:t>nes byloje nėra įrodyta nuteistojo tiesioginė tyčia įvykdyti draudžiamą karo ataką</w:t>
      </w:r>
      <w:r w:rsidRPr="00C00255">
        <w:rPr>
          <w:szCs w:val="24"/>
        </w:rPr>
        <w:t>.</w:t>
      </w:r>
      <w:r w:rsidR="008434B8" w:rsidRPr="00C00255">
        <w:rPr>
          <w:szCs w:val="24"/>
        </w:rPr>
        <w:t xml:space="preserve"> </w:t>
      </w:r>
      <w:r w:rsidRPr="00C00255">
        <w:rPr>
          <w:szCs w:val="24"/>
        </w:rPr>
        <w:t xml:space="preserve"> </w:t>
      </w:r>
    </w:p>
    <w:p w:rsidR="00914E6E" w:rsidRPr="00C00255" w:rsidRDefault="00914E6E" w:rsidP="00321748">
      <w:pPr>
        <w:pStyle w:val="ListParagraph"/>
        <w:numPr>
          <w:ilvl w:val="2"/>
          <w:numId w:val="6"/>
        </w:numPr>
        <w:tabs>
          <w:tab w:val="left" w:pos="284"/>
        </w:tabs>
        <w:spacing w:before="120" w:after="120"/>
        <w:ind w:left="992" w:hanging="992"/>
        <w:contextualSpacing w:val="0"/>
        <w:rPr>
          <w:szCs w:val="24"/>
        </w:rPr>
      </w:pPr>
      <w:r w:rsidRPr="00A81196">
        <w:rPr>
          <w:szCs w:val="24"/>
        </w:rPr>
        <w:t>Dėl BK 112 straipsnio</w:t>
      </w:r>
      <w:r w:rsidR="001F066A" w:rsidRPr="00A81196">
        <w:rPr>
          <w:szCs w:val="24"/>
        </w:rPr>
        <w:t xml:space="preserve">, </w:t>
      </w:r>
      <w:r w:rsidRPr="00A81196">
        <w:rPr>
          <w:szCs w:val="24"/>
        </w:rPr>
        <w:t xml:space="preserve">nes byloje nėra įrodyta, kad </w:t>
      </w:r>
      <w:r w:rsidR="00A97F74" w:rsidRPr="00A81196">
        <w:rPr>
          <w:szCs w:val="24"/>
        </w:rPr>
        <w:t>A. R.</w:t>
      </w:r>
      <w:r w:rsidRPr="00A81196">
        <w:rPr>
          <w:szCs w:val="24"/>
        </w:rPr>
        <w:t xml:space="preserve"> panaudojo uždraustas karo priemones. Teismas nepagrįstai nustatė, kad įvykio metu naudotos trasuojančios kulkos buvo uždraustos. Priešingai nei nurodė teismas, šių kulkų nedraudžia jokia tarptautinė konvencija. Standartinius </w:t>
      </w:r>
      <w:bookmarkStart w:id="170" w:name="_Hlk35510456"/>
      <w:r w:rsidRPr="00A81196">
        <w:rPr>
          <w:szCs w:val="24"/>
        </w:rPr>
        <w:t>5,45</w:t>
      </w:r>
      <w:r w:rsidR="001F066A" w:rsidRPr="00A81196">
        <w:rPr>
          <w:szCs w:val="24"/>
        </w:rPr>
        <w:t> </w:t>
      </w:r>
      <w:r w:rsidRPr="00A81196">
        <w:rPr>
          <w:szCs w:val="24"/>
        </w:rPr>
        <w:t>x</w:t>
      </w:r>
      <w:r w:rsidR="001F066A" w:rsidRPr="00A81196">
        <w:rPr>
          <w:szCs w:val="24"/>
        </w:rPr>
        <w:t> </w:t>
      </w:r>
      <w:r w:rsidRPr="00A81196">
        <w:rPr>
          <w:szCs w:val="24"/>
        </w:rPr>
        <w:t xml:space="preserve">39 kalibro šovinius </w:t>
      </w:r>
      <w:bookmarkEnd w:id="170"/>
      <w:r w:rsidRPr="00A81196">
        <w:rPr>
          <w:szCs w:val="24"/>
        </w:rPr>
        <w:t>su plieninio apvalkalo kulka „7H6“ naudoja daugeli</w:t>
      </w:r>
      <w:r w:rsidR="001F066A" w:rsidRPr="00A81196">
        <w:rPr>
          <w:szCs w:val="24"/>
        </w:rPr>
        <w:t>o šalių</w:t>
      </w:r>
      <w:r w:rsidR="00513C98" w:rsidRPr="00A81196">
        <w:rPr>
          <w:szCs w:val="24"/>
        </w:rPr>
        <w:t>,</w:t>
      </w:r>
      <w:r w:rsidRPr="00A81196">
        <w:rPr>
          <w:szCs w:val="24"/>
        </w:rPr>
        <w:t xml:space="preserve"> </w:t>
      </w:r>
      <w:r w:rsidR="00513C98" w:rsidRPr="00A81196">
        <w:rPr>
          <w:szCs w:val="24"/>
        </w:rPr>
        <w:t xml:space="preserve">taip pat ir Lietuvos, </w:t>
      </w:r>
      <w:r w:rsidR="004B14C6" w:rsidRPr="00A81196">
        <w:rPr>
          <w:szCs w:val="24"/>
        </w:rPr>
        <w:t>kariuomenės</w:t>
      </w:r>
      <w:r w:rsidRPr="00A81196">
        <w:rPr>
          <w:szCs w:val="24"/>
        </w:rPr>
        <w:t xml:space="preserve">. Nors šios kulkos svoris ir kiti parametrai leidžia jas stabilizuoti ir pagerinti taiklumą, jų svorio paskirstymas nulemia, kad </w:t>
      </w:r>
      <w:r w:rsidR="00B60CD2" w:rsidRPr="00A81196">
        <w:rPr>
          <w:szCs w:val="24"/>
        </w:rPr>
        <w:t xml:space="preserve">šios kulkos, </w:t>
      </w:r>
      <w:r w:rsidRPr="00A81196">
        <w:rPr>
          <w:szCs w:val="24"/>
        </w:rPr>
        <w:t xml:space="preserve">susidūrusios su kliūtimi, lengvai rikošetuoja. </w:t>
      </w:r>
      <w:bookmarkStart w:id="171" w:name="_Hlk35510420"/>
      <w:r w:rsidRPr="00A81196">
        <w:rPr>
          <w:szCs w:val="24"/>
        </w:rPr>
        <w:t xml:space="preserve">Dėl plieninio apvalkalo minkštuosiuose kūno audiniuose ši kulka neskyla, todėl jos padaromas sužeidimas yra </w:t>
      </w:r>
      <w:r w:rsidR="00E4160D" w:rsidRPr="00A81196">
        <w:rPr>
          <w:szCs w:val="24"/>
        </w:rPr>
        <w:t xml:space="preserve">net </w:t>
      </w:r>
      <w:r w:rsidRPr="00A81196">
        <w:rPr>
          <w:szCs w:val="24"/>
        </w:rPr>
        <w:t>lengvesnis nei „M193“ tipo kulkos</w:t>
      </w:r>
      <w:r w:rsidRPr="00C00255">
        <w:rPr>
          <w:szCs w:val="24"/>
        </w:rPr>
        <w:t xml:space="preserve">. </w:t>
      </w:r>
      <w:bookmarkEnd w:id="171"/>
    </w:p>
    <w:p w:rsidR="00914E6E" w:rsidRPr="00C00255" w:rsidRDefault="00914E6E" w:rsidP="00321748">
      <w:pPr>
        <w:pStyle w:val="ListParagraph"/>
        <w:numPr>
          <w:ilvl w:val="1"/>
          <w:numId w:val="6"/>
        </w:numPr>
        <w:spacing w:after="120"/>
        <w:ind w:left="992" w:hanging="992"/>
        <w:contextualSpacing w:val="0"/>
        <w:rPr>
          <w:szCs w:val="24"/>
        </w:rPr>
      </w:pPr>
      <w:r w:rsidRPr="00A81196">
        <w:rPr>
          <w:szCs w:val="24"/>
        </w:rPr>
        <w:t xml:space="preserve">Nagrinėjamoje byloje teismas nuteistuosius pripažino kaltais už nusikalstamas veikas, kurios jų padarymo metu nebuvo numatytos baudžiamajame įstatyme. Pirmosios instancijos teismas nesilaikė </w:t>
      </w:r>
      <w:r w:rsidR="0042306C" w:rsidRPr="00A81196">
        <w:rPr>
          <w:szCs w:val="24"/>
        </w:rPr>
        <w:t xml:space="preserve">1948 m. gruodžio 10 d. </w:t>
      </w:r>
      <w:r w:rsidRPr="00A81196">
        <w:rPr>
          <w:szCs w:val="24"/>
        </w:rPr>
        <w:t xml:space="preserve">Visuotinės žmogaus teisių deklaracijos, </w:t>
      </w:r>
      <w:r w:rsidR="00491A27" w:rsidRPr="00A81196">
        <w:rPr>
          <w:szCs w:val="24"/>
        </w:rPr>
        <w:t>EŽTK</w:t>
      </w:r>
      <w:r w:rsidR="00BC1034" w:rsidRPr="00A81196">
        <w:rPr>
          <w:szCs w:val="24"/>
        </w:rPr>
        <w:t xml:space="preserve"> ir Romos </w:t>
      </w:r>
      <w:r w:rsidRPr="00A81196">
        <w:rPr>
          <w:szCs w:val="24"/>
        </w:rPr>
        <w:t>statuto nuostatų, kurio</w:t>
      </w:r>
      <w:r w:rsidR="001F066A" w:rsidRPr="00A81196">
        <w:rPr>
          <w:szCs w:val="24"/>
        </w:rPr>
        <w:t>mi</w:t>
      </w:r>
      <w:r w:rsidRPr="00A81196">
        <w:rPr>
          <w:szCs w:val="24"/>
        </w:rPr>
        <w:t>s draudžia</w:t>
      </w:r>
      <w:r w:rsidR="001F066A" w:rsidRPr="00A81196">
        <w:rPr>
          <w:szCs w:val="24"/>
        </w:rPr>
        <w:t>ma</w:t>
      </w:r>
      <w:r w:rsidRPr="00A81196">
        <w:rPr>
          <w:szCs w:val="24"/>
        </w:rPr>
        <w:t xml:space="preserve"> asmenį bausti už veiksmus ar neveikimą, kurie, vadovaujantis jų padarymo metu galiojusia nacionaline ir tarptautine teise, nebuvo laikomi nusikaltimais. Gynybos įsitikinimu, įžvelgdamos galimus šių teisės aktų nuostatų pažeidimus, </w:t>
      </w:r>
      <w:r w:rsidR="00A854E1" w:rsidRPr="00A81196">
        <w:rPr>
          <w:szCs w:val="24"/>
        </w:rPr>
        <w:t xml:space="preserve">(duomenys neskelbtini) </w:t>
      </w:r>
      <w:r w:rsidRPr="00A81196">
        <w:rPr>
          <w:szCs w:val="24"/>
        </w:rPr>
        <w:t xml:space="preserve">ir </w:t>
      </w:r>
      <w:r w:rsidR="00A854E1" w:rsidRPr="00A81196">
        <w:rPr>
          <w:szCs w:val="24"/>
        </w:rPr>
        <w:t xml:space="preserve">(duomenys neskelbtini) </w:t>
      </w:r>
      <w:r w:rsidRPr="00A81196">
        <w:rPr>
          <w:szCs w:val="24"/>
        </w:rPr>
        <w:t xml:space="preserve">Respublikos atsisakė išduoti Lietuvai nuteistuosius </w:t>
      </w:r>
      <w:r w:rsidR="00385BC9" w:rsidRPr="00A81196">
        <w:rPr>
          <w:szCs w:val="24"/>
        </w:rPr>
        <w:t>M. G.</w:t>
      </w:r>
      <w:r w:rsidRPr="00A81196">
        <w:rPr>
          <w:szCs w:val="24"/>
        </w:rPr>
        <w:t xml:space="preserve"> ir </w:t>
      </w:r>
      <w:r w:rsidR="006036E7" w:rsidRPr="00A81196">
        <w:rPr>
          <w:szCs w:val="24"/>
        </w:rPr>
        <w:t>V. K. 2</w:t>
      </w:r>
      <w:r w:rsidRPr="00A81196">
        <w:rPr>
          <w:szCs w:val="24"/>
        </w:rPr>
        <w:t xml:space="preserve">. Teismas neįvertino šiai bylai aktualaus išteisinamojo teismo nuosprendžio </w:t>
      </w:r>
      <w:r w:rsidR="00DD1A27" w:rsidRPr="00A81196">
        <w:rPr>
          <w:szCs w:val="24"/>
        </w:rPr>
        <w:t>M. M.</w:t>
      </w:r>
      <w:r w:rsidR="00491A27" w:rsidRPr="00A81196">
        <w:rPr>
          <w:szCs w:val="24"/>
        </w:rPr>
        <w:t xml:space="preserve"> byloje bei </w:t>
      </w:r>
      <w:r w:rsidR="00B60CD2" w:rsidRPr="00A81196">
        <w:rPr>
          <w:szCs w:val="24"/>
        </w:rPr>
        <w:t xml:space="preserve">Konstitucinio Teismo </w:t>
      </w:r>
      <w:r w:rsidR="00491A27" w:rsidRPr="00A81196">
        <w:rPr>
          <w:szCs w:val="24"/>
        </w:rPr>
        <w:t>2014 m. kovo 18 </w:t>
      </w:r>
      <w:r w:rsidRPr="00A81196">
        <w:rPr>
          <w:szCs w:val="24"/>
        </w:rPr>
        <w:t>d. nutarimo, kuris</w:t>
      </w:r>
      <w:r w:rsidR="00CF48C4" w:rsidRPr="00A81196">
        <w:rPr>
          <w:szCs w:val="24"/>
        </w:rPr>
        <w:t>,</w:t>
      </w:r>
      <w:r w:rsidRPr="00A81196">
        <w:rPr>
          <w:szCs w:val="24"/>
        </w:rPr>
        <w:t xml:space="preserve"> be kita ko</w:t>
      </w:r>
      <w:r w:rsidR="00CF48C4" w:rsidRPr="00A81196">
        <w:rPr>
          <w:szCs w:val="24"/>
        </w:rPr>
        <w:t>,</w:t>
      </w:r>
      <w:r w:rsidRPr="00A81196">
        <w:rPr>
          <w:szCs w:val="24"/>
        </w:rPr>
        <w:t xml:space="preserve"> rodo, kad karo nusikaltimai bei nusikaltimai žmoniškumui, kaip ir genocido nusikaltimas, negali būti inkriminuoti, jei veikų padarymo metu atsakomybė už tokius nusikaltimus nenumat</w:t>
      </w:r>
      <w:r w:rsidR="001F066A" w:rsidRPr="00A81196">
        <w:rPr>
          <w:szCs w:val="24"/>
        </w:rPr>
        <w:t>yta</w:t>
      </w:r>
      <w:r w:rsidRPr="00A81196">
        <w:rPr>
          <w:szCs w:val="24"/>
        </w:rPr>
        <w:t xml:space="preserve"> tarptautinės ir (ar) nacionalinės teisės akt</w:t>
      </w:r>
      <w:r w:rsidR="001F066A" w:rsidRPr="00A81196">
        <w:rPr>
          <w:szCs w:val="24"/>
        </w:rPr>
        <w:t>uose</w:t>
      </w:r>
      <w:r w:rsidRPr="00C00255">
        <w:rPr>
          <w:szCs w:val="24"/>
        </w:rPr>
        <w:t>.</w:t>
      </w:r>
      <w:r w:rsidR="008434B8" w:rsidRPr="00C00255">
        <w:rPr>
          <w:szCs w:val="24"/>
        </w:rPr>
        <w:t xml:space="preserve"> </w:t>
      </w:r>
    </w:p>
    <w:p w:rsidR="009E52DB" w:rsidRPr="00C00255" w:rsidRDefault="009E52DB" w:rsidP="00321748">
      <w:pPr>
        <w:pStyle w:val="ListParagraph"/>
        <w:numPr>
          <w:ilvl w:val="0"/>
          <w:numId w:val="6"/>
        </w:numPr>
        <w:spacing w:before="120" w:after="120"/>
        <w:ind w:left="992" w:hanging="992"/>
        <w:contextualSpacing w:val="0"/>
        <w:rPr>
          <w:szCs w:val="24"/>
        </w:rPr>
      </w:pPr>
      <w:bookmarkStart w:id="172" w:name="_Toc37947884"/>
      <w:bookmarkStart w:id="173" w:name="_Toc67677363"/>
      <w:bookmarkStart w:id="174" w:name="_Toc67985490"/>
      <w:r w:rsidRPr="00D43DF2">
        <w:rPr>
          <w:b/>
        </w:rPr>
        <w:t xml:space="preserve">Nuteistojo </w:t>
      </w:r>
      <w:r w:rsidR="00A97F74" w:rsidRPr="00D43DF2">
        <w:rPr>
          <w:b/>
        </w:rPr>
        <w:t>V. R.</w:t>
      </w:r>
      <w:r w:rsidRPr="00D43DF2">
        <w:rPr>
          <w:b/>
        </w:rPr>
        <w:t xml:space="preserve"> gynėjas</w:t>
      </w:r>
      <w:bookmarkEnd w:id="172"/>
      <w:bookmarkEnd w:id="173"/>
      <w:bookmarkEnd w:id="174"/>
      <w:r w:rsidRPr="00D43DF2">
        <w:rPr>
          <w:b/>
        </w:rPr>
        <w:t xml:space="preserve"> advokatas V. Dubrovskis</w:t>
      </w:r>
      <w:r w:rsidRPr="00C00255">
        <w:rPr>
          <w:szCs w:val="24"/>
        </w:rPr>
        <w:t xml:space="preserve"> apeliaciniu skundu prašo panaikinti pirmosios instancijos teismo nuosprendį ir jo ginamąjį išteisinti, nepadarius inkriminuojamų nusikaltimų.</w:t>
      </w:r>
      <w:r w:rsidR="008434B8" w:rsidRPr="00C00255">
        <w:rPr>
          <w:szCs w:val="24"/>
        </w:rPr>
        <w:t xml:space="preserve"> </w:t>
      </w:r>
    </w:p>
    <w:p w:rsidR="009E52DB" w:rsidRPr="00C00255" w:rsidRDefault="009E52DB" w:rsidP="00321748">
      <w:pPr>
        <w:pStyle w:val="ListParagraph"/>
        <w:numPr>
          <w:ilvl w:val="1"/>
          <w:numId w:val="6"/>
        </w:numPr>
        <w:spacing w:before="120" w:after="120"/>
        <w:ind w:left="992" w:hanging="992"/>
        <w:contextualSpacing w:val="0"/>
        <w:rPr>
          <w:szCs w:val="24"/>
        </w:rPr>
      </w:pPr>
      <w:r w:rsidRPr="00A81196">
        <w:rPr>
          <w:szCs w:val="24"/>
        </w:rPr>
        <w:t xml:space="preserve">Nusikalstamos veikos, numatytos BK 100 straipsnyje, </w:t>
      </w:r>
      <w:r w:rsidR="00EC1D9A" w:rsidRPr="00A81196">
        <w:rPr>
          <w:szCs w:val="24"/>
        </w:rPr>
        <w:t xml:space="preserve">BK </w:t>
      </w:r>
      <w:r w:rsidRPr="00A81196">
        <w:rPr>
          <w:szCs w:val="24"/>
        </w:rPr>
        <w:t xml:space="preserve">101 straipsnyje, </w:t>
      </w:r>
      <w:r w:rsidR="00EC1D9A" w:rsidRPr="00A81196">
        <w:rPr>
          <w:szCs w:val="24"/>
        </w:rPr>
        <w:t>BK 103 straipsnio </w:t>
      </w:r>
      <w:r w:rsidRPr="00A81196">
        <w:rPr>
          <w:szCs w:val="24"/>
        </w:rPr>
        <w:t xml:space="preserve">1 dalyje, </w:t>
      </w:r>
      <w:r w:rsidR="00EC1D9A" w:rsidRPr="00A81196">
        <w:rPr>
          <w:szCs w:val="24"/>
        </w:rPr>
        <w:t>BK 111 straipsnio 1 dalyje</w:t>
      </w:r>
      <w:r w:rsidR="00B60CD2" w:rsidRPr="00A81196">
        <w:rPr>
          <w:szCs w:val="24"/>
        </w:rPr>
        <w:t>,</w:t>
      </w:r>
      <w:r w:rsidR="00EC1D9A" w:rsidRPr="00A81196">
        <w:rPr>
          <w:szCs w:val="24"/>
        </w:rPr>
        <w:t xml:space="preserve"> padaromo</w:t>
      </w:r>
      <w:r w:rsidRPr="00A81196">
        <w:rPr>
          <w:szCs w:val="24"/>
        </w:rPr>
        <w:t>s tik</w:t>
      </w:r>
      <w:r w:rsidR="00EC1D9A" w:rsidRPr="00A81196">
        <w:rPr>
          <w:szCs w:val="24"/>
        </w:rPr>
        <w:t xml:space="preserve"> tiesiogine tyčia, t.</w:t>
      </w:r>
      <w:r w:rsidR="001F066A" w:rsidRPr="00A81196">
        <w:rPr>
          <w:szCs w:val="24"/>
        </w:rPr>
        <w:t> </w:t>
      </w:r>
      <w:r w:rsidR="00EC1D9A" w:rsidRPr="00A81196">
        <w:rPr>
          <w:szCs w:val="24"/>
        </w:rPr>
        <w:t>y. kai ja</w:t>
      </w:r>
      <w:r w:rsidRPr="00A81196">
        <w:rPr>
          <w:szCs w:val="24"/>
        </w:rPr>
        <w:t>s darydamas asmuo suvokė pavojingą nusikalstamos veikos pobūd</w:t>
      </w:r>
      <w:r w:rsidR="00EC1D9A" w:rsidRPr="00A81196">
        <w:rPr>
          <w:szCs w:val="24"/>
        </w:rPr>
        <w:t>į ir norėjo taip veikti arba ja</w:t>
      </w:r>
      <w:r w:rsidRPr="00A81196">
        <w:rPr>
          <w:szCs w:val="24"/>
        </w:rPr>
        <w:t xml:space="preserve">s darydamas asmuo suvokė pavojingą nusikalstamos veikos pobūdį, numatė, jog dėl jo veikimo ar neveikimo gali atsirasti BK numatyti padariniai, ir jų norėjo. Todėl šioje byloje turėjo būti neginčytinai nustatyta, kad </w:t>
      </w:r>
      <w:r w:rsidR="00A97F74" w:rsidRPr="00A81196">
        <w:rPr>
          <w:szCs w:val="24"/>
        </w:rPr>
        <w:t>V. R.</w:t>
      </w:r>
      <w:r w:rsidRPr="00A81196">
        <w:rPr>
          <w:szCs w:val="24"/>
        </w:rPr>
        <w:t xml:space="preserve"> žinojo, jog bus daromos nusikalstamos veikos bendrininkų grupe, tai suprato ir norėjo būtent taip veikti. Duomenų, kuriais remiantis galima tik manyti, jog nusikalstama veika galėjo būti padaryta, nepakanka išvadoms apie asmens </w:t>
      </w:r>
      <w:r w:rsidRPr="00A81196">
        <w:rPr>
          <w:szCs w:val="24"/>
        </w:rPr>
        <w:lastRenderedPageBreak/>
        <w:t>kaltumą padaryti ir apkaltinam</w:t>
      </w:r>
      <w:r w:rsidR="00EC1D9A" w:rsidRPr="00A81196">
        <w:rPr>
          <w:szCs w:val="24"/>
        </w:rPr>
        <w:t>ajam nuosprendžiui priimti (LAT </w:t>
      </w:r>
      <w:r w:rsidRPr="00A81196">
        <w:rPr>
          <w:szCs w:val="24"/>
        </w:rPr>
        <w:t xml:space="preserve">nutartis </w:t>
      </w:r>
      <w:r w:rsidR="00056CFA" w:rsidRPr="00A81196">
        <w:rPr>
          <w:szCs w:val="24"/>
        </w:rPr>
        <w:t xml:space="preserve">baudžiamojoje </w:t>
      </w:r>
      <w:r w:rsidRPr="00A81196">
        <w:rPr>
          <w:szCs w:val="24"/>
        </w:rPr>
        <w:t xml:space="preserve">byloje Nr. 2K-24/2014). </w:t>
      </w:r>
      <w:r w:rsidR="00930046" w:rsidRPr="00A81196">
        <w:rPr>
          <w:szCs w:val="24"/>
        </w:rPr>
        <w:t>EŽTT</w:t>
      </w:r>
      <w:r w:rsidRPr="00A81196">
        <w:rPr>
          <w:szCs w:val="24"/>
        </w:rPr>
        <w:t xml:space="preserve"> taip pat ne kartą yra konstatavęs, kad abejonės aišk</w:t>
      </w:r>
      <w:r w:rsidR="00056CFA" w:rsidRPr="00A81196">
        <w:rPr>
          <w:szCs w:val="24"/>
        </w:rPr>
        <w:t>inamos kaltinamojo naudai (EŽTT </w:t>
      </w:r>
      <w:r w:rsidRPr="00A81196">
        <w:rPr>
          <w:szCs w:val="24"/>
        </w:rPr>
        <w:t xml:space="preserve">sprendimai bylose </w:t>
      </w:r>
      <w:r w:rsidRPr="00A81196">
        <w:rPr>
          <w:bCs/>
          <w:i/>
          <w:iCs/>
          <w:color w:val="000000"/>
          <w:szCs w:val="24"/>
          <w:shd w:val="clear" w:color="auto" w:fill="FFFFFF"/>
        </w:rPr>
        <w:t>Barberà, Messegué and Jabardo prieš Ispaniją</w:t>
      </w:r>
      <w:r w:rsidRPr="00A81196">
        <w:rPr>
          <w:szCs w:val="24"/>
        </w:rPr>
        <w:t xml:space="preserve">, </w:t>
      </w:r>
      <w:r w:rsidRPr="00A81196">
        <w:rPr>
          <w:i/>
          <w:iCs/>
          <w:szCs w:val="24"/>
        </w:rPr>
        <w:t>Telfner prieš Austriją</w:t>
      </w:r>
      <w:r w:rsidRPr="00A81196">
        <w:rPr>
          <w:szCs w:val="24"/>
        </w:rPr>
        <w:t xml:space="preserve"> ir kiti)</w:t>
      </w:r>
      <w:r w:rsidRPr="00C00255">
        <w:rPr>
          <w:szCs w:val="24"/>
        </w:rPr>
        <w:t>.</w:t>
      </w:r>
    </w:p>
    <w:p w:rsidR="009E52DB" w:rsidRPr="00C00255" w:rsidRDefault="00A97F74" w:rsidP="00321748">
      <w:pPr>
        <w:pStyle w:val="ListParagraph"/>
        <w:numPr>
          <w:ilvl w:val="1"/>
          <w:numId w:val="6"/>
        </w:numPr>
        <w:spacing w:before="120" w:after="120"/>
        <w:ind w:left="992" w:hanging="992"/>
        <w:contextualSpacing w:val="0"/>
        <w:rPr>
          <w:rStyle w:val="CharStyle10"/>
          <w:i w:val="0"/>
          <w:iCs w:val="0"/>
          <w:szCs w:val="24"/>
          <w:shd w:val="clear" w:color="auto" w:fill="auto"/>
        </w:rPr>
      </w:pPr>
      <w:r w:rsidRPr="00A81196">
        <w:t>V. R.</w:t>
      </w:r>
      <w:r w:rsidR="00B60CD2" w:rsidRPr="00A81196">
        <w:t>, a</w:t>
      </w:r>
      <w:r w:rsidR="009E52DB" w:rsidRPr="00A81196">
        <w:t>pklaustas kaip liudytojas</w:t>
      </w:r>
      <w:r w:rsidR="00B60CD2" w:rsidRPr="00A81196">
        <w:t>,</w:t>
      </w:r>
      <w:r w:rsidR="009E52DB" w:rsidRPr="00A81196">
        <w:t xml:space="preserve"> parodė, kad inkriminuojamų nusikalstamų veikų padarymo metu buvo VRM vidaus kariuomenės dalinio Nr. 7574 vado pavaduotojas technikos reikalams. Sausio 12 d. iš generolo leitenanto </w:t>
      </w:r>
      <w:r w:rsidR="00385BC9" w:rsidRPr="00A81196">
        <w:t>V. S. 1</w:t>
      </w:r>
      <w:r w:rsidR="009E52DB" w:rsidRPr="00A81196">
        <w:t xml:space="preserve"> gavo užduotį paruošti radiofoninį įrenginį ir atvykti su juo į Šiaurės miestelį, o paskui įvykdyti visus įsakymus, kuriuos duos generolas </w:t>
      </w:r>
      <w:r w:rsidR="006036E7" w:rsidRPr="00A81196">
        <w:t>V. U. 1</w:t>
      </w:r>
      <w:r w:rsidR="009E52DB" w:rsidRPr="00A81196">
        <w:t xml:space="preserve">. Užduotis buvo jungtinės grupės sudėtyje nuvažiuoti prie </w:t>
      </w:r>
      <w:r w:rsidR="007403E5" w:rsidRPr="00A81196">
        <w:t>LRT</w:t>
      </w:r>
      <w:r w:rsidR="009E52DB" w:rsidRPr="00A81196">
        <w:t xml:space="preserve"> ir po antro šūvio iš tanko tuščiu užtaisu įjungti radiofoninį įrenginį. Taip ir padarė, daugiau jokių veiksmų neatliko</w:t>
      </w:r>
      <w:r w:rsidR="009E52DB" w:rsidRPr="00C00255">
        <w:rPr>
          <w:rStyle w:val="CharStyle10"/>
          <w:i w:val="0"/>
          <w:color w:val="000000"/>
          <w:szCs w:val="24"/>
          <w:lang w:eastAsia="lt-LT"/>
        </w:rPr>
        <w:t>.</w:t>
      </w:r>
    </w:p>
    <w:p w:rsidR="009E52DB" w:rsidRPr="00C00255" w:rsidRDefault="009E52DB" w:rsidP="00321748">
      <w:pPr>
        <w:pStyle w:val="ListParagraph"/>
        <w:numPr>
          <w:ilvl w:val="1"/>
          <w:numId w:val="6"/>
        </w:numPr>
        <w:spacing w:before="120" w:after="120"/>
        <w:ind w:left="992" w:hanging="992"/>
        <w:contextualSpacing w:val="0"/>
        <w:rPr>
          <w:szCs w:val="24"/>
        </w:rPr>
      </w:pPr>
      <w:r w:rsidRPr="00A81196">
        <w:rPr>
          <w:szCs w:val="24"/>
        </w:rPr>
        <w:t xml:space="preserve">Byloje nėra duomenų, kad </w:t>
      </w:r>
      <w:r w:rsidR="00A97F74" w:rsidRPr="00A81196">
        <w:rPr>
          <w:szCs w:val="24"/>
        </w:rPr>
        <w:t>V. R.</w:t>
      </w:r>
      <w:r w:rsidRPr="00A81196">
        <w:rPr>
          <w:szCs w:val="24"/>
        </w:rPr>
        <w:t xml:space="preserve"> gautų kito pobūdžio įsakymą: pulti civilius, juos žudyti, žaloti ar kitaip sutrikdyti jų sveikatą. Pagal </w:t>
      </w:r>
      <w:r w:rsidR="00A97F74" w:rsidRPr="00A81196">
        <w:rPr>
          <w:szCs w:val="24"/>
        </w:rPr>
        <w:t>V. R.</w:t>
      </w:r>
      <w:r w:rsidRPr="00A81196">
        <w:rPr>
          <w:szCs w:val="24"/>
        </w:rPr>
        <w:t xml:space="preserve"> duoto įsakymo pobūdį jam negalėjo būti žinoma ir jis negalėjo numatyti, kad perimant </w:t>
      </w:r>
      <w:r w:rsidR="00DE3B19" w:rsidRPr="00A81196">
        <w:rPr>
          <w:szCs w:val="24"/>
        </w:rPr>
        <w:t>LRT radijo pastato</w:t>
      </w:r>
      <w:r w:rsidR="001D575E" w:rsidRPr="00A81196">
        <w:rPr>
          <w:szCs w:val="24"/>
        </w:rPr>
        <w:t xml:space="preserve"> apsaugą</w:t>
      </w:r>
      <w:r w:rsidRPr="00A81196">
        <w:rPr>
          <w:szCs w:val="24"/>
        </w:rPr>
        <w:t xml:space="preserve"> gali kilti pa</w:t>
      </w:r>
      <w:r w:rsidR="001F066A" w:rsidRPr="00A81196">
        <w:rPr>
          <w:szCs w:val="24"/>
        </w:rPr>
        <w:t>darinių</w:t>
      </w:r>
      <w:r w:rsidRPr="00A81196">
        <w:rPr>
          <w:szCs w:val="24"/>
        </w:rPr>
        <w:t>, nurodyt</w:t>
      </w:r>
      <w:r w:rsidR="001F066A" w:rsidRPr="00A81196">
        <w:rPr>
          <w:szCs w:val="24"/>
        </w:rPr>
        <w:t>ų</w:t>
      </w:r>
      <w:r w:rsidRPr="00A81196">
        <w:rPr>
          <w:szCs w:val="24"/>
        </w:rPr>
        <w:t xml:space="preserve"> minėt</w:t>
      </w:r>
      <w:r w:rsidR="001D575E" w:rsidRPr="00A81196">
        <w:rPr>
          <w:szCs w:val="24"/>
        </w:rPr>
        <w:t>u</w:t>
      </w:r>
      <w:r w:rsidRPr="00A81196">
        <w:rPr>
          <w:szCs w:val="24"/>
        </w:rPr>
        <w:t xml:space="preserve">ose BK straipsniuose. Be to, byloje </w:t>
      </w:r>
      <w:r w:rsidR="00DE3B19" w:rsidRPr="00A81196">
        <w:rPr>
          <w:szCs w:val="24"/>
        </w:rPr>
        <w:t xml:space="preserve">taip pat nėra nustatyta, kad </w:t>
      </w:r>
      <w:r w:rsidR="00A97F74" w:rsidRPr="00A81196">
        <w:rPr>
          <w:szCs w:val="24"/>
        </w:rPr>
        <w:t>V. R.</w:t>
      </w:r>
      <w:r w:rsidRPr="00A81196">
        <w:rPr>
          <w:szCs w:val="24"/>
        </w:rPr>
        <w:t xml:space="preserve"> įsakė kitiems asmenims pulti civilius, juos žudyti, žaloti ar kitaip sutrikdyti jų sveikatą. Teisminio bylos nagrinėjimo metu buvo apklausti </w:t>
      </w:r>
      <w:r w:rsidR="00A97F74" w:rsidRPr="00A81196">
        <w:rPr>
          <w:szCs w:val="24"/>
        </w:rPr>
        <w:t>V. R.</w:t>
      </w:r>
      <w:r w:rsidRPr="00A81196">
        <w:rPr>
          <w:szCs w:val="24"/>
        </w:rPr>
        <w:t xml:space="preserve"> bendradarbiai </w:t>
      </w:r>
      <w:r w:rsidR="00DC0414" w:rsidRPr="00A81196">
        <w:rPr>
          <w:szCs w:val="24"/>
        </w:rPr>
        <w:t>G. P.</w:t>
      </w:r>
      <w:r w:rsidRPr="00A81196">
        <w:rPr>
          <w:szCs w:val="24"/>
        </w:rPr>
        <w:t>, A. M</w:t>
      </w:r>
      <w:r w:rsidR="00A854E1" w:rsidRPr="00A81196">
        <w:rPr>
          <w:szCs w:val="24"/>
        </w:rPr>
        <w:t>.</w:t>
      </w:r>
      <w:r w:rsidRPr="00A81196">
        <w:rPr>
          <w:szCs w:val="24"/>
        </w:rPr>
        <w:t xml:space="preserve">, </w:t>
      </w:r>
      <w:r w:rsidR="00DD1A27" w:rsidRPr="00A81196">
        <w:rPr>
          <w:szCs w:val="24"/>
        </w:rPr>
        <w:t>S. S.</w:t>
      </w:r>
      <w:r w:rsidR="00DE3B19" w:rsidRPr="00A81196">
        <w:rPr>
          <w:szCs w:val="24"/>
        </w:rPr>
        <w:t xml:space="preserve">, kurie paneigė vykdę </w:t>
      </w:r>
      <w:r w:rsidR="00A97F74" w:rsidRPr="00A81196">
        <w:rPr>
          <w:szCs w:val="24"/>
        </w:rPr>
        <w:t>V. R.</w:t>
      </w:r>
      <w:r w:rsidRPr="00A81196">
        <w:rPr>
          <w:szCs w:val="24"/>
        </w:rPr>
        <w:t xml:space="preserve"> įsakymus. Pasak šių asmenų, </w:t>
      </w:r>
      <w:r w:rsidR="00A97F74" w:rsidRPr="00A81196">
        <w:rPr>
          <w:szCs w:val="24"/>
        </w:rPr>
        <w:t>V. R.</w:t>
      </w:r>
      <w:r w:rsidRPr="00A81196">
        <w:rPr>
          <w:szCs w:val="24"/>
        </w:rPr>
        <w:t xml:space="preserve"> įsakymų niekam nedali</w:t>
      </w:r>
      <w:r w:rsidR="001F066A" w:rsidRPr="00A81196">
        <w:rPr>
          <w:szCs w:val="24"/>
        </w:rPr>
        <w:t>j</w:t>
      </w:r>
      <w:r w:rsidRPr="00A81196">
        <w:rPr>
          <w:szCs w:val="24"/>
        </w:rPr>
        <w:t xml:space="preserve">o. Todėl byloje neįrodyta aplinkybė, jog </w:t>
      </w:r>
      <w:r w:rsidR="00A97F74" w:rsidRPr="00A81196">
        <w:rPr>
          <w:szCs w:val="24"/>
        </w:rPr>
        <w:t>V. R.</w:t>
      </w:r>
      <w:r w:rsidRPr="00A81196">
        <w:rPr>
          <w:szCs w:val="24"/>
        </w:rPr>
        <w:t xml:space="preserve"> vadovavo LRT pastate dirbusių ir pastatą gynusių civilių puolimui. Teismo išvada, jog </w:t>
      </w:r>
      <w:r w:rsidR="00A97F74" w:rsidRPr="00A81196">
        <w:rPr>
          <w:szCs w:val="24"/>
        </w:rPr>
        <w:t>V. R.</w:t>
      </w:r>
      <w:r w:rsidRPr="00A81196">
        <w:rPr>
          <w:szCs w:val="24"/>
        </w:rPr>
        <w:t xml:space="preserve"> atakos metu mušė žmones, taip pat nepagrįsta. N</w:t>
      </w:r>
      <w:r w:rsidR="001F066A" w:rsidRPr="00A81196">
        <w:rPr>
          <w:szCs w:val="24"/>
        </w:rPr>
        <w:t>ė</w:t>
      </w:r>
      <w:r w:rsidRPr="00A81196">
        <w:rPr>
          <w:szCs w:val="24"/>
        </w:rPr>
        <w:t xml:space="preserve"> vienas iš teisme apklaustų asmenų nenurodė, jog </w:t>
      </w:r>
      <w:r w:rsidR="00A97F74" w:rsidRPr="00A81196">
        <w:rPr>
          <w:szCs w:val="24"/>
        </w:rPr>
        <w:t>V. R.</w:t>
      </w:r>
      <w:r w:rsidRPr="00A81196">
        <w:rPr>
          <w:szCs w:val="24"/>
        </w:rPr>
        <w:t xml:space="preserve"> mušė žmones. Pats </w:t>
      </w:r>
      <w:r w:rsidR="00A97F74" w:rsidRPr="00A81196">
        <w:rPr>
          <w:szCs w:val="24"/>
        </w:rPr>
        <w:t>V. R.</w:t>
      </w:r>
      <w:r w:rsidR="001F066A" w:rsidRPr="00A81196">
        <w:rPr>
          <w:szCs w:val="24"/>
        </w:rPr>
        <w:t>,</w:t>
      </w:r>
      <w:r w:rsidRPr="00A81196">
        <w:rPr>
          <w:szCs w:val="24"/>
        </w:rPr>
        <w:t xml:space="preserve"> apklaustas </w:t>
      </w:r>
      <w:r w:rsidR="001F066A" w:rsidRPr="00A81196">
        <w:rPr>
          <w:szCs w:val="24"/>
        </w:rPr>
        <w:t xml:space="preserve">kaip </w:t>
      </w:r>
      <w:r w:rsidRPr="00A81196">
        <w:rPr>
          <w:szCs w:val="24"/>
        </w:rPr>
        <w:t>liudytoj</w:t>
      </w:r>
      <w:r w:rsidR="001F066A" w:rsidRPr="00A81196">
        <w:rPr>
          <w:szCs w:val="24"/>
        </w:rPr>
        <w:t>as,</w:t>
      </w:r>
      <w:r w:rsidRPr="00A81196">
        <w:rPr>
          <w:szCs w:val="24"/>
        </w:rPr>
        <w:t xml:space="preserve"> parodė, jog jis instruktavo privalomosios tarnybos kareivius apie draudimą naudoti šaunamąjį ginklą, asmeniškai smurto prieš civilius nenaudojo, nešaudė, ginklų niekas nenaudojo. Girdėjo šūvius, bet kas šaudė ir ar buvo nukentėjusiųjų nuo šūvių, nežino, nes buvo mašinoje ir iš jos nelipo. Šie </w:t>
      </w:r>
      <w:r w:rsidR="00A97F74" w:rsidRPr="00A81196">
        <w:rPr>
          <w:szCs w:val="24"/>
        </w:rPr>
        <w:t>V. R.</w:t>
      </w:r>
      <w:r w:rsidRPr="00A81196">
        <w:rPr>
          <w:szCs w:val="24"/>
        </w:rPr>
        <w:t xml:space="preserve"> parodymai nepaneigti</w:t>
      </w:r>
      <w:r w:rsidRPr="00C00255">
        <w:rPr>
          <w:szCs w:val="24"/>
        </w:rPr>
        <w:t>.</w:t>
      </w:r>
    </w:p>
    <w:p w:rsidR="009E52DB" w:rsidRPr="00C00255" w:rsidRDefault="009E52DB" w:rsidP="00321748">
      <w:pPr>
        <w:pStyle w:val="ListParagraph"/>
        <w:numPr>
          <w:ilvl w:val="1"/>
          <w:numId w:val="6"/>
        </w:numPr>
        <w:spacing w:before="120" w:after="120"/>
        <w:ind w:left="992" w:hanging="992"/>
        <w:contextualSpacing w:val="0"/>
        <w:rPr>
          <w:szCs w:val="24"/>
        </w:rPr>
      </w:pPr>
      <w:r w:rsidRPr="00A81196">
        <w:t xml:space="preserve">Gynėjas nesutinka su teismo išvada, kad nusikalstamas veikas kaltinamieji padarė veikdami bendrininkų grupe. Šis požymis nustatytas nepagrįstai. </w:t>
      </w:r>
      <w:r w:rsidR="00A97F74" w:rsidRPr="00A81196">
        <w:t>V. R.</w:t>
      </w:r>
      <w:r w:rsidRPr="00A81196">
        <w:t xml:space="preserve"> tarnavo TSRS kariuomenėje, kurios veikla grindžiama hierarchijos, karinės drausmės bei karinio pavaldumo ir paklusnumo principais</w:t>
      </w:r>
      <w:r w:rsidR="001D575E" w:rsidRPr="00A81196">
        <w:t xml:space="preserve">. </w:t>
      </w:r>
      <w:r w:rsidR="00A97F74" w:rsidRPr="00A81196">
        <w:t>V. R.</w:t>
      </w:r>
      <w:r w:rsidR="001D575E" w:rsidRPr="00A81196">
        <w:t>, vadovaudamasis</w:t>
      </w:r>
      <w:r w:rsidRPr="00A81196">
        <w:t xml:space="preserve"> TSRS</w:t>
      </w:r>
      <w:r w:rsidR="003C2AAC" w:rsidRPr="00A81196">
        <w:t xml:space="preserve"> ginkluotųjų pajėgų</w:t>
      </w:r>
      <w:r w:rsidRPr="00A81196">
        <w:t xml:space="preserve"> vidaus tarnybos statutu, privalėjo vykdyti viršininkų įsakymus ir a</w:t>
      </w:r>
      <w:r w:rsidR="001D575E" w:rsidRPr="00A81196">
        <w:t>tlikti jam pavestas funkcijas bei</w:t>
      </w:r>
      <w:r w:rsidRPr="00A81196">
        <w:t xml:space="preserve"> užduotis. </w:t>
      </w:r>
      <w:r w:rsidR="00A97F74" w:rsidRPr="00A81196">
        <w:t>V. R.</w:t>
      </w:r>
      <w:r w:rsidRPr="00A81196">
        <w:t xml:space="preserve"> viršininkai buvo </w:t>
      </w:r>
      <w:r w:rsidR="00385BC9" w:rsidRPr="00A81196">
        <w:t>D. J.</w:t>
      </w:r>
      <w:r w:rsidRPr="00A81196">
        <w:t xml:space="preserve">, </w:t>
      </w:r>
      <w:r w:rsidR="00C507EF" w:rsidRPr="00A81196">
        <w:t>V. A.</w:t>
      </w:r>
      <w:r w:rsidRPr="00A81196">
        <w:t xml:space="preserve">, </w:t>
      </w:r>
      <w:r w:rsidR="00385BC9" w:rsidRPr="00A81196">
        <w:t>V. K. 1</w:t>
      </w:r>
      <w:r w:rsidRPr="00A81196">
        <w:t xml:space="preserve">, </w:t>
      </w:r>
      <w:r w:rsidR="006036E7" w:rsidRPr="00A81196">
        <w:t>V. U. 1</w:t>
      </w:r>
      <w:r w:rsidRPr="00A81196">
        <w:t xml:space="preserve">, </w:t>
      </w:r>
      <w:r w:rsidR="00385BC9" w:rsidRPr="00A81196">
        <w:t>V. S. 1</w:t>
      </w:r>
      <w:r w:rsidRPr="00A81196">
        <w:t xml:space="preserve">. Nuteistasis </w:t>
      </w:r>
      <w:r w:rsidR="00A97F74" w:rsidRPr="00A81196">
        <w:t>V. R.</w:t>
      </w:r>
      <w:r w:rsidRPr="00A81196">
        <w:t xml:space="preserve">, pradėdamas tarnauti kariuomenėje, negalėjo žinoti, kad įstojo </w:t>
      </w:r>
      <w:r w:rsidR="00241303" w:rsidRPr="00A81196">
        <w:t>į nusikaltėlių grupę, nes tokia</w:t>
      </w:r>
      <w:r w:rsidRPr="00A81196">
        <w:t xml:space="preserve"> neegzistavo, kol ji nebuvo tokia paskelbta šiuo apkaltinamuoju</w:t>
      </w:r>
      <w:r w:rsidR="001D575E" w:rsidRPr="00A81196">
        <w:t xml:space="preserve"> teismo</w:t>
      </w:r>
      <w:r w:rsidRPr="00A81196">
        <w:t xml:space="preserve"> nuosprendžiu. </w:t>
      </w:r>
      <w:r w:rsidR="001D575E" w:rsidRPr="00A81196">
        <w:t>Specialistas J.</w:t>
      </w:r>
      <w:r w:rsidR="001F066A" w:rsidRPr="00A81196">
        <w:t> </w:t>
      </w:r>
      <w:r w:rsidR="001D575E" w:rsidRPr="00A81196">
        <w:t xml:space="preserve">Andriškevičius </w:t>
      </w:r>
      <w:r w:rsidRPr="00A81196">
        <w:t>išvadoje nurodė, kad specialiai operacijai Lietuvoje buvo suformuotas karinis junginys, jungiantis tam tikrus TSRS karinius dalinius, o karinio junginio negalima laikyti nusikalstama grupuote</w:t>
      </w:r>
      <w:r w:rsidRPr="00C00255">
        <w:rPr>
          <w:szCs w:val="24"/>
        </w:rPr>
        <w:t>.</w:t>
      </w:r>
    </w:p>
    <w:p w:rsidR="009E52DB" w:rsidRPr="00C00255" w:rsidRDefault="009E52DB" w:rsidP="00321748">
      <w:pPr>
        <w:pStyle w:val="ListParagraph"/>
        <w:numPr>
          <w:ilvl w:val="1"/>
          <w:numId w:val="6"/>
        </w:numPr>
        <w:spacing w:before="120" w:after="120"/>
        <w:ind w:left="992" w:hanging="992"/>
        <w:contextualSpacing w:val="0"/>
        <w:rPr>
          <w:szCs w:val="24"/>
        </w:rPr>
      </w:pPr>
      <w:r w:rsidRPr="00A81196">
        <w:rPr>
          <w:szCs w:val="24"/>
        </w:rPr>
        <w:t xml:space="preserve">Gynėjas nesutinka su </w:t>
      </w:r>
      <w:r w:rsidR="00A97F74" w:rsidRPr="00A81196">
        <w:rPr>
          <w:szCs w:val="24"/>
        </w:rPr>
        <w:t>V. R.</w:t>
      </w:r>
      <w:r w:rsidRPr="00A81196">
        <w:rPr>
          <w:szCs w:val="24"/>
        </w:rPr>
        <w:t xml:space="preserve"> nuteisimu pagal BK 112 straipsnį už tarptautinių sutarčių uždraustų karo priemonių – 5,45 mm kalibro šovinių su išcentruota kulka – naudo</w:t>
      </w:r>
      <w:r w:rsidR="00A97F74" w:rsidRPr="00A81196">
        <w:rPr>
          <w:szCs w:val="24"/>
        </w:rPr>
        <w:t>jimą. Teismas, pripažindamas V. </w:t>
      </w:r>
      <w:r w:rsidRPr="00A81196">
        <w:rPr>
          <w:szCs w:val="24"/>
        </w:rPr>
        <w:t>R</w:t>
      </w:r>
      <w:r w:rsidR="00A97F74" w:rsidRPr="00A81196">
        <w:rPr>
          <w:szCs w:val="24"/>
        </w:rPr>
        <w:t>.</w:t>
      </w:r>
      <w:r w:rsidRPr="00A81196">
        <w:rPr>
          <w:szCs w:val="24"/>
        </w:rPr>
        <w:t xml:space="preserve"> kaltu, nuosprendyje nurodė</w:t>
      </w:r>
      <w:r w:rsidR="001F066A" w:rsidRPr="00A81196">
        <w:rPr>
          <w:szCs w:val="24"/>
        </w:rPr>
        <w:t>,</w:t>
      </w:r>
      <w:r w:rsidRPr="00A81196">
        <w:rPr>
          <w:szCs w:val="24"/>
        </w:rPr>
        <w:t xml:space="preserve"> kokius konkrečiai veiksmus jis atliko: karinės operacijos prie LRT metu įjungė radiofoninį įrenginį ir leido garso įrašą dėl valdžios perėmimo, užtikrino žvalgybinį ryšį. Taigi teismas nenustatė, jog </w:t>
      </w:r>
      <w:r w:rsidR="00A97F74" w:rsidRPr="00A81196">
        <w:rPr>
          <w:szCs w:val="24"/>
        </w:rPr>
        <w:t>V. R.</w:t>
      </w:r>
      <w:r w:rsidR="00A854E1" w:rsidRPr="00A81196">
        <w:rPr>
          <w:szCs w:val="24"/>
        </w:rPr>
        <w:t xml:space="preserve"> buvo panaudojęs 5,45 </w:t>
      </w:r>
      <w:r w:rsidRPr="00A81196">
        <w:rPr>
          <w:szCs w:val="24"/>
        </w:rPr>
        <w:t xml:space="preserve">mm kalibro uždraustus šovinius. </w:t>
      </w:r>
      <w:r w:rsidR="00A97F74" w:rsidRPr="00A81196">
        <w:rPr>
          <w:szCs w:val="24"/>
        </w:rPr>
        <w:t>V. R.</w:t>
      </w:r>
      <w:r w:rsidRPr="00A81196">
        <w:rPr>
          <w:szCs w:val="24"/>
        </w:rPr>
        <w:t xml:space="preserve"> neneigė, kad vykdamas prie LRT jis turėjo 9 mm kalibro Makarovo pistoletą Nr. </w:t>
      </w:r>
      <w:r w:rsidR="00A854E1" w:rsidRPr="00A81196">
        <w:rPr>
          <w:szCs w:val="24"/>
        </w:rPr>
        <w:t>(duomenys neskelbtini)</w:t>
      </w:r>
      <w:r w:rsidRPr="00A81196">
        <w:rPr>
          <w:szCs w:val="24"/>
        </w:rPr>
        <w:t xml:space="preserve">, 16 kovinių šovinių, o ekipažo nariai turėjo automatus be šovinių. Tokie </w:t>
      </w:r>
      <w:r w:rsidR="00A97F74" w:rsidRPr="00A81196">
        <w:rPr>
          <w:szCs w:val="24"/>
        </w:rPr>
        <w:t>V. R.</w:t>
      </w:r>
      <w:r w:rsidRPr="00A81196">
        <w:rPr>
          <w:szCs w:val="24"/>
        </w:rPr>
        <w:t xml:space="preserve"> parodymai nėra paneigti. Jau vien dėl to, gynėjo teigimu, </w:t>
      </w:r>
      <w:r w:rsidR="00A97F74" w:rsidRPr="00A81196">
        <w:rPr>
          <w:szCs w:val="24"/>
        </w:rPr>
        <w:t>V. R.</w:t>
      </w:r>
      <w:r w:rsidRPr="00A81196">
        <w:rPr>
          <w:szCs w:val="24"/>
        </w:rPr>
        <w:t xml:space="preserve"> negalėjo būti nuteistas pagal BK 112 straipsnį. Be to, pasak gynėjo, teismas nenurodė</w:t>
      </w:r>
      <w:r w:rsidR="001F066A" w:rsidRPr="00A81196">
        <w:rPr>
          <w:szCs w:val="24"/>
        </w:rPr>
        <w:t>,</w:t>
      </w:r>
      <w:r w:rsidRPr="00A81196">
        <w:rPr>
          <w:szCs w:val="24"/>
        </w:rPr>
        <w:t xml:space="preserve"> kokiomis konkrečiai tarptautinėmis sutartimis yra uždrausti 5,45 mm kalibro šoviniai. Tarptautinėmis sutartimis, pavyzdžiui, 1899 m. Hagos konvencija </w:t>
      </w:r>
      <w:r w:rsidRPr="00A81196">
        <w:rPr>
          <w:szCs w:val="24"/>
        </w:rPr>
        <w:lastRenderedPageBreak/>
        <w:t>dėl sausumos karo įstatymų ir papročių, draudžiama kariaujančioms šalims naudoti vadinam</w:t>
      </w:r>
      <w:r w:rsidR="001F066A" w:rsidRPr="00A81196">
        <w:rPr>
          <w:szCs w:val="24"/>
        </w:rPr>
        <w:t>ąsias</w:t>
      </w:r>
      <w:r w:rsidRPr="00A81196">
        <w:rPr>
          <w:szCs w:val="24"/>
        </w:rPr>
        <w:t xml:space="preserve"> ekspansyvias kulkas. Byloje nėra duomenų, kad 5,45 mm kalibro </w:t>
      </w:r>
      <w:r w:rsidR="00EC1D9A" w:rsidRPr="00A81196">
        <w:rPr>
          <w:szCs w:val="24"/>
        </w:rPr>
        <w:t>AK</w:t>
      </w:r>
      <w:r w:rsidRPr="00A81196">
        <w:rPr>
          <w:szCs w:val="24"/>
        </w:rPr>
        <w:t xml:space="preserve"> kulka būtų priskirta ekspansyvių kulkų kategorijai, kaip tokios kulkos ir šoviniai apibrėžiami Lietuvos teismo ekspertizės centro interneto svetainėje. Pirmosios instancijos teismo teiginiai apie šių kulkų draudimą yra spėjamojo pobūdžio, nes byloje </w:t>
      </w:r>
      <w:r w:rsidR="001D575E" w:rsidRPr="00A81196">
        <w:rPr>
          <w:szCs w:val="24"/>
        </w:rPr>
        <w:t xml:space="preserve">apie tai </w:t>
      </w:r>
      <w:r w:rsidRPr="00A81196">
        <w:rPr>
          <w:szCs w:val="24"/>
        </w:rPr>
        <w:t xml:space="preserve">nėra kompetentingų specialistų išvados. Atsižvelgiant į tai, </w:t>
      </w:r>
      <w:r w:rsidR="00A97F74" w:rsidRPr="00A81196">
        <w:rPr>
          <w:szCs w:val="24"/>
        </w:rPr>
        <w:t>V. R.</w:t>
      </w:r>
      <w:r w:rsidRPr="00A81196">
        <w:rPr>
          <w:szCs w:val="24"/>
        </w:rPr>
        <w:t xml:space="preserve"> ne tik nenaudojo jam skirto šaunamojo ginklo, bet ir neturėjo tarptautinėmis sutartimis uždraustų šovinių</w:t>
      </w:r>
      <w:r w:rsidRPr="00C00255">
        <w:rPr>
          <w:szCs w:val="24"/>
        </w:rPr>
        <w:t>.</w:t>
      </w:r>
      <w:r w:rsidR="001D575E" w:rsidRPr="00C00255">
        <w:rPr>
          <w:szCs w:val="24"/>
        </w:rPr>
        <w:t xml:space="preserve"> </w:t>
      </w:r>
    </w:p>
    <w:p w:rsidR="009E52DB" w:rsidRPr="00C00255" w:rsidRDefault="009E52DB" w:rsidP="00321748">
      <w:pPr>
        <w:pStyle w:val="ListParagraph"/>
        <w:numPr>
          <w:ilvl w:val="1"/>
          <w:numId w:val="6"/>
        </w:numPr>
        <w:spacing w:before="120" w:after="120"/>
        <w:ind w:left="992" w:hanging="992"/>
        <w:contextualSpacing w:val="0"/>
        <w:rPr>
          <w:szCs w:val="24"/>
        </w:rPr>
      </w:pPr>
      <w:r w:rsidRPr="00A81196">
        <w:rPr>
          <w:bCs/>
          <w:szCs w:val="24"/>
        </w:rPr>
        <w:t>Gynėjas skunde atkreipia dėmesį į Romos statuto 33 straipsnio 1 dalį, kurioje nurodyta, kad asmuo, vykdęs vyriausybės arba karinio ar civilio vadovo įsakymą ir padaręs nusikaltimą, gali būti atleidžiamas nuo baudžiamosios atsakomybės, jei vykdyti įsakymus buvo šio asmens pareiga pagal įstatymą, šis asmuo nežinojo, kad įsakymas yra neteisėtas</w:t>
      </w:r>
      <w:r w:rsidR="00183D6A" w:rsidRPr="00A81196">
        <w:rPr>
          <w:bCs/>
          <w:szCs w:val="24"/>
        </w:rPr>
        <w:t>,</w:t>
      </w:r>
      <w:r w:rsidRPr="00A81196">
        <w:rPr>
          <w:bCs/>
          <w:szCs w:val="24"/>
        </w:rPr>
        <w:t xml:space="preserve"> ir įsakymas nebuvo akivaizdžiai neteisėtas. Pasak gynėjo, </w:t>
      </w:r>
      <w:r w:rsidR="00A97F74" w:rsidRPr="00A81196">
        <w:rPr>
          <w:bCs/>
          <w:szCs w:val="24"/>
        </w:rPr>
        <w:t>V. R.</w:t>
      </w:r>
      <w:r w:rsidRPr="00A81196">
        <w:rPr>
          <w:bCs/>
          <w:szCs w:val="24"/>
        </w:rPr>
        <w:t xml:space="preserve"> atitinka minėto teisės akto</w:t>
      </w:r>
      <w:r w:rsidR="001D575E" w:rsidRPr="00A81196">
        <w:rPr>
          <w:bCs/>
          <w:szCs w:val="24"/>
        </w:rPr>
        <w:t xml:space="preserve"> taikymo</w:t>
      </w:r>
      <w:r w:rsidRPr="00A81196">
        <w:rPr>
          <w:bCs/>
          <w:szCs w:val="24"/>
        </w:rPr>
        <w:t xml:space="preserve"> sąlygas, todėl negali būti teisiamas už nusikaltimus žmoniškumui ir karo nusikaltimus</w:t>
      </w:r>
      <w:r w:rsidRPr="00C00255">
        <w:rPr>
          <w:bCs/>
          <w:szCs w:val="24"/>
        </w:rPr>
        <w:t xml:space="preserve">. </w:t>
      </w:r>
    </w:p>
    <w:p w:rsidR="00480B7D" w:rsidRPr="00C00255" w:rsidRDefault="00480B7D" w:rsidP="00321748">
      <w:pPr>
        <w:pStyle w:val="ListParagraph"/>
        <w:numPr>
          <w:ilvl w:val="0"/>
          <w:numId w:val="6"/>
        </w:numPr>
        <w:spacing w:before="120" w:after="120"/>
        <w:ind w:left="992" w:hanging="992"/>
        <w:contextualSpacing w:val="0"/>
        <w:rPr>
          <w:szCs w:val="24"/>
        </w:rPr>
      </w:pPr>
      <w:bookmarkStart w:id="175" w:name="_Toc37947885"/>
      <w:bookmarkStart w:id="176" w:name="_Toc67677364"/>
      <w:bookmarkStart w:id="177" w:name="_Toc67985491"/>
      <w:r w:rsidRPr="00D43DF2">
        <w:rPr>
          <w:b/>
        </w:rPr>
        <w:t xml:space="preserve">Nuteistojo </w:t>
      </w:r>
      <w:r w:rsidR="00A97F74" w:rsidRPr="00D43DF2">
        <w:rPr>
          <w:b/>
        </w:rPr>
        <w:t>V. Š. 2</w:t>
      </w:r>
      <w:r w:rsidRPr="00D43DF2">
        <w:rPr>
          <w:b/>
        </w:rPr>
        <w:t xml:space="preserve"> gynėjas</w:t>
      </w:r>
      <w:bookmarkEnd w:id="175"/>
      <w:bookmarkEnd w:id="176"/>
      <w:bookmarkEnd w:id="177"/>
      <w:r w:rsidRPr="00D43DF2">
        <w:rPr>
          <w:b/>
        </w:rPr>
        <w:t xml:space="preserve"> advokatas M. Normantas</w:t>
      </w:r>
      <w:r w:rsidRPr="00C00255">
        <w:rPr>
          <w:szCs w:val="24"/>
        </w:rPr>
        <w:t xml:space="preserve"> </w:t>
      </w:r>
      <w:r w:rsidRPr="00A81196">
        <w:rPr>
          <w:szCs w:val="24"/>
        </w:rPr>
        <w:t xml:space="preserve">apeliaciniu skundu prašo panaikinti pirmosios instancijos teismo nuosprendį ir jo ginamąjį išteisinti, nepadarius </w:t>
      </w:r>
      <w:r w:rsidR="006A642D" w:rsidRPr="00A81196">
        <w:rPr>
          <w:szCs w:val="24"/>
        </w:rPr>
        <w:t xml:space="preserve">jam </w:t>
      </w:r>
      <w:r w:rsidRPr="00A81196">
        <w:rPr>
          <w:szCs w:val="24"/>
        </w:rPr>
        <w:t>inkriminuojamų nusikaltimų</w:t>
      </w:r>
      <w:r w:rsidRPr="00C00255">
        <w:rPr>
          <w:szCs w:val="24"/>
        </w:rPr>
        <w:t>.</w:t>
      </w:r>
      <w:r w:rsidR="008434B8" w:rsidRPr="00C00255">
        <w:rPr>
          <w:szCs w:val="24"/>
        </w:rPr>
        <w:t xml:space="preserve"> </w:t>
      </w:r>
    </w:p>
    <w:p w:rsidR="00480B7D" w:rsidRPr="00C00255" w:rsidRDefault="001D575E" w:rsidP="00321748">
      <w:pPr>
        <w:pStyle w:val="ListParagraph"/>
        <w:numPr>
          <w:ilvl w:val="1"/>
          <w:numId w:val="6"/>
        </w:numPr>
        <w:spacing w:before="120" w:after="120"/>
        <w:ind w:left="992" w:hanging="992"/>
        <w:contextualSpacing w:val="0"/>
        <w:rPr>
          <w:szCs w:val="24"/>
        </w:rPr>
      </w:pPr>
      <w:r w:rsidRPr="00A81196">
        <w:rPr>
          <w:szCs w:val="24"/>
        </w:rPr>
        <w:t>Gynėjas n</w:t>
      </w:r>
      <w:r w:rsidR="00480B7D" w:rsidRPr="00A81196">
        <w:rPr>
          <w:szCs w:val="24"/>
        </w:rPr>
        <w:t>urodo, kad apkaltinamąjį nuosprendį priėmė šališkas teismas, kuris netinkamai įvertino įrodymus ir nuosprendį grindė prielaidomis.</w:t>
      </w:r>
      <w:r w:rsidRPr="00A81196">
        <w:rPr>
          <w:szCs w:val="24"/>
        </w:rPr>
        <w:t xml:space="preserve"> Be to, teismas pažeidė BPK 301 </w:t>
      </w:r>
      <w:r w:rsidR="00480B7D" w:rsidRPr="00A81196">
        <w:rPr>
          <w:szCs w:val="24"/>
        </w:rPr>
        <w:t xml:space="preserve">straipsnio 1 dalies ir 305 straipsnio 1 dalies nuostatas, </w:t>
      </w:r>
      <w:r w:rsidR="001F066A" w:rsidRPr="00A81196">
        <w:rPr>
          <w:szCs w:val="24"/>
        </w:rPr>
        <w:t xml:space="preserve">kuriomis </w:t>
      </w:r>
      <w:r w:rsidR="00480B7D" w:rsidRPr="00A81196">
        <w:rPr>
          <w:szCs w:val="24"/>
        </w:rPr>
        <w:t>reglamentuoja</w:t>
      </w:r>
      <w:r w:rsidR="001F066A" w:rsidRPr="00A81196">
        <w:rPr>
          <w:szCs w:val="24"/>
        </w:rPr>
        <w:t>mos</w:t>
      </w:r>
      <w:r w:rsidR="00480B7D" w:rsidRPr="00A81196">
        <w:rPr>
          <w:szCs w:val="24"/>
        </w:rPr>
        <w:t xml:space="preserve"> nuosprendžio surašymo taisykl</w:t>
      </w:r>
      <w:r w:rsidR="001F066A" w:rsidRPr="00A81196">
        <w:rPr>
          <w:szCs w:val="24"/>
        </w:rPr>
        <w:t>ė</w:t>
      </w:r>
      <w:r w:rsidR="00480B7D" w:rsidRPr="00A81196">
        <w:rPr>
          <w:szCs w:val="24"/>
        </w:rPr>
        <w:t xml:space="preserve">s, todėl nuosprendis yra neteisėtas ir nepagrįstas. Nuosprendyje </w:t>
      </w:r>
      <w:r w:rsidR="00A97F74" w:rsidRPr="00A81196">
        <w:rPr>
          <w:szCs w:val="24"/>
        </w:rPr>
        <w:t>V. Š. 2</w:t>
      </w:r>
      <w:r w:rsidR="00480B7D" w:rsidRPr="00A81196">
        <w:rPr>
          <w:szCs w:val="24"/>
        </w:rPr>
        <w:t xml:space="preserve"> veiksmai nedetalizuoti, jam pareikštas kaltinimas apima visus bendrininkų grupės galimai padarytus nusikalstamus veiksmus, t.</w:t>
      </w:r>
      <w:r w:rsidR="001F066A" w:rsidRPr="00A81196">
        <w:rPr>
          <w:szCs w:val="24"/>
        </w:rPr>
        <w:t> </w:t>
      </w:r>
      <w:r w:rsidR="00480B7D" w:rsidRPr="00A81196">
        <w:rPr>
          <w:szCs w:val="24"/>
        </w:rPr>
        <w:t>y. nenurodyta</w:t>
      </w:r>
      <w:r w:rsidR="001F066A" w:rsidRPr="00A81196">
        <w:rPr>
          <w:szCs w:val="24"/>
        </w:rPr>
        <w:t>,</w:t>
      </w:r>
      <w:r w:rsidR="00480B7D" w:rsidRPr="00A81196">
        <w:rPr>
          <w:szCs w:val="24"/>
        </w:rPr>
        <w:t xml:space="preserve"> kada, kurioje vietoje ir kokius konkrečius neteisėtus veiksmus atliko būtent </w:t>
      </w:r>
      <w:r w:rsidR="00A97F74" w:rsidRPr="00A81196">
        <w:rPr>
          <w:szCs w:val="24"/>
        </w:rPr>
        <w:t>V. Š. 2</w:t>
      </w:r>
      <w:r w:rsidR="00480B7D" w:rsidRPr="00C00255">
        <w:rPr>
          <w:szCs w:val="24"/>
        </w:rPr>
        <w:t xml:space="preserve">. </w:t>
      </w:r>
    </w:p>
    <w:p w:rsidR="00480B7D" w:rsidRPr="00C00255" w:rsidRDefault="00480B7D" w:rsidP="00321748">
      <w:pPr>
        <w:pStyle w:val="ListParagraph"/>
        <w:numPr>
          <w:ilvl w:val="1"/>
          <w:numId w:val="6"/>
        </w:numPr>
        <w:spacing w:before="120" w:after="120"/>
        <w:ind w:left="992" w:hanging="992"/>
        <w:contextualSpacing w:val="0"/>
        <w:rPr>
          <w:szCs w:val="24"/>
        </w:rPr>
      </w:pPr>
      <w:r w:rsidRPr="00C00255">
        <w:rPr>
          <w:szCs w:val="24"/>
        </w:rPr>
        <w:t xml:space="preserve">Pasak gynėjo, BK 100 straipsnyje numatyta nusikalstama veika gali būti padaroma tik tyčia. Byloje nėra jokių duomenų, kad </w:t>
      </w:r>
      <w:r w:rsidR="00A97F74">
        <w:rPr>
          <w:szCs w:val="24"/>
        </w:rPr>
        <w:t>V. Š. 2</w:t>
      </w:r>
      <w:r w:rsidRPr="00C00255">
        <w:rPr>
          <w:szCs w:val="24"/>
        </w:rPr>
        <w:t xml:space="preserve"> tyčia dalyvavo padarant inkriminuojamas veikas. </w:t>
      </w:r>
      <w:r w:rsidR="00A97F74">
        <w:rPr>
          <w:szCs w:val="24"/>
        </w:rPr>
        <w:t>V. Š. 2</w:t>
      </w:r>
      <w:r w:rsidRPr="00C00255">
        <w:rPr>
          <w:szCs w:val="24"/>
        </w:rPr>
        <w:t xml:space="preserve"> buvo karininkas ir vykdė vadovybės įsakymą – vykti į nurodytą vietą, daugiau jokių veiksmų neatliko. Nežinojo, kad bus žuvusių ir sužalotų asmenų. Pagal teismų praktiką laikoma, kad dalyvavimas žudant žmones reiškiasi ne tik veiksmų, kuriais atimama žmonių gyvybė, atlikimu, bet ir sąlygų žmonėms žudyti sudarymu (Nusikaltimų žmoniškumui ir karo nusikaltimų baudžiamosiose bylose apžvalga AB-37-1). Iš nuosprendžio neaišku, kokias konkrečias sąlygas žmonėms žudyti sudarė </w:t>
      </w:r>
      <w:r w:rsidR="00A97F74">
        <w:rPr>
          <w:szCs w:val="24"/>
        </w:rPr>
        <w:t>V. Š. 2</w:t>
      </w:r>
      <w:r w:rsidRPr="00C00255">
        <w:rPr>
          <w:szCs w:val="24"/>
        </w:rPr>
        <w:t>. Tai, kad jis turėjo pareigą užtikrinti radijo ryšio veikimą</w:t>
      </w:r>
      <w:r w:rsidR="00183D6A" w:rsidRPr="00C00255">
        <w:rPr>
          <w:szCs w:val="24"/>
        </w:rPr>
        <w:t xml:space="preserve"> (o tai</w:t>
      </w:r>
      <w:r w:rsidRPr="00C00255">
        <w:rPr>
          <w:szCs w:val="24"/>
        </w:rPr>
        <w:t xml:space="preserve"> buvo jo kasdienės darbinės funkcijos</w:t>
      </w:r>
      <w:r w:rsidR="00183D6A" w:rsidRPr="00C00255">
        <w:rPr>
          <w:szCs w:val="24"/>
        </w:rPr>
        <w:t>)</w:t>
      </w:r>
      <w:r w:rsidRPr="00C00255">
        <w:rPr>
          <w:szCs w:val="24"/>
        </w:rPr>
        <w:t xml:space="preserve">, nelaikytina sąlygų </w:t>
      </w:r>
      <w:r w:rsidR="001F066A" w:rsidRPr="00C00255">
        <w:rPr>
          <w:szCs w:val="24"/>
        </w:rPr>
        <w:t xml:space="preserve">padaryti </w:t>
      </w:r>
      <w:r w:rsidRPr="00C00255">
        <w:rPr>
          <w:szCs w:val="24"/>
        </w:rPr>
        <w:t>inkriminuojam</w:t>
      </w:r>
      <w:r w:rsidR="001F066A" w:rsidRPr="00C00255">
        <w:rPr>
          <w:szCs w:val="24"/>
        </w:rPr>
        <w:t xml:space="preserve">as </w:t>
      </w:r>
      <w:r w:rsidRPr="00C00255">
        <w:rPr>
          <w:szCs w:val="24"/>
        </w:rPr>
        <w:t>veik</w:t>
      </w:r>
      <w:r w:rsidR="001F066A" w:rsidRPr="00C00255">
        <w:rPr>
          <w:szCs w:val="24"/>
        </w:rPr>
        <w:t>as</w:t>
      </w:r>
      <w:r w:rsidR="00427F7D" w:rsidRPr="00C00255">
        <w:rPr>
          <w:szCs w:val="24"/>
        </w:rPr>
        <w:t xml:space="preserve"> sudarymu</w:t>
      </w:r>
      <w:r w:rsidRPr="00C00255">
        <w:rPr>
          <w:szCs w:val="24"/>
        </w:rPr>
        <w:t>.</w:t>
      </w:r>
    </w:p>
    <w:p w:rsidR="00480B7D" w:rsidRPr="00C00255" w:rsidRDefault="00480B7D" w:rsidP="00321748">
      <w:pPr>
        <w:pStyle w:val="ListParagraph"/>
        <w:numPr>
          <w:ilvl w:val="1"/>
          <w:numId w:val="6"/>
        </w:numPr>
        <w:spacing w:before="120" w:after="120"/>
        <w:ind w:left="992" w:hanging="992"/>
        <w:contextualSpacing w:val="0"/>
        <w:rPr>
          <w:szCs w:val="24"/>
        </w:rPr>
      </w:pPr>
      <w:r w:rsidRPr="00A81196">
        <w:rPr>
          <w:szCs w:val="24"/>
        </w:rPr>
        <w:t xml:space="preserve">Dėl BK 101 straipsnyje numatytos nusikalstamos veikos padarymo gynėjas atkreipia dėmesį į tai, kad bylos medžiaga nepatvirtina </w:t>
      </w:r>
      <w:r w:rsidR="00A97F74" w:rsidRPr="00A81196">
        <w:rPr>
          <w:szCs w:val="24"/>
        </w:rPr>
        <w:t>V. Š. 2</w:t>
      </w:r>
      <w:r w:rsidRPr="00A81196">
        <w:rPr>
          <w:szCs w:val="24"/>
        </w:rPr>
        <w:t xml:space="preserve"> davus kokius nors įsakymus, kursčius ar organizavus žmonių žudymą. </w:t>
      </w:r>
      <w:r w:rsidR="00A97F74" w:rsidRPr="00A81196">
        <w:rPr>
          <w:szCs w:val="24"/>
        </w:rPr>
        <w:t>V. Š. 2</w:t>
      </w:r>
      <w:r w:rsidRPr="00A81196">
        <w:rPr>
          <w:szCs w:val="24"/>
        </w:rPr>
        <w:t xml:space="preserve"> pagal pareigas neturėjo įgaliojimų duoti tokių įsakymų, be to, jis tokių įsakymų nevykdė ir nenužudė n</w:t>
      </w:r>
      <w:r w:rsidR="00427F7D" w:rsidRPr="00A81196">
        <w:rPr>
          <w:szCs w:val="24"/>
        </w:rPr>
        <w:t>ė</w:t>
      </w:r>
      <w:r w:rsidRPr="00A81196">
        <w:rPr>
          <w:szCs w:val="24"/>
        </w:rPr>
        <w:t xml:space="preserve"> vieno žmogaus</w:t>
      </w:r>
      <w:r w:rsidRPr="00C00255">
        <w:rPr>
          <w:szCs w:val="24"/>
        </w:rPr>
        <w:t xml:space="preserve">. </w:t>
      </w:r>
    </w:p>
    <w:p w:rsidR="00480B7D" w:rsidRPr="00C00255" w:rsidRDefault="00A97F74" w:rsidP="00321748">
      <w:pPr>
        <w:pStyle w:val="ListParagraph"/>
        <w:numPr>
          <w:ilvl w:val="1"/>
          <w:numId w:val="6"/>
        </w:numPr>
        <w:spacing w:before="120" w:after="120"/>
        <w:ind w:left="992" w:hanging="992"/>
        <w:contextualSpacing w:val="0"/>
        <w:rPr>
          <w:szCs w:val="24"/>
        </w:rPr>
      </w:pPr>
      <w:r w:rsidRPr="00A81196">
        <w:rPr>
          <w:szCs w:val="24"/>
        </w:rPr>
        <w:t>V. Š. 2</w:t>
      </w:r>
      <w:r w:rsidR="00480B7D" w:rsidRPr="00A81196">
        <w:rPr>
          <w:szCs w:val="24"/>
        </w:rPr>
        <w:t xml:space="preserve"> ne</w:t>
      </w:r>
      <w:r w:rsidR="001D575E" w:rsidRPr="00A81196">
        <w:rPr>
          <w:szCs w:val="24"/>
        </w:rPr>
        <w:t>padarė n</w:t>
      </w:r>
      <w:r w:rsidR="00427F7D" w:rsidRPr="00A81196">
        <w:rPr>
          <w:szCs w:val="24"/>
        </w:rPr>
        <w:t>ė</w:t>
      </w:r>
      <w:r w:rsidR="001D575E" w:rsidRPr="00A81196">
        <w:rPr>
          <w:szCs w:val="24"/>
        </w:rPr>
        <w:t xml:space="preserve"> vieno</w:t>
      </w:r>
      <w:r w:rsidR="00480B7D" w:rsidRPr="00A81196">
        <w:rPr>
          <w:szCs w:val="24"/>
        </w:rPr>
        <w:t xml:space="preserve"> iš BK 103 straipsnyje numatytos nusikalstamos veikos alternatyvių veiksmų. Byloje nėra duomenų, kad </w:t>
      </w:r>
      <w:r w:rsidRPr="00A81196">
        <w:rPr>
          <w:szCs w:val="24"/>
        </w:rPr>
        <w:t>V. Š. 2</w:t>
      </w:r>
      <w:r w:rsidR="00480B7D" w:rsidRPr="00A81196">
        <w:rPr>
          <w:szCs w:val="24"/>
        </w:rPr>
        <w:t xml:space="preserve"> būtų įsakęs, ku</w:t>
      </w:r>
      <w:r w:rsidR="001D575E" w:rsidRPr="00A81196">
        <w:rPr>
          <w:szCs w:val="24"/>
        </w:rPr>
        <w:t>rstęs ar organizavęs nežmonišką elgesį</w:t>
      </w:r>
      <w:r w:rsidR="00480B7D" w:rsidRPr="00A81196">
        <w:rPr>
          <w:szCs w:val="24"/>
        </w:rPr>
        <w:t xml:space="preserve"> ar</w:t>
      </w:r>
      <w:r w:rsidR="001D575E" w:rsidRPr="00A81196">
        <w:rPr>
          <w:szCs w:val="24"/>
        </w:rPr>
        <w:t xml:space="preserve"> pats nežmoniškai elgęsis</w:t>
      </w:r>
      <w:r w:rsidR="00480B7D" w:rsidRPr="00A81196">
        <w:rPr>
          <w:szCs w:val="24"/>
        </w:rPr>
        <w:t xml:space="preserve"> su tarptautinės humanitarinės teisės saugomais asmenimis</w:t>
      </w:r>
      <w:r w:rsidR="00480B7D" w:rsidRPr="00C00255">
        <w:rPr>
          <w:szCs w:val="24"/>
        </w:rPr>
        <w:t xml:space="preserve">. </w:t>
      </w:r>
    </w:p>
    <w:p w:rsidR="00480B7D" w:rsidRPr="00C00255" w:rsidRDefault="00480B7D" w:rsidP="00321748">
      <w:pPr>
        <w:pStyle w:val="ListParagraph"/>
        <w:numPr>
          <w:ilvl w:val="1"/>
          <w:numId w:val="6"/>
        </w:numPr>
        <w:spacing w:before="120" w:after="120"/>
        <w:ind w:left="992" w:hanging="992"/>
        <w:contextualSpacing w:val="0"/>
        <w:rPr>
          <w:szCs w:val="24"/>
        </w:rPr>
      </w:pPr>
      <w:r w:rsidRPr="00A81196">
        <w:rPr>
          <w:szCs w:val="24"/>
        </w:rPr>
        <w:t xml:space="preserve">Gynėjas nesutinka su pirmosios instancijos teismo išvada, kad </w:t>
      </w:r>
      <w:r w:rsidR="00A97F74" w:rsidRPr="00A81196">
        <w:rPr>
          <w:szCs w:val="24"/>
        </w:rPr>
        <w:t>V. Š. 2</w:t>
      </w:r>
      <w:r w:rsidRPr="00A81196">
        <w:rPr>
          <w:szCs w:val="24"/>
        </w:rPr>
        <w:t xml:space="preserve"> dalyvavo karo atakoje prie LRT, t.</w:t>
      </w:r>
      <w:r w:rsidR="00427F7D" w:rsidRPr="00A81196">
        <w:rPr>
          <w:szCs w:val="24"/>
        </w:rPr>
        <w:t> </w:t>
      </w:r>
      <w:r w:rsidRPr="00A81196">
        <w:rPr>
          <w:szCs w:val="24"/>
        </w:rPr>
        <w:t>y. padarė BK 111 straipsnio 1 dalyje numatytą nusikalstamą veiką. Nuosprendyje nėra detalizuota, k</w:t>
      </w:r>
      <w:r w:rsidR="001D575E" w:rsidRPr="00A81196">
        <w:rPr>
          <w:szCs w:val="24"/>
        </w:rPr>
        <w:t>uo</w:t>
      </w:r>
      <w:r w:rsidRPr="00A81196">
        <w:rPr>
          <w:szCs w:val="24"/>
        </w:rPr>
        <w:t xml:space="preserve"> pasireiškė </w:t>
      </w:r>
      <w:r w:rsidR="00A97F74" w:rsidRPr="00A81196">
        <w:rPr>
          <w:szCs w:val="24"/>
        </w:rPr>
        <w:t>V. Š. 2</w:t>
      </w:r>
      <w:r w:rsidRPr="00A81196">
        <w:rPr>
          <w:szCs w:val="24"/>
        </w:rPr>
        <w:t xml:space="preserve"> dalyvavimas karo atakoje, t.</w:t>
      </w:r>
      <w:r w:rsidR="00427F7D" w:rsidRPr="00A81196">
        <w:rPr>
          <w:szCs w:val="24"/>
        </w:rPr>
        <w:t> </w:t>
      </w:r>
      <w:r w:rsidRPr="00A81196">
        <w:rPr>
          <w:szCs w:val="24"/>
        </w:rPr>
        <w:t xml:space="preserve">y. kur ir kada konkrečiai </w:t>
      </w:r>
      <w:r w:rsidR="00A97F74" w:rsidRPr="00A81196">
        <w:rPr>
          <w:szCs w:val="24"/>
        </w:rPr>
        <w:t>V. Š. 2</w:t>
      </w:r>
      <w:r w:rsidRPr="00A81196">
        <w:rPr>
          <w:szCs w:val="24"/>
        </w:rPr>
        <w:t xml:space="preserve"> tuo metu buvo, ką jis veikė</w:t>
      </w:r>
      <w:r w:rsidRPr="00C00255">
        <w:rPr>
          <w:szCs w:val="24"/>
        </w:rPr>
        <w:t xml:space="preserve">. </w:t>
      </w:r>
    </w:p>
    <w:p w:rsidR="00480B7D" w:rsidRPr="00C00255" w:rsidRDefault="00480B7D" w:rsidP="00321748">
      <w:pPr>
        <w:pStyle w:val="ListParagraph"/>
        <w:numPr>
          <w:ilvl w:val="1"/>
          <w:numId w:val="6"/>
        </w:numPr>
        <w:spacing w:before="120" w:after="120"/>
        <w:ind w:left="992" w:hanging="992"/>
        <w:contextualSpacing w:val="0"/>
        <w:rPr>
          <w:rStyle w:val="CharStyle10"/>
          <w:i w:val="0"/>
          <w:iCs w:val="0"/>
          <w:szCs w:val="24"/>
          <w:shd w:val="clear" w:color="auto" w:fill="auto"/>
        </w:rPr>
      </w:pPr>
      <w:r w:rsidRPr="00A81196">
        <w:lastRenderedPageBreak/>
        <w:t xml:space="preserve">Pirmosios instancijos teismo išvada dėl BK 112 straipsnyje numatytos nusikalstamos veikos požymių buvimo </w:t>
      </w:r>
      <w:r w:rsidR="00A97F74" w:rsidRPr="00A81196">
        <w:t>V. Š. 2</w:t>
      </w:r>
      <w:r w:rsidRPr="00A81196">
        <w:t xml:space="preserve"> veiksmuose taip pat yra nepagrįsta. Teismas nenurodė konkrečių jo kaltę patvirtinančių duomenų. Gynėjo teigimu, teismas nenustatė, kad </w:t>
      </w:r>
      <w:r w:rsidR="00A97F74" w:rsidRPr="00A81196">
        <w:t>V. Š. 2</w:t>
      </w:r>
      <w:r w:rsidRPr="00A81196">
        <w:t xml:space="preserve"> įsakė panaudoti arba panaudojo uždraustas karo priemones ar kariavimo būdus. </w:t>
      </w:r>
      <w:r w:rsidR="00A97F74" w:rsidRPr="00A81196">
        <w:t>V. Š. 2</w:t>
      </w:r>
      <w:r w:rsidRPr="00A81196">
        <w:t xml:space="preserve"> veiksmai apskritai neturėjo nieko bendr</w:t>
      </w:r>
      <w:r w:rsidR="00E95411" w:rsidRPr="00A81196">
        <w:t>a</w:t>
      </w:r>
      <w:r w:rsidRPr="00A81196">
        <w:t xml:space="preserve"> su įsakymais panaudoti uždraustas karo priemones ar būdus. Skundžiamame nuosprendyje nurodyta, kad </w:t>
      </w:r>
      <w:r w:rsidR="00A97F74" w:rsidRPr="00A81196">
        <w:t>V. Š. 2</w:t>
      </w:r>
      <w:r w:rsidRPr="00A81196">
        <w:t xml:space="preserve"> užtikrino ryšio priemonių ir patikimo ryšio </w:t>
      </w:r>
      <w:r w:rsidR="001D575E" w:rsidRPr="00A81196">
        <w:t xml:space="preserve">su kariniais padaliniais </w:t>
      </w:r>
      <w:r w:rsidRPr="00A81196">
        <w:t>veikimą operacijos metu. Visgi toks kaltinimas yra ydingas, nes neaišku, kuo pasireiškė ryšio priemonių ir ryšio veikimo užtikrinimas (ar </w:t>
      </w:r>
      <w:r w:rsidR="00A97F74" w:rsidRPr="00A81196">
        <w:t>V. Š. 2</w:t>
      </w:r>
      <w:r w:rsidRPr="00A81196">
        <w:t xml:space="preserve"> dėl to turėjo atlikti kokius nors konkrečius veiksmus, jei taip, ar jis juos atliko</w:t>
      </w:r>
      <w:r w:rsidR="00183D6A" w:rsidRPr="00A81196">
        <w:t xml:space="preserve"> ir</w:t>
      </w:r>
      <w:r w:rsidR="001D575E" w:rsidRPr="00A81196">
        <w:t xml:space="preserve"> kokie tai buvo </w:t>
      </w:r>
      <w:r w:rsidRPr="00A81196">
        <w:t xml:space="preserve">veiksmai), taip pat neaišku, ar be </w:t>
      </w:r>
      <w:r w:rsidR="00A97F74" w:rsidRPr="00A81196">
        <w:t>V. Š. 2</w:t>
      </w:r>
      <w:r w:rsidRPr="00A81196">
        <w:t xml:space="preserve"> dalyvavimo šis ryšys būtų veikęs ar ne (ar šio ryšio veikimą sukūrė ir užtikrino būtent </w:t>
      </w:r>
      <w:r w:rsidR="00A97F74" w:rsidRPr="00A81196">
        <w:t>V. Š. 2</w:t>
      </w:r>
      <w:r w:rsidRPr="00A81196">
        <w:t xml:space="preserve"> ar jis </w:t>
      </w:r>
      <w:r w:rsidR="00354ABC" w:rsidRPr="00A81196">
        <w:t xml:space="preserve">tokias pareigas turėjo tik </w:t>
      </w:r>
      <w:r w:rsidRPr="00A81196">
        <w:t>pagal pareig</w:t>
      </w:r>
      <w:r w:rsidR="00D070CB" w:rsidRPr="00A81196">
        <w:t>ybės</w:t>
      </w:r>
      <w:r w:rsidRPr="00A81196">
        <w:t xml:space="preserve"> funkcijas)</w:t>
      </w:r>
      <w:r w:rsidRPr="00C00255">
        <w:rPr>
          <w:rStyle w:val="CharStyle10"/>
          <w:i w:val="0"/>
          <w:color w:val="000000"/>
          <w:szCs w:val="24"/>
          <w:lang w:eastAsia="lt-LT"/>
        </w:rPr>
        <w:t xml:space="preserve">. </w:t>
      </w:r>
      <w:r w:rsidR="001D575E" w:rsidRPr="00C00255">
        <w:rPr>
          <w:rStyle w:val="CharStyle10"/>
          <w:i w:val="0"/>
          <w:color w:val="000000"/>
          <w:szCs w:val="24"/>
          <w:lang w:eastAsia="lt-LT"/>
        </w:rPr>
        <w:t xml:space="preserve">  </w:t>
      </w:r>
    </w:p>
    <w:p w:rsidR="00B058C8" w:rsidRPr="00A81196" w:rsidRDefault="00B058C8" w:rsidP="00321748">
      <w:pPr>
        <w:pStyle w:val="ListParagraph"/>
        <w:numPr>
          <w:ilvl w:val="0"/>
          <w:numId w:val="6"/>
        </w:numPr>
        <w:spacing w:before="120" w:after="120"/>
        <w:ind w:left="992" w:hanging="992"/>
        <w:contextualSpacing w:val="0"/>
        <w:rPr>
          <w:szCs w:val="24"/>
        </w:rPr>
      </w:pPr>
      <w:bookmarkStart w:id="178" w:name="_Toc37947886"/>
      <w:bookmarkStart w:id="179" w:name="_Toc67677365"/>
      <w:bookmarkStart w:id="180" w:name="_Toc67985492"/>
      <w:r w:rsidRPr="00D43DF2">
        <w:rPr>
          <w:b/>
        </w:rPr>
        <w:t xml:space="preserve">Nuteistojo </w:t>
      </w:r>
      <w:r w:rsidR="00A97F74" w:rsidRPr="00D43DF2">
        <w:rPr>
          <w:b/>
        </w:rPr>
        <w:t>V. M.</w:t>
      </w:r>
      <w:r w:rsidRPr="00D43DF2">
        <w:rPr>
          <w:b/>
        </w:rPr>
        <w:t xml:space="preserve"> gynėjas</w:t>
      </w:r>
      <w:bookmarkEnd w:id="178"/>
      <w:bookmarkEnd w:id="179"/>
      <w:bookmarkEnd w:id="180"/>
      <w:r w:rsidRPr="00D43DF2">
        <w:rPr>
          <w:b/>
        </w:rPr>
        <w:t xml:space="preserve"> advokatas V. Burneikis</w:t>
      </w:r>
      <w:r w:rsidRPr="00C00255">
        <w:t xml:space="preserve"> </w:t>
      </w:r>
      <w:r w:rsidRPr="00A81196">
        <w:t xml:space="preserve">apeliaciniu skundu prašo panaikinti pirmosios instancijos teismo nuosprendį ir jo ginamąjį išteisinti. </w:t>
      </w:r>
    </w:p>
    <w:p w:rsidR="00B058C8" w:rsidRPr="00A81196" w:rsidRDefault="00B058C8" w:rsidP="00321748">
      <w:pPr>
        <w:pStyle w:val="ListParagraph"/>
        <w:numPr>
          <w:ilvl w:val="1"/>
          <w:numId w:val="6"/>
        </w:numPr>
        <w:spacing w:before="120" w:after="120"/>
        <w:ind w:left="992" w:hanging="992"/>
        <w:contextualSpacing w:val="0"/>
        <w:rPr>
          <w:szCs w:val="24"/>
        </w:rPr>
      </w:pPr>
      <w:r w:rsidRPr="00A81196">
        <w:t xml:space="preserve">Pirmosios instancijos teismas netinkamai vertino byloje surinktus įrodymus, padarė esminių BPK pažeidimų bei nesilaikė baudžiamosios ir tarptautinės teisės principų. Teismas nenurodė, kokius konkrečius nusikalstamus veiksmus </w:t>
      </w:r>
      <w:r w:rsidR="00A97F74" w:rsidRPr="00A81196">
        <w:t>V. M.</w:t>
      </w:r>
      <w:r w:rsidRPr="00A81196">
        <w:t xml:space="preserve"> atliko. Byloje nėra duomenų, kad jis būtų ką nors nužudęs, bauginęs, kankinęs ar prieš ką </w:t>
      </w:r>
      <w:r w:rsidR="00E95411" w:rsidRPr="00A81196">
        <w:t xml:space="preserve">nors </w:t>
      </w:r>
      <w:r w:rsidRPr="00A81196">
        <w:t xml:space="preserve">fiziškai smurtavęs. Teismas neatsižvelgė į tai, kad </w:t>
      </w:r>
      <w:r w:rsidR="00D070CB" w:rsidRPr="00A81196">
        <w:t xml:space="preserve">jis, </w:t>
      </w:r>
      <w:r w:rsidRPr="00A81196">
        <w:t>būdamas žemesnio rango karininku</w:t>
      </w:r>
      <w:r w:rsidR="00D070CB" w:rsidRPr="00A81196">
        <w:t>,</w:t>
      </w:r>
      <w:r w:rsidRPr="00A81196">
        <w:t xml:space="preserve"> tik vykdė įsakymą, o prie LRT pastato buvo atvežtas jau po to, kai civiliai </w:t>
      </w:r>
      <w:r w:rsidR="00D070CB" w:rsidRPr="00A81196">
        <w:t xml:space="preserve">buvo </w:t>
      </w:r>
      <w:r w:rsidRPr="00A81196">
        <w:t xml:space="preserve">atstumti. Įsakymas saugoti pastatą nebuvo akivaizdžiai neteisėtas ir jo neteisėtumo nuteistasis negalėjo numatyti. </w:t>
      </w:r>
    </w:p>
    <w:p w:rsidR="00B058C8" w:rsidRPr="00A81196" w:rsidRDefault="00B058C8" w:rsidP="00321748">
      <w:pPr>
        <w:pStyle w:val="ListParagraph"/>
        <w:numPr>
          <w:ilvl w:val="1"/>
          <w:numId w:val="6"/>
        </w:numPr>
        <w:spacing w:before="120" w:after="120"/>
        <w:ind w:left="992" w:hanging="992"/>
        <w:contextualSpacing w:val="0"/>
        <w:rPr>
          <w:szCs w:val="24"/>
        </w:rPr>
      </w:pPr>
      <w:r w:rsidRPr="00A81196">
        <w:t>Bylą išnagrinėjus kaltinamajam nedalyvaujant</w:t>
      </w:r>
      <w:r w:rsidR="00556473" w:rsidRPr="00A81196">
        <w:t>,</w:t>
      </w:r>
      <w:r w:rsidRPr="00A81196">
        <w:t xml:space="preserve"> buvo pažeistos BPK 246 straipsnio nuostatos ir kaltinamojo teisės, numatytos B</w:t>
      </w:r>
      <w:r w:rsidR="009B3C4E" w:rsidRPr="00A81196">
        <w:t>P</w:t>
      </w:r>
      <w:r w:rsidRPr="00A81196">
        <w:t xml:space="preserve">K 22 straipsnio 3 dalyje, nes </w:t>
      </w:r>
      <w:r w:rsidR="00A97F74" w:rsidRPr="00A81196">
        <w:t>V. M.</w:t>
      </w:r>
      <w:r w:rsidRPr="00A81196">
        <w:t xml:space="preserve"> nežino</w:t>
      </w:r>
      <w:r w:rsidR="00D070CB" w:rsidRPr="00A81196">
        <w:t>jo</w:t>
      </w:r>
      <w:r w:rsidRPr="00A81196">
        <w:t xml:space="preserve"> apie vykstantį procesą ir nėra objektyvių duomenų, kad </w:t>
      </w:r>
      <w:r w:rsidR="0083285E" w:rsidRPr="00A81196">
        <w:t xml:space="preserve">jis </w:t>
      </w:r>
      <w:r w:rsidRPr="00A81196">
        <w:t xml:space="preserve">vengė dalyvauti procese. Teismas nesilaikė ir tarptautinės teisės principų, </w:t>
      </w:r>
      <w:r w:rsidR="00E95411" w:rsidRPr="00A81196">
        <w:t xml:space="preserve">kuriais </w:t>
      </w:r>
      <w:r w:rsidRPr="00A81196">
        <w:t>draudžia</w:t>
      </w:r>
      <w:r w:rsidR="00E95411" w:rsidRPr="00A81196">
        <w:t>ma</w:t>
      </w:r>
      <w:r w:rsidRPr="00A81196">
        <w:t xml:space="preserve"> taikyti </w:t>
      </w:r>
      <w:r w:rsidR="0083285E" w:rsidRPr="00A81196">
        <w:t xml:space="preserve">atsakomybę </w:t>
      </w:r>
      <w:r w:rsidRPr="00A81196">
        <w:t>griežtinantį įstatymą atgal, todėl buvo neteisingai pritaikytas baudžiamasis įstatymas.</w:t>
      </w:r>
      <w:r w:rsidR="008434B8" w:rsidRPr="00A81196">
        <w:t xml:space="preserve"> </w:t>
      </w:r>
    </w:p>
    <w:p w:rsidR="00B058C8" w:rsidRPr="00C00255" w:rsidRDefault="00B058C8" w:rsidP="00321748">
      <w:pPr>
        <w:pStyle w:val="ListParagraph"/>
        <w:numPr>
          <w:ilvl w:val="0"/>
          <w:numId w:val="6"/>
        </w:numPr>
        <w:spacing w:before="120" w:after="120"/>
        <w:ind w:left="992" w:hanging="992"/>
        <w:contextualSpacing w:val="0"/>
        <w:rPr>
          <w:szCs w:val="24"/>
        </w:rPr>
      </w:pPr>
      <w:bookmarkStart w:id="181" w:name="_Toc37947887"/>
      <w:bookmarkStart w:id="182" w:name="_Toc67677366"/>
      <w:bookmarkStart w:id="183" w:name="_Toc67985493"/>
      <w:r w:rsidRPr="005052C0">
        <w:rPr>
          <w:b/>
        </w:rPr>
        <w:t xml:space="preserve">Nuteistojo </w:t>
      </w:r>
      <w:r w:rsidR="00DC0414" w:rsidRPr="005052C0">
        <w:rPr>
          <w:b/>
        </w:rPr>
        <w:t>O. M.</w:t>
      </w:r>
      <w:r w:rsidRPr="005052C0">
        <w:rPr>
          <w:b/>
        </w:rPr>
        <w:t xml:space="preserve"> gynėjas</w:t>
      </w:r>
      <w:bookmarkEnd w:id="181"/>
      <w:bookmarkEnd w:id="182"/>
      <w:bookmarkEnd w:id="183"/>
      <w:r w:rsidRPr="005052C0">
        <w:rPr>
          <w:b/>
        </w:rPr>
        <w:t xml:space="preserve"> advokatas J. Jasiulevičius</w:t>
      </w:r>
      <w:r w:rsidRPr="00C00255">
        <w:t xml:space="preserve"> </w:t>
      </w:r>
      <w:r w:rsidRPr="00A81196">
        <w:t>apeliaciniu skundu prašo panaikinti pirmosios instancijos teismo nuosprendį ir jo ginamąjį išteisinti.</w:t>
      </w:r>
      <w:r w:rsidRPr="00C00255">
        <w:t xml:space="preserve"> </w:t>
      </w:r>
    </w:p>
    <w:p w:rsidR="00B058C8" w:rsidRPr="00A81196" w:rsidRDefault="00B058C8" w:rsidP="00321748">
      <w:pPr>
        <w:pStyle w:val="ListParagraph"/>
        <w:numPr>
          <w:ilvl w:val="1"/>
          <w:numId w:val="6"/>
        </w:numPr>
        <w:spacing w:before="120" w:after="120"/>
        <w:ind w:left="992" w:hanging="992"/>
        <w:contextualSpacing w:val="0"/>
        <w:rPr>
          <w:szCs w:val="24"/>
        </w:rPr>
      </w:pPr>
      <w:r w:rsidRPr="00A81196">
        <w:t xml:space="preserve">Gynėjo manymu, byloje buvo </w:t>
      </w:r>
      <w:r w:rsidR="00E95411" w:rsidRPr="00A81196">
        <w:t>šiurkščiai</w:t>
      </w:r>
      <w:r w:rsidRPr="00A81196">
        <w:t xml:space="preserve"> pažeistos BPK 187 straipsnio 1 dalies nuostatos, nes </w:t>
      </w:r>
      <w:r w:rsidR="00DC0414" w:rsidRPr="00A81196">
        <w:t>O. M.</w:t>
      </w:r>
      <w:r w:rsidRPr="00A81196">
        <w:t xml:space="preserve"> niekada nebuvo pripažintas įtariamuoju, dėl to jis nepagrįstai ir neteisėtai pripažintas kaltinamuoju bei j</w:t>
      </w:r>
      <w:r w:rsidR="004A3C5A" w:rsidRPr="00A81196">
        <w:t>am</w:t>
      </w:r>
      <w:r w:rsidRPr="00A81196">
        <w:t xml:space="preserve"> priimtas apkaltinamasis nuosprendis. Apeliaciniame skunde teigiama, kad Vilniaus miesto apylinkės teismo 2013 m. liepos 11 d. nutartimi įtariamuoju buvo pripažintas ne šioje byloje nuteistas </w:t>
      </w:r>
      <w:r w:rsidR="00DC0414" w:rsidRPr="00A81196">
        <w:t>O. M.</w:t>
      </w:r>
      <w:r w:rsidRPr="00A81196">
        <w:t>, o kitas asmuo – Oro desant</w:t>
      </w:r>
      <w:r w:rsidR="00DC0414" w:rsidRPr="00A81196">
        <w:t>o divizijos kariškis O.</w:t>
      </w:r>
      <w:r w:rsidRPr="00A81196">
        <w:t> M</w:t>
      </w:r>
      <w:r w:rsidR="00DC0414" w:rsidRPr="00A81196">
        <w:t>.</w:t>
      </w:r>
      <w:r w:rsidRPr="00A81196">
        <w:t xml:space="preserve">. Pranešimas apie įtarimą nuteistajam </w:t>
      </w:r>
      <w:r w:rsidR="00DC0414" w:rsidRPr="00A81196">
        <w:t>O. M.</w:t>
      </w:r>
      <w:r w:rsidRPr="00A81196">
        <w:t xml:space="preserve"> ne tik nebuvo įteiktas, bet ir apskritai nepareikštas, nes tokio procesinio dokumento byloje nėra.</w:t>
      </w:r>
    </w:p>
    <w:p w:rsidR="00B058C8" w:rsidRPr="00A81196" w:rsidRDefault="00B058C8" w:rsidP="00321748">
      <w:pPr>
        <w:pStyle w:val="ListParagraph"/>
        <w:numPr>
          <w:ilvl w:val="1"/>
          <w:numId w:val="6"/>
        </w:numPr>
        <w:spacing w:before="120" w:after="120"/>
        <w:ind w:left="992" w:hanging="992"/>
        <w:contextualSpacing w:val="0"/>
        <w:rPr>
          <w:szCs w:val="24"/>
        </w:rPr>
      </w:pPr>
      <w:r w:rsidRPr="00A81196">
        <w:t xml:space="preserve">Nuteistojo gynėjas teigia, jog </w:t>
      </w:r>
      <w:r w:rsidR="00DC0414" w:rsidRPr="00A81196">
        <w:t>O. M.</w:t>
      </w:r>
      <w:bookmarkStart w:id="184" w:name="_Hlk35585376"/>
      <w:r w:rsidRPr="00A81196">
        <w:t xml:space="preserve"> negalėjo būti inkriminuotas Prienų rajono administracinių patalpų užgrobimas, nes LAT</w:t>
      </w:r>
      <w:r w:rsidRPr="00A81196" w:rsidDel="00D41AB8">
        <w:t xml:space="preserve"> </w:t>
      </w:r>
      <w:r w:rsidRPr="00A81196">
        <w:t>dar 1992 m. kovo 17 d. neskundžiama nutartimi konstatavo, kad jas užgrobė P. V. A</w:t>
      </w:r>
      <w:r w:rsidR="00D37127" w:rsidRPr="00A81196">
        <w:t>.</w:t>
      </w:r>
      <w:r w:rsidRPr="00A81196">
        <w:t xml:space="preserve"> bei nenustatyti kariškiai. </w:t>
      </w:r>
      <w:bookmarkEnd w:id="184"/>
      <w:r w:rsidRPr="00A81196">
        <w:t>Apygardos teismas neįvertino bei netyrė, kas buvo kiti nenustatyti kariškiai</w:t>
      </w:r>
      <w:r w:rsidR="00E95411" w:rsidRPr="00A81196">
        <w:t>,</w:t>
      </w:r>
      <w:r w:rsidRPr="00A81196">
        <w:t xml:space="preserve"> dalyvavę </w:t>
      </w:r>
      <w:r w:rsidR="00E95411" w:rsidRPr="00A81196">
        <w:t xml:space="preserve">užgrobiant </w:t>
      </w:r>
      <w:r w:rsidRPr="00A81196">
        <w:t>minėt</w:t>
      </w:r>
      <w:r w:rsidR="00E95411" w:rsidRPr="00A81196">
        <w:t>ą</w:t>
      </w:r>
      <w:r w:rsidRPr="00A81196">
        <w:t xml:space="preserve"> objekt</w:t>
      </w:r>
      <w:r w:rsidR="00E95411" w:rsidRPr="00A81196">
        <w:t xml:space="preserve">ą, </w:t>
      </w:r>
      <w:r w:rsidRPr="00A81196">
        <w:t>ir negalėjo minėtų objektų užgrobimo inkriminuoti nuteistajam, nenustačius naujai paaiškėjusių aplinkybių. T</w:t>
      </w:r>
      <w:r w:rsidR="0083285E" w:rsidRPr="00A81196">
        <w:t>aip</w:t>
      </w:r>
      <w:r w:rsidRPr="00A81196">
        <w:t xml:space="preserve"> buvo pažeistos BPK 346 straipsnio nuostatos. Be to, byloje nėra įrodymų, kad prie šių objektų užgrobimo būtų prisidėję mokomosios specialios</w:t>
      </w:r>
      <w:r w:rsidR="00560E9C" w:rsidRPr="00A81196">
        <w:t>ios</w:t>
      </w:r>
      <w:r w:rsidRPr="00A81196">
        <w:t xml:space="preserve"> paskirties kariškiai, kuriems </w:t>
      </w:r>
      <w:r w:rsidR="00DC0414" w:rsidRPr="00A81196">
        <w:t>O. M.</w:t>
      </w:r>
      <w:r w:rsidRPr="00A81196">
        <w:t xml:space="preserve"> vadovavo. </w:t>
      </w:r>
    </w:p>
    <w:p w:rsidR="00B058C8" w:rsidRPr="00A81196" w:rsidRDefault="00B058C8" w:rsidP="00321748">
      <w:pPr>
        <w:pStyle w:val="ListParagraph"/>
        <w:numPr>
          <w:ilvl w:val="1"/>
          <w:numId w:val="6"/>
        </w:numPr>
        <w:spacing w:before="120" w:after="120"/>
        <w:ind w:left="992" w:hanging="992"/>
        <w:contextualSpacing w:val="0"/>
        <w:rPr>
          <w:szCs w:val="24"/>
        </w:rPr>
      </w:pPr>
      <w:r w:rsidRPr="00A81196">
        <w:t>Teismo nuosprendis neteisėtas ir nepagrįstas, nes teismas nesilaikė BPK 305 straipsnio reika</w:t>
      </w:r>
      <w:r w:rsidR="0083285E" w:rsidRPr="00A81196">
        <w:t>lavimų. Nuosprendyje nenurodyti</w:t>
      </w:r>
      <w:r w:rsidRPr="00A81196">
        <w:t xml:space="preserve"> </w:t>
      </w:r>
      <w:r w:rsidR="00DC0414" w:rsidRPr="00A81196">
        <w:t>O. M.</w:t>
      </w:r>
      <w:r w:rsidRPr="00A81196">
        <w:t xml:space="preserve"> inkriminuotos veikos padarymo laikas, vieta, būdas bei įrodymai, kuriais grindžiamos teismo išvados. Iš nuosprendžio aprašomosios dalies neaišku, kokiose veikose nuteistasis dalyvavo, o kokiose ne; jei dalyvavo, tai kokius </w:t>
      </w:r>
      <w:r w:rsidRPr="00A81196">
        <w:lastRenderedPageBreak/>
        <w:t xml:space="preserve">veiksmus jis atliko ir koks jo vaidmuo. </w:t>
      </w:r>
      <w:r w:rsidR="00DC0414" w:rsidRPr="00A81196">
        <w:t>O. M.</w:t>
      </w:r>
      <w:r w:rsidRPr="00A81196">
        <w:t xml:space="preserve"> nuosprendžiu inkriminuota nusikalstama veika, kurią sudaro 17 kaltinimo punktų, tačiau visi šie punktai kartu kvalifikuoti pagal sk</w:t>
      </w:r>
      <w:r w:rsidR="00A854E1" w:rsidRPr="00A81196">
        <w:t>irtingus BK </w:t>
      </w:r>
      <w:r w:rsidRPr="00A81196">
        <w:t>straipsnius. Dėl to itin sudėtinga nustatyti, kuris konkretus nuteistajam inkriminuojamos veikos punktas kurio jam inkriminuojamo nusikaltimo sudėtį atitinka. Anot apelianto, tokia nuosprendžio aprašomosios dalies formuluotė sunkiai suprantama ir pažeidžia nuteistojo teisę į gynybą. Be to, nuteistiesiems inkriminavus ne prokuroro siūlytą organizuotos grupės, bet bendrininkų grupės požymį, veikų kvalifikavimas tapo nesuprantamas. Apeliaciniame skunde teigiama, jog nuosprendyje buvo privalu nurodyti 1991 m. sausio įvykių organizatorius, planuotojus, asmenis, kurie priiminėjo sprendimus ir įsakymus, siuntė kariškius j</w:t>
      </w:r>
      <w:r w:rsidR="00A85652" w:rsidRPr="00A81196">
        <w:t>ų</w:t>
      </w:r>
      <w:r w:rsidRPr="00A81196">
        <w:t xml:space="preserve"> vykdyti, tačiau teismas to nepadarė. Apygardos teismas nesugebėjo išskirti tikrųjų kariškių vaidmenų vykdant operaciją, todėl vieni įvykio dalyviai, kuriuos atsakomybėn būtina patraukti, nuosprendžiu nenuteisti, o kiti, neturėję būti patraukti atsakomybėn kaip </w:t>
      </w:r>
      <w:r w:rsidR="00DC0414" w:rsidRPr="00A81196">
        <w:t>O. M.</w:t>
      </w:r>
      <w:r w:rsidRPr="00A81196">
        <w:t xml:space="preserve"> atveju, nuteisti. Be to, byloje nesivadovauta teisingumo bei protingumo principais. Teismas neatsižvelgė į nuteistojo statusą kariuomenėje bei į tai, kad jis nedalyvavo planuojant, organizuojant sausio 13-osios įvykius bei nevadovavo kariškiams šturmuojant pastatus. </w:t>
      </w:r>
    </w:p>
    <w:p w:rsidR="00B058C8" w:rsidRPr="00A81196" w:rsidRDefault="00B058C8" w:rsidP="00321748">
      <w:pPr>
        <w:pStyle w:val="ListParagraph"/>
        <w:numPr>
          <w:ilvl w:val="1"/>
          <w:numId w:val="6"/>
        </w:numPr>
        <w:spacing w:before="120" w:after="120"/>
        <w:ind w:left="992" w:hanging="992"/>
        <w:contextualSpacing w:val="0"/>
        <w:rPr>
          <w:szCs w:val="24"/>
        </w:rPr>
      </w:pPr>
      <w:r w:rsidRPr="00A81196">
        <w:t xml:space="preserve">Apelianto įsitikinimu, teismas nepagrįstai pripažino, kad nuteistasis veikė bendrininkų grupe. Bylos duomenys rodo, kad </w:t>
      </w:r>
      <w:r w:rsidR="00DC0414" w:rsidRPr="00A81196">
        <w:t>O. M.</w:t>
      </w:r>
      <w:r w:rsidRPr="00A81196">
        <w:t xml:space="preserve"> nebuvo vienu iš asmenų, kurie organizavo, planavo</w:t>
      </w:r>
      <w:r w:rsidR="00A854E1" w:rsidRPr="00A81196">
        <w:t xml:space="preserve"> 1991 </w:t>
      </w:r>
      <w:r w:rsidR="0083285E" w:rsidRPr="00A81196">
        <w:t>m.</w:t>
      </w:r>
      <w:r w:rsidR="00A854E1" w:rsidRPr="00A81196">
        <w:t> </w:t>
      </w:r>
      <w:r w:rsidRPr="00A81196">
        <w:t>sausio 13 d. įvykius ir vadovavo kariškiams, pastariesiems šturmuojant strateginius objektus, o vien tai, jog jis vykdė vadovybės įsakymus, nėra laikytina susitarimu, būtinu bendrininkavim</w:t>
      </w:r>
      <w:r w:rsidR="00A85652" w:rsidRPr="00A81196">
        <w:t>ui konstatuoti</w:t>
      </w:r>
      <w:r w:rsidRPr="00A81196">
        <w:t xml:space="preserve">. Anot gynėjo, pagrindiniu byloje inkriminuojamų nusikaltimų bendrininku ir organizatoriumi buvo tuometis TSRS vadovas ir vyriausiasis ginkluotųjų pajėgų vadas </w:t>
      </w:r>
      <w:r w:rsidR="00DD1A27" w:rsidRPr="00A81196">
        <w:t>M. G.</w:t>
      </w:r>
      <w:r w:rsidRPr="00A81196">
        <w:t xml:space="preserve">, o kariškiai tik vykdė įsakymus. </w:t>
      </w:r>
      <w:r w:rsidR="00DD1A27" w:rsidRPr="00A81196">
        <w:t>M. G.</w:t>
      </w:r>
      <w:r w:rsidRPr="00A81196">
        <w:t xml:space="preserve"> pašalinimas iš įtariamųjų sąrašo buvo esminė tyrimo klaida. </w:t>
      </w:r>
      <w:bookmarkStart w:id="185" w:name="_Hlk35845690"/>
      <w:r w:rsidRPr="00A81196">
        <w:t xml:space="preserve">Nepatraukus atsakomybėn grupės organizatoriaus, nėra pagrindo inkriminuoti grupę ir </w:t>
      </w:r>
      <w:r w:rsidR="00DC0414" w:rsidRPr="00A81196">
        <w:t>O. M.</w:t>
      </w:r>
      <w:r w:rsidRPr="00A81196">
        <w:t xml:space="preserve"> įvard</w:t>
      </w:r>
      <w:r w:rsidR="00E95411" w:rsidRPr="00A81196">
        <w:t>y</w:t>
      </w:r>
      <w:r w:rsidRPr="00A81196">
        <w:t xml:space="preserve">ti vykdytoju. </w:t>
      </w:r>
      <w:bookmarkEnd w:id="185"/>
      <w:r w:rsidR="00AF252A" w:rsidRPr="00A81196">
        <w:t>Vadovaujantis TSRS ginkluotų</w:t>
      </w:r>
      <w:r w:rsidR="00FD13EB" w:rsidRPr="00A81196">
        <w:t>jų</w:t>
      </w:r>
      <w:r w:rsidR="00AF252A" w:rsidRPr="00A81196">
        <w:t xml:space="preserve"> pajėgų v</w:t>
      </w:r>
      <w:r w:rsidRPr="00A81196">
        <w:t xml:space="preserve">idaus tarnybos statuto nuostatomis, vado įsakymas buvo privalomas kaip įstatymas, todėl tarp </w:t>
      </w:r>
      <w:r w:rsidR="00DC0414" w:rsidRPr="00A81196">
        <w:t>O. M.</w:t>
      </w:r>
      <w:r w:rsidRPr="00A81196">
        <w:t xml:space="preserve"> ir aukštesnių pareigūnų negalėjo būti savanoriško susitarimo kaip būt</w:t>
      </w:r>
      <w:r w:rsidR="00726351" w:rsidRPr="00A81196">
        <w:t>inojo bendrininkavimo požymio. Vadovaudamasi</w:t>
      </w:r>
      <w:r w:rsidRPr="00A81196">
        <w:t xml:space="preserve">s specialisto J. Andriškevičiaus paaiškinimais, apeliantas teigia, kad teismas negalėjo </w:t>
      </w:r>
      <w:r w:rsidR="00DC0414" w:rsidRPr="00A81196">
        <w:t>O. M.</w:t>
      </w:r>
      <w:r w:rsidRPr="00A81196">
        <w:t xml:space="preserve"> inkriminuoti veikimo bendrininkų grupe, nes jo tariamas įtraukimas į grupę įsakymo pagrindu prieštarauja BK 24 straipsnio 1 dalies nuostatoms. Be to, v</w:t>
      </w:r>
      <w:r w:rsidR="00C96771" w:rsidRPr="00A81196">
        <w:t>adovaujantis BK 26 straipsnio</w:t>
      </w:r>
      <w:r w:rsidR="00EC1D9A" w:rsidRPr="00A81196">
        <w:t> </w:t>
      </w:r>
      <w:r w:rsidR="00C96771" w:rsidRPr="00A81196">
        <w:t>3 </w:t>
      </w:r>
      <w:r w:rsidRPr="00A81196">
        <w:t>dalies nuostatomis, įsakymo vykdymas laikytinas aplinkybe</w:t>
      </w:r>
      <w:r w:rsidR="00E95411" w:rsidRPr="00A81196">
        <w:t>,</w:t>
      </w:r>
      <w:r w:rsidRPr="00A81196">
        <w:t xml:space="preserve"> šalinančia TSRS kariškių atsakomybę.</w:t>
      </w:r>
      <w:r w:rsidR="008434B8" w:rsidRPr="00A81196">
        <w:t xml:space="preserve"> </w:t>
      </w:r>
    </w:p>
    <w:p w:rsidR="00B058C8" w:rsidRPr="00A81196" w:rsidRDefault="00B058C8" w:rsidP="00321748">
      <w:pPr>
        <w:pStyle w:val="ListParagraph"/>
        <w:numPr>
          <w:ilvl w:val="1"/>
          <w:numId w:val="6"/>
        </w:numPr>
        <w:spacing w:before="120" w:after="120"/>
        <w:ind w:left="992" w:hanging="992"/>
        <w:contextualSpacing w:val="0"/>
        <w:rPr>
          <w:szCs w:val="24"/>
        </w:rPr>
      </w:pPr>
      <w:r w:rsidRPr="00A81196">
        <w:t xml:space="preserve">Be to, byloje nėra įrodyta, kad </w:t>
      </w:r>
      <w:r w:rsidR="00DC0414" w:rsidRPr="00A81196">
        <w:t>O. M.</w:t>
      </w:r>
      <w:r w:rsidRPr="00A81196">
        <w:t xml:space="preserve"> apskritai buvo įtrauktas į nusikalstamą grupę. Nei </w:t>
      </w:r>
      <w:r w:rsidR="00C507EF" w:rsidRPr="00A81196">
        <w:t>B. P.</w:t>
      </w:r>
      <w:r w:rsidRPr="00A81196">
        <w:t xml:space="preserve">, nei nuteistieji </w:t>
      </w:r>
      <w:r w:rsidR="00385BC9" w:rsidRPr="00A81196">
        <w:t>N. D.</w:t>
      </w:r>
      <w:r w:rsidRPr="00A81196">
        <w:t xml:space="preserve"> ir </w:t>
      </w:r>
      <w:r w:rsidR="006036E7" w:rsidRPr="00A81196">
        <w:t>A. Ž.</w:t>
      </w:r>
      <w:r w:rsidRPr="00A81196">
        <w:t xml:space="preserve"> tyrimo metu nepatvirtino įtraukę </w:t>
      </w:r>
      <w:r w:rsidR="00DC0414" w:rsidRPr="00A81196">
        <w:t>O. M.</w:t>
      </w:r>
      <w:r w:rsidRPr="00A81196">
        <w:t xml:space="preserve"> į vadinamąją bendrininkų grupę. Nuteistasis </w:t>
      </w:r>
      <w:r w:rsidR="00DC0414" w:rsidRPr="00A81196">
        <w:t>O. M.</w:t>
      </w:r>
      <w:r w:rsidRPr="00A81196">
        <w:t xml:space="preserve"> buv</w:t>
      </w:r>
      <w:r w:rsidR="00C66292" w:rsidRPr="00A81196">
        <w:t>o tik karinio dalinio Nr. 7574 k</w:t>
      </w:r>
      <w:r w:rsidRPr="00A81196">
        <w:t xml:space="preserve">onvojaus pulko kuopos vadas, o generolas majoras </w:t>
      </w:r>
      <w:r w:rsidR="006036E7" w:rsidRPr="00A81196">
        <w:t>A. Ž.</w:t>
      </w:r>
      <w:r w:rsidRPr="00A81196">
        <w:t xml:space="preserve">, kuris tariamai įtraukė </w:t>
      </w:r>
      <w:r w:rsidR="00DC0414" w:rsidRPr="00A81196">
        <w:t>O. M.</w:t>
      </w:r>
      <w:r w:rsidRPr="00A81196">
        <w:t xml:space="preserve"> į nusikalstamą grupės veiklą, buvo aukštesnio rango ir kito karinio dalinio Nr. 3404 vadas, todėl jie negalėjo bendrauti tarpusavyje. Apelianto teigimu, byloje nėra duomenų ir apie tai, kad nuteistąjį į bendrininkų grupę įtraukė jo viršininkas </w:t>
      </w:r>
      <w:r w:rsidR="00A97F74" w:rsidRPr="00A81196">
        <w:t>S. F.</w:t>
      </w:r>
      <w:r w:rsidRPr="00A81196">
        <w:t xml:space="preserve"> ar kad </w:t>
      </w:r>
      <w:r w:rsidR="00DC0414" w:rsidRPr="00A81196">
        <w:t>O. M.</w:t>
      </w:r>
      <w:r w:rsidRPr="00A81196">
        <w:t xml:space="preserve"> dalyvavo susirinkimuose, kuriuose galimai buvo planuojami sausio 13-osios įvykiai. </w:t>
      </w:r>
      <w:r w:rsidR="00DC0414" w:rsidRPr="00A81196">
        <w:t>O. M.</w:t>
      </w:r>
      <w:r w:rsidRPr="00A81196">
        <w:t xml:space="preserve"> nėra įvardijamas </w:t>
      </w:r>
      <w:r w:rsidR="00707E47" w:rsidRPr="00A81196">
        <w:t>vienu</w:t>
      </w:r>
      <w:r w:rsidR="00D64F26" w:rsidRPr="00A81196">
        <w:t xml:space="preserve"> s</w:t>
      </w:r>
      <w:r w:rsidRPr="00A81196">
        <w:t xml:space="preserve">ausio 13-osios įvykių organizatorių bei vykdytojų ir Generalinės prokuratūros 2013 m. kovo 21 d. nutarime. </w:t>
      </w:r>
      <w:r w:rsidR="00DC0414" w:rsidRPr="00A81196">
        <w:t>O. M.</w:t>
      </w:r>
      <w:r w:rsidRPr="00A81196">
        <w:t xml:space="preserve"> yra</w:t>
      </w:r>
      <w:r w:rsidR="00A854E1" w:rsidRPr="00A81196">
        <w:t xml:space="preserve"> (duomenys neskelbtini) kilmės (duomenys neskelbtini)</w:t>
      </w:r>
      <w:r w:rsidRPr="00A81196">
        <w:t xml:space="preserve"> pilietis, kuris neturėjo tikslo sugrąžinti Lietuvos į TSRS sudėtį. </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 xml:space="preserve">Advokato teigimu, byloje neįrodyta </w:t>
      </w:r>
      <w:r w:rsidR="00DC0414" w:rsidRPr="00A81196">
        <w:t>O. M.</w:t>
      </w:r>
      <w:r w:rsidRPr="00A81196">
        <w:t xml:space="preserve"> kaltė dėl 1991 m. sausio 11 d. ginklų ir šaudmenų pagrobimo iš Lietuvos medžiotojų ir žvejų draugijos sandėlio. </w:t>
      </w:r>
      <w:r w:rsidR="00682035" w:rsidRPr="00A81196">
        <w:t>Ši n</w:t>
      </w:r>
      <w:r w:rsidRPr="00A81196">
        <w:t>uosprend</w:t>
      </w:r>
      <w:r w:rsidR="00682035" w:rsidRPr="00A81196">
        <w:t>žio dalis</w:t>
      </w:r>
      <w:r w:rsidRPr="00A81196">
        <w:t xml:space="preserve"> yra prieštaringa, nes </w:t>
      </w:r>
      <w:r w:rsidR="00DC0414" w:rsidRPr="00A81196">
        <w:t>O. M.</w:t>
      </w:r>
      <w:r w:rsidRPr="00A81196">
        <w:t xml:space="preserve"> dalyvavimas </w:t>
      </w:r>
      <w:r w:rsidR="00682035" w:rsidRPr="00A81196">
        <w:t xml:space="preserve">pagrobiant </w:t>
      </w:r>
      <w:r w:rsidRPr="00A81196">
        <w:t>ginkl</w:t>
      </w:r>
      <w:r w:rsidR="00682035" w:rsidRPr="00A81196">
        <w:t xml:space="preserve">us </w:t>
      </w:r>
      <w:r w:rsidRPr="00A81196">
        <w:t xml:space="preserve">nurodytas tik aptariant nuteistiesiems skirtinas bausmes. Byloje nėra duomenų, kad </w:t>
      </w:r>
      <w:r w:rsidR="00DC0414" w:rsidRPr="00A81196">
        <w:t>O. M.</w:t>
      </w:r>
      <w:r w:rsidRPr="00A81196">
        <w:t xml:space="preserve"> gavo tokio pobūdžio įsakymą ar </w:t>
      </w:r>
      <w:r w:rsidRPr="00A81196">
        <w:lastRenderedPageBreak/>
        <w:t xml:space="preserve">nurodymą ir kad </w:t>
      </w:r>
      <w:r w:rsidR="00DC0414" w:rsidRPr="00A81196">
        <w:t>O. M.</w:t>
      </w:r>
      <w:r w:rsidRPr="00A81196">
        <w:t xml:space="preserve"> jį būtų perdavęs nuteistajam </w:t>
      </w:r>
      <w:r w:rsidR="00DC0414" w:rsidRPr="00A81196">
        <w:t>M. C.</w:t>
      </w:r>
      <w:r w:rsidRPr="00A81196">
        <w:t xml:space="preserve">. Apeliaciniame skunde pažymima, jog aprašant </w:t>
      </w:r>
      <w:r w:rsidR="00DC0414" w:rsidRPr="00A81196">
        <w:t>M. C.</w:t>
      </w:r>
      <w:r w:rsidRPr="00A81196">
        <w:t xml:space="preserve"> bausmei skirti reikšmingus duomenis nuosprendyje</w:t>
      </w:r>
      <w:r w:rsidR="00000C40" w:rsidRPr="00A81196">
        <w:t xml:space="preserve"> (890 lape) </w:t>
      </w:r>
      <w:r w:rsidRPr="00A81196">
        <w:t xml:space="preserve">nurodoma, kad esą būtent kuopos vado pavaduotojas </w:t>
      </w:r>
      <w:r w:rsidR="00DC0414" w:rsidRPr="00A81196">
        <w:t>M. C.</w:t>
      </w:r>
      <w:r w:rsidRPr="00A81196">
        <w:t xml:space="preserve"> vadovavo specialiosios paskirties kuopos kariškiams paimant ginklus, tačiau nuosprendžio nustatomojoje dalyje prieštaringai nurodoma, kad šiai operacijai vadovavo nenustatyti, specialiai jai vykdyti paskirti kariškiai. Anot nuteistojo gynėjo, jei </w:t>
      </w:r>
      <w:r w:rsidR="00DC0414" w:rsidRPr="00A81196">
        <w:t>M. C.</w:t>
      </w:r>
      <w:r w:rsidRPr="00A81196">
        <w:t xml:space="preserve"> buvo specialiai paskirt</w:t>
      </w:r>
      <w:r w:rsidR="00682035" w:rsidRPr="00A81196">
        <w:t>as</w:t>
      </w:r>
      <w:r w:rsidRPr="00A81196">
        <w:t xml:space="preserve"> operacijos vadov</w:t>
      </w:r>
      <w:r w:rsidR="00000C40" w:rsidRPr="00A81196">
        <w:t>u</w:t>
      </w:r>
      <w:r w:rsidRPr="00A81196">
        <w:t xml:space="preserve">, jis nebuvo pavaldus </w:t>
      </w:r>
      <w:r w:rsidR="00DC0414" w:rsidRPr="00A81196">
        <w:t>O. M.</w:t>
      </w:r>
      <w:r w:rsidRPr="00A81196">
        <w:t xml:space="preserve"> ir pastarasis negali atsakyti už </w:t>
      </w:r>
      <w:r w:rsidR="00DC0414" w:rsidRPr="00A81196">
        <w:t>M. C.</w:t>
      </w:r>
      <w:r w:rsidRPr="00A81196">
        <w:t xml:space="preserve"> veiksmus. Apelianto įsitikinimu, visa tai patvirtina, kad minėtas kaltinimo punktas </w:t>
      </w:r>
      <w:r w:rsidR="00DC0414" w:rsidRPr="00A81196">
        <w:t>O. M.</w:t>
      </w:r>
      <w:r w:rsidRPr="00A81196">
        <w:t xml:space="preserve"> inkriminuotas neteisėtai ir nepagrįstai. Be to, apelianto teigimu, net jei ši veika ir buvo padaryta, ji niekaip nesusijusi su inkriminuojamais karo nusikaltimais ar nusikaltimais žmoniškumui. Pagal požymius aptariama veika galėtų atit</w:t>
      </w:r>
      <w:r w:rsidR="00A854E1" w:rsidRPr="00A81196">
        <w:t>ikti nebent BK 254 straipsnio 2 </w:t>
      </w:r>
      <w:r w:rsidRPr="00A81196">
        <w:t>dalyje numatyto nusikaltimo sudėtį. Atsižvelgiant į galimą veikos padarymo laiką bei vadovaujantis BK 95 straipsnio 1 dalies nuostatomis, apkalt</w:t>
      </w:r>
      <w:r w:rsidR="00A854E1" w:rsidRPr="00A81196">
        <w:t>inamasis nuosprendis dėl BK 254 </w:t>
      </w:r>
      <w:r w:rsidRPr="00A81196">
        <w:t>straipsnio 2</w:t>
      </w:r>
      <w:r w:rsidR="005D4502" w:rsidRPr="00A81196">
        <w:t> </w:t>
      </w:r>
      <w:r w:rsidRPr="00A81196">
        <w:t>dalyje numatyto nusikaltimo nebegali būti priimtas, nes suėjo patraukimo baudžiamojon atsakomybėn senaties terminas. Todėl ši</w:t>
      </w:r>
      <w:r w:rsidR="00682035" w:rsidRPr="00A81196">
        <w:t xml:space="preserve"> </w:t>
      </w:r>
      <w:r w:rsidRPr="00A81196">
        <w:t>nuosprend</w:t>
      </w:r>
      <w:r w:rsidR="00682035" w:rsidRPr="00A81196">
        <w:t xml:space="preserve">žio dalis </w:t>
      </w:r>
      <w:r w:rsidRPr="00A81196">
        <w:t>turi būti panaikinta ir byla nutraukta</w:t>
      </w:r>
      <w:r w:rsidRPr="00C00255">
        <w:t>.</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 xml:space="preserve">Apelianto įsitikinimu, byloje neįrodyta ir tai, kad </w:t>
      </w:r>
      <w:r w:rsidR="00DC0414" w:rsidRPr="00A81196">
        <w:t>O. M.</w:t>
      </w:r>
      <w:r w:rsidRPr="00A81196">
        <w:t xml:space="preserve"> ir jo kuopos kariškiai atliko neteisėtus veiksmus prie LRT pastatų. Iš specialisto J. Andriškevičiaus išvados bei nuteistojo </w:t>
      </w:r>
      <w:r w:rsidR="00A97F74" w:rsidRPr="00A81196">
        <w:t>S. F.</w:t>
      </w:r>
      <w:r w:rsidRPr="00A81196">
        <w:t xml:space="preserve"> parodymų matyti, kad </w:t>
      </w:r>
      <w:r w:rsidR="00DC0414" w:rsidRPr="00A81196">
        <w:t>O. M.</w:t>
      </w:r>
      <w:r w:rsidRPr="00A81196">
        <w:t xml:space="preserve"> kuopa prie minėtų pastatų buvo atgabenta ne kaip savarankiškas vienetas, tačiau kaip karinis junginys, kuris turėjo iš desantininkų perimti 4 aukštų pastatą</w:t>
      </w:r>
      <w:r w:rsidR="005D4502" w:rsidRPr="00A81196">
        <w:t xml:space="preserve"> </w:t>
      </w:r>
      <w:r w:rsidRPr="00A81196">
        <w:t>VRM kariškių apsaug</w:t>
      </w:r>
      <w:r w:rsidR="005D4502" w:rsidRPr="00A81196">
        <w:t>ai</w:t>
      </w:r>
      <w:r w:rsidRPr="00A81196">
        <w:t xml:space="preserve"> ir kuriam vadovavo </w:t>
      </w:r>
      <w:r w:rsidR="00A97F74" w:rsidRPr="00A81196">
        <w:t>S. F.</w:t>
      </w:r>
      <w:r w:rsidRPr="00A81196">
        <w:t xml:space="preserve">. Šie bylos duomenys rodo, kad kuopos vadui </w:t>
      </w:r>
      <w:r w:rsidR="00DC0414" w:rsidRPr="00A81196">
        <w:t>O. M.</w:t>
      </w:r>
      <w:r w:rsidRPr="00A81196">
        <w:t xml:space="preserve"> LRT šturmo metu joks vaidmuo skirtas nebuvo, jis kariniam junginiui nevadovavo ir tam neturėj</w:t>
      </w:r>
      <w:r w:rsidR="00FD13EB" w:rsidRPr="00A81196">
        <w:t xml:space="preserve">o teisės. Be to, </w:t>
      </w:r>
      <w:r w:rsidR="00682035" w:rsidRPr="00A81196">
        <w:t>pagal</w:t>
      </w:r>
      <w:r w:rsidR="00FD13EB" w:rsidRPr="00A81196">
        <w:t xml:space="preserve"> TSRS </w:t>
      </w:r>
      <w:r w:rsidRPr="00A81196">
        <w:t>ginkluotų</w:t>
      </w:r>
      <w:r w:rsidR="00FD13EB" w:rsidRPr="00A81196">
        <w:t>jų</w:t>
      </w:r>
      <w:r w:rsidRPr="00A81196">
        <w:t xml:space="preserve"> pajėgų vidaus tarnybos statut</w:t>
      </w:r>
      <w:r w:rsidR="00682035" w:rsidRPr="00A81196">
        <w:t>ą</w:t>
      </w:r>
      <w:r w:rsidR="002F1EB0" w:rsidRPr="00A81196">
        <w:t xml:space="preserve"> bei Romos </w:t>
      </w:r>
      <w:r w:rsidRPr="00A81196">
        <w:t>statut</w:t>
      </w:r>
      <w:r w:rsidR="00682035" w:rsidRPr="00A81196">
        <w:t>ą</w:t>
      </w:r>
      <w:r w:rsidRPr="00A81196">
        <w:t xml:space="preserve"> </w:t>
      </w:r>
      <w:r w:rsidR="00DC0414" w:rsidRPr="00A81196">
        <w:t>O. M.</w:t>
      </w:r>
      <w:r w:rsidRPr="00A81196">
        <w:t xml:space="preserve"> galėjo atsakyti ne už viso karinio jungini</w:t>
      </w:r>
      <w:r w:rsidR="00726351" w:rsidRPr="00A81196">
        <w:t>o, bet tik už savo vadovaujamo k</w:t>
      </w:r>
      <w:r w:rsidRPr="00A81196">
        <w:t>onvojaus pulko mokomosios specialios</w:t>
      </w:r>
      <w:r w:rsidR="00560E9C" w:rsidRPr="00A81196">
        <w:t>ios</w:t>
      </w:r>
      <w:r w:rsidRPr="00A81196">
        <w:t xml:space="preserve"> paskirties kuopos kariškių veiksmus. Tačiau </w:t>
      </w:r>
      <w:r w:rsidR="00682035" w:rsidRPr="00A81196">
        <w:t xml:space="preserve">jis, </w:t>
      </w:r>
      <w:r w:rsidRPr="00A81196">
        <w:t xml:space="preserve">kaip šios kuopos vadas, prie LRT pastatų jokių neteisėtų veiksmų neatliko, o nuteistojo tiesioginis vadovas </w:t>
      </w:r>
      <w:r w:rsidR="00A97F74" w:rsidRPr="00A81196">
        <w:t>S. F.</w:t>
      </w:r>
      <w:r w:rsidRPr="00A81196">
        <w:t xml:space="preserve"> aptariamų įvykių metu jokio įsakymo jam nedavė. Apelianto teigimu, specialisto J. Andriškevičiaus išvada ir nuteistojo parodymai patvirtina, jog</w:t>
      </w:r>
      <w:r w:rsidR="00682035" w:rsidRPr="00A81196">
        <w:t>,</w:t>
      </w:r>
      <w:r w:rsidRPr="00A81196">
        <w:t xml:space="preserve"> </w:t>
      </w:r>
      <w:r w:rsidR="00DC0414" w:rsidRPr="00A81196">
        <w:t>O. M.</w:t>
      </w:r>
      <w:r w:rsidRPr="00A81196">
        <w:t xml:space="preserve"> ir jo kariams atvykus į įvykio vietą, desantininkai pastatą jau buvo užėmę, taigi nuteistojo kariai buvo reikalingi tik objektų apsaugai ir jiems neteko panaudoti jėgos prieš civil</w:t>
      </w:r>
      <w:r w:rsidR="00726351" w:rsidRPr="00A81196">
        <w:t xml:space="preserve">ius. Tai patvirtina </w:t>
      </w:r>
      <w:r w:rsidR="002F1EB0" w:rsidRPr="00A81196">
        <w:t>A. Ž.</w:t>
      </w:r>
      <w:r w:rsidR="00726351" w:rsidRPr="00A81196">
        <w:t xml:space="preserve">, </w:t>
      </w:r>
      <w:r w:rsidR="00DC0414" w:rsidRPr="00A81196">
        <w:t>M. C.</w:t>
      </w:r>
      <w:r w:rsidRPr="00A81196">
        <w:t xml:space="preserve"> ir kiti nuteistojo kuopos kariškiai, davę parodymus Rusijos Federacijos pareigūnams. Vienintelio </w:t>
      </w:r>
      <w:r w:rsidR="00DC0414" w:rsidRPr="00A81196">
        <w:t>J. S.</w:t>
      </w:r>
      <w:r w:rsidRPr="00A81196">
        <w:t xml:space="preserve"> veiksmai turėtų būti vertinami kaip vykdytojo ekscesas, nes jis pats paaiškino, kad prisijungė prie desantininkų. Iš jau minėtų </w:t>
      </w:r>
      <w:r w:rsidR="00A97F74" w:rsidRPr="00A81196">
        <w:t>S. F.</w:t>
      </w:r>
      <w:r w:rsidR="002F1EB0" w:rsidRPr="00A81196">
        <w:t xml:space="preserve"> parodymų, specialisto J. </w:t>
      </w:r>
      <w:r w:rsidRPr="00A81196">
        <w:t xml:space="preserve">Andriškevičiaus išvados bei karinio dalinio buhalterinės apskaitos dokumentų matyti, kad įvykio metu panaudota tik 17 kovinių šovinių. Pagal </w:t>
      </w:r>
      <w:r w:rsidR="00DC0414" w:rsidRPr="00A81196">
        <w:t>O. M.</w:t>
      </w:r>
      <w:r w:rsidRPr="00A81196">
        <w:t xml:space="preserve"> ir </w:t>
      </w:r>
      <w:r w:rsidR="00DC0414" w:rsidRPr="00A81196">
        <w:t>M. C.</w:t>
      </w:r>
      <w:r w:rsidRPr="00A81196">
        <w:t xml:space="preserve"> parodymus visus šiuos šūvius atliko </w:t>
      </w:r>
      <w:r w:rsidR="002F1EB0" w:rsidRPr="00A81196">
        <w:t>J. T.</w:t>
      </w:r>
      <w:r w:rsidRPr="00A81196">
        <w:t xml:space="preserve">, šaudęs į viršų, po to, kai buvo peršauta jo ginklo dėtuvė. </w:t>
      </w:r>
      <w:r w:rsidR="00682035" w:rsidRPr="00A81196">
        <w:t>Ši t</w:t>
      </w:r>
      <w:r w:rsidRPr="00A81196">
        <w:t>eismo nuosprend</w:t>
      </w:r>
      <w:r w:rsidR="00682035" w:rsidRPr="00A81196">
        <w:t>žio dalis</w:t>
      </w:r>
      <w:r w:rsidRPr="00A81196">
        <w:t xml:space="preserve"> pagrįsta kolektyvinės atsakomybės taikymu, neargumentuota ir neaišk</w:t>
      </w:r>
      <w:r w:rsidR="00682035" w:rsidRPr="00A81196">
        <w:t>i</w:t>
      </w:r>
      <w:r w:rsidRPr="00A81196">
        <w:t>, nes teismas neįvardijo kariškių, nuo kurių nukentėjo civiliai</w:t>
      </w:r>
      <w:r w:rsidRPr="00C00255">
        <w:t xml:space="preserve">. </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I</w:t>
      </w:r>
      <w:r w:rsidR="00726351" w:rsidRPr="00A81196">
        <w:t>š byloje surinktų duomenų matyti</w:t>
      </w:r>
      <w:r w:rsidRPr="00A81196">
        <w:t>, kad už 1991 m. sausio 1</w:t>
      </w:r>
      <w:r w:rsidR="00BC1034" w:rsidRPr="00A81196">
        <w:t>3 d. įvykių padarinius prie LRT </w:t>
      </w:r>
      <w:r w:rsidRPr="00A81196">
        <w:t xml:space="preserve">pastatų turėtų būti atsakingi ne nuteistojo </w:t>
      </w:r>
      <w:r w:rsidR="00DC0414" w:rsidRPr="00A81196">
        <w:t>O. M.</w:t>
      </w:r>
      <w:r w:rsidRPr="00A81196">
        <w:t xml:space="preserve"> ir jo kuopos kariškiai, o kiti asmenys. Aplinkybę, kad nuteistojo </w:t>
      </w:r>
      <w:r w:rsidR="00DC0414" w:rsidRPr="00A81196">
        <w:t>O. M.</w:t>
      </w:r>
      <w:r w:rsidRPr="00A81196">
        <w:t xml:space="preserve"> kuopa neturi nieko bendra su sausio 13-osios įvykių pa</w:t>
      </w:r>
      <w:r w:rsidR="00682035" w:rsidRPr="00A81196">
        <w:t>dariniais</w:t>
      </w:r>
      <w:r w:rsidR="00726351" w:rsidRPr="00A81196">
        <w:t>,</w:t>
      </w:r>
      <w:r w:rsidRPr="00A81196">
        <w:t xml:space="preserve"> patvirtina įvykio vietoje buvusių asmenų parodymai. Anot gynybos, iš liudytojų V. S</w:t>
      </w:r>
      <w:r w:rsidR="002F1EB0" w:rsidRPr="00A81196">
        <w:t>., E. </w:t>
      </w:r>
      <w:r w:rsidRPr="00A81196">
        <w:t>B</w:t>
      </w:r>
      <w:r w:rsidR="002F1EB0" w:rsidRPr="00A81196">
        <w:t>.</w:t>
      </w:r>
      <w:r w:rsidRPr="00A81196">
        <w:t>, V. Š</w:t>
      </w:r>
      <w:r w:rsidR="002F1EB0" w:rsidRPr="00A81196">
        <w:t>.</w:t>
      </w:r>
      <w:r w:rsidRPr="00A81196">
        <w:t>, D. K</w:t>
      </w:r>
      <w:r w:rsidR="002F1EB0" w:rsidRPr="00A81196">
        <w:t>., V. Č., Š. A. bei nukentėjusiųjų E. </w:t>
      </w:r>
      <w:r w:rsidRPr="00A81196">
        <w:t>K</w:t>
      </w:r>
      <w:r w:rsidR="002F1EB0" w:rsidRPr="00A81196">
        <w:t>. </w:t>
      </w:r>
      <w:r w:rsidRPr="00A81196">
        <w:t>(A</w:t>
      </w:r>
      <w:r w:rsidR="002F1EB0" w:rsidRPr="00A81196">
        <w:t>.), V. </w:t>
      </w:r>
      <w:r w:rsidRPr="00A81196">
        <w:t>B</w:t>
      </w:r>
      <w:r w:rsidR="002F1EB0" w:rsidRPr="00A81196">
        <w:t>.</w:t>
      </w:r>
      <w:r w:rsidRPr="00A81196">
        <w:t>, R. R</w:t>
      </w:r>
      <w:r w:rsidR="002F1EB0" w:rsidRPr="00A81196">
        <w:t>. </w:t>
      </w:r>
      <w:r w:rsidRPr="00A81196">
        <w:t>(V</w:t>
      </w:r>
      <w:r w:rsidR="002F1EB0" w:rsidRPr="00A81196">
        <w:t>.</w:t>
      </w:r>
      <w:r w:rsidRPr="00A81196">
        <w:t>), S. Š</w:t>
      </w:r>
      <w:r w:rsidR="002F1EB0" w:rsidRPr="00A81196">
        <w:t>.</w:t>
      </w:r>
      <w:r w:rsidRPr="00A81196">
        <w:t xml:space="preserve">, </w:t>
      </w:r>
      <w:r w:rsidR="002F1EB0" w:rsidRPr="00A81196">
        <w:t>I. P.</w:t>
      </w:r>
      <w:r w:rsidRPr="00A81196">
        <w:t xml:space="preserve">, </w:t>
      </w:r>
      <w:r w:rsidR="002F1EB0" w:rsidRPr="00A81196">
        <w:t>A. N.</w:t>
      </w:r>
      <w:r w:rsidR="00BC1034" w:rsidRPr="00A81196">
        <w:t xml:space="preserve">, </w:t>
      </w:r>
      <w:r w:rsidR="002F1EB0" w:rsidRPr="00A81196">
        <w:t>S. S.</w:t>
      </w:r>
      <w:r w:rsidR="00BC1034" w:rsidRPr="00A81196">
        <w:t xml:space="preserve"> ir Š. </w:t>
      </w:r>
      <w:r w:rsidRPr="00A81196">
        <w:t>A</w:t>
      </w:r>
      <w:r w:rsidR="002F1EB0" w:rsidRPr="00A81196">
        <w:t>.</w:t>
      </w:r>
      <w:r w:rsidRPr="00A81196">
        <w:t xml:space="preserve"> parodymų matyti, kad automatais šaudė desantininkai, jie mėtė sprogstamuosius paketus prie LRT ir būtent jie įsiveržė į pastatus. Tokie liudytojų parodymai patvirtina </w:t>
      </w:r>
      <w:r w:rsidR="00DC0414" w:rsidRPr="00A81196">
        <w:t>O. M.</w:t>
      </w:r>
      <w:r w:rsidRPr="00A81196">
        <w:t xml:space="preserve"> kuopos kariškių parodymus, kad jie nenaudojo smurto </w:t>
      </w:r>
      <w:r w:rsidR="00682035" w:rsidRPr="00A81196">
        <w:t xml:space="preserve">prieš </w:t>
      </w:r>
      <w:r w:rsidRPr="00A81196">
        <w:t>civili</w:t>
      </w:r>
      <w:r w:rsidR="00682035" w:rsidRPr="00A81196">
        <w:t>us</w:t>
      </w:r>
      <w:r w:rsidRPr="00C00255">
        <w:t xml:space="preserve">. </w:t>
      </w:r>
    </w:p>
    <w:p w:rsidR="00B058C8" w:rsidRPr="00C00255" w:rsidRDefault="00B058C8" w:rsidP="002F1EB0">
      <w:pPr>
        <w:pStyle w:val="ListParagraph"/>
        <w:numPr>
          <w:ilvl w:val="1"/>
          <w:numId w:val="6"/>
        </w:numPr>
        <w:spacing w:before="120" w:after="120"/>
        <w:ind w:left="992" w:hanging="992"/>
        <w:contextualSpacing w:val="0"/>
        <w:rPr>
          <w:szCs w:val="24"/>
        </w:rPr>
      </w:pPr>
      <w:r w:rsidRPr="00A81196">
        <w:lastRenderedPageBreak/>
        <w:t xml:space="preserve">Apelianto teigimu, nukentėjusysis </w:t>
      </w:r>
      <w:r w:rsidR="004E4879" w:rsidRPr="00A81196">
        <w:t>A. K.</w:t>
      </w:r>
      <w:r w:rsidRPr="00A81196">
        <w:t xml:space="preserve"> žuvo ne </w:t>
      </w:r>
      <w:r w:rsidR="00726351" w:rsidRPr="00A81196">
        <w:t xml:space="preserve">nuo </w:t>
      </w:r>
      <w:r w:rsidR="00DC0414" w:rsidRPr="00A81196">
        <w:t>O. M.</w:t>
      </w:r>
      <w:r w:rsidR="00726351" w:rsidRPr="00A81196">
        <w:t xml:space="preserve"> vadovaujamos k</w:t>
      </w:r>
      <w:r w:rsidRPr="00A81196">
        <w:t>onvojaus pulko mokomosios specialios</w:t>
      </w:r>
      <w:r w:rsidR="00455EF2" w:rsidRPr="00A81196">
        <w:t>ios paskirties</w:t>
      </w:r>
      <w:r w:rsidRPr="00A81196">
        <w:t xml:space="preserve"> kuopos naudojamo sprogstamojo įtaiso „Čeriomucha“, o nuo kito sprogstamojo paketo. Anot gynėjo, tokią išvadą leidžia daryti teismo medicinos ekspertizės aktų – 1991 m. sausio 28 d. Nr. 53, 1991</w:t>
      </w:r>
      <w:r w:rsidR="00512827" w:rsidRPr="00A81196">
        <w:t> </w:t>
      </w:r>
      <w:r w:rsidRPr="00A81196">
        <w:t>m. sausio 23 d. Nr.</w:t>
      </w:r>
      <w:r w:rsidR="00682035" w:rsidRPr="00A81196">
        <w:t> </w:t>
      </w:r>
      <w:r w:rsidRPr="00A81196">
        <w:t>27 ir</w:t>
      </w:r>
      <w:r w:rsidR="002F1EB0" w:rsidRPr="00A81196">
        <w:t xml:space="preserve"> 1991 m. vasario 4 </w:t>
      </w:r>
      <w:r w:rsidR="00726351" w:rsidRPr="00A81196">
        <w:t>d. Nr. 11-74</w:t>
      </w:r>
      <w:r w:rsidRPr="00A81196">
        <w:t xml:space="preserve"> išvados apie </w:t>
      </w:r>
      <w:r w:rsidR="004E4879" w:rsidRPr="00A81196">
        <w:t>A. K.</w:t>
      </w:r>
      <w:r w:rsidRPr="00A81196">
        <w:t xml:space="preserve"> padarytus sužalojimus ir jų pobūdį. Šią išvadą patvirtina ir specialisto J. Andriškevičiaus paaiškinimai, kad </w:t>
      </w:r>
      <w:r w:rsidR="004E4879" w:rsidRPr="00A81196">
        <w:t>A. K.</w:t>
      </w:r>
      <w:r w:rsidRPr="00A81196">
        <w:t xml:space="preserve"> konstatuoti sužalojimai nėra būdingi </w:t>
      </w:r>
      <w:r w:rsidR="00512827" w:rsidRPr="00A81196">
        <w:t xml:space="preserve">sprogstamojo įtaiso </w:t>
      </w:r>
      <w:r w:rsidRPr="00A81196">
        <w:t>„Čeriomucha“ sprogimo sukeliamiems sužalojimams. Be to, gynybos teigimu, šis specialistas konstatavo, kad kiek buvo paimta šių sprogmenų iš sandėlio prieš sausio 13-o</w:t>
      </w:r>
      <w:r w:rsidR="00AF252A" w:rsidRPr="00A81196">
        <w:t>sios įvykius, tiek ir grąžinta. T</w:t>
      </w:r>
      <w:r w:rsidRPr="00A81196">
        <w:t>aigi ji</w:t>
      </w:r>
      <w:r w:rsidR="00726351" w:rsidRPr="00A81196">
        <w:t xml:space="preserve">e nebuvo panaudoti. Tai, kad </w:t>
      </w:r>
      <w:r w:rsidR="004E4879" w:rsidRPr="00A81196">
        <w:t>A. K.</w:t>
      </w:r>
      <w:r w:rsidRPr="00A81196">
        <w:t xml:space="preserve"> žuvo ne nuo </w:t>
      </w:r>
      <w:r w:rsidR="00512827" w:rsidRPr="00A81196">
        <w:t xml:space="preserve">sprogstamojo įtaiso </w:t>
      </w:r>
      <w:r w:rsidRPr="00A81196">
        <w:t>„Čeriomucha“ sprogimo, patvirtina</w:t>
      </w:r>
      <w:r w:rsidR="00726351" w:rsidRPr="00A81196">
        <w:t xml:space="preserve"> nukentėjusiųjų </w:t>
      </w:r>
      <w:r w:rsidR="004E4879" w:rsidRPr="00A81196">
        <w:t>P. L.</w:t>
      </w:r>
      <w:r w:rsidR="00726351" w:rsidRPr="00A81196">
        <w:t xml:space="preserve">, </w:t>
      </w:r>
      <w:r w:rsidR="002F1EB0" w:rsidRPr="00A81196">
        <w:t>S. K.</w:t>
      </w:r>
      <w:r w:rsidRPr="00A81196">
        <w:t xml:space="preserve"> bei liudytojo </w:t>
      </w:r>
      <w:r w:rsidR="002F1EB0" w:rsidRPr="00A81196">
        <w:t>K. M.</w:t>
      </w:r>
      <w:r w:rsidR="00AF252A" w:rsidRPr="00A81196">
        <w:t xml:space="preserve"> parodymai, 1991 m. </w:t>
      </w:r>
      <w:r w:rsidR="002F1EB0" w:rsidRPr="00A81196">
        <w:t>gegužės 13 </w:t>
      </w:r>
      <w:r w:rsidRPr="00A81196">
        <w:t xml:space="preserve">d. ekspertizės išvados apie </w:t>
      </w:r>
      <w:r w:rsidR="004E4879" w:rsidRPr="00A81196">
        <w:t>A. K.</w:t>
      </w:r>
      <w:r w:rsidRPr="00A81196">
        <w:t xml:space="preserve"> vilkėtų drabužių pažeidimus, taip pat nukentėjusiųjų </w:t>
      </w:r>
      <w:r w:rsidR="004E4879" w:rsidRPr="00A81196">
        <w:t>V. B.</w:t>
      </w:r>
      <w:r w:rsidRPr="00A81196">
        <w:t xml:space="preserve">, </w:t>
      </w:r>
      <w:r w:rsidR="004E4879" w:rsidRPr="00A81196">
        <w:t>K. Č.</w:t>
      </w:r>
      <w:r w:rsidRPr="00A81196">
        <w:t xml:space="preserve"> ir </w:t>
      </w:r>
      <w:r w:rsidR="004E4879" w:rsidRPr="00A81196">
        <w:t>A. K.</w:t>
      </w:r>
      <w:r w:rsidRPr="00A81196">
        <w:t xml:space="preserve"> parodymai apie desantininkų šūvius bei mėtytus sprogstamuosius paketus į civilius</w:t>
      </w:r>
      <w:r w:rsidRPr="00C00255">
        <w:t>.</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 xml:space="preserve">Teismo išvada, kad </w:t>
      </w:r>
      <w:r w:rsidR="00DC0414" w:rsidRPr="00A81196">
        <w:t>O. M.</w:t>
      </w:r>
      <w:r w:rsidRPr="00A81196">
        <w:t xml:space="preserve"> vadovaujamos kuopos karių veiksmai galėjo nulemt</w:t>
      </w:r>
      <w:r w:rsidR="004B5EC0" w:rsidRPr="00A81196">
        <w:t>i sunk</w:t>
      </w:r>
      <w:r w:rsidR="00512827" w:rsidRPr="00A81196">
        <w:t>ius</w:t>
      </w:r>
      <w:r w:rsidR="004B5EC0" w:rsidRPr="00A81196">
        <w:t xml:space="preserve"> nukentėjusiųjų </w:t>
      </w:r>
      <w:r w:rsidR="004E4879" w:rsidRPr="00A81196">
        <w:t>K. B.</w:t>
      </w:r>
      <w:r w:rsidRPr="00A81196">
        <w:t xml:space="preserve">, </w:t>
      </w:r>
      <w:r w:rsidR="004E4879" w:rsidRPr="00A81196">
        <w:t>A. V.</w:t>
      </w:r>
      <w:r w:rsidRPr="00A81196">
        <w:t>, V. B</w:t>
      </w:r>
      <w:r w:rsidR="002F1EB0" w:rsidRPr="00A81196">
        <w:t>.</w:t>
      </w:r>
      <w:r w:rsidRPr="00A81196">
        <w:t xml:space="preserve">, </w:t>
      </w:r>
      <w:r w:rsidR="004E4879" w:rsidRPr="00A81196">
        <w:t>P. L.</w:t>
      </w:r>
      <w:r w:rsidRPr="00A81196">
        <w:t xml:space="preserve">, </w:t>
      </w:r>
      <w:r w:rsidR="004E4879" w:rsidRPr="00A81196">
        <w:t>V. B.</w:t>
      </w:r>
      <w:r w:rsidRPr="00A81196">
        <w:t>, K. Č</w:t>
      </w:r>
      <w:r w:rsidR="004E4879" w:rsidRPr="00A81196">
        <w:t>.</w:t>
      </w:r>
      <w:r w:rsidRPr="00A81196">
        <w:t xml:space="preserve"> ir </w:t>
      </w:r>
      <w:r w:rsidR="004E4879" w:rsidRPr="00A81196">
        <w:t>A. K.</w:t>
      </w:r>
      <w:r w:rsidRPr="00A81196">
        <w:t xml:space="preserve"> sveikatos sutrikdym</w:t>
      </w:r>
      <w:r w:rsidR="00512827" w:rsidRPr="00A81196">
        <w:t>us</w:t>
      </w:r>
      <w:r w:rsidRPr="00A81196">
        <w:t xml:space="preserve">, taip pat nepagrįsta. Iš šių nukentėjusiųjų parodymų matyti, kad jų sveikata sutrikdyta po to, kai desantininkai, atvykę į LRT teritoriją, pradėjo veržtis į pastatus ir naudoti ginklus. Apelianto teigimu, nukentėjusiųjų patirtus sužalojimus patvirtinta ir specialistų išvados bei teismo medicinos aktai </w:t>
      </w:r>
      <w:r w:rsidR="004B5EC0" w:rsidRPr="00A81196">
        <w:t xml:space="preserve">dėl nukentėjusiesiems </w:t>
      </w:r>
      <w:r w:rsidR="004E4879" w:rsidRPr="00A81196">
        <w:t>K. B., P. </w:t>
      </w:r>
      <w:r w:rsidRPr="00A81196">
        <w:t>L</w:t>
      </w:r>
      <w:r w:rsidR="004E4879" w:rsidRPr="00A81196">
        <w:t>. ir V. B.</w:t>
      </w:r>
      <w:r w:rsidRPr="00A81196">
        <w:t xml:space="preserve"> padarytų sužalojimų pobūdžio. Be to, nukentėjusiojo </w:t>
      </w:r>
      <w:r w:rsidR="002F1EB0" w:rsidRPr="00A81196">
        <w:t>S. K.</w:t>
      </w:r>
      <w:r w:rsidRPr="00A81196">
        <w:t xml:space="preserve"> bei liudytojo </w:t>
      </w:r>
      <w:r w:rsidR="002F1EB0" w:rsidRPr="00A81196">
        <w:t>K. M.</w:t>
      </w:r>
      <w:r w:rsidRPr="00A81196">
        <w:t xml:space="preserve"> parodymai taip pat patvirtina, kad sužalojimai galėjo būti padaryti ne dėl </w:t>
      </w:r>
      <w:r w:rsidR="00DC0414" w:rsidRPr="00A81196">
        <w:t>O. M.</w:t>
      </w:r>
      <w:r w:rsidRPr="00A81196">
        <w:t xml:space="preserve"> kuopos karių, o dėl desantininkų šūvių bei mėtytų sprogstamųjų paketų</w:t>
      </w:r>
      <w:r w:rsidRPr="00C00255">
        <w:t xml:space="preserve">. </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Tie patys desantininkai galėjo padaryti ir nesunkius sužalojimus 108 civiliams. Tą patvirtina nukentėjusiųjų V.</w:t>
      </w:r>
      <w:r w:rsidR="002B4F21" w:rsidRPr="00A81196">
        <w:t> </w:t>
      </w:r>
      <w:r w:rsidRPr="00A81196">
        <w:t>T</w:t>
      </w:r>
      <w:r w:rsidR="00E420BD" w:rsidRPr="00A81196">
        <w:t>.</w:t>
      </w:r>
      <w:r w:rsidRPr="00A81196">
        <w:t>, R. O</w:t>
      </w:r>
      <w:r w:rsidR="00E420BD" w:rsidRPr="00A81196">
        <w:t>.</w:t>
      </w:r>
      <w:r w:rsidRPr="00A81196">
        <w:t xml:space="preserve">, </w:t>
      </w:r>
      <w:r w:rsidR="002F1EB0" w:rsidRPr="00A81196">
        <w:t>I. P.</w:t>
      </w:r>
      <w:r w:rsidR="00E420BD" w:rsidRPr="00A81196">
        <w:t> </w:t>
      </w:r>
      <w:r w:rsidRPr="00A81196">
        <w:t>(Ž</w:t>
      </w:r>
      <w:r w:rsidR="00E420BD" w:rsidRPr="00A81196">
        <w:t>.</w:t>
      </w:r>
      <w:r w:rsidRPr="00A81196">
        <w:t xml:space="preserve">) ir </w:t>
      </w:r>
      <w:r w:rsidR="002F1EB0" w:rsidRPr="00A81196">
        <w:t>S. S.</w:t>
      </w:r>
      <w:r w:rsidRPr="00A81196">
        <w:t xml:space="preserve"> parodymai, kad sužalojimus prie LRT jie patyrė prie pastato veržiantis desantininkams. Taip pat šią aplinkybę patvirtinta nukentėjusiųjų </w:t>
      </w:r>
      <w:r w:rsidR="002F1EB0" w:rsidRPr="00A81196">
        <w:t>A. N.</w:t>
      </w:r>
      <w:r w:rsidR="00E420BD" w:rsidRPr="00A81196">
        <w:t>, V. Ž.</w:t>
      </w:r>
      <w:r w:rsidRPr="00A81196">
        <w:t xml:space="preserve"> ir P. N</w:t>
      </w:r>
      <w:r w:rsidR="00E420BD" w:rsidRPr="00A81196">
        <w:t>.</w:t>
      </w:r>
      <w:r w:rsidRPr="00A81196">
        <w:t xml:space="preserve"> parodymai, kad jiems bestovint prie LRT sprogo paketas ir jie buvo sužaloti. Iš A. B</w:t>
      </w:r>
      <w:r w:rsidR="00E420BD" w:rsidRPr="00A81196">
        <w:t>.</w:t>
      </w:r>
      <w:r w:rsidRPr="00A81196">
        <w:t xml:space="preserve"> parodymų matyti, kad jam sužalojimai padaryti netoli sprogus granatai</w:t>
      </w:r>
      <w:r w:rsidRPr="00C00255">
        <w:t xml:space="preserve">. </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Nežymius 95 asmenų sveikatos sutrikdymus tai</w:t>
      </w:r>
      <w:r w:rsidR="00682035" w:rsidRPr="00A81196">
        <w:t>p</w:t>
      </w:r>
      <w:r w:rsidRPr="00A81196">
        <w:t xml:space="preserve"> pat lėmė desantininkų veiksmai. Tai patvirtina nukentėjusiųjų J. G</w:t>
      </w:r>
      <w:r w:rsidR="00E420BD" w:rsidRPr="00A81196">
        <w:t>.</w:t>
      </w:r>
      <w:r w:rsidRPr="00A81196">
        <w:t>, P. G</w:t>
      </w:r>
      <w:r w:rsidR="00E420BD" w:rsidRPr="00A81196">
        <w:t>.</w:t>
      </w:r>
      <w:r w:rsidRPr="00A81196">
        <w:t>, A. K</w:t>
      </w:r>
      <w:r w:rsidR="00E420BD" w:rsidRPr="00A81196">
        <w:t>.</w:t>
      </w:r>
      <w:r w:rsidRPr="00A81196">
        <w:t>, D. V</w:t>
      </w:r>
      <w:r w:rsidR="00E420BD" w:rsidRPr="00A81196">
        <w:t>.</w:t>
      </w:r>
      <w:r w:rsidRPr="00A81196">
        <w:t>, J. K</w:t>
      </w:r>
      <w:r w:rsidR="00E420BD" w:rsidRPr="00A81196">
        <w:t>.</w:t>
      </w:r>
      <w:r w:rsidRPr="00A81196">
        <w:t xml:space="preserve"> ir kitų nukentėjusiųjų parodymai, kad desantininkai naudojo ginklus, sprogstamuosius paketus, dėl </w:t>
      </w:r>
      <w:r w:rsidR="00396E84" w:rsidRPr="00A81196">
        <w:t>t</w:t>
      </w:r>
      <w:r w:rsidRPr="00A81196">
        <w:t xml:space="preserve">o jiems buvo padaryti sužeidimai. Kriminalistinės </w:t>
      </w:r>
      <w:r w:rsidR="00AF252A" w:rsidRPr="00A81196">
        <w:t>ekspertizės akte (t. 101, b. l. </w:t>
      </w:r>
      <w:r w:rsidR="00A34D0A" w:rsidRPr="00A81196">
        <w:t>102–</w:t>
      </w:r>
      <w:r w:rsidRPr="00A81196">
        <w:t xml:space="preserve">126) buvo nurodyta, kad nukentėjusiojo </w:t>
      </w:r>
      <w:r w:rsidR="00DD1A27" w:rsidRPr="00A81196">
        <w:t>E. M.</w:t>
      </w:r>
      <w:r w:rsidRPr="00A81196">
        <w:t xml:space="preserve"> šautinė žaizda buvo padaryta 5,45 mm kalibro kulka, o tokiomis </w:t>
      </w:r>
      <w:r w:rsidR="00F06620" w:rsidRPr="00A81196">
        <w:t xml:space="preserve">kulkomis </w:t>
      </w:r>
      <w:r w:rsidR="00DC0414" w:rsidRPr="00A81196">
        <w:t>O. M.</w:t>
      </w:r>
      <w:r w:rsidRPr="00A81196">
        <w:t xml:space="preserve"> kuopa nedisponavo. Vadovaujantis specialisto J. Andriškevičiaus išvada, akustinės traumos prie LRT pastatų buvo sukeltos ne konvojaus pulko mokomosios specialios</w:t>
      </w:r>
      <w:r w:rsidR="00560E9C" w:rsidRPr="00A81196">
        <w:t>ios</w:t>
      </w:r>
      <w:r w:rsidRPr="00A81196">
        <w:t xml:space="preserve"> paskirties kuopos kariškių veiksmais, nes šiai kuopai nebuvo priskirti tankai, kurių šūviai sukėlė minėtus padarinius</w:t>
      </w:r>
      <w:r w:rsidRPr="00C00255">
        <w:t xml:space="preserve">. </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 xml:space="preserve">Gynėjas nesutinka su teismo išvada, jog </w:t>
      </w:r>
      <w:r w:rsidR="00DC0414" w:rsidRPr="00A81196">
        <w:t>O. M.</w:t>
      </w:r>
      <w:r w:rsidRPr="00A81196">
        <w:t xml:space="preserve"> prie LRT atgabeno karinę techniką, panaudodamas ją kaip bauginimo priemonę prieš civilius. Šarvuočiai </w:t>
      </w:r>
      <w:r w:rsidR="00DC0414" w:rsidRPr="00A81196">
        <w:t>O. M.</w:t>
      </w:r>
      <w:r w:rsidRPr="00A81196">
        <w:t xml:space="preserve"> kuopai nepriklausė, jie nebuvo jų žinioje, nes technika buvo išrikiuota pulko vado </w:t>
      </w:r>
      <w:r w:rsidR="00A97F74" w:rsidRPr="00A81196">
        <w:t>S. F.</w:t>
      </w:r>
      <w:r w:rsidRPr="00A81196">
        <w:t xml:space="preserve"> įsakymu. Tai patvirtina ir </w:t>
      </w:r>
      <w:r w:rsidR="00F06620" w:rsidRPr="00A81196">
        <w:t xml:space="preserve">liudytojai </w:t>
      </w:r>
      <w:r w:rsidRPr="00A81196">
        <w:t>šarv</w:t>
      </w:r>
      <w:r w:rsidR="00E420BD" w:rsidRPr="00A81196">
        <w:t>uočių vairuotojai-mechanikai V. </w:t>
      </w:r>
      <w:r w:rsidRPr="00A81196">
        <w:t>P</w:t>
      </w:r>
      <w:r w:rsidR="00E420BD" w:rsidRPr="00A81196">
        <w:t>.</w:t>
      </w:r>
      <w:r w:rsidRPr="00A81196">
        <w:t>, A. K</w:t>
      </w:r>
      <w:r w:rsidR="00E420BD" w:rsidRPr="00A81196">
        <w:t>.</w:t>
      </w:r>
      <w:r w:rsidRPr="00A81196">
        <w:t>, A. L</w:t>
      </w:r>
      <w:r w:rsidR="00E420BD" w:rsidRPr="00A81196">
        <w:t>.</w:t>
      </w:r>
      <w:r w:rsidRPr="00A81196">
        <w:t>, M. T</w:t>
      </w:r>
      <w:r w:rsidR="00E420BD" w:rsidRPr="00A81196">
        <w:t>.</w:t>
      </w:r>
      <w:r w:rsidRPr="00A81196">
        <w:t>, J. D</w:t>
      </w:r>
      <w:r w:rsidR="00E420BD" w:rsidRPr="00A81196">
        <w:t>.</w:t>
      </w:r>
      <w:r w:rsidRPr="00A81196">
        <w:t xml:space="preserve">, nurodę, kad transporto kolonai vadovavo </w:t>
      </w:r>
      <w:r w:rsidR="00A97F74" w:rsidRPr="00A81196">
        <w:t>S. F.</w:t>
      </w:r>
      <w:r w:rsidRPr="00A81196">
        <w:t>, įsakęs techniką statyti gatvėje. Vadovaudamasis liudytojo A. K</w:t>
      </w:r>
      <w:r w:rsidR="00E420BD" w:rsidRPr="00A81196">
        <w:t>.</w:t>
      </w:r>
      <w:r w:rsidRPr="00A81196">
        <w:t xml:space="preserve"> parodymais, apeliantas teigia, kad </w:t>
      </w:r>
      <w:r w:rsidR="00A97F74" w:rsidRPr="00A81196">
        <w:t>S. F.</w:t>
      </w:r>
      <w:r w:rsidRPr="00A81196">
        <w:t xml:space="preserve"> davė ir komandą užtikrinti technikos apsaugą. Vadovau</w:t>
      </w:r>
      <w:r w:rsidR="00AF252A" w:rsidRPr="00A81196">
        <w:t>jantis</w:t>
      </w:r>
      <w:r w:rsidRPr="00A81196">
        <w:t xml:space="preserve"> specialisto J. Andriškevičiaus išvada, visa ši operacija ir technikos pastatymo vieta buvo numatyta štabo plane, o LRT užėmimo operacijai vadovauti buvo paskirti specialiai tam skirti pareigūnai, kurių veiksmai buvo koordinuojami iš štabo centro Šiaurės miestelyje</w:t>
      </w:r>
      <w:r w:rsidRPr="00C00255">
        <w:t xml:space="preserve">. </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lastRenderedPageBreak/>
        <w:t xml:space="preserve">Apygardos teismas nepagrįstai konstatavo ir tai, kad nuteistasis ir jo kuopos kariškiai panaudojo uždraustas karo priemones. Iš byloje esančios </w:t>
      </w:r>
      <w:r w:rsidRPr="00A81196">
        <w:rPr>
          <w:szCs w:val="24"/>
        </w:rPr>
        <w:t xml:space="preserve">J. Andriškevičiaus išvados taip pat matyti, kad </w:t>
      </w:r>
      <w:r w:rsidR="00726351" w:rsidRPr="00A81196">
        <w:t>k</w:t>
      </w:r>
      <w:r w:rsidRPr="00A81196">
        <w:t xml:space="preserve">onvojaus pulko mokomajai specialiosios paskirties kuopai nebuvo priskirti ginklai, kurie laikytini uždraustomis karo priemonėmis. Be to, tokias teismo išvadas paneigia ir </w:t>
      </w:r>
      <w:r w:rsidR="00DC0414" w:rsidRPr="00A81196">
        <w:t>O. M.</w:t>
      </w:r>
      <w:r w:rsidRPr="00A81196">
        <w:t xml:space="preserve"> bei jo kuopos karių parodymai</w:t>
      </w:r>
      <w:r w:rsidR="00726351" w:rsidRPr="00A81196">
        <w:t>,</w:t>
      </w:r>
      <w:r w:rsidRPr="00A81196">
        <w:t xml:space="preserve"> iš kurių matyti, </w:t>
      </w:r>
      <w:r w:rsidR="00396E84" w:rsidRPr="00A81196">
        <w:t xml:space="preserve">kad </w:t>
      </w:r>
      <w:r w:rsidR="00DC0414" w:rsidRPr="00A81196">
        <w:t>O. M.</w:t>
      </w:r>
      <w:r w:rsidRPr="00A81196">
        <w:t xml:space="preserve"> ir jo kuopa buvo įvykio vietoje, tačiau </w:t>
      </w:r>
      <w:r w:rsidR="00726351" w:rsidRPr="00A81196">
        <w:t xml:space="preserve">nedalyvavo </w:t>
      </w:r>
      <w:r w:rsidRPr="00A81196">
        <w:t>šturmuojant pastatus. Atsižvelgiant į tai,</w:t>
      </w:r>
      <w:r w:rsidR="00396E84" w:rsidRPr="00A81196">
        <w:t xml:space="preserve"> teigtina, kad</w:t>
      </w:r>
      <w:r w:rsidRPr="00A81196">
        <w:t xml:space="preserve"> </w:t>
      </w:r>
      <w:r w:rsidR="00DC0414" w:rsidRPr="00A81196">
        <w:t>O. M.</w:t>
      </w:r>
      <w:r w:rsidRPr="00A81196">
        <w:t xml:space="preserve"> nepadarė n</w:t>
      </w:r>
      <w:r w:rsidR="00396E84" w:rsidRPr="00A81196">
        <w:t>ė</w:t>
      </w:r>
      <w:r w:rsidRPr="00A81196">
        <w:t xml:space="preserve"> vieno iš jam inkriminuotų nusikaltimų, o veiksmai perimant LRT pastatą apsaugai neatitinka inkriminuojamų nusikaltimų požymių. Be to, net jei pastato apsaugos perėmimas būtų nusikalstamas, tokie veiksmai kval</w:t>
      </w:r>
      <w:r w:rsidR="00AF252A" w:rsidRPr="00A81196">
        <w:t>ifikuotini pagal 1991 m. sausio </w:t>
      </w:r>
      <w:r w:rsidRPr="00A81196">
        <w:t>13 d. galiojusius baudžiamuosius įstatymus</w:t>
      </w:r>
      <w:r w:rsidRPr="00C00255">
        <w:t>.</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 xml:space="preserve">Apeliantas teigia, kad vadovaujantis tarptautine teise, niekas negali būti nuteistas už veiką, kuri pagal padarymo metu galiojusią nacionalinę ar tarptautinę teisę nebuvo laikoma nusikalstama veika. Romos statutas, </w:t>
      </w:r>
      <w:r w:rsidR="00396E84" w:rsidRPr="00A81196">
        <w:t xml:space="preserve">kuriuo </w:t>
      </w:r>
      <w:r w:rsidRPr="00A81196">
        <w:t>reglamentuoja</w:t>
      </w:r>
      <w:r w:rsidR="00396E84" w:rsidRPr="00A81196">
        <w:t>mi</w:t>
      </w:r>
      <w:r w:rsidRPr="00A81196">
        <w:t xml:space="preserve"> karo nusikaltim</w:t>
      </w:r>
      <w:r w:rsidR="00396E84" w:rsidRPr="00A81196">
        <w:t>ai</w:t>
      </w:r>
      <w:r w:rsidRPr="00A81196">
        <w:t xml:space="preserve"> ir nusikaltim</w:t>
      </w:r>
      <w:r w:rsidR="00396E84" w:rsidRPr="00A81196">
        <w:t>ai</w:t>
      </w:r>
      <w:r w:rsidRPr="00A81196">
        <w:t xml:space="preserve"> žmo</w:t>
      </w:r>
      <w:r w:rsidR="005E6CFE" w:rsidRPr="00A81196">
        <w:t>niškumui</w:t>
      </w:r>
      <w:r w:rsidRPr="00A81196">
        <w:t>, buvo priimtas tik 1998 m., t.</w:t>
      </w:r>
      <w:r w:rsidR="00396E84" w:rsidRPr="00A81196">
        <w:t> </w:t>
      </w:r>
      <w:r w:rsidRPr="00A81196">
        <w:t xml:space="preserve">y. vėliau nei padarytos </w:t>
      </w:r>
      <w:r w:rsidR="00DC0414" w:rsidRPr="00A81196">
        <w:t>O. M.</w:t>
      </w:r>
      <w:r w:rsidRPr="00A81196">
        <w:t xml:space="preserve"> inkriminuojamos veikos ir atgaline tvarka negalėjo būti taikomas. Tai, kad Romos statutas neturi grįžtamo</w:t>
      </w:r>
      <w:r w:rsidR="00AF252A" w:rsidRPr="00A81196">
        <w:t>sios galios</w:t>
      </w:r>
      <w:r w:rsidR="00F06620" w:rsidRPr="00A81196">
        <w:t>,</w:t>
      </w:r>
      <w:r w:rsidR="00AF252A" w:rsidRPr="00A81196">
        <w:t xml:space="preserve"> pripažino ir LAT (</w:t>
      </w:r>
      <w:r w:rsidR="00671CA0" w:rsidRPr="00A81196">
        <w:t xml:space="preserve">LAT </w:t>
      </w:r>
      <w:r w:rsidRPr="00A81196">
        <w:t>nutartis</w:t>
      </w:r>
      <w:r w:rsidR="00056CFA" w:rsidRPr="00A81196">
        <w:t xml:space="preserve"> baudžiamojoje byloje</w:t>
      </w:r>
      <w:r w:rsidRPr="00A81196">
        <w:t xml:space="preserve"> Nr. 2K-5-895/2016). Įvykių metu atsakomyb</w:t>
      </w:r>
      <w:r w:rsidR="00396E84" w:rsidRPr="00A81196">
        <w:t>ė</w:t>
      </w:r>
      <w:r w:rsidRPr="00A81196">
        <w:t xml:space="preserve"> už karo nusikaltimus numat</w:t>
      </w:r>
      <w:r w:rsidR="00396E84" w:rsidRPr="00A81196">
        <w:t>yta</w:t>
      </w:r>
      <w:r w:rsidRPr="00A81196">
        <w:t xml:space="preserve"> tik </w:t>
      </w:r>
      <w:r w:rsidR="00EC1D9A" w:rsidRPr="00A81196">
        <w:t xml:space="preserve">1945 m. rugpjūčio 8 d. </w:t>
      </w:r>
      <w:r w:rsidR="0049485C" w:rsidRPr="00A81196">
        <w:t>Niurnbergo tarptautinio karo</w:t>
      </w:r>
      <w:r w:rsidRPr="00A81196">
        <w:t xml:space="preserve"> tribunolo įstat</w:t>
      </w:r>
      <w:r w:rsidR="00396E84" w:rsidRPr="00A81196">
        <w:t>uose</w:t>
      </w:r>
      <w:r w:rsidRPr="00A81196">
        <w:t xml:space="preserve">, tačiau </w:t>
      </w:r>
      <w:r w:rsidR="00AF252A" w:rsidRPr="00A81196">
        <w:t>pagal</w:t>
      </w:r>
      <w:r w:rsidRPr="00A81196">
        <w:t xml:space="preserve"> juos gali būti teisiami tik aukščiausiosios politinės, ekonominės ir karinės valdžios vadovai, kurie davė įsakymus kariškiams, o ne juos vykdė. Nuteistasis </w:t>
      </w:r>
      <w:r w:rsidR="00DC0414" w:rsidRPr="00A81196">
        <w:t>O. M.</w:t>
      </w:r>
      <w:r w:rsidRPr="00A81196">
        <w:t xml:space="preserve"> tokiu subjektu nebuvo, nes turėjo vieną žemiausių, t.</w:t>
      </w:r>
      <w:r w:rsidR="00396E84" w:rsidRPr="00A81196">
        <w:t> </w:t>
      </w:r>
      <w:r w:rsidRPr="00A81196">
        <w:t>y. vyr. leitenanto, karinį laipsnį ir buvo tik kuopos vadas</w:t>
      </w:r>
      <w:r w:rsidRPr="00C00255">
        <w:t xml:space="preserve">. </w:t>
      </w:r>
    </w:p>
    <w:p w:rsidR="00B058C8" w:rsidRPr="00C00255" w:rsidRDefault="00B058C8" w:rsidP="00321748">
      <w:pPr>
        <w:pStyle w:val="ListParagraph"/>
        <w:numPr>
          <w:ilvl w:val="1"/>
          <w:numId w:val="6"/>
        </w:numPr>
        <w:spacing w:before="120" w:after="120"/>
        <w:ind w:left="992" w:hanging="992"/>
        <w:contextualSpacing w:val="0"/>
        <w:rPr>
          <w:szCs w:val="24"/>
        </w:rPr>
      </w:pPr>
      <w:r w:rsidRPr="00A81196">
        <w:t xml:space="preserve">Apygardos teismas ignoravo ir užsienio valstybių poziciją dėl atsisakymo išduoti Lietuvai </w:t>
      </w:r>
      <w:r w:rsidR="00DC0414" w:rsidRPr="00A81196">
        <w:t>O. M.</w:t>
      </w:r>
      <w:r w:rsidRPr="00A81196">
        <w:t xml:space="preserve"> bei </w:t>
      </w:r>
      <w:r w:rsidR="006036E7" w:rsidRPr="00A81196">
        <w:t>V. K. 2</w:t>
      </w:r>
      <w:r w:rsidRPr="00A81196">
        <w:t xml:space="preserve">. </w:t>
      </w:r>
      <w:r w:rsidR="00E420BD" w:rsidRPr="00A81196">
        <w:t>(duomenys neskelbtini)</w:t>
      </w:r>
      <w:r w:rsidRPr="00A81196">
        <w:t xml:space="preserve"> pareigūnai nurodė, kad prašymuose </w:t>
      </w:r>
      <w:r w:rsidR="00F06620" w:rsidRPr="00A81196">
        <w:t>išduoti</w:t>
      </w:r>
      <w:r w:rsidRPr="00A81196">
        <w:t xml:space="preserve"> </w:t>
      </w:r>
      <w:r w:rsidR="00DC0414" w:rsidRPr="00A81196">
        <w:t>O. M.</w:t>
      </w:r>
      <w:r w:rsidRPr="00A81196">
        <w:t xml:space="preserve"> nepakanka informacijos apie tai,</w:t>
      </w:r>
      <w:r w:rsidR="00AF252A" w:rsidRPr="00A81196">
        <w:t xml:space="preserve"> jog</w:t>
      </w:r>
      <w:r w:rsidRPr="00A81196">
        <w:t xml:space="preserve"> jis dalyvavo inkriminuotuose nusikaltimuose. Toks atsakymas reiškia, jog </w:t>
      </w:r>
      <w:r w:rsidR="00DC0414" w:rsidRPr="00A81196">
        <w:t>O. M.</w:t>
      </w:r>
      <w:r w:rsidRPr="00A81196">
        <w:t xml:space="preserve">, </w:t>
      </w:r>
      <w:r w:rsidR="00E420BD" w:rsidRPr="00A81196">
        <w:t>(duomenys neskelbtini)</w:t>
      </w:r>
      <w:r w:rsidRPr="00A81196">
        <w:t xml:space="preserve"> pareigūnų įsitikinimu, nebuvo 1991 m. sausio 13</w:t>
      </w:r>
      <w:r w:rsidR="00396E84" w:rsidRPr="00A81196">
        <w:t xml:space="preserve"> d.</w:t>
      </w:r>
      <w:r w:rsidRPr="00A81196">
        <w:t xml:space="preserve"> įvykių organizatoriumi ir planuotoju, siuntusiu karius šturmuoti objektus ar vadovavusiu juos šturmuojant. </w:t>
      </w:r>
      <w:r w:rsidR="00E420BD" w:rsidRPr="00A81196">
        <w:t>(duomenys neskelbtini)</w:t>
      </w:r>
      <w:r w:rsidRPr="00A81196">
        <w:t xml:space="preserve"> apeliacinis teismas, spręsdamas dėl nuteistojo </w:t>
      </w:r>
      <w:r w:rsidR="006036E7" w:rsidRPr="00A81196">
        <w:t>V. K. 2</w:t>
      </w:r>
      <w:r w:rsidRPr="00A81196">
        <w:t xml:space="preserve"> išdavimo, priminė apie karinių kontingentų, vykdančių įsakymus karinių operacijų metu, „funkcinį imunitetą“, t.</w:t>
      </w:r>
      <w:r w:rsidR="002A2224" w:rsidRPr="00A81196">
        <w:t> </w:t>
      </w:r>
      <w:r w:rsidRPr="00A81196">
        <w:t>y. sprendė, kad už TSRS karių veiksmus atsako karius pasiuntusi valstybė, o ne žmonės, kurie vykdė įsakymą. Atsižvelg</w:t>
      </w:r>
      <w:r w:rsidR="00396E84" w:rsidRPr="00A81196">
        <w:t xml:space="preserve">damas </w:t>
      </w:r>
      <w:r w:rsidRPr="00A81196">
        <w:t>į visa tai, teismas turėjo vadovautis kitose bylose dėl 1991 metų įvykių suformuotais precedentais ir nuteistųjų veikas kvalifikuoti pagal veikų pada</w:t>
      </w:r>
      <w:r w:rsidR="00C96771" w:rsidRPr="00A81196">
        <w:t xml:space="preserve">rymo metu galiojusią Lietuvos Respublikos baudžiamojo </w:t>
      </w:r>
      <w:r w:rsidR="00726351" w:rsidRPr="00A81196">
        <w:t>įstatymo</w:t>
      </w:r>
      <w:r w:rsidRPr="00A81196">
        <w:t xml:space="preserve"> redakciją, o tokiu atveju tolesnis baudžiamasis procesas negalimas dėl suėjusių apkaltinamojo nuosprendžio priėmimo senaties terminų</w:t>
      </w:r>
      <w:r w:rsidRPr="00C00255">
        <w:t>.</w:t>
      </w:r>
    </w:p>
    <w:p w:rsidR="00AF252A" w:rsidRPr="00A81196" w:rsidRDefault="00AF252A" w:rsidP="00321748">
      <w:pPr>
        <w:pStyle w:val="ListParagraph"/>
        <w:numPr>
          <w:ilvl w:val="0"/>
          <w:numId w:val="6"/>
        </w:numPr>
        <w:spacing w:before="120" w:after="120"/>
        <w:ind w:left="992" w:hanging="992"/>
        <w:contextualSpacing w:val="0"/>
      </w:pPr>
      <w:bookmarkStart w:id="186" w:name="_Toc37947888"/>
      <w:bookmarkStart w:id="187" w:name="_Toc67677367"/>
      <w:bookmarkStart w:id="188" w:name="_Toc67985494"/>
      <w:r w:rsidRPr="005052C0">
        <w:rPr>
          <w:b/>
        </w:rPr>
        <w:t xml:space="preserve">Nuteistojo </w:t>
      </w:r>
      <w:r w:rsidR="00DC0414" w:rsidRPr="005052C0">
        <w:rPr>
          <w:b/>
        </w:rPr>
        <w:t>M. C.</w:t>
      </w:r>
      <w:r w:rsidRPr="005052C0">
        <w:rPr>
          <w:b/>
        </w:rPr>
        <w:t xml:space="preserve"> gynėja</w:t>
      </w:r>
      <w:bookmarkEnd w:id="186"/>
      <w:bookmarkEnd w:id="187"/>
      <w:bookmarkEnd w:id="188"/>
      <w:r w:rsidRPr="005052C0">
        <w:rPr>
          <w:b/>
        </w:rPr>
        <w:t xml:space="preserve"> advokatė Z. Malova</w:t>
      </w:r>
      <w:r w:rsidRPr="005052C0">
        <w:t xml:space="preserve"> </w:t>
      </w:r>
      <w:r w:rsidRPr="00A81196">
        <w:rPr>
          <w:szCs w:val="24"/>
        </w:rPr>
        <w:t xml:space="preserve">apeliaciniu skundu prašo panaikinti pirmosios instancijos teismo nuosprendį ir jos ginamąjį išteisinti, nepadarius </w:t>
      </w:r>
      <w:r w:rsidR="00BD72EE" w:rsidRPr="00A81196">
        <w:rPr>
          <w:szCs w:val="24"/>
        </w:rPr>
        <w:t xml:space="preserve">jam </w:t>
      </w:r>
      <w:r w:rsidRPr="00A81196">
        <w:rPr>
          <w:szCs w:val="24"/>
        </w:rPr>
        <w:t xml:space="preserve">inkriminuojamų nusikaltimų. </w:t>
      </w:r>
    </w:p>
    <w:p w:rsidR="00AF252A" w:rsidRPr="00A81196" w:rsidRDefault="00AF252A" w:rsidP="00321748">
      <w:pPr>
        <w:pStyle w:val="ListParagraph"/>
        <w:numPr>
          <w:ilvl w:val="1"/>
          <w:numId w:val="6"/>
        </w:numPr>
        <w:spacing w:before="120" w:after="120"/>
        <w:ind w:left="992" w:hanging="992"/>
        <w:contextualSpacing w:val="0"/>
        <w:rPr>
          <w:rStyle w:val="CharStyle151"/>
          <w:rFonts w:eastAsiaTheme="majorEastAsia"/>
          <w:sz w:val="24"/>
          <w:szCs w:val="24"/>
        </w:rPr>
      </w:pPr>
      <w:r w:rsidRPr="00A81196">
        <w:rPr>
          <w:szCs w:val="24"/>
        </w:rPr>
        <w:t xml:space="preserve">Gynėja nurodo, kad </w:t>
      </w:r>
      <w:r w:rsidR="00DC0414" w:rsidRPr="00A81196">
        <w:rPr>
          <w:szCs w:val="24"/>
        </w:rPr>
        <w:t>M. C.</w:t>
      </w:r>
      <w:r w:rsidRPr="00A81196">
        <w:rPr>
          <w:szCs w:val="24"/>
        </w:rPr>
        <w:t xml:space="preserve"> buvo tik vieno iš TSRS kariuomenės dalinių kariškis, tačiau visiems nuteistiesiems, neatsižvelgiant į karinį laipsnį ir</w:t>
      </w:r>
      <w:r w:rsidR="00396E84" w:rsidRPr="00A81196">
        <w:rPr>
          <w:szCs w:val="24"/>
        </w:rPr>
        <w:t xml:space="preserve"> einamas</w:t>
      </w:r>
      <w:r w:rsidRPr="00A81196">
        <w:rPr>
          <w:szCs w:val="24"/>
        </w:rPr>
        <w:t xml:space="preserve"> pareigas, kaltinimai buvo pareikšti vienodi ir </w:t>
      </w:r>
      <w:r w:rsidRPr="00A81196">
        <w:rPr>
          <w:rStyle w:val="CharStyle151"/>
          <w:rFonts w:eastAsiaTheme="majorEastAsia"/>
          <w:color w:val="000000"/>
          <w:sz w:val="24"/>
          <w:szCs w:val="24"/>
          <w:lang w:eastAsia="lt-LT"/>
        </w:rPr>
        <w:t xml:space="preserve">neindividualizuoti. Vien dėl to byloje buvo surašytas BPK 219 straipsnio reikalavimų neatitinkantis kaltinamasis aktas. </w:t>
      </w:r>
    </w:p>
    <w:p w:rsidR="00AF252A" w:rsidRPr="00C00255" w:rsidRDefault="00AF252A" w:rsidP="00321748">
      <w:pPr>
        <w:pStyle w:val="ListParagraph"/>
        <w:numPr>
          <w:ilvl w:val="1"/>
          <w:numId w:val="6"/>
        </w:numPr>
        <w:spacing w:before="120" w:after="120"/>
        <w:ind w:left="992" w:hanging="992"/>
        <w:contextualSpacing w:val="0"/>
        <w:rPr>
          <w:rStyle w:val="CharStyle151"/>
          <w:rFonts w:eastAsiaTheme="majorEastAsia"/>
          <w:sz w:val="24"/>
          <w:szCs w:val="24"/>
        </w:rPr>
      </w:pPr>
      <w:r w:rsidRPr="00A81196">
        <w:t xml:space="preserve">Nuteistasis </w:t>
      </w:r>
      <w:r w:rsidR="00DC0414" w:rsidRPr="00A81196">
        <w:rPr>
          <w:rStyle w:val="CharStyle151"/>
          <w:rFonts w:eastAsiaTheme="majorEastAsia"/>
          <w:sz w:val="24"/>
          <w:szCs w:val="24"/>
        </w:rPr>
        <w:t>M. C.</w:t>
      </w:r>
      <w:r w:rsidRPr="00A81196">
        <w:rPr>
          <w:rStyle w:val="CharStyle151"/>
          <w:rFonts w:eastAsiaTheme="majorEastAsia"/>
          <w:sz w:val="24"/>
          <w:szCs w:val="24"/>
        </w:rPr>
        <w:t xml:space="preserve"> buvo vyriausiasis leitenantas ir kaip kariškis privalėjo vykdyti jam duodamus įsakymus bei užduotis. </w:t>
      </w:r>
      <w:r w:rsidRPr="00A81196">
        <w:rPr>
          <w:szCs w:val="24"/>
        </w:rPr>
        <w:t>Nevykdydamas aukštesniųjų pagal laipsnį vadų nurodymų, būtų susilaukęs s</w:t>
      </w:r>
      <w:r w:rsidR="0049485C" w:rsidRPr="00A81196">
        <w:rPr>
          <w:szCs w:val="24"/>
        </w:rPr>
        <w:t>ankcijų ir būtų teisiamas kar</w:t>
      </w:r>
      <w:r w:rsidRPr="00A81196">
        <w:rPr>
          <w:szCs w:val="24"/>
        </w:rPr>
        <w:t xml:space="preserve">o tribunolo. Be to, jis neturėjo pagrindo manyti, kad galbūt vykdo neteisėtus įsakymus. Nagrinėjamų įvykių metu </w:t>
      </w:r>
      <w:r w:rsidR="0049485C" w:rsidRPr="00A81196">
        <w:rPr>
          <w:rStyle w:val="CharStyle151"/>
          <w:rFonts w:eastAsiaTheme="majorEastAsia"/>
          <w:color w:val="000000"/>
          <w:sz w:val="24"/>
          <w:szCs w:val="24"/>
          <w:lang w:eastAsia="lt-LT"/>
        </w:rPr>
        <w:t>Vilniuje dislokuota TSRS </w:t>
      </w:r>
      <w:r w:rsidRPr="00A81196">
        <w:rPr>
          <w:rStyle w:val="CharStyle151"/>
          <w:rFonts w:eastAsiaTheme="majorEastAsia"/>
          <w:color w:val="000000"/>
          <w:sz w:val="24"/>
          <w:szCs w:val="24"/>
          <w:lang w:eastAsia="lt-LT"/>
        </w:rPr>
        <w:t xml:space="preserve">VRM kariuomenės 42-oji divizija buvo pavaldi generolui-majorui </w:t>
      </w:r>
      <w:r w:rsidR="006036E7" w:rsidRPr="00A81196">
        <w:rPr>
          <w:rStyle w:val="CharStyle151"/>
          <w:rFonts w:eastAsiaTheme="majorEastAsia"/>
          <w:color w:val="000000"/>
          <w:sz w:val="24"/>
          <w:szCs w:val="24"/>
          <w:lang w:eastAsia="lt-LT"/>
        </w:rPr>
        <w:t>A. Ž.</w:t>
      </w:r>
      <w:r w:rsidRPr="00A81196">
        <w:rPr>
          <w:rStyle w:val="CharStyle151"/>
          <w:rFonts w:eastAsiaTheme="majorEastAsia"/>
          <w:color w:val="000000"/>
          <w:sz w:val="24"/>
          <w:szCs w:val="24"/>
          <w:lang w:eastAsia="lt-LT"/>
        </w:rPr>
        <w:t xml:space="preserve"> ir TSRS </w:t>
      </w:r>
      <w:r w:rsidRPr="00A81196">
        <w:rPr>
          <w:rStyle w:val="CharStyle151"/>
          <w:rFonts w:eastAsiaTheme="majorEastAsia"/>
          <w:color w:val="000000"/>
          <w:sz w:val="24"/>
          <w:szCs w:val="24"/>
          <w:lang w:eastAsia="lt-LT"/>
        </w:rPr>
        <w:lastRenderedPageBreak/>
        <w:t xml:space="preserve">vidaus reikalų ministrui </w:t>
      </w:r>
      <w:r w:rsidR="00C507EF" w:rsidRPr="00A81196">
        <w:rPr>
          <w:rStyle w:val="CharStyle151"/>
          <w:rFonts w:eastAsiaTheme="majorEastAsia"/>
          <w:color w:val="000000"/>
          <w:sz w:val="24"/>
          <w:szCs w:val="24"/>
          <w:lang w:eastAsia="lt-LT"/>
        </w:rPr>
        <w:t>B. P.</w:t>
      </w:r>
      <w:r w:rsidRPr="00A81196">
        <w:rPr>
          <w:rStyle w:val="CharStyle151"/>
          <w:rFonts w:eastAsiaTheme="majorEastAsia"/>
          <w:color w:val="000000"/>
          <w:sz w:val="24"/>
          <w:szCs w:val="24"/>
          <w:lang w:eastAsia="lt-LT"/>
        </w:rPr>
        <w:t>.</w:t>
      </w:r>
      <w:r w:rsidRPr="00A81196">
        <w:rPr>
          <w:rStyle w:val="CharStyle151"/>
          <w:rFonts w:eastAsiaTheme="majorEastAsia"/>
          <w:color w:val="000000"/>
          <w:lang w:eastAsia="lt-LT"/>
        </w:rPr>
        <w:t xml:space="preserve"> </w:t>
      </w:r>
      <w:r w:rsidRPr="00A81196">
        <w:rPr>
          <w:rStyle w:val="CharStyle151"/>
          <w:rFonts w:eastAsiaTheme="majorEastAsia"/>
          <w:color w:val="000000"/>
          <w:sz w:val="24"/>
          <w:szCs w:val="24"/>
          <w:lang w:eastAsia="lt-LT"/>
        </w:rPr>
        <w:t>Be to,</w:t>
      </w:r>
      <w:r w:rsidRPr="00A81196">
        <w:rPr>
          <w:rStyle w:val="CharStyle151"/>
          <w:rFonts w:eastAsiaTheme="majorEastAsia"/>
          <w:color w:val="000000"/>
          <w:lang w:eastAsia="lt-LT"/>
        </w:rPr>
        <w:t xml:space="preserve"> </w:t>
      </w:r>
      <w:r w:rsidRPr="00A81196">
        <w:rPr>
          <w:rStyle w:val="CharStyle151"/>
          <w:rFonts w:eastAsiaTheme="majorEastAsia"/>
          <w:color w:val="000000"/>
          <w:sz w:val="24"/>
          <w:szCs w:val="24"/>
          <w:lang w:eastAsia="lt-LT"/>
        </w:rPr>
        <w:t xml:space="preserve">42-oji divizija taip pat buvo pavaldi Lietuvos VRM. Faktas, kad nebuvo </w:t>
      </w:r>
      <w:r w:rsidR="00BD72EE" w:rsidRPr="00A81196">
        <w:rPr>
          <w:rStyle w:val="CharStyle151"/>
          <w:rFonts w:eastAsiaTheme="majorEastAsia"/>
          <w:color w:val="000000"/>
          <w:sz w:val="24"/>
          <w:szCs w:val="24"/>
          <w:lang w:eastAsia="lt-LT"/>
        </w:rPr>
        <w:t xml:space="preserve">šalių </w:t>
      </w:r>
      <w:r w:rsidRPr="00A81196">
        <w:rPr>
          <w:rStyle w:val="CharStyle151"/>
          <w:rFonts w:eastAsiaTheme="majorEastAsia"/>
          <w:color w:val="000000"/>
          <w:sz w:val="24"/>
          <w:szCs w:val="24"/>
          <w:lang w:eastAsia="lt-LT"/>
        </w:rPr>
        <w:t>susitarimo dėl TSRS kariuomenės išvedimo iš Lietuvos Respublikos terminų ir sąlygų</w:t>
      </w:r>
      <w:r w:rsidR="00396E84" w:rsidRPr="00A81196">
        <w:rPr>
          <w:rStyle w:val="CharStyle151"/>
          <w:rFonts w:eastAsiaTheme="majorEastAsia"/>
          <w:color w:val="000000"/>
          <w:sz w:val="24"/>
          <w:szCs w:val="24"/>
          <w:lang w:eastAsia="lt-LT"/>
        </w:rPr>
        <w:t>,</w:t>
      </w:r>
      <w:r w:rsidRPr="00A81196">
        <w:rPr>
          <w:rStyle w:val="CharStyle151"/>
          <w:rFonts w:eastAsiaTheme="majorEastAsia"/>
          <w:color w:val="000000"/>
          <w:sz w:val="24"/>
          <w:szCs w:val="24"/>
          <w:lang w:eastAsia="lt-LT"/>
        </w:rPr>
        <w:t xml:space="preserve"> ir jau minėtas dvigubas pavaldumas rodo, jog TSRS VRM kariuomenė įvykių metu teisėtai ir pagrįstai vykdė savo funkcijas Lietuvoje</w:t>
      </w:r>
      <w:r w:rsidRPr="00C00255">
        <w:rPr>
          <w:rStyle w:val="CharStyle151"/>
          <w:rFonts w:eastAsiaTheme="majorEastAsia"/>
          <w:color w:val="000000"/>
          <w:sz w:val="24"/>
          <w:szCs w:val="24"/>
          <w:lang w:eastAsia="lt-LT"/>
        </w:rPr>
        <w:t>.</w:t>
      </w:r>
    </w:p>
    <w:p w:rsidR="00AF252A" w:rsidRPr="00C00255" w:rsidRDefault="00AF252A" w:rsidP="00321748">
      <w:pPr>
        <w:pStyle w:val="ListParagraph"/>
        <w:numPr>
          <w:ilvl w:val="1"/>
          <w:numId w:val="6"/>
        </w:numPr>
        <w:spacing w:before="120" w:after="120"/>
        <w:ind w:left="992" w:hanging="992"/>
        <w:contextualSpacing w:val="0"/>
        <w:rPr>
          <w:rStyle w:val="CharStyle151"/>
          <w:rFonts w:eastAsiaTheme="majorEastAsia"/>
          <w:sz w:val="24"/>
          <w:szCs w:val="24"/>
        </w:rPr>
      </w:pPr>
      <w:r w:rsidRPr="00A81196">
        <w:t xml:space="preserve">Apeliantė nesutinka su pirmosios instancijos teismo išvada, </w:t>
      </w:r>
      <w:r w:rsidRPr="00A81196">
        <w:rPr>
          <w:szCs w:val="24"/>
        </w:rPr>
        <w:t xml:space="preserve">jog </w:t>
      </w:r>
      <w:r w:rsidR="00DC0414" w:rsidRPr="00A81196">
        <w:rPr>
          <w:szCs w:val="24"/>
        </w:rPr>
        <w:t>M. C.</w:t>
      </w:r>
      <w:r w:rsidRPr="00A81196">
        <w:rPr>
          <w:rStyle w:val="CharStyle151"/>
          <w:rFonts w:eastAsiaTheme="majorEastAsia"/>
          <w:color w:val="000000"/>
          <w:sz w:val="24"/>
          <w:szCs w:val="24"/>
          <w:lang w:eastAsia="lt-LT"/>
        </w:rPr>
        <w:t xml:space="preserve"> vadovavo mokomosios specialios</w:t>
      </w:r>
      <w:r w:rsidR="00560E9C" w:rsidRPr="00A81196">
        <w:rPr>
          <w:rStyle w:val="CharStyle151"/>
          <w:rFonts w:eastAsiaTheme="majorEastAsia"/>
          <w:color w:val="000000"/>
          <w:sz w:val="24"/>
          <w:szCs w:val="24"/>
          <w:lang w:eastAsia="lt-LT"/>
        </w:rPr>
        <w:t>ios</w:t>
      </w:r>
      <w:r w:rsidRPr="00A81196">
        <w:rPr>
          <w:rStyle w:val="CharStyle151"/>
          <w:rFonts w:eastAsiaTheme="majorEastAsia"/>
          <w:color w:val="000000"/>
          <w:sz w:val="24"/>
          <w:szCs w:val="24"/>
          <w:lang w:eastAsia="lt-LT"/>
        </w:rPr>
        <w:t xml:space="preserve"> paskirties kuopos kariškiams, paimant iš Lietuvos medžiotojų ir žvejų draugijos šaunamuosius ginklus, dalyvavo LRT pastato šturme, saugojo gatvėje išrikiuotus šarvuočius, šaudė trumpomis automato serijomis, tuo padarydamas jam inkriminuojamus nusikaltimus. Tokia teismo išvada nepagrįsta byloje surinktais įrodymais, todėl pažeidžia nekaltumo prezumpcijos principą</w:t>
      </w:r>
      <w:r w:rsidRPr="00C00255">
        <w:rPr>
          <w:rStyle w:val="CharStyle151"/>
          <w:rFonts w:eastAsiaTheme="majorEastAsia"/>
          <w:color w:val="000000"/>
          <w:sz w:val="24"/>
          <w:szCs w:val="24"/>
          <w:lang w:eastAsia="lt-LT"/>
        </w:rPr>
        <w:t>.</w:t>
      </w:r>
    </w:p>
    <w:p w:rsidR="00AF252A" w:rsidRPr="00C00255" w:rsidRDefault="00AF252A" w:rsidP="00321748">
      <w:pPr>
        <w:pStyle w:val="ListParagraph"/>
        <w:numPr>
          <w:ilvl w:val="1"/>
          <w:numId w:val="6"/>
        </w:numPr>
        <w:spacing w:before="120" w:after="120"/>
        <w:ind w:left="992" w:hanging="992"/>
        <w:contextualSpacing w:val="0"/>
        <w:rPr>
          <w:rStyle w:val="CharStyle151"/>
          <w:rFonts w:eastAsiaTheme="majorEastAsia"/>
          <w:sz w:val="24"/>
          <w:szCs w:val="24"/>
        </w:rPr>
      </w:pPr>
      <w:r w:rsidRPr="00A81196">
        <w:rPr>
          <w:szCs w:val="24"/>
        </w:rPr>
        <w:t xml:space="preserve">Apeliaciniu skundu teigiama, kad </w:t>
      </w:r>
      <w:r w:rsidR="00DC0414" w:rsidRPr="00A81196">
        <w:rPr>
          <w:szCs w:val="24"/>
        </w:rPr>
        <w:t>M. C.</w:t>
      </w:r>
      <w:r w:rsidRPr="00A81196">
        <w:rPr>
          <w:szCs w:val="24"/>
        </w:rPr>
        <w:t xml:space="preserve"> </w:t>
      </w:r>
      <w:r w:rsidR="00396E84" w:rsidRPr="00A81196">
        <w:rPr>
          <w:szCs w:val="24"/>
        </w:rPr>
        <w:t xml:space="preserve">planuojant </w:t>
      </w:r>
      <w:r w:rsidRPr="00A81196">
        <w:rPr>
          <w:szCs w:val="24"/>
        </w:rPr>
        <w:t>karin</w:t>
      </w:r>
      <w:r w:rsidR="00396E84" w:rsidRPr="00A81196">
        <w:rPr>
          <w:szCs w:val="24"/>
        </w:rPr>
        <w:t>ę</w:t>
      </w:r>
      <w:r w:rsidRPr="00A81196">
        <w:rPr>
          <w:szCs w:val="24"/>
        </w:rPr>
        <w:t xml:space="preserve"> operacij</w:t>
      </w:r>
      <w:r w:rsidR="00396E84" w:rsidRPr="00A81196">
        <w:rPr>
          <w:szCs w:val="24"/>
        </w:rPr>
        <w:t>ą</w:t>
      </w:r>
      <w:r w:rsidRPr="00A81196">
        <w:rPr>
          <w:szCs w:val="24"/>
        </w:rPr>
        <w:t xml:space="preserve"> nedalyvavo, nes pagal pareigas nepriklausė operacijų vadovavimo štabui. </w:t>
      </w:r>
      <w:r w:rsidR="00DC0414" w:rsidRPr="00A81196">
        <w:rPr>
          <w:szCs w:val="24"/>
        </w:rPr>
        <w:t>M. C.</w:t>
      </w:r>
      <w:r w:rsidRPr="00A81196">
        <w:rPr>
          <w:szCs w:val="24"/>
        </w:rPr>
        <w:t xml:space="preserve"> negavo jokių nurodymų dėl dalyvavimo kokiose nors grupėse, sistemiškai puldinėti gyventojus.</w:t>
      </w:r>
      <w:r w:rsidRPr="00A81196">
        <w:rPr>
          <w:rStyle w:val="CharStyle151"/>
          <w:rFonts w:eastAsiaTheme="majorEastAsia"/>
          <w:color w:val="000000"/>
          <w:sz w:val="24"/>
          <w:szCs w:val="24"/>
          <w:lang w:eastAsia="lt-LT"/>
        </w:rPr>
        <w:t xml:space="preserve"> Jis taip pat nevykdė jokios karinės atakos, nežudė civilių asmenų ir kitaip su jais nežmoniškai, žiauriai nesielgė, todėl jis nepagrįstai nuteistas už karo nusikaltimus ir nusikaltimus žmoniškumui. Tą patvirtina ir specialisto J. Andriškevičiaus išvada bei šio specialisto paaiškinimai teisme, kad TSRS VRM 42-oji divizija kariniuose veiksmuose nedalyvavo, nes jos funkcija yra viešosios tvarkos palaikymas. Nors TSRS VRM </w:t>
      </w:r>
      <w:r w:rsidRPr="00A81196">
        <w:rPr>
          <w:rStyle w:val="CharStyle151"/>
          <w:rFonts w:eastAsiaTheme="majorEastAsia"/>
          <w:color w:val="000000"/>
          <w:sz w:val="24"/>
          <w:szCs w:val="24"/>
        </w:rPr>
        <w:t>42</w:t>
      </w:r>
      <w:r w:rsidR="00EC1D9A" w:rsidRPr="00A81196">
        <w:rPr>
          <w:rStyle w:val="CharStyle151"/>
          <w:rFonts w:eastAsiaTheme="majorEastAsia"/>
          <w:color w:val="000000"/>
          <w:sz w:val="24"/>
          <w:szCs w:val="24"/>
        </w:rPr>
        <w:t>-osios</w:t>
      </w:r>
      <w:r w:rsidRPr="00A81196">
        <w:rPr>
          <w:rStyle w:val="CharStyle151"/>
          <w:rFonts w:eastAsiaTheme="majorEastAsia"/>
          <w:color w:val="000000"/>
          <w:sz w:val="24"/>
          <w:szCs w:val="24"/>
        </w:rPr>
        <w:t xml:space="preserve"> </w:t>
      </w:r>
      <w:r w:rsidRPr="00A81196">
        <w:rPr>
          <w:rStyle w:val="CharStyle151"/>
          <w:rFonts w:eastAsiaTheme="majorEastAsia"/>
          <w:color w:val="000000"/>
          <w:sz w:val="24"/>
          <w:szCs w:val="24"/>
          <w:lang w:eastAsia="lt-LT"/>
        </w:rPr>
        <w:t xml:space="preserve">divizijos kariai, tarp jų ir </w:t>
      </w:r>
      <w:r w:rsidR="00DC0414" w:rsidRPr="00A81196">
        <w:rPr>
          <w:rStyle w:val="CharStyle151"/>
          <w:rFonts w:eastAsiaTheme="majorEastAsia"/>
          <w:color w:val="000000"/>
          <w:sz w:val="24"/>
          <w:szCs w:val="24"/>
          <w:lang w:eastAsia="lt-LT"/>
        </w:rPr>
        <w:t>M. C.</w:t>
      </w:r>
      <w:r w:rsidR="00726351" w:rsidRPr="00A81196">
        <w:rPr>
          <w:rStyle w:val="CharStyle151"/>
          <w:rFonts w:eastAsiaTheme="majorEastAsia"/>
          <w:color w:val="000000"/>
          <w:sz w:val="24"/>
          <w:szCs w:val="24"/>
          <w:lang w:eastAsia="lt-LT"/>
        </w:rPr>
        <w:t>,</w:t>
      </w:r>
      <w:r w:rsidRPr="00A81196">
        <w:rPr>
          <w:rStyle w:val="CharStyle151"/>
          <w:rFonts w:eastAsiaTheme="majorEastAsia"/>
          <w:color w:val="000000"/>
          <w:sz w:val="24"/>
          <w:szCs w:val="24"/>
          <w:lang w:eastAsia="lt-LT"/>
        </w:rPr>
        <w:t xml:space="preserve"> dalyvavo užimant LRT 4-ių aukštų pastatą, negalima teigti, kad </w:t>
      </w:r>
      <w:r w:rsidR="00DC0414" w:rsidRPr="00A81196">
        <w:rPr>
          <w:rStyle w:val="CharStyle151"/>
          <w:rFonts w:eastAsiaTheme="majorEastAsia"/>
          <w:color w:val="000000"/>
          <w:sz w:val="24"/>
          <w:szCs w:val="24"/>
          <w:lang w:eastAsia="lt-LT"/>
        </w:rPr>
        <w:t>M. C.</w:t>
      </w:r>
      <w:r w:rsidRPr="00A81196">
        <w:rPr>
          <w:rStyle w:val="CharStyle151"/>
          <w:rFonts w:eastAsiaTheme="majorEastAsia"/>
          <w:color w:val="000000"/>
          <w:sz w:val="24"/>
          <w:szCs w:val="24"/>
          <w:lang w:eastAsia="lt-LT"/>
        </w:rPr>
        <w:t xml:space="preserve"> veiksmai, vadovaujant kelių karių būriui, galėtų būti vertinami pagal kaltinamajame akte ir t</w:t>
      </w:r>
      <w:r w:rsidR="00E420BD" w:rsidRPr="00A81196">
        <w:rPr>
          <w:rStyle w:val="CharStyle151"/>
          <w:rFonts w:eastAsiaTheme="majorEastAsia"/>
          <w:color w:val="000000"/>
          <w:sz w:val="24"/>
          <w:szCs w:val="24"/>
          <w:lang w:eastAsia="lt-LT"/>
        </w:rPr>
        <w:t>eismo nuosprendyje nurodytus BK </w:t>
      </w:r>
      <w:r w:rsidRPr="00A81196">
        <w:rPr>
          <w:rStyle w:val="CharStyle151"/>
          <w:rFonts w:eastAsiaTheme="majorEastAsia"/>
          <w:color w:val="000000"/>
          <w:sz w:val="24"/>
          <w:szCs w:val="24"/>
          <w:lang w:eastAsia="lt-LT"/>
        </w:rPr>
        <w:t xml:space="preserve">straipsnius. Byloje nėra įrodyta, kad dėl </w:t>
      </w:r>
      <w:r w:rsidR="00DC0414" w:rsidRPr="00A81196">
        <w:rPr>
          <w:rStyle w:val="CharStyle151"/>
          <w:rFonts w:eastAsiaTheme="majorEastAsia"/>
          <w:color w:val="000000"/>
          <w:sz w:val="24"/>
          <w:szCs w:val="24"/>
          <w:lang w:eastAsia="lt-LT"/>
        </w:rPr>
        <w:t>M. C.</w:t>
      </w:r>
      <w:r w:rsidRPr="00A81196">
        <w:rPr>
          <w:rStyle w:val="CharStyle151"/>
          <w:rFonts w:eastAsiaTheme="majorEastAsia"/>
          <w:color w:val="000000"/>
          <w:sz w:val="24"/>
          <w:szCs w:val="24"/>
          <w:lang w:eastAsia="lt-LT"/>
        </w:rPr>
        <w:t xml:space="preserve"> vadovaujamo karių būrio veiksmų buvo sužaloti ar sužeisti konkretūs civiliai asmenys ir jiems padaryta turtinė ir neturtinė žala. Teismas į tokius specialisto paaiškinimus neatsižvelgė</w:t>
      </w:r>
      <w:r w:rsidRPr="00C00255">
        <w:rPr>
          <w:rStyle w:val="CharStyle151"/>
          <w:rFonts w:eastAsiaTheme="majorEastAsia"/>
          <w:color w:val="000000"/>
          <w:sz w:val="24"/>
          <w:szCs w:val="24"/>
          <w:lang w:eastAsia="lt-LT"/>
        </w:rPr>
        <w:t>.</w:t>
      </w:r>
    </w:p>
    <w:p w:rsidR="00AF252A" w:rsidRPr="00C00255" w:rsidRDefault="00AF252A" w:rsidP="00321748">
      <w:pPr>
        <w:pStyle w:val="ListParagraph"/>
        <w:numPr>
          <w:ilvl w:val="1"/>
          <w:numId w:val="6"/>
        </w:numPr>
        <w:spacing w:before="120" w:after="120"/>
        <w:ind w:left="992" w:hanging="992"/>
        <w:contextualSpacing w:val="0"/>
        <w:rPr>
          <w:rFonts w:eastAsiaTheme="majorEastAsia"/>
          <w:szCs w:val="24"/>
          <w:shd w:val="clear" w:color="auto" w:fill="FFFFFF"/>
        </w:rPr>
      </w:pPr>
      <w:r w:rsidRPr="00A81196">
        <w:rPr>
          <w:rStyle w:val="CharStyle151"/>
          <w:rFonts w:eastAsiaTheme="majorEastAsia"/>
          <w:color w:val="000000"/>
          <w:sz w:val="24"/>
          <w:szCs w:val="24"/>
          <w:lang w:eastAsia="lt-LT"/>
        </w:rPr>
        <w:t xml:space="preserve">Byloje nustatyta, kad </w:t>
      </w:r>
      <w:r w:rsidRPr="00A81196">
        <w:t xml:space="preserve">VRM kariuomenės kariškiai, </w:t>
      </w:r>
      <w:r w:rsidR="00BC1034" w:rsidRPr="00A81196">
        <w:t xml:space="preserve">kitoms kariškių grupėms </w:t>
      </w:r>
      <w:r w:rsidRPr="00A81196">
        <w:t xml:space="preserve">užimant </w:t>
      </w:r>
      <w:r w:rsidR="00BC1034" w:rsidRPr="00A81196">
        <w:t>LRT </w:t>
      </w:r>
      <w:r w:rsidRPr="00A81196">
        <w:t>pastatą, išnaudojo 17 kovinių šovinių, tačiau šie šoviniai buvo iššauti į viršų ir nieko iš civilių asmenų nesužeidė</w:t>
      </w:r>
      <w:r w:rsidRPr="00C00255">
        <w:t xml:space="preserve">. </w:t>
      </w:r>
    </w:p>
    <w:p w:rsidR="00AF252A" w:rsidRPr="00C00255" w:rsidRDefault="00AF252A" w:rsidP="00321748">
      <w:pPr>
        <w:pStyle w:val="ListParagraph"/>
        <w:numPr>
          <w:ilvl w:val="1"/>
          <w:numId w:val="6"/>
        </w:numPr>
        <w:spacing w:before="120" w:after="120"/>
        <w:ind w:left="992" w:hanging="992"/>
        <w:contextualSpacing w:val="0"/>
        <w:rPr>
          <w:rFonts w:eastAsiaTheme="majorEastAsia"/>
          <w:szCs w:val="24"/>
          <w:shd w:val="clear" w:color="auto" w:fill="FFFFFF"/>
        </w:rPr>
      </w:pPr>
      <w:r w:rsidRPr="00A81196">
        <w:rPr>
          <w:szCs w:val="24"/>
        </w:rPr>
        <w:t xml:space="preserve">Nuteistasis </w:t>
      </w:r>
      <w:r w:rsidR="00DC0414" w:rsidRPr="00A81196">
        <w:rPr>
          <w:szCs w:val="24"/>
        </w:rPr>
        <w:t>M. C.</w:t>
      </w:r>
      <w:r w:rsidRPr="00A81196">
        <w:rPr>
          <w:szCs w:val="24"/>
        </w:rPr>
        <w:t xml:space="preserve"> neturėjo ir negalėjo turėti tikslo bei tiesioginės tyčios padaryti jam inkriminuojamus nusikaltimus. Tokiai tyčios formai būdingas jos išankstinis susiformavimas, tačiau įrodymų apie tai byloje nebuvo surinkta. Byloje nėra ir įrodymų apie tai, kad </w:t>
      </w:r>
      <w:r w:rsidR="00DC0414" w:rsidRPr="00A81196">
        <w:rPr>
          <w:szCs w:val="24"/>
        </w:rPr>
        <w:t>M. C.</w:t>
      </w:r>
      <w:r w:rsidRPr="00A81196">
        <w:rPr>
          <w:szCs w:val="24"/>
        </w:rPr>
        <w:t xml:space="preserve"> rėmė </w:t>
      </w:r>
      <w:r w:rsidR="00970DB0" w:rsidRPr="00A81196">
        <w:rPr>
          <w:szCs w:val="24"/>
        </w:rPr>
        <w:t xml:space="preserve">TSRS </w:t>
      </w:r>
      <w:r w:rsidRPr="00A81196">
        <w:rPr>
          <w:szCs w:val="24"/>
        </w:rPr>
        <w:t>ar LKP CK politiką, žudė ar žalojo civilius asmenis, tyčia įsakė, kurstė ar organizavo žudyti tarptautinės humanitarinės teisės saugomus asmenis arba tyčia juos žudė, tiksliai suvokė tą tyčią ir to norėjo</w:t>
      </w:r>
      <w:r w:rsidRPr="00C00255">
        <w:rPr>
          <w:szCs w:val="24"/>
        </w:rPr>
        <w:t xml:space="preserve">. </w:t>
      </w:r>
    </w:p>
    <w:p w:rsidR="00AF252A" w:rsidRPr="00C00255" w:rsidRDefault="00AF252A" w:rsidP="00321748">
      <w:pPr>
        <w:pStyle w:val="ListParagraph"/>
        <w:numPr>
          <w:ilvl w:val="1"/>
          <w:numId w:val="6"/>
        </w:numPr>
        <w:spacing w:before="120" w:after="120"/>
        <w:ind w:left="992" w:hanging="992"/>
        <w:contextualSpacing w:val="0"/>
        <w:rPr>
          <w:rFonts w:eastAsiaTheme="majorEastAsia"/>
          <w:szCs w:val="24"/>
          <w:shd w:val="clear" w:color="auto" w:fill="FFFFFF"/>
        </w:rPr>
      </w:pPr>
      <w:r w:rsidRPr="00A81196">
        <w:rPr>
          <w:szCs w:val="24"/>
        </w:rPr>
        <w:t xml:space="preserve">Gynėjos teigimu, </w:t>
      </w:r>
      <w:r w:rsidR="00DC0414" w:rsidRPr="00A81196">
        <w:rPr>
          <w:szCs w:val="24"/>
        </w:rPr>
        <w:t>M. C.</w:t>
      </w:r>
      <w:r w:rsidRPr="00A81196">
        <w:rPr>
          <w:szCs w:val="24"/>
        </w:rPr>
        <w:t xml:space="preserve"> buvo nepagrįstai nuteistas už Lietuvos medžiotojų ir žvejų draugijos pastato-sandėlio užgrobimą ir ginklų išvežimą. Pasak gynėjos, ginklai, saugomi minėtame sandėlyje, priklausė tiek Lietuvos VRM, tiek TSRS VRM, o dalis sandėlyje buvusių ginklų buvo išvežta dalyvaujant atsakingam Lietuvos VRM atstovui. Tuo metu </w:t>
      </w:r>
      <w:r w:rsidR="00DC0414" w:rsidRPr="00A81196">
        <w:rPr>
          <w:szCs w:val="24"/>
        </w:rPr>
        <w:t>M. C.</w:t>
      </w:r>
      <w:r w:rsidRPr="00A81196">
        <w:rPr>
          <w:szCs w:val="24"/>
        </w:rPr>
        <w:t xml:space="preserve"> nebuvo patrauktas įtariamuoju nei dėl ginklų išvežimo iš Lietuvos medžiotojų ir žvejų draugijos, nei dėl LRT pastato apsaugos funkcijų vykdymo, t.</w:t>
      </w:r>
      <w:r w:rsidR="0036253F" w:rsidRPr="00A81196">
        <w:rPr>
          <w:szCs w:val="24"/>
        </w:rPr>
        <w:t> </w:t>
      </w:r>
      <w:r w:rsidRPr="00A81196">
        <w:rPr>
          <w:szCs w:val="24"/>
        </w:rPr>
        <w:t xml:space="preserve">y. buvo pripažinta, kad jo veiksmuose nėra nusikaltimo sudėties. Vilniaus apygardos teismas dėl Lietuvos medžiotojų ir žvejų draugijos pastato užgrobimo ir ginklų išvežimo bei šios tariamai </w:t>
      </w:r>
      <w:r w:rsidR="00DC0414" w:rsidRPr="00A81196">
        <w:rPr>
          <w:szCs w:val="24"/>
        </w:rPr>
        <w:t>M. C.</w:t>
      </w:r>
      <w:r w:rsidRPr="00A81196">
        <w:rPr>
          <w:szCs w:val="24"/>
        </w:rPr>
        <w:t xml:space="preserve"> padarytos veikos aplinkybių tinkamai nesiaiškino, liudytojų neapklausė ir įrodymų neištyrė</w:t>
      </w:r>
      <w:r w:rsidRPr="00C00255">
        <w:rPr>
          <w:szCs w:val="24"/>
        </w:rPr>
        <w:t>.</w:t>
      </w:r>
    </w:p>
    <w:p w:rsidR="00AF252A" w:rsidRPr="00A81196" w:rsidRDefault="00AF252A" w:rsidP="00321748">
      <w:pPr>
        <w:pStyle w:val="ListParagraph"/>
        <w:numPr>
          <w:ilvl w:val="0"/>
          <w:numId w:val="6"/>
        </w:numPr>
        <w:spacing w:before="120" w:after="120"/>
        <w:ind w:left="992" w:hanging="992"/>
        <w:contextualSpacing w:val="0"/>
        <w:rPr>
          <w:bCs/>
        </w:rPr>
      </w:pPr>
      <w:bookmarkStart w:id="189" w:name="_Toc37947889"/>
      <w:bookmarkStart w:id="190" w:name="_Toc67677368"/>
      <w:bookmarkStart w:id="191" w:name="_Toc67985495"/>
      <w:r w:rsidRPr="005052C0">
        <w:rPr>
          <w:b/>
        </w:rPr>
        <w:t xml:space="preserve">Nuteistojo </w:t>
      </w:r>
      <w:r w:rsidR="00DC0414" w:rsidRPr="005052C0">
        <w:rPr>
          <w:b/>
        </w:rPr>
        <w:t>J. S.</w:t>
      </w:r>
      <w:r w:rsidRPr="005052C0">
        <w:rPr>
          <w:b/>
        </w:rPr>
        <w:t xml:space="preserve"> gynėjas</w:t>
      </w:r>
      <w:bookmarkEnd w:id="189"/>
      <w:bookmarkEnd w:id="190"/>
      <w:bookmarkEnd w:id="191"/>
      <w:r w:rsidRPr="005052C0">
        <w:rPr>
          <w:b/>
        </w:rPr>
        <w:t xml:space="preserve"> advokatas J. Bogdanovas</w:t>
      </w:r>
      <w:r w:rsidRPr="00C00255">
        <w:t xml:space="preserve"> </w:t>
      </w:r>
      <w:r w:rsidRPr="00A81196">
        <w:t xml:space="preserve">apeliaciniu skundu prašo panaikinti pirmosios instancijos teismo nuosprendį ir jo ginamąjį išteisinti, nepadarius jam nusikalstamų veikų. </w:t>
      </w:r>
      <w:r w:rsidRPr="00A81196">
        <w:rPr>
          <w:bCs/>
        </w:rPr>
        <w:t xml:space="preserve">Atmetus šį prašymą, </w:t>
      </w:r>
      <w:r w:rsidR="009C3600" w:rsidRPr="00A81196">
        <w:rPr>
          <w:bCs/>
        </w:rPr>
        <w:t xml:space="preserve">prašo </w:t>
      </w:r>
      <w:r w:rsidR="00DC0414" w:rsidRPr="00A81196">
        <w:rPr>
          <w:bCs/>
        </w:rPr>
        <w:t>J. S.</w:t>
      </w:r>
      <w:r w:rsidRPr="00A81196">
        <w:rPr>
          <w:bCs/>
        </w:rPr>
        <w:t xml:space="preserve"> nusikalstamus veik</w:t>
      </w:r>
      <w:r w:rsidR="009C3600" w:rsidRPr="00A81196">
        <w:rPr>
          <w:bCs/>
        </w:rPr>
        <w:t>smus</w:t>
      </w:r>
      <w:r w:rsidRPr="00A81196">
        <w:rPr>
          <w:bCs/>
        </w:rPr>
        <w:t xml:space="preserve"> kvalifikuoti pagal nusikalstamos veikos padarymo metu galiojusio 1961 m. BK 49 straipsnio 3 dalį už nusikaltimus žmogaus gyvybei ir sveikatai bei procesą nutraukti, suėjus apkaltinamojo </w:t>
      </w:r>
      <w:r w:rsidRPr="00A81196">
        <w:rPr>
          <w:bCs/>
        </w:rPr>
        <w:lastRenderedPageBreak/>
        <w:t xml:space="preserve">nuosprendžio senaties terminui (15 metų). </w:t>
      </w:r>
      <w:r w:rsidR="00B415C4" w:rsidRPr="00A81196">
        <w:rPr>
          <w:bCs/>
        </w:rPr>
        <w:t>Nuosprendžio dalį</w:t>
      </w:r>
      <w:r w:rsidR="00726351" w:rsidRPr="00A81196">
        <w:rPr>
          <w:bCs/>
        </w:rPr>
        <w:t xml:space="preserve"> dėl nukentėjusiesiems </w:t>
      </w:r>
      <w:r w:rsidR="00C507EF" w:rsidRPr="00A81196">
        <w:rPr>
          <w:bCs/>
        </w:rPr>
        <w:t>V. L.</w:t>
      </w:r>
      <w:r w:rsidRPr="00A81196">
        <w:rPr>
          <w:bCs/>
        </w:rPr>
        <w:t xml:space="preserve"> ir </w:t>
      </w:r>
      <w:r w:rsidR="0093200A" w:rsidRPr="00A81196">
        <w:rPr>
          <w:bCs/>
        </w:rPr>
        <w:t>R. P.</w:t>
      </w:r>
      <w:r w:rsidRPr="00A81196">
        <w:rPr>
          <w:bCs/>
        </w:rPr>
        <w:t xml:space="preserve"> priteisto neturtinės žalos atlyginimo</w:t>
      </w:r>
      <w:r w:rsidR="00726351" w:rsidRPr="00A81196">
        <w:rPr>
          <w:bCs/>
        </w:rPr>
        <w:t xml:space="preserve"> ir dėl</w:t>
      </w:r>
      <w:r w:rsidRPr="00A81196">
        <w:rPr>
          <w:bCs/>
        </w:rPr>
        <w:t xml:space="preserve"> prokuratūro</w:t>
      </w:r>
      <w:r w:rsidR="00726351" w:rsidRPr="00A81196">
        <w:rPr>
          <w:bCs/>
        </w:rPr>
        <w:t>s ieškinio palikimo nenagrinėt</w:t>
      </w:r>
      <w:r w:rsidR="00560E9C" w:rsidRPr="00A81196">
        <w:rPr>
          <w:bCs/>
        </w:rPr>
        <w:t>o</w:t>
      </w:r>
      <w:r w:rsidR="00726351" w:rsidRPr="00A81196">
        <w:rPr>
          <w:bCs/>
        </w:rPr>
        <w:t xml:space="preserve"> palikti galioti nepakeistą.</w:t>
      </w:r>
    </w:p>
    <w:p w:rsidR="00AF252A" w:rsidRPr="00C00255" w:rsidRDefault="00AF252A" w:rsidP="00321748">
      <w:pPr>
        <w:pStyle w:val="ListParagraph"/>
        <w:numPr>
          <w:ilvl w:val="1"/>
          <w:numId w:val="6"/>
        </w:numPr>
        <w:spacing w:before="120" w:after="120"/>
        <w:ind w:left="992" w:hanging="992"/>
        <w:contextualSpacing w:val="0"/>
      </w:pPr>
      <w:r w:rsidRPr="00A81196">
        <w:rPr>
          <w:bCs/>
        </w:rPr>
        <w:t xml:space="preserve">Gynėjui nėra žinoma </w:t>
      </w:r>
      <w:r w:rsidR="00DC0414" w:rsidRPr="00A81196">
        <w:t>J. S.</w:t>
      </w:r>
      <w:r w:rsidRPr="00A81196">
        <w:t xml:space="preserve"> pozicija dėl priimto apkaltinamojo nuosprendžio. Byloje nėra duomenų, kad </w:t>
      </w:r>
      <w:r w:rsidR="00DC0414" w:rsidRPr="00A81196">
        <w:t>J. S.</w:t>
      </w:r>
      <w:r w:rsidRPr="00A81196">
        <w:t xml:space="preserve"> buvo pranešta apie pareikštus kaltinimus, baudžiamosios bylos nagrinėjimą ir apkaltinamojo nuosprendžio priėmimą. Taigi </w:t>
      </w:r>
      <w:r w:rsidR="00DC0414" w:rsidRPr="00A81196">
        <w:t>J. S.</w:t>
      </w:r>
      <w:r w:rsidRPr="00A81196">
        <w:t xml:space="preserve"> buvo nute</w:t>
      </w:r>
      <w:r w:rsidR="00E420BD" w:rsidRPr="00A81196">
        <w:t>istas už akių, nors iki 1991 m. </w:t>
      </w:r>
      <w:r w:rsidRPr="00A81196">
        <w:t xml:space="preserve">sausio įvykių ir po to dar kurį laiką gyveno Lietuvoje, vėliau persikėlė gyventi į </w:t>
      </w:r>
      <w:r w:rsidR="00E420BD" w:rsidRPr="00A81196">
        <w:t>(duomenys neskelbtini)</w:t>
      </w:r>
      <w:r w:rsidRPr="00A81196">
        <w:t xml:space="preserve">. Iki </w:t>
      </w:r>
      <w:r w:rsidR="00E420BD" w:rsidRPr="00A81196">
        <w:t>(duomenys neskelbtini)</w:t>
      </w:r>
      <w:r w:rsidRPr="00A81196">
        <w:t xml:space="preserve"> jis dažnai lankydavosi Lietuvoje, todėl teisėsaugos pareigūnai norėdami galėjo su juo susisiekti ir apklausti, pranešti apie atliekamą ikiteisminį tyrimą. Vertindamas ikiteisminio tyrimo metu padarytus pažeidimus, gynėjas nurodo ir tai, kad byloje pateiktas kaltinamasis aktas neatitinka BPK 219 straipsnyje nustatytų reikalavimų, todėl byla negalėjo būti nagrinėjama teisme</w:t>
      </w:r>
      <w:r w:rsidRPr="00C00255">
        <w:t>.</w:t>
      </w:r>
    </w:p>
    <w:p w:rsidR="00AF252A" w:rsidRPr="00C00255" w:rsidRDefault="00AF252A" w:rsidP="00321748">
      <w:pPr>
        <w:pStyle w:val="ListParagraph"/>
        <w:numPr>
          <w:ilvl w:val="1"/>
          <w:numId w:val="6"/>
        </w:numPr>
        <w:spacing w:before="120" w:after="120"/>
        <w:ind w:left="992" w:hanging="992"/>
        <w:contextualSpacing w:val="0"/>
      </w:pPr>
      <w:r w:rsidRPr="00A81196">
        <w:t xml:space="preserve">Pasak gynėjo, </w:t>
      </w:r>
      <w:r w:rsidR="00DC0414" w:rsidRPr="00A81196">
        <w:t>J. S.</w:t>
      </w:r>
      <w:r w:rsidRPr="00A81196">
        <w:t xml:space="preserve"> nepadarė jam inkriminuojamų nusikalstamų veikų. </w:t>
      </w:r>
      <w:r w:rsidR="00DC0414" w:rsidRPr="00A81196">
        <w:t>J. S.</w:t>
      </w:r>
      <w:r w:rsidRPr="00A81196">
        <w:t xml:space="preserve"> kuopa dalyvavo tik </w:t>
      </w:r>
      <w:r w:rsidR="00560E9C" w:rsidRPr="00A81196">
        <w:t xml:space="preserve">užimant </w:t>
      </w:r>
      <w:r w:rsidRPr="00A81196">
        <w:t>LRT pastat</w:t>
      </w:r>
      <w:r w:rsidR="00560E9C" w:rsidRPr="00A81196">
        <w:t>ą</w:t>
      </w:r>
      <w:r w:rsidRPr="00A81196">
        <w:t xml:space="preserve">. Jokiose kitose operacijose ar kituose jam inkriminuotų nusikalstamų veikų epizoduose </w:t>
      </w:r>
      <w:r w:rsidR="00DC0414" w:rsidRPr="00A81196">
        <w:t>J. S.</w:t>
      </w:r>
      <w:r w:rsidRPr="00A81196">
        <w:t xml:space="preserve"> nedalyvavo ir apie jas nieko nežinojo, todėl jis negali atsakyti už kitų kariškių padarytus nusikaltimus, taip pat ir civilių sužalojimą ir žudymą. Byloje nėra jokių </w:t>
      </w:r>
      <w:r w:rsidR="00DC0414" w:rsidRPr="00A81196">
        <w:t>J. S.</w:t>
      </w:r>
      <w:r w:rsidRPr="00A81196">
        <w:t xml:space="preserve"> dalyvavimą kitose operacijose patvirtinančių įrodymų. Byloje esantys duomenys tik patvirtina, kad </w:t>
      </w:r>
      <w:r w:rsidR="00DC0414" w:rsidRPr="00A81196">
        <w:t>J. S.</w:t>
      </w:r>
      <w:r w:rsidRPr="00A81196">
        <w:t xml:space="preserve"> ir kiti specialiosios paskirties kuopos kariškiai gavo kuopos vado </w:t>
      </w:r>
      <w:r w:rsidR="00DC0414" w:rsidRPr="00A81196">
        <w:t>O. M.</w:t>
      </w:r>
      <w:r w:rsidRPr="00A81196">
        <w:t xml:space="preserve"> įsakymą – nustumti civilius nuo LRT pastato tik </w:t>
      </w:r>
      <w:r w:rsidR="00560E9C" w:rsidRPr="00A81196">
        <w:t xml:space="preserve">tada, </w:t>
      </w:r>
      <w:r w:rsidRPr="00A81196">
        <w:t>kai atvyko į įvykio vietą. Karo atakoms vadovavo ir</w:t>
      </w:r>
      <w:r w:rsidR="00726351" w:rsidRPr="00A81196">
        <w:t xml:space="preserve"> karo atakoje dalyvavusių kari</w:t>
      </w:r>
      <w:r w:rsidRPr="00A81196">
        <w:t xml:space="preserve">nių padalinių veiksmus </w:t>
      </w:r>
      <w:r w:rsidR="00560E9C" w:rsidRPr="00A81196">
        <w:t xml:space="preserve">užgrobiant </w:t>
      </w:r>
      <w:r w:rsidRPr="00A81196">
        <w:t>LRT pastat</w:t>
      </w:r>
      <w:r w:rsidR="00560E9C" w:rsidRPr="00A81196">
        <w:t>ą</w:t>
      </w:r>
      <w:r w:rsidRPr="00A81196">
        <w:t xml:space="preserve"> koordinavo 76-osios oro desanto divizijos 234-ojo pulko žvalgybos viršininkas </w:t>
      </w:r>
      <w:r w:rsidR="006036E7" w:rsidRPr="00A81196">
        <w:t>S. P.</w:t>
      </w:r>
      <w:r w:rsidRPr="00A81196">
        <w:t xml:space="preserve">, kuris savo veiksmus tiesiogiai derino su 76-osios oro desanto divizijos pavaduotoju </w:t>
      </w:r>
      <w:r w:rsidR="00385BC9" w:rsidRPr="00A81196">
        <w:t>V. K. 1</w:t>
      </w:r>
      <w:r w:rsidRPr="00A81196">
        <w:t xml:space="preserve">. Atsakingas už šios operacijos vykdymą buvo 76-osios oro desanto divizijos 234-ojo pulko štabo viršininkas </w:t>
      </w:r>
      <w:r w:rsidR="00385BC9" w:rsidRPr="00A81196">
        <w:t>G. G</w:t>
      </w:r>
      <w:r w:rsidR="00385BC9">
        <w:rPr>
          <w:szCs w:val="24"/>
        </w:rPr>
        <w:t>.</w:t>
      </w:r>
      <w:r w:rsidRPr="00C00255">
        <w:rPr>
          <w:szCs w:val="24"/>
        </w:rPr>
        <w:t xml:space="preserve">. </w:t>
      </w:r>
    </w:p>
    <w:p w:rsidR="00AF252A" w:rsidRPr="00C00255" w:rsidRDefault="00DC0414" w:rsidP="00321748">
      <w:pPr>
        <w:pStyle w:val="ListParagraph"/>
        <w:numPr>
          <w:ilvl w:val="1"/>
          <w:numId w:val="6"/>
        </w:numPr>
        <w:spacing w:before="120" w:after="120"/>
        <w:ind w:left="992" w:hanging="992"/>
        <w:contextualSpacing w:val="0"/>
      </w:pPr>
      <w:r w:rsidRPr="00A81196">
        <w:t>J. S.</w:t>
      </w:r>
      <w:r w:rsidR="00AF252A" w:rsidRPr="00A81196">
        <w:t xml:space="preserve"> inkriminuojamų nusikaltimų padarymo metu galiojusiame 1961 m. BK nebuvo numatyta atsakomybė už karo nusikaltimus ir nusikaltimus žmoniškumui. Tik 1998 m. birželio 9 </w:t>
      </w:r>
      <w:r w:rsidR="009A6120" w:rsidRPr="00A81196">
        <w:t>d. įstatymu galiojantis baudžiamasis įstatymas</w:t>
      </w:r>
      <w:r w:rsidR="00AF252A" w:rsidRPr="00A81196">
        <w:t xml:space="preserve"> buvo papildytas skirsniu „Karo nusikaltimai“, kuri</w:t>
      </w:r>
      <w:r w:rsidR="00A72628" w:rsidRPr="00A81196">
        <w:t>ame</w:t>
      </w:r>
      <w:r w:rsidR="00AF252A" w:rsidRPr="00A81196">
        <w:t xml:space="preserve"> numat</w:t>
      </w:r>
      <w:r w:rsidR="00560E9C" w:rsidRPr="00A81196">
        <w:t>yta</w:t>
      </w:r>
      <w:r w:rsidR="00AF252A" w:rsidRPr="00A81196">
        <w:t xml:space="preserve"> atsakomyb</w:t>
      </w:r>
      <w:r w:rsidR="00560E9C" w:rsidRPr="00A81196">
        <w:t>ė</w:t>
      </w:r>
      <w:r w:rsidR="00AF252A" w:rsidRPr="00A81196">
        <w:t xml:space="preserve"> už karo nusikaltimus ir kitus tarptautinės humanitarinės teisės normų pažeidimus. Nustatyta, kad šiems nusikaltimams netaikytini senaties terminai (BK 49 straipsnio 5 dalis). Įstatymų leidėjas, priimdamas įstatymą dėl BK papildymo ir pakeitimo, nustatė šių nuostatų galiojimą atgal. Gynėjas su tokia įstatymo leidėjo pozicija nesutinka, nes tarptautinės teisės aktai</w:t>
      </w:r>
      <w:r w:rsidR="00455EF2" w:rsidRPr="00A81196">
        <w:t>s</w:t>
      </w:r>
      <w:r w:rsidR="00AF252A" w:rsidRPr="00A81196">
        <w:t xml:space="preserve">, kaip </w:t>
      </w:r>
      <w:r w:rsidR="00683913" w:rsidRPr="00A81196">
        <w:t xml:space="preserve">antai </w:t>
      </w:r>
      <w:r w:rsidR="00AF252A" w:rsidRPr="00A81196">
        <w:t>Romos statut</w:t>
      </w:r>
      <w:r w:rsidR="00455EF2" w:rsidRPr="00A81196">
        <w:t>u</w:t>
      </w:r>
      <w:r w:rsidR="00AF252A" w:rsidRPr="00A81196">
        <w:t xml:space="preserve">, </w:t>
      </w:r>
      <w:r w:rsidR="00491A27" w:rsidRPr="00A81196">
        <w:t>EŽTK</w:t>
      </w:r>
      <w:r w:rsidR="00AF252A" w:rsidRPr="00A81196">
        <w:t xml:space="preserve">, </w:t>
      </w:r>
      <w:r w:rsidR="009A6120" w:rsidRPr="00A81196">
        <w:t>1948 m. gruodžio </w:t>
      </w:r>
      <w:r w:rsidR="00E420BD" w:rsidRPr="00A81196">
        <w:t>10 </w:t>
      </w:r>
      <w:r w:rsidR="0042306C" w:rsidRPr="00A81196">
        <w:t xml:space="preserve">d. </w:t>
      </w:r>
      <w:r w:rsidR="00AF252A" w:rsidRPr="00A81196">
        <w:t>Visuotin</w:t>
      </w:r>
      <w:r w:rsidR="00683913" w:rsidRPr="00A81196">
        <w:t>e</w:t>
      </w:r>
      <w:r w:rsidR="00AF252A" w:rsidRPr="00A81196">
        <w:t xml:space="preserve"> žmogaus teisių deklaracija ir kt., kurie yra sudedamoji Lietuvos teisės sistemos dalis, nustat</w:t>
      </w:r>
      <w:r w:rsidR="00455EF2" w:rsidRPr="00A81196">
        <w:t>ytas</w:t>
      </w:r>
      <w:r w:rsidR="00AF252A" w:rsidRPr="00A81196">
        <w:t xml:space="preserve"> draudim</w:t>
      </w:r>
      <w:r w:rsidR="00455EF2" w:rsidRPr="00A81196">
        <w:t>as</w:t>
      </w:r>
      <w:r w:rsidR="00AF252A" w:rsidRPr="00A81196">
        <w:t xml:space="preserve"> bausti asmenį už nusikaltimus,</w:t>
      </w:r>
      <w:r w:rsidR="00AF252A" w:rsidRPr="00A81196">
        <w:rPr>
          <w:rStyle w:val="CharStyle10"/>
          <w:i w:val="0"/>
          <w:color w:val="000000"/>
          <w:szCs w:val="24"/>
          <w:lang w:eastAsia="lt-LT"/>
        </w:rPr>
        <w:t xml:space="preserve"> </w:t>
      </w:r>
      <w:r w:rsidR="00AF252A" w:rsidRPr="00A81196">
        <w:t xml:space="preserve">už kuriuos nebuvo numatyta baudžiamoji atsakomybė jų padarymo metu. Taigi šioje byloje padarytas </w:t>
      </w:r>
      <w:r w:rsidR="00AF252A" w:rsidRPr="00A81196">
        <w:rPr>
          <w:i/>
        </w:rPr>
        <w:t>nullum crimen sine lege</w:t>
      </w:r>
      <w:r w:rsidR="00AF252A" w:rsidRPr="00A81196">
        <w:t xml:space="preserve"> principo pažeidimas, nes atsakomybė už jam inkriminuotus nusikaltimus nustatyta daug vėliau po nusikalstamų veikų padarymo. Be to, pagal tarptautinius teisės aktus ir Konstituciją atsakomybę griežtinantis įstatymas taip pat neturi grįžtamosios galios. Dėl to BK 3 straipsnyje nustatytas reg</w:t>
      </w:r>
      <w:r w:rsidR="00455EF2" w:rsidRPr="00A81196">
        <w:t>lamentavimas</w:t>
      </w:r>
      <w:r w:rsidR="00AF252A" w:rsidRPr="00A81196">
        <w:t xml:space="preserve"> prieštarauja Konstitucijos</w:t>
      </w:r>
      <w:r w:rsidR="00D56C29" w:rsidRPr="00A81196">
        <w:t> </w:t>
      </w:r>
      <w:r w:rsidR="00AF252A" w:rsidRPr="00A81196">
        <w:t>6</w:t>
      </w:r>
      <w:r w:rsidR="00D56C29" w:rsidRPr="00A81196">
        <w:t> </w:t>
      </w:r>
      <w:r w:rsidR="00AF252A" w:rsidRPr="00A81196">
        <w:t xml:space="preserve">straipsnio 1 daliai. Gynėjas pažymi, kad </w:t>
      </w:r>
      <w:r w:rsidR="00E420BD" w:rsidRPr="00A81196">
        <w:t xml:space="preserve">(duomenys neskelbtini) </w:t>
      </w:r>
      <w:r w:rsidR="00AF252A" w:rsidRPr="00A81196">
        <w:t xml:space="preserve">ir </w:t>
      </w:r>
      <w:r w:rsidR="00E420BD" w:rsidRPr="00A81196">
        <w:t>(duomenys neskelbtini)</w:t>
      </w:r>
      <w:r w:rsidR="00AF252A" w:rsidRPr="00A81196">
        <w:t xml:space="preserve"> teismai laikėsi minėtų tarptautinių teisės aktų reikalavimų ir priėmė sprendimus atsisakyti išduoti </w:t>
      </w:r>
      <w:r w:rsidR="00385BC9" w:rsidRPr="00A81196">
        <w:t>M. G.</w:t>
      </w:r>
      <w:r w:rsidR="00AF252A" w:rsidRPr="00A81196">
        <w:t xml:space="preserve"> ir </w:t>
      </w:r>
      <w:r w:rsidR="006036E7" w:rsidRPr="00A81196">
        <w:t>V. K. 2</w:t>
      </w:r>
      <w:r w:rsidR="00AF252A" w:rsidRPr="00A81196">
        <w:t xml:space="preserve"> pagal Europos arešto orderius.</w:t>
      </w:r>
      <w:r w:rsidR="00AF252A" w:rsidRPr="00C00255">
        <w:rPr>
          <w:szCs w:val="24"/>
        </w:rPr>
        <w:t xml:space="preserve"> </w:t>
      </w:r>
    </w:p>
    <w:p w:rsidR="00AF252A" w:rsidRPr="00C00255" w:rsidRDefault="00AF252A" w:rsidP="00321748">
      <w:pPr>
        <w:pStyle w:val="ListParagraph"/>
        <w:numPr>
          <w:ilvl w:val="1"/>
          <w:numId w:val="6"/>
        </w:numPr>
        <w:spacing w:before="120" w:after="120"/>
        <w:ind w:left="992" w:hanging="992"/>
        <w:contextualSpacing w:val="0"/>
        <w:rPr>
          <w:rStyle w:val="CharStyle62"/>
          <w:i w:val="0"/>
          <w:iCs w:val="0"/>
          <w:sz w:val="24"/>
          <w:szCs w:val="20"/>
          <w:shd w:val="clear" w:color="auto" w:fill="auto"/>
        </w:rPr>
      </w:pPr>
      <w:r w:rsidRPr="00A81196">
        <w:t>Gynėjas pažymi, kad Vilniaus apygardos teismo 1999 m. rugpjūčio 23 d. nuosprendžiu šios grupės bendrininkai – 6 politiniai veikėjai</w:t>
      </w:r>
      <w:r w:rsidR="00683913" w:rsidRPr="00A81196">
        <w:t xml:space="preserve"> (</w:t>
      </w:r>
      <w:r w:rsidR="00C507EF" w:rsidRPr="00A81196">
        <w:t>M. B.</w:t>
      </w:r>
      <w:r w:rsidRPr="00A81196">
        <w:t xml:space="preserve">, </w:t>
      </w:r>
      <w:r w:rsidR="00C507EF" w:rsidRPr="00A81196">
        <w:t>J. K.</w:t>
      </w:r>
      <w:r w:rsidRPr="00A81196">
        <w:t xml:space="preserve">, </w:t>
      </w:r>
      <w:r w:rsidR="00C507EF" w:rsidRPr="00A81196">
        <w:t>J. J.</w:t>
      </w:r>
      <w:r w:rsidRPr="00A81196">
        <w:t xml:space="preserve"> ir kt.</w:t>
      </w:r>
      <w:r w:rsidR="00683913" w:rsidRPr="00A81196">
        <w:t>) –</w:t>
      </w:r>
      <w:r w:rsidR="00E420BD" w:rsidRPr="00A81196">
        <w:t xml:space="preserve"> buvo nuteisti pagal 1961 </w:t>
      </w:r>
      <w:r w:rsidRPr="00A81196">
        <w:t xml:space="preserve">m. BK 18, 68, 70, 105, 111, 112, 116 straipsnius, </w:t>
      </w:r>
      <w:r w:rsidR="00455EF2" w:rsidRPr="00A81196">
        <w:t xml:space="preserve">kuriuose </w:t>
      </w:r>
      <w:r w:rsidRPr="00A81196">
        <w:t>nu</w:t>
      </w:r>
      <w:r w:rsidR="00455EF2" w:rsidRPr="00A81196">
        <w:t>statyta</w:t>
      </w:r>
      <w:r w:rsidRPr="00A81196">
        <w:t xml:space="preserve"> atsakomyb</w:t>
      </w:r>
      <w:r w:rsidR="00455EF2" w:rsidRPr="00A81196">
        <w:t>ė</w:t>
      </w:r>
      <w:r w:rsidRPr="00A81196">
        <w:t xml:space="preserve"> už nusikalstamas veikas, padarytas jų galiojimo metu. Nuosprendis įsiteisėjęs, nurodyti asmenys atliko bausmę. </w:t>
      </w:r>
      <w:r w:rsidR="00930046" w:rsidRPr="00A81196">
        <w:t>EŽTT</w:t>
      </w:r>
      <w:r w:rsidRPr="00A81196">
        <w:t xml:space="preserve"> nenustatė jokių teisės aktų pažeidimų. </w:t>
      </w:r>
      <w:r w:rsidR="00DC0414" w:rsidRPr="00A81196">
        <w:t>J. S.</w:t>
      </w:r>
      <w:r w:rsidRPr="00A81196">
        <w:t xml:space="preserve"> veiksmai buvo kvalifikuoti </w:t>
      </w:r>
      <w:r w:rsidRPr="00A81196">
        <w:lastRenderedPageBreak/>
        <w:t>pagal BK straipsnius, priimtus padarius 2011 m. pakeitimus, t. y. jam inkriminuoti visiškai nauji nusikaltimai, žymiai pasunkinantys jo teisinę padėtį. Kaip minėta, pagal tarptautinės teisės nuostatas asmeniui negali būti skiriama griežtesnė bausmė negu ta, kuri galėjo būti taikyta nu</w:t>
      </w:r>
      <w:r w:rsidR="00930046" w:rsidRPr="00A81196">
        <w:t>sikaltimo padarymo metu. Gynėjo </w:t>
      </w:r>
      <w:r w:rsidRPr="00A81196">
        <w:t xml:space="preserve">teigimu, </w:t>
      </w:r>
      <w:r w:rsidR="00DC0414" w:rsidRPr="00A81196">
        <w:t>J. S.</w:t>
      </w:r>
      <w:r w:rsidRPr="00A81196">
        <w:t xml:space="preserve"> byla galėjo būti išnagrinėta kartu su </w:t>
      </w:r>
      <w:r w:rsidR="00C507EF" w:rsidRPr="00A81196">
        <w:t>M. B.</w:t>
      </w:r>
      <w:r w:rsidRPr="00A81196">
        <w:t xml:space="preserve"> ir kitų penkių politinių veikėjų byla ir tuomet jam būtų taikyti</w:t>
      </w:r>
      <w:r w:rsidR="00930046" w:rsidRPr="00A81196">
        <w:t xml:space="preserve"> įvykio metu galiojusio 1961 </w:t>
      </w:r>
      <w:r w:rsidR="004B5EC0" w:rsidRPr="00A81196">
        <w:t>m. </w:t>
      </w:r>
      <w:r w:rsidR="00930046" w:rsidRPr="00A81196">
        <w:t>BK </w:t>
      </w:r>
      <w:r w:rsidRPr="00A81196">
        <w:t>straipsniai,</w:t>
      </w:r>
      <w:r w:rsidR="00455EF2" w:rsidRPr="00A81196">
        <w:t xml:space="preserve"> kuriuose</w:t>
      </w:r>
      <w:r w:rsidRPr="00A81196">
        <w:t xml:space="preserve"> </w:t>
      </w:r>
      <w:r w:rsidR="009A6120" w:rsidRPr="00A81196">
        <w:t xml:space="preserve">kaltininkams </w:t>
      </w:r>
      <w:r w:rsidRPr="00A81196">
        <w:t>numat</w:t>
      </w:r>
      <w:r w:rsidR="00455EF2" w:rsidRPr="00A81196">
        <w:t>yta</w:t>
      </w:r>
      <w:r w:rsidRPr="00A81196">
        <w:t xml:space="preserve"> švelnesn</w:t>
      </w:r>
      <w:r w:rsidR="00455EF2" w:rsidRPr="00A81196">
        <w:t>ė</w:t>
      </w:r>
      <w:r w:rsidRPr="00A81196">
        <w:t xml:space="preserve"> baudžiam</w:t>
      </w:r>
      <w:r w:rsidR="00455EF2" w:rsidRPr="00A81196">
        <w:t>oji</w:t>
      </w:r>
      <w:r w:rsidRPr="00A81196">
        <w:t xml:space="preserve"> atsakomyb</w:t>
      </w:r>
      <w:r w:rsidR="00455EF2" w:rsidRPr="00A81196">
        <w:t>ė</w:t>
      </w:r>
      <w:r w:rsidRPr="00A81196">
        <w:t>. Gynėjui neaišku, kodėl baudžiamąsias bylas dėl tų pačių įvykių atskirų asmenų atžvilgiu nuspręsta nagrinėti atskirai.</w:t>
      </w:r>
      <w:r w:rsidRPr="00A81196">
        <w:rPr>
          <w:rStyle w:val="CharStyle62"/>
          <w:i w:val="0"/>
          <w:color w:val="000000"/>
          <w:sz w:val="24"/>
          <w:szCs w:val="24"/>
        </w:rPr>
        <w:t xml:space="preserve"> </w:t>
      </w:r>
      <w:r w:rsidRPr="00A81196">
        <w:t xml:space="preserve">Toks </w:t>
      </w:r>
      <w:r w:rsidR="00455EF2" w:rsidRPr="00A81196">
        <w:t xml:space="preserve">skirtingas </w:t>
      </w:r>
      <w:r w:rsidRPr="00A81196">
        <w:t>BK normų taikymas asmenims, padariusiems analogiško pobūdžio nusikalstamas veikas, prieštarauja Konstitucijos 29 straipsnio 1 dalyje nustatytam lygybės principui, taip pat tarptautinės teisės aktų nuostatoms. Šią aplinkybę gynėjas nurodė ir savo baigiamojoje kalboje, tačiau teismas nuosprendyje dėl to nepasisakė. Gynėjas taip pat pažymi, kad ikiteisminis tyrimas šioje byloje buvo vilkinamas, nes tęs</w:t>
      </w:r>
      <w:r w:rsidR="004B5EC0" w:rsidRPr="00A81196">
        <w:t>ėsi nepagrįstai ilgą laiką – 25 </w:t>
      </w:r>
      <w:r w:rsidRPr="00A81196">
        <w:t xml:space="preserve">metus, nors iš esmės visi pagrindiniai rašytiniai įrodymai buvo gauti dar iki 1995 m. Gynėjas </w:t>
      </w:r>
      <w:r w:rsidR="00EC68CC" w:rsidRPr="00A81196">
        <w:t>kelia abejones</w:t>
      </w:r>
      <w:r w:rsidRPr="00A81196">
        <w:t>, kodėl specialisto J. Andriškevičiaus p</w:t>
      </w:r>
      <w:r w:rsidR="00D64F26" w:rsidRPr="00A81196">
        <w:t>aaiškinimai buvo gauti tik 2012–</w:t>
      </w:r>
      <w:r w:rsidRPr="00A81196">
        <w:t xml:space="preserve">2013 m., o ne daug anksčiau. Gynėjas mano, kad BK pakeitimai priimti siekiant </w:t>
      </w:r>
      <w:r w:rsidR="004B5EC0" w:rsidRPr="00A81196">
        <w:t xml:space="preserve">kitus </w:t>
      </w:r>
      <w:r w:rsidR="005B0434" w:rsidRPr="00A81196">
        <w:t xml:space="preserve">1991 m. </w:t>
      </w:r>
      <w:r w:rsidR="004B5EC0" w:rsidRPr="00A81196">
        <w:t>sausio 13 </w:t>
      </w:r>
      <w:r w:rsidRPr="00A81196">
        <w:t>d. įvykio dalyvius nuteisti daug griežtesnėmis bausmėmis</w:t>
      </w:r>
      <w:r w:rsidRPr="00C00255">
        <w:rPr>
          <w:rStyle w:val="CharStyle62"/>
          <w:i w:val="0"/>
          <w:color w:val="000000"/>
          <w:sz w:val="24"/>
          <w:szCs w:val="24"/>
        </w:rPr>
        <w:t>.</w:t>
      </w:r>
    </w:p>
    <w:p w:rsidR="00AF252A" w:rsidRPr="00A81196" w:rsidRDefault="00AF252A" w:rsidP="00321748">
      <w:pPr>
        <w:pStyle w:val="ListParagraph"/>
        <w:numPr>
          <w:ilvl w:val="1"/>
          <w:numId w:val="6"/>
        </w:numPr>
        <w:spacing w:before="120" w:after="120"/>
        <w:ind w:left="992" w:hanging="992"/>
        <w:contextualSpacing w:val="0"/>
      </w:pPr>
      <w:r w:rsidRPr="00A81196">
        <w:t xml:space="preserve">Kaltinamajame akte nurodyta, jog organizuotą grupę sudarė 159 kariškiai ir politiniai veikėjai. Skundžiamame nuosprendyje nurodomas skirtingas kariškių, trauktinų atsakomybėn, skaičius. Be to, teismas savo išvados dėl operacijos dalyvių skaičiaus nepagrindė jokiais įrodymais. Tik nedidelė dalis iš operacijose dalyvavusių kariškių buvo patraukti baudžiamojon atsakomybėn, o kita dalis – apklausti </w:t>
      </w:r>
      <w:r w:rsidR="00455EF2" w:rsidRPr="00A81196">
        <w:t xml:space="preserve">kaip </w:t>
      </w:r>
      <w:r w:rsidRPr="00A81196">
        <w:t>liudytojai. Dėl kitų atsakomybėn nepatrauktų kariškių teismas nuosprendyje nepa</w:t>
      </w:r>
      <w:r w:rsidR="00EC1D9A" w:rsidRPr="00A81196">
        <w:t>sisakė, neaišku, ar dėl jų buvo</w:t>
      </w:r>
      <w:r w:rsidR="00455EF2" w:rsidRPr="00A81196">
        <w:t xml:space="preserve"> arba </w:t>
      </w:r>
      <w:r w:rsidRPr="00A81196">
        <w:t xml:space="preserve">bus pradėtas </w:t>
      </w:r>
      <w:r w:rsidR="00EC1D9A" w:rsidRPr="00A81196">
        <w:t>ikiteisminis tyrimas ir</w:t>
      </w:r>
      <w:r w:rsidR="00455EF2" w:rsidRPr="00A81196">
        <w:t xml:space="preserve"> </w:t>
      </w:r>
      <w:r w:rsidRPr="00A81196">
        <w:t>ar jiems bus pareikšti kaltinimai už nusikalstamas vei</w:t>
      </w:r>
      <w:r w:rsidR="004B5EC0" w:rsidRPr="00A81196">
        <w:t>kas, numatytas atitinkamuose BK </w:t>
      </w:r>
      <w:r w:rsidRPr="00A81196">
        <w:t xml:space="preserve">straipsniuose, už kurias šioje byloje jau buvo nuteisti 67 asmenys. Skunde nurodoma, kad </w:t>
      </w:r>
      <w:r w:rsidR="00DD1A27" w:rsidRPr="00A81196">
        <w:t>M. G.</w:t>
      </w:r>
      <w:r w:rsidRPr="00A81196">
        <w:t xml:space="preserve">, kaip TSRS prezidentas ir vyriausiasis kariuomenės vadas, taip pat nebuvo traukiamas baudžiamojon atsakomybėn. Gynėjui neaišku, kodėl kaltinimai nebuvo pareikšti seržantams ir eiliniams kareiviams, kurie faktiškai buvo vykdytojai ir nuo kurių veiksmų užgrobiant objektus tiesiogiai nukentėjo civiliai. </w:t>
      </w:r>
      <w:bookmarkStart w:id="192" w:name="_Hlk34641809"/>
      <w:r w:rsidR="003977D8" w:rsidRPr="00A81196">
        <w:t>Teismas skundžiamame</w:t>
      </w:r>
      <w:r w:rsidRPr="00A81196">
        <w:t xml:space="preserve"> nuosprendyje neištyrė ir visiškai nepasisakė dėl seržantų ir eilinių kareivių, dalyva</w:t>
      </w:r>
      <w:r w:rsidR="00455EF2" w:rsidRPr="00A81196">
        <w:t>vusių užimant</w:t>
      </w:r>
      <w:r w:rsidRPr="00A81196">
        <w:t xml:space="preserve"> LRT pastat</w:t>
      </w:r>
      <w:r w:rsidR="00455EF2" w:rsidRPr="00A81196">
        <w:t>ą,</w:t>
      </w:r>
      <w:bookmarkEnd w:id="192"/>
      <w:r w:rsidR="00455EF2" w:rsidRPr="00A81196">
        <w:t xml:space="preserve"> veiksmų</w:t>
      </w:r>
      <w:r w:rsidR="00683913" w:rsidRPr="00A81196">
        <w:t>.</w:t>
      </w:r>
    </w:p>
    <w:p w:rsidR="00AF252A" w:rsidRPr="00A81196" w:rsidRDefault="00AF252A" w:rsidP="00321748">
      <w:pPr>
        <w:pStyle w:val="ListParagraph"/>
        <w:numPr>
          <w:ilvl w:val="1"/>
          <w:numId w:val="6"/>
        </w:numPr>
        <w:spacing w:before="120" w:after="120"/>
        <w:ind w:left="992" w:hanging="992"/>
        <w:contextualSpacing w:val="0"/>
        <w:rPr>
          <w:rStyle w:val="CharStyle10"/>
          <w:iCs w:val="0"/>
          <w:shd w:val="clear" w:color="auto" w:fill="auto"/>
        </w:rPr>
      </w:pPr>
      <w:r w:rsidRPr="00A81196">
        <w:t>Gynėjo teigimu, teismas nuosprendyje išvardi</w:t>
      </w:r>
      <w:r w:rsidR="00455EF2" w:rsidRPr="00A81196">
        <w:t>j</w:t>
      </w:r>
      <w:r w:rsidRPr="00A81196">
        <w:t>o tarptautinės teisės aktus, kuri</w:t>
      </w:r>
      <w:r w:rsidR="00455EF2" w:rsidRPr="00A81196">
        <w:t>ais</w:t>
      </w:r>
      <w:r w:rsidRPr="00A81196">
        <w:t xml:space="preserve"> reglamentuoja</w:t>
      </w:r>
      <w:r w:rsidR="00455EF2" w:rsidRPr="00A81196">
        <w:t>mi</w:t>
      </w:r>
      <w:r w:rsidRPr="00A81196">
        <w:t xml:space="preserve"> karo nusikaltim</w:t>
      </w:r>
      <w:r w:rsidR="00455EF2" w:rsidRPr="00A81196">
        <w:t>ai</w:t>
      </w:r>
      <w:r w:rsidRPr="00A81196">
        <w:t xml:space="preserve"> ir nusikaltim</w:t>
      </w:r>
      <w:r w:rsidR="00455EF2" w:rsidRPr="00A81196">
        <w:t>ai</w:t>
      </w:r>
      <w:r w:rsidRPr="00A81196">
        <w:t xml:space="preserve"> žmoniškumui, tačiau jų turinio neatskleidė. Pagal tarptautinę teisę karo nusikaltimai – tai tyčinės, pavojingos veikos, pažeidžiančios visuotinai pripažintus karo įstatymus ir papročius arba elgesį su civiliais, karo belaisviais ar kitais asmenimis, kuriems suteikiama tarptautinė apsauga, ir padarytos karo, tarptautinio ginkluoto konflikto ar okupacijos metu. Pagal </w:t>
      </w:r>
      <w:r w:rsidR="00EC1D9A" w:rsidRPr="00A81196">
        <w:t>Niurnbergo tribunolo statuto</w:t>
      </w:r>
      <w:r w:rsidRPr="00A81196">
        <w:t xml:space="preserve"> 6 straipsnio c</w:t>
      </w:r>
      <w:r w:rsidR="00D56C29" w:rsidRPr="00A81196">
        <w:t> </w:t>
      </w:r>
      <w:r w:rsidRPr="00A81196">
        <w:t>punktą nusi</w:t>
      </w:r>
      <w:r w:rsidR="004B5EC0" w:rsidRPr="00A81196">
        <w:t>kaltimai žmoniškumui</w:t>
      </w:r>
      <w:r w:rsidRPr="00A81196">
        <w:t xml:space="preserve"> – tai civilių gyventojų žudymas, naikinimas, pavergimas, trėmimas, persekiojimas ir kt. žiaurumai, įvykdyti iki karo ar karo metu, arba jų persekiojimas politiniais, rasiniais ar religiniais motyvais, darant ar siekiant padaryti kokį nors nusikaltimą, priskirtą tribunolo jurisdikcijai</w:t>
      </w:r>
      <w:r w:rsidR="00082397" w:rsidRPr="00A81196">
        <w:t>,</w:t>
      </w:r>
      <w:r w:rsidRPr="00A81196">
        <w:t xml:space="preserve"> nepriklausomai nuo to, ar tie veiksmai buvo laikomi tos šalies, kurioje jie įvykdyti, vidaus teisės pažeidimais</w:t>
      </w:r>
      <w:r w:rsidR="00082397" w:rsidRPr="00A81196">
        <w:t>,</w:t>
      </w:r>
      <w:r w:rsidRPr="00A81196">
        <w:t xml:space="preserve"> ar ne. Vėliau nusikaltimai žmoniškumui buvo įtvi</w:t>
      </w:r>
      <w:r w:rsidR="00EC1D9A" w:rsidRPr="00A81196">
        <w:t>rtinti ir Niurnbergo tribunolo statute</w:t>
      </w:r>
      <w:r w:rsidRPr="00A81196">
        <w:t xml:space="preserve">, Jugoslavijos ir Ruandos </w:t>
      </w:r>
      <w:r w:rsidR="0049485C" w:rsidRPr="00A81196">
        <w:t>t</w:t>
      </w:r>
      <w:r w:rsidRPr="00A81196">
        <w:t xml:space="preserve">ribunolų statutuose. Pagal </w:t>
      </w:r>
      <w:r w:rsidR="00E32853" w:rsidRPr="00A81196">
        <w:t xml:space="preserve">Romos statuto </w:t>
      </w:r>
      <w:r w:rsidRPr="00A81196">
        <w:t>7 straipsnį nusikaltimą žmoniškumui sudaro bet kuris iš tyčinių veiksmų, jei jie yra masiški ar sistemingi ir nukreipti prieš civilius gyventojus. Nusikaltim</w:t>
      </w:r>
      <w:r w:rsidR="00683913" w:rsidRPr="00A81196">
        <w:t>ų</w:t>
      </w:r>
      <w:r w:rsidRPr="00A81196">
        <w:t xml:space="preserve"> žmoniškumui subjektu laikomi fiziniai asmenys, bet už nusikaltimus politiškai atsako ir valstybė. Romos statute tiksliai nurodyti tyčiniai veiksmai, kuriuos galima kvalifikuoti kaip nusikaltimus žmoniškumui. Šiam</w:t>
      </w:r>
      <w:r w:rsidR="004B5EC0" w:rsidRPr="00A81196">
        <w:t xml:space="preserve">e straipsnyje </w:t>
      </w:r>
      <w:r w:rsidRPr="00A81196">
        <w:t xml:space="preserve">nurodyti tokie </w:t>
      </w:r>
      <w:r w:rsidRPr="00A81196">
        <w:lastRenderedPageBreak/>
        <w:t>nusikaltimai žmoniškumui: 1) žmonių nužudymas; 2) žmonių naikinimas; 3) žmonių pavergimas; 4) deportacijos arba prievartinis gyventojų perkėlimas; 5) įkalinimas ar kitoks šiurkštus asmens laisvės suvaržymas pažeidžiant esmines</w:t>
      </w:r>
      <w:r w:rsidR="004B5EC0" w:rsidRPr="00A81196">
        <w:t xml:space="preserve"> tarptautinė</w:t>
      </w:r>
      <w:r w:rsidR="0012467A" w:rsidRPr="00A81196">
        <w:t>s teisės normas; 11) </w:t>
      </w:r>
      <w:r w:rsidRPr="00A81196">
        <w:t>kitokie tokio pat pobūdžio tyčiniai veiksmai, sukeliantys dideles kančias, sunkius kūno psichinės ar fizinės sveikatos pažeidimus. Nusikaltimai žmoniškumui gali būti traktuojami kaip tarptautiniai nusikaltimai. 1949</w:t>
      </w:r>
      <w:r w:rsidR="004B5EC0" w:rsidRPr="00A81196">
        <w:t> m. </w:t>
      </w:r>
      <w:r w:rsidR="00D76BE4" w:rsidRPr="00A81196">
        <w:t xml:space="preserve">rugpjūčio 12 d. </w:t>
      </w:r>
      <w:r w:rsidRPr="00A81196">
        <w:t xml:space="preserve">Ženevos konvencijos dėl karo aukų apsaugos nuostatos taikomos visais atvejais, kai skelbiamas karas arba kyla koks nors ginkluotas konfliktas tarp dviejų ir daugiau šalių (net ir tuo atveju, kai viena iš jų nepripažįsta karo). </w:t>
      </w:r>
    </w:p>
    <w:p w:rsidR="00AF252A" w:rsidRPr="00C00255" w:rsidRDefault="00AF252A" w:rsidP="00321748">
      <w:pPr>
        <w:pStyle w:val="ListParagraph"/>
        <w:numPr>
          <w:ilvl w:val="1"/>
          <w:numId w:val="6"/>
        </w:numPr>
        <w:spacing w:before="120" w:after="120"/>
        <w:ind w:left="992" w:hanging="992"/>
        <w:contextualSpacing w:val="0"/>
        <w:rPr>
          <w:rStyle w:val="CharStyle30"/>
          <w:b w:val="0"/>
          <w:bCs w:val="0"/>
          <w:sz w:val="24"/>
          <w:szCs w:val="20"/>
          <w:shd w:val="clear" w:color="auto" w:fill="auto"/>
        </w:rPr>
      </w:pPr>
      <w:r w:rsidRPr="00A81196">
        <w:t>Gynėjas nurodo, kad nusikaltimų padarymo vieta, būdas ir aplinkybės turi didelę reikšmę karo nusikalt</w:t>
      </w:r>
      <w:r w:rsidR="003977D8" w:rsidRPr="00A81196">
        <w:t>imų ir nusikaltimų žmoniškumui</w:t>
      </w:r>
      <w:r w:rsidRPr="00A81196">
        <w:t xml:space="preserve"> kvalifikavimui. Daugumą karo nusikaltimų ir nusikaltimų žmoniškumui gali padaryti tik specialus subjektas – kombat</w:t>
      </w:r>
      <w:r w:rsidR="003977D8" w:rsidRPr="00A81196">
        <w:t>antas (karys). Pagal tarptautinė</w:t>
      </w:r>
      <w:r w:rsidRPr="00A81196">
        <w:t xml:space="preserve">s teisės nuostatas tik kombatantai yra teisėti karo veiksmų dalyviai, galintys </w:t>
      </w:r>
      <w:r w:rsidR="00082397" w:rsidRPr="00A81196">
        <w:t>naudoti</w:t>
      </w:r>
      <w:r w:rsidRPr="00A81196">
        <w:t xml:space="preserve"> jėgą, dėl kurios žū</w:t>
      </w:r>
      <w:r w:rsidR="00683913" w:rsidRPr="00A81196">
        <w:t>st</w:t>
      </w:r>
      <w:r w:rsidRPr="00A81196">
        <w:t>a žmonės arba padaroma materialinė žala</w:t>
      </w:r>
      <w:r w:rsidR="00082397" w:rsidRPr="00A81196">
        <w:t>,</w:t>
      </w:r>
      <w:r w:rsidRPr="00A81196">
        <w:t xml:space="preserve"> ir nebūti asmeniškai atsakingi už tokius veiksmus ar pa</w:t>
      </w:r>
      <w:r w:rsidR="00082397" w:rsidRPr="00A81196">
        <w:t>darinius</w:t>
      </w:r>
      <w:r w:rsidRPr="00A81196">
        <w:t>. Kombatanto teisinė padėtis įpareigoja laikytis tarptautinės humanitarinės teisės, taikomos ginkluotų konfliktų metu, reikalavimų. Kombatantas, pažeidęs tuos reikalavimus, teisinio kombatanto statuso nepraranda, tačiau šiuo atveju jis gali būti tra</w:t>
      </w:r>
      <w:r w:rsidR="004B5EC0" w:rsidRPr="00A81196">
        <w:t>ukiamas baudžiamojon atsakomybėn</w:t>
      </w:r>
      <w:r w:rsidRPr="00A81196">
        <w:t xml:space="preserve"> už karo nusikaltimų ar nusikaltimų žmoniškumui padarymą. Visi karo nusikaltimai gali būti padaromi tik tiesiogine tyčia. Kaltininkas privalo suvokti veikos pavojingumą, numatyti pavojing</w:t>
      </w:r>
      <w:r w:rsidR="00082397" w:rsidRPr="00A81196">
        <w:t>us padarinius</w:t>
      </w:r>
      <w:r w:rsidRPr="00A81196">
        <w:t xml:space="preserve"> ir jų siekti.</w:t>
      </w:r>
    </w:p>
    <w:p w:rsidR="00AF252A" w:rsidRPr="00C00255" w:rsidRDefault="00AF252A" w:rsidP="00321748">
      <w:pPr>
        <w:pStyle w:val="ListParagraph"/>
        <w:numPr>
          <w:ilvl w:val="1"/>
          <w:numId w:val="6"/>
        </w:numPr>
        <w:spacing w:before="120" w:after="120"/>
        <w:ind w:left="992" w:hanging="992"/>
        <w:contextualSpacing w:val="0"/>
        <w:rPr>
          <w:rStyle w:val="CharStyle62"/>
          <w:i w:val="0"/>
          <w:iCs w:val="0"/>
          <w:sz w:val="24"/>
          <w:szCs w:val="20"/>
          <w:shd w:val="clear" w:color="auto" w:fill="auto"/>
        </w:rPr>
      </w:pPr>
      <w:r w:rsidRPr="00A81196">
        <w:t xml:space="preserve">Teismas nenustatė, kad praporščikas </w:t>
      </w:r>
      <w:r w:rsidR="00DC0414" w:rsidRPr="00A81196">
        <w:t>J. S.</w:t>
      </w:r>
      <w:r w:rsidRPr="00A81196">
        <w:t xml:space="preserve"> žinojo ar galėjo žinoti apie aukštų karinių struktūrų vadovų ir politi</w:t>
      </w:r>
      <w:r w:rsidR="003977D8" w:rsidRPr="00A81196">
        <w:t>nių veikėjų parengtus planus ir</w:t>
      </w:r>
      <w:r w:rsidR="00082397" w:rsidRPr="00A81196">
        <w:t xml:space="preserve"> (</w:t>
      </w:r>
      <w:r w:rsidRPr="00A81196">
        <w:t>ar</w:t>
      </w:r>
      <w:r w:rsidR="00082397" w:rsidRPr="00A81196">
        <w:t>)</w:t>
      </w:r>
      <w:r w:rsidRPr="00A81196">
        <w:t xml:space="preserve"> jis pritarė šiems planams, t.</w:t>
      </w:r>
      <w:r w:rsidR="00082397" w:rsidRPr="00A81196">
        <w:t> </w:t>
      </w:r>
      <w:r w:rsidRPr="00A81196">
        <w:t xml:space="preserve">y. veikė tiesiogine tyčia. Be to, su </w:t>
      </w:r>
      <w:r w:rsidR="00DC0414" w:rsidRPr="00A81196">
        <w:t>J. S.</w:t>
      </w:r>
      <w:r w:rsidRPr="00A81196">
        <w:t xml:space="preserve"> karinių struktūrų vadai nederino jokių strateginių objektų užgrobimo ir kitokių karinių operacijų vykdymo aplinkybių. Be to, tarp kariškių nebuvo jokio susitarimo veikti bendrai ir realizuoti bendrus nusikalstamus ketinimus. </w:t>
      </w:r>
      <w:r w:rsidR="00DC0414" w:rsidRPr="00A81196">
        <w:t>J. S.</w:t>
      </w:r>
      <w:r w:rsidRPr="00A81196">
        <w:t xml:space="preserve"> nesuprato, kad TSRS karinių struktūrų vadai ir aukšti politiniai veikėjai kėsinasi į Lietuvos suverenitetą. Neįrodyta, kad </w:t>
      </w:r>
      <w:r w:rsidR="00DC0414" w:rsidRPr="00A81196">
        <w:t>J. S.</w:t>
      </w:r>
      <w:r w:rsidRPr="00A81196">
        <w:t xml:space="preserve"> rėmė ir vykdė TSRS, TSKP politiką sistemingai užpuldinėti civilius, juos žudyti, žaloti bei persekioti dėl politinių motyvų. Įsakymo vykdymas negali būti tapatinamas su nusikalstamu susitarimu. </w:t>
      </w:r>
      <w:r w:rsidR="00DC0414" w:rsidRPr="00A81196">
        <w:t>J. S.</w:t>
      </w:r>
      <w:r w:rsidRPr="00A81196">
        <w:t xml:space="preserve"> neveikė kaip nusikalstamos veikos bendrininkas. </w:t>
      </w:r>
      <w:bookmarkStart w:id="193" w:name="_Hlk34642678"/>
      <w:r w:rsidRPr="00A81196">
        <w:t>Nuosprendyje, nors ir teikiant nuorodas į atitinkamus BK 24, 25 straipsnius, nėra nurodyta</w:t>
      </w:r>
      <w:r w:rsidR="00082397" w:rsidRPr="00A81196">
        <w:t>,</w:t>
      </w:r>
      <w:r w:rsidRPr="00A81196">
        <w:t xml:space="preserve"> kokiai bendrininkų grupės rūšiai priskiriamas nuteistasis </w:t>
      </w:r>
      <w:r w:rsidR="00DC0414" w:rsidRPr="00A81196">
        <w:t>J. S.</w:t>
      </w:r>
      <w:r w:rsidRPr="00A81196">
        <w:t>, taip pat neapibūdintas kiekvieno nuteistojo vaidmuo padarant jam inkriminuojamus nusikaltimus.</w:t>
      </w:r>
      <w:bookmarkEnd w:id="193"/>
    </w:p>
    <w:p w:rsidR="00AF252A" w:rsidRPr="00C00255" w:rsidRDefault="00AF252A" w:rsidP="00321748">
      <w:pPr>
        <w:pStyle w:val="ListParagraph"/>
        <w:numPr>
          <w:ilvl w:val="1"/>
          <w:numId w:val="6"/>
        </w:numPr>
        <w:spacing w:before="120" w:after="120"/>
        <w:ind w:left="992" w:hanging="992"/>
        <w:contextualSpacing w:val="0"/>
        <w:rPr>
          <w:rStyle w:val="CharStyle10"/>
          <w:i w:val="0"/>
          <w:iCs w:val="0"/>
          <w:shd w:val="clear" w:color="auto" w:fill="auto"/>
        </w:rPr>
      </w:pPr>
      <w:r w:rsidRPr="00A81196">
        <w:t xml:space="preserve">Pasak gynėjo, teismas leistinomis priemonėmis neįrodė ir nepagrindė, kad 1991 m. sausio įvykius vienareikšmiškai būtų galima pripažinti TSRS agresija prieš Lietuvą bei ginkluotu konfliktu tarp TSRS ir Lietuvos. </w:t>
      </w:r>
      <w:r w:rsidR="0042306C" w:rsidRPr="00A81196">
        <w:t>JT</w:t>
      </w:r>
      <w:r w:rsidR="00930046" w:rsidRPr="00A81196">
        <w:t xml:space="preserve"> </w:t>
      </w:r>
      <w:r w:rsidRPr="00A81196">
        <w:t>Generalinė</w:t>
      </w:r>
      <w:r w:rsidR="00491A27" w:rsidRPr="00A81196">
        <w:t>s</w:t>
      </w:r>
      <w:r w:rsidRPr="00A81196">
        <w:t xml:space="preserve"> Asamblėjos 1974 m. gruodžio 14 d. rezoliucijos Nr. 3314 1 straipsnyje pažymėta, kad valstybės ginkluotos jėgos panaudojimas prieš kitos valstybės suverenitetą, teritorinį vientisumą ar politinę nepriklausomybę arba kokiu kitu būdu</w:t>
      </w:r>
      <w:r w:rsidR="00C548F7" w:rsidRPr="00A81196">
        <w:t xml:space="preserve"> yra</w:t>
      </w:r>
      <w:r w:rsidRPr="00A81196">
        <w:t xml:space="preserve"> nesuderinama su </w:t>
      </w:r>
      <w:r w:rsidR="0034531D" w:rsidRPr="00A81196">
        <w:t xml:space="preserve">1945 m. </w:t>
      </w:r>
      <w:r w:rsidR="00930046" w:rsidRPr="00A81196">
        <w:t xml:space="preserve">Jungtinių Tautų </w:t>
      </w:r>
      <w:r w:rsidR="00151919" w:rsidRPr="00A81196">
        <w:t>C</w:t>
      </w:r>
      <w:r w:rsidRPr="00A81196">
        <w:t xml:space="preserve">hartija, kaip </w:t>
      </w:r>
      <w:r w:rsidR="00C548F7" w:rsidRPr="00A81196">
        <w:t>apibrėžta</w:t>
      </w:r>
      <w:r w:rsidRPr="00A81196">
        <w:t xml:space="preserve"> šiame </w:t>
      </w:r>
      <w:r w:rsidR="00C548F7" w:rsidRPr="00A81196">
        <w:t>dokumente</w:t>
      </w:r>
      <w:r w:rsidRPr="00A81196">
        <w:t xml:space="preserve">. Teisės doktrinoje agresijos subjektais pripažįstami tik valstybių vadovai bei politiniai lyderiai, turintys pakankamus įgalinimus inicijuoti agresijos aktus. Žemesnio </w:t>
      </w:r>
      <w:r w:rsidR="004B5EC0" w:rsidRPr="00A81196">
        <w:t>rango asmenys pašalinami iš šio</w:t>
      </w:r>
      <w:r w:rsidRPr="00A81196">
        <w:t xml:space="preserve"> nusikalstamo subjektų rato dėl praktinių priežasčių. Atsakyti pagal pareikštus kaltinimus gali tik sprendimų priėmėjai, visi kiti agresijos dalyviai nuo atsakomybės atleidžiami. Tik valstybės vadovai atsakingi už valstybės politikos kryptį ir tik jų veiksmuose yra agresijos nusikaltimo sudėtis, todėl tik jie vieninteliai gali atsakyti už šį nusikaltimą</w:t>
      </w:r>
      <w:r w:rsidR="00930046" w:rsidRPr="00A81196">
        <w:t xml:space="preserve"> valstybės vardu. Taigi </w:t>
      </w:r>
      <w:r w:rsidR="00DC0414" w:rsidRPr="00A81196">
        <w:t>J. S.</w:t>
      </w:r>
      <w:r w:rsidRPr="00A81196">
        <w:t xml:space="preserve"> negali būti</w:t>
      </w:r>
      <w:r w:rsidR="004B5EC0" w:rsidRPr="00A81196">
        <w:t xml:space="preserve"> pripažintas 1991 m. sausio mėnesį vykdytos TSRS </w:t>
      </w:r>
      <w:r w:rsidRPr="00A81196">
        <w:t xml:space="preserve">karinės agresijos (jeigu bus pripažinta, kad tai buvo karinė agresija) </w:t>
      </w:r>
      <w:r w:rsidRPr="00A81196">
        <w:lastRenderedPageBreak/>
        <w:t>užgrobiant strateginius objektus Vilniaus mieste ir kitoje Lietuvos Respublikos terit</w:t>
      </w:r>
      <w:r w:rsidR="00E420BD" w:rsidRPr="00A81196">
        <w:t>orijoje tinkamu subjektu. Romos </w:t>
      </w:r>
      <w:r w:rsidRPr="00A81196">
        <w:t>statute nustatytas individualios atsakomybės ir karo vado atsakomybės už jam pavaldžių kariškių veiksmus principai. Be to, Romos statute nustatyta ir tai, kad įsakymo ar įstatymo vykdymas neatleidžia nuo atsakomybės už genocidą ir nusikaltimus žmoniškumui, tačiau asmuo gali būti atleidžiamas nuo atsakomybės, jei turėjo teisinę pareigą vykdyti įsakymą ir nežinojo apie įsakymo neteisėtumą, o įsakymas nebuvo akivaizdžiai neteisėtas. T</w:t>
      </w:r>
      <w:r w:rsidR="0042306C" w:rsidRPr="00A81196">
        <w:t>BT</w:t>
      </w:r>
      <w:r w:rsidRPr="00A81196">
        <w:t xml:space="preserve"> yra nuolatinis baudžiamasis teismas, įsteigtas nagrinėti baudžiamąsias bylas dėl nusikaltimų žmoniškumui, karo bei agresijos nusikaltimų, kurie buvo padaryti jau po 199</w:t>
      </w:r>
      <w:r w:rsidR="004B5EC0" w:rsidRPr="00A81196">
        <w:t>8 m. liepos 17 d. priimto Romos </w:t>
      </w:r>
      <w:r w:rsidRPr="00A81196">
        <w:t>statuto įsigaliojimo. Lietuva ratifikavo Romos statutą 2003 m., todėl minėto tarptautinio akto nuostatos turi būti taikomos ir Lietuvai.</w:t>
      </w:r>
    </w:p>
    <w:p w:rsidR="00AF252A" w:rsidRPr="00C00255" w:rsidRDefault="00AF252A" w:rsidP="00321748">
      <w:pPr>
        <w:pStyle w:val="ListParagraph"/>
        <w:numPr>
          <w:ilvl w:val="1"/>
          <w:numId w:val="6"/>
        </w:numPr>
        <w:spacing w:before="120" w:after="120"/>
        <w:ind w:left="992" w:hanging="992"/>
        <w:contextualSpacing w:val="0"/>
      </w:pPr>
      <w:r w:rsidRPr="00A81196">
        <w:rPr>
          <w:szCs w:val="24"/>
        </w:rPr>
        <w:t xml:space="preserve">BK 100 straipsnyje nurodyta nusikalstama veika gali būti padaroma vykdant ar remiant valstybės ar organizacijos politiką dideliu mastu arba sistemingai užpuldinėjant civilius. </w:t>
      </w:r>
      <w:r w:rsidRPr="00A81196">
        <w:rPr>
          <w:rStyle w:val="CharStyle84"/>
          <w:color w:val="000000"/>
          <w:sz w:val="24"/>
          <w:szCs w:val="24"/>
          <w:lang w:eastAsia="lt-LT"/>
        </w:rPr>
        <w:t>Nagrinėjamoje byloje teismas ginkluot</w:t>
      </w:r>
      <w:r w:rsidR="00C548F7" w:rsidRPr="00A81196">
        <w:rPr>
          <w:rStyle w:val="CharStyle84"/>
          <w:color w:val="000000"/>
          <w:sz w:val="24"/>
          <w:szCs w:val="24"/>
          <w:lang w:eastAsia="lt-LT"/>
        </w:rPr>
        <w:t>ųjų</w:t>
      </w:r>
      <w:r w:rsidRPr="00A81196">
        <w:rPr>
          <w:rStyle w:val="CharStyle84"/>
          <w:color w:val="000000"/>
          <w:sz w:val="24"/>
          <w:szCs w:val="24"/>
          <w:lang w:eastAsia="lt-LT"/>
        </w:rPr>
        <w:t xml:space="preserve"> pajėgų vadus, VRM</w:t>
      </w:r>
      <w:r w:rsidR="00DE3B19" w:rsidRPr="00A81196">
        <w:rPr>
          <w:rStyle w:val="CharStyle84"/>
          <w:color w:val="000000"/>
          <w:sz w:val="24"/>
          <w:szCs w:val="24"/>
          <w:lang w:eastAsia="lt-LT"/>
        </w:rPr>
        <w:t xml:space="preserve"> padalinį bei VSK padalinį „A</w:t>
      </w:r>
      <w:r w:rsidRPr="00A81196">
        <w:rPr>
          <w:rStyle w:val="CharStyle84"/>
          <w:color w:val="000000"/>
          <w:sz w:val="24"/>
          <w:szCs w:val="24"/>
          <w:lang w:eastAsia="lt-LT"/>
        </w:rPr>
        <w:t xml:space="preserve">“ nepagrįstai priskyrė bendrininkų ar organizuotai grupei, o ne valstybės institucijoms. </w:t>
      </w:r>
      <w:r w:rsidR="00930046" w:rsidRPr="00A81196">
        <w:rPr>
          <w:szCs w:val="24"/>
        </w:rPr>
        <w:t>BK 100 </w:t>
      </w:r>
      <w:r w:rsidRPr="00A81196">
        <w:rPr>
          <w:szCs w:val="24"/>
        </w:rPr>
        <w:t>straipsnyje nustatytas tarptautinės teisės draudžiama</w:t>
      </w:r>
      <w:r w:rsidR="004B5EC0" w:rsidRPr="00A81196">
        <w:rPr>
          <w:szCs w:val="24"/>
        </w:rPr>
        <w:t>s</w:t>
      </w:r>
      <w:r w:rsidRPr="00A81196">
        <w:rPr>
          <w:szCs w:val="24"/>
        </w:rPr>
        <w:t xml:space="preserve"> elgesys su žmonėmis, kuris gali pasi</w:t>
      </w:r>
      <w:r w:rsidR="004B5EC0" w:rsidRPr="00A81196">
        <w:rPr>
          <w:szCs w:val="24"/>
        </w:rPr>
        <w:t>reikšti civilių žudymu ar sunkių sveikatos sutrikdymų</w:t>
      </w:r>
      <w:r w:rsidRPr="00A81196">
        <w:rPr>
          <w:szCs w:val="24"/>
        </w:rPr>
        <w:t xml:space="preserve"> padarymu. Būtent dėl šių veikų padarymo </w:t>
      </w:r>
      <w:r w:rsidR="00DC0414" w:rsidRPr="00A81196">
        <w:rPr>
          <w:szCs w:val="24"/>
        </w:rPr>
        <w:t>J. S.</w:t>
      </w:r>
      <w:r w:rsidRPr="00A81196">
        <w:rPr>
          <w:szCs w:val="24"/>
        </w:rPr>
        <w:t xml:space="preserve"> buvo nepagrįstai pareikšti kaltinimai ir jis nuteistas, nes byloje nėra jokių įrodymų, patvirtinančių, kad </w:t>
      </w:r>
      <w:r w:rsidR="00DC0414" w:rsidRPr="00A81196">
        <w:rPr>
          <w:szCs w:val="24"/>
        </w:rPr>
        <w:t>J. S.</w:t>
      </w:r>
      <w:r w:rsidRPr="00A81196">
        <w:rPr>
          <w:szCs w:val="24"/>
        </w:rPr>
        <w:t xml:space="preserve"> savo veiksmais ar neveikimu prisidėjo ar galėjo prisidėti prie civilių nužudymo ar sužalojimo</w:t>
      </w:r>
      <w:r w:rsidRPr="00C00255">
        <w:rPr>
          <w:szCs w:val="24"/>
        </w:rPr>
        <w:t>.</w:t>
      </w:r>
    </w:p>
    <w:p w:rsidR="00AF252A" w:rsidRPr="00C00255" w:rsidRDefault="00AF252A" w:rsidP="00321748">
      <w:pPr>
        <w:pStyle w:val="ListParagraph"/>
        <w:numPr>
          <w:ilvl w:val="1"/>
          <w:numId w:val="6"/>
        </w:numPr>
        <w:spacing w:before="120" w:after="120"/>
        <w:ind w:left="992" w:hanging="992"/>
        <w:contextualSpacing w:val="0"/>
      </w:pPr>
      <w:r w:rsidRPr="00A81196">
        <w:t>Nuosprendyje nurodyta, kad</w:t>
      </w:r>
      <w:r w:rsidR="00C548F7" w:rsidRPr="00A81196">
        <w:t>,</w:t>
      </w:r>
      <w:r w:rsidRPr="00A81196">
        <w:t xml:space="preserve"> užimant LRT pastatą, 42-osios divizijos mokomosios specialios</w:t>
      </w:r>
      <w:r w:rsidR="00560E9C" w:rsidRPr="00A81196">
        <w:t>ios</w:t>
      </w:r>
      <w:r w:rsidRPr="00A81196">
        <w:t xml:space="preserve"> paskirties kuopos kariškiai prieš civilius naudojo šviesos ir garso granatas „Zaria“, specialiąsias priemones „Čeriomucha“, gumines lazdas PR-73, imitacines priemones – imitacinius sprogstamuosius įtaisus, dūminius užtaisus DM-I1, taip pat šaudė iš 7,62</w:t>
      </w:r>
      <w:r w:rsidR="00C548F7" w:rsidRPr="00A81196">
        <w:t> </w:t>
      </w:r>
      <w:r w:rsidRPr="00A81196">
        <w:t xml:space="preserve">mm kalibro SVD šautuvų ir automatinių ginklų AKMS. Dėl to, pirmosios instancijos teismo nuomone, </w:t>
      </w:r>
      <w:r w:rsidR="00DC0414" w:rsidRPr="00A81196">
        <w:t>J. S.</w:t>
      </w:r>
      <w:r w:rsidRPr="00A81196">
        <w:t xml:space="preserve"> yra kaltas, kad kartu su grupės </w:t>
      </w:r>
      <w:r w:rsidR="004B5EC0" w:rsidRPr="00A81196">
        <w:t>„</w:t>
      </w:r>
      <w:r w:rsidRPr="00A81196">
        <w:t>A</w:t>
      </w:r>
      <w:r w:rsidR="004B5EC0" w:rsidRPr="00A81196">
        <w:t>“</w:t>
      </w:r>
      <w:r w:rsidRPr="00A81196">
        <w:t xml:space="preserve"> ir mokomosios specialiosios paskirties kariškiais, panaudodami šviesos ir garso sprogstamuosius įtaisus, nužudė </w:t>
      </w:r>
      <w:r w:rsidR="004E4879" w:rsidRPr="00A81196">
        <w:t>A. K.</w:t>
      </w:r>
      <w:r w:rsidRPr="00A81196">
        <w:t xml:space="preserve"> ir sunkiai sutrikdė </w:t>
      </w:r>
      <w:r w:rsidR="004E4879" w:rsidRPr="00A81196">
        <w:t>K. B.</w:t>
      </w:r>
      <w:r w:rsidRPr="00A81196">
        <w:t xml:space="preserve"> bei </w:t>
      </w:r>
      <w:r w:rsidR="004E4879" w:rsidRPr="00A81196">
        <w:t>A. V.</w:t>
      </w:r>
      <w:r w:rsidRPr="00A81196">
        <w:t xml:space="preserve"> sveikatą, taip pat sunkiai</w:t>
      </w:r>
      <w:r w:rsidR="008434B8" w:rsidRPr="00A81196">
        <w:t xml:space="preserve"> </w:t>
      </w:r>
      <w:r w:rsidR="004E4879" w:rsidRPr="00A81196">
        <w:t>sužalojo P. </w:t>
      </w:r>
      <w:r w:rsidRPr="00A81196">
        <w:t>L</w:t>
      </w:r>
      <w:r w:rsidR="004E4879" w:rsidRPr="00A81196">
        <w:t>.</w:t>
      </w:r>
      <w:r w:rsidRPr="00A81196">
        <w:t xml:space="preserve">, </w:t>
      </w:r>
      <w:r w:rsidR="004E4879" w:rsidRPr="00A81196">
        <w:t>V. B.</w:t>
      </w:r>
      <w:r w:rsidRPr="00A81196">
        <w:t xml:space="preserve">, </w:t>
      </w:r>
      <w:r w:rsidR="004E4879" w:rsidRPr="00A81196">
        <w:t>V. B.</w:t>
      </w:r>
      <w:r w:rsidRPr="00A81196">
        <w:t>, K. Č</w:t>
      </w:r>
      <w:r w:rsidR="004E4879" w:rsidRPr="00A81196">
        <w:t>.</w:t>
      </w:r>
      <w:r w:rsidRPr="00A81196">
        <w:t>. Prie LRT taip pat buvo nesunkiai sužaloti 108</w:t>
      </w:r>
      <w:r w:rsidR="00C548F7" w:rsidRPr="00A81196">
        <w:t>, o</w:t>
      </w:r>
      <w:r w:rsidRPr="00A81196">
        <w:t xml:space="preserve"> nežymiai – 95 civiliai. Byloje neįrodyta, kad </w:t>
      </w:r>
      <w:r w:rsidR="00DC0414" w:rsidRPr="00A81196">
        <w:t>J. S.</w:t>
      </w:r>
      <w:r w:rsidRPr="00A81196">
        <w:t xml:space="preserve"> įvykio metu prieš civilius asmenis panaudojo kokius nors ginklus ar prieš juos smurtavo. Nuosprendyje </w:t>
      </w:r>
      <w:r w:rsidR="00DC0414" w:rsidRPr="00A81196">
        <w:t>J. S.</w:t>
      </w:r>
      <w:r w:rsidRPr="00A81196">
        <w:t xml:space="preserve"> veiksmai tinkamai neindividualizuoti. Jam inkriminuoti bendrai visų LRT šturme dalyvavusių kariškių padaryti veiksmai, todėl jis nepagrįstai nuteistas už tai, ko nepadarė</w:t>
      </w:r>
      <w:r w:rsidRPr="00C00255">
        <w:rPr>
          <w:szCs w:val="24"/>
        </w:rPr>
        <w:t xml:space="preserve">. </w:t>
      </w:r>
    </w:p>
    <w:p w:rsidR="00AF252A" w:rsidRPr="00C00255" w:rsidRDefault="00DC0414" w:rsidP="00321748">
      <w:pPr>
        <w:pStyle w:val="ListParagraph"/>
        <w:numPr>
          <w:ilvl w:val="1"/>
          <w:numId w:val="6"/>
        </w:numPr>
        <w:spacing w:before="120" w:after="120"/>
        <w:ind w:left="992" w:hanging="992"/>
        <w:contextualSpacing w:val="0"/>
      </w:pPr>
      <w:r w:rsidRPr="00A81196">
        <w:t>J. S.</w:t>
      </w:r>
      <w:r w:rsidR="00AF252A" w:rsidRPr="00A81196">
        <w:t xml:space="preserve">, apklaustas kaip liudytojas, parodė, kad prieš civilius naudojo tik guminę lazdą, vyrams smūgiavo nestipriai per šlaunis ir sėdmenis, kai šie nevykdė nurodymo pasitraukti nuo LRT pastato. Dėl tokių </w:t>
      </w:r>
      <w:r w:rsidRPr="00A81196">
        <w:t>J. S.</w:t>
      </w:r>
      <w:r w:rsidR="00AF252A" w:rsidRPr="00A81196">
        <w:t xml:space="preserve"> veiksmų civiliams galėjo būti padaryti nežymūs sveikatos sutrikdymai arba tokie veiksmai jiems galėjo sukelti fizinį skausmą, o ne sunkius kūno sužalojimus ar mirtį. Be to, įvykio metu </w:t>
      </w:r>
      <w:r w:rsidRPr="00A81196">
        <w:t>J. S.</w:t>
      </w:r>
      <w:r w:rsidR="00AF252A" w:rsidRPr="00A81196">
        <w:t xml:space="preserve"> taip pat buvo nežymiai sutrikdyta sveikata, nes civiliai jam sudavė kelis smūgius į įvairias kūno vietas</w:t>
      </w:r>
      <w:r w:rsidR="00AF252A" w:rsidRPr="00C00255">
        <w:rPr>
          <w:szCs w:val="24"/>
        </w:rPr>
        <w:t>.</w:t>
      </w:r>
    </w:p>
    <w:p w:rsidR="00AF252A" w:rsidRPr="00A81196" w:rsidRDefault="00AF252A" w:rsidP="00321748">
      <w:pPr>
        <w:pStyle w:val="ListParagraph"/>
        <w:numPr>
          <w:ilvl w:val="1"/>
          <w:numId w:val="6"/>
        </w:numPr>
        <w:spacing w:before="120" w:after="120"/>
        <w:ind w:left="992" w:hanging="992"/>
        <w:contextualSpacing w:val="0"/>
      </w:pPr>
      <w:r w:rsidRPr="00A81196">
        <w:rPr>
          <w:szCs w:val="24"/>
        </w:rPr>
        <w:t xml:space="preserve">Apeliaciniame skunde gynėjas nurodo, kad per visą procesą nebuvo tinkamai nustatytos </w:t>
      </w:r>
      <w:r w:rsidR="004E4879" w:rsidRPr="00A81196">
        <w:rPr>
          <w:szCs w:val="24"/>
        </w:rPr>
        <w:t>A. K.</w:t>
      </w:r>
      <w:r w:rsidRPr="00A81196">
        <w:rPr>
          <w:szCs w:val="24"/>
        </w:rPr>
        <w:t xml:space="preserve">, </w:t>
      </w:r>
      <w:r w:rsidR="004E4879" w:rsidRPr="00A81196">
        <w:rPr>
          <w:szCs w:val="24"/>
        </w:rPr>
        <w:t>K. B.</w:t>
      </w:r>
      <w:r w:rsidRPr="00A81196">
        <w:rPr>
          <w:szCs w:val="24"/>
        </w:rPr>
        <w:t xml:space="preserve"> ir kitų nukentėjusiųjų prie LRT pastato sužalojimo aplinkybės. </w:t>
      </w:r>
    </w:p>
    <w:p w:rsidR="00AF252A" w:rsidRPr="00A81196" w:rsidRDefault="00AF252A" w:rsidP="00321748">
      <w:pPr>
        <w:pStyle w:val="ListParagraph"/>
        <w:numPr>
          <w:ilvl w:val="2"/>
          <w:numId w:val="6"/>
        </w:numPr>
        <w:spacing w:before="120" w:after="120"/>
        <w:ind w:left="992" w:hanging="992"/>
        <w:contextualSpacing w:val="0"/>
      </w:pPr>
      <w:r w:rsidRPr="00A81196">
        <w:t xml:space="preserve">Gynėjas skunde analizuoja liudytojų </w:t>
      </w:r>
      <w:r w:rsidR="002F1EB0" w:rsidRPr="00A81196">
        <w:t>S. K.</w:t>
      </w:r>
      <w:r w:rsidRPr="00A81196">
        <w:t xml:space="preserve">, </w:t>
      </w:r>
      <w:r w:rsidR="002F1EB0" w:rsidRPr="00A81196">
        <w:t>K. M.</w:t>
      </w:r>
      <w:r w:rsidRPr="00A81196">
        <w:t xml:space="preserve">, nukentėjusiojo </w:t>
      </w:r>
      <w:r w:rsidR="00E420BD" w:rsidRPr="00A81196">
        <w:t>Ž. J.</w:t>
      </w:r>
      <w:r w:rsidRPr="00A81196">
        <w:t xml:space="preserve"> duotus parodymus apie įvykio prie LRT pastato aplinkybes ir, atsižvelgęs į kitų liudytojų R. B</w:t>
      </w:r>
      <w:r w:rsidR="00E420BD" w:rsidRPr="00A81196">
        <w:t>.</w:t>
      </w:r>
      <w:r w:rsidRPr="00A81196">
        <w:t>, B. J</w:t>
      </w:r>
      <w:r w:rsidR="00E420BD" w:rsidRPr="00A81196">
        <w:t>.</w:t>
      </w:r>
      <w:r w:rsidRPr="00A81196">
        <w:t>, A.</w:t>
      </w:r>
      <w:r w:rsidR="00C548F7" w:rsidRPr="00A81196">
        <w:t> </w:t>
      </w:r>
      <w:r w:rsidRPr="00A81196">
        <w:t>S.</w:t>
      </w:r>
      <w:r w:rsidR="00C548F7" w:rsidRPr="00A81196">
        <w:t> </w:t>
      </w:r>
      <w:r w:rsidRPr="00A81196">
        <w:t>K</w:t>
      </w:r>
      <w:r w:rsidR="00E420BD" w:rsidRPr="00A81196">
        <w:t>., D. </w:t>
      </w:r>
      <w:r w:rsidRPr="00A81196">
        <w:t>M</w:t>
      </w:r>
      <w:r w:rsidR="00E420BD" w:rsidRPr="00A81196">
        <w:t>.</w:t>
      </w:r>
      <w:r w:rsidRPr="00A81196">
        <w:t>, A. M</w:t>
      </w:r>
      <w:r w:rsidR="00E420BD" w:rsidRPr="00A81196">
        <w:t>.</w:t>
      </w:r>
      <w:r w:rsidRPr="00A81196">
        <w:t>, M. M</w:t>
      </w:r>
      <w:r w:rsidR="00E420BD" w:rsidRPr="00A81196">
        <w:t>.</w:t>
      </w:r>
      <w:r w:rsidRPr="00A81196">
        <w:t>, A. N</w:t>
      </w:r>
      <w:r w:rsidR="00E420BD" w:rsidRPr="00A81196">
        <w:t>., B. S., A. </w:t>
      </w:r>
      <w:r w:rsidRPr="00A81196">
        <w:t>Ž</w:t>
      </w:r>
      <w:r w:rsidR="00E420BD" w:rsidRPr="00A81196">
        <w:t>.</w:t>
      </w:r>
      <w:r w:rsidRPr="00A81196">
        <w:t xml:space="preserve"> parodymus, medicinos ekspertų išvadas dėl </w:t>
      </w:r>
      <w:r w:rsidR="004E4879" w:rsidRPr="00A81196">
        <w:t>A. K.</w:t>
      </w:r>
      <w:r w:rsidRPr="00A81196">
        <w:t xml:space="preserve"> ir </w:t>
      </w:r>
      <w:r w:rsidR="004E4879" w:rsidRPr="00A81196">
        <w:t>K. B.</w:t>
      </w:r>
      <w:r w:rsidRPr="00A81196">
        <w:t xml:space="preserve"> padarytų sužalojimų, kitus rašytinius įrodymus, sprendžia, kad sprogstamasis užtaisas galėjo sprogti </w:t>
      </w:r>
      <w:r w:rsidR="004E4879" w:rsidRPr="00A81196">
        <w:t>K. B.</w:t>
      </w:r>
      <w:r w:rsidRPr="00A81196">
        <w:t xml:space="preserve">, o ne </w:t>
      </w:r>
      <w:r w:rsidR="004E4879" w:rsidRPr="00A81196">
        <w:t>A. K.</w:t>
      </w:r>
      <w:r w:rsidRPr="00A81196">
        <w:t xml:space="preserve"> rankose. Gynėjo teigimu, </w:t>
      </w:r>
      <w:r w:rsidR="004E4879" w:rsidRPr="00A81196">
        <w:t>A. K.</w:t>
      </w:r>
      <w:r w:rsidRPr="00A81196">
        <w:t xml:space="preserve"> ir Ž. J</w:t>
      </w:r>
      <w:r w:rsidR="00E420BD" w:rsidRPr="00A81196">
        <w:t>.</w:t>
      </w:r>
      <w:r w:rsidRPr="00A81196">
        <w:t xml:space="preserve"> galėjo susižaloti nuo </w:t>
      </w:r>
      <w:r w:rsidR="004E4879" w:rsidRPr="00A81196">
        <w:lastRenderedPageBreak/>
        <w:t>K. B.</w:t>
      </w:r>
      <w:r w:rsidRPr="00A81196">
        <w:t xml:space="preserve"> rankose sprogusio užtaiso. Būtent apie </w:t>
      </w:r>
      <w:r w:rsidR="004E4879" w:rsidRPr="00A81196">
        <w:t>K. B.</w:t>
      </w:r>
      <w:r w:rsidRPr="00A81196">
        <w:t xml:space="preserve"> sužalojimą davė parodymus liudytojas </w:t>
      </w:r>
      <w:r w:rsidR="002F1EB0" w:rsidRPr="00A81196">
        <w:t>S. K.</w:t>
      </w:r>
      <w:r w:rsidRPr="00A81196">
        <w:t xml:space="preserve">, nors </w:t>
      </w:r>
      <w:r w:rsidR="004E4879" w:rsidRPr="00A81196">
        <w:t>K. B.</w:t>
      </w:r>
      <w:r w:rsidRPr="00A81196">
        <w:t xml:space="preserve"> neminėjo, kad sprogstamasis įtaisas galėjo sprogti jo rankose.</w:t>
      </w:r>
      <w:r w:rsidR="00660130" w:rsidRPr="00A81196">
        <w:t xml:space="preserve"> </w:t>
      </w:r>
    </w:p>
    <w:p w:rsidR="00AF252A" w:rsidRPr="00C00255" w:rsidRDefault="00AF252A" w:rsidP="00321748">
      <w:pPr>
        <w:pStyle w:val="ListParagraph"/>
        <w:numPr>
          <w:ilvl w:val="2"/>
          <w:numId w:val="6"/>
        </w:numPr>
        <w:spacing w:before="120" w:after="120"/>
        <w:ind w:left="992" w:hanging="992"/>
        <w:contextualSpacing w:val="0"/>
      </w:pPr>
      <w:r w:rsidRPr="00A81196">
        <w:rPr>
          <w:szCs w:val="24"/>
        </w:rPr>
        <w:t xml:space="preserve">Atlikus iš </w:t>
      </w:r>
      <w:r w:rsidR="004E4879" w:rsidRPr="00A81196">
        <w:rPr>
          <w:szCs w:val="24"/>
        </w:rPr>
        <w:t>K. B.</w:t>
      </w:r>
      <w:r w:rsidRPr="00A81196">
        <w:rPr>
          <w:szCs w:val="24"/>
        </w:rPr>
        <w:t xml:space="preserve"> kūno išimtų skeveldrų tyrimą, nustatyta, jog greičiausiai tai šviesos ir garso (sprogimo) efekto pirotechnikos gaminių fragmentai. K</w:t>
      </w:r>
      <w:r w:rsidR="004B5EC0" w:rsidRPr="00A81196">
        <w:rPr>
          <w:szCs w:val="24"/>
        </w:rPr>
        <w:t>onkrečios gaminio markės ar modelio</w:t>
      </w:r>
      <w:r w:rsidRPr="00A81196">
        <w:rPr>
          <w:szCs w:val="24"/>
        </w:rPr>
        <w:t xml:space="preserve"> nustatyti negalima, nes buvo pateikta per mažai išlikusių fragmentų. Iš </w:t>
      </w:r>
      <w:r w:rsidR="004E4879" w:rsidRPr="00A81196">
        <w:rPr>
          <w:szCs w:val="24"/>
        </w:rPr>
        <w:t>A. K.</w:t>
      </w:r>
      <w:r w:rsidRPr="00A81196">
        <w:rPr>
          <w:szCs w:val="24"/>
        </w:rPr>
        <w:t xml:space="preserve"> kūno išimtų skeveldrų pirminis tyrimas nebuvo informatyvus, nes ekspertas apskritai negalėjo identifikuoti įtaiso. Atlikus šių skeveldrų kriminalistinį tyrimą, pavyko tik nustatyti, kad skeveldros priklauso sprogstamajam įtaisui. Tai patvirtino ir kompleksinės teismo medicinos-kriminalistinės ekspertizės aktas Nr. 11-292/11-612. Atlikus šviesos ir garso granatų „Zaria-2“ liekanų, skeveldrų ir sudedamųjų dalių tyrimą, nustatyta, kad iš </w:t>
      </w:r>
      <w:r w:rsidR="004E4879" w:rsidRPr="00A81196">
        <w:rPr>
          <w:szCs w:val="24"/>
        </w:rPr>
        <w:t>A. K.</w:t>
      </w:r>
      <w:r w:rsidRPr="00A81196">
        <w:rPr>
          <w:szCs w:val="24"/>
        </w:rPr>
        <w:t xml:space="preserve"> kūno išimta skeveldra yra šviesos ir garso sprogstamojo įtaiso korpuso apsauginio apvalkalo dalis. </w:t>
      </w:r>
      <w:r w:rsidR="004B5EC0" w:rsidRPr="00A81196">
        <w:rPr>
          <w:szCs w:val="24"/>
        </w:rPr>
        <w:t>Ši </w:t>
      </w:r>
      <w:r w:rsidRPr="00A81196">
        <w:rPr>
          <w:szCs w:val="24"/>
        </w:rPr>
        <w:t xml:space="preserve">išvada paneigta, 2012 m. spalio 15 d. atlikus naują tyrimą Nr. 11-2368(12). </w:t>
      </w:r>
      <w:r w:rsidR="004B5EC0" w:rsidRPr="00A81196">
        <w:rPr>
          <w:szCs w:val="24"/>
        </w:rPr>
        <w:t>2014 m. sausio </w:t>
      </w:r>
      <w:r w:rsidRPr="00A81196">
        <w:rPr>
          <w:szCs w:val="24"/>
        </w:rPr>
        <w:t xml:space="preserve">13 d. specialisto išvadoje Nr. 140-(3898)-ISl-126 jau nurodoma, kad tikimiausia – tai šviesos ir garso efekto (sprogimo), pirotechnikos gaminių fragmentai. Taigi visi keturi tyrimai nepateikė kategoriškos išvados, kad </w:t>
      </w:r>
      <w:r w:rsidR="004E4879" w:rsidRPr="00A81196">
        <w:rPr>
          <w:szCs w:val="24"/>
        </w:rPr>
        <w:t>A. K.</w:t>
      </w:r>
      <w:r w:rsidRPr="00A81196">
        <w:rPr>
          <w:szCs w:val="24"/>
        </w:rPr>
        <w:t xml:space="preserve"> nukentėjo nuo šviesos ir garso granatos „Zaria“. Kiti sprogstamieji įtaisai, granatos ir pan. specialistams nebuvo teikiami, todėl taip ir liko neaišku, nuo kokio įtaiso padarytų sužalojimų mirė nukentėjusysis</w:t>
      </w:r>
      <w:r w:rsidRPr="00C00255">
        <w:rPr>
          <w:szCs w:val="24"/>
        </w:rPr>
        <w:t xml:space="preserve">. </w:t>
      </w:r>
    </w:p>
    <w:p w:rsidR="00AF252A" w:rsidRPr="00A81196" w:rsidRDefault="00AF252A" w:rsidP="00321748">
      <w:pPr>
        <w:pStyle w:val="ListParagraph"/>
        <w:numPr>
          <w:ilvl w:val="2"/>
          <w:numId w:val="6"/>
        </w:numPr>
        <w:spacing w:before="120" w:after="120"/>
        <w:ind w:left="992" w:hanging="992"/>
        <w:contextualSpacing w:val="0"/>
      </w:pPr>
      <w:r w:rsidRPr="00A81196">
        <w:rPr>
          <w:szCs w:val="24"/>
        </w:rPr>
        <w:t xml:space="preserve">Nukentėjusiųjų ir liudytojų parodymai yra neišsamūs, prokurorų užduotyse atlikti objektų tyrimus nurodyti prieštaringi duomenys dėl galimybės pateikti sprogstamąsias liekanas, paimtas iš </w:t>
      </w:r>
      <w:r w:rsidR="004E4879" w:rsidRPr="00A81196">
        <w:rPr>
          <w:szCs w:val="24"/>
        </w:rPr>
        <w:t>A. K.</w:t>
      </w:r>
      <w:r w:rsidRPr="00A81196">
        <w:rPr>
          <w:szCs w:val="24"/>
        </w:rPr>
        <w:t xml:space="preserve"> kūno (vienu atveju nurodoma, kad liekanos prarastos, vėliau visgi </w:t>
      </w:r>
      <w:r w:rsidR="00A249F4" w:rsidRPr="00A81196">
        <w:rPr>
          <w:szCs w:val="24"/>
        </w:rPr>
        <w:t xml:space="preserve">jos </w:t>
      </w:r>
      <w:r w:rsidRPr="00A81196">
        <w:rPr>
          <w:szCs w:val="24"/>
        </w:rPr>
        <w:t>vėl pateikiam</w:t>
      </w:r>
      <w:r w:rsidR="00151919" w:rsidRPr="00A81196">
        <w:rPr>
          <w:szCs w:val="24"/>
        </w:rPr>
        <w:t>os</w:t>
      </w:r>
      <w:r w:rsidRPr="00A81196">
        <w:rPr>
          <w:szCs w:val="24"/>
        </w:rPr>
        <w:t xml:space="preserve"> kitam tyrimui), neaišku, kokiais pateiktais objektais </w:t>
      </w:r>
      <w:r w:rsidR="00151919" w:rsidRPr="00A81196">
        <w:rPr>
          <w:szCs w:val="24"/>
        </w:rPr>
        <w:t xml:space="preserve">remiantis </w:t>
      </w:r>
      <w:r w:rsidRPr="00A81196">
        <w:rPr>
          <w:szCs w:val="24"/>
        </w:rPr>
        <w:t>buvo atliekamas 2014 m. tyrimas Nr. 140-(3898)-ISl-126 (skundo 50 lapas, 140 punktas).</w:t>
      </w:r>
    </w:p>
    <w:p w:rsidR="00AF252A" w:rsidRPr="00A81196" w:rsidRDefault="00AF252A" w:rsidP="00321748">
      <w:pPr>
        <w:pStyle w:val="ListParagraph"/>
        <w:numPr>
          <w:ilvl w:val="2"/>
          <w:numId w:val="6"/>
        </w:numPr>
        <w:spacing w:before="120" w:after="120"/>
        <w:ind w:left="992" w:hanging="992"/>
        <w:contextualSpacing w:val="0"/>
      </w:pPr>
      <w:r w:rsidRPr="00A81196">
        <w:rPr>
          <w:szCs w:val="24"/>
        </w:rPr>
        <w:t xml:space="preserve">Specialistas J. Andriškevičius teismo posėdyje paaiškino, kad nuo specialiosios paskirties kuopos kariškių panaudotų šviesos ir garso sprogstamųjų įtaisų „Zaria“ ir specialiųjų priemonių „Čeriomucha“, imitacinių sprogstamųjų įtaisų, dūminių užtaisų negalėjo atsirasti </w:t>
      </w:r>
      <w:r w:rsidR="004E4879" w:rsidRPr="00A81196">
        <w:rPr>
          <w:szCs w:val="24"/>
        </w:rPr>
        <w:t>A. K.</w:t>
      </w:r>
      <w:r w:rsidRPr="00A81196">
        <w:rPr>
          <w:szCs w:val="24"/>
        </w:rPr>
        <w:t xml:space="preserve">, </w:t>
      </w:r>
      <w:r w:rsidR="004E4879" w:rsidRPr="00A81196">
        <w:rPr>
          <w:szCs w:val="24"/>
        </w:rPr>
        <w:t>K. B.</w:t>
      </w:r>
      <w:r w:rsidR="00E420BD" w:rsidRPr="00A81196">
        <w:rPr>
          <w:szCs w:val="24"/>
        </w:rPr>
        <w:t xml:space="preserve"> ir A. </w:t>
      </w:r>
      <w:r w:rsidRPr="00A81196">
        <w:rPr>
          <w:szCs w:val="24"/>
        </w:rPr>
        <w:t>V</w:t>
      </w:r>
      <w:r w:rsidR="00E420BD" w:rsidRPr="00A81196">
        <w:rPr>
          <w:szCs w:val="24"/>
        </w:rPr>
        <w:t>.</w:t>
      </w:r>
      <w:r w:rsidRPr="00A81196">
        <w:rPr>
          <w:szCs w:val="24"/>
        </w:rPr>
        <w:t xml:space="preserve"> nustatyti sužalojimai, kurių atsiradimą </w:t>
      </w:r>
      <w:r w:rsidR="004B5EC0" w:rsidRPr="00A81196">
        <w:rPr>
          <w:szCs w:val="24"/>
        </w:rPr>
        <w:t>nulėmė</w:t>
      </w:r>
      <w:r w:rsidRPr="00A81196">
        <w:rPr>
          <w:szCs w:val="24"/>
        </w:rPr>
        <w:t xml:space="preserve"> kiti nepaminėti jo </w:t>
      </w:r>
      <w:r w:rsidR="00156790" w:rsidRPr="00A81196">
        <w:rPr>
          <w:szCs w:val="24"/>
        </w:rPr>
        <w:t>išvadoje ir tyrimo metu</w:t>
      </w:r>
      <w:r w:rsidRPr="00A81196">
        <w:rPr>
          <w:szCs w:val="24"/>
        </w:rPr>
        <w:t xml:space="preserve"> nenustatyti sprogstamieji užtaisai.</w:t>
      </w:r>
    </w:p>
    <w:p w:rsidR="00AF252A" w:rsidRPr="00A81196" w:rsidRDefault="00AF252A" w:rsidP="00321748">
      <w:pPr>
        <w:pStyle w:val="ListParagraph"/>
        <w:numPr>
          <w:ilvl w:val="2"/>
          <w:numId w:val="6"/>
        </w:numPr>
        <w:spacing w:before="120" w:after="120"/>
        <w:ind w:left="992" w:hanging="992"/>
        <w:contextualSpacing w:val="0"/>
      </w:pPr>
      <w:r w:rsidRPr="00A81196">
        <w:rPr>
          <w:szCs w:val="24"/>
        </w:rPr>
        <w:t xml:space="preserve">Gynėjas nurodo, kad </w:t>
      </w:r>
      <w:r w:rsidR="004E4879" w:rsidRPr="00A81196">
        <w:rPr>
          <w:szCs w:val="24"/>
        </w:rPr>
        <w:t>K. B.</w:t>
      </w:r>
      <w:r w:rsidRPr="00A81196">
        <w:rPr>
          <w:szCs w:val="24"/>
        </w:rPr>
        <w:t>, paimdamas į rankas sprogstamąjį užtaisą, elgėsi neapdairiai ir rizikingai, nes turėjo ir galėjo numatyti galim</w:t>
      </w:r>
      <w:r w:rsidR="00C548F7" w:rsidRPr="00A81196">
        <w:rPr>
          <w:szCs w:val="24"/>
        </w:rPr>
        <w:t>u</w:t>
      </w:r>
      <w:r w:rsidRPr="00A81196">
        <w:rPr>
          <w:szCs w:val="24"/>
        </w:rPr>
        <w:t>s tokio savo elgesio pa</w:t>
      </w:r>
      <w:r w:rsidR="00C548F7" w:rsidRPr="00A81196">
        <w:rPr>
          <w:szCs w:val="24"/>
        </w:rPr>
        <w:t>darinius</w:t>
      </w:r>
      <w:r w:rsidRPr="00A81196">
        <w:rPr>
          <w:szCs w:val="24"/>
        </w:rPr>
        <w:t>,</w:t>
      </w:r>
      <w:r w:rsidR="004B5EC0" w:rsidRPr="00A81196">
        <w:rPr>
          <w:szCs w:val="24"/>
        </w:rPr>
        <w:t xml:space="preserve"> t. </w:t>
      </w:r>
      <w:r w:rsidRPr="00A81196">
        <w:rPr>
          <w:szCs w:val="24"/>
        </w:rPr>
        <w:t xml:space="preserve">y. kad užtaisui sprogus jo rankose bus sužalotas jis pats ir kiti šalia </w:t>
      </w:r>
      <w:r w:rsidR="0095714D" w:rsidRPr="00A81196">
        <w:rPr>
          <w:szCs w:val="24"/>
        </w:rPr>
        <w:t xml:space="preserve">esantys </w:t>
      </w:r>
      <w:r w:rsidRPr="00A81196">
        <w:rPr>
          <w:szCs w:val="24"/>
        </w:rPr>
        <w:t xml:space="preserve">asmenys. Taigi </w:t>
      </w:r>
      <w:r w:rsidR="004E4879" w:rsidRPr="00A81196">
        <w:rPr>
          <w:szCs w:val="24"/>
        </w:rPr>
        <w:t>A. K.</w:t>
      </w:r>
      <w:r w:rsidRPr="00A81196">
        <w:rPr>
          <w:szCs w:val="24"/>
        </w:rPr>
        <w:t xml:space="preserve"> mirė dėl neatsargaus </w:t>
      </w:r>
      <w:r w:rsidR="004E4879" w:rsidRPr="00A81196">
        <w:rPr>
          <w:szCs w:val="24"/>
        </w:rPr>
        <w:t>K. B.</w:t>
      </w:r>
      <w:r w:rsidR="00156790" w:rsidRPr="00A81196">
        <w:rPr>
          <w:szCs w:val="24"/>
        </w:rPr>
        <w:t xml:space="preserve"> veikimo. Pasak gynėjo, jeigu bū</w:t>
      </w:r>
      <w:r w:rsidRPr="00A81196">
        <w:rPr>
          <w:szCs w:val="24"/>
        </w:rPr>
        <w:t>tų nustatytas kariškis</w:t>
      </w:r>
      <w:r w:rsidR="00C548F7" w:rsidRPr="00A81196">
        <w:rPr>
          <w:szCs w:val="24"/>
        </w:rPr>
        <w:t>,</w:t>
      </w:r>
      <w:r w:rsidRPr="00A81196">
        <w:rPr>
          <w:szCs w:val="24"/>
        </w:rPr>
        <w:t xml:space="preserve"> nuo kurio </w:t>
      </w:r>
      <w:r w:rsidR="0095714D" w:rsidRPr="00A81196">
        <w:rPr>
          <w:szCs w:val="24"/>
        </w:rPr>
        <w:t xml:space="preserve">naudoto </w:t>
      </w:r>
      <w:r w:rsidRPr="00A81196">
        <w:rPr>
          <w:szCs w:val="24"/>
        </w:rPr>
        <w:t xml:space="preserve">sprogstamojo įtaiso nukentėjo </w:t>
      </w:r>
      <w:r w:rsidR="004E4879" w:rsidRPr="00A81196">
        <w:rPr>
          <w:szCs w:val="24"/>
        </w:rPr>
        <w:t>A. K.</w:t>
      </w:r>
      <w:r w:rsidRPr="00A81196">
        <w:rPr>
          <w:szCs w:val="24"/>
        </w:rPr>
        <w:t>, jam galėtų būti pareikštas kaltinimas dėl neats</w:t>
      </w:r>
      <w:r w:rsidR="00156790" w:rsidRPr="00A81196">
        <w:rPr>
          <w:szCs w:val="24"/>
        </w:rPr>
        <w:t>argaus gyvybės atėmimo, tačiau dėl tokio nusikaltimo</w:t>
      </w:r>
      <w:r w:rsidRPr="00A81196">
        <w:rPr>
          <w:szCs w:val="24"/>
        </w:rPr>
        <w:t xml:space="preserve"> yra suėjęs apkaltinamojo nuosprendžio priėmimo senaties terminas. </w:t>
      </w:r>
    </w:p>
    <w:p w:rsidR="00AF252A" w:rsidRPr="00A81196" w:rsidRDefault="00AF252A" w:rsidP="00321748">
      <w:pPr>
        <w:pStyle w:val="ListParagraph"/>
        <w:numPr>
          <w:ilvl w:val="1"/>
          <w:numId w:val="6"/>
        </w:numPr>
        <w:spacing w:before="120" w:after="120"/>
        <w:ind w:left="992" w:hanging="992"/>
        <w:contextualSpacing w:val="0"/>
      </w:pPr>
      <w:r w:rsidRPr="00A81196">
        <w:t xml:space="preserve">Byloje neįrodyta, kad VRM specialiosios paskirties kuopos kariai, taip pat ir </w:t>
      </w:r>
      <w:r w:rsidR="00DC0414" w:rsidRPr="00A81196">
        <w:t>J. S.</w:t>
      </w:r>
      <w:r w:rsidRPr="00A81196">
        <w:t>, įvykiuose prie LRT pastato naudojo sprogstamuosius įtaisus „Zaria“ ir „Čeriomucha“. N</w:t>
      </w:r>
      <w:r w:rsidR="00C548F7" w:rsidRPr="00A81196">
        <w:t>ė</w:t>
      </w:r>
      <w:r w:rsidRPr="00A81196">
        <w:t xml:space="preserve"> vienas iš apklaustų karinio dalinio </w:t>
      </w:r>
      <w:r w:rsidR="0095714D" w:rsidRPr="00A81196">
        <w:t>Nr. </w:t>
      </w:r>
      <w:r w:rsidRPr="00A81196">
        <w:t xml:space="preserve">7574 karininkų ir eilinių karių nenurodė, kad jiems buvo išduoti ir jie naudojo nurodytus sprogstamuosius įtaisus „Zaria“ ir „Čeriomucha“. </w:t>
      </w:r>
    </w:p>
    <w:p w:rsidR="00AF252A" w:rsidRPr="00A81196" w:rsidRDefault="004B5EC0" w:rsidP="00321748">
      <w:pPr>
        <w:pStyle w:val="ListParagraph"/>
        <w:numPr>
          <w:ilvl w:val="2"/>
          <w:numId w:val="6"/>
        </w:numPr>
        <w:spacing w:before="120" w:after="120"/>
        <w:ind w:left="992" w:hanging="992"/>
        <w:contextualSpacing w:val="0"/>
      </w:pPr>
      <w:r w:rsidRPr="00A81196">
        <w:rPr>
          <w:szCs w:val="24"/>
        </w:rPr>
        <w:t>Bylos 1</w:t>
      </w:r>
      <w:r w:rsidR="00AF252A" w:rsidRPr="00A81196">
        <w:rPr>
          <w:szCs w:val="24"/>
        </w:rPr>
        <w:t>25 ir 126</w:t>
      </w:r>
      <w:r w:rsidR="00AF252A" w:rsidRPr="00A81196">
        <w:t xml:space="preserve"> tomuose esantys karinio dalinio Nr. 7574 pateikti duomenys dėl panaudotų ginklų ir sprogstamųjų įtaisų yra prieštaringi. I</w:t>
      </w:r>
      <w:r w:rsidR="00E420BD" w:rsidRPr="00A81196">
        <w:t>š tarnybos viršininko majoro M. </w:t>
      </w:r>
      <w:r w:rsidR="00AF252A" w:rsidRPr="00A81196">
        <w:t>G</w:t>
      </w:r>
      <w:r w:rsidR="00E420BD" w:rsidRPr="00A81196">
        <w:t>. TSRS </w:t>
      </w:r>
      <w:r w:rsidR="00AF252A" w:rsidRPr="00A81196">
        <w:t>prokuratūros rašto ypatingųjų bylų tardytojui matyti, kad 1991 m. sausio 13</w:t>
      </w:r>
      <w:r w:rsidR="00C548F7" w:rsidRPr="00A81196">
        <w:t> </w:t>
      </w:r>
      <w:r w:rsidR="00AF252A" w:rsidRPr="00A81196">
        <w:t>d. įvykiuose buvo išnaudota: „Zaria“ – 16 vnt., „Čeriomucha-1“ – 3 vnt., „Čeriomucha-5“ – 10</w:t>
      </w:r>
      <w:r w:rsidR="00C548F7" w:rsidRPr="00A81196">
        <w:t> </w:t>
      </w:r>
      <w:r w:rsidR="00AF252A" w:rsidRPr="00A81196">
        <w:t>vnt., 17 vnt. 7,62 mm kalibro šovinių. Kitų specialiųjų priemonių ir šaudmenų</w:t>
      </w:r>
      <w:r w:rsidRPr="00A81196">
        <w:t>,</w:t>
      </w:r>
      <w:r w:rsidR="00AF252A" w:rsidRPr="00A81196">
        <w:t xml:space="preserve"> išnaudotų ir nurašytų</w:t>
      </w:r>
      <w:r w:rsidRPr="00A81196">
        <w:t>,</w:t>
      </w:r>
      <w:r w:rsidR="00AF252A" w:rsidRPr="00A81196">
        <w:t xml:space="preserve"> nebuvo (t. 125, b. l. 29). </w:t>
      </w:r>
    </w:p>
    <w:p w:rsidR="00AF252A" w:rsidRPr="00A81196" w:rsidRDefault="00AF252A" w:rsidP="00321748">
      <w:pPr>
        <w:pStyle w:val="ListParagraph"/>
        <w:numPr>
          <w:ilvl w:val="2"/>
          <w:numId w:val="6"/>
        </w:numPr>
        <w:spacing w:before="120" w:after="120"/>
        <w:ind w:left="992" w:hanging="992"/>
        <w:contextualSpacing w:val="0"/>
      </w:pPr>
      <w:r w:rsidRPr="00A81196">
        <w:rPr>
          <w:szCs w:val="24"/>
        </w:rPr>
        <w:t xml:space="preserve">Bylos </w:t>
      </w:r>
      <w:r w:rsidR="000D7D01" w:rsidRPr="00A81196">
        <w:rPr>
          <w:szCs w:val="24"/>
        </w:rPr>
        <w:t>92-ojo tomo</w:t>
      </w:r>
      <w:r w:rsidRPr="00A81196">
        <w:rPr>
          <w:szCs w:val="24"/>
        </w:rPr>
        <w:t xml:space="preserve"> </w:t>
      </w:r>
      <w:r w:rsidR="000D7D01" w:rsidRPr="00A81196">
        <w:rPr>
          <w:szCs w:val="24"/>
        </w:rPr>
        <w:t xml:space="preserve">97 lape </w:t>
      </w:r>
      <w:r w:rsidRPr="00A81196">
        <w:rPr>
          <w:szCs w:val="24"/>
        </w:rPr>
        <w:t>esančiame akte Nr. 80 nurodyta apie 17 vnt. kovinių šovinių (7,62 mm kalibro)</w:t>
      </w:r>
      <w:r w:rsidR="0095714D" w:rsidRPr="00A81196">
        <w:rPr>
          <w:szCs w:val="24"/>
        </w:rPr>
        <w:t>,</w:t>
      </w:r>
      <w:r w:rsidRPr="00A81196">
        <w:rPr>
          <w:szCs w:val="24"/>
        </w:rPr>
        <w:t xml:space="preserve"> </w:t>
      </w:r>
      <w:r w:rsidR="0095714D" w:rsidRPr="00A81196">
        <w:rPr>
          <w:szCs w:val="24"/>
        </w:rPr>
        <w:t xml:space="preserve">kuriuos išnaudojo eilinis </w:t>
      </w:r>
      <w:r w:rsidR="002F1EB0" w:rsidRPr="00A81196">
        <w:rPr>
          <w:szCs w:val="24"/>
        </w:rPr>
        <w:t>J. T.</w:t>
      </w:r>
      <w:r w:rsidR="0095714D" w:rsidRPr="00A81196">
        <w:rPr>
          <w:szCs w:val="24"/>
        </w:rPr>
        <w:t xml:space="preserve">, </w:t>
      </w:r>
      <w:r w:rsidRPr="00A81196">
        <w:rPr>
          <w:szCs w:val="24"/>
        </w:rPr>
        <w:t>nurašymą. To paties tomo 96</w:t>
      </w:r>
      <w:r w:rsidR="002D7EA2" w:rsidRPr="00A81196">
        <w:rPr>
          <w:szCs w:val="24"/>
        </w:rPr>
        <w:t> </w:t>
      </w:r>
      <w:r w:rsidR="00E420BD" w:rsidRPr="00A81196">
        <w:rPr>
          <w:szCs w:val="24"/>
        </w:rPr>
        <w:t xml:space="preserve">lape yra </w:t>
      </w:r>
      <w:r w:rsidR="00E420BD" w:rsidRPr="00A81196">
        <w:rPr>
          <w:szCs w:val="24"/>
        </w:rPr>
        <w:lastRenderedPageBreak/>
        <w:t>1990 </w:t>
      </w:r>
      <w:r w:rsidRPr="00A81196">
        <w:rPr>
          <w:szCs w:val="24"/>
        </w:rPr>
        <w:t>m gruodžio 16 d. aktas Nr. 81, kuriame nu</w:t>
      </w:r>
      <w:r w:rsidR="004B5EC0" w:rsidRPr="00A81196">
        <w:rPr>
          <w:szCs w:val="24"/>
        </w:rPr>
        <w:t>r</w:t>
      </w:r>
      <w:r w:rsidRPr="00A81196">
        <w:rPr>
          <w:szCs w:val="24"/>
        </w:rPr>
        <w:t xml:space="preserve">odyta apie </w:t>
      </w:r>
      <w:r w:rsidR="004B5EC0" w:rsidRPr="00A81196">
        <w:rPr>
          <w:szCs w:val="24"/>
        </w:rPr>
        <w:t>sprog</w:t>
      </w:r>
      <w:r w:rsidRPr="00A81196">
        <w:rPr>
          <w:szCs w:val="24"/>
        </w:rPr>
        <w:t>s</w:t>
      </w:r>
      <w:r w:rsidR="004B5EC0" w:rsidRPr="00A81196">
        <w:rPr>
          <w:szCs w:val="24"/>
        </w:rPr>
        <w:t>ta</w:t>
      </w:r>
      <w:r w:rsidRPr="00A81196">
        <w:rPr>
          <w:szCs w:val="24"/>
        </w:rPr>
        <w:t>mųjų įtaisų</w:t>
      </w:r>
      <w:r w:rsidR="0095714D" w:rsidRPr="00A81196">
        <w:rPr>
          <w:szCs w:val="24"/>
        </w:rPr>
        <w:t>:</w:t>
      </w:r>
      <w:r w:rsidR="00E420BD" w:rsidRPr="00A81196">
        <w:rPr>
          <w:szCs w:val="24"/>
        </w:rPr>
        <w:t xml:space="preserve"> „Zaria“ – 16 </w:t>
      </w:r>
      <w:r w:rsidRPr="00A81196">
        <w:rPr>
          <w:szCs w:val="24"/>
        </w:rPr>
        <w:t>vnt., „Čeriomucha-1“ – 3 vnt</w:t>
      </w:r>
      <w:r w:rsidR="000D7D01" w:rsidRPr="00A81196">
        <w:rPr>
          <w:szCs w:val="24"/>
        </w:rPr>
        <w:t>.</w:t>
      </w:r>
      <w:r w:rsidRPr="00A81196">
        <w:rPr>
          <w:szCs w:val="24"/>
        </w:rPr>
        <w:t>, „Čeriomucha-5“ – 10 vnt.</w:t>
      </w:r>
      <w:r w:rsidR="0095714D" w:rsidRPr="00A81196">
        <w:rPr>
          <w:szCs w:val="24"/>
        </w:rPr>
        <w:t>,</w:t>
      </w:r>
      <w:r w:rsidRPr="00A81196">
        <w:rPr>
          <w:szCs w:val="24"/>
        </w:rPr>
        <w:t xml:space="preserve"> </w:t>
      </w:r>
      <w:r w:rsidR="0095714D" w:rsidRPr="00A81196">
        <w:rPr>
          <w:szCs w:val="24"/>
        </w:rPr>
        <w:t xml:space="preserve">nurašymą. </w:t>
      </w:r>
      <w:r w:rsidRPr="00A81196">
        <w:rPr>
          <w:szCs w:val="24"/>
        </w:rPr>
        <w:t xml:space="preserve">Šį aktą Vilniuje </w:t>
      </w:r>
      <w:r w:rsidR="004B5EC0" w:rsidRPr="00A81196">
        <w:rPr>
          <w:szCs w:val="24"/>
        </w:rPr>
        <w:t xml:space="preserve">sudarė </w:t>
      </w:r>
      <w:r w:rsidR="00DC0414" w:rsidRPr="00A81196">
        <w:rPr>
          <w:szCs w:val="24"/>
        </w:rPr>
        <w:t>O. M.</w:t>
      </w:r>
      <w:r w:rsidRPr="00A81196">
        <w:rPr>
          <w:szCs w:val="24"/>
        </w:rPr>
        <w:t xml:space="preserve">, </w:t>
      </w:r>
      <w:r w:rsidR="00A97F74" w:rsidRPr="00A81196">
        <w:rPr>
          <w:szCs w:val="24"/>
        </w:rPr>
        <w:t>V. M.</w:t>
      </w:r>
      <w:r w:rsidRPr="00A81196">
        <w:rPr>
          <w:szCs w:val="24"/>
        </w:rPr>
        <w:t xml:space="preserve">, </w:t>
      </w:r>
      <w:r w:rsidR="00DC0414" w:rsidRPr="00A81196">
        <w:rPr>
          <w:szCs w:val="24"/>
        </w:rPr>
        <w:t>M. C.</w:t>
      </w:r>
      <w:r w:rsidR="00E420BD" w:rsidRPr="00A81196">
        <w:rPr>
          <w:szCs w:val="24"/>
        </w:rPr>
        <w:t>, K. </w:t>
      </w:r>
      <w:r w:rsidRPr="00A81196">
        <w:rPr>
          <w:szCs w:val="24"/>
        </w:rPr>
        <w:t>N</w:t>
      </w:r>
      <w:r w:rsidR="00E420BD" w:rsidRPr="00A81196">
        <w:rPr>
          <w:szCs w:val="24"/>
        </w:rPr>
        <w:t>.</w:t>
      </w:r>
      <w:r w:rsidRPr="00A81196">
        <w:rPr>
          <w:szCs w:val="24"/>
        </w:rPr>
        <w:t xml:space="preserve"> ir patvirtino 1990 m. gruodžio 21 d. karinio dalinio Nr. 7574 vadas </w:t>
      </w:r>
      <w:r w:rsidR="00A97F74" w:rsidRPr="00A81196">
        <w:rPr>
          <w:szCs w:val="24"/>
        </w:rPr>
        <w:t>S. F.</w:t>
      </w:r>
      <w:r w:rsidRPr="00A81196">
        <w:rPr>
          <w:szCs w:val="24"/>
        </w:rPr>
        <w:t>.</w:t>
      </w:r>
      <w:r w:rsidR="008434B8" w:rsidRPr="00A81196">
        <w:rPr>
          <w:szCs w:val="24"/>
        </w:rPr>
        <w:t xml:space="preserve"> </w:t>
      </w:r>
    </w:p>
    <w:p w:rsidR="00AF252A" w:rsidRPr="00A81196" w:rsidRDefault="00AF252A" w:rsidP="00321748">
      <w:pPr>
        <w:pStyle w:val="ListParagraph"/>
        <w:numPr>
          <w:ilvl w:val="2"/>
          <w:numId w:val="6"/>
        </w:numPr>
        <w:spacing w:before="120" w:after="120"/>
        <w:ind w:left="992" w:hanging="992"/>
        <w:contextualSpacing w:val="0"/>
      </w:pPr>
      <w:r w:rsidRPr="00A81196">
        <w:rPr>
          <w:szCs w:val="24"/>
        </w:rPr>
        <w:t>Liudyto</w:t>
      </w:r>
      <w:r w:rsidR="002D7EA2" w:rsidRPr="00A81196">
        <w:rPr>
          <w:szCs w:val="24"/>
        </w:rPr>
        <w:t>jo</w:t>
      </w:r>
      <w:r w:rsidR="00E420BD" w:rsidRPr="00A81196">
        <w:rPr>
          <w:szCs w:val="24"/>
        </w:rPr>
        <w:t xml:space="preserve"> K. </w:t>
      </w:r>
      <w:r w:rsidRPr="00A81196">
        <w:rPr>
          <w:szCs w:val="24"/>
        </w:rPr>
        <w:t>N</w:t>
      </w:r>
      <w:r w:rsidR="00E420BD" w:rsidRPr="00A81196">
        <w:rPr>
          <w:szCs w:val="24"/>
        </w:rPr>
        <w:t>.</w:t>
      </w:r>
      <w:r w:rsidRPr="00A81196">
        <w:rPr>
          <w:szCs w:val="24"/>
        </w:rPr>
        <w:t xml:space="preserve"> parodymai apie specialiųjų priemonių nurašymą </w:t>
      </w:r>
      <w:r w:rsidR="000D7D01" w:rsidRPr="00A81196">
        <w:rPr>
          <w:szCs w:val="24"/>
        </w:rPr>
        <w:t xml:space="preserve">yra </w:t>
      </w:r>
      <w:r w:rsidRPr="00A81196">
        <w:rPr>
          <w:szCs w:val="24"/>
        </w:rPr>
        <w:t>prieštaringi. Pradžioje jis nurodė, kad 1991 m. sausio 13 d. specialiosios priemonės nebuvo naudojamos; kad 1990 </w:t>
      </w:r>
      <w:r w:rsidR="00E420BD" w:rsidRPr="00A81196">
        <w:rPr>
          <w:szCs w:val="24"/>
        </w:rPr>
        <w:t>m. </w:t>
      </w:r>
      <w:r w:rsidR="00037C8E" w:rsidRPr="00A81196">
        <w:rPr>
          <w:szCs w:val="24"/>
        </w:rPr>
        <w:t>gruodžio mėnesį</w:t>
      </w:r>
      <w:r w:rsidRPr="00A81196">
        <w:rPr>
          <w:szCs w:val="24"/>
        </w:rPr>
        <w:t xml:space="preserve"> vyko „raudonųjų berečių“ užsiėmimai, kuri</w:t>
      </w:r>
      <w:r w:rsidR="00037C8E" w:rsidRPr="00A81196">
        <w:rPr>
          <w:szCs w:val="24"/>
        </w:rPr>
        <w:t>u</w:t>
      </w:r>
      <w:r w:rsidRPr="00A81196">
        <w:rPr>
          <w:szCs w:val="24"/>
        </w:rPr>
        <w:t xml:space="preserve">ose buvo panaudota ir nurašyta 16 vnt. „Zaria“, 3 vnt. „Čeriomucha-1“ ir 10 </w:t>
      </w:r>
      <w:r w:rsidR="000D7D01" w:rsidRPr="00A81196">
        <w:rPr>
          <w:szCs w:val="24"/>
        </w:rPr>
        <w:t>vnt. „Čeriomucha-5“ priemonių, jog nežino, kodėl šios priemonė</w:t>
      </w:r>
      <w:r w:rsidRPr="00A81196">
        <w:rPr>
          <w:szCs w:val="24"/>
        </w:rPr>
        <w:t>s buvo nurašytos kaip išnaudotos 1991 m. sausio</w:t>
      </w:r>
      <w:r w:rsidR="000D7D01" w:rsidRPr="00A81196">
        <w:rPr>
          <w:szCs w:val="24"/>
        </w:rPr>
        <w:t xml:space="preserve"> </w:t>
      </w:r>
      <w:r w:rsidRPr="00A81196">
        <w:rPr>
          <w:szCs w:val="24"/>
        </w:rPr>
        <w:t xml:space="preserve">13 d. </w:t>
      </w:r>
      <w:r w:rsidR="002D7EA2" w:rsidRPr="00A81196">
        <w:rPr>
          <w:szCs w:val="24"/>
        </w:rPr>
        <w:t>Šis liudytojas, a</w:t>
      </w:r>
      <w:r w:rsidRPr="00A81196">
        <w:rPr>
          <w:szCs w:val="24"/>
        </w:rPr>
        <w:t>pklausiamas vėliau</w:t>
      </w:r>
      <w:r w:rsidR="002D7EA2" w:rsidRPr="00A81196">
        <w:rPr>
          <w:szCs w:val="24"/>
        </w:rPr>
        <w:t>,</w:t>
      </w:r>
      <w:r w:rsidRPr="00A81196">
        <w:rPr>
          <w:szCs w:val="24"/>
        </w:rPr>
        <w:t xml:space="preserve"> nurodė, kad </w:t>
      </w:r>
      <w:r w:rsidR="000D7D01" w:rsidRPr="00A81196">
        <w:rPr>
          <w:szCs w:val="24"/>
        </w:rPr>
        <w:t xml:space="preserve">po karinės operacijos </w:t>
      </w:r>
      <w:r w:rsidRPr="00A81196">
        <w:rPr>
          <w:szCs w:val="24"/>
        </w:rPr>
        <w:t xml:space="preserve">1991 m. sausio mėnesį karinio dalinio vadas </w:t>
      </w:r>
      <w:r w:rsidR="00A97F74" w:rsidRPr="00A81196">
        <w:rPr>
          <w:szCs w:val="24"/>
        </w:rPr>
        <w:t>S. F.</w:t>
      </w:r>
      <w:r w:rsidRPr="00A81196">
        <w:rPr>
          <w:szCs w:val="24"/>
        </w:rPr>
        <w:t xml:space="preserve"> pateikė jam sąrašą ir davė nurodymą nurašyti </w:t>
      </w:r>
      <w:r w:rsidR="00037C8E" w:rsidRPr="00A81196">
        <w:rPr>
          <w:szCs w:val="24"/>
        </w:rPr>
        <w:t xml:space="preserve">sąraše </w:t>
      </w:r>
      <w:r w:rsidRPr="00A81196">
        <w:rPr>
          <w:szCs w:val="24"/>
        </w:rPr>
        <w:t>nurodytas specialiąsias priemonės „Zaria“ ir „Čeriomucha“.</w:t>
      </w:r>
      <w:r w:rsidR="000D7D01" w:rsidRPr="00A81196">
        <w:rPr>
          <w:szCs w:val="24"/>
        </w:rPr>
        <w:t xml:space="preserve"> </w:t>
      </w:r>
    </w:p>
    <w:p w:rsidR="00AF252A" w:rsidRPr="00A81196" w:rsidRDefault="00AF252A" w:rsidP="00321748">
      <w:pPr>
        <w:pStyle w:val="ListParagraph"/>
        <w:numPr>
          <w:ilvl w:val="2"/>
          <w:numId w:val="6"/>
        </w:numPr>
        <w:spacing w:before="120" w:after="120"/>
        <w:ind w:left="992" w:hanging="992"/>
        <w:contextualSpacing w:val="0"/>
        <w:rPr>
          <w:rStyle w:val="CharStyle76"/>
          <w:i w:val="0"/>
          <w:iCs w:val="0"/>
          <w:sz w:val="24"/>
          <w:szCs w:val="20"/>
          <w:shd w:val="clear" w:color="auto" w:fill="auto"/>
        </w:rPr>
      </w:pPr>
      <w:r w:rsidRPr="00A81196">
        <w:rPr>
          <w:rStyle w:val="CharStyle76"/>
          <w:i w:val="0"/>
          <w:color w:val="000000"/>
          <w:sz w:val="24"/>
          <w:szCs w:val="24"/>
          <w:lang w:eastAsia="lt-LT"/>
        </w:rPr>
        <w:t xml:space="preserve">Byloje apklausti nukentėjusieji ir liudytojai negalėjo nurodyti, kokiems kariniams daliniams priklausė </w:t>
      </w:r>
      <w:r w:rsidR="002D7EA2" w:rsidRPr="00A81196">
        <w:rPr>
          <w:rStyle w:val="CharStyle76"/>
          <w:i w:val="0"/>
          <w:color w:val="000000"/>
          <w:sz w:val="24"/>
          <w:szCs w:val="24"/>
          <w:lang w:eastAsia="lt-LT"/>
        </w:rPr>
        <w:t xml:space="preserve">užimant </w:t>
      </w:r>
      <w:r w:rsidRPr="00A81196">
        <w:rPr>
          <w:rStyle w:val="CharStyle76"/>
          <w:i w:val="0"/>
          <w:color w:val="000000"/>
          <w:sz w:val="24"/>
          <w:szCs w:val="24"/>
          <w:lang w:eastAsia="lt-LT"/>
        </w:rPr>
        <w:t>LRT pastat</w:t>
      </w:r>
      <w:r w:rsidR="002D7EA2" w:rsidRPr="00A81196">
        <w:rPr>
          <w:rStyle w:val="CharStyle76"/>
          <w:i w:val="0"/>
          <w:color w:val="000000"/>
          <w:sz w:val="24"/>
          <w:szCs w:val="24"/>
          <w:lang w:eastAsia="lt-LT"/>
        </w:rPr>
        <w:t>ą</w:t>
      </w:r>
      <w:r w:rsidRPr="00A81196">
        <w:rPr>
          <w:rStyle w:val="CharStyle76"/>
          <w:i w:val="0"/>
          <w:color w:val="000000"/>
          <w:sz w:val="24"/>
          <w:szCs w:val="24"/>
          <w:lang w:eastAsia="lt-LT"/>
        </w:rPr>
        <w:t xml:space="preserve"> dalyvav</w:t>
      </w:r>
      <w:r w:rsidR="00037C8E" w:rsidRPr="00A81196">
        <w:rPr>
          <w:rStyle w:val="CharStyle76"/>
          <w:i w:val="0"/>
          <w:color w:val="000000"/>
          <w:sz w:val="24"/>
          <w:szCs w:val="24"/>
          <w:lang w:eastAsia="lt-LT"/>
        </w:rPr>
        <w:t>ę</w:t>
      </w:r>
      <w:r w:rsidRPr="00A81196">
        <w:rPr>
          <w:rStyle w:val="CharStyle76"/>
          <w:i w:val="0"/>
          <w:color w:val="000000"/>
          <w:sz w:val="24"/>
          <w:szCs w:val="24"/>
          <w:lang w:eastAsia="lt-LT"/>
        </w:rPr>
        <w:t xml:space="preserve"> kariškiai. Iš liudytojo </w:t>
      </w:r>
      <w:r w:rsidR="00E420BD" w:rsidRPr="00A81196">
        <w:rPr>
          <w:rStyle w:val="CharStyle76"/>
          <w:i w:val="0"/>
          <w:color w:val="000000"/>
          <w:sz w:val="24"/>
          <w:szCs w:val="24"/>
          <w:lang w:eastAsia="lt-LT"/>
        </w:rPr>
        <w:t>Ž. J.</w:t>
      </w:r>
      <w:r w:rsidRPr="00A81196">
        <w:rPr>
          <w:rStyle w:val="CharStyle76"/>
          <w:i w:val="0"/>
          <w:color w:val="000000"/>
          <w:sz w:val="24"/>
          <w:szCs w:val="24"/>
          <w:lang w:eastAsia="lt-LT"/>
        </w:rPr>
        <w:t xml:space="preserve"> parodymų galima spręsti, kad jis matė 20 desantininkų, priklausančių VSK grupei </w:t>
      </w:r>
      <w:r w:rsidR="000D7D01" w:rsidRPr="00A81196">
        <w:rPr>
          <w:rStyle w:val="CharStyle76"/>
          <w:i w:val="0"/>
          <w:color w:val="000000"/>
          <w:sz w:val="24"/>
          <w:szCs w:val="24"/>
          <w:lang w:eastAsia="lt-LT"/>
        </w:rPr>
        <w:t>„</w:t>
      </w:r>
      <w:r w:rsidRPr="00A81196">
        <w:rPr>
          <w:rStyle w:val="CharStyle76"/>
          <w:i w:val="0"/>
          <w:color w:val="000000"/>
          <w:sz w:val="24"/>
          <w:szCs w:val="24"/>
          <w:lang w:eastAsia="lt-LT"/>
        </w:rPr>
        <w:t>A</w:t>
      </w:r>
      <w:r w:rsidR="000D7D01" w:rsidRPr="00A81196">
        <w:rPr>
          <w:rStyle w:val="CharStyle76"/>
          <w:i w:val="0"/>
          <w:color w:val="000000"/>
          <w:sz w:val="24"/>
          <w:szCs w:val="24"/>
          <w:lang w:eastAsia="lt-LT"/>
        </w:rPr>
        <w:t>“</w:t>
      </w:r>
      <w:r w:rsidRPr="00A81196">
        <w:rPr>
          <w:rStyle w:val="CharStyle76"/>
          <w:i w:val="0"/>
          <w:color w:val="000000"/>
          <w:sz w:val="24"/>
          <w:szCs w:val="24"/>
          <w:lang w:eastAsia="lt-LT"/>
        </w:rPr>
        <w:t>, tačiau nei šis liudytojas, nei kiti liudytojai ar nukentėjusieji nenurodė, kad buvo naudojamos specialiosios priemonės, kaip ir užtaisas „Čeriomucha“.</w:t>
      </w:r>
    </w:p>
    <w:p w:rsidR="00AF252A" w:rsidRPr="00A81196" w:rsidRDefault="00AF252A" w:rsidP="00321748">
      <w:pPr>
        <w:pStyle w:val="ListParagraph"/>
        <w:numPr>
          <w:ilvl w:val="1"/>
          <w:numId w:val="6"/>
        </w:numPr>
        <w:spacing w:before="120" w:after="120"/>
        <w:ind w:left="992" w:hanging="992"/>
        <w:contextualSpacing w:val="0"/>
      </w:pPr>
      <w:r w:rsidRPr="00A81196">
        <w:t>Nuosprendyje nustatyta, kad tarptautinių sutarčių uždraustas karo priemones – 5,45</w:t>
      </w:r>
      <w:r w:rsidR="00C075B8" w:rsidRPr="00A81196">
        <w:t> </w:t>
      </w:r>
      <w:r w:rsidRPr="00A81196">
        <w:t xml:space="preserve">mm kalibro šovinius su išcentruota kulka – prie Spaudos rūmų panaudojo </w:t>
      </w:r>
      <w:r w:rsidR="00385BC9" w:rsidRPr="00A81196">
        <w:t>V. K. 1</w:t>
      </w:r>
      <w:r w:rsidRPr="00A81196">
        <w:t xml:space="preserve"> ir jo įsakymą vykdę 76-osios oro desanto divizijos kariškiai iš 234</w:t>
      </w:r>
      <w:r w:rsidR="00DD2DC5" w:rsidRPr="00A81196">
        <w:t>-ojo</w:t>
      </w:r>
      <w:r w:rsidRPr="00A81196">
        <w:t xml:space="preserve"> ir 237</w:t>
      </w:r>
      <w:r w:rsidR="00DD2DC5" w:rsidRPr="00A81196">
        <w:t>-ojo</w:t>
      </w:r>
      <w:r w:rsidRPr="00A81196">
        <w:t xml:space="preserve"> pulkų, kurie taip pat naudojo artimos kovos veiksmus – stumdė civilius, smūgiuodami jiems kumščiais ir suduodami ginklais. Būtent </w:t>
      </w:r>
      <w:r w:rsidR="00385BC9" w:rsidRPr="00A81196">
        <w:t>V. K. 1</w:t>
      </w:r>
      <w:r w:rsidRPr="00A81196">
        <w:t xml:space="preserve"> iššovė į </w:t>
      </w:r>
      <w:r w:rsidR="00C507EF" w:rsidRPr="00A81196">
        <w:t>V. L.</w:t>
      </w:r>
      <w:r w:rsidRPr="00A81196">
        <w:t xml:space="preserve">, tuo padarydamas jam sunkų sveikatos sužalojimą. Kaip minėta, </w:t>
      </w:r>
      <w:r w:rsidR="00DC0414" w:rsidRPr="00A81196">
        <w:t>J. S.</w:t>
      </w:r>
      <w:r w:rsidRPr="00A81196">
        <w:t xml:space="preserve"> šioje operacijoje nedalyvavo, todėl negali atsakyti už kitų kariškių veiksmus. </w:t>
      </w:r>
    </w:p>
    <w:p w:rsidR="00AF252A" w:rsidRPr="00A81196" w:rsidRDefault="00037C8E" w:rsidP="00321748">
      <w:pPr>
        <w:pStyle w:val="ListParagraph"/>
        <w:numPr>
          <w:ilvl w:val="1"/>
          <w:numId w:val="6"/>
        </w:numPr>
        <w:spacing w:before="120" w:after="120"/>
        <w:ind w:left="992" w:hanging="992"/>
        <w:contextualSpacing w:val="0"/>
      </w:pPr>
      <w:r w:rsidRPr="00A81196">
        <w:rPr>
          <w:szCs w:val="24"/>
        </w:rPr>
        <w:t xml:space="preserve">Pagal </w:t>
      </w:r>
      <w:r w:rsidR="00AF252A" w:rsidRPr="00A81196">
        <w:rPr>
          <w:szCs w:val="24"/>
        </w:rPr>
        <w:t xml:space="preserve">Romos statutą tarptautinės teisės draudžiamo elgesio su žmonėmis (BK 100 straipsnis) subjektu gali būti pakaltinamas </w:t>
      </w:r>
      <w:r w:rsidRPr="00A81196">
        <w:rPr>
          <w:szCs w:val="24"/>
        </w:rPr>
        <w:t xml:space="preserve">bet kuris 18 metų amžiaus </w:t>
      </w:r>
      <w:r w:rsidR="00AF252A" w:rsidRPr="00A81196">
        <w:rPr>
          <w:szCs w:val="24"/>
        </w:rPr>
        <w:t>sulaukęs fizinis asmuo, taip pat ir eiliniai kariškiai bei karininkai. BK 100 straipsnyje numatyto nusikaltimo subjektyviajai pusei b</w:t>
      </w:r>
      <w:r w:rsidRPr="00A81196">
        <w:rPr>
          <w:szCs w:val="24"/>
        </w:rPr>
        <w:t>ūdinga tik tiesioginė tyčia, t. </w:t>
      </w:r>
      <w:r w:rsidR="00AF252A" w:rsidRPr="00A81196">
        <w:rPr>
          <w:szCs w:val="24"/>
        </w:rPr>
        <w:t>y. kaltininkas suvokia savo veikos pavojingumą ir to siekia. Kaltininkas privalo suvokti, kad</w:t>
      </w:r>
      <w:r w:rsidR="00662584" w:rsidRPr="00A81196">
        <w:rPr>
          <w:szCs w:val="24"/>
        </w:rPr>
        <w:t>,</w:t>
      </w:r>
      <w:r w:rsidR="00AF252A" w:rsidRPr="00A81196">
        <w:rPr>
          <w:szCs w:val="24"/>
        </w:rPr>
        <w:t xml:space="preserve"> veikdamas dideliu mastu arba sistemingai užpuldinėdamas civilius, jis vykdo arba remia valstybės politiką. Iš </w:t>
      </w:r>
      <w:r w:rsidR="00DC0414" w:rsidRPr="00A81196">
        <w:rPr>
          <w:szCs w:val="24"/>
        </w:rPr>
        <w:t>J. S.</w:t>
      </w:r>
      <w:r w:rsidR="00E32853" w:rsidRPr="00A81196">
        <w:rPr>
          <w:szCs w:val="24"/>
        </w:rPr>
        <w:t xml:space="preserve"> parodymų ir kitų VRM </w:t>
      </w:r>
      <w:r w:rsidR="00AF252A" w:rsidRPr="00A81196">
        <w:rPr>
          <w:szCs w:val="24"/>
        </w:rPr>
        <w:t>specialiosios paskirties kuopos karininkų bei eilinių karių parodymų matyti, kad niekas iš jų nežinojo apie vykdytą valstybės politiką šioje ginkluotoje oper</w:t>
      </w:r>
      <w:r w:rsidR="00E32853" w:rsidRPr="00A81196">
        <w:rPr>
          <w:szCs w:val="24"/>
        </w:rPr>
        <w:t>acijoje užimant LRT </w:t>
      </w:r>
      <w:r w:rsidR="0012467A" w:rsidRPr="00A81196">
        <w:rPr>
          <w:szCs w:val="24"/>
        </w:rPr>
        <w:t xml:space="preserve">pastatą. </w:t>
      </w:r>
      <w:r w:rsidR="00DC0414" w:rsidRPr="00A81196">
        <w:rPr>
          <w:szCs w:val="24"/>
        </w:rPr>
        <w:t>J. S.</w:t>
      </w:r>
      <w:r w:rsidR="00AF252A" w:rsidRPr="00A81196">
        <w:rPr>
          <w:szCs w:val="24"/>
        </w:rPr>
        <w:t xml:space="preserve"> kartu su kitais savo kariškiais gavo įsakymą nustumti civilius nuo LRT pastato ir atlikti šio pastato apsaugą nuo civilių užpuldinėjimo</w:t>
      </w:r>
      <w:r w:rsidR="00E32853" w:rsidRPr="00A81196">
        <w:rPr>
          <w:szCs w:val="24"/>
        </w:rPr>
        <w:t xml:space="preserve"> tik</w:t>
      </w:r>
      <w:r w:rsidR="00662584" w:rsidRPr="00A81196">
        <w:rPr>
          <w:szCs w:val="24"/>
        </w:rPr>
        <w:t xml:space="preserve"> tada</w:t>
      </w:r>
      <w:r w:rsidR="00E32853" w:rsidRPr="00A81196">
        <w:rPr>
          <w:szCs w:val="24"/>
        </w:rPr>
        <w:t>, kai atvyko prie S. </w:t>
      </w:r>
      <w:r w:rsidR="00AF252A" w:rsidRPr="00A81196">
        <w:rPr>
          <w:szCs w:val="24"/>
        </w:rPr>
        <w:t xml:space="preserve">Konarskio gatvėje esančio LRT pastato. </w:t>
      </w:r>
      <w:r w:rsidR="00DC0414" w:rsidRPr="00A81196">
        <w:rPr>
          <w:szCs w:val="24"/>
        </w:rPr>
        <w:t>J. S.</w:t>
      </w:r>
      <w:r w:rsidR="00AF252A" w:rsidRPr="00A81196">
        <w:rPr>
          <w:szCs w:val="24"/>
        </w:rPr>
        <w:t xml:space="preserve">, kaip ir kiti kariškiai, vykdė gautą įsakymą ir neturėjo jokio supratimo apie TSRS aukštų politinių veikėjų, karinių pajėgų, VRM, VSK vadovybės planus šioje karinėje operacijoje. Teismas visiškai nepagrįstai konstatavo, kad tiek </w:t>
      </w:r>
      <w:r w:rsidR="00DC0414" w:rsidRPr="00A81196">
        <w:rPr>
          <w:szCs w:val="24"/>
        </w:rPr>
        <w:t>J. S.</w:t>
      </w:r>
      <w:r w:rsidR="00AF252A" w:rsidRPr="00A81196">
        <w:rPr>
          <w:szCs w:val="24"/>
        </w:rPr>
        <w:t>, tiek kiti kaltinamieji žinojo ir turėjo žinoti nuosprendyje nurodytų tarptautinių teisės akt</w:t>
      </w:r>
      <w:r w:rsidR="00E420BD" w:rsidRPr="00A81196">
        <w:rPr>
          <w:szCs w:val="24"/>
        </w:rPr>
        <w:t>ų nuostatas ir tai, kad 1990 m. </w:t>
      </w:r>
      <w:r w:rsidR="00AF252A" w:rsidRPr="00A81196">
        <w:rPr>
          <w:szCs w:val="24"/>
        </w:rPr>
        <w:t>kovo 11</w:t>
      </w:r>
      <w:r w:rsidRPr="00A81196">
        <w:rPr>
          <w:szCs w:val="24"/>
        </w:rPr>
        <w:t xml:space="preserve"> </w:t>
      </w:r>
      <w:r w:rsidR="00AF252A" w:rsidRPr="00A81196">
        <w:rPr>
          <w:szCs w:val="24"/>
        </w:rPr>
        <w:t>d.</w:t>
      </w:r>
      <w:r w:rsidRPr="00A81196">
        <w:rPr>
          <w:szCs w:val="24"/>
        </w:rPr>
        <w:t xml:space="preserve"> Lietuva</w:t>
      </w:r>
      <w:r w:rsidR="00AF252A" w:rsidRPr="00A81196">
        <w:rPr>
          <w:szCs w:val="24"/>
        </w:rPr>
        <w:t xml:space="preserve"> paskelbė nepriklausomybę nuo TSRS. Gynėjo teigimu, byloje nėra jokių įrodymų, patvirtinančių, kad </w:t>
      </w:r>
      <w:r w:rsidR="00DC0414" w:rsidRPr="00A81196">
        <w:rPr>
          <w:szCs w:val="24"/>
        </w:rPr>
        <w:t>J. S.</w:t>
      </w:r>
      <w:r w:rsidR="00AF252A" w:rsidRPr="00A81196">
        <w:rPr>
          <w:szCs w:val="24"/>
        </w:rPr>
        <w:t xml:space="preserve"> buvo žinomi paminėti tarptautiniai bei Lietuvos teisės aktai ir kad jis, žinodamas šių teisės aktų turinį, vykdė TSRS politiką. </w:t>
      </w:r>
      <w:r w:rsidR="00DC0414" w:rsidRPr="00A81196">
        <w:rPr>
          <w:szCs w:val="24"/>
        </w:rPr>
        <w:t>J. S.</w:t>
      </w:r>
      <w:r w:rsidR="00AF252A" w:rsidRPr="00A81196">
        <w:rPr>
          <w:szCs w:val="24"/>
        </w:rPr>
        <w:t xml:space="preserve"> veiksmuose nėra šios nusikalstamos veikos požymių.</w:t>
      </w:r>
    </w:p>
    <w:p w:rsidR="00AF252A" w:rsidRPr="00A81196" w:rsidRDefault="00AF252A" w:rsidP="00321748">
      <w:pPr>
        <w:pStyle w:val="ListParagraph"/>
        <w:numPr>
          <w:ilvl w:val="1"/>
          <w:numId w:val="6"/>
        </w:numPr>
        <w:spacing w:before="120" w:after="120"/>
        <w:ind w:left="992" w:hanging="992"/>
        <w:contextualSpacing w:val="0"/>
      </w:pPr>
      <w:r w:rsidRPr="00A81196">
        <w:rPr>
          <w:szCs w:val="24"/>
        </w:rPr>
        <w:t xml:space="preserve">Gynėjo teigimu, </w:t>
      </w:r>
      <w:r w:rsidR="00DC0414" w:rsidRPr="00A81196">
        <w:rPr>
          <w:szCs w:val="24"/>
        </w:rPr>
        <w:t>J. S.</w:t>
      </w:r>
      <w:r w:rsidRPr="00A81196">
        <w:rPr>
          <w:szCs w:val="24"/>
        </w:rPr>
        <w:t xml:space="preserve"> nepagrįstai buvo nuteistas ir pagal BK 101 straipsnį, nes </w:t>
      </w:r>
      <w:r w:rsidR="00DC0414" w:rsidRPr="00A81196">
        <w:rPr>
          <w:szCs w:val="24"/>
        </w:rPr>
        <w:t>J. S.</w:t>
      </w:r>
      <w:r w:rsidRPr="00A81196">
        <w:rPr>
          <w:szCs w:val="24"/>
        </w:rPr>
        <w:t xml:space="preserve"> nežudė ir nedavė įsakymo kitiems kariškiams žudyti civilius. Įsakymu žudyti laikomas privalomas vado (karinio viršininko) raštiškas ar žodinis nurodymas pavaldiems kariams atlikti tokią veiką, kurios padariniai yra civilių žmonių mirtis. Nagrinėjamoje byloje nėra jokių įrodymų, kad VRM specialiosios </w:t>
      </w:r>
      <w:r w:rsidR="00560E9C" w:rsidRPr="00A81196">
        <w:rPr>
          <w:szCs w:val="24"/>
        </w:rPr>
        <w:t xml:space="preserve">paskirties </w:t>
      </w:r>
      <w:r w:rsidRPr="00A81196">
        <w:rPr>
          <w:szCs w:val="24"/>
        </w:rPr>
        <w:t xml:space="preserve">kuopos karininkai sau pavaldiems kariams davė įsakymus </w:t>
      </w:r>
      <w:r w:rsidRPr="00A81196">
        <w:rPr>
          <w:szCs w:val="24"/>
        </w:rPr>
        <w:lastRenderedPageBreak/>
        <w:t xml:space="preserve">žudyti civilius. Be to, praporščikas </w:t>
      </w:r>
      <w:r w:rsidR="00DC0414" w:rsidRPr="00A81196">
        <w:rPr>
          <w:szCs w:val="24"/>
        </w:rPr>
        <w:t>J. S.</w:t>
      </w:r>
      <w:r w:rsidRPr="00A81196">
        <w:rPr>
          <w:szCs w:val="24"/>
        </w:rPr>
        <w:t xml:space="preserve"> neturėjo karininko laipsnio ir pagal savo pareigas tik vykdė savo kuopos vado ir kitų aukštesnių karininkų įsakymus, o pats jokių įsakymų nedali</w:t>
      </w:r>
      <w:r w:rsidR="00662584" w:rsidRPr="00A81196">
        <w:rPr>
          <w:szCs w:val="24"/>
        </w:rPr>
        <w:t>j</w:t>
      </w:r>
      <w:r w:rsidRPr="00A81196">
        <w:rPr>
          <w:szCs w:val="24"/>
        </w:rPr>
        <w:t>o. Bylose dėl nužudymų, kuriose kaltinamas ne vienas asmuo, būtina nustatyti kiekvieno iš jų dalyvavimo darant šį nusikaltimą laipsnį ir pobūdį, kurie nulems bendrininkavimo formą ir bendrininkų rūš</w:t>
      </w:r>
      <w:r w:rsidR="000E1E43" w:rsidRPr="00A81196">
        <w:rPr>
          <w:szCs w:val="24"/>
        </w:rPr>
        <w:t>į</w:t>
      </w:r>
      <w:r w:rsidRPr="00A81196">
        <w:rPr>
          <w:szCs w:val="24"/>
        </w:rPr>
        <w:t>. Jei smurtą prieš nukentėjusįjį naudojo keli asmenys ir</w:t>
      </w:r>
      <w:r w:rsidR="00037C8E" w:rsidRPr="00A81196">
        <w:rPr>
          <w:szCs w:val="24"/>
        </w:rPr>
        <w:t xml:space="preserve"> jei tokiu</w:t>
      </w:r>
      <w:r w:rsidRPr="00A81196">
        <w:rPr>
          <w:szCs w:val="24"/>
        </w:rPr>
        <w:t xml:space="preserve"> atveju nukentėjusiojo mirtį sukėlė vienas ar keli padaryti sužalojimai ir nustatyta, kad ne visi asmen</w:t>
      </w:r>
      <w:r w:rsidR="000D7D01" w:rsidRPr="00A81196">
        <w:rPr>
          <w:szCs w:val="24"/>
        </w:rPr>
        <w:t>ys smurtą naudojo turėdami tyčią</w:t>
      </w:r>
      <w:r w:rsidRPr="00A81196">
        <w:rPr>
          <w:szCs w:val="24"/>
        </w:rPr>
        <w:t xml:space="preserve"> nužudyti, tai už nužudymą atsako tik tie asmenys, kurių padaryti kūno sužalojimai buvo nukentėjusiojo mirties priežastis. Įsakymo žudyti davimas arba žudymas užtraukia baudžiamąją atsakomybę pagal BK 101 straipsnį tuo atveju, jei jis padaromas karo, tarptautinio ginkluoto konflikto, okupacijos ar aneksijos metu. Tarptautiniu ginkluotu konfliktu laikomas bet koks ginkluotas konfliktas tarp dviejų ar daugiau valstybių. Ginkluoto konflikto padėčiai reikšmės neturi: ar jis teisiškai pagrįstas</w:t>
      </w:r>
      <w:r w:rsidR="000E1E43" w:rsidRPr="00A81196">
        <w:rPr>
          <w:szCs w:val="24"/>
        </w:rPr>
        <w:t>,</w:t>
      </w:r>
      <w:r w:rsidRPr="00A81196">
        <w:rPr>
          <w:szCs w:val="24"/>
        </w:rPr>
        <w:t xml:space="preserve"> ar ne; ar jam priešinamasi, ar ne; okupuotos teritorijos dydis; sužeistųjų skaičius ir pan. Okupacija laikomas laikinas svetimos valstybės teritorijos užėmimas. Byloje </w:t>
      </w:r>
      <w:r w:rsidR="00E420BD" w:rsidRPr="00A81196">
        <w:rPr>
          <w:szCs w:val="24"/>
        </w:rPr>
        <w:t>nėra jokių įrodymų, kad 1991 m. </w:t>
      </w:r>
      <w:r w:rsidRPr="00A81196">
        <w:rPr>
          <w:szCs w:val="24"/>
        </w:rPr>
        <w:t>Lietuvos Respublika ir TSRS ar kuri nors iš jų viena kitai būtų paskelbusi karą. Nėra įrodymų ir apie tai, kad 1991 metais Lietuvos Respublika</w:t>
      </w:r>
      <w:r w:rsidR="000D7D01" w:rsidRPr="00A81196">
        <w:rPr>
          <w:szCs w:val="24"/>
        </w:rPr>
        <w:t>,</w:t>
      </w:r>
      <w:r w:rsidRPr="00A81196">
        <w:rPr>
          <w:szCs w:val="24"/>
        </w:rPr>
        <w:t xml:space="preserve"> vadovaudamasi 1949</w:t>
      </w:r>
      <w:r w:rsidR="00E420BD" w:rsidRPr="00A81196">
        <w:rPr>
          <w:szCs w:val="24"/>
        </w:rPr>
        <w:t> m. rugpjūčio </w:t>
      </w:r>
      <w:r w:rsidR="00D76BE4" w:rsidRPr="00A81196">
        <w:rPr>
          <w:szCs w:val="24"/>
        </w:rPr>
        <w:t>12 d.</w:t>
      </w:r>
      <w:r w:rsidRPr="00A81196">
        <w:rPr>
          <w:szCs w:val="24"/>
        </w:rPr>
        <w:t xml:space="preserve"> </w:t>
      </w:r>
      <w:r w:rsidR="00D76BE4" w:rsidRPr="00A81196">
        <w:rPr>
          <w:szCs w:val="24"/>
        </w:rPr>
        <w:t>Ženevos konvencijomis ir jų P</w:t>
      </w:r>
      <w:r w:rsidRPr="00A81196">
        <w:rPr>
          <w:szCs w:val="24"/>
        </w:rPr>
        <w:t>apildomais prot</w:t>
      </w:r>
      <w:r w:rsidR="00C70DE3" w:rsidRPr="00A81196">
        <w:rPr>
          <w:szCs w:val="24"/>
        </w:rPr>
        <w:t>okolais bei kitais tarptautinė</w:t>
      </w:r>
      <w:r w:rsidRPr="00A81196">
        <w:rPr>
          <w:szCs w:val="24"/>
        </w:rPr>
        <w:t>s teisės aktais</w:t>
      </w:r>
      <w:r w:rsidR="000D7D01" w:rsidRPr="00A81196">
        <w:rPr>
          <w:szCs w:val="24"/>
        </w:rPr>
        <w:t>,</w:t>
      </w:r>
      <w:r w:rsidRPr="00A81196">
        <w:rPr>
          <w:szCs w:val="24"/>
        </w:rPr>
        <w:t xml:space="preserve"> būtų pranešusi kitoms šalims bei tarptautinei visuomenei apie prieš ją TSRS pradėtą karą ir vykdomus karo veiksmus, okupaciją bei karo būseną. Todėl gynėjas nesutinka su pirmosios instancijos teismo išvada, kad </w:t>
      </w:r>
      <w:r w:rsidR="00037C8E" w:rsidRPr="00A81196">
        <w:rPr>
          <w:szCs w:val="24"/>
        </w:rPr>
        <w:t>1991 m. sausio 13 </w:t>
      </w:r>
      <w:r w:rsidRPr="00A81196">
        <w:rPr>
          <w:szCs w:val="24"/>
        </w:rPr>
        <w:t>d. įvykiai turi tarptautinio ginkluoto konfl</w:t>
      </w:r>
      <w:r w:rsidR="00E061CA" w:rsidRPr="00A81196">
        <w:rPr>
          <w:szCs w:val="24"/>
        </w:rPr>
        <w:t>ikto, okupacijos ir agresijos po</w:t>
      </w:r>
      <w:r w:rsidRPr="00A81196">
        <w:rPr>
          <w:szCs w:val="24"/>
        </w:rPr>
        <w:t>žymių.</w:t>
      </w:r>
    </w:p>
    <w:p w:rsidR="00AF252A" w:rsidRPr="00D53301" w:rsidRDefault="00AF252A" w:rsidP="00321748">
      <w:pPr>
        <w:pStyle w:val="ListParagraph"/>
        <w:numPr>
          <w:ilvl w:val="1"/>
          <w:numId w:val="6"/>
        </w:numPr>
        <w:spacing w:before="120" w:after="120"/>
        <w:ind w:left="992" w:hanging="992"/>
        <w:contextualSpacing w:val="0"/>
        <w:rPr>
          <w:rStyle w:val="CharStyle76"/>
          <w:i w:val="0"/>
          <w:iCs w:val="0"/>
          <w:sz w:val="24"/>
          <w:szCs w:val="20"/>
          <w:shd w:val="clear" w:color="auto" w:fill="auto"/>
        </w:rPr>
      </w:pPr>
      <w:r w:rsidRPr="00D53301">
        <w:rPr>
          <w:rStyle w:val="CharStyle76"/>
          <w:i w:val="0"/>
          <w:color w:val="000000"/>
          <w:sz w:val="24"/>
          <w:szCs w:val="24"/>
          <w:lang w:eastAsia="lt-LT"/>
        </w:rPr>
        <w:t xml:space="preserve">Gynėjas taip pat nesutinka su teismo išvada, kad </w:t>
      </w:r>
      <w:r w:rsidR="00DC0414" w:rsidRPr="00D53301">
        <w:rPr>
          <w:rStyle w:val="CharStyle76"/>
          <w:i w:val="0"/>
          <w:color w:val="000000"/>
          <w:sz w:val="24"/>
          <w:szCs w:val="24"/>
          <w:lang w:eastAsia="lt-LT"/>
        </w:rPr>
        <w:t>J. S.</w:t>
      </w:r>
      <w:r w:rsidRPr="00D53301">
        <w:rPr>
          <w:rStyle w:val="CharStyle76"/>
          <w:i w:val="0"/>
          <w:color w:val="000000"/>
          <w:sz w:val="24"/>
          <w:szCs w:val="24"/>
          <w:lang w:eastAsia="lt-LT"/>
        </w:rPr>
        <w:t xml:space="preserve"> veiksmuose yra BK 103 straipsnyje numatyto nusikaltimo požymių, nes jis gali būti padaromas tik karo ar tarptautinio ginkluoto konflikto metu arba okupacijos ar aneksijos metu. Teismas nepagrįstai nustatė, kad kaltinime nurodyti įvykiai turi karo, tarptautinio ginkluoto konflikto ir okupacijos požymių. Ši teismo išvada neįrodyta. Be to, jau </w:t>
      </w:r>
      <w:r w:rsidR="00662584" w:rsidRPr="00D53301">
        <w:rPr>
          <w:rStyle w:val="CharStyle76"/>
          <w:i w:val="0"/>
          <w:color w:val="000000"/>
          <w:sz w:val="24"/>
          <w:szCs w:val="24"/>
          <w:lang w:eastAsia="lt-LT"/>
        </w:rPr>
        <w:t>pirmiau</w:t>
      </w:r>
      <w:r w:rsidRPr="00D53301">
        <w:rPr>
          <w:rStyle w:val="CharStyle76"/>
          <w:i w:val="0"/>
          <w:color w:val="000000"/>
          <w:sz w:val="24"/>
          <w:szCs w:val="24"/>
          <w:lang w:eastAsia="lt-LT"/>
        </w:rPr>
        <w:t xml:space="preserve"> nurodyti argumentai patvirtina, kad </w:t>
      </w:r>
      <w:r w:rsidR="00DC0414" w:rsidRPr="00D53301">
        <w:rPr>
          <w:rStyle w:val="CharStyle76"/>
          <w:i w:val="0"/>
          <w:color w:val="000000"/>
          <w:sz w:val="24"/>
          <w:szCs w:val="24"/>
          <w:lang w:eastAsia="lt-LT"/>
        </w:rPr>
        <w:t>J. S.</w:t>
      </w:r>
      <w:r w:rsidRPr="00D53301">
        <w:rPr>
          <w:rStyle w:val="CharStyle76"/>
          <w:i w:val="0"/>
          <w:color w:val="000000"/>
          <w:sz w:val="24"/>
          <w:szCs w:val="24"/>
          <w:lang w:eastAsia="lt-LT"/>
        </w:rPr>
        <w:t xml:space="preserve"> veikė be kaltės ir negali atsakyti už kitų kariškių veiksmus. </w:t>
      </w:r>
    </w:p>
    <w:p w:rsidR="00AF252A" w:rsidRPr="00C00255" w:rsidRDefault="00AF252A" w:rsidP="00321748">
      <w:pPr>
        <w:pStyle w:val="ListParagraph"/>
        <w:numPr>
          <w:ilvl w:val="1"/>
          <w:numId w:val="6"/>
        </w:numPr>
        <w:spacing w:before="120" w:after="120"/>
        <w:ind w:left="992" w:hanging="992"/>
        <w:contextualSpacing w:val="0"/>
        <w:rPr>
          <w:rStyle w:val="CharStyle82"/>
          <w:i w:val="0"/>
          <w:iCs w:val="0"/>
          <w:sz w:val="24"/>
          <w:szCs w:val="20"/>
          <w:shd w:val="clear" w:color="auto" w:fill="auto"/>
        </w:rPr>
      </w:pPr>
      <w:r w:rsidRPr="00D53301">
        <w:t xml:space="preserve">Gynėjo teigimu, </w:t>
      </w:r>
      <w:r w:rsidR="00DC0414" w:rsidRPr="00D53301">
        <w:t>J. S.</w:t>
      </w:r>
      <w:r w:rsidRPr="00D53301">
        <w:t xml:space="preserve"> veiksmuose nėra ir BK 111 straipsnyje numatyto nusikaltimo požymių. Karo ataka laikomi prievartos veiksmai tiek puolant, tiek ginantis nuo tokio puolimo. Kaip minėta, </w:t>
      </w:r>
      <w:r w:rsidR="00DC0414" w:rsidRPr="00D53301">
        <w:t>J. S.</w:t>
      </w:r>
      <w:r w:rsidRPr="00D53301">
        <w:t xml:space="preserve"> veiksmai prie LRT pastato pasireiškė tik tuo, jog jis kartu su kitais VRM mokomosios specialiosios paskirties kuopos kariais nustūmė civilius nuo pastato ir priėmė pastatą apsaugai. </w:t>
      </w:r>
      <w:r w:rsidR="00DC0414" w:rsidRPr="00D53301">
        <w:t>J. S.</w:t>
      </w:r>
      <w:r w:rsidRPr="00D53301">
        <w:t xml:space="preserve"> naudojo tik guminę lazdą ir nenaudojo šaunamojo ginklo ar šviesos ir garso sprogstamųjų įtaisų. Jis nedavė jokių įsakymų pulti civilius. </w:t>
      </w:r>
      <w:r w:rsidRPr="00D53301">
        <w:rPr>
          <w:rFonts w:eastAsiaTheme="minorHAnsi"/>
        </w:rPr>
        <w:t xml:space="preserve">Gynėjas atkreipia dėmesį į </w:t>
      </w:r>
      <w:r w:rsidRPr="00D53301">
        <w:t xml:space="preserve">1949 m. rugpjūčio 12 d. </w:t>
      </w:r>
      <w:r w:rsidR="00D76BE4" w:rsidRPr="00D53301">
        <w:t>Ženevos konvencijų</w:t>
      </w:r>
      <w:r w:rsidRPr="00D53301">
        <w:t xml:space="preserve"> I</w:t>
      </w:r>
      <w:r w:rsidR="00D76BE4" w:rsidRPr="00D53301">
        <w:t>-ojo</w:t>
      </w:r>
      <w:r w:rsidRPr="00D53301">
        <w:t xml:space="preserve"> </w:t>
      </w:r>
      <w:r w:rsidR="00D76BE4" w:rsidRPr="00D53301">
        <w:t>P</w:t>
      </w:r>
      <w:r w:rsidRPr="00D53301">
        <w:t>ap</w:t>
      </w:r>
      <w:r w:rsidR="00037C8E" w:rsidRPr="00D53301">
        <w:t>ildomo protokolo nuostatas, kur</w:t>
      </w:r>
      <w:r w:rsidRPr="00D53301">
        <w:t xml:space="preserve"> numatyta, kad rengiant puolimą būtina taikyti atsargumo priemones. Nagrinėjamoje byloje kariškiai</w:t>
      </w:r>
      <w:r w:rsidR="00B54770" w:rsidRPr="00D53301">
        <w:t>,</w:t>
      </w:r>
      <w:r w:rsidRPr="00D53301">
        <w:t xml:space="preserve"> užim</w:t>
      </w:r>
      <w:r w:rsidR="00B54770" w:rsidRPr="00D53301">
        <w:t>dami</w:t>
      </w:r>
      <w:r w:rsidRPr="00D53301">
        <w:t xml:space="preserve"> LRT objektą</w:t>
      </w:r>
      <w:r w:rsidR="00B54770" w:rsidRPr="00D53301">
        <w:t>,</w:t>
      </w:r>
      <w:r w:rsidRPr="00D53301">
        <w:t xml:space="preserve"> bandė taikyti tam tikras atsargum</w:t>
      </w:r>
      <w:r w:rsidR="00037C8E" w:rsidRPr="00D53301">
        <w:t>o priemon</w:t>
      </w:r>
      <w:r w:rsidR="00B54770" w:rsidRPr="00D53301">
        <w:t>e</w:t>
      </w:r>
      <w:r w:rsidR="00037C8E" w:rsidRPr="00D53301">
        <w:t>s, tačiau tos priemonė</w:t>
      </w:r>
      <w:r w:rsidRPr="00D53301">
        <w:t xml:space="preserve">s buvo nepakankamos, kad </w:t>
      </w:r>
      <w:r w:rsidR="00974B81" w:rsidRPr="00D53301">
        <w:t xml:space="preserve">būtų </w:t>
      </w:r>
      <w:r w:rsidRPr="00D53301">
        <w:t>išvengt</w:t>
      </w:r>
      <w:r w:rsidR="00974B81" w:rsidRPr="00D53301">
        <w:t>a</w:t>
      </w:r>
      <w:r w:rsidRPr="00D53301">
        <w:t xml:space="preserve"> civilių asmenų, g</w:t>
      </w:r>
      <w:r w:rsidR="00974B81" w:rsidRPr="00D53301">
        <w:t>y</w:t>
      </w:r>
      <w:r w:rsidRPr="00D53301">
        <w:t>nusių objektą, sužalojimų. BK 111 straipsnyje numatyta nusikaltimo sudėtis yra formali, todėl draudžiamos karo atakos metu atsiradę padariniai – civilių žūtis</w:t>
      </w:r>
      <w:r w:rsidRPr="00C00255">
        <w:rPr>
          <w:rStyle w:val="CharStyle82"/>
          <w:i w:val="0"/>
          <w:color w:val="000000"/>
          <w:sz w:val="24"/>
          <w:szCs w:val="24"/>
          <w:lang w:eastAsia="lt-LT"/>
        </w:rPr>
        <w:t xml:space="preserve"> </w:t>
      </w:r>
      <w:r w:rsidRPr="00D53301">
        <w:t>ar sunkūs sužalojimai</w:t>
      </w:r>
      <w:r w:rsidR="00974B81" w:rsidRPr="00D53301">
        <w:t xml:space="preserve"> </w:t>
      </w:r>
      <w:r w:rsidR="006B72E6" w:rsidRPr="00D53301">
        <w:t>–</w:t>
      </w:r>
      <w:r w:rsidRPr="00D53301">
        <w:t xml:space="preserve"> turėtų būti kvalifikuojami atskirai. Taigi jei būtų pripažinta, kad prie LRT </w:t>
      </w:r>
      <w:r w:rsidR="00DE3B19" w:rsidRPr="00D53301">
        <w:t xml:space="preserve">radijo </w:t>
      </w:r>
      <w:r w:rsidRPr="00D53301">
        <w:t xml:space="preserve">pastato buvo vykdoma karo ataka, kurios metu žuvo </w:t>
      </w:r>
      <w:r w:rsidR="004E4879" w:rsidRPr="00D53301">
        <w:t>A. K.</w:t>
      </w:r>
      <w:r w:rsidRPr="00D53301">
        <w:t xml:space="preserve"> ir buvo sunkiai </w:t>
      </w:r>
      <w:r w:rsidR="00037C8E" w:rsidRPr="00D53301">
        <w:t>sužaloti kiti asmeny</w:t>
      </w:r>
      <w:r w:rsidR="00E420BD" w:rsidRPr="00D53301">
        <w:t>s, tai kartu su BK 111 </w:t>
      </w:r>
      <w:r w:rsidRPr="00D53301">
        <w:t>straipsniu turėtų būti nurodomos atitinkamuose BK straipsniuose numatytos nusikalstamos veikos.</w:t>
      </w:r>
    </w:p>
    <w:p w:rsidR="00AF252A" w:rsidRPr="00C00255" w:rsidRDefault="00DC0414" w:rsidP="00321748">
      <w:pPr>
        <w:pStyle w:val="ListParagraph"/>
        <w:numPr>
          <w:ilvl w:val="1"/>
          <w:numId w:val="6"/>
        </w:numPr>
        <w:spacing w:before="120" w:after="120"/>
        <w:ind w:left="992" w:hanging="992"/>
        <w:contextualSpacing w:val="0"/>
      </w:pPr>
      <w:r w:rsidRPr="00D53301">
        <w:t>J. S.</w:t>
      </w:r>
      <w:r w:rsidR="00AF252A" w:rsidRPr="00D53301">
        <w:t xml:space="preserve"> nepagrįstai nuteistas pagal BK 112 straipsnį, nes jo veiksmuose nėra šio nusikaltimo požymių. Teismo išvada, kad jis įsakė karo veiksmuose panaudoti arba panaudojo uždraustas karo priemones ar kariavimo būdus, yra nepagrįsta. Kaip minėta, </w:t>
      </w:r>
      <w:r w:rsidRPr="00D53301">
        <w:t>J. S.</w:t>
      </w:r>
      <w:r w:rsidR="00AF252A" w:rsidRPr="00D53301">
        <w:t xml:space="preserve"> neturėjo teisės ir </w:t>
      </w:r>
      <w:r w:rsidR="00AF252A" w:rsidRPr="00D53301">
        <w:lastRenderedPageBreak/>
        <w:t xml:space="preserve">negalėjo duoti jokių įsakymų. Byloje neįrodyta, kad </w:t>
      </w:r>
      <w:r w:rsidR="00AF252A" w:rsidRPr="00D53301">
        <w:rPr>
          <w:rFonts w:eastAsiaTheme="minorHAnsi"/>
        </w:rPr>
        <w:t xml:space="preserve">buvo panaudotos </w:t>
      </w:r>
      <w:r w:rsidR="00AF252A" w:rsidRPr="00D53301">
        <w:t>tarptautinių s</w:t>
      </w:r>
      <w:r w:rsidR="00037C8E" w:rsidRPr="00D53301">
        <w:t>utarčių uždraustos karo priemonė</w:t>
      </w:r>
      <w:r w:rsidR="00AF252A" w:rsidRPr="00D53301">
        <w:t xml:space="preserve">s – 5,45 mm kalibro šoviniai su išcentruota kulka. Rašytiniai įrodymai ir kariškių parodymai patvirtina, kad tiek eiliniams kariams, kaip praporščikui </w:t>
      </w:r>
      <w:r w:rsidRPr="00D53301">
        <w:t>J. S.</w:t>
      </w:r>
      <w:r w:rsidR="00AF252A" w:rsidRPr="00D53301">
        <w:t>, tiek karininkams buvo išduoti AKM</w:t>
      </w:r>
      <w:r w:rsidR="00FD13EB" w:rsidRPr="00D53301">
        <w:t>S</w:t>
      </w:r>
      <w:r w:rsidR="00AF252A" w:rsidRPr="00D53301">
        <w:t xml:space="preserve"> bei 7,62 mm kalibro koviniai šoviniai su paprasta kulka ir tušti šoviniai. Taigi VRM specialiosios paskirties kuopos karininkai ir eiliniai kariškiai neturėjo 5,45 mm kalibro </w:t>
      </w:r>
      <w:r w:rsidR="00EC1D9A" w:rsidRPr="00D53301">
        <w:t>AK</w:t>
      </w:r>
      <w:r w:rsidR="00AF252A" w:rsidRPr="00D53301">
        <w:t xml:space="preserve"> ir</w:t>
      </w:r>
      <w:r w:rsidR="000D7D01" w:rsidRPr="00D53301">
        <w:t xml:space="preserve"> negalėjo naudoti 5,45 </w:t>
      </w:r>
      <w:r w:rsidR="00AF252A" w:rsidRPr="00D53301">
        <w:t>mm kalibro šovinių su išcentruota kulka. Teismas nuosprendyje nenurodė, kokio</w:t>
      </w:r>
      <w:r w:rsidR="00B54770" w:rsidRPr="00D53301">
        <w:t>mi</w:t>
      </w:r>
      <w:r w:rsidR="00AF252A" w:rsidRPr="00D53301">
        <w:t>s tarptautinė</w:t>
      </w:r>
      <w:r w:rsidR="00B54770" w:rsidRPr="00D53301">
        <w:t>mi</w:t>
      </w:r>
      <w:r w:rsidR="00AF252A" w:rsidRPr="00D53301">
        <w:t>s sutart</w:t>
      </w:r>
      <w:r w:rsidR="00B54770" w:rsidRPr="00D53301">
        <w:t>imis</w:t>
      </w:r>
      <w:r w:rsidR="00AF252A" w:rsidRPr="00D53301">
        <w:t xml:space="preserve"> ar teisės aktai</w:t>
      </w:r>
      <w:r w:rsidR="00B54770" w:rsidRPr="00D53301">
        <w:t>s</w:t>
      </w:r>
      <w:r w:rsidR="00AF252A" w:rsidRPr="00D53301">
        <w:t xml:space="preserve"> toki</w:t>
      </w:r>
      <w:r w:rsidR="00B54770" w:rsidRPr="00D53301">
        <w:t>e</w:t>
      </w:r>
      <w:r w:rsidR="00AF252A" w:rsidRPr="00D53301">
        <w:t xml:space="preserve"> šovini</w:t>
      </w:r>
      <w:r w:rsidR="00B54770" w:rsidRPr="00D53301">
        <w:t>ai</w:t>
      </w:r>
      <w:r w:rsidR="00AF252A" w:rsidRPr="00D53301">
        <w:t xml:space="preserve"> </w:t>
      </w:r>
      <w:r w:rsidR="00B54770" w:rsidRPr="00D53301">
        <w:t xml:space="preserve">priskiriami </w:t>
      </w:r>
      <w:r w:rsidR="00974B81" w:rsidRPr="00D53301">
        <w:t>prie uždraustų</w:t>
      </w:r>
      <w:r w:rsidR="00AF252A" w:rsidRPr="00C00255">
        <w:t>.</w:t>
      </w:r>
    </w:p>
    <w:p w:rsidR="00AF252A" w:rsidRPr="00C00255" w:rsidRDefault="00AF252A" w:rsidP="00321748">
      <w:pPr>
        <w:pStyle w:val="ListParagraph"/>
        <w:numPr>
          <w:ilvl w:val="1"/>
          <w:numId w:val="6"/>
        </w:numPr>
        <w:spacing w:before="120" w:after="120"/>
        <w:ind w:left="992" w:hanging="992"/>
        <w:contextualSpacing w:val="0"/>
        <w:rPr>
          <w:rStyle w:val="CharStyle76"/>
          <w:i w:val="0"/>
          <w:iCs w:val="0"/>
          <w:sz w:val="24"/>
          <w:szCs w:val="20"/>
          <w:shd w:val="clear" w:color="auto" w:fill="auto"/>
        </w:rPr>
      </w:pPr>
      <w:r w:rsidRPr="00D53301">
        <w:rPr>
          <w:rStyle w:val="CharStyle76"/>
          <w:i w:val="0"/>
          <w:color w:val="000000"/>
          <w:sz w:val="24"/>
          <w:szCs w:val="24"/>
          <w:lang w:eastAsia="lt-LT"/>
        </w:rPr>
        <w:t>Gynėjas nurodo, kad apkaltinamasis nuosprendis negali būti grindžiamas prielaidomis, o teismo išvados turi būti pagrįstos įrodymais, neginčijimai patvirtinančiais kaltinamojo kaltę, padarius nusikalstamą veiką bei kitas svarbias bylos aplinkybes (</w:t>
      </w:r>
      <w:r w:rsidR="00037C8E" w:rsidRPr="00D53301">
        <w:rPr>
          <w:rStyle w:val="CharStyle76"/>
          <w:i w:val="0"/>
          <w:color w:val="000000"/>
          <w:sz w:val="24"/>
          <w:szCs w:val="24"/>
        </w:rPr>
        <w:t>LAT</w:t>
      </w:r>
      <w:r w:rsidRPr="00D53301">
        <w:rPr>
          <w:rStyle w:val="CharStyle76"/>
          <w:i w:val="0"/>
          <w:color w:val="000000"/>
          <w:sz w:val="24"/>
          <w:szCs w:val="24"/>
        </w:rPr>
        <w:t xml:space="preserve"> </w:t>
      </w:r>
      <w:r w:rsidRPr="00D53301">
        <w:rPr>
          <w:rStyle w:val="CharStyle76"/>
          <w:i w:val="0"/>
          <w:color w:val="000000"/>
          <w:sz w:val="24"/>
          <w:szCs w:val="24"/>
          <w:lang w:eastAsia="lt-LT"/>
        </w:rPr>
        <w:t xml:space="preserve">nutartys baudžiamosiose bylose </w:t>
      </w:r>
      <w:r w:rsidRPr="00D53301">
        <w:rPr>
          <w:rStyle w:val="CharStyle76"/>
          <w:i w:val="0"/>
          <w:color w:val="000000"/>
          <w:sz w:val="24"/>
          <w:szCs w:val="24"/>
        </w:rPr>
        <w:t xml:space="preserve">Nr. </w:t>
      </w:r>
      <w:r w:rsidRPr="00D53301">
        <w:rPr>
          <w:rStyle w:val="CharStyle76"/>
          <w:i w:val="0"/>
          <w:color w:val="000000"/>
          <w:sz w:val="24"/>
          <w:szCs w:val="24"/>
          <w:lang w:eastAsia="lt-LT"/>
        </w:rPr>
        <w:t>2K-</w:t>
      </w:r>
      <w:r w:rsidRPr="00D53301">
        <w:rPr>
          <w:rStyle w:val="CharStyle76"/>
          <w:i w:val="0"/>
          <w:color w:val="000000"/>
          <w:sz w:val="24"/>
          <w:szCs w:val="24"/>
        </w:rPr>
        <w:t xml:space="preserve">177/2009, </w:t>
      </w:r>
      <w:r w:rsidRPr="00D53301">
        <w:rPr>
          <w:rStyle w:val="CharStyle76"/>
          <w:i w:val="0"/>
          <w:color w:val="000000"/>
          <w:sz w:val="24"/>
          <w:szCs w:val="24"/>
          <w:lang w:eastAsia="lt-LT"/>
        </w:rPr>
        <w:t>2K-</w:t>
      </w:r>
      <w:r w:rsidRPr="00D53301">
        <w:rPr>
          <w:rStyle w:val="CharStyle76"/>
          <w:i w:val="0"/>
          <w:color w:val="000000"/>
          <w:sz w:val="24"/>
          <w:szCs w:val="24"/>
        </w:rPr>
        <w:t xml:space="preserve">205/2012, </w:t>
      </w:r>
      <w:r w:rsidRPr="00D53301">
        <w:rPr>
          <w:rStyle w:val="CharStyle76"/>
          <w:i w:val="0"/>
          <w:color w:val="000000"/>
          <w:sz w:val="24"/>
          <w:szCs w:val="24"/>
          <w:lang w:eastAsia="lt-LT"/>
        </w:rPr>
        <w:t>2K-532/2012, 2K-619/2012, 2K-232/2014). Duomenų, kuriais remiantis galima tik manyti, kad nusikalstama veika galėjo būti padaryta, nepakanka</w:t>
      </w:r>
      <w:r w:rsidR="000D7D01" w:rsidRPr="00D53301">
        <w:rPr>
          <w:rStyle w:val="CharStyle76"/>
          <w:i w:val="0"/>
          <w:color w:val="000000"/>
          <w:sz w:val="24"/>
          <w:szCs w:val="24"/>
          <w:lang w:eastAsia="lt-LT"/>
        </w:rPr>
        <w:t xml:space="preserve"> išvadoms apie asmens kaltumą pa</w:t>
      </w:r>
      <w:r w:rsidRPr="00D53301">
        <w:rPr>
          <w:rStyle w:val="CharStyle76"/>
          <w:i w:val="0"/>
          <w:color w:val="000000"/>
          <w:sz w:val="24"/>
          <w:szCs w:val="24"/>
          <w:lang w:eastAsia="lt-LT"/>
        </w:rPr>
        <w:t xml:space="preserve">daryti ir apkaltinamajam nuosprendžiui priimti </w:t>
      </w:r>
      <w:r w:rsidRPr="00D53301">
        <w:rPr>
          <w:rStyle w:val="CharStyle76"/>
          <w:i w:val="0"/>
          <w:color w:val="000000"/>
          <w:sz w:val="24"/>
          <w:szCs w:val="24"/>
        </w:rPr>
        <w:t>(</w:t>
      </w:r>
      <w:r w:rsidR="00037C8E" w:rsidRPr="00D53301">
        <w:rPr>
          <w:rStyle w:val="CharStyle76"/>
          <w:i w:val="0"/>
          <w:color w:val="000000"/>
          <w:sz w:val="24"/>
          <w:szCs w:val="24"/>
        </w:rPr>
        <w:t>LAT</w:t>
      </w:r>
      <w:r w:rsidRPr="00D53301">
        <w:rPr>
          <w:rStyle w:val="CharStyle76"/>
          <w:i w:val="0"/>
          <w:color w:val="000000"/>
          <w:sz w:val="24"/>
          <w:szCs w:val="24"/>
        </w:rPr>
        <w:t xml:space="preserve"> </w:t>
      </w:r>
      <w:r w:rsidRPr="00D53301">
        <w:rPr>
          <w:rStyle w:val="CharStyle76"/>
          <w:i w:val="0"/>
          <w:color w:val="000000"/>
          <w:sz w:val="24"/>
          <w:szCs w:val="24"/>
          <w:lang w:eastAsia="lt-LT"/>
        </w:rPr>
        <w:t xml:space="preserve">nutartis baudžiamojoje byloje </w:t>
      </w:r>
      <w:r w:rsidRPr="00D53301">
        <w:rPr>
          <w:rStyle w:val="CharStyle76"/>
          <w:i w:val="0"/>
          <w:color w:val="000000"/>
          <w:sz w:val="24"/>
          <w:szCs w:val="24"/>
        </w:rPr>
        <w:t xml:space="preserve">Nr. </w:t>
      </w:r>
      <w:r w:rsidR="00D76BE4" w:rsidRPr="00D53301">
        <w:rPr>
          <w:rStyle w:val="CharStyle76"/>
          <w:i w:val="0"/>
          <w:color w:val="000000"/>
          <w:sz w:val="24"/>
          <w:szCs w:val="24"/>
          <w:lang w:eastAsia="lt-LT"/>
        </w:rPr>
        <w:t>2K-</w:t>
      </w:r>
      <w:r w:rsidRPr="00D53301">
        <w:rPr>
          <w:rStyle w:val="CharStyle76"/>
          <w:i w:val="0"/>
          <w:color w:val="000000"/>
          <w:sz w:val="24"/>
          <w:szCs w:val="24"/>
        </w:rPr>
        <w:t>24/2014). Be to, visos abe</w:t>
      </w:r>
      <w:r w:rsidRPr="00D53301">
        <w:rPr>
          <w:rStyle w:val="CharStyle76"/>
          <w:i w:val="0"/>
          <w:sz w:val="24"/>
          <w:szCs w:val="24"/>
        </w:rPr>
        <w:t>jonės, kurių negalima pašalinti, turi būti aiškinamos kaltina</w:t>
      </w:r>
      <w:r w:rsidRPr="00D53301">
        <w:rPr>
          <w:rStyle w:val="CharStyle76"/>
          <w:i w:val="0"/>
          <w:iCs w:val="0"/>
          <w:sz w:val="24"/>
          <w:szCs w:val="24"/>
        </w:rPr>
        <w:t xml:space="preserve">mojo naudai. Todėl </w:t>
      </w:r>
      <w:r w:rsidR="00DC0414" w:rsidRPr="00D53301">
        <w:rPr>
          <w:rStyle w:val="CharStyle76"/>
          <w:i w:val="0"/>
          <w:iCs w:val="0"/>
          <w:sz w:val="24"/>
          <w:szCs w:val="24"/>
        </w:rPr>
        <w:t>J. S.</w:t>
      </w:r>
      <w:r w:rsidRPr="00D53301">
        <w:rPr>
          <w:rStyle w:val="CharStyle76"/>
          <w:i w:val="0"/>
          <w:sz w:val="24"/>
          <w:szCs w:val="24"/>
        </w:rPr>
        <w:t xml:space="preserve"> turėtų būti išteisintas, neįrodžius, kad jis padarė jam inkriminuojamas nusikalstamas veikas</w:t>
      </w:r>
      <w:r w:rsidRPr="00C00255">
        <w:rPr>
          <w:rStyle w:val="CharStyle76"/>
          <w:i w:val="0"/>
          <w:sz w:val="24"/>
          <w:szCs w:val="24"/>
        </w:rPr>
        <w:t xml:space="preserve">. </w:t>
      </w:r>
    </w:p>
    <w:p w:rsidR="00AF252A" w:rsidRPr="00C00255" w:rsidRDefault="00B54770" w:rsidP="00321748">
      <w:pPr>
        <w:pStyle w:val="ListParagraph"/>
        <w:numPr>
          <w:ilvl w:val="1"/>
          <w:numId w:val="6"/>
        </w:numPr>
        <w:spacing w:before="120" w:after="120"/>
        <w:ind w:left="992" w:hanging="992"/>
        <w:contextualSpacing w:val="0"/>
      </w:pPr>
      <w:r w:rsidRPr="00D53301">
        <w:t>Pagal</w:t>
      </w:r>
      <w:r w:rsidR="00AF252A" w:rsidRPr="00D53301">
        <w:t xml:space="preserve"> 1949 m. </w:t>
      </w:r>
      <w:r w:rsidR="00D76BE4" w:rsidRPr="00D53301">
        <w:t>rugpjūčio 12 d. Ženevos konvencijų</w:t>
      </w:r>
      <w:r w:rsidR="00AF252A" w:rsidRPr="00D53301">
        <w:t xml:space="preserve"> I</w:t>
      </w:r>
      <w:r w:rsidR="00D76BE4" w:rsidRPr="00D53301">
        <w:t>-</w:t>
      </w:r>
      <w:r w:rsidRPr="00D53301">
        <w:t>ąjį</w:t>
      </w:r>
      <w:r w:rsidR="00AF252A" w:rsidRPr="00D53301">
        <w:t xml:space="preserve"> </w:t>
      </w:r>
      <w:r w:rsidR="00505AB3" w:rsidRPr="00D53301">
        <w:t>P</w:t>
      </w:r>
      <w:r w:rsidR="00AF252A" w:rsidRPr="00D53301">
        <w:t>apildom</w:t>
      </w:r>
      <w:r w:rsidRPr="00D53301">
        <w:t>ą</w:t>
      </w:r>
      <w:r w:rsidR="00AF252A" w:rsidRPr="00D53301">
        <w:t xml:space="preserve"> protokol</w:t>
      </w:r>
      <w:r w:rsidRPr="00D53301">
        <w:t>ą</w:t>
      </w:r>
      <w:r w:rsidR="00AF252A" w:rsidRPr="00D53301">
        <w:t xml:space="preserve"> valstybės vadovai privalo karinio konflikto metu iškeldinti civilius gyventojus iš pavojingų zonų, imtis kitų priemonių civiliams apsaugoti nuo karinės operacijos keliamų pavojų. Griežtai draudžiama naudoti civilius kaip gyvuosius skydus siekiant apsaugoti tam tikrus objektus nuo karinių operacijų ar kitaip trukdant. Savanoriškas dalyvavimas </w:t>
      </w:r>
      <w:r w:rsidRPr="00D53301">
        <w:t xml:space="preserve">būnant </w:t>
      </w:r>
      <w:r w:rsidR="00AF252A" w:rsidRPr="00D53301">
        <w:t>gyv</w:t>
      </w:r>
      <w:r w:rsidRPr="00D53301">
        <w:t>uoju</w:t>
      </w:r>
      <w:r w:rsidR="00AF252A" w:rsidRPr="00D53301">
        <w:t xml:space="preserve"> skyd</w:t>
      </w:r>
      <w:r w:rsidRPr="00D53301">
        <w:t>u</w:t>
      </w:r>
      <w:r w:rsidR="00AF252A" w:rsidRPr="00D53301">
        <w:t xml:space="preserve"> reiškia, kad civiliai sąmoningai rizikuoja siekdami apsaugoti kitą karinio konflikto šalį. Pasak gynėjo, civiliai per visuomenės informavimo priemones buvo raginami rinktis prie strateginių objektų, todėl atsakomybę pagal </w:t>
      </w:r>
      <w:r w:rsidR="00D76BE4" w:rsidRPr="00D53301">
        <w:t xml:space="preserve">1949 m. rugpjūčio 12 d. </w:t>
      </w:r>
      <w:r w:rsidR="000D7D01" w:rsidRPr="00D53301">
        <w:t>Ženevos konvencijas</w:t>
      </w:r>
      <w:r w:rsidR="00AF252A" w:rsidRPr="00D53301">
        <w:t xml:space="preserve"> turėtų prisiimti ir subjektai</w:t>
      </w:r>
      <w:r w:rsidR="00EC1A9B" w:rsidRPr="00D53301">
        <w:t>,</w:t>
      </w:r>
      <w:r w:rsidR="00AF252A" w:rsidRPr="00D53301">
        <w:t xml:space="preserve"> raginę tą daryti.</w:t>
      </w:r>
      <w:r w:rsidR="00AF252A" w:rsidRPr="00C00255">
        <w:t xml:space="preserve"> </w:t>
      </w:r>
    </w:p>
    <w:p w:rsidR="00AF252A" w:rsidRPr="00C00255" w:rsidRDefault="00782556" w:rsidP="00321748">
      <w:pPr>
        <w:pStyle w:val="ListParagraph"/>
        <w:numPr>
          <w:ilvl w:val="1"/>
          <w:numId w:val="6"/>
        </w:numPr>
        <w:spacing w:before="120" w:after="120"/>
        <w:ind w:left="992" w:hanging="992"/>
        <w:contextualSpacing w:val="0"/>
      </w:pPr>
      <w:r w:rsidRPr="00D53301">
        <w:t>Karinės operacijos 1991 m. sausio įvykių</w:t>
      </w:r>
      <w:r w:rsidR="00AF252A" w:rsidRPr="00D53301">
        <w:t xml:space="preserve"> metu buvo užimti ir kiti strateginiai objektai, tačiau prie šių objektų </w:t>
      </w:r>
      <w:r w:rsidRPr="00D53301">
        <w:t xml:space="preserve">susirinkusių </w:t>
      </w:r>
      <w:r w:rsidR="00AF252A" w:rsidRPr="00D53301">
        <w:t>pašalinių civilinių asmenų, kurie sukeltų pasipriešinimą kariškiams</w:t>
      </w:r>
      <w:r w:rsidR="00EC1A9B" w:rsidRPr="00D53301">
        <w:t>,</w:t>
      </w:r>
      <w:r w:rsidR="00AF252A" w:rsidRPr="00D53301">
        <w:t xml:space="preserve"> nebuvo, todėl niekas iš civilių prie šių objektų nenukentėjo. Taigi, jei civilių prie strateginių objektų nebūtų </w:t>
      </w:r>
      <w:r w:rsidR="00037C8E" w:rsidRPr="00D53301">
        <w:t xml:space="preserve">buvę </w:t>
      </w:r>
      <w:r w:rsidR="00AF252A" w:rsidRPr="00D53301">
        <w:t xml:space="preserve">ir jie </w:t>
      </w:r>
      <w:r w:rsidR="00037C8E" w:rsidRPr="00D53301">
        <w:t xml:space="preserve">būtų </w:t>
      </w:r>
      <w:r w:rsidR="00AF252A" w:rsidRPr="00D53301">
        <w:t>nesiprieši</w:t>
      </w:r>
      <w:r w:rsidR="00037C8E" w:rsidRPr="00D53301">
        <w:t>nę,</w:t>
      </w:r>
      <w:r w:rsidR="00AF252A" w:rsidRPr="00D53301">
        <w:t xml:space="preserve"> būtų pavykę išvengti civilių aukų. Kariškiai ir jų vadai strateginių objektų užpuolimo metu per garsiakalbius ir be garsiakalbių reikalavo, kad civiliai pasitrauktų nuo užimamų objektų ir </w:t>
      </w:r>
      <w:r w:rsidR="00037C8E" w:rsidRPr="00D53301">
        <w:t>netrukdytų kariškiams pate</w:t>
      </w:r>
      <w:r w:rsidR="00AF252A" w:rsidRPr="00D53301">
        <w:t>kti į užimamus objektus. Tokius kariškių reikalavimus civil</w:t>
      </w:r>
      <w:r w:rsidR="00037C8E" w:rsidRPr="00D53301">
        <w:t>iai ignoravo, jie buvo nusiteikę</w:t>
      </w:r>
      <w:r w:rsidR="00AF252A" w:rsidRPr="00D53301">
        <w:t xml:space="preserve"> ryžtingai ginti objektus, agresyviai ir ry</w:t>
      </w:r>
      <w:r w:rsidRPr="00D53301">
        <w:t>žtingai priešinosi kariškiams bei</w:t>
      </w:r>
      <w:r w:rsidR="00AF252A" w:rsidRPr="00D53301">
        <w:t xml:space="preserve"> nesitraukė nuo objektų. Iš kariškio </w:t>
      </w:r>
      <w:r w:rsidR="002F1EB0" w:rsidRPr="00D53301">
        <w:t>J. T.</w:t>
      </w:r>
      <w:r w:rsidR="00AF252A" w:rsidRPr="00D53301">
        <w:t xml:space="preserve"> parodymų matyti, kad nenustatytas asmuo ar asmenys iš gyvenamojo namo kėsinosi jį nužudyti ir t</w:t>
      </w:r>
      <w:r w:rsidR="00EC1A9B" w:rsidRPr="00D53301">
        <w:t xml:space="preserve">aip </w:t>
      </w:r>
      <w:r w:rsidR="00037C8E" w:rsidRPr="00D53301">
        <w:t>išprovokuoti kariškius panaudoti</w:t>
      </w:r>
      <w:r w:rsidR="00AF252A" w:rsidRPr="00D53301">
        <w:t xml:space="preserve"> š</w:t>
      </w:r>
      <w:r w:rsidR="00037C8E" w:rsidRPr="00D53301">
        <w:t>aunamuosius ginklus</w:t>
      </w:r>
      <w:r w:rsidR="00AF252A" w:rsidRPr="00D53301">
        <w:t xml:space="preserve">. </w:t>
      </w:r>
      <w:r w:rsidR="002F1EB0" w:rsidRPr="00D53301">
        <w:t>J. T.</w:t>
      </w:r>
      <w:r w:rsidR="00AF252A" w:rsidRPr="00D53301">
        <w:t xml:space="preserve"> apšaudymas parodo ir patvirtina, kad ne tik kariškiai,</w:t>
      </w:r>
      <w:r w:rsidR="00037C8E" w:rsidRPr="00D53301">
        <w:t xml:space="preserve"> bet ir</w:t>
      </w:r>
      <w:r w:rsidR="00AF252A" w:rsidRPr="00D53301">
        <w:t xml:space="preserve"> </w:t>
      </w:r>
      <w:r w:rsidRPr="00D53301">
        <w:t xml:space="preserve">nenustatyti </w:t>
      </w:r>
      <w:r w:rsidR="00AF252A" w:rsidRPr="00D53301">
        <w:t>kitos konflikto pusės asmenys naudojo šaunamuosius ginklus</w:t>
      </w:r>
      <w:r w:rsidR="00AF252A" w:rsidRPr="00C00255">
        <w:rPr>
          <w:szCs w:val="24"/>
        </w:rPr>
        <w:t>.</w:t>
      </w:r>
    </w:p>
    <w:p w:rsidR="00AF252A" w:rsidRPr="00C00255" w:rsidRDefault="00AF252A" w:rsidP="00321748">
      <w:pPr>
        <w:pStyle w:val="ListParagraph"/>
        <w:numPr>
          <w:ilvl w:val="1"/>
          <w:numId w:val="6"/>
        </w:numPr>
        <w:spacing w:before="120" w:after="120"/>
        <w:ind w:left="992" w:hanging="992"/>
        <w:contextualSpacing w:val="0"/>
        <w:rPr>
          <w:rStyle w:val="CharStyle76"/>
          <w:i w:val="0"/>
          <w:iCs w:val="0"/>
          <w:sz w:val="24"/>
          <w:szCs w:val="20"/>
          <w:shd w:val="clear" w:color="auto" w:fill="auto"/>
        </w:rPr>
      </w:pPr>
      <w:r w:rsidRPr="00D53301">
        <w:rPr>
          <w:rStyle w:val="CharStyle76"/>
          <w:i w:val="0"/>
          <w:color w:val="000000"/>
          <w:sz w:val="24"/>
          <w:szCs w:val="24"/>
          <w:lang w:eastAsia="lt-LT"/>
        </w:rPr>
        <w:t xml:space="preserve">Pasak gynėjo, užimant objektus ne visi kariškiai laikėsi savo vadų nurodymų </w:t>
      </w:r>
      <w:r w:rsidRPr="00D53301">
        <w:rPr>
          <w:rStyle w:val="CharStyle76"/>
          <w:i w:val="0"/>
          <w:color w:val="000000"/>
          <w:sz w:val="24"/>
          <w:szCs w:val="24"/>
        </w:rPr>
        <w:t xml:space="preserve">– </w:t>
      </w:r>
      <w:r w:rsidRPr="00D53301">
        <w:rPr>
          <w:rStyle w:val="CharStyle76"/>
          <w:i w:val="0"/>
          <w:color w:val="000000"/>
          <w:sz w:val="24"/>
          <w:szCs w:val="24"/>
          <w:lang w:eastAsia="lt-LT"/>
        </w:rPr>
        <w:t xml:space="preserve">naudoti šaunamuosius ginklus tik tuo atveju, jeigu jiems kiltų pavojus gyvybei, nes kai kurie kariškiai </w:t>
      </w:r>
      <w:r w:rsidR="00782556" w:rsidRPr="00D53301">
        <w:rPr>
          <w:rStyle w:val="CharStyle76"/>
          <w:i w:val="0"/>
          <w:color w:val="000000"/>
          <w:sz w:val="24"/>
          <w:szCs w:val="24"/>
          <w:lang w:eastAsia="lt-LT"/>
        </w:rPr>
        <w:t>naudojo kovinius šovinius bei mė</w:t>
      </w:r>
      <w:r w:rsidRPr="00D53301">
        <w:rPr>
          <w:rStyle w:val="CharStyle76"/>
          <w:i w:val="0"/>
          <w:color w:val="000000"/>
          <w:sz w:val="24"/>
          <w:szCs w:val="24"/>
          <w:lang w:eastAsia="lt-LT"/>
        </w:rPr>
        <w:t xml:space="preserve">tė sprogstamuosius įtaisus be jokios būtinybės ir realaus pavojaus jų gyvybei. Būtent tie nustatyti ir nenustatyti karininkai, praporščikai, seržantai ir eiliniai kariškiai, kurie pažeidė aukštesnių vadų įsakymus </w:t>
      </w:r>
      <w:r w:rsidRPr="00D53301">
        <w:rPr>
          <w:rStyle w:val="CharStyle76"/>
          <w:i w:val="0"/>
          <w:color w:val="000000"/>
          <w:sz w:val="24"/>
          <w:szCs w:val="24"/>
        </w:rPr>
        <w:t xml:space="preserve">– </w:t>
      </w:r>
      <w:r w:rsidRPr="00D53301">
        <w:rPr>
          <w:rStyle w:val="CharStyle76"/>
          <w:i w:val="0"/>
          <w:color w:val="000000"/>
          <w:sz w:val="24"/>
          <w:szCs w:val="24"/>
          <w:lang w:eastAsia="lt-LT"/>
        </w:rPr>
        <w:t>naudoti ginklus ir šaudyti koviniais šoviniais tik išskirtiniais atvejais, kai gresia pavojus jų gyvybei,</w:t>
      </w:r>
      <w:r w:rsidRPr="00D53301">
        <w:rPr>
          <w:rStyle w:val="CharStyle76"/>
          <w:i w:val="0"/>
          <w:color w:val="000000"/>
          <w:sz w:val="24"/>
          <w:szCs w:val="24"/>
        </w:rPr>
        <w:t xml:space="preserve"> </w:t>
      </w:r>
      <w:r w:rsidRPr="00D53301">
        <w:rPr>
          <w:rStyle w:val="CharStyle76"/>
          <w:i w:val="0"/>
          <w:color w:val="000000"/>
          <w:sz w:val="24"/>
          <w:szCs w:val="24"/>
          <w:lang w:eastAsia="lt-LT"/>
        </w:rPr>
        <w:t>ir nuo kurių veiksmų nukentėjo civiliai asmenys</w:t>
      </w:r>
      <w:r w:rsidR="00037C8E" w:rsidRPr="00D53301">
        <w:rPr>
          <w:rStyle w:val="CharStyle76"/>
          <w:i w:val="0"/>
          <w:color w:val="000000"/>
          <w:sz w:val="24"/>
          <w:szCs w:val="24"/>
          <w:lang w:eastAsia="lt-LT"/>
        </w:rPr>
        <w:t>,</w:t>
      </w:r>
      <w:r w:rsidRPr="00D53301">
        <w:rPr>
          <w:rStyle w:val="CharStyle76"/>
          <w:i w:val="0"/>
          <w:color w:val="000000"/>
          <w:sz w:val="24"/>
          <w:szCs w:val="24"/>
          <w:lang w:eastAsia="lt-LT"/>
        </w:rPr>
        <w:t xml:space="preserve"> galėjo būti patraukti baudžiamojon atsakomybė</w:t>
      </w:r>
      <w:r w:rsidR="00782556" w:rsidRPr="00D53301">
        <w:rPr>
          <w:rStyle w:val="CharStyle76"/>
          <w:i w:val="0"/>
          <w:color w:val="000000"/>
          <w:sz w:val="24"/>
          <w:szCs w:val="24"/>
          <w:lang w:eastAsia="lt-LT"/>
        </w:rPr>
        <w:t>n baudžiamojo įstatymo nustatyta</w:t>
      </w:r>
      <w:r w:rsidRPr="00D53301">
        <w:rPr>
          <w:rStyle w:val="CharStyle76"/>
          <w:i w:val="0"/>
          <w:color w:val="000000"/>
          <w:sz w:val="24"/>
          <w:szCs w:val="24"/>
          <w:lang w:eastAsia="lt-LT"/>
        </w:rPr>
        <w:t xml:space="preserve"> tvarka už savo neteisėtus veiksmus, t.</w:t>
      </w:r>
      <w:r w:rsidR="00A879F3" w:rsidRPr="00D53301">
        <w:rPr>
          <w:rStyle w:val="CharStyle76"/>
          <w:i w:val="0"/>
          <w:color w:val="000000"/>
          <w:sz w:val="24"/>
          <w:szCs w:val="24"/>
          <w:lang w:eastAsia="lt-LT"/>
        </w:rPr>
        <w:t> </w:t>
      </w:r>
      <w:r w:rsidRPr="00D53301">
        <w:rPr>
          <w:rStyle w:val="CharStyle76"/>
          <w:i w:val="0"/>
          <w:color w:val="000000"/>
          <w:sz w:val="24"/>
          <w:szCs w:val="24"/>
          <w:lang w:eastAsia="lt-LT"/>
        </w:rPr>
        <w:t>y. už įs</w:t>
      </w:r>
      <w:r w:rsidR="00782556" w:rsidRPr="00D53301">
        <w:rPr>
          <w:rStyle w:val="CharStyle76"/>
          <w:i w:val="0"/>
          <w:color w:val="000000"/>
          <w:sz w:val="24"/>
          <w:szCs w:val="24"/>
          <w:lang w:eastAsia="lt-LT"/>
        </w:rPr>
        <w:t>akymo viršijimą bei už civilių</w:t>
      </w:r>
      <w:r w:rsidRPr="00D53301">
        <w:rPr>
          <w:rStyle w:val="CharStyle76"/>
          <w:i w:val="0"/>
          <w:color w:val="000000"/>
          <w:sz w:val="24"/>
          <w:szCs w:val="24"/>
          <w:lang w:eastAsia="lt-LT"/>
        </w:rPr>
        <w:t xml:space="preserve"> </w:t>
      </w:r>
      <w:r w:rsidR="00782556" w:rsidRPr="00D53301">
        <w:rPr>
          <w:rStyle w:val="CharStyle76"/>
          <w:i w:val="0"/>
          <w:color w:val="000000"/>
          <w:sz w:val="24"/>
          <w:szCs w:val="24"/>
          <w:lang w:eastAsia="lt-LT"/>
        </w:rPr>
        <w:t xml:space="preserve">sveikatai </w:t>
      </w:r>
      <w:r w:rsidRPr="00D53301">
        <w:rPr>
          <w:rStyle w:val="CharStyle76"/>
          <w:i w:val="0"/>
          <w:color w:val="000000"/>
          <w:sz w:val="24"/>
          <w:szCs w:val="24"/>
          <w:lang w:eastAsia="lt-LT"/>
        </w:rPr>
        <w:t>padarytą žalą</w:t>
      </w:r>
      <w:r w:rsidRPr="00C00255">
        <w:rPr>
          <w:rStyle w:val="CharStyle76"/>
          <w:i w:val="0"/>
          <w:color w:val="000000"/>
          <w:sz w:val="24"/>
          <w:szCs w:val="24"/>
          <w:lang w:eastAsia="lt-LT"/>
        </w:rPr>
        <w:t>.</w:t>
      </w:r>
      <w:r w:rsidR="00782556" w:rsidRPr="00C00255">
        <w:rPr>
          <w:rStyle w:val="CharStyle76"/>
          <w:i w:val="0"/>
          <w:color w:val="000000"/>
          <w:sz w:val="24"/>
          <w:szCs w:val="24"/>
          <w:lang w:eastAsia="lt-LT"/>
        </w:rPr>
        <w:t xml:space="preserve"> </w:t>
      </w:r>
    </w:p>
    <w:p w:rsidR="00AF252A" w:rsidRPr="00C00255" w:rsidRDefault="00AF252A" w:rsidP="00321748">
      <w:pPr>
        <w:pStyle w:val="ListParagraph"/>
        <w:numPr>
          <w:ilvl w:val="1"/>
          <w:numId w:val="6"/>
        </w:numPr>
        <w:spacing w:before="120" w:after="120"/>
        <w:ind w:left="992" w:hanging="992"/>
        <w:contextualSpacing w:val="0"/>
        <w:rPr>
          <w:rStyle w:val="CharStyle10"/>
          <w:i w:val="0"/>
          <w:iCs w:val="0"/>
          <w:shd w:val="clear" w:color="auto" w:fill="auto"/>
        </w:rPr>
      </w:pPr>
      <w:r w:rsidRPr="00D53301">
        <w:lastRenderedPageBreak/>
        <w:t xml:space="preserve">Pasak gynėjo, pagal tarptautinės teisės aktus siekiant nubausti asmenis, padariusius nusikaltimus taikai, žmoniškumui ir karo nusikaltimus, galimas tarptautinių baudžiamųjų tribunolų steigimas, tačiau Lietuva nesikreipė į </w:t>
      </w:r>
      <w:r w:rsidR="0042306C" w:rsidRPr="00D53301">
        <w:t>JT</w:t>
      </w:r>
      <w:r w:rsidR="00930046" w:rsidRPr="00D53301">
        <w:t xml:space="preserve"> </w:t>
      </w:r>
      <w:r w:rsidR="00037C8E" w:rsidRPr="00D53301">
        <w:t xml:space="preserve">Saugumo </w:t>
      </w:r>
      <w:r w:rsidR="00EC1A9B" w:rsidRPr="00D53301">
        <w:t>T</w:t>
      </w:r>
      <w:r w:rsidR="00037C8E" w:rsidRPr="00D53301">
        <w:t>ar</w:t>
      </w:r>
      <w:r w:rsidRPr="00D53301">
        <w:t xml:space="preserve">ybą </w:t>
      </w:r>
      <w:r w:rsidR="00A34D0A" w:rsidRPr="00D53301">
        <w:t>dėl tokio teismo įsteigimo 1990–</w:t>
      </w:r>
      <w:r w:rsidRPr="00D53301">
        <w:t>1991 m. įvykiams nagrinėti, todėl kariškių baudžiamasis persekiojimas bendrosios kompetencijos teisme yra negalimas</w:t>
      </w:r>
      <w:r w:rsidRPr="00C00255">
        <w:rPr>
          <w:rStyle w:val="CharStyle10"/>
          <w:i w:val="0"/>
          <w:color w:val="000000"/>
          <w:szCs w:val="24"/>
          <w:lang w:eastAsia="lt-LT"/>
        </w:rPr>
        <w:t xml:space="preserve">. </w:t>
      </w:r>
    </w:p>
    <w:p w:rsidR="00160DF5" w:rsidRPr="00C00255" w:rsidRDefault="00AF252A" w:rsidP="00321748">
      <w:pPr>
        <w:pStyle w:val="ListParagraph"/>
        <w:numPr>
          <w:ilvl w:val="1"/>
          <w:numId w:val="6"/>
        </w:numPr>
        <w:spacing w:before="120" w:after="120"/>
        <w:ind w:left="992" w:hanging="992"/>
        <w:contextualSpacing w:val="0"/>
      </w:pPr>
      <w:r w:rsidRPr="00D53301">
        <w:t xml:space="preserve">Lietuva yra priimta į </w:t>
      </w:r>
      <w:r w:rsidR="0042306C" w:rsidRPr="00D53301">
        <w:t>JT</w:t>
      </w:r>
      <w:r w:rsidRPr="00D53301">
        <w:t>, kuri savo veiklą pradėjo dar 1945 m., priėmus Jungtinių Tautų Chartiją. Gynėjas skunde cituoja esmines minėto tarptautin</w:t>
      </w:r>
      <w:r w:rsidR="00782556" w:rsidRPr="00D53301">
        <w:t>ės teisės</w:t>
      </w:r>
      <w:r w:rsidRPr="00D53301">
        <w:t xml:space="preserve"> akto nuostatas ir nurodo, kad p</w:t>
      </w:r>
      <w:r w:rsidR="00037C8E" w:rsidRPr="00D53301">
        <w:t xml:space="preserve">agrindinė </w:t>
      </w:r>
      <w:r w:rsidR="0042306C" w:rsidRPr="00D53301">
        <w:t>JT</w:t>
      </w:r>
      <w:r w:rsidR="00930046" w:rsidRPr="00D53301">
        <w:t xml:space="preserve"> </w:t>
      </w:r>
      <w:r w:rsidRPr="00D53301">
        <w:t>teisminė institucija yra Tarptautinis Teisingumo Teismas, kuriam suteikta kompetencija spręsti tarptautinius ginčus ir teikti konsultacines išvadas jų veikloje kylančiais teisės klausimais. Lietuva šią tarptautinę sutartį ratifikavo 1991 m. rugsėjo 17 d., todėl kaip valstybė n</w:t>
      </w:r>
      <w:r w:rsidR="00BA2161" w:rsidRPr="00D53301">
        <w:t xml:space="preserve">arė turėjo kreiptis į </w:t>
      </w:r>
      <w:r w:rsidR="0042306C" w:rsidRPr="00D53301">
        <w:t>JT</w:t>
      </w:r>
      <w:r w:rsidR="00930046" w:rsidRPr="00D53301">
        <w:t xml:space="preserve"> </w:t>
      </w:r>
      <w:r w:rsidRPr="00D53301">
        <w:t>Saugumo Tarybą ir Tarptau</w:t>
      </w:r>
      <w:r w:rsidR="00E420BD" w:rsidRPr="00D53301">
        <w:t>tinį Teisingumo Teismą dėl TSRS </w:t>
      </w:r>
      <w:r w:rsidRPr="00D53301">
        <w:t>teisių perėmėjos Rusijos Federacijos ba</w:t>
      </w:r>
      <w:r w:rsidR="00A34D0A" w:rsidRPr="00D53301">
        <w:t>udžiamosios atsakomybės už 1990–</w:t>
      </w:r>
      <w:r w:rsidRPr="00D53301">
        <w:t>1991 m. TSRS kariškių ir politinių veikėjų veiksmus ir padarytos žalos atlyginimo</w:t>
      </w:r>
      <w:r w:rsidRPr="00C00255">
        <w:rPr>
          <w:rStyle w:val="CharStyle10"/>
          <w:i w:val="0"/>
          <w:szCs w:val="24"/>
        </w:rPr>
        <w:t xml:space="preserve">. </w:t>
      </w:r>
      <w:r w:rsidR="00930046" w:rsidRPr="00C00255">
        <w:rPr>
          <w:rStyle w:val="CharStyle10"/>
          <w:i w:val="0"/>
          <w:szCs w:val="24"/>
        </w:rPr>
        <w:t xml:space="preserve"> </w:t>
      </w:r>
    </w:p>
    <w:p w:rsidR="005124CB" w:rsidRPr="00C00255" w:rsidRDefault="005124CB" w:rsidP="00321748">
      <w:pPr>
        <w:pStyle w:val="Heading2"/>
        <w:numPr>
          <w:ilvl w:val="0"/>
          <w:numId w:val="11"/>
        </w:numPr>
        <w:jc w:val="center"/>
        <w:rPr>
          <w:rFonts w:ascii="Times New Roman" w:hAnsi="Times New Roman" w:cs="Times New Roman"/>
          <w:b w:val="0"/>
          <w:sz w:val="24"/>
          <w:szCs w:val="24"/>
        </w:rPr>
      </w:pPr>
      <w:bookmarkStart w:id="194" w:name="_Toc37947890"/>
      <w:bookmarkStart w:id="195" w:name="_Toc67677369"/>
      <w:bookmarkStart w:id="196" w:name="_Toc67985496"/>
      <w:r w:rsidRPr="00C00255">
        <w:rPr>
          <w:rFonts w:ascii="Times New Roman" w:hAnsi="Times New Roman" w:cs="Times New Roman"/>
          <w:b w:val="0"/>
          <w:sz w:val="24"/>
          <w:szCs w:val="24"/>
        </w:rPr>
        <w:t>PROKURORŲ IR CIVILI</w:t>
      </w:r>
      <w:r w:rsidR="008D7792" w:rsidRPr="00C00255">
        <w:rPr>
          <w:rFonts w:ascii="Times New Roman" w:hAnsi="Times New Roman" w:cs="Times New Roman"/>
          <w:b w:val="0"/>
          <w:sz w:val="24"/>
          <w:szCs w:val="24"/>
        </w:rPr>
        <w:t>NI</w:t>
      </w:r>
      <w:r w:rsidRPr="00C00255">
        <w:rPr>
          <w:rFonts w:ascii="Times New Roman" w:hAnsi="Times New Roman" w:cs="Times New Roman"/>
          <w:b w:val="0"/>
          <w:sz w:val="24"/>
          <w:szCs w:val="24"/>
        </w:rPr>
        <w:t xml:space="preserve">Ų IEŠKOVŲ </w:t>
      </w:r>
      <w:r w:rsidR="008434B8" w:rsidRPr="00C00255">
        <w:rPr>
          <w:rFonts w:ascii="Times New Roman" w:hAnsi="Times New Roman" w:cs="Times New Roman"/>
          <w:b w:val="0"/>
          <w:sz w:val="24"/>
          <w:szCs w:val="24"/>
        </w:rPr>
        <w:t>BEI NUKENTĖJUSIŲJŲ APELIACINIAI </w:t>
      </w:r>
      <w:r w:rsidRPr="00C00255">
        <w:rPr>
          <w:rFonts w:ascii="Times New Roman" w:hAnsi="Times New Roman" w:cs="Times New Roman"/>
          <w:b w:val="0"/>
          <w:sz w:val="24"/>
          <w:szCs w:val="24"/>
        </w:rPr>
        <w:t>SKUNDAI</w:t>
      </w:r>
      <w:bookmarkEnd w:id="194"/>
      <w:bookmarkEnd w:id="195"/>
      <w:bookmarkEnd w:id="196"/>
    </w:p>
    <w:p w:rsidR="008D7792" w:rsidRPr="00C00255" w:rsidRDefault="008D7792" w:rsidP="00321748">
      <w:pPr>
        <w:pStyle w:val="ListParagraph"/>
        <w:numPr>
          <w:ilvl w:val="0"/>
          <w:numId w:val="6"/>
        </w:numPr>
        <w:spacing w:before="120" w:after="120"/>
        <w:ind w:left="992" w:hanging="992"/>
        <w:contextualSpacing w:val="0"/>
      </w:pPr>
      <w:bookmarkStart w:id="197" w:name="_Toc37947891"/>
      <w:bookmarkStart w:id="198" w:name="_Toc67677370"/>
      <w:bookmarkStart w:id="199" w:name="_Toc67985497"/>
      <w:r w:rsidRPr="00025AB4">
        <w:rPr>
          <w:b/>
        </w:rPr>
        <w:t>Civilinė ieškovė ir nukentėjusioji O</w:t>
      </w:r>
      <w:r w:rsidR="0093200A" w:rsidRPr="00025AB4">
        <w:rPr>
          <w:b/>
        </w:rPr>
        <w:t>. P.</w:t>
      </w:r>
      <w:r w:rsidRPr="00025AB4">
        <w:rPr>
          <w:b/>
        </w:rPr>
        <w:t xml:space="preserve"> bei jos atstovas</w:t>
      </w:r>
      <w:bookmarkEnd w:id="197"/>
      <w:bookmarkEnd w:id="198"/>
      <w:bookmarkEnd w:id="199"/>
      <w:r w:rsidRPr="00025AB4">
        <w:rPr>
          <w:b/>
        </w:rPr>
        <w:t xml:space="preserve"> advokatas A</w:t>
      </w:r>
      <w:r w:rsidR="00742D54" w:rsidRPr="00025AB4">
        <w:rPr>
          <w:b/>
        </w:rPr>
        <w:t>.</w:t>
      </w:r>
      <w:r w:rsidRPr="00025AB4">
        <w:rPr>
          <w:b/>
        </w:rPr>
        <w:t> Buta</w:t>
      </w:r>
      <w:r w:rsidRPr="00C00255">
        <w:t xml:space="preserve"> </w:t>
      </w:r>
      <w:r w:rsidRPr="00D53301">
        <w:t xml:space="preserve">apeliaciniu skundu prašo pirmosios instancijos teismo nuosprendį pakeisti ir priteisti </w:t>
      </w:r>
      <w:r w:rsidR="0093200A" w:rsidRPr="00D53301">
        <w:t>O. P.</w:t>
      </w:r>
      <w:r w:rsidRPr="00D53301">
        <w:t xml:space="preserve"> iš kal</w:t>
      </w:r>
      <w:r w:rsidR="00BB7F8D" w:rsidRPr="00D53301">
        <w:t>tų asmenų solidariai 150 000 Eur</w:t>
      </w:r>
      <w:r w:rsidRPr="00D53301">
        <w:t xml:space="preserve"> neturtinei žalai atlyginti.</w:t>
      </w:r>
      <w:r w:rsidRPr="00C00255">
        <w:t xml:space="preserve"> </w:t>
      </w:r>
    </w:p>
    <w:p w:rsidR="008D7792" w:rsidRPr="00D53301" w:rsidRDefault="008D7792" w:rsidP="00321748">
      <w:pPr>
        <w:pStyle w:val="ListParagraph"/>
        <w:numPr>
          <w:ilvl w:val="1"/>
          <w:numId w:val="6"/>
        </w:numPr>
        <w:spacing w:before="120" w:after="120"/>
        <w:ind w:left="992" w:hanging="992"/>
        <w:contextualSpacing w:val="0"/>
      </w:pPr>
      <w:r w:rsidRPr="00D53301">
        <w:t>Anot apeliantų, teismas neteisingai išsprendė nukentėjusiosios patirtos žalos atlyginimo klausimą. Konstitucinis Teismas yra nurodęs, kad valstybė yra įpareigota užtikrinti žmogaus teisių ir laisvių gynimą nuo neteisėto veikimo</w:t>
      </w:r>
      <w:r w:rsidR="00722524" w:rsidRPr="00D53301">
        <w:t>,</w:t>
      </w:r>
      <w:r w:rsidRPr="00D53301">
        <w:t xml:space="preserve"> bei pabrėžęs, jog būtinybė atlyginti asmeniui padarytą žalą yra konstitucinis principas. Nors įvykių metu galioj</w:t>
      </w:r>
      <w:r w:rsidR="00EC1A9B" w:rsidRPr="00D53301">
        <w:t>usiuose</w:t>
      </w:r>
      <w:r w:rsidRPr="00D53301">
        <w:t xml:space="preserve"> teisės akt</w:t>
      </w:r>
      <w:r w:rsidR="00EC1A9B" w:rsidRPr="00D53301">
        <w:t>uose</w:t>
      </w:r>
      <w:r w:rsidRPr="00D53301">
        <w:t xml:space="preserve"> ne</w:t>
      </w:r>
      <w:r w:rsidR="00EC1A9B" w:rsidRPr="00D53301">
        <w:t xml:space="preserve">buvo </w:t>
      </w:r>
      <w:r w:rsidRPr="00D53301">
        <w:t>numat</w:t>
      </w:r>
      <w:r w:rsidR="00EC1A9B" w:rsidRPr="00D53301">
        <w:t>yta</w:t>
      </w:r>
      <w:r w:rsidRPr="00D53301">
        <w:t xml:space="preserve"> prievolė atlyginti neturtinę žalą dėl gyvybės atėmimo ją patyrusiems asmenims, LAT yra nurodęs, kad vien tai, jog teisėkūros subjektas tam tikrų santykių laiku teisiškai nesureguliuoja, nereiškia, kad teismai negali ir neturi vykdyti teisingumo. Apeliantų įsitikinimu, tokiu atveju teismas turėjo užpildyti teisines spragas ir pagal analogiją vadovautis </w:t>
      </w:r>
      <w:r w:rsidR="005B0434" w:rsidRPr="00D53301">
        <w:t>CK nuostatomis (LAT </w:t>
      </w:r>
      <w:r w:rsidRPr="00D53301">
        <w:t xml:space="preserve">nutartis civilinėje byloje Nr. 3K-7-70/2011) bei nukentėjusiajai priteisti patirtą neturtinę žalą. </w:t>
      </w:r>
    </w:p>
    <w:p w:rsidR="008D7792" w:rsidRPr="00D53301" w:rsidRDefault="008D7792" w:rsidP="00321748">
      <w:pPr>
        <w:pStyle w:val="ListParagraph"/>
        <w:numPr>
          <w:ilvl w:val="1"/>
          <w:numId w:val="6"/>
        </w:numPr>
        <w:spacing w:before="120" w:after="120"/>
        <w:ind w:left="992" w:hanging="992"/>
        <w:contextualSpacing w:val="0"/>
      </w:pPr>
      <w:r w:rsidRPr="00D53301">
        <w:t xml:space="preserve">Be to, nuosprendžiu netinkamai įvertintos aplinkybės dėl patirtos neturtinės žalos dydžio. Su mirusiu sutuoktiniu </w:t>
      </w:r>
      <w:r w:rsidR="0093200A" w:rsidRPr="00D53301">
        <w:t>O. P.</w:t>
      </w:r>
      <w:r w:rsidRPr="00D53301">
        <w:t xml:space="preserve"> siejo itin glaudus emocinis ryšys, j</w:t>
      </w:r>
      <w:r w:rsidR="00EC1A9B" w:rsidRPr="00D53301">
        <w:t>o mirtis</w:t>
      </w:r>
      <w:r w:rsidRPr="00D53301">
        <w:t xml:space="preserve"> itin paveikė jos ir jos šeimos, kurioje buvo ir nepilnamečių vaikų, gyvenimą. Po vyro mirties šeimos nuotaika buvo slogesnė, o netekus maitintojo ateitis tapo sunkiai įsivaizduojama. Anot apeliantų, šis įvykis itin stipriai paveikė šeimą tiek emocine, tiek materialine prasme, sugriovė ateities planus. Be to, ji pati neteko ne tik vyro, </w:t>
      </w:r>
      <w:r w:rsidR="00EC1A9B" w:rsidRPr="00D53301">
        <w:t>bet</w:t>
      </w:r>
      <w:r w:rsidRPr="00D53301">
        <w:t xml:space="preserve"> ir artimo draugo bei ramsčio. Apeliantų teigimu, sprendžiant dėl atlygintinos žalos dydžio vienu svarbiausi</w:t>
      </w:r>
      <w:r w:rsidR="00EC1A9B" w:rsidRPr="00D53301">
        <w:t>ų</w:t>
      </w:r>
      <w:r w:rsidRPr="00D53301">
        <w:t xml:space="preserve"> aspektų laikytinas objektas, dėl kurio pažeidimo asmuo patyrė neturtinę žalą. Šiuo atveju buvo atimta žmogaus gyvybė, kuri yra viena svarbiausių vertybių. Vadovaujantis LAT praktika, neturtinės žalos atlyginimo tikslai neapsiriboja vien kompensacija – svarbi ir moralinė satisfakcija, socialinio teisingumo atkūrimas. Apeliantai teigia, kad prašo atlyginti daug mažesnę sumą</w:t>
      </w:r>
      <w:r w:rsidR="00EC1A9B" w:rsidRPr="00D53301">
        <w:t>,</w:t>
      </w:r>
      <w:r w:rsidRPr="00D53301">
        <w:t xml:space="preserve"> nei išties patyrė, nes siekia socialinio teisingumo. Patenkinus civilinį ieškinį, būtų konstatuotas jos, kaip kovoje už laisvę žuvusio A. P</w:t>
      </w:r>
      <w:r w:rsidR="0093200A" w:rsidRPr="00D53301">
        <w:t>.</w:t>
      </w:r>
      <w:r w:rsidRPr="00D53301">
        <w:t xml:space="preserve"> sutuoktinės, asmeninių teisių ir visų nukentėjusiųjų bei jų artimųjų teisių pažeidimo faktas. </w:t>
      </w:r>
    </w:p>
    <w:p w:rsidR="008D7792" w:rsidRPr="00C00255" w:rsidRDefault="008D7792" w:rsidP="00321748">
      <w:pPr>
        <w:pStyle w:val="ListParagraph"/>
        <w:numPr>
          <w:ilvl w:val="0"/>
          <w:numId w:val="6"/>
        </w:numPr>
        <w:spacing w:before="120" w:after="120"/>
        <w:ind w:left="992" w:hanging="992"/>
        <w:contextualSpacing w:val="0"/>
      </w:pPr>
      <w:bookmarkStart w:id="200" w:name="_Toc37947892"/>
      <w:bookmarkStart w:id="201" w:name="_Toc67677371"/>
      <w:bookmarkStart w:id="202" w:name="_Toc67985498"/>
      <w:r w:rsidRPr="00025AB4">
        <w:rPr>
          <w:b/>
        </w:rPr>
        <w:t xml:space="preserve">Civilinis ieškovas ir nukentėjusysis </w:t>
      </w:r>
      <w:r w:rsidR="0093200A" w:rsidRPr="00025AB4">
        <w:rPr>
          <w:b/>
        </w:rPr>
        <w:t>R. P.</w:t>
      </w:r>
      <w:r w:rsidR="00742D54" w:rsidRPr="00025AB4">
        <w:rPr>
          <w:b/>
        </w:rPr>
        <w:t xml:space="preserve"> </w:t>
      </w:r>
      <w:r w:rsidRPr="00025AB4">
        <w:rPr>
          <w:b/>
        </w:rPr>
        <w:t>bei jo atstovas</w:t>
      </w:r>
      <w:bookmarkEnd w:id="200"/>
      <w:bookmarkEnd w:id="201"/>
      <w:bookmarkEnd w:id="202"/>
      <w:r w:rsidRPr="00025AB4">
        <w:rPr>
          <w:b/>
        </w:rPr>
        <w:t xml:space="preserve"> advokatas A. Buta</w:t>
      </w:r>
      <w:r w:rsidRPr="00C00255">
        <w:t xml:space="preserve"> apeliaciniu skundu prašo nuosprendį pakeisti ir priteisti </w:t>
      </w:r>
      <w:r w:rsidR="0093200A">
        <w:t>R. P.</w:t>
      </w:r>
      <w:r w:rsidRPr="00C00255">
        <w:t xml:space="preserve"> iš kal</w:t>
      </w:r>
      <w:r w:rsidR="00BB7F8D" w:rsidRPr="00C00255">
        <w:t>tų asmenų solidariai 120 000 Eur</w:t>
      </w:r>
      <w:r w:rsidRPr="00C00255">
        <w:t xml:space="preserve"> neturtinei žalai atlyginti. </w:t>
      </w:r>
    </w:p>
    <w:p w:rsidR="008D7792" w:rsidRPr="00D53301" w:rsidRDefault="008D7792" w:rsidP="00321748">
      <w:pPr>
        <w:pStyle w:val="ListParagraph"/>
        <w:numPr>
          <w:ilvl w:val="1"/>
          <w:numId w:val="6"/>
        </w:numPr>
        <w:spacing w:before="120" w:after="120"/>
        <w:ind w:left="992" w:hanging="992"/>
        <w:contextualSpacing w:val="0"/>
      </w:pPr>
      <w:r w:rsidRPr="00D53301">
        <w:lastRenderedPageBreak/>
        <w:t>Anot apeliantų, teismas netinkamai taikė teisę ir nukrypo nuo Konstitucinio Teismo bei LAT suformuotos praktikos dėl neturtinės žalos atlyginimo išskirtiniu atveju – esant padarytiems nusikaltimams žmoniškumui. Teismo išvada,</w:t>
      </w:r>
      <w:r w:rsidR="00C96771" w:rsidRPr="00D53301">
        <w:t xml:space="preserve"> </w:t>
      </w:r>
      <w:r w:rsidR="00722524" w:rsidRPr="00D53301">
        <w:t xml:space="preserve">kad </w:t>
      </w:r>
      <w:r w:rsidR="00C96771" w:rsidRPr="00D53301">
        <w:t>1991 m. sausio mėnesį nei 1961 m. BK</w:t>
      </w:r>
      <w:r w:rsidRPr="00D53301">
        <w:t xml:space="preserve">, nei 1964 m. </w:t>
      </w:r>
      <w:r w:rsidR="00C96771" w:rsidRPr="00D53301">
        <w:t xml:space="preserve">Lietuvos Respublikos </w:t>
      </w:r>
      <w:r w:rsidRPr="00D53301">
        <w:t>civilini</w:t>
      </w:r>
      <w:r w:rsidR="00EC1A9B" w:rsidRPr="00D53301">
        <w:t>ame</w:t>
      </w:r>
      <w:r w:rsidRPr="00D53301">
        <w:t xml:space="preserve"> kodeks</w:t>
      </w:r>
      <w:r w:rsidR="00EC1A9B" w:rsidRPr="00D53301">
        <w:t>e</w:t>
      </w:r>
      <w:r w:rsidRPr="00D53301">
        <w:t xml:space="preserve"> nenumat</w:t>
      </w:r>
      <w:r w:rsidR="00EC1A9B" w:rsidRPr="00D53301">
        <w:t>ytas</w:t>
      </w:r>
      <w:r w:rsidRPr="00D53301">
        <w:t xml:space="preserve"> nusikaltimu padarytos neturtinės žalos atlyginim</w:t>
      </w:r>
      <w:r w:rsidR="00EC1A9B" w:rsidRPr="00D53301">
        <w:t>as</w:t>
      </w:r>
      <w:r w:rsidRPr="00D53301">
        <w:t xml:space="preserve"> ir todėl nėra pagrindo priteisti neturtinės žalos nukentėjusiesiems, yra klaidinga. Anot apeliantų, Konstitucinis Teismas yra nurodęs, kad valstybė yra įpareigota užtikrinti žmogaus teisių ir laisvių gynimą nuo neteisėto veikimo</w:t>
      </w:r>
      <w:r w:rsidR="00EC1A9B" w:rsidRPr="00D53301">
        <w:t>,</w:t>
      </w:r>
      <w:r w:rsidRPr="00D53301">
        <w:t xml:space="preserve"> bei pabrėžęs, jog būtinybė atlyginti asmeniui padarytą žalą yra konstitucinis principas. Nors įvykių metu galioj</w:t>
      </w:r>
      <w:r w:rsidR="006C2D1B" w:rsidRPr="00D53301">
        <w:t>usiuose</w:t>
      </w:r>
      <w:r w:rsidRPr="00D53301">
        <w:t xml:space="preserve"> teisės akt</w:t>
      </w:r>
      <w:r w:rsidR="006C2D1B" w:rsidRPr="00D53301">
        <w:t>uose nebuvo</w:t>
      </w:r>
      <w:r w:rsidRPr="00D53301">
        <w:t xml:space="preserve"> numat</w:t>
      </w:r>
      <w:r w:rsidR="006C2D1B" w:rsidRPr="00D53301">
        <w:t>yta</w:t>
      </w:r>
      <w:r w:rsidRPr="00D53301">
        <w:t xml:space="preserve"> prievolė atlyginti neturtinę žalą dėl gyvybės atėmimo ją patyrusiems asmenims, LAT yra nurodęs, kad vien tai, jog teisėkūros subjektas tam tikrų santykių laiku teisiškai nesureguliuoja, nereiškia, kad teismai negali ir neturi vykdyti teisingumo. Apeliantų įsitikinimu, tokiu atveju bylą nagrinėjęs teismas turėjo užpildyti teisines spragas ir pagal analogiją vadovautis CK nuostatomis (LAT nutartis civilinėje byloje Nr. 3K-7-70/2011) bei iš nuteistųjų priteisti neturtinę žalą nukentėjusiajam. </w:t>
      </w:r>
    </w:p>
    <w:p w:rsidR="008D7792" w:rsidRPr="00D53301" w:rsidRDefault="008D7792" w:rsidP="00321748">
      <w:pPr>
        <w:pStyle w:val="ListParagraph"/>
        <w:numPr>
          <w:ilvl w:val="1"/>
          <w:numId w:val="6"/>
        </w:numPr>
        <w:spacing w:before="120" w:after="120"/>
        <w:ind w:left="992" w:hanging="992"/>
        <w:contextualSpacing w:val="0"/>
      </w:pPr>
      <w:r w:rsidRPr="00D53301">
        <w:t>Apeliantų teigimu, apygardos teismas</w:t>
      </w:r>
      <w:r w:rsidR="006C2D1B" w:rsidRPr="00D53301">
        <w:t>,</w:t>
      </w:r>
      <w:r w:rsidRPr="00D53301">
        <w:t xml:space="preserve"> spręsdamas neturtinės žalos atlyginimo klausimą</w:t>
      </w:r>
      <w:r w:rsidR="006C2D1B" w:rsidRPr="00D53301">
        <w:t>,</w:t>
      </w:r>
      <w:r w:rsidRPr="00D53301">
        <w:t xml:space="preserve"> turėjo vadovautis suformuotu precedentu byloje dėl nusikaltimų žmoniškumui</w:t>
      </w:r>
      <w:r w:rsidR="006C2D1B" w:rsidRPr="00D53301">
        <w:t>,</w:t>
      </w:r>
      <w:r w:rsidRPr="00D53301">
        <w:t xml:space="preserve"> įvykdytų Medininkų pasienio poste 1991 metais. Šioje byloje Vilniaus apygardos teismas 2016 m. spalio 28 d. nuosprendžiu priteisė neturtinės žalos atlyginimą žuvusių pareigūnų artimiesiems. Pirmosios instancijos teismas nepasisakė kodėl nukrypo </w:t>
      </w:r>
      <w:r w:rsidR="006C2D1B" w:rsidRPr="00D53301">
        <w:t xml:space="preserve">nuo </w:t>
      </w:r>
      <w:r w:rsidRPr="00D53301">
        <w:t xml:space="preserve">tokio precedento ir taip pažeidė BPK 305 straipsnyje numatytą pareigą tinkamai motyvuoti teismo nuosprendį. </w:t>
      </w:r>
    </w:p>
    <w:p w:rsidR="007963AE" w:rsidRPr="00D53301" w:rsidRDefault="008D7792" w:rsidP="00321748">
      <w:pPr>
        <w:pStyle w:val="ListParagraph"/>
        <w:numPr>
          <w:ilvl w:val="1"/>
          <w:numId w:val="6"/>
        </w:numPr>
        <w:spacing w:before="120" w:after="120"/>
        <w:ind w:left="992" w:hanging="992"/>
        <w:contextualSpacing w:val="0"/>
      </w:pPr>
      <w:r w:rsidRPr="00D53301">
        <w:t xml:space="preserve">Be to, nuosprendžiu netinkamai įvertintos aplinkybės dėl patirtos neturtinės žalos dydžio. Su mirusiu tėvu </w:t>
      </w:r>
      <w:r w:rsidR="0093200A" w:rsidRPr="00D53301">
        <w:t>R. P.</w:t>
      </w:r>
      <w:r w:rsidRPr="00D53301">
        <w:t xml:space="preserve"> siejo glaudus emocinis ryšys. Kai mirė tėvas, apeliantui buvo tik</w:t>
      </w:r>
      <w:r w:rsidR="00E420BD" w:rsidRPr="00D53301">
        <w:t xml:space="preserve"> (duomenys neskelbtini)</w:t>
      </w:r>
      <w:r w:rsidRPr="00D53301">
        <w:t> metų ir tai itin paveikė jo ir šeimos gyvenimą. Po tėvo mirties šeimos nuotaika buvo slogesnė, o netekus maitintojo kilo ir susirūpinimas dėl šeimos narių</w:t>
      </w:r>
      <w:r w:rsidR="0093200A" w:rsidRPr="00D53301">
        <w:t xml:space="preserve"> ateities. Anot apeliantų, R. P. </w:t>
      </w:r>
      <w:r w:rsidRPr="00D53301">
        <w:t>iki šiol jaučia ypatingo dvasinio ir fizinio ryšio, kurio niekas negali pakeisti, trūkumą. Apeliaciniame skunde teigiama, kad sprendžiant dėl atlygintinos žalos dydžio vienu svarbiausi</w:t>
      </w:r>
      <w:r w:rsidR="006C2D1B" w:rsidRPr="00D53301">
        <w:t>ų</w:t>
      </w:r>
      <w:r w:rsidRPr="00D53301">
        <w:t xml:space="preserve"> aspektų laikytinas objektas, dėl kurio pažeidimo asmuo patyrė neturtinę žalą. Šiuo atveju buvo atimta </w:t>
      </w:r>
      <w:r w:rsidR="006C2D1B" w:rsidRPr="00D53301">
        <w:t xml:space="preserve">viena svarbiausių vertybių – </w:t>
      </w:r>
      <w:r w:rsidRPr="00D53301">
        <w:t>žmogaus gyvybė. Vadovaujantis LAT praktika, neturtinės žalos atlyginimo tikslai neapsiriboja vien kompensacija – svarbi ir moralinė satisfakcija, socialinio teisingumo atkūrimas. Apeliantai teigia, kad prašo atlyginti daug mažesnę sumą</w:t>
      </w:r>
      <w:r w:rsidR="006C2D1B" w:rsidRPr="00D53301">
        <w:t>,</w:t>
      </w:r>
      <w:r w:rsidRPr="00D53301">
        <w:t xml:space="preserve"> nei išties patyrė, nes siekia socialinio teisingumo. Patenkinus civilinį ieškinį būtų konstatuotas apelianto, kaip kovoje už laisvę žuvusio A. P</w:t>
      </w:r>
      <w:r w:rsidR="0093200A" w:rsidRPr="00D53301">
        <w:t>.</w:t>
      </w:r>
      <w:r w:rsidRPr="00D53301">
        <w:t xml:space="preserve"> sūnaus, asmeninių teisių ir visų nukentėjusiųjų bei jų artimųjų teisių pažeidimo faktas. </w:t>
      </w:r>
    </w:p>
    <w:p w:rsidR="00742D54" w:rsidRPr="00D53301" w:rsidRDefault="00742D54" w:rsidP="00321748">
      <w:pPr>
        <w:pStyle w:val="ListParagraph"/>
        <w:numPr>
          <w:ilvl w:val="0"/>
          <w:numId w:val="6"/>
        </w:numPr>
        <w:spacing w:before="120" w:after="120"/>
        <w:ind w:left="992" w:hanging="992"/>
        <w:contextualSpacing w:val="0"/>
        <w:rPr>
          <w:szCs w:val="24"/>
        </w:rPr>
      </w:pPr>
      <w:bookmarkStart w:id="203" w:name="_Toc37947893"/>
      <w:bookmarkStart w:id="204" w:name="_Toc67677372"/>
      <w:bookmarkStart w:id="205" w:name="_Toc67985499"/>
      <w:r w:rsidRPr="00D53301">
        <w:rPr>
          <w:b/>
        </w:rPr>
        <w:t>Prokurorai</w:t>
      </w:r>
      <w:bookmarkEnd w:id="203"/>
      <w:bookmarkEnd w:id="204"/>
      <w:bookmarkEnd w:id="205"/>
      <w:r w:rsidRPr="00D53301">
        <w:t xml:space="preserve"> </w:t>
      </w:r>
      <w:r w:rsidRPr="00D53301">
        <w:rPr>
          <w:szCs w:val="24"/>
        </w:rPr>
        <w:t xml:space="preserve">apeliaciniu skundu prašo </w:t>
      </w:r>
      <w:r w:rsidR="00CE5EE1" w:rsidRPr="00D53301">
        <w:rPr>
          <w:szCs w:val="24"/>
        </w:rPr>
        <w:t xml:space="preserve">pakeisti šią </w:t>
      </w:r>
      <w:r w:rsidRPr="00D53301">
        <w:rPr>
          <w:szCs w:val="24"/>
        </w:rPr>
        <w:t>pirmosi</w:t>
      </w:r>
      <w:r w:rsidR="00CE5EE1" w:rsidRPr="00D53301">
        <w:rPr>
          <w:szCs w:val="24"/>
        </w:rPr>
        <w:t>os instancijos teismo nuosprendžio dalį</w:t>
      </w:r>
      <w:r w:rsidRPr="00D53301">
        <w:rPr>
          <w:szCs w:val="24"/>
        </w:rPr>
        <w:t xml:space="preserve">: </w:t>
      </w:r>
    </w:p>
    <w:p w:rsidR="00742D54" w:rsidRPr="00D53301" w:rsidRDefault="00742D54" w:rsidP="00321748">
      <w:pPr>
        <w:pStyle w:val="ListParagraph"/>
        <w:numPr>
          <w:ilvl w:val="0"/>
          <w:numId w:val="2"/>
        </w:numPr>
        <w:shd w:val="clear" w:color="auto" w:fill="FFFFFF"/>
        <w:tabs>
          <w:tab w:val="left" w:pos="993"/>
        </w:tabs>
        <w:spacing w:before="120" w:after="120"/>
        <w:ind w:left="992" w:hanging="425"/>
        <w:contextualSpacing w:val="0"/>
        <w:rPr>
          <w:szCs w:val="24"/>
        </w:rPr>
      </w:pPr>
      <w:r w:rsidRPr="00D53301">
        <w:rPr>
          <w:color w:val="000000"/>
          <w:szCs w:val="24"/>
        </w:rPr>
        <w:t xml:space="preserve">pakeisti nuosprendžiu nustatytas aplinkybes patikslinant ir suvienodinant </w:t>
      </w:r>
      <w:r w:rsidRPr="00D53301">
        <w:rPr>
          <w:szCs w:val="24"/>
        </w:rPr>
        <w:t xml:space="preserve">BK 100 straipsnyje numatytų požymių aprašymą (konstatuoti, kad nuteistieji ne tik rėmė kitos valstybės politiką, bet ir ją vykdė; </w:t>
      </w:r>
      <w:r w:rsidRPr="00D53301">
        <w:rPr>
          <w:color w:val="000000"/>
          <w:szCs w:val="24"/>
        </w:rPr>
        <w:t>kad TSRS politika buvo dideliu mastu ir sistemingai užpuldinėti nepriklausomybę atkūrusios Lietuvos civilius</w:t>
      </w:r>
      <w:r w:rsidRPr="00D53301">
        <w:rPr>
          <w:szCs w:val="24"/>
        </w:rPr>
        <w:t xml:space="preserve">; kad </w:t>
      </w:r>
      <w:r w:rsidRPr="00D53301">
        <w:rPr>
          <w:color w:val="000000"/>
          <w:szCs w:val="24"/>
        </w:rPr>
        <w:t xml:space="preserve">žmonių grupės buvo persekiojamos dėl politinių ir nacionalinių motyvų), taip pat patikslinti, kad padaryti karo nusikaltimai buvo padaryti </w:t>
      </w:r>
      <w:r w:rsidRPr="00D53301">
        <w:rPr>
          <w:szCs w:val="24"/>
        </w:rPr>
        <w:t>TSRS vykdomos agresijos ir ginkluoto konflikto metu;</w:t>
      </w:r>
    </w:p>
    <w:p w:rsidR="00742D54" w:rsidRPr="00D53301" w:rsidRDefault="00742D54" w:rsidP="00321748">
      <w:pPr>
        <w:pStyle w:val="ListParagraph"/>
        <w:numPr>
          <w:ilvl w:val="0"/>
          <w:numId w:val="2"/>
        </w:numPr>
        <w:shd w:val="clear" w:color="auto" w:fill="FFFFFF"/>
        <w:tabs>
          <w:tab w:val="left" w:pos="993"/>
        </w:tabs>
        <w:spacing w:before="120" w:after="120"/>
        <w:ind w:left="992" w:hanging="425"/>
        <w:contextualSpacing w:val="0"/>
        <w:rPr>
          <w:szCs w:val="24"/>
        </w:rPr>
      </w:pPr>
      <w:r w:rsidRPr="00D53301">
        <w:rPr>
          <w:szCs w:val="24"/>
        </w:rPr>
        <w:t>pripažinti, kad nuteistųjų veika padaryta jiems veikiant organizuot</w:t>
      </w:r>
      <w:r w:rsidR="006C2D1B" w:rsidRPr="00D53301">
        <w:rPr>
          <w:szCs w:val="24"/>
        </w:rPr>
        <w:t>a</w:t>
      </w:r>
      <w:r w:rsidRPr="00D53301">
        <w:rPr>
          <w:szCs w:val="24"/>
        </w:rPr>
        <w:t xml:space="preserve"> grupe</w:t>
      </w:r>
      <w:r w:rsidR="006C2D1B" w:rsidRPr="00D53301">
        <w:rPr>
          <w:szCs w:val="24"/>
        </w:rPr>
        <w:t>,</w:t>
      </w:r>
      <w:r w:rsidRPr="00D53301">
        <w:rPr>
          <w:szCs w:val="24"/>
        </w:rPr>
        <w:t xml:space="preserve"> ir pripažinti tai atsakomybę sunkinančia aplinkybe;</w:t>
      </w:r>
    </w:p>
    <w:p w:rsidR="00742D54" w:rsidRPr="00D53301" w:rsidRDefault="00742D54" w:rsidP="00321748">
      <w:pPr>
        <w:pStyle w:val="ListParagraph"/>
        <w:numPr>
          <w:ilvl w:val="0"/>
          <w:numId w:val="2"/>
        </w:numPr>
        <w:shd w:val="clear" w:color="auto" w:fill="FFFFFF"/>
        <w:tabs>
          <w:tab w:val="left" w:pos="993"/>
        </w:tabs>
        <w:spacing w:before="120" w:after="120"/>
        <w:ind w:left="992" w:hanging="425"/>
        <w:contextualSpacing w:val="0"/>
        <w:rPr>
          <w:szCs w:val="24"/>
        </w:rPr>
      </w:pPr>
      <w:r w:rsidRPr="00D53301">
        <w:rPr>
          <w:szCs w:val="24"/>
        </w:rPr>
        <w:lastRenderedPageBreak/>
        <w:t xml:space="preserve">pakeisti nuteistiesiems </w:t>
      </w:r>
      <w:r w:rsidR="00385BC9" w:rsidRPr="00D53301">
        <w:rPr>
          <w:szCs w:val="24"/>
        </w:rPr>
        <w:t>D. J.</w:t>
      </w:r>
      <w:r w:rsidRPr="00D53301">
        <w:rPr>
          <w:szCs w:val="24"/>
        </w:rPr>
        <w:t xml:space="preserve">, </w:t>
      </w:r>
      <w:r w:rsidR="00385BC9" w:rsidRPr="00D53301">
        <w:rPr>
          <w:szCs w:val="24"/>
        </w:rPr>
        <w:t>N. D.</w:t>
      </w:r>
      <w:r w:rsidRPr="00D53301">
        <w:rPr>
          <w:szCs w:val="24"/>
        </w:rPr>
        <w:t xml:space="preserve">, </w:t>
      </w:r>
      <w:r w:rsidR="00385BC9" w:rsidRPr="00D53301">
        <w:rPr>
          <w:szCs w:val="24"/>
        </w:rPr>
        <w:t>V. S. 1</w:t>
      </w:r>
      <w:r w:rsidRPr="00D53301">
        <w:rPr>
          <w:szCs w:val="24"/>
        </w:rPr>
        <w:t xml:space="preserve">, </w:t>
      </w:r>
      <w:r w:rsidR="006036E7" w:rsidRPr="00D53301">
        <w:rPr>
          <w:szCs w:val="24"/>
        </w:rPr>
        <w:t>A. Ž.</w:t>
      </w:r>
      <w:r w:rsidRPr="00D53301">
        <w:rPr>
          <w:szCs w:val="24"/>
        </w:rPr>
        <w:t xml:space="preserve">, </w:t>
      </w:r>
      <w:r w:rsidR="00A97F74" w:rsidRPr="00D53301">
        <w:rPr>
          <w:szCs w:val="24"/>
        </w:rPr>
        <w:t>S. F.</w:t>
      </w:r>
      <w:r w:rsidRPr="00D53301">
        <w:rPr>
          <w:szCs w:val="24"/>
        </w:rPr>
        <w:t xml:space="preserve">, </w:t>
      </w:r>
      <w:r w:rsidR="00385BC9" w:rsidRPr="00D53301">
        <w:rPr>
          <w:szCs w:val="24"/>
        </w:rPr>
        <w:t>V. K. 1</w:t>
      </w:r>
      <w:r w:rsidRPr="00D53301">
        <w:rPr>
          <w:szCs w:val="24"/>
        </w:rPr>
        <w:t xml:space="preserve">, </w:t>
      </w:r>
      <w:r w:rsidR="006036E7" w:rsidRPr="00D53301">
        <w:rPr>
          <w:szCs w:val="24"/>
        </w:rPr>
        <w:t>R. J. 2</w:t>
      </w:r>
      <w:r w:rsidRPr="00D53301">
        <w:rPr>
          <w:szCs w:val="24"/>
        </w:rPr>
        <w:t xml:space="preserve">, </w:t>
      </w:r>
      <w:r w:rsidR="006036E7" w:rsidRPr="00D53301">
        <w:rPr>
          <w:szCs w:val="24"/>
        </w:rPr>
        <w:t>J. J.</w:t>
      </w:r>
      <w:r w:rsidRPr="00D53301">
        <w:rPr>
          <w:szCs w:val="24"/>
        </w:rPr>
        <w:t xml:space="preserve">, </w:t>
      </w:r>
      <w:r w:rsidR="006036E7" w:rsidRPr="00D53301">
        <w:rPr>
          <w:szCs w:val="24"/>
        </w:rPr>
        <w:t>A. F. 2</w:t>
      </w:r>
      <w:r w:rsidRPr="00D53301">
        <w:rPr>
          <w:szCs w:val="24"/>
        </w:rPr>
        <w:t xml:space="preserve">, </w:t>
      </w:r>
      <w:r w:rsidR="006036E7" w:rsidRPr="00D53301">
        <w:rPr>
          <w:szCs w:val="24"/>
        </w:rPr>
        <w:t>A. I.</w:t>
      </w:r>
      <w:r w:rsidRPr="00D53301">
        <w:rPr>
          <w:szCs w:val="24"/>
        </w:rPr>
        <w:t xml:space="preserve">, </w:t>
      </w:r>
      <w:r w:rsidR="006036E7" w:rsidRPr="00D53301">
        <w:rPr>
          <w:szCs w:val="24"/>
        </w:rPr>
        <w:t>A. C.</w:t>
      </w:r>
      <w:r w:rsidRPr="00D53301">
        <w:rPr>
          <w:szCs w:val="24"/>
        </w:rPr>
        <w:t xml:space="preserve">, </w:t>
      </w:r>
      <w:r w:rsidR="006036E7" w:rsidRPr="00D53301">
        <w:rPr>
          <w:szCs w:val="24"/>
        </w:rPr>
        <w:t>G. B.</w:t>
      </w:r>
      <w:r w:rsidRPr="00D53301">
        <w:rPr>
          <w:szCs w:val="24"/>
        </w:rPr>
        <w:t xml:space="preserve">, </w:t>
      </w:r>
      <w:r w:rsidR="00BA18FA" w:rsidRPr="00D53301">
        <w:rPr>
          <w:szCs w:val="24"/>
        </w:rPr>
        <w:t>G. I.</w:t>
      </w:r>
      <w:r w:rsidRPr="00D53301">
        <w:rPr>
          <w:szCs w:val="24"/>
        </w:rPr>
        <w:t xml:space="preserve">, </w:t>
      </w:r>
      <w:r w:rsidR="00A97F74" w:rsidRPr="00D53301">
        <w:rPr>
          <w:szCs w:val="24"/>
        </w:rPr>
        <w:t>V. M.</w:t>
      </w:r>
      <w:r w:rsidRPr="00D53301">
        <w:rPr>
          <w:szCs w:val="24"/>
        </w:rPr>
        <w:t xml:space="preserve"> ir </w:t>
      </w:r>
      <w:r w:rsidR="00BA18FA" w:rsidRPr="00D53301">
        <w:rPr>
          <w:szCs w:val="24"/>
        </w:rPr>
        <w:t>J. M.</w:t>
      </w:r>
      <w:r w:rsidRPr="00D53301">
        <w:rPr>
          <w:szCs w:val="24"/>
        </w:rPr>
        <w:t xml:space="preserve"> paskirtas bausmes, netaikyti BK 54 straipsnio 3 dalies nuostatų, paskiriant jiems griežtesnes subendrintas bausmes (prokurorų prašomos konkrečios bausmės </w:t>
      </w:r>
      <w:r w:rsidR="00722524" w:rsidRPr="00D53301">
        <w:rPr>
          <w:szCs w:val="24"/>
        </w:rPr>
        <w:t xml:space="preserve">yra </w:t>
      </w:r>
      <w:r w:rsidRPr="00D53301">
        <w:rPr>
          <w:szCs w:val="24"/>
        </w:rPr>
        <w:t xml:space="preserve">nurodytos aptariant apeliacinio skundo </w:t>
      </w:r>
      <w:r w:rsidR="00A300D1" w:rsidRPr="00D53301">
        <w:rPr>
          <w:szCs w:val="24"/>
        </w:rPr>
        <w:t>argumentus (</w:t>
      </w:r>
      <w:r w:rsidR="00AA4EFE" w:rsidRPr="00D53301">
        <w:rPr>
          <w:szCs w:val="24"/>
        </w:rPr>
        <w:t>sprendimo 62.3–</w:t>
      </w:r>
      <w:r w:rsidR="00A300D1" w:rsidRPr="00D53301">
        <w:rPr>
          <w:szCs w:val="24"/>
        </w:rPr>
        <w:t>62.4 pastraipos</w:t>
      </w:r>
      <w:r w:rsidRPr="00D53301">
        <w:rPr>
          <w:szCs w:val="24"/>
        </w:rPr>
        <w:t>));</w:t>
      </w:r>
    </w:p>
    <w:p w:rsidR="00742D54" w:rsidRPr="00C00255" w:rsidRDefault="00742D54" w:rsidP="00321748">
      <w:pPr>
        <w:pStyle w:val="ListParagraph"/>
        <w:numPr>
          <w:ilvl w:val="0"/>
          <w:numId w:val="2"/>
        </w:numPr>
        <w:shd w:val="clear" w:color="auto" w:fill="FFFFFF"/>
        <w:tabs>
          <w:tab w:val="left" w:pos="993"/>
        </w:tabs>
        <w:spacing w:before="120" w:after="120"/>
        <w:ind w:left="992" w:hanging="425"/>
        <w:contextualSpacing w:val="0"/>
        <w:rPr>
          <w:szCs w:val="24"/>
        </w:rPr>
      </w:pPr>
      <w:r w:rsidRPr="00C00255">
        <w:rPr>
          <w:szCs w:val="24"/>
        </w:rPr>
        <w:t>priteisti iš visų nuteistų</w:t>
      </w:r>
      <w:r w:rsidR="00BB7F8D" w:rsidRPr="00C00255">
        <w:rPr>
          <w:szCs w:val="24"/>
        </w:rPr>
        <w:t>jų solidariai 11 365 460,07 Eur</w:t>
      </w:r>
      <w:r w:rsidRPr="00C00255">
        <w:rPr>
          <w:szCs w:val="24"/>
        </w:rPr>
        <w:t xml:space="preserve"> dydžio turtinės žalos atlyginimą Lietuvos valstybei ir 343,79 E</w:t>
      </w:r>
      <w:r w:rsidR="00BB7F8D" w:rsidRPr="00C00255">
        <w:rPr>
          <w:szCs w:val="24"/>
        </w:rPr>
        <w:t>ur</w:t>
      </w:r>
      <w:r w:rsidRPr="00C00255">
        <w:rPr>
          <w:szCs w:val="24"/>
        </w:rPr>
        <w:t xml:space="preserve"> proceso išlaidas, atsiradusias dėl liudytojų kelionės išlaidų;</w:t>
      </w:r>
    </w:p>
    <w:p w:rsidR="00742D54" w:rsidRPr="00C00255" w:rsidRDefault="00742D54" w:rsidP="00321748">
      <w:pPr>
        <w:pStyle w:val="ListParagraph"/>
        <w:numPr>
          <w:ilvl w:val="0"/>
          <w:numId w:val="2"/>
        </w:numPr>
        <w:shd w:val="clear" w:color="auto" w:fill="FFFFFF"/>
        <w:tabs>
          <w:tab w:val="left" w:pos="993"/>
        </w:tabs>
        <w:spacing w:before="120" w:after="120"/>
        <w:ind w:left="992" w:hanging="425"/>
        <w:contextualSpacing w:val="0"/>
        <w:rPr>
          <w:szCs w:val="24"/>
        </w:rPr>
      </w:pPr>
      <w:r w:rsidRPr="00C00255">
        <w:rPr>
          <w:szCs w:val="24"/>
        </w:rPr>
        <w:t xml:space="preserve">pakeisti nuosprendį dėl daiktinių įrodymų ir palikti juos saugoti prie bylos. </w:t>
      </w:r>
    </w:p>
    <w:p w:rsidR="00742D54" w:rsidRPr="00C00255" w:rsidRDefault="00742D54" w:rsidP="003D0CA0">
      <w:pPr>
        <w:pStyle w:val="Heading3"/>
        <w:spacing w:before="120" w:after="120"/>
        <w:ind w:firstLine="992"/>
        <w:jc w:val="both"/>
        <w:rPr>
          <w:b w:val="0"/>
          <w:i/>
          <w:sz w:val="24"/>
          <w:szCs w:val="24"/>
          <w:lang w:val="lt-LT"/>
        </w:rPr>
      </w:pPr>
      <w:bookmarkStart w:id="206" w:name="_Toc67677373"/>
      <w:bookmarkStart w:id="207" w:name="_Toc67985500"/>
      <w:r w:rsidRPr="00C00255">
        <w:rPr>
          <w:b w:val="0"/>
          <w:i/>
          <w:sz w:val="24"/>
          <w:szCs w:val="24"/>
          <w:lang w:val="lt-LT"/>
        </w:rPr>
        <w:t>Dėl netinkamo nusikalstamų veikų požymių aprašymo</w:t>
      </w:r>
      <w:bookmarkEnd w:id="206"/>
      <w:bookmarkEnd w:id="207"/>
    </w:p>
    <w:p w:rsidR="00742D54" w:rsidRPr="00D53301" w:rsidRDefault="00742D54" w:rsidP="00321748">
      <w:pPr>
        <w:pStyle w:val="ListParagraph"/>
        <w:numPr>
          <w:ilvl w:val="1"/>
          <w:numId w:val="6"/>
        </w:numPr>
        <w:spacing w:before="120" w:after="120"/>
        <w:ind w:left="992" w:hanging="992"/>
        <w:contextualSpacing w:val="0"/>
        <w:rPr>
          <w:szCs w:val="24"/>
        </w:rPr>
      </w:pPr>
      <w:r w:rsidRPr="00D53301">
        <w:rPr>
          <w:szCs w:val="24"/>
        </w:rPr>
        <w:t xml:space="preserve">Prokurorų įsitikinimu, teismas ydingai aprašė nuosprendžiu nustatytas bylos aplinkybes, nes nenurodė visų kaltinime inkriminuotų ir teismo nuosprendžiu konstatuotų nusikalstamų veikų požymių. </w:t>
      </w:r>
      <w:r w:rsidRPr="00D53301">
        <w:rPr>
          <w:color w:val="000000"/>
          <w:szCs w:val="24"/>
        </w:rPr>
        <w:t xml:space="preserve">Prokurorų įsitikinimu, nuosprendyje turi būti tikslinamas ir suvienodintas </w:t>
      </w:r>
      <w:r w:rsidRPr="00D53301">
        <w:rPr>
          <w:szCs w:val="24"/>
        </w:rPr>
        <w:t xml:space="preserve">BK 100 straipsnyje numatytų požymių aprašymas, </w:t>
      </w:r>
      <w:r w:rsidRPr="00D53301">
        <w:rPr>
          <w:color w:val="000000"/>
          <w:szCs w:val="24"/>
        </w:rPr>
        <w:t xml:space="preserve">taip pat pripažinta, kad įvykdyti karo nusikaltimai buvo padaryti </w:t>
      </w:r>
      <w:r w:rsidRPr="00D53301">
        <w:rPr>
          <w:szCs w:val="24"/>
        </w:rPr>
        <w:t>TSRS vykdomos agresijos ir ginkluoto konflikto metu.</w:t>
      </w:r>
      <w:r w:rsidR="008434B8" w:rsidRPr="00D53301">
        <w:rPr>
          <w:color w:val="000000"/>
          <w:szCs w:val="24"/>
        </w:rPr>
        <w:t xml:space="preserve"> </w:t>
      </w:r>
      <w:r w:rsidRPr="00D53301">
        <w:rPr>
          <w:color w:val="000000"/>
          <w:szCs w:val="24"/>
        </w:rPr>
        <w:t xml:space="preserve"> </w:t>
      </w:r>
    </w:p>
    <w:p w:rsidR="00742D54" w:rsidRPr="00D53301" w:rsidRDefault="00742D54" w:rsidP="00321748">
      <w:pPr>
        <w:pStyle w:val="ListParagraph"/>
        <w:numPr>
          <w:ilvl w:val="2"/>
          <w:numId w:val="6"/>
        </w:numPr>
        <w:spacing w:before="120" w:after="120"/>
        <w:ind w:left="992" w:hanging="992"/>
        <w:contextualSpacing w:val="0"/>
        <w:rPr>
          <w:szCs w:val="24"/>
        </w:rPr>
      </w:pPr>
      <w:r w:rsidRPr="00D53301">
        <w:rPr>
          <w:szCs w:val="24"/>
        </w:rPr>
        <w:t>Teismas netinkamai išdėstė BK 100 straipsnyje numatyto nusikaltimo sudėties požymius nuosprendžio dalyje, kurią apeliantai vadina įžangine ir kuri nurodyta nuosprendžio 10 lape, nes nuosprendžio 10 lape nenurodyta, kad nuteistieji ne tik rėmė kitos valstybės politiką, bet ir ją vykdė. Šis nusikalstamos veikos požymis kaip aktualus aptartas nuosprendžio aprašomojoje dalyje, t.</w:t>
      </w:r>
      <w:r w:rsidR="00722524" w:rsidRPr="00D53301">
        <w:rPr>
          <w:szCs w:val="24"/>
        </w:rPr>
        <w:t> </w:t>
      </w:r>
      <w:r w:rsidRPr="00D53301">
        <w:rPr>
          <w:szCs w:val="24"/>
        </w:rPr>
        <w:t xml:space="preserve">y. 853 lape. </w:t>
      </w:r>
    </w:p>
    <w:p w:rsidR="00742D54" w:rsidRPr="00D53301" w:rsidRDefault="00742D54" w:rsidP="00321748">
      <w:pPr>
        <w:pStyle w:val="ListParagraph"/>
        <w:numPr>
          <w:ilvl w:val="2"/>
          <w:numId w:val="6"/>
        </w:numPr>
        <w:spacing w:before="120" w:after="120"/>
        <w:ind w:left="992" w:hanging="992"/>
        <w:contextualSpacing w:val="0"/>
        <w:rPr>
          <w:szCs w:val="24"/>
        </w:rPr>
      </w:pPr>
      <w:r w:rsidRPr="00D53301">
        <w:rPr>
          <w:szCs w:val="24"/>
        </w:rPr>
        <w:t>Be to, aptariamoje nuosprendžio dalyje taip pat neminimas sistemingo veikimo užpuldinėjant civilius požymis, todėl lieka neaišku, kokios valstybės ar organizacijos politiką nuteistieji rėmė ir vykdė bei kokia apskritai tai buvo</w:t>
      </w:r>
      <w:r w:rsidRPr="00D53301" w:rsidDel="005501C2">
        <w:rPr>
          <w:szCs w:val="24"/>
        </w:rPr>
        <w:t xml:space="preserve"> </w:t>
      </w:r>
      <w:r w:rsidRPr="00D53301">
        <w:rPr>
          <w:szCs w:val="24"/>
        </w:rPr>
        <w:t>politika.</w:t>
      </w:r>
      <w:r w:rsidRPr="00D53301">
        <w:rPr>
          <w:color w:val="000000"/>
          <w:szCs w:val="24"/>
        </w:rPr>
        <w:t xml:space="preserve"> Anot prokurorų, motyvuojamoj</w:t>
      </w:r>
      <w:r w:rsidR="00466BE6" w:rsidRPr="00D53301">
        <w:rPr>
          <w:color w:val="000000"/>
          <w:szCs w:val="24"/>
        </w:rPr>
        <w:t>oj</w:t>
      </w:r>
      <w:r w:rsidRPr="00D53301">
        <w:rPr>
          <w:color w:val="000000"/>
          <w:szCs w:val="24"/>
        </w:rPr>
        <w:t xml:space="preserve">e dalyje ne kartą </w:t>
      </w:r>
      <w:r w:rsidR="00466BE6" w:rsidRPr="00D53301">
        <w:rPr>
          <w:color w:val="000000"/>
          <w:szCs w:val="24"/>
        </w:rPr>
        <w:t>išsamiai</w:t>
      </w:r>
      <w:r w:rsidRPr="00D53301">
        <w:rPr>
          <w:color w:val="000000"/>
          <w:szCs w:val="24"/>
        </w:rPr>
        <w:t xml:space="preserve"> ir teisingai nurodyta, kad TSRS politika buvo dideliu mastu ir sistemingai užpuldinėti nepriklausomybę atkūrusios Lietuvos civilius (nuosprendžio 863, 867, 869</w:t>
      </w:r>
      <w:r w:rsidR="00466BE6" w:rsidRPr="00D53301">
        <w:rPr>
          <w:color w:val="000000"/>
          <w:szCs w:val="24"/>
        </w:rPr>
        <w:t xml:space="preserve"> lapai</w:t>
      </w:r>
      <w:r w:rsidRPr="00D53301">
        <w:rPr>
          <w:color w:val="000000"/>
          <w:szCs w:val="24"/>
        </w:rPr>
        <w:t>).</w:t>
      </w:r>
      <w:r w:rsidRPr="00D53301">
        <w:rPr>
          <w:szCs w:val="24"/>
        </w:rPr>
        <w:t xml:space="preserve"> Visgi skirtinguose nuosprendžio epizoduose šie požymiai buvo aprašyti ydingai, skirtingai ir ne</w:t>
      </w:r>
      <w:r w:rsidR="00466BE6" w:rsidRPr="00D53301">
        <w:rPr>
          <w:szCs w:val="24"/>
        </w:rPr>
        <w:t>išsamiai</w:t>
      </w:r>
      <w:r w:rsidRPr="00D53301">
        <w:rPr>
          <w:szCs w:val="24"/>
        </w:rPr>
        <w:t xml:space="preserve"> (epizode dėl Spaudos rūmų užgrobimo nurodyta formuluotė dviprasmiška, nes iš jos neaišku, kieno tai buvo politik</w:t>
      </w:r>
      <w:r w:rsidR="00D64F26" w:rsidRPr="00D53301">
        <w:rPr>
          <w:szCs w:val="24"/>
        </w:rPr>
        <w:t>a; TV bokšto užgrobimo epizode</w:t>
      </w:r>
      <w:r w:rsidRPr="00D53301">
        <w:rPr>
          <w:szCs w:val="24"/>
        </w:rPr>
        <w:t xml:space="preserve"> apskritai nenurodytos aplinkybės apie politikos vykdymą; LRT epizode minima, kad TSRS ir TSKP politika buvo ne tik remiama, bet ir vykdoma, nors ir nenurodoma</w:t>
      </w:r>
      <w:r w:rsidR="00466BE6" w:rsidRPr="00D53301">
        <w:rPr>
          <w:szCs w:val="24"/>
        </w:rPr>
        <w:t>,</w:t>
      </w:r>
      <w:r w:rsidRPr="00D53301">
        <w:rPr>
          <w:szCs w:val="24"/>
        </w:rPr>
        <w:t xml:space="preserve"> kokia tai buvo politika; epizode dėl komendanto valandos įvedimo minėto BK 100 straipsnyje numatytas požymis apskritai nenurodytas). </w:t>
      </w:r>
    </w:p>
    <w:p w:rsidR="00742D54" w:rsidRPr="00D53301" w:rsidRDefault="00742D54" w:rsidP="00321748">
      <w:pPr>
        <w:pStyle w:val="ListParagraph"/>
        <w:numPr>
          <w:ilvl w:val="2"/>
          <w:numId w:val="6"/>
        </w:numPr>
        <w:spacing w:before="120" w:after="120"/>
        <w:ind w:left="992" w:hanging="992"/>
        <w:contextualSpacing w:val="0"/>
        <w:rPr>
          <w:szCs w:val="24"/>
        </w:rPr>
      </w:pPr>
      <w:r w:rsidRPr="00D53301">
        <w:rPr>
          <w:szCs w:val="24"/>
        </w:rPr>
        <w:t>Nuosprendžio 10 lape nenurodytas</w:t>
      </w:r>
      <w:r w:rsidRPr="00D53301">
        <w:rPr>
          <w:color w:val="000000"/>
          <w:szCs w:val="24"/>
        </w:rPr>
        <w:t xml:space="preserve"> ir BK 100 straipsnyje numatyto nusikaltimo požymis – žmonių grupės persekiojimas dėl politinių ir nacionalinių motyvų. Apraš</w:t>
      </w:r>
      <w:r w:rsidR="00466BE6" w:rsidRPr="00D53301">
        <w:rPr>
          <w:color w:val="000000"/>
          <w:szCs w:val="24"/>
        </w:rPr>
        <w:t>ydamas</w:t>
      </w:r>
      <w:r w:rsidRPr="00D53301">
        <w:rPr>
          <w:color w:val="000000"/>
          <w:szCs w:val="24"/>
        </w:rPr>
        <w:t xml:space="preserve"> atskirus veikų epizodus, teismas šį požymį mini, tačiau nenuosekliai. Epizode dėl Spaudos rūmų užgrobimo teismas nurodo, kad civiliai persekioti dėl politinių ir nacionalinių motyvų (136</w:t>
      </w:r>
      <w:r w:rsidR="00466BE6" w:rsidRPr="00D53301">
        <w:rPr>
          <w:color w:val="000000"/>
          <w:szCs w:val="24"/>
        </w:rPr>
        <w:t> </w:t>
      </w:r>
      <w:r w:rsidRPr="00D53301">
        <w:rPr>
          <w:color w:val="000000"/>
          <w:szCs w:val="24"/>
        </w:rPr>
        <w:t>l</w:t>
      </w:r>
      <w:r w:rsidR="00466BE6" w:rsidRPr="00D53301">
        <w:rPr>
          <w:color w:val="000000"/>
          <w:szCs w:val="24"/>
        </w:rPr>
        <w:t>apas</w:t>
      </w:r>
      <w:r w:rsidRPr="00D53301">
        <w:rPr>
          <w:color w:val="000000"/>
          <w:szCs w:val="24"/>
        </w:rPr>
        <w:t>)</w:t>
      </w:r>
      <w:r w:rsidR="00FD13EB" w:rsidRPr="00D53301">
        <w:rPr>
          <w:color w:val="000000"/>
          <w:szCs w:val="24"/>
        </w:rPr>
        <w:t>, o epizoduose prie LRT ir dėl k</w:t>
      </w:r>
      <w:r w:rsidRPr="00D53301">
        <w:rPr>
          <w:color w:val="000000"/>
          <w:szCs w:val="24"/>
        </w:rPr>
        <w:t>omendanto valandos – tik dėl politinių motyvų (517 ir 821 l</w:t>
      </w:r>
      <w:r w:rsidR="00466BE6" w:rsidRPr="00D53301">
        <w:rPr>
          <w:color w:val="000000"/>
          <w:szCs w:val="24"/>
        </w:rPr>
        <w:t>apai</w:t>
      </w:r>
      <w:r w:rsidRPr="00D53301">
        <w:rPr>
          <w:color w:val="000000"/>
          <w:szCs w:val="24"/>
        </w:rPr>
        <w:t>). Nepaisant tokio nenuoseklumo</w:t>
      </w:r>
      <w:r w:rsidR="00466BE6" w:rsidRPr="00D53301">
        <w:rPr>
          <w:color w:val="000000"/>
          <w:szCs w:val="24"/>
        </w:rPr>
        <w:t>,</w:t>
      </w:r>
      <w:r w:rsidRPr="00D53301">
        <w:rPr>
          <w:color w:val="000000"/>
          <w:szCs w:val="24"/>
        </w:rPr>
        <w:t xml:space="preserve"> šis požymis nuosprendžiu konstatuotas, nes kitoje</w:t>
      </w:r>
      <w:r w:rsidR="00A34D0A" w:rsidRPr="00D53301">
        <w:rPr>
          <w:color w:val="000000"/>
          <w:szCs w:val="24"/>
        </w:rPr>
        <w:t xml:space="preserve"> nuosprendžio dalyje, t. y. </w:t>
      </w:r>
      <w:r w:rsidR="00466BE6" w:rsidRPr="00D53301">
        <w:rPr>
          <w:color w:val="000000"/>
          <w:szCs w:val="24"/>
        </w:rPr>
        <w:t xml:space="preserve">nuosprendžio </w:t>
      </w:r>
      <w:r w:rsidR="00A34D0A" w:rsidRPr="00D53301">
        <w:rPr>
          <w:color w:val="000000"/>
          <w:szCs w:val="24"/>
        </w:rPr>
        <w:t>857–</w:t>
      </w:r>
      <w:r w:rsidRPr="00D53301">
        <w:rPr>
          <w:color w:val="000000"/>
          <w:szCs w:val="24"/>
        </w:rPr>
        <w:t xml:space="preserve">858 </w:t>
      </w:r>
      <w:r w:rsidR="00466BE6" w:rsidRPr="00D53301">
        <w:rPr>
          <w:color w:val="000000"/>
          <w:szCs w:val="24"/>
        </w:rPr>
        <w:t>lapuose</w:t>
      </w:r>
      <w:r w:rsidRPr="00D53301">
        <w:rPr>
          <w:color w:val="000000"/>
          <w:szCs w:val="24"/>
        </w:rPr>
        <w:t>, yra aptariamas didelis veikos mastas, sistemingumas, o asmenys, kurie buvo užpuldinėjami, priskiriami civiliams.</w:t>
      </w:r>
    </w:p>
    <w:p w:rsidR="00742D54" w:rsidRPr="00D53301" w:rsidRDefault="00742D54" w:rsidP="00321748">
      <w:pPr>
        <w:pStyle w:val="ListParagraph"/>
        <w:numPr>
          <w:ilvl w:val="2"/>
          <w:numId w:val="6"/>
        </w:numPr>
        <w:spacing w:before="120" w:after="120"/>
        <w:ind w:left="992" w:hanging="992"/>
        <w:contextualSpacing w:val="0"/>
        <w:rPr>
          <w:szCs w:val="24"/>
        </w:rPr>
      </w:pPr>
      <w:r w:rsidRPr="00D53301">
        <w:rPr>
          <w:szCs w:val="24"/>
        </w:rPr>
        <w:t>Prokurorų įsitikinimu, teismas ydingai aprašė nuosprendžiu nustatytas bylos aplinkybes ir nurodant inkriminuotų karo nusikaltimų laiko požymį – veiką padarant agresijos ar ginkluoto konflikto metu. Nuosprendžio 10 lape nurodoma, kad karo nusikaltimai buvo padaryti tik agresijos metu, nors kaltinime buvo inkriminuojama, jog nusikaltimai padaryti TSRS vykdomos agresijos ir ginkluoto konflikto metu. Aprašant nusikalstamų veiksmų požymius atskiruose epizoduose</w:t>
      </w:r>
      <w:r w:rsidR="00466BE6" w:rsidRPr="00D53301">
        <w:rPr>
          <w:szCs w:val="24"/>
        </w:rPr>
        <w:t>,</w:t>
      </w:r>
      <w:r w:rsidRPr="00D53301">
        <w:rPr>
          <w:szCs w:val="24"/>
        </w:rPr>
        <w:t xml:space="preserve"> šis požymis aprašytas nenuosekliai ir skirtingai (Spaudos rūmų </w:t>
      </w:r>
      <w:r w:rsidRPr="00D53301">
        <w:rPr>
          <w:szCs w:val="24"/>
        </w:rPr>
        <w:lastRenderedPageBreak/>
        <w:t>epizode minimi agresijos ir ginkluoto konflikto požymiai, o TV bokšto, LRT ir komendanto valandos įvedimo epizoduose</w:t>
      </w:r>
      <w:r w:rsidR="00466BE6" w:rsidRPr="00D53301">
        <w:rPr>
          <w:szCs w:val="24"/>
        </w:rPr>
        <w:t xml:space="preserve"> –</w:t>
      </w:r>
      <w:r w:rsidRPr="00D53301">
        <w:rPr>
          <w:szCs w:val="24"/>
        </w:rPr>
        <w:t xml:space="preserve"> tik agresijos požymis be ginkluoto konflikto, be to, teismas nuosprendyje mini ir „ginkluotą agresiją“ (821 l</w:t>
      </w:r>
      <w:r w:rsidR="00466BE6" w:rsidRPr="00D53301">
        <w:rPr>
          <w:szCs w:val="24"/>
        </w:rPr>
        <w:t>apas</w:t>
      </w:r>
      <w:r w:rsidRPr="00D53301">
        <w:rPr>
          <w:szCs w:val="24"/>
        </w:rPr>
        <w:t xml:space="preserve">), nors ši sąvoka neatitinka nei agresijos, nei ginkluoto konflikto požymių). </w:t>
      </w:r>
    </w:p>
    <w:p w:rsidR="00742D54" w:rsidRPr="00C00255" w:rsidRDefault="00742D54" w:rsidP="00321748">
      <w:pPr>
        <w:pStyle w:val="ListParagraph"/>
        <w:numPr>
          <w:ilvl w:val="2"/>
          <w:numId w:val="6"/>
        </w:numPr>
        <w:spacing w:before="120" w:after="120"/>
        <w:ind w:left="992" w:hanging="992"/>
        <w:contextualSpacing w:val="0"/>
        <w:rPr>
          <w:szCs w:val="24"/>
        </w:rPr>
      </w:pPr>
      <w:r w:rsidRPr="00C00255">
        <w:rPr>
          <w:bCs/>
          <w:szCs w:val="24"/>
        </w:rPr>
        <w:t>Be to, analizuojant ginkluoto konflikto požymį teismas neatskleidė jo pobūdžio ir nenurodė</w:t>
      </w:r>
      <w:r w:rsidR="00466BE6" w:rsidRPr="00C00255">
        <w:rPr>
          <w:bCs/>
          <w:szCs w:val="24"/>
        </w:rPr>
        <w:t>,</w:t>
      </w:r>
      <w:r w:rsidRPr="00C00255">
        <w:rPr>
          <w:bCs/>
          <w:szCs w:val="24"/>
        </w:rPr>
        <w:t xml:space="preserve"> ar ginkluotas konfliktas buvo tarptautinis, ar ne. Apeliantų įsitikinimu, atsižvelgiant į 1991 m. susiklosčiusią situaciją ir 1990 m. kovo 11 d. aktą „Dėl Lietuvos Nepriklausomos valstybės atkūrimo“ TSRS sukeltas ginkluotas konfliktas su Lietuvos valstybe buvo tarptautinis. Dėl to</w:t>
      </w:r>
      <w:r w:rsidR="00466BE6" w:rsidRPr="00C00255">
        <w:rPr>
          <w:bCs/>
          <w:szCs w:val="24"/>
        </w:rPr>
        <w:t xml:space="preserve"> </w:t>
      </w:r>
      <w:r w:rsidRPr="00C00255">
        <w:rPr>
          <w:bCs/>
          <w:szCs w:val="24"/>
        </w:rPr>
        <w:t>šioje byloje taikytinos ir 1949 m.</w:t>
      </w:r>
      <w:r w:rsidR="005A4361" w:rsidRPr="00C00255">
        <w:rPr>
          <w:bCs/>
          <w:szCs w:val="24"/>
        </w:rPr>
        <w:t xml:space="preserve"> rugpjūčio 12 d.</w:t>
      </w:r>
      <w:r w:rsidRPr="00C00255">
        <w:rPr>
          <w:bCs/>
          <w:szCs w:val="24"/>
        </w:rPr>
        <w:t> Ženevos konvencijos d</w:t>
      </w:r>
      <w:r w:rsidR="00D76BE4" w:rsidRPr="00C00255">
        <w:rPr>
          <w:bCs/>
          <w:szCs w:val="24"/>
        </w:rPr>
        <w:t>ėl civilių apsaugos karo metu bei</w:t>
      </w:r>
      <w:r w:rsidRPr="00C00255">
        <w:rPr>
          <w:bCs/>
          <w:szCs w:val="24"/>
        </w:rPr>
        <w:t xml:space="preserve"> </w:t>
      </w:r>
      <w:r w:rsidR="00D76BE4" w:rsidRPr="00C00255">
        <w:rPr>
          <w:bCs/>
          <w:szCs w:val="24"/>
        </w:rPr>
        <w:t>1949 m. </w:t>
      </w:r>
      <w:r w:rsidR="005A4361" w:rsidRPr="00C00255">
        <w:rPr>
          <w:bCs/>
          <w:szCs w:val="24"/>
        </w:rPr>
        <w:t xml:space="preserve">rugpjūčio 12 d. </w:t>
      </w:r>
      <w:r w:rsidR="00D76BE4" w:rsidRPr="00C00255">
        <w:rPr>
          <w:bCs/>
          <w:szCs w:val="24"/>
        </w:rPr>
        <w:t>Ženevos konvencijų P</w:t>
      </w:r>
      <w:r w:rsidRPr="00C00255">
        <w:rPr>
          <w:bCs/>
          <w:szCs w:val="24"/>
        </w:rPr>
        <w:t xml:space="preserve">apildomų protokolų nuostatos. </w:t>
      </w:r>
    </w:p>
    <w:p w:rsidR="00742D54" w:rsidRPr="00D53301" w:rsidRDefault="00742D54" w:rsidP="00321748">
      <w:pPr>
        <w:pStyle w:val="ListParagraph"/>
        <w:numPr>
          <w:ilvl w:val="2"/>
          <w:numId w:val="6"/>
        </w:numPr>
        <w:spacing w:before="120" w:after="120"/>
        <w:ind w:left="992" w:hanging="992"/>
        <w:contextualSpacing w:val="0"/>
        <w:rPr>
          <w:szCs w:val="24"/>
        </w:rPr>
      </w:pPr>
      <w:r w:rsidRPr="00D53301">
        <w:rPr>
          <w:bCs/>
          <w:szCs w:val="24"/>
        </w:rPr>
        <w:t>Detalus prokurorų prašomų aplinkybių išdėstymas nurodomas atskirai (</w:t>
      </w:r>
      <w:r w:rsidR="00A300D1" w:rsidRPr="00D53301">
        <w:rPr>
          <w:bCs/>
          <w:szCs w:val="24"/>
        </w:rPr>
        <w:t xml:space="preserve">šio sprendimo dalis </w:t>
      </w:r>
      <w:r w:rsidRPr="00D53301">
        <w:rPr>
          <w:bCs/>
          <w:szCs w:val="24"/>
        </w:rPr>
        <w:t>„Prokurorų apeliaciniu skundu prašomų pripažinti aplinkybių detalus išdėstymas“</w:t>
      </w:r>
      <w:r w:rsidR="00D76BE4" w:rsidRPr="00D53301">
        <w:rPr>
          <w:bCs/>
          <w:szCs w:val="24"/>
        </w:rPr>
        <w:t xml:space="preserve">, </w:t>
      </w:r>
      <w:r w:rsidR="00466BE6" w:rsidRPr="00D53301">
        <w:rPr>
          <w:bCs/>
          <w:szCs w:val="24"/>
        </w:rPr>
        <w:t xml:space="preserve">sprendimo </w:t>
      </w:r>
      <w:r w:rsidR="00A300D1" w:rsidRPr="00D53301">
        <w:rPr>
          <w:bCs/>
          <w:szCs w:val="24"/>
        </w:rPr>
        <w:t>62.8 pastraipa</w:t>
      </w:r>
      <w:r w:rsidRPr="00D53301">
        <w:rPr>
          <w:bCs/>
          <w:szCs w:val="24"/>
        </w:rPr>
        <w:t>)</w:t>
      </w:r>
      <w:r w:rsidR="00225B8E" w:rsidRPr="00D53301">
        <w:rPr>
          <w:bCs/>
          <w:szCs w:val="24"/>
        </w:rPr>
        <w:t>.</w:t>
      </w:r>
    </w:p>
    <w:p w:rsidR="00225B8E" w:rsidRPr="00C00255" w:rsidRDefault="00225B8E" w:rsidP="003D0CA0">
      <w:pPr>
        <w:pStyle w:val="Heading3"/>
        <w:spacing w:before="120" w:after="120"/>
        <w:ind w:left="992"/>
        <w:jc w:val="both"/>
        <w:rPr>
          <w:b w:val="0"/>
          <w:i/>
          <w:sz w:val="24"/>
          <w:szCs w:val="24"/>
          <w:lang w:val="lt-LT"/>
        </w:rPr>
      </w:pPr>
      <w:bookmarkStart w:id="208" w:name="_Toc67677374"/>
      <w:bookmarkStart w:id="209" w:name="_Toc67985501"/>
      <w:r w:rsidRPr="00C00255">
        <w:rPr>
          <w:b w:val="0"/>
          <w:i/>
          <w:sz w:val="24"/>
          <w:szCs w:val="24"/>
          <w:lang w:val="lt-LT"/>
        </w:rPr>
        <w:t>Dėl organizuotos grupės</w:t>
      </w:r>
      <w:bookmarkEnd w:id="208"/>
      <w:bookmarkEnd w:id="209"/>
      <w:r w:rsidRPr="00C00255">
        <w:rPr>
          <w:b w:val="0"/>
          <w:i/>
          <w:sz w:val="24"/>
          <w:szCs w:val="24"/>
          <w:lang w:val="lt-LT"/>
        </w:rPr>
        <w:t xml:space="preserve"> </w:t>
      </w:r>
    </w:p>
    <w:p w:rsidR="00742D54" w:rsidRPr="00D53301" w:rsidRDefault="00742D54" w:rsidP="00321748">
      <w:pPr>
        <w:pStyle w:val="ListParagraph"/>
        <w:numPr>
          <w:ilvl w:val="1"/>
          <w:numId w:val="6"/>
        </w:numPr>
        <w:spacing w:before="120" w:after="120"/>
        <w:ind w:left="992" w:hanging="992"/>
        <w:contextualSpacing w:val="0"/>
      </w:pPr>
      <w:r w:rsidRPr="00D53301">
        <w:t>Prokurorų įsitikinimu, teismas nepagrįstai neįžvelgė kaltinimo inkriminuoto nuteistųjų veikimo organizuot</w:t>
      </w:r>
      <w:r w:rsidR="00466BE6" w:rsidRPr="00D53301">
        <w:t>a</w:t>
      </w:r>
      <w:r w:rsidRPr="00D53301">
        <w:t xml:space="preserve"> grupe. Apygardos teismas nurodė du argumentus, kodėl nepripažino, jog nusikalstamos veikos </w:t>
      </w:r>
      <w:r w:rsidR="00466BE6" w:rsidRPr="00D53301">
        <w:t xml:space="preserve">buvo </w:t>
      </w:r>
      <w:r w:rsidRPr="00D53301">
        <w:t>padarytos organizuot</w:t>
      </w:r>
      <w:r w:rsidR="00466BE6" w:rsidRPr="00D53301">
        <w:t>a</w:t>
      </w:r>
      <w:r w:rsidRPr="00D53301">
        <w:t xml:space="preserve"> grupe: 1) nėra duomenų, kad nuteistieji buvo iš anksto susitarę vykdyti nusikaltimus žmoniškumui; 2) nėra įrodymų, kad nuteistieji turėjo </w:t>
      </w:r>
      <w:r w:rsidR="00466BE6" w:rsidRPr="00D53301">
        <w:t>bendrą</w:t>
      </w:r>
      <w:r w:rsidRPr="00D53301">
        <w:t xml:space="preserve"> tikslą – bauginti valstybės gyventojus ir juos žudyti bei žaloti. Prokurorai nesutinka su tokiomis teismo išvadomis.</w:t>
      </w:r>
    </w:p>
    <w:p w:rsidR="00742D54" w:rsidRPr="00D53301" w:rsidRDefault="00742D54" w:rsidP="00321748">
      <w:pPr>
        <w:pStyle w:val="ListParagraph"/>
        <w:numPr>
          <w:ilvl w:val="2"/>
          <w:numId w:val="6"/>
        </w:numPr>
        <w:spacing w:before="120" w:after="120"/>
        <w:ind w:left="992" w:hanging="992"/>
        <w:contextualSpacing w:val="0"/>
      </w:pPr>
      <w:r w:rsidRPr="00D53301">
        <w:t>Visų pirma, teismas konstatuodamas, jog nėra duomenų apie išankstinį susitarimą vykdyti nusikaltimus žmoniškumui, nepaminėjo karo nusikaltimų. Antra, prieš pastatų užėmimą, visi karininkai buvo instruktuojami, o sausio 11 d. vakare kariškiai neišvyko prie TV bokšto ir LRT pastatų tik dėl susirinkusių civilių. Iš teismo išvadų galima suprasti, kad daugumai nuteistųjų nebuvo žinomas tikrasis dislokavimo į Lietuvą tikslas ir</w:t>
      </w:r>
      <w:r w:rsidR="00466BE6" w:rsidRPr="00D53301">
        <w:t xml:space="preserve"> tai,</w:t>
      </w:r>
      <w:r w:rsidRPr="00D53301">
        <w:t xml:space="preserve"> į kokį objektą vykstama. Tačiau teismas tokios išvados niekaip nemotyvavo, todėl neaišku, kokią įtaką inkriminuojant organizuotos grupės požymį</w:t>
      </w:r>
      <w:r w:rsidR="001600E6" w:rsidRPr="00D53301">
        <w:t xml:space="preserve"> </w:t>
      </w:r>
      <w:r w:rsidRPr="00D53301">
        <w:t>turi pirminė asmenims nurodyto vykimo į Lietuvą priežastis. Apeliantų teigimu, iš nuteistųjų parodymų matyti, kad</w:t>
      </w:r>
      <w:r w:rsidR="00466BE6" w:rsidRPr="00D53301">
        <w:t>,</w:t>
      </w:r>
      <w:r w:rsidRPr="00D53301">
        <w:t xml:space="preserve"> dar prieš karinei kolonai išvykstant iš Šiaurės miestelio, su užduotimis, kolonos maršrutu ir pan. jie buvo supažindinti. Pagal bylos medžiagą nustatyta, kad aukštesniojo rango karininkams užduotis davė vadovavimo štabo nariai (</w:t>
      </w:r>
      <w:r w:rsidR="00C507EF" w:rsidRPr="00D53301">
        <w:t>V. A.</w:t>
      </w:r>
      <w:r w:rsidRPr="00D53301">
        <w:t xml:space="preserve">, </w:t>
      </w:r>
      <w:r w:rsidR="00385BC9" w:rsidRPr="00D53301">
        <w:t>N. D.</w:t>
      </w:r>
      <w:r w:rsidRPr="00D53301">
        <w:t xml:space="preserve">, </w:t>
      </w:r>
      <w:r w:rsidR="00C507EF" w:rsidRPr="00D53301">
        <w:t>J. K.</w:t>
      </w:r>
      <w:r w:rsidRPr="00D53301">
        <w:t xml:space="preserve">, </w:t>
      </w:r>
      <w:r w:rsidR="00385BC9" w:rsidRPr="00D53301">
        <w:t>V. K. 1</w:t>
      </w:r>
      <w:r w:rsidRPr="00D53301">
        <w:t>, V. O</w:t>
      </w:r>
      <w:r w:rsidR="00C507EF" w:rsidRPr="00D53301">
        <w:t>.</w:t>
      </w:r>
      <w:r w:rsidRPr="00D53301">
        <w:t xml:space="preserve">, </w:t>
      </w:r>
      <w:r w:rsidR="006036E7" w:rsidRPr="00D53301">
        <w:t>V. U. 1</w:t>
      </w:r>
      <w:r w:rsidRPr="00D53301">
        <w:t xml:space="preserve">, </w:t>
      </w:r>
      <w:r w:rsidR="00385BC9" w:rsidRPr="00D53301">
        <w:t>V. S. 1</w:t>
      </w:r>
      <w:r w:rsidRPr="00D53301">
        <w:t xml:space="preserve">, </w:t>
      </w:r>
      <w:r w:rsidR="006036E7" w:rsidRPr="00D53301">
        <w:t>A. Ž.</w:t>
      </w:r>
      <w:r w:rsidRPr="00D53301">
        <w:t xml:space="preserve">, </w:t>
      </w:r>
      <w:r w:rsidR="00A97F74" w:rsidRPr="00D53301">
        <w:t>S. F.</w:t>
      </w:r>
      <w:r w:rsidRPr="00D53301">
        <w:t xml:space="preserve">, </w:t>
      </w:r>
      <w:r w:rsidR="00D37127" w:rsidRPr="00D53301">
        <w:t>S. C.</w:t>
      </w:r>
      <w:r w:rsidRPr="00D53301">
        <w:t>)</w:t>
      </w:r>
      <w:r w:rsidR="00466BE6" w:rsidRPr="00D53301">
        <w:t>, paskui</w:t>
      </w:r>
      <w:r w:rsidRPr="00D53301">
        <w:t xml:space="preserve"> su užduotimi</w:t>
      </w:r>
      <w:r w:rsidR="0006547D" w:rsidRPr="00D53301">
        <w:t>s</w:t>
      </w:r>
      <w:r w:rsidRPr="00D53301">
        <w:t xml:space="preserve"> buvo supažindinti ir žemesnio rango kariškiai. Todėl visi karo mokslus baigę nuteistieji (išskyrus </w:t>
      </w:r>
      <w:r w:rsidR="00BA18FA" w:rsidRPr="00D53301">
        <w:t>V. Š. 1</w:t>
      </w:r>
      <w:r w:rsidRPr="00D53301">
        <w:t>) turėjo laiko priimti sprendimą</w:t>
      </w:r>
      <w:r w:rsidR="00466BE6" w:rsidRPr="00D53301">
        <w:t>,</w:t>
      </w:r>
      <w:r w:rsidRPr="00D53301">
        <w:t xml:space="preserve"> ar dalyvauti operacijoje, ir suprato, kad bus užimami civiliniai objektai. Apeliantų įsitikinimu, </w:t>
      </w:r>
      <w:r w:rsidR="00E420BD" w:rsidRPr="00D53301">
        <w:t>kariškiams išsilaipinus prie TV </w:t>
      </w:r>
      <w:r w:rsidRPr="00D53301">
        <w:t>bokšto ir LRT pastatų ir išgirdus vadinamą</w:t>
      </w:r>
      <w:r w:rsidR="00466BE6" w:rsidRPr="00D53301">
        <w:t>ją</w:t>
      </w:r>
      <w:r w:rsidRPr="00D53301">
        <w:t xml:space="preserve"> „J</w:t>
      </w:r>
      <w:r w:rsidR="00C507EF" w:rsidRPr="00D53301">
        <w:t>.</w:t>
      </w:r>
      <w:r w:rsidRPr="00D53301">
        <w:t xml:space="preserve"> kalbą“ LNGK vardu, kuri buvo transliuojama lietuvių ir rusų kalbomis, jie turėjo suprasti, kad veikia nežinomo komiteto vardu, negalinčio atstovauti jokios valstybės vardu, net ir TSRS sudėtyje esančios respublikos vardu, jei taip būtų. </w:t>
      </w:r>
    </w:p>
    <w:p w:rsidR="00742D54" w:rsidRPr="00D53301" w:rsidRDefault="00742D54" w:rsidP="00321748">
      <w:pPr>
        <w:pStyle w:val="ListParagraph"/>
        <w:numPr>
          <w:ilvl w:val="2"/>
          <w:numId w:val="6"/>
        </w:numPr>
        <w:spacing w:before="120" w:after="120"/>
        <w:ind w:left="992" w:hanging="992"/>
        <w:contextualSpacing w:val="0"/>
      </w:pPr>
      <w:r w:rsidRPr="00D53301">
        <w:t xml:space="preserve">Prokurorų įsitikinimu, teismo išvada, kad nėra įrodymų nuteistuosius turėjus </w:t>
      </w:r>
      <w:r w:rsidR="00466BE6" w:rsidRPr="00D53301">
        <w:t>bendrą</w:t>
      </w:r>
      <w:r w:rsidRPr="00D53301">
        <w:t xml:space="preserve"> tikslą – bauginti civilius, juos žudyti bei žaloti, yra prieštaringa. Viena vertus, teismas aptardamas kitus nusikalstamų veikų požymius nuosprendyje nurodė, kokiais veiksmais ir priemonėmis nuteistieji baugino civilius, tačiau pasisakydamas dėl organizuotos grupės požymio nebuvimo konstatavo priešingai. Anot apeliantų, kokia ginkluotė ir technika bus naudojama, kokias užduotis ir kada gavo, matyti iš pačių nuteistųjų parodymų. Todėl nuteistiesiems buvo </w:t>
      </w:r>
      <w:r w:rsidRPr="00D53301">
        <w:lastRenderedPageBreak/>
        <w:t>iš anksto akivaizdu,</w:t>
      </w:r>
      <w:r w:rsidRPr="00D53301" w:rsidDel="008476A7">
        <w:t xml:space="preserve"> </w:t>
      </w:r>
      <w:r w:rsidRPr="00D53301">
        <w:t>kad bus užimami pastatai, kokia bus naudojama karinė technika, ginklai ir priemonės.</w:t>
      </w:r>
    </w:p>
    <w:p w:rsidR="00742D54" w:rsidRPr="00D53301" w:rsidRDefault="00742D54" w:rsidP="00321748">
      <w:pPr>
        <w:pStyle w:val="ListParagraph"/>
        <w:numPr>
          <w:ilvl w:val="2"/>
          <w:numId w:val="6"/>
        </w:numPr>
        <w:spacing w:before="120" w:after="120"/>
        <w:ind w:left="992" w:hanging="992"/>
        <w:contextualSpacing w:val="0"/>
      </w:pPr>
      <w:r w:rsidRPr="00D53301">
        <w:t xml:space="preserve">Prokurorai nepagrįsta laiko teismo išvadą, kad veikų padarymo metu galiojusiame </w:t>
      </w:r>
      <w:r w:rsidR="00C96771" w:rsidRPr="00D53301">
        <w:t>1961</w:t>
      </w:r>
      <w:r w:rsidR="00466BE6" w:rsidRPr="00D53301">
        <w:t> </w:t>
      </w:r>
      <w:r w:rsidR="00C96771" w:rsidRPr="00D53301">
        <w:t>m.</w:t>
      </w:r>
      <w:r w:rsidR="00E420BD" w:rsidRPr="00D53301">
        <w:t> </w:t>
      </w:r>
      <w:r w:rsidRPr="00D53301">
        <w:t xml:space="preserve">BK nebuvo numatyta bendrininkavimo forma – organizuota grupė, todėl jos konstatuoti nėra pagrindo. Anot prokurorų, 1961 m. BK buvo numatyta ne tik bendrininkavimo samprata ir bendrininkų rūšys, </w:t>
      </w:r>
      <w:r w:rsidR="00466BE6" w:rsidRPr="00D53301">
        <w:t>bet</w:t>
      </w:r>
      <w:r w:rsidRPr="00D53301">
        <w:t xml:space="preserve"> ir atsakomybę sunkinanti aplinkybė, kai veiką padarė organizuota grupė. Anot apeliantų, jau tuo metu buvo laikoma, kad nusikaltimas padarytas organizuotos grupės, jeigu jį padaro bendrai veikdami du ar daugiau asmenų, sąmoningai susivienijusių nusikalstamam tikslui pasiekti. Be to, apygardos teismas, grįsdamas savo išvadas dėl baudžiamojo įstatymo grįžtamosios galios, rėmėsi </w:t>
      </w:r>
      <w:r w:rsidR="00225B8E" w:rsidRPr="00D53301">
        <w:t>i</w:t>
      </w:r>
      <w:r w:rsidRPr="00D53301">
        <w:t>r LAT nutartimi baudžiamojoje byloje Nr. 2K-7-1-693/2017, kurioje</w:t>
      </w:r>
      <w:r w:rsidR="00466BE6" w:rsidRPr="00D53301">
        <w:t>,</w:t>
      </w:r>
      <w:r w:rsidRPr="00D53301">
        <w:t xml:space="preserve"> be išvadų apie grįžtamąją galią, buvo pripažinta ir tai, kad veika padaryta veikiant organizuot</w:t>
      </w:r>
      <w:r w:rsidR="00466BE6" w:rsidRPr="00D53301">
        <w:t xml:space="preserve">a </w:t>
      </w:r>
      <w:r w:rsidRPr="00D53301">
        <w:t>grupe, nors ji ir buvo padaryta galiojant 1961 m. BK. Taigi nuosprendis keistinas ir pripažintina, kad nuteistųjų veika padaryta jiems veikiant organizuot</w:t>
      </w:r>
      <w:r w:rsidR="002439F4" w:rsidRPr="00D53301">
        <w:t>a</w:t>
      </w:r>
      <w:r w:rsidRPr="00D53301">
        <w:t xml:space="preserve"> gru</w:t>
      </w:r>
      <w:r w:rsidR="002439F4" w:rsidRPr="00D53301">
        <w:t>p</w:t>
      </w:r>
      <w:r w:rsidRPr="00D53301">
        <w:t>e, o teismo nustatyta atsakomybę sunkinanti aplinkybė – veikimas bendrininkų grupe</w:t>
      </w:r>
      <w:r w:rsidR="002439F4" w:rsidRPr="00D53301">
        <w:t xml:space="preserve"> –</w:t>
      </w:r>
      <w:r w:rsidRPr="00D53301">
        <w:t xml:space="preserve"> keistina į veikimą organizuot</w:t>
      </w:r>
      <w:r w:rsidR="002439F4" w:rsidRPr="00D53301">
        <w:t>a</w:t>
      </w:r>
      <w:r w:rsidRPr="00D53301">
        <w:t xml:space="preserve"> grupe.</w:t>
      </w:r>
    </w:p>
    <w:p w:rsidR="00742D54" w:rsidRPr="00C00255" w:rsidRDefault="00742D54" w:rsidP="003D0CA0">
      <w:pPr>
        <w:pStyle w:val="Heading3"/>
        <w:spacing w:before="120" w:after="120"/>
        <w:ind w:firstLine="992"/>
        <w:jc w:val="both"/>
        <w:rPr>
          <w:b w:val="0"/>
          <w:i/>
          <w:sz w:val="24"/>
          <w:szCs w:val="24"/>
          <w:lang w:val="lt-LT"/>
        </w:rPr>
      </w:pPr>
      <w:bookmarkStart w:id="210" w:name="_Toc67677375"/>
      <w:bookmarkStart w:id="211" w:name="_Toc67985502"/>
      <w:r w:rsidRPr="00C00255">
        <w:rPr>
          <w:b w:val="0"/>
          <w:i/>
          <w:sz w:val="24"/>
          <w:szCs w:val="24"/>
          <w:lang w:val="lt-LT"/>
        </w:rPr>
        <w:t>Dėl nuteistiesiems paskirtų bausmių</w:t>
      </w:r>
      <w:bookmarkEnd w:id="210"/>
      <w:bookmarkEnd w:id="211"/>
    </w:p>
    <w:p w:rsidR="00742D54" w:rsidRPr="00C00255" w:rsidRDefault="00742D54" w:rsidP="00321748">
      <w:pPr>
        <w:pStyle w:val="ListParagraph"/>
        <w:numPr>
          <w:ilvl w:val="1"/>
          <w:numId w:val="6"/>
        </w:numPr>
        <w:spacing w:before="120" w:after="120"/>
        <w:ind w:left="992" w:hanging="992"/>
        <w:contextualSpacing w:val="0"/>
      </w:pPr>
      <w:r w:rsidRPr="00C00255">
        <w:t xml:space="preserve">Apeliantai nesutinka su teismo motyvais skirti minimalias ar artimas minimalioms laisvės atėmimo bausmes nuteistiesiems </w:t>
      </w:r>
      <w:r w:rsidR="00385BC9">
        <w:t>D. J.</w:t>
      </w:r>
      <w:r w:rsidRPr="00C00255">
        <w:t xml:space="preserve">, </w:t>
      </w:r>
      <w:r w:rsidR="00385BC9">
        <w:t>N. D.</w:t>
      </w:r>
      <w:r w:rsidRPr="00C00255">
        <w:t xml:space="preserve">, </w:t>
      </w:r>
      <w:r w:rsidR="00385BC9">
        <w:t>V. S. 1</w:t>
      </w:r>
      <w:r w:rsidRPr="00C00255">
        <w:t xml:space="preserve">, </w:t>
      </w:r>
      <w:r w:rsidR="00385BC9">
        <w:t>V. K. 1</w:t>
      </w:r>
      <w:r w:rsidRPr="00C00255">
        <w:t xml:space="preserve">, </w:t>
      </w:r>
      <w:r w:rsidR="006036E7">
        <w:t>A. Ž.</w:t>
      </w:r>
      <w:r w:rsidRPr="00C00255">
        <w:t xml:space="preserve"> ir </w:t>
      </w:r>
      <w:r w:rsidR="00A97F74">
        <w:t>S. F.</w:t>
      </w:r>
      <w:r w:rsidRPr="00C00255">
        <w:t>. Apeliaciniame skunde teigiama, kad</w:t>
      </w:r>
      <w:r w:rsidR="002439F4" w:rsidRPr="00C00255">
        <w:t>,</w:t>
      </w:r>
      <w:r w:rsidRPr="00C00255">
        <w:t xml:space="preserve"> atsižvelgiant į jų vaidmenis padarant nusikaltimus žmoniškumui ir karo nusikaltimus, tokios bausmės yra aiškiai per švelnios. Prokurorų įsitikinimu, minimalių bausmės dydžių pirmosios instancijos teismas iš esmės nemotyvavo ir apsiribojo nuosprendyje nurodytų aplinkybių išvardijimu. Minimalios bausmės už padarytus karo nusikaltimus ir nusikaltimus žmoniškumui kriterijumi negali būti vien nuteistųjų garbus amžius nuosprendžio priėmimo metu arba jaunas amžius veikų padarymo metu. Apeliantų įsitikinimu, teismas turėjo atsižvelgti ir į tai, kad veika padaryta organizuotos grupės, kad buvo įkurtas vadovavimo karinei operacijai štabas, kad asm</w:t>
      </w:r>
      <w:r w:rsidR="00225B8E" w:rsidRPr="00C00255">
        <w:t xml:space="preserve">enys pagal savo aukštus rangus </w:t>
      </w:r>
      <w:r w:rsidRPr="00C00255">
        <w:t>aktyviai dalyvavo štabo veikloje, taip pat ir į kilusi</w:t>
      </w:r>
      <w:r w:rsidR="00B06A9A" w:rsidRPr="00C00255">
        <w:t>u</w:t>
      </w:r>
      <w:r w:rsidRPr="00C00255">
        <w:t>s sunki</w:t>
      </w:r>
      <w:r w:rsidR="00B06A9A" w:rsidRPr="00C00255">
        <w:t>u</w:t>
      </w:r>
      <w:r w:rsidRPr="00C00255">
        <w:t>s pa</w:t>
      </w:r>
      <w:r w:rsidR="00B06A9A" w:rsidRPr="00C00255">
        <w:t>darinius</w:t>
      </w:r>
      <w:r w:rsidRPr="00C00255">
        <w:t xml:space="preserve"> – asmenų žūtį, sunk</w:t>
      </w:r>
      <w:r w:rsidR="00281379" w:rsidRPr="00C00255">
        <w:t>ių</w:t>
      </w:r>
      <w:r w:rsidRPr="00C00255">
        <w:t xml:space="preserve"> sveikatos sutrikdym</w:t>
      </w:r>
      <w:r w:rsidR="00281379" w:rsidRPr="00C00255">
        <w:t>ų</w:t>
      </w:r>
      <w:r w:rsidRPr="00C00255">
        <w:t xml:space="preserve"> atvejus, didelį nukentėjusiųjų nuo nuteistųjų veiksmų skaičių. Skunde teigiama, kad kaltininko asmenybę apibūdinantys požymiai savaime negali nulemti švelnesnės bausmės už nužudymą paskyrimo, į juos būtina atsižvelgti tik visų kitų aplinkybių kontekste. Pasak apeliantų, apygardos teismas nuosprendyje nurodė, kad</w:t>
      </w:r>
      <w:r w:rsidR="00B06A9A" w:rsidRPr="00C00255">
        <w:t>,</w:t>
      </w:r>
      <w:r w:rsidRPr="00C00255">
        <w:t xml:space="preserve"> skiriant bausmes nuteistiesiems, turi būti ats</w:t>
      </w:r>
      <w:r w:rsidR="00225B8E" w:rsidRPr="00C00255">
        <w:t>ižvelgta ir į tai, kad Vilniaus a</w:t>
      </w:r>
      <w:r w:rsidRPr="00C00255">
        <w:t>pygardos teismo 1999 m. rugpjūčio 23 d. nuosprendžiu baudžiamojoje byloje Nr. 1-2/1999 kaltinamųjų veikos už tapačių veikų padarymą buvo kvalifikuotos pagal veikų padarymo metu galiojusį įstatymą ir bausmės jiems paskirtos pagal tuometes sankcijas. Visgi</w:t>
      </w:r>
      <w:r w:rsidR="00B06A9A" w:rsidRPr="00C00255">
        <w:t>,</w:t>
      </w:r>
      <w:r w:rsidRPr="00C00255">
        <w:t xml:space="preserve"> apeliantų įsitikinimu, kaltinamieji minėtoje byloje buvo pripažinti kaltais padarę kitas nusikalstamas veikas nei šioje byloje, o joje nuteistas </w:t>
      </w:r>
      <w:r w:rsidR="00C507EF">
        <w:t>M. B.</w:t>
      </w:r>
      <w:r w:rsidRPr="00C00255">
        <w:t xml:space="preserve"> nebuvo tiesioginis nusikaltimo vykdytojas. Todėl minėtu nuospre</w:t>
      </w:r>
      <w:r w:rsidR="00225B8E" w:rsidRPr="00C00255">
        <w:t>ndžiu vadovautis skiriant bausme</w:t>
      </w:r>
      <w:r w:rsidRPr="00C00255">
        <w:t>s nuteistiesiems šioje byloje nėra pagrindo. Anot apeliantų, apygardos teismas, skirdamas nuteistiesiems minimalias sankcijoje numatytas bausmes</w:t>
      </w:r>
      <w:r w:rsidR="00B06A9A" w:rsidRPr="00C00255">
        <w:t>,</w:t>
      </w:r>
      <w:r w:rsidRPr="00C00255" w:rsidDel="00E122BA">
        <w:t xml:space="preserve"> </w:t>
      </w:r>
      <w:r w:rsidRPr="00C00255">
        <w:t>nenurodė jokių kitų išimtinių aplinkybių, kurios būtų pagrindu jas skirti, šių dydžių nemotyvavo ir bausmių neindividualizavo bei taip pažeidė bausmių skyrimo taisykles ir teisingumo principą. Apeliantai pabrėžė ir tai, kad nuosprendžiu buvo konstatuotos net 3 kiekvieno nuteistojo atsakomybę sunkinančios aplinkybės ir n</w:t>
      </w:r>
      <w:r w:rsidR="00B06A9A" w:rsidRPr="00C00255">
        <w:t>ė</w:t>
      </w:r>
      <w:r w:rsidRPr="00C00255">
        <w:t xml:space="preserve"> vienos atsakomybę lengvinančios aplinkybės, </w:t>
      </w:r>
      <w:r w:rsidR="00B06A9A" w:rsidRPr="00C00255">
        <w:t>tai irgi</w:t>
      </w:r>
      <w:r w:rsidRPr="00C00255">
        <w:t xml:space="preserve"> patvirtinta, kad paskirtos minimalios bausmės </w:t>
      </w:r>
      <w:r w:rsidR="00385BC9">
        <w:t>D. J.</w:t>
      </w:r>
      <w:r w:rsidRPr="00C00255">
        <w:t xml:space="preserve">, </w:t>
      </w:r>
      <w:r w:rsidR="00385BC9">
        <w:t>N. D.</w:t>
      </w:r>
      <w:r w:rsidRPr="00C00255">
        <w:t xml:space="preserve">, </w:t>
      </w:r>
      <w:r w:rsidR="00385BC9">
        <w:t>V. S. 1</w:t>
      </w:r>
      <w:r w:rsidRPr="00C00255">
        <w:t xml:space="preserve">, </w:t>
      </w:r>
      <w:r w:rsidR="00385BC9">
        <w:t>V. K. 1</w:t>
      </w:r>
      <w:r w:rsidRPr="00C00255">
        <w:t xml:space="preserve">, </w:t>
      </w:r>
      <w:r w:rsidR="006036E7">
        <w:t>A. Ž.</w:t>
      </w:r>
      <w:r w:rsidRPr="00C00255">
        <w:t xml:space="preserve"> ir </w:t>
      </w:r>
      <w:r w:rsidR="00A97F74">
        <w:t>S. F.</w:t>
      </w:r>
      <w:r w:rsidRPr="00C00255">
        <w:t xml:space="preserve"> yra per švelnios. </w:t>
      </w:r>
    </w:p>
    <w:p w:rsidR="00742D54" w:rsidRPr="00D53301" w:rsidRDefault="00742D54" w:rsidP="00321748">
      <w:pPr>
        <w:pStyle w:val="ListParagraph"/>
        <w:numPr>
          <w:ilvl w:val="2"/>
          <w:numId w:val="6"/>
        </w:numPr>
        <w:spacing w:before="120" w:after="120"/>
        <w:ind w:left="992" w:hanging="992"/>
        <w:contextualSpacing w:val="0"/>
      </w:pPr>
      <w:r w:rsidRPr="00D53301">
        <w:t xml:space="preserve">Skirdamas bausmes </w:t>
      </w:r>
      <w:r w:rsidR="00025AB4" w:rsidRPr="00D53301">
        <w:t>(duomenys neskelbtini)</w:t>
      </w:r>
      <w:r w:rsidRPr="00D53301">
        <w:t xml:space="preserve"> metų amžiaus </w:t>
      </w:r>
      <w:r w:rsidR="00385BC9" w:rsidRPr="00D53301">
        <w:t>D. J.</w:t>
      </w:r>
      <w:r w:rsidRPr="00D53301">
        <w:t xml:space="preserve">, teismas neatsižvelgė į tai, kad be TSRS gynybos ministro leidimo ir sutikimo į Lietuvos Respublikos teritoriją nebūtų </w:t>
      </w:r>
      <w:r w:rsidRPr="00D53301">
        <w:lastRenderedPageBreak/>
        <w:t>dislokuoti papildomi kariniai daliniai</w:t>
      </w:r>
      <w:r w:rsidR="00B06A9A" w:rsidRPr="00D53301">
        <w:t xml:space="preserve">, </w:t>
      </w:r>
      <w:r w:rsidRPr="00D53301">
        <w:t xml:space="preserve">nebūtų atlikti kiti nuosprendyje nurodyti veiksmai </w:t>
      </w:r>
      <w:r w:rsidR="00B06A9A" w:rsidRPr="00D53301">
        <w:t>ir</w:t>
      </w:r>
      <w:r w:rsidRPr="00D53301">
        <w:t xml:space="preserve"> </w:t>
      </w:r>
      <w:r w:rsidR="00A27A1F" w:rsidRPr="00D53301">
        <w:t xml:space="preserve">nebūtų </w:t>
      </w:r>
      <w:r w:rsidRPr="00D53301">
        <w:t>kil</w:t>
      </w:r>
      <w:r w:rsidR="00B06A9A" w:rsidRPr="00D53301">
        <w:t>ę</w:t>
      </w:r>
      <w:r w:rsidRPr="00D53301">
        <w:t xml:space="preserve"> sunki</w:t>
      </w:r>
      <w:r w:rsidR="00B06A9A" w:rsidRPr="00D53301">
        <w:t xml:space="preserve">ų </w:t>
      </w:r>
      <w:r w:rsidRPr="00D53301">
        <w:t>pa</w:t>
      </w:r>
      <w:r w:rsidR="00B06A9A" w:rsidRPr="00D53301">
        <w:t>darinių</w:t>
      </w:r>
      <w:r w:rsidRPr="00D53301">
        <w:t>. Todėl, prokurorų įsitikinimu, jam skirtina laisvės atėmimo bausmė</w:t>
      </w:r>
      <w:r w:rsidR="00B06A9A" w:rsidRPr="00D53301">
        <w:t>,</w:t>
      </w:r>
      <w:r w:rsidRPr="00D53301">
        <w:t xml:space="preserve"> atitinkanti sankcijos vidurkį. Apeliantų teigimu, už BK 100 straipsnyje numatyto nusikaltimo padarymą pastarajam skirtini</w:t>
      </w:r>
      <w:r w:rsidR="008434B8" w:rsidRPr="00D53301">
        <w:t xml:space="preserve"> </w:t>
      </w:r>
      <w:r w:rsidRPr="00D53301">
        <w:t>12 metų ir 6 mėnesiai, už BK 101 straip</w:t>
      </w:r>
      <w:r w:rsidR="00025AB4" w:rsidRPr="00D53301">
        <w:t>snyje – 15 </w:t>
      </w:r>
      <w:r w:rsidRPr="00D53301">
        <w:t>metų, už BK</w:t>
      </w:r>
      <w:r w:rsidR="00E061CA" w:rsidRPr="00D53301">
        <w:t> </w:t>
      </w:r>
      <w:r w:rsidRPr="00D53301">
        <w:t>103</w:t>
      </w:r>
      <w:r w:rsidR="00B06A9A" w:rsidRPr="00D53301">
        <w:t> </w:t>
      </w:r>
      <w:r w:rsidRPr="00D53301">
        <w:t xml:space="preserve">straipsnio 1 dalyje – 7 metai ir 6 mėnesiai, už BK 111 straipsnio 1 dalyje – 10 metų, už BK 112 straipsnyje – 6 metai ir 6 mėnesiai laisvės atėmimo. Paskirtas bausmes prašoma subendrinti bausmių apėmimo būdu ir paskirti </w:t>
      </w:r>
      <w:r w:rsidR="00385BC9" w:rsidRPr="00D53301">
        <w:t>D. J.</w:t>
      </w:r>
      <w:r w:rsidRPr="00D53301">
        <w:t xml:space="preserve"> galutinę bausmę</w:t>
      </w:r>
      <w:r w:rsidR="008434B8" w:rsidRPr="00D53301">
        <w:t xml:space="preserve"> </w:t>
      </w:r>
      <w:r w:rsidRPr="00D53301">
        <w:t xml:space="preserve">– 15 metų laisvės atėmimą, ją atliekant pataisos namuose. </w:t>
      </w:r>
    </w:p>
    <w:p w:rsidR="00742D54" w:rsidRPr="00D53301" w:rsidRDefault="00385BC9" w:rsidP="00321748">
      <w:pPr>
        <w:pStyle w:val="ListParagraph"/>
        <w:numPr>
          <w:ilvl w:val="2"/>
          <w:numId w:val="6"/>
        </w:numPr>
        <w:spacing w:before="120" w:after="120"/>
        <w:ind w:left="992" w:hanging="992"/>
        <w:contextualSpacing w:val="0"/>
      </w:pPr>
      <w:r w:rsidRPr="00D53301">
        <w:t>N. D.</w:t>
      </w:r>
      <w:r w:rsidR="00742D54" w:rsidRPr="00D53301">
        <w:t xml:space="preserve"> buvo TSRS vidaus reikalų ministro pavaduotojas, įsakęs pavaldiems kariškiams dalyvauti karinėje operacijoje bei perdavęs nurodymus apsaugoti objektus Vilniuje. Atsižvelgiant į jo veiksmų apimtį ir dėl to kilusi</w:t>
      </w:r>
      <w:r w:rsidR="00B06A9A" w:rsidRPr="00D53301">
        <w:t>us padarinius</w:t>
      </w:r>
      <w:r w:rsidR="00742D54" w:rsidRPr="00D53301">
        <w:t xml:space="preserve">, jam skirtina artima sankcijoje numatytam vidurkiui laisvės atėmimo bausmė. Apeliantų vertinimu, aplinkybė, kad jam šiuo metu yra </w:t>
      </w:r>
      <w:r w:rsidR="00E420BD" w:rsidRPr="00D53301">
        <w:t xml:space="preserve">(duomenys neskelbtini) </w:t>
      </w:r>
      <w:r w:rsidR="00742D54" w:rsidRPr="00D53301">
        <w:t>metai, įvertinus jo vaidm</w:t>
      </w:r>
      <w:r w:rsidR="00225B8E" w:rsidRPr="00D53301">
        <w:t>enį, negali būti pagrindu skiriant</w:t>
      </w:r>
      <w:r w:rsidR="00742D54" w:rsidRPr="00D53301">
        <w:t xml:space="preserve"> minimalias bausmes. Apeliantų teigimu, už BK 100 straipsnyje numatyto nusikaltimo padarymą </w:t>
      </w:r>
      <w:r w:rsidRPr="00D53301">
        <w:t>N. D.</w:t>
      </w:r>
      <w:r w:rsidR="00E420BD" w:rsidRPr="00D53301">
        <w:t xml:space="preserve"> skirtini 11 </w:t>
      </w:r>
      <w:r w:rsidR="00742D54" w:rsidRPr="00D53301">
        <w:t xml:space="preserve">metų, už BK 101 straipsnyje – </w:t>
      </w:r>
      <w:r w:rsidR="00E420BD" w:rsidRPr="00D53301">
        <w:t>14 metų, už BK 103 straipsnio 1 </w:t>
      </w:r>
      <w:r w:rsidR="00742D54" w:rsidRPr="00D53301">
        <w:t>dalyje – 6 metai ir 6 mėnesiai, už BK </w:t>
      </w:r>
      <w:r w:rsidR="00225B8E" w:rsidRPr="00D53301">
        <w:t>111 straipsnio 1 dalyje – 8 metai</w:t>
      </w:r>
      <w:r w:rsidR="00742D54" w:rsidRPr="00D53301">
        <w:t xml:space="preserve">, už BK 112 straipsnyje – 5 metai ir 6 mėnesiai laisvės atėmimo. Paskirtas bausmes prašoma subendrinti bausmių apėmimo būdu ir paskirti </w:t>
      </w:r>
      <w:r w:rsidRPr="00D53301">
        <w:t>N. D.</w:t>
      </w:r>
      <w:r w:rsidR="00742D54" w:rsidRPr="00D53301">
        <w:t xml:space="preserve"> galutinę bausmę – 14 metų laisvės atėmimą, ją atliekant pataisos namuose. </w:t>
      </w:r>
    </w:p>
    <w:p w:rsidR="00742D54" w:rsidRPr="00D53301" w:rsidRDefault="00385BC9" w:rsidP="00321748">
      <w:pPr>
        <w:pStyle w:val="ListParagraph"/>
        <w:numPr>
          <w:ilvl w:val="2"/>
          <w:numId w:val="6"/>
        </w:numPr>
        <w:spacing w:before="120" w:after="120"/>
        <w:ind w:left="992" w:hanging="992"/>
        <w:contextualSpacing w:val="0"/>
      </w:pPr>
      <w:r w:rsidRPr="00D53301">
        <w:t>V. S. 1</w:t>
      </w:r>
      <w:r w:rsidR="00742D54" w:rsidRPr="00D53301">
        <w:t xml:space="preserve"> buvo TSRS VRM Šiaurės Vakarų valdybos vadas, gavęs įsakymą perimti LRT </w:t>
      </w:r>
      <w:r w:rsidR="00225B8E" w:rsidRPr="00D53301">
        <w:t>apsaugą</w:t>
      </w:r>
      <w:r w:rsidR="00742D54" w:rsidRPr="00D53301">
        <w:t xml:space="preserve">. Kartu su </w:t>
      </w:r>
      <w:r w:rsidR="006036E7" w:rsidRPr="00D53301">
        <w:t>A. Ž.</w:t>
      </w:r>
      <w:r w:rsidR="00742D54" w:rsidRPr="00D53301">
        <w:t xml:space="preserve"> jis nusprendė panaudoti 7574 mokomąją kuopą bei davė konk</w:t>
      </w:r>
      <w:r w:rsidR="00225B8E" w:rsidRPr="00D53301">
        <w:t xml:space="preserve">rečias užduotis ir kontroliavo </w:t>
      </w:r>
      <w:r w:rsidR="00742D54" w:rsidRPr="00D53301">
        <w:t>jų vykdymą.</w:t>
      </w:r>
      <w:r w:rsidR="00225B8E" w:rsidRPr="00D53301">
        <w:t xml:space="preserve"> </w:t>
      </w:r>
      <w:r w:rsidR="00742D54" w:rsidRPr="00D53301">
        <w:t>Ats</w:t>
      </w:r>
      <w:r w:rsidR="00225B8E" w:rsidRPr="00D53301">
        <w:t>ižvelgiant į jo veiksmų apimtį</w:t>
      </w:r>
      <w:r w:rsidR="00742D54" w:rsidRPr="00D53301">
        <w:t xml:space="preserve"> ir dėl jo veiksmų kilusi</w:t>
      </w:r>
      <w:r w:rsidR="00B06A9A" w:rsidRPr="00D53301">
        <w:t>us padarinius</w:t>
      </w:r>
      <w:r w:rsidR="00742D54" w:rsidRPr="00D53301">
        <w:t xml:space="preserve">, jam skirtina artima sankcijoje numatytam vidurkiui laisvės atėmimo bausmė. Apeliantų vertinimu, aplinkybė, kad jam šiuo metu yra </w:t>
      </w:r>
      <w:r w:rsidR="00E420BD" w:rsidRPr="00D53301">
        <w:t>(duomenys neskelbtini)</w:t>
      </w:r>
      <w:r w:rsidR="00742D54" w:rsidRPr="00D53301">
        <w:t> met</w:t>
      </w:r>
      <w:r w:rsidR="00A27A1F" w:rsidRPr="00D53301">
        <w:t>ų</w:t>
      </w:r>
      <w:r w:rsidR="00742D54" w:rsidRPr="00D53301">
        <w:t xml:space="preserve">, įvertinus jo vaidmenį, negali būti pagrindu skiriant minimalias bausmes. Apeliantų teigimu, už BK 100 straipsnyje numatyto nusikaltimo padarymą </w:t>
      </w:r>
      <w:r w:rsidRPr="00D53301">
        <w:t>V. S. 1</w:t>
      </w:r>
      <w:r w:rsidR="00742D54" w:rsidRPr="00D53301">
        <w:t xml:space="preserve"> skirtini 11 metų, už BK 101 straipsnyje – 14 metų, už BK 103 straipsnio 1 dalyje – 6 metai ir 6 mėnesiai, už BK </w:t>
      </w:r>
      <w:r w:rsidR="00225B8E" w:rsidRPr="00D53301">
        <w:t>111 straipsnio 1 dalyje – 8 metai</w:t>
      </w:r>
      <w:r w:rsidR="00742D54" w:rsidRPr="00D53301">
        <w:t xml:space="preserve">, už BK 112 straipsnyje – 5 metai ir 6 mėnesiai laisvės atėmimo. Paskirtas bausmes prašoma subendrinti bausmių apėmimo būdu ir paskirti </w:t>
      </w:r>
      <w:r w:rsidRPr="00D53301">
        <w:t>V. S. 1</w:t>
      </w:r>
      <w:r w:rsidR="00742D54" w:rsidRPr="00D53301">
        <w:t xml:space="preserve"> galutinę bausmę – 14 metų laisvės atėmimą, bausmę atliekant pataisos namuose. </w:t>
      </w:r>
    </w:p>
    <w:p w:rsidR="00742D54" w:rsidRPr="00D53301" w:rsidRDefault="006036E7" w:rsidP="00321748">
      <w:pPr>
        <w:pStyle w:val="ListParagraph"/>
        <w:numPr>
          <w:ilvl w:val="2"/>
          <w:numId w:val="6"/>
        </w:numPr>
        <w:spacing w:before="120" w:after="120"/>
        <w:ind w:left="992" w:hanging="992"/>
        <w:contextualSpacing w:val="0"/>
      </w:pPr>
      <w:r w:rsidRPr="00D53301">
        <w:t>A. Ž.</w:t>
      </w:r>
      <w:r w:rsidR="00742D54" w:rsidRPr="00D53301">
        <w:t xml:space="preserve"> buvo vadovavimo karinei op</w:t>
      </w:r>
      <w:r w:rsidR="00930046" w:rsidRPr="00D53301">
        <w:t>eracijai štabo nar</w:t>
      </w:r>
      <w:r w:rsidR="000B7D08" w:rsidRPr="00D53301">
        <w:t>ys</w:t>
      </w:r>
      <w:r w:rsidR="00930046" w:rsidRPr="00D53301">
        <w:t>, TSRS VRM v</w:t>
      </w:r>
      <w:r w:rsidR="00742D54" w:rsidRPr="00D53301">
        <w:t>idaus kariuomenės 42-osios divizijos vad</w:t>
      </w:r>
      <w:r w:rsidR="000B7D08" w:rsidRPr="00D53301">
        <w:t>as</w:t>
      </w:r>
      <w:r w:rsidR="00742D54" w:rsidRPr="00D53301">
        <w:t>, kuris skirstė kariškius į objektus ir paskyrė atsakingus asmenis, konkretizavo užduotis, koordinavo ir vadovavo kariškių veiksmams užimant TV bokštą bei LRT ir pan. Atsižvelgiant į jo nusikalstamų veikų didelę apimtį ir dėl to kilusi</w:t>
      </w:r>
      <w:r w:rsidR="00B06A9A" w:rsidRPr="00D53301">
        <w:t>us</w:t>
      </w:r>
      <w:r w:rsidR="00742D54" w:rsidRPr="00D53301">
        <w:t xml:space="preserve"> pa</w:t>
      </w:r>
      <w:r w:rsidR="00B06A9A" w:rsidRPr="00D53301">
        <w:t>darinius</w:t>
      </w:r>
      <w:r w:rsidR="00742D54" w:rsidRPr="00D53301">
        <w:t xml:space="preserve">, jam skirtina artima sankcijoje numatytam vidurkiui laisvės atėmimo bausmė. Apeliantų vertinimu, aplinkybė, kad jam šiuo metu yra </w:t>
      </w:r>
      <w:r w:rsidR="00E420BD" w:rsidRPr="00D53301">
        <w:t>(duomenys neskelbtini)</w:t>
      </w:r>
      <w:r w:rsidR="00742D54" w:rsidRPr="00D53301">
        <w:t xml:space="preserve"> metai, įvertinus jo vaidmenį, negali būti pagrindu skiriant minimalias bausmes. Apeliantų teigimu, už BK 100 straipsnyje numatyto nusikaltimo padarymą </w:t>
      </w:r>
      <w:r w:rsidRPr="00D53301">
        <w:t>A. Ž.</w:t>
      </w:r>
      <w:r w:rsidR="00742D54" w:rsidRPr="00D53301">
        <w:t xml:space="preserve"> skirtini 11 metų, už BK 101 straipsnyje – 14 metų, už BK 103 straipsnio 1 dalyje – 6 metai ir 6 mėnesiai, už BK </w:t>
      </w:r>
      <w:r w:rsidR="00225B8E" w:rsidRPr="00D53301">
        <w:t>111 straipsnio 1 dalyje – 8 metai</w:t>
      </w:r>
      <w:r w:rsidR="00742D54" w:rsidRPr="00D53301">
        <w:t xml:space="preserve">, už BK 112 straipsnyje – 5 metai ir 6 mėnesiai laisvės atėmimo. Paskirtas bausmes prašoma subendrinti bausmių apėmimo būdu ir paskirti </w:t>
      </w:r>
      <w:r w:rsidRPr="00D53301">
        <w:t>A. Ž.</w:t>
      </w:r>
      <w:r w:rsidR="00742D54" w:rsidRPr="00D53301">
        <w:t xml:space="preserve"> galutinę bausmę –</w:t>
      </w:r>
      <w:r w:rsidR="001600E6" w:rsidRPr="00D53301">
        <w:t xml:space="preserve"> </w:t>
      </w:r>
      <w:r w:rsidR="00742D54" w:rsidRPr="00D53301">
        <w:t xml:space="preserve">14 metų laisvės atėmimą, bausmę atliekant pataisos namuose. </w:t>
      </w:r>
    </w:p>
    <w:p w:rsidR="00742D54" w:rsidRPr="00D53301" w:rsidRDefault="00A97F74" w:rsidP="00321748">
      <w:pPr>
        <w:pStyle w:val="ListParagraph"/>
        <w:numPr>
          <w:ilvl w:val="2"/>
          <w:numId w:val="6"/>
        </w:numPr>
        <w:spacing w:before="120" w:after="120"/>
        <w:ind w:left="992" w:hanging="992"/>
        <w:contextualSpacing w:val="0"/>
      </w:pPr>
      <w:r w:rsidRPr="00D53301">
        <w:t>S. F.</w:t>
      </w:r>
      <w:r w:rsidR="00742D54" w:rsidRPr="00D53301">
        <w:t xml:space="preserve"> buvo vadovavimo karinei operacijai štabo narys, jis konkretizavo kariuomenės rūšių užduotis ir veiksmus, paskyrė kariniams veiksmams vadovaujančius ir už veiksmų koordinavimą atsakingus karininkus, davė nurodymus dėl ginklų pagrobimo iš objekto, buvo karinės operacijos prie LRT koordinatorius ir vykdytojas, šaudė 7,62 mm šoviniais. </w:t>
      </w:r>
      <w:r w:rsidR="00742D54" w:rsidRPr="00D53301">
        <w:lastRenderedPageBreak/>
        <w:t xml:space="preserve">Atsižvelgiant į tokią </w:t>
      </w:r>
      <w:r w:rsidRPr="00D53301">
        <w:t>S. F.</w:t>
      </w:r>
      <w:r w:rsidR="00742D54" w:rsidRPr="00D53301">
        <w:t xml:space="preserve"> veiksmų apimtį ir pavojingumą, jam skirtina sankcijos vidurkiui artima laisvės atėmimo bausmė. Apeliantų teigimu, už BK 100 straipsnyje numatyto nusikaltimo padarymą </w:t>
      </w:r>
      <w:r w:rsidRPr="00D53301">
        <w:t>S. F.</w:t>
      </w:r>
      <w:r w:rsidR="00742D54" w:rsidRPr="00D53301">
        <w:t xml:space="preserve"> skirtini 11 metų, už BK 101 straipsnyje – 14</w:t>
      </w:r>
      <w:r w:rsidR="00B06A9A" w:rsidRPr="00D53301">
        <w:t> </w:t>
      </w:r>
      <w:r w:rsidR="00742D54" w:rsidRPr="00D53301">
        <w:t>metų, už BK 103</w:t>
      </w:r>
      <w:r w:rsidR="00E420BD" w:rsidRPr="00D53301">
        <w:t> </w:t>
      </w:r>
      <w:r w:rsidR="00742D54" w:rsidRPr="00D53301">
        <w:t>straipsnio 1 dalyje – 6 metai ir 6 mėnesiai, už BK </w:t>
      </w:r>
      <w:r w:rsidR="00225B8E" w:rsidRPr="00D53301">
        <w:t>111 straipsnio 1</w:t>
      </w:r>
      <w:r w:rsidR="00B06A9A" w:rsidRPr="00D53301">
        <w:t> </w:t>
      </w:r>
      <w:r w:rsidR="00225B8E" w:rsidRPr="00D53301">
        <w:t>dalyje – 8 metai</w:t>
      </w:r>
      <w:r w:rsidR="00742D54" w:rsidRPr="00D53301">
        <w:t xml:space="preserve">, už BK 112 straipsnyje – 5 metai ir 6 mėnesiai laisvės atėmimo. Paskirtas bausmes prašoma subendrinti bausmių apėmimo būdu ir paskirti </w:t>
      </w:r>
      <w:r w:rsidRPr="00D53301">
        <w:t>S. F.</w:t>
      </w:r>
      <w:r w:rsidR="00742D54" w:rsidRPr="00D53301">
        <w:t xml:space="preserve"> galutinę bausmę</w:t>
      </w:r>
      <w:r w:rsidR="008434B8" w:rsidRPr="00D53301">
        <w:t xml:space="preserve"> </w:t>
      </w:r>
      <w:r w:rsidR="00742D54" w:rsidRPr="00D53301">
        <w:t>–14 metų laisvės atėmimą, bausmę atliekant pataisos namuose.</w:t>
      </w:r>
    </w:p>
    <w:p w:rsidR="00742D54" w:rsidRPr="00D53301" w:rsidRDefault="00385BC9" w:rsidP="00321748">
      <w:pPr>
        <w:pStyle w:val="ListParagraph"/>
        <w:numPr>
          <w:ilvl w:val="2"/>
          <w:numId w:val="6"/>
        </w:numPr>
        <w:spacing w:before="120" w:after="120"/>
        <w:ind w:left="992" w:hanging="992"/>
        <w:contextualSpacing w:val="0"/>
      </w:pPr>
      <w:r w:rsidRPr="00D53301">
        <w:t>V. K. 1</w:t>
      </w:r>
      <w:r w:rsidR="00742D54" w:rsidRPr="00D53301">
        <w:t xml:space="preserve"> buvo vadovavimo karinei operacijai štabo narys, jis detalizavo karinės operacijos plano įgyvendinimą, numatė užgrobiamus objektus, konkretizavo kariuomenės rūšių užduotis ir veiksmus, paskyrė kariniams veiksmams vadovaujančius ir už veiksmų koordinavim</w:t>
      </w:r>
      <w:r w:rsidR="00225B8E" w:rsidRPr="00D53301">
        <w:t>ą atsakingus karininkus ir šovė</w:t>
      </w:r>
      <w:r w:rsidR="00742D54" w:rsidRPr="00D53301">
        <w:t xml:space="preserve"> į </w:t>
      </w:r>
      <w:r w:rsidR="00C507EF" w:rsidRPr="00D53301">
        <w:t>V. L.</w:t>
      </w:r>
      <w:r w:rsidR="00742D54" w:rsidRPr="00D53301">
        <w:t xml:space="preserve"> naudodamas tarptautinių sutarčių uždraustą karo priemonę</w:t>
      </w:r>
      <w:r w:rsidR="00225B8E" w:rsidRPr="00D53301">
        <w:t xml:space="preserve"> –</w:t>
      </w:r>
      <w:r w:rsidR="00742D54" w:rsidRPr="00D53301">
        <w:t xml:space="preserve"> 5,45 mm šovinį su išcentruota kulka. Atsižvelgiant į tokią jo veikų apimtį ir dėl to kilusius padarinius, </w:t>
      </w:r>
      <w:r w:rsidRPr="00D53301">
        <w:t>V. K. 1</w:t>
      </w:r>
      <w:r w:rsidR="00742D54" w:rsidRPr="00D53301">
        <w:t xml:space="preserve"> skirtina sankcijos vidurkį atit</w:t>
      </w:r>
      <w:r w:rsidR="00225B8E" w:rsidRPr="00D53301">
        <w:t>inkanti laisvės atėmimo bausmė.</w:t>
      </w:r>
      <w:r w:rsidR="00742D54" w:rsidRPr="00D53301">
        <w:t xml:space="preserve"> Apeliantų teigimu, už BK 100 straipsnyje numatyto nusikaltimo padarymą </w:t>
      </w:r>
      <w:r w:rsidRPr="00D53301">
        <w:t>V. K. 1</w:t>
      </w:r>
      <w:r w:rsidR="00E420BD" w:rsidRPr="00D53301">
        <w:t xml:space="preserve"> skirtini 12 metų ir 6 </w:t>
      </w:r>
      <w:r w:rsidR="00742D54" w:rsidRPr="00D53301">
        <w:t>mėnesiai, už BK 101 straipsnyje – 15 metų, už BK 103 str</w:t>
      </w:r>
      <w:r w:rsidR="00E420BD" w:rsidRPr="00D53301">
        <w:t>aipsnio 1 dalyje – 7 metai ir 6 </w:t>
      </w:r>
      <w:r w:rsidR="00742D54" w:rsidRPr="00D53301">
        <w:t>mėnesiai, už BK 111 straipsnio 1 dalyje – 10 metų, už BK</w:t>
      </w:r>
      <w:r w:rsidR="00E420BD" w:rsidRPr="00D53301">
        <w:t xml:space="preserve"> 112 straipsnyje – 6 metai ir 6 </w:t>
      </w:r>
      <w:r w:rsidR="00742D54" w:rsidRPr="00D53301">
        <w:t xml:space="preserve">mėnesiai laisvės atėmimo. Paskirtas bausmes prašoma subendrinti bausmių apėmimo būdu ir paskirti </w:t>
      </w:r>
      <w:r w:rsidRPr="00D53301">
        <w:t>V. K. 1</w:t>
      </w:r>
      <w:r w:rsidR="00742D54" w:rsidRPr="00D53301">
        <w:t xml:space="preserve"> galutinę bausmę</w:t>
      </w:r>
      <w:r w:rsidR="008434B8" w:rsidRPr="00D53301">
        <w:t xml:space="preserve"> </w:t>
      </w:r>
      <w:r w:rsidR="00742D54" w:rsidRPr="00D53301">
        <w:t xml:space="preserve">– 15 metų laisvės atėmimą, bausmę atliekant pataisos namuose. </w:t>
      </w:r>
    </w:p>
    <w:p w:rsidR="00742D54" w:rsidRPr="00D53301" w:rsidRDefault="00742D54" w:rsidP="00321748">
      <w:pPr>
        <w:pStyle w:val="ListParagraph"/>
        <w:numPr>
          <w:ilvl w:val="1"/>
          <w:numId w:val="6"/>
        </w:numPr>
        <w:spacing w:before="120" w:after="120"/>
        <w:ind w:left="992" w:hanging="992"/>
        <w:contextualSpacing w:val="0"/>
      </w:pPr>
      <w:r w:rsidRPr="00D53301">
        <w:t xml:space="preserve">Anot prokurorų, nuteistiesiems </w:t>
      </w:r>
      <w:r w:rsidR="006036E7" w:rsidRPr="00D53301">
        <w:t>R. J. 2</w:t>
      </w:r>
      <w:r w:rsidRPr="00D53301">
        <w:t xml:space="preserve">, </w:t>
      </w:r>
      <w:r w:rsidR="006036E7" w:rsidRPr="00D53301">
        <w:t>J. J.</w:t>
      </w:r>
      <w:r w:rsidRPr="00D53301">
        <w:t xml:space="preserve">, </w:t>
      </w:r>
      <w:r w:rsidR="006036E7" w:rsidRPr="00D53301">
        <w:t>A. F. 2</w:t>
      </w:r>
      <w:r w:rsidRPr="00D53301">
        <w:t xml:space="preserve">, </w:t>
      </w:r>
      <w:r w:rsidR="006036E7" w:rsidRPr="00D53301">
        <w:t>A. I.</w:t>
      </w:r>
      <w:r w:rsidRPr="00D53301">
        <w:t xml:space="preserve">, </w:t>
      </w:r>
      <w:r w:rsidR="006036E7" w:rsidRPr="00D53301">
        <w:t>A. C.</w:t>
      </w:r>
      <w:r w:rsidRPr="00D53301">
        <w:t xml:space="preserve">, </w:t>
      </w:r>
      <w:r w:rsidR="006036E7" w:rsidRPr="00D53301">
        <w:t>G. B.</w:t>
      </w:r>
      <w:r w:rsidRPr="00D53301">
        <w:t xml:space="preserve">, </w:t>
      </w:r>
      <w:r w:rsidR="00BA18FA" w:rsidRPr="00D53301">
        <w:t>G. I.</w:t>
      </w:r>
      <w:r w:rsidRPr="00D53301">
        <w:t xml:space="preserve">, </w:t>
      </w:r>
      <w:r w:rsidR="00BA18FA" w:rsidRPr="00D53301">
        <w:t>J. M.</w:t>
      </w:r>
      <w:r w:rsidRPr="00D53301">
        <w:t xml:space="preserve"> ir </w:t>
      </w:r>
      <w:r w:rsidR="00A97F74" w:rsidRPr="00D53301">
        <w:t>V. M.</w:t>
      </w:r>
      <w:r w:rsidRPr="00D53301">
        <w:t xml:space="preserve"> bausmė paskirta nenustačius jokių išimtinių aplinkybių, kurios sudarytų pagrindą jų atžvilgiu taikyti BK 54 straipsnio 3 dalies nuostatas. Apeliantų įsitikinimu, teismo sprendime nurodomos aplinkybės nėra išimtinės – jaunas amžius nusikaltimų padarymo metu, sveikatos būklė ir panašios aplinkybės negali nulemti švelnesnės bausmės paskyrimo, neatsižvelgiant į kitas svarbias aplinkybes. Prokurorai, vadovaudamiesi LAT praktika dėl BK 54 straipsni</w:t>
      </w:r>
      <w:r w:rsidR="00E420BD" w:rsidRPr="00D53301">
        <w:t>o 3 </w:t>
      </w:r>
      <w:r w:rsidRPr="00D53301">
        <w:t xml:space="preserve">dalies nuostatų taikymo, nurodo, kad šias nuostatas teismas taikė </w:t>
      </w:r>
      <w:r w:rsidR="00225B8E" w:rsidRPr="00D53301">
        <w:t>nemotyvuotai ir netinkamai. Nut</w:t>
      </w:r>
      <w:r w:rsidRPr="00D53301">
        <w:t>e</w:t>
      </w:r>
      <w:r w:rsidR="00225B8E" w:rsidRPr="00D53301">
        <w:t>i</w:t>
      </w:r>
      <w:r w:rsidRPr="00D53301">
        <w:t>stiesiems už toje pačioje vietoje ir tuo pačiu metu atliktus tokius pat veiksmus vienu atveju teismas paskyrė 10 metų laisvės atėmimo bausmę, o kitu – pr</w:t>
      </w:r>
      <w:r w:rsidR="00E420BD" w:rsidRPr="00D53301">
        <w:t>itaikė BK </w:t>
      </w:r>
      <w:r w:rsidRPr="00D53301">
        <w:t>54 straipsnio 3</w:t>
      </w:r>
      <w:r w:rsidR="00B06A9A" w:rsidRPr="00D53301">
        <w:t> </w:t>
      </w:r>
      <w:r w:rsidRPr="00D53301">
        <w:t>dalies nuostatas ir paskyrė švelnesnes laisvės atėmimo bausmes. Anot apeliantų, negalima sutikti su teismo išvada, jog skiriant bausmę atskiriems nuteistiesiems būtina atsižvelgti į laiką, praėjusį nuo veikų padarymo, nes tokio pobūdžio, apimties ir sudėtingumo byloje ilgesnė proceso trukmė nėra išimtinė aplinkybė, dėl kurios sankcijoje numatytų bausmių paskyrimas aiškiai prieštarautų teisingumo principui. Prokurorų manymu, atsižvelgiant į bylos apimtį, proceso dalyvių skaičių, BK 54 straipsnio 3 dalies nuostatų taikymas vadovaujantis vieninteliu kriterijumi – pernelyg ilga proceso trukme</w:t>
      </w:r>
      <w:r w:rsidR="00B06A9A" w:rsidRPr="00D53301">
        <w:t xml:space="preserve"> –</w:t>
      </w:r>
      <w:r w:rsidRPr="00D53301">
        <w:t xml:space="preserve"> kai kurių nuteistųjų atžvilgiu neatitinka teisingumo principo. </w:t>
      </w:r>
    </w:p>
    <w:p w:rsidR="00742D54" w:rsidRPr="00D53301" w:rsidRDefault="00742D54" w:rsidP="00321748">
      <w:pPr>
        <w:pStyle w:val="ListParagraph"/>
        <w:numPr>
          <w:ilvl w:val="2"/>
          <w:numId w:val="6"/>
        </w:numPr>
        <w:spacing w:before="120" w:after="120"/>
        <w:ind w:left="992" w:hanging="992"/>
        <w:contextualSpacing w:val="0"/>
      </w:pPr>
      <w:r w:rsidRPr="00D53301">
        <w:t xml:space="preserve">Apeliantų įsitikinimu, </w:t>
      </w:r>
      <w:r w:rsidR="006036E7" w:rsidRPr="00D53301">
        <w:t>R. J. 2</w:t>
      </w:r>
      <w:r w:rsidRPr="00D53301">
        <w:t xml:space="preserve"> </w:t>
      </w:r>
      <w:r w:rsidR="00D94CA4" w:rsidRPr="00D53301">
        <w:t xml:space="preserve">atžvilgiu </w:t>
      </w:r>
      <w:r w:rsidRPr="00D53301">
        <w:t>BK 54 s</w:t>
      </w:r>
      <w:r w:rsidR="00E061CA" w:rsidRPr="00D53301">
        <w:t>traipsnio 3 dalies nuostatos BK </w:t>
      </w:r>
      <w:r w:rsidRPr="00D53301">
        <w:t>101</w:t>
      </w:r>
      <w:r w:rsidR="00D94CA4" w:rsidRPr="00D53301">
        <w:t> </w:t>
      </w:r>
      <w:r w:rsidRPr="00D53301">
        <w:t>straipsnio 1 dalyje numatyt</w:t>
      </w:r>
      <w:r w:rsidR="00D94CA4" w:rsidRPr="00D53301">
        <w:t>am</w:t>
      </w:r>
      <w:r w:rsidRPr="00D53301">
        <w:t xml:space="preserve"> nusikaltim</w:t>
      </w:r>
      <w:r w:rsidR="00D94CA4" w:rsidRPr="00D53301">
        <w:t>ui</w:t>
      </w:r>
      <w:r w:rsidRPr="00D53301">
        <w:t xml:space="preserve"> pritaikytos vadovaujantis tik tuo, kad įvykių metu jis buvo </w:t>
      </w:r>
      <w:r w:rsidR="00E420BD" w:rsidRPr="00D53301">
        <w:t>(duomenys neskelbtini)</w:t>
      </w:r>
      <w:r w:rsidRPr="00D53301">
        <w:t> metų amžiaus. Tačiau teismas neįvertino nukentėjusiojo G.</w:t>
      </w:r>
      <w:r w:rsidR="00D94CA4" w:rsidRPr="00D53301">
        <w:t> </w:t>
      </w:r>
      <w:r w:rsidRPr="00D53301">
        <w:t>S</w:t>
      </w:r>
      <w:r w:rsidR="00E420BD" w:rsidRPr="00D53301">
        <w:t>.</w:t>
      </w:r>
      <w:r w:rsidRPr="00D53301">
        <w:t xml:space="preserve"> parodymų, kad</w:t>
      </w:r>
      <w:r w:rsidR="00D94CA4" w:rsidRPr="00D53301">
        <w:t>,</w:t>
      </w:r>
      <w:r w:rsidRPr="00D53301">
        <w:t xml:space="preserve"> jam esant darbo vietoje LRT pastate, įsiveržę kariškiai išdaužė duris, jį spardė kojomis, daužė automato buožėmis, dėl </w:t>
      </w:r>
      <w:r w:rsidR="00D94CA4" w:rsidRPr="00D53301">
        <w:t>t</w:t>
      </w:r>
      <w:r w:rsidRPr="00D53301">
        <w:t xml:space="preserve">o jam buvo padaryti kūno sužalojimai. Nustatyta, kad būtent </w:t>
      </w:r>
      <w:r w:rsidR="006036E7" w:rsidRPr="00D53301">
        <w:t>R. J. 2</w:t>
      </w:r>
      <w:r w:rsidRPr="00D53301">
        <w:t xml:space="preserve"> vadovaujami kariškiai blokavo sargybos patalpas ir ten sužeidė nukentėjusįjį. Atsižvelgiant į šias aplinkybes bei nuteistojo atsakomybę sunkinančių aplinkybių buvimą, nebuvo pagrindo </w:t>
      </w:r>
      <w:r w:rsidR="006036E7" w:rsidRPr="00D53301">
        <w:t>R. J. 2</w:t>
      </w:r>
      <w:r w:rsidRPr="00D53301">
        <w:t xml:space="preserve"> skirti švelnesnės negu BK 101 straipsnio 1 dal</w:t>
      </w:r>
      <w:r w:rsidR="002A32F5" w:rsidRPr="00D53301">
        <w:t>ies</w:t>
      </w:r>
      <w:r w:rsidRPr="00D53301">
        <w:t xml:space="preserve"> sankcijoje numatytos, t.</w:t>
      </w:r>
      <w:r w:rsidR="00D94CA4" w:rsidRPr="00D53301">
        <w:t> </w:t>
      </w:r>
      <w:r w:rsidRPr="00D53301">
        <w:t xml:space="preserve">y. 10 metų, laisvės atėmimo bausmės. Už kitų nusikaltimų padarymą teismo paskirtas bausmes skundu prašoma palikti nepakeistas bei visas bausmes </w:t>
      </w:r>
      <w:r w:rsidRPr="00D53301">
        <w:lastRenderedPageBreak/>
        <w:t xml:space="preserve">subendrinti apėmimo būdu ir paskirti </w:t>
      </w:r>
      <w:r w:rsidR="006036E7" w:rsidRPr="00D53301">
        <w:t>R. J. 2</w:t>
      </w:r>
      <w:r w:rsidRPr="00D53301">
        <w:t xml:space="preserve"> galutinę bausmę – 10 metų laisvės atėmimą, bausmę atliekant pataisos namuose.</w:t>
      </w:r>
    </w:p>
    <w:p w:rsidR="00742D54" w:rsidRPr="00D53301" w:rsidRDefault="00742D54" w:rsidP="00321748">
      <w:pPr>
        <w:pStyle w:val="ListParagraph"/>
        <w:numPr>
          <w:ilvl w:val="2"/>
          <w:numId w:val="6"/>
        </w:numPr>
        <w:spacing w:before="120" w:after="120"/>
        <w:ind w:left="992" w:hanging="992"/>
        <w:contextualSpacing w:val="0"/>
      </w:pPr>
      <w:r w:rsidRPr="00D53301">
        <w:t>Skir</w:t>
      </w:r>
      <w:r w:rsidR="00D94CA4" w:rsidRPr="00D53301">
        <w:t>damas</w:t>
      </w:r>
      <w:r w:rsidRPr="00D53301">
        <w:t xml:space="preserve"> bausmę nuteistajam </w:t>
      </w:r>
      <w:r w:rsidR="006036E7" w:rsidRPr="00D53301">
        <w:t>J. J.</w:t>
      </w:r>
      <w:r w:rsidRPr="00D53301">
        <w:t xml:space="preserve"> pagal BK 101 straipsnio 1 dalį, teismas nepagrįstai taikė BK 54 straipsnio 3 dalies nuostatas</w:t>
      </w:r>
      <w:r w:rsidR="00D94CA4" w:rsidRPr="00D53301">
        <w:t>,</w:t>
      </w:r>
      <w:r w:rsidRPr="00D53301">
        <w:t xml:space="preserve"> vadovau</w:t>
      </w:r>
      <w:r w:rsidR="00D94CA4" w:rsidRPr="00D53301">
        <w:t>damasis</w:t>
      </w:r>
      <w:r w:rsidRPr="00D53301">
        <w:t xml:space="preserve"> tik tuo, kad įvykių metu jis buvo </w:t>
      </w:r>
      <w:r w:rsidR="00E420BD" w:rsidRPr="00D53301">
        <w:t>(duomenys neskelbtini)</w:t>
      </w:r>
      <w:r w:rsidRPr="00D53301">
        <w:t xml:space="preserve"> metų amžiaus. Teismas pripažino, kad jis vadovavo karinei operacijai užgrobiant LRT, atakos metu jėga brovėsi pro žmones, be to, nustatytos net 3 jo atsakomybę sunkinančios aplinkybės, todėl BK 54 straipsnio 3 dalies nuostatos jo atžvilgiu negali būti taikomos ir jam skirtina BK 101 straipsnio 1 dalies sankcijoje numatyta minimali 10 metų laisvės atėmimo bausmė. Už kitų nusikaltimų padarymą teismo paskirtas bausmes skundu prašoma palikti nepakeistas bei visas bausmes subendrinti apėmimo būdu ir paskirti </w:t>
      </w:r>
      <w:r w:rsidR="006036E7" w:rsidRPr="00D53301">
        <w:t>J. J.</w:t>
      </w:r>
      <w:r w:rsidRPr="00D53301">
        <w:t xml:space="preserve"> galutinę bausmę </w:t>
      </w:r>
      <w:r w:rsidR="00225B8E" w:rsidRPr="00D53301">
        <w:t xml:space="preserve">– </w:t>
      </w:r>
      <w:r w:rsidRPr="00D53301">
        <w:t xml:space="preserve">10 metų laisvės atėmimą, bausmę atliekant pataisos </w:t>
      </w:r>
      <w:r w:rsidR="002C298B" w:rsidRPr="00D53301">
        <w:t>namuose.</w:t>
      </w:r>
    </w:p>
    <w:p w:rsidR="00742D54" w:rsidRPr="00D53301" w:rsidRDefault="002C298B" w:rsidP="00321748">
      <w:pPr>
        <w:pStyle w:val="ListParagraph"/>
        <w:numPr>
          <w:ilvl w:val="2"/>
          <w:numId w:val="6"/>
        </w:numPr>
        <w:spacing w:before="120" w:after="120"/>
        <w:ind w:left="992" w:hanging="992"/>
        <w:contextualSpacing w:val="0"/>
      </w:pPr>
      <w:r w:rsidRPr="00D53301">
        <w:t xml:space="preserve">Skirdamas bausmę nuteistajam </w:t>
      </w:r>
      <w:r w:rsidR="006036E7" w:rsidRPr="00D53301">
        <w:t>A. F. 2</w:t>
      </w:r>
      <w:r w:rsidRPr="00D53301">
        <w:t xml:space="preserve"> pagal BK 101 straipsnio 1 dalį, teismas nepagrįstai taikė BK 54 straipsnio 3 dalies nuostatas, vadovaudamasis tik tuo, kad įvykių metu jis buvo </w:t>
      </w:r>
      <w:r w:rsidR="00E420BD" w:rsidRPr="00D53301">
        <w:t>(duomenys neskelbtini)</w:t>
      </w:r>
      <w:r w:rsidRPr="00D53301">
        <w:t xml:space="preserve"> metų amžiaus. Teismas pripažino, kad </w:t>
      </w:r>
      <w:r w:rsidR="006036E7" w:rsidRPr="00D53301">
        <w:t>A. F. 2</w:t>
      </w:r>
      <w:r w:rsidRPr="00D53301">
        <w:t xml:space="preserve"> vadovavo LRT pastate dirbusių ir pastatą gynusių civilių puolimui, mėtė sprogmenis, </w:t>
      </w:r>
      <w:r w:rsidR="000B7D08" w:rsidRPr="00D53301">
        <w:t xml:space="preserve">taip pat </w:t>
      </w:r>
      <w:r w:rsidRPr="00D53301">
        <w:t xml:space="preserve">nustatytos net 3 jo atsakomybę sunkinančios aplinkybės, todėl BK 54 straipsnio 3 dalies nuostatos jo atžvilgiu negalėjo būti taikomos ir jam skirtina BK 101 straipsnio 1 dalies sankcijoje numatyta minimali 10 metų laisvės atėmimo bausmė. Už kitų nusikaltimų padarymą teismo paskirtas bausmes skundu prašoma palikti nepakeistas bei visas bausmes subendrinti apėmimo būdu ir paskirti </w:t>
      </w:r>
      <w:r w:rsidR="006036E7" w:rsidRPr="00D53301">
        <w:t>A. F. 2</w:t>
      </w:r>
      <w:r w:rsidRPr="00D53301">
        <w:t xml:space="preserve"> galutinę bausmę – 10 metų laisvės atėmimą, bausmę atliekant pataisos namuose.</w:t>
      </w:r>
    </w:p>
    <w:p w:rsidR="00742D54" w:rsidRPr="00D53301" w:rsidRDefault="00742D54" w:rsidP="00321748">
      <w:pPr>
        <w:pStyle w:val="ListParagraph"/>
        <w:numPr>
          <w:ilvl w:val="2"/>
          <w:numId w:val="6"/>
        </w:numPr>
        <w:spacing w:before="120" w:after="120"/>
        <w:ind w:left="992" w:hanging="992"/>
        <w:contextualSpacing w:val="0"/>
      </w:pPr>
      <w:r w:rsidRPr="00D53301">
        <w:t>Skir</w:t>
      </w:r>
      <w:r w:rsidR="006F26AF" w:rsidRPr="00D53301">
        <w:t>damas</w:t>
      </w:r>
      <w:r w:rsidRPr="00D53301">
        <w:t xml:space="preserve"> bausmę </w:t>
      </w:r>
      <w:r w:rsidR="006036E7" w:rsidRPr="00D53301">
        <w:t>A. I.</w:t>
      </w:r>
      <w:r w:rsidRPr="00D53301">
        <w:t xml:space="preserve"> pagal BK 100 straipsnį, BK 101 straipsnio 1 dalį ir BK 111 straipsnį, teismas taip pat nepagrįstai taikė BK 54 straipsnio 3 dalies nuostatas. Teismas pripažino, kad </w:t>
      </w:r>
      <w:r w:rsidR="006036E7" w:rsidRPr="00D53301">
        <w:t>A. I.</w:t>
      </w:r>
      <w:r w:rsidR="00B86930" w:rsidRPr="00D53301">
        <w:t xml:space="preserve"> </w:t>
      </w:r>
      <w:r w:rsidRPr="00D53301">
        <w:t xml:space="preserve">vadovavo Spaudos rūmuose ir LRT pastate dirbusių ir pastatus gynusių civilių puolimui, be to, nustatytos 3 jo atsakomybę sunkinančios aplinkybės, todėl jam už minėtų nusikaltimų padarymą skirtinos artimos minimalioms arba minimalios sankcijoje numatytos laisvės atėmimo bausmės. Už BK 100 straipsnyje numatyto nusikaltimo padarymą </w:t>
      </w:r>
      <w:r w:rsidR="006036E7" w:rsidRPr="00D53301">
        <w:t>A. I.</w:t>
      </w:r>
      <w:r w:rsidR="00E420BD" w:rsidRPr="00D53301">
        <w:t xml:space="preserve"> skirtini 5 </w:t>
      </w:r>
      <w:r w:rsidRPr="00D53301">
        <w:t xml:space="preserve">metai, už BK 101 straipsnyje – 10 metų, o už BK 111 straipsnio 1 dalyje – 5 metai laisvės atėmimo. Už kitų nusikaltimų padarymą teismo paskirtas bausmes skundu prašoma palikti nepakeistas bei visas bausmes subendrinti apėmimo būdu ir paskirti </w:t>
      </w:r>
      <w:r w:rsidR="006036E7" w:rsidRPr="00D53301">
        <w:t>A. I.</w:t>
      </w:r>
      <w:r w:rsidRPr="00D53301">
        <w:t xml:space="preserve"> galutinę bausmę – 10 metų laisvės atėmimą, bausmę atliekant pataisos namuose. </w:t>
      </w:r>
    </w:p>
    <w:p w:rsidR="00742D54" w:rsidRPr="00D53301" w:rsidRDefault="00742D54" w:rsidP="00321748">
      <w:pPr>
        <w:pStyle w:val="ListParagraph"/>
        <w:numPr>
          <w:ilvl w:val="2"/>
          <w:numId w:val="6"/>
        </w:numPr>
        <w:spacing w:before="120" w:after="120"/>
        <w:ind w:left="992" w:hanging="992"/>
        <w:contextualSpacing w:val="0"/>
      </w:pPr>
      <w:r w:rsidRPr="00D53301">
        <w:t>Skir</w:t>
      </w:r>
      <w:r w:rsidR="006F26AF" w:rsidRPr="00D53301">
        <w:t>damas</w:t>
      </w:r>
      <w:r w:rsidRPr="00D53301">
        <w:t xml:space="preserve"> bausmę </w:t>
      </w:r>
      <w:r w:rsidR="006036E7" w:rsidRPr="00D53301">
        <w:t>A. C.</w:t>
      </w:r>
      <w:r w:rsidRPr="00D53301">
        <w:t xml:space="preserve"> pagal BK 100 straipsnį, BK 101 straipsnio 1 dalį ir BK 111 straipsnį, teismas taip pat nepagrįstai taikė BK 54 straipsnio 3 dalies nuostatas. Tai padaryta tik dėl to, kad įvykių metu </w:t>
      </w:r>
      <w:r w:rsidR="006036E7" w:rsidRPr="00D53301">
        <w:t>A. C.</w:t>
      </w:r>
      <w:r w:rsidRPr="00D53301">
        <w:t xml:space="preserve"> buvo </w:t>
      </w:r>
      <w:r w:rsidR="00E420BD" w:rsidRPr="00D53301">
        <w:t>(duomenys neskelbtini)</w:t>
      </w:r>
      <w:r w:rsidRPr="00D53301">
        <w:t xml:space="preserve"> metų amžiaus. Teismas pripažino, kad </w:t>
      </w:r>
      <w:r w:rsidR="006036E7" w:rsidRPr="00D53301">
        <w:t>A. C.</w:t>
      </w:r>
      <w:r w:rsidRPr="00D53301">
        <w:t xml:space="preserve"> vadovavo LRT pastato užgrobimui, išrikiavo priešais šį pastatą BMD ir į pastatą nukreipė pabūklus bei karinės technikos apšvietimo prietaisus. Nustatytos 3 jo atsakomybę sunkinančios aplinkybės, todėl </w:t>
      </w:r>
      <w:r w:rsidR="006036E7" w:rsidRPr="00D53301">
        <w:t>A. C.</w:t>
      </w:r>
      <w:r w:rsidRPr="00D53301">
        <w:t xml:space="preserve"> už minėtų nusikaltimų padarymą skirtinos artimos minimalioms arba minimalios sankcijoje numatytos laisvės atėmimo bausmės. Už BK 100 straipsnyje numatyto nusikaltimo padarymą </w:t>
      </w:r>
      <w:r w:rsidR="006036E7" w:rsidRPr="00D53301">
        <w:t>A. C.</w:t>
      </w:r>
      <w:r w:rsidRPr="00D53301">
        <w:t xml:space="preserve"> skirtini 5 metai, už BK 101 straipsnyje – 10 metų, o už BK 111 straipsnio 1 dalyje – 5 metai laisvės atėmimo. Už kitų nusikaltimų padarymą teismo paskirtas bausmes skundu prašoma palikti nepakeistas bei visas bausmes subendrinti apėmimo būdu ir paskirti </w:t>
      </w:r>
      <w:r w:rsidR="006036E7" w:rsidRPr="00D53301">
        <w:t>A. C.</w:t>
      </w:r>
      <w:r w:rsidRPr="00D53301">
        <w:t xml:space="preserve"> galutinę bausmę – 10</w:t>
      </w:r>
      <w:r w:rsidR="006F26AF" w:rsidRPr="00D53301">
        <w:t> </w:t>
      </w:r>
      <w:r w:rsidRPr="00D53301">
        <w:t xml:space="preserve">metų laisvės atėmimą, bausmę atliekant pataisos namuose. </w:t>
      </w:r>
    </w:p>
    <w:p w:rsidR="00742D54" w:rsidRPr="00D53301" w:rsidRDefault="00742D54" w:rsidP="00321748">
      <w:pPr>
        <w:pStyle w:val="ListParagraph"/>
        <w:numPr>
          <w:ilvl w:val="2"/>
          <w:numId w:val="6"/>
        </w:numPr>
        <w:spacing w:before="120" w:after="120"/>
        <w:ind w:left="992" w:hanging="992"/>
        <w:contextualSpacing w:val="0"/>
      </w:pPr>
      <w:r w:rsidRPr="00D53301">
        <w:t>Skir</w:t>
      </w:r>
      <w:r w:rsidR="006F26AF" w:rsidRPr="00D53301">
        <w:t>damas</w:t>
      </w:r>
      <w:r w:rsidRPr="00D53301">
        <w:t xml:space="preserve"> bausmę </w:t>
      </w:r>
      <w:r w:rsidR="006036E7" w:rsidRPr="00D53301">
        <w:t>G. B.</w:t>
      </w:r>
      <w:r w:rsidRPr="00D53301">
        <w:t xml:space="preserve"> pagal BK 100 straipsnį, BK 101 straipsnio 1 dalį ir BK 111 straipsnį, teismas taip pat nepagrįstai taikė BK 54 straipsnio 3 dalies nuostatas. Atsižvelgiant į tai, kad neteisėtai įvestos komendanto valandos metu </w:t>
      </w:r>
      <w:r w:rsidR="006036E7" w:rsidRPr="00D53301">
        <w:t>G. B.</w:t>
      </w:r>
      <w:r w:rsidRPr="00D53301">
        <w:t xml:space="preserve"> pavaldūs kariškiai </w:t>
      </w:r>
      <w:r w:rsidRPr="00D53301">
        <w:lastRenderedPageBreak/>
        <w:t xml:space="preserve">nužudė </w:t>
      </w:r>
      <w:r w:rsidR="004E4879" w:rsidRPr="00D53301">
        <w:t>J. T.</w:t>
      </w:r>
      <w:r w:rsidRPr="00D53301">
        <w:t xml:space="preserve">, sunkiai sužalojo </w:t>
      </w:r>
      <w:r w:rsidR="004E4879" w:rsidRPr="00D53301">
        <w:t>R. D.</w:t>
      </w:r>
      <w:r w:rsidRPr="00D53301">
        <w:t xml:space="preserve">, vykdė asmenų teisių suvaržymus, taip pat į 3 jo atsakomybę sunkinančias aplinkybes, nuteistajam už minėtų nusikaltimų padarymą skirtinos sankcijoje numatytos laisvės atėmimo bausmės. Už BK 100 straipsnyje numatyto nusikaltimo padarymą </w:t>
      </w:r>
      <w:r w:rsidR="006036E7" w:rsidRPr="00D53301">
        <w:t>G. B.</w:t>
      </w:r>
      <w:r w:rsidRPr="00D53301">
        <w:t xml:space="preserve"> skirtini 11 metų, už BK 101 straipsnyje – 14 metų, o už BK 111 straipsnio 1 dalyje – 6 metai laisvės atėmimo. Už kitų nusikaltimų padarymą paskirtas bausmes skundu prašoma palikti nepakeistas bei visas bausmes subendrinti apėmimo būdu ir paskirti </w:t>
      </w:r>
      <w:r w:rsidR="006036E7" w:rsidRPr="00D53301">
        <w:t>G. B.</w:t>
      </w:r>
      <w:r w:rsidRPr="00D53301">
        <w:t xml:space="preserve"> galutinę bausmę – 14 metų laisvės atėmimą, bausmę atliekant pataisos namuose. </w:t>
      </w:r>
    </w:p>
    <w:p w:rsidR="00742D54" w:rsidRPr="00D53301" w:rsidRDefault="00742D54" w:rsidP="00321748">
      <w:pPr>
        <w:pStyle w:val="ListParagraph"/>
        <w:numPr>
          <w:ilvl w:val="2"/>
          <w:numId w:val="6"/>
        </w:numPr>
        <w:spacing w:before="120" w:after="120"/>
        <w:ind w:left="992" w:hanging="992"/>
        <w:contextualSpacing w:val="0"/>
      </w:pPr>
      <w:r w:rsidRPr="00D53301">
        <w:t>Skir</w:t>
      </w:r>
      <w:r w:rsidR="00BF3718" w:rsidRPr="00D53301">
        <w:t>damas</w:t>
      </w:r>
      <w:r w:rsidRPr="00D53301">
        <w:t xml:space="preserve"> bausmę </w:t>
      </w:r>
      <w:r w:rsidR="00BA18FA" w:rsidRPr="00D53301">
        <w:t>G. I.</w:t>
      </w:r>
      <w:r w:rsidRPr="00D53301">
        <w:t xml:space="preserve"> pagal BK 100 straipsnį, BK 101 straipsnio 1 dalį ir BK 111 straipsnį, teismas taip pat nepagrįstai taikė BK 54 straipsnio 3 dalies nuostatas. Teismas pripažino, kad </w:t>
      </w:r>
      <w:r w:rsidR="00BA18FA" w:rsidRPr="00D53301">
        <w:t>G. I.</w:t>
      </w:r>
      <w:r w:rsidRPr="00D53301">
        <w:t xml:space="preserve"> vadovavo tankų pulko jungtiniams ekipažams Spaudos rūmų užgrobimo metu, kad nustatytos 3 jo atsakomybę sunkinančios aplinkybės, jam už minėtų nusikaltimų padarymą skirtinos artimos minimalioms arba minimalios sankcijoje numatytos laisvės atėmimo bausmės. Už BK 100 straipsnyje n</w:t>
      </w:r>
      <w:r w:rsidR="004415EE" w:rsidRPr="00D53301">
        <w:t xml:space="preserve">umatyto nusikaltimo padarymą </w:t>
      </w:r>
      <w:r w:rsidR="00BA18FA" w:rsidRPr="00D53301">
        <w:t>G. I.</w:t>
      </w:r>
      <w:r w:rsidRPr="00D53301">
        <w:t xml:space="preserve"> skirtini 5 metai, už BK 101 straipsnyje – 10</w:t>
      </w:r>
      <w:r w:rsidR="004415EE" w:rsidRPr="00D53301">
        <w:t> metų, o už BK 111 straipsnio 1 </w:t>
      </w:r>
      <w:r w:rsidRPr="00D53301">
        <w:t xml:space="preserve">dalyje – 5 metai laisvės atėmimo. Už kitų nusikaltimų padarymą teismo paskirtas bausmes prašoma palikti nepakeistas bei visas bausmes subendrinti apėmimo būdu ir paskirti </w:t>
      </w:r>
      <w:r w:rsidR="00BA18FA" w:rsidRPr="00D53301">
        <w:t>G. I.</w:t>
      </w:r>
      <w:r w:rsidRPr="00D53301">
        <w:t xml:space="preserve"> galutinę bausmę – 10 metų laisvės atėmimą, bausmę atliekant pataisos namuose. </w:t>
      </w:r>
    </w:p>
    <w:p w:rsidR="00742D54" w:rsidRPr="00D53301" w:rsidRDefault="00742D54" w:rsidP="00321748">
      <w:pPr>
        <w:pStyle w:val="ListParagraph"/>
        <w:numPr>
          <w:ilvl w:val="2"/>
          <w:numId w:val="6"/>
        </w:numPr>
        <w:spacing w:before="120" w:after="120"/>
        <w:ind w:left="992" w:hanging="992"/>
        <w:contextualSpacing w:val="0"/>
      </w:pPr>
      <w:r w:rsidRPr="00D53301">
        <w:t>Skir</w:t>
      </w:r>
      <w:r w:rsidR="00BF3718" w:rsidRPr="00D53301">
        <w:t>damas</w:t>
      </w:r>
      <w:r w:rsidRPr="00D53301">
        <w:t xml:space="preserve"> bausmę nuteistajam </w:t>
      </w:r>
      <w:r w:rsidR="00A97F74" w:rsidRPr="00D53301">
        <w:t>V. M.</w:t>
      </w:r>
      <w:r w:rsidRPr="00D53301">
        <w:t xml:space="preserve"> pagal BK 101 straipsnio 1 dalį, teismas nepagrįstai taikė BK 54 straipsnio 3 dalies nuostatas</w:t>
      </w:r>
      <w:r w:rsidR="00225B8E" w:rsidRPr="00D53301">
        <w:t>,</w:t>
      </w:r>
      <w:r w:rsidRPr="00D53301">
        <w:t xml:space="preserve"> vadovau</w:t>
      </w:r>
      <w:r w:rsidR="00BF3718" w:rsidRPr="00D53301">
        <w:t>damasis</w:t>
      </w:r>
      <w:r w:rsidRPr="00D53301">
        <w:t xml:space="preserve"> tik tuo, kad įvykių metu jis buvo </w:t>
      </w:r>
      <w:r w:rsidR="00025AB4" w:rsidRPr="00D53301">
        <w:t>(duomenys neskelbtini)</w:t>
      </w:r>
      <w:r w:rsidRPr="00D53301">
        <w:t xml:space="preserve"> metų amžiaus. Teismas pripažino, kad </w:t>
      </w:r>
      <w:r w:rsidR="00A97F74" w:rsidRPr="00D53301">
        <w:t>V. M.</w:t>
      </w:r>
      <w:r w:rsidRPr="00D53301">
        <w:t xml:space="preserve"> dalyvavo </w:t>
      </w:r>
      <w:r w:rsidR="00BF3718" w:rsidRPr="00D53301">
        <w:t xml:space="preserve">puolant </w:t>
      </w:r>
      <w:r w:rsidRPr="00D53301">
        <w:t>LRT pastate dirbusi</w:t>
      </w:r>
      <w:r w:rsidR="00BF3718" w:rsidRPr="00D53301">
        <w:t>us</w:t>
      </w:r>
      <w:r w:rsidRPr="00D53301">
        <w:t xml:space="preserve"> ir pastatą gynusi</w:t>
      </w:r>
      <w:r w:rsidR="00BF3718" w:rsidRPr="00D53301">
        <w:t>us</w:t>
      </w:r>
      <w:r w:rsidRPr="00D53301">
        <w:t xml:space="preserve"> civili</w:t>
      </w:r>
      <w:r w:rsidR="00BF3718" w:rsidRPr="00D53301">
        <w:t>us</w:t>
      </w:r>
      <w:r w:rsidRPr="00D53301">
        <w:t xml:space="preserve">, padėjo desantininkams užimti pastatą, </w:t>
      </w:r>
      <w:r w:rsidR="00B86930" w:rsidRPr="00D53301">
        <w:t>kad</w:t>
      </w:r>
      <w:r w:rsidRPr="00D53301">
        <w:t xml:space="preserve"> nustatytos net 3 jo atsakomybę sunkinančios aplinkybės, BK 54 straipsnio 3 dalies nuostatos jo atžvilgiu negali būti taikomos ir jam skirtina BK 101 straipsnio 1 dalies sankcijoje numatyta minimali 10 metų laisvės atėmimo bausmė. Už kitų nusikaltimų padarymą teismo paskirtas bausmes skundu prašoma palikti nepakeistas bei visas bausmes subendrinti apėmimo būdu ir paskirti </w:t>
      </w:r>
      <w:r w:rsidR="00A97F74" w:rsidRPr="00D53301">
        <w:t>V. M.</w:t>
      </w:r>
      <w:r w:rsidRPr="00D53301">
        <w:t xml:space="preserve"> galutinę bausmę – 10 metų laisvės atėmimą, bausmę atliekant pataisos namuose.</w:t>
      </w:r>
    </w:p>
    <w:p w:rsidR="00742D54" w:rsidRPr="00D53301" w:rsidRDefault="00742D54" w:rsidP="00321748">
      <w:pPr>
        <w:pStyle w:val="ListParagraph"/>
        <w:numPr>
          <w:ilvl w:val="2"/>
          <w:numId w:val="6"/>
        </w:numPr>
        <w:spacing w:before="120" w:after="120"/>
        <w:ind w:left="992" w:hanging="992"/>
        <w:contextualSpacing w:val="0"/>
      </w:pPr>
      <w:r w:rsidRPr="00D53301">
        <w:t>Skir</w:t>
      </w:r>
      <w:r w:rsidR="00BF3718" w:rsidRPr="00D53301">
        <w:t>damas</w:t>
      </w:r>
      <w:r w:rsidRPr="00D53301">
        <w:t xml:space="preserve"> bausmę nuteistajam </w:t>
      </w:r>
      <w:r w:rsidR="00BA18FA" w:rsidRPr="00D53301">
        <w:t>J. M.</w:t>
      </w:r>
      <w:r w:rsidRPr="00D53301">
        <w:t xml:space="preserve"> pagal BK 101 straipsnio 1 dalį, teismas nepagrįstai taikė BK 54 straipsnio 3 dalies nuostatas</w:t>
      </w:r>
      <w:r w:rsidR="00225B8E" w:rsidRPr="00D53301">
        <w:t>,</w:t>
      </w:r>
      <w:r w:rsidRPr="00D53301">
        <w:t xml:space="preserve"> vadovau</w:t>
      </w:r>
      <w:r w:rsidR="00BF3718" w:rsidRPr="00D53301">
        <w:t>damasis</w:t>
      </w:r>
      <w:r w:rsidRPr="00D53301">
        <w:t xml:space="preserve"> tuo, kad įvykių metu jis buvo </w:t>
      </w:r>
      <w:r w:rsidR="00E420BD" w:rsidRPr="00D53301">
        <w:t>(duomenys neskelbtini)</w:t>
      </w:r>
      <w:r w:rsidRPr="00D53301">
        <w:t> metų amžiaus, kad jis yra vieninteli</w:t>
      </w:r>
      <w:r w:rsidR="00BF3718" w:rsidRPr="00D53301">
        <w:t>s</w:t>
      </w:r>
      <w:r w:rsidRPr="00D53301">
        <w:t xml:space="preserve"> kaltinam</w:t>
      </w:r>
      <w:r w:rsidR="00BF3718" w:rsidRPr="00D53301">
        <w:t>asis</w:t>
      </w:r>
      <w:r w:rsidRPr="00D53301">
        <w:t xml:space="preserve">, kuris ilgai buvo suimtas ir faktiškai atlieka bausmę. Prokurorų manymu, šios aplinkybės nėra išimtinės. Nuteistasis </w:t>
      </w:r>
      <w:r w:rsidR="00BA18FA" w:rsidRPr="00D53301">
        <w:t>J. M.</w:t>
      </w:r>
      <w:r w:rsidR="00BF3718" w:rsidRPr="00D53301">
        <w:t>,</w:t>
      </w:r>
      <w:r w:rsidRPr="00D53301">
        <w:t xml:space="preserve"> būdamas tanko Nr. 544 vadu, šaudė išmušamaisiais tankų užtaisais, n</w:t>
      </w:r>
      <w:r w:rsidR="00225B8E" w:rsidRPr="00D53301">
        <w:t>uo kurių nukentėjusieji prie TV </w:t>
      </w:r>
      <w:r w:rsidRPr="00D53301">
        <w:t>bokšto patyrė akustines traumas, tarp jų ir sunkius kūno sužalojimus, todėl jam skirtina artima minimaliai arba minimali laisvės atėmimo bausmė. Be to, net ir pripažinus, kad liga, kuria serga nuteistasis, yra nepagydoma, tai būtų pagrindu nebent jį atleisti nuo bausmės BK 76 straipsnio pagrindu, o ne taikyti BK 54 straipsnio 3 dalies nuostatas. Visgi, anot prokurorų, BK 76 straipsnio taikymo sąlygos nenustatytos, to</w:t>
      </w:r>
      <w:r w:rsidR="00225B8E" w:rsidRPr="00D53301">
        <w:t xml:space="preserve">dėl nuosprendis keistinas ir </w:t>
      </w:r>
      <w:r w:rsidR="00BA18FA" w:rsidRPr="00D53301">
        <w:t>J. M.</w:t>
      </w:r>
      <w:r w:rsidRPr="00D53301">
        <w:t xml:space="preserve"> už BK 101 straipsnyje numatyto nusikaltimo padarymą skirtina 10 metų laisvės atėmimo bausmė. Už kitų nusikaltimų padarymą teismo paskirtas bausmes prašoma palikti nepakeistas bei visas bausmes subendrinti apėmimo būdu ir paskirti </w:t>
      </w:r>
      <w:r w:rsidR="00BA18FA" w:rsidRPr="00D53301">
        <w:t>J. M.</w:t>
      </w:r>
      <w:r w:rsidRPr="00D53301">
        <w:t xml:space="preserve"> galutinę bausmę </w:t>
      </w:r>
      <w:r w:rsidR="00BF3718" w:rsidRPr="00D53301">
        <w:t xml:space="preserve">– </w:t>
      </w:r>
      <w:r w:rsidRPr="00D53301">
        <w:t>10 metų laisvės atėmimą, bausmę atliekant pataisos namuose.</w:t>
      </w:r>
      <w:r w:rsidR="00E420BD" w:rsidRPr="00D53301">
        <w:t xml:space="preserve"> </w:t>
      </w:r>
    </w:p>
    <w:p w:rsidR="00742D54" w:rsidRPr="00C00255" w:rsidRDefault="00742D54" w:rsidP="003D0CA0">
      <w:pPr>
        <w:pStyle w:val="Heading3"/>
        <w:spacing w:before="120" w:after="120"/>
        <w:ind w:firstLine="992"/>
        <w:jc w:val="both"/>
        <w:rPr>
          <w:b w:val="0"/>
          <w:i/>
          <w:sz w:val="24"/>
          <w:lang w:val="lt-LT"/>
        </w:rPr>
      </w:pPr>
      <w:bookmarkStart w:id="212" w:name="_Toc67677376"/>
      <w:bookmarkStart w:id="213" w:name="_Toc67985503"/>
      <w:r w:rsidRPr="00C00255">
        <w:rPr>
          <w:b w:val="0"/>
          <w:i/>
          <w:sz w:val="24"/>
          <w:lang w:val="lt-LT"/>
        </w:rPr>
        <w:t>Dėl civilinių ieškinių ir kitų klausimų</w:t>
      </w:r>
      <w:bookmarkEnd w:id="212"/>
      <w:bookmarkEnd w:id="213"/>
    </w:p>
    <w:p w:rsidR="00742D54" w:rsidRPr="00D53301" w:rsidRDefault="00742D54" w:rsidP="00321748">
      <w:pPr>
        <w:pStyle w:val="ListParagraph"/>
        <w:numPr>
          <w:ilvl w:val="1"/>
          <w:numId w:val="6"/>
        </w:numPr>
        <w:spacing w:before="120" w:after="120"/>
        <w:ind w:left="992" w:hanging="992"/>
        <w:contextualSpacing w:val="0"/>
      </w:pPr>
      <w:r w:rsidRPr="00D53301">
        <w:t>Apeliaciniame skunde nurodoma, kad teismo sprendimas Generalinės prokuratūros civilinį ieškinį dėl 11 365 460,07 E</w:t>
      </w:r>
      <w:r w:rsidR="00BB7F8D" w:rsidRPr="00D53301">
        <w:t>ur</w:t>
      </w:r>
      <w:r w:rsidRPr="00D53301">
        <w:t xml:space="preserve"> dydžio turtinės žalos atlyginimo Lietuvos valstybei palikti nenagrinėtą yra visiškai nepagrįstas. Teismas nepagrįstai nurodė, kad civilinio ieškinio klausimas negali būti sprendžiamas šioje byloje, nes kaltinimai dėl turto sunaikinimo ir</w:t>
      </w:r>
      <w:r w:rsidR="00BF3718" w:rsidRPr="00D53301">
        <w:t xml:space="preserve"> (</w:t>
      </w:r>
      <w:r w:rsidRPr="00D53301">
        <w:t>ar</w:t>
      </w:r>
      <w:r w:rsidR="00BF3718" w:rsidRPr="00D53301">
        <w:t>)</w:t>
      </w:r>
      <w:r w:rsidRPr="00D53301">
        <w:t xml:space="preserve"> </w:t>
      </w:r>
      <w:r w:rsidRPr="00D53301">
        <w:lastRenderedPageBreak/>
        <w:t xml:space="preserve">sugadinimo ir </w:t>
      </w:r>
      <w:r w:rsidR="00B86930" w:rsidRPr="00D53301">
        <w:t>(</w:t>
      </w:r>
      <w:r w:rsidRPr="00D53301">
        <w:t>ar</w:t>
      </w:r>
      <w:r w:rsidR="00B86930" w:rsidRPr="00D53301">
        <w:t>)</w:t>
      </w:r>
      <w:r w:rsidRPr="00D53301">
        <w:t xml:space="preserve"> turto iš užgrobtų patalpų pagrobimo kaltinamiesiems nebuvo pareikšti, kad už tokią žalą yra atsakinga TSRS teisių perėmėja Rusijos Federacija, todėl </w:t>
      </w:r>
      <w:r w:rsidR="00BF3718" w:rsidRPr="00D53301">
        <w:t>Lietuvai</w:t>
      </w:r>
      <w:r w:rsidR="00BF3718" w:rsidRPr="00D53301" w:rsidDel="00BF3718">
        <w:t xml:space="preserve"> </w:t>
      </w:r>
      <w:r w:rsidRPr="00D53301">
        <w:t xml:space="preserve">padarytos </w:t>
      </w:r>
      <w:r w:rsidR="00BF3718" w:rsidRPr="00D53301">
        <w:t xml:space="preserve">žalos </w:t>
      </w:r>
      <w:r w:rsidRPr="00D53301">
        <w:t>atlyginimo klausimas yra tarpvalstybinių derybų objektas. Apeliantų teigimu, civilinį ieškinį Generalinė prokuratūr</w:t>
      </w:r>
      <w:r w:rsidR="00BF3718" w:rsidRPr="00D53301">
        <w:t>a</w:t>
      </w:r>
      <w:r w:rsidRPr="00D53301">
        <w:t xml:space="preserve"> pareiškė ne dėl turto sunaikinimo ar sugadinimo, o dėl neteisėtų kariškių veiksmų ir dėl to kilusių pa</w:t>
      </w:r>
      <w:r w:rsidR="00BF3718" w:rsidRPr="00D53301">
        <w:t>darinių</w:t>
      </w:r>
      <w:r w:rsidRPr="00D53301">
        <w:t xml:space="preserve"> – žmonių nužudymų, sunk</w:t>
      </w:r>
      <w:r w:rsidR="00B86930" w:rsidRPr="00D53301">
        <w:t>ių</w:t>
      </w:r>
      <w:r w:rsidRPr="00D53301">
        <w:t xml:space="preserve"> sveikatos sutrikdymų. Prokurorų įsitikinimu, civilinis ieškinys yra pagrįstas byloje esančiais dokumentais, kurie teisme buvo ištirti, tačiau priimant nuosprendį buvo peržengtos kaltinimo ribos ir pasisakyta apie aplinkybes, kurių net nebuvo nurodyta kaltinamajame akte bei </w:t>
      </w:r>
      <w:r w:rsidR="00BF3718" w:rsidRPr="00D53301">
        <w:t xml:space="preserve">kurios </w:t>
      </w:r>
      <w:r w:rsidRPr="00D53301">
        <w:t>nebuvo tirtos teisme. Generalinė prokuratūra laiko</w:t>
      </w:r>
      <w:r w:rsidR="004415EE" w:rsidRPr="00D53301">
        <w:t>tarpiu nuo 2014 m. gegužės 6 d.</w:t>
      </w:r>
      <w:r w:rsidR="00BF3718" w:rsidRPr="00D53301">
        <w:t xml:space="preserve"> iki </w:t>
      </w:r>
      <w:r w:rsidRPr="00D53301">
        <w:t>2014</w:t>
      </w:r>
      <w:r w:rsidR="00BF3718" w:rsidRPr="00D53301">
        <w:t> </w:t>
      </w:r>
      <w:r w:rsidRPr="00D53301">
        <w:t>m. spalio 7 d. raštais kreipėsi į Finansų, Socialinės apsaugos ir darb</w:t>
      </w:r>
      <w:r w:rsidR="00930046" w:rsidRPr="00D53301">
        <w:t xml:space="preserve">o, Sveikatos apsaugos, </w:t>
      </w:r>
      <w:r w:rsidR="00FD13EB" w:rsidRPr="00D53301">
        <w:t xml:space="preserve">Vidaus reikalų, </w:t>
      </w:r>
      <w:r w:rsidR="00930046" w:rsidRPr="00D53301">
        <w:t>Krašto </w:t>
      </w:r>
      <w:r w:rsidR="00FD13EB" w:rsidRPr="00D53301">
        <w:t>apsaugos</w:t>
      </w:r>
      <w:r w:rsidRPr="00D53301">
        <w:t xml:space="preserve"> ministerijas, Kultūros pav</w:t>
      </w:r>
      <w:r w:rsidR="00930046" w:rsidRPr="00D53301">
        <w:t>eldo departamentą prie Lietuvos </w:t>
      </w:r>
      <w:r w:rsidRPr="00D53301">
        <w:t>Respublikos kultūros ministerijos, Vyriausybės kanceliariją bei atskirų Lietuvos regionų savivaldybių administracijas</w:t>
      </w:r>
      <w:r w:rsidR="00BF3718" w:rsidRPr="00D53301">
        <w:t>,</w:t>
      </w:r>
      <w:r w:rsidRPr="00D53301">
        <w:t xml:space="preserve"> siekdama atstovauti Lietuv</w:t>
      </w:r>
      <w:r w:rsidR="00BF3718" w:rsidRPr="00D53301">
        <w:t>ai</w:t>
      </w:r>
      <w:r w:rsidRPr="00D53301">
        <w:t xml:space="preserve"> dėl jai padarytos žalos ir gauti informacijos apie šią žalą. Anot prokurorų, iš šių institucijų gauta informacija rodo, kad prokuratūros prašomą atlyginti padarytą žalą sudaro 1991 m. sausio įvykiuose žuvusių asmenų laidojimo, paminklų statymo išlaidos, nukentėjusiesiems suteiktų medicin</w:t>
      </w:r>
      <w:r w:rsidR="00BF3718" w:rsidRPr="00D53301">
        <w:t>os</w:t>
      </w:r>
      <w:r w:rsidRPr="00D53301">
        <w:t xml:space="preserve"> ir gydymo paslaugų, išmokėtų pašalpų ir kitokių išmokų išlaidos (</w:t>
      </w:r>
      <w:r w:rsidR="00BF3718" w:rsidRPr="00D53301">
        <w:t>sąnaudos</w:t>
      </w:r>
      <w:r w:rsidRPr="00D53301">
        <w:t>). Vadovaudamiesi minėtų institucijų pateiktais atsakymais, prokurorai teigia, kad 11 365 460,07 E</w:t>
      </w:r>
      <w:r w:rsidR="00BB7F8D" w:rsidRPr="00D53301">
        <w:t>ur</w:t>
      </w:r>
      <w:r w:rsidRPr="00D53301">
        <w:t xml:space="preserve"> dydžio turtinė žala yra įrodyta bei valstybei buvo padaryta tyčiniais nusikalstamais nuteistųjų veiksmais (egzistuoja priežastinis ryšys tarp veikos ir kilusių padarinių), todėl CK 6.263 straipsnio pagrindu pastarieji privalo ją atlyginti. Be to, anot prokurorų, kadangi visi nuteistieji veikė organizuot</w:t>
      </w:r>
      <w:r w:rsidR="00BF3718" w:rsidRPr="00D53301">
        <w:t>a</w:t>
      </w:r>
      <w:r w:rsidRPr="00D53301">
        <w:t xml:space="preserve"> grupe ir iš anksto suplanavę tyčia užpuolė, nužudė, sunkiai sužalojo beginklius civilius, jie, kaip bendrai žalą padarę asmenys, už šią žalą atsako solidariai. </w:t>
      </w:r>
    </w:p>
    <w:p w:rsidR="00742D54" w:rsidRPr="00D53301" w:rsidRDefault="00742D54" w:rsidP="00321748">
      <w:pPr>
        <w:pStyle w:val="ListParagraph"/>
        <w:numPr>
          <w:ilvl w:val="1"/>
          <w:numId w:val="6"/>
        </w:numPr>
        <w:spacing w:before="120" w:after="120"/>
        <w:ind w:left="992" w:hanging="992"/>
        <w:contextualSpacing w:val="0"/>
      </w:pPr>
      <w:r w:rsidRPr="00D53301">
        <w:t>Apeliaciniu skundu taip pat prašoma iš nuteistųjų solidariai priteisti ir patirtas procesines išlaidas. Anot prokurorų, ikiteisminio tyrimo metu į apklausas buvo kviečiami liudytojai, kurių dalyvavimas pripažintas turinčiu reikšmės</w:t>
      </w:r>
      <w:r w:rsidR="00E420BD" w:rsidRPr="00D53301">
        <w:t xml:space="preserve"> bylai, o jų – I. S., V. </w:t>
      </w:r>
      <w:r w:rsidRPr="00D53301">
        <w:t>D</w:t>
      </w:r>
      <w:r w:rsidR="00E420BD" w:rsidRPr="00D53301">
        <w:t>.</w:t>
      </w:r>
      <w:r w:rsidRPr="00D53301">
        <w:t xml:space="preserve">, </w:t>
      </w:r>
      <w:r w:rsidR="00660130" w:rsidRPr="00D53301">
        <w:t>J. T.</w:t>
      </w:r>
      <w:r w:rsidRPr="00D53301">
        <w:t>, A. G</w:t>
      </w:r>
      <w:r w:rsidR="00E420BD" w:rsidRPr="00D53301">
        <w:t>., V. </w:t>
      </w:r>
      <w:r w:rsidRPr="00D53301">
        <w:t>S</w:t>
      </w:r>
      <w:r w:rsidR="00E420BD" w:rsidRPr="00D53301">
        <w:t>., P. </w:t>
      </w:r>
      <w:r w:rsidRPr="00D53301">
        <w:t>H</w:t>
      </w:r>
      <w:r w:rsidR="00E420BD" w:rsidRPr="00D53301">
        <w:t>.</w:t>
      </w:r>
      <w:r w:rsidRPr="00D53301">
        <w:t xml:space="preserve"> – kelionės išlaidos pripažintos proceso išlaidomis. Šios išlaidos </w:t>
      </w:r>
      <w:r w:rsidR="00BF3718" w:rsidRPr="00D53301">
        <w:t xml:space="preserve">iš </w:t>
      </w:r>
      <w:r w:rsidRPr="00D53301">
        <w:t>viso sudaro 343,79 E</w:t>
      </w:r>
      <w:r w:rsidR="00BB7F8D" w:rsidRPr="00D53301">
        <w:t>ur</w:t>
      </w:r>
      <w:r w:rsidRPr="00D53301">
        <w:t xml:space="preserve"> ir jos priteistinos iš visų nuteistųjų solidariai. </w:t>
      </w:r>
    </w:p>
    <w:p w:rsidR="00742D54" w:rsidRPr="00D53301" w:rsidRDefault="00742D54" w:rsidP="00321748">
      <w:pPr>
        <w:pStyle w:val="ListParagraph"/>
        <w:numPr>
          <w:ilvl w:val="1"/>
          <w:numId w:val="6"/>
        </w:numPr>
        <w:spacing w:before="120" w:after="120"/>
        <w:ind w:left="992" w:hanging="992"/>
        <w:contextualSpacing w:val="0"/>
      </w:pPr>
      <w:r w:rsidRPr="00D53301">
        <w:t xml:space="preserve">Prokurorų įsitikinimu, byloje esančius daiktus, siekiant užtikrinti pirmosios instancijos teisme nedalyvavusių kaltinamųjų teisę susipažinti su bylos medžiaga, taip pat teisę atlikti byloje esančių daiktų papildomus tyrimus, būtina saugoti kartu su bylos medžiaga. Vadovaujantis BPK 438 straipsnio nuostatomis, šie daiktai saugotini iki tol, kol nuteistieji priims sprendimą dėl pasinaudojimo teise paduoti apeliacinį skundą ir bus priimtas sprendimas dėl visų kaltinamųjų apeliacinių skundų. Anot apeliantų, apygardos teismo sprendimas grąžinti nuteistajam </w:t>
      </w:r>
      <w:r w:rsidR="00BA18FA" w:rsidRPr="00D53301">
        <w:t>J. M.</w:t>
      </w:r>
      <w:r w:rsidRPr="00D53301">
        <w:t xml:space="preserve"> priklausančius daiktus ir pinigus, nesprendus prokuratūros pareikšto civilinio ieškinio atlyginimo klausimo, yra nepagrįstas ir naikintinas. Minėti daiktai ir pinigai panaudotini civil</w:t>
      </w:r>
      <w:r w:rsidR="006567D5" w:rsidRPr="00D53301">
        <w:t>iniam</w:t>
      </w:r>
      <w:r w:rsidRPr="00D53301">
        <w:t xml:space="preserve"> ieškiniui padengti. </w:t>
      </w:r>
    </w:p>
    <w:p w:rsidR="00225B8E" w:rsidRPr="00C00255" w:rsidRDefault="00225B8E" w:rsidP="003D0CA0">
      <w:pPr>
        <w:pStyle w:val="Heading3"/>
        <w:spacing w:before="120" w:after="120"/>
        <w:ind w:firstLine="992"/>
        <w:jc w:val="both"/>
        <w:rPr>
          <w:b w:val="0"/>
          <w:i/>
          <w:sz w:val="24"/>
          <w:lang w:val="lt-LT"/>
        </w:rPr>
      </w:pPr>
      <w:bookmarkStart w:id="214" w:name="_Toc67677377"/>
      <w:bookmarkStart w:id="215" w:name="_Toc67985504"/>
      <w:r w:rsidRPr="00C00255">
        <w:rPr>
          <w:b w:val="0"/>
          <w:i/>
          <w:sz w:val="24"/>
          <w:lang w:val="lt-LT"/>
        </w:rPr>
        <w:t>Prokurorų apeliaciniu skundu prašomų pripažinti aplinkybių detalus išdėstymas</w:t>
      </w:r>
      <w:bookmarkEnd w:id="214"/>
      <w:bookmarkEnd w:id="215"/>
    </w:p>
    <w:p w:rsidR="00225B8E" w:rsidRPr="00D53301" w:rsidRDefault="00225B8E" w:rsidP="00321748">
      <w:pPr>
        <w:pStyle w:val="ListParagraph"/>
        <w:numPr>
          <w:ilvl w:val="1"/>
          <w:numId w:val="6"/>
        </w:numPr>
        <w:spacing w:before="120" w:after="120"/>
        <w:ind w:left="992" w:hanging="992"/>
        <w:contextualSpacing w:val="0"/>
      </w:pPr>
      <w:r w:rsidRPr="00D53301">
        <w:t>Pro</w:t>
      </w:r>
      <w:r w:rsidRPr="00D53301">
        <w:rPr>
          <w:bCs/>
        </w:rPr>
        <w:t xml:space="preserve">kurorai prašo pakeisti Vilniaus apygardos teismo 2019 m. kovo 27 d. nuosprendžio aprašomąją dalį </w:t>
      </w:r>
      <w:r w:rsidR="00BF3718" w:rsidRPr="00D53301">
        <w:rPr>
          <w:bCs/>
        </w:rPr>
        <w:t xml:space="preserve">ir </w:t>
      </w:r>
      <w:r w:rsidRPr="00D53301">
        <w:rPr>
          <w:bCs/>
        </w:rPr>
        <w:t xml:space="preserve">ją išdėstyti taip </w:t>
      </w:r>
      <w:r w:rsidR="00342AB7" w:rsidRPr="00D53301">
        <w:rPr>
          <w:bCs/>
        </w:rPr>
        <w:t>(</w:t>
      </w:r>
      <w:r w:rsidRPr="00D53301">
        <w:rPr>
          <w:bCs/>
        </w:rPr>
        <w:t>keistinas ar papildo</w:t>
      </w:r>
      <w:r w:rsidR="00342AB7" w:rsidRPr="00D53301">
        <w:rPr>
          <w:bCs/>
        </w:rPr>
        <w:t>mai įrašomas tekstas pabrauktas</w:t>
      </w:r>
      <w:r w:rsidR="008C57FD" w:rsidRPr="00D53301">
        <w:rPr>
          <w:bCs/>
        </w:rPr>
        <w:t xml:space="preserve"> (</w:t>
      </w:r>
      <w:r w:rsidR="00342AB7" w:rsidRPr="00D53301">
        <w:rPr>
          <w:bCs/>
        </w:rPr>
        <w:t>t. 777, b. </w:t>
      </w:r>
      <w:r w:rsidR="008C57FD" w:rsidRPr="00D53301">
        <w:rPr>
          <w:bCs/>
        </w:rPr>
        <w:t>l.</w:t>
      </w:r>
      <w:r w:rsidR="00342AB7" w:rsidRPr="00D53301">
        <w:rPr>
          <w:bCs/>
        </w:rPr>
        <w:t xml:space="preserve"> 107</w:t>
      </w:r>
      <w:r w:rsidR="00BF3718" w:rsidRPr="00D53301">
        <w:rPr>
          <w:bCs/>
        </w:rPr>
        <w:t>–</w:t>
      </w:r>
      <w:r w:rsidR="00342AB7" w:rsidRPr="00D53301">
        <w:rPr>
          <w:bCs/>
        </w:rPr>
        <w:t>135)).</w:t>
      </w:r>
    </w:p>
    <w:p w:rsidR="008C57FD" w:rsidRPr="00D53301" w:rsidRDefault="00742D54" w:rsidP="008C57FD">
      <w:pPr>
        <w:pStyle w:val="Standard"/>
        <w:tabs>
          <w:tab w:val="left" w:pos="992"/>
        </w:tabs>
        <w:ind w:left="992" w:firstLine="992"/>
        <w:jc w:val="both"/>
        <w:rPr>
          <w:rFonts w:cs="Times New Roman"/>
          <w:i/>
          <w:iCs/>
          <w:color w:val="000000"/>
          <w:lang w:eastAsia="ar-SA" w:bidi="lt-LT"/>
        </w:rPr>
      </w:pPr>
      <w:r w:rsidRPr="00D53301">
        <w:rPr>
          <w:color w:val="000000"/>
          <w:sz w:val="28"/>
          <w:szCs w:val="28"/>
          <w:lang w:eastAsia="ar-SA" w:bidi="lt-LT"/>
        </w:rPr>
        <w:t>„</w:t>
      </w:r>
      <w:r w:rsidRPr="00D53301">
        <w:rPr>
          <w:rFonts w:cs="Times New Roman"/>
          <w:bCs/>
          <w:i/>
          <w:iCs/>
          <w:color w:val="000000"/>
          <w:u w:val="single"/>
          <w:lang w:eastAsia="ar-SA" w:bidi="lt-LT"/>
        </w:rPr>
        <w:t xml:space="preserve">TSRS Gynybos ministras </w:t>
      </w:r>
      <w:r w:rsidR="00385BC9" w:rsidRPr="00D53301">
        <w:rPr>
          <w:rFonts w:cs="Times New Roman"/>
          <w:bCs/>
          <w:i/>
          <w:iCs/>
          <w:color w:val="000000"/>
          <w:u w:val="single"/>
          <w:lang w:eastAsia="ar-SA" w:bidi="lt-LT"/>
        </w:rPr>
        <w:t>D. J.</w:t>
      </w:r>
      <w:r w:rsidRPr="00D53301">
        <w:rPr>
          <w:rFonts w:cs="Times New Roman"/>
          <w:bCs/>
          <w:i/>
          <w:iCs/>
          <w:color w:val="000000"/>
          <w:u w:val="single"/>
          <w:lang w:eastAsia="ar-SA" w:bidi="lt-LT"/>
        </w:rPr>
        <w:t xml:space="preserve"> kartu su TSR</w:t>
      </w:r>
      <w:r w:rsidR="00225B8E" w:rsidRPr="00D53301">
        <w:rPr>
          <w:rFonts w:cs="Times New Roman"/>
          <w:bCs/>
          <w:i/>
          <w:iCs/>
          <w:color w:val="000000"/>
          <w:u w:val="single"/>
          <w:lang w:eastAsia="ar-SA" w:bidi="lt-LT"/>
        </w:rPr>
        <w:t>S vidaus reikalų (toliau – TSRS </w:t>
      </w:r>
      <w:r w:rsidRPr="00D53301">
        <w:rPr>
          <w:rFonts w:cs="Times New Roman"/>
          <w:bCs/>
          <w:i/>
          <w:iCs/>
          <w:color w:val="000000"/>
          <w:u w:val="single"/>
          <w:lang w:eastAsia="ar-SA" w:bidi="lt-LT"/>
        </w:rPr>
        <w:t xml:space="preserve">VRM) ministru </w:t>
      </w:r>
      <w:r w:rsidR="00C507EF" w:rsidRPr="00D53301">
        <w:rPr>
          <w:rFonts w:cs="Times New Roman"/>
          <w:bCs/>
          <w:i/>
          <w:iCs/>
          <w:color w:val="000000"/>
          <w:u w:val="single"/>
          <w:lang w:eastAsia="ar-SA" w:bidi="lt-LT"/>
        </w:rPr>
        <w:t>B. P.</w:t>
      </w:r>
      <w:r w:rsidRPr="00D53301">
        <w:rPr>
          <w:rFonts w:cs="Times New Roman"/>
          <w:bCs/>
          <w:i/>
          <w:iCs/>
          <w:color w:val="000000"/>
          <w:u w:val="single"/>
          <w:lang w:eastAsia="ar-SA" w:bidi="lt-LT"/>
        </w:rPr>
        <w:t xml:space="preserve"> (ikiteisminis tyrimas nutrauktas jam mirus), TSRS valstybės saugumo komiteto (toliau – TSRS VSK) pirmininku </w:t>
      </w:r>
      <w:r w:rsidR="00C507EF" w:rsidRPr="00D53301">
        <w:rPr>
          <w:rFonts w:cs="Times New Roman"/>
          <w:bCs/>
          <w:i/>
          <w:iCs/>
          <w:color w:val="000000"/>
          <w:u w:val="single"/>
          <w:lang w:eastAsia="ar-SA" w:bidi="lt-LT"/>
        </w:rPr>
        <w:t>V. K.</w:t>
      </w:r>
      <w:r w:rsidRPr="00D53301">
        <w:rPr>
          <w:rFonts w:cs="Times New Roman"/>
          <w:bCs/>
          <w:i/>
          <w:iCs/>
          <w:color w:val="000000"/>
          <w:u w:val="single"/>
          <w:lang w:eastAsia="ar-SA" w:bidi="lt-LT"/>
        </w:rPr>
        <w:t xml:space="preserve"> (ikiteisminis tyrimas nutrauktas jam mirus), TSRS TSKP CK sekretoriumi ir Politinio biuro nariu </w:t>
      </w:r>
      <w:r w:rsidR="00D37127" w:rsidRPr="00D53301">
        <w:rPr>
          <w:rFonts w:cs="Times New Roman"/>
          <w:bCs/>
          <w:i/>
          <w:iCs/>
          <w:color w:val="000000"/>
          <w:u w:val="single"/>
          <w:lang w:eastAsia="ar-SA" w:bidi="lt-LT"/>
        </w:rPr>
        <w:t>O. Š.</w:t>
      </w:r>
      <w:r w:rsidRPr="00D53301">
        <w:rPr>
          <w:rFonts w:cs="Times New Roman"/>
          <w:bCs/>
          <w:i/>
          <w:iCs/>
          <w:color w:val="000000"/>
          <w:u w:val="single"/>
          <w:lang w:eastAsia="ar-SA" w:bidi="lt-LT"/>
        </w:rPr>
        <w:t xml:space="preserve"> (ikiteisminis tyrimas nutrauktas jam </w:t>
      </w:r>
      <w:r w:rsidRPr="00D53301">
        <w:rPr>
          <w:rFonts w:cs="Times New Roman"/>
          <w:bCs/>
          <w:i/>
          <w:iCs/>
          <w:color w:val="000000"/>
          <w:u w:val="single"/>
          <w:lang w:eastAsia="ar-SA" w:bidi="lt-LT"/>
        </w:rPr>
        <w:lastRenderedPageBreak/>
        <w:t>mirus) siekdami grąžinti Lietuvą į TSRS sudėtį, 1990 metų pabaigoje subūrė organizuotą grupę, į kurią per jiems pavaldžius asmenis įtraukė:</w:t>
      </w:r>
    </w:p>
    <w:p w:rsidR="008C57FD" w:rsidRPr="00C00255" w:rsidRDefault="00742D54" w:rsidP="008C57FD">
      <w:pPr>
        <w:pStyle w:val="Standard"/>
        <w:tabs>
          <w:tab w:val="left" w:pos="992"/>
        </w:tabs>
        <w:ind w:left="992" w:firstLine="992"/>
        <w:jc w:val="both"/>
        <w:rPr>
          <w:rFonts w:cs="Times New Roman"/>
          <w:i/>
          <w:iCs/>
          <w:color w:val="000000"/>
          <w:lang w:eastAsia="ar-SA" w:bidi="lt-LT"/>
        </w:rPr>
      </w:pPr>
      <w:r w:rsidRPr="00C00255">
        <w:rPr>
          <w:rFonts w:cs="Times New Roman"/>
          <w:i/>
          <w:iCs/>
          <w:color w:val="000000"/>
          <w:lang w:eastAsia="ar-SA" w:bidi="lt-LT"/>
        </w:rPr>
        <w:t>- LKP/TSKP CK II sekretorių V</w:t>
      </w:r>
      <w:r w:rsidR="00BA18FA">
        <w:rPr>
          <w:rFonts w:cs="Times New Roman"/>
          <w:i/>
          <w:iCs/>
          <w:color w:val="000000"/>
          <w:lang w:eastAsia="ar-SA" w:bidi="lt-LT"/>
        </w:rPr>
        <w:t>. Š. 1</w:t>
      </w:r>
      <w:r w:rsidRPr="00C00255">
        <w:rPr>
          <w:rFonts w:cs="Times New Roman"/>
          <w:i/>
          <w:iCs/>
          <w:color w:val="000000"/>
          <w:lang w:eastAsia="ar-SA" w:bidi="lt-LT"/>
        </w:rPr>
        <w:t xml:space="preserve">, LKP/TSKP CK sekretorių generolą majorą </w:t>
      </w:r>
      <w:r w:rsidR="00385BC9">
        <w:rPr>
          <w:rFonts w:cs="Times New Roman"/>
          <w:i/>
          <w:iCs/>
          <w:color w:val="000000"/>
          <w:lang w:eastAsia="ar-SA" w:bidi="lt-LT"/>
        </w:rPr>
        <w:t>A. N. 1</w:t>
      </w:r>
      <w:r w:rsidRPr="00C00255">
        <w:rPr>
          <w:rFonts w:cs="Times New Roman"/>
          <w:i/>
          <w:iCs/>
          <w:color w:val="000000"/>
          <w:lang w:eastAsia="ar-SA" w:bidi="lt-LT"/>
        </w:rPr>
        <w:t xml:space="preserve">, LKP/TSKP CK politinio-teisinio skyriaus konsultantą pulkininką </w:t>
      </w:r>
      <w:r w:rsidR="00385BC9">
        <w:rPr>
          <w:rFonts w:cs="Times New Roman"/>
          <w:i/>
          <w:iCs/>
          <w:color w:val="000000"/>
          <w:lang w:eastAsia="ar-SA" w:bidi="lt-LT"/>
        </w:rPr>
        <w:t>R. J. 1</w:t>
      </w:r>
      <w:r w:rsidRPr="00C00255">
        <w:rPr>
          <w:rFonts w:cs="Times New Roman"/>
          <w:i/>
          <w:iCs/>
          <w:color w:val="000000"/>
          <w:lang w:eastAsia="ar-SA" w:bidi="lt-LT"/>
        </w:rPr>
        <w:t xml:space="preserve">, TSRS VSK specialiosios paskirties grupės „A“ viršininko pavaduotoją papulkininkį </w:t>
      </w:r>
      <w:r w:rsidR="00385BC9">
        <w:rPr>
          <w:rFonts w:cs="Times New Roman"/>
          <w:i/>
          <w:iCs/>
          <w:color w:val="000000"/>
          <w:lang w:eastAsia="ar-SA" w:bidi="lt-LT"/>
        </w:rPr>
        <w:t>M. G.</w:t>
      </w:r>
      <w:r w:rsidRPr="00C00255">
        <w:rPr>
          <w:rFonts w:cs="Times New Roman"/>
          <w:i/>
          <w:iCs/>
          <w:color w:val="000000"/>
          <w:lang w:eastAsia="ar-SA" w:bidi="lt-LT"/>
        </w:rPr>
        <w:t xml:space="preserve">, grupės „A“ 3-čiojo poskyrio viršininką papulkininkį </w:t>
      </w:r>
      <w:r w:rsidR="00385BC9">
        <w:rPr>
          <w:rFonts w:cs="Times New Roman"/>
          <w:i/>
          <w:iCs/>
          <w:color w:val="000000"/>
          <w:lang w:eastAsia="ar-SA" w:bidi="lt-LT"/>
        </w:rPr>
        <w:t>J. Č.</w:t>
      </w:r>
      <w:r w:rsidRPr="00C00255">
        <w:rPr>
          <w:rFonts w:cs="Times New Roman"/>
          <w:i/>
          <w:iCs/>
          <w:color w:val="000000"/>
          <w:lang w:eastAsia="ar-SA" w:bidi="lt-LT"/>
        </w:rPr>
        <w:t xml:space="preserve">, TSRS VRM ministro pavaduotoją generolą leitenantą </w:t>
      </w:r>
      <w:r w:rsidR="00385BC9">
        <w:rPr>
          <w:rFonts w:cs="Times New Roman"/>
          <w:i/>
          <w:iCs/>
          <w:color w:val="000000"/>
          <w:lang w:eastAsia="ar-SA" w:bidi="lt-LT"/>
        </w:rPr>
        <w:t>N. D.</w:t>
      </w:r>
      <w:r w:rsidRPr="00C00255">
        <w:rPr>
          <w:rFonts w:cs="Times New Roman"/>
          <w:i/>
          <w:color w:val="000000"/>
          <w:lang w:eastAsia="ar-SA" w:bidi="lt-LT"/>
        </w:rPr>
        <w:t xml:space="preserve">, Šiaurės vakarų ir Pabaltijo vidaus kariuomenės valdybos viršininką generolą </w:t>
      </w:r>
      <w:r w:rsidR="00385BC9">
        <w:rPr>
          <w:rFonts w:cs="Times New Roman"/>
          <w:i/>
          <w:color w:val="000000"/>
          <w:lang w:eastAsia="ar-SA" w:bidi="lt-LT"/>
        </w:rPr>
        <w:t>V. S. 1</w:t>
      </w:r>
      <w:r w:rsidRPr="00C00255">
        <w:rPr>
          <w:rFonts w:cs="Times New Roman"/>
          <w:i/>
          <w:color w:val="000000"/>
          <w:lang w:eastAsia="ar-SA" w:bidi="lt-LT"/>
        </w:rPr>
        <w:t>,</w:t>
      </w:r>
    </w:p>
    <w:p w:rsidR="008C57FD" w:rsidRPr="00C00255" w:rsidRDefault="00742D54" w:rsidP="008C57FD">
      <w:pPr>
        <w:pStyle w:val="Standard"/>
        <w:tabs>
          <w:tab w:val="left" w:pos="992"/>
        </w:tabs>
        <w:ind w:left="992" w:firstLine="992"/>
        <w:jc w:val="both"/>
        <w:rPr>
          <w:rFonts w:cs="Times New Roman"/>
          <w:i/>
          <w:iCs/>
          <w:color w:val="000000"/>
          <w:lang w:eastAsia="ar-SA" w:bidi="lt-LT"/>
        </w:rPr>
      </w:pPr>
      <w:r w:rsidRPr="00C00255">
        <w:rPr>
          <w:rFonts w:cs="Times New Roman"/>
          <w:color w:val="000000"/>
          <w:lang w:eastAsia="ar-SA" w:bidi="lt-LT"/>
        </w:rPr>
        <w:t xml:space="preserve">- </w:t>
      </w:r>
      <w:r w:rsidRPr="00C00255">
        <w:rPr>
          <w:rFonts w:cs="Times New Roman"/>
          <w:i/>
          <w:color w:val="000000"/>
          <w:lang w:eastAsia="ar-SA" w:bidi="lt-LT"/>
        </w:rPr>
        <w:t xml:space="preserve">TSRS Gynybos ministerijos Pskovo 76-osios oro desanto divizijos vado pavaduotoją pulkininką </w:t>
      </w:r>
      <w:r w:rsidR="00385BC9">
        <w:rPr>
          <w:rFonts w:cs="Times New Roman"/>
          <w:i/>
          <w:color w:val="000000"/>
          <w:lang w:eastAsia="ar-SA" w:bidi="lt-LT"/>
        </w:rPr>
        <w:t>V. K. 1</w:t>
      </w:r>
      <w:r w:rsidRPr="00C00255">
        <w:rPr>
          <w:rFonts w:cs="Times New Roman"/>
          <w:i/>
          <w:color w:val="000000"/>
          <w:lang w:eastAsia="ar-SA" w:bidi="lt-LT"/>
        </w:rPr>
        <w:t xml:space="preserve">, divizijos 234-ojo pulko štabo viršininką papulkininkį </w:t>
      </w:r>
      <w:r w:rsidR="00385BC9">
        <w:rPr>
          <w:rFonts w:cs="Times New Roman"/>
          <w:i/>
          <w:color w:val="000000"/>
          <w:lang w:eastAsia="ar-SA" w:bidi="lt-LT"/>
        </w:rPr>
        <w:t>G. G.</w:t>
      </w:r>
      <w:r w:rsidRPr="00C00255">
        <w:rPr>
          <w:rFonts w:cs="Times New Roman"/>
          <w:i/>
          <w:color w:val="000000"/>
          <w:lang w:eastAsia="ar-SA" w:bidi="lt-LT"/>
        </w:rPr>
        <w:t xml:space="preserve">, pulko 3-iojo bataliono vadą majorą </w:t>
      </w:r>
      <w:r w:rsidR="00385BC9">
        <w:rPr>
          <w:rFonts w:cs="Times New Roman"/>
          <w:i/>
          <w:color w:val="000000"/>
          <w:lang w:eastAsia="ar-SA" w:bidi="lt-LT"/>
        </w:rPr>
        <w:t>V. S. 2</w:t>
      </w:r>
      <w:r w:rsidR="002451F2">
        <w:rPr>
          <w:rFonts w:cs="Times New Roman"/>
          <w:i/>
          <w:color w:val="000000"/>
          <w:lang w:eastAsia="ar-SA" w:bidi="lt-LT"/>
        </w:rPr>
        <w:t>, bataliono štabo vadą majorą V. D.</w:t>
      </w:r>
      <w:r w:rsidRPr="00C00255">
        <w:rPr>
          <w:rFonts w:cs="Times New Roman"/>
          <w:i/>
          <w:color w:val="000000"/>
          <w:lang w:eastAsia="ar-SA" w:bidi="lt-LT"/>
        </w:rPr>
        <w:t xml:space="preserve">, pulko artilerijos diviziono vado pavaduotoją majorą </w:t>
      </w:r>
      <w:r w:rsidR="006036E7">
        <w:rPr>
          <w:rFonts w:cs="Times New Roman"/>
          <w:i/>
          <w:color w:val="000000"/>
          <w:lang w:eastAsia="ar-SA" w:bidi="lt-LT"/>
        </w:rPr>
        <w:t>B. S.</w:t>
      </w:r>
      <w:r w:rsidRPr="00C00255">
        <w:rPr>
          <w:rFonts w:cs="Times New Roman"/>
          <w:i/>
          <w:color w:val="000000"/>
          <w:lang w:eastAsia="ar-SA" w:bidi="lt-LT"/>
        </w:rPr>
        <w:t>, 3-iojo bataliono vado pavaduo</w:t>
      </w:r>
      <w:r w:rsidR="008C57FD" w:rsidRPr="00C00255">
        <w:rPr>
          <w:rFonts w:cs="Times New Roman"/>
          <w:i/>
          <w:color w:val="000000"/>
          <w:lang w:eastAsia="ar-SA" w:bidi="lt-LT"/>
        </w:rPr>
        <w:t xml:space="preserve">toją majorą </w:t>
      </w:r>
      <w:r w:rsidR="006036E7">
        <w:rPr>
          <w:rFonts w:cs="Times New Roman"/>
          <w:i/>
          <w:color w:val="000000"/>
          <w:lang w:eastAsia="ar-SA" w:bidi="lt-LT"/>
        </w:rPr>
        <w:t>V. S. 3</w:t>
      </w:r>
      <w:r w:rsidR="008C57FD" w:rsidRPr="00C00255">
        <w:rPr>
          <w:rFonts w:cs="Times New Roman"/>
          <w:i/>
          <w:color w:val="000000"/>
          <w:lang w:eastAsia="ar-SA" w:bidi="lt-LT"/>
        </w:rPr>
        <w:t xml:space="preserve">, </w:t>
      </w:r>
      <w:r w:rsidRPr="00C00255">
        <w:rPr>
          <w:rFonts w:cs="Times New Roman"/>
          <w:i/>
          <w:color w:val="000000"/>
          <w:lang w:eastAsia="ar-SA" w:bidi="lt-LT"/>
        </w:rPr>
        <w:t xml:space="preserve">pulko žvalgybos tarnybos viršininką kapitoną </w:t>
      </w:r>
      <w:r w:rsidR="006036E7">
        <w:rPr>
          <w:rFonts w:cs="Times New Roman"/>
          <w:i/>
          <w:color w:val="000000"/>
          <w:lang w:eastAsia="ar-SA" w:bidi="lt-LT"/>
        </w:rPr>
        <w:t>S. P.</w:t>
      </w:r>
      <w:r w:rsidRPr="00C00255">
        <w:rPr>
          <w:rFonts w:cs="Times New Roman"/>
          <w:i/>
          <w:color w:val="000000"/>
          <w:lang w:eastAsia="ar-SA" w:bidi="lt-LT"/>
        </w:rPr>
        <w:t xml:space="preserve">, 234-ojo pulko kuro tarnybos viršininką kapitoną </w:t>
      </w:r>
      <w:r w:rsidR="006036E7">
        <w:rPr>
          <w:rFonts w:cs="Times New Roman"/>
          <w:i/>
          <w:color w:val="000000"/>
          <w:lang w:eastAsia="ar-SA" w:bidi="lt-LT"/>
        </w:rPr>
        <w:t>S. K.</w:t>
      </w:r>
      <w:r w:rsidRPr="00C00255">
        <w:rPr>
          <w:rFonts w:cs="Times New Roman"/>
          <w:i/>
          <w:color w:val="000000"/>
          <w:lang w:eastAsia="ar-SA" w:bidi="lt-LT"/>
        </w:rPr>
        <w:t>, 237-ojo pulko 1-os</w:t>
      </w:r>
      <w:r w:rsidR="008C57FD" w:rsidRPr="00C00255">
        <w:rPr>
          <w:rFonts w:cs="Times New Roman"/>
          <w:i/>
          <w:color w:val="000000"/>
          <w:lang w:eastAsia="ar-SA" w:bidi="lt-LT"/>
        </w:rPr>
        <w:t xml:space="preserve"> kuopos vadą kapitoną </w:t>
      </w:r>
      <w:r w:rsidR="006036E7">
        <w:rPr>
          <w:rFonts w:cs="Times New Roman"/>
          <w:i/>
          <w:color w:val="000000"/>
          <w:lang w:eastAsia="ar-SA" w:bidi="lt-LT"/>
        </w:rPr>
        <w:t>J. G.</w:t>
      </w:r>
      <w:r w:rsidRPr="00C00255">
        <w:rPr>
          <w:rFonts w:cs="Times New Roman"/>
          <w:i/>
          <w:color w:val="000000"/>
          <w:lang w:eastAsia="ar-SA" w:bidi="lt-LT"/>
        </w:rPr>
        <w:t xml:space="preserve">, kuopos vado pavaduotoją kapitoną </w:t>
      </w:r>
      <w:r w:rsidR="006036E7">
        <w:rPr>
          <w:rFonts w:cs="Times New Roman"/>
          <w:i/>
          <w:color w:val="000000"/>
          <w:lang w:eastAsia="ar-SA" w:bidi="lt-LT"/>
        </w:rPr>
        <w:t>I. Š.</w:t>
      </w:r>
      <w:r w:rsidRPr="00C00255">
        <w:rPr>
          <w:rFonts w:cs="Times New Roman"/>
          <w:i/>
          <w:color w:val="000000"/>
          <w:lang w:eastAsia="ar-SA" w:bidi="lt-LT"/>
        </w:rPr>
        <w:t xml:space="preserve">, 234-ojo pulko 8-os kuopos vadą vyr. leitenantą </w:t>
      </w:r>
      <w:r w:rsidR="006036E7">
        <w:rPr>
          <w:rFonts w:cs="Times New Roman"/>
          <w:i/>
          <w:color w:val="000000"/>
          <w:lang w:eastAsia="ar-SA" w:bidi="lt-LT"/>
        </w:rPr>
        <w:t>A. G. 2</w:t>
      </w:r>
      <w:r w:rsidRPr="00C00255">
        <w:rPr>
          <w:rFonts w:cs="Times New Roman"/>
          <w:i/>
          <w:color w:val="000000"/>
          <w:lang w:eastAsia="ar-SA" w:bidi="lt-LT"/>
        </w:rPr>
        <w:t xml:space="preserve">, 5-os kuopos vado pavaduotoją vyr. leitenantas </w:t>
      </w:r>
      <w:r w:rsidR="006036E7">
        <w:rPr>
          <w:rFonts w:cs="Times New Roman"/>
          <w:i/>
          <w:color w:val="000000"/>
          <w:lang w:eastAsia="ar-SA" w:bidi="lt-LT"/>
        </w:rPr>
        <w:t>A. Z.</w:t>
      </w:r>
      <w:r w:rsidRPr="00C00255">
        <w:rPr>
          <w:rFonts w:cs="Times New Roman"/>
          <w:i/>
          <w:color w:val="000000"/>
          <w:lang w:eastAsia="ar-SA" w:bidi="lt-LT"/>
        </w:rPr>
        <w:t>, 9-os kuopos būrio</w:t>
      </w:r>
      <w:r w:rsidR="008C57FD" w:rsidRPr="00C00255">
        <w:rPr>
          <w:rFonts w:cs="Times New Roman"/>
          <w:i/>
          <w:color w:val="000000"/>
          <w:lang w:eastAsia="ar-SA" w:bidi="lt-LT"/>
        </w:rPr>
        <w:t xml:space="preserve"> vadą vyr. leitenantą </w:t>
      </w:r>
      <w:r w:rsidR="006036E7">
        <w:rPr>
          <w:rFonts w:cs="Times New Roman"/>
          <w:i/>
          <w:color w:val="000000"/>
          <w:lang w:eastAsia="ar-SA" w:bidi="lt-LT"/>
        </w:rPr>
        <w:t>V. K. 2</w:t>
      </w:r>
      <w:r w:rsidRPr="00C00255">
        <w:rPr>
          <w:rFonts w:cs="Times New Roman"/>
          <w:i/>
          <w:color w:val="000000"/>
          <w:lang w:eastAsia="ar-SA" w:bidi="lt-LT"/>
        </w:rPr>
        <w:t xml:space="preserve">, žvalgybos kuopos vado pavaduotoją vyr. leitenantą </w:t>
      </w:r>
      <w:r w:rsidR="006036E7">
        <w:rPr>
          <w:rFonts w:cs="Times New Roman"/>
          <w:i/>
          <w:color w:val="000000"/>
          <w:lang w:eastAsia="ar-SA" w:bidi="lt-LT"/>
        </w:rPr>
        <w:t>R. J. 2</w:t>
      </w:r>
      <w:r w:rsidRPr="00C00255">
        <w:rPr>
          <w:rFonts w:cs="Times New Roman"/>
          <w:i/>
          <w:color w:val="000000"/>
          <w:lang w:eastAsia="ar-SA" w:bidi="lt-LT"/>
        </w:rPr>
        <w:t xml:space="preserve">, baterijos vado pavaduotoją vyr. leitenantą </w:t>
      </w:r>
      <w:r w:rsidR="006036E7">
        <w:rPr>
          <w:rFonts w:cs="Times New Roman"/>
          <w:i/>
          <w:color w:val="000000"/>
          <w:lang w:eastAsia="ar-SA" w:bidi="lt-LT"/>
        </w:rPr>
        <w:t>S. G.</w:t>
      </w:r>
      <w:r w:rsidRPr="00C00255">
        <w:rPr>
          <w:rFonts w:cs="Times New Roman"/>
          <w:i/>
          <w:color w:val="000000"/>
          <w:lang w:eastAsia="ar-SA" w:bidi="lt-LT"/>
        </w:rPr>
        <w:t xml:space="preserve">, 7-os kuopos vadą vyr. leitenantą </w:t>
      </w:r>
      <w:r w:rsidR="006036E7">
        <w:rPr>
          <w:rFonts w:cs="Times New Roman"/>
          <w:i/>
          <w:color w:val="000000"/>
          <w:lang w:eastAsia="ar-SA" w:bidi="lt-LT"/>
        </w:rPr>
        <w:t>S. M.</w:t>
      </w:r>
      <w:r w:rsidRPr="00C00255">
        <w:rPr>
          <w:rFonts w:cs="Times New Roman"/>
          <w:i/>
          <w:color w:val="000000"/>
          <w:lang w:eastAsia="ar-SA" w:bidi="lt-LT"/>
        </w:rPr>
        <w:t>, 2-os kuopos vadą vyr. leitenantą K</w:t>
      </w:r>
      <w:r w:rsidR="006036E7">
        <w:rPr>
          <w:rFonts w:cs="Times New Roman"/>
          <w:i/>
          <w:color w:val="000000"/>
          <w:lang w:eastAsia="ar-SA" w:bidi="lt-LT"/>
        </w:rPr>
        <w:t>. U.</w:t>
      </w:r>
      <w:r w:rsidRPr="00C00255">
        <w:rPr>
          <w:rFonts w:cs="Times New Roman"/>
          <w:i/>
          <w:color w:val="000000"/>
          <w:lang w:eastAsia="ar-SA" w:bidi="lt-LT"/>
        </w:rPr>
        <w:t xml:space="preserve">, 1-os kuopos būrio vadą vyr. leitenantas </w:t>
      </w:r>
      <w:r w:rsidR="006036E7">
        <w:rPr>
          <w:rFonts w:cs="Times New Roman"/>
          <w:i/>
          <w:color w:val="000000"/>
          <w:lang w:eastAsia="ar-SA" w:bidi="lt-LT"/>
        </w:rPr>
        <w:t>A. F. 1</w:t>
      </w:r>
      <w:r w:rsidRPr="00C00255">
        <w:rPr>
          <w:rFonts w:cs="Times New Roman"/>
          <w:i/>
          <w:color w:val="000000"/>
          <w:lang w:eastAsia="ar-SA" w:bidi="lt-LT"/>
        </w:rPr>
        <w:t xml:space="preserve">, 234-ojo pulko komjaunimo komiteto sekretorių leitenantą </w:t>
      </w:r>
      <w:r w:rsidR="006036E7">
        <w:rPr>
          <w:rFonts w:cs="Times New Roman"/>
          <w:i/>
          <w:color w:val="000000"/>
          <w:lang w:eastAsia="ar-SA" w:bidi="lt-LT"/>
        </w:rPr>
        <w:t>A. N. 2</w:t>
      </w:r>
      <w:r w:rsidRPr="00C00255">
        <w:rPr>
          <w:rFonts w:cs="Times New Roman"/>
          <w:i/>
          <w:color w:val="000000"/>
          <w:lang w:eastAsia="ar-SA" w:bidi="lt-LT"/>
        </w:rPr>
        <w:t>,</w:t>
      </w:r>
      <w:r w:rsidR="008434B8" w:rsidRPr="00C00255">
        <w:rPr>
          <w:rFonts w:cs="Times New Roman"/>
          <w:i/>
          <w:color w:val="000000"/>
          <w:lang w:eastAsia="ar-SA" w:bidi="lt-LT"/>
        </w:rPr>
        <w:t xml:space="preserve"> </w:t>
      </w:r>
      <w:r w:rsidRPr="00C00255">
        <w:rPr>
          <w:rFonts w:cs="Times New Roman"/>
          <w:i/>
          <w:color w:val="000000"/>
          <w:lang w:eastAsia="ar-SA" w:bidi="lt-LT"/>
        </w:rPr>
        <w:t xml:space="preserve">8-os kuopos būrio vadą leitenantą </w:t>
      </w:r>
      <w:r w:rsidR="006036E7">
        <w:rPr>
          <w:rFonts w:cs="Times New Roman"/>
          <w:i/>
          <w:color w:val="000000"/>
          <w:lang w:eastAsia="ar-SA" w:bidi="lt-LT"/>
        </w:rPr>
        <w:t>E. M.</w:t>
      </w:r>
      <w:r w:rsidRPr="00C00255">
        <w:rPr>
          <w:rFonts w:cs="Times New Roman"/>
          <w:i/>
          <w:color w:val="000000"/>
          <w:lang w:eastAsia="ar-SA" w:bidi="lt-LT"/>
        </w:rPr>
        <w:t>, 1-os baterijos būrio vadą leitenantą V</w:t>
      </w:r>
      <w:r w:rsidR="006036E7">
        <w:rPr>
          <w:rFonts w:cs="Times New Roman"/>
          <w:i/>
          <w:color w:val="000000"/>
          <w:lang w:eastAsia="ar-SA" w:bidi="lt-LT"/>
        </w:rPr>
        <w:t>. G.</w:t>
      </w:r>
      <w:r w:rsidRPr="00C00255">
        <w:rPr>
          <w:rFonts w:cs="Times New Roman"/>
          <w:i/>
          <w:color w:val="000000"/>
          <w:lang w:eastAsia="ar-SA" w:bidi="lt-LT"/>
        </w:rPr>
        <w:t xml:space="preserve">, 7-os kuopos būrio vadą leitenantą </w:t>
      </w:r>
      <w:r w:rsidR="006036E7">
        <w:rPr>
          <w:rFonts w:cs="Times New Roman"/>
          <w:i/>
          <w:color w:val="000000"/>
          <w:lang w:eastAsia="ar-SA" w:bidi="lt-LT"/>
        </w:rPr>
        <w:t>A. S.</w:t>
      </w:r>
      <w:r w:rsidRPr="00C00255">
        <w:rPr>
          <w:rFonts w:cs="Times New Roman"/>
          <w:i/>
          <w:color w:val="000000"/>
          <w:lang w:eastAsia="ar-SA" w:bidi="lt-LT"/>
        </w:rPr>
        <w:t xml:space="preserve">, 4-os kuopos būrio vadą leitenantą </w:t>
      </w:r>
      <w:r w:rsidR="006036E7">
        <w:rPr>
          <w:rFonts w:cs="Times New Roman"/>
          <w:i/>
          <w:color w:val="000000"/>
          <w:lang w:eastAsia="ar-SA" w:bidi="lt-LT"/>
        </w:rPr>
        <w:t>A. L.</w:t>
      </w:r>
      <w:r w:rsidRPr="00C00255">
        <w:rPr>
          <w:rFonts w:cs="Times New Roman"/>
          <w:i/>
          <w:color w:val="000000"/>
          <w:lang w:eastAsia="ar-SA" w:bidi="lt-LT"/>
        </w:rPr>
        <w:t xml:space="preserve">, 237-ojo pulko 2-os kuopos būrio vadą leitenantą </w:t>
      </w:r>
      <w:r w:rsidR="006036E7">
        <w:rPr>
          <w:rFonts w:cs="Times New Roman"/>
          <w:i/>
          <w:color w:val="000000"/>
          <w:lang w:eastAsia="ar-SA" w:bidi="lt-LT"/>
        </w:rPr>
        <w:t>J. J.</w:t>
      </w:r>
      <w:r w:rsidRPr="00C00255">
        <w:rPr>
          <w:rFonts w:cs="Times New Roman"/>
          <w:i/>
          <w:color w:val="000000"/>
          <w:lang w:eastAsia="ar-SA" w:bidi="lt-LT"/>
        </w:rPr>
        <w:t xml:space="preserve">, 2-os kuopos vado pavaduotoją leitenantą </w:t>
      </w:r>
      <w:r w:rsidR="006036E7">
        <w:rPr>
          <w:rFonts w:cs="Times New Roman"/>
          <w:i/>
          <w:color w:val="000000"/>
          <w:lang w:eastAsia="ar-SA" w:bidi="lt-LT"/>
        </w:rPr>
        <w:t>A. F. 2</w:t>
      </w:r>
      <w:r w:rsidRPr="00C00255">
        <w:rPr>
          <w:rFonts w:cs="Times New Roman"/>
          <w:i/>
          <w:color w:val="000000"/>
          <w:lang w:eastAsia="ar-SA" w:bidi="lt-LT"/>
        </w:rPr>
        <w:t>, 237-ojo pulko slaptosios tarnybos viršini</w:t>
      </w:r>
      <w:r w:rsidR="008C57FD" w:rsidRPr="00C00255">
        <w:rPr>
          <w:rFonts w:cs="Times New Roman"/>
          <w:i/>
          <w:color w:val="000000"/>
          <w:lang w:eastAsia="ar-SA" w:bidi="lt-LT"/>
        </w:rPr>
        <w:t xml:space="preserve">nką vyr. praporščikas </w:t>
      </w:r>
      <w:r w:rsidR="006036E7">
        <w:rPr>
          <w:rFonts w:cs="Times New Roman"/>
          <w:i/>
          <w:color w:val="000000"/>
          <w:lang w:eastAsia="ar-SA" w:bidi="lt-LT"/>
        </w:rPr>
        <w:t>A. I.</w:t>
      </w:r>
      <w:r w:rsidRPr="00C00255">
        <w:rPr>
          <w:rFonts w:cs="Times New Roman"/>
          <w:i/>
          <w:color w:val="000000"/>
          <w:lang w:eastAsia="ar-SA" w:bidi="lt-LT"/>
        </w:rPr>
        <w:t xml:space="preserve">, 7-os kuopos vyresnyjį techniką praporščiką </w:t>
      </w:r>
      <w:r w:rsidR="006036E7">
        <w:rPr>
          <w:rFonts w:cs="Times New Roman"/>
          <w:i/>
          <w:color w:val="000000"/>
          <w:lang w:eastAsia="ar-SA" w:bidi="lt-LT"/>
        </w:rPr>
        <w:t>A. C.</w:t>
      </w:r>
      <w:r w:rsidRPr="00C00255">
        <w:rPr>
          <w:rFonts w:cs="Times New Roman"/>
          <w:i/>
          <w:color w:val="000000"/>
          <w:lang w:eastAsia="ar-SA" w:bidi="lt-LT"/>
        </w:rPr>
        <w:t>,</w:t>
      </w:r>
    </w:p>
    <w:p w:rsidR="008C57FD" w:rsidRPr="00C00255" w:rsidRDefault="00742D54" w:rsidP="008C57FD">
      <w:pPr>
        <w:pStyle w:val="Standard"/>
        <w:tabs>
          <w:tab w:val="left" w:pos="992"/>
        </w:tabs>
        <w:ind w:left="992" w:firstLine="992"/>
        <w:jc w:val="both"/>
        <w:rPr>
          <w:rStyle w:val="Numatytasispastraiposriftas1"/>
          <w:rFonts w:cs="Times New Roman"/>
          <w:i/>
          <w:iCs/>
          <w:color w:val="000000"/>
          <w:lang w:eastAsia="ar-SA" w:bidi="lt-LT"/>
        </w:rPr>
      </w:pPr>
      <w:r w:rsidRPr="00C00255">
        <w:rPr>
          <w:rStyle w:val="Numatytasispastraiposriftas1"/>
          <w:rFonts w:cs="Times New Roman"/>
          <w:color w:val="000000"/>
          <w:lang w:eastAsia="ar-SA" w:bidi="lt-LT"/>
        </w:rPr>
        <w:t xml:space="preserve">- </w:t>
      </w:r>
      <w:r w:rsidRPr="00C00255">
        <w:rPr>
          <w:rStyle w:val="Numatytasispastraiposriftas1"/>
          <w:rFonts w:cs="Times New Roman"/>
          <w:i/>
          <w:color w:val="000000"/>
          <w:u w:val="single"/>
          <w:lang w:eastAsia="ar-SA" w:bidi="lt-LT"/>
        </w:rPr>
        <w:t>TSRS VRM Šiaurės Vakarų ir Pabaltijo vidaus kariuomenės valdybos viršininką generolą leitenantą V</w:t>
      </w:r>
      <w:r w:rsidR="00385BC9">
        <w:rPr>
          <w:rStyle w:val="Numatytasispastraiposriftas1"/>
          <w:rFonts w:cs="Times New Roman"/>
          <w:i/>
          <w:color w:val="000000"/>
          <w:u w:val="single"/>
          <w:lang w:eastAsia="ar-SA" w:bidi="lt-LT"/>
        </w:rPr>
        <w:t>. S. 1</w:t>
      </w:r>
      <w:r w:rsidRPr="00C00255">
        <w:rPr>
          <w:rStyle w:val="Numatytasispastraiposriftas1"/>
          <w:rFonts w:cs="Times New Roman"/>
          <w:i/>
          <w:color w:val="000000"/>
          <w:lang w:eastAsia="ar-SA" w:bidi="lt-LT"/>
        </w:rPr>
        <w:t xml:space="preserve">, TSRS VRM Vidaus kariuomenės 42-osios divizijos vadą generolą majorą </w:t>
      </w:r>
      <w:r w:rsidR="006036E7">
        <w:rPr>
          <w:rStyle w:val="Numatytasispastraiposriftas1"/>
          <w:rFonts w:cs="Times New Roman"/>
          <w:i/>
          <w:color w:val="000000"/>
          <w:lang w:eastAsia="ar-SA" w:bidi="lt-LT"/>
        </w:rPr>
        <w:t>A. Ž.</w:t>
      </w:r>
      <w:r w:rsidRPr="00C00255">
        <w:rPr>
          <w:rStyle w:val="Numatytasispastraiposriftas1"/>
          <w:rFonts w:cs="Times New Roman"/>
          <w:i/>
          <w:color w:val="000000"/>
          <w:lang w:eastAsia="ar-SA" w:bidi="lt-LT"/>
        </w:rPr>
        <w:t>, TSRS Gynybos ministerijos 107 motorizuotos šaulių divizijos vadą Vilniaus įgulos viršininką generolą majorą</w:t>
      </w:r>
      <w:r w:rsidR="008C57FD" w:rsidRPr="00C00255">
        <w:rPr>
          <w:rStyle w:val="Numatytasispastraiposriftas1"/>
          <w:rFonts w:cs="Times New Roman"/>
          <w:i/>
          <w:color w:val="000000"/>
          <w:lang w:eastAsia="ar-SA" w:bidi="lt-LT"/>
        </w:rPr>
        <w:t xml:space="preserve"> </w:t>
      </w:r>
      <w:r w:rsidR="006036E7">
        <w:rPr>
          <w:rStyle w:val="Numatytasispastraiposriftas1"/>
          <w:rFonts w:cs="Times New Roman"/>
          <w:i/>
          <w:color w:val="000000"/>
          <w:lang w:eastAsia="ar-SA" w:bidi="lt-LT"/>
        </w:rPr>
        <w:t>V. U. 1</w:t>
      </w:r>
      <w:r w:rsidR="008C57FD" w:rsidRPr="00C00255">
        <w:rPr>
          <w:rStyle w:val="Numatytasispastraiposriftas1"/>
          <w:rFonts w:cs="Times New Roman"/>
          <w:i/>
          <w:color w:val="000000"/>
          <w:lang w:eastAsia="ar-SA" w:bidi="lt-LT"/>
        </w:rPr>
        <w:t>, Vilniaus </w:t>
      </w:r>
      <w:r w:rsidRPr="00C00255">
        <w:rPr>
          <w:rStyle w:val="Numatytasispastraiposriftas1"/>
          <w:rFonts w:cs="Times New Roman"/>
          <w:i/>
          <w:color w:val="000000"/>
          <w:lang w:eastAsia="ar-SA" w:bidi="lt-LT"/>
        </w:rPr>
        <w:t xml:space="preserve">įgulos karinį komendantą pulkininką </w:t>
      </w:r>
      <w:r w:rsidR="006036E7">
        <w:rPr>
          <w:rStyle w:val="Numatytasispastraiposriftas1"/>
          <w:rFonts w:cs="Times New Roman"/>
          <w:i/>
          <w:color w:val="000000"/>
          <w:u w:val="single"/>
          <w:lang w:eastAsia="ar-SA" w:bidi="lt-LT"/>
        </w:rPr>
        <w:t>G. B.</w:t>
      </w:r>
      <w:r w:rsidRPr="00C00255">
        <w:rPr>
          <w:rStyle w:val="Numatytasispastraiposriftas1"/>
          <w:rFonts w:cs="Times New Roman"/>
          <w:i/>
          <w:color w:val="000000"/>
          <w:lang w:eastAsia="ar-SA" w:bidi="lt-LT"/>
        </w:rPr>
        <w:t xml:space="preserve">, raketų artilerinės ginkluotės viršininką papulkininką </w:t>
      </w:r>
      <w:r w:rsidR="00BA18FA">
        <w:rPr>
          <w:rStyle w:val="Numatytasispastraiposriftas1"/>
          <w:rFonts w:cs="Times New Roman"/>
          <w:i/>
          <w:color w:val="000000"/>
          <w:lang w:eastAsia="ar-SA" w:bidi="lt-LT"/>
        </w:rPr>
        <w:t>G. I.</w:t>
      </w:r>
      <w:r w:rsidRPr="00C00255">
        <w:rPr>
          <w:rStyle w:val="Numatytasispastraiposriftas1"/>
          <w:rFonts w:cs="Times New Roman"/>
          <w:i/>
          <w:color w:val="000000"/>
          <w:lang w:eastAsia="ar-SA" w:bidi="lt-LT"/>
        </w:rPr>
        <w:t>, 106-ojo tankų p</w:t>
      </w:r>
      <w:r w:rsidR="008C57FD" w:rsidRPr="00C00255">
        <w:rPr>
          <w:rStyle w:val="Numatytasispastraiposriftas1"/>
          <w:rFonts w:cs="Times New Roman"/>
          <w:i/>
          <w:color w:val="000000"/>
          <w:lang w:eastAsia="ar-SA" w:bidi="lt-LT"/>
        </w:rPr>
        <w:t xml:space="preserve">ulko vadą papulkininkį </w:t>
      </w:r>
      <w:r w:rsidR="004069BF">
        <w:rPr>
          <w:rStyle w:val="Numatytasispastraiposriftas1"/>
          <w:rFonts w:cs="Times New Roman"/>
          <w:i/>
          <w:color w:val="000000"/>
          <w:lang w:eastAsia="ar-SA" w:bidi="lt-LT"/>
        </w:rPr>
        <w:t>N. A.</w:t>
      </w:r>
      <w:r w:rsidRPr="00C00255">
        <w:rPr>
          <w:rStyle w:val="Numatytasispastraiposriftas1"/>
          <w:rFonts w:cs="Times New Roman"/>
          <w:i/>
          <w:color w:val="000000"/>
          <w:lang w:eastAsia="ar-SA" w:bidi="lt-LT"/>
        </w:rPr>
        <w:t xml:space="preserve">, pulko partinio biuro sekretorių papulkininkį </w:t>
      </w:r>
      <w:r w:rsidR="00C82C9D">
        <w:rPr>
          <w:rStyle w:val="Numatytasispastraiposriftas1"/>
          <w:rFonts w:cs="Times New Roman"/>
          <w:i/>
          <w:color w:val="000000"/>
          <w:lang w:eastAsia="ar-SA" w:bidi="lt-LT"/>
        </w:rPr>
        <w:t>V. U. 2</w:t>
      </w:r>
      <w:r w:rsidRPr="00C00255">
        <w:rPr>
          <w:rStyle w:val="Numatytasispastraiposriftas1"/>
          <w:rFonts w:cs="Times New Roman"/>
          <w:i/>
          <w:color w:val="000000"/>
          <w:lang w:eastAsia="ar-SA" w:bidi="lt-LT"/>
        </w:rPr>
        <w:t xml:space="preserve">, pulko bataliono vado pavaduotoją ginkluotei majorą </w:t>
      </w:r>
      <w:r w:rsidR="00C82C9D">
        <w:rPr>
          <w:rStyle w:val="Numatytasispastraiposriftas1"/>
          <w:rFonts w:cs="Times New Roman"/>
          <w:i/>
          <w:color w:val="000000"/>
          <w:lang w:eastAsia="ar-SA" w:bidi="lt-LT"/>
        </w:rPr>
        <w:t>V. S. 4</w:t>
      </w:r>
      <w:r w:rsidRPr="00C00255">
        <w:rPr>
          <w:rStyle w:val="Numatytasispastraiposriftas1"/>
          <w:rFonts w:cs="Times New Roman"/>
          <w:i/>
          <w:color w:val="000000"/>
          <w:lang w:eastAsia="ar-SA" w:bidi="lt-LT"/>
        </w:rPr>
        <w:t xml:space="preserve">, pulko bataliono vado pavaduotoją majorą </w:t>
      </w:r>
      <w:r w:rsidR="00C82C9D">
        <w:rPr>
          <w:rStyle w:val="Numatytasispastraiposriftas1"/>
          <w:rFonts w:cs="Times New Roman"/>
          <w:i/>
          <w:color w:val="000000"/>
          <w:lang w:eastAsia="ar-SA" w:bidi="lt-LT"/>
        </w:rPr>
        <w:t>V. Š. 3</w:t>
      </w:r>
      <w:r w:rsidRPr="00C00255">
        <w:rPr>
          <w:rStyle w:val="Numatytasispastraiposriftas1"/>
          <w:rFonts w:cs="Times New Roman"/>
          <w:i/>
          <w:color w:val="000000"/>
          <w:lang w:eastAsia="ar-SA" w:bidi="lt-LT"/>
        </w:rPr>
        <w:t xml:space="preserve">, kuopos vadą kapitoną </w:t>
      </w:r>
      <w:r w:rsidR="00C82C9D">
        <w:rPr>
          <w:rStyle w:val="Numatytasispastraiposriftas1"/>
          <w:rFonts w:cs="Times New Roman"/>
          <w:i/>
          <w:color w:val="000000"/>
          <w:lang w:eastAsia="ar-SA" w:bidi="lt-LT"/>
        </w:rPr>
        <w:t>V. P.</w:t>
      </w:r>
      <w:r w:rsidRPr="00C00255">
        <w:rPr>
          <w:rStyle w:val="Numatytasispastraiposriftas1"/>
          <w:rFonts w:cs="Times New Roman"/>
          <w:i/>
          <w:color w:val="000000"/>
          <w:lang w:eastAsia="ar-SA" w:bidi="lt-LT"/>
        </w:rPr>
        <w:t xml:space="preserve">, pulko bataliono vado pavaduotoją kapitoną </w:t>
      </w:r>
      <w:r w:rsidR="00C82C9D">
        <w:rPr>
          <w:rStyle w:val="Numatytasispastraiposriftas1"/>
          <w:rFonts w:cs="Times New Roman"/>
          <w:i/>
          <w:color w:val="000000"/>
          <w:lang w:eastAsia="ar-SA" w:bidi="lt-LT"/>
        </w:rPr>
        <w:t>S. V.</w:t>
      </w:r>
      <w:r w:rsidRPr="00C00255">
        <w:rPr>
          <w:rStyle w:val="Numatytasispastraiposriftas1"/>
          <w:rFonts w:cs="Times New Roman"/>
          <w:i/>
          <w:color w:val="000000"/>
          <w:lang w:eastAsia="ar-SA" w:bidi="lt-LT"/>
        </w:rPr>
        <w:t xml:space="preserve">, pulko kuopos vadą kapitoną </w:t>
      </w:r>
      <w:r w:rsidR="00C82C9D">
        <w:rPr>
          <w:rStyle w:val="Numatytasispastraiposriftas1"/>
          <w:rFonts w:cs="Times New Roman"/>
          <w:i/>
          <w:color w:val="000000"/>
          <w:lang w:eastAsia="ar-SA" w:bidi="lt-LT"/>
        </w:rPr>
        <w:t>E. R.</w:t>
      </w:r>
      <w:r w:rsidRPr="00C00255">
        <w:rPr>
          <w:rStyle w:val="Numatytasispastraiposriftas1"/>
          <w:rFonts w:cs="Times New Roman"/>
          <w:i/>
          <w:color w:val="000000"/>
          <w:lang w:eastAsia="ar-SA" w:bidi="lt-LT"/>
        </w:rPr>
        <w:t xml:space="preserve">, pulko vado pavaduotoją kapitoną </w:t>
      </w:r>
      <w:r w:rsidR="00C82C9D">
        <w:rPr>
          <w:rStyle w:val="Numatytasispastraiposriftas1"/>
          <w:rFonts w:cs="Times New Roman"/>
          <w:i/>
          <w:color w:val="000000"/>
          <w:lang w:eastAsia="ar-SA" w:bidi="lt-LT"/>
        </w:rPr>
        <w:t>J. O.</w:t>
      </w:r>
      <w:r w:rsidRPr="00C00255">
        <w:rPr>
          <w:rStyle w:val="Numatytasispastraiposriftas1"/>
          <w:rFonts w:cs="Times New Roman"/>
          <w:i/>
          <w:color w:val="000000"/>
          <w:lang w:eastAsia="ar-SA" w:bidi="lt-LT"/>
        </w:rPr>
        <w:t>, pulko</w:t>
      </w:r>
      <w:r w:rsidR="008434B8"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lang w:eastAsia="ar-SA" w:bidi="lt-LT"/>
        </w:rPr>
        <w:t>kuopos vadą vyr.</w:t>
      </w:r>
      <w:r w:rsidR="00D56C29">
        <w:rPr>
          <w:rStyle w:val="Numatytasispastraiposriftas1"/>
          <w:rFonts w:cs="Times New Roman"/>
          <w:i/>
          <w:color w:val="000000"/>
          <w:lang w:eastAsia="ar-SA" w:bidi="lt-LT"/>
        </w:rPr>
        <w:t> </w:t>
      </w:r>
      <w:r w:rsidRPr="00C00255">
        <w:rPr>
          <w:rStyle w:val="Numatytasispastraiposriftas1"/>
          <w:rFonts w:cs="Times New Roman"/>
          <w:i/>
          <w:color w:val="000000"/>
          <w:lang w:eastAsia="ar-SA" w:bidi="lt-LT"/>
        </w:rPr>
        <w:t xml:space="preserve">leitenantą </w:t>
      </w:r>
      <w:r w:rsidR="00C82C9D">
        <w:rPr>
          <w:rStyle w:val="Numatytasispastraiposriftas1"/>
          <w:rFonts w:cs="Times New Roman"/>
          <w:i/>
          <w:color w:val="000000"/>
          <w:lang w:eastAsia="ar-SA" w:bidi="lt-LT"/>
        </w:rPr>
        <w:t>A. G. 1</w:t>
      </w:r>
      <w:r w:rsidRPr="00C00255">
        <w:rPr>
          <w:rStyle w:val="Numatytasispastraiposriftas1"/>
          <w:rFonts w:cs="Times New Roman"/>
          <w:i/>
          <w:color w:val="000000"/>
          <w:lang w:eastAsia="ar-SA" w:bidi="lt-LT"/>
        </w:rPr>
        <w:t>, pulko</w:t>
      </w:r>
      <w:r w:rsidR="008434B8"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lang w:eastAsia="ar-SA" w:bidi="lt-LT"/>
        </w:rPr>
        <w:t xml:space="preserve">kuopos vadą vyr. leitenantą </w:t>
      </w:r>
      <w:r w:rsidR="00C82C9D">
        <w:rPr>
          <w:rStyle w:val="Numatytasispastraiposriftas1"/>
          <w:rFonts w:cs="Times New Roman"/>
          <w:i/>
          <w:color w:val="000000"/>
          <w:lang w:eastAsia="ar-SA" w:bidi="lt-LT"/>
        </w:rPr>
        <w:t>A. B.</w:t>
      </w:r>
      <w:r w:rsidRPr="00C00255">
        <w:rPr>
          <w:rStyle w:val="Numatytasispastraiposriftas1"/>
          <w:rFonts w:cs="Times New Roman"/>
          <w:i/>
          <w:color w:val="000000"/>
          <w:lang w:eastAsia="ar-SA" w:bidi="lt-LT"/>
        </w:rPr>
        <w:t xml:space="preserve">, pulko kuopos vadą leitenentą </w:t>
      </w:r>
      <w:r w:rsidR="00C82C9D">
        <w:rPr>
          <w:rStyle w:val="Numatytasispastraiposriftas1"/>
          <w:rFonts w:cs="Times New Roman"/>
          <w:i/>
          <w:color w:val="000000"/>
          <w:lang w:eastAsia="ar-SA" w:bidi="lt-LT"/>
        </w:rPr>
        <w:t>O. A.</w:t>
      </w:r>
      <w:r w:rsidRPr="00C00255">
        <w:rPr>
          <w:rStyle w:val="Numatytasispastraiposriftas1"/>
          <w:rFonts w:cs="Times New Roman"/>
          <w:i/>
          <w:color w:val="000000"/>
          <w:lang w:eastAsia="ar-SA" w:bidi="lt-LT"/>
        </w:rPr>
        <w:t xml:space="preserve">, pulko būrio vado pavaduotoją leitenantą </w:t>
      </w:r>
      <w:r w:rsidR="00C82C9D">
        <w:rPr>
          <w:rStyle w:val="Numatytasispastraiposriftas1"/>
          <w:rFonts w:cs="Times New Roman"/>
          <w:i/>
          <w:color w:val="000000"/>
          <w:lang w:eastAsia="ar-SA" w:bidi="lt-LT"/>
        </w:rPr>
        <w:t>N. S.</w:t>
      </w:r>
      <w:r w:rsidRPr="00C00255">
        <w:rPr>
          <w:rStyle w:val="Numatytasispastraiposriftas1"/>
          <w:rFonts w:cs="Times New Roman"/>
          <w:i/>
          <w:color w:val="000000"/>
          <w:lang w:eastAsia="ar-SA" w:bidi="lt-LT"/>
        </w:rPr>
        <w:t xml:space="preserve">, kuopos vado pavaduotoją leitenantą </w:t>
      </w:r>
      <w:r w:rsidR="00C82C9D">
        <w:rPr>
          <w:rStyle w:val="Numatytasispastraiposriftas1"/>
          <w:rFonts w:cs="Times New Roman"/>
          <w:i/>
          <w:color w:val="000000"/>
          <w:lang w:eastAsia="ar-SA" w:bidi="lt-LT"/>
        </w:rPr>
        <w:t>A. U.</w:t>
      </w:r>
      <w:r w:rsidRPr="00C00255">
        <w:rPr>
          <w:rStyle w:val="Numatytasispastraiposriftas1"/>
          <w:rFonts w:cs="Times New Roman"/>
          <w:i/>
          <w:color w:val="000000"/>
          <w:lang w:eastAsia="ar-SA" w:bidi="lt-LT"/>
        </w:rPr>
        <w:t>,</w:t>
      </w:r>
      <w:r w:rsidR="008434B8"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lang w:eastAsia="ar-SA" w:bidi="lt-LT"/>
        </w:rPr>
        <w:t xml:space="preserve">kuopos vadą leitenantą </w:t>
      </w:r>
      <w:r w:rsidR="00A97F74">
        <w:rPr>
          <w:rStyle w:val="Numatytasispastraiposriftas1"/>
          <w:rFonts w:cs="Times New Roman"/>
          <w:i/>
          <w:color w:val="000000"/>
          <w:lang w:eastAsia="ar-SA" w:bidi="lt-LT"/>
        </w:rPr>
        <w:t>A. K. 1</w:t>
      </w:r>
      <w:r w:rsidRPr="00C00255">
        <w:rPr>
          <w:rStyle w:val="Numatytasispastraiposriftas1"/>
          <w:rFonts w:cs="Times New Roman"/>
          <w:i/>
          <w:color w:val="000000"/>
          <w:lang w:eastAsia="ar-SA" w:bidi="lt-LT"/>
        </w:rPr>
        <w:t xml:space="preserve">, būrio vadą leitenantą </w:t>
      </w:r>
      <w:r w:rsidR="00A97F74">
        <w:rPr>
          <w:rStyle w:val="Numatytasispastraiposriftas1"/>
          <w:rFonts w:cs="Times New Roman"/>
          <w:i/>
          <w:color w:val="000000"/>
          <w:lang w:eastAsia="ar-SA" w:bidi="lt-LT"/>
        </w:rPr>
        <w:t>D. F.</w:t>
      </w:r>
      <w:r w:rsidR="00BA18FA">
        <w:rPr>
          <w:rStyle w:val="Numatytasispastraiposriftas1"/>
          <w:rFonts w:cs="Times New Roman"/>
          <w:i/>
          <w:color w:val="000000"/>
          <w:lang w:eastAsia="ar-SA" w:bidi="lt-LT"/>
        </w:rPr>
        <w:t>, būrio vadą leitenantą J. M.</w:t>
      </w:r>
      <w:r w:rsidRPr="00C00255">
        <w:rPr>
          <w:rStyle w:val="Numatytasispastraiposriftas1"/>
          <w:rFonts w:cs="Times New Roman"/>
          <w:i/>
          <w:color w:val="000000"/>
          <w:lang w:eastAsia="ar-SA" w:bidi="lt-LT"/>
        </w:rPr>
        <w:t xml:space="preserve">, būrio vadą leitenantą </w:t>
      </w:r>
      <w:r w:rsidR="00A97F74">
        <w:rPr>
          <w:rStyle w:val="Numatytasispastraiposriftas1"/>
          <w:rFonts w:cs="Times New Roman"/>
          <w:i/>
          <w:color w:val="000000"/>
          <w:lang w:eastAsia="ar-SA" w:bidi="lt-LT"/>
        </w:rPr>
        <w:t>D. B.</w:t>
      </w:r>
      <w:r w:rsidRPr="00C00255">
        <w:rPr>
          <w:rStyle w:val="Numatytasispastraiposriftas1"/>
          <w:rFonts w:cs="Times New Roman"/>
          <w:i/>
          <w:color w:val="000000"/>
          <w:lang w:eastAsia="ar-SA" w:bidi="lt-LT"/>
        </w:rPr>
        <w:t xml:space="preserve">, būrio vadą leitenantą </w:t>
      </w:r>
      <w:r w:rsidR="00A97F74">
        <w:rPr>
          <w:rStyle w:val="Numatytasispastraiposriftas1"/>
          <w:rFonts w:cs="Times New Roman"/>
          <w:i/>
          <w:color w:val="000000"/>
          <w:lang w:eastAsia="ar-SA" w:bidi="lt-LT"/>
        </w:rPr>
        <w:t>N. O.</w:t>
      </w:r>
      <w:r w:rsidRPr="00C00255">
        <w:rPr>
          <w:rStyle w:val="Numatytasispastraiposriftas1"/>
          <w:rFonts w:cs="Times New Roman"/>
          <w:i/>
          <w:color w:val="000000"/>
          <w:lang w:eastAsia="ar-SA" w:bidi="lt-LT"/>
        </w:rPr>
        <w:t xml:space="preserve">, būrio vadą leitenantą </w:t>
      </w:r>
      <w:r w:rsidR="00A97F74">
        <w:rPr>
          <w:rStyle w:val="Numatytasispastraiposriftas1"/>
          <w:rFonts w:cs="Times New Roman"/>
          <w:i/>
          <w:color w:val="000000"/>
          <w:lang w:eastAsia="ar-SA" w:bidi="lt-LT"/>
        </w:rPr>
        <w:t>A. K. 2</w:t>
      </w:r>
      <w:r w:rsidRPr="00C00255">
        <w:rPr>
          <w:rStyle w:val="Numatytasispastraiposriftas1"/>
          <w:rFonts w:cs="Times New Roman"/>
          <w:i/>
          <w:color w:val="000000"/>
          <w:lang w:eastAsia="ar-SA" w:bidi="lt-LT"/>
        </w:rPr>
        <w:t xml:space="preserve">, kuopos vado pavaduotoją ginkluotei leitenantą </w:t>
      </w:r>
      <w:r w:rsidR="00A97F74">
        <w:rPr>
          <w:rStyle w:val="Numatytasispastraiposriftas1"/>
          <w:rFonts w:cs="Times New Roman"/>
          <w:i/>
          <w:color w:val="000000"/>
          <w:lang w:eastAsia="ar-SA" w:bidi="lt-LT"/>
        </w:rPr>
        <w:t>A. R.</w:t>
      </w:r>
      <w:r w:rsidRPr="00C00255">
        <w:rPr>
          <w:rStyle w:val="Numatytasispastraiposriftas1"/>
          <w:rFonts w:cs="Times New Roman"/>
          <w:i/>
          <w:color w:val="000000"/>
          <w:lang w:eastAsia="ar-SA" w:bidi="lt-LT"/>
        </w:rPr>
        <w:t>;</w:t>
      </w:r>
    </w:p>
    <w:p w:rsidR="00742D54" w:rsidRPr="00C00255" w:rsidRDefault="00742D54" w:rsidP="008C57FD">
      <w:pPr>
        <w:pStyle w:val="Standard"/>
        <w:tabs>
          <w:tab w:val="left" w:pos="992"/>
        </w:tabs>
        <w:ind w:left="992" w:firstLine="992"/>
        <w:jc w:val="both"/>
        <w:rPr>
          <w:rFonts w:cs="Times New Roman"/>
          <w:i/>
          <w:iCs/>
          <w:color w:val="000000"/>
          <w:lang w:eastAsia="ar-SA" w:bidi="lt-LT"/>
        </w:rPr>
      </w:pPr>
      <w:r w:rsidRPr="00C00255">
        <w:rPr>
          <w:rStyle w:val="Numatytasispastraiposriftas1"/>
          <w:rFonts w:cs="Times New Roman"/>
          <w:color w:val="000000"/>
          <w:lang w:eastAsia="ar-SA" w:bidi="lt-LT"/>
        </w:rPr>
        <w:t xml:space="preserve">- </w:t>
      </w:r>
      <w:r w:rsidRPr="00C00255">
        <w:rPr>
          <w:rStyle w:val="Numatytasispastraiposriftas1"/>
          <w:rFonts w:cs="Times New Roman"/>
          <w:i/>
          <w:color w:val="000000"/>
          <w:lang w:eastAsia="ar-SA" w:bidi="lt-LT"/>
        </w:rPr>
        <w:t xml:space="preserve">TSRS VRM Vidaus kariuomenės 42-osios divizijos konvojaus pulko vadą papulkininkį </w:t>
      </w:r>
      <w:r w:rsidR="00A97F74">
        <w:rPr>
          <w:rStyle w:val="Numatytasispastraiposriftas1"/>
          <w:rFonts w:cs="Times New Roman"/>
          <w:i/>
          <w:color w:val="000000"/>
          <w:lang w:eastAsia="ar-SA" w:bidi="lt-LT"/>
        </w:rPr>
        <w:t>S. F.</w:t>
      </w:r>
      <w:r w:rsidRPr="00C00255">
        <w:rPr>
          <w:rStyle w:val="Numatytasispastraiposriftas1"/>
          <w:rFonts w:cs="Times New Roman"/>
          <w:i/>
          <w:color w:val="000000"/>
          <w:lang w:eastAsia="ar-SA" w:bidi="lt-LT"/>
        </w:rPr>
        <w:t xml:space="preserve">, pulko vado pavaduotoją papulkininkį </w:t>
      </w:r>
      <w:r w:rsidR="00A97F74">
        <w:rPr>
          <w:rStyle w:val="Numatytasispastraiposriftas1"/>
          <w:rFonts w:cs="Times New Roman"/>
          <w:i/>
          <w:color w:val="000000"/>
          <w:lang w:eastAsia="ar-SA" w:bidi="lt-LT"/>
        </w:rPr>
        <w:t>V. R.</w:t>
      </w:r>
      <w:r w:rsidRPr="00C00255">
        <w:rPr>
          <w:rStyle w:val="Numatytasispastraiposriftas1"/>
          <w:rFonts w:cs="Times New Roman"/>
          <w:i/>
          <w:color w:val="000000"/>
          <w:lang w:eastAsia="ar-SA" w:bidi="lt-LT"/>
        </w:rPr>
        <w:t xml:space="preserve">, pulko Ryšių tarnybos viršininką majorą </w:t>
      </w:r>
      <w:r w:rsidR="00A97F74">
        <w:rPr>
          <w:rStyle w:val="Numatytasispastraiposriftas1"/>
          <w:rFonts w:cs="Times New Roman"/>
          <w:i/>
          <w:color w:val="000000"/>
          <w:lang w:eastAsia="ar-SA" w:bidi="lt-LT"/>
        </w:rPr>
        <w:t>V. Š. 2</w:t>
      </w:r>
      <w:r w:rsidRPr="00C00255">
        <w:rPr>
          <w:rStyle w:val="Numatytasispastraiposriftas1"/>
          <w:rFonts w:cs="Times New Roman"/>
          <w:i/>
          <w:color w:val="000000"/>
          <w:lang w:eastAsia="ar-SA" w:bidi="lt-LT"/>
        </w:rPr>
        <w:t xml:space="preserve">, pulko specialiosios paskirties mokomosios kuopos vado pavaduotoją kapitoną </w:t>
      </w:r>
      <w:r w:rsidR="00A97F74">
        <w:rPr>
          <w:rStyle w:val="Numatytasispastraiposriftas1"/>
          <w:rFonts w:cs="Times New Roman"/>
          <w:i/>
          <w:color w:val="000000"/>
          <w:lang w:eastAsia="ar-SA" w:bidi="lt-LT"/>
        </w:rPr>
        <w:t>V. M.</w:t>
      </w:r>
      <w:r w:rsidRPr="00C00255">
        <w:rPr>
          <w:rStyle w:val="Numatytasispastraiposriftas1"/>
          <w:rFonts w:cs="Times New Roman"/>
          <w:i/>
          <w:color w:val="000000"/>
          <w:lang w:eastAsia="ar-SA" w:bidi="lt-LT"/>
        </w:rPr>
        <w:t xml:space="preserve">, Ryšių grandies viršininko pavaduotoją kapitoną </w:t>
      </w:r>
      <w:r w:rsidR="00DC0414">
        <w:rPr>
          <w:rStyle w:val="Numatytasispastraiposriftas1"/>
          <w:rFonts w:cs="Times New Roman"/>
          <w:i/>
          <w:color w:val="000000"/>
          <w:lang w:eastAsia="ar-SA" w:bidi="lt-LT"/>
        </w:rPr>
        <w:t>G. P.</w:t>
      </w:r>
      <w:r w:rsidRPr="00C00255">
        <w:rPr>
          <w:rStyle w:val="Numatytasispastraiposriftas1"/>
          <w:rFonts w:cs="Times New Roman"/>
          <w:i/>
          <w:color w:val="000000"/>
          <w:lang w:eastAsia="ar-SA" w:bidi="lt-LT"/>
        </w:rPr>
        <w:t xml:space="preserve">, specialiosios paskirties mokomosios kuopos vadą vyr. leitenantą </w:t>
      </w:r>
      <w:r w:rsidR="00DC0414">
        <w:rPr>
          <w:rStyle w:val="Numatytasispastraiposriftas1"/>
          <w:rFonts w:cs="Times New Roman"/>
          <w:i/>
          <w:color w:val="000000"/>
          <w:lang w:eastAsia="ar-SA" w:bidi="lt-LT"/>
        </w:rPr>
        <w:t>O. M.</w:t>
      </w:r>
      <w:r w:rsidRPr="00C00255">
        <w:rPr>
          <w:rStyle w:val="Numatytasispastraiposriftas1"/>
          <w:rFonts w:cs="Times New Roman"/>
          <w:i/>
          <w:color w:val="000000"/>
          <w:lang w:eastAsia="ar-SA" w:bidi="lt-LT"/>
        </w:rPr>
        <w:t xml:space="preserve">, specialiosios paskirties mokomosios kuopos būrio vadą vyr. leitenantą </w:t>
      </w:r>
      <w:r w:rsidR="00DC0414">
        <w:rPr>
          <w:rStyle w:val="Numatytasispastraiposriftas1"/>
          <w:rFonts w:cs="Times New Roman"/>
          <w:i/>
          <w:color w:val="000000"/>
          <w:lang w:eastAsia="ar-SA" w:bidi="lt-LT"/>
        </w:rPr>
        <w:t>M. C.</w:t>
      </w:r>
      <w:r w:rsidRPr="00C00255">
        <w:rPr>
          <w:rStyle w:val="Numatytasispastraiposriftas1"/>
          <w:rFonts w:cs="Times New Roman"/>
          <w:i/>
          <w:color w:val="000000"/>
          <w:lang w:eastAsia="ar-SA" w:bidi="lt-LT"/>
        </w:rPr>
        <w:t xml:space="preserve">, specialiosios paskirties mokomosios kuopos instruktorių metodistą praporščiką </w:t>
      </w:r>
      <w:r w:rsidR="00DC0414">
        <w:rPr>
          <w:rStyle w:val="Numatytasispastraiposriftas1"/>
          <w:rFonts w:cs="Times New Roman"/>
          <w:i/>
          <w:color w:val="000000"/>
          <w:lang w:eastAsia="ar-SA" w:bidi="lt-LT"/>
        </w:rPr>
        <w:t>J. S.</w:t>
      </w:r>
      <w:r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u w:val="single"/>
          <w:lang w:eastAsia="ar-SA" w:bidi="lt-LT"/>
        </w:rPr>
        <w:t>kurie</w:t>
      </w:r>
      <w:r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u w:val="single"/>
          <w:lang w:eastAsia="ar-SA" w:bidi="lt-LT"/>
        </w:rPr>
        <w:t>veikdami</w:t>
      </w:r>
      <w:r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u w:val="single"/>
          <w:lang w:eastAsia="ar-SA" w:bidi="lt-LT"/>
        </w:rPr>
        <w:t>organizuotoje grupėje</w:t>
      </w:r>
      <w:r w:rsidRPr="00C00255">
        <w:rPr>
          <w:rStyle w:val="Numatytasispastraiposriftas1"/>
          <w:rFonts w:cs="Times New Roman"/>
          <w:i/>
          <w:color w:val="000000"/>
          <w:lang w:eastAsia="ar-SA" w:bidi="lt-LT"/>
        </w:rPr>
        <w:t xml:space="preserve"> tyčia, </w:t>
      </w:r>
      <w:r w:rsidRPr="00C00255">
        <w:rPr>
          <w:rStyle w:val="Numatytasispastraiposriftas1"/>
          <w:rFonts w:cs="Times New Roman"/>
          <w:i/>
          <w:color w:val="000000"/>
          <w:u w:val="single"/>
          <w:lang w:eastAsia="ar-SA" w:bidi="lt-LT"/>
        </w:rPr>
        <w:t xml:space="preserve">vykdydami ir remdami kitos valstybės TSRS ir organizacijos TSKP politiką dideliu mastu ir sistemingai užpuldinėti civilius, persekiojo civilius dėl politinių ir nacionalinių motyvų, kuriuos draudžia tarptautinė teisė, juos žudė, </w:t>
      </w:r>
      <w:r w:rsidRPr="00C00255">
        <w:rPr>
          <w:rStyle w:val="Numatytasispastraiposriftas1"/>
          <w:rFonts w:cs="Times New Roman"/>
          <w:i/>
          <w:color w:val="000000"/>
          <w:lang w:eastAsia="ar-SA" w:bidi="lt-LT"/>
        </w:rPr>
        <w:t xml:space="preserve">sunkiai sutrikdė jų sveikatą; agresijos </w:t>
      </w:r>
      <w:r w:rsidRPr="00C00255">
        <w:rPr>
          <w:rStyle w:val="Numatytasispastraiposriftas1"/>
          <w:rFonts w:cs="Times New Roman"/>
          <w:i/>
          <w:color w:val="000000"/>
          <w:u w:val="single"/>
          <w:lang w:eastAsia="ar-SA" w:bidi="lt-LT"/>
        </w:rPr>
        <w:t>ir ginkluoto konflikto metu įsakė, organizavo žudyti</w:t>
      </w:r>
      <w:r w:rsidRPr="00C00255">
        <w:rPr>
          <w:rStyle w:val="Numatytasispastraiposriftas1"/>
          <w:rFonts w:cs="Times New Roman"/>
          <w:i/>
          <w:color w:val="000000"/>
          <w:lang w:eastAsia="ar-SA" w:bidi="lt-LT"/>
        </w:rPr>
        <w:t xml:space="preserve">, žudė tarptautinės </w:t>
      </w:r>
      <w:r w:rsidRPr="00C00255">
        <w:rPr>
          <w:rStyle w:val="Numatytasispastraiposriftas1"/>
          <w:rFonts w:cs="Times New Roman"/>
          <w:i/>
          <w:color w:val="000000"/>
          <w:lang w:eastAsia="ar-SA" w:bidi="lt-LT"/>
        </w:rPr>
        <w:lastRenderedPageBreak/>
        <w:t xml:space="preserve">humanitarinės teisės saugomus asmenis, </w:t>
      </w:r>
      <w:r w:rsidRPr="00C00255">
        <w:rPr>
          <w:rStyle w:val="Numatytasispastraiposriftas1"/>
          <w:rFonts w:cs="Times New Roman"/>
          <w:i/>
          <w:color w:val="000000"/>
          <w:u w:val="single"/>
          <w:lang w:eastAsia="ar-SA" w:bidi="lt-LT"/>
        </w:rPr>
        <w:t xml:space="preserve">įsakė, organizavo nežmoniškai elgtis ir </w:t>
      </w:r>
      <w:r w:rsidRPr="00C00255">
        <w:rPr>
          <w:rStyle w:val="Numatytasispastraiposriftas1"/>
          <w:rFonts w:cs="Times New Roman"/>
          <w:i/>
          <w:color w:val="000000"/>
          <w:lang w:eastAsia="ar-SA" w:bidi="lt-LT"/>
        </w:rPr>
        <w:t xml:space="preserve">nežmoniškai elgėsi su tarptautinės humanitarinės teisės saugomais asmenimis: juos sunkiai sužalojo, naudojo bauginimo ir teroro priemones, </w:t>
      </w:r>
      <w:r w:rsidRPr="00C00255">
        <w:rPr>
          <w:rStyle w:val="Numatytasispastraiposriftas1"/>
          <w:rFonts w:cs="Times New Roman"/>
          <w:i/>
          <w:color w:val="000000"/>
          <w:u w:val="single"/>
          <w:lang w:eastAsia="ar-SA" w:bidi="lt-LT"/>
        </w:rPr>
        <w:t>neteisėtai suvaržė ir atėmė jų laisvę</w:t>
      </w:r>
      <w:r w:rsidRPr="00C00255">
        <w:rPr>
          <w:rStyle w:val="Numatytasispastraiposriftas1"/>
          <w:rFonts w:cs="Times New Roman"/>
          <w:i/>
          <w:color w:val="000000"/>
          <w:lang w:eastAsia="ar-SA" w:bidi="lt-LT"/>
        </w:rPr>
        <w:t xml:space="preserve">, įsakė vykdyti ir vykdė tarptautinės humanitarinės teisės draudžiamą karo ataką prieš civilius; pažeisdami Lietuvos Respublikos tarptautinių sutarčių ar visuotinai pripažintų tarptautinių papročių dėl karo priemonių nuostatas įsakė karo veiksmuose panaudoti </w:t>
      </w:r>
      <w:r w:rsidRPr="00C00255">
        <w:rPr>
          <w:rStyle w:val="Numatytasispastraiposriftas1"/>
          <w:rFonts w:cs="Times New Roman"/>
          <w:i/>
          <w:color w:val="000000"/>
          <w:u w:val="single"/>
          <w:lang w:eastAsia="ar-SA" w:bidi="lt-LT"/>
        </w:rPr>
        <w:t>ir</w:t>
      </w:r>
      <w:r w:rsidRPr="00C00255">
        <w:rPr>
          <w:rStyle w:val="Numatytasispastraiposriftas1"/>
          <w:rFonts w:cs="Times New Roman"/>
          <w:i/>
          <w:color w:val="000000"/>
          <w:lang w:eastAsia="ar-SA" w:bidi="lt-LT"/>
        </w:rPr>
        <w:t xml:space="preserve"> panaudojo uždraustas karo priemones.</w:t>
      </w:r>
    </w:p>
    <w:p w:rsidR="00742D54" w:rsidRPr="00C00255" w:rsidRDefault="00742D54" w:rsidP="008C57FD">
      <w:pPr>
        <w:pStyle w:val="Standard"/>
        <w:spacing w:before="120" w:after="120"/>
        <w:ind w:firstLine="992"/>
        <w:jc w:val="center"/>
        <w:rPr>
          <w:rFonts w:cs="Times New Roman"/>
          <w:b/>
          <w:i/>
          <w:color w:val="000000"/>
          <w:lang w:eastAsia="ar-SA" w:bidi="lt-LT"/>
        </w:rPr>
      </w:pPr>
      <w:r w:rsidRPr="00C00255">
        <w:rPr>
          <w:rFonts w:cs="Times New Roman"/>
          <w:b/>
          <w:i/>
          <w:color w:val="000000"/>
          <w:lang w:eastAsia="ar-SA" w:bidi="lt-LT"/>
        </w:rPr>
        <w:t>NUSIKALSTAMŲ VEIKSMŲ PRIEŠ LIETUVOS VALSTYBĘ RENGIMAS, KARINĖS OPERACIJOS PLANAVIMAS</w:t>
      </w:r>
    </w:p>
    <w:p w:rsidR="00025AB4" w:rsidRDefault="00742D54" w:rsidP="00025AB4">
      <w:pPr>
        <w:pStyle w:val="Sraopastraipa1"/>
        <w:ind w:left="992" w:firstLine="992"/>
        <w:jc w:val="both"/>
        <w:rPr>
          <w:rFonts w:eastAsia="Times New Roman"/>
          <w:b w:val="0"/>
          <w:i/>
        </w:rPr>
      </w:pPr>
      <w:r w:rsidRPr="00C00255">
        <w:rPr>
          <w:rFonts w:eastAsia="Times New Roman"/>
          <w:b w:val="0"/>
          <w:i/>
        </w:rPr>
        <w:t>1989 metų pabaigoje Lietuvos komunistų partijai (toliau – LKP) atsiskiriant nuo TSKP, dalis LKP suvažiavimo dalyvių, gavę TSKP Centro komiteto (toliau – TSKP CK) vadovų pritarimą, paskelbė apie atsiskyrimą nuo LKP ir įkūrė LKP/TSKP, kuri vykdė tik TSRS ir TSKP vadovybės nurodymus, priešinosi Lietuvos nepriklausomos valstybės atkūrimui, priešiškai sutiko 1990 m. kovo mėn. 11 d. Nepriklausomybės Aktą. Po Lietuvos nepriklausomybės paskelbimo LKP/TSKP tapo užsienio valstybės - TSKP padaliniu Lietuvoje, kuris nepakluso Lietuvos Respublikos įstatymams ir vykdė užsienio organizacijos užduotis.</w:t>
      </w:r>
    </w:p>
    <w:p w:rsidR="00025AB4" w:rsidRPr="00025AB4" w:rsidRDefault="00025AB4" w:rsidP="00025AB4">
      <w:pPr>
        <w:ind w:left="992" w:firstLine="992"/>
        <w:rPr>
          <w:i/>
        </w:rPr>
      </w:pPr>
      <w:r w:rsidRPr="00025AB4">
        <w:rPr>
          <w:i/>
        </w:rPr>
        <w:t>Siekdami grąžinti Lietuvą į TSRS sudėtį, LKP/TSKP vadovai, kaltinamieji LKP/TSKP CK II sekretorius kaltinamasis V. Š. 1, LKP/TSKP CK sekretorius generolas majoras kaltinamasis A. N. 1, LKP/TSKP CK politinio-teisinio skyriaus konsultantas pulkininkas R. J. 1, tvirtindami, kad Lietuvoje veikia TSRS ir Lietuvos TSR Konstitucijos, reikalavo įgyvendinti TSRS liaudies deputatų suvažiavimų nutarimus dėl Lietuvos, įvesti prezidentinį valdymą, steigė politines organizacijas savo planams įgyvendinti, ruošė ir platino propagandinius dokumentus.</w:t>
      </w:r>
    </w:p>
    <w:p w:rsidR="008C57FD" w:rsidRPr="00C00255" w:rsidRDefault="00742D54" w:rsidP="008C57FD">
      <w:pPr>
        <w:pStyle w:val="Sraopastraipa1"/>
        <w:ind w:left="992" w:firstLine="992"/>
        <w:jc w:val="both"/>
        <w:rPr>
          <w:rFonts w:eastAsia="Times New Roman"/>
          <w:b w:val="0"/>
          <w:i/>
        </w:rPr>
      </w:pPr>
      <w:r w:rsidRPr="00C00255">
        <w:rPr>
          <w:b w:val="0"/>
          <w:i/>
          <w:color w:val="000000"/>
          <w:szCs w:val="24"/>
          <w:lang w:eastAsia="ar-SA" w:bidi="lt-LT"/>
        </w:rPr>
        <w:t>Siekdami grąžinti Lietuvą į TSRS sudėtį,</w:t>
      </w:r>
      <w:r w:rsidR="008434B8" w:rsidRPr="00C00255">
        <w:rPr>
          <w:b w:val="0"/>
          <w:i/>
          <w:color w:val="000000"/>
          <w:szCs w:val="24"/>
          <w:lang w:eastAsia="ar-SA" w:bidi="lt-LT"/>
        </w:rPr>
        <w:t xml:space="preserve"> </w:t>
      </w:r>
      <w:r w:rsidR="008C57FD" w:rsidRPr="00C00255">
        <w:rPr>
          <w:b w:val="0"/>
          <w:i/>
          <w:color w:val="000000"/>
          <w:szCs w:val="24"/>
          <w:lang w:eastAsia="ar-SA" w:bidi="lt-LT"/>
        </w:rPr>
        <w:t xml:space="preserve">LKP/TSKP vadovai, kaltinamieji </w:t>
      </w:r>
      <w:r w:rsidRPr="00C00255">
        <w:rPr>
          <w:b w:val="0"/>
          <w:i/>
          <w:color w:val="000000"/>
          <w:szCs w:val="24"/>
          <w:lang w:eastAsia="ar-SA" w:bidi="lt-LT"/>
        </w:rPr>
        <w:t xml:space="preserve">LKP/TSKP CK II sekretorius kaltinamasis </w:t>
      </w:r>
      <w:r w:rsidR="00385BC9">
        <w:rPr>
          <w:b w:val="0"/>
          <w:i/>
          <w:color w:val="000000"/>
          <w:szCs w:val="24"/>
          <w:lang w:eastAsia="ar-SA" w:bidi="lt-LT"/>
        </w:rPr>
        <w:t>V. Š. 1</w:t>
      </w:r>
      <w:r w:rsidRPr="00C00255">
        <w:rPr>
          <w:b w:val="0"/>
          <w:i/>
          <w:color w:val="000000"/>
          <w:szCs w:val="24"/>
          <w:lang w:eastAsia="ar-SA" w:bidi="lt-LT"/>
        </w:rPr>
        <w:t>, LKP/TSKP CK sekretorius generolas majoras kaltinamasis</w:t>
      </w:r>
      <w:r w:rsidR="008434B8" w:rsidRPr="00C00255">
        <w:rPr>
          <w:b w:val="0"/>
          <w:i/>
          <w:color w:val="000000"/>
          <w:szCs w:val="24"/>
          <w:lang w:eastAsia="ar-SA" w:bidi="lt-LT"/>
        </w:rPr>
        <w:t xml:space="preserve"> </w:t>
      </w:r>
      <w:r w:rsidR="00385BC9">
        <w:rPr>
          <w:b w:val="0"/>
          <w:i/>
          <w:color w:val="000000"/>
          <w:szCs w:val="24"/>
          <w:lang w:eastAsia="ar-SA" w:bidi="lt-LT"/>
        </w:rPr>
        <w:t>A. N. 1</w:t>
      </w:r>
      <w:r w:rsidRPr="00C00255">
        <w:rPr>
          <w:b w:val="0"/>
          <w:i/>
          <w:color w:val="000000"/>
          <w:szCs w:val="24"/>
          <w:lang w:eastAsia="ar-SA" w:bidi="lt-LT"/>
        </w:rPr>
        <w:t xml:space="preserve">, LKP/TSKP CK politinio-teisinio skyriaus konsultantas pulkininkas </w:t>
      </w:r>
      <w:r w:rsidR="00385BC9">
        <w:rPr>
          <w:b w:val="0"/>
          <w:i/>
          <w:color w:val="000000"/>
          <w:szCs w:val="24"/>
          <w:lang w:eastAsia="ar-SA" w:bidi="lt-LT"/>
        </w:rPr>
        <w:t>R. J. 1</w:t>
      </w:r>
      <w:r w:rsidRPr="00C00255">
        <w:rPr>
          <w:b w:val="0"/>
          <w:i/>
          <w:color w:val="000000"/>
          <w:szCs w:val="24"/>
          <w:lang w:eastAsia="ar-SA" w:bidi="lt-LT"/>
        </w:rPr>
        <w:t>, tvirtindami,</w:t>
      </w:r>
      <w:r w:rsidR="008434B8" w:rsidRPr="00C00255">
        <w:rPr>
          <w:b w:val="0"/>
          <w:i/>
          <w:color w:val="000000"/>
          <w:szCs w:val="24"/>
          <w:lang w:eastAsia="ar-SA" w:bidi="lt-LT"/>
        </w:rPr>
        <w:t xml:space="preserve"> </w:t>
      </w:r>
      <w:r w:rsidRPr="00C00255">
        <w:rPr>
          <w:b w:val="0"/>
          <w:i/>
          <w:color w:val="000000"/>
          <w:szCs w:val="24"/>
          <w:lang w:eastAsia="ar-SA" w:bidi="lt-LT"/>
        </w:rPr>
        <w:t>kad Lietuvoje veikia TSRS ir Lietuvos TSR Konstitucijos, reikalavo įgyvendinti TSRS liaudies deputatų suvažiavimų nutarimus dėl Lietuvos, įvesti prezidentinį valdymą, steigė politines organizacijas savo planams įgyvendinti, ruošė ir platino propagandinius dokumentus.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LKP/TSKP vadovybės – </w:t>
      </w:r>
      <w:r w:rsidR="00C507EF">
        <w:rPr>
          <w:rFonts w:eastAsia="Times New Roman"/>
          <w:b w:val="0"/>
          <w:i/>
        </w:rPr>
        <w:t>M. B.</w:t>
      </w:r>
      <w:r w:rsidR="008C57FD" w:rsidRPr="00C00255">
        <w:rPr>
          <w:rFonts w:eastAsia="Times New Roman"/>
          <w:b w:val="0"/>
          <w:i/>
        </w:rPr>
        <w:t xml:space="preserve">, </w:t>
      </w:r>
      <w:r w:rsidR="00C507EF">
        <w:rPr>
          <w:rFonts w:eastAsia="Times New Roman"/>
          <w:b w:val="0"/>
          <w:i/>
        </w:rPr>
        <w:t>J. J.</w:t>
      </w:r>
      <w:r w:rsidR="008C57FD" w:rsidRPr="00C00255">
        <w:rPr>
          <w:rFonts w:eastAsia="Times New Roman"/>
          <w:b w:val="0"/>
          <w:i/>
        </w:rPr>
        <w:t xml:space="preserve">, </w:t>
      </w:r>
      <w:r w:rsidR="00C507EF">
        <w:rPr>
          <w:rFonts w:eastAsia="Times New Roman"/>
          <w:b w:val="0"/>
          <w:i/>
        </w:rPr>
        <w:t>J. K.</w:t>
      </w:r>
      <w:r w:rsidRPr="00C00255">
        <w:rPr>
          <w:rFonts w:eastAsia="Times New Roman"/>
          <w:b w:val="0"/>
          <w:i/>
        </w:rPr>
        <w:t xml:space="preserve"> ir kt. antivalstybinė veikla bei jų įkurtų organizacijų ir struktūrų veiksmai, vykdant nusikaltimus prieš Lietuvos Valstybę, konstatuoti</w:t>
      </w:r>
      <w:r w:rsidR="008434B8" w:rsidRPr="00C00255">
        <w:rPr>
          <w:rFonts w:eastAsia="Times New Roman"/>
          <w:b w:val="0"/>
          <w:i/>
        </w:rPr>
        <w:t xml:space="preserve"> </w:t>
      </w:r>
      <w:r w:rsidRPr="00C00255">
        <w:rPr>
          <w:rFonts w:eastAsia="Times New Roman"/>
          <w:b w:val="0"/>
          <w:i/>
        </w:rPr>
        <w:t>1999-08-23 Vilniaus apygardos teismo priimtame apkaltinamaja</w:t>
      </w:r>
      <w:r w:rsidR="008C57FD" w:rsidRPr="00C00255">
        <w:rPr>
          <w:rFonts w:eastAsia="Times New Roman"/>
          <w:b w:val="0"/>
          <w:i/>
        </w:rPr>
        <w:t>me nuosprendyje, o būtent, kad:</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„1990 m. balandžio 21 d. įkurtas „Lietuvos TSR pilieči</w:t>
      </w:r>
      <w:r w:rsidR="008C57FD" w:rsidRPr="00C00255">
        <w:rPr>
          <w:rFonts w:eastAsia="Times New Roman"/>
          <w:b w:val="0"/>
          <w:i/>
        </w:rPr>
        <w:t>ų komitetas” (toliau – Piliečių </w:t>
      </w:r>
      <w:r w:rsidRPr="00C00255">
        <w:rPr>
          <w:rFonts w:eastAsia="Times New Roman"/>
          <w:b w:val="0"/>
          <w:i/>
        </w:rPr>
        <w:t xml:space="preserve">komitetas), kurio uždavinys – nuversti teisėtą valstybės valdžią, nepaklusti Lietuvos valstybės įstatymams, atstatyti TSRS Konstitucijos ir įstatymų viršenybę, šio komiteto pagrindu įkurti alternatyvias valdžios </w:t>
      </w:r>
      <w:r w:rsidR="008C57FD" w:rsidRPr="00C00255">
        <w:rPr>
          <w:rFonts w:eastAsia="Times New Roman"/>
          <w:b w:val="0"/>
          <w:i/>
        </w:rPr>
        <w:t>ir valdymo struktūras;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- 1990 m. rugpjūčio 7 d. įkurtos darbininkų draugovės, kurių uždavinys buvo priešintis jeigu bus likviduojama socialistinė santvarka ar Lietuva</w:t>
      </w:r>
      <w:r w:rsidR="008C57FD" w:rsidRPr="00C00255">
        <w:rPr>
          <w:rFonts w:eastAsia="Times New Roman"/>
          <w:b w:val="0"/>
          <w:i/>
        </w:rPr>
        <w:t xml:space="preserve"> neteisėtai atsiskirs nuo TSRS;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- 1990 m. vasarą įkurta Laisvųjų verslininkų asociacija (toliau – Asociacija), kuri kartu su Naujosios Vilnios banku veikė kaip kitos valstybės – TSRS ūkinė struktūra Lietuvoje ir turėjo būti alternatyva Lietuvos valstybės ūkinėms struktūroms. Asociacija turėjo vykdyti kitos valstybės – TSRS įstatymus ir kitus norminius aktus, o pati Asociacija ir jos nariai turėjo būti laikomi</w:t>
      </w:r>
      <w:r w:rsidR="008C57FD" w:rsidRPr="00C00255">
        <w:rPr>
          <w:rFonts w:eastAsia="Times New Roman"/>
          <w:b w:val="0"/>
          <w:i/>
        </w:rPr>
        <w:t xml:space="preserve"> kitos valstybės – TSRS dalimi;</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lastRenderedPageBreak/>
        <w:t>- 1990 m. gegužės 12 d. įkurtas LTSR VRM partinis komitetas, kurio uždaviniai buvo skaldyti miliciją, kurti TSRS pavaldžias milicijos struktūras Lietuvoje bei jų darbuotojų mokymo įstaigas, vykdančias tik kitos valstybės – TSRS įstatymus ir kitus norminius aktus, sukurti milicijos padalinius vykdyti LKP/TSKP patalpų, pastatų, turto ir vykdomų masinių politinių renginių apsaugą, dezorganizuoti Lietuvos Respublikos VRM padalinių ir mokymo įstaigų veiklą, parinkti darbuotojus, s</w:t>
      </w:r>
      <w:r w:rsidR="008C57FD" w:rsidRPr="00C00255">
        <w:rPr>
          <w:rFonts w:eastAsia="Times New Roman"/>
          <w:b w:val="0"/>
          <w:i/>
        </w:rPr>
        <w:t>uteikti patalpas, skirti lėšas;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- 1990 m. birželio mėn. buvo įkurta radijo stotis „Tarybų Lietuva“, per kurią buvo skleidžiama Lietuvai priešišką TSRS, TSKP, LKP/TSKP politika, jos uždavinia</w:t>
      </w:r>
      <w:r w:rsidR="008C57FD" w:rsidRPr="00C00255">
        <w:rPr>
          <w:rFonts w:eastAsia="Times New Roman"/>
          <w:b w:val="0"/>
          <w:i/>
        </w:rPr>
        <w:t>i;</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- 1990 m. gruodžio 16 d. įkurtas „Lietuvos demokratinių jėgų kongresas” (toliau –LDJK), kuris 1991 m. sausio 11 d. kartu su Piliečių komitetu įkūrė antivalstybinę organizaciją – Lietuvos nacionalinį gelbėjimo komitetą (toliau</w:t>
      </w:r>
      <w:r w:rsidR="008434B8" w:rsidRPr="00C00255">
        <w:rPr>
          <w:rFonts w:eastAsia="Times New Roman"/>
          <w:b w:val="0"/>
          <w:i/>
        </w:rPr>
        <w:t xml:space="preserve"> </w:t>
      </w:r>
      <w:r w:rsidRPr="00C00255">
        <w:rPr>
          <w:rFonts w:eastAsia="Times New Roman"/>
          <w:b w:val="0"/>
          <w:i/>
        </w:rPr>
        <w:t>LNGK). Jų uždavinys buvo perimti valdžią: įstatymų leidžiamąją – LDJK, o įstatymų vykdomąją – LNGK, atkurti TSRS ir Lietuvos TSRS Konstitucijų veikimą Lietuvoje, įvedant tiesioginį TSRS prezidentinį</w:t>
      </w:r>
      <w:r w:rsidR="008C57FD" w:rsidRPr="00C00255">
        <w:rPr>
          <w:rFonts w:eastAsia="Times New Roman"/>
          <w:b w:val="0"/>
          <w:i/>
        </w:rPr>
        <w:t xml:space="preserve"> valdymą ir komendanto valandą.</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- 1990 m. gruodžio 6 d., Lietuvos TSR Piliečių Vilni</w:t>
      </w:r>
      <w:r w:rsidR="008C57FD" w:rsidRPr="00C00255">
        <w:rPr>
          <w:rFonts w:eastAsia="Times New Roman"/>
          <w:b w:val="0"/>
          <w:i/>
        </w:rPr>
        <w:t>aus miesto komiteto vardu, TSRS </w:t>
      </w:r>
      <w:r w:rsidRPr="00C00255">
        <w:rPr>
          <w:rFonts w:eastAsia="Times New Roman"/>
          <w:b w:val="0"/>
          <w:i/>
        </w:rPr>
        <w:t xml:space="preserve">Gynybos ministrui </w:t>
      </w:r>
      <w:r w:rsidR="00385BC9">
        <w:rPr>
          <w:rFonts w:eastAsia="Times New Roman"/>
          <w:b w:val="0"/>
          <w:i/>
        </w:rPr>
        <w:t>D. J.</w:t>
      </w:r>
      <w:r w:rsidRPr="00C00255">
        <w:rPr>
          <w:rFonts w:eastAsia="Times New Roman"/>
          <w:b w:val="0"/>
          <w:i/>
        </w:rPr>
        <w:t xml:space="preserve"> išsiųsta komiteto 1990 m. lapkričio 30 d. rezoliucija, kurioje TSRS Gynybos ministrui ir TSRS Vidaus reikalų ministrui </w:t>
      </w:r>
      <w:r w:rsidR="00C507EF">
        <w:rPr>
          <w:rFonts w:eastAsia="Times New Roman"/>
          <w:b w:val="0"/>
          <w:i/>
        </w:rPr>
        <w:t>B. P.</w:t>
      </w:r>
      <w:r w:rsidRPr="00C00255">
        <w:rPr>
          <w:rFonts w:eastAsia="Times New Roman"/>
          <w:b w:val="0"/>
          <w:i/>
        </w:rPr>
        <w:t xml:space="preserve"> siūloma įpareigoti Pabaltijo karinės apygardos ir TSRS VRM Vidaus kariuomenės vadovybes imtis energingų priemonių nuginkluojant nacionalistinius darinius, užtikrinti visuomenės saugumą bei turto ir kultūros paveldo apsaugą. Rezoliucija per</w:t>
      </w:r>
      <w:r w:rsidR="008C57FD" w:rsidRPr="00C00255">
        <w:rPr>
          <w:rFonts w:eastAsia="Times New Roman"/>
          <w:b w:val="0"/>
          <w:i/>
        </w:rPr>
        <w:t>duota ir TSRS Prezidentui, TSRS </w:t>
      </w:r>
      <w:r w:rsidRPr="00C00255">
        <w:rPr>
          <w:rFonts w:eastAsia="Times New Roman"/>
          <w:b w:val="0"/>
          <w:i/>
        </w:rPr>
        <w:t>Aukščiausiosios Tarybos bei Ministrų Tarybos pirmininkams, TSRS Generaliniam prokurorui, TSRS Gynybos ir Vidaus reikalų</w:t>
      </w:r>
      <w:r w:rsidR="008C57FD" w:rsidRPr="00C00255">
        <w:rPr>
          <w:rFonts w:eastAsia="Times New Roman"/>
          <w:b w:val="0"/>
          <w:i/>
        </w:rPr>
        <w:t xml:space="preserve"> ministrams bei žiniasklaidai“.</w:t>
      </w:r>
    </w:p>
    <w:p w:rsidR="008C57FD" w:rsidRPr="00C00255" w:rsidRDefault="00742D54" w:rsidP="008C57FD">
      <w:pPr>
        <w:pStyle w:val="Sraopastraipa1"/>
        <w:ind w:left="992" w:firstLine="992"/>
        <w:jc w:val="both"/>
        <w:rPr>
          <w:rFonts w:eastAsia="Times New Roman"/>
          <w:b w:val="0"/>
          <w:i/>
        </w:rPr>
      </w:pPr>
      <w:r w:rsidRPr="00C00255">
        <w:rPr>
          <w:rStyle w:val="Numatytasispastraiposriftas1"/>
          <w:b w:val="0"/>
          <w:i/>
          <w:color w:val="000000"/>
          <w:lang w:eastAsia="ar-SA" w:bidi="lt-LT"/>
        </w:rPr>
        <w:t xml:space="preserve">LKP/TSKP nariai kaltinamieji </w:t>
      </w:r>
      <w:r w:rsidR="00BA18FA">
        <w:rPr>
          <w:rStyle w:val="Numatytasispastraiposriftas1"/>
          <w:b w:val="0"/>
          <w:i/>
          <w:color w:val="000000"/>
          <w:lang w:eastAsia="ar-SA" w:bidi="lt-LT"/>
        </w:rPr>
        <w:t>V. Š. 1</w:t>
      </w:r>
      <w:r w:rsidRPr="00C00255">
        <w:rPr>
          <w:rStyle w:val="Numatytasispastraiposriftas1"/>
          <w:b w:val="0"/>
          <w:i/>
          <w:color w:val="000000"/>
          <w:lang w:eastAsia="ar-SA" w:bidi="lt-LT"/>
        </w:rPr>
        <w:t xml:space="preserve">, </w:t>
      </w:r>
      <w:r w:rsidR="00385BC9">
        <w:rPr>
          <w:rStyle w:val="Numatytasispastraiposriftas1"/>
          <w:b w:val="0"/>
          <w:i/>
          <w:color w:val="000000"/>
          <w:lang w:eastAsia="ar-SA" w:bidi="lt-LT"/>
        </w:rPr>
        <w:t>A. N. 1</w:t>
      </w:r>
      <w:r w:rsidRPr="00C00255">
        <w:rPr>
          <w:rStyle w:val="Numatytasispastraiposriftas1"/>
          <w:b w:val="0"/>
          <w:i/>
          <w:color w:val="000000"/>
          <w:lang w:eastAsia="ar-SA" w:bidi="lt-LT"/>
        </w:rPr>
        <w:t xml:space="preserve">, </w:t>
      </w:r>
      <w:r w:rsidR="00385BC9">
        <w:rPr>
          <w:rStyle w:val="Numatytasispastraiposriftas1"/>
          <w:b w:val="0"/>
          <w:i/>
          <w:color w:val="000000"/>
          <w:lang w:eastAsia="ar-SA" w:bidi="lt-LT"/>
        </w:rPr>
        <w:t>R. J. 1</w:t>
      </w:r>
      <w:r w:rsidRPr="00C00255">
        <w:rPr>
          <w:rStyle w:val="Numatytasispastraiposriftas1"/>
          <w:b w:val="0"/>
          <w:i/>
          <w:color w:val="000000"/>
          <w:lang w:eastAsia="ar-SA" w:bidi="lt-LT"/>
        </w:rPr>
        <w:t xml:space="preserve"> kartu su</w:t>
      </w:r>
      <w:r w:rsidR="008434B8" w:rsidRPr="00C00255">
        <w:rPr>
          <w:rStyle w:val="Numatytasispastraiposriftas1"/>
          <w:b w:val="0"/>
          <w:i/>
          <w:color w:val="000000"/>
          <w:lang w:eastAsia="ar-SA" w:bidi="lt-LT"/>
        </w:rPr>
        <w:t xml:space="preserve"> </w:t>
      </w:r>
      <w:r w:rsidRPr="00C00255">
        <w:rPr>
          <w:rStyle w:val="Numatytasispastraiposriftas1"/>
          <w:b w:val="0"/>
          <w:i/>
          <w:color w:val="000000"/>
          <w:lang w:eastAsia="ar-SA" w:bidi="lt-LT"/>
        </w:rPr>
        <w:t>kitais, anksčiau nurodytais</w:t>
      </w:r>
      <w:r w:rsidR="008434B8" w:rsidRPr="00C00255">
        <w:rPr>
          <w:rStyle w:val="Numatytasispastraiposriftas1"/>
          <w:b w:val="0"/>
          <w:i/>
          <w:color w:val="000000"/>
          <w:lang w:eastAsia="ar-SA" w:bidi="lt-LT"/>
        </w:rPr>
        <w:t xml:space="preserve"> </w:t>
      </w:r>
      <w:r w:rsidRPr="00C00255">
        <w:rPr>
          <w:rStyle w:val="Numatytasispastraiposriftas1"/>
          <w:b w:val="0"/>
          <w:i/>
          <w:color w:val="000000"/>
          <w:lang w:eastAsia="ar-SA" w:bidi="lt-LT"/>
        </w:rPr>
        <w:t xml:space="preserve">LKP/TSKP CK vadovais kūrė TSRS prezidentinio valdymo įvedimo Lietuvoje planą, kurio pagrindines nuostatas išdėstė dokumente, pavadintame „TSRS prezidentinio valdymo įvedimo Lietuvoje” planas. Šiame plane numatė kitos valstybės – TSRS Prezidento įsaku Lietuvos Respublikos teritorijoje įvesti TSRS prezidentinį valdymą, sustabdyti visų lygių vykdomųjų valstybės organų veiklą ir paleisti Ministrų Tarybą, o visą valdžią perduoti Lietuvos TSR Prezidentiniam valstybiniam komitetui (toliau </w:t>
      </w:r>
      <w:r w:rsidR="00F64E27" w:rsidRPr="00C00255">
        <w:rPr>
          <w:rStyle w:val="Numatytasispastraiposriftas1"/>
          <w:b w:val="0"/>
          <w:i/>
          <w:color w:val="000000"/>
          <w:lang w:eastAsia="ar-SA" w:bidi="lt-LT"/>
        </w:rPr>
        <w:t>–</w:t>
      </w:r>
      <w:r w:rsidRPr="00C00255">
        <w:rPr>
          <w:rStyle w:val="Numatytasispastraiposriftas1"/>
          <w:b w:val="0"/>
          <w:i/>
          <w:color w:val="000000"/>
          <w:lang w:eastAsia="ar-SA" w:bidi="lt-LT"/>
        </w:rPr>
        <w:t xml:space="preserve"> Prezidentiniam komitetui), kuris savo nutarimu skiria Lietuvos TSR Ministrų kabinetą, šio kabineto įgaliotinius miestuose, rajonuose, organizacijose ir svarbiuose pagrindiniuose objektuose bei kitus pareigūnus. Plane taip pat numatė, kad T</w:t>
      </w:r>
      <w:r w:rsidR="008C57FD" w:rsidRPr="00C00255">
        <w:rPr>
          <w:rStyle w:val="Numatytasispastraiposriftas1"/>
          <w:b w:val="0"/>
          <w:i/>
          <w:color w:val="000000"/>
          <w:lang w:eastAsia="ar-SA" w:bidi="lt-LT"/>
        </w:rPr>
        <w:t>SRS Gynybos ministerija (toliau </w:t>
      </w:r>
      <w:r w:rsidRPr="00C00255">
        <w:rPr>
          <w:rStyle w:val="Numatytasispastraiposriftas1"/>
          <w:b w:val="0"/>
          <w:i/>
          <w:color w:val="000000"/>
          <w:lang w:eastAsia="ar-SA" w:bidi="lt-LT"/>
        </w:rPr>
        <w:t>– TSRS GM) skiria savo įgaliotinį respublikai, kuris kontroliuos esamą padėtį ir, panaudodamas turimas žinioje karines jėgas, užtikrins svarbių civilinių ir karinių objektų saugumą, padės Prezidentiniam komitetui ypatingais atvejais. Be to, pagal šį planą parinko kandidatus į nurodytas pareigybes, paruošė ir sudarė priemonių planą, kad užtikrinti saugų šio prezidentinio valdymo įvedimą. Vilniaus, Kauno, Klaipėdos, Šiaulių ir Panevėžio miestuose parinko objektus, kuriuos būtina užgrobti, paruošė jų užgrobimo planus ir paskyrė už tai atsakingus asmenis, o su kitos valstybės – TSRS GM, TSRS VSK, TSRS VRM skirtais atstovais susitarė dėl šių priemonių įgyvendinimo. Taip pat numatė panaudoti politines-propagandines priemones įvedant TSRS prezidentinį valdymą ir įvesti Ypatingosios padėties teisinį režimą.</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1990 metų pabaigoje, kaltinamasis </w:t>
      </w:r>
      <w:r w:rsidR="00385BC9">
        <w:rPr>
          <w:rFonts w:eastAsia="Times New Roman"/>
          <w:b w:val="0"/>
          <w:i/>
        </w:rPr>
        <w:t>D. J.</w:t>
      </w:r>
      <w:r w:rsidRPr="00C00255">
        <w:rPr>
          <w:rFonts w:eastAsia="Times New Roman"/>
          <w:b w:val="0"/>
          <w:i/>
        </w:rPr>
        <w:t xml:space="preserve"> nurodė Vilniuje, 107-osios motorizuotų šaulių divizijos dislokavimo vietoje, įkurti vadovavimo karinei operacijai štabą. Vadovavimo štabo nariais buvo paskirti kaltinamieji: </w:t>
      </w:r>
      <w:r w:rsidR="00385BC9">
        <w:rPr>
          <w:rFonts w:eastAsia="Times New Roman"/>
          <w:b w:val="0"/>
          <w:i/>
        </w:rPr>
        <w:t>N. D.</w:t>
      </w:r>
      <w:r w:rsidRPr="00C00255">
        <w:rPr>
          <w:rFonts w:eastAsia="Times New Roman"/>
          <w:b w:val="0"/>
          <w:i/>
        </w:rPr>
        <w:t xml:space="preserve">, </w:t>
      </w:r>
      <w:r w:rsidR="00385BC9">
        <w:rPr>
          <w:rFonts w:eastAsia="Times New Roman"/>
          <w:b w:val="0"/>
          <w:i/>
        </w:rPr>
        <w:t>V. K. 1</w:t>
      </w:r>
      <w:r w:rsidRPr="00C00255">
        <w:rPr>
          <w:rFonts w:eastAsia="Times New Roman"/>
          <w:b w:val="0"/>
          <w:i/>
        </w:rPr>
        <w:t xml:space="preserve">, </w:t>
      </w:r>
      <w:r w:rsidR="006036E7">
        <w:rPr>
          <w:rFonts w:eastAsia="Times New Roman"/>
          <w:b w:val="0"/>
          <w:i/>
        </w:rPr>
        <w:t>V. U. 1</w:t>
      </w:r>
      <w:r w:rsidRPr="00C00255">
        <w:rPr>
          <w:rFonts w:eastAsia="Times New Roman"/>
          <w:b w:val="0"/>
          <w:i/>
        </w:rPr>
        <w:t xml:space="preserve">, </w:t>
      </w:r>
      <w:r w:rsidR="00385BC9">
        <w:rPr>
          <w:rFonts w:eastAsia="Times New Roman"/>
          <w:b w:val="0"/>
          <w:i/>
        </w:rPr>
        <w:t>V. S. 1</w:t>
      </w:r>
      <w:r w:rsidRPr="00C00255">
        <w:rPr>
          <w:rFonts w:eastAsia="Times New Roman"/>
          <w:b w:val="0"/>
          <w:i/>
        </w:rPr>
        <w:t xml:space="preserve">, </w:t>
      </w:r>
      <w:r w:rsidR="006036E7">
        <w:rPr>
          <w:rFonts w:eastAsia="Times New Roman"/>
          <w:b w:val="0"/>
          <w:i/>
        </w:rPr>
        <w:t>A. Ž.</w:t>
      </w:r>
      <w:r w:rsidRPr="00C00255">
        <w:rPr>
          <w:rFonts w:eastAsia="Times New Roman"/>
          <w:b w:val="0"/>
          <w:i/>
        </w:rPr>
        <w:t xml:space="preserve">, </w:t>
      </w:r>
      <w:r w:rsidR="00A97F74">
        <w:rPr>
          <w:rFonts w:eastAsia="Times New Roman"/>
          <w:b w:val="0"/>
          <w:i/>
        </w:rPr>
        <w:t>S. F.</w:t>
      </w:r>
      <w:r w:rsidRPr="00C00255">
        <w:rPr>
          <w:rFonts w:eastAsia="Times New Roman"/>
          <w:b w:val="0"/>
          <w:i/>
        </w:rPr>
        <w:t xml:space="preserve">, </w:t>
      </w:r>
      <w:r w:rsidR="00BA18FA">
        <w:rPr>
          <w:rFonts w:eastAsia="Times New Roman"/>
          <w:b w:val="0"/>
          <w:i/>
        </w:rPr>
        <w:t>V. Š. 1</w:t>
      </w:r>
      <w:r w:rsidRPr="00C00255">
        <w:rPr>
          <w:rFonts w:eastAsia="Times New Roman"/>
          <w:b w:val="0"/>
          <w:i/>
        </w:rPr>
        <w:t xml:space="preserve">, </w:t>
      </w:r>
      <w:r w:rsidR="00385BC9">
        <w:rPr>
          <w:rFonts w:eastAsia="Times New Roman"/>
          <w:b w:val="0"/>
          <w:i/>
        </w:rPr>
        <w:t>A. N. 1</w:t>
      </w:r>
      <w:r w:rsidRPr="00C00255">
        <w:rPr>
          <w:rFonts w:eastAsia="Times New Roman"/>
          <w:b w:val="0"/>
          <w:i/>
        </w:rPr>
        <w:t xml:space="preserve">. Štabas turėjo apjungti ir koordinuoti skirtingų kariuomenės rūšių veiksmus, tikslinti būsimos karinės operacijos vietų žemėlapius, sudaryti prieigų prie objektų schemas ir maršrutus, apskaičiuoti atvykimui į užimamus objektus ir karinės operacijos vykdymui būtiną laiką, nuolat stebėti strateginius objektus, detalizuoti vedlių ir draugovininkų buvimo vietas </w:t>
      </w:r>
      <w:r w:rsidRPr="00C00255">
        <w:rPr>
          <w:rFonts w:eastAsia="Times New Roman"/>
          <w:b w:val="0"/>
          <w:i/>
        </w:rPr>
        <w:lastRenderedPageBreak/>
        <w:t xml:space="preserve">bei vaidmenį, nustatyti papildomai užimtinus objektus, konkretizuoti operacijoje dalyvaujančių kariuomenės rūšių veiksmus, </w:t>
      </w:r>
      <w:r w:rsidR="008C57FD" w:rsidRPr="00C00255">
        <w:rPr>
          <w:rFonts w:eastAsia="Times New Roman"/>
          <w:b w:val="0"/>
          <w:i/>
        </w:rPr>
        <w:t>kiekviename iš užimamų objektų.</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1991 m. sausio 11 d., LKP/TSKP CK, ku</w:t>
      </w:r>
      <w:r w:rsidR="008C57FD" w:rsidRPr="00C00255">
        <w:rPr>
          <w:rFonts w:eastAsia="Times New Roman"/>
          <w:b w:val="0"/>
          <w:i/>
        </w:rPr>
        <w:t xml:space="preserve">rios nariais buvo kaltinamieji </w:t>
      </w:r>
      <w:r w:rsidR="00385BC9">
        <w:rPr>
          <w:rFonts w:eastAsia="Times New Roman"/>
          <w:b w:val="0"/>
          <w:i/>
        </w:rPr>
        <w:t>V. Š. 1</w:t>
      </w:r>
      <w:r w:rsidRPr="00C00255">
        <w:rPr>
          <w:rFonts w:eastAsia="Times New Roman"/>
          <w:b w:val="0"/>
          <w:i/>
        </w:rPr>
        <w:t xml:space="preserve">, </w:t>
      </w:r>
      <w:r w:rsidR="00385BC9">
        <w:rPr>
          <w:rFonts w:eastAsia="Times New Roman"/>
          <w:b w:val="0"/>
          <w:i/>
        </w:rPr>
        <w:t>A. N. 1</w:t>
      </w:r>
      <w:r w:rsidRPr="00C00255">
        <w:rPr>
          <w:rFonts w:eastAsia="Times New Roman"/>
          <w:b w:val="0"/>
          <w:i/>
        </w:rPr>
        <w:t xml:space="preserve"> ir </w:t>
      </w:r>
      <w:r w:rsidR="00385BC9">
        <w:rPr>
          <w:rFonts w:eastAsia="Times New Roman"/>
          <w:b w:val="0"/>
          <w:i/>
        </w:rPr>
        <w:t>R. J. 1</w:t>
      </w:r>
      <w:r w:rsidRPr="00C00255">
        <w:rPr>
          <w:rFonts w:eastAsia="Times New Roman"/>
          <w:b w:val="0"/>
          <w:i/>
        </w:rPr>
        <w:t>, per savo įkurtas masines informavimo priemones,</w:t>
      </w:r>
      <w:r w:rsidR="00E420BD">
        <w:rPr>
          <w:rFonts w:eastAsia="Times New Roman"/>
          <w:b w:val="0"/>
          <w:i/>
        </w:rPr>
        <w:t xml:space="preserve"> LNGK vardu, nuo 1991 m. sausio </w:t>
      </w:r>
      <w:r w:rsidRPr="00C00255">
        <w:rPr>
          <w:rFonts w:eastAsia="Times New Roman"/>
          <w:b w:val="0"/>
          <w:i/>
        </w:rPr>
        <w:t>12 iki 19 dienos, skelbė dokumentus, kuriais buvo siekiama atkurti TSRS ir LTSR Konstitucijų veikimą Lietuvoje, įvesti komendanto valandą bei tiesioginį TSRS prezidento</w:t>
      </w:r>
      <w:r w:rsidR="008C57FD" w:rsidRPr="00C00255">
        <w:rPr>
          <w:rFonts w:eastAsia="Times New Roman"/>
          <w:b w:val="0"/>
          <w:i/>
        </w:rPr>
        <w:t xml:space="preserve"> valdymą, bei kreipimųsi į TSRS </w:t>
      </w:r>
      <w:r w:rsidRPr="00C00255">
        <w:rPr>
          <w:rFonts w:eastAsia="Times New Roman"/>
          <w:b w:val="0"/>
          <w:i/>
        </w:rPr>
        <w:t>Aukščiausiąją Tarybą, TSRS gyventojus ir tautas, Lietuvos Respublikos</w:t>
      </w:r>
      <w:r w:rsidR="0036157A">
        <w:rPr>
          <w:rFonts w:eastAsia="Times New Roman"/>
          <w:b w:val="0"/>
          <w:i/>
        </w:rPr>
        <w:t xml:space="preserve"> gyventojus, TSRS prezidentą M. </w:t>
      </w:r>
      <w:r w:rsidRPr="00C00255">
        <w:rPr>
          <w:rFonts w:eastAsia="Times New Roman"/>
          <w:b w:val="0"/>
          <w:i/>
        </w:rPr>
        <w:t>G</w:t>
      </w:r>
      <w:r w:rsidR="0036157A">
        <w:rPr>
          <w:rFonts w:eastAsia="Times New Roman"/>
          <w:b w:val="0"/>
          <w:i/>
        </w:rPr>
        <w:t>.</w:t>
      </w:r>
      <w:r w:rsidRPr="00C00255">
        <w:rPr>
          <w:rFonts w:eastAsia="Times New Roman"/>
          <w:b w:val="0"/>
          <w:i/>
        </w:rPr>
        <w:t xml:space="preserve"> ir TSRS AT pirmininką </w:t>
      </w:r>
      <w:r w:rsidR="008C57FD" w:rsidRPr="00C00255">
        <w:rPr>
          <w:rFonts w:eastAsia="Times New Roman"/>
          <w:b w:val="0"/>
          <w:i/>
        </w:rPr>
        <w:t>tekstus, bei LNGK nutarimą „Dėl </w:t>
      </w:r>
      <w:r w:rsidRPr="00C00255">
        <w:rPr>
          <w:rFonts w:eastAsia="Times New Roman"/>
          <w:b w:val="0"/>
          <w:i/>
        </w:rPr>
        <w:t>komendanto valandos įvedimo res</w:t>
      </w:r>
      <w:r w:rsidR="008C57FD" w:rsidRPr="00C00255">
        <w:rPr>
          <w:rFonts w:eastAsia="Times New Roman"/>
          <w:b w:val="0"/>
          <w:i/>
        </w:rPr>
        <w:t>publikoje“.</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1991 m. sausio 8 d. šį planą įteikus TSRS vadovybei, sausio 10 d., TSRS prezidentas M. G</w:t>
      </w:r>
      <w:r w:rsidR="0036157A">
        <w:rPr>
          <w:rFonts w:eastAsia="Times New Roman"/>
          <w:b w:val="0"/>
          <w:i/>
        </w:rPr>
        <w:t>.</w:t>
      </w:r>
      <w:r w:rsidRPr="00C00255">
        <w:rPr>
          <w:rFonts w:eastAsia="Times New Roman"/>
          <w:b w:val="0"/>
          <w:i/>
        </w:rPr>
        <w:t xml:space="preserve"> pareikalavo Lietuvos Respublikos Aukščiausiosios Tarybos nedelsiant atstatyti TSRS ir Lietuvos TSR Ko</w:t>
      </w:r>
      <w:r w:rsidR="008C57FD" w:rsidRPr="00C00255">
        <w:rPr>
          <w:rFonts w:eastAsia="Times New Roman"/>
          <w:b w:val="0"/>
          <w:i/>
        </w:rPr>
        <w:t>nstitucijų galiojimą Lietuvoje.</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Nurodytų dokumentų turinys analogiškas, o būtent </w:t>
      </w:r>
      <w:r w:rsidR="00F64E27" w:rsidRPr="00C00255">
        <w:rPr>
          <w:rStyle w:val="Numatytasispastraiposriftas1"/>
          <w:b w:val="0"/>
          <w:i/>
          <w:color w:val="000000"/>
          <w:lang w:eastAsia="ar-SA" w:bidi="lt-LT"/>
        </w:rPr>
        <w:t>–</w:t>
      </w:r>
      <w:r w:rsidRPr="00C00255">
        <w:rPr>
          <w:rFonts w:eastAsia="Times New Roman"/>
          <w:b w:val="0"/>
          <w:i/>
        </w:rPr>
        <w:t xml:space="preserve"> sustabdyti visų lygių vykdomųjų valstybės organų veiklą, paleisti Ministrų Tarybą ir visą valdžią perduoti Lietuvos TSR Prezidentiniam valstybiniam komitetui (toliau – Prezidentiniam komitetui) kuris, savo nutarimu, paskirs Lietuvos TSR Ministrų kabinetą, savo įgaliotinius miestuose, rajonuose, organizacijose ir svarbiuose objektuose bei kitus pareigūnus. TSRS Gynybos ministerija paskirs savo įgaliotinį respublikai, kuris kontroliuos esamą padėtį ir, panaudodamas savo žinioje turimas karines jėgas, užtikrins svarbių civilinių ir karinių objektų saugumą, padės Prezidentiniam komite</w:t>
      </w:r>
      <w:r w:rsidR="008C57FD" w:rsidRPr="00C00255">
        <w:rPr>
          <w:rFonts w:eastAsia="Times New Roman"/>
          <w:b w:val="0"/>
          <w:i/>
        </w:rPr>
        <w:t>tui ypatingais atvejais ir pan.</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1991 m. sausio 7 d. raštu Nr. 11, LKP/TSKP pirmasis sekretorius ir Demokratinių jėgų Kongreso pirmininkas (</w:t>
      </w:r>
      <w:r w:rsidR="00C507EF">
        <w:rPr>
          <w:rFonts w:eastAsia="Times New Roman"/>
          <w:b w:val="0"/>
          <w:i/>
        </w:rPr>
        <w:t>M. B.</w:t>
      </w:r>
      <w:r w:rsidRPr="00C00255">
        <w:rPr>
          <w:rFonts w:eastAsia="Times New Roman"/>
          <w:b w:val="0"/>
          <w:i/>
        </w:rPr>
        <w:t>) kreipėsi į TSRS Prezidentą ir T</w:t>
      </w:r>
      <w:r w:rsidR="0036157A">
        <w:rPr>
          <w:rFonts w:eastAsia="Times New Roman"/>
          <w:b w:val="0"/>
          <w:i/>
        </w:rPr>
        <w:t>SKP CK Generalinį sekretorių M. </w:t>
      </w:r>
      <w:r w:rsidRPr="00C00255">
        <w:rPr>
          <w:rFonts w:eastAsia="Times New Roman"/>
          <w:b w:val="0"/>
          <w:i/>
        </w:rPr>
        <w:t>G</w:t>
      </w:r>
      <w:r w:rsidR="0036157A">
        <w:rPr>
          <w:rFonts w:eastAsia="Times New Roman"/>
          <w:b w:val="0"/>
          <w:i/>
        </w:rPr>
        <w:t>.</w:t>
      </w:r>
      <w:r w:rsidRPr="00C00255">
        <w:rPr>
          <w:rFonts w:eastAsia="Times New Roman"/>
          <w:b w:val="0"/>
          <w:i/>
        </w:rPr>
        <w:t xml:space="preserve"> ir reikalavo Lietuvoje nedelsiant įvesti Prezidentinį valdymą, nurodė, kad Prezidentinio valdymo tvarkos bei organizacinės schemos parengtos, kad Prezidentinis valdymas įvedamas Prezidento įsaku, kad stabdoma vis</w:t>
      </w:r>
      <w:r w:rsidR="00E420BD">
        <w:rPr>
          <w:rFonts w:eastAsia="Times New Roman"/>
          <w:b w:val="0"/>
          <w:i/>
        </w:rPr>
        <w:t>ų lygių Tarybų veikla, kad LTSR </w:t>
      </w:r>
      <w:r w:rsidRPr="00C00255">
        <w:rPr>
          <w:rFonts w:eastAsia="Times New Roman"/>
          <w:b w:val="0"/>
          <w:i/>
        </w:rPr>
        <w:t>Ministrų Taryba paleidžiama, o visa valdžia Respublikoje pereina Lietuvos TSR Prezide</w:t>
      </w:r>
      <w:r w:rsidR="008C57FD" w:rsidRPr="00C00255">
        <w:rPr>
          <w:rFonts w:eastAsia="Times New Roman"/>
          <w:b w:val="0"/>
          <w:i/>
        </w:rPr>
        <w:t>ntiniam Valstybiniam komitetui.</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Anksčiau nurodyta karinės operacijos planavimo grupė, vykdydama tiesioginius savo viršininkų – TSRS GM, TSRS VRM bei TSRS VSK (KGB) vadovų įsakymus bei atsižvelgdama į</w:t>
      </w:r>
      <w:r w:rsidR="008434B8" w:rsidRPr="00C00255">
        <w:rPr>
          <w:rFonts w:eastAsia="Times New Roman"/>
          <w:b w:val="0"/>
          <w:i/>
        </w:rPr>
        <w:t xml:space="preserve"> </w:t>
      </w:r>
      <w:r w:rsidRPr="00C00255">
        <w:rPr>
          <w:rFonts w:eastAsia="Times New Roman"/>
          <w:b w:val="0"/>
          <w:i/>
        </w:rPr>
        <w:t>LKP/TSKP CK parengtame TSRS Prezidentinio valdymo plane nurodytus užimtinus objektus, rengė detalius strategiškai svarbių objektų užgrobimo planus, nustatė į Lietuvą papildomai perdislokuotinų karinių vienetų (junginių) kiekį bei rūšis, numatė Lietuvos teritorijoje esančių karinių dalinių bei karinių struktūrų vaidmenį ir paskyrė konkrečias užduotis būsimoje karinėje operacijoje. Atsižvelgiant į užimtinų objektų strateginę reikšmę ir juos ginti pasiryžusių civilių asmenų skaičių, nustatė operacijose dalyvaujančių kariškių skaičių bei karinės technikos ir ginkluotės rūšis ir kiekius, konkretizavo kiekvienos, karinėje operacijoje dalyvaujančios, kariuomenė</w:t>
      </w:r>
      <w:r w:rsidR="008C57FD" w:rsidRPr="00C00255">
        <w:rPr>
          <w:rFonts w:eastAsia="Times New Roman"/>
          <w:b w:val="0"/>
          <w:i/>
        </w:rPr>
        <w:t>s rūšies veiksmus.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Ignoruojant Lietuvos Respublikos kreipimąsi į TSRS Aukščiausiosios Tarybos Pirmininką dėl TSRS karinių pajėgų buvimo Lietuvos teritorijoje statuso (be išankstinio suderinimo ir leidimo nerengti kariuomenės mokymų, manevrų, nedidinti kariuomenės skaičiaus ir neperdislokuoti kariuomenės padalinių), į Lietuvos valstybės teritoriją buvo perkelti papildomi TSRS kariniai padaliniai</w:t>
      </w:r>
      <w:r w:rsidR="008C57FD" w:rsidRPr="00C00255">
        <w:rPr>
          <w:rFonts w:eastAsia="Times New Roman"/>
          <w:b w:val="0"/>
          <w:i/>
        </w:rPr>
        <w:t>, padidintas kariškių skaičius.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Kaltinamojo </w:t>
      </w:r>
      <w:r w:rsidR="00385BC9">
        <w:rPr>
          <w:rFonts w:eastAsia="Times New Roman"/>
          <w:b w:val="0"/>
          <w:i/>
        </w:rPr>
        <w:t>D. J.</w:t>
      </w:r>
      <w:r w:rsidRPr="00C00255">
        <w:rPr>
          <w:rFonts w:eastAsia="Times New Roman"/>
          <w:b w:val="0"/>
          <w:i/>
        </w:rPr>
        <w:t xml:space="preserve"> (kartu su </w:t>
      </w:r>
      <w:r w:rsidR="00C507EF">
        <w:rPr>
          <w:rFonts w:eastAsia="Times New Roman"/>
          <w:b w:val="0"/>
          <w:i/>
        </w:rPr>
        <w:t>V. K.</w:t>
      </w:r>
      <w:r w:rsidRPr="00C00255">
        <w:rPr>
          <w:rFonts w:eastAsia="Times New Roman"/>
          <w:b w:val="0"/>
          <w:i/>
        </w:rPr>
        <w:t xml:space="preserve">) nurodymu, karinės operacijos </w:t>
      </w:r>
      <w:r w:rsidR="008C57FD" w:rsidRPr="00C00255">
        <w:rPr>
          <w:rFonts w:eastAsia="Times New Roman"/>
          <w:b w:val="0"/>
          <w:i/>
        </w:rPr>
        <w:t>vykdymui į Vilnių</w:t>
      </w:r>
      <w:r w:rsidRPr="00C00255">
        <w:rPr>
          <w:rFonts w:eastAsia="Times New Roman"/>
          <w:b w:val="0"/>
          <w:i/>
        </w:rPr>
        <w:t xml:space="preserve"> buvo perdislokuoti šie kariniai vienetai ir junginiai, padidintas Lietu</w:t>
      </w:r>
      <w:r w:rsidR="008C57FD" w:rsidRPr="00C00255">
        <w:rPr>
          <w:rFonts w:eastAsia="Times New Roman"/>
          <w:b w:val="0"/>
          <w:i/>
        </w:rPr>
        <w:t>voje esančių kariškių skaičius: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- 1991 m. sausio 6 d., į Vilniuje dislokuotą 107-ąją motorizuotų šaulių diviziją perkelta ne mažiau kaip devyni šimtai devyniolika jungtinio pulko karininkų ir kareivių su karine ekipuote ir technika iš TSRS GM Pskovo </w:t>
      </w:r>
      <w:r w:rsidR="008C57FD" w:rsidRPr="00C00255">
        <w:rPr>
          <w:rFonts w:eastAsia="Times New Roman"/>
          <w:b w:val="0"/>
          <w:i/>
        </w:rPr>
        <w:t>76-osios oro desanto divizijos;</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lastRenderedPageBreak/>
        <w:t>- sausio 11</w:t>
      </w:r>
      <w:r w:rsidR="00F64E27" w:rsidRPr="00C00255">
        <w:rPr>
          <w:rStyle w:val="Numatytasispastraiposriftas1"/>
          <w:b w:val="0"/>
          <w:i/>
          <w:color w:val="000000"/>
          <w:lang w:eastAsia="ar-SA" w:bidi="lt-LT"/>
        </w:rPr>
        <w:t>–</w:t>
      </w:r>
      <w:r w:rsidRPr="00C00255">
        <w:rPr>
          <w:rFonts w:eastAsia="Times New Roman"/>
          <w:b w:val="0"/>
          <w:i/>
        </w:rPr>
        <w:t>12 naktį, dviem VSK pasienio tarnybos</w:t>
      </w:r>
      <w:r w:rsidR="008C57FD" w:rsidRPr="00C00255">
        <w:rPr>
          <w:rFonts w:eastAsia="Times New Roman"/>
          <w:b w:val="0"/>
          <w:i/>
        </w:rPr>
        <w:t xml:space="preserve"> lėktuvais „TU - 134A“ į Vilnių </w:t>
      </w:r>
      <w:r w:rsidRPr="00C00255">
        <w:rPr>
          <w:rFonts w:eastAsia="Times New Roman"/>
          <w:b w:val="0"/>
          <w:i/>
        </w:rPr>
        <w:t>perkelti ne mažiau kaip šešiasdešimt septyni TSRS VSK specialios p</w:t>
      </w:r>
      <w:r w:rsidR="008C57FD" w:rsidRPr="00C00255">
        <w:rPr>
          <w:rFonts w:eastAsia="Times New Roman"/>
          <w:b w:val="0"/>
          <w:i/>
        </w:rPr>
        <w:t>askirties grupės „A“ kariškiai;</w:t>
      </w:r>
    </w:p>
    <w:p w:rsidR="008C57FD" w:rsidRPr="00C00255" w:rsidRDefault="00742D54" w:rsidP="008C57FD">
      <w:pPr>
        <w:pStyle w:val="Sraopastraipa1"/>
        <w:ind w:left="992" w:firstLine="992"/>
        <w:jc w:val="both"/>
        <w:rPr>
          <w:rFonts w:eastAsia="Times New Roman"/>
          <w:b w:val="0"/>
          <w:i/>
        </w:rPr>
      </w:pPr>
      <w:r w:rsidRPr="00C00255">
        <w:rPr>
          <w:rStyle w:val="Numatytasispastraiposriftas1"/>
          <w:rFonts w:eastAsia="Times New Roman"/>
          <w:b w:val="0"/>
          <w:i/>
        </w:rPr>
        <w:t xml:space="preserve">Kaltinamasis </w:t>
      </w:r>
      <w:r w:rsidR="00385BC9">
        <w:rPr>
          <w:rStyle w:val="Numatytasispastraiposriftas1"/>
          <w:rFonts w:eastAsia="Times New Roman"/>
          <w:b w:val="0"/>
          <w:i/>
        </w:rPr>
        <w:t>D. J.</w:t>
      </w:r>
      <w:r w:rsidRPr="00C00255">
        <w:rPr>
          <w:rStyle w:val="Numatytasispastraiposriftas1"/>
          <w:rFonts w:eastAsia="Times New Roman"/>
          <w:b w:val="0"/>
          <w:i/>
        </w:rPr>
        <w:t xml:space="preserve">, pasinaudodamas užimamomis TSRS Gynybos ministro pareigomis, savo pavaduotojui ir TSRS GM Oro desanto pajėgų vado pereigas užimančiam generolui pulkininkui </w:t>
      </w:r>
      <w:r w:rsidR="00C507EF">
        <w:rPr>
          <w:rStyle w:val="Numatytasispastraiposriftas1"/>
          <w:rFonts w:eastAsia="Times New Roman"/>
          <w:b w:val="0"/>
          <w:i/>
        </w:rPr>
        <w:t>V. A.</w:t>
      </w:r>
      <w:r w:rsidRPr="00C00255">
        <w:rPr>
          <w:rStyle w:val="Numatytasispastraiposriftas1"/>
          <w:rFonts w:eastAsia="Times New Roman"/>
          <w:b w:val="0"/>
          <w:i/>
        </w:rPr>
        <w:t xml:space="preserve"> (ikiteisminis tyrimas nutrauktas mirus) davė įsakymą dėl karinės operacijos organizavimo ir vykdymo. Pastarasis šį ministro įsakymą perdavė savo pavaldiniui TSRS GM Oro desanto pajėgų 76-osios oro desanto divizijos</w:t>
      </w:r>
      <w:r w:rsidRPr="00C00255">
        <w:rPr>
          <w:rStyle w:val="Numatytasispastraiposriftas1"/>
          <w:rFonts w:eastAsia="Times New Roman"/>
          <w:b w:val="0"/>
        </w:rPr>
        <w:t xml:space="preserve"> </w:t>
      </w:r>
      <w:r w:rsidRPr="00C00255">
        <w:rPr>
          <w:rStyle w:val="Numatytasispastraiposriftas1"/>
          <w:rFonts w:eastAsia="Times New Roman"/>
          <w:b w:val="0"/>
          <w:i/>
          <w:u w:val="single"/>
        </w:rPr>
        <w:t>vadui.</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Vykdydamas oro desanto divizijos vado įsakymą, </w:t>
      </w:r>
      <w:r w:rsidR="00385BC9">
        <w:rPr>
          <w:rFonts w:eastAsia="Times New Roman"/>
          <w:b w:val="0"/>
          <w:i/>
        </w:rPr>
        <w:t>V. K. 1</w:t>
      </w:r>
      <w:r w:rsidRPr="00C00255">
        <w:rPr>
          <w:rFonts w:eastAsia="Times New Roman"/>
          <w:b w:val="0"/>
          <w:i/>
        </w:rPr>
        <w:t xml:space="preserve"> nurodymus, perdavė savo pavaldiniams, kurie tiesiogiai koordinavo karinius veiksmus, jiems vadovavo bei dalyvavo karinėje operacijoje, o būtent:</w:t>
      </w:r>
    </w:p>
    <w:p w:rsidR="008C57FD" w:rsidRPr="00C00255" w:rsidRDefault="00742D54" w:rsidP="008C57FD">
      <w:pPr>
        <w:pStyle w:val="Sraopastraipa1"/>
        <w:ind w:left="992" w:firstLine="992"/>
        <w:jc w:val="both"/>
        <w:rPr>
          <w:rFonts w:eastAsia="Times New Roman"/>
          <w:b w:val="0"/>
          <w:i/>
        </w:rPr>
      </w:pPr>
      <w:r w:rsidRPr="00C00255">
        <w:rPr>
          <w:rStyle w:val="Numatytasispastraiposriftas1"/>
          <w:rFonts w:eastAsia="Times New Roman"/>
          <w:b w:val="0"/>
          <w:i/>
        </w:rPr>
        <w:t>Įsakymai dėl kiekvieno iš užimamų objekto</w:t>
      </w:r>
      <w:r w:rsidRPr="00D56C29">
        <w:rPr>
          <w:rStyle w:val="Numatytasispastraiposriftas1"/>
          <w:rFonts w:eastAsia="Times New Roman"/>
          <w:b w:val="0"/>
          <w:bCs/>
          <w:i/>
        </w:rPr>
        <w:t xml:space="preserve"> </w:t>
      </w:r>
      <w:r w:rsidRPr="00C00255">
        <w:rPr>
          <w:rStyle w:val="Numatytasispastraiposriftas1"/>
          <w:rFonts w:eastAsia="Times New Roman"/>
          <w:b w:val="0"/>
          <w:i/>
          <w:u w:val="single"/>
        </w:rPr>
        <w:t>puolimo</w:t>
      </w:r>
      <w:r w:rsidRPr="00D56C29">
        <w:rPr>
          <w:rStyle w:val="Numatytasispastraiposriftas1"/>
          <w:rFonts w:eastAsia="Times New Roman"/>
          <w:b w:val="0"/>
          <w:bCs/>
          <w:i/>
        </w:rPr>
        <w:t xml:space="preserve"> </w:t>
      </w:r>
      <w:r w:rsidRPr="00C00255">
        <w:rPr>
          <w:rStyle w:val="Numatytasispastraiposriftas1"/>
          <w:rFonts w:eastAsia="Times New Roman"/>
          <w:b w:val="0"/>
          <w:i/>
        </w:rPr>
        <w:t xml:space="preserve">bei operacijos vykdymo eigos duoti kaltinamiesiems: </w:t>
      </w:r>
      <w:r w:rsidR="00C507EF">
        <w:rPr>
          <w:rStyle w:val="Numatytasispastraiposriftas1"/>
          <w:rFonts w:eastAsia="Times New Roman"/>
          <w:b w:val="0"/>
          <w:i/>
        </w:rPr>
        <w:t>I. K.</w:t>
      </w:r>
      <w:r w:rsidRPr="00C00255">
        <w:rPr>
          <w:rStyle w:val="Numatytasispastraiposriftas1"/>
          <w:rFonts w:eastAsia="Times New Roman"/>
          <w:b w:val="0"/>
          <w:i/>
        </w:rPr>
        <w:t xml:space="preserve"> (ikiteisminis tyrimas nutrauktas mirus), 234-ojo pulko štabo viršininkui </w:t>
      </w:r>
      <w:r w:rsidR="00385BC9">
        <w:rPr>
          <w:rStyle w:val="Numatytasispastraiposriftas1"/>
          <w:rFonts w:eastAsia="Times New Roman"/>
          <w:b w:val="0"/>
          <w:i/>
        </w:rPr>
        <w:t>G. G.</w:t>
      </w:r>
      <w:r w:rsidRPr="00C00255">
        <w:rPr>
          <w:rStyle w:val="Numatytasispastraiposriftas1"/>
          <w:rFonts w:eastAsia="Times New Roman"/>
          <w:b w:val="0"/>
          <w:i/>
        </w:rPr>
        <w:t xml:space="preserve">, 3-ojo bataliono vadui </w:t>
      </w:r>
      <w:r w:rsidR="002451F2">
        <w:rPr>
          <w:rStyle w:val="Numatytasispastraiposriftas1"/>
          <w:rFonts w:eastAsia="Times New Roman"/>
          <w:b w:val="0"/>
          <w:i/>
        </w:rPr>
        <w:t>V. S. 2</w:t>
      </w:r>
      <w:r w:rsidRPr="00C00255">
        <w:rPr>
          <w:rStyle w:val="Numatytasispastraiposriftas1"/>
          <w:rFonts w:eastAsia="Times New Roman"/>
          <w:b w:val="0"/>
          <w:i/>
        </w:rPr>
        <w:t xml:space="preserve">, bataliono štabo vadui </w:t>
      </w:r>
      <w:r w:rsidR="002451F2">
        <w:rPr>
          <w:rStyle w:val="Numatytasispastraiposriftas1"/>
          <w:rFonts w:eastAsia="Times New Roman"/>
          <w:b w:val="0"/>
          <w:i/>
        </w:rPr>
        <w:t>V. D.</w:t>
      </w:r>
      <w:r w:rsidRPr="00C00255">
        <w:rPr>
          <w:rStyle w:val="Numatytasispastraiposriftas1"/>
          <w:rFonts w:eastAsia="Times New Roman"/>
          <w:b w:val="0"/>
          <w:i/>
        </w:rPr>
        <w:t xml:space="preserve">, pulko artilerijos diviziono vado pavaduotojui </w:t>
      </w:r>
      <w:r w:rsidR="006036E7">
        <w:rPr>
          <w:rStyle w:val="Numatytasispastraiposriftas1"/>
          <w:rFonts w:eastAsia="Times New Roman"/>
          <w:b w:val="0"/>
          <w:i/>
        </w:rPr>
        <w:t>B. S.</w:t>
      </w:r>
      <w:r w:rsidRPr="00C00255">
        <w:rPr>
          <w:rStyle w:val="Numatytasispastraiposriftas1"/>
          <w:rFonts w:eastAsia="Times New Roman"/>
          <w:b w:val="0"/>
          <w:i/>
        </w:rPr>
        <w:t xml:space="preserve">, 3-ojo bataliono vado pavaduotojui </w:t>
      </w:r>
      <w:r w:rsidR="006036E7">
        <w:rPr>
          <w:rStyle w:val="Numatytasispastraiposriftas1"/>
          <w:rFonts w:eastAsia="Times New Roman"/>
          <w:b w:val="0"/>
          <w:i/>
        </w:rPr>
        <w:t>V. S. 3</w:t>
      </w:r>
      <w:r w:rsidRPr="00C00255">
        <w:rPr>
          <w:rStyle w:val="Numatytasispastraiposriftas1"/>
          <w:rFonts w:eastAsia="Times New Roman"/>
          <w:b w:val="0"/>
          <w:i/>
        </w:rPr>
        <w:t xml:space="preserve">, pulko žvalgybos tarnybos viršininkui </w:t>
      </w:r>
      <w:r w:rsidR="006036E7">
        <w:rPr>
          <w:rStyle w:val="Numatytasispastraiposriftas1"/>
          <w:rFonts w:eastAsia="Times New Roman"/>
          <w:b w:val="0"/>
          <w:i/>
        </w:rPr>
        <w:t>S. P.</w:t>
      </w:r>
      <w:r w:rsidRPr="00C00255">
        <w:rPr>
          <w:rStyle w:val="Numatytasispastraiposriftas1"/>
          <w:rFonts w:eastAsia="Times New Roman"/>
          <w:b w:val="0"/>
          <w:i/>
        </w:rPr>
        <w:t>, 234-ojo pulko kur</w:t>
      </w:r>
      <w:r w:rsidR="008C57FD" w:rsidRPr="00C00255">
        <w:rPr>
          <w:rStyle w:val="Numatytasispastraiposriftas1"/>
          <w:rFonts w:eastAsia="Times New Roman"/>
          <w:b w:val="0"/>
          <w:i/>
        </w:rPr>
        <w:t xml:space="preserve">o tarnybos viršininkui </w:t>
      </w:r>
      <w:r w:rsidR="006036E7">
        <w:rPr>
          <w:rStyle w:val="Numatytasispastraiposriftas1"/>
          <w:rFonts w:eastAsia="Times New Roman"/>
          <w:b w:val="0"/>
          <w:i/>
        </w:rPr>
        <w:t>S. K.</w:t>
      </w:r>
      <w:r w:rsidRPr="00C00255">
        <w:rPr>
          <w:rStyle w:val="Numatytasispastraiposriftas1"/>
          <w:rFonts w:eastAsia="Times New Roman"/>
          <w:b w:val="0"/>
          <w:i/>
        </w:rPr>
        <w:t xml:space="preserve">, 237-ojo pulko 1-os kuopos vadui </w:t>
      </w:r>
      <w:r w:rsidR="006036E7">
        <w:rPr>
          <w:rStyle w:val="Numatytasispastraiposriftas1"/>
          <w:rFonts w:eastAsia="Times New Roman"/>
          <w:b w:val="0"/>
          <w:i/>
        </w:rPr>
        <w:t>J. G.</w:t>
      </w:r>
      <w:r w:rsidRPr="00C00255">
        <w:rPr>
          <w:rStyle w:val="Numatytasispastraiposriftas1"/>
          <w:rFonts w:eastAsia="Times New Roman"/>
          <w:b w:val="0"/>
          <w:i/>
        </w:rPr>
        <w:t xml:space="preserve">, kuopos vado pavaduotojui </w:t>
      </w:r>
      <w:r w:rsidR="006036E7">
        <w:rPr>
          <w:rStyle w:val="Numatytasispastraiposriftas1"/>
          <w:rFonts w:eastAsia="Times New Roman"/>
          <w:b w:val="0"/>
          <w:i/>
        </w:rPr>
        <w:t>I. Š.</w:t>
      </w:r>
      <w:r w:rsidRPr="00C00255">
        <w:rPr>
          <w:rStyle w:val="Numatytasispastraiposriftas1"/>
          <w:rFonts w:eastAsia="Times New Roman"/>
          <w:b w:val="0"/>
          <w:i/>
        </w:rPr>
        <w:t>, 234-ojo pulko 8-os kuopos</w:t>
      </w:r>
      <w:r w:rsidR="008C57FD" w:rsidRPr="00C00255">
        <w:rPr>
          <w:rStyle w:val="Numatytasispastraiposriftas1"/>
          <w:rFonts w:eastAsia="Times New Roman"/>
          <w:b w:val="0"/>
          <w:i/>
        </w:rPr>
        <w:t xml:space="preserve"> vadui </w:t>
      </w:r>
      <w:r w:rsidR="006036E7">
        <w:rPr>
          <w:rStyle w:val="Numatytasispastraiposriftas1"/>
          <w:rFonts w:eastAsia="Times New Roman"/>
          <w:b w:val="0"/>
          <w:i/>
        </w:rPr>
        <w:t>A. G. 2</w:t>
      </w:r>
      <w:r w:rsidR="008C57FD" w:rsidRPr="00C00255">
        <w:rPr>
          <w:rStyle w:val="Numatytasispastraiposriftas1"/>
          <w:rFonts w:eastAsia="Times New Roman"/>
          <w:b w:val="0"/>
          <w:i/>
        </w:rPr>
        <w:t>,</w:t>
      </w:r>
      <w:r w:rsidRPr="00C00255">
        <w:rPr>
          <w:rStyle w:val="Numatytasispastraiposriftas1"/>
          <w:rFonts w:eastAsia="Times New Roman"/>
          <w:b w:val="0"/>
          <w:i/>
        </w:rPr>
        <w:t xml:space="preserve"> 5-os kuopos vado pavaduotojui </w:t>
      </w:r>
      <w:r w:rsidR="006036E7">
        <w:rPr>
          <w:rStyle w:val="Numatytasispastraiposriftas1"/>
          <w:rFonts w:eastAsia="Times New Roman"/>
          <w:b w:val="0"/>
          <w:i/>
        </w:rPr>
        <w:t>A. Z.</w:t>
      </w:r>
      <w:r w:rsidRPr="00C00255">
        <w:rPr>
          <w:rStyle w:val="Numatytasispastraiposriftas1"/>
          <w:rFonts w:eastAsia="Times New Roman"/>
          <w:b w:val="0"/>
          <w:i/>
        </w:rPr>
        <w:t>, 9-o</w:t>
      </w:r>
      <w:r w:rsidR="008C57FD" w:rsidRPr="00C00255">
        <w:rPr>
          <w:rStyle w:val="Numatytasispastraiposriftas1"/>
          <w:rFonts w:eastAsia="Times New Roman"/>
          <w:b w:val="0"/>
          <w:i/>
        </w:rPr>
        <w:t xml:space="preserve">s kuopos būrio vadui </w:t>
      </w:r>
      <w:r w:rsidR="006036E7">
        <w:rPr>
          <w:rStyle w:val="Numatytasispastraiposriftas1"/>
          <w:rFonts w:eastAsia="Times New Roman"/>
          <w:b w:val="0"/>
          <w:i/>
        </w:rPr>
        <w:t>V. K. 2</w:t>
      </w:r>
      <w:r w:rsidRPr="00C00255">
        <w:rPr>
          <w:rStyle w:val="Numatytasispastraiposriftas1"/>
          <w:rFonts w:eastAsia="Times New Roman"/>
          <w:b w:val="0"/>
          <w:i/>
        </w:rPr>
        <w:t xml:space="preserve">, žvalgybos kuopos vado pavaduotojui </w:t>
      </w:r>
      <w:r w:rsidR="006036E7">
        <w:rPr>
          <w:rStyle w:val="Numatytasispastraiposriftas1"/>
          <w:rFonts w:eastAsia="Times New Roman"/>
          <w:b w:val="0"/>
          <w:i/>
        </w:rPr>
        <w:t>R. J. 2</w:t>
      </w:r>
      <w:r w:rsidRPr="00C00255">
        <w:rPr>
          <w:rStyle w:val="Numatytasispastraiposriftas1"/>
          <w:rFonts w:eastAsia="Times New Roman"/>
          <w:b w:val="0"/>
          <w:i/>
        </w:rPr>
        <w:t xml:space="preserve">, baterijos vado pavaduotojui </w:t>
      </w:r>
      <w:r w:rsidR="006036E7">
        <w:rPr>
          <w:rStyle w:val="Numatytasispastraiposriftas1"/>
          <w:rFonts w:eastAsia="Times New Roman"/>
          <w:b w:val="0"/>
          <w:i/>
        </w:rPr>
        <w:t>S. G.</w:t>
      </w:r>
      <w:r w:rsidRPr="00C00255">
        <w:rPr>
          <w:rStyle w:val="Numatytasispastraiposriftas1"/>
          <w:rFonts w:eastAsia="Times New Roman"/>
          <w:b w:val="0"/>
          <w:i/>
        </w:rPr>
        <w:t xml:space="preserve">, 7-os kuopos vadui </w:t>
      </w:r>
      <w:r w:rsidR="006036E7">
        <w:rPr>
          <w:rStyle w:val="Numatytasispastraiposriftas1"/>
          <w:rFonts w:eastAsia="Times New Roman"/>
          <w:b w:val="0"/>
          <w:i/>
        </w:rPr>
        <w:t>S. M.</w:t>
      </w:r>
      <w:r w:rsidRPr="00C00255">
        <w:rPr>
          <w:rStyle w:val="Numatytasispastraiposriftas1"/>
          <w:rFonts w:eastAsia="Times New Roman"/>
          <w:b w:val="0"/>
          <w:i/>
        </w:rPr>
        <w:t xml:space="preserve">, 2-os kuopos vadui </w:t>
      </w:r>
      <w:r w:rsidR="006036E7">
        <w:rPr>
          <w:rStyle w:val="Numatytasispastraiposriftas1"/>
          <w:rFonts w:eastAsia="Times New Roman"/>
          <w:b w:val="0"/>
          <w:i/>
        </w:rPr>
        <w:t>K. U.</w:t>
      </w:r>
      <w:r w:rsidRPr="00C00255">
        <w:rPr>
          <w:rStyle w:val="Numatytasispastraiposriftas1"/>
          <w:rFonts w:eastAsia="Times New Roman"/>
          <w:b w:val="0"/>
          <w:i/>
        </w:rPr>
        <w:t xml:space="preserve">, 1-os kuopos būrio vadui </w:t>
      </w:r>
      <w:r w:rsidR="006036E7">
        <w:rPr>
          <w:rStyle w:val="Numatytasispastraiposriftas1"/>
          <w:rFonts w:eastAsia="Times New Roman"/>
          <w:b w:val="0"/>
          <w:i/>
        </w:rPr>
        <w:t>A. F. 1</w:t>
      </w:r>
      <w:r w:rsidRPr="00C00255">
        <w:rPr>
          <w:rStyle w:val="Numatytasispastraiposriftas1"/>
          <w:rFonts w:eastAsia="Times New Roman"/>
          <w:b w:val="0"/>
          <w:i/>
        </w:rPr>
        <w:t xml:space="preserve">, 234-ojo pulko komjaunimo komiteto sekretoriui </w:t>
      </w:r>
      <w:r w:rsidR="006036E7">
        <w:rPr>
          <w:rStyle w:val="Numatytasispastraiposriftas1"/>
          <w:rFonts w:eastAsia="Times New Roman"/>
          <w:b w:val="0"/>
          <w:i/>
        </w:rPr>
        <w:t>A. N. 2</w:t>
      </w:r>
      <w:r w:rsidRPr="00C00255">
        <w:rPr>
          <w:rStyle w:val="Numatytasispastraiposriftas1"/>
          <w:rFonts w:eastAsia="Times New Roman"/>
          <w:b w:val="0"/>
          <w:i/>
        </w:rPr>
        <w:t xml:space="preserve">, 8-os kuopos būrio vadui </w:t>
      </w:r>
      <w:r w:rsidR="006036E7">
        <w:rPr>
          <w:rStyle w:val="Numatytasispastraiposriftas1"/>
          <w:rFonts w:eastAsia="Times New Roman"/>
          <w:b w:val="0"/>
          <w:i/>
        </w:rPr>
        <w:t>E. M.</w:t>
      </w:r>
      <w:r w:rsidRPr="00C00255">
        <w:rPr>
          <w:rStyle w:val="Numatytasispastraiposriftas1"/>
          <w:rFonts w:eastAsia="Times New Roman"/>
          <w:b w:val="0"/>
          <w:i/>
        </w:rPr>
        <w:t xml:space="preserve">, 1-os baterijos būrio vadui </w:t>
      </w:r>
      <w:r w:rsidR="006036E7">
        <w:rPr>
          <w:rStyle w:val="Numatytasispastraiposriftas1"/>
          <w:rFonts w:eastAsia="Times New Roman"/>
          <w:b w:val="0"/>
          <w:i/>
        </w:rPr>
        <w:t>V. G.</w:t>
      </w:r>
      <w:r w:rsidRPr="00C00255">
        <w:rPr>
          <w:rStyle w:val="Numatytasispastraiposriftas1"/>
          <w:rFonts w:eastAsia="Times New Roman"/>
          <w:b w:val="0"/>
          <w:i/>
        </w:rPr>
        <w:t>, 7-os</w:t>
      </w:r>
      <w:r w:rsidR="008C57FD" w:rsidRPr="00C00255">
        <w:rPr>
          <w:rStyle w:val="Numatytasispastraiposriftas1"/>
          <w:rFonts w:eastAsia="Times New Roman"/>
          <w:b w:val="0"/>
          <w:i/>
        </w:rPr>
        <w:t xml:space="preserve"> kuopos būrio vadui </w:t>
      </w:r>
      <w:r w:rsidR="006036E7">
        <w:rPr>
          <w:rStyle w:val="Numatytasispastraiposriftas1"/>
          <w:rFonts w:eastAsia="Times New Roman"/>
          <w:b w:val="0"/>
          <w:i/>
        </w:rPr>
        <w:t>A. S.</w:t>
      </w:r>
      <w:r w:rsidR="008C57FD" w:rsidRPr="00C00255">
        <w:rPr>
          <w:rStyle w:val="Numatytasispastraiposriftas1"/>
          <w:rFonts w:eastAsia="Times New Roman"/>
          <w:b w:val="0"/>
          <w:i/>
        </w:rPr>
        <w:t xml:space="preserve">, </w:t>
      </w:r>
      <w:r w:rsidRPr="00C00255">
        <w:rPr>
          <w:rStyle w:val="Numatytasispastraiposriftas1"/>
          <w:rFonts w:eastAsia="Times New Roman"/>
          <w:b w:val="0"/>
          <w:i/>
        </w:rPr>
        <w:t xml:space="preserve">4-os kuopos būrio vadui </w:t>
      </w:r>
      <w:r w:rsidR="006036E7">
        <w:rPr>
          <w:rStyle w:val="Numatytasispastraiposriftas1"/>
          <w:rFonts w:eastAsia="Times New Roman"/>
          <w:b w:val="0"/>
          <w:i/>
        </w:rPr>
        <w:t>A. L.</w:t>
      </w:r>
      <w:r w:rsidRPr="00C00255">
        <w:rPr>
          <w:rStyle w:val="Numatytasispastraiposriftas1"/>
          <w:rFonts w:eastAsia="Times New Roman"/>
          <w:b w:val="0"/>
          <w:i/>
        </w:rPr>
        <w:t xml:space="preserve">, 237-ojo pulko 2-os kuopos būrio vadui </w:t>
      </w:r>
      <w:r w:rsidR="006036E7">
        <w:rPr>
          <w:rStyle w:val="Numatytasispastraiposriftas1"/>
          <w:rFonts w:eastAsia="Times New Roman"/>
          <w:b w:val="0"/>
          <w:i/>
        </w:rPr>
        <w:t>J. J.</w:t>
      </w:r>
      <w:r w:rsidRPr="00C00255">
        <w:rPr>
          <w:rStyle w:val="Numatytasispastraiposriftas1"/>
          <w:rFonts w:eastAsia="Times New Roman"/>
          <w:b w:val="0"/>
          <w:i/>
        </w:rPr>
        <w:t xml:space="preserve">, kuopos vado pavaduotojui </w:t>
      </w:r>
      <w:r w:rsidR="006036E7">
        <w:rPr>
          <w:rStyle w:val="Numatytasispastraiposriftas1"/>
          <w:rFonts w:eastAsia="Times New Roman"/>
          <w:b w:val="0"/>
          <w:i/>
        </w:rPr>
        <w:t>A. F. 2</w:t>
      </w:r>
      <w:r w:rsidRPr="00C00255">
        <w:rPr>
          <w:rStyle w:val="Numatytasispastraiposriftas1"/>
          <w:rFonts w:eastAsia="Times New Roman"/>
          <w:b w:val="0"/>
          <w:i/>
        </w:rPr>
        <w:t xml:space="preserve">, 237-ojo pulko slaptosios tarnybos viršininkui </w:t>
      </w:r>
      <w:r w:rsidR="006036E7">
        <w:rPr>
          <w:rStyle w:val="Numatytasispastraiposriftas1"/>
          <w:rFonts w:eastAsia="Times New Roman"/>
          <w:b w:val="0"/>
          <w:i/>
        </w:rPr>
        <w:t>A. I.</w:t>
      </w:r>
      <w:r w:rsidRPr="00C00255">
        <w:rPr>
          <w:rStyle w:val="Numatytasispastraiposriftas1"/>
          <w:rFonts w:eastAsia="Times New Roman"/>
          <w:b w:val="0"/>
          <w:i/>
        </w:rPr>
        <w:t xml:space="preserve"> ir 7-os kuopos vyresn. technikui </w:t>
      </w:r>
      <w:r w:rsidR="006036E7">
        <w:rPr>
          <w:rStyle w:val="Numatytasispastraiposriftas1"/>
          <w:rFonts w:eastAsia="Times New Roman"/>
          <w:b w:val="0"/>
          <w:i/>
        </w:rPr>
        <w:t>A. C.</w:t>
      </w:r>
      <w:r w:rsidRPr="00C00255">
        <w:rPr>
          <w:rStyle w:val="Numatytasispastraiposriftas1"/>
          <w:rFonts w:eastAsia="Times New Roman"/>
          <w:b w:val="0"/>
          <w:i/>
        </w:rPr>
        <w:t>.</w:t>
      </w:r>
    </w:p>
    <w:p w:rsidR="008C57FD" w:rsidRPr="00C00255" w:rsidRDefault="00742D54" w:rsidP="008C57FD">
      <w:pPr>
        <w:pStyle w:val="Sraopastraipa1"/>
        <w:ind w:left="992" w:firstLine="992"/>
        <w:jc w:val="both"/>
        <w:rPr>
          <w:rFonts w:eastAsia="Times New Roman"/>
          <w:b w:val="0"/>
          <w:i/>
        </w:rPr>
      </w:pPr>
      <w:r w:rsidRPr="00C00255">
        <w:rPr>
          <w:rStyle w:val="Numatytasispastraiposriftas1"/>
          <w:rFonts w:eastAsia="Times New Roman"/>
          <w:b w:val="0"/>
          <w:i/>
        </w:rPr>
        <w:t xml:space="preserve">Be to, kaltinamasis </w:t>
      </w:r>
      <w:r w:rsidR="00385BC9">
        <w:rPr>
          <w:rStyle w:val="Numatytasispastraiposriftas1"/>
          <w:rFonts w:eastAsia="Times New Roman"/>
          <w:b w:val="0"/>
          <w:i/>
        </w:rPr>
        <w:t>D. J.</w:t>
      </w:r>
      <w:r w:rsidRPr="00C00255">
        <w:rPr>
          <w:rStyle w:val="Numatytasispastraiposriftas1"/>
          <w:rFonts w:eastAsia="Times New Roman"/>
          <w:b w:val="0"/>
          <w:i/>
        </w:rPr>
        <w:t>, pasinaudodamas užimamomis pareigomis, įsakymus bei nurodymus dėl karinės operacijos Lietuvoje vykdymo ir vadovavimo jai davė ir TSRS GM Sausumos pajėgų Pabaltijo karinės apyga</w:t>
      </w:r>
      <w:r w:rsidR="008C57FD" w:rsidRPr="00C00255">
        <w:rPr>
          <w:rStyle w:val="Numatytasispastraiposriftas1"/>
          <w:rFonts w:eastAsia="Times New Roman"/>
          <w:b w:val="0"/>
          <w:i/>
        </w:rPr>
        <w:t xml:space="preserve">rdos vado pavaduotojui </w:t>
      </w:r>
      <w:r w:rsidR="00C507EF">
        <w:rPr>
          <w:rStyle w:val="Numatytasispastraiposriftas1"/>
          <w:rFonts w:eastAsia="Times New Roman"/>
          <w:b w:val="0"/>
          <w:i/>
        </w:rPr>
        <w:t>V. O.</w:t>
      </w:r>
      <w:r w:rsidRPr="00C00255">
        <w:rPr>
          <w:rStyle w:val="Numatytasispastraiposriftas1"/>
          <w:rFonts w:eastAsia="Times New Roman"/>
          <w:b w:val="0"/>
          <w:i/>
        </w:rPr>
        <w:t xml:space="preserve"> (ikiteisminis tyrimas nutrauktas mirus), kuris nurodymus dėl karinės operacijos vykdymo perdavė jo pavaldume buvusiam TSRS GM Sausumos pajėgų Pabaltijo karinės apygardos 107-osios motorizuotų šaulių divizijos vadui </w:t>
      </w:r>
      <w:r w:rsidR="006036E7">
        <w:rPr>
          <w:rStyle w:val="Numatytasispastraiposriftas1"/>
          <w:rFonts w:eastAsia="Times New Roman"/>
          <w:b w:val="0"/>
          <w:i/>
        </w:rPr>
        <w:t>V. U. 1</w:t>
      </w:r>
      <w:r w:rsidRPr="00C00255">
        <w:rPr>
          <w:rStyle w:val="Numatytasispastraiposriftas1"/>
          <w:rFonts w:eastAsia="Times New Roman"/>
          <w:b w:val="0"/>
          <w:i/>
        </w:rPr>
        <w:t>. Vykdydamas</w:t>
      </w:r>
      <w:r w:rsidRPr="00C00255">
        <w:rPr>
          <w:rStyle w:val="Numatytasispastraiposriftas1"/>
          <w:rFonts w:eastAsia="Times New Roman"/>
          <w:i/>
        </w:rPr>
        <w:t xml:space="preserve"> </w:t>
      </w:r>
      <w:r w:rsidRPr="00C00255">
        <w:rPr>
          <w:rStyle w:val="Numatytasispastraiposriftas1"/>
          <w:rFonts w:eastAsia="Times New Roman"/>
          <w:b w:val="0"/>
          <w:i/>
          <w:u w:val="single"/>
        </w:rPr>
        <w:t xml:space="preserve">TSRS GM Sausumos pajėgų Pabaltijo karinės apygardos vado pavaduotojo </w:t>
      </w:r>
      <w:r w:rsidR="00C507EF">
        <w:rPr>
          <w:rStyle w:val="Numatytasispastraiposriftas1"/>
          <w:rFonts w:eastAsia="Times New Roman"/>
          <w:b w:val="0"/>
          <w:i/>
          <w:u w:val="single"/>
        </w:rPr>
        <w:t>V. O.</w:t>
      </w:r>
      <w:r w:rsidRPr="00C00255">
        <w:rPr>
          <w:rStyle w:val="Numatytasispastraiposriftas1"/>
          <w:rFonts w:eastAsia="Times New Roman"/>
          <w:i/>
        </w:rPr>
        <w:t xml:space="preserve"> </w:t>
      </w:r>
      <w:r w:rsidRPr="00C00255">
        <w:rPr>
          <w:rStyle w:val="Numatytasispastraiposriftas1"/>
          <w:rFonts w:eastAsia="Times New Roman"/>
          <w:b w:val="0"/>
          <w:i/>
        </w:rPr>
        <w:t xml:space="preserve">nurodymus, kaltinamasis </w:t>
      </w:r>
      <w:r w:rsidR="006036E7">
        <w:rPr>
          <w:rStyle w:val="Numatytasispastraiposriftas1"/>
          <w:rFonts w:eastAsia="Times New Roman"/>
          <w:b w:val="0"/>
          <w:i/>
        </w:rPr>
        <w:t>V. U. 1</w:t>
      </w:r>
      <w:r w:rsidRPr="00C00255">
        <w:rPr>
          <w:rStyle w:val="Numatytasispastraiposriftas1"/>
          <w:rFonts w:eastAsia="Times New Roman"/>
          <w:b w:val="0"/>
          <w:i/>
        </w:rPr>
        <w:t xml:space="preserve"> nurodymus dėl tiesioginio dalyvavimo karinėje operacijoje ir vadovavimo jai bei</w:t>
      </w:r>
      <w:r w:rsidRPr="00C00255">
        <w:rPr>
          <w:rStyle w:val="Numatytasispastraiposriftas1"/>
          <w:rFonts w:eastAsia="Times New Roman"/>
          <w:i/>
        </w:rPr>
        <w:t xml:space="preserve"> </w:t>
      </w:r>
      <w:r w:rsidRPr="00C00255">
        <w:rPr>
          <w:rStyle w:val="Numatytasispastraiposriftas1"/>
          <w:rFonts w:eastAsia="Times New Roman"/>
          <w:b w:val="0"/>
          <w:i/>
        </w:rPr>
        <w:t xml:space="preserve">dėl </w:t>
      </w:r>
      <w:r w:rsidRPr="00C00255">
        <w:rPr>
          <w:rStyle w:val="Numatytasispastraiposriftas1"/>
          <w:rFonts w:eastAsia="Times New Roman"/>
          <w:b w:val="0"/>
          <w:i/>
          <w:u w:val="single"/>
        </w:rPr>
        <w:t>puolimo</w:t>
      </w:r>
      <w:r w:rsidRPr="00C00255">
        <w:rPr>
          <w:rStyle w:val="Numatytasispastraiposriftas1"/>
          <w:rFonts w:eastAsia="Times New Roman"/>
          <w:i/>
        </w:rPr>
        <w:t xml:space="preserve"> </w:t>
      </w:r>
      <w:r w:rsidRPr="00C00255">
        <w:rPr>
          <w:rStyle w:val="Numatytasispastraiposriftas1"/>
          <w:rFonts w:eastAsia="Times New Roman"/>
          <w:b w:val="0"/>
          <w:i/>
        </w:rPr>
        <w:t>veiksmų koordinavimo perdavė pavaldumo tvarka paklūstantiems kariškiams: 106-</w:t>
      </w:r>
      <w:r w:rsidR="008C57FD" w:rsidRPr="00C00255">
        <w:rPr>
          <w:rStyle w:val="Numatytasispastraiposriftas1"/>
          <w:rFonts w:eastAsia="Times New Roman"/>
          <w:b w:val="0"/>
          <w:i/>
        </w:rPr>
        <w:t xml:space="preserve">ojo tankų pulko vadui </w:t>
      </w:r>
      <w:r w:rsidR="004069BF">
        <w:rPr>
          <w:rStyle w:val="Numatytasispastraiposriftas1"/>
          <w:rFonts w:eastAsia="Times New Roman"/>
          <w:b w:val="0"/>
          <w:i/>
        </w:rPr>
        <w:t>N. A.</w:t>
      </w:r>
      <w:r w:rsidRPr="00C00255">
        <w:rPr>
          <w:rStyle w:val="Numatytasispastraiposriftas1"/>
          <w:rFonts w:eastAsia="Times New Roman"/>
          <w:b w:val="0"/>
          <w:i/>
        </w:rPr>
        <w:t xml:space="preserve">, pulko vado pavaduotojui </w:t>
      </w:r>
      <w:r w:rsidR="00C82C9D">
        <w:rPr>
          <w:rStyle w:val="Numatytasispastraiposriftas1"/>
          <w:rFonts w:eastAsia="Times New Roman"/>
          <w:b w:val="0"/>
          <w:i/>
        </w:rPr>
        <w:t>J. O.</w:t>
      </w:r>
      <w:r w:rsidRPr="00C00255">
        <w:rPr>
          <w:rStyle w:val="Numatytasispastraiposriftas1"/>
          <w:rFonts w:eastAsia="Times New Roman"/>
          <w:b w:val="0"/>
          <w:i/>
        </w:rPr>
        <w:t xml:space="preserve">, pulko partinio biuro sekretoriui </w:t>
      </w:r>
      <w:r w:rsidR="00C82C9D">
        <w:rPr>
          <w:rStyle w:val="Numatytasispastraiposriftas1"/>
          <w:rFonts w:eastAsia="Times New Roman"/>
          <w:b w:val="0"/>
          <w:i/>
        </w:rPr>
        <w:t>V. U. 2</w:t>
      </w:r>
      <w:r w:rsidRPr="00C00255">
        <w:rPr>
          <w:rStyle w:val="Numatytasispastraiposriftas1"/>
          <w:rFonts w:eastAsia="Times New Roman"/>
          <w:b w:val="0"/>
          <w:i/>
        </w:rPr>
        <w:t xml:space="preserve">, pulko bataliono vado pavaduotojams </w:t>
      </w:r>
      <w:r w:rsidR="008C57FD" w:rsidRPr="00C00255">
        <w:rPr>
          <w:rStyle w:val="Numatytasispastraiposriftas1"/>
          <w:rFonts w:eastAsia="Times New Roman"/>
          <w:b w:val="0"/>
          <w:i/>
        </w:rPr>
        <w:t>–</w:t>
      </w:r>
      <w:r w:rsidRPr="00C00255">
        <w:rPr>
          <w:rStyle w:val="Numatytasispastraiposriftas1"/>
          <w:rFonts w:eastAsia="Times New Roman"/>
          <w:b w:val="0"/>
          <w:i/>
        </w:rPr>
        <w:t xml:space="preserve"> </w:t>
      </w:r>
      <w:r w:rsidR="00C82C9D">
        <w:rPr>
          <w:rStyle w:val="Numatytasispastraiposriftas1"/>
          <w:rFonts w:eastAsia="Times New Roman"/>
          <w:b w:val="0"/>
          <w:i/>
        </w:rPr>
        <w:t>V. S. 4</w:t>
      </w:r>
      <w:r w:rsidRPr="00C00255">
        <w:rPr>
          <w:rStyle w:val="Numatytasispastraiposriftas1"/>
          <w:rFonts w:eastAsia="Times New Roman"/>
          <w:b w:val="0"/>
          <w:i/>
        </w:rPr>
        <w:t xml:space="preserve">, </w:t>
      </w:r>
      <w:r w:rsidR="00C82C9D">
        <w:rPr>
          <w:rStyle w:val="Numatytasispastraiposriftas1"/>
          <w:rFonts w:eastAsia="Times New Roman"/>
          <w:b w:val="0"/>
          <w:i/>
        </w:rPr>
        <w:t>V. Š. 3</w:t>
      </w:r>
      <w:r w:rsidRPr="00C00255">
        <w:rPr>
          <w:rStyle w:val="Numatytasispastraiposriftas1"/>
          <w:rFonts w:eastAsia="Times New Roman"/>
          <w:b w:val="0"/>
          <w:i/>
        </w:rPr>
        <w:t xml:space="preserve"> ir </w:t>
      </w:r>
      <w:r w:rsidR="00C82C9D">
        <w:rPr>
          <w:rStyle w:val="Numatytasispastraiposriftas1"/>
          <w:rFonts w:eastAsia="Times New Roman"/>
          <w:b w:val="0"/>
          <w:i/>
        </w:rPr>
        <w:t>S. V.</w:t>
      </w:r>
      <w:r w:rsidRPr="00C00255">
        <w:rPr>
          <w:rStyle w:val="Numatytasispastraiposriftas1"/>
          <w:rFonts w:eastAsia="Times New Roman"/>
          <w:b w:val="0"/>
          <w:i/>
        </w:rPr>
        <w:t xml:space="preserve">, kuopų vadams - </w:t>
      </w:r>
      <w:r w:rsidR="00C82C9D">
        <w:rPr>
          <w:rStyle w:val="Numatytasispastraiposriftas1"/>
          <w:rFonts w:eastAsia="Times New Roman"/>
          <w:b w:val="0"/>
          <w:i/>
        </w:rPr>
        <w:t>V. P.</w:t>
      </w:r>
      <w:r w:rsidRPr="00C00255">
        <w:rPr>
          <w:rStyle w:val="Numatytasispastraiposriftas1"/>
          <w:rFonts w:eastAsia="Times New Roman"/>
          <w:b w:val="0"/>
          <w:i/>
        </w:rPr>
        <w:t xml:space="preserve">, </w:t>
      </w:r>
      <w:r w:rsidR="00C82C9D">
        <w:rPr>
          <w:rStyle w:val="Numatytasispastraiposriftas1"/>
          <w:rFonts w:eastAsia="Times New Roman"/>
          <w:b w:val="0"/>
          <w:i/>
        </w:rPr>
        <w:t>E. R.</w:t>
      </w:r>
      <w:r w:rsidRPr="00C00255">
        <w:rPr>
          <w:rStyle w:val="Numatytasispastraiposriftas1"/>
          <w:rFonts w:eastAsia="Times New Roman"/>
          <w:b w:val="0"/>
          <w:i/>
        </w:rPr>
        <w:t xml:space="preserve">, </w:t>
      </w:r>
      <w:r w:rsidR="00C82C9D">
        <w:rPr>
          <w:rStyle w:val="Numatytasispastraiposriftas1"/>
          <w:rFonts w:eastAsia="Times New Roman"/>
          <w:b w:val="0"/>
          <w:i/>
        </w:rPr>
        <w:t>A. G. 1</w:t>
      </w:r>
      <w:r w:rsidR="008C57FD" w:rsidRPr="00C00255">
        <w:rPr>
          <w:rStyle w:val="Numatytasispastraiposriftas1"/>
          <w:rFonts w:eastAsia="Times New Roman"/>
          <w:b w:val="0"/>
          <w:i/>
        </w:rPr>
        <w:t xml:space="preserve">, </w:t>
      </w:r>
      <w:r w:rsidR="00C82C9D">
        <w:rPr>
          <w:rStyle w:val="Numatytasispastraiposriftas1"/>
          <w:rFonts w:eastAsia="Times New Roman"/>
          <w:b w:val="0"/>
          <w:i/>
        </w:rPr>
        <w:t>A. B.</w:t>
      </w:r>
      <w:r w:rsidR="008C57FD" w:rsidRPr="00C00255">
        <w:rPr>
          <w:rStyle w:val="Numatytasispastraiposriftas1"/>
          <w:rFonts w:eastAsia="Times New Roman"/>
          <w:b w:val="0"/>
          <w:i/>
        </w:rPr>
        <w:t xml:space="preserve">, </w:t>
      </w:r>
      <w:r w:rsidR="00C82C9D">
        <w:rPr>
          <w:rStyle w:val="Numatytasispastraiposriftas1"/>
          <w:rFonts w:eastAsia="Times New Roman"/>
          <w:b w:val="0"/>
          <w:i/>
        </w:rPr>
        <w:t>O. A.</w:t>
      </w:r>
      <w:r w:rsidRPr="00C00255">
        <w:rPr>
          <w:rStyle w:val="Numatytasispastraiposriftas1"/>
          <w:rFonts w:eastAsia="Times New Roman"/>
          <w:b w:val="0"/>
          <w:i/>
        </w:rPr>
        <w:t xml:space="preserve">, būrio vado pavaduotojui </w:t>
      </w:r>
      <w:r w:rsidR="00C82C9D">
        <w:rPr>
          <w:rStyle w:val="Numatytasispastraiposriftas1"/>
          <w:rFonts w:eastAsia="Times New Roman"/>
          <w:b w:val="0"/>
          <w:i/>
        </w:rPr>
        <w:t>N. S.</w:t>
      </w:r>
      <w:r w:rsidRPr="00C00255">
        <w:rPr>
          <w:rStyle w:val="Numatytasispastraiposriftas1"/>
          <w:rFonts w:eastAsia="Times New Roman"/>
          <w:b w:val="0"/>
          <w:i/>
        </w:rPr>
        <w:t xml:space="preserve">, kuopos vado pavaduotojui </w:t>
      </w:r>
      <w:r w:rsidR="00C82C9D">
        <w:rPr>
          <w:rStyle w:val="Numatytasispastraiposriftas1"/>
          <w:rFonts w:eastAsia="Times New Roman"/>
          <w:b w:val="0"/>
          <w:i/>
        </w:rPr>
        <w:t>A. U.</w:t>
      </w:r>
      <w:r w:rsidRPr="00C00255">
        <w:rPr>
          <w:rStyle w:val="Numatytasispastraiposriftas1"/>
          <w:rFonts w:eastAsia="Times New Roman"/>
          <w:b w:val="0"/>
          <w:i/>
        </w:rPr>
        <w:t xml:space="preserve">, kuopos vadui </w:t>
      </w:r>
      <w:r w:rsidR="00A97F74">
        <w:rPr>
          <w:rStyle w:val="Numatytasispastraiposriftas1"/>
          <w:rFonts w:eastAsia="Times New Roman"/>
          <w:b w:val="0"/>
          <w:i/>
        </w:rPr>
        <w:t>A. K. 1</w:t>
      </w:r>
      <w:r w:rsidRPr="00C00255">
        <w:rPr>
          <w:rStyle w:val="Numatytasispastraiposriftas1"/>
          <w:rFonts w:eastAsia="Times New Roman"/>
          <w:b w:val="0"/>
          <w:i/>
        </w:rPr>
        <w:t xml:space="preserve">, būrių vadams – </w:t>
      </w:r>
      <w:r w:rsidR="00A97F74">
        <w:rPr>
          <w:rStyle w:val="Numatytasispastraiposriftas1"/>
          <w:rFonts w:eastAsia="Times New Roman"/>
          <w:b w:val="0"/>
          <w:i/>
        </w:rPr>
        <w:t>D. F.</w:t>
      </w:r>
      <w:r w:rsidRPr="00C00255">
        <w:rPr>
          <w:rStyle w:val="Numatytasispastraiposriftas1"/>
          <w:rFonts w:eastAsia="Times New Roman"/>
          <w:b w:val="0"/>
          <w:i/>
        </w:rPr>
        <w:t xml:space="preserve">, </w:t>
      </w:r>
      <w:r w:rsidR="00BA18FA">
        <w:rPr>
          <w:rStyle w:val="Numatytasispastraiposriftas1"/>
          <w:rFonts w:eastAsia="Times New Roman"/>
          <w:b w:val="0"/>
          <w:i/>
        </w:rPr>
        <w:t>J. M.</w:t>
      </w:r>
      <w:r w:rsidRPr="00C00255">
        <w:rPr>
          <w:rStyle w:val="Numatytasispastraiposriftas1"/>
          <w:rFonts w:eastAsia="Times New Roman"/>
          <w:b w:val="0"/>
          <w:i/>
        </w:rPr>
        <w:t xml:space="preserve">, </w:t>
      </w:r>
      <w:r w:rsidR="00A97F74">
        <w:rPr>
          <w:rStyle w:val="Numatytasispastraiposriftas1"/>
          <w:rFonts w:eastAsia="Times New Roman"/>
          <w:b w:val="0"/>
          <w:i/>
        </w:rPr>
        <w:t>D. B.</w:t>
      </w:r>
      <w:r w:rsidRPr="00C00255">
        <w:rPr>
          <w:rStyle w:val="Numatytasispastraiposriftas1"/>
          <w:rFonts w:eastAsia="Times New Roman"/>
          <w:b w:val="0"/>
          <w:i/>
        </w:rPr>
        <w:t xml:space="preserve">, </w:t>
      </w:r>
      <w:r w:rsidR="00A97F74">
        <w:rPr>
          <w:rStyle w:val="Numatytasispastraiposriftas1"/>
          <w:rFonts w:eastAsia="Times New Roman"/>
          <w:b w:val="0"/>
          <w:i/>
        </w:rPr>
        <w:t>N. O.</w:t>
      </w:r>
      <w:r w:rsidRPr="00C00255">
        <w:rPr>
          <w:rStyle w:val="Numatytasispastraiposriftas1"/>
          <w:rFonts w:eastAsia="Times New Roman"/>
          <w:b w:val="0"/>
          <w:i/>
        </w:rPr>
        <w:t xml:space="preserve">, </w:t>
      </w:r>
      <w:r w:rsidR="00A97F74">
        <w:rPr>
          <w:rStyle w:val="Numatytasispastraiposriftas1"/>
          <w:rFonts w:eastAsia="Times New Roman"/>
          <w:b w:val="0"/>
          <w:i/>
        </w:rPr>
        <w:t>A. K. 2</w:t>
      </w:r>
      <w:r w:rsidRPr="00C00255">
        <w:rPr>
          <w:rStyle w:val="Numatytasispastraiposriftas1"/>
          <w:rFonts w:eastAsia="Times New Roman"/>
          <w:b w:val="0"/>
          <w:i/>
        </w:rPr>
        <w:t xml:space="preserve"> ir kuopos vado pavaduotojui ginkluotei </w:t>
      </w:r>
      <w:r w:rsidR="00A97F74">
        <w:rPr>
          <w:rStyle w:val="Numatytasispastraiposriftas1"/>
          <w:rFonts w:eastAsia="Times New Roman"/>
          <w:b w:val="0"/>
          <w:i/>
        </w:rPr>
        <w:t>A. R.</w:t>
      </w:r>
      <w:r w:rsidRPr="00C00255">
        <w:rPr>
          <w:rStyle w:val="Numatytasispastraiposriftas1"/>
          <w:rFonts w:eastAsia="Times New Roman"/>
          <w:b w:val="0"/>
          <w:i/>
        </w:rPr>
        <w:t>.</w:t>
      </w:r>
    </w:p>
    <w:p w:rsidR="008C57FD" w:rsidRPr="00C00255" w:rsidRDefault="00C507EF" w:rsidP="008C57FD">
      <w:pPr>
        <w:pStyle w:val="Sraopastraipa1"/>
        <w:ind w:left="992" w:firstLine="992"/>
        <w:jc w:val="both"/>
        <w:rPr>
          <w:rFonts w:eastAsia="Times New Roman"/>
          <w:b w:val="0"/>
          <w:i/>
        </w:rPr>
      </w:pPr>
      <w:r>
        <w:rPr>
          <w:rFonts w:eastAsia="Times New Roman"/>
          <w:b w:val="0"/>
          <w:i/>
        </w:rPr>
        <w:t>V. K.</w:t>
      </w:r>
      <w:r w:rsidR="00742D54" w:rsidRPr="00C00255">
        <w:rPr>
          <w:rFonts w:eastAsia="Times New Roman"/>
          <w:b w:val="0"/>
          <w:i/>
        </w:rPr>
        <w:t xml:space="preserve"> (ikiteisminis tyrimas nutrauktas mirus), pasinaudodamas savo tarnybine padėtimi, karinės operacijos koordinatoriais ir vykdytojais paskyrė TSRS VSK (KGB) 3-iosios vyriausiosios valdybos viršininko pav</w:t>
      </w:r>
      <w:r w:rsidR="008C57FD" w:rsidRPr="00C00255">
        <w:rPr>
          <w:rFonts w:eastAsia="Times New Roman"/>
          <w:b w:val="0"/>
          <w:i/>
        </w:rPr>
        <w:t xml:space="preserve">aduotoją generolą majorą </w:t>
      </w:r>
      <w:r>
        <w:rPr>
          <w:rFonts w:eastAsia="Times New Roman"/>
          <w:b w:val="0"/>
          <w:i/>
        </w:rPr>
        <w:t>J. K.</w:t>
      </w:r>
      <w:r w:rsidR="00742D54" w:rsidRPr="00C00255">
        <w:rPr>
          <w:rFonts w:eastAsia="Times New Roman"/>
          <w:b w:val="0"/>
          <w:i/>
        </w:rPr>
        <w:t xml:space="preserve"> (ikiteisminis tyrimas nutrauktas mirus), TSRS VSK specialios paskirties grupės „A“ viršininko pavaduotoją </w:t>
      </w:r>
      <w:r w:rsidR="00385BC9">
        <w:rPr>
          <w:rFonts w:eastAsia="Times New Roman"/>
          <w:b w:val="0"/>
          <w:i/>
        </w:rPr>
        <w:t>M. G.</w:t>
      </w:r>
      <w:r w:rsidR="00742D54" w:rsidRPr="00C00255">
        <w:rPr>
          <w:rFonts w:eastAsia="Times New Roman"/>
          <w:b w:val="0"/>
          <w:i/>
        </w:rPr>
        <w:t xml:space="preserve"> ir šios grupės 3-ojo poskyrio viršininką </w:t>
      </w:r>
      <w:r w:rsidR="00385BC9">
        <w:rPr>
          <w:rFonts w:eastAsia="Times New Roman"/>
          <w:b w:val="0"/>
          <w:i/>
        </w:rPr>
        <w:t>J. Č.</w:t>
      </w:r>
      <w:r w:rsidR="00742D54" w:rsidRPr="00C00255">
        <w:rPr>
          <w:rFonts w:eastAsia="Times New Roman"/>
          <w:b w:val="0"/>
          <w:i/>
        </w:rPr>
        <w:t>.</w:t>
      </w:r>
      <w:r w:rsidR="008434B8" w:rsidRPr="00C00255">
        <w:rPr>
          <w:rFonts w:eastAsia="Times New Roman"/>
          <w:b w:val="0"/>
          <w:i/>
        </w:rPr>
        <w:t xml:space="preserve"> </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Veikdamas kartu su kitais jėgos struktūrų vadovais, TSRS vidaus reikalų ministras </w:t>
      </w:r>
      <w:r w:rsidR="00C507EF">
        <w:rPr>
          <w:rFonts w:eastAsia="Times New Roman"/>
          <w:b w:val="0"/>
          <w:i/>
        </w:rPr>
        <w:t>B. P.</w:t>
      </w:r>
      <w:r w:rsidRPr="00C00255">
        <w:rPr>
          <w:rFonts w:eastAsia="Times New Roman"/>
          <w:b w:val="0"/>
          <w:i/>
        </w:rPr>
        <w:t xml:space="preserve"> (ikiteisminis tyrimas nutrauktas mirus), pasinaudodamas savo tarnybine padėtimi, įsakymus dėl karinės operacijos Lietuvoje organizavimo davė savo pavaduotojui kaltinamajam </w:t>
      </w:r>
      <w:r w:rsidR="00385BC9">
        <w:rPr>
          <w:rFonts w:eastAsia="Times New Roman"/>
          <w:b w:val="0"/>
          <w:i/>
        </w:rPr>
        <w:t>N. D.</w:t>
      </w:r>
      <w:r w:rsidRPr="00C00255">
        <w:rPr>
          <w:rFonts w:eastAsia="Times New Roman"/>
          <w:b w:val="0"/>
          <w:i/>
        </w:rPr>
        <w:t xml:space="preserve">, kuris ministro įsakymą, pavaldumo tvarka, perdavė TSRS VRM Šiaurės vakarų ir Pabaltijo vidaus kariuomenės valdybos viršininkui kaltinamajam </w:t>
      </w:r>
      <w:r w:rsidR="00385BC9">
        <w:rPr>
          <w:rFonts w:eastAsia="Times New Roman"/>
          <w:b w:val="0"/>
          <w:i/>
        </w:rPr>
        <w:t>V. S. 1</w:t>
      </w:r>
      <w:r w:rsidRPr="00C00255">
        <w:rPr>
          <w:rFonts w:eastAsia="Times New Roman"/>
          <w:b w:val="0"/>
          <w:i/>
        </w:rPr>
        <w:t xml:space="preserve">. Pastarasis kartu su jo pavaldume esančiu TSRS VRM Šiaurės vakarų ir Pabaltijo vidaus </w:t>
      </w:r>
      <w:r w:rsidRPr="00C00255">
        <w:rPr>
          <w:rFonts w:eastAsia="Times New Roman"/>
          <w:b w:val="0"/>
          <w:i/>
        </w:rPr>
        <w:lastRenderedPageBreak/>
        <w:t xml:space="preserve">kariuomenės valdybos 42-osios divizijos vadu </w:t>
      </w:r>
      <w:r w:rsidR="006036E7">
        <w:rPr>
          <w:rFonts w:eastAsia="Times New Roman"/>
          <w:b w:val="0"/>
          <w:i/>
        </w:rPr>
        <w:t>A. Ž.</w:t>
      </w:r>
      <w:r w:rsidRPr="00C00255">
        <w:rPr>
          <w:rFonts w:eastAsia="Times New Roman"/>
          <w:b w:val="0"/>
          <w:i/>
        </w:rPr>
        <w:t xml:space="preserve">, vykdydami vadovybės įsakymus, nurodymus dėl tiesioginio dalyvavimo karinėje operacijoje bei konkrečių veiksmų atlikimo, perdavė kitiems divizijos kariškiams: konvojaus pulko vadui </w:t>
      </w:r>
      <w:r w:rsidR="00A97F74">
        <w:rPr>
          <w:rFonts w:eastAsia="Times New Roman"/>
          <w:b w:val="0"/>
          <w:i/>
        </w:rPr>
        <w:t>S. F.</w:t>
      </w:r>
      <w:r w:rsidRPr="00C00255">
        <w:rPr>
          <w:rFonts w:eastAsia="Times New Roman"/>
          <w:b w:val="0"/>
          <w:i/>
        </w:rPr>
        <w:t xml:space="preserve"> ir jo pavaduotojui </w:t>
      </w:r>
      <w:r w:rsidR="00A97F74">
        <w:rPr>
          <w:rFonts w:eastAsia="Times New Roman"/>
          <w:b w:val="0"/>
          <w:i/>
        </w:rPr>
        <w:t>V. R.</w:t>
      </w:r>
      <w:r w:rsidRPr="00C00255">
        <w:rPr>
          <w:rFonts w:eastAsia="Times New Roman"/>
          <w:b w:val="0"/>
          <w:i/>
        </w:rPr>
        <w:t xml:space="preserve">, Ryšių tarnybos viršininkui </w:t>
      </w:r>
      <w:r w:rsidR="00A97F74">
        <w:rPr>
          <w:rFonts w:eastAsia="Times New Roman"/>
          <w:b w:val="0"/>
          <w:i/>
        </w:rPr>
        <w:t>V. Š. 2</w:t>
      </w:r>
      <w:r w:rsidRPr="00C00255">
        <w:rPr>
          <w:rFonts w:eastAsia="Times New Roman"/>
          <w:b w:val="0"/>
          <w:i/>
        </w:rPr>
        <w:t xml:space="preserve">, specialiosios paskirties mokomosios kuopos vadui </w:t>
      </w:r>
      <w:r w:rsidR="00DC0414">
        <w:rPr>
          <w:rFonts w:eastAsia="Times New Roman"/>
          <w:b w:val="0"/>
          <w:i/>
        </w:rPr>
        <w:t>O. M.</w:t>
      </w:r>
      <w:r w:rsidRPr="00C00255">
        <w:rPr>
          <w:rFonts w:eastAsia="Times New Roman"/>
          <w:b w:val="0"/>
          <w:i/>
        </w:rPr>
        <w:t xml:space="preserve"> ir jo pavaduotojui </w:t>
      </w:r>
      <w:r w:rsidR="00A97F74">
        <w:rPr>
          <w:rFonts w:eastAsia="Times New Roman"/>
          <w:b w:val="0"/>
          <w:i/>
        </w:rPr>
        <w:t>V. M.</w:t>
      </w:r>
      <w:r w:rsidRPr="00C00255">
        <w:rPr>
          <w:rFonts w:eastAsia="Times New Roman"/>
          <w:b w:val="0"/>
          <w:i/>
        </w:rPr>
        <w:t>, Ryšių grandies vi</w:t>
      </w:r>
      <w:r w:rsidR="008C57FD" w:rsidRPr="00C00255">
        <w:rPr>
          <w:rFonts w:eastAsia="Times New Roman"/>
          <w:b w:val="0"/>
          <w:i/>
        </w:rPr>
        <w:t xml:space="preserve">ršininko pavaduotojui </w:t>
      </w:r>
      <w:r w:rsidR="00DC0414">
        <w:rPr>
          <w:rFonts w:eastAsia="Times New Roman"/>
          <w:b w:val="0"/>
          <w:i/>
        </w:rPr>
        <w:t>G. P.</w:t>
      </w:r>
      <w:r w:rsidRPr="00C00255">
        <w:rPr>
          <w:rFonts w:eastAsia="Times New Roman"/>
          <w:b w:val="0"/>
          <w:i/>
        </w:rPr>
        <w:t xml:space="preserve">, kuopos būrio vadui </w:t>
      </w:r>
      <w:r w:rsidR="00DC0414">
        <w:rPr>
          <w:rFonts w:eastAsia="Times New Roman"/>
          <w:b w:val="0"/>
          <w:i/>
        </w:rPr>
        <w:t>M. C.</w:t>
      </w:r>
      <w:r w:rsidRPr="00C00255">
        <w:rPr>
          <w:rFonts w:eastAsia="Times New Roman"/>
          <w:b w:val="0"/>
          <w:i/>
        </w:rPr>
        <w:t>, kuopos instruktoriui</w:t>
      </w:r>
      <w:r w:rsidR="008C57FD" w:rsidRPr="00C00255">
        <w:rPr>
          <w:rFonts w:eastAsia="Times New Roman"/>
          <w:b w:val="0"/>
          <w:i/>
        </w:rPr>
        <w:t xml:space="preserve"> metodistui </w:t>
      </w:r>
      <w:r w:rsidR="00DC0414">
        <w:rPr>
          <w:rFonts w:eastAsia="Times New Roman"/>
          <w:b w:val="0"/>
          <w:i/>
        </w:rPr>
        <w:t>J. S.</w:t>
      </w:r>
      <w:r w:rsidR="008C57FD" w:rsidRPr="00C00255">
        <w:rPr>
          <w:rFonts w:eastAsia="Times New Roman"/>
          <w:b w:val="0"/>
          <w:i/>
        </w:rPr>
        <w:t>.</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Nuo 1991 m. sausio mėn. pradžios, kaltinamųjų </w:t>
      </w:r>
      <w:r w:rsidR="006036E7">
        <w:rPr>
          <w:rFonts w:eastAsia="Times New Roman"/>
          <w:b w:val="0"/>
          <w:i/>
        </w:rPr>
        <w:t>V. U. 1</w:t>
      </w:r>
      <w:r w:rsidRPr="00C00255">
        <w:rPr>
          <w:rFonts w:eastAsia="Times New Roman"/>
          <w:b w:val="0"/>
          <w:i/>
        </w:rPr>
        <w:t xml:space="preserve"> ir </w:t>
      </w:r>
      <w:r w:rsidR="006036E7">
        <w:rPr>
          <w:rFonts w:eastAsia="Times New Roman"/>
          <w:b w:val="0"/>
          <w:i/>
        </w:rPr>
        <w:t>A. Ž.</w:t>
      </w:r>
      <w:r w:rsidRPr="00C00255">
        <w:rPr>
          <w:rFonts w:eastAsia="Times New Roman"/>
          <w:b w:val="0"/>
          <w:i/>
        </w:rPr>
        <w:t xml:space="preserve"> nurodymu, 107-osios motorizuotų šaulių divizijos ir 42-osios divizijos daliniuose paskelbta „kovinė“ parengtis, parengta ginkluotė ir technika, kariškiams išduoti etatiniai ginklai ir šaudmenys, įsakyta būti tarnybos vietose, sustiprinta karinių miestelių apsauga, įvesti paros budėjimai bei patruliavimas</w:t>
      </w:r>
      <w:r w:rsidR="008C57FD" w:rsidRPr="00C00255">
        <w:rPr>
          <w:rFonts w:eastAsia="Times New Roman"/>
          <w:b w:val="0"/>
          <w:i/>
        </w:rPr>
        <w:t xml:space="preserve"> Vilniuje ir kituose miestuose.</w:t>
      </w:r>
    </w:p>
    <w:p w:rsidR="008C57FD" w:rsidRPr="00C00255" w:rsidRDefault="00742D54" w:rsidP="008C57FD">
      <w:pPr>
        <w:pStyle w:val="Sraopastraipa1"/>
        <w:ind w:left="992" w:firstLine="992"/>
        <w:jc w:val="both"/>
        <w:rPr>
          <w:rFonts w:eastAsia="Times New Roman"/>
          <w:b w:val="0"/>
          <w:i/>
        </w:rPr>
      </w:pPr>
      <w:r w:rsidRPr="00C00255">
        <w:rPr>
          <w:rStyle w:val="Numatytasispastraiposriftas1"/>
          <w:rFonts w:eastAsia="Times New Roman"/>
          <w:b w:val="0"/>
          <w:i/>
        </w:rPr>
        <w:t xml:space="preserve">Kaltinamojo </w:t>
      </w:r>
      <w:r w:rsidR="00385BC9">
        <w:rPr>
          <w:rStyle w:val="Numatytasispastraiposriftas1"/>
          <w:rFonts w:eastAsia="Times New Roman"/>
          <w:b w:val="0"/>
          <w:i/>
        </w:rPr>
        <w:t>D. J.</w:t>
      </w:r>
      <w:r w:rsidRPr="00C00255">
        <w:rPr>
          <w:rStyle w:val="Numatytasispastraiposriftas1"/>
          <w:rFonts w:eastAsia="Times New Roman"/>
          <w:b w:val="0"/>
          <w:i/>
        </w:rPr>
        <w:t xml:space="preserve"> kartu su kitais (</w:t>
      </w:r>
      <w:r w:rsidR="00C507EF">
        <w:rPr>
          <w:rStyle w:val="Numatytasispastraiposriftas1"/>
          <w:rFonts w:eastAsia="Times New Roman"/>
          <w:b w:val="0"/>
          <w:i/>
        </w:rPr>
        <w:t>B. P.</w:t>
      </w:r>
      <w:r w:rsidRPr="00C00255">
        <w:rPr>
          <w:rStyle w:val="Numatytasispastraiposriftas1"/>
          <w:rFonts w:eastAsia="Times New Roman"/>
          <w:b w:val="0"/>
          <w:i/>
        </w:rPr>
        <w:t xml:space="preserve"> ir </w:t>
      </w:r>
      <w:r w:rsidR="00C507EF">
        <w:rPr>
          <w:rStyle w:val="Numatytasispastraiposriftas1"/>
          <w:rFonts w:eastAsia="Times New Roman"/>
          <w:b w:val="0"/>
          <w:i/>
        </w:rPr>
        <w:t>V. K.</w:t>
      </w:r>
      <w:r w:rsidRPr="00C00255">
        <w:rPr>
          <w:rStyle w:val="Numatytasispastraiposriftas1"/>
          <w:rFonts w:eastAsia="Times New Roman"/>
          <w:b w:val="0"/>
          <w:i/>
        </w:rPr>
        <w:t xml:space="preserve">) įkurtas vadovavimo karinei operacijai štabas, atsižvelgdamas į užimtinų objektų strateginę reikšmę ir Lietuvos nepriklausomybės rėmėjų, pasiryžusių ginti šiuos objektus skaičių, </w:t>
      </w:r>
      <w:r w:rsidRPr="00C00255">
        <w:rPr>
          <w:rStyle w:val="Numatytasispastraiposriftas1"/>
          <w:rFonts w:eastAsia="Times New Roman"/>
          <w:b w:val="0"/>
          <w:i/>
          <w:u w:val="single"/>
        </w:rPr>
        <w:t>karo</w:t>
      </w:r>
      <w:r w:rsidRPr="00C00255">
        <w:rPr>
          <w:rStyle w:val="Numatytasispastraiposriftas1"/>
          <w:rFonts w:eastAsia="Times New Roman"/>
          <w:b w:val="0"/>
          <w:i/>
        </w:rPr>
        <w:t xml:space="preserve"> atakose dalyvaujančias karines pajėgas (karinę techniką ir kariškių skaičių) paskirstė į užimamus objektus, konkretizavo kariuomenės rūšių užduotis ir veiksmus, paskyrė kariniams veiksmams vadovaujančius bei už veiksmų koordinavimą atsakingus karininkus, įsakė apie karinių operacijų eigą ir rezultatus informuoti vadovavimo štabą </w:t>
      </w:r>
      <w:r w:rsidRPr="00C00255">
        <w:rPr>
          <w:rStyle w:val="Numatytasispastraiposriftas1"/>
          <w:rFonts w:eastAsia="Times New Roman"/>
          <w:b w:val="0"/>
          <w:i/>
          <w:u w:val="single"/>
        </w:rPr>
        <w:t xml:space="preserve">ir nutarė pradėti ginkluotą konfliktą, kurio metu užimti numatytus strateginius objektus, o Spaudos rūmus, TV bokštą bei LRT užimti vykdant tarptautinės humanitarinės teisės draudžiamas karo atakas nukreiptas prieš civilius. Rengiant karinę operaciją buvo siekiama remti ir vykdyti TSRS ir TSKP politiką dideliu mastu ir sistemingai užpuldinėti civilius, juos žudant, sunkiai sutrikdant jų sveikatą, persekiojant žmonių grupes ar bendrijas dėl politinių motyvų, kuriuos draudžia tarptautinė teisė. Karinės operacijos numatytos vykdyti naudojant bauginimo ir teroro priemones, neteisėtai atimant ar suvaržant žmonių laisves, panaudojant uždraustas karo priemones, </w:t>
      </w:r>
      <w:r w:rsidRPr="00C00255">
        <w:rPr>
          <w:rStyle w:val="Numatytasispastraiposriftas1"/>
          <w:rFonts w:eastAsia="Times New Roman"/>
          <w:b w:val="0"/>
          <w:i/>
        </w:rPr>
        <w:t>o</w:t>
      </w:r>
      <w:r w:rsidRPr="00C00255">
        <w:rPr>
          <w:rStyle w:val="Numatytasispastraiposriftas1"/>
          <w:rFonts w:eastAsia="Times New Roman"/>
        </w:rPr>
        <w:t xml:space="preserve"> </w:t>
      </w:r>
      <w:r w:rsidRPr="00C00255">
        <w:rPr>
          <w:rStyle w:val="Numatytasispastraiposriftas1"/>
          <w:rFonts w:eastAsia="Times New Roman"/>
          <w:b w:val="0"/>
          <w:i/>
        </w:rPr>
        <w:t>būtent:</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 spaudos rūmų užėmimui paskirta TSRS GM Pskovo 76-osios oro desanto divizijos kariškių grupė, vadovaujama kaltinamojo </w:t>
      </w:r>
      <w:r w:rsidR="00385BC9">
        <w:rPr>
          <w:rFonts w:eastAsia="Times New Roman"/>
          <w:b w:val="0"/>
          <w:i/>
        </w:rPr>
        <w:t>V. K. 1</w:t>
      </w:r>
      <w:r w:rsidRPr="00C00255">
        <w:rPr>
          <w:rFonts w:eastAsia="Times New Roman"/>
          <w:b w:val="0"/>
          <w:i/>
        </w:rPr>
        <w:t xml:space="preserve"> ir 107-osios motorizuotos šaulių divizijos 106-ojo tankų pulko jungtiniai ekipažai, vad</w:t>
      </w:r>
      <w:r w:rsidR="008C57FD" w:rsidRPr="00C00255">
        <w:rPr>
          <w:rFonts w:eastAsia="Times New Roman"/>
          <w:b w:val="0"/>
          <w:i/>
        </w:rPr>
        <w:t xml:space="preserve">ovaujami kaltinamojo </w:t>
      </w:r>
      <w:r w:rsidR="00BA18FA">
        <w:rPr>
          <w:rFonts w:eastAsia="Times New Roman"/>
          <w:b w:val="0"/>
          <w:i/>
        </w:rPr>
        <w:t>G. I.</w:t>
      </w:r>
      <w:r w:rsidR="008C57FD" w:rsidRPr="00C00255">
        <w:rPr>
          <w:rFonts w:eastAsia="Times New Roman"/>
          <w:b w:val="0"/>
          <w:i/>
        </w:rPr>
        <w:t>;</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 TV Centro (bokšto) ir LRT (Radijo ir televizijos komiteto) užėmimui paskirti trys šimtai keturi TSRS GM 76-osios oro desanto divizijos jungtinio kariškiai, vadovaujami 76-osios oro desanto divizijos vado pavaduotojo kaltinamojo </w:t>
      </w:r>
      <w:r w:rsidR="00385BC9">
        <w:rPr>
          <w:rFonts w:eastAsia="Times New Roman"/>
          <w:b w:val="0"/>
          <w:i/>
        </w:rPr>
        <w:t>V. K. 1</w:t>
      </w:r>
      <w:r w:rsidRPr="00C00255">
        <w:rPr>
          <w:rFonts w:eastAsia="Times New Roman"/>
          <w:b w:val="0"/>
          <w:i/>
        </w:rPr>
        <w:t xml:space="preserve">, dvidešimt vienas TSRS GM 107-osios motorizuotų šaulių divizijos 106-ojo tankų pulko kariškis ir 77-ojo motorizuotų šaulių pulko tankų bataliono kariškiai, vadovaujami 107-osios motorizuotų šaulių divizijos vado kaltinamojo </w:t>
      </w:r>
      <w:r w:rsidR="006036E7">
        <w:rPr>
          <w:rFonts w:eastAsia="Times New Roman"/>
          <w:b w:val="0"/>
          <w:i/>
        </w:rPr>
        <w:t>V. U. 1</w:t>
      </w:r>
      <w:r w:rsidRPr="00C00255">
        <w:rPr>
          <w:rFonts w:eastAsia="Times New Roman"/>
          <w:b w:val="0"/>
          <w:i/>
        </w:rPr>
        <w:t xml:space="preserve">, penkiasdešimt keturi TSRS VSK specialiosios paskirties grupės „A“ kariškiai, vadovaujami vado pavaduotojo kaltinamojo </w:t>
      </w:r>
      <w:r w:rsidR="00385BC9">
        <w:rPr>
          <w:rFonts w:eastAsia="Times New Roman"/>
          <w:b w:val="0"/>
          <w:i/>
        </w:rPr>
        <w:t>M. G.</w:t>
      </w:r>
      <w:r w:rsidRPr="00C00255">
        <w:rPr>
          <w:rFonts w:eastAsia="Times New Roman"/>
          <w:b w:val="0"/>
          <w:i/>
        </w:rPr>
        <w:t>, šešiasdešimt trys kariškiai iš TSRS VRM 42-osios divizijos valdybos, konvojaus ir milicijos pulkų, vadovaujami 42-osios divizi</w:t>
      </w:r>
      <w:r w:rsidR="008C57FD" w:rsidRPr="00C00255">
        <w:rPr>
          <w:rFonts w:eastAsia="Times New Roman"/>
          <w:b w:val="0"/>
          <w:i/>
        </w:rPr>
        <w:t xml:space="preserve">jos vado kaltinamojo </w:t>
      </w:r>
      <w:r w:rsidR="006036E7">
        <w:rPr>
          <w:rFonts w:eastAsia="Times New Roman"/>
          <w:b w:val="0"/>
          <w:i/>
        </w:rPr>
        <w:t>A. Ž.</w:t>
      </w:r>
      <w:r w:rsidRPr="00C00255">
        <w:rPr>
          <w:rFonts w:eastAsia="Times New Roman"/>
          <w:b w:val="0"/>
          <w:i/>
        </w:rPr>
        <w:t xml:space="preserve">, bei draugovininkai, vadovaujami kaltinamojo </w:t>
      </w:r>
      <w:r w:rsidR="00385BC9">
        <w:rPr>
          <w:rFonts w:eastAsia="Times New Roman"/>
          <w:b w:val="0"/>
          <w:i/>
        </w:rPr>
        <w:t>R. J. 1</w:t>
      </w:r>
      <w:r w:rsidRPr="00C00255">
        <w:rPr>
          <w:rFonts w:eastAsia="Times New Roman"/>
          <w:b w:val="0"/>
          <w:i/>
        </w:rPr>
        <w:t xml:space="preserve"> ir kt.</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TSRS VSK specialios paskirties grupės „A“, 76-osios oro desanto divizijos, 107-osios motorizuotos šaulių divizijos ir 42-os divizijos kariškių, dalyvaujančių užimant objektus, bendrus veiksmus koordinavo grupės vado pavaduotojas kaltinamasis </w:t>
      </w:r>
      <w:r w:rsidR="00385BC9">
        <w:rPr>
          <w:rFonts w:eastAsia="Times New Roman"/>
          <w:b w:val="0"/>
          <w:i/>
        </w:rPr>
        <w:t>M. G.</w:t>
      </w:r>
      <w:r w:rsidRPr="00C00255">
        <w:rPr>
          <w:rFonts w:eastAsia="Times New Roman"/>
          <w:b w:val="0"/>
          <w:i/>
        </w:rPr>
        <w:t xml:space="preserve">, 76-osios oro desanto divizijos vado pavaduotojas kaltinamasis </w:t>
      </w:r>
      <w:r w:rsidR="00385BC9">
        <w:rPr>
          <w:rFonts w:eastAsia="Times New Roman"/>
          <w:b w:val="0"/>
          <w:i/>
        </w:rPr>
        <w:t>V. K. 1</w:t>
      </w:r>
      <w:r w:rsidRPr="00C00255">
        <w:rPr>
          <w:rFonts w:eastAsia="Times New Roman"/>
          <w:b w:val="0"/>
          <w:i/>
        </w:rPr>
        <w:t xml:space="preserve">, 107-osios motorizuotos šaulių divizijos vadas kaltinamasis </w:t>
      </w:r>
      <w:r w:rsidR="006036E7">
        <w:rPr>
          <w:rFonts w:eastAsia="Times New Roman"/>
          <w:b w:val="0"/>
          <w:i/>
        </w:rPr>
        <w:t>V. U. 1</w:t>
      </w:r>
      <w:r w:rsidRPr="00C00255">
        <w:rPr>
          <w:rFonts w:eastAsia="Times New Roman"/>
          <w:b w:val="0"/>
          <w:i/>
        </w:rPr>
        <w:t>, 42-os divizijos vadas kalti</w:t>
      </w:r>
      <w:r w:rsidR="008C57FD" w:rsidRPr="00C00255">
        <w:rPr>
          <w:rFonts w:eastAsia="Times New Roman"/>
          <w:b w:val="0"/>
          <w:i/>
        </w:rPr>
        <w:t xml:space="preserve">namasis </w:t>
      </w:r>
      <w:r w:rsidR="006036E7">
        <w:rPr>
          <w:rFonts w:eastAsia="Times New Roman"/>
          <w:b w:val="0"/>
          <w:i/>
        </w:rPr>
        <w:t>A. Ž.</w:t>
      </w:r>
      <w:r w:rsidR="008C57FD" w:rsidRPr="00C00255">
        <w:rPr>
          <w:rFonts w:eastAsia="Times New Roman"/>
          <w:b w:val="0"/>
          <w:i/>
        </w:rPr>
        <w:t>.</w:t>
      </w:r>
    </w:p>
    <w:p w:rsidR="008C57FD" w:rsidRPr="00C00255" w:rsidRDefault="00742D54" w:rsidP="008C57FD">
      <w:pPr>
        <w:pStyle w:val="Sraopastraipa1"/>
        <w:ind w:left="992" w:firstLine="992"/>
        <w:jc w:val="both"/>
        <w:rPr>
          <w:rFonts w:eastAsia="Times New Roman"/>
          <w:b w:val="0"/>
          <w:i/>
        </w:rPr>
      </w:pPr>
      <w:r w:rsidRPr="00C00255">
        <w:rPr>
          <w:rFonts w:eastAsia="Times New Roman"/>
          <w:b w:val="0"/>
          <w:i/>
        </w:rPr>
        <w:t xml:space="preserve">Koordinatorių veiksmus kontroliavo vadovavimo operacijai štabo nariai: kaltinamieji </w:t>
      </w:r>
      <w:r w:rsidR="00385BC9">
        <w:rPr>
          <w:rFonts w:eastAsia="Times New Roman"/>
          <w:b w:val="0"/>
          <w:i/>
        </w:rPr>
        <w:t>N. D.</w:t>
      </w:r>
      <w:r w:rsidRPr="00C00255">
        <w:rPr>
          <w:rFonts w:eastAsia="Times New Roman"/>
          <w:b w:val="0"/>
          <w:i/>
        </w:rPr>
        <w:t xml:space="preserve">, </w:t>
      </w:r>
      <w:r w:rsidR="00385BC9">
        <w:rPr>
          <w:rFonts w:eastAsia="Times New Roman"/>
          <w:b w:val="0"/>
          <w:i/>
        </w:rPr>
        <w:t>V. S. 1</w:t>
      </w:r>
      <w:r w:rsidRPr="00C00255">
        <w:rPr>
          <w:rFonts w:eastAsia="Times New Roman"/>
          <w:b w:val="0"/>
          <w:i/>
        </w:rPr>
        <w:t xml:space="preserve"> (kartu </w:t>
      </w:r>
      <w:r w:rsidR="008C57FD" w:rsidRPr="00C00255">
        <w:rPr>
          <w:rFonts w:eastAsia="Times New Roman"/>
          <w:b w:val="0"/>
          <w:i/>
        </w:rPr>
        <w:t xml:space="preserve">su </w:t>
      </w:r>
      <w:r w:rsidR="00C507EF">
        <w:rPr>
          <w:rFonts w:eastAsia="Times New Roman"/>
          <w:b w:val="0"/>
          <w:i/>
        </w:rPr>
        <w:t>J. K.</w:t>
      </w:r>
      <w:r w:rsidR="008C57FD" w:rsidRPr="00C00255">
        <w:rPr>
          <w:rFonts w:eastAsia="Times New Roman"/>
          <w:b w:val="0"/>
          <w:i/>
        </w:rPr>
        <w:t xml:space="preserve">, </w:t>
      </w:r>
      <w:r w:rsidR="00D37127">
        <w:rPr>
          <w:rFonts w:eastAsia="Times New Roman"/>
          <w:b w:val="0"/>
          <w:i/>
        </w:rPr>
        <w:t>S. C.</w:t>
      </w:r>
      <w:r w:rsidR="008C57FD" w:rsidRPr="00C00255">
        <w:rPr>
          <w:rFonts w:eastAsia="Times New Roman"/>
          <w:b w:val="0"/>
          <w:i/>
        </w:rPr>
        <w:t xml:space="preserve">, </w:t>
      </w:r>
      <w:r w:rsidR="00C507EF">
        <w:rPr>
          <w:rFonts w:eastAsia="Times New Roman"/>
          <w:b w:val="0"/>
          <w:i/>
        </w:rPr>
        <w:t>V. A.</w:t>
      </w:r>
      <w:r w:rsidRPr="00C00255">
        <w:rPr>
          <w:rFonts w:eastAsia="Times New Roman"/>
          <w:b w:val="0"/>
          <w:i/>
        </w:rPr>
        <w:t xml:space="preserve">, </w:t>
      </w:r>
      <w:r w:rsidR="00C507EF">
        <w:rPr>
          <w:rFonts w:eastAsia="Times New Roman"/>
          <w:b w:val="0"/>
          <w:i/>
        </w:rPr>
        <w:t>V. O.</w:t>
      </w:r>
      <w:r w:rsidRPr="00C00255">
        <w:rPr>
          <w:rFonts w:eastAsia="Times New Roman"/>
          <w:b w:val="0"/>
          <w:i/>
        </w:rPr>
        <w:t>). Draugovininkų veiksmus kontroliavo ir koordinavo vadova</w:t>
      </w:r>
      <w:r w:rsidR="008C57FD" w:rsidRPr="00C00255">
        <w:rPr>
          <w:rFonts w:eastAsia="Times New Roman"/>
          <w:b w:val="0"/>
          <w:i/>
        </w:rPr>
        <w:t xml:space="preserve">vimo štabo nariai kaltinamieji </w:t>
      </w:r>
      <w:r w:rsidR="00385BC9">
        <w:rPr>
          <w:rFonts w:eastAsia="Times New Roman"/>
          <w:b w:val="0"/>
          <w:i/>
        </w:rPr>
        <w:t>A. N. 1</w:t>
      </w:r>
      <w:r w:rsidRPr="00C00255">
        <w:rPr>
          <w:rFonts w:eastAsia="Times New Roman"/>
          <w:b w:val="0"/>
          <w:i/>
        </w:rPr>
        <w:t xml:space="preserve">, </w:t>
      </w:r>
      <w:r w:rsidR="00385BC9">
        <w:rPr>
          <w:rFonts w:eastAsia="Times New Roman"/>
          <w:b w:val="0"/>
          <w:i/>
        </w:rPr>
        <w:t xml:space="preserve">V. Š. 1 </w:t>
      </w:r>
      <w:r w:rsidRPr="00C00255">
        <w:rPr>
          <w:rFonts w:eastAsia="Times New Roman"/>
          <w:b w:val="0"/>
          <w:i/>
        </w:rPr>
        <w:t>ir R</w:t>
      </w:r>
      <w:r w:rsidR="00D37127">
        <w:rPr>
          <w:rFonts w:eastAsia="Times New Roman"/>
          <w:b w:val="0"/>
          <w:i/>
        </w:rPr>
        <w:t>. J. 1</w:t>
      </w:r>
      <w:r w:rsidRPr="00C00255">
        <w:rPr>
          <w:rFonts w:eastAsia="Times New Roman"/>
          <w:b w:val="0"/>
          <w:i/>
        </w:rPr>
        <w:t>.</w:t>
      </w:r>
    </w:p>
    <w:p w:rsidR="00742D54" w:rsidRPr="00C00255" w:rsidRDefault="00742D54" w:rsidP="008C57FD">
      <w:pPr>
        <w:pStyle w:val="Sraopastraipa1"/>
        <w:ind w:left="992" w:firstLine="992"/>
        <w:jc w:val="both"/>
        <w:rPr>
          <w:rFonts w:eastAsia="Times New Roman"/>
          <w:b w:val="0"/>
          <w:i/>
        </w:rPr>
      </w:pPr>
      <w:r w:rsidRPr="00C00255">
        <w:rPr>
          <w:rStyle w:val="Numatytasispastraiposriftas1"/>
          <w:rFonts w:eastAsia="Times New Roman"/>
          <w:b w:val="0"/>
          <w:i/>
          <w:color w:val="000000"/>
          <w:u w:val="single"/>
        </w:rPr>
        <w:t>Organizuotos grupės nariai</w:t>
      </w:r>
      <w:r w:rsidRPr="00C00255">
        <w:rPr>
          <w:rStyle w:val="Numatytasispastraiposriftas1"/>
          <w:rFonts w:eastAsia="Times New Roman"/>
          <w:b w:val="0"/>
          <w:i/>
          <w:color w:val="000000"/>
        </w:rPr>
        <w:t>, įgyvendindami operacijos planavimo grupės ir vadovavimo karinei operacijai štabo patvirtintus planus,</w:t>
      </w:r>
      <w:r w:rsidR="008434B8" w:rsidRPr="00C00255">
        <w:rPr>
          <w:rStyle w:val="Numatytasispastraiposriftas1"/>
          <w:rFonts w:eastAsia="Times New Roman"/>
          <w:b w:val="0"/>
          <w:i/>
          <w:color w:val="000000"/>
        </w:rPr>
        <w:t xml:space="preserve"> </w:t>
      </w:r>
      <w:r w:rsidRPr="00C00255">
        <w:rPr>
          <w:rStyle w:val="Numatytasispastraiposriftas1"/>
          <w:rFonts w:eastAsia="Times New Roman"/>
          <w:b w:val="0"/>
          <w:i/>
          <w:color w:val="000000"/>
        </w:rPr>
        <w:t xml:space="preserve">naudodami tarptautinių sutarčių uždraustas karo ir bauginimo priemones, 1991 m. sausio mėnesį vykdė tarptautinės </w:t>
      </w:r>
      <w:r w:rsidRPr="00C00255">
        <w:rPr>
          <w:rStyle w:val="Numatytasispastraiposriftas1"/>
          <w:rFonts w:eastAsia="Times New Roman"/>
          <w:b w:val="0"/>
          <w:i/>
          <w:color w:val="000000"/>
        </w:rPr>
        <w:lastRenderedPageBreak/>
        <w:t>humanitarinės teisės draudžiamas karo atakas prieš civilius, kurių metu juos nužudė, sunkiai sutrikdė jų sveikatą ir padarė įvairaus sunkumo kūno sužalojimus bei jėga okupavo strateginės reikšmės objektus ir pastatus.</w:t>
      </w:r>
    </w:p>
    <w:p w:rsidR="00742D54" w:rsidRPr="00C00255" w:rsidRDefault="00742D54" w:rsidP="00225B8E">
      <w:pPr>
        <w:pStyle w:val="Standard"/>
        <w:tabs>
          <w:tab w:val="left" w:pos="8245"/>
        </w:tabs>
        <w:spacing w:before="120" w:after="120"/>
        <w:ind w:firstLine="851"/>
        <w:jc w:val="center"/>
        <w:rPr>
          <w:rFonts w:cs="Times New Roman"/>
          <w:b/>
          <w:i/>
          <w:color w:val="000000"/>
          <w:lang w:eastAsia="ar-SA" w:bidi="lt-LT"/>
        </w:rPr>
      </w:pPr>
      <w:r w:rsidRPr="00C00255">
        <w:rPr>
          <w:rFonts w:cs="Times New Roman"/>
          <w:b/>
          <w:i/>
          <w:color w:val="000000"/>
          <w:lang w:eastAsia="ar-SA" w:bidi="lt-LT"/>
        </w:rPr>
        <w:t>SPAUDOS RŪMŲ IR KITŲ OBJEKTŲ UŽGROBIMAS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color w:val="000000"/>
          <w:u w:val="single"/>
          <w:lang w:eastAsia="ar-SA" w:bidi="lt-LT"/>
        </w:rPr>
        <w:t xml:space="preserve">TSRS agresija ir ginkluotas konfliktas </w:t>
      </w:r>
      <w:r w:rsidRPr="00C00255">
        <w:rPr>
          <w:rStyle w:val="Numatytasispastraiposriftas1"/>
          <w:rFonts w:cs="Times New Roman"/>
          <w:i/>
          <w:color w:val="000000"/>
          <w:lang w:eastAsia="ar-SA" w:bidi="lt-LT"/>
        </w:rPr>
        <w:t>prieš Lietuvą, paskelbusią apie savo nepriklausomybės atkūrimą, pradėti vykdyti 1991 m. sausio 11 d., įgyvendinant operacijos planavimo grupės ir vadovavimo štabo parengtą planą, užg</w:t>
      </w:r>
      <w:r w:rsidR="008C57FD" w:rsidRPr="00C00255">
        <w:rPr>
          <w:rStyle w:val="Numatytasispastraiposriftas1"/>
          <w:rFonts w:cs="Times New Roman"/>
          <w:i/>
          <w:color w:val="000000"/>
          <w:lang w:eastAsia="ar-SA" w:bidi="lt-LT"/>
        </w:rPr>
        <w:t>robti šie strateginiai Lietuvos </w:t>
      </w:r>
      <w:r w:rsidRPr="00C00255">
        <w:rPr>
          <w:rStyle w:val="Numatytasispastraiposriftas1"/>
          <w:rFonts w:cs="Times New Roman"/>
          <w:i/>
          <w:color w:val="000000"/>
          <w:lang w:eastAsia="ar-SA" w:bidi="lt-LT"/>
        </w:rPr>
        <w:t>Respublikos objektai:</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apie 11.30 val., TSRS GM Alytaus oro desanto k/d 10999 kariškiai užgrobė KAD Alytaus technikos mokyklą, Santaikos g. 30, Alytuje, ir užvaldė ten esančius šaudmenis;</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- 12 – 13 val., TSRS GM 107-osios motorizuotų šaulių divizijos kariškiai, vadovaujami kaltinamojo </w:t>
      </w:r>
      <w:r w:rsidR="006036E7">
        <w:rPr>
          <w:rFonts w:cs="Times New Roman"/>
          <w:i/>
          <w:color w:val="000000"/>
          <w:lang w:eastAsia="ar-SA" w:bidi="lt-LT"/>
        </w:rPr>
        <w:t>V. U. 1</w:t>
      </w:r>
      <w:r w:rsidRPr="00C00255">
        <w:rPr>
          <w:rFonts w:cs="Times New Roman"/>
          <w:i/>
          <w:color w:val="000000"/>
          <w:lang w:eastAsia="ar-SA" w:bidi="lt-LT"/>
        </w:rPr>
        <w:t>, panaudodami sunkiąją karinę techniką, o būtent: tankus T-72, priešlėktuvinės gynybos sistemą ŠILKA (ZSU-23-4, raidės rusiškos), būdami ginkluoti Kalašnikovo automatais AK-74, AKS-74, AKS-74U, 5,45 mm kalibro, snaiperiniais 7,62 mm kalibro Dragunovo šautuvais (toliau – SVD), 7,62 mm ir 5,45 mm kalibro Kalašnikovo kulkosvaidžiais (toliau - PK) ir rankiniais Kalašnikovo kulkosvaidžiais (toliau – RPK-74), užėmė Krašto apsaugos departamento administracinį pastatą, esantį Viršuliškių g. 36, Vilniuje ir laikė jį užgrobtą iki 1991 m. rugpjūčio 23 d.;</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apie 17 val., pagal 42-osios divizijos vado kaltinamojo </w:t>
      </w:r>
      <w:r w:rsidR="006036E7">
        <w:rPr>
          <w:rFonts w:cs="Times New Roman"/>
          <w:i/>
          <w:color w:val="000000"/>
          <w:lang w:eastAsia="ar-SA" w:bidi="lt-LT"/>
        </w:rPr>
        <w:t>A. Ž.</w:t>
      </w:r>
      <w:r w:rsidRPr="00C00255">
        <w:rPr>
          <w:rFonts w:cs="Times New Roman"/>
          <w:i/>
          <w:color w:val="000000"/>
          <w:lang w:eastAsia="ar-SA" w:bidi="lt-LT"/>
        </w:rPr>
        <w:t xml:space="preserve"> nurodymą, perduotą per konvojaus pulko 7574 vadą kaltinamąjį </w:t>
      </w:r>
      <w:r w:rsidR="00A97F74">
        <w:rPr>
          <w:rFonts w:cs="Times New Roman"/>
          <w:i/>
          <w:color w:val="000000"/>
          <w:lang w:eastAsia="ar-SA" w:bidi="lt-LT"/>
        </w:rPr>
        <w:t>S. F.</w:t>
      </w:r>
      <w:r w:rsidRPr="00C00255">
        <w:rPr>
          <w:rFonts w:cs="Times New Roman"/>
          <w:i/>
          <w:color w:val="000000"/>
          <w:lang w:eastAsia="ar-SA" w:bidi="lt-LT"/>
        </w:rPr>
        <w:t xml:space="preserve"> bei jam pavaldžios 42-osios divizijos mokomosios specialios paskirtie</w:t>
      </w:r>
      <w:r w:rsidR="008C57FD" w:rsidRPr="00C00255">
        <w:rPr>
          <w:rFonts w:cs="Times New Roman"/>
          <w:i/>
          <w:color w:val="000000"/>
          <w:lang w:eastAsia="ar-SA" w:bidi="lt-LT"/>
        </w:rPr>
        <w:t xml:space="preserve">s kuopos vadą kaltinamąjį </w:t>
      </w:r>
      <w:r w:rsidR="00DC0414">
        <w:rPr>
          <w:rFonts w:cs="Times New Roman"/>
          <w:i/>
          <w:color w:val="000000"/>
          <w:lang w:eastAsia="ar-SA" w:bidi="lt-LT"/>
        </w:rPr>
        <w:t>O. M.</w:t>
      </w:r>
      <w:r w:rsidRPr="00C00255">
        <w:rPr>
          <w:rFonts w:cs="Times New Roman"/>
          <w:i/>
          <w:color w:val="000000"/>
          <w:lang w:eastAsia="ar-SA" w:bidi="lt-LT"/>
        </w:rPr>
        <w:t xml:space="preserve">, vadovaujami būrio vado kaltinamojo </w:t>
      </w:r>
      <w:r w:rsidR="00DC0414">
        <w:rPr>
          <w:rFonts w:cs="Times New Roman"/>
          <w:i/>
          <w:color w:val="000000"/>
          <w:lang w:eastAsia="ar-SA" w:bidi="lt-LT"/>
        </w:rPr>
        <w:t>M. C.</w:t>
      </w:r>
      <w:r w:rsidRPr="00C00255">
        <w:rPr>
          <w:rFonts w:cs="Times New Roman"/>
          <w:i/>
          <w:color w:val="000000"/>
          <w:lang w:eastAsia="ar-SA" w:bidi="lt-LT"/>
        </w:rPr>
        <w:t>, šios kuopos kariškiai iš Lietuvos medžiotojų ir žvejų draugijos Respublikinės tarybos sandėlio, esančio Stiklių g. 6/8, Vilniuje, pagrobė medžioklinius šaunamuosius ginklus ir šaudmenis;</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- 18.45 val., TSRS GM 107-osios motorizuotų šaulių divizijos ginkluoti kariškiai, pasitelkę pagal LKP/TSKP vadovų nurodymus įkurtų darbininkų draugovių ir streikų komitetų narius, vadus bei ginkluotus J. Bartašiūno mokyklos kursantus, užgrobė Vilniaus geležinkelio stoties valdymo posto (MRC) patalpas, esančias Pelesos g. 2, Vilniuje, ir laikė jas užgrobtas iki 1991 m. sausio 13 d., 20.00 val., tokiu būdu nutraukdami traukinių eismą per Vilniaus geležinkelio stotį;</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apie 20 val., TSRS GM 76-osios oro desanto divizijos kariškiai užgrobė Valstybinės įmonės „Lietuvos telekomas“ filialo Tarpmiestinio telefono cen</w:t>
      </w:r>
      <w:r w:rsidR="00E32853" w:rsidRPr="00C00255">
        <w:rPr>
          <w:rFonts w:cs="Times New Roman"/>
          <w:i/>
          <w:color w:val="000000"/>
          <w:lang w:eastAsia="ar-SA" w:bidi="lt-LT"/>
        </w:rPr>
        <w:t>tro cecho Vilnius-I ir Lietuvos </w:t>
      </w:r>
      <w:r w:rsidRPr="00C00255">
        <w:rPr>
          <w:rFonts w:cs="Times New Roman"/>
          <w:i/>
          <w:color w:val="000000"/>
          <w:lang w:eastAsia="ar-SA" w:bidi="lt-LT"/>
        </w:rPr>
        <w:t>radijo ir televizijos centro Radijo transliacijos operatorinės (radijo biuro) patalpas, esančias Kreivalaužiuose, Vilniaus rajone ir jas laikė užgrobtas iki 1991 m. rugpjūčio 22 d.;</w:t>
      </w:r>
    </w:p>
    <w:p w:rsidR="008C57FD" w:rsidRPr="00C00255" w:rsidRDefault="00742D54" w:rsidP="008C57FD">
      <w:pPr>
        <w:pStyle w:val="Standard"/>
        <w:ind w:left="992" w:firstLine="992"/>
        <w:jc w:val="both"/>
        <w:rPr>
          <w:rFonts w:cs="Times New Roman"/>
          <w:i/>
        </w:rPr>
      </w:pPr>
      <w:r w:rsidRPr="00C00255">
        <w:rPr>
          <w:rFonts w:cs="Times New Roman"/>
          <w:i/>
        </w:rPr>
        <w:t>- be to, apie 20 val., TSRS GM 760-osios oro desanto divizijos kariškiai užgrobė Lietuvos radijo ir televizijos kūrybos namus bei atsargines Lietuvos radijo ir televizijos patalpas-bunkerį, esančius Na</w:t>
      </w:r>
      <w:r w:rsidR="008C57FD" w:rsidRPr="00C00255">
        <w:rPr>
          <w:rFonts w:cs="Times New Roman"/>
          <w:i/>
        </w:rPr>
        <w:t>ujasodžio km., Vilniaus rajone;</w:t>
      </w:r>
    </w:p>
    <w:p w:rsidR="008C57FD" w:rsidRPr="00C00255" w:rsidRDefault="00742D54" w:rsidP="008C57FD">
      <w:pPr>
        <w:pStyle w:val="Standard"/>
        <w:ind w:left="992" w:firstLine="992"/>
        <w:jc w:val="both"/>
        <w:rPr>
          <w:rFonts w:cs="Times New Roman"/>
          <w:i/>
        </w:rPr>
      </w:pPr>
      <w:r w:rsidRPr="00C00255">
        <w:rPr>
          <w:rFonts w:cs="Times New Roman"/>
          <w:i/>
        </w:rPr>
        <w:t>- apie 24 val., TSRS GM 76-osios oro desanto divizijos kariškiai, veikdami su asmenimis iš LR VRM Ypatingos paskirties milicijos būrio (OMON rus. raidės), užgrobė šio būrio bazę, esančią Maudyklos g. 5, Vilniuje, pagrobė kovinius šaunamuosius ginklus, šaudmenis ir kitą amuniciją, o 1991 m. sausio 12 d., ap</w:t>
      </w:r>
      <w:r w:rsidR="008C57FD" w:rsidRPr="00C00255">
        <w:rPr>
          <w:rFonts w:cs="Times New Roman"/>
          <w:i/>
        </w:rPr>
        <w:t>ie 03.45 val., užgrobė Lietuvos </w:t>
      </w:r>
      <w:r w:rsidRPr="00C00255">
        <w:rPr>
          <w:rFonts w:cs="Times New Roman"/>
          <w:i/>
        </w:rPr>
        <w:t>Respublikos VRM Policijos akademijos patalpas, esančias Valakampių g. 5, Vilniuje, ir laikė jas užgrobt</w:t>
      </w:r>
      <w:r w:rsidR="008C57FD" w:rsidRPr="00C00255">
        <w:rPr>
          <w:rFonts w:cs="Times New Roman"/>
          <w:i/>
        </w:rPr>
        <w:t>as iki 1991 m. rugpjūčio 25 d.;</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Karinės operacijos veiksmai buvo tęsiami ir 1991 m. sausio 12 d., kurios metu užgrobti šie objektai:</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apie 00.30 – 01.00 val., TSRS VRM 42-osios divizijos ir TSRS GM karinių dalinių kariškiai užgrobė Lietuvos Respublikos valstybinės sporto ir technikos organizacijos </w:t>
      </w:r>
      <w:r w:rsidRPr="00C00255">
        <w:rPr>
          <w:rFonts w:cs="Times New Roman"/>
          <w:i/>
          <w:color w:val="000000"/>
          <w:lang w:eastAsia="ar-SA" w:bidi="lt-LT"/>
        </w:rPr>
        <w:lastRenderedPageBreak/>
        <w:t>„Vytis“ prie Krašto apsaugos departamento patalpas, esančias Kosciuškos g. 36, Vilniuje ir laikė jas užgrobtas iki 1991m. sausio 26 d.;</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apie 11.10 val.,</w:t>
      </w:r>
      <w:r w:rsidR="0098573B" w:rsidRPr="00C00255">
        <w:rPr>
          <w:rFonts w:cs="Times New Roman"/>
          <w:i/>
          <w:color w:val="000000"/>
          <w:lang w:eastAsia="ar-SA" w:bidi="lt-LT"/>
        </w:rPr>
        <w:t xml:space="preserve"> </w:t>
      </w:r>
      <w:r w:rsidRPr="00C00255">
        <w:rPr>
          <w:rFonts w:cs="Times New Roman"/>
          <w:i/>
          <w:color w:val="000000"/>
          <w:lang w:eastAsia="ar-SA" w:bidi="lt-LT"/>
        </w:rPr>
        <w:t>TSRS GM Oro desanto kariuomenės Alytaus oro desantinio karinio dalinio Nr. 10999 kariškiai užgrobė Krašto apsaugos departamento Varėnos pasienio užkardos postą, esantį Druskininkų-Pariečės-Slonimo kelyje;</w:t>
      </w:r>
    </w:p>
    <w:p w:rsidR="008C57FD" w:rsidRPr="00C00255" w:rsidRDefault="00742D54" w:rsidP="008C57FD">
      <w:pPr>
        <w:pStyle w:val="Standard"/>
        <w:ind w:left="992" w:firstLine="992"/>
        <w:jc w:val="both"/>
        <w:rPr>
          <w:rFonts w:cs="Times New Roman"/>
          <w:i/>
          <w:color w:val="000000"/>
          <w:lang w:eastAsia="ar-SA" w:bidi="lt-LT"/>
        </w:rPr>
      </w:pPr>
      <w:r w:rsidRPr="00C00255">
        <w:rPr>
          <w:rFonts w:cs="Times New Roman"/>
          <w:i/>
          <w:color w:val="000000"/>
          <w:lang w:eastAsia="ar-SA" w:bidi="lt-LT"/>
        </w:rPr>
        <w:t>- apie 24.00 val., TSRS GM kariškiai (ikiteisminio tyrimo metu karinis dalinys nenustatytas) kartu su LKP/TSK</w:t>
      </w:r>
      <w:r w:rsidR="00D37127">
        <w:rPr>
          <w:rFonts w:cs="Times New Roman"/>
          <w:i/>
          <w:color w:val="000000"/>
          <w:lang w:eastAsia="ar-SA" w:bidi="lt-LT"/>
        </w:rPr>
        <w:t>P Prienų rajono sekretoriumi P. </w:t>
      </w:r>
      <w:r w:rsidRPr="00C00255">
        <w:rPr>
          <w:rFonts w:cs="Times New Roman"/>
          <w:i/>
          <w:color w:val="000000"/>
          <w:lang w:eastAsia="ar-SA" w:bidi="lt-LT"/>
        </w:rPr>
        <w:t>A</w:t>
      </w:r>
      <w:r w:rsidR="00D37127">
        <w:rPr>
          <w:rFonts w:cs="Times New Roman"/>
          <w:i/>
          <w:color w:val="000000"/>
          <w:lang w:eastAsia="ar-SA" w:bidi="lt-LT"/>
        </w:rPr>
        <w:t>.</w:t>
      </w:r>
      <w:r w:rsidRPr="00C00255">
        <w:rPr>
          <w:rFonts w:cs="Times New Roman"/>
          <w:i/>
          <w:color w:val="000000"/>
          <w:lang w:eastAsia="ar-SA" w:bidi="lt-LT"/>
        </w:rPr>
        <w:t xml:space="preserve"> (jo atžvilgiu 1992-12-17 priimtas apkaltinamasis nuosprendis), veikusiu pagal LKP/TSKP CK sekretoriaus kaltinamojo </w:t>
      </w:r>
      <w:r w:rsidR="00385BC9">
        <w:rPr>
          <w:rFonts w:cs="Times New Roman"/>
          <w:i/>
          <w:color w:val="000000"/>
          <w:lang w:eastAsia="ar-SA" w:bidi="lt-LT"/>
        </w:rPr>
        <w:t>A. N. 1</w:t>
      </w:r>
      <w:r w:rsidRPr="00C00255">
        <w:rPr>
          <w:rFonts w:cs="Times New Roman"/>
          <w:i/>
          <w:color w:val="000000"/>
          <w:lang w:eastAsia="ar-SA" w:bidi="lt-LT"/>
        </w:rPr>
        <w:t xml:space="preserve"> nurodymus, užgrobė Pri</w:t>
      </w:r>
      <w:r w:rsidR="008C57FD" w:rsidRPr="00C00255">
        <w:rPr>
          <w:rFonts w:cs="Times New Roman"/>
          <w:i/>
          <w:color w:val="000000"/>
          <w:lang w:eastAsia="ar-SA" w:bidi="lt-LT"/>
        </w:rPr>
        <w:t>enų rajono prokuratūros, Vidaus </w:t>
      </w:r>
      <w:r w:rsidRPr="00C00255">
        <w:rPr>
          <w:rFonts w:cs="Times New Roman"/>
          <w:i/>
          <w:color w:val="000000"/>
          <w:lang w:eastAsia="ar-SA" w:bidi="lt-LT"/>
        </w:rPr>
        <w:t>reikalų skyriaus apsaugos poskyrio, LDDP Prienų rajono tarybos ir kitų visuomeninių organizacijų patalpas, esančias Kauno g. 2, Prienuose, ir laikė j</w:t>
      </w:r>
      <w:r w:rsidR="008C57FD" w:rsidRPr="00C00255">
        <w:rPr>
          <w:rFonts w:cs="Times New Roman"/>
          <w:i/>
          <w:color w:val="000000"/>
          <w:lang w:eastAsia="ar-SA" w:bidi="lt-LT"/>
        </w:rPr>
        <w:t>as užgrobtas iki 1991 m. sausio </w:t>
      </w:r>
      <w:r w:rsidRPr="00C00255">
        <w:rPr>
          <w:rFonts w:cs="Times New Roman"/>
          <w:i/>
          <w:color w:val="000000"/>
          <w:lang w:eastAsia="ar-SA" w:bidi="lt-LT"/>
        </w:rPr>
        <w:t>14 d., 08.00 val.;</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apie 23.30 – 24.00 val., vykdant kaltinamojo </w:t>
      </w:r>
      <w:r w:rsidR="00385BC9">
        <w:rPr>
          <w:rFonts w:cs="Times New Roman"/>
          <w:i/>
          <w:color w:val="000000"/>
          <w:lang w:eastAsia="ar-SA" w:bidi="lt-LT"/>
        </w:rPr>
        <w:t>R. J. 1</w:t>
      </w:r>
      <w:r w:rsidRPr="00C00255">
        <w:rPr>
          <w:rFonts w:cs="Times New Roman"/>
          <w:i/>
          <w:color w:val="000000"/>
          <w:lang w:eastAsia="ar-SA" w:bidi="lt-LT"/>
        </w:rPr>
        <w:t xml:space="preserve"> ir kitų LKP/TSKP CK vadovaujančių asmenų (jų atžvilgiu priimti apkaltinamieji nuosprendžiai) nurodymus, LKP/TSKP nariai kartu su draugovininkų grupėmis iš Vilniaus miesto įmonių, savo parengtas peticijas, kuriose reikalavo Aukščiausiosios Tarybos ir Ministrų Tarybos atsistatydinimo bei valdžios perdavimo NGK, nešė į Lietuvos Respublikos Aukščiausiąją Tarybą, esančią Gedimino pr. 53, ir Ministrų Tarybą, esančią J. Tumo-Vaižganto g. 2, Vilniuje.</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Tęsdami Lietuvoje pradėto karinio puolimo veiksmus, TSRS VSK grupės „A“ kariškiai kartu su ginkluotų kariškių grupe iš 76-osios oro desanto divizijos,1991 m. sausio 13 d., apie 01.30 val., užgrobė Lietuvos radijo ir televizijos centro radijofonijos cechą, esantį Tujų g. 2, Vilniuje ir laikė jį užgrobtą iki 1991 m. rugpjūčio 23 d.</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color w:val="000000"/>
          <w:lang w:eastAsia="ar-SA" w:bidi="lt-LT"/>
        </w:rPr>
        <w:t xml:space="preserve">Vykdydami ir remdami kitos valstybės – TSRS ir jos organizacijos TSKP politiką </w:t>
      </w:r>
      <w:r w:rsidRPr="00C00255">
        <w:rPr>
          <w:rStyle w:val="Numatytasispastraiposriftas1"/>
          <w:rFonts w:cs="Times New Roman"/>
          <w:i/>
          <w:color w:val="000000"/>
          <w:u w:val="single"/>
          <w:lang w:eastAsia="ar-SA" w:bidi="lt-LT"/>
        </w:rPr>
        <w:t>dideliu mastu ir sistemingai užpuldinėti civilius</w:t>
      </w:r>
      <w:r w:rsidRPr="00C00255">
        <w:rPr>
          <w:rStyle w:val="Numatytasispastraiposriftas1"/>
          <w:rFonts w:cs="Times New Roman"/>
          <w:i/>
          <w:color w:val="000000"/>
          <w:lang w:eastAsia="ar-SA" w:bidi="lt-LT"/>
        </w:rPr>
        <w:t xml:space="preserve"> bei įgyvendindami operacijos planavimo grupės ir vadovavimo štabo pagal </w:t>
      </w:r>
      <w:r w:rsidR="00385BC9">
        <w:rPr>
          <w:rStyle w:val="Numatytasispastraiposriftas1"/>
          <w:rFonts w:cs="Times New Roman"/>
          <w:i/>
          <w:color w:val="000000"/>
          <w:lang w:eastAsia="ar-SA" w:bidi="lt-LT"/>
        </w:rPr>
        <w:t>D. J.</w:t>
      </w:r>
      <w:r w:rsidRPr="00C00255">
        <w:rPr>
          <w:rStyle w:val="Numatytasispastraiposriftas1"/>
          <w:rFonts w:cs="Times New Roman"/>
          <w:i/>
          <w:color w:val="000000"/>
          <w:lang w:eastAsia="ar-SA" w:bidi="lt-LT"/>
        </w:rPr>
        <w:t xml:space="preserve"> (</w:t>
      </w:r>
      <w:r w:rsidR="00C507EF">
        <w:rPr>
          <w:rStyle w:val="Numatytasispastraiposriftas1"/>
          <w:rFonts w:cs="Times New Roman"/>
          <w:i/>
          <w:color w:val="000000"/>
          <w:lang w:eastAsia="ar-SA" w:bidi="lt-LT"/>
        </w:rPr>
        <w:t>B. P.</w:t>
      </w:r>
      <w:r w:rsidRPr="00C00255">
        <w:rPr>
          <w:rStyle w:val="Numatytasispastraiposriftas1"/>
          <w:rFonts w:cs="Times New Roman"/>
          <w:i/>
          <w:color w:val="000000"/>
          <w:lang w:eastAsia="ar-SA" w:bidi="lt-LT"/>
        </w:rPr>
        <w:t xml:space="preserve">, </w:t>
      </w:r>
      <w:r w:rsidR="00C507EF">
        <w:rPr>
          <w:rStyle w:val="Numatytasispastraiposriftas1"/>
          <w:rFonts w:cs="Times New Roman"/>
          <w:i/>
          <w:color w:val="000000"/>
          <w:lang w:eastAsia="ar-SA" w:bidi="lt-LT"/>
        </w:rPr>
        <w:t>V. K.</w:t>
      </w:r>
      <w:r w:rsidRPr="00C00255">
        <w:rPr>
          <w:rStyle w:val="Numatytasispastraiposriftas1"/>
          <w:rFonts w:cs="Times New Roman"/>
          <w:i/>
          <w:color w:val="000000"/>
          <w:lang w:eastAsia="ar-SA" w:bidi="lt-LT"/>
        </w:rPr>
        <w:t xml:space="preserve">, </w:t>
      </w:r>
      <w:r w:rsidR="00D37127">
        <w:rPr>
          <w:rStyle w:val="Numatytasispastraiposriftas1"/>
          <w:rFonts w:cs="Times New Roman"/>
          <w:i/>
          <w:color w:val="000000"/>
          <w:lang w:eastAsia="ar-SA" w:bidi="lt-LT"/>
        </w:rPr>
        <w:t>O. Š.</w:t>
      </w:r>
      <w:r w:rsidRPr="00C00255">
        <w:rPr>
          <w:rStyle w:val="Numatytasispastraiposriftas1"/>
          <w:rFonts w:cs="Times New Roman"/>
          <w:i/>
          <w:color w:val="000000"/>
          <w:lang w:eastAsia="ar-SA" w:bidi="lt-LT"/>
        </w:rPr>
        <w:t xml:space="preserve"> ir kitų nenustatytų asmenų) iniciatyva parengtą ir patvirtintą planą, TSRS agresijos ir ginkluoto konflikto metu, TSRS GM 76-osios oro desanto divizijos apie du šimtai (200) kariškių, vadovaujamų </w:t>
      </w:r>
      <w:r w:rsidR="00385BC9">
        <w:rPr>
          <w:rStyle w:val="Numatytasispastraiposriftas1"/>
          <w:rFonts w:cs="Times New Roman"/>
          <w:i/>
          <w:color w:val="000000"/>
          <w:lang w:eastAsia="ar-SA" w:bidi="lt-LT"/>
        </w:rPr>
        <w:t>V. K. 1</w:t>
      </w:r>
      <w:r w:rsidRPr="00C00255">
        <w:rPr>
          <w:rStyle w:val="Numatytasispastraiposriftas1"/>
          <w:rFonts w:cs="Times New Roman"/>
          <w:i/>
          <w:color w:val="000000"/>
          <w:lang w:eastAsia="ar-SA" w:bidi="lt-LT"/>
        </w:rPr>
        <w:t xml:space="preserve">, bei 107-osios motorizuotų šaulių divizijos 106-ojo tankų pulko dvylika kariškių (12), vadovaujamų </w:t>
      </w:r>
      <w:r w:rsidR="00BA18FA">
        <w:rPr>
          <w:rStyle w:val="Numatytasispastraiposriftas1"/>
          <w:rFonts w:cs="Times New Roman"/>
          <w:i/>
          <w:color w:val="000000"/>
          <w:lang w:eastAsia="ar-SA" w:bidi="lt-LT"/>
        </w:rPr>
        <w:t>G. I.</w:t>
      </w:r>
      <w:r w:rsidRPr="00C00255">
        <w:rPr>
          <w:rStyle w:val="Numatytasispastraiposriftas1"/>
          <w:rFonts w:cs="Times New Roman"/>
          <w:i/>
          <w:color w:val="000000"/>
          <w:lang w:eastAsia="ar-SA" w:bidi="lt-LT"/>
        </w:rPr>
        <w:t>, karine technika atvyko prie Spaudos rūmų ir pradėjo tarptautinės humanitarinės teisės draudžiamą karo ataką prieš pastate dirbusius ir jį gynusius civilius, kurios metu nežmoniškai elgėsi su tarptautinės humanitarinės teisės saugomais asmenimis: persekiojo civilius dėl politinių ir nacionalinių motyvų, kuriuos draudžia tarptautinė teisė, sunkiai sutrikdė jų sveikatą, susargdino, o taip pat naudojo bauginimo ir teroro priemones bei tarptautinių sutarčių uždraustas karo priemones.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color w:val="000000"/>
          <w:lang w:eastAsia="ar-SA" w:bidi="lt-LT"/>
        </w:rPr>
        <w:t xml:space="preserve">1991 m. sausio 11 d., apie 12 val., TSRS GM 76-osios oro desanto divizijos 237-ojo pulko kariškių grupė, vadovaujama kaltinamojo </w:t>
      </w:r>
      <w:r w:rsidR="00385BC9">
        <w:rPr>
          <w:rStyle w:val="Numatytasispastraiposriftas1"/>
          <w:rFonts w:cs="Times New Roman"/>
          <w:i/>
          <w:color w:val="000000"/>
          <w:lang w:eastAsia="ar-SA" w:bidi="lt-LT"/>
        </w:rPr>
        <w:t>V. K. 1</w:t>
      </w:r>
      <w:r w:rsidRPr="00C00255">
        <w:rPr>
          <w:rStyle w:val="Numatytasispastraiposriftas1"/>
          <w:rFonts w:cs="Times New Roman"/>
          <w:i/>
          <w:color w:val="000000"/>
          <w:lang w:eastAsia="ar-SA" w:bidi="lt-LT"/>
        </w:rPr>
        <w:t xml:space="preserve">, prie Spaudos rūmų atvyko desanto kovinėmis mašinomis BMD, kurių borto numeriai 211, 212, 213, 221, 229 ir vadavietei skirta BMD, kurios borto numeris 601, trimis URAL automobiliais, skirtais kariškiams pervežti, bei dviem automobiliais UAZ. Išsilaipinę iš BMD bei URAL automobilių, </w:t>
      </w:r>
      <w:r w:rsidRPr="00C00255">
        <w:rPr>
          <w:rStyle w:val="Numatytasispastraiposriftas1"/>
          <w:rFonts w:cs="Times New Roman"/>
          <w:i/>
          <w:color w:val="000000"/>
          <w:u w:val="single"/>
          <w:lang w:eastAsia="ar-SA" w:bidi="lt-LT"/>
        </w:rPr>
        <w:t xml:space="preserve">pradėjo tarptautinės humanitarinės teisės draudžiamą karo ataką prieš civilius, siekusius taikiu būdu užkirsti kelią TSRS ir TSKP vykdomai politikai – grąžinti Lietuvą į TSRS sudėtį. </w:t>
      </w:r>
      <w:r w:rsidRPr="00C00255">
        <w:rPr>
          <w:rStyle w:val="Numatytasispastraiposriftas1"/>
          <w:rFonts w:cs="Times New Roman"/>
          <w:i/>
          <w:color w:val="000000"/>
          <w:lang w:eastAsia="ar-SA" w:bidi="lt-LT"/>
        </w:rPr>
        <w:t xml:space="preserve">Kariškiai pasidalinę į dvi grupes į Spaudos rūmus veržėsi pro centrinį ir tarnybinį įėjimus. Oro desanto kariškiai, </w:t>
      </w:r>
      <w:r w:rsidRPr="00C00255">
        <w:rPr>
          <w:rStyle w:val="Numatytasispastraiposriftas1"/>
          <w:rFonts w:cs="Times New Roman"/>
          <w:i/>
          <w:color w:val="000000"/>
          <w:u w:val="single"/>
          <w:lang w:eastAsia="ar-SA" w:bidi="lt-LT"/>
        </w:rPr>
        <w:t xml:space="preserve">persekiodami civilius dėl jų politinių ir nacionalinių motyvų ir nežmoniškai su jais elgdamiesi, </w:t>
      </w:r>
      <w:r w:rsidRPr="00C00255">
        <w:rPr>
          <w:rStyle w:val="Numatytasispastraiposriftas1"/>
          <w:rFonts w:cs="Times New Roman"/>
          <w:i/>
          <w:color w:val="000000"/>
          <w:lang w:eastAsia="ar-SA" w:bidi="lt-LT"/>
        </w:rPr>
        <w:t>ginkluoti automatais AKS-74 ir AKS-74U, kulkosvaidžiais RPK-74 ir RPKS-74, skirtais šaudyti 5,45 mm šoviniais, snaiperiniais ginklais SVD, stumdydami, smūgiuodami kumščiais ir ginklais suduodami nenustatytą skaičių smūgių civiliams, juos baugino ir terorizavo.</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Šios karinės operacijos metu daliai kariškių patekus į civilių saugomą pastatą pro tarnybinį įėjimą, o likusiai kariškių daliai tebesiveržiant pro centrinį įėjimą, operacijai </w:t>
      </w:r>
      <w:r w:rsidRPr="00C00255">
        <w:rPr>
          <w:rFonts w:cs="Times New Roman"/>
          <w:i/>
          <w:color w:val="000000"/>
          <w:lang w:eastAsia="ar-SA" w:bidi="lt-LT"/>
        </w:rPr>
        <w:lastRenderedPageBreak/>
        <w:t xml:space="preserve">vadovavęs </w:t>
      </w:r>
      <w:r w:rsidR="00385BC9">
        <w:rPr>
          <w:rFonts w:cs="Times New Roman"/>
          <w:i/>
          <w:color w:val="000000"/>
          <w:lang w:eastAsia="ar-SA" w:bidi="lt-LT"/>
        </w:rPr>
        <w:t>V. K. 1</w:t>
      </w:r>
      <w:r w:rsidRPr="00C00255">
        <w:rPr>
          <w:rFonts w:cs="Times New Roman"/>
          <w:i/>
          <w:color w:val="000000"/>
          <w:lang w:eastAsia="ar-SA" w:bidi="lt-LT"/>
        </w:rPr>
        <w:t xml:space="preserve"> tyčia, iš automatinio ginklo AKS-74, naudodamas tarptautinių sutarčių uždraustą karo priemonę , o būtent 5,45 mm kalibro šovinius su išcentruota kulka, iššovė seriją šūvių į Spaudos rūmus gynusį ir vandens srovę į puolančius kariškius nukreipusį Krašto apsaugos departamento darbuotoją </w:t>
      </w:r>
      <w:r w:rsidR="00C507EF">
        <w:rPr>
          <w:rFonts w:cs="Times New Roman"/>
          <w:i/>
          <w:color w:val="000000"/>
          <w:lang w:eastAsia="ar-SA" w:bidi="lt-LT"/>
        </w:rPr>
        <w:t>V. L.</w:t>
      </w:r>
      <w:r w:rsidRPr="00C00255">
        <w:rPr>
          <w:rFonts w:cs="Times New Roman"/>
          <w:i/>
          <w:color w:val="000000"/>
          <w:lang w:eastAsia="ar-SA" w:bidi="lt-LT"/>
        </w:rPr>
        <w:t xml:space="preserve">, tuo padarydamas jam sunkų sveikatos sutrikdymą, pasireiškusį kiauriniu šautiniu veido kairės pusės sužalojimu: viršutinio žandikaulio, kairio skruostikaulio, kairio skruosto nervo, kairės ausies landos sužalojimais, kairės akies tinklainės plyšimu ir galvos smegenų sukrėtimu, dėl ko </w:t>
      </w:r>
      <w:r w:rsidR="00C507EF">
        <w:rPr>
          <w:rFonts w:cs="Times New Roman"/>
          <w:i/>
          <w:color w:val="000000"/>
          <w:lang w:eastAsia="ar-SA" w:bidi="lt-LT"/>
        </w:rPr>
        <w:t>V. L.</w:t>
      </w:r>
      <w:r w:rsidRPr="00C00255">
        <w:rPr>
          <w:rFonts w:cs="Times New Roman"/>
          <w:i/>
          <w:color w:val="000000"/>
          <w:lang w:eastAsia="ar-SA" w:bidi="lt-LT"/>
        </w:rPr>
        <w:t xml:space="preserve"> sumažėjo regėjimas kaire akimi, jis apkurto kaire ausimi ir jam išsivystė psicho organinis sindromas.</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Civiliams aktyviai priešinantis, vadovavimo operacijai štabas, reaguodamas į susidariusią padėtį, įsakė 76-osios oro desanto divizijos 234-ojo pulko vadui </w:t>
      </w:r>
      <w:r w:rsidR="00C507EF">
        <w:rPr>
          <w:rFonts w:cs="Times New Roman"/>
          <w:i/>
          <w:color w:val="000000"/>
          <w:lang w:eastAsia="ar-SA" w:bidi="lt-LT"/>
        </w:rPr>
        <w:t>I. K.</w:t>
      </w:r>
      <w:r w:rsidRPr="00C00255">
        <w:rPr>
          <w:rFonts w:cs="Times New Roman"/>
          <w:i/>
          <w:color w:val="000000"/>
          <w:lang w:eastAsia="ar-SA" w:bidi="lt-LT"/>
        </w:rPr>
        <w:t xml:space="preserve"> (ikiteisminis tyrimas nutrauktas mirus) ir 107-osios motorizuotų šaulių divizijos 106-ojo tankų pulko vadui </w:t>
      </w:r>
      <w:r w:rsidR="004069BF">
        <w:rPr>
          <w:rFonts w:cs="Times New Roman"/>
          <w:i/>
          <w:color w:val="000000"/>
          <w:lang w:eastAsia="ar-SA" w:bidi="lt-LT"/>
        </w:rPr>
        <w:t>N. A.</w:t>
      </w:r>
      <w:r w:rsidRPr="00C00255">
        <w:rPr>
          <w:rFonts w:cs="Times New Roman"/>
          <w:i/>
          <w:color w:val="000000"/>
          <w:lang w:eastAsia="ar-SA" w:bidi="lt-LT"/>
        </w:rPr>
        <w:t xml:space="preserve"> pavesti pavaldiems kariškiams dalyvauti kaltinamojo </w:t>
      </w:r>
      <w:r w:rsidR="00385BC9">
        <w:rPr>
          <w:rFonts w:cs="Times New Roman"/>
          <w:i/>
          <w:color w:val="000000"/>
          <w:lang w:eastAsia="ar-SA" w:bidi="lt-LT"/>
        </w:rPr>
        <w:t>V. K. 1</w:t>
      </w:r>
      <w:r w:rsidRPr="00C00255">
        <w:rPr>
          <w:rFonts w:cs="Times New Roman"/>
          <w:i/>
          <w:color w:val="000000"/>
          <w:lang w:eastAsia="ar-SA" w:bidi="lt-LT"/>
        </w:rPr>
        <w:t xml:space="preserve"> vadovaujamoje karo atakoje prie Spaudos rūmų.</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Vykdami šį </w:t>
      </w:r>
      <w:r w:rsidR="00C507EF">
        <w:rPr>
          <w:rFonts w:cs="Times New Roman"/>
          <w:i/>
          <w:color w:val="000000"/>
          <w:lang w:eastAsia="ar-SA" w:bidi="lt-LT"/>
        </w:rPr>
        <w:t>I. K.</w:t>
      </w:r>
      <w:r w:rsidRPr="00C00255">
        <w:rPr>
          <w:rFonts w:cs="Times New Roman"/>
          <w:i/>
          <w:color w:val="000000"/>
          <w:lang w:eastAsia="ar-SA" w:bidi="lt-LT"/>
        </w:rPr>
        <w:t xml:space="preserve"> įsakymą, 76-osios oro desanto divizijos 234-ojo pulko trečiojo bataliono kariškiai, vadovaujami kaltinamojo </w:t>
      </w:r>
      <w:r w:rsidR="00385BC9">
        <w:rPr>
          <w:rFonts w:cs="Times New Roman"/>
          <w:i/>
          <w:color w:val="000000"/>
          <w:lang w:eastAsia="ar-SA" w:bidi="lt-LT"/>
        </w:rPr>
        <w:t>V. S. 2</w:t>
      </w:r>
      <w:r w:rsidRPr="00C00255">
        <w:rPr>
          <w:rFonts w:cs="Times New Roman"/>
          <w:i/>
          <w:color w:val="000000"/>
          <w:lang w:eastAsia="ar-SA" w:bidi="lt-LT"/>
        </w:rPr>
        <w:t xml:space="preserve"> ir jam pavaldžių kaltinamųjų </w:t>
      </w:r>
      <w:r w:rsidR="002451F2">
        <w:rPr>
          <w:rFonts w:cs="Times New Roman"/>
          <w:i/>
          <w:color w:val="000000"/>
          <w:lang w:eastAsia="ar-SA" w:bidi="lt-LT"/>
        </w:rPr>
        <w:t>V. D.</w:t>
      </w:r>
      <w:r w:rsidRPr="00C00255">
        <w:rPr>
          <w:rFonts w:cs="Times New Roman"/>
          <w:i/>
          <w:color w:val="000000"/>
          <w:lang w:eastAsia="ar-SA" w:bidi="lt-LT"/>
        </w:rPr>
        <w:t xml:space="preserve">, </w:t>
      </w:r>
      <w:r w:rsidR="006036E7">
        <w:rPr>
          <w:rFonts w:cs="Times New Roman"/>
          <w:i/>
          <w:color w:val="000000"/>
          <w:lang w:eastAsia="ar-SA" w:bidi="lt-LT"/>
        </w:rPr>
        <w:t>A. G. 2</w:t>
      </w:r>
      <w:r w:rsidR="008C57FD" w:rsidRPr="00C00255">
        <w:rPr>
          <w:rFonts w:cs="Times New Roman"/>
          <w:i/>
          <w:color w:val="000000"/>
          <w:lang w:eastAsia="ar-SA" w:bidi="lt-LT"/>
        </w:rPr>
        <w:t xml:space="preserve">, </w:t>
      </w:r>
      <w:r w:rsidR="006036E7">
        <w:rPr>
          <w:rFonts w:cs="Times New Roman"/>
          <w:i/>
          <w:color w:val="000000"/>
          <w:lang w:eastAsia="ar-SA" w:bidi="lt-LT"/>
        </w:rPr>
        <w:t>S. M.</w:t>
      </w:r>
      <w:r w:rsidR="008C57FD" w:rsidRPr="00C00255">
        <w:rPr>
          <w:rFonts w:cs="Times New Roman"/>
          <w:i/>
          <w:color w:val="000000"/>
          <w:lang w:eastAsia="ar-SA" w:bidi="lt-LT"/>
        </w:rPr>
        <w:t xml:space="preserve">, </w:t>
      </w:r>
      <w:r w:rsidR="006036E7">
        <w:rPr>
          <w:rFonts w:cs="Times New Roman"/>
          <w:i/>
          <w:color w:val="000000"/>
          <w:lang w:eastAsia="ar-SA" w:bidi="lt-LT"/>
        </w:rPr>
        <w:t>V. K. 2</w:t>
      </w:r>
      <w:r w:rsidRPr="00C00255">
        <w:rPr>
          <w:rFonts w:cs="Times New Roman"/>
          <w:i/>
          <w:color w:val="000000"/>
          <w:lang w:eastAsia="ar-SA" w:bidi="lt-LT"/>
        </w:rPr>
        <w:t xml:space="preserve">, </w:t>
      </w:r>
      <w:r w:rsidR="006036E7">
        <w:rPr>
          <w:rFonts w:cs="Times New Roman"/>
          <w:i/>
          <w:color w:val="000000"/>
          <w:lang w:eastAsia="ar-SA" w:bidi="lt-LT"/>
        </w:rPr>
        <w:t>E. M.</w:t>
      </w:r>
      <w:r w:rsidRPr="00C00255">
        <w:rPr>
          <w:rFonts w:cs="Times New Roman"/>
          <w:i/>
          <w:color w:val="000000"/>
          <w:lang w:eastAsia="ar-SA" w:bidi="lt-LT"/>
        </w:rPr>
        <w:t>, ginkluoti automatiniais ginklais, trimis URAL automobiliais atvyko prie Spaudos rūmų.</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106-ojo tankų pulko vado </w:t>
      </w:r>
      <w:r w:rsidR="004069BF">
        <w:rPr>
          <w:rFonts w:cs="Times New Roman"/>
          <w:i/>
          <w:color w:val="000000"/>
          <w:lang w:eastAsia="ar-SA" w:bidi="lt-LT"/>
        </w:rPr>
        <w:t>N. A.</w:t>
      </w:r>
      <w:r w:rsidRPr="00C00255">
        <w:rPr>
          <w:rFonts w:cs="Times New Roman"/>
          <w:i/>
          <w:color w:val="000000"/>
          <w:lang w:eastAsia="ar-SA" w:bidi="lt-LT"/>
        </w:rPr>
        <w:t xml:space="preserve"> nurodymu, prie Spaudos rūmų atvyko keturi 107-osios motošaulių divizijos </w:t>
      </w:r>
      <w:r w:rsidR="00607189" w:rsidRPr="00C00255">
        <w:rPr>
          <w:rFonts w:eastAsia="Times New Roman" w:cs="Times New Roman"/>
          <w:i/>
          <w:color w:val="000000"/>
          <w:kern w:val="0"/>
          <w:szCs w:val="20"/>
          <w:shd w:val="clear" w:color="auto" w:fill="FFFFFF"/>
          <w:lang w:eastAsia="ar-SA" w:bidi="lt-LT"/>
        </w:rPr>
        <w:t>divizijos</w:t>
      </w:r>
      <w:r w:rsidRPr="00C00255">
        <w:rPr>
          <w:rFonts w:cs="Times New Roman"/>
          <w:i/>
          <w:color w:val="000000"/>
          <w:lang w:eastAsia="ar-SA" w:bidi="lt-LT"/>
        </w:rPr>
        <w:t xml:space="preserve"> tankų pulko tankai, vadovaujami kaltinamojo </w:t>
      </w:r>
      <w:r w:rsidR="00BA18FA">
        <w:rPr>
          <w:rFonts w:cs="Times New Roman"/>
          <w:i/>
          <w:color w:val="000000"/>
          <w:lang w:eastAsia="ar-SA" w:bidi="lt-LT"/>
        </w:rPr>
        <w:t>G. I.</w:t>
      </w:r>
      <w:r w:rsidRPr="00C00255">
        <w:rPr>
          <w:rFonts w:cs="Times New Roman"/>
          <w:i/>
          <w:color w:val="000000"/>
          <w:lang w:eastAsia="ar-SA" w:bidi="lt-LT"/>
        </w:rPr>
        <w:t>:</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į tanko Nr. 511 ekipažą paskirti kaltinamieji: tanko vadu </w:t>
      </w:r>
      <w:r w:rsidR="00C82C9D">
        <w:rPr>
          <w:rFonts w:cs="Times New Roman"/>
          <w:i/>
          <w:color w:val="000000"/>
          <w:lang w:eastAsia="ar-SA" w:bidi="lt-LT"/>
        </w:rPr>
        <w:t>V. U. 2</w:t>
      </w:r>
      <w:r w:rsidRPr="00C00255">
        <w:rPr>
          <w:rFonts w:cs="Times New Roman"/>
          <w:i/>
          <w:color w:val="000000"/>
          <w:lang w:eastAsia="ar-SA" w:bidi="lt-LT"/>
        </w:rPr>
        <w:t xml:space="preserve">, taikytoju </w:t>
      </w:r>
      <w:r w:rsidR="00C82C9D">
        <w:rPr>
          <w:rFonts w:cs="Times New Roman"/>
          <w:i/>
          <w:color w:val="000000"/>
          <w:lang w:eastAsia="ar-SA" w:bidi="lt-LT"/>
        </w:rPr>
        <w:t>A. B.</w:t>
      </w:r>
      <w:r w:rsidRPr="00C00255">
        <w:rPr>
          <w:rFonts w:cs="Times New Roman"/>
          <w:i/>
          <w:color w:val="000000"/>
          <w:lang w:eastAsia="ar-SA" w:bidi="lt-LT"/>
        </w:rPr>
        <w:t xml:space="preserve">, mechaniku-vairuotoju </w:t>
      </w:r>
      <w:r w:rsidR="00A97F74">
        <w:rPr>
          <w:rFonts w:cs="Times New Roman"/>
          <w:i/>
          <w:color w:val="000000"/>
          <w:lang w:eastAsia="ar-SA" w:bidi="lt-LT"/>
        </w:rPr>
        <w:t>A. R.</w:t>
      </w:r>
      <w:r w:rsidRPr="00C00255">
        <w:rPr>
          <w:rFonts w:cs="Times New Roman"/>
          <w:i/>
          <w:color w:val="000000"/>
          <w:lang w:eastAsia="ar-SA" w:bidi="lt-LT"/>
        </w:rPr>
        <w:t>;</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į tanko Nr. 571 ekipažą paskirti kaltinamieji: tanko vadu </w:t>
      </w:r>
      <w:r w:rsidR="00C82C9D">
        <w:rPr>
          <w:rFonts w:cs="Times New Roman"/>
          <w:i/>
          <w:color w:val="000000"/>
          <w:lang w:eastAsia="ar-SA" w:bidi="lt-LT"/>
        </w:rPr>
        <w:t>V. P.</w:t>
      </w:r>
      <w:r w:rsidRPr="00C00255">
        <w:rPr>
          <w:rFonts w:cs="Times New Roman"/>
          <w:i/>
          <w:color w:val="000000"/>
          <w:lang w:eastAsia="ar-SA" w:bidi="lt-LT"/>
        </w:rPr>
        <w:t xml:space="preserve">, taikytoju </w:t>
      </w:r>
      <w:r w:rsidR="00A97F74">
        <w:rPr>
          <w:rFonts w:cs="Times New Roman"/>
          <w:i/>
          <w:color w:val="000000"/>
          <w:lang w:eastAsia="ar-SA" w:bidi="lt-LT"/>
        </w:rPr>
        <w:t>N. O.</w:t>
      </w:r>
      <w:r w:rsidRPr="00C00255">
        <w:rPr>
          <w:rFonts w:cs="Times New Roman"/>
          <w:i/>
          <w:color w:val="000000"/>
          <w:lang w:eastAsia="ar-SA" w:bidi="lt-LT"/>
        </w:rPr>
        <w:t xml:space="preserve">, mechaniku-vairuotoju </w:t>
      </w:r>
      <w:r w:rsidR="00C82C9D">
        <w:rPr>
          <w:rFonts w:cs="Times New Roman"/>
          <w:i/>
          <w:color w:val="000000"/>
          <w:lang w:eastAsia="ar-SA" w:bidi="lt-LT"/>
        </w:rPr>
        <w:t>A. U.</w:t>
      </w:r>
      <w:r w:rsidRPr="00C00255">
        <w:rPr>
          <w:rFonts w:cs="Times New Roman"/>
          <w:i/>
          <w:color w:val="000000"/>
          <w:lang w:eastAsia="ar-SA" w:bidi="lt-LT"/>
        </w:rPr>
        <w:t>;</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į tanko Nr. 574 ekipažą paskirti kaltinamieji: tanko vadu </w:t>
      </w:r>
      <w:r w:rsidR="00C82C9D">
        <w:rPr>
          <w:rFonts w:cs="Times New Roman"/>
          <w:i/>
          <w:color w:val="000000"/>
          <w:lang w:eastAsia="ar-SA" w:bidi="lt-LT"/>
        </w:rPr>
        <w:t>E. R.</w:t>
      </w:r>
      <w:r w:rsidRPr="00C00255">
        <w:rPr>
          <w:rFonts w:cs="Times New Roman"/>
          <w:i/>
          <w:color w:val="000000"/>
          <w:lang w:eastAsia="ar-SA" w:bidi="lt-LT"/>
        </w:rPr>
        <w:t xml:space="preserve">, taikytoju </w:t>
      </w:r>
      <w:r w:rsidR="00A97F74">
        <w:rPr>
          <w:rFonts w:cs="Times New Roman"/>
          <w:i/>
          <w:color w:val="000000"/>
          <w:lang w:eastAsia="ar-SA" w:bidi="lt-LT"/>
        </w:rPr>
        <w:t>A. K. 2</w:t>
      </w:r>
      <w:r w:rsidRPr="00C00255">
        <w:rPr>
          <w:rFonts w:cs="Times New Roman"/>
          <w:i/>
          <w:color w:val="000000"/>
          <w:lang w:eastAsia="ar-SA" w:bidi="lt-LT"/>
        </w:rPr>
        <w:t xml:space="preserve">, mechaniku-vairuotojuas </w:t>
      </w:r>
      <w:r w:rsidR="00C82C9D">
        <w:rPr>
          <w:rFonts w:cs="Times New Roman"/>
          <w:i/>
          <w:color w:val="000000"/>
          <w:lang w:eastAsia="ar-SA" w:bidi="lt-LT"/>
        </w:rPr>
        <w:t>N. S.</w:t>
      </w:r>
      <w:r w:rsidRPr="00C00255">
        <w:rPr>
          <w:rFonts w:cs="Times New Roman"/>
          <w:i/>
          <w:color w:val="000000"/>
          <w:lang w:eastAsia="ar-SA" w:bidi="lt-LT"/>
        </w:rPr>
        <w:t>.</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į tanko Nr. 119 ekipažą paskirti nariai ikiteisminio tyrimo metu nenustatyti.</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Pagal operacijai vadovavusio </w:t>
      </w:r>
      <w:r w:rsidR="00385BC9">
        <w:rPr>
          <w:rFonts w:cs="Times New Roman"/>
          <w:i/>
          <w:color w:val="000000"/>
          <w:lang w:eastAsia="ar-SA" w:bidi="lt-LT"/>
        </w:rPr>
        <w:t>V. K. 1</w:t>
      </w:r>
      <w:r w:rsidRPr="00C00255">
        <w:rPr>
          <w:rFonts w:cs="Times New Roman"/>
          <w:i/>
          <w:color w:val="000000"/>
          <w:lang w:eastAsia="ar-SA" w:bidi="lt-LT"/>
        </w:rPr>
        <w:t xml:space="preserve"> nurodymą atvykę keturi T-72 tankai ir apie šimtas (100) kariškių iš 76-osios oro desanto divizijos 234-ojo pulko trečiojo bataliono, išsirikiavo priešais centrinį Spaudos rūmų įėjimą ir pagal komandą pradėjo pakartotinę Spaudos rūmų ataką bei rūmus gynusių civilių puolimą, terorizavimą bei bauginimą. Puolimo metu tankai, nemažiau kaip vieną kartą iššovė tuščiais užtaisais, tuo padarant </w:t>
      </w:r>
      <w:r w:rsidR="00D37127">
        <w:rPr>
          <w:rFonts w:cs="Times New Roman"/>
          <w:i/>
          <w:color w:val="000000"/>
          <w:lang w:eastAsia="ar-SA" w:bidi="lt-LT"/>
        </w:rPr>
        <w:t>A. Š.</w:t>
      </w:r>
      <w:r w:rsidRPr="00C00255">
        <w:rPr>
          <w:rFonts w:cs="Times New Roman"/>
          <w:i/>
          <w:color w:val="000000"/>
          <w:lang w:eastAsia="ar-SA" w:bidi="lt-LT"/>
        </w:rPr>
        <w:t xml:space="preserve"> akustinę traumą, dėl ko, išsivysčius klausos didelio laipsnio netekimui su kairės ausies kurtumu, pastarasis neteko 30 ir daugiau procentų bendro darbingumo.</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Prie Spaudos rūmų buvę 76-osios oro desanto divizijos 234-ojo ir 237-ojo pulkų kariškiai, gavę operacijai vadovavusio </w:t>
      </w:r>
      <w:r w:rsidR="00385BC9">
        <w:rPr>
          <w:rFonts w:cs="Times New Roman"/>
          <w:i/>
          <w:color w:val="000000"/>
          <w:lang w:eastAsia="ar-SA" w:bidi="lt-LT"/>
        </w:rPr>
        <w:t>V. K. 1</w:t>
      </w:r>
      <w:r w:rsidRPr="00C00255">
        <w:rPr>
          <w:rFonts w:cs="Times New Roman"/>
          <w:i/>
          <w:color w:val="000000"/>
          <w:lang w:eastAsia="ar-SA" w:bidi="lt-LT"/>
        </w:rPr>
        <w:t xml:space="preserve"> įsakymą, būdami ginkluoti aukščiau minėtais ginklais ir šaudydami iš automatų AKS-74 ir AKS-74U tuščiais bei koviniais 5,45 mm kalibro šoviniais, kurių naudojimą draudžia tarptautinės sutartys bei panaudodami artimos kovos veiksmus (stumdydami, smūgiuodami kumščiais ir kojomis, suduodami ginklais nenustatytą skaičių smūgių įvairias kūno dalis), taip baugindami bei terorizuodami, atstūmė civilius nuo Spaudos rūmų pastato.</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Karo atakos metu prie Spaudos rūmų dalyvavę kariškiai bendrais veiksmais užgrobė Spaudos rūmus, karinės atakos metu naudojant bauginimo, teroro bei tarptautinių sutarčių uždraustas karo priemones sutrikdė civilių asmenų sveikatą, padarydami įvairaus laipsnio kūno sužalojimus rūmus gynusiems civiliams asmenims:</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w:t>
      </w:r>
      <w:r w:rsidR="00D37127">
        <w:rPr>
          <w:rFonts w:cs="Times New Roman"/>
          <w:i/>
          <w:color w:val="000000"/>
          <w:lang w:eastAsia="ar-SA" w:bidi="lt-LT"/>
        </w:rPr>
        <w:t>S. A.</w:t>
      </w:r>
      <w:r w:rsidRPr="00C00255">
        <w:rPr>
          <w:rFonts w:cs="Times New Roman"/>
          <w:i/>
          <w:color w:val="000000"/>
          <w:lang w:eastAsia="ar-SA" w:bidi="lt-LT"/>
        </w:rPr>
        <w:t xml:space="preserve">, </w:t>
      </w:r>
      <w:r w:rsidR="00D37127">
        <w:rPr>
          <w:rFonts w:cs="Times New Roman"/>
          <w:i/>
          <w:color w:val="000000"/>
          <w:lang w:eastAsia="ar-SA" w:bidi="lt-LT"/>
        </w:rPr>
        <w:t>V. V.</w:t>
      </w:r>
      <w:r w:rsidRPr="00C00255">
        <w:rPr>
          <w:rFonts w:cs="Times New Roman"/>
          <w:i/>
          <w:color w:val="000000"/>
          <w:lang w:eastAsia="ar-SA" w:bidi="lt-LT"/>
        </w:rPr>
        <w:t xml:space="preserve">, </w:t>
      </w:r>
      <w:r w:rsidR="00D37127">
        <w:rPr>
          <w:rFonts w:cs="Times New Roman"/>
          <w:i/>
          <w:color w:val="000000"/>
          <w:lang w:eastAsia="ar-SA" w:bidi="lt-LT"/>
        </w:rPr>
        <w:t>V. B.</w:t>
      </w:r>
      <w:r w:rsidRPr="00C00255">
        <w:rPr>
          <w:rFonts w:cs="Times New Roman"/>
          <w:i/>
          <w:color w:val="000000"/>
          <w:lang w:eastAsia="ar-SA" w:bidi="lt-LT"/>
        </w:rPr>
        <w:t xml:space="preserve">, </w:t>
      </w:r>
      <w:r w:rsidR="00D37127">
        <w:rPr>
          <w:rFonts w:cs="Times New Roman"/>
          <w:i/>
          <w:color w:val="000000"/>
          <w:lang w:eastAsia="ar-SA" w:bidi="lt-LT"/>
        </w:rPr>
        <w:t>P. U.</w:t>
      </w:r>
      <w:r w:rsidRPr="00C00255">
        <w:rPr>
          <w:rFonts w:cs="Times New Roman"/>
          <w:i/>
          <w:color w:val="000000"/>
          <w:lang w:eastAsia="ar-SA" w:bidi="lt-LT"/>
        </w:rPr>
        <w:t xml:space="preserve">, </w:t>
      </w:r>
      <w:r w:rsidR="00D37127">
        <w:rPr>
          <w:rFonts w:cs="Times New Roman"/>
          <w:i/>
          <w:color w:val="000000"/>
          <w:lang w:eastAsia="ar-SA" w:bidi="lt-LT"/>
        </w:rPr>
        <w:t>R. D.</w:t>
      </w:r>
      <w:r w:rsidRPr="00C00255">
        <w:rPr>
          <w:rFonts w:cs="Times New Roman"/>
          <w:i/>
          <w:color w:val="000000"/>
          <w:lang w:eastAsia="ar-SA" w:bidi="lt-LT"/>
        </w:rPr>
        <w:t xml:space="preserve">, </w:t>
      </w:r>
      <w:r w:rsidR="00D37127">
        <w:rPr>
          <w:rFonts w:cs="Times New Roman"/>
          <w:i/>
          <w:color w:val="000000"/>
          <w:lang w:eastAsia="ar-SA" w:bidi="lt-LT"/>
        </w:rPr>
        <w:t>V. I.</w:t>
      </w:r>
      <w:r w:rsidRPr="00C00255">
        <w:rPr>
          <w:rFonts w:cs="Times New Roman"/>
          <w:i/>
          <w:color w:val="000000"/>
          <w:lang w:eastAsia="ar-SA" w:bidi="lt-LT"/>
        </w:rPr>
        <w:t xml:space="preserve">, </w:t>
      </w:r>
      <w:r w:rsidR="00D37127">
        <w:rPr>
          <w:rFonts w:cs="Times New Roman"/>
          <w:i/>
          <w:color w:val="000000"/>
          <w:lang w:eastAsia="ar-SA" w:bidi="lt-LT"/>
        </w:rPr>
        <w:t>M. J.</w:t>
      </w:r>
      <w:r w:rsidRPr="00C00255">
        <w:rPr>
          <w:rFonts w:cs="Times New Roman"/>
          <w:i/>
          <w:color w:val="000000"/>
          <w:lang w:eastAsia="ar-SA" w:bidi="lt-LT"/>
        </w:rPr>
        <w:t xml:space="preserve">, </w:t>
      </w:r>
      <w:r w:rsidR="00D37127">
        <w:rPr>
          <w:rFonts w:cs="Times New Roman"/>
          <w:i/>
          <w:color w:val="000000"/>
          <w:lang w:eastAsia="ar-SA" w:bidi="lt-LT"/>
        </w:rPr>
        <w:t>D. L.</w:t>
      </w:r>
      <w:r w:rsidRPr="00C00255">
        <w:rPr>
          <w:rFonts w:cs="Times New Roman"/>
          <w:i/>
          <w:color w:val="000000"/>
          <w:lang w:eastAsia="ar-SA" w:bidi="lt-LT"/>
        </w:rPr>
        <w:t xml:space="preserve">, </w:t>
      </w:r>
      <w:r w:rsidR="005D064C">
        <w:rPr>
          <w:rFonts w:cs="Times New Roman"/>
          <w:i/>
          <w:color w:val="000000"/>
          <w:lang w:eastAsia="ar-SA" w:bidi="lt-LT"/>
        </w:rPr>
        <w:t>K. K.</w:t>
      </w:r>
      <w:r w:rsidRPr="00C00255">
        <w:rPr>
          <w:rFonts w:cs="Times New Roman"/>
          <w:i/>
          <w:color w:val="000000"/>
          <w:lang w:eastAsia="ar-SA" w:bidi="lt-LT"/>
        </w:rPr>
        <w:t xml:space="preserve">, </w:t>
      </w:r>
      <w:r w:rsidR="005D064C">
        <w:rPr>
          <w:rFonts w:cs="Times New Roman"/>
          <w:i/>
          <w:color w:val="000000"/>
          <w:lang w:eastAsia="ar-SA" w:bidi="lt-LT"/>
        </w:rPr>
        <w:t>J. P.</w:t>
      </w:r>
      <w:r w:rsidRPr="00C00255">
        <w:rPr>
          <w:rFonts w:cs="Times New Roman"/>
          <w:i/>
          <w:color w:val="000000"/>
          <w:lang w:eastAsia="ar-SA" w:bidi="lt-LT"/>
        </w:rPr>
        <w:t xml:space="preserve">, </w:t>
      </w:r>
      <w:r w:rsidR="005D064C">
        <w:rPr>
          <w:rFonts w:cs="Times New Roman"/>
          <w:i/>
          <w:color w:val="000000"/>
          <w:lang w:eastAsia="ar-SA" w:bidi="lt-LT"/>
        </w:rPr>
        <w:t>E. M.,</w:t>
      </w:r>
      <w:r w:rsidRPr="00C00255">
        <w:rPr>
          <w:rFonts w:cs="Times New Roman"/>
          <w:i/>
          <w:color w:val="000000"/>
          <w:lang w:eastAsia="ar-SA" w:bidi="lt-LT"/>
        </w:rPr>
        <w:t xml:space="preserve"> </w:t>
      </w:r>
      <w:r w:rsidR="005D064C">
        <w:rPr>
          <w:rFonts w:cs="Times New Roman"/>
          <w:i/>
          <w:color w:val="000000"/>
          <w:lang w:eastAsia="ar-SA" w:bidi="lt-LT"/>
        </w:rPr>
        <w:t>G. P.</w:t>
      </w:r>
      <w:r w:rsidRPr="00C00255">
        <w:rPr>
          <w:rFonts w:cs="Times New Roman"/>
          <w:i/>
          <w:color w:val="000000"/>
          <w:lang w:eastAsia="ar-SA" w:bidi="lt-LT"/>
        </w:rPr>
        <w:t xml:space="preserve">, </w:t>
      </w:r>
      <w:r w:rsidR="005D064C">
        <w:rPr>
          <w:rFonts w:cs="Times New Roman"/>
          <w:i/>
          <w:color w:val="000000"/>
          <w:lang w:eastAsia="ar-SA" w:bidi="lt-LT"/>
        </w:rPr>
        <w:t>P. M.</w:t>
      </w:r>
      <w:r w:rsidRPr="00C00255">
        <w:rPr>
          <w:rFonts w:cs="Times New Roman"/>
          <w:i/>
          <w:color w:val="000000"/>
          <w:lang w:eastAsia="ar-SA" w:bidi="lt-LT"/>
        </w:rPr>
        <w:t xml:space="preserve">, </w:t>
      </w:r>
      <w:r w:rsidR="005D064C">
        <w:rPr>
          <w:rFonts w:cs="Times New Roman"/>
          <w:i/>
          <w:color w:val="000000"/>
          <w:lang w:eastAsia="ar-SA" w:bidi="lt-LT"/>
        </w:rPr>
        <w:t>V. P.</w:t>
      </w:r>
      <w:r w:rsidRPr="00C00255">
        <w:rPr>
          <w:rFonts w:cs="Times New Roman"/>
          <w:i/>
          <w:color w:val="000000"/>
          <w:lang w:eastAsia="ar-SA" w:bidi="lt-LT"/>
        </w:rPr>
        <w:t xml:space="preserve">, </w:t>
      </w:r>
      <w:r w:rsidR="005D064C">
        <w:rPr>
          <w:rFonts w:cs="Times New Roman"/>
          <w:i/>
          <w:color w:val="000000"/>
          <w:lang w:eastAsia="ar-SA" w:bidi="lt-LT"/>
        </w:rPr>
        <w:t>A. P.</w:t>
      </w:r>
      <w:r w:rsidRPr="00C00255">
        <w:rPr>
          <w:rFonts w:cs="Times New Roman"/>
          <w:i/>
          <w:color w:val="000000"/>
          <w:lang w:eastAsia="ar-SA" w:bidi="lt-LT"/>
        </w:rPr>
        <w:t xml:space="preserve">, </w:t>
      </w:r>
      <w:r w:rsidR="005D064C">
        <w:rPr>
          <w:rFonts w:cs="Times New Roman"/>
          <w:i/>
          <w:color w:val="000000"/>
          <w:lang w:eastAsia="ar-SA" w:bidi="lt-LT"/>
        </w:rPr>
        <w:t>A. R.</w:t>
      </w:r>
      <w:r w:rsidRPr="00C00255">
        <w:rPr>
          <w:rFonts w:cs="Times New Roman"/>
          <w:i/>
          <w:color w:val="000000"/>
          <w:lang w:eastAsia="ar-SA" w:bidi="lt-LT"/>
        </w:rPr>
        <w:t xml:space="preserve">, </w:t>
      </w:r>
      <w:r w:rsidR="005D064C">
        <w:rPr>
          <w:rFonts w:cs="Times New Roman"/>
          <w:i/>
          <w:color w:val="000000"/>
          <w:lang w:eastAsia="ar-SA" w:bidi="lt-LT"/>
        </w:rPr>
        <w:t>A. P.</w:t>
      </w:r>
      <w:r w:rsidRPr="00C00255">
        <w:rPr>
          <w:rFonts w:cs="Times New Roman"/>
          <w:i/>
          <w:color w:val="000000"/>
          <w:lang w:eastAsia="ar-SA" w:bidi="lt-LT"/>
        </w:rPr>
        <w:t xml:space="preserve">, </w:t>
      </w:r>
      <w:r w:rsidR="005D064C">
        <w:rPr>
          <w:rFonts w:cs="Times New Roman"/>
          <w:i/>
          <w:color w:val="000000"/>
          <w:lang w:eastAsia="ar-SA" w:bidi="lt-LT"/>
        </w:rPr>
        <w:t>S. S.</w:t>
      </w:r>
      <w:r w:rsidRPr="00C00255">
        <w:rPr>
          <w:rFonts w:cs="Times New Roman"/>
          <w:i/>
          <w:color w:val="000000"/>
          <w:lang w:eastAsia="ar-SA" w:bidi="lt-LT"/>
        </w:rPr>
        <w:t xml:space="preserve">, </w:t>
      </w:r>
      <w:r w:rsidR="005D064C">
        <w:rPr>
          <w:rFonts w:cs="Times New Roman"/>
          <w:i/>
          <w:color w:val="000000"/>
          <w:lang w:eastAsia="ar-SA" w:bidi="lt-LT"/>
        </w:rPr>
        <w:t>A. S.</w:t>
      </w:r>
      <w:r w:rsidRPr="00C00255">
        <w:rPr>
          <w:rFonts w:cs="Times New Roman"/>
          <w:i/>
          <w:color w:val="000000"/>
          <w:lang w:eastAsia="ar-SA" w:bidi="lt-LT"/>
        </w:rPr>
        <w:t xml:space="preserve">, </w:t>
      </w:r>
      <w:r w:rsidR="005D064C">
        <w:rPr>
          <w:rFonts w:cs="Times New Roman"/>
          <w:i/>
          <w:color w:val="000000"/>
          <w:lang w:eastAsia="ar-SA" w:bidi="lt-LT"/>
        </w:rPr>
        <w:t>R. S.</w:t>
      </w:r>
      <w:r w:rsidRPr="00C00255">
        <w:rPr>
          <w:rFonts w:cs="Times New Roman"/>
          <w:i/>
          <w:color w:val="000000"/>
          <w:lang w:eastAsia="ar-SA" w:bidi="lt-LT"/>
        </w:rPr>
        <w:t xml:space="preserve">, </w:t>
      </w:r>
      <w:r w:rsidR="005D064C">
        <w:rPr>
          <w:rFonts w:cs="Times New Roman"/>
          <w:i/>
          <w:color w:val="000000"/>
          <w:lang w:eastAsia="ar-SA" w:bidi="lt-LT"/>
        </w:rPr>
        <w:t>A. S.</w:t>
      </w:r>
      <w:r w:rsidRPr="00C00255">
        <w:rPr>
          <w:rFonts w:cs="Times New Roman"/>
          <w:i/>
          <w:color w:val="000000"/>
          <w:lang w:eastAsia="ar-SA" w:bidi="lt-LT"/>
        </w:rPr>
        <w:t xml:space="preserve">, </w:t>
      </w:r>
      <w:r w:rsidR="005D064C">
        <w:rPr>
          <w:rFonts w:cs="Times New Roman"/>
          <w:i/>
          <w:color w:val="000000"/>
          <w:lang w:eastAsia="ar-SA" w:bidi="lt-LT"/>
        </w:rPr>
        <w:t>A. Š.</w:t>
      </w:r>
      <w:r w:rsidRPr="00C00255">
        <w:rPr>
          <w:rFonts w:cs="Times New Roman"/>
          <w:i/>
          <w:color w:val="000000"/>
          <w:lang w:eastAsia="ar-SA" w:bidi="lt-LT"/>
        </w:rPr>
        <w:t xml:space="preserve">, </w:t>
      </w:r>
      <w:r w:rsidR="005D064C">
        <w:rPr>
          <w:rFonts w:cs="Times New Roman"/>
          <w:i/>
          <w:color w:val="000000"/>
          <w:lang w:eastAsia="ar-SA" w:bidi="lt-LT"/>
        </w:rPr>
        <w:t>V. S.</w:t>
      </w:r>
      <w:r w:rsidRPr="00C00255">
        <w:rPr>
          <w:rFonts w:cs="Times New Roman"/>
          <w:i/>
          <w:color w:val="000000"/>
          <w:lang w:eastAsia="ar-SA" w:bidi="lt-LT"/>
        </w:rPr>
        <w:t xml:space="preserve">, </w:t>
      </w:r>
      <w:r w:rsidR="005D064C">
        <w:rPr>
          <w:rFonts w:cs="Times New Roman"/>
          <w:i/>
          <w:color w:val="000000"/>
          <w:lang w:eastAsia="ar-SA" w:bidi="lt-LT"/>
        </w:rPr>
        <w:t>H. A. Š.</w:t>
      </w:r>
      <w:r w:rsidRPr="00C00255">
        <w:rPr>
          <w:rFonts w:cs="Times New Roman"/>
          <w:i/>
          <w:color w:val="000000"/>
          <w:lang w:eastAsia="ar-SA" w:bidi="lt-LT"/>
        </w:rPr>
        <w:t xml:space="preserve">, </w:t>
      </w:r>
      <w:r w:rsidR="005D064C">
        <w:rPr>
          <w:rFonts w:cs="Times New Roman"/>
          <w:i/>
          <w:color w:val="000000"/>
          <w:lang w:eastAsia="ar-SA" w:bidi="lt-LT"/>
        </w:rPr>
        <w:t>A. V.</w:t>
      </w:r>
      <w:r w:rsidRPr="00C00255">
        <w:rPr>
          <w:rFonts w:cs="Times New Roman"/>
          <w:i/>
          <w:color w:val="000000"/>
          <w:lang w:eastAsia="ar-SA" w:bidi="lt-LT"/>
        </w:rPr>
        <w:t xml:space="preserve">, </w:t>
      </w:r>
      <w:r w:rsidR="005D064C">
        <w:rPr>
          <w:rFonts w:cs="Times New Roman"/>
          <w:i/>
          <w:color w:val="000000"/>
          <w:lang w:eastAsia="ar-SA" w:bidi="lt-LT"/>
        </w:rPr>
        <w:t>S. L.</w:t>
      </w:r>
      <w:r w:rsidRPr="00C00255">
        <w:rPr>
          <w:rFonts w:cs="Times New Roman"/>
          <w:i/>
          <w:color w:val="000000"/>
          <w:lang w:eastAsia="ar-SA" w:bidi="lt-LT"/>
        </w:rPr>
        <w:t xml:space="preserve">, </w:t>
      </w:r>
      <w:r w:rsidR="005D064C">
        <w:rPr>
          <w:rFonts w:cs="Times New Roman"/>
          <w:i/>
          <w:color w:val="000000"/>
          <w:lang w:eastAsia="ar-SA" w:bidi="lt-LT"/>
        </w:rPr>
        <w:t>V. Ž.</w:t>
      </w:r>
      <w:r w:rsidRPr="00C00255">
        <w:rPr>
          <w:rFonts w:cs="Times New Roman"/>
          <w:i/>
          <w:color w:val="000000"/>
          <w:lang w:eastAsia="ar-SA" w:bidi="lt-LT"/>
        </w:rPr>
        <w:t xml:space="preserve">, </w:t>
      </w:r>
      <w:r w:rsidR="005D064C">
        <w:rPr>
          <w:rFonts w:cs="Times New Roman"/>
          <w:i/>
          <w:color w:val="000000"/>
          <w:lang w:eastAsia="ar-SA" w:bidi="lt-LT"/>
        </w:rPr>
        <w:t>A. V.</w:t>
      </w:r>
      <w:r w:rsidRPr="00C00255">
        <w:rPr>
          <w:rFonts w:cs="Times New Roman"/>
          <w:i/>
          <w:color w:val="000000"/>
          <w:lang w:eastAsia="ar-SA" w:bidi="lt-LT"/>
        </w:rPr>
        <w:t xml:space="preserve">, </w:t>
      </w:r>
      <w:r w:rsidR="005D064C">
        <w:rPr>
          <w:rFonts w:cs="Times New Roman"/>
          <w:i/>
          <w:color w:val="000000"/>
          <w:lang w:eastAsia="ar-SA" w:bidi="lt-LT"/>
        </w:rPr>
        <w:t>V. B.</w:t>
      </w:r>
      <w:r w:rsidRPr="00C00255">
        <w:rPr>
          <w:rFonts w:cs="Times New Roman"/>
          <w:i/>
          <w:color w:val="000000"/>
          <w:lang w:eastAsia="ar-SA" w:bidi="lt-LT"/>
        </w:rPr>
        <w:t xml:space="preserve">, </w:t>
      </w:r>
      <w:r w:rsidR="005D064C">
        <w:rPr>
          <w:rFonts w:cs="Times New Roman"/>
          <w:i/>
          <w:color w:val="000000"/>
          <w:lang w:eastAsia="ar-SA" w:bidi="lt-LT"/>
        </w:rPr>
        <w:t>T. Ž.</w:t>
      </w:r>
      <w:r w:rsidRPr="00C00255">
        <w:rPr>
          <w:rFonts w:cs="Times New Roman"/>
          <w:i/>
          <w:color w:val="000000"/>
          <w:lang w:eastAsia="ar-SA" w:bidi="lt-LT"/>
        </w:rPr>
        <w:t xml:space="preserve">, </w:t>
      </w:r>
      <w:r w:rsidR="005D064C">
        <w:rPr>
          <w:rFonts w:cs="Times New Roman"/>
          <w:i/>
          <w:color w:val="000000"/>
          <w:lang w:eastAsia="ar-SA" w:bidi="lt-LT"/>
        </w:rPr>
        <w:t>I. D.</w:t>
      </w:r>
      <w:r w:rsidRPr="00C00255">
        <w:rPr>
          <w:rFonts w:cs="Times New Roman"/>
          <w:i/>
          <w:color w:val="000000"/>
          <w:lang w:eastAsia="ar-SA" w:bidi="lt-LT"/>
        </w:rPr>
        <w:t>(trisdešimt vienam asmeniui) buvo padaryti tyčiniai nesunkūs sveikatos sutrikdymai;</w:t>
      </w:r>
    </w:p>
    <w:p w:rsidR="00742D54"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w:t>
      </w:r>
      <w:r w:rsidR="005D064C">
        <w:rPr>
          <w:rFonts w:cs="Times New Roman"/>
          <w:i/>
          <w:color w:val="000000"/>
          <w:lang w:eastAsia="ar-SA" w:bidi="lt-LT"/>
        </w:rPr>
        <w:t>G. A.</w:t>
      </w:r>
      <w:r w:rsidRPr="00C00255">
        <w:rPr>
          <w:rFonts w:cs="Times New Roman"/>
          <w:i/>
          <w:color w:val="000000"/>
          <w:lang w:eastAsia="ar-SA" w:bidi="lt-LT"/>
        </w:rPr>
        <w:t xml:space="preserve">, </w:t>
      </w:r>
      <w:r w:rsidR="005D064C">
        <w:rPr>
          <w:rFonts w:cs="Times New Roman"/>
          <w:i/>
          <w:color w:val="000000"/>
          <w:lang w:eastAsia="ar-SA" w:bidi="lt-LT"/>
        </w:rPr>
        <w:t>V. K.</w:t>
      </w:r>
      <w:r w:rsidRPr="00C00255">
        <w:rPr>
          <w:rFonts w:cs="Times New Roman"/>
          <w:i/>
          <w:color w:val="000000"/>
          <w:lang w:eastAsia="ar-SA" w:bidi="lt-LT"/>
        </w:rPr>
        <w:t xml:space="preserve">, </w:t>
      </w:r>
      <w:r w:rsidR="005D064C">
        <w:rPr>
          <w:rFonts w:cs="Times New Roman"/>
          <w:i/>
          <w:color w:val="000000"/>
          <w:lang w:eastAsia="ar-SA" w:bidi="lt-LT"/>
        </w:rPr>
        <w:t>S. G.</w:t>
      </w:r>
      <w:r w:rsidRPr="00C00255">
        <w:rPr>
          <w:rFonts w:cs="Times New Roman"/>
          <w:i/>
          <w:color w:val="000000"/>
          <w:lang w:eastAsia="ar-SA" w:bidi="lt-LT"/>
        </w:rPr>
        <w:t xml:space="preserve">, </w:t>
      </w:r>
      <w:r w:rsidR="005D064C">
        <w:rPr>
          <w:rFonts w:cs="Times New Roman"/>
          <w:i/>
          <w:color w:val="000000"/>
          <w:lang w:eastAsia="ar-SA" w:bidi="lt-LT"/>
        </w:rPr>
        <w:t>V. K.</w:t>
      </w:r>
      <w:r w:rsidRPr="00C00255">
        <w:rPr>
          <w:rFonts w:cs="Times New Roman"/>
          <w:i/>
          <w:color w:val="000000"/>
          <w:lang w:eastAsia="ar-SA" w:bidi="lt-LT"/>
        </w:rPr>
        <w:t xml:space="preserve">, </w:t>
      </w:r>
      <w:r w:rsidR="005D064C">
        <w:rPr>
          <w:rFonts w:cs="Times New Roman"/>
          <w:i/>
          <w:color w:val="000000"/>
          <w:lang w:eastAsia="ar-SA" w:bidi="lt-LT"/>
        </w:rPr>
        <w:t>A.-V. Z.</w:t>
      </w:r>
      <w:r w:rsidRPr="00C00255">
        <w:rPr>
          <w:rFonts w:cs="Times New Roman"/>
          <w:i/>
          <w:color w:val="000000"/>
          <w:lang w:eastAsia="ar-SA" w:bidi="lt-LT"/>
        </w:rPr>
        <w:t xml:space="preserve">, </w:t>
      </w:r>
      <w:r w:rsidR="005D064C">
        <w:rPr>
          <w:rFonts w:cs="Times New Roman"/>
          <w:i/>
          <w:color w:val="000000"/>
          <w:lang w:eastAsia="ar-SA" w:bidi="lt-LT"/>
        </w:rPr>
        <w:t>M. K.</w:t>
      </w:r>
      <w:r w:rsidRPr="00C00255">
        <w:rPr>
          <w:rFonts w:cs="Times New Roman"/>
          <w:i/>
          <w:color w:val="000000"/>
          <w:lang w:eastAsia="ar-SA" w:bidi="lt-LT"/>
        </w:rPr>
        <w:t xml:space="preserve">, </w:t>
      </w:r>
      <w:r w:rsidR="005D064C">
        <w:rPr>
          <w:rFonts w:cs="Times New Roman"/>
          <w:i/>
          <w:color w:val="000000"/>
          <w:lang w:eastAsia="ar-SA" w:bidi="lt-LT"/>
        </w:rPr>
        <w:t>S. Z.</w:t>
      </w:r>
      <w:r w:rsidRPr="00C00255">
        <w:rPr>
          <w:rFonts w:cs="Times New Roman"/>
          <w:i/>
          <w:color w:val="000000"/>
          <w:lang w:eastAsia="ar-SA" w:bidi="lt-LT"/>
        </w:rPr>
        <w:t xml:space="preserve">, </w:t>
      </w:r>
      <w:r w:rsidR="005D064C">
        <w:rPr>
          <w:rFonts w:cs="Times New Roman"/>
          <w:i/>
          <w:color w:val="000000"/>
          <w:lang w:eastAsia="ar-SA" w:bidi="lt-LT"/>
        </w:rPr>
        <w:t>V. M.</w:t>
      </w:r>
      <w:r w:rsidRPr="00C00255">
        <w:rPr>
          <w:rFonts w:cs="Times New Roman"/>
          <w:i/>
          <w:color w:val="000000"/>
          <w:lang w:eastAsia="ar-SA" w:bidi="lt-LT"/>
        </w:rPr>
        <w:t xml:space="preserve">, </w:t>
      </w:r>
      <w:r w:rsidR="005D064C">
        <w:rPr>
          <w:rFonts w:cs="Times New Roman"/>
          <w:i/>
          <w:color w:val="000000"/>
          <w:lang w:eastAsia="ar-SA" w:bidi="lt-LT"/>
        </w:rPr>
        <w:t>A. B.</w:t>
      </w:r>
      <w:r w:rsidRPr="00C00255">
        <w:rPr>
          <w:rFonts w:cs="Times New Roman"/>
          <w:i/>
          <w:color w:val="000000"/>
          <w:lang w:eastAsia="ar-SA" w:bidi="lt-LT"/>
        </w:rPr>
        <w:t xml:space="preserve">, </w:t>
      </w:r>
      <w:r w:rsidR="005D064C">
        <w:rPr>
          <w:rFonts w:cs="Times New Roman"/>
          <w:i/>
          <w:color w:val="000000"/>
          <w:lang w:eastAsia="ar-SA" w:bidi="lt-LT"/>
        </w:rPr>
        <w:t>V. C.</w:t>
      </w:r>
      <w:r w:rsidRPr="00C00255">
        <w:rPr>
          <w:rFonts w:cs="Times New Roman"/>
          <w:i/>
          <w:color w:val="000000"/>
          <w:lang w:eastAsia="ar-SA" w:bidi="lt-LT"/>
        </w:rPr>
        <w:t xml:space="preserve">, </w:t>
      </w:r>
      <w:r w:rsidR="005D064C">
        <w:rPr>
          <w:rFonts w:cs="Times New Roman"/>
          <w:i/>
          <w:color w:val="000000"/>
          <w:lang w:eastAsia="ar-SA" w:bidi="lt-LT"/>
        </w:rPr>
        <w:t>A. M.</w:t>
      </w:r>
      <w:r w:rsidRPr="00C00255">
        <w:rPr>
          <w:rFonts w:cs="Times New Roman"/>
          <w:i/>
          <w:color w:val="000000"/>
          <w:lang w:eastAsia="ar-SA" w:bidi="lt-LT"/>
        </w:rPr>
        <w:t xml:space="preserve">, </w:t>
      </w:r>
      <w:r w:rsidR="005D064C">
        <w:rPr>
          <w:rFonts w:cs="Times New Roman"/>
          <w:i/>
          <w:color w:val="000000"/>
          <w:lang w:eastAsia="ar-SA" w:bidi="lt-LT"/>
        </w:rPr>
        <w:t>A. J.</w:t>
      </w:r>
      <w:r w:rsidRPr="00C00255">
        <w:rPr>
          <w:rFonts w:cs="Times New Roman"/>
          <w:i/>
          <w:color w:val="000000"/>
          <w:lang w:eastAsia="ar-SA" w:bidi="lt-LT"/>
        </w:rPr>
        <w:t xml:space="preserve">, </w:t>
      </w:r>
      <w:r w:rsidR="005D064C">
        <w:rPr>
          <w:rFonts w:cs="Times New Roman"/>
          <w:i/>
          <w:color w:val="000000"/>
          <w:lang w:eastAsia="ar-SA" w:bidi="lt-LT"/>
        </w:rPr>
        <w:lastRenderedPageBreak/>
        <w:t>J. V. P.</w:t>
      </w:r>
      <w:r w:rsidRPr="00C00255">
        <w:rPr>
          <w:rFonts w:cs="Times New Roman"/>
          <w:i/>
          <w:color w:val="000000"/>
          <w:lang w:eastAsia="ar-SA" w:bidi="lt-LT"/>
        </w:rPr>
        <w:t xml:space="preserve">, </w:t>
      </w:r>
      <w:r w:rsidR="005D064C">
        <w:rPr>
          <w:rFonts w:cs="Times New Roman"/>
          <w:i/>
          <w:color w:val="000000"/>
          <w:lang w:eastAsia="ar-SA" w:bidi="lt-LT"/>
        </w:rPr>
        <w:t>A. K.</w:t>
      </w:r>
      <w:r w:rsidRPr="00C00255">
        <w:rPr>
          <w:rFonts w:cs="Times New Roman"/>
          <w:i/>
          <w:color w:val="000000"/>
          <w:lang w:eastAsia="ar-SA" w:bidi="lt-LT"/>
        </w:rPr>
        <w:t xml:space="preserve">, </w:t>
      </w:r>
      <w:r w:rsidR="005D064C">
        <w:rPr>
          <w:rFonts w:cs="Times New Roman"/>
          <w:i/>
          <w:color w:val="000000"/>
          <w:lang w:eastAsia="ar-SA" w:bidi="lt-LT"/>
        </w:rPr>
        <w:t>L. Z.</w:t>
      </w:r>
      <w:r w:rsidRPr="00C00255">
        <w:rPr>
          <w:rFonts w:cs="Times New Roman"/>
          <w:i/>
          <w:color w:val="000000"/>
          <w:lang w:eastAsia="ar-SA" w:bidi="lt-LT"/>
        </w:rPr>
        <w:t xml:space="preserve"> (dabar </w:t>
      </w:r>
      <w:r w:rsidR="005D064C">
        <w:rPr>
          <w:rFonts w:cs="Times New Roman"/>
          <w:i/>
          <w:color w:val="000000"/>
          <w:lang w:eastAsia="ar-SA" w:bidi="lt-LT"/>
        </w:rPr>
        <w:t>K.</w:t>
      </w:r>
      <w:r w:rsidRPr="00C00255">
        <w:rPr>
          <w:rFonts w:cs="Times New Roman"/>
          <w:i/>
          <w:color w:val="000000"/>
          <w:lang w:eastAsia="ar-SA" w:bidi="lt-LT"/>
        </w:rPr>
        <w:t xml:space="preserve">), </w:t>
      </w:r>
      <w:r w:rsidR="005D064C">
        <w:rPr>
          <w:rFonts w:cs="Times New Roman"/>
          <w:i/>
          <w:color w:val="000000"/>
          <w:lang w:eastAsia="ar-SA" w:bidi="lt-LT"/>
        </w:rPr>
        <w:t>Ž. M.</w:t>
      </w:r>
      <w:r w:rsidRPr="00C00255">
        <w:rPr>
          <w:rFonts w:cs="Times New Roman"/>
          <w:i/>
          <w:color w:val="000000"/>
          <w:lang w:eastAsia="ar-SA" w:bidi="lt-LT"/>
        </w:rPr>
        <w:t xml:space="preserve">, </w:t>
      </w:r>
      <w:r w:rsidR="005D064C">
        <w:rPr>
          <w:rFonts w:cs="Times New Roman"/>
          <w:i/>
          <w:color w:val="000000"/>
          <w:lang w:eastAsia="ar-SA" w:bidi="lt-LT"/>
        </w:rPr>
        <w:t>R. J.</w:t>
      </w:r>
      <w:r w:rsidRPr="00C00255">
        <w:rPr>
          <w:rFonts w:cs="Times New Roman"/>
          <w:i/>
          <w:color w:val="000000"/>
          <w:lang w:eastAsia="ar-SA" w:bidi="lt-LT"/>
        </w:rPr>
        <w:t xml:space="preserve">, </w:t>
      </w:r>
      <w:r w:rsidR="005D064C">
        <w:rPr>
          <w:rFonts w:cs="Times New Roman"/>
          <w:i/>
          <w:color w:val="000000"/>
          <w:lang w:eastAsia="ar-SA" w:bidi="lt-LT"/>
        </w:rPr>
        <w:t>L. J. S.</w:t>
      </w:r>
      <w:r w:rsidRPr="00C00255">
        <w:rPr>
          <w:rFonts w:cs="Times New Roman"/>
          <w:i/>
          <w:color w:val="000000"/>
          <w:lang w:eastAsia="ar-SA" w:bidi="lt-LT"/>
        </w:rPr>
        <w:t>(dabar </w:t>
      </w:r>
      <w:r w:rsidR="005D064C">
        <w:rPr>
          <w:rFonts w:cs="Times New Roman"/>
          <w:i/>
          <w:color w:val="000000"/>
          <w:lang w:eastAsia="ar-SA" w:bidi="lt-LT"/>
        </w:rPr>
        <w:t>P.</w:t>
      </w:r>
      <w:r w:rsidRPr="00C00255">
        <w:rPr>
          <w:rFonts w:cs="Times New Roman"/>
          <w:i/>
          <w:color w:val="000000"/>
          <w:lang w:eastAsia="ar-SA" w:bidi="lt-LT"/>
        </w:rPr>
        <w:t xml:space="preserve">), </w:t>
      </w:r>
      <w:r w:rsidR="005D064C">
        <w:rPr>
          <w:rFonts w:cs="Times New Roman"/>
          <w:i/>
          <w:color w:val="000000"/>
          <w:lang w:eastAsia="ar-SA" w:bidi="lt-LT"/>
        </w:rPr>
        <w:t>G. J.</w:t>
      </w:r>
      <w:r w:rsidRPr="00C00255">
        <w:rPr>
          <w:rFonts w:cs="Times New Roman"/>
          <w:i/>
          <w:color w:val="000000"/>
          <w:lang w:eastAsia="ar-SA" w:bidi="lt-LT"/>
        </w:rPr>
        <w:t xml:space="preserve">, </w:t>
      </w:r>
      <w:r w:rsidR="005D064C">
        <w:rPr>
          <w:rFonts w:cs="Times New Roman"/>
          <w:i/>
          <w:color w:val="000000"/>
          <w:lang w:eastAsia="ar-SA" w:bidi="lt-LT"/>
        </w:rPr>
        <w:t>B. S.</w:t>
      </w:r>
      <w:r w:rsidRPr="00C00255">
        <w:rPr>
          <w:rFonts w:cs="Times New Roman"/>
          <w:i/>
          <w:color w:val="000000"/>
          <w:lang w:eastAsia="ar-SA" w:bidi="lt-LT"/>
        </w:rPr>
        <w:t xml:space="preserve">, </w:t>
      </w:r>
      <w:r w:rsidR="005D064C">
        <w:rPr>
          <w:rFonts w:cs="Times New Roman"/>
          <w:i/>
          <w:color w:val="000000"/>
          <w:lang w:eastAsia="ar-SA" w:bidi="lt-LT"/>
        </w:rPr>
        <w:t>R. K.</w:t>
      </w:r>
      <w:r w:rsidRPr="00C00255">
        <w:rPr>
          <w:rFonts w:cs="Times New Roman"/>
          <w:i/>
          <w:color w:val="000000"/>
          <w:lang w:eastAsia="ar-SA" w:bidi="lt-LT"/>
        </w:rPr>
        <w:t xml:space="preserve">, </w:t>
      </w:r>
      <w:r w:rsidR="005D064C">
        <w:rPr>
          <w:rFonts w:cs="Times New Roman"/>
          <w:i/>
          <w:color w:val="000000"/>
          <w:lang w:eastAsia="ar-SA" w:bidi="lt-LT"/>
        </w:rPr>
        <w:t>F. Š.</w:t>
      </w:r>
      <w:r w:rsidRPr="00C00255">
        <w:rPr>
          <w:rFonts w:cs="Times New Roman"/>
          <w:i/>
          <w:color w:val="000000"/>
          <w:lang w:eastAsia="ar-SA" w:bidi="lt-LT"/>
        </w:rPr>
        <w:t xml:space="preserve">, </w:t>
      </w:r>
      <w:r w:rsidR="005D064C">
        <w:rPr>
          <w:rFonts w:cs="Times New Roman"/>
          <w:i/>
          <w:color w:val="000000"/>
          <w:lang w:eastAsia="ar-SA" w:bidi="lt-LT"/>
        </w:rPr>
        <w:t>J. K.</w:t>
      </w:r>
      <w:r w:rsidRPr="00C00255">
        <w:rPr>
          <w:rFonts w:cs="Times New Roman"/>
          <w:i/>
          <w:color w:val="000000"/>
          <w:lang w:eastAsia="ar-SA" w:bidi="lt-LT"/>
        </w:rPr>
        <w:t xml:space="preserve">, </w:t>
      </w:r>
      <w:r w:rsidR="005D064C">
        <w:rPr>
          <w:rFonts w:cs="Times New Roman"/>
          <w:i/>
          <w:color w:val="000000"/>
          <w:lang w:eastAsia="ar-SA" w:bidi="lt-LT"/>
        </w:rPr>
        <w:t>M. Š.</w:t>
      </w:r>
      <w:r w:rsidRPr="00C00255">
        <w:rPr>
          <w:rFonts w:cs="Times New Roman"/>
          <w:i/>
          <w:color w:val="000000"/>
          <w:lang w:eastAsia="ar-SA" w:bidi="lt-LT"/>
        </w:rPr>
        <w:t xml:space="preserve"> (dvidešimt keturiems asmenims), tyčiniai nežymūs sveikatos sutrikdymai.</w:t>
      </w:r>
    </w:p>
    <w:p w:rsidR="00742D54" w:rsidRPr="00C00255" w:rsidRDefault="00742D54" w:rsidP="00225B8E">
      <w:pPr>
        <w:pStyle w:val="Standard"/>
        <w:spacing w:before="120" w:after="120"/>
        <w:ind w:firstLine="851"/>
        <w:jc w:val="center"/>
        <w:rPr>
          <w:rFonts w:cs="Times New Roman"/>
          <w:b/>
          <w:bCs/>
          <w:i/>
          <w:color w:val="000000"/>
          <w:lang w:eastAsia="ar-SA" w:bidi="lt-LT"/>
        </w:rPr>
      </w:pPr>
      <w:r w:rsidRPr="00C00255">
        <w:rPr>
          <w:rFonts w:cs="Times New Roman"/>
          <w:b/>
          <w:bCs/>
          <w:i/>
          <w:color w:val="000000"/>
          <w:lang w:eastAsia="ar-SA" w:bidi="lt-LT"/>
        </w:rPr>
        <w:t>LIETUVOS RADIJO IR TELEVIZIJOS CENTRO (TV BOKŠTO) UŽGROBIMAS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 xml:space="preserve">Tęsiant nusikaltimus žmoniškumui </w:t>
      </w:r>
      <w:r w:rsidRPr="00C00255">
        <w:rPr>
          <w:rStyle w:val="Numatytasispastraiposriftas1"/>
          <w:rFonts w:cs="Times New Roman"/>
          <w:i/>
          <w:u w:val="single"/>
          <w:lang w:eastAsia="ar-SA" w:bidi="lt-LT"/>
        </w:rPr>
        <w:t>ir karo nusikaltimus</w:t>
      </w:r>
      <w:r w:rsidRPr="00C00255">
        <w:rPr>
          <w:rStyle w:val="Numatytasispastraiposriftas1"/>
          <w:rFonts w:cs="Times New Roman"/>
          <w:i/>
          <w:lang w:eastAsia="ar-SA" w:bidi="lt-LT"/>
        </w:rPr>
        <w:t xml:space="preserve">, TSRS vykdomos agresijos </w:t>
      </w:r>
      <w:r w:rsidRPr="00C00255">
        <w:rPr>
          <w:rStyle w:val="Numatytasispastraiposriftas1"/>
          <w:rFonts w:cs="Times New Roman"/>
          <w:i/>
          <w:u w:val="single"/>
          <w:lang w:eastAsia="ar-SA" w:bidi="lt-LT"/>
        </w:rPr>
        <w:t xml:space="preserve">ir ginkluoto konflikto </w:t>
      </w:r>
      <w:r w:rsidRPr="00C00255">
        <w:rPr>
          <w:rStyle w:val="Numatytasispastraiposriftas1"/>
          <w:rFonts w:cs="Times New Roman"/>
          <w:i/>
          <w:lang w:eastAsia="ar-SA" w:bidi="lt-LT"/>
        </w:rPr>
        <w:t>metu, 1991 m. sausio 12 d. vakare, tiksliai nenustatytu laiku, vadovavimo štabo įsakymu buvo toliau vykdomos tarptautinės humanitarinės teisės draudžiamos karo atakos prieš civilius ir užgrobiami strateginiai visuomenės i</w:t>
      </w:r>
      <w:r w:rsidR="00E32853" w:rsidRPr="00C00255">
        <w:rPr>
          <w:rStyle w:val="Numatytasispastraiposriftas1"/>
          <w:rFonts w:cs="Times New Roman"/>
          <w:i/>
          <w:lang w:eastAsia="ar-SA" w:bidi="lt-LT"/>
        </w:rPr>
        <w:t>nformavimo objektais – Lietuvos </w:t>
      </w:r>
      <w:r w:rsidRPr="00C00255">
        <w:rPr>
          <w:rStyle w:val="Numatytasispastraiposriftas1"/>
          <w:rFonts w:cs="Times New Roman"/>
          <w:i/>
          <w:lang w:eastAsia="ar-SA" w:bidi="lt-LT"/>
        </w:rPr>
        <w:t>radijo ir televizijos centras (TV bokštas) ir LRT (RTV Komitetas).</w:t>
      </w:r>
    </w:p>
    <w:p w:rsidR="008C57FD" w:rsidRPr="00C00255" w:rsidRDefault="00742D54" w:rsidP="008C57FD">
      <w:pPr>
        <w:pStyle w:val="Standard"/>
        <w:ind w:left="992" w:firstLine="992"/>
        <w:jc w:val="both"/>
        <w:rPr>
          <w:rFonts w:cs="Times New Roman"/>
          <w:i/>
        </w:rPr>
      </w:pPr>
      <w:r w:rsidRPr="00C00255">
        <w:rPr>
          <w:rFonts w:cs="Times New Roman"/>
          <w:i/>
          <w:u w:val="single"/>
          <w:lang w:eastAsia="ar-SA" w:bidi="lt-LT"/>
        </w:rPr>
        <w:t>Vadovavimo štabas karo atakose dalyvaujančias karines pajėgas paskirstė į užimtinus objektus, nurodė užduotis, paskyrė kariniams veiksmams vadovaujančius ir už karinių veiksmų koordinavimą atsakingus asmenis, kuriems įsakė informuoti vadovavimo štabą apie karinių operacijų eigą ir rezultatus.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Karo atakoje dalyvavusiems kariniams padaliniams, t. y. 165-iems kariškiams iš 76-osios oro desanto divizijos jungtinio karinio vieneto, 29-iems kariškiams iš grupės „A“, 12-ai kariškių iš 107-osios motorizuotų šaulių divizijos 106-ojo tankų pulko, tiksliai nenustatytam skaičiui kariškių iš 77-ojo motorizuotų šaulių pulko, ka</w:t>
      </w:r>
      <w:r w:rsidR="008C57FD" w:rsidRPr="00C00255">
        <w:rPr>
          <w:rStyle w:val="Numatytasispastraiposriftas1"/>
          <w:rFonts w:cs="Times New Roman"/>
          <w:i/>
          <w:lang w:eastAsia="ar-SA" w:bidi="lt-LT"/>
        </w:rPr>
        <w:t>rinės atakos prie TV Centro (TV </w:t>
      </w:r>
      <w:r w:rsidRPr="00C00255">
        <w:rPr>
          <w:rStyle w:val="Numatytasispastraiposriftas1"/>
          <w:rFonts w:cs="Times New Roman"/>
          <w:i/>
          <w:lang w:eastAsia="ar-SA" w:bidi="lt-LT"/>
        </w:rPr>
        <w:t>Bokšto) metu vadovavo ir jų veiksmus koordinavo 76-osios oro de</w:t>
      </w:r>
      <w:r w:rsidR="008C57FD" w:rsidRPr="00C00255">
        <w:rPr>
          <w:rStyle w:val="Numatytasispastraiposriftas1"/>
          <w:rFonts w:cs="Times New Roman"/>
          <w:i/>
          <w:lang w:eastAsia="ar-SA" w:bidi="lt-LT"/>
        </w:rPr>
        <w:t>santo divizijos 234-ojo pulko 3 </w:t>
      </w:r>
      <w:r w:rsidRPr="00C00255">
        <w:rPr>
          <w:rStyle w:val="Numatytasispastraiposriftas1"/>
          <w:rFonts w:cs="Times New Roman"/>
          <w:i/>
          <w:lang w:eastAsia="ar-SA" w:bidi="lt-LT"/>
        </w:rPr>
        <w:t xml:space="preserve">bataliono vadas kaltinamasis </w:t>
      </w:r>
      <w:r w:rsidR="00385BC9">
        <w:rPr>
          <w:rStyle w:val="Numatytasispastraiposriftas1"/>
          <w:rFonts w:cs="Times New Roman"/>
          <w:i/>
          <w:lang w:eastAsia="ar-SA" w:bidi="lt-LT"/>
        </w:rPr>
        <w:t>V. S. 2</w:t>
      </w:r>
      <w:r w:rsidRPr="00C00255">
        <w:rPr>
          <w:rStyle w:val="Numatytasispastraiposriftas1"/>
          <w:rFonts w:cs="Times New Roman"/>
          <w:i/>
          <w:lang w:eastAsia="ar-SA" w:bidi="lt-LT"/>
        </w:rPr>
        <w:t xml:space="preserve"> kartu su </w:t>
      </w:r>
      <w:r w:rsidRPr="00C00255">
        <w:rPr>
          <w:rStyle w:val="Numatytasispastraiposriftas1"/>
          <w:rFonts w:cs="Times New Roman"/>
          <w:i/>
          <w:u w:val="single"/>
          <w:lang w:eastAsia="ar-SA" w:bidi="lt-LT"/>
        </w:rPr>
        <w:t xml:space="preserve">atsakingu už šios operacijos įvykdymą </w:t>
      </w:r>
      <w:r w:rsidRPr="00C00255">
        <w:rPr>
          <w:rStyle w:val="Numatytasispastraiposriftas1"/>
          <w:rFonts w:cs="Times New Roman"/>
          <w:i/>
          <w:lang w:eastAsia="ar-SA" w:bidi="lt-LT"/>
        </w:rPr>
        <w:t xml:space="preserve">76-osios oro desanto divizijos 234-ojo pulko vadu </w:t>
      </w:r>
      <w:r w:rsidR="00C507EF">
        <w:rPr>
          <w:rStyle w:val="Numatytasispastraiposriftas1"/>
          <w:rFonts w:cs="Times New Roman"/>
          <w:i/>
          <w:lang w:eastAsia="ar-SA" w:bidi="lt-LT"/>
        </w:rPr>
        <w:t>I. K.</w:t>
      </w:r>
      <w:r w:rsidRPr="00C00255">
        <w:rPr>
          <w:rStyle w:val="Numatytasispastraiposriftas1"/>
          <w:rFonts w:cs="Times New Roman"/>
          <w:i/>
          <w:lang w:eastAsia="ar-SA" w:bidi="lt-LT"/>
        </w:rPr>
        <w:t xml:space="preserve"> (ikiteisminis tyrimas nutrauktas), kuris savo veiksmus ryšio priemonėmis tiesiogiai derino su vadovavimo štabe buvusiu 76-osios oro desanto divizijos vado pava</w:t>
      </w:r>
      <w:r w:rsidR="008C57FD" w:rsidRPr="00C00255">
        <w:rPr>
          <w:rStyle w:val="Numatytasispastraiposriftas1"/>
          <w:rFonts w:cs="Times New Roman"/>
          <w:i/>
          <w:lang w:eastAsia="ar-SA" w:bidi="lt-LT"/>
        </w:rPr>
        <w:t xml:space="preserve">duotoju kaltinamuoju </w:t>
      </w:r>
      <w:r w:rsidR="00385BC9">
        <w:rPr>
          <w:rStyle w:val="Numatytasispastraiposriftas1"/>
          <w:rFonts w:cs="Times New Roman"/>
          <w:i/>
          <w:lang w:eastAsia="ar-SA" w:bidi="lt-LT"/>
        </w:rPr>
        <w:t>V. K. 1</w:t>
      </w:r>
      <w:r w:rsidRPr="00C00255">
        <w:rPr>
          <w:rStyle w:val="Numatytasispastraiposriftas1"/>
          <w:rFonts w:cs="Times New Roman"/>
          <w:i/>
          <w:lang w:eastAsia="ar-SA" w:bidi="lt-LT"/>
        </w:rPr>
        <w:t>.</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Pagal vadovavimo štabo užduotį, operacijoje dalyvaujantys padaliniai prieš civilius asmenis, esančius prie TV bokšto, naudojo teroro ir bauginimo priemones: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 xml:space="preserve">1991 m. sausio 13 d., apie 1.30 val., 77–o motorizuotų šaulių pulko kariškiai prie TV bokšto atvyko iš priešingos, nei numatytas puolimas pusės, </w:t>
      </w:r>
      <w:r w:rsidRPr="00C00255">
        <w:rPr>
          <w:rStyle w:val="Numatytasispastraiposriftas1"/>
          <w:rFonts w:cs="Times New Roman"/>
          <w:i/>
          <w:u w:val="single"/>
          <w:lang w:eastAsia="ar-SA" w:bidi="lt-LT"/>
        </w:rPr>
        <w:t>ne mažiau kaip trimis tankais T 72, kurių borto numeriai 220, 221 ir 223</w:t>
      </w:r>
      <w:r w:rsidRPr="00C00255">
        <w:rPr>
          <w:rStyle w:val="Numatytasispastraiposriftas1"/>
          <w:rFonts w:cs="Times New Roman"/>
          <w:i/>
          <w:lang w:eastAsia="ar-SA" w:bidi="lt-LT"/>
        </w:rPr>
        <w:t xml:space="preserve">, </w:t>
      </w:r>
      <w:r w:rsidRPr="00C00255">
        <w:rPr>
          <w:rStyle w:val="Numatytasispastraiposriftas1"/>
          <w:rFonts w:cs="Times New Roman"/>
          <w:i/>
          <w:u w:val="single"/>
          <w:lang w:eastAsia="ar-SA" w:bidi="lt-LT"/>
        </w:rPr>
        <w:t xml:space="preserve">ne mažiau kaip viena </w:t>
      </w:r>
      <w:r w:rsidRPr="00C00255">
        <w:rPr>
          <w:rStyle w:val="Numatytasispastraiposriftas1"/>
          <w:rFonts w:cs="Times New Roman"/>
          <w:i/>
          <w:lang w:eastAsia="ar-SA" w:bidi="lt-LT"/>
        </w:rPr>
        <w:t>priešlėktuvinės gynybos sistema ŠILKA</w:t>
      </w:r>
      <w:r w:rsidR="008434B8" w:rsidRPr="00C00255">
        <w:rPr>
          <w:rStyle w:val="Numatytasispastraiposriftas1"/>
          <w:rFonts w:cs="Times New Roman"/>
          <w:i/>
          <w:lang w:eastAsia="ar-SA" w:bidi="lt-LT"/>
        </w:rPr>
        <w:t xml:space="preserve"> </w:t>
      </w:r>
      <w:r w:rsidRPr="00C00255">
        <w:rPr>
          <w:rStyle w:val="Numatytasispastraiposriftas1"/>
          <w:rFonts w:cs="Times New Roman"/>
          <w:i/>
          <w:lang w:eastAsia="ar-SA" w:bidi="lt-LT"/>
        </w:rPr>
        <w:t>(ZSU 23-4) ir ne mažiau kaip penkiais BTR, vieno iš jų borto numeris 201. Atvykę Žvaigždžių (dabar L. Asanavičiūtės) gatve ir sustoję prie tilto, esančio Sudervės (dabar Sausio 13-osios g. ir V. Maciulevičiaus g.) bei Žvaigždžių (dabar L. Asanavičiūtės) gatvių sankryžoje, turėjo nukreipti susirinkusių civilių dėmesį nuo Sudervės gatve (dabar Sausio 13-osios g.) atvykstančios kitos draudžiamoje karo atakoje dalyvausiančios TSRS kariškių kolonos.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Trys 107-osios motorizuotų šaulių divizijos 77-ojo motorizuotų šaulių pulko, civilių dėmesį nukreipiančiosios kolonos tankai T-72, kurių borto Nr. 220, 221 ir 223, draudžiamos karo atakos metu šaudė iš tankų pabūklų tuščiais užtaisais, skleidė dūmines užsklandas, karinės technikos žibintais apšvietė civilius, pavojingai manevruojant važinėjo Sudervės gatve ir šalino civilius bei esančias užtvaras. Priešlėktuvinės gynybos sistema ŠILKA šaudė – 23 mm kalibro šoviniais TV bokšto pusėn.</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Kai civiliai bėgo į nukreipiančios karinės technikos kolonos pusę, apie 2 val., iš kitos pusės Sudervės gatve atvyko puolančioji kolona, kuriai vadovavo kaltinamasis </w:t>
      </w:r>
      <w:r w:rsidR="00385BC9">
        <w:rPr>
          <w:rFonts w:cs="Times New Roman"/>
          <w:i/>
          <w:lang w:eastAsia="ar-SA" w:bidi="lt-LT"/>
        </w:rPr>
        <w:t>V. S. 2</w:t>
      </w:r>
      <w:r w:rsidRPr="00C00255">
        <w:rPr>
          <w:rFonts w:cs="Times New Roman"/>
          <w:i/>
          <w:lang w:eastAsia="ar-SA" w:bidi="lt-LT"/>
        </w:rPr>
        <w:t>.</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TSRS VSK (KGB) grupės „A“ ir 76-osios oro desa</w:t>
      </w:r>
      <w:r w:rsidR="00DE3B19" w:rsidRPr="00C00255">
        <w:rPr>
          <w:rFonts w:cs="Times New Roman"/>
          <w:i/>
          <w:lang w:eastAsia="ar-SA" w:bidi="lt-LT"/>
        </w:rPr>
        <w:t>nto divizijos kariškiai prie TV </w:t>
      </w:r>
      <w:r w:rsidRPr="00C00255">
        <w:rPr>
          <w:rFonts w:cs="Times New Roman"/>
          <w:i/>
          <w:lang w:eastAsia="ar-SA" w:bidi="lt-LT"/>
        </w:rPr>
        <w:t xml:space="preserve">bokšto atvyko automobiliais ZIL-131, URAL bei BTR-D ir BMP. Karinė technika griovė užtvaras, pavojingai manevruodama važinėjo aplink TV bokštą, baugino civilius, siekiant juos nustumti nuo užimamo objekto, jų atžvilgiu naudojo sprogstamuosius įtaisus, specialiąsias ir imitacines priemones, pritaikytas priemones žmonėms žaloti, šaudyti garsiniais ir koviniais šoviniais, naudojo artimos kovos veiksmus. 76-osios oro desanto divizijos kariškiai, braudamiesi pro civilius link TV bokšto, darė taip vadinamą „koridorių“ grupės „A“ kariškiams, idant šie patektų į užimamo objekto vidų ir išjungtų radijo ir </w:t>
      </w:r>
      <w:r w:rsidRPr="00C00255">
        <w:rPr>
          <w:rFonts w:cs="Times New Roman"/>
          <w:i/>
          <w:lang w:eastAsia="ar-SA" w:bidi="lt-LT"/>
        </w:rPr>
        <w:lastRenderedPageBreak/>
        <w:t xml:space="preserve">televizijos transliavimą užtikrinančius įrenginius. 76-osios oro desanto divizijos kariškiai šalino civilius iš TV bokšto pastato ir teritorijos, atjungė TV bokšto apsaugos sistemą ir saugojo užgrobtą objektą. </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Puolančiąją koloną sudarė 107 motorizuotų šaulių divizijos 106 tankų pulko keturi tankai T-72, kurių borto Nr. 502, 513, 541 ir 544, 76-osios oro desanto divizijos jungtinio pulko 17 BMD, kurių borto Nr. 281, 295, 283, 284, 286, 289, 291, 292, 294, 296, 242, 243, 246, 247, 248, 258 ir 259, viena BMD KŠM, kurios borto Nr. 600, du automobiliai URAL, skirti kariams pervežti, kurių vieno k/n 23-04 OF, du automobiliai ZIL-131, kurių vieno k/n 23-30 OF ir kuris buvo skirtas techniniam aptarnavimui, viena BTR-D, kurios borto Nr.</w:t>
      </w:r>
      <w:r w:rsidR="008434B8" w:rsidRPr="00C00255">
        <w:rPr>
          <w:rFonts w:cs="Times New Roman"/>
          <w:i/>
          <w:lang w:eastAsia="ar-SA" w:bidi="lt-LT"/>
        </w:rPr>
        <w:t xml:space="preserve"> </w:t>
      </w:r>
      <w:r w:rsidRPr="00C00255">
        <w:rPr>
          <w:rFonts w:cs="Times New Roman"/>
          <w:i/>
          <w:lang w:eastAsia="ar-SA" w:bidi="lt-LT"/>
        </w:rPr>
        <w:t>670, ir nenustatytam kariniam daliniui priklausanti patruliavimo mašina - BRDM.</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Keturi puolančiosios kolonos tankai su 12-a karišk</w:t>
      </w:r>
      <w:r w:rsidR="008C57FD" w:rsidRPr="00C00255">
        <w:rPr>
          <w:rFonts w:cs="Times New Roman"/>
          <w:i/>
          <w:lang w:eastAsia="ar-SA" w:bidi="lt-LT"/>
        </w:rPr>
        <w:t>ių iš 106-o tankų pulko prie TV </w:t>
      </w:r>
      <w:r w:rsidRPr="00C00255">
        <w:rPr>
          <w:rFonts w:cs="Times New Roman"/>
          <w:i/>
          <w:lang w:eastAsia="ar-SA" w:bidi="lt-LT"/>
        </w:rPr>
        <w:t>bokšto atvyko iš Sudervės g. pusės, šalino kelyje buvusias užtvaras, keliose vietose išgriovė TV bokšto teritoriją juosiančią tvorą ir padarė kelią iš paskos važiuojančiai karinės technikos kolonai, šaudė iš tankų pabūklų tuščiais užtaisais, skleidė dūmines užsklandas, apšvietė karinės technikos žibintais civilius, pavojingai manevruodami važinėjo TV bokšto teritorijoje šalino civilius iš teritorijos ir TV bokšto prieigų.</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Kolonos vadas kaltinamasis </w:t>
      </w:r>
      <w:r w:rsidR="00385BC9">
        <w:rPr>
          <w:rFonts w:cs="Times New Roman"/>
          <w:i/>
          <w:lang w:eastAsia="ar-SA" w:bidi="lt-LT"/>
        </w:rPr>
        <w:t>V. S. 2</w:t>
      </w:r>
      <w:r w:rsidRPr="00C00255">
        <w:rPr>
          <w:rFonts w:cs="Times New Roman"/>
          <w:i/>
          <w:lang w:eastAsia="ar-SA" w:bidi="lt-LT"/>
        </w:rPr>
        <w:t xml:space="preserve">, gavęs informaciją iš kolonos priekyje BMD 281, važiuojančio kaltinamojo </w:t>
      </w:r>
      <w:r w:rsidR="002451F2">
        <w:rPr>
          <w:rFonts w:cs="Times New Roman"/>
          <w:i/>
          <w:lang w:eastAsia="ar-SA" w:bidi="lt-LT"/>
        </w:rPr>
        <w:t>V. D.</w:t>
      </w:r>
      <w:r w:rsidRPr="00C00255">
        <w:rPr>
          <w:rFonts w:cs="Times New Roman"/>
          <w:i/>
          <w:lang w:eastAsia="ar-SA" w:bidi="lt-LT"/>
        </w:rPr>
        <w:t xml:space="preserve"> apie tai, kad kolonos kelyje yra užtvarų iš transporto priemonių, tankų pulko vadui kaltinamajam </w:t>
      </w:r>
      <w:r w:rsidR="004069BF">
        <w:rPr>
          <w:rFonts w:cs="Times New Roman"/>
          <w:i/>
          <w:lang w:eastAsia="ar-SA" w:bidi="lt-LT"/>
        </w:rPr>
        <w:t>N. A.</w:t>
      </w:r>
      <w:r w:rsidRPr="00C00255">
        <w:rPr>
          <w:rFonts w:cs="Times New Roman"/>
          <w:i/>
          <w:lang w:eastAsia="ar-SA" w:bidi="lt-LT"/>
        </w:rPr>
        <w:t xml:space="preserve"> nurodė jas pašalinti. Kaltinamojo </w:t>
      </w:r>
      <w:r w:rsidR="004069BF">
        <w:rPr>
          <w:rFonts w:cs="Times New Roman"/>
          <w:i/>
          <w:lang w:eastAsia="ar-SA" w:bidi="lt-LT"/>
        </w:rPr>
        <w:t>N. A.</w:t>
      </w:r>
      <w:r w:rsidRPr="00C00255">
        <w:rPr>
          <w:rFonts w:cs="Times New Roman"/>
          <w:i/>
          <w:lang w:eastAsia="ar-SA" w:bidi="lt-LT"/>
        </w:rPr>
        <w:t xml:space="preserve"> nurodymu, jo vadovaujamas tankas, borto Nr. 502, kurio ekipaže buvo taikytojas kaltinamasis </w:t>
      </w:r>
      <w:r w:rsidR="00C82C9D">
        <w:rPr>
          <w:rFonts w:cs="Times New Roman"/>
          <w:i/>
          <w:lang w:eastAsia="ar-SA" w:bidi="lt-LT"/>
        </w:rPr>
        <w:t>O. A.</w:t>
      </w:r>
      <w:r w:rsidRPr="00C00255">
        <w:rPr>
          <w:rFonts w:cs="Times New Roman"/>
          <w:i/>
          <w:lang w:eastAsia="ar-SA" w:bidi="lt-LT"/>
        </w:rPr>
        <w:t xml:space="preserve"> ir mechanikas-vairuotojas kaltinamasis </w:t>
      </w:r>
      <w:r w:rsidR="00C82C9D">
        <w:rPr>
          <w:rFonts w:cs="Times New Roman"/>
          <w:i/>
          <w:lang w:eastAsia="ar-SA" w:bidi="lt-LT"/>
        </w:rPr>
        <w:t>V. S. 4</w:t>
      </w:r>
      <w:r w:rsidRPr="00C00255">
        <w:rPr>
          <w:rFonts w:cs="Times New Roman"/>
          <w:i/>
          <w:lang w:eastAsia="ar-SA" w:bidi="lt-LT"/>
        </w:rPr>
        <w:t xml:space="preserve">, kartu su kaltinamojo </w:t>
      </w:r>
      <w:r w:rsidR="00C82C9D">
        <w:rPr>
          <w:rFonts w:cs="Times New Roman"/>
          <w:i/>
          <w:lang w:eastAsia="ar-SA" w:bidi="lt-LT"/>
        </w:rPr>
        <w:t>S. V.</w:t>
      </w:r>
      <w:r w:rsidRPr="00C00255">
        <w:rPr>
          <w:rFonts w:cs="Times New Roman"/>
          <w:i/>
          <w:lang w:eastAsia="ar-SA" w:bidi="lt-LT"/>
        </w:rPr>
        <w:t xml:space="preserve"> vadovaujamo tanko, kurio borto Nr. 513 ekipažu: taikytojas </w:t>
      </w:r>
      <w:r w:rsidR="00C943F4">
        <w:rPr>
          <w:rFonts w:cs="Times New Roman"/>
          <w:i/>
          <w:lang w:eastAsia="ar-SA" w:bidi="lt-LT"/>
        </w:rPr>
        <w:t>I. B.</w:t>
      </w:r>
      <w:r w:rsidRPr="00C00255">
        <w:rPr>
          <w:rFonts w:cs="Times New Roman"/>
          <w:i/>
          <w:lang w:eastAsia="ar-SA" w:bidi="lt-LT"/>
        </w:rPr>
        <w:t xml:space="preserve"> (baudžiamoji byla nutraukta) ir mechanikas-vairuotojas kaltinamais </w:t>
      </w:r>
      <w:r w:rsidR="00A97F74">
        <w:rPr>
          <w:rFonts w:cs="Times New Roman"/>
          <w:i/>
          <w:lang w:eastAsia="ar-SA" w:bidi="lt-LT"/>
        </w:rPr>
        <w:t>A. K. 1</w:t>
      </w:r>
      <w:r w:rsidRPr="00C00255">
        <w:rPr>
          <w:rFonts w:cs="Times New Roman"/>
          <w:i/>
          <w:lang w:eastAsia="ar-SA" w:bidi="lt-LT"/>
        </w:rPr>
        <w:t>, šalino kliūtis ir sukėlė pavojų civilių gyvybei ir sveikatai.</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 xml:space="preserve">Vienas iš užtvaras šalinusių tankų, stumdamas nuo pravažiavimo smėlio barstytuvą ZIL-130 KDM, kurio v/n </w:t>
      </w:r>
      <w:r w:rsidR="0036157A">
        <w:rPr>
          <w:rStyle w:val="Numatytasispastraiposriftas1"/>
          <w:rFonts w:cs="Times New Roman"/>
          <w:i/>
          <w:lang w:eastAsia="ar-SA" w:bidi="lt-LT"/>
        </w:rPr>
        <w:t>(duomenys neskelbtini</w:t>
      </w:r>
      <w:r w:rsidRPr="00C00255">
        <w:rPr>
          <w:rStyle w:val="Numatytasispastraiposriftas1"/>
          <w:rFonts w:cs="Times New Roman"/>
          <w:i/>
          <w:lang w:eastAsia="ar-SA" w:bidi="lt-LT"/>
        </w:rPr>
        <w:t>), pr</w:t>
      </w:r>
      <w:r w:rsidR="00C943F4">
        <w:rPr>
          <w:rStyle w:val="Numatytasispastraiposriftas1"/>
          <w:rFonts w:cs="Times New Roman"/>
          <w:i/>
          <w:lang w:eastAsia="ar-SA" w:bidi="lt-LT"/>
        </w:rPr>
        <w:t>ie jo prispaudė A.</w:t>
      </w:r>
      <w:r w:rsidR="008C57FD" w:rsidRPr="00C00255">
        <w:rPr>
          <w:rStyle w:val="Numatytasispastraiposriftas1"/>
          <w:rFonts w:cs="Times New Roman"/>
          <w:i/>
          <w:lang w:eastAsia="ar-SA" w:bidi="lt-LT"/>
        </w:rPr>
        <w:t> P</w:t>
      </w:r>
      <w:r w:rsidR="00C943F4">
        <w:rPr>
          <w:rStyle w:val="Numatytasispastraiposriftas1"/>
          <w:rFonts w:cs="Times New Roman"/>
          <w:i/>
          <w:lang w:eastAsia="ar-SA" w:bidi="lt-LT"/>
        </w:rPr>
        <w:t>.</w:t>
      </w:r>
      <w:r w:rsidR="008C57FD" w:rsidRPr="00C00255">
        <w:rPr>
          <w:rStyle w:val="Numatytasispastraiposriftas1"/>
          <w:rFonts w:cs="Times New Roman"/>
          <w:i/>
          <w:lang w:eastAsia="ar-SA" w:bidi="lt-LT"/>
        </w:rPr>
        <w:t> </w:t>
      </w:r>
      <w:r w:rsidRPr="00C00255">
        <w:rPr>
          <w:rStyle w:val="Numatytasispastraiposriftas1"/>
          <w:rFonts w:cs="Times New Roman"/>
          <w:i/>
          <w:lang w:eastAsia="ar-SA" w:bidi="lt-LT"/>
        </w:rPr>
        <w:t>K</w:t>
      </w:r>
      <w:r w:rsidR="00C943F4">
        <w:rPr>
          <w:rStyle w:val="Numatytasispastraiposriftas1"/>
          <w:rFonts w:cs="Times New Roman"/>
          <w:i/>
          <w:lang w:eastAsia="ar-SA" w:bidi="lt-LT"/>
        </w:rPr>
        <w:t>.</w:t>
      </w:r>
      <w:r w:rsidRPr="00C00255">
        <w:rPr>
          <w:rStyle w:val="Numatytasispastraiposriftas1"/>
          <w:rFonts w:cs="Times New Roman"/>
          <w:i/>
          <w:lang w:eastAsia="ar-SA" w:bidi="lt-LT"/>
        </w:rPr>
        <w:t>, kuris dėl nuo visumos traumų galvoje, kūne ir galūnėse bei daugybės skeleto kaulų lūžių ir traumų sukelto šoko komplikacijos, galvos smegenų, plaučių pabrinkimo ir vidinės kraujosruvos mirė, t. y. nukentėjusįjį tyčia nužudė.</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 xml:space="preserve">Kaltinamojo </w:t>
      </w:r>
      <w:r w:rsidR="004069BF">
        <w:rPr>
          <w:rStyle w:val="Numatytasispastraiposriftas1"/>
          <w:rFonts w:cs="Times New Roman"/>
          <w:i/>
          <w:lang w:eastAsia="ar-SA" w:bidi="lt-LT"/>
        </w:rPr>
        <w:t>N. A.</w:t>
      </w:r>
      <w:r w:rsidRPr="00C00255">
        <w:rPr>
          <w:rStyle w:val="Numatytasispastraiposriftas1"/>
          <w:rFonts w:cs="Times New Roman"/>
          <w:i/>
          <w:lang w:eastAsia="ar-SA" w:bidi="lt-LT"/>
        </w:rPr>
        <w:t xml:space="preserve"> vadovaujamam tankui Nr. 502, kurio ekipaže buvo kaltinamieji </w:t>
      </w:r>
      <w:r w:rsidR="00C82C9D">
        <w:rPr>
          <w:rStyle w:val="Numatytasispastraiposriftas1"/>
          <w:rFonts w:cs="Times New Roman"/>
          <w:i/>
          <w:lang w:eastAsia="ar-SA" w:bidi="lt-LT"/>
        </w:rPr>
        <w:t>O. A.</w:t>
      </w:r>
      <w:r w:rsidRPr="00C00255">
        <w:rPr>
          <w:rStyle w:val="Numatytasispastraiposriftas1"/>
          <w:rFonts w:cs="Times New Roman"/>
          <w:i/>
          <w:lang w:eastAsia="ar-SA" w:bidi="lt-LT"/>
        </w:rPr>
        <w:t xml:space="preserve"> bei </w:t>
      </w:r>
      <w:r w:rsidR="00C82C9D">
        <w:rPr>
          <w:rStyle w:val="Numatytasispastraiposriftas1"/>
          <w:rFonts w:cs="Times New Roman"/>
          <w:i/>
          <w:lang w:eastAsia="ar-SA" w:bidi="lt-LT"/>
        </w:rPr>
        <w:t>V. S. 4</w:t>
      </w:r>
      <w:r w:rsidRPr="00C00255">
        <w:rPr>
          <w:rStyle w:val="Numatytasispastraiposriftas1"/>
          <w:rFonts w:cs="Times New Roman"/>
          <w:i/>
          <w:lang w:eastAsia="ar-SA" w:bidi="lt-LT"/>
        </w:rPr>
        <w:t xml:space="preserve"> bei kalt</w:t>
      </w:r>
      <w:r w:rsidR="008C57FD" w:rsidRPr="00C00255">
        <w:rPr>
          <w:rStyle w:val="Numatytasispastraiposriftas1"/>
          <w:rFonts w:cs="Times New Roman"/>
          <w:i/>
          <w:lang w:eastAsia="ar-SA" w:bidi="lt-LT"/>
        </w:rPr>
        <w:t xml:space="preserve">inamojo </w:t>
      </w:r>
      <w:r w:rsidR="00C82C9D">
        <w:rPr>
          <w:rStyle w:val="Numatytasispastraiposriftas1"/>
          <w:rFonts w:cs="Times New Roman"/>
          <w:i/>
          <w:lang w:eastAsia="ar-SA" w:bidi="lt-LT"/>
        </w:rPr>
        <w:t>S. V.</w:t>
      </w:r>
      <w:r w:rsidR="008C57FD" w:rsidRPr="00C00255">
        <w:rPr>
          <w:rStyle w:val="Numatytasispastraiposriftas1"/>
          <w:rFonts w:cs="Times New Roman"/>
          <w:i/>
          <w:lang w:eastAsia="ar-SA" w:bidi="lt-LT"/>
        </w:rPr>
        <w:t xml:space="preserve"> vadovaujamo</w:t>
      </w:r>
      <w:r w:rsidRPr="00C00255">
        <w:rPr>
          <w:rStyle w:val="Numatytasispastraiposriftas1"/>
          <w:rFonts w:cs="Times New Roman"/>
          <w:i/>
          <w:lang w:eastAsia="ar-SA" w:bidi="lt-LT"/>
        </w:rPr>
        <w:t xml:space="preserve"> tanko Nr. 513 ekipažui, kurio vairuotojas-mechanikas buvo kaltinamasis </w:t>
      </w:r>
      <w:r w:rsidR="00A97F74">
        <w:rPr>
          <w:rStyle w:val="Numatytasispastraiposriftas1"/>
          <w:rFonts w:cs="Times New Roman"/>
          <w:i/>
          <w:lang w:eastAsia="ar-SA" w:bidi="lt-LT"/>
        </w:rPr>
        <w:t>A. K. 1</w:t>
      </w:r>
      <w:r w:rsidRPr="00C00255">
        <w:rPr>
          <w:rStyle w:val="Numatytasispastraiposriftas1"/>
          <w:rFonts w:cs="Times New Roman"/>
          <w:i/>
          <w:lang w:eastAsia="ar-SA" w:bidi="lt-LT"/>
        </w:rPr>
        <w:t xml:space="preserve">, pašalinus užtvaras, šie tankai bei už jų važiavęs kaltinamojo </w:t>
      </w:r>
      <w:r w:rsidR="00C82C9D">
        <w:rPr>
          <w:rStyle w:val="Numatytasispastraiposriftas1"/>
          <w:rFonts w:cs="Times New Roman"/>
          <w:i/>
          <w:lang w:eastAsia="ar-SA" w:bidi="lt-LT"/>
        </w:rPr>
        <w:t>V. Š. 3</w:t>
      </w:r>
      <w:r w:rsidRPr="00C00255">
        <w:rPr>
          <w:rStyle w:val="Numatytasispastraiposriftas1"/>
          <w:rFonts w:cs="Times New Roman"/>
          <w:i/>
          <w:lang w:eastAsia="ar-SA" w:bidi="lt-LT"/>
        </w:rPr>
        <w:t xml:space="preserve"> vadovaujamas tankas Nr. 541, kurio taikytojas </w:t>
      </w:r>
      <w:r w:rsidR="00C82C9D">
        <w:rPr>
          <w:rStyle w:val="Numatytasispastraiposriftas1"/>
          <w:rFonts w:cs="Times New Roman"/>
          <w:i/>
          <w:lang w:eastAsia="ar-SA" w:bidi="lt-LT"/>
        </w:rPr>
        <w:t>A. G. 1</w:t>
      </w:r>
      <w:r w:rsidRPr="00C00255">
        <w:rPr>
          <w:rStyle w:val="Numatytasispastraiposriftas1"/>
          <w:rFonts w:cs="Times New Roman"/>
          <w:i/>
          <w:lang w:eastAsia="ar-SA" w:bidi="lt-LT"/>
        </w:rPr>
        <w:t xml:space="preserve">, mechanikas-vairuotojas </w:t>
      </w:r>
      <w:r w:rsidR="00C943F4">
        <w:rPr>
          <w:rStyle w:val="Numatytasispastraiposriftas1"/>
          <w:rFonts w:cs="Times New Roman"/>
          <w:i/>
          <w:lang w:eastAsia="ar-SA" w:bidi="lt-LT"/>
        </w:rPr>
        <w:t>V. P.</w:t>
      </w:r>
      <w:r w:rsidRPr="00C00255">
        <w:rPr>
          <w:rStyle w:val="Numatytasispastraiposriftas1"/>
          <w:rFonts w:cs="Times New Roman"/>
          <w:i/>
          <w:lang w:eastAsia="ar-SA" w:bidi="lt-LT"/>
        </w:rPr>
        <w:t xml:space="preserve"> (baudžiamasis persekiojimas už nusikaltimus žmoniškumui ir karo nusikaltimus nevykdomas), TV bokšto rytų pusėje išlaužė tvorą ir pavojingai manevruodami, įvažiavo į bokšto teritoriją, kurioje buvo puolamą objektą gynusi daugiatūkstantinė civilių minia. Tankų Nr. 513 ir 541 ekipažai ne mažiau kaip po du kartus iššovė iš pabūklų tuščiais užtaisais, leido dūmines užsklandas, karinės technikos šviesos prietaisais švietė į civilius ir </w:t>
      </w:r>
      <w:r w:rsidRPr="00C00255">
        <w:rPr>
          <w:rStyle w:val="Numatytasispastraiposriftas1"/>
          <w:rFonts w:cs="Times New Roman"/>
          <w:i/>
          <w:u w:val="single"/>
          <w:lang w:eastAsia="ar-SA" w:bidi="lt-LT"/>
        </w:rPr>
        <w:t>puolamą</w:t>
      </w:r>
      <w:r w:rsidRPr="00C00255">
        <w:rPr>
          <w:rStyle w:val="Numatytasispastraiposriftas1"/>
          <w:rFonts w:cs="Times New Roman"/>
          <w:i/>
          <w:lang w:eastAsia="ar-SA" w:bidi="lt-LT"/>
        </w:rPr>
        <w:t xml:space="preserve"> objektą bei aplink esančius pastatus, taip civilius baugindami bei terorizuodami.</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Kaltinamojo </w:t>
      </w:r>
      <w:r w:rsidR="004069BF">
        <w:rPr>
          <w:rFonts w:cs="Times New Roman"/>
          <w:i/>
          <w:lang w:eastAsia="ar-SA" w:bidi="lt-LT"/>
        </w:rPr>
        <w:t>N. A.</w:t>
      </w:r>
      <w:r w:rsidRPr="00C00255">
        <w:rPr>
          <w:rFonts w:cs="Times New Roman"/>
          <w:i/>
          <w:lang w:eastAsia="ar-SA" w:bidi="lt-LT"/>
        </w:rPr>
        <w:t xml:space="preserve"> vadovaujamas tankas Nr. 502, pavojingai manevruodamas pro civilių minią, juos baugindamas bei terorizuodamas, ne mažiau k</w:t>
      </w:r>
      <w:r w:rsidR="00E32853" w:rsidRPr="00C00255">
        <w:rPr>
          <w:rFonts w:cs="Times New Roman"/>
          <w:i/>
          <w:lang w:eastAsia="ar-SA" w:bidi="lt-LT"/>
        </w:rPr>
        <w:t>aip 1 </w:t>
      </w:r>
      <w:r w:rsidRPr="00C00255">
        <w:rPr>
          <w:rFonts w:cs="Times New Roman"/>
          <w:i/>
          <w:lang w:eastAsia="ar-SA" w:bidi="lt-LT"/>
        </w:rPr>
        <w:t xml:space="preserve">kartą iššovė iš pabūklo tuščiu užtaisu pietinėje TV bokšto pusėje, korpusu išdaužė TV bokšto pastato pirmajame aukšte esančios konferencijų salės langus ir toliau pavojingai manevruodamas šalia puolamo objekto, užvažiavo ant </w:t>
      </w:r>
      <w:r w:rsidR="00C943F4">
        <w:rPr>
          <w:rFonts w:cs="Times New Roman"/>
          <w:i/>
          <w:lang w:eastAsia="ar-SA" w:bidi="lt-LT"/>
        </w:rPr>
        <w:t>L. A.</w:t>
      </w:r>
      <w:r w:rsidRPr="00C00255">
        <w:rPr>
          <w:rFonts w:cs="Times New Roman"/>
          <w:i/>
          <w:lang w:eastAsia="ar-SA" w:bidi="lt-LT"/>
        </w:rPr>
        <w:t>, dėl ko pastaroji nuo stipraus dubens ir kojų suspaudimo, sulaužant dubens kaulus ir daugybiniai sužalojant dubens-pilvo apatinės dalies bei kojų minkštuosius audinius, sukėlus labai didelį nukraujavimą iš suplėšytų dubens audinių ir nekompensuojamą trauminį šoką, mirė, t.y. nukentėjusioji buvo tyčia nužudyta.</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Tuo pačiu metu kaltinamojo </w:t>
      </w:r>
      <w:r w:rsidR="004069BF">
        <w:rPr>
          <w:rFonts w:cs="Times New Roman"/>
          <w:i/>
          <w:lang w:eastAsia="ar-SA" w:bidi="lt-LT"/>
        </w:rPr>
        <w:t>N. A.</w:t>
      </w:r>
      <w:r w:rsidRPr="00C00255">
        <w:rPr>
          <w:rFonts w:cs="Times New Roman"/>
          <w:i/>
          <w:lang w:eastAsia="ar-SA" w:bidi="lt-LT"/>
        </w:rPr>
        <w:t xml:space="preserve"> vadovaujamas tankas Nr. 502 užvažiavo ir ant </w:t>
      </w:r>
      <w:r w:rsidR="00C943F4">
        <w:rPr>
          <w:rFonts w:cs="Times New Roman"/>
          <w:i/>
          <w:lang w:eastAsia="ar-SA" w:bidi="lt-LT"/>
        </w:rPr>
        <w:t>L. T. (Š)</w:t>
      </w:r>
      <w:r w:rsidRPr="00C00255">
        <w:rPr>
          <w:rFonts w:cs="Times New Roman"/>
          <w:i/>
          <w:lang w:eastAsia="ar-SA" w:bidi="lt-LT"/>
        </w:rPr>
        <w:t xml:space="preserve">, </w:t>
      </w:r>
      <w:r w:rsidR="00C943F4">
        <w:rPr>
          <w:rFonts w:cs="Times New Roman"/>
          <w:i/>
          <w:lang w:eastAsia="ar-SA" w:bidi="lt-LT"/>
        </w:rPr>
        <w:t>A. M. P</w:t>
      </w:r>
      <w:r w:rsidRPr="00C00255">
        <w:rPr>
          <w:rFonts w:cs="Times New Roman"/>
          <w:i/>
          <w:lang w:eastAsia="ar-SA" w:bidi="lt-LT"/>
        </w:rPr>
        <w:t xml:space="preserve"> ir </w:t>
      </w:r>
      <w:r w:rsidR="00C943F4">
        <w:rPr>
          <w:rFonts w:cs="Times New Roman"/>
          <w:i/>
          <w:lang w:eastAsia="ar-SA" w:bidi="lt-LT"/>
        </w:rPr>
        <w:t>A. S.</w:t>
      </w:r>
      <w:r w:rsidRPr="00C00255">
        <w:rPr>
          <w:rFonts w:cs="Times New Roman"/>
          <w:i/>
          <w:lang w:eastAsia="ar-SA" w:bidi="lt-LT"/>
        </w:rPr>
        <w:t>, dėl ko pastariesiems buvo padaryti tyčiniai sunkūs</w:t>
      </w:r>
      <w:r w:rsidR="008C57FD" w:rsidRPr="00C00255">
        <w:rPr>
          <w:rFonts w:cs="Times New Roman"/>
          <w:i/>
          <w:lang w:eastAsia="ar-SA" w:bidi="lt-LT"/>
        </w:rPr>
        <w:t xml:space="preserve"> sveikatos </w:t>
      </w:r>
      <w:r w:rsidR="008C57FD" w:rsidRPr="00C00255">
        <w:rPr>
          <w:rFonts w:cs="Times New Roman"/>
          <w:i/>
          <w:lang w:eastAsia="ar-SA" w:bidi="lt-LT"/>
        </w:rPr>
        <w:lastRenderedPageBreak/>
        <w:t xml:space="preserve">sutrikdymai: </w:t>
      </w:r>
      <w:r w:rsidR="00C943F4">
        <w:rPr>
          <w:rFonts w:cs="Times New Roman"/>
          <w:i/>
          <w:lang w:eastAsia="ar-SA" w:bidi="lt-LT"/>
        </w:rPr>
        <w:t>L. T. (Š)</w:t>
      </w:r>
      <w:r w:rsidRPr="00C00255">
        <w:rPr>
          <w:rFonts w:cs="Times New Roman"/>
          <w:i/>
          <w:lang w:eastAsia="ar-SA" w:bidi="lt-LT"/>
        </w:rPr>
        <w:t xml:space="preserve"> – atviras dešinio šlaunikaulio lūžimas, traiškytos dešinės šlaunies ir dešinės blauzdos žaizdos, kairės šlaunies ir kairės blauzdos minkštų audinių suspaudimas; </w:t>
      </w:r>
      <w:r w:rsidR="00C943F4">
        <w:rPr>
          <w:rFonts w:cs="Times New Roman"/>
          <w:i/>
          <w:lang w:eastAsia="ar-SA" w:bidi="lt-LT"/>
        </w:rPr>
        <w:t>A. M. P.</w:t>
      </w:r>
      <w:r w:rsidRPr="00C00255">
        <w:rPr>
          <w:rFonts w:cs="Times New Roman"/>
          <w:i/>
          <w:lang w:eastAsia="ar-SA" w:bidi="lt-LT"/>
        </w:rPr>
        <w:t xml:space="preserve"> – plėštinės žaizdos kairėje blauzdoje su skeveldriniu atviru blauzdikaulio ir dvigubu atviru šeivikaulio lūžiais ir plačios daugybinės poodinės kraujosruvos dešinėje blauzdoje ir šlaunyje, </w:t>
      </w:r>
      <w:r w:rsidR="00C943F4">
        <w:rPr>
          <w:rFonts w:cs="Times New Roman"/>
          <w:i/>
          <w:lang w:eastAsia="ar-SA" w:bidi="lt-LT"/>
        </w:rPr>
        <w:t>A. S.</w:t>
      </w:r>
      <w:r w:rsidRPr="00C00255">
        <w:rPr>
          <w:rFonts w:cs="Times New Roman"/>
          <w:i/>
          <w:lang w:eastAsia="ar-SA" w:bidi="lt-LT"/>
        </w:rPr>
        <w:t xml:space="preserve"> – daugybinės plėštinės-traiškytos žaizdos abiejų kojų blauzdose su atvirais kairio blauzdikaulio ir šeivikaulio vamzdinių dalių bei uždaru dešinio šeivikaulio viršutinio galo lūžiais.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Atsitraukus nuo puolamo objekto iš tanko buvo leidžiamos dūminės užsklandos, karinės technikos šviesos prietaisais šviečiama į civilius, užimamą objektą ir aplink esančius pastatus, taip civiliai buvo bauginami bei terorizuojami.</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Kaltinamojo </w:t>
      </w:r>
      <w:r w:rsidR="00BA18FA">
        <w:rPr>
          <w:rFonts w:cs="Times New Roman"/>
          <w:i/>
          <w:lang w:eastAsia="ar-SA" w:bidi="lt-LT"/>
        </w:rPr>
        <w:t>J. M.</w:t>
      </w:r>
      <w:r w:rsidRPr="00C00255">
        <w:rPr>
          <w:rFonts w:cs="Times New Roman"/>
          <w:i/>
          <w:lang w:eastAsia="ar-SA" w:bidi="lt-LT"/>
        </w:rPr>
        <w:t xml:space="preserve"> vadovaujamas tankas, borto Nr. 544, kurio ekipaže buvo taikytojas kaltinamasis </w:t>
      </w:r>
      <w:r w:rsidR="00A97F74">
        <w:rPr>
          <w:rFonts w:cs="Times New Roman"/>
          <w:i/>
          <w:lang w:eastAsia="ar-SA" w:bidi="lt-LT"/>
        </w:rPr>
        <w:t>D. B.</w:t>
      </w:r>
      <w:r w:rsidRPr="00C00255">
        <w:rPr>
          <w:rFonts w:cs="Times New Roman"/>
          <w:i/>
          <w:lang w:eastAsia="ar-SA" w:bidi="lt-LT"/>
        </w:rPr>
        <w:t xml:space="preserve">, mechanikas-vairuotojas </w:t>
      </w:r>
      <w:r w:rsidR="00C943F4">
        <w:rPr>
          <w:rFonts w:cs="Times New Roman"/>
          <w:i/>
          <w:lang w:eastAsia="ar-SA" w:bidi="lt-LT"/>
        </w:rPr>
        <w:t>S. D.</w:t>
      </w:r>
      <w:r w:rsidRPr="00C00255">
        <w:rPr>
          <w:rFonts w:cs="Times New Roman"/>
          <w:i/>
          <w:lang w:eastAsia="ar-SA" w:bidi="lt-LT"/>
        </w:rPr>
        <w:t xml:space="preserve"> (jo atžvilgiu baudžiamasis persekiojimas už nusikaltimus žmoniškumui ir karo nusikaltimus nevykdomas), išlaužęs vakarų pusėje TV bokšto teritoriją juosiančią tvorą ir pavojingai manevruodamas tarp ten esančių civilių, įvažiavo į teritoriją, kur ne mažiau kaip tris kartus iššovė iš pabūklo tuščiais užtaisais, leido dūmines užsklandas.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Išlaužus TV bokšto rytinėje bei pietrytinėje pusėse esančios tvoros dalis, į užimamo objekto teritoriją įvažiavo likusi kolonos dalis: BMD, kurių borto Nr. 281, 295, 283, 284, 286, 289, 291, 292, 294, 296, 242, 243, 246, 247, 248, 258 ir 259, viena BMD KŠM, kurios borto Nr. 600, du automobiliai URAL, skirti kariams pervežti, kurių vieno k/n 23-04 OF, du automobiliai ZIL-131, kurių vieno k/n 23-30 OF ir kuris buvo skirtas techniniam aptarnavimui, viena BTR-D, kurios borto numeris 670 ir BRDM.</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Tarptautinės humanitarinės teisės draudžiamos karo atakos metu, vienam iš keturių tankų T-72 iššovus iš tanko pabūklo išmušamuoju garsiniu</w:t>
      </w:r>
      <w:r w:rsidR="008C57FD" w:rsidRPr="00C00255">
        <w:rPr>
          <w:rFonts w:cs="Times New Roman"/>
          <w:i/>
          <w:lang w:eastAsia="ar-SA" w:bidi="lt-LT"/>
        </w:rPr>
        <w:t xml:space="preserve"> užtaisu ir nuo šūvio bangos </w:t>
      </w:r>
      <w:r w:rsidR="004472EE">
        <w:rPr>
          <w:rFonts w:cs="Times New Roman"/>
          <w:i/>
          <w:lang w:eastAsia="ar-SA" w:bidi="lt-LT"/>
        </w:rPr>
        <w:t>R. J.</w:t>
      </w:r>
      <w:r w:rsidRPr="00C00255">
        <w:rPr>
          <w:rFonts w:cs="Times New Roman"/>
          <w:i/>
          <w:lang w:eastAsia="ar-SA" w:bidi="lt-LT"/>
        </w:rPr>
        <w:t xml:space="preserve"> nugriuvus ant žemės, jį pervažiavo TV bokšto teritorijoje pavojingai manevravusi vikšrinė karinė technika, dėl ko pastarasis nuo stipraus kūno suspaudimo tarp kietų bukų daiktų, daugybinių kaukolės ir kitų skeleto kaulų lūžimų, vidaus organų plyšimų, ūmaus nukraujavimo į pilvo ir krūtinės ertmes mirė, t. y. nukentėjusysis buvo tyčia nužudytas.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 xml:space="preserve">Tęsdami 107-osios motorizuotų šaulių divizijos 77-ojo motorizuotų šaulių pulko ir 106-ojo tankų pulko pradėtą tarptautinės humanitarinės teisės draudžiamą karo ataką, kariškiai iš 234-ojo pulko 2-ojo bataliono 4-osios ir 5-osios kuopų, 3-ojo bataliono 8-osios ir 9-osios kuopų bei 3-ojo savaeigės artilerijos diviziono 3-iosios savaeigės artilerijos baterijos, priklausantys 76-osios oro desanto divizijos jungtiniam kariniam vienetui, pasidalinę į dvi dalis </w:t>
      </w:r>
      <w:r w:rsidRPr="00C00255">
        <w:rPr>
          <w:rStyle w:val="Numatytasispastraiposriftas1"/>
          <w:rFonts w:cs="Times New Roman"/>
          <w:i/>
          <w:u w:val="single"/>
          <w:lang w:eastAsia="ar-SA" w:bidi="lt-LT"/>
        </w:rPr>
        <w:t xml:space="preserve">puolė </w:t>
      </w:r>
      <w:r w:rsidRPr="00C00255">
        <w:rPr>
          <w:rStyle w:val="Numatytasispastraiposriftas1"/>
          <w:rFonts w:cs="Times New Roman"/>
          <w:i/>
          <w:lang w:eastAsia="ar-SA" w:bidi="lt-LT"/>
        </w:rPr>
        <w:t>TV bokštą:</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aštuoniasdešimt penki kariškiai iš 234-ojo pulko 2-ojo bataliono 4-osios ir 5-osios kuopų bei 3-ojo savaeigės artilerijos diviziono 3-iosios savaeigės baterijos, vadovaujami kaltinamojo </w:t>
      </w:r>
      <w:r w:rsidR="006036E7">
        <w:rPr>
          <w:rFonts w:cs="Times New Roman"/>
          <w:i/>
          <w:lang w:eastAsia="ar-SA" w:bidi="lt-LT"/>
        </w:rPr>
        <w:t>A. L.</w:t>
      </w:r>
      <w:r w:rsidRPr="00C00255">
        <w:rPr>
          <w:rFonts w:cs="Times New Roman"/>
          <w:i/>
          <w:lang w:eastAsia="ar-SA" w:bidi="lt-LT"/>
        </w:rPr>
        <w:t xml:space="preserve"> ir kitų kariškių, iki puolamo objekto brovėsi i</w:t>
      </w:r>
      <w:r w:rsidR="004472EE">
        <w:rPr>
          <w:rFonts w:cs="Times New Roman"/>
          <w:i/>
          <w:lang w:eastAsia="ar-SA" w:bidi="lt-LT"/>
        </w:rPr>
        <w:t>š pietinės pusės ir kartu su TV </w:t>
      </w:r>
      <w:r w:rsidRPr="00C00255">
        <w:rPr>
          <w:rFonts w:cs="Times New Roman"/>
          <w:i/>
          <w:lang w:eastAsia="ar-SA" w:bidi="lt-LT"/>
        </w:rPr>
        <w:t>bokšto teritorijoje pavojingai manevruojančia karine technika šalino civilius iš TV bokšto teritorijos;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aštuoniasdešimt kariškių iš 234-ojo pulko 3-ojo bataliono 8-osios ir 9-osios kuopų, vadovaujami kaltinamųjų </w:t>
      </w:r>
      <w:r w:rsidR="002451F2">
        <w:rPr>
          <w:rFonts w:cs="Times New Roman"/>
          <w:i/>
          <w:lang w:eastAsia="ar-SA" w:bidi="lt-LT"/>
        </w:rPr>
        <w:t>V. D.</w:t>
      </w:r>
      <w:r w:rsidRPr="00C00255">
        <w:rPr>
          <w:rFonts w:cs="Times New Roman"/>
          <w:i/>
          <w:lang w:eastAsia="ar-SA" w:bidi="lt-LT"/>
        </w:rPr>
        <w:t xml:space="preserve">, </w:t>
      </w:r>
      <w:r w:rsidR="006036E7">
        <w:rPr>
          <w:rFonts w:cs="Times New Roman"/>
          <w:i/>
          <w:lang w:eastAsia="ar-SA" w:bidi="lt-LT"/>
        </w:rPr>
        <w:t>S. K.</w:t>
      </w:r>
      <w:r w:rsidRPr="00C00255">
        <w:rPr>
          <w:rFonts w:cs="Times New Roman"/>
          <w:i/>
          <w:lang w:eastAsia="ar-SA" w:bidi="lt-LT"/>
        </w:rPr>
        <w:t xml:space="preserve">, </w:t>
      </w:r>
      <w:r w:rsidR="006036E7">
        <w:rPr>
          <w:rFonts w:cs="Times New Roman"/>
          <w:i/>
          <w:lang w:eastAsia="ar-SA" w:bidi="lt-LT"/>
        </w:rPr>
        <w:t>A. G. 2</w:t>
      </w:r>
      <w:r w:rsidRPr="00C00255">
        <w:rPr>
          <w:rFonts w:cs="Times New Roman"/>
          <w:i/>
          <w:lang w:eastAsia="ar-SA" w:bidi="lt-LT"/>
        </w:rPr>
        <w:t xml:space="preserve">, </w:t>
      </w:r>
      <w:r w:rsidR="006036E7">
        <w:rPr>
          <w:rFonts w:cs="Times New Roman"/>
          <w:i/>
          <w:lang w:eastAsia="ar-SA" w:bidi="lt-LT"/>
        </w:rPr>
        <w:t>V. K. 2</w:t>
      </w:r>
      <w:r w:rsidRPr="00C00255">
        <w:rPr>
          <w:rFonts w:cs="Times New Roman"/>
          <w:i/>
          <w:lang w:eastAsia="ar-SA" w:bidi="lt-LT"/>
        </w:rPr>
        <w:t xml:space="preserve">, </w:t>
      </w:r>
      <w:r w:rsidR="006036E7">
        <w:rPr>
          <w:rFonts w:cs="Times New Roman"/>
          <w:i/>
          <w:lang w:eastAsia="ar-SA" w:bidi="lt-LT"/>
        </w:rPr>
        <w:t>E. M.</w:t>
      </w:r>
      <w:r w:rsidRPr="00C00255">
        <w:rPr>
          <w:rFonts w:cs="Times New Roman"/>
          <w:i/>
          <w:lang w:eastAsia="ar-SA" w:bidi="lt-LT"/>
        </w:rPr>
        <w:t xml:space="preserve"> ir kitų karininkų, iki puolamo objekto brovėsi iš šiaurinės pusės ir kartu su TV bokšto teritorijoje pavojingai manevruojančia karine technika šalino civilius iš TV bokšto teritorijos;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septyniolika 8-os kuopos kariškių, vadovaujami kaltinamojo </w:t>
      </w:r>
      <w:r w:rsidR="006036E7">
        <w:rPr>
          <w:rFonts w:cs="Times New Roman"/>
          <w:i/>
          <w:lang w:eastAsia="ar-SA" w:bidi="lt-LT"/>
        </w:rPr>
        <w:t>E. M.</w:t>
      </w:r>
      <w:r w:rsidRPr="00C00255">
        <w:rPr>
          <w:rFonts w:cs="Times New Roman"/>
          <w:i/>
          <w:lang w:eastAsia="ar-SA" w:bidi="lt-LT"/>
        </w:rPr>
        <w:t>, užėmė puolamo objekto pirmą aukštą ir iš ten šalino civilius,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dešimt kariškių iš 9-osios kuopos ir minėtos baterijos, vadovaujami kaltinamojo </w:t>
      </w:r>
      <w:r w:rsidR="006036E7">
        <w:rPr>
          <w:rFonts w:cs="Times New Roman"/>
          <w:i/>
          <w:lang w:eastAsia="ar-SA" w:bidi="lt-LT"/>
        </w:rPr>
        <w:t>V. K. 2</w:t>
      </w:r>
      <w:r w:rsidRPr="00C00255">
        <w:rPr>
          <w:rFonts w:cs="Times New Roman"/>
          <w:i/>
          <w:lang w:eastAsia="ar-SA" w:bidi="lt-LT"/>
        </w:rPr>
        <w:t>, TV bokšto 20 aukšte vykdė užduotį atjungti buvusią gaisro gesinimo aparatūrą.</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Kaltinamasis </w:t>
      </w:r>
      <w:r w:rsidR="00385BC9">
        <w:rPr>
          <w:rFonts w:cs="Times New Roman"/>
          <w:i/>
          <w:lang w:eastAsia="ar-SA" w:bidi="lt-LT"/>
        </w:rPr>
        <w:t>V. S. 2</w:t>
      </w:r>
      <w:r w:rsidRPr="00C00255">
        <w:rPr>
          <w:rFonts w:cs="Times New Roman"/>
          <w:i/>
          <w:lang w:eastAsia="ar-SA" w:bidi="lt-LT"/>
        </w:rPr>
        <w:t>, kartu su kitais karininkais, vadovaujančiais operacijai (</w:t>
      </w:r>
      <w:r w:rsidR="00C507EF">
        <w:rPr>
          <w:rFonts w:cs="Times New Roman"/>
          <w:i/>
          <w:lang w:eastAsia="ar-SA" w:bidi="lt-LT"/>
        </w:rPr>
        <w:t>I. K.</w:t>
      </w:r>
      <w:r w:rsidR="004472EE">
        <w:rPr>
          <w:rFonts w:cs="Times New Roman"/>
          <w:i/>
          <w:lang w:eastAsia="ar-SA" w:bidi="lt-LT"/>
        </w:rPr>
        <w:t>, B. M.</w:t>
      </w:r>
      <w:r w:rsidRPr="00C00255">
        <w:rPr>
          <w:rFonts w:cs="Times New Roman"/>
          <w:i/>
          <w:lang w:eastAsia="ar-SA" w:bidi="lt-LT"/>
        </w:rPr>
        <w:t xml:space="preserve">) prie TV bokšto šiaurinės dalies atvyko vadovavimo štabo mašina BMD KŠM, </w:t>
      </w:r>
      <w:r w:rsidRPr="00C00255">
        <w:rPr>
          <w:rFonts w:cs="Times New Roman"/>
          <w:i/>
          <w:lang w:eastAsia="ar-SA" w:bidi="lt-LT"/>
        </w:rPr>
        <w:lastRenderedPageBreak/>
        <w:t>kurios borto Nr. 600 ir ryšio priemonėmis įgyvendino jiems pavestas vadovavimo operacijai funkcijas. Ryšių priemonių ir patikimo ryšio veikimą operacijos metu užtikrino kariškiai iš 234-ojo pulko ryšių kuopos.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Grupės „A“ kariškiams vadovavusio ir jų veiksmus koordinavusio kaltinamojo </w:t>
      </w:r>
      <w:r w:rsidR="00385BC9">
        <w:rPr>
          <w:rFonts w:cs="Times New Roman"/>
          <w:i/>
          <w:lang w:eastAsia="ar-SA" w:bidi="lt-LT"/>
        </w:rPr>
        <w:t>M. G.</w:t>
      </w:r>
      <w:r w:rsidRPr="00C00255">
        <w:rPr>
          <w:rFonts w:cs="Times New Roman"/>
          <w:i/>
          <w:lang w:eastAsia="ar-SA" w:bidi="lt-LT"/>
        </w:rPr>
        <w:t xml:space="preserve"> paskirtas atsakingas asmuo, grupės „A“ kariškius padalino į dalis ir paskyrė užduotis: užimti TV bokštą ir patikrinti patalpas, pašalinti ten esančius civilius, atjungti siųstuvus, atjungti kilnojamos televizijos stoties aparatinę, atjungti ryšių aparatinę; atjungti radijo relinės stoties aparatūrą ir užtikrinti atjungtos TV aparatūros ir gaisro gesinimo aparatūros apsaugą.</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Tęsdami nusikalstamą veiką ir vykdydami operacijai vadovavusių aukštesniųjų vadų įsakymus, grupės „A“ kariškiai, kartu su kariškiais iš 234-ojo pulko 2-ojo bataliono 4-osios ir 5-osios kuopų, 3-ojo bataliono 8-osios ir 9-osios kuopų bei 3-ojo savaeigės artilerijos diviziono 3-iosios savaeigės baterijos, išsilaipinę TV bokšto teritorijoje, brovėsi į civilių ginamą objektą ir prieš jį gynusius civilius panaudojo ginklus, kovinius veiksmus: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grupės „A“ kariškiai prieš civilius naudojo granatsvaidžius RGS-50, šviesos ir garso granatas GSZ, specialiąsias priemones – specialius skysčio pistoletus PSŽ;</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- 76-osios oro desanto divizijos jungtinio karinio vieneto kariškiai prieš civilius naudojo imitacines priemones – dūminius užtaisus DM-II, dūmines granatas RDG-2x, šaudė 7,62 mm kalibro SVD šautuvai , o kartu su grupės „A“ kariškiais, šaudydami į civilius ir užimamą pastatą iš 5,45 mm kalibro automatinių ginklų, naudojo tarptautinių sutarčių uždraustas karo priemones – 5,45 mm kalibro šovinius su išcentruota kulka;</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visi kariškiai prieš civilius naudojo tiek garsinius tiek ir kovinius šaudmenis</w:t>
      </w:r>
      <w:r w:rsidR="008434B8" w:rsidRPr="00C00255">
        <w:rPr>
          <w:rFonts w:cs="Times New Roman"/>
          <w:i/>
          <w:lang w:eastAsia="ar-SA" w:bidi="lt-LT"/>
        </w:rPr>
        <w:t xml:space="preserve"> </w:t>
      </w:r>
      <w:r w:rsidRPr="00C00255">
        <w:rPr>
          <w:rFonts w:cs="Times New Roman"/>
          <w:i/>
          <w:lang w:eastAsia="ar-SA" w:bidi="lt-LT"/>
        </w:rPr>
        <w:t>bei artimos kovos veiksmus – stumdydami, smūgiuodami kumščiais, spardydami kojomis ir suduodami nenustatytą skaičių smūgių civiliams ginklais ir kitomis kūno sužalojimams daryti jų pačių pritaikytomis priemonėmis į įvairias kūno dalis,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Grupės „A“ ir 76-osios oro desanto divizijos jungtinio karinio vieneto kariškiai, pasinaudodami bendrai veikusių 106-ojo tankų pulko kariškių tankų šūviais, tankų bei BMD pavojingu manevravimu, prasibrovė iki puolamo objekto, kur kiekvienas padalinys pradėjo įgyvendinti pavestas užduotis.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u w:val="single"/>
          <w:lang w:eastAsia="ar-SA" w:bidi="lt-LT"/>
        </w:rPr>
        <w:t>Puolimo</w:t>
      </w:r>
      <w:r w:rsidRPr="00C00255">
        <w:rPr>
          <w:rStyle w:val="Numatytasispastraiposriftas1"/>
          <w:rFonts w:cs="Times New Roman"/>
          <w:i/>
          <w:lang w:eastAsia="ar-SA" w:bidi="lt-LT"/>
        </w:rPr>
        <w:t xml:space="preserve"> metu nenustatytas grupės „A“ kariškis, tyčia iš automatinio ginklo AKS-74 iššovė seriją šūvių į TV bokštą gynusį ir vandens srovę į puolančius kariškius nukreipusį, </w:t>
      </w:r>
      <w:r w:rsidR="004472EE">
        <w:rPr>
          <w:rStyle w:val="Numatytasispastraiposriftas1"/>
          <w:rFonts w:cs="Times New Roman"/>
          <w:i/>
          <w:lang w:eastAsia="ar-SA" w:bidi="lt-LT"/>
        </w:rPr>
        <w:t>I. Š.</w:t>
      </w:r>
      <w:r w:rsidRPr="00C00255">
        <w:rPr>
          <w:rStyle w:val="Numatytasispastraiposriftas1"/>
          <w:rFonts w:cs="Times New Roman"/>
          <w:i/>
          <w:lang w:eastAsia="ar-SA" w:bidi="lt-LT"/>
        </w:rPr>
        <w:t xml:space="preserve">, o, šiam nugriuvus, automato buože sudavė smūgį į galvą, padarydamas nukentėjusiajam plėštinę žaizdą galvos pakaušio srityje kairėje pusėje, 7 įeinamąsias ir 7 išeinamąsias šautines žaizdas, kraujo išsiliejimą galvos minkštuose audiniuose, smilkinio srityje dešinėje pusėje ir momenėlio – smilkinio – pakaušio srityje kairėje pusėje, kaukolės pamato ir skliauto daugiaskeveldrinius lūžius, kietojo smegenų aptraukalo plyšimą ir kraujo išsiliejimą po juo, totalinį subarachnoidalinį kraujo išsiliejimą, galvos smegenų sumušimą, jų traumatišką sužalojimą ir dalinį pašalinimą, plonojo žarnyno kilpų sužalojimą, kraujo išsiliejimą į kairiojo inksto vartus ir už pilvaplėvės, kairiojo dilbio kaulo daugiaskeveldrinius lūžius, kraujosruvą viršutiniame voke dešinėje pusėje, dėl ko nuo kaukolės pamato ir skliauto daugiaskeveldrinio lūžio, pažeidžiant galvos smegenis, pilvo aklino kulkinio šautinio sužeidimo, pažeidžiant plonojo žarnyno kilpas, krūtinės, rankų ir kojų kiauryminių kulkinių sužeidimų, komplikuotais ūmiu kraujo nutekėjimu, </w:t>
      </w:r>
      <w:r w:rsidR="004472EE">
        <w:rPr>
          <w:rStyle w:val="Numatytasispastraiposriftas1"/>
          <w:rFonts w:cs="Times New Roman"/>
          <w:i/>
          <w:lang w:eastAsia="ar-SA" w:bidi="lt-LT"/>
        </w:rPr>
        <w:t>I. Š.</w:t>
      </w:r>
      <w:r w:rsidRPr="00C00255">
        <w:rPr>
          <w:rStyle w:val="Numatytasispastraiposriftas1"/>
          <w:rFonts w:cs="Times New Roman"/>
          <w:i/>
          <w:lang w:eastAsia="ar-SA" w:bidi="lt-LT"/>
        </w:rPr>
        <w:t xml:space="preserve"> mirė, t. y. jį taip tyčia nužudė.</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Grupės „A“ kariškiams braunantis laiptais, vienas iš jų tyčia, automato buože smūgiavo į galvą ir kitas kūno vietas nukentėjusiajam </w:t>
      </w:r>
      <w:r w:rsidR="004472EE">
        <w:rPr>
          <w:rFonts w:cs="Times New Roman"/>
          <w:i/>
          <w:lang w:eastAsia="ar-SA" w:bidi="lt-LT"/>
        </w:rPr>
        <w:t>J. G.</w:t>
      </w:r>
      <w:r w:rsidRPr="00C00255">
        <w:rPr>
          <w:rFonts w:cs="Times New Roman"/>
          <w:i/>
          <w:lang w:eastAsia="ar-SA" w:bidi="lt-LT"/>
        </w:rPr>
        <w:t>, tuo padarydamas muštinę žaizdą kaktos dešinėje pusėje su galvos smegenų sumušimu ir kraujo išsiliejimu po jų voratinkliniu dangalu, dešinio inksto sumušimą, ūmų trauminį dešinės vidinės ausies uždegimą, plyšus būgneliui ir abipusį klausos nervų uždegimą,</w:t>
      </w:r>
      <w:r w:rsidR="008434B8" w:rsidRPr="00C00255">
        <w:rPr>
          <w:rFonts w:cs="Times New Roman"/>
          <w:i/>
          <w:lang w:eastAsia="ar-SA" w:bidi="lt-LT"/>
        </w:rPr>
        <w:t xml:space="preserve"> </w:t>
      </w:r>
      <w:r w:rsidRPr="00C00255">
        <w:rPr>
          <w:rFonts w:cs="Times New Roman"/>
          <w:i/>
          <w:lang w:eastAsia="ar-SA" w:bidi="lt-LT"/>
        </w:rPr>
        <w:t xml:space="preserve">sukėlusius sunkią, gyvybei pavojingą šokinę būklę, dėl ko nukentėjusysis tapo II grupės invalidu, netekdamas 30 ir daugiau procentų </w:t>
      </w:r>
      <w:r w:rsidRPr="00C00255">
        <w:rPr>
          <w:rFonts w:cs="Times New Roman"/>
          <w:i/>
          <w:lang w:eastAsia="ar-SA" w:bidi="lt-LT"/>
        </w:rPr>
        <w:lastRenderedPageBreak/>
        <w:t>bendro darbingumo.</w:t>
      </w:r>
    </w:p>
    <w:p w:rsidR="008C57FD" w:rsidRPr="009A296B" w:rsidRDefault="004472EE" w:rsidP="009A296B">
      <w:pPr>
        <w:ind w:left="992" w:firstLine="992"/>
        <w:rPr>
          <w:i/>
        </w:rPr>
      </w:pPr>
      <w:r w:rsidRPr="009A296B">
        <w:rPr>
          <w:rFonts w:eastAsia="Calibri"/>
          <w:i/>
          <w:lang w:eastAsia="ar-SA"/>
        </w:rPr>
        <w:t>A. S.</w:t>
      </w:r>
      <w:r w:rsidR="00742D54" w:rsidRPr="009A296B">
        <w:rPr>
          <w:rFonts w:eastAsia="Calibri"/>
          <w:i/>
          <w:lang w:eastAsia="ar-SA"/>
        </w:rPr>
        <w:t xml:space="preserve"> lydima kariškių grupė, prasibrovė iki trečiojo, vėliau iki aštuntojo aukšto, pašalino iš ten civilius, palikdami sargybą užtikrino išjungtų siųstuvų apsaugą, pro trečio aukšto langus šaudė į TV bokšto teritoriją, šeštame aukšte atjungė kilnojamos televizijos stoties aparatinę.</w:t>
      </w:r>
    </w:p>
    <w:p w:rsidR="008C57FD" w:rsidRPr="009A296B" w:rsidRDefault="00742D54" w:rsidP="009A296B">
      <w:pPr>
        <w:ind w:left="992" w:firstLine="992"/>
        <w:rPr>
          <w:i/>
        </w:rPr>
      </w:pPr>
      <w:r w:rsidRPr="009A296B">
        <w:rPr>
          <w:rFonts w:eastAsia="Calibri"/>
          <w:i/>
          <w:lang w:eastAsia="ar-SA"/>
        </w:rPr>
        <w:t>Keturi grupės „A“ kariškiai, prasibrovę iki antrojo aukšto, atjungė ryšių aparatinę ir pašalino ten buvusius civilius.</w:t>
      </w:r>
      <w:r w:rsidR="008434B8" w:rsidRPr="009A296B">
        <w:rPr>
          <w:rFonts w:eastAsia="Calibri"/>
          <w:i/>
          <w:lang w:eastAsia="ar-SA"/>
        </w:rPr>
        <w:t xml:space="preserve"> </w:t>
      </w:r>
    </w:p>
    <w:p w:rsidR="008C57FD" w:rsidRPr="009A296B" w:rsidRDefault="00742D54" w:rsidP="009A296B">
      <w:pPr>
        <w:ind w:left="992" w:firstLine="992"/>
        <w:rPr>
          <w:rFonts w:eastAsia="Calibri"/>
          <w:i/>
          <w:lang w:eastAsia="ar-SA"/>
        </w:rPr>
      </w:pPr>
      <w:r w:rsidRPr="009A296B">
        <w:rPr>
          <w:rFonts w:eastAsia="Calibri"/>
          <w:i/>
          <w:lang w:eastAsia="ar-SA"/>
        </w:rPr>
        <w:t xml:space="preserve">Šeši grupės „A“ kariškiai, patekę TV bokšto dvidešimt pirmą aukštą, pašalino du civilius ir išstatydami sargybos postus užtikrino apsaugą jau atjungtai radijo relinės stoties aparatūrai. Apie dešimt (10) kariškių iš 234-ojo pulko 9-osios kuopos vadovaujami kaltinamojo </w:t>
      </w:r>
      <w:r w:rsidR="006036E7" w:rsidRPr="009A296B">
        <w:rPr>
          <w:rFonts w:eastAsia="Calibri"/>
          <w:i/>
          <w:lang w:eastAsia="ar-SA"/>
        </w:rPr>
        <w:t>V. K. 2</w:t>
      </w:r>
      <w:r w:rsidRPr="009A296B">
        <w:rPr>
          <w:rFonts w:eastAsia="Calibri"/>
          <w:i/>
          <w:lang w:eastAsia="ar-SA"/>
        </w:rPr>
        <w:t>, patekę į TV bokšto dvidešimtą aukštą, išstatydami sargybos postus, užtikrino ten buvusios gai</w:t>
      </w:r>
      <w:r w:rsidR="008C57FD" w:rsidRPr="009A296B">
        <w:rPr>
          <w:rFonts w:eastAsia="Calibri"/>
          <w:i/>
          <w:lang w:eastAsia="ar-SA"/>
        </w:rPr>
        <w:t>sro gesinimo aparatūros apsaugą.</w:t>
      </w:r>
    </w:p>
    <w:p w:rsidR="008C57FD" w:rsidRPr="009A296B" w:rsidRDefault="00742D54" w:rsidP="009A296B">
      <w:pPr>
        <w:ind w:left="992" w:firstLine="992"/>
        <w:rPr>
          <w:i/>
        </w:rPr>
      </w:pPr>
      <w:r w:rsidRPr="009A296B">
        <w:rPr>
          <w:rFonts w:eastAsia="Calibri"/>
          <w:i/>
          <w:lang w:eastAsia="ar-SA"/>
        </w:rPr>
        <w:t xml:space="preserve">Aštuoniasdešimt penki kariškiai iš 234-ojo pulko 2-ojo bataliono 4-osios ir 5-osios kuopų bei 3-ojo savaeigės artilerijos diviziono 3-iosios savaeigės baterijos, vadovaujami kaltinamųjų </w:t>
      </w:r>
      <w:r w:rsidR="006036E7" w:rsidRPr="009A296B">
        <w:rPr>
          <w:rFonts w:eastAsia="Calibri"/>
          <w:i/>
          <w:lang w:eastAsia="ar-SA"/>
        </w:rPr>
        <w:t>A. Z.</w:t>
      </w:r>
      <w:r w:rsidRPr="009A296B">
        <w:rPr>
          <w:rFonts w:eastAsia="Calibri"/>
          <w:i/>
          <w:lang w:eastAsia="ar-SA"/>
        </w:rPr>
        <w:t xml:space="preserve"> ir </w:t>
      </w:r>
      <w:r w:rsidR="006036E7" w:rsidRPr="009A296B">
        <w:rPr>
          <w:rFonts w:eastAsia="Calibri"/>
          <w:i/>
          <w:lang w:eastAsia="ar-SA"/>
        </w:rPr>
        <w:t>A. L.</w:t>
      </w:r>
      <w:r w:rsidRPr="009A296B">
        <w:rPr>
          <w:rFonts w:eastAsia="Calibri"/>
          <w:i/>
          <w:lang w:eastAsia="ar-SA"/>
        </w:rPr>
        <w:t xml:space="preserve"> ir kitų kariškių, iki puolamo objekto prasibrovė iš pietinės pusės ir veikdami kartu su pavojingai manevruojančiomis BMD, naudodami artimos kovos veiksmus ir mušdami žmones rankomis bei kojomis ir automatų buožėmis, šalino civilius iš TV bokšto teritorijos.</w:t>
      </w:r>
    </w:p>
    <w:p w:rsidR="008C57FD" w:rsidRPr="009A296B" w:rsidRDefault="00742D54" w:rsidP="009A296B">
      <w:pPr>
        <w:ind w:left="992" w:firstLine="992"/>
        <w:rPr>
          <w:i/>
        </w:rPr>
      </w:pPr>
      <w:r w:rsidRPr="009A296B">
        <w:rPr>
          <w:rFonts w:eastAsia="Calibri"/>
          <w:i/>
          <w:lang w:eastAsia="ar-SA"/>
        </w:rPr>
        <w:t xml:space="preserve">Tuo metu aštuoniasdešimt (80) kariškių iš 234-ojo pulko 3-ojo bataliono 8-osios ir 9-osios kuopų, vadovaujami kaltinamųjų </w:t>
      </w:r>
      <w:r w:rsidR="002451F2" w:rsidRPr="009A296B">
        <w:rPr>
          <w:rFonts w:eastAsia="Calibri"/>
          <w:i/>
          <w:lang w:eastAsia="ar-SA"/>
        </w:rPr>
        <w:t>V. D.</w:t>
      </w:r>
      <w:r w:rsidRPr="009A296B">
        <w:rPr>
          <w:rFonts w:eastAsia="Calibri"/>
          <w:i/>
          <w:lang w:eastAsia="ar-SA"/>
        </w:rPr>
        <w:t xml:space="preserve">, </w:t>
      </w:r>
      <w:r w:rsidR="006036E7" w:rsidRPr="009A296B">
        <w:rPr>
          <w:rFonts w:eastAsia="Calibri"/>
          <w:i/>
          <w:lang w:eastAsia="ar-SA"/>
        </w:rPr>
        <w:t>S. K.</w:t>
      </w:r>
      <w:r w:rsidRPr="009A296B">
        <w:rPr>
          <w:rFonts w:eastAsia="Calibri"/>
          <w:i/>
          <w:lang w:eastAsia="ar-SA"/>
        </w:rPr>
        <w:t xml:space="preserve">, </w:t>
      </w:r>
      <w:r w:rsidR="006036E7" w:rsidRPr="009A296B">
        <w:rPr>
          <w:rFonts w:eastAsia="Calibri"/>
          <w:i/>
          <w:lang w:eastAsia="ar-SA"/>
        </w:rPr>
        <w:t>A. G. 2</w:t>
      </w:r>
      <w:r w:rsidRPr="009A296B">
        <w:rPr>
          <w:rFonts w:eastAsia="Calibri"/>
          <w:i/>
          <w:lang w:eastAsia="ar-SA"/>
        </w:rPr>
        <w:t xml:space="preserve"> ir kitų karininkų, iki puolamo objekto prasibrovė iš šiaurinės pusės, ir veikdami kartu su pavojingai manevruojančiomis BMD, naudodami artimos kovos veiksmus, mušdami žmones rankomis bei kojomis ir automatų buožėmis, stūmė civilius nuo TV bokšto ir iš jo teritorijos.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Tarptautinės humanitarinės teisės draudžiamos karo atakos metu, puolančiajai tankų, BMD, BTR-D ir kitos karinės technikos kolonai bei kariškiams iš minėtų padalinių bei grupės „A“ šturmuojant TV bokštą, nukreipiančiosios karinės technikos kolonos tankai T-72, kurių borto Nr. 220, 221, 223, tiltu per buvusį Kosmonautų prospektą (dabar Laisvės pr.) privažiavo prie TV bokšto administracinio pastato, kur šaudė iš pabūklų tuščiais užtaisais, leido dūmines užsklandas, karinės technikos šviesos prožektoriais švietė į civilius, užimamą objektą ir aplink esančius gyvenamuosius namus, pavojingai manevruodami, važinėjo prie užimamo objekto administracinio pastato, taip baugindami ir terorizuodami civilius. Vienas iš minėtų tankų užtvėrė privažiavimą prie TV bokšto nuo minėto tilto pusės.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Tęsdami teroro ir bauginimo veiksmus bei vykdydami vadovavimo štabo planą, nenustatyti kariškiai per BRDM garsiakalbius leido garso įrašą, kuriame buvo įrašytas vieno iš LKP/TSKP CK vadovų (</w:t>
      </w:r>
      <w:r w:rsidR="00C507EF">
        <w:rPr>
          <w:rFonts w:cs="Times New Roman"/>
          <w:i/>
          <w:lang w:eastAsia="ar-SA" w:bidi="lt-LT"/>
        </w:rPr>
        <w:t>J. J.</w:t>
      </w:r>
      <w:r w:rsidRPr="00C00255">
        <w:rPr>
          <w:rFonts w:cs="Times New Roman"/>
          <w:i/>
          <w:lang w:eastAsia="ar-SA" w:bidi="lt-LT"/>
        </w:rPr>
        <w:t>) kreipimasis rusų ir lietuvių kalbomis LNGK vardu, kad visą valdžią Lietuvoje perima LNGK, bet koks pasipriešinimas yra beprasmiškas, jis nuves prie brolžudiško karo, civiliams buvo liepiama skirstytis.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Pagal LKP/TSKP nurodymus, autobusu PAZ ir sunkvežimiu, kurių v/n nenustatyti, prie TSRS kariškių tarptautinės humanitarinės teisės draudžiamos karo atakos metu puolamo TV bokšto atvykęs draugovininkų būrys naudojo artimos kovos veiksmus – sudavė civiliams smūgius rankomis ir atsivežtomis priemonėmis, spardė kojomis t. y. civilių atžvilgiu naudojo fizinį smurtą, pavojingą jų gyvybei. Draugovininkai, prasibrovę į TV bokštą, prisijungė prie TSRS karinių struktūrų vykdomos karo atakos ir kartu su kariškiais šalino iš patalpų civilius, užtikrino TV bokšto ir jo teritorijoje esančių pastatų apsaugą nuo civilių.</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Karo atakos prie TV bokšto metu 76-osios oro desanto divizijos ir kitų karinių struktūrų kariškiai, panaudoję šaunamuosius ginklus, specialiąsias priemones ir artimos kovos veiksmus, bendrais veiksmais tyčia nužudė:</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w:t>
      </w:r>
      <w:r w:rsidR="004472EE">
        <w:rPr>
          <w:rFonts w:cs="Times New Roman"/>
          <w:i/>
          <w:lang w:eastAsia="ar-SA" w:bidi="lt-LT"/>
        </w:rPr>
        <w:t>V. D.</w:t>
      </w:r>
      <w:r w:rsidRPr="00C00255">
        <w:rPr>
          <w:rFonts w:cs="Times New Roman"/>
          <w:i/>
          <w:lang w:eastAsia="ar-SA" w:bidi="lt-LT"/>
        </w:rPr>
        <w:t>, kuris mirė šaunamojo ginklo kulkai prasiskverbus į krūtinės ląstą ir akliniu sužeidimu pažeidus plautį bei širdį ir dėl to prasidėjus masyviajam vidiniam kraujavimui;</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lastRenderedPageBreak/>
        <w:t xml:space="preserve">- </w:t>
      </w:r>
      <w:r w:rsidR="004472EE">
        <w:rPr>
          <w:rFonts w:cs="Times New Roman"/>
          <w:i/>
          <w:lang w:eastAsia="ar-SA" w:bidi="lt-LT"/>
        </w:rPr>
        <w:t>D. G.</w:t>
      </w:r>
      <w:r w:rsidRPr="00C00255">
        <w:rPr>
          <w:rFonts w:cs="Times New Roman"/>
          <w:i/>
          <w:lang w:eastAsia="ar-SA" w:bidi="lt-LT"/>
        </w:rPr>
        <w:t>, kuris mirė nuo daugybinių šautinių kūno sužalojimų, pažeidusių jo plaučius, šlaunies arteriją ir veną bei dėl to kilus kraujosruvai;</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w:t>
      </w:r>
      <w:r w:rsidR="004472EE">
        <w:rPr>
          <w:rFonts w:cs="Times New Roman"/>
          <w:i/>
          <w:lang w:eastAsia="ar-SA" w:bidi="lt-LT"/>
        </w:rPr>
        <w:t>R. J.</w:t>
      </w:r>
      <w:r w:rsidRPr="00C00255">
        <w:rPr>
          <w:rFonts w:cs="Times New Roman"/>
          <w:i/>
          <w:lang w:eastAsia="ar-SA" w:bidi="lt-LT"/>
        </w:rPr>
        <w:t>, kuris mirė nuo šautinio kiauryminio dešinės šlaunies sužalojimo su šlaunies arterijų ir venos pažeidimu, įvykus ūmiam masyviam išoriniam nukraujavimui, išsivysčius ūmiai vidaus organų mažakraujystei, sutrikus kraujo krešėjimui;</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w:t>
      </w:r>
      <w:r w:rsidR="004472EE">
        <w:rPr>
          <w:rFonts w:cs="Times New Roman"/>
          <w:i/>
          <w:lang w:eastAsia="ar-SA" w:bidi="lt-LT"/>
        </w:rPr>
        <w:t>V. M.</w:t>
      </w:r>
      <w:r w:rsidRPr="00C00255">
        <w:rPr>
          <w:rFonts w:cs="Times New Roman"/>
          <w:i/>
          <w:lang w:eastAsia="ar-SA" w:bidi="lt-LT"/>
        </w:rPr>
        <w:t>, kuris mirė dėl ūmios anemijos, kuri ištiko dėl kaklo minkštųjų audinių, kairiosios miego arterijos vidinės sienelės bei kairiojo plaučio šautinio sužeidimo;</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w:t>
      </w:r>
      <w:r w:rsidR="004472EE">
        <w:rPr>
          <w:rFonts w:cs="Times New Roman"/>
          <w:i/>
          <w:lang w:eastAsia="ar-SA" w:bidi="lt-LT"/>
        </w:rPr>
        <w:t>T. M.</w:t>
      </w:r>
      <w:r w:rsidRPr="00C00255">
        <w:rPr>
          <w:rFonts w:cs="Times New Roman"/>
          <w:i/>
          <w:lang w:eastAsia="ar-SA" w:bidi="lt-LT"/>
        </w:rPr>
        <w:t>, kuris mirė nuo dvigubo kiaurinio šautinio krūtinės ląstos sužalojimo, sužalojant krūtinkaulį, VIII, IX. X kairės pusės šonkaulius, širdį bei abu plaučius;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A</w:t>
      </w:r>
      <w:r w:rsidR="0093200A">
        <w:rPr>
          <w:rFonts w:cs="Times New Roman"/>
          <w:i/>
          <w:lang w:eastAsia="ar-SA" w:bidi="lt-LT"/>
        </w:rPr>
        <w:t>. </w:t>
      </w:r>
      <w:r w:rsidRPr="00C00255">
        <w:rPr>
          <w:rFonts w:cs="Times New Roman"/>
          <w:i/>
          <w:lang w:eastAsia="ar-SA" w:bidi="lt-LT"/>
        </w:rPr>
        <w:t>J</w:t>
      </w:r>
      <w:r w:rsidR="0093200A">
        <w:rPr>
          <w:rFonts w:cs="Times New Roman"/>
          <w:i/>
          <w:lang w:eastAsia="ar-SA" w:bidi="lt-LT"/>
        </w:rPr>
        <w:t>. </w:t>
      </w:r>
      <w:r w:rsidRPr="00C00255">
        <w:rPr>
          <w:rFonts w:cs="Times New Roman"/>
          <w:i/>
          <w:lang w:eastAsia="ar-SA" w:bidi="lt-LT"/>
        </w:rPr>
        <w:t>P</w:t>
      </w:r>
      <w:r w:rsidR="0093200A">
        <w:rPr>
          <w:rFonts w:cs="Times New Roman"/>
          <w:i/>
          <w:lang w:eastAsia="ar-SA" w:bidi="lt-LT"/>
        </w:rPr>
        <w:t>.</w:t>
      </w:r>
      <w:r w:rsidRPr="00C00255">
        <w:rPr>
          <w:rFonts w:cs="Times New Roman"/>
          <w:i/>
          <w:lang w:eastAsia="ar-SA" w:bidi="lt-LT"/>
        </w:rPr>
        <w:t>, kuris mirė nuo kiaurinio šautinio krūtinės sužalojimo su abiejų plaučių ir širdies stambiųjų kraujagyslių pažeidimais, įvykus ūmiam nukraujavimui;</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w:t>
      </w:r>
      <w:r w:rsidR="004472EE">
        <w:rPr>
          <w:rFonts w:cs="Times New Roman"/>
          <w:i/>
          <w:lang w:eastAsia="ar-SA" w:bidi="lt-LT"/>
        </w:rPr>
        <w:t>V.-J. V.</w:t>
      </w:r>
      <w:r w:rsidRPr="00C00255">
        <w:rPr>
          <w:rFonts w:cs="Times New Roman"/>
          <w:i/>
          <w:lang w:eastAsia="ar-SA" w:bidi="lt-LT"/>
        </w:rPr>
        <w:t>, kuris mirė dėl to, kad po plaučių ir širdies keturių šautinių sužeidimų buvo ūmus nukraujavimas.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 xml:space="preserve">- </w:t>
      </w:r>
      <w:r w:rsidR="004472EE">
        <w:rPr>
          <w:rFonts w:cs="Times New Roman"/>
          <w:i/>
          <w:lang w:eastAsia="ar-SA" w:bidi="lt-LT"/>
        </w:rPr>
        <w:t>V. K.</w:t>
      </w:r>
      <w:r w:rsidRPr="00C00255">
        <w:rPr>
          <w:rFonts w:cs="Times New Roman"/>
          <w:i/>
          <w:lang w:eastAsia="ar-SA" w:bidi="lt-LT"/>
        </w:rPr>
        <w:t>, kuris mirė dėl išplėstinio išmatinio pilvaplėvės uždegimo, žaizdų supūliavimo, stafilokokinio sepsio, gyvybiškai svarbių organų funkcijų išsekimo, kuriuos sukėlė šautinės kiaurinės pilvo kairės pusės ir kairio sėdmens žaizdos su daugybiniais vidaus organų sužalojimais.</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Padarė tyčinius sunkius sveikatos sutrikdymus:</w:t>
      </w:r>
    </w:p>
    <w:p w:rsidR="008C57FD" w:rsidRPr="00C00255" w:rsidRDefault="004472EE" w:rsidP="008C57FD">
      <w:pPr>
        <w:pStyle w:val="Standard"/>
        <w:ind w:left="992" w:firstLine="992"/>
        <w:jc w:val="both"/>
        <w:rPr>
          <w:rFonts w:cs="Times New Roman"/>
          <w:i/>
        </w:rPr>
      </w:pPr>
      <w:r>
        <w:rPr>
          <w:rFonts w:cs="Times New Roman"/>
          <w:i/>
          <w:lang w:eastAsia="lt-LT" w:bidi="lt-LT"/>
        </w:rPr>
        <w:t>M. A.</w:t>
      </w:r>
      <w:r w:rsidR="00742D54" w:rsidRPr="00C00255">
        <w:rPr>
          <w:rFonts w:cs="Times New Roman"/>
          <w:i/>
          <w:lang w:eastAsia="lt-LT" w:bidi="lt-LT"/>
        </w:rPr>
        <w:t>, kuris dėl padaryto abiejų ausų garsą suvokiančios sistemos pakenkimo su bendru klausos netekimu 51,8 proc. prarado didelę dalį – daugiau nei 30 proc. bendro darbingumo;</w:t>
      </w:r>
    </w:p>
    <w:p w:rsidR="008C57FD" w:rsidRPr="00C00255" w:rsidRDefault="004472EE" w:rsidP="008C57FD">
      <w:pPr>
        <w:pStyle w:val="Standard"/>
        <w:ind w:left="992" w:firstLine="992"/>
        <w:jc w:val="both"/>
        <w:rPr>
          <w:rFonts w:cs="Times New Roman"/>
          <w:i/>
        </w:rPr>
      </w:pPr>
      <w:r>
        <w:rPr>
          <w:rFonts w:cs="Times New Roman"/>
          <w:i/>
        </w:rPr>
        <w:t>V. B.</w:t>
      </w:r>
      <w:r w:rsidR="00742D54" w:rsidRPr="00C00255">
        <w:rPr>
          <w:rFonts w:cs="Times New Roman"/>
          <w:i/>
          <w:lang w:eastAsia="ar-SA" w:bidi="lt-LT"/>
        </w:rPr>
        <w:t>, kuriai dėl padarytos akustinės traumos išsivystė kurtumas ir pastaroji neteko 50 proc. bendro pastovaus darbingumo;</w:t>
      </w:r>
    </w:p>
    <w:p w:rsidR="008C57FD" w:rsidRPr="00C00255" w:rsidRDefault="004472EE" w:rsidP="008C57FD">
      <w:pPr>
        <w:pStyle w:val="Standard"/>
        <w:ind w:left="992" w:firstLine="992"/>
        <w:jc w:val="both"/>
        <w:rPr>
          <w:rFonts w:cs="Times New Roman"/>
          <w:i/>
        </w:rPr>
      </w:pPr>
      <w:r>
        <w:rPr>
          <w:rFonts w:cs="Times New Roman"/>
          <w:i/>
          <w:lang w:eastAsia="lt-LT" w:bidi="lt-LT"/>
        </w:rPr>
        <w:t>E. M. (dabar M-T.)</w:t>
      </w:r>
      <w:r w:rsidR="00742D54" w:rsidRPr="00C00255">
        <w:rPr>
          <w:rFonts w:cs="Times New Roman"/>
          <w:i/>
          <w:lang w:eastAsia="lt-LT" w:bidi="lt-LT"/>
        </w:rPr>
        <w:t>, kuri dėl galvos smegenų sukrėtimo su ūmiu trauminiu abipusiu klausos nervų uždegimu, komplikavęsis išreikštu astenovegetaciniu ir vestibuliniu sindromais, antrine traumine epilepsija ir trauminiu apkurtimu dešine bei prikurtimu kaire ausimis tapo nedarbinga – II-os grupės invalide, netekdama 30 ir daugiau proc. bendro darbingumo;</w:t>
      </w:r>
    </w:p>
    <w:p w:rsidR="008C57FD" w:rsidRPr="00C00255" w:rsidRDefault="00D37127" w:rsidP="008C57FD">
      <w:pPr>
        <w:pStyle w:val="Standard"/>
        <w:ind w:left="992" w:firstLine="992"/>
        <w:jc w:val="both"/>
        <w:rPr>
          <w:rFonts w:cs="Times New Roman"/>
          <w:i/>
        </w:rPr>
      </w:pPr>
      <w:r>
        <w:rPr>
          <w:rFonts w:cs="Times New Roman"/>
          <w:i/>
          <w:lang w:eastAsia="ar-SA" w:bidi="lt-LT"/>
        </w:rPr>
        <w:t>A. Š.</w:t>
      </w:r>
      <w:r w:rsidR="00742D54" w:rsidRPr="00C00255">
        <w:rPr>
          <w:rFonts w:cs="Times New Roman"/>
          <w:i/>
          <w:lang w:eastAsia="ar-SA" w:bidi="lt-LT"/>
        </w:rPr>
        <w:t>, kuris dėl akustinės traumos išdavoje išsivysčiusio klausos didelio laipsnio netekimo su kairės ausies kurtumu neteko 30 ir daugiau proc. bendro darbingumo;</w:t>
      </w:r>
    </w:p>
    <w:p w:rsidR="008C57FD" w:rsidRPr="00C00255" w:rsidRDefault="004472EE" w:rsidP="008C57FD">
      <w:pPr>
        <w:pStyle w:val="Standard"/>
        <w:ind w:left="992" w:firstLine="992"/>
        <w:jc w:val="both"/>
        <w:rPr>
          <w:rFonts w:cs="Times New Roman"/>
          <w:i/>
        </w:rPr>
      </w:pPr>
      <w:r>
        <w:rPr>
          <w:rFonts w:cs="Times New Roman"/>
          <w:i/>
          <w:lang w:eastAsia="ar-SA" w:bidi="lt-LT"/>
        </w:rPr>
        <w:t>B. M. (dabar S.)</w:t>
      </w:r>
      <w:r w:rsidR="00742D54" w:rsidRPr="00C00255">
        <w:rPr>
          <w:rFonts w:cs="Times New Roman"/>
          <w:i/>
          <w:lang w:eastAsia="ar-SA" w:bidi="lt-LT"/>
        </w:rPr>
        <w:t>, kuri dėl galvos sumušimo su kraujosruvomis veido minkštuose audiniuose, pakaušyje ir akių vokuose, odos nubrozdinimais kaktoje, galvos smegenų sukrėtimu ir kraujo išsiliejimu akių stiklakūniuose (t.y. dėl akių traumos) neteko daugiau kaip 30 proc. bendro darbingumo;</w:t>
      </w:r>
    </w:p>
    <w:p w:rsidR="008C57FD" w:rsidRPr="00C00255" w:rsidRDefault="004472EE" w:rsidP="008C57FD">
      <w:pPr>
        <w:pStyle w:val="Standard"/>
        <w:ind w:left="992" w:firstLine="992"/>
        <w:jc w:val="both"/>
        <w:rPr>
          <w:rFonts w:cs="Times New Roman"/>
          <w:i/>
        </w:rPr>
      </w:pPr>
      <w:r>
        <w:rPr>
          <w:rFonts w:cs="Times New Roman"/>
          <w:i/>
          <w:lang w:eastAsia="lt-LT" w:bidi="lt-LT"/>
        </w:rPr>
        <w:t>L. G.</w:t>
      </w:r>
      <w:r w:rsidR="00742D54" w:rsidRPr="00C00255">
        <w:rPr>
          <w:rFonts w:cs="Times New Roman"/>
          <w:i/>
          <w:lang w:eastAsia="lt-LT" w:bidi="lt-LT"/>
        </w:rPr>
        <w:t>, kuri dėl galvos sumušimo, pasireiškusio muštinėmis kaktos ir viršugalvio kairės pusės žaizdomis ir galvos smegenų sukrėtimu, ir akustinės traumos, sukėlusios abipusį klausos nervų uždegimą, tapo II-os grupės invalide, netekdama daugiau kaip trečdalio bendro darbingumo;</w:t>
      </w:r>
    </w:p>
    <w:p w:rsidR="008C57FD" w:rsidRPr="00C00255" w:rsidRDefault="004472EE" w:rsidP="008C57FD">
      <w:pPr>
        <w:pStyle w:val="Standard"/>
        <w:ind w:left="992" w:firstLine="992"/>
        <w:jc w:val="both"/>
        <w:rPr>
          <w:rFonts w:cs="Times New Roman"/>
          <w:i/>
        </w:rPr>
      </w:pPr>
      <w:r>
        <w:rPr>
          <w:rFonts w:cs="Times New Roman"/>
          <w:i/>
          <w:lang w:eastAsia="ar-SA" w:bidi="lt-LT"/>
        </w:rPr>
        <w:t>R. G.</w:t>
      </w:r>
      <w:r w:rsidR="00742D54" w:rsidRPr="00C00255">
        <w:rPr>
          <w:rFonts w:cs="Times New Roman"/>
          <w:i/>
          <w:lang w:eastAsia="ar-SA" w:bidi="lt-LT"/>
        </w:rPr>
        <w:t>, kuris dėl kiaurinio šautinio kairės šlaunies ir aklo šautinio dešinės šlaunies sužalojimo, sukėlusiu dalinį kairės kojos paralyžių su kojos funkcijos apribojimu, tapo II-os grupės invalidu, netekdamas 30 ir daugiau proc. bendro darbingumo;</w:t>
      </w:r>
    </w:p>
    <w:p w:rsidR="008C57FD" w:rsidRPr="00C00255" w:rsidRDefault="004472EE" w:rsidP="008C57FD">
      <w:pPr>
        <w:pStyle w:val="Standard"/>
        <w:ind w:left="992" w:firstLine="992"/>
        <w:jc w:val="both"/>
        <w:rPr>
          <w:rFonts w:cs="Times New Roman"/>
          <w:i/>
        </w:rPr>
      </w:pPr>
      <w:r>
        <w:rPr>
          <w:rFonts w:cs="Times New Roman"/>
          <w:i/>
          <w:lang w:eastAsia="ar-SA" w:bidi="lt-LT"/>
        </w:rPr>
        <w:t>Č. K.</w:t>
      </w:r>
      <w:r w:rsidR="00742D54" w:rsidRPr="00C00255">
        <w:rPr>
          <w:rFonts w:cs="Times New Roman"/>
          <w:i/>
          <w:lang w:eastAsia="ar-SA" w:bidi="lt-LT"/>
        </w:rPr>
        <w:t>, kuriam padarė kiaurinį šautinį kairės blauzdos apatinio trečdalio sužalojimą su atvirais skeveldriniais kairio blauzdikaulio ir šeivikaulio lūžiais;</w:t>
      </w:r>
    </w:p>
    <w:p w:rsidR="008C57FD" w:rsidRPr="00C00255" w:rsidRDefault="004472EE" w:rsidP="008C57FD">
      <w:pPr>
        <w:pStyle w:val="Standard"/>
        <w:ind w:left="992" w:firstLine="992"/>
        <w:jc w:val="both"/>
        <w:rPr>
          <w:rFonts w:cs="Times New Roman"/>
          <w:i/>
        </w:rPr>
      </w:pPr>
      <w:r>
        <w:rPr>
          <w:rFonts w:cs="Times New Roman"/>
          <w:i/>
          <w:lang w:eastAsia="ar-SA" w:bidi="lt-LT"/>
        </w:rPr>
        <w:t>O. V. R.</w:t>
      </w:r>
      <w:r w:rsidR="00742D54" w:rsidRPr="00C00255">
        <w:rPr>
          <w:rFonts w:cs="Times New Roman"/>
          <w:i/>
          <w:lang w:eastAsia="ar-SA" w:bidi="lt-LT"/>
        </w:rPr>
        <w:t>, kuri dėl poodinės kraujosruvos galvoje, galvos smegenų sumušimo, abipusio klausos nervų uždegimo, dešinio peties sąnario trauminio uždegimo su dešinės rankos žasto nervinio pluošto uždegimu, ir galvos smegenų traumos, dėl ko išsivystė vestibulinis astenodepresinis stresinis sindromas, tapo II-os grupės invalide;</w:t>
      </w:r>
    </w:p>
    <w:p w:rsidR="008C57FD" w:rsidRPr="00C00255" w:rsidRDefault="004472EE" w:rsidP="008C57FD">
      <w:pPr>
        <w:pStyle w:val="Standard"/>
        <w:ind w:left="992" w:firstLine="992"/>
        <w:jc w:val="both"/>
        <w:rPr>
          <w:rFonts w:cs="Times New Roman"/>
          <w:i/>
        </w:rPr>
      </w:pPr>
      <w:r>
        <w:rPr>
          <w:rFonts w:cs="Times New Roman"/>
          <w:i/>
          <w:lang w:eastAsia="ar-SA" w:bidi="lt-LT"/>
        </w:rPr>
        <w:t>A. R.</w:t>
      </w:r>
      <w:r w:rsidR="00742D54" w:rsidRPr="00C00255">
        <w:rPr>
          <w:rFonts w:cs="Times New Roman"/>
          <w:i/>
          <w:lang w:eastAsia="ar-SA" w:bidi="lt-LT"/>
        </w:rPr>
        <w:t xml:space="preserve">, kuriam padarė šautinį kiaurinį dešinės šlaunies sužalojimą su įėjimo anga šlaunies apatinio trečdalio priekinio paviršiaus vidinėje pusėje ir išėjimo anga išoriniame </w:t>
      </w:r>
      <w:r w:rsidR="00742D54" w:rsidRPr="00C00255">
        <w:rPr>
          <w:rFonts w:cs="Times New Roman"/>
          <w:i/>
          <w:lang w:eastAsia="ar-SA" w:bidi="lt-LT"/>
        </w:rPr>
        <w:lastRenderedPageBreak/>
        <w:t>paviršiuje aukščiau įėjimo angos bei įėjimo angašlaunies viršutiniame trečdalyje ties kirkšnimi ir išėjimo anga užpakaliniame paviršiuje ties sėdmenimi, su atviru skeveldriniu tarpgumburiniu dešinio šlaunikaulio lūžiu;</w:t>
      </w:r>
    </w:p>
    <w:p w:rsidR="008C57FD" w:rsidRPr="00C00255" w:rsidRDefault="004472EE" w:rsidP="008C57FD">
      <w:pPr>
        <w:pStyle w:val="Standard"/>
        <w:ind w:left="992" w:firstLine="992"/>
        <w:jc w:val="both"/>
        <w:rPr>
          <w:rFonts w:cs="Times New Roman"/>
          <w:i/>
        </w:rPr>
      </w:pPr>
      <w:r>
        <w:rPr>
          <w:rFonts w:cs="Times New Roman"/>
          <w:i/>
          <w:lang w:eastAsia="ar-SA" w:bidi="lt-LT"/>
        </w:rPr>
        <w:t>A. R.</w:t>
      </w:r>
      <w:r w:rsidR="00742D54" w:rsidRPr="00C00255">
        <w:rPr>
          <w:rFonts w:cs="Times New Roman"/>
          <w:i/>
          <w:lang w:eastAsia="ar-SA" w:bidi="lt-LT"/>
        </w:rPr>
        <w:t xml:space="preserve"> padarė muštines galvos viršugalvio kairės pusės ir pakaušio kairės pusės žaizdas ir atvirą pakauškaulio lūžį su galvos smegenų sumušimu, sukėlusį ūmų kraujavimą iš žaizdų ir trauminį šoką II laipsnio;</w:t>
      </w:r>
    </w:p>
    <w:p w:rsidR="008C57FD" w:rsidRPr="00C00255" w:rsidRDefault="004472EE" w:rsidP="008C57FD">
      <w:pPr>
        <w:pStyle w:val="Standard"/>
        <w:ind w:left="992" w:firstLine="992"/>
        <w:jc w:val="both"/>
        <w:rPr>
          <w:rFonts w:cs="Times New Roman"/>
          <w:i/>
        </w:rPr>
      </w:pPr>
      <w:r>
        <w:rPr>
          <w:rFonts w:cs="Times New Roman"/>
          <w:i/>
          <w:lang w:eastAsia="ar-SA" w:bidi="lt-LT"/>
        </w:rPr>
        <w:t>J. S.</w:t>
      </w:r>
      <w:r w:rsidR="00742D54" w:rsidRPr="00C00255">
        <w:rPr>
          <w:rFonts w:cs="Times New Roman"/>
          <w:i/>
          <w:lang w:eastAsia="ar-SA" w:bidi="lt-LT"/>
        </w:rPr>
        <w:t xml:space="preserve"> padarė kiaurinį šautinį nugaros dešinės pusės sužalojimą, dėl ko įvykus randiniui (fibroziniui) šonkaulio išsigimimui-susiformavo auglys (pašalintas operacijos metu) ir pastarasis tapo II-os grupės invalidu, netekdamas 30 ir daugiau proc. bendro darbingumo;</w:t>
      </w:r>
    </w:p>
    <w:p w:rsidR="008C57FD" w:rsidRPr="00C00255" w:rsidRDefault="004472EE" w:rsidP="008C57FD">
      <w:pPr>
        <w:pStyle w:val="Standard"/>
        <w:ind w:left="992" w:firstLine="992"/>
        <w:jc w:val="both"/>
        <w:rPr>
          <w:rFonts w:cs="Times New Roman"/>
          <w:i/>
        </w:rPr>
      </w:pPr>
      <w:r>
        <w:rPr>
          <w:rFonts w:cs="Times New Roman"/>
          <w:i/>
          <w:lang w:eastAsia="ar-SA" w:bidi="lt-LT"/>
        </w:rPr>
        <w:t>E. S.</w:t>
      </w:r>
      <w:r w:rsidR="00742D54" w:rsidRPr="00C00255">
        <w:rPr>
          <w:rFonts w:cs="Times New Roman"/>
          <w:i/>
          <w:lang w:eastAsia="ar-SA" w:bidi="lt-LT"/>
        </w:rPr>
        <w:t>, kuris dėl padaryto kiaurinio šautinio kairės šlaunies viršutinio trečdalio ir kairio sėdmens sužalojimo su kairio sėdimojo nervo pakenkimu ir šlaunies raumenų atrofija neteko 30 ir daugiau proc. bendro darbingumo;</w:t>
      </w:r>
    </w:p>
    <w:p w:rsidR="008C57FD" w:rsidRPr="00C00255" w:rsidRDefault="004472EE" w:rsidP="008C57FD">
      <w:pPr>
        <w:pStyle w:val="Standard"/>
        <w:ind w:left="992" w:firstLine="992"/>
        <w:jc w:val="both"/>
        <w:rPr>
          <w:rFonts w:cs="Times New Roman"/>
          <w:i/>
        </w:rPr>
      </w:pPr>
      <w:r>
        <w:rPr>
          <w:rFonts w:cs="Times New Roman"/>
          <w:i/>
          <w:lang w:eastAsia="ar-SA" w:bidi="lt-LT"/>
        </w:rPr>
        <w:t>A. Š.</w:t>
      </w:r>
      <w:r w:rsidR="00742D54" w:rsidRPr="00C00255">
        <w:rPr>
          <w:rFonts w:cs="Times New Roman"/>
          <w:i/>
          <w:lang w:eastAsia="ar-SA" w:bidi="lt-LT"/>
        </w:rPr>
        <w:t xml:space="preserve"> padarė kiaurinį šautinį kairio alkūnės sąnario sužalojimą, kiauryminę muštą-plėštą kairio pašonkaulio žaizdą, kairio X šonkaulio atvirą lūžimą ir kairio inksto plyšimą;</w:t>
      </w:r>
    </w:p>
    <w:p w:rsidR="008C57FD" w:rsidRPr="00C00255" w:rsidRDefault="004472EE" w:rsidP="008C57FD">
      <w:pPr>
        <w:pStyle w:val="Standard"/>
        <w:ind w:left="992" w:firstLine="992"/>
        <w:jc w:val="both"/>
        <w:rPr>
          <w:rFonts w:cs="Times New Roman"/>
          <w:i/>
        </w:rPr>
      </w:pPr>
      <w:r>
        <w:rPr>
          <w:rFonts w:cs="Times New Roman"/>
          <w:i/>
          <w:lang w:eastAsia="ar-SA" w:bidi="lt-LT"/>
        </w:rPr>
        <w:t>V. Š.</w:t>
      </w:r>
      <w:r w:rsidR="00742D54" w:rsidRPr="00C00255">
        <w:rPr>
          <w:rFonts w:cs="Times New Roman"/>
          <w:i/>
          <w:lang w:eastAsia="ar-SA" w:bidi="lt-LT"/>
        </w:rPr>
        <w:t>, kuris dėl šautinio kiaurinio burnos sužalojimo su kiaurine žaizda viršutinės lūpos dešinėje pusėje, skeveldriniu dešiniu viršutinio žandikaulio vainikinio krašto lūžiu ir šešių dantų išmušimu bei plėštinėmis žaizdomis burnos prieangyje ir liežuvyje, komplikavusis pastovia trišakio ir liežuvinio ryklės nervų neuralgija, neteko 30 ir daugiau proc. bendro darbingumo;</w:t>
      </w:r>
    </w:p>
    <w:p w:rsidR="008C57FD" w:rsidRPr="00C00255" w:rsidRDefault="004472EE" w:rsidP="008C57FD">
      <w:pPr>
        <w:pStyle w:val="Standard"/>
        <w:ind w:left="992" w:firstLine="992"/>
        <w:jc w:val="both"/>
        <w:rPr>
          <w:rFonts w:cs="Times New Roman"/>
          <w:i/>
        </w:rPr>
      </w:pPr>
      <w:r>
        <w:rPr>
          <w:rFonts w:cs="Times New Roman"/>
          <w:i/>
          <w:lang w:eastAsia="ar-SA" w:bidi="lt-LT"/>
        </w:rPr>
        <w:t>L. Ž.</w:t>
      </w:r>
      <w:r w:rsidR="00742D54" w:rsidRPr="00C00255">
        <w:rPr>
          <w:rFonts w:cs="Times New Roman"/>
          <w:i/>
          <w:lang w:eastAsia="ar-SA" w:bidi="lt-LT"/>
        </w:rPr>
        <w:t>, kuriam dėl psichinės traumos išsivysčius reaktyvinei būsenai žymiai sutriko psichinė sveikata ir socialinė adaptacija;</w:t>
      </w:r>
    </w:p>
    <w:p w:rsidR="008C57FD" w:rsidRPr="00C00255" w:rsidRDefault="004472EE" w:rsidP="008C57FD">
      <w:pPr>
        <w:pStyle w:val="Standard"/>
        <w:ind w:left="992" w:firstLine="992"/>
        <w:jc w:val="both"/>
        <w:rPr>
          <w:rFonts w:cs="Times New Roman"/>
          <w:i/>
        </w:rPr>
      </w:pPr>
      <w:r>
        <w:rPr>
          <w:rFonts w:cs="Times New Roman"/>
          <w:i/>
          <w:lang w:eastAsia="ar-SA" w:bidi="lt-LT"/>
        </w:rPr>
        <w:t>V. L.</w:t>
      </w:r>
      <w:r w:rsidR="00742D54" w:rsidRPr="00C00255">
        <w:rPr>
          <w:rFonts w:cs="Times New Roman"/>
          <w:i/>
          <w:lang w:eastAsia="ar-SA" w:bidi="lt-LT"/>
        </w:rPr>
        <w:t>, kuriai psichinės sveikatos sutrikimas – ilgalaikis asmenybės pakitimas – sukėlė stabilų asmenybės sutrikimą, prilyginamą ilgai trunkančiai ligai;</w:t>
      </w:r>
    </w:p>
    <w:p w:rsidR="008C57FD" w:rsidRPr="00C00255" w:rsidRDefault="004472EE" w:rsidP="008C57FD">
      <w:pPr>
        <w:pStyle w:val="Standard"/>
        <w:ind w:left="992" w:firstLine="992"/>
        <w:jc w:val="both"/>
        <w:rPr>
          <w:rFonts w:cs="Times New Roman"/>
          <w:i/>
        </w:rPr>
      </w:pPr>
      <w:r>
        <w:rPr>
          <w:rFonts w:cs="Times New Roman"/>
          <w:i/>
          <w:lang w:eastAsia="ar-SA" w:bidi="lt-LT"/>
        </w:rPr>
        <w:t>R. Š.</w:t>
      </w:r>
      <w:r w:rsidR="00742D54" w:rsidRPr="00C00255">
        <w:rPr>
          <w:rFonts w:cs="Times New Roman"/>
          <w:i/>
          <w:lang w:eastAsia="ar-SA" w:bidi="lt-LT"/>
        </w:rPr>
        <w:t>, kuriai padarytas psichikos sveikatos sutrikimas – potrauminio streso sutrikimas, kuris tęsėsi 4 mėnesius ir pilnai sutrikdė tuo laikotarpiu jos darbingumą;</w:t>
      </w:r>
    </w:p>
    <w:p w:rsidR="008C57FD" w:rsidRPr="00C00255" w:rsidRDefault="004472EE" w:rsidP="008C57FD">
      <w:pPr>
        <w:pStyle w:val="Standard"/>
        <w:ind w:left="992" w:firstLine="992"/>
        <w:jc w:val="both"/>
        <w:rPr>
          <w:rFonts w:cs="Times New Roman"/>
          <w:i/>
        </w:rPr>
      </w:pPr>
      <w:r>
        <w:rPr>
          <w:rFonts w:cs="Times New Roman"/>
          <w:i/>
          <w:lang w:eastAsia="ar-SA" w:bidi="lt-LT"/>
        </w:rPr>
        <w:t>E. T.</w:t>
      </w:r>
      <w:r w:rsidR="00742D54" w:rsidRPr="00C00255">
        <w:rPr>
          <w:rFonts w:cs="Times New Roman"/>
          <w:i/>
          <w:lang w:eastAsia="ar-SA" w:bidi="lt-LT"/>
        </w:rPr>
        <w:t>, kuri dėl akustinės traumos – progresavusio abipusio klausos nervų uždegimo su garsą suvokiančios sistemos pakenkimu ir labai didelio laipsnio prikurtimu neteko 30 ir daugiau proc. bendro darbingumo.</w:t>
      </w:r>
      <w:r>
        <w:rPr>
          <w:rFonts w:cs="Times New Roman"/>
          <w:i/>
          <w:lang w:eastAsia="ar-SA" w:bidi="lt-LT"/>
        </w:rPr>
        <w:t xml:space="preserve"> </w:t>
      </w:r>
    </w:p>
    <w:p w:rsidR="008C57FD" w:rsidRPr="00C00255" w:rsidRDefault="00742D54" w:rsidP="008C57FD">
      <w:pPr>
        <w:pStyle w:val="Standard"/>
        <w:ind w:left="992" w:firstLine="992"/>
        <w:jc w:val="both"/>
        <w:rPr>
          <w:rFonts w:cs="Times New Roman"/>
          <w:i/>
        </w:rPr>
      </w:pPr>
      <w:r w:rsidRPr="00C00255">
        <w:rPr>
          <w:rFonts w:cs="Times New Roman"/>
          <w:i/>
          <w:lang w:eastAsia="ar-SA" w:bidi="lt-LT"/>
        </w:rPr>
        <w:t>Karo atakos prie TV bokšto metu dalyvavę visi karinių struktūrų kariškiai bendrais veiksmais užgrobė TV bokštą, o jį gynusiems civiliams padarė šiuos sveikatos sutrikdymus:</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 xml:space="preserve">tyčinius nesunkius sveikatos sutrikdymus dviem šimtams aštuoniasdešimt aštuoniems (288) civiliams: </w:t>
      </w:r>
      <w:r w:rsidR="004E4879">
        <w:rPr>
          <w:rStyle w:val="Numatytasispastraiposriftas1"/>
          <w:rFonts w:cs="Times New Roman"/>
          <w:i/>
          <w:lang w:eastAsia="ar-SA" w:bidi="lt-LT"/>
        </w:rPr>
        <w:t>(duomenys neskelbtini)</w:t>
      </w:r>
      <w:r w:rsidRPr="00C00255">
        <w:rPr>
          <w:rStyle w:val="Numatytasispastraiposriftas1"/>
          <w:rFonts w:cs="Times New Roman"/>
          <w:i/>
          <w:lang w:eastAsia="ar-SA" w:bidi="lt-LT"/>
        </w:rPr>
        <w:t>;</w:t>
      </w:r>
    </w:p>
    <w:p w:rsidR="00742D54" w:rsidRPr="00C00255" w:rsidRDefault="00742D54" w:rsidP="008C57FD">
      <w:pPr>
        <w:pStyle w:val="Standard"/>
        <w:ind w:left="992" w:firstLine="992"/>
        <w:jc w:val="both"/>
        <w:rPr>
          <w:rFonts w:cs="Times New Roman"/>
          <w:i/>
        </w:rPr>
      </w:pPr>
      <w:r w:rsidRPr="00C00255">
        <w:rPr>
          <w:rStyle w:val="Numatytasispastraiposriftas1"/>
          <w:rFonts w:cs="Times New Roman"/>
          <w:i/>
          <w:lang w:eastAsia="ar-SA" w:bidi="lt-LT"/>
        </w:rPr>
        <w:t xml:space="preserve">tyčinius nežymius sveikatos sutrikdymus dviem šimtams penkiasdešimt (250) civilių: </w:t>
      </w:r>
      <w:r w:rsidR="004E4879">
        <w:rPr>
          <w:rStyle w:val="Numatytasispastraiposriftas1"/>
          <w:rFonts w:cs="Times New Roman"/>
          <w:i/>
          <w:lang w:eastAsia="ar-SA" w:bidi="lt-LT"/>
        </w:rPr>
        <w:t>(duomenys neskelbtini)</w:t>
      </w:r>
      <w:r w:rsidRPr="00C00255">
        <w:rPr>
          <w:rStyle w:val="Numatytasispastraiposriftas1"/>
          <w:rFonts w:cs="Times New Roman"/>
          <w:i/>
          <w:lang w:eastAsia="ar-SA" w:bidi="lt-LT"/>
        </w:rPr>
        <w:t>.</w:t>
      </w:r>
    </w:p>
    <w:p w:rsidR="00742D54" w:rsidRPr="00C00255" w:rsidRDefault="008C57FD" w:rsidP="00225B8E">
      <w:pPr>
        <w:pStyle w:val="Standard"/>
        <w:spacing w:before="120" w:after="120"/>
        <w:ind w:firstLine="851"/>
        <w:jc w:val="center"/>
        <w:rPr>
          <w:rFonts w:cs="Times New Roman"/>
          <w:b/>
          <w:bCs/>
          <w:i/>
          <w:color w:val="000000"/>
          <w:lang w:eastAsia="ar-SA" w:bidi="lt-LT"/>
        </w:rPr>
      </w:pPr>
      <w:r w:rsidRPr="00C00255">
        <w:rPr>
          <w:rFonts w:cs="Times New Roman"/>
          <w:b/>
          <w:bCs/>
          <w:i/>
          <w:color w:val="000000"/>
          <w:lang w:eastAsia="ar-SA" w:bidi="lt-LT"/>
        </w:rPr>
        <w:t xml:space="preserve">LIETUVOS RADIJO IR TELEVIZIJOS </w:t>
      </w:r>
      <w:r w:rsidR="00742D54" w:rsidRPr="00C00255">
        <w:rPr>
          <w:rFonts w:cs="Times New Roman"/>
          <w:b/>
          <w:bCs/>
          <w:i/>
          <w:color w:val="000000"/>
          <w:lang w:eastAsia="ar-SA" w:bidi="lt-LT"/>
        </w:rPr>
        <w:t>(LRT) UŽGROBIMAS</w:t>
      </w:r>
    </w:p>
    <w:p w:rsidR="008C57FD" w:rsidRPr="00C00255" w:rsidRDefault="00742D54" w:rsidP="008C57FD">
      <w:pPr>
        <w:pStyle w:val="Standarduser"/>
        <w:tabs>
          <w:tab w:val="left" w:pos="8245"/>
        </w:tabs>
        <w:ind w:left="992" w:firstLine="992"/>
        <w:jc w:val="both"/>
        <w:rPr>
          <w:rFonts w:cs="Times New Roman"/>
          <w:i/>
          <w:color w:val="auto"/>
        </w:rPr>
      </w:pPr>
      <w:r w:rsidRPr="00C00255">
        <w:rPr>
          <w:rStyle w:val="Numatytasispastraiposriftas1"/>
          <w:rFonts w:eastAsia="Calibri" w:cs="Times New Roman"/>
          <w:i/>
          <w:color w:val="auto"/>
          <w:lang w:eastAsia="ar-SA"/>
        </w:rPr>
        <w:t xml:space="preserve">Vadovavimo štabas karo atakose dalyvaujančias karines pajėgas paskirstė į užimtinus objektus, nurodė užduotis, paskyrė kariniams veiksmams vadovaujančius ir už karinių veiksmų koordinavimą atsakingus asmenis, kuriems įsakė informuoti vadovavimo štabą apie karinių operacijų eigą ir rezultatus. Vykdant tarptautinės humanitarinės teisės draudžiamas karo atakas </w:t>
      </w:r>
      <w:r w:rsidRPr="00C00255">
        <w:rPr>
          <w:rStyle w:val="Numatytasispastraiposriftas1"/>
          <w:rFonts w:eastAsia="Calibri" w:cs="Times New Roman"/>
          <w:i/>
          <w:color w:val="auto"/>
          <w:u w:val="single"/>
          <w:lang w:eastAsia="ar-SA"/>
        </w:rPr>
        <w:t>prieš civilius</w:t>
      </w:r>
      <w:r w:rsidRPr="00C00255">
        <w:rPr>
          <w:rStyle w:val="Numatytasispastraiposriftas1"/>
          <w:rFonts w:eastAsia="Calibri" w:cs="Times New Roman"/>
          <w:i/>
          <w:color w:val="auto"/>
          <w:lang w:eastAsia="ar-SA"/>
        </w:rPr>
        <w:t xml:space="preserve">, veiksmų koordinavimas ir vadovavimas LRT </w:t>
      </w:r>
      <w:r w:rsidRPr="00C00255">
        <w:rPr>
          <w:rStyle w:val="Numatytasispastraiposriftas1"/>
          <w:rFonts w:eastAsia="Calibri" w:cs="Times New Roman"/>
          <w:i/>
          <w:color w:val="auto"/>
          <w:u w:val="single"/>
          <w:lang w:eastAsia="ar-SA"/>
        </w:rPr>
        <w:t>puolime</w:t>
      </w:r>
      <w:r w:rsidRPr="00C00255">
        <w:rPr>
          <w:rStyle w:val="Numatytasispastraiposriftas1"/>
          <w:rFonts w:eastAsia="Calibri" w:cs="Times New Roman"/>
          <w:i/>
          <w:color w:val="auto"/>
          <w:lang w:eastAsia="ar-SA"/>
        </w:rPr>
        <w:t xml:space="preserve"> dalyvaujantiems kariniams padaliniams, pavestas 76-osios oro desanto divizijos 234-ojo pulko žvalgybos viršininkui </w:t>
      </w:r>
      <w:r w:rsidR="006036E7">
        <w:rPr>
          <w:rStyle w:val="Numatytasispastraiposriftas1"/>
          <w:rFonts w:eastAsia="Calibri" w:cs="Times New Roman"/>
          <w:i/>
          <w:color w:val="auto"/>
          <w:lang w:eastAsia="ar-SA"/>
        </w:rPr>
        <w:t>S. P.</w:t>
      </w:r>
      <w:r w:rsidRPr="00C00255">
        <w:rPr>
          <w:rStyle w:val="Numatytasispastraiposriftas1"/>
          <w:rFonts w:eastAsia="Calibri" w:cs="Times New Roman"/>
          <w:i/>
          <w:color w:val="auto"/>
          <w:lang w:eastAsia="ar-SA"/>
        </w:rPr>
        <w:t xml:space="preserve">, kuris savo veiksmui, ryšio priemonėmis tiesiogiai derino su 76-osios oro desanto divizijos vado pavaduotoju </w:t>
      </w:r>
      <w:r w:rsidR="00385BC9">
        <w:rPr>
          <w:rStyle w:val="Numatytasispastraiposriftas1"/>
          <w:rFonts w:eastAsia="Calibri" w:cs="Times New Roman"/>
          <w:i/>
          <w:color w:val="auto"/>
          <w:lang w:eastAsia="ar-SA"/>
        </w:rPr>
        <w:t>V. K. 1</w:t>
      </w:r>
      <w:r w:rsidRPr="00C00255">
        <w:rPr>
          <w:rStyle w:val="Numatytasispastraiposriftas1"/>
          <w:rFonts w:eastAsia="Calibri" w:cs="Times New Roman"/>
          <w:i/>
          <w:color w:val="auto"/>
          <w:lang w:eastAsia="ar-SA"/>
        </w:rPr>
        <w:t xml:space="preserve">, esančiu vadovavimo štabe. Atsakingu už šios operacijos įvykdymą buvo paskirtas 76-osios oro desanto divizijos 234-ojo pulko štabo viršininkas </w:t>
      </w:r>
      <w:r w:rsidR="00385BC9">
        <w:rPr>
          <w:rStyle w:val="Numatytasispastraiposriftas1"/>
          <w:rFonts w:eastAsia="Calibri" w:cs="Times New Roman"/>
          <w:i/>
          <w:color w:val="auto"/>
          <w:lang w:eastAsia="ar-SA"/>
        </w:rPr>
        <w:t>G. G.</w:t>
      </w:r>
      <w:r w:rsidRPr="00C00255">
        <w:rPr>
          <w:rStyle w:val="Numatytasispastraiposriftas1"/>
          <w:rFonts w:eastAsia="Calibri" w:cs="Times New Roman"/>
          <w:i/>
          <w:color w:val="auto"/>
          <w:lang w:eastAsia="ar-SA"/>
        </w:rPr>
        <w:t>.</w:t>
      </w:r>
    </w:p>
    <w:p w:rsidR="008C57FD" w:rsidRPr="00C00255" w:rsidRDefault="00742D54" w:rsidP="008C57FD">
      <w:pPr>
        <w:pStyle w:val="Standarduser"/>
        <w:tabs>
          <w:tab w:val="left" w:pos="8245"/>
        </w:tabs>
        <w:ind w:left="992" w:firstLine="992"/>
        <w:jc w:val="both"/>
        <w:rPr>
          <w:rFonts w:cs="Times New Roman"/>
          <w:i/>
          <w:color w:val="auto"/>
        </w:rPr>
      </w:pPr>
      <w:r w:rsidRPr="00C00255">
        <w:rPr>
          <w:rStyle w:val="Numatytasispastraiposriftas1"/>
          <w:rFonts w:eastAsia="Calibri" w:cs="Times New Roman"/>
          <w:i/>
          <w:color w:val="auto"/>
          <w:lang w:eastAsia="ar-SA"/>
        </w:rPr>
        <w:t xml:space="preserve">Pagal vadovavimo štabo suformuotą užduotį prie pastatų susirinkusius civilius, kurie siekė taikiu būdu užkirsti kelią TSRS ir TSKP vykdomai politikai – grąžinti Lietuvą į </w:t>
      </w:r>
      <w:r w:rsidRPr="00C00255">
        <w:rPr>
          <w:rStyle w:val="Numatytasispastraiposriftas1"/>
          <w:rFonts w:eastAsia="Calibri" w:cs="Times New Roman"/>
          <w:i/>
          <w:color w:val="auto"/>
          <w:lang w:eastAsia="ar-SA"/>
        </w:rPr>
        <w:lastRenderedPageBreak/>
        <w:t xml:space="preserve">TSRS sudėtį, buvo numatyta pašalinti panaudojant teroro ir bauginimo priemones, kurias turėjo naudoti visi operacijoje dalyvaujantys padaliniai: motorizuotų šaulių kariškiai prie LRT turėjo atvykti tankais T-72, jais išgriauti užtvaras, šaudyti iš tankų pabūklų į civilių minią tuščiais užtaisais, skleisti dūminę užsklandą, karinės technikos prožektoriais apšviesti civilius, pavojingai manevruojant tankais T-72 važinėti aplink pastatus ir šalinti civilius. Oro desanto, vidaus kariuomenės ir grupės „A“ kariškiai prie LRT turėjo atvykti karine technika BTR, BRDM, URAL, ZIL-131 ir BMD, ja išgriauti užtvaras, pavojingai manevruojant važinėti aplink pastatus ir bauginti civilius, siekiant pašalinti juos iš užimamų objektų teritorijos, prieš civilius naudoti sprogstamuosius įtaisus, specialiąsias ir imitacines priemones, šaudyti garsiniais ir koviniais šoviniais, naudoti artimos kovos veiksmus – stumdyti, smūgiuoti kumščiais, kojomis ir turimais ginklais bei kitomis kūno sužalojimams daryti jų pačių pritaikytomis priemonėmis. Oro desanto padaliniai kartu su vidaus kariuomenės padaliniais turėjo prasibrauti iki užimamo objekto ir padaryti taip vadinamą „koridorių“, kuriuo grupės „A“ kariškiai galėtų patekti į užimamo objekto vidų ir, nusigavus iki studijų, išjungti radijo ir televizijos transliavimą užtikrinančius įrenginius bei nutraukti objekte ruošiamas ir transliuojamas laidas. Jiems iš paskos į užimamo objekto vidų turėjo brautis ir oro desanto bei vidaus kariuomenės padaliniai, kurie turėjo šalinti ten buvusius civilius ir užtikrinti užgrobto objekto apsaugą viduje ir išorėje. LRT </w:t>
      </w:r>
      <w:r w:rsidRPr="00C00255">
        <w:rPr>
          <w:rStyle w:val="Numatytasispastraiposriftas1"/>
          <w:rFonts w:eastAsia="Calibri" w:cs="Times New Roman"/>
          <w:i/>
          <w:color w:val="auto"/>
          <w:u w:val="single"/>
          <w:lang w:eastAsia="ar-SA"/>
        </w:rPr>
        <w:t>puolime</w:t>
      </w:r>
      <w:r w:rsidRPr="00C00255">
        <w:rPr>
          <w:rStyle w:val="Numatytasispastraiposriftas1"/>
          <w:rFonts w:eastAsia="Calibri" w:cs="Times New Roman"/>
          <w:i/>
          <w:color w:val="auto"/>
          <w:lang w:eastAsia="ar-SA"/>
        </w:rPr>
        <w:t xml:space="preserve"> dalyvavo maždaug šimtas trisdešimt aštuoni (138) kariškiai iš 76-osios oro desanto divizijos jungtinio karinio vieneto, dvidešimt penki (25) kariškiai iš grupės „A“, devyni (9) kariškiai iš 107-osios motorizuotų šaulių divizijos ir šešiasdešimt trys (63) kariškiai iš 42-osios divizijos.</w:t>
      </w:r>
    </w:p>
    <w:p w:rsidR="008C57FD" w:rsidRPr="009A296B" w:rsidRDefault="00742D54" w:rsidP="009A296B">
      <w:pPr>
        <w:ind w:left="992" w:firstLine="992"/>
        <w:rPr>
          <w:i/>
        </w:rPr>
      </w:pPr>
      <w:r w:rsidRPr="009A296B">
        <w:rPr>
          <w:rFonts w:eastAsia="Calibri"/>
          <w:i/>
          <w:lang w:eastAsia="ar-SA"/>
        </w:rPr>
        <w:t xml:space="preserve">Įgyvendinant pavestas užduotis, sausio 13 d., apie 2 val., prie LRT, esančios Konarskio g. 49, Vilniuje, pirmi atvyko 25-i grupės „A“ kariškiai, vadovaujami kaltinamojo </w:t>
      </w:r>
      <w:r w:rsidR="00385BC9" w:rsidRPr="009A296B">
        <w:rPr>
          <w:rFonts w:eastAsia="Calibri"/>
          <w:i/>
          <w:lang w:eastAsia="ar-SA"/>
        </w:rPr>
        <w:t>M. G.</w:t>
      </w:r>
      <w:r w:rsidRPr="009A296B">
        <w:rPr>
          <w:rFonts w:eastAsia="Calibri"/>
          <w:i/>
          <w:lang w:eastAsia="ar-SA"/>
        </w:rPr>
        <w:t xml:space="preserve"> paskirto atsakingo asmens – kaltinamojo </w:t>
      </w:r>
      <w:r w:rsidR="00385BC9" w:rsidRPr="009A296B">
        <w:rPr>
          <w:rFonts w:eastAsia="Calibri"/>
          <w:i/>
          <w:lang w:eastAsia="ar-SA"/>
        </w:rPr>
        <w:t>J. Č.</w:t>
      </w:r>
      <w:r w:rsidRPr="009A296B">
        <w:rPr>
          <w:rFonts w:eastAsia="Calibri"/>
          <w:i/>
          <w:lang w:eastAsia="ar-SA"/>
        </w:rPr>
        <w:t xml:space="preserve">, 63-ys 42-osios divizijos kariškiai, vadovaujami kaltinamojo </w:t>
      </w:r>
      <w:r w:rsidR="006036E7" w:rsidRPr="009A296B">
        <w:rPr>
          <w:rFonts w:eastAsia="Calibri"/>
          <w:i/>
          <w:lang w:eastAsia="ar-SA"/>
        </w:rPr>
        <w:t>A. Ž.</w:t>
      </w:r>
      <w:r w:rsidRPr="009A296B">
        <w:rPr>
          <w:rFonts w:eastAsia="Calibri"/>
          <w:i/>
          <w:lang w:eastAsia="ar-SA"/>
        </w:rPr>
        <w:t xml:space="preserve"> paskirtų atsakingų asmenų – divizijos vado pavaduotojo ir konvojaus pulko vado kaltinamojo </w:t>
      </w:r>
      <w:r w:rsidR="00A97F74" w:rsidRPr="009A296B">
        <w:rPr>
          <w:rFonts w:eastAsia="Calibri"/>
          <w:i/>
          <w:lang w:eastAsia="ar-SA"/>
        </w:rPr>
        <w:t>S. F.</w:t>
      </w:r>
      <w:r w:rsidRPr="009A296B">
        <w:rPr>
          <w:rFonts w:eastAsia="Calibri"/>
          <w:i/>
          <w:lang w:eastAsia="ar-SA"/>
        </w:rPr>
        <w:t xml:space="preserve">, 31-as kariškis iš 237-ojo pulko 1-ojo bataliono 1-os ir 2-os kuopų, priklausiusių 76-osios oro desanto divizijos jungtiniam kariniam vienetui, vadovaujami kaltinamųjų </w:t>
      </w:r>
      <w:r w:rsidR="00385BC9" w:rsidRPr="009A296B">
        <w:rPr>
          <w:rFonts w:eastAsia="Calibri"/>
          <w:i/>
          <w:lang w:eastAsia="ar-SA"/>
        </w:rPr>
        <w:t>V. K. 1</w:t>
      </w:r>
      <w:r w:rsidRPr="009A296B">
        <w:rPr>
          <w:rFonts w:eastAsia="Calibri"/>
          <w:i/>
          <w:lang w:eastAsia="ar-SA"/>
        </w:rPr>
        <w:t xml:space="preserve"> ir </w:t>
      </w:r>
      <w:r w:rsidR="006036E7" w:rsidRPr="009A296B">
        <w:rPr>
          <w:rFonts w:eastAsia="Calibri"/>
          <w:i/>
          <w:lang w:eastAsia="ar-SA"/>
        </w:rPr>
        <w:t>S. P.</w:t>
      </w:r>
      <w:r w:rsidRPr="009A296B">
        <w:rPr>
          <w:rFonts w:eastAsia="Calibri"/>
          <w:i/>
          <w:lang w:eastAsia="ar-SA"/>
        </w:rPr>
        <w:t xml:space="preserve"> paskirto atsakingo asmens – kuopos vado kaltinamojo </w:t>
      </w:r>
      <w:r w:rsidR="006036E7" w:rsidRPr="009A296B">
        <w:rPr>
          <w:rFonts w:eastAsia="Calibri"/>
          <w:i/>
          <w:lang w:eastAsia="ar-SA"/>
        </w:rPr>
        <w:t>J. G.</w:t>
      </w:r>
      <w:r w:rsidRPr="009A296B">
        <w:rPr>
          <w:rFonts w:eastAsia="Calibri"/>
          <w:i/>
          <w:lang w:eastAsia="ar-SA"/>
        </w:rPr>
        <w:t>.</w:t>
      </w:r>
    </w:p>
    <w:p w:rsidR="008C57FD" w:rsidRPr="009A296B" w:rsidRDefault="00742D54" w:rsidP="009A296B">
      <w:pPr>
        <w:ind w:left="992" w:firstLine="992"/>
        <w:rPr>
          <w:i/>
        </w:rPr>
      </w:pPr>
      <w:r w:rsidRPr="009A296B">
        <w:rPr>
          <w:rFonts w:eastAsia="Calibri"/>
          <w:i/>
          <w:lang w:eastAsia="ar-SA"/>
        </w:rPr>
        <w:t>Dvidešimt grupės „A“ kariškių atvyko automobiliu ZIL-131, penki grupės „A“ kariškiai atvyko kartu su trisdešimt vienu 76-osios oro desanto divizijos jungtinio karinio vieneto kariškiais URAL automobiliu, k/n 00-65 EF (rusiškos raidės), o 42-osios divizijos kariškiai atvyko vadavietės mašina (toliau - KŠM) GAZ-66, k/n 72-23 KI (rusiškos raidės), šešiais šarvuotais transporteriais (BTR), kurių borto Nr. 225, 243, 239, 604, 602 ir 237, bei kovine žvalgybos ir patruliavimo mašina (BRDM) borto numeris 250. Atvykę kariškiai karinę techniką KŠM, BTR ir BRDM, kaip bauginimo ir teroro priemones prieš civilius ir, kaip užtvarą puolamo objekto atskirti nuo civilių, išrikiavo priešais keturių aukštų LRT Radijo pastatą.</w:t>
      </w:r>
    </w:p>
    <w:p w:rsidR="008C57FD" w:rsidRPr="009A296B" w:rsidRDefault="00742D54" w:rsidP="009A296B">
      <w:pPr>
        <w:ind w:left="992" w:firstLine="992"/>
        <w:rPr>
          <w:i/>
        </w:rPr>
      </w:pPr>
      <w:r w:rsidRPr="009A296B">
        <w:rPr>
          <w:rFonts w:eastAsia="Calibri"/>
          <w:i/>
          <w:lang w:eastAsia="ar-SA"/>
        </w:rPr>
        <w:t xml:space="preserve">Kaltinamasis </w:t>
      </w:r>
      <w:r w:rsidR="00385BC9" w:rsidRPr="009A296B">
        <w:rPr>
          <w:rFonts w:eastAsia="Calibri"/>
          <w:i/>
          <w:lang w:eastAsia="ar-SA"/>
        </w:rPr>
        <w:t>J. Č.</w:t>
      </w:r>
      <w:r w:rsidRPr="009A296B">
        <w:rPr>
          <w:rFonts w:eastAsia="Calibri"/>
          <w:i/>
          <w:lang w:eastAsia="ar-SA"/>
        </w:rPr>
        <w:t xml:space="preserve"> grupės „A“ kariškius padalino į dvi dalis: penki grupės „A“ kariškiai, vadovaujami kaltinamojo paskirto atsakingo asmens, kartu su penkiasdešimt dviem 42-osios divizijos mokomosios specialios paskirties kuopos kariškiais, vadovaujamais konvojaus pulko vado kaltinamojo </w:t>
      </w:r>
      <w:r w:rsidR="00A97F74" w:rsidRPr="009A296B">
        <w:rPr>
          <w:rFonts w:eastAsia="Calibri"/>
          <w:i/>
          <w:lang w:eastAsia="ar-SA"/>
        </w:rPr>
        <w:t>S. F.</w:t>
      </w:r>
      <w:r w:rsidRPr="009A296B">
        <w:rPr>
          <w:rFonts w:eastAsia="Calibri"/>
          <w:i/>
          <w:lang w:eastAsia="ar-SA"/>
        </w:rPr>
        <w:t xml:space="preserve">, mokomosios specialios paskirties kuopos vado </w:t>
      </w:r>
      <w:r w:rsidR="00DC0414" w:rsidRPr="009A296B">
        <w:rPr>
          <w:rFonts w:eastAsia="Calibri"/>
          <w:i/>
          <w:lang w:eastAsia="ar-SA"/>
        </w:rPr>
        <w:t>O. M.</w:t>
      </w:r>
      <w:r w:rsidRPr="009A296B">
        <w:rPr>
          <w:rFonts w:eastAsia="Calibri"/>
          <w:i/>
          <w:lang w:eastAsia="ar-SA"/>
        </w:rPr>
        <w:t>, pavaduot</w:t>
      </w:r>
      <w:r w:rsidR="008C57FD" w:rsidRPr="009A296B">
        <w:rPr>
          <w:rFonts w:eastAsia="Calibri"/>
          <w:i/>
          <w:lang w:eastAsia="ar-SA"/>
        </w:rPr>
        <w:t xml:space="preserve">ojo </w:t>
      </w:r>
      <w:r w:rsidR="00A97F74" w:rsidRPr="009A296B">
        <w:rPr>
          <w:rFonts w:eastAsia="Calibri"/>
          <w:i/>
          <w:lang w:eastAsia="ar-SA"/>
        </w:rPr>
        <w:t>V. M.</w:t>
      </w:r>
      <w:r w:rsidR="008C57FD" w:rsidRPr="009A296B">
        <w:rPr>
          <w:rFonts w:eastAsia="Calibri"/>
          <w:i/>
          <w:lang w:eastAsia="ar-SA"/>
        </w:rPr>
        <w:t xml:space="preserve">, būrių vadų </w:t>
      </w:r>
      <w:r w:rsidR="00DC0414" w:rsidRPr="009A296B">
        <w:rPr>
          <w:rFonts w:eastAsia="Calibri"/>
          <w:i/>
          <w:lang w:eastAsia="ar-SA"/>
        </w:rPr>
        <w:t>M. C.</w:t>
      </w:r>
      <w:r w:rsidRPr="009A296B">
        <w:rPr>
          <w:rFonts w:eastAsia="Calibri"/>
          <w:i/>
          <w:lang w:eastAsia="ar-SA"/>
        </w:rPr>
        <w:t xml:space="preserve"> ir kt. instruktorių </w:t>
      </w:r>
      <w:r w:rsidR="00DC0414" w:rsidRPr="009A296B">
        <w:rPr>
          <w:rFonts w:eastAsia="Calibri"/>
          <w:i/>
          <w:lang w:eastAsia="ar-SA"/>
        </w:rPr>
        <w:t>J. S.</w:t>
      </w:r>
      <w:r w:rsidRPr="009A296B">
        <w:rPr>
          <w:rFonts w:eastAsia="Calibri"/>
          <w:i/>
          <w:lang w:eastAsia="ar-SA"/>
        </w:rPr>
        <w:t xml:space="preserve">. bei už jų veiksmus atsakingu kariškiu ir dvidešimt keturiais kariškiais iš 76-osio oro desanto divizijos jungtinio karinio vieneto, vadovaujamais kaltinamųjų – 237-ojo pulko 1-ojo bataliono 1-os kuopos vado </w:t>
      </w:r>
      <w:r w:rsidR="006036E7" w:rsidRPr="009A296B">
        <w:rPr>
          <w:rFonts w:eastAsia="Calibri"/>
          <w:i/>
          <w:lang w:eastAsia="ar-SA"/>
        </w:rPr>
        <w:t>J. G.</w:t>
      </w:r>
      <w:r w:rsidRPr="009A296B">
        <w:rPr>
          <w:rFonts w:eastAsia="Calibri"/>
          <w:i/>
          <w:lang w:eastAsia="ar-SA"/>
        </w:rPr>
        <w:t xml:space="preserve">, pavaduotojo </w:t>
      </w:r>
      <w:r w:rsidR="006036E7" w:rsidRPr="009A296B">
        <w:rPr>
          <w:rFonts w:eastAsia="Calibri"/>
          <w:i/>
          <w:lang w:eastAsia="ar-SA"/>
        </w:rPr>
        <w:t>I. Š.</w:t>
      </w:r>
      <w:r w:rsidRPr="009A296B">
        <w:rPr>
          <w:rFonts w:eastAsia="Calibri"/>
          <w:i/>
          <w:lang w:eastAsia="ar-SA"/>
        </w:rPr>
        <w:t xml:space="preserve">, būrio vado kaltinamojo </w:t>
      </w:r>
      <w:r w:rsidR="006036E7" w:rsidRPr="009A296B">
        <w:rPr>
          <w:rFonts w:eastAsia="Calibri"/>
          <w:i/>
          <w:lang w:eastAsia="ar-SA"/>
        </w:rPr>
        <w:t>A. F. 1</w:t>
      </w:r>
      <w:r w:rsidRPr="009A296B">
        <w:rPr>
          <w:rFonts w:eastAsia="Calibri"/>
          <w:i/>
          <w:lang w:eastAsia="ar-SA"/>
        </w:rPr>
        <w:t xml:space="preserve">, 2-os kuopos vado </w:t>
      </w:r>
      <w:r w:rsidR="006036E7" w:rsidRPr="009A296B">
        <w:rPr>
          <w:rFonts w:eastAsia="Calibri"/>
          <w:i/>
          <w:lang w:eastAsia="ar-SA"/>
        </w:rPr>
        <w:t>K. U.</w:t>
      </w:r>
      <w:r w:rsidRPr="009A296B">
        <w:rPr>
          <w:rFonts w:eastAsia="Calibri"/>
          <w:i/>
          <w:lang w:eastAsia="ar-SA"/>
        </w:rPr>
        <w:t xml:space="preserve">, jo pavaduotojo </w:t>
      </w:r>
      <w:r w:rsidR="006036E7" w:rsidRPr="009A296B">
        <w:rPr>
          <w:rFonts w:eastAsia="Calibri"/>
          <w:i/>
          <w:lang w:eastAsia="ar-SA"/>
        </w:rPr>
        <w:t>A. F. 2</w:t>
      </w:r>
      <w:r w:rsidRPr="009A296B">
        <w:rPr>
          <w:rFonts w:eastAsia="Calibri"/>
          <w:i/>
          <w:lang w:eastAsia="ar-SA"/>
        </w:rPr>
        <w:t xml:space="preserve">, būrio vado </w:t>
      </w:r>
      <w:r w:rsidR="006036E7" w:rsidRPr="009A296B">
        <w:rPr>
          <w:rFonts w:eastAsia="Calibri"/>
          <w:i/>
          <w:lang w:eastAsia="ar-SA"/>
        </w:rPr>
        <w:t>J. J.</w:t>
      </w:r>
      <w:r w:rsidRPr="009A296B">
        <w:rPr>
          <w:rFonts w:eastAsia="Calibri"/>
          <w:i/>
          <w:lang w:eastAsia="ar-SA"/>
        </w:rPr>
        <w:t>, pulko sl</w:t>
      </w:r>
      <w:r w:rsidR="008C57FD" w:rsidRPr="009A296B">
        <w:rPr>
          <w:rFonts w:eastAsia="Calibri"/>
          <w:i/>
          <w:lang w:eastAsia="ar-SA"/>
        </w:rPr>
        <w:t xml:space="preserve">aptosios tarnybos viršininko </w:t>
      </w:r>
      <w:r w:rsidR="006036E7" w:rsidRPr="009A296B">
        <w:rPr>
          <w:rFonts w:eastAsia="Calibri"/>
          <w:i/>
          <w:lang w:eastAsia="ar-SA"/>
        </w:rPr>
        <w:t>A. I.</w:t>
      </w:r>
      <w:r w:rsidRPr="009A296B">
        <w:rPr>
          <w:rFonts w:eastAsia="Calibri"/>
          <w:i/>
          <w:lang w:eastAsia="ar-SA"/>
        </w:rPr>
        <w:t>, pradėjo LRT Radijo pastate dirbusių ir pastatą gynusių civilių puolimą.</w:t>
      </w:r>
    </w:p>
    <w:p w:rsidR="008C57FD" w:rsidRPr="009A296B" w:rsidRDefault="00742D54" w:rsidP="009A296B">
      <w:pPr>
        <w:ind w:left="992" w:firstLine="992"/>
        <w:rPr>
          <w:i/>
        </w:rPr>
      </w:pPr>
      <w:r w:rsidRPr="009A296B">
        <w:rPr>
          <w:rFonts w:eastAsia="Calibri"/>
          <w:i/>
          <w:lang w:eastAsia="ar-SA"/>
        </w:rPr>
        <w:lastRenderedPageBreak/>
        <w:t>Tarptautinės humanitarinės teisės draudžiamos karo atakos metu vienas iš nenustatytų kariškių, būdamas KŠM, koordinavo ir prižiūrėjo 42-osios divizijos kariškių veiksmus prie LRT, ir ryšio priemonėmis veiksmus derino su operacijai vadovavusiais kaltinamaisiais – S. P</w:t>
      </w:r>
      <w:r w:rsidR="006036E7" w:rsidRPr="009A296B">
        <w:rPr>
          <w:rFonts w:eastAsia="Calibri"/>
          <w:i/>
          <w:lang w:eastAsia="ar-SA"/>
        </w:rPr>
        <w:t>.</w:t>
      </w:r>
      <w:r w:rsidRPr="009A296B">
        <w:rPr>
          <w:rFonts w:eastAsia="Calibri"/>
          <w:i/>
          <w:lang w:eastAsia="ar-SA"/>
        </w:rPr>
        <w:t xml:space="preserve"> ir TSRS VRM Šiaurės vakarų Pabaltijo vidaus kariuomenės valdybos viršininku kaltinamuoju </w:t>
      </w:r>
      <w:r w:rsidR="00385BC9" w:rsidRPr="009A296B">
        <w:rPr>
          <w:rFonts w:eastAsia="Calibri"/>
          <w:i/>
          <w:lang w:eastAsia="ar-SA"/>
        </w:rPr>
        <w:t>V. S. 1</w:t>
      </w:r>
      <w:r w:rsidRPr="009A296B">
        <w:rPr>
          <w:rFonts w:eastAsia="Calibri"/>
          <w:i/>
          <w:lang w:eastAsia="ar-SA"/>
        </w:rPr>
        <w:t>. Ryšių priemonių ir patikimo ryšio veikimą operacijos metu užtikrino ne mažiau kaip keturi kariškiai iš konvojaus pulko ryšių kuopos, vadovaujami 42-osios divizijos konvojaus pulko ryšių tar</w:t>
      </w:r>
      <w:r w:rsidR="008C57FD" w:rsidRPr="009A296B">
        <w:rPr>
          <w:rFonts w:eastAsia="Calibri"/>
          <w:i/>
          <w:lang w:eastAsia="ar-SA"/>
        </w:rPr>
        <w:t xml:space="preserve">nybos viršininko kaltinamojo </w:t>
      </w:r>
      <w:r w:rsidR="00A97F74" w:rsidRPr="009A296B">
        <w:rPr>
          <w:rFonts w:eastAsia="Calibri"/>
          <w:i/>
          <w:lang w:eastAsia="ar-SA"/>
        </w:rPr>
        <w:t>V. Š. 2</w:t>
      </w:r>
      <w:r w:rsidRPr="009A296B">
        <w:rPr>
          <w:rFonts w:eastAsia="Calibri"/>
          <w:i/>
          <w:lang w:eastAsia="ar-SA"/>
        </w:rPr>
        <w:t>.</w:t>
      </w:r>
    </w:p>
    <w:p w:rsidR="008C57FD" w:rsidRPr="00C00255" w:rsidRDefault="00742D54" w:rsidP="008C57FD">
      <w:pPr>
        <w:pStyle w:val="Standarduser"/>
        <w:tabs>
          <w:tab w:val="left" w:pos="8245"/>
        </w:tabs>
        <w:ind w:left="992" w:firstLine="992"/>
        <w:jc w:val="both"/>
        <w:rPr>
          <w:rFonts w:cs="Times New Roman"/>
          <w:i/>
          <w:color w:val="auto"/>
        </w:rPr>
      </w:pPr>
      <w:r w:rsidRPr="00C00255">
        <w:rPr>
          <w:rStyle w:val="Numatytasispastraiposriftas1"/>
          <w:rFonts w:eastAsia="Calibri" w:cs="Times New Roman"/>
          <w:i/>
          <w:color w:val="auto"/>
          <w:lang w:eastAsia="ar-SA"/>
        </w:rPr>
        <w:t xml:space="preserve">Vykdydami ir remdami kitos valstybės TSRS ir organizacijos TSKP politiką </w:t>
      </w:r>
      <w:r w:rsidRPr="00C00255">
        <w:rPr>
          <w:rStyle w:val="Numatytasispastraiposriftas1"/>
          <w:rFonts w:eastAsia="Calibri" w:cs="Times New Roman"/>
          <w:i/>
          <w:color w:val="auto"/>
          <w:u w:val="single"/>
          <w:lang w:eastAsia="ar-SA"/>
        </w:rPr>
        <w:t>dideliu mastu ir sistemingai užpuldinėti civilius</w:t>
      </w:r>
      <w:r w:rsidRPr="00C00255">
        <w:rPr>
          <w:rStyle w:val="Numatytasispastraiposriftas1"/>
          <w:rFonts w:eastAsia="Calibri" w:cs="Times New Roman"/>
          <w:i/>
          <w:color w:val="auto"/>
          <w:lang w:eastAsia="ar-SA"/>
        </w:rPr>
        <w:t xml:space="preserve"> bei įgyvendindami operacijos planavimo grupės ir vadovavimo štabo, pagal kaltinamojo </w:t>
      </w:r>
      <w:r w:rsidR="00385BC9">
        <w:rPr>
          <w:rStyle w:val="Numatytasispastraiposriftas1"/>
          <w:rFonts w:eastAsia="Calibri" w:cs="Times New Roman"/>
          <w:i/>
          <w:color w:val="auto"/>
          <w:lang w:eastAsia="ar-SA"/>
        </w:rPr>
        <w:t>D. J.</w:t>
      </w:r>
      <w:r w:rsidRPr="00C00255">
        <w:rPr>
          <w:rStyle w:val="Numatytasispastraiposriftas1"/>
          <w:rFonts w:eastAsia="Calibri" w:cs="Times New Roman"/>
          <w:i/>
          <w:color w:val="auto"/>
          <w:lang w:eastAsia="ar-SA"/>
        </w:rPr>
        <w:t xml:space="preserve"> (kartu su </w:t>
      </w:r>
      <w:r w:rsidR="00C507EF">
        <w:rPr>
          <w:rStyle w:val="Numatytasispastraiposriftas1"/>
          <w:rFonts w:eastAsia="Calibri" w:cs="Times New Roman"/>
          <w:i/>
          <w:color w:val="auto"/>
          <w:lang w:eastAsia="ar-SA"/>
        </w:rPr>
        <w:t>B. P.</w:t>
      </w:r>
      <w:r w:rsidRPr="00C00255">
        <w:rPr>
          <w:rStyle w:val="Numatytasispastraiposriftas1"/>
          <w:rFonts w:eastAsia="Calibri" w:cs="Times New Roman"/>
          <w:i/>
          <w:color w:val="auto"/>
          <w:lang w:eastAsia="ar-SA"/>
        </w:rPr>
        <w:t xml:space="preserve">, </w:t>
      </w:r>
      <w:r w:rsidR="00C507EF">
        <w:rPr>
          <w:rStyle w:val="Numatytasispastraiposriftas1"/>
          <w:rFonts w:eastAsia="Calibri" w:cs="Times New Roman"/>
          <w:i/>
          <w:color w:val="auto"/>
          <w:lang w:eastAsia="ar-SA"/>
        </w:rPr>
        <w:t>V. K.</w:t>
      </w:r>
      <w:r w:rsidRPr="00C00255">
        <w:rPr>
          <w:rStyle w:val="Numatytasispastraiposriftas1"/>
          <w:rFonts w:eastAsia="Calibri" w:cs="Times New Roman"/>
          <w:i/>
          <w:color w:val="auto"/>
          <w:lang w:eastAsia="ar-SA"/>
        </w:rPr>
        <w:t xml:space="preserve">, </w:t>
      </w:r>
      <w:r w:rsidR="00D37127">
        <w:rPr>
          <w:rStyle w:val="Numatytasispastraiposriftas1"/>
          <w:rFonts w:eastAsia="Calibri" w:cs="Times New Roman"/>
          <w:i/>
          <w:color w:val="auto"/>
          <w:lang w:eastAsia="ar-SA"/>
        </w:rPr>
        <w:t>O. Š.</w:t>
      </w:r>
      <w:r w:rsidRPr="00C00255">
        <w:rPr>
          <w:rStyle w:val="Numatytasispastraiposriftas1"/>
          <w:rFonts w:eastAsia="Calibri" w:cs="Times New Roman"/>
          <w:i/>
          <w:color w:val="auto"/>
          <w:lang w:eastAsia="ar-SA"/>
        </w:rPr>
        <w:t xml:space="preserve">) parengtą ir patvirtintą planą, kariškiai tęsė tarptautinės humanitarinės teisės draudžiamą karo ataką prieš civilius, kurios metu nežmoniškai elgėsi su tarptautinės humanitarinės teisės saugomais asmenimis: </w:t>
      </w:r>
      <w:r w:rsidRPr="00C00255">
        <w:rPr>
          <w:rStyle w:val="Numatytasispastraiposriftas1"/>
          <w:rFonts w:eastAsia="Calibri" w:cs="Times New Roman"/>
          <w:i/>
          <w:color w:val="auto"/>
          <w:u w:val="single"/>
          <w:lang w:eastAsia="ar-SA"/>
        </w:rPr>
        <w:t>persekiojo civilius dėl politinių ir nacionalinių motyvų, kuriuos draudžia tarptautinė teisė,</w:t>
      </w:r>
      <w:r w:rsidRPr="00C00255">
        <w:rPr>
          <w:rStyle w:val="Numatytasispastraiposriftas1"/>
          <w:rFonts w:eastAsia="Calibri" w:cs="Times New Roman"/>
          <w:i/>
          <w:color w:val="auto"/>
          <w:lang w:eastAsia="ar-SA"/>
        </w:rPr>
        <w:t xml:space="preserve"> juos žudė, sunkiai sutrikdė jų sveikatą, padarė sunkius ir kito laipsnio sveikatos sutrikdymus, panaudojo bauginimo ir teroro priemones bei tarptautinių sutarčių uždraustas karo priemones.</w:t>
      </w:r>
    </w:p>
    <w:p w:rsidR="008C57FD" w:rsidRPr="009A296B" w:rsidRDefault="00742D54" w:rsidP="009A296B">
      <w:pPr>
        <w:ind w:left="992" w:firstLine="992"/>
        <w:rPr>
          <w:i/>
        </w:rPr>
      </w:pPr>
      <w:r w:rsidRPr="009A296B">
        <w:rPr>
          <w:rFonts w:eastAsia="Calibri"/>
          <w:i/>
          <w:lang w:eastAsia="ar-SA"/>
        </w:rPr>
        <w:t>Vykdydami gautą užduotį – užimti LRT (radijo) pastatą ir patekus į studijas, išjungti radijo transliavimą užtikrinančius įrenginius, nutraukti objekte ruošiamas ir transliuojamas radijo laidas, bei pašalinti civilius, kariškiai prieš juos panaudojo artimos kovos veiksmus – stumdė, mušė kumščiais, spardė kojomis bei turimais ginklais ir kitomis kūno sužalojimams daryti pritaikytomis priemonėmis, sudavė nenustatytą skaičių smūgių, naudojo garsinius ir kovinius šaudmenis.</w:t>
      </w:r>
    </w:p>
    <w:p w:rsidR="008C57FD" w:rsidRPr="009A296B" w:rsidRDefault="00742D54" w:rsidP="009A296B">
      <w:pPr>
        <w:ind w:left="992" w:firstLine="992"/>
        <w:rPr>
          <w:i/>
        </w:rPr>
      </w:pPr>
      <w:r w:rsidRPr="009A296B">
        <w:rPr>
          <w:rFonts w:eastAsia="Calibri"/>
          <w:i/>
          <w:lang w:eastAsia="ar-SA"/>
        </w:rPr>
        <w:t>Grupės „A“ kariškiai prieš civilius, susirinkusius prie LRT (radijo) pastato ir pastate, naudojo granatsvaidžius RGS-50, šviesos ir garso granatas GSZ, specialiąsias priemones – specialius skysčio pistoletus PSŽ; 42-osios divizijos mokomosios specialios paskirties kuopos kariškiai prieš civilius naudojo šviesos ir garso granatas „Zaria“, specialiąsias priemones „Čeriomucha“, gumines lazdas PR-73, imitacines priemones – imitacinius sprogstamuosius įtaisus, dūminius užtaisus DM-II; 76-osios oro desanto divizijos jungtinio karinio vieneto kariškiai naudojo imitacines priemones – dūminius užtaisus DM-II, dūmines granatas RDG-2x (ginklų ir spec. priemonių pavadinimuose naudojamos rusiškos raidės). Be to, 42-osios divizijos mokomosios specialios paskirties kuopos kariškiai į civilius šaudė iš 7,62 mm kalibro SVD šautuvų ir automatinių ginklų AKMS, 76-osios oro desanto divizijos jungtinio pulko kariškiai į civilius šaudė iš 7,62 mm kalibro SVD šautuvų, o kartu su grupės „A“ kariškiais, šaudydami į civilius ir užimamą pastatą iš 5,45 mm kalibro automatinių ginklų, naudojo tarptautinių sutarčių uždraustas karo priemones – 5,45 mm kalibro šovinius su išcentruota kulka.</w:t>
      </w:r>
    </w:p>
    <w:p w:rsidR="008C57FD" w:rsidRPr="00C00255" w:rsidRDefault="00742D54" w:rsidP="008C57FD">
      <w:pPr>
        <w:pStyle w:val="Standarduser"/>
        <w:tabs>
          <w:tab w:val="left" w:pos="8245"/>
        </w:tabs>
        <w:ind w:left="992" w:firstLine="992"/>
        <w:jc w:val="both"/>
        <w:rPr>
          <w:rFonts w:cs="Times New Roman"/>
          <w:i/>
          <w:color w:val="auto"/>
        </w:rPr>
      </w:pPr>
      <w:r w:rsidRPr="00C00255">
        <w:rPr>
          <w:rStyle w:val="Numatytasispastraiposriftas1"/>
          <w:rFonts w:eastAsia="Calibri" w:cs="Times New Roman"/>
          <w:i/>
          <w:color w:val="auto"/>
          <w:lang w:eastAsia="ar-SA"/>
        </w:rPr>
        <w:t xml:space="preserve">Kita, maždaug dvidešimt grupės „A“ kariškių dalis, vadovaujama kaltinamojo </w:t>
      </w:r>
      <w:r w:rsidR="00385BC9">
        <w:rPr>
          <w:rStyle w:val="Numatytasispastraiposriftas1"/>
          <w:rFonts w:eastAsia="Calibri" w:cs="Times New Roman"/>
          <w:i/>
          <w:color w:val="auto"/>
          <w:lang w:eastAsia="ar-SA"/>
        </w:rPr>
        <w:t>J. Č.</w:t>
      </w:r>
      <w:r w:rsidRPr="00C00255">
        <w:rPr>
          <w:rStyle w:val="Numatytasispastraiposriftas1"/>
          <w:rFonts w:eastAsia="Calibri" w:cs="Times New Roman"/>
          <w:i/>
          <w:color w:val="auto"/>
          <w:lang w:eastAsia="ar-SA"/>
        </w:rPr>
        <w:t xml:space="preserve"> ir kt., pradėjo civilių, susirinkusių prie 9 aukštų LRT (televizijos) pastato ir jame dirbusių, puolimą. </w:t>
      </w:r>
      <w:r w:rsidRPr="00C00255">
        <w:rPr>
          <w:rStyle w:val="Numatytasispastraiposriftas1"/>
          <w:rFonts w:eastAsia="Calibri" w:cs="Times New Roman"/>
          <w:i/>
          <w:color w:val="auto"/>
          <w:u w:val="single"/>
          <w:lang w:eastAsia="ar-SA"/>
        </w:rPr>
        <w:t>Karo</w:t>
      </w:r>
      <w:r w:rsidRPr="00C00255">
        <w:rPr>
          <w:rStyle w:val="Numatytasispastraiposriftas1"/>
          <w:rFonts w:eastAsia="Calibri" w:cs="Times New Roman"/>
          <w:i/>
          <w:color w:val="auto"/>
          <w:lang w:eastAsia="ar-SA"/>
        </w:rPr>
        <w:t xml:space="preserve"> atakos prieš civilius metu, naudojo granatsvaidžius RGS-50, šviesos ir garso granatas GSZ, specialiąsias priemones – specialius skysčio pistoletus PSŽ, o šaudydami į civilius, užimamą pastatą ir jo viduje iš 5,45 mm kalibro automatinių ginklų, naudojo tarptautinių sutarčių uždraustas karo priemones – 5,45 mm kalibro šovinius su išcentruota kulka. Prieš civilius kariškiai taip pat naudojo garsinius ir kovinius šaudmenis, artimos kovos veiksmus – stumdė, smūgiavo kumščiais, spardė kojomis, ginklais ir kitomis turimomis priemonėmis sudavė civiliams nenustatytą skaičių smūgių į įvairias kūno dalis. </w:t>
      </w:r>
      <w:r w:rsidRPr="00C00255">
        <w:rPr>
          <w:rStyle w:val="Numatytasispastraiposriftas1"/>
          <w:rFonts w:eastAsia="Calibri" w:cs="Times New Roman"/>
          <w:i/>
          <w:color w:val="auto"/>
          <w:u w:val="single"/>
          <w:lang w:eastAsia="ar-SA"/>
        </w:rPr>
        <w:t>Taip</w:t>
      </w:r>
      <w:r w:rsidRPr="00C00255">
        <w:rPr>
          <w:rStyle w:val="Numatytasispastraiposriftas1"/>
          <w:rFonts w:eastAsia="Calibri" w:cs="Times New Roman"/>
          <w:i/>
          <w:color w:val="auto"/>
          <w:lang w:eastAsia="ar-SA"/>
        </w:rPr>
        <w:t xml:space="preserve"> baugindami bei terorizuodami pastatą gynusius civilius, kariškiai brovėsi į 9 aukštų LRT pastatą, kad, patekus iki studijų, esančių LRT televizijos aparatinių ir studijų komplekse (toliau - LRT TASK), išjungti televizijos transliavimą užtikrinančius įrenginius, nutraukti objekte ruošiamas ir transliuojamas televizijos laidas bei iš minėtų pastatų pašalinti civilius.</w:t>
      </w:r>
    </w:p>
    <w:p w:rsidR="008C57FD" w:rsidRPr="009A296B" w:rsidRDefault="00742D54" w:rsidP="009A296B">
      <w:pPr>
        <w:ind w:left="992" w:firstLine="992"/>
        <w:rPr>
          <w:i/>
        </w:rPr>
      </w:pPr>
      <w:r w:rsidRPr="009A296B">
        <w:rPr>
          <w:rFonts w:eastAsia="Calibri"/>
          <w:i/>
          <w:lang w:eastAsia="ar-SA"/>
        </w:rPr>
        <w:t>LRT (televizijos) pastate kariškiai pasidalino į dvi dalis: viena kariškių dalis liko 9</w:t>
      </w:r>
      <w:r w:rsidR="008C57FD" w:rsidRPr="009A296B">
        <w:rPr>
          <w:rFonts w:eastAsia="Calibri"/>
          <w:i/>
          <w:lang w:eastAsia="ar-SA"/>
        </w:rPr>
        <w:t> </w:t>
      </w:r>
      <w:r w:rsidRPr="009A296B">
        <w:rPr>
          <w:rFonts w:eastAsia="Calibri"/>
          <w:i/>
          <w:lang w:eastAsia="ar-SA"/>
        </w:rPr>
        <w:t>aukštų pastate ir pradėjo civilių puolimą, o kita dalis, lydima nenustatyto Lietuvos VSK darbuotojo, prasibrovė į LRT TASK ir patekę į studiją, aparatinėje išjungė prietaisus, pašalino iš patalpų civilius ir nutraukė TV laidų ruošimą bei transliavimą.</w:t>
      </w:r>
      <w:r w:rsidR="008C57FD" w:rsidRPr="009A296B">
        <w:rPr>
          <w:i/>
        </w:rPr>
        <w:t xml:space="preserve"> </w:t>
      </w:r>
    </w:p>
    <w:p w:rsidR="008C57FD" w:rsidRPr="009A296B" w:rsidRDefault="00742D54" w:rsidP="009A296B">
      <w:pPr>
        <w:ind w:left="992" w:firstLine="992"/>
        <w:rPr>
          <w:i/>
        </w:rPr>
      </w:pPr>
      <w:r w:rsidRPr="009A296B">
        <w:rPr>
          <w:rFonts w:eastAsia="Calibri"/>
          <w:i/>
          <w:lang w:eastAsia="ar-SA"/>
        </w:rPr>
        <w:t>Puolimo metu, į S. Konarskio gatvę, nuo sankryžos su K. Požėlos (dabar V.</w:t>
      </w:r>
      <w:r w:rsidR="005F15E0" w:rsidRPr="009A296B">
        <w:rPr>
          <w:rFonts w:eastAsia="Calibri"/>
          <w:i/>
          <w:lang w:eastAsia="ar-SA"/>
        </w:rPr>
        <w:t> </w:t>
      </w:r>
      <w:r w:rsidRPr="009A296B">
        <w:rPr>
          <w:rFonts w:eastAsia="Calibri"/>
          <w:i/>
          <w:lang w:eastAsia="ar-SA"/>
        </w:rPr>
        <w:t>Pietario) gatve, atvyko kita kariškių dalis. Pirmieji į S. Konarskio gatvę trimis tankais T-72, kurių borto Nr. 559, 571 ir 574, atvyko 107-osios motorizuotų šaulių divizijos 106-ojo tankų pulko kariškiai. Tankams ko</w:t>
      </w:r>
      <w:r w:rsidR="00C82C9D" w:rsidRPr="009A296B">
        <w:rPr>
          <w:rFonts w:eastAsia="Calibri"/>
          <w:i/>
          <w:lang w:eastAsia="ar-SA"/>
        </w:rPr>
        <w:t>lonoje vadovavo kaltinamasis V. </w:t>
      </w:r>
      <w:r w:rsidRPr="009A296B">
        <w:rPr>
          <w:rFonts w:eastAsia="Calibri"/>
          <w:i/>
          <w:lang w:eastAsia="ar-SA"/>
        </w:rPr>
        <w:t>P</w:t>
      </w:r>
      <w:r w:rsidR="00C82C9D" w:rsidRPr="009A296B">
        <w:rPr>
          <w:rFonts w:eastAsia="Calibri"/>
          <w:i/>
          <w:lang w:eastAsia="ar-SA"/>
        </w:rPr>
        <w:t>.</w:t>
      </w:r>
      <w:r w:rsidRPr="009A296B">
        <w:rPr>
          <w:rFonts w:eastAsia="Calibri"/>
          <w:i/>
          <w:lang w:eastAsia="ar-SA"/>
        </w:rPr>
        <w:t xml:space="preserve"> - tanko Nr. 571 vadas, tanko ekipažą sudarė kaltinamieji: taikytojas </w:t>
      </w:r>
      <w:r w:rsidR="00A97F74" w:rsidRPr="009A296B">
        <w:rPr>
          <w:rFonts w:eastAsia="Calibri"/>
          <w:i/>
          <w:lang w:eastAsia="ar-SA"/>
        </w:rPr>
        <w:t>N. O.</w:t>
      </w:r>
      <w:r w:rsidRPr="009A296B">
        <w:rPr>
          <w:rFonts w:eastAsia="Calibri"/>
          <w:i/>
          <w:lang w:eastAsia="ar-SA"/>
        </w:rPr>
        <w:t xml:space="preserve"> ir mechanikas-vairuotojas </w:t>
      </w:r>
      <w:r w:rsidR="00C82C9D" w:rsidRPr="009A296B">
        <w:rPr>
          <w:rFonts w:eastAsia="Calibri"/>
          <w:i/>
          <w:lang w:eastAsia="ar-SA"/>
        </w:rPr>
        <w:t>A. U.</w:t>
      </w:r>
      <w:r w:rsidRPr="009A296B">
        <w:rPr>
          <w:rFonts w:eastAsia="Calibri"/>
          <w:i/>
          <w:lang w:eastAsia="ar-SA"/>
        </w:rPr>
        <w:t xml:space="preserve">. Pirmasis atvažiavo tankas Nr. 559, kurio vadas kaltinamasis </w:t>
      </w:r>
      <w:r w:rsidR="00C82C9D" w:rsidRPr="009A296B">
        <w:rPr>
          <w:rFonts w:eastAsia="Calibri"/>
          <w:i/>
          <w:lang w:eastAsia="ar-SA"/>
        </w:rPr>
        <w:t>J. O.</w:t>
      </w:r>
      <w:r w:rsidRPr="009A296B">
        <w:rPr>
          <w:rFonts w:eastAsia="Calibri"/>
          <w:i/>
          <w:lang w:eastAsia="ar-SA"/>
        </w:rPr>
        <w:t xml:space="preserve">, taikytojas kaltinamasis </w:t>
      </w:r>
      <w:r w:rsidR="00A97F74" w:rsidRPr="009A296B">
        <w:rPr>
          <w:rFonts w:eastAsia="Calibri"/>
          <w:i/>
          <w:lang w:eastAsia="ar-SA"/>
        </w:rPr>
        <w:t>D. F.</w:t>
      </w:r>
      <w:r w:rsidRPr="009A296B">
        <w:rPr>
          <w:rFonts w:eastAsia="Calibri"/>
          <w:i/>
          <w:lang w:eastAsia="ar-SA"/>
        </w:rPr>
        <w:t xml:space="preserve"> ir mechanikas-vairuotojas </w:t>
      </w:r>
      <w:r w:rsidR="004E4879" w:rsidRPr="009A296B">
        <w:rPr>
          <w:rFonts w:eastAsia="Calibri"/>
          <w:i/>
          <w:lang w:eastAsia="ar-SA"/>
        </w:rPr>
        <w:t>A. R.</w:t>
      </w:r>
      <w:r w:rsidRPr="009A296B">
        <w:rPr>
          <w:rFonts w:eastAsia="Calibri"/>
          <w:i/>
          <w:lang w:eastAsia="ar-SA"/>
        </w:rPr>
        <w:t xml:space="preserve"> (jo atžvilgiu baudžiamasis persekiojimas už nusikaltimus žmoniškumui ir karo nusikaltimus nevykdomas). Trečiuoju kolonoje judėjo tankas Nr. 574, jo vadas kaltinamasis </w:t>
      </w:r>
      <w:r w:rsidR="00C82C9D" w:rsidRPr="009A296B">
        <w:rPr>
          <w:rFonts w:eastAsia="Calibri"/>
          <w:i/>
          <w:lang w:eastAsia="ar-SA"/>
        </w:rPr>
        <w:t>E. R.</w:t>
      </w:r>
      <w:r w:rsidRPr="009A296B">
        <w:rPr>
          <w:rFonts w:eastAsia="Calibri"/>
          <w:i/>
          <w:lang w:eastAsia="ar-SA"/>
        </w:rPr>
        <w:t xml:space="preserve">, taikytojas kaltinamasis </w:t>
      </w:r>
      <w:r w:rsidR="00A97F74" w:rsidRPr="009A296B">
        <w:rPr>
          <w:rFonts w:eastAsia="Calibri"/>
          <w:i/>
          <w:lang w:eastAsia="ar-SA"/>
        </w:rPr>
        <w:t>A. K. 2</w:t>
      </w:r>
      <w:r w:rsidRPr="009A296B">
        <w:rPr>
          <w:rFonts w:eastAsia="Calibri"/>
          <w:i/>
          <w:lang w:eastAsia="ar-SA"/>
        </w:rPr>
        <w:t xml:space="preserve"> ir mechanikas-vairuotojas kaltinamasis </w:t>
      </w:r>
      <w:r w:rsidR="00C82C9D" w:rsidRPr="009A296B">
        <w:rPr>
          <w:rFonts w:eastAsia="Calibri"/>
          <w:i/>
          <w:lang w:eastAsia="ar-SA"/>
        </w:rPr>
        <w:t>N. S.</w:t>
      </w:r>
      <w:r w:rsidRPr="009A296B">
        <w:rPr>
          <w:rFonts w:eastAsia="Calibri"/>
          <w:i/>
          <w:lang w:eastAsia="ar-SA"/>
        </w:rPr>
        <w:t>.</w:t>
      </w:r>
    </w:p>
    <w:p w:rsidR="008C57FD" w:rsidRPr="009A296B" w:rsidRDefault="00742D54" w:rsidP="009A296B">
      <w:pPr>
        <w:ind w:left="992" w:firstLine="992"/>
        <w:rPr>
          <w:i/>
        </w:rPr>
      </w:pPr>
      <w:r w:rsidRPr="009A296B">
        <w:rPr>
          <w:rFonts w:eastAsia="Calibri"/>
          <w:i/>
          <w:lang w:eastAsia="ar-SA"/>
        </w:rPr>
        <w:t>Tankų ir BMD, kurių borto Nr. 211, 203, 206, 271, 274, 273, 276, 277 bei dviejų karinių automobilių URAL (vieno iš jų Nr. 23-00 OF), kolonai ir LRT užgrobimo operacijai vadovavo 76-osios oro desanto divizijos 234-ojo pulko</w:t>
      </w:r>
      <w:r w:rsidR="008C57FD" w:rsidRPr="009A296B">
        <w:rPr>
          <w:rFonts w:eastAsia="Calibri"/>
          <w:i/>
          <w:lang w:eastAsia="ar-SA"/>
        </w:rPr>
        <w:t xml:space="preserve"> štabo žvalgybos viršininkas </w:t>
      </w:r>
      <w:r w:rsidR="006036E7" w:rsidRPr="009A296B">
        <w:rPr>
          <w:rFonts w:eastAsia="Calibri"/>
          <w:i/>
          <w:lang w:eastAsia="ar-SA"/>
        </w:rPr>
        <w:t>S. P.</w:t>
      </w:r>
      <w:r w:rsidRPr="009A296B">
        <w:rPr>
          <w:rFonts w:eastAsia="Calibri"/>
          <w:i/>
          <w:lang w:eastAsia="ar-SA"/>
        </w:rPr>
        <w:t xml:space="preserve">. Atsakingu už šios operacijos įvykdymą buvo paskirtas 76-osios oro desanto divizijos 234-ojo pulko štabo viršininkas kaltinamasis </w:t>
      </w:r>
      <w:r w:rsidR="00385BC9" w:rsidRPr="009A296B">
        <w:rPr>
          <w:rFonts w:eastAsia="Calibri"/>
          <w:i/>
          <w:lang w:eastAsia="ar-SA"/>
        </w:rPr>
        <w:t>G. G.</w:t>
      </w:r>
      <w:r w:rsidRPr="009A296B">
        <w:rPr>
          <w:rFonts w:eastAsia="Calibri"/>
          <w:i/>
          <w:lang w:eastAsia="ar-SA"/>
        </w:rPr>
        <w:t>.</w:t>
      </w:r>
    </w:p>
    <w:p w:rsidR="008C57FD" w:rsidRPr="009A296B" w:rsidRDefault="00742D54" w:rsidP="009A296B">
      <w:pPr>
        <w:ind w:left="992" w:firstLine="992"/>
        <w:rPr>
          <w:rFonts w:eastAsia="Calibri"/>
          <w:i/>
          <w:lang w:eastAsia="ar-SA"/>
        </w:rPr>
      </w:pPr>
      <w:r w:rsidRPr="009A296B">
        <w:rPr>
          <w:rFonts w:eastAsia="Calibri"/>
          <w:i/>
          <w:lang w:eastAsia="ar-SA"/>
        </w:rPr>
        <w:t>Pagal vadovavimo štabo paskirtas užduotis, šimtas septyni kariškiai iš 234-ojo pulko, priklausančio 76-osios oro desanto divizijos jungtiniam kariniam vienetui, pasiskirstę į tris grupes, puolė kitas LRT dalis: 9 aukštų LRT televizijos pastatą, TASK ir Techninį pastatą. Vykdydami užduotis S. Konarskio gatvėje, tankai T-72, ne mažiau kaip 7 kartus iššovė iš pabūklų tuščiais užtaisais, taip baugindami, terorizuodami ir siekdami sutrikdyti civilius. Leido dūmines užsklandas, karinės technikos šviesos prietaisais švietė į civilius, užimamus objektus ir aplink esančius gyvenamuosius namus, civilių minią iš teritorijos šalino važinėdami ir pavojingai manevruodam</w:t>
      </w:r>
      <w:r w:rsidR="008C57FD" w:rsidRPr="009A296B">
        <w:rPr>
          <w:rFonts w:eastAsia="Calibri"/>
          <w:i/>
          <w:lang w:eastAsia="ar-SA"/>
        </w:rPr>
        <w:t>i po užimamų objektų teritoriją.</w:t>
      </w:r>
    </w:p>
    <w:p w:rsidR="008C57FD" w:rsidRPr="009A296B" w:rsidRDefault="00742D54" w:rsidP="009A296B">
      <w:pPr>
        <w:ind w:left="992" w:firstLine="992"/>
        <w:rPr>
          <w:i/>
        </w:rPr>
      </w:pPr>
      <w:r w:rsidRPr="009A296B">
        <w:rPr>
          <w:rFonts w:eastAsia="Calibri"/>
          <w:i/>
          <w:lang w:eastAsia="ar-SA"/>
        </w:rPr>
        <w:t xml:space="preserve">Tęsdami teroro ir bauginimo veiksmus 42-osios divizijos karininkai kaltinamieji </w:t>
      </w:r>
      <w:r w:rsidR="00A97F74" w:rsidRPr="009A296B">
        <w:rPr>
          <w:rFonts w:eastAsia="Calibri"/>
          <w:i/>
          <w:lang w:eastAsia="ar-SA"/>
        </w:rPr>
        <w:t>V. R.</w:t>
      </w:r>
      <w:r w:rsidRPr="009A296B">
        <w:rPr>
          <w:rFonts w:eastAsia="Calibri"/>
          <w:i/>
          <w:lang w:eastAsia="ar-SA"/>
        </w:rPr>
        <w:t xml:space="preserve"> ir </w:t>
      </w:r>
      <w:r w:rsidR="00DC0414" w:rsidRPr="009A296B">
        <w:rPr>
          <w:rFonts w:eastAsia="Calibri"/>
          <w:i/>
          <w:lang w:eastAsia="ar-SA"/>
        </w:rPr>
        <w:t>G. P.</w:t>
      </w:r>
      <w:r w:rsidRPr="009A296B">
        <w:rPr>
          <w:rFonts w:eastAsia="Calibri"/>
          <w:i/>
          <w:lang w:eastAsia="ar-SA"/>
        </w:rPr>
        <w:t xml:space="preserve"> po antrojo tanko šūvio iš BRDM leido garso įrašą, kuriame buvo įrašytas kreipimasis rusų ir lietuvių kalbomis LNGK vardu, kad visą valdžią Lietuvoje perima LNGK, bet koks pasipriešinimas yra beprasmiškas ir nuves prie brolžudiško karo, civiliams buvo liepiama skirstytis.</w:t>
      </w:r>
    </w:p>
    <w:p w:rsidR="008C57FD" w:rsidRPr="00C00255" w:rsidRDefault="00742D54" w:rsidP="009A296B">
      <w:pPr>
        <w:ind w:left="992" w:firstLine="992"/>
      </w:pPr>
      <w:r w:rsidRPr="009A296B">
        <w:rPr>
          <w:rFonts w:eastAsia="Calibri"/>
          <w:i/>
          <w:lang w:eastAsia="ar-SA"/>
        </w:rPr>
        <w:t>Tuo metu tankų, kurių borto Nr. 559 ir 571 ekipažai, pavojingai manevruodami, privažiavo prie 9 aukštų LRT televizijos pastato ir tanko Nr. 559 ekipažas, išlaužė LRT juosiančios tvoros dalį ir kartu su BMD Nr. 277</w:t>
      </w:r>
      <w:r w:rsidR="008434B8" w:rsidRPr="009A296B">
        <w:rPr>
          <w:rFonts w:eastAsia="Calibri"/>
          <w:i/>
          <w:lang w:eastAsia="ar-SA"/>
        </w:rPr>
        <w:t xml:space="preserve"> </w:t>
      </w:r>
      <w:r w:rsidRPr="009A296B">
        <w:rPr>
          <w:rFonts w:eastAsia="Calibri"/>
          <w:i/>
          <w:lang w:eastAsia="ar-SA"/>
        </w:rPr>
        <w:t xml:space="preserve">privažiavo prie puolamo 9 aukštų LRT televizijos pastato. Iš paskos atvažiavo KŠM GAZ-66, kurioje buvo karo atakai vadovaujantis </w:t>
      </w:r>
      <w:r w:rsidR="006036E7" w:rsidRPr="009A296B">
        <w:rPr>
          <w:rFonts w:eastAsia="Calibri"/>
          <w:i/>
          <w:lang w:eastAsia="ar-SA"/>
        </w:rPr>
        <w:t>S. P.</w:t>
      </w:r>
      <w:r w:rsidRPr="009A296B">
        <w:rPr>
          <w:rFonts w:eastAsia="Calibri"/>
          <w:i/>
          <w:lang w:eastAsia="ar-SA"/>
        </w:rPr>
        <w:t>, trys kariškiai iš 234-ojo pulko ryšių kuopos ir kariškis, užtikrinantis ryšių priemonių ir patikimo ryšio veikimą operacijos metu, o tanko Nr. 571 ekipažas, užtvėrė išlaužtą įvažiavimą.</w:t>
      </w:r>
    </w:p>
    <w:p w:rsidR="008C57FD" w:rsidRPr="00C00255" w:rsidRDefault="00742D54" w:rsidP="008C57FD">
      <w:pPr>
        <w:pStyle w:val="Standarduser"/>
        <w:tabs>
          <w:tab w:val="left" w:pos="8245"/>
        </w:tabs>
        <w:ind w:left="992" w:firstLine="992"/>
        <w:jc w:val="both"/>
        <w:rPr>
          <w:rFonts w:cs="Times New Roman"/>
          <w:i/>
          <w:color w:val="auto"/>
        </w:rPr>
      </w:pPr>
      <w:r w:rsidRPr="00C00255">
        <w:rPr>
          <w:rStyle w:val="Numatytasispastraiposriftas1"/>
          <w:rFonts w:eastAsia="Calibri" w:cs="Times New Roman"/>
          <w:i/>
          <w:color w:val="auto"/>
          <w:lang w:eastAsia="ar-SA"/>
        </w:rPr>
        <w:t xml:space="preserve">Karinėmis desanto mašinomis (BMD) kurių borto Nr. 271, 274, 273, 276 ir 277, ir kariniu automobiliu URAL, k/n 23-00 OF, atvyko trisdešimt devyni kariškiai iš 234-ojo pulko 3-ojo bataliono 7-os kuopos, vadovaujami kaltinamųjų </w:t>
      </w:r>
      <w:r w:rsidR="006036E7">
        <w:rPr>
          <w:rStyle w:val="Numatytasispastraiposriftas1"/>
          <w:rFonts w:eastAsia="Calibri" w:cs="Times New Roman"/>
          <w:i/>
          <w:color w:val="auto"/>
          <w:lang w:eastAsia="ar-SA"/>
        </w:rPr>
        <w:t>S. M.</w:t>
      </w:r>
      <w:r w:rsidRPr="00C00255">
        <w:rPr>
          <w:rStyle w:val="Numatytasispastraiposriftas1"/>
          <w:rFonts w:eastAsia="Calibri" w:cs="Times New Roman"/>
          <w:i/>
          <w:color w:val="auto"/>
          <w:lang w:eastAsia="ar-SA"/>
        </w:rPr>
        <w:t xml:space="preserve">, </w:t>
      </w:r>
      <w:r w:rsidR="006036E7">
        <w:rPr>
          <w:rStyle w:val="Numatytasispastraiposriftas1"/>
          <w:rFonts w:eastAsia="Calibri" w:cs="Times New Roman"/>
          <w:i/>
          <w:color w:val="auto"/>
          <w:lang w:eastAsia="ar-SA"/>
        </w:rPr>
        <w:t>V. S. 3</w:t>
      </w:r>
      <w:r w:rsidRPr="00C00255">
        <w:rPr>
          <w:rStyle w:val="Numatytasispastraiposriftas1"/>
          <w:rFonts w:eastAsia="Calibri" w:cs="Times New Roman"/>
          <w:i/>
          <w:color w:val="auto"/>
          <w:lang w:eastAsia="ar-SA"/>
        </w:rPr>
        <w:t xml:space="preserve">, </w:t>
      </w:r>
      <w:r w:rsidR="006036E7">
        <w:rPr>
          <w:rStyle w:val="Numatytasispastraiposriftas1"/>
          <w:rFonts w:eastAsia="Calibri" w:cs="Times New Roman"/>
          <w:i/>
          <w:color w:val="auto"/>
          <w:lang w:eastAsia="ar-SA"/>
        </w:rPr>
        <w:t>A. N. 2</w:t>
      </w:r>
      <w:r w:rsidRPr="00C00255">
        <w:rPr>
          <w:rStyle w:val="Numatytasispastraiposriftas1"/>
          <w:rFonts w:eastAsia="Calibri" w:cs="Times New Roman"/>
          <w:i/>
          <w:color w:val="auto"/>
          <w:lang w:eastAsia="ar-SA"/>
        </w:rPr>
        <w:t xml:space="preserve">, </w:t>
      </w:r>
      <w:r w:rsidR="006036E7">
        <w:rPr>
          <w:rStyle w:val="Numatytasispastraiposriftas1"/>
          <w:rFonts w:eastAsia="Calibri" w:cs="Times New Roman"/>
          <w:i/>
          <w:color w:val="auto"/>
          <w:lang w:eastAsia="ar-SA"/>
        </w:rPr>
        <w:t>A. S.</w:t>
      </w:r>
      <w:r w:rsidRPr="00C00255">
        <w:rPr>
          <w:rStyle w:val="Numatytasispastraiposriftas1"/>
          <w:rFonts w:eastAsia="Calibri" w:cs="Times New Roman"/>
          <w:i/>
          <w:color w:val="auto"/>
          <w:lang w:eastAsia="ar-SA"/>
        </w:rPr>
        <w:t xml:space="preserve">, </w:t>
      </w:r>
      <w:r w:rsidR="006036E7">
        <w:rPr>
          <w:rStyle w:val="Numatytasispastraiposriftas1"/>
          <w:rFonts w:eastAsia="Calibri" w:cs="Times New Roman"/>
          <w:i/>
          <w:color w:val="auto"/>
          <w:lang w:eastAsia="ar-SA"/>
        </w:rPr>
        <w:t>A. C.</w:t>
      </w:r>
      <w:r w:rsidRPr="00C00255">
        <w:rPr>
          <w:rStyle w:val="Numatytasispastraiposriftas1"/>
          <w:rFonts w:eastAsia="Calibri" w:cs="Times New Roman"/>
          <w:i/>
          <w:color w:val="auto"/>
          <w:lang w:eastAsia="ar-SA"/>
        </w:rPr>
        <w:t xml:space="preserve">, kurie vykdė užduotį kartu su </w:t>
      </w:r>
      <w:r w:rsidR="00385BC9">
        <w:rPr>
          <w:rStyle w:val="Numatytasispastraiposriftas1"/>
          <w:rFonts w:eastAsia="Calibri" w:cs="Times New Roman"/>
          <w:i/>
          <w:color w:val="auto"/>
          <w:lang w:eastAsia="ar-SA"/>
        </w:rPr>
        <w:t>G. G.</w:t>
      </w:r>
      <w:r w:rsidRPr="00C00255">
        <w:rPr>
          <w:rStyle w:val="Numatytasispastraiposriftas1"/>
          <w:rFonts w:eastAsia="Calibri" w:cs="Times New Roman"/>
          <w:i/>
          <w:color w:val="auto"/>
          <w:lang w:eastAsia="ar-SA"/>
        </w:rPr>
        <w:t xml:space="preserve"> prasibrauti į 9 aukštų LRT Televizijos pastatą, blokuoti visus įėjimus ir išėjimus, pašalinti civilius ir LRT direktoriaus kabinete atjungti teletaipą. Atvykę kariškiai BMD išrikiavo priešais puolamą pastatą, nukreipė pabūklus bei karinės technikos apšvietimo prietaisus į objektą ir išsilaipinę prisijungė prie grupės „A“ pradėtos tarptautinės humanitarinės teisės draudžiamos karo atakos. Karinės atakos metu kariškiai nežmoniškai elgėsi su tarptautinės humanitarinės teisės saugomais asmenimis – persekiojo civilius dėl politinių </w:t>
      </w:r>
      <w:r w:rsidRPr="00C00255">
        <w:rPr>
          <w:rStyle w:val="Numatytasispastraiposriftas1"/>
          <w:rFonts w:eastAsia="Calibri" w:cs="Times New Roman"/>
          <w:i/>
          <w:color w:val="auto"/>
          <w:u w:val="single"/>
          <w:lang w:eastAsia="ar-SA"/>
        </w:rPr>
        <w:t xml:space="preserve">ir nacionalinių </w:t>
      </w:r>
      <w:r w:rsidRPr="00C00255">
        <w:rPr>
          <w:rStyle w:val="Numatytasispastraiposriftas1"/>
          <w:rFonts w:eastAsia="Calibri" w:cs="Times New Roman"/>
          <w:i/>
          <w:color w:val="auto"/>
          <w:lang w:eastAsia="ar-SA"/>
        </w:rPr>
        <w:t>motyvų, kuriuos draudžia tarptautinė teisė, juos žudė, sunkiai sutrikdė jų sveikatą, naudojo bauginimo ir teroro bei tarptautinių sutarčių uždraustas karo priemones, o būtent: šaudydami į civilius ir užimamus pastatus bei jų viduje, į greta esančius gyvenamuosius namus 7,62 mm kalibro SVD šautuvais bei 5,45 mm kalibro automatiniais ginklais, panaudojo tarptautinių sutarčių uždraustas karo priemones – 5,45 mm kalibro šovinius su išcentruota kulka. Naudodami garsinius ir kovinius šaudmenis bei artimos kovos veiksmus, kariškiai įsibrovė į civilių ginamą 9 aukštų LRT televizijos pastatą, kuriame buvo grupės „A“ kariškiai.</w:t>
      </w:r>
    </w:p>
    <w:p w:rsidR="008C57FD" w:rsidRPr="00C00255" w:rsidRDefault="00742D54" w:rsidP="008C57FD">
      <w:pPr>
        <w:pStyle w:val="Standarduser"/>
        <w:tabs>
          <w:tab w:val="left" w:pos="8245"/>
        </w:tabs>
        <w:ind w:left="992" w:firstLine="992"/>
        <w:jc w:val="both"/>
        <w:rPr>
          <w:rFonts w:cs="Times New Roman"/>
          <w:i/>
          <w:color w:val="auto"/>
        </w:rPr>
      </w:pPr>
      <w:r w:rsidRPr="00C00255">
        <w:rPr>
          <w:rFonts w:eastAsia="Calibri" w:cs="Times New Roman"/>
          <w:i/>
          <w:color w:val="auto"/>
          <w:lang w:eastAsia="ar-SA"/>
        </w:rPr>
        <w:t>Ikiteisminio tyrimo metu nenustatyta kariškių grupė brovėsi į 9 aukštų LRT televizijos pastatą, kuriame, naudodami artimos kovos priemones ir būdus, tikrino patalpas, šalino iš jų civilius. Kita kariškių dalis, pagal VSK grupės „A“ kariškio (asmenybė nenustatyta) nurodymą, liko prie įėjimo į pastatą kur, šaudydami aukščiau nurodytais garsiniais ir koviniais šoviniais, naudodami artimos kovos būdus ir priemones stūmė nuo pastato civilius, taip pat apšaudė gyvenamuosius namus ir juose esančius civilius.</w:t>
      </w:r>
    </w:p>
    <w:p w:rsidR="008C57FD" w:rsidRPr="00C00255" w:rsidRDefault="00742D54" w:rsidP="008C57FD">
      <w:pPr>
        <w:pStyle w:val="Standarduser"/>
        <w:tabs>
          <w:tab w:val="left" w:pos="8245"/>
        </w:tabs>
        <w:ind w:left="992" w:firstLine="992"/>
        <w:jc w:val="both"/>
        <w:rPr>
          <w:rFonts w:cs="Times New Roman"/>
          <w:i/>
          <w:color w:val="auto"/>
        </w:rPr>
      </w:pPr>
      <w:r w:rsidRPr="00C00255">
        <w:rPr>
          <w:rStyle w:val="Numatytasispastraiposriftas1"/>
          <w:rFonts w:eastAsia="Calibri" w:cs="Times New Roman"/>
          <w:i/>
          <w:color w:val="auto"/>
          <w:lang w:eastAsia="ar-SA"/>
        </w:rPr>
        <w:t xml:space="preserve">Vykdydami operacijos štabo planą, K. Požėlos (dabar V. Pietario) gatve BMD, kurių borto Nr. 203, 206 ir 211, ir kariniu automobiliu URAL, prie LRT atvyko trečioji karinės kolonos 234-ojo pulko kariškių dalis. BMD Nr. 206 išlaužus tvorą, karinė technika privažiavo prie 4 aukštų LRT radijo pastato. Išsilaipinę kariškiai, pasidalino į dvi dalis: dvidešimt trys kariškiai iš 234-ojo pulko savaeigės artilerijos diviziono 1-os savaeigės artilerijos baterijos, vadovaujami kaltinamųjų </w:t>
      </w:r>
      <w:r w:rsidR="006036E7">
        <w:rPr>
          <w:rStyle w:val="Numatytasispastraiposriftas1"/>
          <w:rFonts w:eastAsia="Calibri" w:cs="Times New Roman"/>
          <w:i/>
          <w:color w:val="auto"/>
          <w:lang w:eastAsia="ar-SA"/>
        </w:rPr>
        <w:t>B. S.</w:t>
      </w:r>
      <w:r w:rsidRPr="00C00255">
        <w:rPr>
          <w:rStyle w:val="Numatytasispastraiposriftas1"/>
          <w:rFonts w:eastAsia="Calibri" w:cs="Times New Roman"/>
          <w:i/>
          <w:color w:val="auto"/>
          <w:lang w:eastAsia="ar-SA"/>
        </w:rPr>
        <w:t xml:space="preserve">, </w:t>
      </w:r>
      <w:r w:rsidR="006036E7">
        <w:rPr>
          <w:rStyle w:val="Numatytasispastraiposriftas1"/>
          <w:rFonts w:eastAsia="Calibri" w:cs="Times New Roman"/>
          <w:i/>
          <w:color w:val="auto"/>
          <w:lang w:eastAsia="ar-SA"/>
        </w:rPr>
        <w:t>S. G.</w:t>
      </w:r>
      <w:r w:rsidRPr="00C00255">
        <w:rPr>
          <w:rStyle w:val="Numatytasispastraiposriftas1"/>
          <w:rFonts w:eastAsia="Calibri" w:cs="Times New Roman"/>
          <w:i/>
          <w:color w:val="auto"/>
          <w:lang w:eastAsia="ar-SA"/>
        </w:rPr>
        <w:t xml:space="preserve">, </w:t>
      </w:r>
      <w:r w:rsidR="006036E7">
        <w:rPr>
          <w:rStyle w:val="Numatytasispastraiposriftas1"/>
          <w:rFonts w:eastAsia="Calibri" w:cs="Times New Roman"/>
          <w:i/>
          <w:color w:val="auto"/>
          <w:lang w:eastAsia="ar-SA"/>
        </w:rPr>
        <w:t>V. G.</w:t>
      </w:r>
      <w:r w:rsidRPr="00C00255">
        <w:rPr>
          <w:rStyle w:val="Numatytasispastraiposriftas1"/>
          <w:rFonts w:eastAsia="Calibri" w:cs="Times New Roman"/>
          <w:i/>
          <w:color w:val="auto"/>
          <w:lang w:eastAsia="ar-SA"/>
        </w:rPr>
        <w:t xml:space="preserve">, bei dvidešimt šeši kariškiai iš 234-ojo pulko žvalgybos kuopos, vadovaujami kaltinamojo </w:t>
      </w:r>
      <w:r w:rsidR="006036E7">
        <w:rPr>
          <w:rStyle w:val="Numatytasispastraiposriftas1"/>
          <w:rFonts w:eastAsia="Calibri" w:cs="Times New Roman"/>
          <w:i/>
          <w:color w:val="auto"/>
          <w:lang w:eastAsia="ar-SA"/>
        </w:rPr>
        <w:t>R. J. 2</w:t>
      </w:r>
      <w:r w:rsidRPr="00C00255">
        <w:rPr>
          <w:rStyle w:val="Numatytasispastraiposriftas1"/>
          <w:rFonts w:eastAsia="Calibri" w:cs="Times New Roman"/>
          <w:i/>
          <w:color w:val="auto"/>
          <w:lang w:eastAsia="ar-SA"/>
        </w:rPr>
        <w:t xml:space="preserve">, tęsė tarptautinės humanitarinės teisės draudžiamą karo ataką, kurios metu nežmoniškai elgėsi su tarptautinės humanitarinės teisės saugomais asmenimis: </w:t>
      </w:r>
      <w:r w:rsidRPr="00C00255">
        <w:rPr>
          <w:rStyle w:val="Numatytasispastraiposriftas1"/>
          <w:rFonts w:eastAsia="Calibri" w:cs="Times New Roman"/>
          <w:i/>
          <w:color w:val="auto"/>
          <w:u w:val="single"/>
          <w:lang w:eastAsia="ar-SA"/>
        </w:rPr>
        <w:t xml:space="preserve">persekiojo civilius dėl politinių ir nacionalinių motyvų, kuriuos draudžia tarptautinė teisė, </w:t>
      </w:r>
      <w:r w:rsidRPr="00C00255">
        <w:rPr>
          <w:rStyle w:val="Numatytasispastraiposriftas1"/>
          <w:rFonts w:eastAsia="Calibri" w:cs="Times New Roman"/>
          <w:i/>
          <w:color w:val="auto"/>
          <w:lang w:eastAsia="ar-SA"/>
        </w:rPr>
        <w:t>juos žudė, sunkiai sutrikdė jų sveikatą, naudojo bauginimo ir teroro priemones bei tarptautinių sutarčių uždraustas karo priemones, o būtent:</w:t>
      </w:r>
    </w:p>
    <w:p w:rsidR="008C57FD" w:rsidRPr="00C00255" w:rsidRDefault="00742D54" w:rsidP="008C57FD">
      <w:pPr>
        <w:pStyle w:val="Standarduser"/>
        <w:tabs>
          <w:tab w:val="left" w:pos="8245"/>
        </w:tabs>
        <w:ind w:left="992" w:firstLine="992"/>
        <w:jc w:val="both"/>
        <w:rPr>
          <w:rFonts w:cs="Times New Roman"/>
          <w:i/>
          <w:color w:val="auto"/>
        </w:rPr>
      </w:pPr>
      <w:r w:rsidRPr="00C00255">
        <w:rPr>
          <w:rStyle w:val="Numatytasispastraiposriftas1"/>
          <w:rFonts w:eastAsia="Calibri" w:cs="Times New Roman"/>
          <w:i/>
          <w:color w:val="auto"/>
          <w:lang w:eastAsia="ar-SA"/>
        </w:rPr>
        <w:t xml:space="preserve">Dvidešimt trijų kariškių grupė, vadovaujama kaltinamojo </w:t>
      </w:r>
      <w:r w:rsidR="006036E7">
        <w:rPr>
          <w:rStyle w:val="Numatytasispastraiposriftas1"/>
          <w:rFonts w:eastAsia="Calibri" w:cs="Times New Roman"/>
          <w:i/>
          <w:color w:val="auto"/>
          <w:lang w:eastAsia="ar-SA"/>
        </w:rPr>
        <w:t>B. S.</w:t>
      </w:r>
      <w:r w:rsidRPr="00C00255">
        <w:rPr>
          <w:rStyle w:val="Numatytasispastraiposriftas1"/>
          <w:rFonts w:eastAsia="Calibri" w:cs="Times New Roman"/>
          <w:i/>
          <w:color w:val="auto"/>
          <w:lang w:eastAsia="ar-SA"/>
        </w:rPr>
        <w:t xml:space="preserve">, dalyvavo užgrobiant LRT TASK pastatą, šalino civilius darbuotojus, atjungė transliavimą užtikrinančius įrenginius. Šios užduoties vykdymui atakoje dalyvavę kariškiai buvo padalinti į dvi dalis, iš kurių viena grupė, vadovaujama kaltinamojo </w:t>
      </w:r>
      <w:r w:rsidR="006036E7">
        <w:rPr>
          <w:rStyle w:val="Numatytasispastraiposriftas1"/>
          <w:rFonts w:eastAsia="Calibri" w:cs="Times New Roman"/>
          <w:i/>
          <w:color w:val="auto"/>
          <w:lang w:eastAsia="ar-SA"/>
        </w:rPr>
        <w:t>V. G.</w:t>
      </w:r>
      <w:r w:rsidRPr="00C00255">
        <w:rPr>
          <w:rStyle w:val="Numatytasispastraiposriftas1"/>
          <w:rFonts w:eastAsia="Calibri" w:cs="Times New Roman"/>
          <w:i/>
          <w:color w:val="auto"/>
          <w:lang w:eastAsia="ar-SA"/>
        </w:rPr>
        <w:t xml:space="preserve">, įsibrovusi į pastatą, padėjo grupės „A“ kariškiams išjungti televizijos transliavimą užtikrinančius įrenginius bei nutraukti objekte ruošiamas ir transliuojamas televizijos laidas, pašalinti civilius iš pastato, tikrinti patalpas pastate. Kita kariškių grupė, vadovaujama kaltinamųjų </w:t>
      </w:r>
      <w:r w:rsidR="006036E7">
        <w:rPr>
          <w:rStyle w:val="Numatytasispastraiposriftas1"/>
          <w:rFonts w:eastAsia="Calibri" w:cs="Times New Roman"/>
          <w:i/>
          <w:color w:val="auto"/>
          <w:lang w:eastAsia="ar-SA"/>
        </w:rPr>
        <w:t>B. S.</w:t>
      </w:r>
      <w:r w:rsidRPr="00C00255">
        <w:rPr>
          <w:rStyle w:val="Numatytasispastraiposriftas1"/>
          <w:rFonts w:eastAsia="Calibri" w:cs="Times New Roman"/>
          <w:i/>
          <w:color w:val="auto"/>
          <w:lang w:eastAsia="ar-SA"/>
        </w:rPr>
        <w:t xml:space="preserve"> ir </w:t>
      </w:r>
      <w:r w:rsidR="006036E7">
        <w:rPr>
          <w:rStyle w:val="Numatytasispastraiposriftas1"/>
          <w:rFonts w:eastAsia="Calibri" w:cs="Times New Roman"/>
          <w:i/>
          <w:color w:val="auto"/>
          <w:lang w:eastAsia="ar-SA"/>
        </w:rPr>
        <w:t>S. G.</w:t>
      </w:r>
      <w:r w:rsidRPr="00C00255">
        <w:rPr>
          <w:rStyle w:val="Numatytasispastraiposriftas1"/>
          <w:rFonts w:eastAsia="Calibri" w:cs="Times New Roman"/>
          <w:i/>
          <w:color w:val="auto"/>
          <w:lang w:eastAsia="ar-SA"/>
        </w:rPr>
        <w:t>, neradusi vidinio praėjimo iš LRT TASK į LRT radijo 4 aukštų pastatą, vykdydami karo atakos eigoje gautą nurodymą, vidiniu pastatus jungiančiu koridoriumi prasibrovė iki 9 aukštų LRT Televizijos pastato. Patekusi į pastatą prisijungė prie 234-ojo pulko 3-io bataliono 7-os kuopos kariškių ir kartu šaudė pastato viduje ir išorėje į civilius, greta esančius gyvenamuosius namus 7,62 mm kalibro SVD šautuvais bei 5,45</w:t>
      </w:r>
      <w:r w:rsidR="00A77114" w:rsidRPr="00C00255">
        <w:rPr>
          <w:rStyle w:val="Numatytasispastraiposriftas1"/>
          <w:rFonts w:eastAsia="Calibri" w:cs="Times New Roman"/>
          <w:i/>
          <w:color w:val="auto"/>
          <w:lang w:eastAsia="ar-SA"/>
        </w:rPr>
        <w:t> </w:t>
      </w:r>
      <w:r w:rsidRPr="00C00255">
        <w:rPr>
          <w:rStyle w:val="Numatytasispastraiposriftas1"/>
          <w:rFonts w:eastAsia="Calibri" w:cs="Times New Roman"/>
          <w:i/>
          <w:color w:val="auto"/>
          <w:lang w:eastAsia="ar-SA"/>
        </w:rPr>
        <w:t>mm kalibro automatiniais ginklais, t.y. naudojo tarptautinių sutarčių uždraustas karo priemones – 5,45 mm kalibro šovinius su išcentruota kulka. Karo atakos metu kariškiai naudojo tiek garsinius, tiek ir kovinius šaudmenis, artimos kovos veiksmus</w:t>
      </w:r>
      <w:r w:rsidRPr="00C00255">
        <w:rPr>
          <w:rStyle w:val="Numatytasispastraiposriftas1"/>
          <w:rFonts w:eastAsia="Calibri" w:cs="Times New Roman"/>
          <w:b/>
          <w:i/>
          <w:color w:val="auto"/>
          <w:lang w:eastAsia="ar-SA"/>
        </w:rPr>
        <w:t xml:space="preserve"> –</w:t>
      </w:r>
      <w:r w:rsidRPr="00C00255">
        <w:rPr>
          <w:rStyle w:val="Numatytasispastraiposriftas1"/>
          <w:rFonts w:eastAsia="Calibri" w:cs="Times New Roman"/>
          <w:i/>
          <w:color w:val="auto"/>
          <w:lang w:eastAsia="ar-SA"/>
        </w:rPr>
        <w:t xml:space="preserve"> stumdė, smūgiavo kumščiais, spardė kojomis ir sudavė nenustatytą skaičių smūgių civiliams ginklais ir kitomis kūno sužalojimams daryti pritaikytomis priemonėmis į įvairias kūno dalis.</w:t>
      </w:r>
    </w:p>
    <w:p w:rsidR="008C57FD" w:rsidRPr="009A296B" w:rsidRDefault="00742D54" w:rsidP="009A296B">
      <w:pPr>
        <w:ind w:left="992" w:firstLine="992"/>
        <w:rPr>
          <w:i/>
        </w:rPr>
      </w:pPr>
      <w:r w:rsidRPr="009A296B">
        <w:rPr>
          <w:rFonts w:eastAsia="Calibri"/>
          <w:i/>
          <w:lang w:eastAsia="ar-SA"/>
        </w:rPr>
        <w:t xml:space="preserve">Dvidešimt šešių kariškių grupė, vadovaujama kaltinamojo </w:t>
      </w:r>
      <w:r w:rsidR="006036E7" w:rsidRPr="009A296B">
        <w:rPr>
          <w:rFonts w:eastAsia="Calibri"/>
          <w:i/>
          <w:lang w:eastAsia="ar-SA"/>
        </w:rPr>
        <w:t>R. J. 2</w:t>
      </w:r>
      <w:r w:rsidRPr="009A296B">
        <w:rPr>
          <w:rFonts w:eastAsia="Calibri"/>
          <w:i/>
          <w:lang w:eastAsia="ar-SA"/>
        </w:rPr>
        <w:t xml:space="preserve">, vykdydama užduotį, įsibrovė į LRT Techninį pastatą ir pašalino iš jų civilį. Ryšio priemonėmis gavęs </w:t>
      </w:r>
      <w:r w:rsidR="00385BC9" w:rsidRPr="009A296B">
        <w:rPr>
          <w:rFonts w:eastAsia="Calibri"/>
          <w:i/>
          <w:lang w:eastAsia="ar-SA"/>
        </w:rPr>
        <w:t>G. G.</w:t>
      </w:r>
      <w:r w:rsidRPr="009A296B">
        <w:rPr>
          <w:rFonts w:eastAsia="Calibri"/>
          <w:i/>
          <w:lang w:eastAsia="ar-SA"/>
        </w:rPr>
        <w:t xml:space="preserve"> nurodymą, </w:t>
      </w:r>
      <w:r w:rsidR="006036E7" w:rsidRPr="009A296B">
        <w:rPr>
          <w:rFonts w:eastAsia="Calibri"/>
          <w:i/>
          <w:lang w:eastAsia="ar-SA"/>
        </w:rPr>
        <w:t>R. J. 2</w:t>
      </w:r>
      <w:r w:rsidRPr="009A296B">
        <w:rPr>
          <w:rFonts w:eastAsia="Calibri"/>
          <w:i/>
          <w:lang w:eastAsia="ar-SA"/>
        </w:rPr>
        <w:t>, prisijungė prie kariškių iš 237-ojo pulko 1-ojo bataliono 1-osios ir 2-osios kuopų ir kitų minėtų struktūrų kariškių, užgrobusių LRT radijo pastatą.</w:t>
      </w:r>
    </w:p>
    <w:p w:rsidR="008C57FD" w:rsidRPr="009A296B" w:rsidRDefault="00742D54" w:rsidP="009A296B">
      <w:pPr>
        <w:ind w:left="992" w:firstLine="992"/>
        <w:rPr>
          <w:i/>
        </w:rPr>
      </w:pPr>
      <w:r w:rsidRPr="009A296B">
        <w:rPr>
          <w:rFonts w:eastAsia="Calibri"/>
          <w:i/>
          <w:lang w:eastAsia="ar-SA"/>
        </w:rPr>
        <w:t>Keturi kariškiai užtikrino aptvertos LRT teritorijos dalies, esančios prie užgrobtų LRT Radijo ir LRT Techninio pastatų, apsaugą, o kiti kariškiai šaudė pastato viduje ir išorėje į civilius, greta esančius gyvenamuosius namus iš 7,62 mm kalibro SVD šautuvų bei 5,45</w:t>
      </w:r>
      <w:r w:rsidR="00A77114" w:rsidRPr="009A296B">
        <w:rPr>
          <w:rFonts w:eastAsia="Calibri"/>
          <w:i/>
          <w:lang w:eastAsia="ar-SA"/>
        </w:rPr>
        <w:t> </w:t>
      </w:r>
      <w:r w:rsidRPr="009A296B">
        <w:rPr>
          <w:rFonts w:eastAsia="Calibri"/>
          <w:i/>
          <w:lang w:eastAsia="ar-SA"/>
        </w:rPr>
        <w:t>mm kalibro automatinių ginklų, taip naudodami tarptautinių sutarčių uždraustas karo priemones – 5,45 mm kalibro šovinius su išcentruota kulka. Karo atakos metu kariškiai naudojo tiek garsinius, tiek ir kovinius šaudmenis bei artimos kovo veiksmus – stumdė, smūgiavo kumščiais, spardė kojomis ir sudavė nenustatytą skaičių smūgių civiliams ginklais ir kitomis kūno sužalojimams daryti pritaikytomis priemonėmis į įvairias kūno dalis.</w:t>
      </w:r>
    </w:p>
    <w:p w:rsidR="008C57FD" w:rsidRPr="009A296B" w:rsidRDefault="00742D54" w:rsidP="009A296B">
      <w:pPr>
        <w:ind w:left="992" w:firstLine="992"/>
        <w:rPr>
          <w:i/>
        </w:rPr>
      </w:pPr>
      <w:r w:rsidRPr="009A296B">
        <w:rPr>
          <w:rFonts w:eastAsia="Calibri"/>
          <w:i/>
          <w:lang w:eastAsia="ar-SA"/>
        </w:rPr>
        <w:t>Tanko Nr. 574 ekipažas, puolimo pradžioje užtvėręs S. Konarskio gatvę sankryžoje su K. Požėlos (dabar V. Pietario) gatve, užtikrindamas LRT puolamų objektų apsaugą, įvažiavo į saugomą LRT teritorijos dalį.</w:t>
      </w:r>
    </w:p>
    <w:p w:rsidR="008C57FD" w:rsidRPr="009A296B" w:rsidRDefault="00742D54" w:rsidP="009A296B">
      <w:pPr>
        <w:ind w:left="992" w:firstLine="992"/>
        <w:rPr>
          <w:i/>
        </w:rPr>
      </w:pPr>
      <w:r w:rsidRPr="009A296B">
        <w:rPr>
          <w:rFonts w:eastAsia="Calibri"/>
          <w:i/>
          <w:lang w:eastAsia="ar-SA"/>
        </w:rPr>
        <w:t>1991 m. sausio 13 d., apie 1.30 val., grupės „A“ ir ikiteisminio tyrimo metu nenustatyti 76-osios oro desanto divizijos jungtinio karinio vieneto kariškiai, po Lietuvos radijo ir televizijos centro radijofonijos cecho, esančio Vilniuj</w:t>
      </w:r>
      <w:r w:rsidR="004E4879" w:rsidRPr="009A296B">
        <w:rPr>
          <w:rFonts w:eastAsia="Calibri"/>
          <w:i/>
          <w:lang w:eastAsia="ar-SA"/>
        </w:rPr>
        <w:t>e, Tujų g. 2, užgrobimo, apie 2 </w:t>
      </w:r>
      <w:r w:rsidRPr="009A296B">
        <w:rPr>
          <w:rFonts w:eastAsia="Calibri"/>
          <w:i/>
          <w:lang w:eastAsia="ar-SA"/>
        </w:rPr>
        <w:t xml:space="preserve">val., pagal grupės „A“ veiksmus koordinavusio ir jiems vadovavusio </w:t>
      </w:r>
      <w:r w:rsidR="00385BC9" w:rsidRPr="009A296B">
        <w:rPr>
          <w:rFonts w:eastAsia="Calibri"/>
          <w:i/>
          <w:lang w:eastAsia="ar-SA"/>
        </w:rPr>
        <w:t>M. G.</w:t>
      </w:r>
      <w:r w:rsidRPr="009A296B">
        <w:rPr>
          <w:rFonts w:eastAsia="Calibri"/>
          <w:i/>
          <w:lang w:eastAsia="ar-SA"/>
        </w:rPr>
        <w:t xml:space="preserve"> nurodymą, atvyko prie LRT ir prisijungė prie kitų </w:t>
      </w:r>
      <w:r w:rsidR="00385BC9" w:rsidRPr="009A296B">
        <w:rPr>
          <w:rFonts w:eastAsia="Calibri"/>
          <w:i/>
          <w:lang w:eastAsia="ar-SA"/>
        </w:rPr>
        <w:t>J. Č.</w:t>
      </w:r>
      <w:r w:rsidRPr="009A296B">
        <w:rPr>
          <w:rFonts w:eastAsia="Calibri"/>
          <w:i/>
          <w:lang w:eastAsia="ar-SA"/>
        </w:rPr>
        <w:t xml:space="preserve"> vadovaujamų grupės „A“ kariškių ir kartu prieš civilius asmenis naudojo tas pačias bauginimo ir teroro bei tarptautinių sutarčių uždraustas karo priemones.</w:t>
      </w:r>
    </w:p>
    <w:p w:rsidR="008C57FD" w:rsidRPr="00C00255" w:rsidRDefault="00742D54" w:rsidP="008C57FD">
      <w:pPr>
        <w:pStyle w:val="Standarduser"/>
        <w:tabs>
          <w:tab w:val="left" w:pos="8245"/>
        </w:tabs>
        <w:ind w:left="992" w:firstLine="992"/>
        <w:jc w:val="both"/>
        <w:rPr>
          <w:rStyle w:val="Numatytasispastraiposriftas1"/>
          <w:rFonts w:cs="Times New Roman"/>
          <w:i/>
          <w:color w:val="auto"/>
        </w:rPr>
      </w:pPr>
      <w:r w:rsidRPr="00C00255">
        <w:rPr>
          <w:rStyle w:val="Numatytasispastraiposriftas1"/>
          <w:rFonts w:eastAsia="Calibri" w:cs="Times New Roman"/>
          <w:i/>
          <w:color w:val="auto"/>
          <w:lang w:eastAsia="ar-SA"/>
        </w:rPr>
        <w:t>1991 m. sausio 13 d., apie 1 val. 30 min., LKP/TSKP Vilniaus miesto komitete, Gedimino pr. 36, Vilniuje, draugovininkams pagal vadovavimo štabo planą ir nusikaltimų žmoniškumui bei karo nusikaltimų kurstytojų (</w:t>
      </w:r>
      <w:r w:rsidR="00C507EF">
        <w:rPr>
          <w:rStyle w:val="Numatytasispastraiposriftas1"/>
          <w:rFonts w:eastAsia="Calibri" w:cs="Times New Roman"/>
          <w:i/>
          <w:color w:val="auto"/>
          <w:lang w:eastAsia="ar-SA"/>
        </w:rPr>
        <w:t>M. B.</w:t>
      </w:r>
      <w:r w:rsidR="008C57FD" w:rsidRPr="00C00255">
        <w:rPr>
          <w:rStyle w:val="Numatytasispastraiposriftas1"/>
          <w:rFonts w:eastAsia="Calibri" w:cs="Times New Roman"/>
          <w:i/>
          <w:color w:val="auto"/>
          <w:lang w:eastAsia="ar-SA"/>
        </w:rPr>
        <w:t xml:space="preserve">, </w:t>
      </w:r>
      <w:r w:rsidR="00C507EF">
        <w:rPr>
          <w:rStyle w:val="Numatytasispastraiposriftas1"/>
          <w:rFonts w:eastAsia="Calibri" w:cs="Times New Roman"/>
          <w:i/>
          <w:color w:val="auto"/>
          <w:lang w:eastAsia="ar-SA"/>
        </w:rPr>
        <w:t>J. K.</w:t>
      </w:r>
      <w:r w:rsidR="008C57FD" w:rsidRPr="00C00255">
        <w:rPr>
          <w:rStyle w:val="Numatytasispastraiposriftas1"/>
          <w:rFonts w:eastAsia="Calibri" w:cs="Times New Roman"/>
          <w:i/>
          <w:color w:val="auto"/>
          <w:lang w:eastAsia="ar-SA"/>
        </w:rPr>
        <w:t xml:space="preserve">, </w:t>
      </w:r>
      <w:r w:rsidR="00C507EF">
        <w:rPr>
          <w:rStyle w:val="Numatytasispastraiposriftas1"/>
          <w:rFonts w:eastAsia="Calibri" w:cs="Times New Roman"/>
          <w:i/>
          <w:color w:val="auto"/>
          <w:lang w:eastAsia="ar-SA"/>
        </w:rPr>
        <w:t>J. J.</w:t>
      </w:r>
      <w:r w:rsidRPr="00C00255">
        <w:rPr>
          <w:rStyle w:val="Numatytasispastraiposriftas1"/>
          <w:rFonts w:eastAsia="Calibri" w:cs="Times New Roman"/>
          <w:i/>
          <w:color w:val="auto"/>
          <w:lang w:eastAsia="ar-SA"/>
        </w:rPr>
        <w:t xml:space="preserve">) bei kaltinamųjų </w:t>
      </w:r>
      <w:r w:rsidR="00385BC9">
        <w:rPr>
          <w:rStyle w:val="Numatytasispastraiposriftas1"/>
          <w:rFonts w:eastAsia="Calibri" w:cs="Times New Roman"/>
          <w:i/>
          <w:color w:val="auto"/>
          <w:lang w:eastAsia="ar-SA"/>
        </w:rPr>
        <w:t>V. Š. 1</w:t>
      </w:r>
      <w:r w:rsidRPr="00C00255">
        <w:rPr>
          <w:rStyle w:val="Numatytasispastraiposriftas1"/>
          <w:rFonts w:eastAsia="Calibri" w:cs="Times New Roman"/>
          <w:i/>
          <w:color w:val="auto"/>
          <w:lang w:eastAsia="ar-SA"/>
        </w:rPr>
        <w:t xml:space="preserve"> ir </w:t>
      </w:r>
      <w:r w:rsidR="00385BC9">
        <w:rPr>
          <w:rStyle w:val="Numatytasispastraiposriftas1"/>
          <w:rFonts w:eastAsia="Calibri" w:cs="Times New Roman"/>
          <w:i/>
          <w:color w:val="auto"/>
          <w:lang w:eastAsia="ar-SA"/>
        </w:rPr>
        <w:t>A. N. 1</w:t>
      </w:r>
      <w:r w:rsidRPr="00C00255">
        <w:rPr>
          <w:rStyle w:val="Numatytasispastraiposriftas1"/>
          <w:rFonts w:eastAsia="Calibri" w:cs="Times New Roman"/>
          <w:i/>
          <w:color w:val="auto"/>
          <w:lang w:eastAsia="ar-SA"/>
        </w:rPr>
        <w:t xml:space="preserve"> nurodymą, perduotą per kaltinamąjį </w:t>
      </w:r>
      <w:r w:rsidR="00385BC9">
        <w:rPr>
          <w:rStyle w:val="Numatytasispastraiposriftas1"/>
          <w:rFonts w:eastAsia="Calibri" w:cs="Times New Roman"/>
          <w:i/>
          <w:color w:val="auto"/>
          <w:lang w:eastAsia="ar-SA"/>
        </w:rPr>
        <w:t>R. J. 1</w:t>
      </w:r>
      <w:r w:rsidRPr="00C00255">
        <w:rPr>
          <w:rStyle w:val="Numatytasispastraiposriftas1"/>
          <w:rFonts w:eastAsia="Calibri" w:cs="Times New Roman"/>
          <w:i/>
          <w:color w:val="auto"/>
          <w:lang w:eastAsia="ar-SA"/>
        </w:rPr>
        <w:t xml:space="preserve">, buvo pavesta vykti į TSRS kariškių puolamus TV bokštą bei LRT ir padėti juos užgrobti. Vykdant šį nurodymą, apie 2 val. 15 min., iš LKP/TSKP Vilniaus miesto komiteto dviem autobusais, vienu mikroautobusu ir lengvuoju automobiliu prie LRT atvyko apie 100 draugovininkų, su savimi turėdami priemones, pritaikytas žmonėms žaloti. Draugovininkų grupė, kuriai vadovavo </w:t>
      </w:r>
      <w:r w:rsidR="00385BC9">
        <w:rPr>
          <w:rStyle w:val="Numatytasispastraiposriftas1"/>
          <w:rFonts w:eastAsia="Calibri" w:cs="Times New Roman"/>
          <w:i/>
          <w:color w:val="auto"/>
          <w:lang w:eastAsia="ar-SA"/>
        </w:rPr>
        <w:t>R. J. 1</w:t>
      </w:r>
      <w:r w:rsidRPr="00C00255">
        <w:rPr>
          <w:rStyle w:val="Numatytasispastraiposriftas1"/>
          <w:rFonts w:eastAsia="Calibri" w:cs="Times New Roman"/>
          <w:i/>
          <w:color w:val="auto"/>
          <w:lang w:eastAsia="ar-SA"/>
        </w:rPr>
        <w:t xml:space="preserve">, prisijungė prie TSRS karinių struktūrų vykdomos tarptautinės humanitarinės teisės draudžiamos karo atakos prieš civilius. </w:t>
      </w:r>
      <w:r w:rsidRPr="00C00255">
        <w:rPr>
          <w:rStyle w:val="Numatytasispastraiposriftas1"/>
          <w:rFonts w:eastAsia="Calibri" w:cs="Times New Roman"/>
          <w:i/>
          <w:color w:val="auto"/>
          <w:u w:val="single"/>
          <w:lang w:eastAsia="ar-SA"/>
        </w:rPr>
        <w:t>Karo</w:t>
      </w:r>
      <w:r w:rsidRPr="00C00255">
        <w:rPr>
          <w:rStyle w:val="Numatytasispastraiposriftas1"/>
          <w:rFonts w:eastAsia="Calibri" w:cs="Times New Roman"/>
          <w:i/>
          <w:color w:val="auto"/>
          <w:lang w:eastAsia="ar-SA"/>
        </w:rPr>
        <w:t xml:space="preserve"> atakos metu kartu su aukščiau nurodytomis TSRS karinėmis struktūromis, draugovininkai puldami prie užgrobiamų LRT pastatų ir braudamiesi pro civilius, naudojo artimos kovos veiksmus – sudavė civiliams smūgius rankomis, kojomis ir atsivežtomis priemonėmis, t.y. civilių atžvilgiu naudojo fizinį smurtą, pavojingą jų gyvyb</w:t>
      </w:r>
      <w:r w:rsidR="008C57FD" w:rsidRPr="00C00255">
        <w:rPr>
          <w:rStyle w:val="Numatytasispastraiposriftas1"/>
          <w:rFonts w:eastAsia="Calibri" w:cs="Times New Roman"/>
          <w:i/>
          <w:color w:val="auto"/>
          <w:lang w:eastAsia="ar-SA"/>
        </w:rPr>
        <w:t xml:space="preserve">ei. Prasibrovę pro civilius, </w:t>
      </w:r>
      <w:r w:rsidR="00385BC9">
        <w:rPr>
          <w:rStyle w:val="Numatytasispastraiposriftas1"/>
          <w:rFonts w:eastAsia="Calibri" w:cs="Times New Roman"/>
          <w:i/>
          <w:color w:val="auto"/>
          <w:lang w:eastAsia="ar-SA"/>
        </w:rPr>
        <w:t>R. J. 1</w:t>
      </w:r>
      <w:r w:rsidRPr="00C00255">
        <w:rPr>
          <w:rStyle w:val="Numatytasispastraiposriftas1"/>
          <w:rFonts w:eastAsia="Calibri" w:cs="Times New Roman"/>
          <w:i/>
          <w:color w:val="auto"/>
          <w:lang w:eastAsia="ar-SA"/>
        </w:rPr>
        <w:t xml:space="preserve"> nurodymu, draugovininkai išsirikiavo priešais TSRS karinių struktūrų puolamus LRT pastatus ir kartu su kariškiais vykdė minėtų objektų apsaugą nuo civilių.</w:t>
      </w:r>
    </w:p>
    <w:p w:rsidR="008C57FD" w:rsidRPr="009A296B" w:rsidRDefault="00742D54" w:rsidP="009A296B">
      <w:pPr>
        <w:ind w:left="992" w:firstLine="992"/>
        <w:rPr>
          <w:i/>
        </w:rPr>
      </w:pPr>
      <w:r w:rsidRPr="009A296B">
        <w:rPr>
          <w:rFonts w:eastAsia="Calibri"/>
          <w:i/>
          <w:lang w:eastAsia="ar-SA" w:bidi="lt-LT"/>
        </w:rPr>
        <w:t>Tarptautinės humanitarinės teisės draudžiamos karo atakos prieš civilius metu joje dalyvavę bendrai veikę asmenys žudė civilius, sunkiai sutrikdė jų sveikatą, o taip pat persekiojo dėl politinių ir nacionalinių motyvų, kuriuos draudžia tarptautinė teisė, o būtent:</w:t>
      </w:r>
    </w:p>
    <w:p w:rsidR="008C57FD" w:rsidRPr="009A296B" w:rsidRDefault="00742D54" w:rsidP="009A296B">
      <w:pPr>
        <w:ind w:left="992" w:firstLine="992"/>
        <w:rPr>
          <w:i/>
        </w:rPr>
      </w:pPr>
      <w:r w:rsidRPr="009A296B">
        <w:rPr>
          <w:rFonts w:eastAsia="Calibri"/>
          <w:i/>
          <w:lang w:eastAsia="ar-SA"/>
        </w:rPr>
        <w:t>Grupės „A“ ir mokomosios specialios paskirties kuopos kariškiai, panaudoję šviesos ir garso sprogstamąjį įtaisą, prie LRT radijo pastato:</w:t>
      </w:r>
    </w:p>
    <w:p w:rsidR="008C57FD" w:rsidRPr="009A296B" w:rsidRDefault="00742D54" w:rsidP="009A296B">
      <w:pPr>
        <w:ind w:left="992" w:firstLine="992"/>
        <w:rPr>
          <w:i/>
        </w:rPr>
      </w:pPr>
      <w:r w:rsidRPr="009A296B">
        <w:rPr>
          <w:rFonts w:eastAsia="Calibri"/>
          <w:i/>
          <w:lang w:eastAsia="ar-SA"/>
        </w:rPr>
        <w:t xml:space="preserve">- nužudė </w:t>
      </w:r>
      <w:r w:rsidR="004E4879" w:rsidRPr="009A296B">
        <w:rPr>
          <w:rFonts w:eastAsia="Calibri"/>
          <w:i/>
          <w:lang w:eastAsia="ar-SA"/>
        </w:rPr>
        <w:t>A. K.</w:t>
      </w:r>
      <w:r w:rsidRPr="009A296B">
        <w:rPr>
          <w:rFonts w:eastAsia="Calibri"/>
          <w:i/>
          <w:lang w:eastAsia="ar-SA"/>
        </w:rPr>
        <w:t>, mirusį nuo ūmaus kraujo netekimo, įvykusio nuo krūtinės ląstos traumos, dešinės pusės šonkaulių sutrupinimo ir dešinės pusės plaučio viduriniosios ir apatiniosios skilties suknežinimo;</w:t>
      </w:r>
    </w:p>
    <w:p w:rsidR="008C57FD" w:rsidRPr="009A296B" w:rsidRDefault="00742D54" w:rsidP="009A296B">
      <w:pPr>
        <w:ind w:left="992" w:firstLine="992"/>
        <w:rPr>
          <w:rFonts w:eastAsia="Calibri"/>
          <w:i/>
          <w:lang w:eastAsia="ar-SA"/>
        </w:rPr>
      </w:pPr>
      <w:r w:rsidRPr="009A296B">
        <w:rPr>
          <w:rFonts w:eastAsia="Calibri"/>
          <w:i/>
          <w:lang w:eastAsia="ar-SA"/>
        </w:rPr>
        <w:t xml:space="preserve">- sunkiai sutrikdė </w:t>
      </w:r>
      <w:r w:rsidR="004E4879" w:rsidRPr="009A296B">
        <w:rPr>
          <w:rFonts w:eastAsia="Calibri"/>
          <w:i/>
          <w:lang w:eastAsia="ar-SA"/>
        </w:rPr>
        <w:t>K. B.</w:t>
      </w:r>
      <w:r w:rsidRPr="009A296B">
        <w:rPr>
          <w:rFonts w:eastAsia="Calibri"/>
          <w:i/>
          <w:lang w:eastAsia="ar-SA"/>
        </w:rPr>
        <w:t xml:space="preserve"> ir </w:t>
      </w:r>
      <w:r w:rsidR="004E4879" w:rsidRPr="009A296B">
        <w:rPr>
          <w:rFonts w:eastAsia="Calibri"/>
          <w:i/>
          <w:lang w:eastAsia="ar-SA"/>
        </w:rPr>
        <w:t>A. V.</w:t>
      </w:r>
      <w:r w:rsidRPr="009A296B">
        <w:rPr>
          <w:rFonts w:eastAsia="Calibri"/>
          <w:i/>
          <w:lang w:eastAsia="ar-SA"/>
        </w:rPr>
        <w:t xml:space="preserve"> sveikatą. </w:t>
      </w:r>
      <w:r w:rsidR="004E4879" w:rsidRPr="009A296B">
        <w:rPr>
          <w:rFonts w:eastAsia="Calibri"/>
          <w:i/>
          <w:lang w:eastAsia="ar-SA"/>
        </w:rPr>
        <w:t>K. B.</w:t>
      </w:r>
      <w:r w:rsidRPr="009A296B">
        <w:rPr>
          <w:rFonts w:eastAsia="Calibri"/>
          <w:i/>
          <w:lang w:eastAsia="ar-SA"/>
        </w:rPr>
        <w:t xml:space="preserve"> padarė daugybines plėštines žaizdas ir odos nubrozdinimus veide, krūtinėje, pilve-gaktoje, kojų šlaunyse ir blauzdose, plaštakose su veido odos impregnacija suodžiais (paraku) ir veido plaukų nudegimu, dešinės akies ragenos nudegimą, trauminį abiejų ausų būgnelių plyšimą ir klausos nervų pakenkimą su jų uždegimu bei viso kūno sumušimu ir sukrėtimu su plaučių audinio sumušimu ir plyšimu, ir keturių dantų lūžimu. </w:t>
      </w:r>
      <w:r w:rsidR="004E4879" w:rsidRPr="009A296B">
        <w:rPr>
          <w:rFonts w:eastAsia="Calibri"/>
          <w:i/>
          <w:lang w:eastAsia="ar-SA"/>
        </w:rPr>
        <w:t>A. V.</w:t>
      </w:r>
      <w:r w:rsidRPr="009A296B">
        <w:rPr>
          <w:rFonts w:eastAsia="Calibri"/>
          <w:i/>
          <w:lang w:eastAsia="ar-SA"/>
        </w:rPr>
        <w:t xml:space="preserve"> padarė dešiniosios akies tinklainės didelės jos dalies atsisluoksniavimą ir kraujo išsiliejimą į stiklakūnį bei nežymų kairiosios akies tinklainės atsisluoksniavimą, dėl ko nukentėjusysis neteko regos dešine akimi, o kairiosios akies rega sumažėjo nuo 1,0 iki 0,9 D.</w:t>
      </w:r>
    </w:p>
    <w:p w:rsidR="008C57FD" w:rsidRPr="009A296B" w:rsidRDefault="00742D54" w:rsidP="009A296B">
      <w:pPr>
        <w:ind w:left="992" w:firstLine="992"/>
        <w:rPr>
          <w:i/>
        </w:rPr>
      </w:pPr>
      <w:r w:rsidRPr="009A296B">
        <w:rPr>
          <w:rFonts w:eastAsia="Calibri"/>
          <w:i/>
          <w:lang w:eastAsia="ar-SA"/>
        </w:rPr>
        <w:t>Karo atakos metu visų karinių struktūrų kariškiai:</w:t>
      </w:r>
    </w:p>
    <w:p w:rsidR="008C57FD" w:rsidRPr="009A296B" w:rsidRDefault="00742D54" w:rsidP="009A296B">
      <w:pPr>
        <w:ind w:left="992" w:firstLine="992"/>
        <w:rPr>
          <w:i/>
        </w:rPr>
      </w:pPr>
      <w:r w:rsidRPr="009A296B">
        <w:rPr>
          <w:rFonts w:eastAsia="Calibri"/>
          <w:i/>
          <w:lang w:eastAsia="ar-SA"/>
        </w:rPr>
        <w:t xml:space="preserve">- sudavę civiliams smūgius kumščiais, kojomis, ginklais bei kitomis priemonėmis, bendrais veiksmais sunkiai sutrikdė </w:t>
      </w:r>
      <w:r w:rsidR="004E4879" w:rsidRPr="009A296B">
        <w:rPr>
          <w:rFonts w:eastAsia="Calibri"/>
          <w:i/>
          <w:lang w:eastAsia="ar-SA"/>
        </w:rPr>
        <w:t>P. L.</w:t>
      </w:r>
      <w:r w:rsidRPr="009A296B">
        <w:rPr>
          <w:rFonts w:eastAsia="Calibri"/>
          <w:i/>
          <w:lang w:eastAsia="ar-SA"/>
        </w:rPr>
        <w:t xml:space="preserve"> ir </w:t>
      </w:r>
      <w:r w:rsidR="004E4879" w:rsidRPr="009A296B">
        <w:rPr>
          <w:rFonts w:eastAsia="Calibri"/>
          <w:i/>
          <w:lang w:eastAsia="ar-SA"/>
        </w:rPr>
        <w:t>V. B.</w:t>
      </w:r>
      <w:r w:rsidRPr="009A296B">
        <w:rPr>
          <w:rFonts w:eastAsia="Calibri"/>
          <w:i/>
          <w:lang w:eastAsia="ar-SA"/>
        </w:rPr>
        <w:t xml:space="preserve"> sveikatą. </w:t>
      </w:r>
      <w:r w:rsidR="004E4879" w:rsidRPr="009A296B">
        <w:rPr>
          <w:rFonts w:eastAsia="Calibri"/>
          <w:i/>
          <w:lang w:eastAsia="ar-SA"/>
        </w:rPr>
        <w:t>P. L.</w:t>
      </w:r>
      <w:r w:rsidRPr="009A296B">
        <w:rPr>
          <w:rFonts w:eastAsia="Calibri"/>
          <w:i/>
          <w:lang w:eastAsia="ar-SA"/>
        </w:rPr>
        <w:t xml:space="preserve"> prie LRT Radijo pastato padarė užda</w:t>
      </w:r>
      <w:r w:rsidR="004E4879" w:rsidRPr="009A296B">
        <w:rPr>
          <w:rFonts w:eastAsia="Calibri"/>
          <w:i/>
          <w:lang w:eastAsia="ar-SA"/>
        </w:rPr>
        <w:t>rą dešinio inksto plyšimą, o V. </w:t>
      </w:r>
      <w:r w:rsidRPr="009A296B">
        <w:rPr>
          <w:rFonts w:eastAsia="Calibri"/>
          <w:i/>
          <w:lang w:eastAsia="ar-SA"/>
        </w:rPr>
        <w:t>B</w:t>
      </w:r>
      <w:r w:rsidR="004E4879" w:rsidRPr="009A296B">
        <w:rPr>
          <w:rFonts w:eastAsia="Calibri"/>
          <w:i/>
          <w:lang w:eastAsia="ar-SA"/>
        </w:rPr>
        <w:t>.</w:t>
      </w:r>
      <w:r w:rsidRPr="009A296B">
        <w:rPr>
          <w:rFonts w:eastAsia="Calibri"/>
          <w:i/>
          <w:lang w:eastAsia="ar-SA"/>
        </w:rPr>
        <w:t xml:space="preserve"> LRT teritorijoje padarė muštinę viršugalvio kairės pusės žaizdą su atviru įspaustiniu kairio momenkaulio lūžiu, galvos smegenų sumušimą ir pakraujavimą po smegenų voratinkliniu dangalu, nubrozdino veidą ir padarė kraujosruvą dešiniajame žaste;</w:t>
      </w:r>
    </w:p>
    <w:p w:rsidR="008C57FD" w:rsidRPr="009A296B" w:rsidRDefault="00742D54" w:rsidP="009A296B">
      <w:pPr>
        <w:ind w:left="992" w:firstLine="992"/>
        <w:rPr>
          <w:i/>
        </w:rPr>
      </w:pPr>
      <w:r w:rsidRPr="009A296B">
        <w:rPr>
          <w:rFonts w:eastAsia="Calibri"/>
          <w:i/>
          <w:lang w:eastAsia="ar-SA"/>
        </w:rPr>
        <w:t xml:space="preserve">- panaudoję šaunamuosius ginklus, bendrais veiksmais sunkiai sutrikdė </w:t>
      </w:r>
      <w:r w:rsidR="004E4879" w:rsidRPr="009A296B">
        <w:rPr>
          <w:rFonts w:eastAsia="Calibri"/>
          <w:i/>
          <w:lang w:eastAsia="ar-SA"/>
        </w:rPr>
        <w:t>V. B.</w:t>
      </w:r>
      <w:r w:rsidRPr="009A296B">
        <w:rPr>
          <w:rFonts w:eastAsia="Calibri"/>
          <w:i/>
          <w:lang w:eastAsia="ar-SA"/>
        </w:rPr>
        <w:t xml:space="preserve"> sveikatą. Nukentėjusiajam LRT patalpose padarė kiauryminį šautinį dešinės šlaunies viršutinio trečdalio sužalojimą su įėjimo anga šlaunies priekiniame paviršiuje ir išėjimo anga jos užpakaliniame paviršiuje prie sėdmens bei atviru skeveldriniu pergumburiniu dešinio šlaunikaulio lūžiu.</w:t>
      </w:r>
    </w:p>
    <w:p w:rsidR="008C57FD" w:rsidRPr="009A296B" w:rsidRDefault="00742D54" w:rsidP="009A296B">
      <w:pPr>
        <w:ind w:left="992" w:firstLine="992"/>
        <w:rPr>
          <w:i/>
        </w:rPr>
      </w:pPr>
      <w:r w:rsidRPr="009A296B">
        <w:rPr>
          <w:rFonts w:eastAsia="Calibri"/>
          <w:i/>
          <w:lang w:eastAsia="ar-SA"/>
        </w:rPr>
        <w:t xml:space="preserve">- panaudoję šaunamuosius ginklus, šviesos ir garso sprogstamuosius įtaisus, sunkiai sutrikdė </w:t>
      </w:r>
      <w:r w:rsidR="004E4879" w:rsidRPr="009A296B">
        <w:rPr>
          <w:rFonts w:eastAsia="Calibri"/>
          <w:i/>
          <w:lang w:eastAsia="ar-SA"/>
        </w:rPr>
        <w:t>K. Č.</w:t>
      </w:r>
      <w:r w:rsidRPr="009A296B">
        <w:rPr>
          <w:rFonts w:eastAsia="Calibri"/>
          <w:i/>
          <w:lang w:eastAsia="ar-SA"/>
        </w:rPr>
        <w:t xml:space="preserve"> sveikatą. Nukentėjusiajai padarė šautinį abiejų šlaunų, kairės blauzdos ir abiejų pėdų sužalojimą, kairės blauzdos kaulo atvirą skeveldrinį lūžimą.</w:t>
      </w:r>
    </w:p>
    <w:p w:rsidR="008C57FD" w:rsidRPr="009A296B" w:rsidRDefault="00742D54" w:rsidP="009A296B">
      <w:pPr>
        <w:ind w:left="992" w:firstLine="992"/>
        <w:rPr>
          <w:i/>
        </w:rPr>
      </w:pPr>
      <w:r w:rsidRPr="009A296B">
        <w:rPr>
          <w:rFonts w:eastAsia="Calibri"/>
          <w:i/>
          <w:lang w:eastAsia="ar-SA"/>
        </w:rPr>
        <w:t xml:space="preserve">Karo atakos metu dalyvavę nenustatyti draugovininkai, sudavę civiliams smūgius rankomis, kojomis ir kitomis priemonėmis, LRT teritorijoje sunkiai sutrikdė </w:t>
      </w:r>
      <w:r w:rsidR="004E4879" w:rsidRPr="009A296B">
        <w:rPr>
          <w:rFonts w:eastAsia="Calibri"/>
          <w:i/>
          <w:lang w:eastAsia="ar-SA"/>
        </w:rPr>
        <w:t xml:space="preserve">A. K. </w:t>
      </w:r>
      <w:r w:rsidRPr="009A296B">
        <w:rPr>
          <w:rFonts w:eastAsia="Calibri"/>
          <w:i/>
          <w:lang w:eastAsia="ar-SA"/>
        </w:rPr>
        <w:t>sveikatą. Nukentėjusiajam padarė stiprų veido sumušimą su smegenų sumušimu, dešiniojo smilkinkaulio ir kaukolės pamato vidurinės daubos lūžimą dešinėje, kairio momenkaulio įskilimą, nosikaulių lūžimą, trišakio nervo 2-os šakos neuralgiją, muštinę žaizdą nosies nugarėlėje, kraujosruvas veido dešinėje pusėje.</w:t>
      </w:r>
    </w:p>
    <w:p w:rsidR="008C57FD" w:rsidRPr="009A296B" w:rsidRDefault="00742D54" w:rsidP="009A296B">
      <w:pPr>
        <w:ind w:left="992" w:firstLine="992"/>
        <w:rPr>
          <w:i/>
        </w:rPr>
      </w:pPr>
      <w:r w:rsidRPr="009A296B">
        <w:rPr>
          <w:rFonts w:eastAsia="Calibri"/>
          <w:i/>
          <w:lang w:eastAsia="ar-SA"/>
        </w:rPr>
        <w:t xml:space="preserve">Karo atakos prie LRT metu dalyvavę visi karinių struktūrų kariškiai bendrais veiksmais užgrobė LRT pastatus, o juos gynusiems civiliams padarė tyčinius nesunkius sveikatos sutrikdymus šimtui aštuoniems civiliams: </w:t>
      </w:r>
      <w:r w:rsidR="004E4879" w:rsidRPr="009A296B">
        <w:rPr>
          <w:rFonts w:eastAsia="Calibri"/>
          <w:i/>
          <w:lang w:eastAsia="ar-SA"/>
        </w:rPr>
        <w:t>(duomenys neskelbtini)</w:t>
      </w:r>
      <w:r w:rsidRPr="009A296B">
        <w:rPr>
          <w:rFonts w:eastAsia="Calibri"/>
          <w:i/>
          <w:lang w:eastAsia="ar-SA"/>
        </w:rPr>
        <w:t>.</w:t>
      </w:r>
    </w:p>
    <w:p w:rsidR="00742D54" w:rsidRPr="009A296B" w:rsidRDefault="00742D54" w:rsidP="009A296B">
      <w:pPr>
        <w:ind w:left="992" w:firstLine="992"/>
        <w:rPr>
          <w:i/>
        </w:rPr>
      </w:pPr>
      <w:r w:rsidRPr="009A296B">
        <w:rPr>
          <w:i/>
          <w:lang w:eastAsia="ar-SA"/>
        </w:rPr>
        <w:t xml:space="preserve">LRT pastatus gynusiems civiliams padarė tyčinius nežymius sveikatos sutrikdymus devyniasdešimt penkiems civiliams: </w:t>
      </w:r>
      <w:r w:rsidR="004E4879" w:rsidRPr="009A296B">
        <w:rPr>
          <w:i/>
          <w:lang w:eastAsia="ar-SA"/>
        </w:rPr>
        <w:t>(duomenys neskelbtini)</w:t>
      </w:r>
      <w:r w:rsidRPr="009A296B">
        <w:rPr>
          <w:i/>
          <w:lang w:eastAsia="ar-SA"/>
        </w:rPr>
        <w:t>.</w:t>
      </w:r>
    </w:p>
    <w:p w:rsidR="00742D54" w:rsidRPr="00C00255" w:rsidRDefault="00742D54" w:rsidP="00225B8E">
      <w:pPr>
        <w:pStyle w:val="Standard"/>
        <w:spacing w:before="120" w:after="120"/>
        <w:ind w:firstLine="851"/>
        <w:jc w:val="center"/>
        <w:rPr>
          <w:rFonts w:cs="Times New Roman"/>
          <w:b/>
          <w:bCs/>
          <w:i/>
          <w:color w:val="000000"/>
          <w:lang w:eastAsia="ar-SA" w:bidi="lt-LT"/>
        </w:rPr>
      </w:pPr>
      <w:r w:rsidRPr="00C00255">
        <w:rPr>
          <w:rFonts w:cs="Times New Roman"/>
          <w:b/>
          <w:bCs/>
          <w:i/>
          <w:color w:val="000000"/>
          <w:lang w:eastAsia="ar-SA" w:bidi="lt-LT"/>
        </w:rPr>
        <w:t>DĖL KOMENDANTO VALANDOS ĮVEDIMO</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color w:val="000000"/>
          <w:u w:val="single"/>
          <w:lang w:eastAsia="ar-SA" w:bidi="lt-LT"/>
        </w:rPr>
        <w:t>Ginkluoto konflikto ir agresijos metu, vykdydamas ir remdamas kitos valstybės – TSRS ir užsienio organizacijos – TSKP bei jos padalinio Lietuvoje – LKP/TSKP politiką dideliu mastu ir sistemingai užpuldinėti civilius</w:t>
      </w:r>
      <w:r w:rsidRPr="00C00255">
        <w:rPr>
          <w:rStyle w:val="Numatytasispastraiposriftas1"/>
          <w:rFonts w:cs="Times New Roman"/>
          <w:i/>
          <w:color w:val="000000"/>
          <w:lang w:eastAsia="ar-SA" w:bidi="lt-LT"/>
        </w:rPr>
        <w:t xml:space="preserve">, </w:t>
      </w:r>
      <w:r w:rsidR="00385BC9">
        <w:rPr>
          <w:rStyle w:val="Numatytasispastraiposriftas1"/>
          <w:rFonts w:cs="Times New Roman"/>
          <w:i/>
          <w:color w:val="000000"/>
          <w:u w:val="single"/>
          <w:lang w:eastAsia="ar-SA" w:bidi="lt-LT"/>
        </w:rPr>
        <w:t>įgyvendindamas D. J.</w:t>
      </w:r>
      <w:r w:rsidR="00C507EF">
        <w:rPr>
          <w:rStyle w:val="Numatytasispastraiposriftas1"/>
          <w:rFonts w:cs="Times New Roman"/>
          <w:i/>
          <w:color w:val="000000"/>
          <w:u w:val="single"/>
          <w:lang w:eastAsia="ar-SA" w:bidi="lt-LT"/>
        </w:rPr>
        <w:t>, V. </w:t>
      </w:r>
      <w:r w:rsidRPr="00C00255">
        <w:rPr>
          <w:rStyle w:val="Numatytasispastraiposriftas1"/>
          <w:rFonts w:cs="Times New Roman"/>
          <w:i/>
          <w:color w:val="000000"/>
          <w:u w:val="single"/>
          <w:lang w:eastAsia="ar-SA" w:bidi="lt-LT"/>
        </w:rPr>
        <w:t>K</w:t>
      </w:r>
      <w:r w:rsidR="00C507EF">
        <w:rPr>
          <w:rStyle w:val="Numatytasispastraiposriftas1"/>
          <w:rFonts w:cs="Times New Roman"/>
          <w:i/>
          <w:color w:val="000000"/>
          <w:u w:val="single"/>
          <w:lang w:eastAsia="ar-SA" w:bidi="lt-LT"/>
        </w:rPr>
        <w:t>.</w:t>
      </w:r>
      <w:r w:rsidRPr="00C00255">
        <w:rPr>
          <w:rStyle w:val="Numatytasispastraiposriftas1"/>
          <w:rFonts w:cs="Times New Roman"/>
          <w:i/>
          <w:color w:val="000000"/>
          <w:u w:val="single"/>
          <w:lang w:eastAsia="ar-SA" w:bidi="lt-LT"/>
        </w:rPr>
        <w:t xml:space="preserve">, </w:t>
      </w:r>
      <w:r w:rsidR="00C507EF">
        <w:rPr>
          <w:rStyle w:val="Numatytasispastraiposriftas1"/>
          <w:rFonts w:cs="Times New Roman"/>
          <w:i/>
          <w:color w:val="000000"/>
          <w:u w:val="single"/>
          <w:lang w:eastAsia="ar-SA" w:bidi="lt-LT"/>
        </w:rPr>
        <w:t>B. P.</w:t>
      </w:r>
      <w:r w:rsidR="00D37127">
        <w:rPr>
          <w:rStyle w:val="Numatytasispastraiposriftas1"/>
          <w:rFonts w:cs="Times New Roman"/>
          <w:i/>
          <w:color w:val="000000"/>
          <w:u w:val="single"/>
          <w:lang w:eastAsia="ar-SA" w:bidi="lt-LT"/>
        </w:rPr>
        <w:t>, O. </w:t>
      </w:r>
      <w:r w:rsidRPr="00C00255">
        <w:rPr>
          <w:rStyle w:val="Numatytasispastraiposriftas1"/>
          <w:rFonts w:cs="Times New Roman"/>
          <w:i/>
          <w:color w:val="000000"/>
          <w:u w:val="single"/>
          <w:lang w:eastAsia="ar-SA" w:bidi="lt-LT"/>
        </w:rPr>
        <w:t>Š</w:t>
      </w:r>
      <w:r w:rsidR="00D37127">
        <w:rPr>
          <w:rStyle w:val="Numatytasispastraiposriftas1"/>
          <w:rFonts w:cs="Times New Roman"/>
          <w:i/>
          <w:color w:val="000000"/>
          <w:u w:val="single"/>
          <w:lang w:eastAsia="ar-SA" w:bidi="lt-LT"/>
        </w:rPr>
        <w:t>.</w:t>
      </w:r>
      <w:r w:rsidRPr="00C00255">
        <w:rPr>
          <w:rStyle w:val="Numatytasispastraiposriftas1"/>
          <w:rFonts w:cs="Times New Roman"/>
          <w:i/>
          <w:color w:val="000000"/>
          <w:u w:val="single"/>
          <w:lang w:eastAsia="ar-SA" w:bidi="lt-LT"/>
        </w:rPr>
        <w:t xml:space="preserve"> kartu su nenustatytais asmenimis atitinkamai iš TSRS GM Generalinio štabo, VRM ir VSK štabų parengtą planą bei pažeisdamas 1990 m. balandžio 3 d. TSRS įstatymą „Dėl nepaprastosios padėties teisinio režimo“, </w:t>
      </w:r>
      <w:r w:rsidRPr="00C00255">
        <w:rPr>
          <w:rStyle w:val="Numatytasispastraiposriftas1"/>
          <w:rFonts w:cs="Times New Roman"/>
          <w:i/>
          <w:color w:val="000000"/>
          <w:lang w:eastAsia="ar-SA" w:bidi="lt-LT"/>
        </w:rPr>
        <w:t xml:space="preserve">sausio 13 d., 05.00 val., kaltinamasis </w:t>
      </w:r>
      <w:r w:rsidR="006036E7">
        <w:rPr>
          <w:rStyle w:val="Numatytasispastraiposriftas1"/>
          <w:rFonts w:cs="Times New Roman"/>
          <w:i/>
          <w:color w:val="000000"/>
          <w:lang w:eastAsia="ar-SA" w:bidi="lt-LT"/>
        </w:rPr>
        <w:t>V. U. 1</w:t>
      </w:r>
      <w:r w:rsidRPr="00C00255">
        <w:rPr>
          <w:rStyle w:val="Numatytasispastraiposriftas1"/>
          <w:rFonts w:cs="Times New Roman"/>
          <w:i/>
          <w:color w:val="000000"/>
          <w:lang w:eastAsia="ar-SA" w:bidi="lt-LT"/>
        </w:rPr>
        <w:t xml:space="preserve">, pagal tos pačios dienos LNGK nutarimą, Vilniuje ir jo apylinkėse įvedė </w:t>
      </w:r>
      <w:r w:rsidRPr="00C00255">
        <w:rPr>
          <w:rStyle w:val="Numatytasispastraiposriftas1"/>
          <w:rFonts w:cs="Times New Roman"/>
          <w:i/>
          <w:color w:val="000000"/>
          <w:u w:val="single"/>
          <w:lang w:eastAsia="ar-SA" w:bidi="lt-LT"/>
        </w:rPr>
        <w:t>vieną iš minėtame plane numatytų nepaprastosios padėties priemonių -</w:t>
      </w:r>
      <w:r w:rsidRPr="00C00255">
        <w:rPr>
          <w:rStyle w:val="Numatytasispastraiposriftas1"/>
          <w:rFonts w:cs="Times New Roman"/>
          <w:i/>
          <w:color w:val="000000"/>
          <w:lang w:eastAsia="ar-SA" w:bidi="lt-LT"/>
        </w:rPr>
        <w:t xml:space="preserve"> komendanto valandą. </w:t>
      </w:r>
      <w:r w:rsidR="006036E7">
        <w:rPr>
          <w:rStyle w:val="Numatytasispastraiposriftas1"/>
          <w:rFonts w:cs="Times New Roman"/>
          <w:i/>
          <w:color w:val="000000"/>
          <w:u w:val="single"/>
          <w:lang w:eastAsia="ar-SA" w:bidi="lt-LT"/>
        </w:rPr>
        <w:t>V. U. 1</w:t>
      </w:r>
      <w:r w:rsidRPr="00C00255">
        <w:rPr>
          <w:rStyle w:val="Numatytasispastraiposriftas1"/>
          <w:rFonts w:cs="Times New Roman"/>
          <w:i/>
          <w:color w:val="000000"/>
          <w:u w:val="single"/>
          <w:lang w:eastAsia="ar-SA" w:bidi="lt-LT"/>
        </w:rPr>
        <w:t>, prisidengdamas tuo, kad vykdo nusikalstamų struktūrų nuginklavimą, komendanto valandos metu siekė persekioti civilius dėl politinių ir nacionalinių motyvų, juos bauginti, terorizuoti ir neteisėtu būdu pakeisti Lietuvos valstybės konstitucinę santvarką, kėsintis į jos nepriklausomybę ir pažeisti teritorijos vientisumą</w:t>
      </w:r>
      <w:r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u w:val="single"/>
          <w:lang w:eastAsia="ar-SA" w:bidi="lt-LT"/>
        </w:rPr>
        <w:t>Komendanto valandos priemonių</w:t>
      </w:r>
      <w:r w:rsidRPr="00C00255">
        <w:rPr>
          <w:rStyle w:val="Numatytasispastraiposriftas1"/>
          <w:rFonts w:cs="Times New Roman"/>
          <w:i/>
          <w:color w:val="000000"/>
          <w:lang w:eastAsia="ar-SA" w:bidi="lt-LT"/>
        </w:rPr>
        <w:t xml:space="preserve"> įgyvendinimui (pavaldumo tvarka) pasitelkė Vilniaus įgulos karinį komendantą pulkininką </w:t>
      </w:r>
      <w:r w:rsidR="006036E7">
        <w:rPr>
          <w:rStyle w:val="Numatytasispastraiposriftas1"/>
          <w:rFonts w:cs="Times New Roman"/>
          <w:i/>
          <w:color w:val="000000"/>
          <w:lang w:eastAsia="ar-SA" w:bidi="lt-LT"/>
        </w:rPr>
        <w:t>G. B.</w:t>
      </w:r>
      <w:r w:rsidRPr="00C00255">
        <w:rPr>
          <w:rStyle w:val="Numatytasispastraiposriftas1"/>
          <w:rFonts w:cs="Times New Roman"/>
          <w:i/>
          <w:color w:val="000000"/>
          <w:lang w:eastAsia="ar-SA" w:bidi="lt-LT"/>
        </w:rPr>
        <w:t xml:space="preserve">, </w:t>
      </w:r>
      <w:r w:rsidRPr="00C00255">
        <w:rPr>
          <w:rStyle w:val="Numatytasispastraiposriftas1"/>
          <w:rFonts w:cs="Times New Roman"/>
          <w:i/>
          <w:color w:val="000000"/>
          <w:u w:val="single"/>
          <w:lang w:eastAsia="ar-SA" w:bidi="lt-LT"/>
        </w:rPr>
        <w:t>su kuriuo kartu numatė vykdyti neteisėtą asmenų judėjimo kontrolę, asmenų, transporto priemonių, dokumentų patikrą, intensyvų patruliavimą.</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Neteisėtai įvestos komendanto valandos metu kariškiai, naudodamiesi karine technika ir 5,45 mm kalibro automatiniais ginklais, vykdydami civilių asmenų teisių suvaržymus, padarė tyčinį sunkų </w:t>
      </w:r>
      <w:r w:rsidR="004E4879">
        <w:rPr>
          <w:rFonts w:cs="Times New Roman"/>
          <w:i/>
          <w:color w:val="000000"/>
          <w:lang w:eastAsia="ar-SA" w:bidi="lt-LT"/>
        </w:rPr>
        <w:t>R. D.</w:t>
      </w:r>
      <w:r w:rsidRPr="00C00255">
        <w:rPr>
          <w:rFonts w:cs="Times New Roman"/>
          <w:i/>
          <w:color w:val="000000"/>
          <w:lang w:eastAsia="ar-SA" w:bidi="lt-LT"/>
        </w:rPr>
        <w:t xml:space="preserve"> sveikatos </w:t>
      </w:r>
      <w:r w:rsidR="008C57FD" w:rsidRPr="00C00255">
        <w:rPr>
          <w:rFonts w:cs="Times New Roman"/>
          <w:i/>
          <w:color w:val="000000"/>
          <w:lang w:eastAsia="ar-SA" w:bidi="lt-LT"/>
        </w:rPr>
        <w:t xml:space="preserve">sutrikdymą ir tyčia nužudė </w:t>
      </w:r>
      <w:r w:rsidR="004E4879">
        <w:rPr>
          <w:rFonts w:cs="Times New Roman"/>
          <w:i/>
          <w:color w:val="000000"/>
          <w:lang w:eastAsia="ar-SA" w:bidi="lt-LT"/>
        </w:rPr>
        <w:t>J. T.</w:t>
      </w:r>
      <w:r w:rsidRPr="00C00255">
        <w:rPr>
          <w:rFonts w:cs="Times New Roman"/>
          <w:i/>
          <w:color w:val="000000"/>
          <w:lang w:eastAsia="ar-SA" w:bidi="lt-LT"/>
        </w:rPr>
        <w:t>.</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Sausio 13 – 14 d. naktį, per TSRS kariškių vykdomą ir kontroliuojamą komendanto valandą, grupė nenustatytų Vilniaus įgulos kariškių, Vilniaus mieste, </w:t>
      </w:r>
      <w:r w:rsidR="004E4879">
        <w:rPr>
          <w:rFonts w:cs="Times New Roman"/>
          <w:i/>
          <w:color w:val="000000"/>
          <w:lang w:eastAsia="ar-SA" w:bidi="lt-LT"/>
        </w:rPr>
        <w:t>(duomenys neskelbtini)</w:t>
      </w:r>
      <w:r w:rsidRPr="00C00255">
        <w:rPr>
          <w:rFonts w:cs="Times New Roman"/>
          <w:i/>
          <w:color w:val="000000"/>
          <w:lang w:eastAsia="ar-SA" w:bidi="lt-LT"/>
        </w:rPr>
        <w:t xml:space="preserve"> mikrorajone, prie autobusų stotelės „</w:t>
      </w:r>
      <w:r w:rsidR="004E4879">
        <w:rPr>
          <w:rFonts w:cs="Times New Roman"/>
          <w:i/>
          <w:color w:val="000000"/>
          <w:lang w:eastAsia="ar-SA" w:bidi="lt-LT"/>
        </w:rPr>
        <w:t>(duomenys neskelbtini)</w:t>
      </w:r>
      <w:r w:rsidRPr="00C00255">
        <w:rPr>
          <w:rFonts w:cs="Times New Roman"/>
          <w:i/>
          <w:color w:val="000000"/>
          <w:lang w:eastAsia="ar-SA" w:bidi="lt-LT"/>
        </w:rPr>
        <w:t xml:space="preserve">“, neteisėtai sulaikė </w:t>
      </w:r>
      <w:r w:rsidR="004E4879">
        <w:rPr>
          <w:rFonts w:cs="Times New Roman"/>
          <w:i/>
          <w:color w:val="000000"/>
          <w:lang w:eastAsia="ar-SA" w:bidi="lt-LT"/>
        </w:rPr>
        <w:t>R. D.</w:t>
      </w:r>
      <w:r w:rsidRPr="00C00255">
        <w:rPr>
          <w:rFonts w:cs="Times New Roman"/>
          <w:i/>
          <w:color w:val="000000"/>
          <w:lang w:eastAsia="ar-SA" w:bidi="lt-LT"/>
        </w:rPr>
        <w:t xml:space="preserve"> ir kariniu automobiliu ZIL, numeris nenustatytas, nuvežė jį į Vilniaus įgulos karinio komendanto </w:t>
      </w:r>
      <w:r w:rsidR="006036E7">
        <w:rPr>
          <w:rFonts w:cs="Times New Roman"/>
          <w:i/>
          <w:color w:val="000000"/>
          <w:lang w:eastAsia="ar-SA" w:bidi="lt-LT"/>
        </w:rPr>
        <w:t>G. B.</w:t>
      </w:r>
      <w:r w:rsidRPr="00C00255">
        <w:rPr>
          <w:rFonts w:cs="Times New Roman"/>
          <w:i/>
          <w:color w:val="000000"/>
          <w:lang w:eastAsia="ar-SA" w:bidi="lt-LT"/>
        </w:rPr>
        <w:t xml:space="preserve"> vadovaujamą Vilniaus įgulos karinę komendantūrą, buvusią T.</w:t>
      </w:r>
      <w:r w:rsidR="00A77114" w:rsidRPr="00C00255">
        <w:rPr>
          <w:rFonts w:cs="Times New Roman"/>
          <w:i/>
          <w:color w:val="000000"/>
          <w:lang w:eastAsia="ar-SA" w:bidi="lt-LT"/>
        </w:rPr>
        <w:t> </w:t>
      </w:r>
      <w:r w:rsidRPr="00C00255">
        <w:rPr>
          <w:rFonts w:cs="Times New Roman"/>
          <w:i/>
          <w:color w:val="000000"/>
          <w:lang w:eastAsia="ar-SA" w:bidi="lt-LT"/>
        </w:rPr>
        <w:t>Kosciuškos g. 1, Vilniuje, kur laikė izoliuotą apie dvi paras.</w:t>
      </w:r>
    </w:p>
    <w:p w:rsidR="008C57FD" w:rsidRPr="00C00255" w:rsidRDefault="006036E7" w:rsidP="008C57FD">
      <w:pPr>
        <w:pStyle w:val="Standard"/>
        <w:ind w:left="992" w:firstLine="992"/>
        <w:jc w:val="both"/>
        <w:rPr>
          <w:rFonts w:cs="Times New Roman"/>
          <w:i/>
        </w:rPr>
      </w:pPr>
      <w:r>
        <w:rPr>
          <w:rStyle w:val="Numatytasispastraiposriftas1"/>
          <w:rFonts w:cs="Times New Roman"/>
          <w:i/>
          <w:color w:val="000000"/>
          <w:lang w:eastAsia="ar-SA" w:bidi="lt-LT"/>
        </w:rPr>
        <w:t>G. B.</w:t>
      </w:r>
      <w:r w:rsidR="00742D54" w:rsidRPr="00C00255">
        <w:rPr>
          <w:rStyle w:val="Numatytasispastraiposriftas1"/>
          <w:rFonts w:cs="Times New Roman"/>
          <w:i/>
          <w:color w:val="000000"/>
          <w:lang w:eastAsia="ar-SA" w:bidi="lt-LT"/>
        </w:rPr>
        <w:t xml:space="preserve"> pavaldume buvę nenustatyti kariškiai, neteisėtai sulaikytam </w:t>
      </w:r>
      <w:r w:rsidR="004E4879">
        <w:rPr>
          <w:rStyle w:val="Numatytasispastraiposriftas1"/>
          <w:rFonts w:cs="Times New Roman"/>
          <w:i/>
          <w:color w:val="000000"/>
          <w:lang w:eastAsia="ar-SA" w:bidi="lt-LT"/>
        </w:rPr>
        <w:t>R. D.</w:t>
      </w:r>
      <w:r w:rsidR="00742D54" w:rsidRPr="00C00255">
        <w:rPr>
          <w:rStyle w:val="Numatytasispastraiposriftas1"/>
          <w:rFonts w:cs="Times New Roman"/>
          <w:i/>
          <w:color w:val="000000"/>
          <w:lang w:eastAsia="ar-SA" w:bidi="lt-LT"/>
        </w:rPr>
        <w:t xml:space="preserve"> tyčia sudavė daugybinius smūgius kietais bukais daiktais į įvairias kūno vietas, tuo padarydami pastarajam sunkų sveikatos sutrikdymą – muštines dešinio antakio ir nosies žaizdas su aplinkinėmis poodinėmis kraujosruvomis, dešinės akiduobės viršutinės sienelės ir kaukolės pamato bei nosies kaulų lūžius, kraujo išsiliejimą po galvos smegenų voratinkliniu dangalu ir galvos smegenų sukrėtimą, abipusį trauminį viduriniųjų ausų uždegimą, daugybines poodines kraujosruvas veide, rankose, kojose, nugaroje, juosmenyje su inkstų sumušimu ir X-o dešinės pusės šonkaulio lūžiu. Sausio 17 d., apie 01 val., surištą </w:t>
      </w:r>
      <w:r w:rsidR="004E4879">
        <w:rPr>
          <w:rStyle w:val="Numatytasispastraiposriftas1"/>
          <w:rFonts w:cs="Times New Roman"/>
          <w:i/>
          <w:color w:val="000000"/>
          <w:lang w:eastAsia="ar-SA" w:bidi="lt-LT"/>
        </w:rPr>
        <w:t>R. D.</w:t>
      </w:r>
      <w:r w:rsidR="00742D54" w:rsidRPr="00C00255">
        <w:rPr>
          <w:rStyle w:val="Numatytasispastraiposriftas1"/>
          <w:rFonts w:cs="Times New Roman"/>
          <w:i/>
          <w:color w:val="000000"/>
          <w:lang w:eastAsia="ar-SA" w:bidi="lt-LT"/>
        </w:rPr>
        <w:t xml:space="preserve">, nenustatyti TSRS kariškiai atvežė į miško masyvą esantį šiaurinėje plento </w:t>
      </w:r>
      <w:r w:rsidR="00E420BD">
        <w:rPr>
          <w:rStyle w:val="Numatytasispastraiposriftas1"/>
          <w:rFonts w:cs="Times New Roman"/>
          <w:i/>
          <w:color w:val="000000"/>
          <w:lang w:eastAsia="ar-SA" w:bidi="lt-LT"/>
        </w:rPr>
        <w:t>(duomenys neskelbtini)</w:t>
      </w:r>
      <w:r w:rsidR="00742D54" w:rsidRPr="00C00255">
        <w:rPr>
          <w:rStyle w:val="Numatytasispastraiposriftas1"/>
          <w:rFonts w:cs="Times New Roman"/>
          <w:i/>
          <w:color w:val="000000"/>
          <w:lang w:eastAsia="ar-SA" w:bidi="lt-LT"/>
        </w:rPr>
        <w:t>, apie 600 me</w:t>
      </w:r>
      <w:r w:rsidR="00E420BD">
        <w:rPr>
          <w:rStyle w:val="Numatytasispastraiposriftas1"/>
          <w:rFonts w:cs="Times New Roman"/>
          <w:i/>
          <w:color w:val="000000"/>
          <w:lang w:eastAsia="ar-SA" w:bidi="lt-LT"/>
        </w:rPr>
        <w:t>trų nuo posūkio į (duomenys neskelbtini)</w:t>
      </w:r>
      <w:r w:rsidR="00742D54" w:rsidRPr="00C00255">
        <w:rPr>
          <w:rStyle w:val="Numatytasispastraiposriftas1"/>
          <w:rFonts w:cs="Times New Roman"/>
          <w:i/>
          <w:color w:val="000000"/>
          <w:lang w:eastAsia="ar-SA" w:bidi="lt-LT"/>
        </w:rPr>
        <w:t xml:space="preserve"> ir sudavę smūgį į galvą, paliko pavojingoje gyvybei padėtyje.</w:t>
      </w:r>
    </w:p>
    <w:p w:rsidR="008C57FD" w:rsidRPr="00C00255" w:rsidRDefault="00742D54" w:rsidP="008C57FD">
      <w:pPr>
        <w:pStyle w:val="Standard"/>
        <w:ind w:left="992" w:firstLine="992"/>
        <w:jc w:val="both"/>
        <w:rPr>
          <w:rFonts w:cs="Times New Roman"/>
          <w:i/>
        </w:rPr>
      </w:pPr>
      <w:r w:rsidRPr="00C00255">
        <w:rPr>
          <w:rStyle w:val="Numatytasispastraiposriftas1"/>
          <w:rFonts w:cs="Times New Roman"/>
          <w:i/>
          <w:color w:val="000000"/>
          <w:lang w:eastAsia="ar-SA" w:bidi="lt-LT"/>
        </w:rPr>
        <w:t xml:space="preserve">Sausio 28 d., maždaug dešimt nenustatytų Vilniaus </w:t>
      </w:r>
      <w:r w:rsidR="00E32853" w:rsidRPr="00C00255">
        <w:rPr>
          <w:rStyle w:val="Numatytasispastraiposriftas1"/>
          <w:rFonts w:cs="Times New Roman"/>
          <w:i/>
          <w:color w:val="000000"/>
          <w:lang w:eastAsia="ar-SA" w:bidi="lt-LT"/>
        </w:rPr>
        <w:t>įgulos kariškių, ginkluotų 5,45 </w:t>
      </w:r>
      <w:r w:rsidRPr="00C00255">
        <w:rPr>
          <w:rStyle w:val="Numatytasispastraiposriftas1"/>
          <w:rFonts w:cs="Times New Roman"/>
          <w:i/>
          <w:color w:val="000000"/>
          <w:lang w:eastAsia="ar-SA" w:bidi="lt-LT"/>
        </w:rPr>
        <w:t xml:space="preserve">mm kalibro automatiniais ginklais, įgyvendindami </w:t>
      </w:r>
      <w:r w:rsidR="006036E7">
        <w:rPr>
          <w:rStyle w:val="Numatytasispastraiposriftas1"/>
          <w:rFonts w:cs="Times New Roman"/>
          <w:i/>
          <w:color w:val="000000"/>
          <w:lang w:eastAsia="ar-SA" w:bidi="lt-LT"/>
        </w:rPr>
        <w:t>V. U. 1</w:t>
      </w:r>
      <w:r w:rsidRPr="00C00255">
        <w:rPr>
          <w:rStyle w:val="Numatytasispastraiposriftas1"/>
          <w:rFonts w:cs="Times New Roman"/>
          <w:i/>
          <w:color w:val="000000"/>
          <w:lang w:eastAsia="ar-SA" w:bidi="lt-LT"/>
        </w:rPr>
        <w:t xml:space="preserve"> ir </w:t>
      </w:r>
      <w:r w:rsidR="006036E7">
        <w:rPr>
          <w:rStyle w:val="Numatytasispastraiposriftas1"/>
          <w:rFonts w:cs="Times New Roman"/>
          <w:i/>
          <w:color w:val="000000"/>
          <w:lang w:eastAsia="ar-SA" w:bidi="lt-LT"/>
        </w:rPr>
        <w:t>G. B.</w:t>
      </w:r>
      <w:r w:rsidRPr="00C00255">
        <w:rPr>
          <w:rStyle w:val="Numatytasispastraiposriftas1"/>
          <w:rFonts w:cs="Times New Roman"/>
          <w:i/>
          <w:color w:val="000000"/>
          <w:lang w:eastAsia="ar-SA" w:bidi="lt-LT"/>
        </w:rPr>
        <w:t xml:space="preserve"> neteisėtai įvestą komendanto valandą, apie 22 val., ne mažiau kaip dviem BTR-ais, kurių numeriai nenustatyti, atvyko į buvusį patikros postą, įrengtą 15-ajame kelio Vilnius-Kaunas kilometre, ties Gariūnų turgaviete ir stabdė pravažiuojančius automobilius bei tikrino civilius asmenis, juos terorizavo ir baugino taip persekiodami civilius dėl politinių</w:t>
      </w:r>
      <w:r w:rsidRPr="00C00255">
        <w:rPr>
          <w:rStyle w:val="Numatytasispastraiposriftas1"/>
          <w:rFonts w:cs="Times New Roman"/>
          <w:i/>
          <w:color w:val="000000"/>
          <w:u w:val="single"/>
          <w:lang w:eastAsia="ar-SA" w:bidi="lt-LT"/>
        </w:rPr>
        <w:t xml:space="preserve"> ir nacionalinių </w:t>
      </w:r>
      <w:r w:rsidRPr="00C00255">
        <w:rPr>
          <w:rStyle w:val="Numatytasispastraiposriftas1"/>
          <w:rFonts w:cs="Times New Roman"/>
          <w:i/>
          <w:color w:val="000000"/>
          <w:lang w:eastAsia="ar-SA" w:bidi="lt-LT"/>
        </w:rPr>
        <w:t>motyvų.</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Sausio 29 d., apie 2 val., nenustatyti kariškiai sustabdė </w:t>
      </w:r>
      <w:r w:rsidR="004E4879">
        <w:rPr>
          <w:rFonts w:cs="Times New Roman"/>
          <w:i/>
          <w:color w:val="000000"/>
          <w:lang w:eastAsia="ar-SA" w:bidi="lt-LT"/>
        </w:rPr>
        <w:t>J. T.</w:t>
      </w:r>
      <w:r w:rsidRPr="00C00255">
        <w:rPr>
          <w:rFonts w:cs="Times New Roman"/>
          <w:i/>
          <w:color w:val="000000"/>
          <w:lang w:eastAsia="ar-SA" w:bidi="lt-LT"/>
        </w:rPr>
        <w:t xml:space="preserve"> vairuojamą automobilį VAZ-2101, v/n </w:t>
      </w:r>
      <w:r w:rsidR="004E4879">
        <w:rPr>
          <w:rFonts w:cs="Times New Roman"/>
          <w:i/>
          <w:color w:val="000000"/>
          <w:lang w:eastAsia="ar-SA" w:bidi="lt-LT"/>
        </w:rPr>
        <w:t>(duomenys neskelbtini)</w:t>
      </w:r>
      <w:r w:rsidRPr="00C00255">
        <w:rPr>
          <w:rFonts w:cs="Times New Roman"/>
          <w:i/>
          <w:color w:val="000000"/>
          <w:lang w:eastAsia="ar-SA" w:bidi="lt-LT"/>
        </w:rPr>
        <w:t xml:space="preserve">, važiuojantį link Kauno, kuriame buvo dar trys civiliai asmenys. Kariškiams atlikus automobilio bei jame važiavusių asmenų kratą ir juos sulaikius, </w:t>
      </w:r>
      <w:r w:rsidR="004E4879">
        <w:rPr>
          <w:rFonts w:cs="Times New Roman"/>
          <w:i/>
          <w:color w:val="000000"/>
          <w:lang w:eastAsia="ar-SA" w:bidi="lt-LT"/>
        </w:rPr>
        <w:t>J. T.</w:t>
      </w:r>
      <w:r w:rsidRPr="00C00255">
        <w:rPr>
          <w:rFonts w:cs="Times New Roman"/>
          <w:i/>
          <w:color w:val="000000"/>
          <w:lang w:eastAsia="ar-SA" w:bidi="lt-LT"/>
        </w:rPr>
        <w:t xml:space="preserve">, siekdamas išvengti vykdomo prievartinio šauktinių ėmimo į TSRS kariuomenę, bandė automobiliu pasišalinti iš sulaikymo vietos. Nenustatyti kariškiai tyčia iš automatinių ginklų apšaudė </w:t>
      </w:r>
      <w:r w:rsidR="004E4879">
        <w:rPr>
          <w:rFonts w:cs="Times New Roman"/>
          <w:i/>
          <w:color w:val="000000"/>
          <w:lang w:eastAsia="ar-SA" w:bidi="lt-LT"/>
        </w:rPr>
        <w:t>J. T.</w:t>
      </w:r>
      <w:r w:rsidRPr="00C00255">
        <w:rPr>
          <w:rFonts w:cs="Times New Roman"/>
          <w:i/>
          <w:color w:val="000000"/>
          <w:lang w:eastAsia="ar-SA" w:bidi="lt-LT"/>
        </w:rPr>
        <w:t xml:space="preserve"> vairuojamą automobilį, naudojant tarptautinių sutarčių uždraustus 5,45 mm kalibro šovinius su išcentruota kulka, ir peršovė </w:t>
      </w:r>
      <w:r w:rsidR="004E4879">
        <w:rPr>
          <w:rFonts w:cs="Times New Roman"/>
          <w:i/>
          <w:color w:val="000000"/>
          <w:lang w:eastAsia="ar-SA" w:bidi="lt-LT"/>
        </w:rPr>
        <w:t>J. T.</w:t>
      </w:r>
      <w:r w:rsidRPr="00C00255">
        <w:rPr>
          <w:rFonts w:cs="Times New Roman"/>
          <w:i/>
          <w:color w:val="000000"/>
          <w:lang w:eastAsia="ar-SA" w:bidi="lt-LT"/>
        </w:rPr>
        <w:t xml:space="preserve"> galvą, dėl ko pastarasis nuo šautinio galvos sužeidimo – kaukolės kaulo lūžių, galvos smegenų suardymo mirė, t. y. </w:t>
      </w:r>
      <w:r w:rsidR="004E4879">
        <w:rPr>
          <w:rFonts w:cs="Times New Roman"/>
          <w:i/>
          <w:color w:val="000000"/>
          <w:lang w:eastAsia="ar-SA" w:bidi="lt-LT"/>
        </w:rPr>
        <w:t>J. T.</w:t>
      </w:r>
      <w:r w:rsidRPr="00C00255">
        <w:rPr>
          <w:rFonts w:cs="Times New Roman"/>
          <w:i/>
          <w:color w:val="000000"/>
          <w:lang w:eastAsia="ar-SA" w:bidi="lt-LT"/>
        </w:rPr>
        <w:t xml:space="preserve"> tyčia nužudė.</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Vilniaus įgulos kariškiai, ginkluoti 5,45 mm kalibro automatiniais ginklais, įgyvendindami </w:t>
      </w:r>
      <w:r w:rsidR="006036E7">
        <w:rPr>
          <w:rFonts w:cs="Times New Roman"/>
          <w:i/>
          <w:color w:val="000000"/>
          <w:lang w:eastAsia="ar-SA" w:bidi="lt-LT"/>
        </w:rPr>
        <w:t>V. U. 1</w:t>
      </w:r>
      <w:r w:rsidRPr="00C00255">
        <w:rPr>
          <w:rFonts w:cs="Times New Roman"/>
          <w:i/>
          <w:color w:val="000000"/>
          <w:lang w:eastAsia="ar-SA" w:bidi="lt-LT"/>
        </w:rPr>
        <w:t xml:space="preserve"> ir </w:t>
      </w:r>
      <w:r w:rsidR="006036E7">
        <w:rPr>
          <w:rFonts w:cs="Times New Roman"/>
          <w:i/>
          <w:color w:val="000000"/>
          <w:lang w:eastAsia="ar-SA" w:bidi="lt-LT"/>
        </w:rPr>
        <w:t>G. B.</w:t>
      </w:r>
      <w:r w:rsidRPr="00C00255">
        <w:rPr>
          <w:rFonts w:cs="Times New Roman"/>
          <w:i/>
          <w:color w:val="000000"/>
          <w:lang w:eastAsia="ar-SA" w:bidi="lt-LT"/>
        </w:rPr>
        <w:t xml:space="preserve"> įvestą komendanto valandą, nuo 1991 m. sausio 13 d., 05.00 val. iki 1991 m. rugpjūčio 23 d. Vilniuje ir jo apylinkėse, vykdydami asmenų teisių suvaržymus:</w:t>
      </w:r>
    </w:p>
    <w:p w:rsidR="008C57FD" w:rsidRPr="00C00255" w:rsidRDefault="00742D54" w:rsidP="008C57FD">
      <w:pPr>
        <w:pStyle w:val="Standard"/>
        <w:ind w:left="992" w:firstLine="992"/>
        <w:jc w:val="both"/>
        <w:rPr>
          <w:rFonts w:cs="Times New Roman"/>
          <w:i/>
        </w:rPr>
      </w:pPr>
      <w:r w:rsidRPr="00C00255">
        <w:rPr>
          <w:rFonts w:cs="Times New Roman"/>
          <w:i/>
          <w:color w:val="000000"/>
          <w:lang w:eastAsia="ar-SA" w:bidi="lt-LT"/>
        </w:rPr>
        <w:t xml:space="preserve">- neteisėtai sulaikė </w:t>
      </w:r>
      <w:r w:rsidR="004E4879">
        <w:rPr>
          <w:rFonts w:cs="Times New Roman"/>
          <w:i/>
          <w:color w:val="000000"/>
          <w:lang w:eastAsia="ar-SA" w:bidi="lt-LT"/>
        </w:rPr>
        <w:t>B. K.</w:t>
      </w:r>
      <w:r w:rsidRPr="00C00255">
        <w:rPr>
          <w:rFonts w:cs="Times New Roman"/>
          <w:i/>
          <w:color w:val="000000"/>
          <w:lang w:eastAsia="ar-SA" w:bidi="lt-LT"/>
        </w:rPr>
        <w:t xml:space="preserve">, </w:t>
      </w:r>
      <w:r w:rsidR="004E4879">
        <w:rPr>
          <w:rFonts w:cs="Times New Roman"/>
          <w:i/>
          <w:color w:val="000000"/>
          <w:lang w:eastAsia="ar-SA" w:bidi="lt-LT"/>
        </w:rPr>
        <w:t>V. J.</w:t>
      </w:r>
      <w:r w:rsidR="008C57FD" w:rsidRPr="00C00255">
        <w:rPr>
          <w:rFonts w:cs="Times New Roman"/>
          <w:i/>
          <w:color w:val="000000"/>
          <w:lang w:eastAsia="ar-SA" w:bidi="lt-LT"/>
        </w:rPr>
        <w:t xml:space="preserve">, </w:t>
      </w:r>
      <w:r w:rsidR="004E4879">
        <w:rPr>
          <w:rFonts w:cs="Times New Roman"/>
          <w:i/>
          <w:color w:val="000000"/>
          <w:lang w:eastAsia="ar-SA" w:bidi="lt-LT"/>
        </w:rPr>
        <w:t>S. G.</w:t>
      </w:r>
      <w:r w:rsidR="008C57FD" w:rsidRPr="00C00255">
        <w:rPr>
          <w:rFonts w:cs="Times New Roman"/>
          <w:i/>
          <w:color w:val="000000"/>
          <w:lang w:eastAsia="ar-SA" w:bidi="lt-LT"/>
        </w:rPr>
        <w:t xml:space="preserve">, </w:t>
      </w:r>
      <w:r w:rsidR="004E4879">
        <w:rPr>
          <w:rFonts w:cs="Times New Roman"/>
          <w:i/>
          <w:color w:val="000000"/>
          <w:lang w:eastAsia="ar-SA" w:bidi="lt-LT"/>
        </w:rPr>
        <w:t>R. C.</w:t>
      </w:r>
      <w:r w:rsidRPr="00C00255">
        <w:rPr>
          <w:rFonts w:cs="Times New Roman"/>
          <w:i/>
          <w:color w:val="000000"/>
          <w:lang w:eastAsia="ar-SA" w:bidi="lt-LT"/>
        </w:rPr>
        <w:t xml:space="preserve">, </w:t>
      </w:r>
      <w:r w:rsidR="004E4879">
        <w:rPr>
          <w:rFonts w:cs="Times New Roman"/>
          <w:i/>
          <w:color w:val="000000"/>
          <w:lang w:eastAsia="ar-SA" w:bidi="lt-LT"/>
        </w:rPr>
        <w:t>V. P.</w:t>
      </w:r>
      <w:r w:rsidRPr="00C00255">
        <w:rPr>
          <w:rFonts w:cs="Times New Roman"/>
          <w:i/>
          <w:color w:val="000000"/>
          <w:lang w:eastAsia="ar-SA" w:bidi="lt-LT"/>
        </w:rPr>
        <w:t xml:space="preserve">, </w:t>
      </w:r>
      <w:r w:rsidR="004E4879">
        <w:rPr>
          <w:rFonts w:cs="Times New Roman"/>
          <w:i/>
          <w:color w:val="000000"/>
          <w:lang w:eastAsia="ar-SA" w:bidi="lt-LT"/>
        </w:rPr>
        <w:t>R.-V. K.</w:t>
      </w:r>
      <w:r w:rsidRPr="00C00255">
        <w:rPr>
          <w:rFonts w:cs="Times New Roman"/>
          <w:i/>
          <w:color w:val="000000"/>
          <w:lang w:eastAsia="ar-SA" w:bidi="lt-LT"/>
        </w:rPr>
        <w:t xml:space="preserve">, </w:t>
      </w:r>
      <w:r w:rsidR="004E4879">
        <w:rPr>
          <w:rFonts w:cs="Times New Roman"/>
          <w:i/>
          <w:color w:val="000000"/>
          <w:lang w:eastAsia="ar-SA" w:bidi="lt-LT"/>
        </w:rPr>
        <w:t>A. J. (A. J.)</w:t>
      </w:r>
      <w:r w:rsidRPr="00C00255">
        <w:rPr>
          <w:rFonts w:cs="Times New Roman"/>
          <w:i/>
          <w:color w:val="000000"/>
          <w:lang w:eastAsia="ar-SA" w:bidi="lt-LT"/>
        </w:rPr>
        <w:t xml:space="preserve">, </w:t>
      </w:r>
      <w:r w:rsidR="004E4879">
        <w:rPr>
          <w:rFonts w:cs="Times New Roman"/>
          <w:i/>
          <w:color w:val="000000"/>
          <w:lang w:eastAsia="ar-SA" w:bidi="lt-LT"/>
        </w:rPr>
        <w:t>G. M. (G. M.)</w:t>
      </w:r>
      <w:r w:rsidRPr="00C00255">
        <w:rPr>
          <w:rFonts w:cs="Times New Roman"/>
          <w:i/>
          <w:color w:val="000000"/>
          <w:lang w:eastAsia="ar-SA" w:bidi="lt-LT"/>
        </w:rPr>
        <w:t xml:space="preserve">, </w:t>
      </w:r>
      <w:r w:rsidR="004E4879">
        <w:rPr>
          <w:rFonts w:cs="Times New Roman"/>
          <w:i/>
          <w:color w:val="000000"/>
          <w:lang w:eastAsia="ar-SA" w:bidi="lt-LT"/>
        </w:rPr>
        <w:t>I. B. (I. B.)</w:t>
      </w:r>
      <w:r w:rsidRPr="00C00255">
        <w:rPr>
          <w:rFonts w:cs="Times New Roman"/>
          <w:i/>
          <w:color w:val="000000"/>
          <w:lang w:eastAsia="ar-SA" w:bidi="lt-LT"/>
        </w:rPr>
        <w:t xml:space="preserve">, </w:t>
      </w:r>
      <w:r w:rsidR="004E4879">
        <w:rPr>
          <w:rFonts w:cs="Times New Roman"/>
          <w:i/>
          <w:color w:val="000000"/>
          <w:lang w:eastAsia="ar-SA" w:bidi="lt-LT"/>
        </w:rPr>
        <w:t>K. B.</w:t>
      </w:r>
      <w:r w:rsidRPr="00C00255">
        <w:rPr>
          <w:rFonts w:cs="Times New Roman"/>
          <w:i/>
          <w:color w:val="000000"/>
          <w:lang w:eastAsia="ar-SA" w:bidi="lt-LT"/>
        </w:rPr>
        <w:t xml:space="preserve">, </w:t>
      </w:r>
      <w:r w:rsidR="004E4879">
        <w:rPr>
          <w:rFonts w:cs="Times New Roman"/>
          <w:i/>
          <w:color w:val="000000"/>
          <w:lang w:eastAsia="ar-SA" w:bidi="lt-LT"/>
        </w:rPr>
        <w:t>M. P.</w:t>
      </w:r>
      <w:r w:rsidRPr="00C00255">
        <w:rPr>
          <w:rFonts w:cs="Times New Roman"/>
          <w:i/>
          <w:color w:val="000000"/>
          <w:lang w:eastAsia="ar-SA" w:bidi="lt-LT"/>
        </w:rPr>
        <w:t xml:space="preserve">, </w:t>
      </w:r>
      <w:r w:rsidR="004E4879">
        <w:rPr>
          <w:rFonts w:cs="Times New Roman"/>
          <w:i/>
          <w:color w:val="000000"/>
          <w:lang w:eastAsia="ar-SA" w:bidi="lt-LT"/>
        </w:rPr>
        <w:t>G. M.</w:t>
      </w:r>
      <w:r w:rsidRPr="00C00255">
        <w:rPr>
          <w:rFonts w:cs="Times New Roman"/>
          <w:i/>
          <w:color w:val="000000"/>
          <w:lang w:eastAsia="ar-SA" w:bidi="lt-LT"/>
        </w:rPr>
        <w:t xml:space="preserve">, o pastarųjų atžvilgiu dar panaudojo ir fizinį smurtą, tuo padarydami </w:t>
      </w:r>
      <w:r w:rsidR="004E4879">
        <w:rPr>
          <w:rFonts w:cs="Times New Roman"/>
          <w:i/>
          <w:color w:val="000000"/>
          <w:lang w:eastAsia="ar-SA" w:bidi="lt-LT"/>
        </w:rPr>
        <w:t xml:space="preserve">M. P. </w:t>
      </w:r>
      <w:r w:rsidR="008C57FD" w:rsidRPr="00C00255">
        <w:rPr>
          <w:rFonts w:cs="Times New Roman"/>
          <w:i/>
          <w:color w:val="000000"/>
          <w:lang w:eastAsia="ar-SA" w:bidi="lt-LT"/>
        </w:rPr>
        <w:t xml:space="preserve">nesunkų, o </w:t>
      </w:r>
      <w:r w:rsidR="004E4879">
        <w:rPr>
          <w:rFonts w:cs="Times New Roman"/>
          <w:i/>
          <w:color w:val="000000"/>
          <w:lang w:eastAsia="ar-SA" w:bidi="lt-LT"/>
        </w:rPr>
        <w:t>G. M.</w:t>
      </w:r>
      <w:r w:rsidRPr="00C00255">
        <w:rPr>
          <w:rFonts w:cs="Times New Roman"/>
          <w:i/>
          <w:color w:val="000000"/>
          <w:lang w:eastAsia="ar-SA" w:bidi="lt-LT"/>
        </w:rPr>
        <w:t xml:space="preserve"> nežymų sveikatos sutrikdymą;</w:t>
      </w:r>
    </w:p>
    <w:p w:rsidR="00742D54" w:rsidRPr="00C00255" w:rsidRDefault="00742D54" w:rsidP="008C57FD">
      <w:pPr>
        <w:pStyle w:val="Standard"/>
        <w:ind w:left="992" w:firstLine="992"/>
        <w:jc w:val="both"/>
        <w:rPr>
          <w:rFonts w:cs="Times New Roman"/>
          <w:bCs/>
          <w:sz w:val="28"/>
          <w:szCs w:val="28"/>
        </w:rPr>
      </w:pPr>
      <w:r w:rsidRPr="00C00255">
        <w:rPr>
          <w:rFonts w:cs="Times New Roman"/>
          <w:i/>
          <w:color w:val="000000"/>
          <w:lang w:eastAsia="ar-SA" w:bidi="lt-LT"/>
        </w:rPr>
        <w:t xml:space="preserve">- apšaudė </w:t>
      </w:r>
      <w:r w:rsidR="004E4879">
        <w:rPr>
          <w:rFonts w:cs="Times New Roman"/>
          <w:i/>
          <w:color w:val="000000"/>
          <w:lang w:eastAsia="ar-SA" w:bidi="lt-LT"/>
        </w:rPr>
        <w:t>A. B.</w:t>
      </w:r>
      <w:r w:rsidRPr="00C00255">
        <w:rPr>
          <w:rFonts w:cs="Times New Roman"/>
          <w:i/>
          <w:color w:val="000000"/>
          <w:lang w:eastAsia="ar-SA" w:bidi="lt-LT"/>
        </w:rPr>
        <w:t xml:space="preserve">, </w:t>
      </w:r>
      <w:r w:rsidR="004E4879">
        <w:rPr>
          <w:rFonts w:cs="Times New Roman"/>
          <w:i/>
          <w:color w:val="000000"/>
          <w:lang w:eastAsia="ar-SA" w:bidi="lt-LT"/>
        </w:rPr>
        <w:t>A. B.</w:t>
      </w:r>
      <w:r w:rsidRPr="00C00255">
        <w:rPr>
          <w:rFonts w:cs="Times New Roman"/>
          <w:i/>
          <w:color w:val="000000"/>
          <w:lang w:eastAsia="ar-SA" w:bidi="lt-LT"/>
        </w:rPr>
        <w:t xml:space="preserve">, </w:t>
      </w:r>
      <w:r w:rsidR="004E4879">
        <w:rPr>
          <w:rFonts w:cs="Times New Roman"/>
          <w:i/>
          <w:color w:val="000000"/>
          <w:lang w:eastAsia="ar-SA" w:bidi="lt-LT"/>
        </w:rPr>
        <w:t>P. B.</w:t>
      </w:r>
      <w:r w:rsidR="008C57FD" w:rsidRPr="00C00255">
        <w:rPr>
          <w:rFonts w:cs="Times New Roman"/>
          <w:i/>
          <w:color w:val="000000"/>
          <w:lang w:eastAsia="ar-SA" w:bidi="lt-LT"/>
        </w:rPr>
        <w:t xml:space="preserve">, </w:t>
      </w:r>
      <w:r w:rsidR="004E4879">
        <w:rPr>
          <w:rFonts w:cs="Times New Roman"/>
          <w:i/>
          <w:color w:val="000000"/>
          <w:lang w:eastAsia="ar-SA" w:bidi="lt-LT"/>
        </w:rPr>
        <w:t>Z. S.</w:t>
      </w:r>
      <w:r w:rsidR="008C57FD" w:rsidRPr="00C00255">
        <w:rPr>
          <w:rFonts w:cs="Times New Roman"/>
          <w:i/>
          <w:color w:val="000000"/>
          <w:lang w:eastAsia="ar-SA" w:bidi="lt-LT"/>
        </w:rPr>
        <w:t xml:space="preserve"> ir </w:t>
      </w:r>
      <w:r w:rsidR="004E4879">
        <w:rPr>
          <w:rFonts w:cs="Times New Roman"/>
          <w:i/>
          <w:color w:val="000000"/>
          <w:lang w:eastAsia="ar-SA" w:bidi="lt-LT"/>
        </w:rPr>
        <w:t>G. T.</w:t>
      </w:r>
      <w:r w:rsidRPr="00C00255">
        <w:rPr>
          <w:rFonts w:cs="Times New Roman"/>
          <w:i/>
          <w:color w:val="000000"/>
          <w:lang w:eastAsia="ar-SA" w:bidi="lt-LT"/>
        </w:rPr>
        <w:t xml:space="preserve">, </w:t>
      </w:r>
      <w:r w:rsidR="004E4879">
        <w:rPr>
          <w:rFonts w:cs="Times New Roman"/>
          <w:i/>
          <w:color w:val="000000"/>
          <w:lang w:eastAsia="ar-SA" w:bidi="lt-LT"/>
        </w:rPr>
        <w:t>L. J.</w:t>
      </w:r>
      <w:r w:rsidRPr="00C00255">
        <w:rPr>
          <w:rFonts w:cs="Times New Roman"/>
          <w:i/>
          <w:color w:val="000000"/>
          <w:lang w:eastAsia="ar-SA" w:bidi="lt-LT"/>
        </w:rPr>
        <w:t xml:space="preserve">, </w:t>
      </w:r>
      <w:r w:rsidR="004E4879">
        <w:rPr>
          <w:rFonts w:cs="Times New Roman"/>
          <w:i/>
          <w:color w:val="000000"/>
          <w:lang w:eastAsia="ar-SA" w:bidi="lt-LT"/>
        </w:rPr>
        <w:t>A. B.</w:t>
      </w:r>
      <w:r w:rsidRPr="00C00255">
        <w:rPr>
          <w:rFonts w:cs="Times New Roman"/>
          <w:i/>
          <w:color w:val="000000"/>
          <w:lang w:eastAsia="ar-SA" w:bidi="lt-LT"/>
        </w:rPr>
        <w:t xml:space="preserve"> ir </w:t>
      </w:r>
      <w:r w:rsidR="004E4879">
        <w:rPr>
          <w:rFonts w:cs="Times New Roman"/>
          <w:i/>
          <w:color w:val="000000"/>
          <w:lang w:eastAsia="ar-SA" w:bidi="lt-LT"/>
        </w:rPr>
        <w:t>V. R.</w:t>
      </w:r>
      <w:r w:rsidR="008C57FD" w:rsidRPr="00C00255">
        <w:rPr>
          <w:rFonts w:cs="Times New Roman"/>
          <w:i/>
          <w:color w:val="000000"/>
          <w:lang w:eastAsia="ar-SA" w:bidi="lt-LT"/>
        </w:rPr>
        <w:t xml:space="preserve">, </w:t>
      </w:r>
      <w:r w:rsidR="004E4879">
        <w:rPr>
          <w:rFonts w:cs="Times New Roman"/>
          <w:i/>
          <w:color w:val="000000"/>
          <w:lang w:eastAsia="ar-SA" w:bidi="lt-LT"/>
        </w:rPr>
        <w:t>S. S.</w:t>
      </w:r>
      <w:r w:rsidRPr="00C00255">
        <w:rPr>
          <w:rFonts w:cs="Times New Roman"/>
          <w:i/>
          <w:color w:val="000000"/>
          <w:lang w:eastAsia="ar-SA" w:bidi="lt-LT"/>
        </w:rPr>
        <w:t xml:space="preserve">, </w:t>
      </w:r>
      <w:r w:rsidR="004E4879">
        <w:rPr>
          <w:rFonts w:cs="Times New Roman"/>
          <w:i/>
          <w:color w:val="000000"/>
          <w:lang w:eastAsia="ar-SA" w:bidi="lt-LT"/>
        </w:rPr>
        <w:t>D. M.</w:t>
      </w:r>
      <w:r w:rsidRPr="00C00255">
        <w:rPr>
          <w:rFonts w:cs="Times New Roman"/>
          <w:i/>
          <w:color w:val="000000"/>
          <w:lang w:eastAsia="ar-SA" w:bidi="lt-LT"/>
        </w:rPr>
        <w:t xml:space="preserve">, </w:t>
      </w:r>
      <w:r w:rsidR="004E4879">
        <w:rPr>
          <w:rFonts w:cs="Times New Roman"/>
          <w:i/>
          <w:color w:val="000000"/>
          <w:lang w:eastAsia="ar-SA" w:bidi="lt-LT"/>
        </w:rPr>
        <w:t>R. V.</w:t>
      </w:r>
      <w:r w:rsidR="008C57FD" w:rsidRPr="00C00255">
        <w:rPr>
          <w:rFonts w:cs="Times New Roman"/>
          <w:i/>
          <w:color w:val="000000"/>
          <w:lang w:eastAsia="ar-SA" w:bidi="lt-LT"/>
        </w:rPr>
        <w:t xml:space="preserve">, </w:t>
      </w:r>
      <w:r w:rsidR="004E4879">
        <w:rPr>
          <w:rFonts w:cs="Times New Roman"/>
          <w:i/>
          <w:color w:val="000000"/>
          <w:lang w:eastAsia="ar-SA" w:bidi="lt-LT"/>
        </w:rPr>
        <w:t>R. A.</w:t>
      </w:r>
      <w:r w:rsidR="008C57FD" w:rsidRPr="00C00255">
        <w:rPr>
          <w:rFonts w:cs="Times New Roman"/>
          <w:i/>
          <w:color w:val="000000"/>
          <w:lang w:eastAsia="ar-SA" w:bidi="lt-LT"/>
        </w:rPr>
        <w:t xml:space="preserve">, </w:t>
      </w:r>
      <w:r w:rsidR="004E4879">
        <w:rPr>
          <w:rFonts w:cs="Times New Roman"/>
          <w:i/>
          <w:color w:val="000000"/>
          <w:lang w:eastAsia="ar-SA" w:bidi="lt-LT"/>
        </w:rPr>
        <w:t>S. S.</w:t>
      </w:r>
      <w:r w:rsidRPr="00C00255">
        <w:rPr>
          <w:rFonts w:cs="Times New Roman"/>
          <w:i/>
          <w:color w:val="000000"/>
          <w:lang w:eastAsia="ar-SA" w:bidi="lt-LT"/>
        </w:rPr>
        <w:t xml:space="preserve">, </w:t>
      </w:r>
      <w:r w:rsidR="004E4879">
        <w:rPr>
          <w:rFonts w:cs="Times New Roman"/>
          <w:i/>
          <w:color w:val="000000"/>
          <w:lang w:eastAsia="ar-SA" w:bidi="lt-LT"/>
        </w:rPr>
        <w:t>R. ir V. B.</w:t>
      </w:r>
      <w:r w:rsidRPr="00C00255">
        <w:rPr>
          <w:rFonts w:cs="Times New Roman"/>
          <w:i/>
          <w:color w:val="000000"/>
          <w:lang w:eastAsia="ar-SA" w:bidi="lt-LT"/>
        </w:rPr>
        <w:t xml:space="preserve">, </w:t>
      </w:r>
      <w:r w:rsidR="004E4879">
        <w:rPr>
          <w:rFonts w:cs="Times New Roman"/>
          <w:i/>
          <w:color w:val="000000"/>
          <w:lang w:eastAsia="ar-SA" w:bidi="lt-LT"/>
        </w:rPr>
        <w:t>A. Š. ir A. P.</w:t>
      </w:r>
      <w:r w:rsidRPr="00C00255">
        <w:rPr>
          <w:rFonts w:cs="Times New Roman"/>
          <w:i/>
          <w:color w:val="000000"/>
          <w:lang w:eastAsia="ar-SA" w:bidi="lt-LT"/>
        </w:rPr>
        <w:t xml:space="preserve">, o </w:t>
      </w:r>
      <w:r w:rsidR="004E4879">
        <w:rPr>
          <w:rFonts w:cs="Times New Roman"/>
          <w:i/>
          <w:color w:val="000000"/>
          <w:lang w:eastAsia="ar-SA" w:bidi="lt-LT"/>
        </w:rPr>
        <w:t>Z. S.</w:t>
      </w:r>
      <w:r w:rsidRPr="00C00255">
        <w:rPr>
          <w:rFonts w:cs="Times New Roman"/>
          <w:i/>
          <w:color w:val="000000"/>
          <w:lang w:eastAsia="ar-SA" w:bidi="lt-LT"/>
        </w:rPr>
        <w:t xml:space="preserve">, </w:t>
      </w:r>
      <w:r w:rsidR="004E4879">
        <w:rPr>
          <w:rFonts w:cs="Times New Roman"/>
          <w:i/>
          <w:color w:val="000000"/>
          <w:lang w:eastAsia="ar-SA" w:bidi="lt-LT"/>
        </w:rPr>
        <w:t>S. S.</w:t>
      </w:r>
      <w:r w:rsidRPr="00C00255">
        <w:rPr>
          <w:rFonts w:cs="Times New Roman"/>
          <w:i/>
          <w:color w:val="000000"/>
          <w:lang w:eastAsia="ar-SA" w:bidi="lt-LT"/>
        </w:rPr>
        <w:t xml:space="preserve">, </w:t>
      </w:r>
      <w:r w:rsidR="004E4879">
        <w:rPr>
          <w:rFonts w:cs="Times New Roman"/>
          <w:i/>
          <w:color w:val="000000"/>
          <w:lang w:eastAsia="ar-SA" w:bidi="lt-LT"/>
        </w:rPr>
        <w:t>D. M.</w:t>
      </w:r>
      <w:r w:rsidRPr="00C00255">
        <w:rPr>
          <w:rFonts w:cs="Times New Roman"/>
          <w:i/>
          <w:color w:val="000000"/>
          <w:lang w:eastAsia="ar-SA" w:bidi="lt-LT"/>
        </w:rPr>
        <w:t xml:space="preserve">, </w:t>
      </w:r>
      <w:r w:rsidR="004E4879">
        <w:rPr>
          <w:rFonts w:cs="Times New Roman"/>
          <w:i/>
          <w:color w:val="000000"/>
          <w:lang w:eastAsia="ar-SA" w:bidi="lt-LT"/>
        </w:rPr>
        <w:t>R. V.</w:t>
      </w:r>
      <w:r w:rsidRPr="00C00255">
        <w:rPr>
          <w:rFonts w:cs="Times New Roman"/>
          <w:i/>
          <w:color w:val="000000"/>
          <w:lang w:eastAsia="ar-SA" w:bidi="lt-LT"/>
        </w:rPr>
        <w:t xml:space="preserve">, </w:t>
      </w:r>
      <w:r w:rsidR="004E4879">
        <w:rPr>
          <w:rFonts w:cs="Times New Roman"/>
          <w:i/>
          <w:color w:val="000000"/>
          <w:lang w:eastAsia="ar-SA" w:bidi="lt-LT"/>
        </w:rPr>
        <w:t>R. A.</w:t>
      </w:r>
      <w:r w:rsidRPr="00C00255">
        <w:rPr>
          <w:rFonts w:cs="Times New Roman"/>
          <w:i/>
          <w:color w:val="000000"/>
          <w:lang w:eastAsia="ar-SA" w:bidi="lt-LT"/>
        </w:rPr>
        <w:t xml:space="preserve">, </w:t>
      </w:r>
      <w:r w:rsidR="004E4879">
        <w:rPr>
          <w:rFonts w:cs="Times New Roman"/>
          <w:i/>
          <w:color w:val="000000"/>
          <w:lang w:eastAsia="ar-SA" w:bidi="lt-LT"/>
        </w:rPr>
        <w:t>S. S.</w:t>
      </w:r>
      <w:r w:rsidRPr="00C00255">
        <w:rPr>
          <w:rFonts w:cs="Times New Roman"/>
          <w:i/>
          <w:color w:val="000000"/>
          <w:lang w:eastAsia="ar-SA" w:bidi="lt-LT"/>
        </w:rPr>
        <w:t xml:space="preserve">, </w:t>
      </w:r>
      <w:r w:rsidR="004E4879">
        <w:rPr>
          <w:rFonts w:cs="Times New Roman"/>
          <w:i/>
          <w:color w:val="000000"/>
          <w:lang w:eastAsia="ar-SA" w:bidi="lt-LT"/>
        </w:rPr>
        <w:t>R. B.</w:t>
      </w:r>
      <w:r w:rsidRPr="00C00255">
        <w:rPr>
          <w:rFonts w:cs="Times New Roman"/>
          <w:i/>
          <w:color w:val="000000"/>
          <w:lang w:eastAsia="ar-SA" w:bidi="lt-LT"/>
        </w:rPr>
        <w:t xml:space="preserve">, </w:t>
      </w:r>
      <w:r w:rsidR="004E4879">
        <w:rPr>
          <w:rFonts w:cs="Times New Roman"/>
          <w:i/>
          <w:color w:val="000000"/>
          <w:lang w:eastAsia="ar-SA" w:bidi="lt-LT"/>
        </w:rPr>
        <w:t>V. B.</w:t>
      </w:r>
      <w:r w:rsidRPr="00C00255">
        <w:rPr>
          <w:rFonts w:cs="Times New Roman"/>
          <w:i/>
          <w:color w:val="000000"/>
          <w:lang w:eastAsia="ar-SA" w:bidi="lt-LT"/>
        </w:rPr>
        <w:t xml:space="preserve"> dar neteisėtai ir sulaikė, panaudojo prieš juos fizinį smurtą, padarydami </w:t>
      </w:r>
      <w:r w:rsidR="004E4879">
        <w:rPr>
          <w:rFonts w:cs="Times New Roman"/>
          <w:i/>
          <w:color w:val="000000"/>
          <w:lang w:eastAsia="ar-SA" w:bidi="lt-LT"/>
        </w:rPr>
        <w:t>Z. S.</w:t>
      </w:r>
      <w:r w:rsidR="008C57FD" w:rsidRPr="00C00255">
        <w:rPr>
          <w:rFonts w:cs="Times New Roman"/>
          <w:i/>
          <w:color w:val="000000"/>
          <w:lang w:eastAsia="ar-SA" w:bidi="lt-LT"/>
        </w:rPr>
        <w:t xml:space="preserve">, </w:t>
      </w:r>
      <w:r w:rsidR="004E4879">
        <w:rPr>
          <w:rFonts w:cs="Times New Roman"/>
          <w:i/>
          <w:color w:val="000000"/>
          <w:lang w:eastAsia="ar-SA" w:bidi="lt-LT"/>
        </w:rPr>
        <w:t>S. S.</w:t>
      </w:r>
      <w:r w:rsidR="008C57FD" w:rsidRPr="00C00255">
        <w:rPr>
          <w:rFonts w:cs="Times New Roman"/>
          <w:i/>
          <w:color w:val="000000"/>
          <w:lang w:eastAsia="ar-SA" w:bidi="lt-LT"/>
        </w:rPr>
        <w:t xml:space="preserve">, </w:t>
      </w:r>
      <w:r w:rsidR="004E4879">
        <w:rPr>
          <w:rFonts w:cs="Times New Roman"/>
          <w:i/>
          <w:color w:val="000000"/>
          <w:lang w:eastAsia="ar-SA" w:bidi="lt-LT"/>
        </w:rPr>
        <w:t>D. M.</w:t>
      </w:r>
      <w:r w:rsidRPr="00C00255">
        <w:rPr>
          <w:rFonts w:cs="Times New Roman"/>
          <w:i/>
          <w:color w:val="000000"/>
          <w:lang w:eastAsia="ar-SA" w:bidi="lt-LT"/>
        </w:rPr>
        <w:t xml:space="preserve">, </w:t>
      </w:r>
      <w:r w:rsidR="004E4879">
        <w:rPr>
          <w:rFonts w:cs="Times New Roman"/>
          <w:i/>
          <w:color w:val="000000"/>
          <w:lang w:eastAsia="ar-SA" w:bidi="lt-LT"/>
        </w:rPr>
        <w:t>R. A.</w:t>
      </w:r>
      <w:r w:rsidRPr="00C00255">
        <w:rPr>
          <w:rFonts w:cs="Times New Roman"/>
          <w:i/>
          <w:color w:val="000000"/>
          <w:lang w:eastAsia="ar-SA" w:bidi="lt-LT"/>
        </w:rPr>
        <w:t xml:space="preserve">, </w:t>
      </w:r>
      <w:r w:rsidR="004E4879">
        <w:rPr>
          <w:rFonts w:cs="Times New Roman"/>
          <w:i/>
          <w:color w:val="000000"/>
          <w:lang w:eastAsia="ar-SA" w:bidi="lt-LT"/>
        </w:rPr>
        <w:t>S. S.</w:t>
      </w:r>
      <w:r w:rsidRPr="00C00255">
        <w:rPr>
          <w:rFonts w:cs="Times New Roman"/>
          <w:i/>
          <w:color w:val="000000"/>
          <w:lang w:eastAsia="ar-SA" w:bidi="lt-LT"/>
        </w:rPr>
        <w:t xml:space="preserve">, </w:t>
      </w:r>
      <w:r w:rsidR="004E4879">
        <w:rPr>
          <w:rFonts w:cs="Times New Roman"/>
          <w:i/>
          <w:color w:val="000000"/>
          <w:lang w:eastAsia="ar-SA" w:bidi="lt-LT"/>
        </w:rPr>
        <w:t>R. B. ir V. B.</w:t>
      </w:r>
      <w:r w:rsidRPr="00C00255">
        <w:rPr>
          <w:rFonts w:cs="Times New Roman"/>
          <w:i/>
          <w:color w:val="000000"/>
          <w:lang w:eastAsia="ar-SA" w:bidi="lt-LT"/>
        </w:rPr>
        <w:t xml:space="preserve"> nesunkius sveikatos sutrikdymus, o </w:t>
      </w:r>
      <w:r w:rsidR="004E4879">
        <w:rPr>
          <w:rFonts w:cs="Times New Roman"/>
          <w:i/>
          <w:color w:val="000000"/>
          <w:lang w:eastAsia="ar-SA" w:bidi="lt-LT"/>
        </w:rPr>
        <w:t>R. V.</w:t>
      </w:r>
      <w:r w:rsidR="00E420BD">
        <w:rPr>
          <w:rFonts w:cs="Times New Roman"/>
          <w:i/>
          <w:color w:val="000000"/>
          <w:lang w:eastAsia="ar-SA" w:bidi="lt-LT"/>
        </w:rPr>
        <w:t xml:space="preserve"> </w:t>
      </w:r>
      <w:r w:rsidRPr="00C00255">
        <w:rPr>
          <w:rFonts w:cs="Times New Roman"/>
          <w:i/>
          <w:color w:val="000000"/>
          <w:lang w:eastAsia="ar-SA" w:bidi="lt-LT"/>
        </w:rPr>
        <w:t xml:space="preserve">– nežymų sveikatos sutrikdymą. Apšaudymo metu </w:t>
      </w:r>
      <w:r w:rsidR="004E4879">
        <w:rPr>
          <w:rFonts w:cs="Times New Roman"/>
          <w:i/>
          <w:color w:val="000000"/>
          <w:lang w:eastAsia="ar-SA" w:bidi="lt-LT"/>
        </w:rPr>
        <w:t>A. Š.</w:t>
      </w:r>
      <w:r w:rsidRPr="00C00255">
        <w:rPr>
          <w:rFonts w:cs="Times New Roman"/>
          <w:i/>
          <w:color w:val="000000"/>
          <w:lang w:eastAsia="ar-SA" w:bidi="lt-LT"/>
        </w:rPr>
        <w:t>padarė</w:t>
      </w:r>
      <w:r w:rsidR="008C57FD" w:rsidRPr="00C00255">
        <w:rPr>
          <w:rFonts w:cs="Times New Roman"/>
          <w:i/>
          <w:color w:val="000000"/>
          <w:lang w:eastAsia="ar-SA" w:bidi="lt-LT"/>
        </w:rPr>
        <w:t xml:space="preserve"> nesunkų sveikatos sutrikdymą.</w:t>
      </w:r>
      <w:r w:rsidRPr="00C00255">
        <w:rPr>
          <w:rFonts w:cs="Times New Roman"/>
          <w:bCs/>
          <w:sz w:val="28"/>
          <w:szCs w:val="28"/>
        </w:rPr>
        <w:t>“</w:t>
      </w:r>
    </w:p>
    <w:p w:rsidR="006F15BA" w:rsidRPr="00C00255" w:rsidRDefault="001D411D" w:rsidP="00321748">
      <w:pPr>
        <w:pStyle w:val="ListParagraph"/>
        <w:numPr>
          <w:ilvl w:val="0"/>
          <w:numId w:val="6"/>
        </w:numPr>
        <w:spacing w:before="120" w:after="120"/>
        <w:ind w:left="992" w:hanging="992"/>
        <w:contextualSpacing w:val="0"/>
      </w:pPr>
      <w:r w:rsidRPr="00D53301">
        <w:t xml:space="preserve">Atsiliepimų į apeliacinius skundus negauta. Teismo posėdyje prokurorai prašė jų apeliacinį skundą patenkinti, </w:t>
      </w:r>
      <w:r w:rsidR="00A2339A" w:rsidRPr="00D53301">
        <w:t xml:space="preserve">išskyrus paaiškėjus aplinkybėms, kad </w:t>
      </w:r>
      <w:r w:rsidRPr="00D53301">
        <w:t xml:space="preserve">nuteistasis </w:t>
      </w:r>
      <w:r w:rsidR="00385BC9" w:rsidRPr="00D53301">
        <w:t>D. J.</w:t>
      </w:r>
      <w:r w:rsidRPr="00D53301">
        <w:t xml:space="preserve"> mirė, procesą jo atžvilgiu prašė nutraukti, nukentėjusiųjų skundus – patenkinti, o nuteistųjų ir jų gynė</w:t>
      </w:r>
      <w:r w:rsidR="0093200A" w:rsidRPr="00D53301">
        <w:t>jų – atmesti. Nukentėjusysis R. </w:t>
      </w:r>
      <w:r w:rsidRPr="00D53301">
        <w:t>P</w:t>
      </w:r>
      <w:r w:rsidR="0093200A" w:rsidRPr="00D53301">
        <w:t xml:space="preserve">. </w:t>
      </w:r>
      <w:r w:rsidRPr="00D53301">
        <w:t xml:space="preserve">teismo posėdyje jo bei jo atstovo, o taip pat ir nukentėjusiosios </w:t>
      </w:r>
      <w:r w:rsidR="0093200A" w:rsidRPr="00D53301">
        <w:t>O. P.</w:t>
      </w:r>
      <w:r w:rsidRPr="00D53301">
        <w:t xml:space="preserve"> ir jos atstovo pateiktus apeliacinius skundus prašė patenkinti. Nuteistasis </w:t>
      </w:r>
      <w:r w:rsidR="00BA18FA" w:rsidRPr="00D53301">
        <w:t>G. I.</w:t>
      </w:r>
      <w:r w:rsidRPr="00D53301">
        <w:t xml:space="preserve"> ir jo gynėja prašė patenkinti </w:t>
      </w:r>
      <w:r w:rsidR="00BA18FA" w:rsidRPr="00D53301">
        <w:t>G. I.</w:t>
      </w:r>
      <w:r w:rsidRPr="00D53301">
        <w:t xml:space="preserve"> bei kitų gynėjų pateiktus apeliacinius skundus bei atmesti prokuratūros apeliacinį skundą. Nuteistasis </w:t>
      </w:r>
      <w:r w:rsidR="00BA18FA" w:rsidRPr="00D53301">
        <w:t>J. M.</w:t>
      </w:r>
      <w:r w:rsidRPr="00D53301">
        <w:t xml:space="preserve"> prašė patenkinti jo gynėjos apeliacinį skundą bei palaikė kitų nuteistųjų gynėjų pateiktus apeliacinius skundus, o jo gynėjas prašė patenkinti jo </w:t>
      </w:r>
      <w:r w:rsidR="00BE0F01" w:rsidRPr="00D53301">
        <w:t xml:space="preserve">ginamąjį </w:t>
      </w:r>
      <w:r w:rsidRPr="00D53301">
        <w:t>atstovavusios gynėjos ir kitų gynėjų pateiktus apeliacinius skundus bei atmesti prokurorų ir nukentėjusių pateiktus apeliacinius skundus. Kit</w:t>
      </w:r>
      <w:r w:rsidR="00BE0F01" w:rsidRPr="00D53301">
        <w:t>i</w:t>
      </w:r>
      <w:r w:rsidRPr="00D53301">
        <w:t xml:space="preserve"> posėdyje dalyvavę gynėjai iš esmės palaikė savo </w:t>
      </w:r>
      <w:r w:rsidR="00BE0F01" w:rsidRPr="00D53301">
        <w:t xml:space="preserve">bei </w:t>
      </w:r>
      <w:r w:rsidRPr="00D53301">
        <w:t>kitų nuteistųjų ir (ar) jų gynėjų apeliacinius skundus bei prašė atmesti prokurorų ir nukentėjusiųjų bei jų atstovo apeliacinius skundus</w:t>
      </w:r>
      <w:r w:rsidRPr="00C00255">
        <w:t>.</w:t>
      </w:r>
    </w:p>
    <w:p w:rsidR="0099282B" w:rsidRPr="00C00255" w:rsidRDefault="00E672CC" w:rsidP="009A296B">
      <w:pPr>
        <w:pStyle w:val="Heading1"/>
        <w:ind w:left="360"/>
        <w:rPr>
          <w:rFonts w:eastAsiaTheme="minorEastAsia"/>
          <w:sz w:val="24"/>
        </w:rPr>
      </w:pPr>
      <w:bookmarkStart w:id="216" w:name="_Toc37947894"/>
      <w:bookmarkStart w:id="217" w:name="_Toc67677378"/>
      <w:bookmarkStart w:id="218" w:name="_Toc67985505"/>
      <w:r w:rsidRPr="00C00255">
        <w:rPr>
          <w:rFonts w:eastAsiaTheme="minorEastAsia"/>
          <w:sz w:val="24"/>
        </w:rPr>
        <w:t xml:space="preserve">III. </w:t>
      </w:r>
      <w:r w:rsidR="00A155C4" w:rsidRPr="00C00255">
        <w:rPr>
          <w:rFonts w:eastAsiaTheme="minorEastAsia"/>
          <w:sz w:val="24"/>
        </w:rPr>
        <w:t>APELIACINĖS INSTANCIJOS TEISMO IŠVADOS IR ARGUMENTAI</w:t>
      </w:r>
      <w:bookmarkEnd w:id="216"/>
      <w:bookmarkEnd w:id="217"/>
      <w:bookmarkEnd w:id="218"/>
    </w:p>
    <w:p w:rsidR="006F15BA" w:rsidRPr="00D53301" w:rsidRDefault="0093200A" w:rsidP="006F15BA">
      <w:pPr>
        <w:pStyle w:val="ListParagraph"/>
        <w:spacing w:before="120" w:after="120"/>
        <w:ind w:left="992"/>
        <w:contextualSpacing w:val="0"/>
        <w:rPr>
          <w:bCs/>
          <w:i/>
          <w:iCs/>
          <w:szCs w:val="24"/>
        </w:rPr>
      </w:pPr>
      <w:r w:rsidRPr="00D53301">
        <w:rPr>
          <w:bCs/>
          <w:i/>
          <w:iCs/>
          <w:szCs w:val="24"/>
        </w:rPr>
        <w:t>Nukentėjusiųjų R. </w:t>
      </w:r>
      <w:r w:rsidR="006F15BA" w:rsidRPr="00D53301">
        <w:rPr>
          <w:bCs/>
          <w:i/>
          <w:iCs/>
          <w:szCs w:val="24"/>
        </w:rPr>
        <w:t>P</w:t>
      </w:r>
      <w:r w:rsidRPr="00D53301">
        <w:rPr>
          <w:bCs/>
          <w:i/>
          <w:iCs/>
          <w:szCs w:val="24"/>
        </w:rPr>
        <w:t>.</w:t>
      </w:r>
      <w:r w:rsidR="006F15BA" w:rsidRPr="00D53301">
        <w:rPr>
          <w:bCs/>
          <w:i/>
          <w:iCs/>
          <w:szCs w:val="24"/>
        </w:rPr>
        <w:t xml:space="preserve"> ir </w:t>
      </w:r>
      <w:r w:rsidRPr="00D53301">
        <w:rPr>
          <w:bCs/>
          <w:i/>
          <w:iCs/>
          <w:szCs w:val="24"/>
        </w:rPr>
        <w:t>O. P.</w:t>
      </w:r>
      <w:r w:rsidR="006F15BA" w:rsidRPr="00D53301">
        <w:rPr>
          <w:bCs/>
          <w:i/>
          <w:iCs/>
          <w:szCs w:val="24"/>
        </w:rPr>
        <w:t xml:space="preserve"> bei jų atstovo advokato A. Butos, nuteistojo </w:t>
      </w:r>
      <w:r w:rsidR="006036E7" w:rsidRPr="00D53301">
        <w:rPr>
          <w:bCs/>
          <w:i/>
          <w:iCs/>
          <w:szCs w:val="24"/>
        </w:rPr>
        <w:t>E. M.</w:t>
      </w:r>
      <w:r w:rsidR="006F15BA" w:rsidRPr="00D53301">
        <w:rPr>
          <w:bCs/>
          <w:i/>
          <w:iCs/>
          <w:szCs w:val="24"/>
        </w:rPr>
        <w:t xml:space="preserve"> gynėjos advokatės J. Jablonskienės, nuteistojo </w:t>
      </w:r>
      <w:r w:rsidR="006036E7" w:rsidRPr="00D53301">
        <w:rPr>
          <w:bCs/>
          <w:i/>
          <w:iCs/>
          <w:szCs w:val="24"/>
        </w:rPr>
        <w:t>A. S.</w:t>
      </w:r>
      <w:r w:rsidR="006F15BA" w:rsidRPr="00D53301">
        <w:rPr>
          <w:bCs/>
          <w:i/>
          <w:iCs/>
          <w:szCs w:val="24"/>
        </w:rPr>
        <w:t xml:space="preserve"> gynėjo advokato A. Kojalos ir prokurorų apeliaciniai skundai tenkintini iš dalies, o kitų nuteistųjų ir (ar) jų gynėjų apeliaciniai skundai atmetami. </w:t>
      </w:r>
    </w:p>
    <w:p w:rsidR="006F15BA" w:rsidRPr="00D53301" w:rsidRDefault="006F15BA" w:rsidP="001D0506">
      <w:pPr>
        <w:pStyle w:val="ListParagraph"/>
        <w:numPr>
          <w:ilvl w:val="0"/>
          <w:numId w:val="6"/>
        </w:numPr>
        <w:spacing w:before="120" w:after="120"/>
        <w:ind w:left="992" w:hanging="992"/>
        <w:contextualSpacing w:val="0"/>
        <w:rPr>
          <w:lang w:eastAsia="ko-KR"/>
        </w:rPr>
      </w:pPr>
      <w:bookmarkStart w:id="219" w:name="_Hlk60246836"/>
      <w:r w:rsidRPr="00D53301">
        <w:t>Teisėjų kolegija, įvertinusi bylos medžiagą, apeliacinių skundų turinį, apeliacinės instancijos teisme proceso dalyvių pateiktus argumentus</w:t>
      </w:r>
      <w:r w:rsidR="00637369" w:rsidRPr="00D53301">
        <w:t>,</w:t>
      </w:r>
      <w:r w:rsidRPr="00D53301">
        <w:t xml:space="preserve"> konstatuoja, kad šioje byloje pirmosios instancijos teismas, nors ir neišvengė klaidų nustatydamas faktines bylos aplinkybes, </w:t>
      </w:r>
      <w:r w:rsidRPr="00D53301">
        <w:rPr>
          <w:lang w:eastAsia="ko-KR"/>
        </w:rPr>
        <w:t xml:space="preserve">pagrįstai pripažino kaltais visus byloje kaltintus asmenis pagal jiems pateiktus kaltinimus dėl nusikaltimų žmoniškumui ir karo nusikaltimų. Apeliacinės instancijos teismas ištaisė pirmosios instancijos teismo padarytas klaidas vertinant įrodymus ir nustatant faktines aplinkybes dėl atskirų nuteistųjų atliktų veiksmų pobūdžio, tačiau esminių teismo išvadų dėl nuteistųjų kaltės, išskyrus dėl byloje kaltinto </w:t>
      </w:r>
      <w:r w:rsidR="00385BC9" w:rsidRPr="00D53301">
        <w:rPr>
          <w:lang w:eastAsia="ko-KR"/>
        </w:rPr>
        <w:t>D. J.</w:t>
      </w:r>
      <w:r w:rsidRPr="00D53301">
        <w:rPr>
          <w:lang w:eastAsia="ko-KR"/>
        </w:rPr>
        <w:t xml:space="preserve">, nekeičia (proceso metu nustatyta, kad byloje nuteistas </w:t>
      </w:r>
      <w:r w:rsidR="00385BC9" w:rsidRPr="00D53301">
        <w:rPr>
          <w:lang w:eastAsia="ko-KR"/>
        </w:rPr>
        <w:t>D. J.</w:t>
      </w:r>
      <w:r w:rsidRPr="00D53301">
        <w:rPr>
          <w:lang w:eastAsia="ko-KR"/>
        </w:rPr>
        <w:t xml:space="preserve"> mirė, todėl jo atžvilgiu baudžiamoji byla nutrauktina). Vertindama nuteistųjų padarytų nusikaltimų pobūdį, teisėjų kolegija sutiko su prokurorų argumentais dėl </w:t>
      </w:r>
      <w:r w:rsidR="00C3020B" w:rsidRPr="00D53301">
        <w:rPr>
          <w:lang w:eastAsia="ko-KR"/>
        </w:rPr>
        <w:t xml:space="preserve">nuteistiesiems </w:t>
      </w:r>
      <w:r w:rsidR="002451F2" w:rsidRPr="00D53301">
        <w:rPr>
          <w:lang w:eastAsia="ko-KR"/>
        </w:rPr>
        <w:t>V. D.</w:t>
      </w:r>
      <w:r w:rsidR="00C3020B" w:rsidRPr="00D53301">
        <w:rPr>
          <w:lang w:eastAsia="ko-KR"/>
        </w:rPr>
        <w:t xml:space="preserve">, </w:t>
      </w:r>
      <w:r w:rsidR="00385BC9" w:rsidRPr="00D53301">
        <w:rPr>
          <w:lang w:eastAsia="ko-KR"/>
        </w:rPr>
        <w:t>V. S. 1</w:t>
      </w:r>
      <w:r w:rsidR="00C3020B" w:rsidRPr="00D53301">
        <w:rPr>
          <w:lang w:eastAsia="ko-KR"/>
        </w:rPr>
        <w:t xml:space="preserve">, </w:t>
      </w:r>
      <w:r w:rsidR="006036E7" w:rsidRPr="00D53301">
        <w:rPr>
          <w:lang w:eastAsia="ko-KR"/>
        </w:rPr>
        <w:t>A. Ž.</w:t>
      </w:r>
      <w:r w:rsidR="00C3020B" w:rsidRPr="00D53301">
        <w:rPr>
          <w:lang w:eastAsia="ko-KR"/>
        </w:rPr>
        <w:t xml:space="preserve">, </w:t>
      </w:r>
      <w:r w:rsidR="00385BC9" w:rsidRPr="00D53301">
        <w:rPr>
          <w:lang w:eastAsia="ko-KR"/>
        </w:rPr>
        <w:t>V. K. 1</w:t>
      </w:r>
      <w:r w:rsidR="00C3020B" w:rsidRPr="00D53301">
        <w:rPr>
          <w:lang w:eastAsia="ko-KR"/>
        </w:rPr>
        <w:t xml:space="preserve">, </w:t>
      </w:r>
      <w:r w:rsidR="00BA18FA" w:rsidRPr="00D53301">
        <w:rPr>
          <w:lang w:eastAsia="ko-KR"/>
        </w:rPr>
        <w:t>G. I.</w:t>
      </w:r>
      <w:r w:rsidR="00C3020B" w:rsidRPr="00D53301">
        <w:rPr>
          <w:lang w:eastAsia="ko-KR"/>
        </w:rPr>
        <w:t xml:space="preserve">, </w:t>
      </w:r>
      <w:r w:rsidR="00BA18FA" w:rsidRPr="00D53301">
        <w:rPr>
          <w:lang w:eastAsia="ko-KR"/>
        </w:rPr>
        <w:t>J. M.</w:t>
      </w:r>
      <w:r w:rsidR="00C3020B" w:rsidRPr="00D53301">
        <w:rPr>
          <w:lang w:eastAsia="ko-KR"/>
        </w:rPr>
        <w:t xml:space="preserve">, </w:t>
      </w:r>
      <w:r w:rsidR="006036E7" w:rsidRPr="00D53301">
        <w:rPr>
          <w:lang w:eastAsia="ko-KR"/>
        </w:rPr>
        <w:t>A. F. 2</w:t>
      </w:r>
      <w:r w:rsidR="00C3020B" w:rsidRPr="00D53301">
        <w:rPr>
          <w:lang w:eastAsia="ko-KR"/>
        </w:rPr>
        <w:t xml:space="preserve">, </w:t>
      </w:r>
      <w:r w:rsidR="006036E7" w:rsidRPr="00D53301">
        <w:rPr>
          <w:lang w:eastAsia="ko-KR"/>
        </w:rPr>
        <w:t>R. J. 2</w:t>
      </w:r>
      <w:r w:rsidR="00C3020B" w:rsidRPr="00D53301">
        <w:rPr>
          <w:lang w:eastAsia="ko-KR"/>
        </w:rPr>
        <w:t xml:space="preserve">, </w:t>
      </w:r>
      <w:r w:rsidR="006036E7" w:rsidRPr="00D53301">
        <w:rPr>
          <w:lang w:eastAsia="ko-KR"/>
        </w:rPr>
        <w:t>J. J.</w:t>
      </w:r>
      <w:r w:rsidR="00C3020B" w:rsidRPr="00D53301">
        <w:rPr>
          <w:lang w:eastAsia="ko-KR"/>
        </w:rPr>
        <w:t xml:space="preserve">, </w:t>
      </w:r>
      <w:r w:rsidR="006036E7" w:rsidRPr="00D53301">
        <w:rPr>
          <w:lang w:eastAsia="ko-KR"/>
        </w:rPr>
        <w:t>A. I.</w:t>
      </w:r>
      <w:r w:rsidR="00C3020B" w:rsidRPr="00D53301">
        <w:rPr>
          <w:lang w:eastAsia="ko-KR"/>
        </w:rPr>
        <w:t xml:space="preserve">, </w:t>
      </w:r>
      <w:r w:rsidR="006036E7" w:rsidRPr="00D53301">
        <w:rPr>
          <w:lang w:eastAsia="ko-KR"/>
        </w:rPr>
        <w:t>A. C.</w:t>
      </w:r>
      <w:r w:rsidR="00C3020B" w:rsidRPr="00D53301">
        <w:rPr>
          <w:lang w:eastAsia="ko-KR"/>
        </w:rPr>
        <w:t xml:space="preserve">, </w:t>
      </w:r>
      <w:r w:rsidR="00A97F74" w:rsidRPr="00D53301">
        <w:rPr>
          <w:lang w:eastAsia="ko-KR"/>
        </w:rPr>
        <w:t>S. F.</w:t>
      </w:r>
      <w:r w:rsidR="00C3020B" w:rsidRPr="00D53301">
        <w:rPr>
          <w:lang w:eastAsia="ko-KR"/>
        </w:rPr>
        <w:t xml:space="preserve">, </w:t>
      </w:r>
      <w:r w:rsidR="00A97F74" w:rsidRPr="00D53301">
        <w:rPr>
          <w:lang w:eastAsia="ko-KR"/>
        </w:rPr>
        <w:t>V. M.</w:t>
      </w:r>
      <w:r w:rsidR="00C3020B" w:rsidRPr="00D53301">
        <w:rPr>
          <w:lang w:eastAsia="ko-KR"/>
        </w:rPr>
        <w:t xml:space="preserve"> ir </w:t>
      </w:r>
      <w:r w:rsidR="006036E7" w:rsidRPr="00D53301">
        <w:rPr>
          <w:lang w:eastAsia="ko-KR"/>
        </w:rPr>
        <w:t>G. B.</w:t>
      </w:r>
      <w:r w:rsidR="00C3020B" w:rsidRPr="00D53301">
        <w:rPr>
          <w:lang w:eastAsia="ko-KR"/>
        </w:rPr>
        <w:t xml:space="preserve"> paskirtų </w:t>
      </w:r>
      <w:r w:rsidRPr="00D53301">
        <w:rPr>
          <w:lang w:eastAsia="ko-KR"/>
        </w:rPr>
        <w:t xml:space="preserve">per švelnių ir neteisingų bausmių, taip pat atsižvelgė ir į </w:t>
      </w:r>
      <w:r w:rsidR="00A2339A" w:rsidRPr="00D53301">
        <w:rPr>
          <w:lang w:eastAsia="ko-KR"/>
        </w:rPr>
        <w:t xml:space="preserve">nuteistųjų </w:t>
      </w:r>
      <w:r w:rsidR="006036E7" w:rsidRPr="00D53301">
        <w:rPr>
          <w:lang w:eastAsia="ko-KR"/>
        </w:rPr>
        <w:t>E. M.</w:t>
      </w:r>
      <w:r w:rsidR="00A2339A" w:rsidRPr="00D53301">
        <w:rPr>
          <w:lang w:eastAsia="ko-KR"/>
        </w:rPr>
        <w:t xml:space="preserve"> ir </w:t>
      </w:r>
      <w:r w:rsidR="006036E7" w:rsidRPr="00D53301">
        <w:rPr>
          <w:lang w:eastAsia="ko-KR"/>
        </w:rPr>
        <w:t>A. S.</w:t>
      </w:r>
      <w:r w:rsidR="00A2339A" w:rsidRPr="00D53301">
        <w:rPr>
          <w:lang w:eastAsia="ko-KR"/>
        </w:rPr>
        <w:t xml:space="preserve"> gynėjų </w:t>
      </w:r>
      <w:r w:rsidRPr="00D53301">
        <w:rPr>
          <w:lang w:eastAsia="ko-KR"/>
        </w:rPr>
        <w:t xml:space="preserve">argumentus dėl </w:t>
      </w:r>
      <w:r w:rsidR="00A2339A" w:rsidRPr="00D53301">
        <w:rPr>
          <w:lang w:eastAsia="ko-KR"/>
        </w:rPr>
        <w:t xml:space="preserve">šiems </w:t>
      </w:r>
      <w:r w:rsidRPr="00D53301">
        <w:rPr>
          <w:lang w:eastAsia="ko-KR"/>
        </w:rPr>
        <w:t xml:space="preserve">nuteistiesiems </w:t>
      </w:r>
      <w:r w:rsidR="00175BE8" w:rsidRPr="00D53301">
        <w:rPr>
          <w:lang w:eastAsia="ko-KR"/>
        </w:rPr>
        <w:t xml:space="preserve">paskirtų per griežtų </w:t>
      </w:r>
      <w:r w:rsidRPr="00D53301">
        <w:rPr>
          <w:lang w:eastAsia="ko-KR"/>
        </w:rPr>
        <w:t>bausmių. Teisėjų kolegija taip pat pripažino, kad pirmosios instancijos teismas neteisingai išsprendė byloje pa</w:t>
      </w:r>
      <w:r w:rsidR="007F0DDE" w:rsidRPr="00D53301">
        <w:rPr>
          <w:lang w:eastAsia="ko-KR"/>
        </w:rPr>
        <w:t>reikštus</w:t>
      </w:r>
      <w:r w:rsidRPr="00D53301">
        <w:rPr>
          <w:lang w:eastAsia="ko-KR"/>
        </w:rPr>
        <w:t xml:space="preserve"> civilinius ieškinius ir iš dalies patenkino nukentėjusiųjų </w:t>
      </w:r>
      <w:r w:rsidR="00637369" w:rsidRPr="00D53301">
        <w:rPr>
          <w:lang w:eastAsia="ko-KR"/>
        </w:rPr>
        <w:t xml:space="preserve">bei </w:t>
      </w:r>
      <w:r w:rsidRPr="00D53301">
        <w:rPr>
          <w:lang w:eastAsia="ko-KR"/>
        </w:rPr>
        <w:t xml:space="preserve">prokurorų reikalavimus dėl nusikaltimais padarytos žalos atlyginimo. </w:t>
      </w:r>
    </w:p>
    <w:p w:rsidR="00271F50" w:rsidRPr="00D53301" w:rsidRDefault="006F15BA" w:rsidP="001D0506">
      <w:pPr>
        <w:pStyle w:val="ListParagraph"/>
        <w:numPr>
          <w:ilvl w:val="0"/>
          <w:numId w:val="6"/>
        </w:numPr>
        <w:spacing w:before="120" w:after="120"/>
        <w:ind w:left="992" w:hanging="992"/>
        <w:contextualSpacing w:val="0"/>
      </w:pPr>
      <w:r w:rsidRPr="00D53301">
        <w:rPr>
          <w:lang w:eastAsia="ko-KR"/>
        </w:rPr>
        <w:t xml:space="preserve">Apeliacinės instancijos teismas, atsižvelgdamas į byloje keltus klausimus, jų pobūdį, kiekį, ir svarbą teismo išvadoms, šiame sprendime pirmiausia </w:t>
      </w:r>
      <w:r w:rsidR="00BE0F01" w:rsidRPr="00D53301">
        <w:rPr>
          <w:lang w:eastAsia="ko-KR"/>
        </w:rPr>
        <w:t>aptars nagrinėjamų įvykių politinį ir istorinį kontekstą, po to vertins</w:t>
      </w:r>
      <w:r w:rsidRPr="00D53301">
        <w:rPr>
          <w:lang w:eastAsia="ko-KR"/>
        </w:rPr>
        <w:t xml:space="preserve"> byloje inkriminuotų faktinių aplinkybių klausimus, kur</w:t>
      </w:r>
      <w:r w:rsidR="009951CF" w:rsidRPr="00D53301">
        <w:rPr>
          <w:lang w:eastAsia="ko-KR"/>
        </w:rPr>
        <w:t>i</w:t>
      </w:r>
      <w:r w:rsidRPr="00D53301">
        <w:rPr>
          <w:lang w:eastAsia="ko-KR"/>
        </w:rPr>
        <w:t xml:space="preserve">uos analizuos pagal pirmosios instancijos teismo nuosprendyje išskirtus epizodus bei jų eiliškumą. Teisėjų kolegija, atsižvelgdama į daugumos nuteistųjų </w:t>
      </w:r>
      <w:r w:rsidR="007F0DDE" w:rsidRPr="00D53301">
        <w:rPr>
          <w:lang w:eastAsia="ko-KR"/>
        </w:rPr>
        <w:t xml:space="preserve">ir (ar) jų gynėjų </w:t>
      </w:r>
      <w:r w:rsidRPr="00D53301">
        <w:rPr>
          <w:lang w:eastAsia="ko-KR"/>
        </w:rPr>
        <w:t xml:space="preserve">apeliacinių skundų argumentus dėl byloje nepakankamai atskleistų atskirų nuteistųjų individualių veiksmų, faktines aplinkybes analizuos atskirai aptardama kiekvieno byloje nuteisto asmens vaidmenį nagrinėjamuose įvykiuose. Įvertinusi faktines aplinkybes, teisėjų kolegija aptars byloje keliamus teisės klausimus, argumentus dėl byloje </w:t>
      </w:r>
      <w:r w:rsidR="0046551C" w:rsidRPr="00D53301">
        <w:rPr>
          <w:lang w:eastAsia="ko-KR"/>
        </w:rPr>
        <w:t xml:space="preserve">galimai </w:t>
      </w:r>
      <w:r w:rsidRPr="00D53301">
        <w:rPr>
          <w:lang w:eastAsia="ko-KR"/>
        </w:rPr>
        <w:t xml:space="preserve">padarytų proceso teisės pažeidimų, civilinių ieškinių, </w:t>
      </w:r>
      <w:r w:rsidR="00B76528" w:rsidRPr="00D53301">
        <w:rPr>
          <w:shd w:val="clear" w:color="auto" w:fill="FFFFFF"/>
          <w:lang w:eastAsia="ko-KR"/>
        </w:rPr>
        <w:t xml:space="preserve">bausmių, daiktų ir kitų nuosprendžiu spręstinų klausimų. </w:t>
      </w:r>
      <w:r w:rsidR="006A4981" w:rsidRPr="00D53301">
        <w:rPr>
          <w:shd w:val="clear" w:color="auto" w:fill="FFFFFF"/>
        </w:rPr>
        <w:t>Teisėjų kolegija taip pat pabrėžia, kad šiame sprendime asmenų, kurie yra mirę, kurie netraukiami baudžiamojon atsakomybėn, duomenys yra pateikiami nurodant ir jų vardus bei pavardes, siekiant aiškiai atskleisti byloje atsk</w:t>
      </w:r>
      <w:r w:rsidR="00BE0F01" w:rsidRPr="00D53301">
        <w:rPr>
          <w:shd w:val="clear" w:color="auto" w:fill="FFFFFF"/>
        </w:rPr>
        <w:t>i</w:t>
      </w:r>
      <w:r w:rsidR="006A4981" w:rsidRPr="00D53301">
        <w:rPr>
          <w:shd w:val="clear" w:color="auto" w:fill="FFFFFF"/>
        </w:rPr>
        <w:t xml:space="preserve">rų asmenų tarpusavio santykių pobūdį, jų pavaldumą kitiems asmenims ir tarpusavio ryšius, taip </w:t>
      </w:r>
      <w:r w:rsidR="00BE0F01" w:rsidRPr="00D53301">
        <w:rPr>
          <w:shd w:val="clear" w:color="auto" w:fill="FFFFFF"/>
        </w:rPr>
        <w:t>pat</w:t>
      </w:r>
      <w:r w:rsidR="006A4981" w:rsidRPr="00D53301">
        <w:rPr>
          <w:shd w:val="clear" w:color="auto" w:fill="FFFFFF"/>
        </w:rPr>
        <w:t>, kad būtų aiškus bylos aplinkybių aprašymas visiems šioje byloje baudžiamojon atsakomybėn traukiamiems asmenims, tačiau tai jokiu būdu nereiškia, kad šioje baudžiamojoje byloje yra sprendžiamas minėtų asmenų (mirusių, netraukiamų baud</w:t>
      </w:r>
      <w:r w:rsidR="006A4981" w:rsidRPr="00D53301">
        <w:rPr>
          <w:shd w:val="clear" w:color="auto" w:fill="FFFFFF"/>
          <w:lang w:eastAsia="ko-KR"/>
        </w:rPr>
        <w:t>žia</w:t>
      </w:r>
      <w:r w:rsidR="006A4981" w:rsidRPr="00D53301">
        <w:rPr>
          <w:shd w:val="clear" w:color="auto" w:fill="FFFFFF"/>
        </w:rPr>
        <w:t>mojon atsakomybėn) baudžiamosios atsakomybės klausimas.</w:t>
      </w:r>
      <w:r w:rsidRPr="00D53301">
        <w:rPr>
          <w:lang w:eastAsia="ko-KR"/>
        </w:rPr>
        <w:t xml:space="preserve">   </w:t>
      </w:r>
    </w:p>
    <w:p w:rsidR="006F15BA" w:rsidRPr="00C00255" w:rsidRDefault="006F15BA" w:rsidP="006F15BA">
      <w:pPr>
        <w:pStyle w:val="Heading2"/>
        <w:jc w:val="center"/>
        <w:rPr>
          <w:rFonts w:ascii="Times New Roman" w:hAnsi="Times New Roman" w:cs="Times New Roman"/>
          <w:sz w:val="24"/>
          <w:szCs w:val="24"/>
        </w:rPr>
      </w:pPr>
      <w:bookmarkStart w:id="220" w:name="_Toc67677379"/>
      <w:bookmarkStart w:id="221" w:name="_Toc67985506"/>
      <w:r w:rsidRPr="00C00255">
        <w:rPr>
          <w:rFonts w:ascii="Times New Roman" w:hAnsi="Times New Roman" w:cs="Times New Roman"/>
          <w:sz w:val="24"/>
          <w:szCs w:val="24"/>
        </w:rPr>
        <w:t>A. ISTORINIS IR POLITINIS KONTEKSTAS</w:t>
      </w:r>
      <w:bookmarkEnd w:id="220"/>
      <w:bookmarkEnd w:id="221"/>
    </w:p>
    <w:p w:rsidR="006F15BA" w:rsidRPr="00696681" w:rsidRDefault="006F15BA" w:rsidP="00321748">
      <w:pPr>
        <w:pStyle w:val="ListParagraph"/>
        <w:numPr>
          <w:ilvl w:val="0"/>
          <w:numId w:val="6"/>
        </w:numPr>
        <w:spacing w:before="120" w:after="120"/>
        <w:ind w:left="992" w:hanging="992"/>
        <w:contextualSpacing w:val="0"/>
      </w:pPr>
      <w:r w:rsidRPr="00696681">
        <w:rPr>
          <w:bCs/>
          <w:szCs w:val="24"/>
        </w:rPr>
        <w:t xml:space="preserve">Iš esmės visų nuteistųjų gynėjai apeliaciniuose skunduose teigia, kad byloje nagrinėjamų įvykių metu Lietuvos Respublika kaip valstybė nebuvo pripažinta kitų valstybių ir nuteistieji galėjo manyti, jog Lietuva vis dar yra TSRS sudėtyje, o jų vykdyta operacija nebuvo susijusi su pasipriešinimo, skirto atkurti Lietuvos nepriklausomybę, numalšinimu. Tokie ir panašūs teiginiai, vertinant </w:t>
      </w:r>
      <w:r w:rsidRPr="00696681">
        <w:rPr>
          <w:szCs w:val="24"/>
          <w:lang w:eastAsia="lt-LT"/>
        </w:rPr>
        <w:t xml:space="preserve">1991 m. sausio – rugpjūčio mėnesių įvykių Lietuvoje </w:t>
      </w:r>
      <w:r w:rsidRPr="00696681">
        <w:rPr>
          <w:bCs/>
          <w:szCs w:val="24"/>
        </w:rPr>
        <w:t>istorinį ir politinį kontekstą, apeliacinės instancijos teismo vertinimu, yra aiškiai nepagrįsti.</w:t>
      </w:r>
    </w:p>
    <w:p w:rsidR="006F15BA" w:rsidRPr="00696681" w:rsidRDefault="006F15BA" w:rsidP="00321748">
      <w:pPr>
        <w:pStyle w:val="ListParagraph"/>
        <w:numPr>
          <w:ilvl w:val="0"/>
          <w:numId w:val="6"/>
        </w:numPr>
        <w:spacing w:before="120" w:after="120"/>
        <w:ind w:left="992" w:hanging="992"/>
        <w:contextualSpacing w:val="0"/>
      </w:pPr>
      <w:r w:rsidRPr="00696681">
        <w:rPr>
          <w:lang w:eastAsia="lt-LT"/>
        </w:rPr>
        <w:t xml:space="preserve">Aptariant nagrinėjamai bylai aktualų istorinį ir politinį 1991 m. sausio – rugpjūčio mėnesių įvykių Lietuvoje kontekstą, pirmiausia </w:t>
      </w:r>
      <w:r w:rsidR="00254271" w:rsidRPr="00696681">
        <w:rPr>
          <w:lang w:eastAsia="lt-LT"/>
        </w:rPr>
        <w:t xml:space="preserve">vadovaujamasi </w:t>
      </w:r>
      <w:r w:rsidRPr="00696681">
        <w:rPr>
          <w:lang w:eastAsia="lt-LT"/>
        </w:rPr>
        <w:t xml:space="preserve">Lietuvos Respublikos Konstitucinio Teismo jurisprudencija, kurioje išsamiai išanalizuotas istorinis ir politinis tuometinės Lietuvos statuso kontekstas. </w:t>
      </w:r>
    </w:p>
    <w:p w:rsidR="006F15BA" w:rsidRPr="00696681" w:rsidRDefault="006F15BA" w:rsidP="00321748">
      <w:pPr>
        <w:pStyle w:val="ListParagraph"/>
        <w:numPr>
          <w:ilvl w:val="0"/>
          <w:numId w:val="6"/>
        </w:numPr>
        <w:spacing w:before="120" w:after="120"/>
        <w:ind w:left="992" w:hanging="992"/>
        <w:contextualSpacing w:val="0"/>
      </w:pPr>
      <w:r w:rsidRPr="00696681">
        <w:rPr>
          <w:lang w:eastAsia="lt-LT"/>
        </w:rPr>
        <w:t>Naujausioje Konstitucinio Teismo jurisprudencijoje (2020 m. liepos 30 d. nutarimas) pabrėžta, kad:</w:t>
      </w:r>
    </w:p>
    <w:p w:rsidR="006F15BA" w:rsidRPr="00C00255" w:rsidRDefault="006F15BA" w:rsidP="006F15BA">
      <w:pPr>
        <w:pStyle w:val="ListParagraph"/>
        <w:spacing w:before="120" w:after="120"/>
        <w:ind w:left="1276"/>
        <w:contextualSpacing w:val="0"/>
        <w:rPr>
          <w:sz w:val="18"/>
          <w:szCs w:val="18"/>
          <w:shd w:val="clear" w:color="auto" w:fill="FFFFFF"/>
        </w:rPr>
      </w:pPr>
      <w:r w:rsidRPr="00C00255">
        <w:rPr>
          <w:sz w:val="18"/>
          <w:szCs w:val="18"/>
          <w:shd w:val="clear" w:color="auto" w:fill="FFFFFF"/>
        </w:rPr>
        <w:t>„</w:t>
      </w:r>
      <w:r w:rsidRPr="00C00255">
        <w:rPr>
          <w:sz w:val="20"/>
          <w:shd w:val="clear" w:color="auto" w:fill="FFFFFF"/>
        </w:rPr>
        <w:t>Lietuvos valstybės pamatiniai konstituciniai aktai – Lietuvos Tarybos 1918 m. vasario 16 d. nutarimas – Nepriklausomybės Aktas (kartu su 1920 m. gegužės 15 d. Steigiamojo Seimo rezoliucija dėl atstatytos Lietuvos demokratinės valstybės), 1990 m. kovo 11 d. Lietuvos Respublikos Aukščiausiosios Tarybos Aktas „Dėl Lietuvos Nepriklausomos Valstybės Atstatymo“, Lietuvos Laisvės</w:t>
      </w:r>
      <w:r w:rsidR="00E420BD">
        <w:rPr>
          <w:sz w:val="20"/>
          <w:shd w:val="clear" w:color="auto" w:fill="FFFFFF"/>
        </w:rPr>
        <w:t xml:space="preserve"> Kovos Sąjūdžio Tarybos 1949 m. </w:t>
      </w:r>
      <w:r w:rsidRPr="00C00255">
        <w:rPr>
          <w:sz w:val="20"/>
          <w:shd w:val="clear" w:color="auto" w:fill="FFFFFF"/>
        </w:rPr>
        <w:t>vasario 16 d. deklaracija – 1992 m. spalio 25 d. Konstitucijos požiūriu yra ikikonstituciniai steigiamojo (atkuriamojo) pobūdžio aktai, priimti Tautai atstovavusių ir jos valią įkurti (atkurti) nepriklausomą demokratinę Lietuvos valstybę išreiškusių aukščiausiųjų institucijų. Todėl šie Lietuvos valstybės pamatiniai konstituciniai aktai, kaip pirminiai Lietuvos konstitucinės teisės šaltiniai, niekada negali būti pakeisti ar panaikinti</w:t>
      </w:r>
      <w:r w:rsidRPr="00C00255">
        <w:rPr>
          <w:sz w:val="18"/>
          <w:szCs w:val="18"/>
          <w:shd w:val="clear" w:color="auto" w:fill="FFFFFF"/>
        </w:rPr>
        <w:t>“.</w:t>
      </w:r>
    </w:p>
    <w:p w:rsidR="006F15BA" w:rsidRPr="00C00255" w:rsidRDefault="006F15BA" w:rsidP="00321748">
      <w:pPr>
        <w:pStyle w:val="ListParagraph"/>
        <w:numPr>
          <w:ilvl w:val="0"/>
          <w:numId w:val="6"/>
        </w:numPr>
        <w:spacing w:before="120" w:after="120"/>
        <w:ind w:left="992" w:hanging="992"/>
        <w:contextualSpacing w:val="0"/>
      </w:pPr>
      <w:r w:rsidRPr="00C00255">
        <w:rPr>
          <w:lang w:eastAsia="lt-LT"/>
        </w:rPr>
        <w:t>Konstitucinis Teismas 2013 m. vasario 22 d. nutarime aiškiai pasisakė dėl Lietuvos valstybės tęstinumo, pažymėdamas, kad:</w:t>
      </w:r>
    </w:p>
    <w:p w:rsidR="006F15BA" w:rsidRPr="00C00255" w:rsidRDefault="006F15BA" w:rsidP="006F15BA">
      <w:pPr>
        <w:pStyle w:val="ListParagraph"/>
        <w:spacing w:before="120" w:after="120"/>
        <w:ind w:left="1276"/>
        <w:contextualSpacing w:val="0"/>
        <w:rPr>
          <w:color w:val="000000"/>
          <w:sz w:val="20"/>
          <w:shd w:val="clear" w:color="auto" w:fill="FFFFFF"/>
        </w:rPr>
      </w:pPr>
      <w:r w:rsidRPr="00C00255">
        <w:rPr>
          <w:color w:val="000000"/>
          <w:sz w:val="20"/>
          <w:shd w:val="clear" w:color="auto" w:fill="FFFFFF"/>
        </w:rPr>
        <w:t>„– iš 1990 m. kovo 11 d. Akto nuostatų „yra atstatomas 1940 metais svetimos jėgos panaikintas Lietuvos Valstybės suvereninių galių vykdymas, ir nuo šiol Lietuva vėl yra nepriklausoma valstybė“ matyti, jog Lietuvos Respublikos nepriklausomybės atkūrimas buvo grindžiamas Lietuvos valstybės tęstinumu, kuris reiškia, kad 1940 m. birželio 15 d. prieš Lietuvos Respubliką pradėta SSRS agresija (</w:t>
      </w:r>
      <w:r w:rsidRPr="00C00255">
        <w:rPr>
          <w:i/>
          <w:iCs/>
          <w:color w:val="000000"/>
          <w:sz w:val="20"/>
          <w:shd w:val="clear" w:color="auto" w:fill="FFFFFF"/>
        </w:rPr>
        <w:t>inter alia</w:t>
      </w:r>
      <w:r w:rsidRPr="00C00255">
        <w:rPr>
          <w:color w:val="000000"/>
          <w:sz w:val="20"/>
          <w:shd w:val="clear" w:color="auto" w:fill="FFFFFF"/>
        </w:rPr>
        <w:t xml:space="preserve"> Lietuvos Respublikos teritorijos okupacija ir aneksija) nepanaikino Lietuvos valstybės, kaip tarptautinės teisės subjekto, ir jos suverenių galių; dėl Lietuvos Respublikos teritorijos okupacijos ir valstybės institucijų sunaikinimo buvo sustabdytas Lietuvos valstybės suverenių galių, </w:t>
      </w:r>
      <w:r w:rsidRPr="00C00255">
        <w:rPr>
          <w:i/>
          <w:iCs/>
          <w:color w:val="000000"/>
          <w:sz w:val="20"/>
          <w:shd w:val="clear" w:color="auto" w:fill="FFFFFF"/>
        </w:rPr>
        <w:t>inter alia</w:t>
      </w:r>
      <w:r w:rsidRPr="00C00255">
        <w:rPr>
          <w:color w:val="000000"/>
          <w:sz w:val="20"/>
          <w:shd w:val="clear" w:color="auto" w:fill="FFFFFF"/>
        </w:rPr>
        <w:t xml:space="preserve"> jos tarptautinių teisių ir įsipareigojimų, vykdymas; 1940 m. rugpjūčio 3 d. SSRS įvykdyta Lietuvos Respublikos teritorijos aneksija, kaip agresijos tęsinys, buvo niekinis aktas, todėl Lietuvos Respublikos teritorija tarptautinės teisės požiūriu buvo okupuota kitos valstybės ir niekada nebuvo teisėta SSRS dalis;</w:t>
      </w:r>
    </w:p>
    <w:p w:rsidR="006F15BA" w:rsidRPr="00C00255" w:rsidRDefault="006F15BA" w:rsidP="006F15BA">
      <w:pPr>
        <w:pStyle w:val="ListParagraph"/>
        <w:spacing w:before="120" w:after="120"/>
        <w:ind w:left="1276"/>
        <w:contextualSpacing w:val="0"/>
        <w:rPr>
          <w:color w:val="000000"/>
          <w:sz w:val="20"/>
          <w:shd w:val="clear" w:color="auto" w:fill="FFFFFF"/>
        </w:rPr>
      </w:pPr>
      <w:r w:rsidRPr="00C00255">
        <w:rPr>
          <w:color w:val="000000"/>
          <w:sz w:val="20"/>
          <w:shd w:val="clear" w:color="auto" w:fill="FFFFFF"/>
        </w:rPr>
        <w:t xml:space="preserve">– iš 1990 m. kovo 11 d. Akto nuostatų „Lietuvos Tarybos 1918 m. vasario 16 d. Nepriklausomybės aktas ir 1920 m. gegužės 15 d. Steigiamojo Seimo rezoliucija dėl atstatytos Lietuvos demokratinės valstybės niekada nebuvo nustoję teisinės galios ir yra Lietuvos Valstybės konstitucinis pamatas“ matyti, kad konstatuojamas ne tik Lietuvos valstybės tęstinumas, bet ir jos tapatumas: atkūrusi nepriklausomybę, Lietuvos Respublika tarptautinės ir konstitucinės teisės požiūriu yra Lietuvos valstybei, prieš kurią 1940 m. birželio 15 d. buvo </w:t>
      </w:r>
      <w:r w:rsidRPr="00C00255">
        <w:rPr>
          <w:iCs/>
          <w:color w:val="000000"/>
          <w:sz w:val="20"/>
          <w:shd w:val="clear" w:color="auto" w:fill="FFFFFF"/>
        </w:rPr>
        <w:t>pradėta SSRS agresija</w:t>
      </w:r>
      <w:r w:rsidRPr="00C00255">
        <w:rPr>
          <w:color w:val="000000"/>
          <w:sz w:val="20"/>
          <w:shd w:val="clear" w:color="auto" w:fill="FFFFFF"/>
        </w:rPr>
        <w:t xml:space="preserve">, tapatus teisės subjektas; tokį konstitucinį Lietuvos valstybės tapatumą patvirtina </w:t>
      </w:r>
      <w:r w:rsidRPr="00C00255">
        <w:rPr>
          <w:i/>
          <w:color w:val="000000"/>
          <w:sz w:val="20"/>
          <w:shd w:val="clear" w:color="auto" w:fill="FFFFFF"/>
        </w:rPr>
        <w:t>inter</w:t>
      </w:r>
      <w:r w:rsidR="0083329D">
        <w:rPr>
          <w:i/>
          <w:color w:val="000000"/>
          <w:sz w:val="20"/>
          <w:shd w:val="clear" w:color="auto" w:fill="FFFFFF"/>
        </w:rPr>
        <w:t> </w:t>
      </w:r>
      <w:r w:rsidRPr="00C00255">
        <w:rPr>
          <w:i/>
          <w:color w:val="000000"/>
          <w:sz w:val="20"/>
          <w:shd w:val="clear" w:color="auto" w:fill="FFFFFF"/>
        </w:rPr>
        <w:t>alia</w:t>
      </w:r>
      <w:r w:rsidRPr="00C00255">
        <w:rPr>
          <w:color w:val="000000"/>
          <w:sz w:val="20"/>
          <w:shd w:val="clear" w:color="auto" w:fill="FFFFFF"/>
        </w:rPr>
        <w:t xml:space="preserve"> 1990 m. kovo 11 d. Lietuvos Respublikos įstatymas „Dėl 1938 metų gegužės 12 dienos Lietuvos Konstitucijos galiojimo atstatymo“;</w:t>
      </w:r>
    </w:p>
    <w:p w:rsidR="006F15BA" w:rsidRPr="00C00255" w:rsidRDefault="006F15BA" w:rsidP="006F15BA">
      <w:pPr>
        <w:pStyle w:val="ListParagraph"/>
        <w:spacing w:before="120" w:after="120"/>
        <w:ind w:left="1276"/>
        <w:contextualSpacing w:val="0"/>
        <w:rPr>
          <w:sz w:val="20"/>
        </w:rPr>
      </w:pPr>
      <w:r w:rsidRPr="00C00255">
        <w:rPr>
          <w:color w:val="000000"/>
          <w:sz w:val="20"/>
          <w:shd w:val="clear" w:color="auto" w:fill="FFFFFF"/>
        </w:rPr>
        <w:t>– iš 1990 m. kovo 11 d. Akto nuostatos, kad Lietuvos Respublikos teritorijoje neveikia jokios kitos valstybės konstitucija, matyti, kad bet kurios kitos valstybės (</w:t>
      </w:r>
      <w:r w:rsidRPr="00C00255">
        <w:rPr>
          <w:i/>
          <w:color w:val="000000"/>
          <w:sz w:val="20"/>
          <w:shd w:val="clear" w:color="auto" w:fill="FFFFFF"/>
        </w:rPr>
        <w:t>inter alia</w:t>
      </w:r>
      <w:r w:rsidRPr="00C00255">
        <w:rPr>
          <w:color w:val="000000"/>
          <w:sz w:val="20"/>
          <w:shd w:val="clear" w:color="auto" w:fill="FFFFFF"/>
        </w:rPr>
        <w:t xml:space="preserve"> SSRS) konstitucijos galiojimo įvedimas, </w:t>
      </w:r>
      <w:r w:rsidRPr="00C00255">
        <w:rPr>
          <w:i/>
          <w:color w:val="000000"/>
          <w:sz w:val="20"/>
          <w:shd w:val="clear" w:color="auto" w:fill="FFFFFF"/>
        </w:rPr>
        <w:t>inter</w:t>
      </w:r>
      <w:r w:rsidR="0083329D">
        <w:rPr>
          <w:i/>
          <w:color w:val="000000"/>
          <w:sz w:val="20"/>
          <w:shd w:val="clear" w:color="auto" w:fill="FFFFFF"/>
        </w:rPr>
        <w:t> </w:t>
      </w:r>
      <w:r w:rsidRPr="00C00255">
        <w:rPr>
          <w:i/>
          <w:color w:val="000000"/>
          <w:sz w:val="20"/>
          <w:shd w:val="clear" w:color="auto" w:fill="FFFFFF"/>
        </w:rPr>
        <w:t>alia</w:t>
      </w:r>
      <w:r w:rsidRPr="00C00255">
        <w:rPr>
          <w:color w:val="000000"/>
          <w:sz w:val="20"/>
          <w:shd w:val="clear" w:color="auto" w:fill="FFFFFF"/>
        </w:rPr>
        <w:t xml:space="preserve"> tokios konstitucijos nustatytų pareigų primetimas Lietuvos Respublikos piliečiams, buvo neteisėtas.“</w:t>
      </w:r>
      <w:r w:rsidRPr="00C00255">
        <w:rPr>
          <w:sz w:val="20"/>
          <w:lang w:eastAsia="lt-LT"/>
        </w:rPr>
        <w:t xml:space="preserve"> </w:t>
      </w:r>
    </w:p>
    <w:p w:rsidR="001D0506" w:rsidRPr="00696681" w:rsidRDefault="006F15BA" w:rsidP="001D0506">
      <w:pPr>
        <w:pStyle w:val="ListParagraph"/>
        <w:numPr>
          <w:ilvl w:val="0"/>
          <w:numId w:val="6"/>
        </w:numPr>
        <w:spacing w:before="120" w:after="120"/>
        <w:ind w:left="992" w:hanging="992"/>
        <w:contextualSpacing w:val="0"/>
      </w:pPr>
      <w:r w:rsidRPr="00696681">
        <w:rPr>
          <w:szCs w:val="24"/>
          <w:lang w:eastAsia="lt-LT"/>
        </w:rPr>
        <w:t>Dėl TSRS 1940 m. birželio 15 d. pradėtos agresijos prieš Lietuvos Respubliką ir Lietuvos okupacijos laikotarpiu padarytų sovietinio režimo tarptautinių nusikaltimų prieš Lietuvos gyventojus, nagrinėjamos bylos kontekste taip pat reikšmingai pasisakyta ir Konstitucinio Teismo 2014 m. kovo 18 d. nutarime:</w:t>
      </w:r>
    </w:p>
    <w:p w:rsidR="006F15BA" w:rsidRPr="00C00255" w:rsidRDefault="006F15BA" w:rsidP="006F15BA">
      <w:pPr>
        <w:pStyle w:val="NormalWeb"/>
        <w:spacing w:before="120" w:beforeAutospacing="0" w:after="120" w:afterAutospacing="0"/>
        <w:ind w:left="1276"/>
        <w:rPr>
          <w:sz w:val="20"/>
          <w:szCs w:val="20"/>
        </w:rPr>
      </w:pPr>
      <w:r w:rsidRPr="00C00255">
        <w:rPr>
          <w:sz w:val="20"/>
          <w:szCs w:val="20"/>
        </w:rPr>
        <w:t>„Visuotinai žinoma, kad 1940 m. birželio 15 d. buvo įvykdytas SSRS agresijos aktas prieš Lietuvos Respubliką – sovietų ginkluotųjų pajėgų įvedimas į Lietuvos Respublikos teritoriją (</w:t>
      </w:r>
      <w:r w:rsidRPr="00C00255">
        <w:rPr>
          <w:i/>
          <w:iCs/>
          <w:sz w:val="20"/>
          <w:szCs w:val="20"/>
        </w:rPr>
        <w:t>inter</w:t>
      </w:r>
      <w:r w:rsidRPr="00C00255">
        <w:rPr>
          <w:sz w:val="20"/>
          <w:szCs w:val="20"/>
        </w:rPr>
        <w:t xml:space="preserve"> </w:t>
      </w:r>
      <w:r w:rsidRPr="00C00255">
        <w:rPr>
          <w:i/>
          <w:iCs/>
          <w:sz w:val="20"/>
          <w:szCs w:val="20"/>
        </w:rPr>
        <w:t>alia</w:t>
      </w:r>
      <w:r w:rsidRPr="00C00255">
        <w:rPr>
          <w:sz w:val="20"/>
          <w:szCs w:val="20"/>
        </w:rPr>
        <w:t xml:space="preserve"> atitikęs 1933 m. liepos 5 d. Lietuvos Respublikos ir SSRS konvencijos užpuolimui apibrėžti II straipsnio 2 punkte nustatytą agresijos akto apibrėžimą „įsibrovimas ginkluotomis jėgomis, net ir karo nepaskelbus, į kitos valstybės teritoriją“) ir Lietuvos Respublikos teritorijos okupavimas. Šie aktai buvo sunkus agresijos draudimo principo, </w:t>
      </w:r>
      <w:r w:rsidRPr="00C00255">
        <w:rPr>
          <w:i/>
          <w:iCs/>
          <w:sz w:val="20"/>
          <w:szCs w:val="20"/>
        </w:rPr>
        <w:t>inter alia</w:t>
      </w:r>
      <w:r w:rsidRPr="00C00255">
        <w:rPr>
          <w:sz w:val="20"/>
          <w:szCs w:val="20"/>
        </w:rPr>
        <w:t xml:space="preserve"> įtvirtinto 1928 m. rugpjūčio 27 d. Bendrosios sutarties dėl atsisakymo nuo karo kaip nacionalinės politikos priemonės I straipsnyje, pažeidimas. Tęsdama agresiją, 1940 m. rugpjūčio 3 d. SSRS įvykdė Lietuvos Respublikos teritorijos aneksiją.</w:t>
      </w:r>
    </w:p>
    <w:p w:rsidR="006F15BA" w:rsidRPr="00C00255" w:rsidRDefault="006F15BA" w:rsidP="006F15BA">
      <w:pPr>
        <w:pStyle w:val="NormalWeb"/>
        <w:spacing w:before="120" w:beforeAutospacing="0" w:after="120" w:afterAutospacing="0"/>
        <w:ind w:left="1276"/>
        <w:rPr>
          <w:sz w:val="20"/>
          <w:szCs w:val="20"/>
        </w:rPr>
      </w:pPr>
      <w:r w:rsidRPr="00C00255">
        <w:rPr>
          <w:sz w:val="20"/>
          <w:szCs w:val="20"/>
        </w:rPr>
        <w:t xml:space="preserve">&lt;...&gt; dėl Lietuvos Respublikos teritorijos okupacijos ir valstybės institucijų sunaikinimo buvo sustabdytas Lietuvos valstybės suverenių galių, </w:t>
      </w:r>
      <w:r w:rsidRPr="00C00255">
        <w:rPr>
          <w:i/>
          <w:iCs/>
          <w:sz w:val="20"/>
          <w:szCs w:val="20"/>
        </w:rPr>
        <w:t xml:space="preserve">inter alia </w:t>
      </w:r>
      <w:r w:rsidRPr="00C00255">
        <w:rPr>
          <w:sz w:val="20"/>
          <w:szCs w:val="20"/>
        </w:rPr>
        <w:t>jos tarptautinių teisių ir įsipareigojimų, vykdymas; 1940 m. rugpjūčio 3 d. SSRS įvykdyta Lietuvos Respublikos teritorijos aneksija, kaip agresijos tęsinys, buvo niekinis aktas, todėl Lietuvos Respublikos teritorija tarptautinės teisės požiūriu buvo okupuota kitos valstybės ir niekada nebuvo teisėta SSRS dalis.</w:t>
      </w:r>
    </w:p>
    <w:p w:rsidR="006F15BA" w:rsidRPr="00C00255" w:rsidRDefault="006F15BA" w:rsidP="006F15BA">
      <w:pPr>
        <w:pStyle w:val="NormalWeb"/>
        <w:spacing w:before="120" w:beforeAutospacing="0" w:after="120" w:afterAutospacing="0"/>
        <w:ind w:left="1276"/>
        <w:rPr>
          <w:sz w:val="20"/>
          <w:szCs w:val="20"/>
        </w:rPr>
      </w:pPr>
      <w:r w:rsidRPr="00C00255">
        <w:rPr>
          <w:sz w:val="20"/>
          <w:szCs w:val="20"/>
        </w:rPr>
        <w:t>Pažymėtina, kad Lietuvos Respublika ir jos gyventojai nukentėjo nuo dviejų valstybių agresijos. Be SSRS, Lietuvos Respublika buvo okupuota Vokietijos reicho: ši okupacija prasidėjo 1941 m. birželio 22 d. Vokietijai užpuolus Sovietų Sąjungą ir baigėsi 1944–1945 m. SSRS reokupuojant Lietuvos Respublikos teritoriją. Antroji sovietinė okupacija tęsėsi iki 1990 m. kovo 11 d., kai buvo atkurta Lietuvos Respublikos nepriklausomybė; neteisėtai Lietuvos Respublikos teritorijoje dislokuotos Sovietų Sąjungos (ir jos tęsėjos Rusijos Federacijos) ginkluotosios pajėgos išvestos tik 1993 m. pabaigoje. Pažymėtina, kad šios pajėgos kartu su SSRS suformuotais ir atsiųstais ginkluotais būriais buvo panaudotos prieš Lietuvos Respubliką, siekiant sunaikinti jos atkurtą nepriklausomybę 1991 m. sausio – rugpjūčio mėn.</w:t>
      </w:r>
    </w:p>
    <w:p w:rsidR="006F15BA" w:rsidRPr="00C00255" w:rsidRDefault="006F15BA" w:rsidP="006F15BA">
      <w:pPr>
        <w:pStyle w:val="NormalWeb"/>
        <w:spacing w:before="120" w:beforeAutospacing="0" w:after="120" w:afterAutospacing="0"/>
        <w:ind w:left="1276"/>
        <w:rPr>
          <w:sz w:val="20"/>
          <w:szCs w:val="20"/>
        </w:rPr>
      </w:pPr>
      <w:r w:rsidRPr="00C00255">
        <w:rPr>
          <w:sz w:val="20"/>
          <w:szCs w:val="20"/>
        </w:rPr>
        <w:t>Įvairiais duomenimis, dėl SSRS ir Vokietijos reicho okupacijų Lietuvos Respublika neteko beveik trečdalio gyventojų, iš jų maždaug pusė tapo pabėgėliais traukdamiesi nuo antrosios sovietinės okupacijos.</w:t>
      </w:r>
    </w:p>
    <w:p w:rsidR="006F15BA" w:rsidRPr="00C00255" w:rsidRDefault="006F15BA" w:rsidP="006F15BA">
      <w:pPr>
        <w:pStyle w:val="NormalWeb"/>
        <w:spacing w:before="120" w:beforeAutospacing="0" w:after="120" w:afterAutospacing="0"/>
        <w:ind w:left="1276"/>
        <w:rPr>
          <w:sz w:val="20"/>
          <w:szCs w:val="20"/>
        </w:rPr>
      </w:pPr>
      <w:r w:rsidRPr="00C00255">
        <w:rPr>
          <w:sz w:val="20"/>
          <w:szCs w:val="20"/>
        </w:rPr>
        <w:t>&lt;...&gt;Įvairiais duomenimis, dėl abiejų SSRS įvykdytų okupacijų Lietuvos Respublika neteko beveik penktadalio gyventojų, įskaitant pabėgėlius. Lietuvos gyventojų genocido ir rezistencijos tyrimo centro duomenimis, iš viso sovietinės okupacijos laikotarpiu (1940–1941 ir 1944–1990 m.) žuvo arba buvo nužudyta apie 85 tūkst. Lietuvos Respublikos gyventojų, į Sovietų Sąjungą deportuota apie 132 tūkst. (1945–1952 m. trėmimų metu 32 tūkst. jų buvo vaikai). Iš žuvusiųjų ir nužudytųjų daugiau kaip 20 tūkst. buvo ginkluoto pasipriešinimo okupacijai dalyviai (partizanai) ir jų rėmėjai (1944–1952 m. duomenys), apie 1100 – sušaudyti ar nukankinti 1941 m. birželio mėn. iš Lietuvos traukiantis sovietų ginkluotosioms pajėgoms, specialiuose lageriuose ir kalėjimuose žuvo apie 35–37 tūkst. politinių kalinių, tremtyje – apie 28 tūkst. tremtinių; 1941</w:t>
      </w:r>
      <w:r w:rsidR="0083329D">
        <w:rPr>
          <w:sz w:val="20"/>
          <w:szCs w:val="20"/>
        </w:rPr>
        <w:t> </w:t>
      </w:r>
      <w:r w:rsidRPr="00C00255">
        <w:rPr>
          <w:sz w:val="20"/>
          <w:szCs w:val="20"/>
        </w:rPr>
        <w:t>m.</w:t>
      </w:r>
      <w:r w:rsidR="0083329D">
        <w:rPr>
          <w:sz w:val="20"/>
          <w:szCs w:val="20"/>
        </w:rPr>
        <w:t> </w:t>
      </w:r>
      <w:r w:rsidRPr="00C00255">
        <w:rPr>
          <w:sz w:val="20"/>
          <w:szCs w:val="20"/>
        </w:rPr>
        <w:t>birželio 14 d. pradėtas vykdyti pirmasis masinis Lietuvos Respublikos piliečių trėmimas į Sibirą (tada iš viso ištremta iki 12,5 tūkst. žmonių)</w:t>
      </w:r>
      <w:r w:rsidRPr="00C00255">
        <w:rPr>
          <w:i/>
          <w:iCs/>
          <w:sz w:val="20"/>
          <w:szCs w:val="20"/>
        </w:rPr>
        <w:t xml:space="preserve">; </w:t>
      </w:r>
      <w:r w:rsidRPr="00C00255">
        <w:rPr>
          <w:sz w:val="20"/>
          <w:szCs w:val="20"/>
        </w:rPr>
        <w:t>vienos didžiausių represijų prieš civilius gyventojus vykdytos 1944–1946 m.; sulaikyta ir suimta iki 130 tūkst. Lietuvos gyventojų, 32 tūkst. represuota ir išvežta į specialius lagerius ir kalėjimus, į SSRS kariuomenę 1944–1945 m. prievarta paimta 108,4 tūkst.; per 1944–1953 m. partizaninį karą prieš okupaciją iš viso suimta ir įkalinta apie 186 tūkst. žmonių.</w:t>
      </w:r>
    </w:p>
    <w:p w:rsidR="006F15BA" w:rsidRPr="00C00255" w:rsidRDefault="006F15BA" w:rsidP="006F15BA">
      <w:pPr>
        <w:pStyle w:val="NormalWeb"/>
        <w:spacing w:before="120" w:beforeAutospacing="0" w:after="120" w:afterAutospacing="0"/>
        <w:ind w:left="1276"/>
        <w:rPr>
          <w:sz w:val="20"/>
          <w:szCs w:val="20"/>
        </w:rPr>
      </w:pPr>
      <w:r w:rsidRPr="00C00255">
        <w:rPr>
          <w:sz w:val="20"/>
          <w:szCs w:val="20"/>
        </w:rPr>
        <w:t>Iš šių skaičių matyti, kad sovietinis okupacinis režimas Lietuvos Respublikos teritorijoje vykdė tarptautinius nusikaltimus, kurie gali būti kvalifikuojami kaip pagal visuotinai pripažintas tarptautinės teisės normas (</w:t>
      </w:r>
      <w:r w:rsidR="00E420BD">
        <w:rPr>
          <w:i/>
          <w:iCs/>
          <w:sz w:val="20"/>
          <w:szCs w:val="20"/>
        </w:rPr>
        <w:t>inter </w:t>
      </w:r>
      <w:r w:rsidRPr="00C00255">
        <w:rPr>
          <w:i/>
          <w:iCs/>
          <w:sz w:val="20"/>
          <w:szCs w:val="20"/>
        </w:rPr>
        <w:t>alia</w:t>
      </w:r>
      <w:r w:rsidRPr="00C00255">
        <w:rPr>
          <w:sz w:val="20"/>
          <w:szCs w:val="20"/>
        </w:rPr>
        <w:t xml:space="preserve"> Niurnbergo tribunolo statutą) apibrėžiami nusikaltimai žmoniškumui (civilių žudymas ir naikinimas, gyventojų deportavimas, įkalinimas, persekiojimas politiniais ir nacionaliniais motyvais ir kt.) ir karo nusikaltimai (tarptautinės humanitarinės teisės saugomų asmenų žudymas, deportavimas, okupuotos teritorijos gyventojų prievartinis ėmimas į okupuojančios valstybės ginkluotąsias pajėgas ir kt.).“</w:t>
      </w:r>
    </w:p>
    <w:p w:rsidR="006F15BA" w:rsidRPr="00696681" w:rsidRDefault="006F15BA" w:rsidP="00321748">
      <w:pPr>
        <w:pStyle w:val="ListParagraph"/>
        <w:numPr>
          <w:ilvl w:val="0"/>
          <w:numId w:val="6"/>
        </w:numPr>
        <w:spacing w:before="120" w:after="120"/>
        <w:ind w:left="992" w:hanging="992"/>
        <w:contextualSpacing w:val="0"/>
      </w:pPr>
      <w:r w:rsidRPr="00696681">
        <w:rPr>
          <w:bCs/>
          <w:szCs w:val="24"/>
        </w:rPr>
        <w:t>Nagrinėjamoje byloje aptariami ir ginčijami klausimai, susiję su 1991 m. sausio – rugpjūčio mėnesių įvykių Lietuvoje istoriniu bei politiniu kontekstu, buvo vertinti ir kitose bylose priimtuose Lietuvos teismų sprendimuose, žr., pavyzdži</w:t>
      </w:r>
      <w:r w:rsidR="001D0506" w:rsidRPr="00696681">
        <w:rPr>
          <w:bCs/>
          <w:szCs w:val="24"/>
        </w:rPr>
        <w:t xml:space="preserve">ui: </w:t>
      </w:r>
      <w:r w:rsidR="00C507EF" w:rsidRPr="00696681">
        <w:rPr>
          <w:bCs/>
          <w:szCs w:val="24"/>
        </w:rPr>
        <w:t>M. B.</w:t>
      </w:r>
      <w:r w:rsidR="001D0506" w:rsidRPr="00696681">
        <w:rPr>
          <w:bCs/>
          <w:szCs w:val="24"/>
        </w:rPr>
        <w:t xml:space="preserve">, </w:t>
      </w:r>
      <w:r w:rsidR="00C507EF" w:rsidRPr="00696681">
        <w:rPr>
          <w:bCs/>
          <w:szCs w:val="24"/>
        </w:rPr>
        <w:t>J. K.</w:t>
      </w:r>
      <w:r w:rsidRPr="00696681">
        <w:rPr>
          <w:bCs/>
          <w:szCs w:val="24"/>
        </w:rPr>
        <w:t xml:space="preserve"> ir kt. byloje priimtus Vilniaus apygardos teismo 1999 m. rugpjūčio 23 d. nuosprendį (t. 379, b. l. 1</w:t>
      </w:r>
      <w:r w:rsidRPr="00696681">
        <w:rPr>
          <w:rFonts w:eastAsia="Calibri"/>
          <w:color w:val="000000" w:themeColor="text1"/>
        </w:rPr>
        <w:t>–</w:t>
      </w:r>
      <w:r w:rsidRPr="00696681">
        <w:rPr>
          <w:bCs/>
          <w:szCs w:val="24"/>
        </w:rPr>
        <w:t>246), Lietuvos apeliacinio teismo 20</w:t>
      </w:r>
      <w:r w:rsidR="001D0506" w:rsidRPr="00696681">
        <w:rPr>
          <w:bCs/>
          <w:szCs w:val="24"/>
        </w:rPr>
        <w:t>01 m. vasario 20 d. nutartį (t. </w:t>
      </w:r>
      <w:r w:rsidRPr="00696681">
        <w:rPr>
          <w:bCs/>
          <w:szCs w:val="24"/>
        </w:rPr>
        <w:t>389, b. l. 75</w:t>
      </w:r>
      <w:r w:rsidRPr="00696681">
        <w:rPr>
          <w:rFonts w:eastAsia="Calibri"/>
          <w:color w:val="000000" w:themeColor="text1"/>
        </w:rPr>
        <w:t>–</w:t>
      </w:r>
      <w:r w:rsidRPr="00696681">
        <w:rPr>
          <w:bCs/>
          <w:szCs w:val="24"/>
        </w:rPr>
        <w:t>131) ir Lietuvos Aukščiausiojo Teismo 2001 m. gruodžio 28 d. nutartį (t</w:t>
      </w:r>
      <w:bookmarkStart w:id="222" w:name="_Hlk57285377"/>
      <w:r w:rsidR="001D0506" w:rsidRPr="00696681">
        <w:rPr>
          <w:bCs/>
          <w:szCs w:val="24"/>
        </w:rPr>
        <w:t>. </w:t>
      </w:r>
      <w:r w:rsidRPr="00696681">
        <w:rPr>
          <w:bCs/>
          <w:szCs w:val="24"/>
        </w:rPr>
        <w:t>389, b. l. 23</w:t>
      </w:r>
      <w:r w:rsidRPr="00696681">
        <w:t>–</w:t>
      </w:r>
      <w:r w:rsidRPr="00696681">
        <w:rPr>
          <w:bCs/>
          <w:szCs w:val="24"/>
        </w:rPr>
        <w:t>74</w:t>
      </w:r>
      <w:bookmarkEnd w:id="222"/>
      <w:r w:rsidRPr="00696681">
        <w:rPr>
          <w:bCs/>
          <w:szCs w:val="24"/>
        </w:rPr>
        <w:t xml:space="preserve">)); </w:t>
      </w:r>
      <w:r w:rsidRPr="00696681">
        <w:t>A</w:t>
      </w:r>
      <w:r w:rsidR="005A493E" w:rsidRPr="00696681">
        <w:t>. B.</w:t>
      </w:r>
      <w:r w:rsidRPr="00696681">
        <w:t>, V</w:t>
      </w:r>
      <w:r w:rsidR="00E420BD" w:rsidRPr="00696681">
        <w:t>.</w:t>
      </w:r>
      <w:r w:rsidRPr="00696681">
        <w:t> I</w:t>
      </w:r>
      <w:r w:rsidR="00E420BD" w:rsidRPr="00696681">
        <w:t>.</w:t>
      </w:r>
      <w:r w:rsidRPr="00696681">
        <w:t>, A</w:t>
      </w:r>
      <w:r w:rsidR="00E420BD" w:rsidRPr="00696681">
        <w:t>. </w:t>
      </w:r>
      <w:r w:rsidRPr="00696681">
        <w:t>K</w:t>
      </w:r>
      <w:r w:rsidR="00E420BD" w:rsidRPr="00696681">
        <w:t>.</w:t>
      </w:r>
      <w:r w:rsidRPr="00696681">
        <w:t xml:space="preserve"> ir kt. byloje priimtą Lietuvos Aukščiausiojo Teismo 1994 m. bal</w:t>
      </w:r>
      <w:r w:rsidR="001D0506" w:rsidRPr="00696681">
        <w:t>andžio 29 d. nuosprendį (t. 33, </w:t>
      </w:r>
      <w:r w:rsidRPr="00696681">
        <w:t xml:space="preserve">b. l. 212–245)); </w:t>
      </w:r>
      <w:r w:rsidR="00660130" w:rsidRPr="00696681">
        <w:rPr>
          <w:szCs w:val="24"/>
        </w:rPr>
        <w:t>B. M.</w:t>
      </w:r>
      <w:r w:rsidRPr="00696681">
        <w:rPr>
          <w:szCs w:val="24"/>
        </w:rPr>
        <w:t xml:space="preserve"> ir V</w:t>
      </w:r>
      <w:r w:rsidR="005A493E" w:rsidRPr="00696681">
        <w:rPr>
          <w:szCs w:val="24"/>
        </w:rPr>
        <w:t>. R.</w:t>
      </w:r>
      <w:r w:rsidRPr="00696681">
        <w:rPr>
          <w:szCs w:val="24"/>
        </w:rPr>
        <w:t xml:space="preserve"> byloje priimtus </w:t>
      </w:r>
      <w:r w:rsidRPr="00696681">
        <w:rPr>
          <w:bCs/>
          <w:szCs w:val="24"/>
        </w:rPr>
        <w:t>Vilniaus apygardos teismo 2015 m. birželio 4 d. nuosprendį, Lietuvos apeliacinio teismo 2017 m. sausio 24 d. nuosprendį</w:t>
      </w:r>
      <w:r w:rsidRPr="00696681">
        <w:rPr>
          <w:szCs w:val="24"/>
        </w:rPr>
        <w:t xml:space="preserve">; </w:t>
      </w:r>
      <w:r w:rsidR="005A493E" w:rsidRPr="00696681">
        <w:rPr>
          <w:bCs/>
          <w:szCs w:val="24"/>
        </w:rPr>
        <w:t>K. M.</w:t>
      </w:r>
      <w:r w:rsidRPr="00696681">
        <w:rPr>
          <w:bCs/>
          <w:szCs w:val="24"/>
        </w:rPr>
        <w:t xml:space="preserve"> (ankstesnė pavardė </w:t>
      </w:r>
      <w:r w:rsidRPr="00696681">
        <w:rPr>
          <w:szCs w:val="24"/>
          <w:lang w:eastAsia="lt-LT"/>
        </w:rPr>
        <w:t>–</w:t>
      </w:r>
      <w:r w:rsidRPr="00696681">
        <w:rPr>
          <w:bCs/>
          <w:szCs w:val="24"/>
        </w:rPr>
        <w:t xml:space="preserve"> N</w:t>
      </w:r>
      <w:r w:rsidR="005A493E" w:rsidRPr="00696681">
        <w:rPr>
          <w:bCs/>
          <w:szCs w:val="24"/>
        </w:rPr>
        <w:t>.</w:t>
      </w:r>
      <w:r w:rsidRPr="00696681">
        <w:rPr>
          <w:bCs/>
          <w:szCs w:val="24"/>
        </w:rPr>
        <w:t>) byloje priimtus Vilniaus apygardos teismo 2011 m. geg</w:t>
      </w:r>
      <w:r w:rsidR="001D0506" w:rsidRPr="00696681">
        <w:rPr>
          <w:bCs/>
          <w:szCs w:val="24"/>
        </w:rPr>
        <w:t>užės 11 d. nuosprendį, Lietuvos </w:t>
      </w:r>
      <w:r w:rsidRPr="00696681">
        <w:rPr>
          <w:bCs/>
          <w:szCs w:val="24"/>
        </w:rPr>
        <w:t xml:space="preserve">apeliacinio teismo 2016 m. birželio 6 d. nuosprendį ir Lietuvos Aukščiausiojo Teismo 2017 m. vasario 28 d. nutartį. Šiose bylose nagrinėtos ir teismų nustatytos aplinkybės, be kita ko, aiškiai atspindi ir nagrinėjamai bylai itin svarbų istorinį bei politinį </w:t>
      </w:r>
      <w:r w:rsidRPr="00696681">
        <w:rPr>
          <w:bCs/>
          <w:szCs w:val="24"/>
          <w:lang w:eastAsia="lt-LT"/>
        </w:rPr>
        <w:t>1991 m. sausio – rugpjūčio mėnesių įvykių Lietuvoje kontekstą – TSRS vykdytą didelio masto ir sistemingą agresiją prieš nepriklausomybę atkūrusių Baltijos valstybių civilius gyventojus (</w:t>
      </w:r>
      <w:r w:rsidR="00A300D1" w:rsidRPr="00696681">
        <w:rPr>
          <w:bCs/>
          <w:szCs w:val="24"/>
          <w:lang w:eastAsia="lt-LT"/>
        </w:rPr>
        <w:t>LAT</w:t>
      </w:r>
      <w:r w:rsidRPr="00696681">
        <w:rPr>
          <w:bCs/>
          <w:szCs w:val="24"/>
          <w:lang w:eastAsia="lt-LT"/>
        </w:rPr>
        <w:t xml:space="preserve"> nutartis </w:t>
      </w:r>
      <w:r w:rsidR="00671CA0" w:rsidRPr="00696681">
        <w:rPr>
          <w:bCs/>
          <w:szCs w:val="24"/>
          <w:lang w:eastAsia="lt-LT"/>
        </w:rPr>
        <w:t xml:space="preserve">baudžiamojoje </w:t>
      </w:r>
      <w:r w:rsidRPr="00696681">
        <w:rPr>
          <w:bCs/>
          <w:szCs w:val="24"/>
          <w:lang w:eastAsia="lt-LT"/>
        </w:rPr>
        <w:t xml:space="preserve">byloje Nr. 2K-7-1-693/2017). </w:t>
      </w:r>
    </w:p>
    <w:p w:rsidR="006F15BA" w:rsidRPr="00696681" w:rsidRDefault="006F15BA" w:rsidP="00321748">
      <w:pPr>
        <w:pStyle w:val="ListParagraph"/>
        <w:numPr>
          <w:ilvl w:val="0"/>
          <w:numId w:val="6"/>
        </w:numPr>
        <w:spacing w:before="120" w:after="120"/>
        <w:ind w:left="992" w:hanging="992"/>
        <w:contextualSpacing w:val="0"/>
      </w:pPr>
      <w:r w:rsidRPr="00696681">
        <w:rPr>
          <w:szCs w:val="24"/>
          <w:lang w:eastAsia="lt-LT"/>
        </w:rPr>
        <w:t xml:space="preserve">Istorinis – politinis 1991 m. sausio – rugpjūčio mėnesių įvykių </w:t>
      </w:r>
      <w:r w:rsidRPr="00696681">
        <w:rPr>
          <w:bCs/>
          <w:szCs w:val="24"/>
          <w:lang w:eastAsia="lt-LT"/>
        </w:rPr>
        <w:t xml:space="preserve">Lietuvoje kontekstas apibendrintas ir </w:t>
      </w:r>
      <w:r w:rsidRPr="00696681">
        <w:rPr>
          <w:bCs/>
          <w:szCs w:val="24"/>
        </w:rPr>
        <w:t xml:space="preserve">Europos Žmogaus Teisių Teismo </w:t>
      </w:r>
      <w:r w:rsidR="007F0DDE" w:rsidRPr="00696681">
        <w:rPr>
          <w:bCs/>
          <w:szCs w:val="24"/>
        </w:rPr>
        <w:t xml:space="preserve">(toliau – ir EŽTT) </w:t>
      </w:r>
      <w:r w:rsidRPr="00696681">
        <w:rPr>
          <w:bCs/>
          <w:szCs w:val="24"/>
        </w:rPr>
        <w:t xml:space="preserve">sprendime byloje </w:t>
      </w:r>
      <w:r w:rsidRPr="00696681">
        <w:rPr>
          <w:bCs/>
          <w:i/>
          <w:iCs/>
          <w:szCs w:val="24"/>
        </w:rPr>
        <w:t xml:space="preserve">Kuolelis, Bartoševičius ir Burokevičius prieš </w:t>
      </w:r>
      <w:r w:rsidRPr="00696681">
        <w:rPr>
          <w:i/>
          <w:iCs/>
          <w:szCs w:val="24"/>
        </w:rPr>
        <w:t>Lie</w:t>
      </w:r>
      <w:r w:rsidRPr="00696681">
        <w:rPr>
          <w:bCs/>
          <w:i/>
          <w:iCs/>
          <w:szCs w:val="24"/>
        </w:rPr>
        <w:t>tuvą</w:t>
      </w:r>
      <w:r w:rsidRPr="00696681">
        <w:rPr>
          <w:bCs/>
          <w:szCs w:val="24"/>
        </w:rPr>
        <w:t>:</w:t>
      </w:r>
    </w:p>
    <w:p w:rsidR="006F15BA" w:rsidRPr="00C00255" w:rsidRDefault="006F15BA" w:rsidP="006F15BA">
      <w:pPr>
        <w:pStyle w:val="ListParagraph"/>
        <w:spacing w:before="120" w:after="120"/>
        <w:ind w:left="1276"/>
        <w:contextualSpacing w:val="0"/>
        <w:rPr>
          <w:sz w:val="20"/>
        </w:rPr>
      </w:pPr>
      <w:r w:rsidRPr="00C00255">
        <w:rPr>
          <w:bCs/>
          <w:sz w:val="20"/>
          <w:szCs w:val="24"/>
        </w:rPr>
        <w:t>„8. 1939 m. rugpjūč</w:t>
      </w:r>
      <w:r w:rsidRPr="00C00255">
        <w:rPr>
          <w:sz w:val="20"/>
          <w:szCs w:val="24"/>
          <w:lang w:eastAsia="lt-LT"/>
        </w:rPr>
        <w:t>i</w:t>
      </w:r>
      <w:r w:rsidRPr="00C00255">
        <w:rPr>
          <w:bCs/>
          <w:sz w:val="20"/>
          <w:szCs w:val="24"/>
        </w:rPr>
        <w:t xml:space="preserve">o 23 d. Stalino vadovaujama Tarybų Sąjunga (toliau – ir TSRS) pasirašė nepuolimo sutartį su hitlerine Vokietija (Molotovo-Ribentropo paktą). Pagal papildomą slaptąjį protokolą, šalių patvirtintą 1939 m. rugpjūčio 23 d. ir pakeistą 1939 m. rugsėjo 28 d., Baltijos valstybės buvo priskirtos TSRS interesų sferai tuo atveju, jeigu ateityje įvyktų šių, tuo metu buvusių nepriklausomų, </w:t>
      </w:r>
      <w:r w:rsidRPr="00C00255">
        <w:rPr>
          <w:sz w:val="20"/>
          <w:szCs w:val="24"/>
          <w:lang w:eastAsia="lt-LT"/>
        </w:rPr>
        <w:t>valstybių teritoriniai ir politiniai pertvarkymai. Įteikusi ultimatumą, reikalaujantį įleisti neapibrėžtą kiekį sovietinių karinių dalinių apsistoti Baltijos šalyse, 1940 m. birželio 15 d. sovietų kariuomenė įsiveržė į Lietuvą. Lietuvos Vyriausybė buvo nuversta ir Tarybų Sąjungos Komunistų Partijos (toliau – ir TSKP), vienintelės TSRS partijos, nurodymu buvo suformuota nauja vyriausybė. 1940 m. rugpjūčio 3 d. Tarybų Sąjunga užbaigė Lietuvos aneksiją, priimdama aktą, kuriuo Lietuva buvo inkorporuota į TSRS sudėtį ir pavadinta Tarybų Sąjungos dalimi – Lietuvos Tarybų Socialistine Respublika (toliau – ir LT</w:t>
      </w:r>
      <w:r w:rsidRPr="00C00255">
        <w:rPr>
          <w:sz w:val="20"/>
          <w:szCs w:val="24"/>
        </w:rPr>
        <w:t>SR</w:t>
      </w:r>
      <w:r w:rsidRPr="00C00255">
        <w:rPr>
          <w:sz w:val="20"/>
        </w:rPr>
        <w:t>). LTSR Vyriausybę paskyrė ir kontroliavo TSKP regioninis padalinys Lietuvos Komunistų Partija (toliau – ir LKP).</w:t>
      </w:r>
    </w:p>
    <w:p w:rsidR="006F15BA" w:rsidRPr="00C00255" w:rsidRDefault="006F15BA" w:rsidP="006F15BA">
      <w:pPr>
        <w:pStyle w:val="ListParagraph"/>
        <w:spacing w:before="120" w:after="120"/>
        <w:ind w:left="1276"/>
        <w:contextualSpacing w:val="0"/>
        <w:rPr>
          <w:sz w:val="20"/>
        </w:rPr>
      </w:pPr>
      <w:r w:rsidRPr="00C00255">
        <w:rPr>
          <w:sz w:val="20"/>
        </w:rPr>
        <w:t xml:space="preserve">9. Devintojo dešimtmečio pabaigoje Lietuvoje, kaip ir kitose Rytų Europos šalyse, ėmė reikštis socialinis spaudimas dėl politinio gyvenimo demokratizavimo. Tarybų Sąjungoje įvedus saviraiškos laisvę, Lietuvoje ėmė formuotis masiniai politiniai judėjimai, kurie smerkė šalies aneksiją ir skelbė, kad reikia kurti naują visuomenę, </w:t>
      </w:r>
      <w:r w:rsidRPr="00C00255">
        <w:rPr>
          <w:i/>
          <w:iCs/>
          <w:sz w:val="20"/>
        </w:rPr>
        <w:t>inter alia</w:t>
      </w:r>
      <w:r w:rsidRPr="00C00255">
        <w:rPr>
          <w:sz w:val="20"/>
        </w:rPr>
        <w:t xml:space="preserve"> paremtą Lietuvos identitetu ir vertybėmis, pabrėžiant poreikį atkurti valstybės nepriklausomybę. </w:t>
      </w:r>
    </w:p>
    <w:p w:rsidR="006F15BA" w:rsidRPr="00C00255" w:rsidRDefault="006F15BA" w:rsidP="006F15BA">
      <w:pPr>
        <w:pStyle w:val="ListParagraph"/>
        <w:spacing w:before="120" w:after="120"/>
        <w:ind w:left="1276"/>
        <w:contextualSpacing w:val="0"/>
        <w:rPr>
          <w:sz w:val="20"/>
        </w:rPr>
      </w:pPr>
      <w:r w:rsidRPr="00C00255">
        <w:rPr>
          <w:sz w:val="20"/>
        </w:rPr>
        <w:t>10. 1989 m. gruodžio 24 d. TSRS liaudies deputatų suvažiavime buvo priimtas nutarimas „Dėl 1939 m. Tarybų Sąjungos ir Vokietijos nepuolimo sutarties politinio ir teisinio įvertinimo“. Sutartis buvo pripažinta neteisėta ir negaliojančia nuo pat jos pasirašymo dienos. Nutarime buvo skelbiama, kad teritorijų padalijimas į Tarybų Sąjungos ir Vokietijos įtakos sferas prieštaravo kelių kitų šalių, tokių kaip Baltijos valstybės, suverenitetui ir nepriklausomybei. Po šio nutarimo LTSR Aukščiausioji Taryba 1990</w:t>
      </w:r>
      <w:r w:rsidR="0083329D">
        <w:rPr>
          <w:sz w:val="20"/>
        </w:rPr>
        <w:t> </w:t>
      </w:r>
      <w:r w:rsidRPr="00C00255">
        <w:rPr>
          <w:sz w:val="20"/>
        </w:rPr>
        <w:t>m.</w:t>
      </w:r>
      <w:r w:rsidR="0083329D">
        <w:rPr>
          <w:sz w:val="20"/>
        </w:rPr>
        <w:t> </w:t>
      </w:r>
      <w:r w:rsidR="005A493E">
        <w:rPr>
          <w:sz w:val="20"/>
        </w:rPr>
        <w:t>vasario 7 </w:t>
      </w:r>
      <w:r w:rsidRPr="00C00255">
        <w:rPr>
          <w:sz w:val="20"/>
        </w:rPr>
        <w:t xml:space="preserve">d. priėmė nutarimą, kuriuo Lietuvos įtraukimas į TSRS sudėtį 1940 m. buvo paskelbtas neteisėtu. </w:t>
      </w:r>
    </w:p>
    <w:p w:rsidR="006F15BA" w:rsidRPr="00C00255" w:rsidRDefault="006F15BA" w:rsidP="006F15BA">
      <w:pPr>
        <w:pStyle w:val="ListParagraph"/>
        <w:spacing w:before="120" w:after="120"/>
        <w:ind w:left="1276"/>
        <w:contextualSpacing w:val="0"/>
        <w:rPr>
          <w:sz w:val="20"/>
        </w:rPr>
      </w:pPr>
      <w:r w:rsidRPr="00C00255">
        <w:rPr>
          <w:sz w:val="20"/>
        </w:rPr>
        <w:t>11. 1989 m. pabaigoje LKP nusprendė atsiskirti nuo TSKP. Naujoji LKP iš karto paskelbė remianti Lietuvos nepriklausomybę ir daugiapartinę politinę sistemą. Tuo pačiu metu buvusios LKP narių mažuma sukūrė naują partiją LKP/TSKP. Vienas iš jos politinės programos tikslų buvo išlaikyti Lietuvą TSRS sudėtyje.</w:t>
      </w:r>
    </w:p>
    <w:p w:rsidR="006F15BA" w:rsidRPr="00C00255" w:rsidRDefault="006F15BA" w:rsidP="006F15BA">
      <w:pPr>
        <w:pStyle w:val="ListParagraph"/>
        <w:spacing w:before="120" w:after="120"/>
        <w:ind w:left="1276"/>
        <w:contextualSpacing w:val="0"/>
        <w:rPr>
          <w:sz w:val="20"/>
        </w:rPr>
      </w:pPr>
      <w:r w:rsidRPr="00C00255">
        <w:rPr>
          <w:sz w:val="20"/>
        </w:rPr>
        <w:t xml:space="preserve">12. Pirmieji nepriklausomi parlamentiniai rinkimai Lietuvoje įvyko 1990 m. vasario 24 d. dar valdant sovietams. Į Aukščiausiąją Tarybą (Parlamentą) nebuvo išrinktas nei vienas LKP/TSKP narys. </w:t>
      </w:r>
    </w:p>
    <w:p w:rsidR="006F15BA" w:rsidRPr="00C00255" w:rsidRDefault="006F15BA" w:rsidP="006F15BA">
      <w:pPr>
        <w:pStyle w:val="ListParagraph"/>
        <w:spacing w:before="120" w:after="120"/>
        <w:ind w:left="1276"/>
        <w:contextualSpacing w:val="0"/>
        <w:rPr>
          <w:sz w:val="20"/>
        </w:rPr>
      </w:pPr>
      <w:r w:rsidRPr="00C00255">
        <w:rPr>
          <w:sz w:val="20"/>
        </w:rPr>
        <w:t xml:space="preserve">13. 1990 m. kovo 11 d. naujai išrinkta Aukščiausioji Taryba priėmė Lietuvos nepriklausomos valstybės atkūrimo aktą, kuriuo Lietuvos Respublika buvo vėl paskelbta nepriklausoma ir suverenia valstybe, o Lietuvos įjungimas į TSRS buvo pripažintas negaliojančiu. Aukščiausioji Taryba taip pat atkūrė tam tikras 1938 m. Lietuvos Konstitucijos nuostatas ir priėmė Laikinąjį pagrindinį įstatymą, kuriame buvo numatyti Lietuvos valstybės konstituciniai principai (žr. šio sprendimo 63–71 paragrafus). Tą pačią dieną Aukščiausioji Taryba patvirtino Lietuvos Respublikos Vyriausybę ir paskelbė, kad galioja visi ankstesni įstatymai ir teisės aktai, neprieštaraujantys Laikinajam pagrindiniam įstatymui.  </w:t>
      </w:r>
    </w:p>
    <w:p w:rsidR="006F15BA" w:rsidRPr="00C00255" w:rsidRDefault="006F15BA" w:rsidP="006F15BA">
      <w:pPr>
        <w:pStyle w:val="ListParagraph"/>
        <w:spacing w:before="120" w:after="120"/>
        <w:ind w:left="1276"/>
        <w:contextualSpacing w:val="0"/>
        <w:rPr>
          <w:sz w:val="20"/>
        </w:rPr>
      </w:pPr>
      <w:r w:rsidRPr="00C00255">
        <w:rPr>
          <w:sz w:val="20"/>
        </w:rPr>
        <w:t>14. Tarybų Sąjunga daug kartų spaudė Lietuvą atsisakyti nepriklausomybės ir 1990 m. balandžio 14 d. pareikalavo panaikinti „Kovo įstatymus“. Nepaklusus šiam reikalavimui, iš karto buvo pradėta ekonominė blokada. Ieškodama kompromiso, 1990 m. balandžio 18 d. Aukščiausioji Taryba priėmė nutarimą „Dėl Lietuvos Respublikos ir Tarybų Socialistinių Respublikų Sąjungos santykių plėtojimo“, kuriame buvo skelbiama, kad preliminarių parlamentinių konsultacijų tarp šalių, jeigu jos prasidėtų, laikotarpiu iki 1990 m.</w:t>
      </w:r>
      <w:r w:rsidR="0083329D">
        <w:rPr>
          <w:sz w:val="20"/>
        </w:rPr>
        <w:t> </w:t>
      </w:r>
      <w:r w:rsidRPr="00C00255">
        <w:rPr>
          <w:sz w:val="20"/>
        </w:rPr>
        <w:t xml:space="preserve">gegužės 1 d. Lietuva nepriims naujų politinių teisės aktų. TSRS į tai nereagavo. &lt;...&gt;.  </w:t>
      </w:r>
    </w:p>
    <w:p w:rsidR="006F15BA" w:rsidRPr="00C00255" w:rsidRDefault="006F15BA" w:rsidP="006F15BA">
      <w:pPr>
        <w:pStyle w:val="ListParagraph"/>
        <w:spacing w:before="120" w:after="120"/>
        <w:ind w:left="1276"/>
        <w:contextualSpacing w:val="0"/>
        <w:rPr>
          <w:sz w:val="20"/>
        </w:rPr>
      </w:pPr>
      <w:r w:rsidRPr="00C00255">
        <w:rPr>
          <w:sz w:val="20"/>
        </w:rPr>
        <w:t xml:space="preserve">15. 1990 m. gegužės 23 d. Lietuvos Respublikos Aukščiausioji Taryba paskelbė, kad prasidėjus deryboms su Tarybų Sąjunga bus laikinai sustabdyti 1990 m. kovo 11 d. teisės aktų realizavimo veiksmai ir sprendimai. Tokiu būdu buvo siekiama išspręsti klausimus, kylančius dėl nepriklausomos Lietuvos valstybės atkūrimo (žr. šio sprendimo 67 paragrafą). Tačiau vėlgi, pasak Vyriausybės (turima omenyje Lietuvos Respublikos Vyriausybės atstovo pozicija šioje byloje – </w:t>
      </w:r>
      <w:r w:rsidRPr="00C00255">
        <w:rPr>
          <w:i/>
          <w:sz w:val="20"/>
        </w:rPr>
        <w:t>kolegijos pastaba</w:t>
      </w:r>
      <w:r w:rsidRPr="00C00255">
        <w:rPr>
          <w:sz w:val="20"/>
        </w:rPr>
        <w:t>), šis sustabdym</w:t>
      </w:r>
      <w:r w:rsidR="005A493E">
        <w:rPr>
          <w:sz w:val="20"/>
        </w:rPr>
        <w:t>as neįsigaliojo, kadangi Tarybų </w:t>
      </w:r>
      <w:r w:rsidRPr="00C00255">
        <w:rPr>
          <w:sz w:val="20"/>
        </w:rPr>
        <w:t xml:space="preserve">Sąjunga neatsiuntė formalaus atsakymo Lietuvos valdžios institucijoms. </w:t>
      </w:r>
    </w:p>
    <w:p w:rsidR="006F15BA" w:rsidRPr="00C00255" w:rsidRDefault="006F15BA" w:rsidP="006F15BA">
      <w:pPr>
        <w:pStyle w:val="ListParagraph"/>
        <w:spacing w:before="120" w:after="120"/>
        <w:ind w:left="1276"/>
        <w:contextualSpacing w:val="0"/>
        <w:rPr>
          <w:sz w:val="20"/>
        </w:rPr>
      </w:pPr>
      <w:r w:rsidRPr="00C00255">
        <w:rPr>
          <w:sz w:val="20"/>
        </w:rPr>
        <w:t>16. 1990 m. birželio 27 d. Kremliuje, Maskvoje, įvyko dviejų valstybių vadovų susitikimas. Tuometini</w:t>
      </w:r>
      <w:r w:rsidR="00DD1A27">
        <w:rPr>
          <w:sz w:val="20"/>
        </w:rPr>
        <w:t>s Tarybų Sąjungos Prezidentas M. G.</w:t>
      </w:r>
      <w:r w:rsidRPr="00C00255">
        <w:rPr>
          <w:sz w:val="20"/>
        </w:rPr>
        <w:t xml:space="preserve"> atsisakė atšaukti ekonominę blokadą, kadangi jis nesutiko, jog Lietuvos nepriklausomos valstybės atkūrimo akto „moratoriumas“ yra įmanomas. 1990 m. liepos 12 d. Lietuvos Aukščiausioji Taryba kreipėsi į TSRS Aukščiausiąją Tarybą, prašydama paskelbti neteis</w:t>
      </w:r>
      <w:r w:rsidR="005A493E">
        <w:rPr>
          <w:sz w:val="20"/>
        </w:rPr>
        <w:t>ėta 1940 m. </w:t>
      </w:r>
      <w:r w:rsidRPr="00C00255">
        <w:rPr>
          <w:sz w:val="20"/>
        </w:rPr>
        <w:t xml:space="preserve">rugpjūčio 3 d. aneksiją ir išbraukti Lietuvos vardą iš Tarybų Sąjungos Konstitucijos.  </w:t>
      </w:r>
    </w:p>
    <w:p w:rsidR="006F15BA" w:rsidRPr="00C00255" w:rsidRDefault="006F15BA" w:rsidP="006F15BA">
      <w:pPr>
        <w:pStyle w:val="ListParagraph"/>
        <w:spacing w:before="120" w:after="120"/>
        <w:ind w:left="1276"/>
        <w:contextualSpacing w:val="0"/>
        <w:rPr>
          <w:sz w:val="20"/>
        </w:rPr>
      </w:pPr>
      <w:r w:rsidRPr="00C00255">
        <w:rPr>
          <w:sz w:val="20"/>
        </w:rPr>
        <w:t xml:space="preserve">17. 1990 m. birželio 29 d. Aukščiausioji Taryba priėmė pareiškimą, kuriuo paskelbė sustabdanti iš Lietuvos nepriklausomos valstybės atkūrimo akto kylančius teisinius veiksmus prasidėjus formalioms deryboms su Tarybų Sąjunga (žr. šio sprendimo 68 paragrafą). Tačiau šios derybos neįvyko, todėl 1990 m. gruodžio 28 d. Aukščiausioji Taryba sąlyginį moratoriumą paskelbė nebegaliojančiu (žr. šio sprendimo 70 paragrafą). Moratoriumas, &lt;...&gt;, neturėjo įtakos paties Akto teisėtumui.  </w:t>
      </w:r>
    </w:p>
    <w:p w:rsidR="006F15BA" w:rsidRPr="00C00255" w:rsidRDefault="006F15BA" w:rsidP="006F15BA">
      <w:pPr>
        <w:pStyle w:val="ListParagraph"/>
        <w:spacing w:before="120" w:after="120"/>
        <w:ind w:left="1276"/>
        <w:contextualSpacing w:val="0"/>
        <w:rPr>
          <w:sz w:val="20"/>
        </w:rPr>
      </w:pPr>
      <w:r w:rsidRPr="00C00255">
        <w:rPr>
          <w:sz w:val="20"/>
        </w:rPr>
        <w:t xml:space="preserve">18. 1990 m. lapkričio 10 d. buvo pakeistas Baudžiamojo kodekso 70 straipsnis, kuriuo, </w:t>
      </w:r>
      <w:r w:rsidRPr="00C00255">
        <w:rPr>
          <w:i/>
          <w:sz w:val="20"/>
        </w:rPr>
        <w:t>inter alia</w:t>
      </w:r>
      <w:r w:rsidRPr="00C00255">
        <w:rPr>
          <w:sz w:val="20"/>
        </w:rPr>
        <w:t>, buvo numatytas draudimas trikdyti Lietuvos Respublikos konstitucinę tvarką, skirtingai nuo ankstesnio antisovietinės veiklos draudimo (žr. šio sprendimo 78 paragrafą).</w:t>
      </w:r>
    </w:p>
    <w:p w:rsidR="006F15BA" w:rsidRPr="00C00255" w:rsidRDefault="006F15BA" w:rsidP="006F15BA">
      <w:pPr>
        <w:pStyle w:val="ListParagraph"/>
        <w:spacing w:before="120" w:after="120"/>
        <w:ind w:left="1276"/>
        <w:contextualSpacing w:val="0"/>
        <w:rPr>
          <w:sz w:val="20"/>
        </w:rPr>
      </w:pPr>
      <w:r w:rsidRPr="00C00255">
        <w:rPr>
          <w:sz w:val="20"/>
        </w:rPr>
        <w:t>19. 1991 m. sausio 10 d. TSRS Prezidentas G</w:t>
      </w:r>
      <w:r w:rsidR="00DD1A27">
        <w:rPr>
          <w:sz w:val="20"/>
        </w:rPr>
        <w:t>.</w:t>
      </w:r>
      <w:r w:rsidRPr="00C00255">
        <w:rPr>
          <w:sz w:val="20"/>
        </w:rPr>
        <w:t xml:space="preserve"> viešai pareikalavo, kad Lietuvos Respublikos Aukščiausioji Taryba „nedelsiant atstatytų TSRS ir LTSR Konstitucijų juridinę galią Lietuvoje“.  </w:t>
      </w:r>
    </w:p>
    <w:p w:rsidR="006F15BA" w:rsidRPr="00C00255" w:rsidRDefault="006F15BA" w:rsidP="006F15BA">
      <w:pPr>
        <w:pStyle w:val="ListParagraph"/>
        <w:spacing w:before="120" w:after="120"/>
        <w:ind w:left="1276"/>
        <w:contextualSpacing w:val="0"/>
        <w:rPr>
          <w:sz w:val="20"/>
        </w:rPr>
      </w:pPr>
      <w:r w:rsidRPr="00C00255">
        <w:rPr>
          <w:sz w:val="20"/>
        </w:rPr>
        <w:t xml:space="preserve">20. 1991 m. sausio 11 d. LKP/TSKP nusiuntė Lietuvos Vyriausybei ultimatumą, reikalaudama laikytis TSRS Prezidento pareiškimo. Priešingu atveju LKP/TSKP skelbė įsteigsianti „Lietuvos nacionalinio gelbėjimo komitetą“, „kuris pasirūpins LTSR ateities klausimais“. 1991 m. sausio 14 d. Aukščiausioji Taryba paskelbė minėto komiteto veiklą neteisėta, antikonstitucine, antivalstybine ir nusikalstama, tokios veiklos dalyviai buvo perspėti, kad jie atsakys pagal Lietuvos Respublikos įstatymus. </w:t>
      </w:r>
    </w:p>
    <w:p w:rsidR="006F15BA" w:rsidRPr="00C00255" w:rsidRDefault="006F15BA" w:rsidP="006F15BA">
      <w:pPr>
        <w:pStyle w:val="ListParagraph"/>
        <w:spacing w:before="120" w:after="120"/>
        <w:ind w:left="1276"/>
        <w:contextualSpacing w:val="0"/>
        <w:rPr>
          <w:sz w:val="20"/>
        </w:rPr>
      </w:pPr>
      <w:r w:rsidRPr="00C00255">
        <w:rPr>
          <w:sz w:val="20"/>
        </w:rPr>
        <w:t xml:space="preserve">21. 1991 m. sausio 11-13 d. sovietinė kariuomenė vykdė karines operacijas prieš Lietuvos Vyriausybę. Sovietų karinės pajėgos jėga okupavo Krašto apsaugos ministerijos pastatą, Vilniaus televizijos bokštą, Lietuvos nacionalinio radijo ir televizijos pastatą ir Vilniaus geležinkelio stotį. Sovietų kariuomenė taip pat mėgino užimti Lietuvos Parlamento rūmus ir kitas valstybės valdymo įstaigas. Lietuvos Respublikos institucijų ginti susirinko didžiulės minios vietos gyventojų. Trylika Lietuvos civilių gyventojų žuvo ir virš tūkstančio buvo sužeisti konfliktų su sovietine kariuomene metu 1991 metų naktį iš sausio 12-osios į 13-ąją. </w:t>
      </w:r>
    </w:p>
    <w:p w:rsidR="006F15BA" w:rsidRPr="00C00255" w:rsidRDefault="006F15BA" w:rsidP="006F15BA">
      <w:pPr>
        <w:pStyle w:val="ListParagraph"/>
        <w:spacing w:before="120" w:after="120"/>
        <w:ind w:left="1276"/>
        <w:contextualSpacing w:val="0"/>
        <w:rPr>
          <w:sz w:val="20"/>
        </w:rPr>
      </w:pPr>
      <w:r w:rsidRPr="00C00255">
        <w:rPr>
          <w:sz w:val="20"/>
        </w:rPr>
        <w:t xml:space="preserve">22. 1991 m. vasario 9 d. Lietuvoje nacionaliniu mastu buvo surengtas plebiscitas, kurio metu visuomenės buvo prašoma atsakyti, ar ji pritaria tokiam teiginiui: „Lietuvos valstybė yra nepriklausoma ir demokratinė respublika“. Daugiau kaip trys ketvirtadaliai referendume dalyvavusių asmenų į klausimą atsakė teigiamai. 1991 m. vasario 11 d. Aukščiausioji Taryba priėmė įstatymą, kuriame numatyta, kad teiginys „Lietuvos valstybė yra nepriklausoma demokratinė respublika“ yra pamatinis konstitucinis valstybės principas.  </w:t>
      </w:r>
    </w:p>
    <w:p w:rsidR="006F15BA" w:rsidRPr="00C00255" w:rsidRDefault="006F15BA" w:rsidP="006F15BA">
      <w:pPr>
        <w:pStyle w:val="ListParagraph"/>
        <w:spacing w:before="120" w:after="120"/>
        <w:ind w:left="1276"/>
        <w:contextualSpacing w:val="0"/>
        <w:rPr>
          <w:sz w:val="20"/>
        </w:rPr>
      </w:pPr>
      <w:r w:rsidRPr="00C00255">
        <w:rPr>
          <w:sz w:val="20"/>
        </w:rPr>
        <w:t>23. 1991 m. rugpjūčio 19 d. Maskvoje bandytas įvykdyti perversmas - pučas. Pučistai, pasivadinę Valstybiniu ypatingosios padėties komitetu, paskelbė, kad Prezidentas G</w:t>
      </w:r>
      <w:r w:rsidR="00DD1A27">
        <w:rPr>
          <w:sz w:val="20"/>
        </w:rPr>
        <w:t>.</w:t>
      </w:r>
      <w:r w:rsidRPr="00C00255">
        <w:rPr>
          <w:sz w:val="20"/>
        </w:rPr>
        <w:t xml:space="preserve"> nušalinamas nuo pareigų, paskyrė save vienintele valdžia ir įvedė ypatingąją padėtį tam tikruose TSRS regionuose. Po dviejų dienų pučistų perversmas žlugo. </w:t>
      </w:r>
    </w:p>
    <w:p w:rsidR="006F15BA" w:rsidRPr="00C00255" w:rsidRDefault="006F15BA" w:rsidP="006F15BA">
      <w:pPr>
        <w:pStyle w:val="ListParagraph"/>
        <w:spacing w:before="120" w:after="120"/>
        <w:ind w:left="1276"/>
        <w:contextualSpacing w:val="0"/>
        <w:rPr>
          <w:sz w:val="20"/>
        </w:rPr>
      </w:pPr>
      <w:r w:rsidRPr="00C00255">
        <w:rPr>
          <w:sz w:val="20"/>
        </w:rPr>
        <w:t xml:space="preserve">24. Iš karto po Maskvos pučo žlugimo 1991 m. rugpjūčio ir rugsėjo mėnesiais naujoji Lietuvos Vyriausybė sulaukė diplomatinio pripažinimo, </w:t>
      </w:r>
      <w:r w:rsidRPr="00C00255">
        <w:rPr>
          <w:i/>
          <w:iCs/>
          <w:sz w:val="20"/>
        </w:rPr>
        <w:t>inter alia</w:t>
      </w:r>
      <w:r w:rsidRPr="00C00255">
        <w:rPr>
          <w:sz w:val="20"/>
        </w:rPr>
        <w:t xml:space="preserve"> iš TSRS, Europos Bendrijų bei Jungtinių Amerikos Valstijų. TSRS buvo 60-oji, kuri pripažino Lietuvos Respubliką kaip tarptautinės teisės subjektą ir suverenią valstybę, kaip ji yra apibrėžta „1990 m. kovo 11 d. pagrindiniuose aktuose“. TSRS panaikino 1940 m. įstatymą, kuriuo Lietuva buvo inkorporuota į TSRS sudėtį. </w:t>
      </w:r>
    </w:p>
    <w:p w:rsidR="006F15BA" w:rsidRPr="00C00255" w:rsidRDefault="006F15BA" w:rsidP="006F15BA">
      <w:pPr>
        <w:pStyle w:val="ListParagraph"/>
        <w:spacing w:before="120" w:after="120"/>
        <w:ind w:left="1276"/>
        <w:contextualSpacing w:val="0"/>
        <w:rPr>
          <w:sz w:val="20"/>
        </w:rPr>
      </w:pPr>
      <w:r w:rsidRPr="00C00255">
        <w:rPr>
          <w:sz w:val="20"/>
        </w:rPr>
        <w:t xml:space="preserve">25. Pasisakant dėl Lietuvos Komunistų Partijos veiklos, 1990 m. liepos 2 d. Teisingumo ministerija atmetė prašymą įregistruoti „LTSR piliečių komitetą“, kadangi jo tikslai laikyti nesuderinamais su Laikinuoju pagrindiniu įstatymu. 1991 m. rugpjūčio 22 d. Aukščiausioji Taryba priėmė nutarimą dėl LKP/TSKP veiklos Lietuvoje. Šiuo nutarimu buvo patvirtintas LKP/TSKP neteisėtumas ir imtasi priemonių užtikrinti, kad ši organizacija būtų likviduota ir sugrąžintas turtas, kurį minėta partija bei jos antrinės organizacijos buvo konfiskavusios su sovietinių karinių dalinių pagalba. Vyriausybės teigimu, iki tol, kol sovietinės karinės pajėgos pradėjo trauktis po pučo Maskvoje žlugimo, nebuvo galimybių imtis veiksmingų priemonių prieš šią organizaciją.“  </w:t>
      </w:r>
    </w:p>
    <w:p w:rsidR="006F15BA" w:rsidRPr="00C00255" w:rsidRDefault="006F15BA" w:rsidP="00321748">
      <w:pPr>
        <w:pStyle w:val="ListParagraph"/>
        <w:numPr>
          <w:ilvl w:val="0"/>
          <w:numId w:val="6"/>
        </w:numPr>
        <w:spacing w:before="120" w:after="120"/>
        <w:ind w:left="992" w:hanging="992"/>
        <w:contextualSpacing w:val="0"/>
      </w:pPr>
      <w:r w:rsidRPr="00696681">
        <w:rPr>
          <w:szCs w:val="24"/>
          <w:lang w:eastAsia="lt-LT"/>
        </w:rPr>
        <w:t>Jau minėtame EŽTT sprendime, be kita ko, nurodyta, kad šis istorinis ir politinis kontekstas „yra svarbus elementas, atspindintis įtemptą pereinamąjį laikotarpį tarp dviejų teisinių sistemų po Lietuvos Respublikos nepriklausomybės at</w:t>
      </w:r>
      <w:r w:rsidR="001D0506" w:rsidRPr="00696681">
        <w:rPr>
          <w:szCs w:val="24"/>
          <w:lang w:eastAsia="lt-LT"/>
        </w:rPr>
        <w:t>kūrimo. Laikotarpis nuo 1990 m. </w:t>
      </w:r>
      <w:r w:rsidRPr="00696681">
        <w:rPr>
          <w:szCs w:val="24"/>
          <w:lang w:eastAsia="lt-LT"/>
        </w:rPr>
        <w:t>vasario 24 d. (kai įvyko rinkimai į naują Parlamentą) iki 1991 m. rugpjūčio mėn.</w:t>
      </w:r>
      <w:r w:rsidRPr="00696681">
        <w:rPr>
          <w:szCs w:val="24"/>
        </w:rPr>
        <w:t xml:space="preserve"> </w:t>
      </w:r>
      <w:r w:rsidRPr="00696681">
        <w:rPr>
          <w:szCs w:val="24"/>
          <w:lang w:eastAsia="lt-LT"/>
        </w:rPr>
        <w:t>(kai pučas Maskvoje žlugo ir TSRS pripažino Lietuvos nepriklausomybę) buvo gana nestabilus Lietuvoje, nes naujos demokratinės jėgos norėjo užimti tvirtą padėtį, o ankstesnis sovietinis režimas norėjo išlaikyti savo valdžią. &lt;...&gt; po triuškinančio rinkėjų balsų pasikeitimo parlamentiniuose rinkimuose 1990 m. vasario mėn. Lietuvos Aukščiausioji Taryba turėjo teisėtą valdžią. &lt;...&gt; buvusi sovietinė komunistų partija, patyrė triuškinantį pralaimėjimą minėtuose rinkimuose ir todėl buvo stipriai nustumta į šalį. Po to Aukščiausioji Taryba 1990 m. kovo mėn. priėmė esminius įstatymus, prieš kuriuos Maskva, palaikoma pareiškėjų (</w:t>
      </w:r>
      <w:r w:rsidR="00C507EF" w:rsidRPr="00696681">
        <w:rPr>
          <w:szCs w:val="24"/>
          <w:lang w:eastAsia="lt-LT"/>
        </w:rPr>
        <w:t>J. K.</w:t>
      </w:r>
      <w:r w:rsidR="005A493E" w:rsidRPr="00696681">
        <w:rPr>
          <w:iCs/>
          <w:szCs w:val="24"/>
          <w:lang w:eastAsia="lt-LT"/>
        </w:rPr>
        <w:t>, L. </w:t>
      </w:r>
      <w:r w:rsidRPr="00696681">
        <w:rPr>
          <w:iCs/>
          <w:szCs w:val="24"/>
          <w:lang w:eastAsia="lt-LT"/>
        </w:rPr>
        <w:t>B</w:t>
      </w:r>
      <w:r w:rsidR="005A493E" w:rsidRPr="00696681">
        <w:rPr>
          <w:iCs/>
          <w:szCs w:val="24"/>
          <w:lang w:eastAsia="lt-LT"/>
        </w:rPr>
        <w:t>.</w:t>
      </w:r>
      <w:r w:rsidRPr="00696681">
        <w:rPr>
          <w:iCs/>
          <w:szCs w:val="24"/>
          <w:lang w:eastAsia="lt-LT"/>
        </w:rPr>
        <w:t xml:space="preserve"> ir </w:t>
      </w:r>
      <w:r w:rsidR="00C507EF" w:rsidRPr="00696681">
        <w:rPr>
          <w:iCs/>
          <w:szCs w:val="24"/>
          <w:lang w:eastAsia="lt-LT"/>
        </w:rPr>
        <w:t>M. B</w:t>
      </w:r>
      <w:r w:rsidR="00C507EF">
        <w:rPr>
          <w:iCs/>
          <w:szCs w:val="24"/>
          <w:lang w:eastAsia="lt-LT"/>
        </w:rPr>
        <w:t>.</w:t>
      </w:r>
      <w:r w:rsidRPr="00C00255">
        <w:rPr>
          <w:iCs/>
          <w:szCs w:val="24"/>
          <w:lang w:eastAsia="lt-LT"/>
        </w:rPr>
        <w:t xml:space="preserve"> – </w:t>
      </w:r>
      <w:r w:rsidRPr="00C00255">
        <w:rPr>
          <w:i/>
          <w:iCs/>
          <w:szCs w:val="24"/>
          <w:lang w:eastAsia="lt-LT"/>
        </w:rPr>
        <w:t>kolegijos pastaba</w:t>
      </w:r>
      <w:r w:rsidRPr="00C00255">
        <w:rPr>
          <w:szCs w:val="24"/>
          <w:lang w:eastAsia="lt-LT"/>
        </w:rPr>
        <w:t xml:space="preserve">) </w:t>
      </w:r>
      <w:r w:rsidRPr="00696681">
        <w:rPr>
          <w:szCs w:val="24"/>
          <w:lang w:eastAsia="lt-LT"/>
        </w:rPr>
        <w:t>ir jų politinio užnugario, protestavo. Protestas, kurį dar labiau sustiprino ekonominė blokada, buvo toks nuožmus, kad Lietuvos Vyriausybė turėjo siekti derybų su TSRS, priimdama įstatymų leidybos moratoriumą“ (EŽTT 2008 m. vasario 19 d. sprendimo byloje</w:t>
      </w:r>
      <w:r w:rsidRPr="00C00255">
        <w:rPr>
          <w:szCs w:val="24"/>
          <w:lang w:eastAsia="lt-LT"/>
        </w:rPr>
        <w:t xml:space="preserve"> </w:t>
      </w:r>
      <w:r w:rsidRPr="00C00255">
        <w:rPr>
          <w:i/>
          <w:szCs w:val="24"/>
          <w:lang w:eastAsia="lt-LT"/>
        </w:rPr>
        <w:t>Kuolelis, Bartoševičius ir Burokevičius prieš Lietuvą</w:t>
      </w:r>
      <w:r w:rsidRPr="00C00255">
        <w:rPr>
          <w:szCs w:val="24"/>
          <w:lang w:eastAsia="lt-LT"/>
        </w:rPr>
        <w:t xml:space="preserve"> 117</w:t>
      </w:r>
      <w:r w:rsidRPr="00C00255">
        <w:t>–</w:t>
      </w:r>
      <w:r w:rsidRPr="00C00255">
        <w:rPr>
          <w:szCs w:val="24"/>
          <w:lang w:eastAsia="lt-LT"/>
        </w:rPr>
        <w:t>118</w:t>
      </w:r>
      <w:r w:rsidR="0083329D">
        <w:rPr>
          <w:szCs w:val="24"/>
          <w:lang w:eastAsia="lt-LT"/>
        </w:rPr>
        <w:t> </w:t>
      </w:r>
      <w:r w:rsidRPr="00C00255">
        <w:rPr>
          <w:szCs w:val="24"/>
          <w:lang w:eastAsia="lt-LT"/>
        </w:rPr>
        <w:t xml:space="preserve">paragrafai). </w:t>
      </w:r>
    </w:p>
    <w:p w:rsidR="001D0506" w:rsidRPr="00C00255" w:rsidRDefault="006F15BA" w:rsidP="001D0506">
      <w:pPr>
        <w:pStyle w:val="ListParagraph"/>
        <w:numPr>
          <w:ilvl w:val="0"/>
          <w:numId w:val="6"/>
        </w:numPr>
        <w:spacing w:before="120" w:after="120"/>
        <w:ind w:left="992" w:hanging="992"/>
        <w:contextualSpacing w:val="0"/>
      </w:pPr>
      <w:r w:rsidRPr="00C00255">
        <w:rPr>
          <w:szCs w:val="24"/>
          <w:lang w:eastAsia="lt-LT"/>
        </w:rPr>
        <w:t xml:space="preserve">Lietuvos Aukščiausiojo Teismo </w:t>
      </w:r>
      <w:r w:rsidRPr="00C00255">
        <w:rPr>
          <w:bCs/>
          <w:szCs w:val="24"/>
        </w:rPr>
        <w:t xml:space="preserve">2017 m. vasario 28 d. nutartyje </w:t>
      </w:r>
      <w:r w:rsidR="005A493E">
        <w:rPr>
          <w:bCs/>
          <w:szCs w:val="24"/>
        </w:rPr>
        <w:t>K. M.</w:t>
      </w:r>
      <w:r w:rsidRPr="00C00255">
        <w:rPr>
          <w:bCs/>
          <w:szCs w:val="24"/>
        </w:rPr>
        <w:t xml:space="preserve"> byloje Nr. 2K-7-1-693/2017 </w:t>
      </w:r>
      <w:r w:rsidRPr="00C00255">
        <w:rPr>
          <w:szCs w:val="24"/>
          <w:lang w:eastAsia="lt-LT"/>
        </w:rPr>
        <w:t>pažymėta ir tai, kad:</w:t>
      </w:r>
    </w:p>
    <w:p w:rsidR="006F15BA" w:rsidRPr="00C00255" w:rsidRDefault="006F15BA" w:rsidP="006F15BA">
      <w:pPr>
        <w:pStyle w:val="ListParagraph"/>
        <w:shd w:val="clear" w:color="auto" w:fill="FFFFFF"/>
        <w:tabs>
          <w:tab w:val="left" w:pos="851"/>
          <w:tab w:val="left" w:pos="1276"/>
        </w:tabs>
        <w:spacing w:before="120" w:after="120"/>
        <w:ind w:left="1276"/>
        <w:contextualSpacing w:val="0"/>
        <w:rPr>
          <w:sz w:val="20"/>
          <w:lang w:eastAsia="lt-LT"/>
        </w:rPr>
      </w:pPr>
      <w:r w:rsidRPr="00C00255">
        <w:rPr>
          <w:sz w:val="20"/>
          <w:lang w:eastAsia="lt-LT"/>
        </w:rPr>
        <w:t>„1991 m. sausio – rugpjūčio mėnesių istorinės aplinkybės ir politinis kontekstas, &lt;...&gt; jau buvo įvertintas nacionalinėje jurisprudencijoje, dėl šio laikotarpio įvykių pasisakyta kai kuriuose Europos Žmogaus Teisių Teismo sprendimuose &lt;...&gt; ir teismų praktikoje (kasacinės nutartys baudžiamosiose bylose Nr. 2K-P-18-648/2016, 2K-214-976/2016, 2A-P-8-788/2016). &lt;...&gt;.</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1991 m. sausio 11–13 d. sovietinė kariuomenė vykdė karines operacijas prieš Lietuvos strateginius objektus. Vilniaus apygardos teismo 1999 m. rugpjūčio 23 d. nuosprendžiu Sausio 13-osios byloje konstatuota, kad 1991 m. sausio mėn. TSRS vykdyta agresija buvo bandymas jėga nuversti teisėtą Lietuvos valdžią. Tam pritarė aukščiausia TSRS politinė ir karinė vadovybė, o karinės jėgos panaudojimą kurstė vietinė Komunistų partija, kurios vadovai ir jos sukurtų organizacijų vadovai žinojo šios organizacijos antivalstybinius tikslus, žinojo, kad organizacija sukurta ir veikia vykdydama TSRS ir TSKP vadovybės užduotis, siekiant sutrikdyti Lietuvos Respublikos Laikinuoju Pagrindiniu Įstatymu paremtą valstybinę ar visuomeninę tvarką, neteisėtomis priemonėmis apriboti suverenias Lietuvos valstybės galias, pritarė šiems tikslams ir patys aktyviai veikė juos įgyvendinant. 1990 m. pabaigoje – 1991 m. pradžioje suaktyvino savo veiklą ir bandė įvykdyti perversmą, viešais raginimais smurtu pažeisti Lietuvos Respublikos suverenitetą bei nuversti valstybinę valdžią, jie kurstė TSRS vadovybę kariuomenės pagalba nuversti Lietuvos valdžią, skatino tam savo šalininkus, baugino valstybės gyventojus. 1991 m. sausio 11 d. prasidėjo atvira TSRS agresija – TSRS kariuomenė, ginkluota koviniais šaunamaisiais ginklais, sunkiąja karine technika, specialiomis ir sprogstamosiomis priemonėmis Vilniuje jėga užgrobė Krašto apsaugos departamento administracinį pastatą ir Spaudos rūmus. Spaudos rūmų užpuolimo metu buvo padaryti kūno sužalojimai penkiasdešimt keturiems iš susirinkusiųjų gynėjų bei patalpų darbuotojų. 1991 m. sausio 13 d. Televizijos bokšto ir Lietuvos radijo ir televizijos komiteto užgrobimo metu tyčia buvo nužudyta trylika asmenų, nužudymai padaryti pavojingu daugelio žmonių gyvybei būdu (šaudant į minią) ir ypač žiauriai (sprogdinant, traiškant žmones karine technika), o nukentėjusieji žuvo vykdydami visuomenines pareigas (gynė savo valstybę). Minėtu nuosprendžiu Sausio 13-osios byloje taip pat konstatuota, kad TSRS vadovybė kartu su Lietuvos komunistų partija, siekdama grąžinti Lietuvą į TSRS sudėtį, naudojosi TSRS valstybinės valdžios ir valdymo organais: TSRS valstybės saugumo komiteto, TSRS gynybos ministerijos, TSRS vidaus reikalų ministerijos padaliniais ir kariniais daliniais, dislokuotais Lietuvoje ir už jos ribų. Prie Televizijos bokšto, Radijo ir televizijos pastatų šiuos objektus gynusius civilius žmones sužalojo TSRS kariuomenės, VRM ir VSK kariškiai, kurie tiesiogiai buvo šių nusikaltimų vykdytojai. Jiems iš Vilniaus m. buvusio Šiaurės karinio miestelio vadovavo TSRS generolai, leidimą pradėti karinę akciją prieš beginklius civilius žmones davė aukščiausia TSRS politinė ir karinė vadovybė.</w:t>
      </w:r>
    </w:p>
    <w:p w:rsidR="006F15BA" w:rsidRPr="00C00255" w:rsidRDefault="006F15BA" w:rsidP="006F15BA">
      <w:pPr>
        <w:pStyle w:val="ListParagraph"/>
        <w:shd w:val="clear" w:color="auto" w:fill="FFFFFF"/>
        <w:tabs>
          <w:tab w:val="left" w:pos="851"/>
        </w:tabs>
        <w:spacing w:before="120" w:after="120"/>
        <w:ind w:left="1276"/>
        <w:contextualSpacing w:val="0"/>
        <w:rPr>
          <w:sz w:val="20"/>
        </w:rPr>
      </w:pPr>
      <w:r w:rsidRPr="00C00255">
        <w:rPr>
          <w:sz w:val="20"/>
          <w:lang w:eastAsia="lt-LT"/>
        </w:rPr>
        <w:t>Vėlesni teismų sprendimai – Lietuvos apeliacinio teismo 2001 m. vasario 20 d. ir Lietuvos Aukščiausiojo Teismo 2001 m. gruodžio 28 d. nutartys – patvirtino Vilniaus apygardos teismo nuosprendyje nustatytų faktų teisingumą ir jų teisinį įvertinimą. Dėl visuotinai pripažinto ir teism</w:t>
      </w:r>
      <w:r w:rsidR="001D0506" w:rsidRPr="00C00255">
        <w:rPr>
          <w:sz w:val="20"/>
          <w:lang w:eastAsia="lt-LT"/>
        </w:rPr>
        <w:t>ų sprendimais nustatyto 1991 m. </w:t>
      </w:r>
      <w:r w:rsidRPr="00C00255">
        <w:rPr>
          <w:sz w:val="20"/>
          <w:lang w:eastAsia="lt-LT"/>
        </w:rPr>
        <w:t>sausio mėn. įvykių vertinimo pasisakyta ir Lietuvos Aukščiausiojo Teismo Baudžiamųjų bylų skyriaus išplėstinės teisėjų kolegijos 2013 m. sausio 22 d. nutartyje b</w:t>
      </w:r>
      <w:r w:rsidRPr="00C00255">
        <w:rPr>
          <w:sz w:val="20"/>
        </w:rPr>
        <w:t>audžiamojoje byloje Nr. 2K-7-102/2013 bei toje baudžiamojoje byloje priimtame apeliacinės instancijos teismo nuosprendyje. &lt;...&gt;</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 xml:space="preserve">Apie 1990–1991 m. įvykius Latvijoje ir Lietuvoje EŽTT pasisakė Didžiosios kolegijos 2006 m. sprendime byloje </w:t>
      </w:r>
      <w:r w:rsidRPr="00C00255">
        <w:rPr>
          <w:i/>
          <w:sz w:val="20"/>
          <w:lang w:eastAsia="lt-LT"/>
        </w:rPr>
        <w:t>Ždanoka prieš Latviją</w:t>
      </w:r>
      <w:r w:rsidRPr="00C00255">
        <w:rPr>
          <w:sz w:val="20"/>
          <w:lang w:eastAsia="lt-LT"/>
        </w:rPr>
        <w:t xml:space="preserve"> (peticijos Nr. </w:t>
      </w:r>
      <w:r w:rsidRPr="00C00255">
        <w:rPr>
          <w:sz w:val="20"/>
          <w:lang w:eastAsia="fr-FR"/>
        </w:rPr>
        <w:t>58278/00)</w:t>
      </w:r>
      <w:r w:rsidRPr="00C00255">
        <w:rPr>
          <w:sz w:val="20"/>
          <w:lang w:eastAsia="lt-LT"/>
        </w:rPr>
        <w:t>. Faktų dalyje (atsižvelgiant į Latvijos Vyriausybės nurodytas Latvijos nepriklausomybės atkūrimo nurodytu laikotarpiu aplinkybes ir komunistų partijos vaidmenį) gana detaliai išdėstyti pagrindiniai tuometiniai įvykiai Latvijoje ir Lietuvoje. EŽTT pabrėžė, kad kiek įmanoma susilaikys nuo pasisakymų dėl grynai istorinių faktų (tai nepatenka į jo jurisdikciją), tačiau gali priimti tam tikras gerai žinomas istorines tiesas ir grįsti jomis savo mot</w:t>
      </w:r>
      <w:r w:rsidR="001D0506" w:rsidRPr="00C00255">
        <w:rPr>
          <w:sz w:val="20"/>
          <w:lang w:eastAsia="lt-LT"/>
        </w:rPr>
        <w:t>yvus (Didžiosios kolegijos 2006 </w:t>
      </w:r>
      <w:r w:rsidR="005A493E">
        <w:rPr>
          <w:sz w:val="20"/>
          <w:lang w:eastAsia="lt-LT"/>
        </w:rPr>
        <w:t>m. </w:t>
      </w:r>
      <w:r w:rsidRPr="00C00255">
        <w:rPr>
          <w:sz w:val="20"/>
          <w:lang w:eastAsia="lt-LT"/>
        </w:rPr>
        <w:t xml:space="preserve">sprendimo byloje </w:t>
      </w:r>
      <w:r w:rsidRPr="00C00255">
        <w:rPr>
          <w:i/>
          <w:sz w:val="20"/>
          <w:lang w:eastAsia="lt-LT"/>
        </w:rPr>
        <w:t>Ždanoka prieš Latviją</w:t>
      </w:r>
      <w:r w:rsidRPr="00C00255">
        <w:rPr>
          <w:sz w:val="20"/>
          <w:lang w:eastAsia="lt-LT"/>
        </w:rPr>
        <w:t xml:space="preserve"> par. 96). Nagrinėjamoje byloje, nesant savivalės požymių Latvijos teismams vertinant atitinkamus faktus, EŽTT pripažino jų sprendimuose nustatytas aplinkybes dėl Latvijos komunistų partijos vaidmens 1991 m. sausio ir rugpjūčio mėn. įvykiuose bei jų išvakarėse (</w:t>
      </w:r>
      <w:r w:rsidR="005A493E">
        <w:rPr>
          <w:i/>
          <w:sz w:val="20"/>
          <w:lang w:eastAsia="lt-LT"/>
        </w:rPr>
        <w:t>Ždanoka </w:t>
      </w:r>
      <w:r w:rsidRPr="00C00255">
        <w:rPr>
          <w:i/>
          <w:sz w:val="20"/>
          <w:lang w:eastAsia="lt-LT"/>
        </w:rPr>
        <w:t>prieš Latviją</w:t>
      </w:r>
      <w:r w:rsidRPr="00C00255">
        <w:rPr>
          <w:sz w:val="20"/>
          <w:lang w:eastAsia="lt-LT"/>
        </w:rPr>
        <w:t>, par. 97). Kai kurios iš šių aplinkybių yra susijusios su OMON būriu. Būtent EŽTT sprendimo faktų dalyje nurodomas Latvijos Aukščiausiojo Teismo 1995 m. liepos 27 d. sprendimas Latvijos komunistų partijos vadovų byloje, kurioje kaip istorinis faktas buvo pripažinta, be kita ko, tai, kad Latvijos komunistų partijos centrinis komitetas teikė finansinę paramą specialiam sovietų policijos būriui, kuris buvo visiškai atsakingas už civilių mirtis 1991 m. sausio įvykių Rygoje metu (</w:t>
      </w:r>
      <w:r w:rsidRPr="00C00255">
        <w:rPr>
          <w:i/>
          <w:sz w:val="20"/>
          <w:lang w:eastAsia="lt-LT"/>
        </w:rPr>
        <w:t>Ždanoka prieš Latviją</w:t>
      </w:r>
      <w:r w:rsidRPr="00C00255">
        <w:rPr>
          <w:sz w:val="20"/>
          <w:lang w:eastAsia="lt-LT"/>
        </w:rPr>
        <w:t>, par. 97, 32).</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 xml:space="preserve">1991 m. sausio – rugpjūčio mėn. laikotarpiu TSRS jėgos struktūros, toliau įgyvendindamos TSRS politiką, kuria buvo siekiama, be kita ko, jėga grąžinti nepriklausomybę atkūrusias valstybes (be kitų, ir Lietuvą) į TSRS sudėtį, naudojo prieš Lietuvą įvairių formų prievartą, nukreiptą prieš Lietuvos valstybės institucijas, daugiausia civilines, ir jų tarnautojus bei pareigūnus, kitus Lietuvos Respublikai lojalius civilius.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Vienas iš pagrindinių taikinių šiame kontekste buvo Lietuvos Respublikos valstybingumą simbolizuojantys muitinės postai, prieš kuriuos buvo vykdomi sistemingi išpuoliai, paprastai įgyvendinami pagal panašų scenarijų: užpuolami postai, naudojamas fizinis ir psichologinis smurtas prieš muitinės ir kitus juose buvusius pareigūnus, naikinamas Lietuvos valstybės (muitinės postų) ir pareigūnų turtas (deginami vagonėliai ir kt.).</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 xml:space="preserve">Nurodytoms operacijoms prieš Lietuvos institucijas ir jų civilius tarnautojus vykdyti, be kita ko, buvo pasitelkti TSRS ypatingosios paskirties milicijos būriai (OMON), tiesiogiai pavaldūs TSRS vidaus reikalų ministerijai, kurių pareigūnai, Baltijos valstybėms atkūrus nepriklausomybę, išliko lojalūs TSRS režimui, o atkurtų nepriklausomų valstybių institucijų, jiems lojalių civilių atžvilgiu buvo nusiteikę priešiškai, jų veiklą vertino kaip kėsinimąsi į TSRS vientisumą ir teisinę santvarką.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Šie padaliniai Lietuvoje ir Latvijoje buvo įkurti 1988 m. siekiant užkirsti kelią grupiniam chuliganizmui ir masinėms riaušėms TSRS teritorijoje (TSRS vidaus reikalų ministro 1988 m. spalio 3 d. įsakymas Nr. 206). Latvijai atkūrus nepriklausomybę, TSRS vidaus reikalų ministro pavaduotojo 1990 m. spalio 2 d. įsakymu Latvijos ypatingos paskirties milicijos būrys (OMON) perduotas TSRS vidaus reikalų ministerijos vidaus kariuomenės pavaldumui. Latvijos Respublikos Aukščiausiosios Tarybos 1990 m. lapkričio 14 d. nutarimu iš Rygos OMON darbuotojų dėl bendradarbiavimo su TSRS ginkluotosiomis pajėgomis ir vykdytų neteisėtų ir nusikalstamų akcijų atimtas valdžios atstovų Latvijos Respublikoje statusas. Nuo 1991 m. sausio mėn. Rygos OMON padalinys, atsižvelgiant į sudėtingą politinę padėtį, savo veiksmais vykdė TSRS užduotis ir atsisakė vykdyti Latvijos valdžios institucijų įsakymus, prieštaraujančius TSRS Konstitucijai. Rygos</w:t>
      </w:r>
      <w:r w:rsidR="001D0506" w:rsidRPr="00C00255">
        <w:rPr>
          <w:sz w:val="20"/>
          <w:lang w:eastAsia="lt-LT"/>
        </w:rPr>
        <w:t> </w:t>
      </w:r>
      <w:r w:rsidRPr="00C00255">
        <w:rPr>
          <w:sz w:val="20"/>
          <w:lang w:eastAsia="lt-LT"/>
        </w:rPr>
        <w:t>OMON padalinys buvo išformuotas TSRS vidaus reikalų ministro 1991</w:t>
      </w:r>
      <w:r w:rsidR="001D0506" w:rsidRPr="00C00255">
        <w:rPr>
          <w:sz w:val="20"/>
          <w:lang w:eastAsia="lt-LT"/>
        </w:rPr>
        <w:t xml:space="preserve"> m. rugpjūčio 28 d. įsakymu Nr. </w:t>
      </w:r>
      <w:r w:rsidRPr="00C00255">
        <w:rPr>
          <w:sz w:val="20"/>
          <w:lang w:eastAsia="lt-LT"/>
        </w:rPr>
        <w:t xml:space="preserve">305. </w:t>
      </w:r>
    </w:p>
    <w:p w:rsidR="006F15BA" w:rsidRPr="00C00255" w:rsidRDefault="006F15BA" w:rsidP="006F15BA">
      <w:pPr>
        <w:pStyle w:val="ListParagraph"/>
        <w:shd w:val="clear" w:color="auto" w:fill="FFFFFF"/>
        <w:tabs>
          <w:tab w:val="left" w:pos="851"/>
        </w:tabs>
        <w:spacing w:before="120" w:after="120"/>
        <w:ind w:left="1276"/>
        <w:contextualSpacing w:val="0"/>
        <w:rPr>
          <w:sz w:val="20"/>
        </w:rPr>
      </w:pPr>
      <w:r w:rsidRPr="00C00255">
        <w:rPr>
          <w:sz w:val="20"/>
        </w:rPr>
        <w:t xml:space="preserve">Lietuvos Respublikos Aukščiausiosios Tarybos 1991 m. gegužės 27 d. nutarime „Dėl TSRS vidaus reikalų ministerijos „OMON“ bei kitų TSRS formuočių Lietuvoje ir jų veiksmų prieš Lietuvos Respubliką ir jos gyventojus“ pažymima, kad pastaruoju metu padažnėjo TSRS ginkluotų formuočių smurto akcijų prieš Lietuvos Respublikos įstaigas ir organizacijas, jų pareigūnus ir civilius gyventojus, kurias vykdo TSRS vidaus reikalų ministerijos „OMON“ ginkluotos formuotės, taip pat kitos TSRS kariškių ginkluotos grupės. Lietuvos Respublikos Aukščiausioji Taryba, smerkdama šiuos neteisėtus veiksmus ir siekdama užtikrinti Lietuvos Respublikos bei jos gyventojų saugumą, nutarė paskelbti, kad Lietuvoje veikiančios TSRS vidaus reikalų ministerijos formuotė „OMON“, taip pat bet kurios kitos formuotės, kurių nenumato Lietuvos Respublikos įstatymai, Lietuvos Respublikoje yra neteisėtos, o bet kurie tų formuočių jėgos veiksmai prieš Lietuvos Respubliką ir jos gyventojus yra nusikalstami.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Lietuvos Respublikos valstybės pareigūnai dėl OMON ir kitų TSRS jėgos struktūrų institucijų atstovų vykdomų Lietuvos Respublikos muitinės postų, kitų valstybinių įstaigų, pareigūnų ir piliečių užpuolimų ne kartą kreipėsi į</w:t>
      </w:r>
      <w:r w:rsidRPr="00C00255">
        <w:rPr>
          <w:sz w:val="20"/>
        </w:rPr>
        <w:t xml:space="preserve"> </w:t>
      </w:r>
      <w:r w:rsidRPr="00C00255">
        <w:rPr>
          <w:sz w:val="20"/>
          <w:lang w:eastAsia="lt-LT"/>
        </w:rPr>
        <w:t xml:space="preserve">aukščiausias TSRS valdžios institucijas bei pareigūnus, reikalaudami tokius veiksmus nutraukti (Lietuvos Respublikos Ministro Pirmininko </w:t>
      </w:r>
      <w:r w:rsidR="00DD1A27">
        <w:rPr>
          <w:sz w:val="20"/>
          <w:lang w:eastAsia="lt-LT"/>
        </w:rPr>
        <w:t>G. V.</w:t>
      </w:r>
      <w:r w:rsidRPr="00C00255">
        <w:rPr>
          <w:sz w:val="20"/>
          <w:lang w:eastAsia="lt-LT"/>
        </w:rPr>
        <w:t xml:space="preserve"> 1991 m. gegužės 23 d. kreipimasis į aukščiausias TSRS valdžios institucijas bei pareigūnus dėl neteisėtų tarybinių karių vykdomų Lietuvos Respublikos muitinės postų, valstybinių įstaigų, pareigūnų ir piliečių užpuolimų; 1991 m. </w:t>
      </w:r>
      <w:r w:rsidR="005A493E">
        <w:rPr>
          <w:sz w:val="20"/>
          <w:lang w:eastAsia="lt-LT"/>
        </w:rPr>
        <w:t>gegužės 25 d. kreipimasis; 1991 </w:t>
      </w:r>
      <w:r w:rsidRPr="00C00255">
        <w:rPr>
          <w:sz w:val="20"/>
          <w:lang w:eastAsia="lt-LT"/>
        </w:rPr>
        <w:t xml:space="preserve">m. birželio mėn. Lietuvos Respublikos Ministro Pirmininko pavaduotojo </w:t>
      </w:r>
      <w:r w:rsidR="00DD1A27">
        <w:rPr>
          <w:sz w:val="20"/>
          <w:lang w:eastAsia="lt-LT"/>
        </w:rPr>
        <w:t>Z. V.</w:t>
      </w:r>
      <w:r w:rsidRPr="00C00255">
        <w:rPr>
          <w:sz w:val="20"/>
          <w:lang w:eastAsia="lt-LT"/>
        </w:rPr>
        <w:t xml:space="preserve"> kreipimasis į TSRS vidaus reikalų ministrą; 1991 m. birželio mėn. Ministro Pirmininko </w:t>
      </w:r>
      <w:r w:rsidR="00DD1A27">
        <w:rPr>
          <w:sz w:val="20"/>
          <w:lang w:eastAsia="lt-LT"/>
        </w:rPr>
        <w:t>G. V.</w:t>
      </w:r>
      <w:r w:rsidRPr="00C00255">
        <w:rPr>
          <w:sz w:val="20"/>
          <w:lang w:eastAsia="lt-LT"/>
        </w:rPr>
        <w:t xml:space="preserve"> kreipimasis į TSRS Ministro Pirmininko pirmąjį pavaduotoją; 1991 m. liepos 31 d. Ministro Pirmininko </w:t>
      </w:r>
      <w:r w:rsidR="00DD1A27">
        <w:rPr>
          <w:sz w:val="20"/>
          <w:lang w:eastAsia="lt-LT"/>
        </w:rPr>
        <w:t>G. V.</w:t>
      </w:r>
      <w:r w:rsidRPr="00C00255">
        <w:rPr>
          <w:sz w:val="20"/>
          <w:lang w:eastAsia="lt-LT"/>
        </w:rPr>
        <w:t xml:space="preserve"> kreipimasis į TSRS Prezidentą; Lietuvos Respublikos Vyriausybės telegrama TSRS Ministrui Pirmininkui).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 xml:space="preserve">TSRS jėgos struktūrų institucijų vykdyto civilių gyventojų užpuldinėjimo didelį mastą ir sistemingumą taip pat patvirtina tai, kad jis apėmė ne tik Lietuvos, bet ir Latvijos Respublikos teritorijas, siekiant abi šias valstybes gražinti į TSRS sudėtį. Prie šios baudžiamosios bylos pridėtame Rygos apygardos teismo 1999 m. lapkričio 8 d. nuosprendyje, kuriuo TSRS vidaus reikalų ministerijos vidaus kariuomenės Rygos OMON kariai nuteisti už ginkluotas akcijas, skirtas jėga nuversti nepriklausomos Latvijos Respublikos valdžią, ir Latvijos Respublikos Aukščiausiojo Teismo 2000 m. spalio 20 d. nuosprendžiu toje pačioje baudžiamojoje byloje konstatuota, kad nuo 1991 m. sausio 14 d. iki 1991 m. rugpjūčio 21 d. TSRS karinės struktūros vykdė Baltijos karinės apygardos vadų bendrai koordinuojamas ginkluotas akcijas, skirtas jėga nuversti nepriklausomos Latvijos Respublikos valstybinę valdžią, turint tikslą pakenkti Latvijos Respublikos suverenitetui bei saugumui; akcijų metu buvo panaudota karinė technika, šaunamieji ginklai ir specialiosios priemonės, buvo užgrobti bei nuniokoti valstybinės reikšmės pastatai, nušauti, sužeisti neteisėtai sulaikyti tarnybines pareigas vykdę valdžios atstovai ir pastatus savo iniciatyva saugoję lojalūs asmenys. Latvijos Respublikos Aukščiausiasis Teismas taip pat pripažino įrodyta, kad Rygos OMON darbuotojai nurodytas akcijas organizavo, joms vadovavo ir aktyviai dalyvavo jose, suvokdami, kad vykdo veiksmus, kurių tikslas – nuversti Latvijos Respublikos valstybinę valdžią, turėdami tikslą pakenkti Latvijos Respublikos suverenitetui bei saugumui ir norėdami, kad pasekmės būtų tokios, naudodamiesi ginkluote ir parengimu vykdyti prievartos akcijas.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 xml:space="preserve">Prie bylos pridėti Latvijos Respublikos aukščiausiųjų valdžios institucijų dokumentai patvirtina 1990 – 1991 m. TSRS bei jos partinės organizacijos – TSKP vykdytą politiką dideliu mastu ir sistemingai užpuldinėti nepriklausomybes atkūrusių valstybių civilius gyventojus, siekiant jas grąžinti į TSRS sudėtį. Latvijos Respublikos Aukščiausiosios Tarybos 1990 m. gruodžio 6 d. nutarime ir Latvijos Respublikos Aukščiausiosios Tarybos atsakyme TSRS Aukščiausiajai Tarybai dėl TSRS </w:t>
      </w:r>
      <w:r w:rsidR="005A493E">
        <w:rPr>
          <w:sz w:val="20"/>
          <w:lang w:eastAsia="lt-LT"/>
        </w:rPr>
        <w:t>Aukščiausiosios Tarybos 1990 m. </w:t>
      </w:r>
      <w:r w:rsidRPr="00C00255">
        <w:rPr>
          <w:sz w:val="20"/>
          <w:lang w:eastAsia="lt-LT"/>
        </w:rPr>
        <w:t>lapkričio 20 d. kreipimosi į Latvijos Aukščiausiąją Tarybą, nurodoma, kad TSRS kariškiai vykdo neteisėtus veiksmus Latvijos Respublikoje, tokiu būdu sukuria įtemptą situaciją, nepripažįsta teisėtos L</w:t>
      </w:r>
      <w:r w:rsidR="005A493E">
        <w:rPr>
          <w:sz w:val="20"/>
          <w:lang w:eastAsia="lt-LT"/>
        </w:rPr>
        <w:t>atvijos </w:t>
      </w:r>
      <w:r w:rsidRPr="00C00255">
        <w:rPr>
          <w:sz w:val="20"/>
          <w:lang w:eastAsia="lt-LT"/>
        </w:rPr>
        <w:t>Respublikos valdžios; OMON pareigūnai daro kriminalinius nusikaltimus, nebendradarbiauja su juos tiriančiais pareigūnais. Latvijos Respublikos Aukščiausiosios Tarybos 1991 m. sausio 2 d. nutarime dėl TSRS vidaus kariuomenės ginkluoto įsiveržimo į Spaudos rūmus, aprašomi ir pasmerkiami 1991 m. sausio 2 d. TSRS kariškių vykdyti neteisėti veiksmai, nurodoma, kad jie įvykdyti dėl TSRS organizacijos – Latvijos komunistų partijos – vykdomos politikos. Latvijos Respublikos Aukščiausiosios Tarybos Prezidiumo 1991</w:t>
      </w:r>
      <w:r w:rsidR="0083329D">
        <w:rPr>
          <w:sz w:val="20"/>
          <w:lang w:eastAsia="lt-LT"/>
        </w:rPr>
        <w:t> </w:t>
      </w:r>
      <w:r w:rsidRPr="00C00255">
        <w:rPr>
          <w:sz w:val="20"/>
          <w:lang w:eastAsia="lt-LT"/>
        </w:rPr>
        <w:t>m.</w:t>
      </w:r>
      <w:r w:rsidR="0083329D">
        <w:rPr>
          <w:sz w:val="20"/>
          <w:lang w:eastAsia="lt-LT"/>
        </w:rPr>
        <w:t> </w:t>
      </w:r>
      <w:r w:rsidRPr="00C00255">
        <w:rPr>
          <w:sz w:val="20"/>
          <w:lang w:eastAsia="lt-LT"/>
        </w:rPr>
        <w:t xml:space="preserve">gegužės 23 d. pareiškime dėl TSRS vidaus kariuomenės smurto akcijų Latvijos Respublikos pasienyje nurodoma, kad TSRS kariškiai užpuolė penkis muitinės postus, pažymima, kad tokio pobūdžio veiksmai tą pačią naktį buvo atlikti ir Lietuvos Respublikos teritorijoje. Iš byloje esančio Latvijos Respublikos Aukščiausiosios Tarybos Prezidiumo ir Latvijos Respublikos Ministrų Tarybos 1991 m. gegužės 24 d. nutarimo „Dėl neatidėliotinų savigynos priemonių ryšium su TSRS ginkluotų padalinių smurto akcijomis Latvijos Respublikos teritorijoje“ matyti, kad minimi muitinių postų ir kitų valstybinių objektų įvykdyti užpuolimai, prašoma įvertinti TSRS kariškių padarytą žalą ir dėl tokių veiksmų kreiptis į teisėsaugos institucijas. Latvijos Respublikos Aukščiausiosios Tarybos 1991 m. gegužės 29 d. notoje TSRS Aukščiausiajai Tarybai ir TSRS Prezidentui </w:t>
      </w:r>
      <w:r w:rsidR="00DD1A27">
        <w:rPr>
          <w:sz w:val="20"/>
          <w:lang w:eastAsia="lt-LT"/>
        </w:rPr>
        <w:t>M. G.</w:t>
      </w:r>
      <w:r w:rsidRPr="00C00255">
        <w:rPr>
          <w:sz w:val="20"/>
          <w:lang w:eastAsia="lt-LT"/>
        </w:rPr>
        <w:t xml:space="preserve"> reikalaujama išvesti TSRS kariuomenę iš Latvijos Respublikos, nurodoma TSRS vidaus reikalų ministerijos vidaus kariuomenės ypatingosios paskirties milicijos būrio (OMON) nuo 1991 m. sausio mėn. plėtojama nusikalstama veikla Latvijos Respublikos teritorijoje. Šis būrys sistemingai vykdo smurto akcijas, žudo ir žemina žmones, grobia ir niokoja valstybės ir piliečių nuosavybę, 1991 m. gegužės 23 ir 24 d. buvo įvykdyta didelė iš anksto suplanuota ir parengta akcija prieš Latvijos ir Lietuvos Respublikų muitinių tarnybas. Latvijos Respublikos Aukščiausiosios Tarybos Prezidiumo 1991 m. rugpjūčio 22 d. kreipimesi nurodyta, kad Latvijos Respublikoje 1991 m. rugpjūčio 20-22 d. buvo vykdomas smurtinis valstybinis perversmas, į jį buvo įtrauktas ir TSRS VRM ypatingosios paskirties milicijos būrys OMON.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TSRS valstybės institucijos, būdamos ne kartą Lietuvos ir Latvijos valstybės atstovų oficialiai informuotos apie neteisėtus (akivaizdžiai nusikalstamus) TSRS pareigūnų veiksmus prieš Lietuvos ir Latvijos civilius, nesiėmė jokių realių priemonių siekiant nutraukti tokią veiklą ir patraukti kaltininkus atsakomybėn. Iš byloje esančių dokumentų matyti, kad TSRS VRM vadovai, nepaisydami Lietuvos ir Latvijos Respublikų nepriklausomybės atkūrimo, toliau neteisėtai laikė šių valstybių teritoriją kaip TSRS dalį, nepripažino jų nepriklausomybės, įstatymų, atitinkamai ir įkurtų muitinės, policijos, kitų institucijų teisėtumo. Lietuvos ir Latvijos priimtos nepriklausomybės atkūrimo deklaracijos buvo vertinamos, kaip prieštaraujančios TSRS Konstitucijai, o atitinkamų valstybės institucijų (pavyzdžiui muitinės, policijos) įkūrimas – kaip neteisėtas. Atitinkamai, OMON smurtiniai veiksmai iš esmės pateisinami siekiu „atkurti socialistinį teisėtumą“ ir panašiais sumetimais (1991 m. gegužės 25 d. TSRS gynybos ministro atsakymas Lietuvos Ministrui Pirmininkui G. V</w:t>
      </w:r>
      <w:r w:rsidR="00DD1A27">
        <w:rPr>
          <w:sz w:val="20"/>
          <w:lang w:eastAsia="lt-LT"/>
        </w:rPr>
        <w:t>.</w:t>
      </w:r>
      <w:r w:rsidRPr="00C00255">
        <w:rPr>
          <w:sz w:val="20"/>
          <w:lang w:eastAsia="lt-LT"/>
        </w:rPr>
        <w:t>, 1991 m. birželio 11 d., 1991 m. birželio 13 d., 1991 m. birželio 17 d. TSRS vidaus reikalų ministro ir TSRS vidaus reikalų ministro pavaduotojo raštai). Nors kai kuriuose byloje esančiuose TSRS pareigūnų dokumentuose</w:t>
      </w:r>
      <w:r w:rsidRPr="00C00255">
        <w:rPr>
          <w:sz w:val="20"/>
        </w:rPr>
        <w:t xml:space="preserve"> (pvz., </w:t>
      </w:r>
      <w:r w:rsidRPr="00C00255">
        <w:rPr>
          <w:sz w:val="20"/>
          <w:lang w:eastAsia="lt-LT"/>
        </w:rPr>
        <w:t xml:space="preserve">kasaciniame skunde nurodomame 1991 m. birželio 26 d. TSRS VRM ministro </w:t>
      </w:r>
      <w:r w:rsidR="00C507EF">
        <w:rPr>
          <w:sz w:val="20"/>
          <w:lang w:eastAsia="lt-LT"/>
        </w:rPr>
        <w:t>B. P.</w:t>
      </w:r>
      <w:r w:rsidRPr="00C00255">
        <w:rPr>
          <w:sz w:val="20"/>
          <w:lang w:eastAsia="lt-LT"/>
        </w:rPr>
        <w:t xml:space="preserve"> įsakyme Nr. 205) užsimenama apie pradėtus OMON veiksmų tyrimus, pateikiama tam tikros šių veiksmų kritikos, tačiau veiksmingų priemonių, kurios atitiktų Lietuvos ir Latvijos pareigūnų pranešimuose detaliai nurodytų veikų pavojingumą ir užkirstų kelią jų pasikartojimui, per visą gana ilgą laikotarpį, kai Baltijos valstybėse buvo užpuldinėjami civiliai, nesiimta ir neketinta imtis (minėta, OMON būriai, buvo pavaldūs TSRS VRM, kuri turėjo tokius OMON nusikalstamus veiksmus nutraukti).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 xml:space="preserve">&lt;...&gt; Nagrinėjamoje byloje nustatyta situacija, kai, esant oficialiai TSRS išreikštam griežtam nepritarimui Baltijos šalių nepriklausomybės atkūrimui ir daugeliui kitų oficialių priemonių, skirtų grąžinti šias valstybes į TSRS sudėtį (ekonominė blokada, diplomatinis spaudimas ir pan.), TSRS kariuomenė ir VRM pavaldžios jėgos struktūros, pasinaudodami TSRS resursais, ilgą laiką naudojo ginkluotą jėgą dideliu mastu ir sistemingai užpuldami civilines Lietuvos ir Latvijos įstaigas, jų tarnautojus ir kitus civilius. TSRS vadovybė (tiek politiniai vadovai, tiek konkrečių jėgos struktūrų, pvz., vidaus reikalų ministerijos vadovai) buvo apie tai informuojami tiek Lietuvos ir Latvijos Respublikų vadovų, tiek žiniasklaidos priemonių, tačiau, turėdami įgaliojimus ir galimybes patraukti kaltininkus atsakomybėn ir nutraukti civilių užpuolimą, pašalinti dėl jo padarytą žalą, nesiėmė dėl to jokių priemonių, bet ir toliau vertino Lietuvos, Latvijos valstybių teritorijas kaip TSRS dalį. Šios aplinkybės pagrįstai leidžia daryti išvadą, kad tokie TSRS jėgos struktūrų vykdyti gerai organizuoti, reguliarūs analogiško nusikalstamo elgesio pasikartojimai (užpuolimai) atitiko TSRS bei jos partinės organizacijos – TSKP politiką. </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&lt;...&gt; po Lietuvos ir Latvijos valstybių nepriklausomybės atkūrimo TSRS bei jos partinė organizacija – TSKP, siekdama destabilizuoti padėtį, tęsti okupaciją ir grąžinti šias valstybes į TSRS sudėtį, vykdė bauginimo ir teroro politiką, daugiausia nukreiptą prieš civilius gyventojus. 1991 m. sausio 11–13 d. Lietuvoje vykdyta atvira karinė agresija prieš civilius gyventojus bei tolimesni veiksmai iki rugpjūčio mėnesio, kuriais buvo siekiama išprovokuoti ginkluotą konfliktą, neramumus, kurie būtų pretekstas nuversti nepriklausomybę atkūrusių valstybių valdžią, įvesti Lietuvoje ir Latvijoje TSRS prezidentinį valdymą panaudojant TSRS karines pajėgas ir tokiu būdu toliau tęsti šių valstybių okupaciją ir aneksiją. Siekiant nurodytų tikslų taikytos represijos buvo nukreiptos prieš Lietuvos ir Latvijos civilius gyventojus (civilius tarnautojus, kitus atkurtoms nepriklausomoms valstybėms lojalius civilius); atsižvelgiant į nukentėjusiųjų skaičių ir teritorijas, kuriose vyko užpuolimas, jam buvo būdingas didelis mastas ir sistemingumas. Padarytos veikos negali būti vertinamos kaip atsitiktinės ir chaotiškos, nes matyti, kad jų vykdymas sudarė dalį kryptingos sistemingos TSRS bei jos partinės organizacijos – TSKP politikos, naudojant jėgą išsaugoti TSRS vientisumą. Užpuolimus vykdė gausios TSRS karinės pajėgos, struktūriniai jų padaliniai, taip pat ir specialiosios paskirties (OMON) būriai. Buvo naudojama sunkioji karinė technika: tankai, tanketės, šarvuočiai, specialiosios ir sprogstamosios priemonės, taip pat koviniai šaunamieji ginklai, šaudmenys. Gerai organizuotos tarpusavyje panašios sistemingos represijos prieš civilius gyventojus pasireiškė jų žudymais, žalojimais, luošinimais, neteisėtais sulaikymais, civilinės paskirties objektų, tarp jų ir muitinių, užpuolimais Lietuvoje ir Latvijoje. &lt;...&gt;</w:t>
      </w:r>
    </w:p>
    <w:p w:rsidR="006F15BA" w:rsidRPr="00C00255" w:rsidRDefault="006F15BA" w:rsidP="006F15BA">
      <w:pPr>
        <w:pStyle w:val="ListParagraph"/>
        <w:shd w:val="clear" w:color="auto" w:fill="FFFFFF"/>
        <w:tabs>
          <w:tab w:val="left" w:pos="851"/>
        </w:tabs>
        <w:spacing w:before="120" w:after="120"/>
        <w:ind w:left="1276"/>
        <w:contextualSpacing w:val="0"/>
        <w:rPr>
          <w:sz w:val="20"/>
          <w:lang w:eastAsia="lt-LT"/>
        </w:rPr>
      </w:pPr>
      <w:r w:rsidRPr="00C00255">
        <w:rPr>
          <w:sz w:val="20"/>
          <w:lang w:eastAsia="lt-LT"/>
        </w:rPr>
        <w:t>Pirmiau nurodytų 1991 m. įvykių (istorinių aplinkybių) kontekste Medininkų muitinės posto užpuolimas ir jame buvusių pareigūnų nužudymas buvo vienas iš nusikaltimų, padarytų tuo metu, minėta, TSRS jėgos struktūroms (be kita ko, OMON pareigūnams) dideliu mastu ir sistemingai vykdant nepriklausomybę atkūrusių Baltijos valstybių civilių – be kita ko, muitinės pareigūnų – užpuolimą, rengiamą vykdant TSRS bei jos partinės organizacijos – TSKP politiką.“</w:t>
      </w:r>
    </w:p>
    <w:p w:rsidR="006F15BA" w:rsidRPr="00696681" w:rsidRDefault="006F15BA" w:rsidP="00321748">
      <w:pPr>
        <w:pStyle w:val="ListParagraph"/>
        <w:numPr>
          <w:ilvl w:val="0"/>
          <w:numId w:val="6"/>
        </w:numPr>
        <w:spacing w:before="120" w:after="120"/>
        <w:ind w:left="992" w:hanging="992"/>
        <w:contextualSpacing w:val="0"/>
      </w:pPr>
      <w:r w:rsidRPr="00C00255">
        <w:rPr>
          <w:szCs w:val="24"/>
        </w:rPr>
        <w:t xml:space="preserve">Teisėjų kolegija, aptardama EŽTT </w:t>
      </w:r>
      <w:r w:rsidRPr="00C00255">
        <w:rPr>
          <w:szCs w:val="24"/>
          <w:lang w:eastAsia="lt-LT"/>
        </w:rPr>
        <w:t xml:space="preserve">2008 m. vasario 19 d. sprendimo byloje </w:t>
      </w:r>
      <w:r w:rsidRPr="00C00255">
        <w:rPr>
          <w:i/>
          <w:szCs w:val="24"/>
          <w:lang w:eastAsia="lt-LT"/>
        </w:rPr>
        <w:t>Kuolelis, Bartoševičius ir Burokevičius prieš Lietuvą</w:t>
      </w:r>
      <w:r w:rsidRPr="00C00255">
        <w:rPr>
          <w:szCs w:val="24"/>
          <w:lang w:eastAsia="lt-LT"/>
        </w:rPr>
        <w:t xml:space="preserve"> dalį dėl politinio – </w:t>
      </w:r>
      <w:r w:rsidRPr="00696681">
        <w:rPr>
          <w:szCs w:val="24"/>
          <w:lang w:eastAsia="lt-LT"/>
        </w:rPr>
        <w:t>istorinio konteksto, jau minėjo 1990 m. lapkričio 10 d. priimtus tuo metu galiojusio baudžiamojo įstatymo (BK 68 ir 70 straipsnių) pakeitimus, kuriais buvo numatyta baudžiamoji atsakomybė už veiksmus, nukreiptus prieš Lietuvos Respublikos suverenitetą. Tokie baudžiamojo įstatymo pakeitimai jau buvo įsigalioję ir veikė šioje byloje nagrinėjamų į</w:t>
      </w:r>
      <w:r w:rsidR="001D0506" w:rsidRPr="00696681">
        <w:rPr>
          <w:szCs w:val="24"/>
          <w:lang w:eastAsia="lt-LT"/>
        </w:rPr>
        <w:t>vykių metu. Vėliau 2010 m. buvo </w:t>
      </w:r>
      <w:r w:rsidRPr="00696681">
        <w:rPr>
          <w:szCs w:val="24"/>
          <w:lang w:eastAsia="lt-LT"/>
        </w:rPr>
        <w:t>priimtos ir baudžiamojo įstatymo pataisos, kurio</w:t>
      </w:r>
      <w:r w:rsidR="001D0506" w:rsidRPr="00696681">
        <w:rPr>
          <w:szCs w:val="24"/>
          <w:lang w:eastAsia="lt-LT"/>
        </w:rPr>
        <w:t>mis ir įstatymu pripažinta, kad</w:t>
      </w:r>
      <w:r w:rsidRPr="00696681">
        <w:rPr>
          <w:szCs w:val="24"/>
          <w:lang w:eastAsia="lt-LT"/>
        </w:rPr>
        <w:t xml:space="preserve"> </w:t>
      </w:r>
      <w:r w:rsidR="001D0506" w:rsidRPr="00696681">
        <w:rPr>
          <w:color w:val="000000"/>
          <w:szCs w:val="24"/>
          <w:shd w:val="clear" w:color="auto" w:fill="FFFFFF"/>
        </w:rPr>
        <w:t xml:space="preserve">1990 – 1991 </w:t>
      </w:r>
      <w:r w:rsidRPr="00696681">
        <w:rPr>
          <w:color w:val="000000"/>
          <w:szCs w:val="24"/>
          <w:shd w:val="clear" w:color="auto" w:fill="FFFFFF"/>
        </w:rPr>
        <w:t>metais buvo įvykdyta agresija prieš Lietuvos Respubliką ir, be kita ko, numatyta atsakomybė už jos neigimą (</w:t>
      </w:r>
      <w:r w:rsidRPr="00696681">
        <w:rPr>
          <w:szCs w:val="24"/>
        </w:rPr>
        <w:t xml:space="preserve">2010 m. birželio 15 d. įstatymu Nr. </w:t>
      </w:r>
      <w:r w:rsidRPr="00696681">
        <w:rPr>
          <w:rStyle w:val="normal-h"/>
          <w:color w:val="000000"/>
        </w:rPr>
        <w:t>XI </w:t>
      </w:r>
      <w:r w:rsidRPr="00696681">
        <w:rPr>
          <w:color w:val="000000"/>
          <w:szCs w:val="24"/>
          <w:shd w:val="clear" w:color="auto" w:fill="FFFFFF"/>
        </w:rPr>
        <w:t>– </w:t>
      </w:r>
      <w:r w:rsidRPr="00696681">
        <w:rPr>
          <w:rStyle w:val="normal-h"/>
          <w:color w:val="000000"/>
        </w:rPr>
        <w:t>901 Lietuvos Respublikos baudžiamasis kodeksas b</w:t>
      </w:r>
      <w:r w:rsidRPr="00696681">
        <w:rPr>
          <w:szCs w:val="24"/>
        </w:rPr>
        <w:t>uvo papildytas BK 170</w:t>
      </w:r>
      <w:r w:rsidRPr="00696681">
        <w:rPr>
          <w:szCs w:val="24"/>
          <w:vertAlign w:val="superscript"/>
        </w:rPr>
        <w:t xml:space="preserve">2 </w:t>
      </w:r>
      <w:r w:rsidRPr="00696681">
        <w:rPr>
          <w:szCs w:val="24"/>
        </w:rPr>
        <w:t>straipsniu „</w:t>
      </w:r>
      <w:r w:rsidRPr="00696681">
        <w:rPr>
          <w:color w:val="000000"/>
          <w:szCs w:val="24"/>
          <w:shd w:val="clear" w:color="auto" w:fill="FFFFFF"/>
        </w:rPr>
        <w:t>Viešas pritarimas tarptautiniams nusikaltimams, SSRS ar nacistinės Vokietijos nusikaltimams Lietuvos Respublikai ar jos gyventojams, jų neigimas ar šiurkštus menkinimas“).</w:t>
      </w:r>
      <w:r w:rsidRPr="00696681">
        <w:t xml:space="preserve"> Vertindamas tokias BK nuostatas, vienoje iš bylų Lietuvos Aukščiausiasis Teismas pažymėjo, kad „kitoks, nei nustatyta teismų sprendimais bei pripažinta įstatymais, 1991 m. sausio mėn. įvykių interpretavimas yra laikytinas ne nuomonės reiškimu, o nustatytų faktų neigimu ar menkinimu. Tokie veiksmai, jei jie atlikti BK 170</w:t>
      </w:r>
      <w:r w:rsidRPr="00696681">
        <w:rPr>
          <w:vertAlign w:val="superscript"/>
        </w:rPr>
        <w:t>2</w:t>
      </w:r>
      <w:r w:rsidRPr="00696681">
        <w:t xml:space="preserve"> straipsnio 1 dalies dispozicijoje numatytu būdu ar sukelia dispozicijoje numatytus padarinius, užtraukia baudžiamąją atsakomybę.“ (</w:t>
      </w:r>
      <w:r w:rsidR="00A300D1" w:rsidRPr="00696681">
        <w:t>LAT</w:t>
      </w:r>
      <w:r w:rsidRPr="00696681">
        <w:t xml:space="preserve"> nutartis </w:t>
      </w:r>
      <w:r w:rsidR="00671CA0" w:rsidRPr="00696681">
        <w:t xml:space="preserve">baudžiamojoje </w:t>
      </w:r>
      <w:r w:rsidRPr="00696681">
        <w:t>byloje Nr. 2K-7-102/2013</w:t>
      </w:r>
      <w:r w:rsidRPr="00696681">
        <w:rPr>
          <w:color w:val="000000"/>
          <w:szCs w:val="24"/>
          <w:shd w:val="clear" w:color="auto" w:fill="FFFFFF"/>
        </w:rPr>
        <w:t>).</w:t>
      </w:r>
    </w:p>
    <w:p w:rsidR="006F15BA" w:rsidRPr="00696681" w:rsidRDefault="006F15BA" w:rsidP="00321748">
      <w:pPr>
        <w:pStyle w:val="ListParagraph"/>
        <w:numPr>
          <w:ilvl w:val="0"/>
          <w:numId w:val="6"/>
        </w:numPr>
        <w:spacing w:before="120" w:after="120"/>
        <w:ind w:left="992" w:hanging="992"/>
        <w:contextualSpacing w:val="0"/>
      </w:pPr>
      <w:r w:rsidRPr="00696681">
        <w:rPr>
          <w:szCs w:val="24"/>
        </w:rPr>
        <w:t>Teisėjų kolegija pažymi, kad minėtoje kasacinio teismo nutartyje, be kita ko, priminta ir apie kitose bylose nustatytų faktinių aplinkybių reikšmę, kas ypatingai aktualu ir ši</w:t>
      </w:r>
      <w:r w:rsidR="006606EC" w:rsidRPr="00696681">
        <w:rPr>
          <w:szCs w:val="24"/>
        </w:rPr>
        <w:t>oje</w:t>
      </w:r>
      <w:r w:rsidRPr="00696681">
        <w:rPr>
          <w:szCs w:val="24"/>
        </w:rPr>
        <w:t xml:space="preserve"> apeliacinės instancijos teisme nagrinėjamoje byloje: „&lt;...&gt; </w:t>
      </w:r>
      <w:r w:rsidRPr="00696681">
        <w:t>neturi būti iš naujo aiškinamasi, kas vyko 1991</w:t>
      </w:r>
      <w:r w:rsidR="0083329D" w:rsidRPr="00696681">
        <w:t> </w:t>
      </w:r>
      <w:r w:rsidRPr="00696681">
        <w:t>m. sausio 13 d., nes teismų sprendimais nustatyti ir įstatymais pripažinti faktai kiekvienoje atskiroje byloje iš naujo neturi būti nustatinėjami, jokie šaltiniai, kuriuose nesutinkama ar abejojama nustatytais faktais, neprivalo būti tiriami“ (</w:t>
      </w:r>
      <w:r w:rsidR="00A300D1" w:rsidRPr="00696681">
        <w:t>LAT</w:t>
      </w:r>
      <w:r w:rsidRPr="00696681">
        <w:t xml:space="preserve"> nutartis </w:t>
      </w:r>
      <w:r w:rsidR="00671CA0" w:rsidRPr="00696681">
        <w:t xml:space="preserve">baudžiamojoje </w:t>
      </w:r>
      <w:r w:rsidRPr="00696681">
        <w:t>byloje Nr. 2K-7-102/2013).</w:t>
      </w:r>
    </w:p>
    <w:p w:rsidR="00C20839" w:rsidRPr="00696681" w:rsidRDefault="006F15BA" w:rsidP="00C20839">
      <w:pPr>
        <w:pStyle w:val="ListParagraph"/>
        <w:numPr>
          <w:ilvl w:val="0"/>
          <w:numId w:val="6"/>
        </w:numPr>
        <w:spacing w:before="120" w:after="120"/>
        <w:ind w:left="992" w:hanging="992"/>
        <w:contextualSpacing w:val="0"/>
      </w:pPr>
      <w:r w:rsidRPr="00696681">
        <w:t>Teis</w:t>
      </w:r>
      <w:r w:rsidR="00EC36F2" w:rsidRPr="00696681">
        <w:t>ėjų kolegija, įvertindama tokį i</w:t>
      </w:r>
      <w:r w:rsidRPr="00696681">
        <w:t>storinį ir politinį nagrinėjamų įvykių kontekstą, laiką</w:t>
      </w:r>
      <w:r w:rsidR="009B550B" w:rsidRPr="00696681">
        <w:t>, praėjusį</w:t>
      </w:r>
      <w:r w:rsidR="006606EC" w:rsidRPr="00696681">
        <w:t xml:space="preserve"> </w:t>
      </w:r>
      <w:r w:rsidRPr="00696681">
        <w:t xml:space="preserve">nuo 1990 m. kovo 11 d. nepriklausomybės paskelbimo iki 1991 m. metų pradžios, šio laikotarpio sudėtingumą ir platų žinomumą ne tik Lietuvoje, tuometinėje TSRS, bet ir visame pasaulyje, byloje kaltintų asmenų </w:t>
      </w:r>
      <w:r w:rsidR="006606EC" w:rsidRPr="00696681">
        <w:t xml:space="preserve">išsilavinimą </w:t>
      </w:r>
      <w:r w:rsidRPr="00696681">
        <w:t>ir profesiją, atmeta gynybos argumentus apie tai, jog atskiri nuteistieji nežinojo fakto apie paskelbtą Lietuvos nepriklausomybę.</w:t>
      </w:r>
    </w:p>
    <w:p w:rsidR="00EC36F2" w:rsidRPr="00C00255" w:rsidRDefault="006F15BA" w:rsidP="00EC36F2">
      <w:pPr>
        <w:pStyle w:val="Heading2"/>
        <w:jc w:val="center"/>
        <w:rPr>
          <w:rFonts w:ascii="Times New Roman" w:hAnsi="Times New Roman" w:cs="Times New Roman"/>
          <w:sz w:val="24"/>
          <w:szCs w:val="24"/>
        </w:rPr>
      </w:pPr>
      <w:bookmarkStart w:id="223" w:name="_Toc67677380"/>
      <w:bookmarkStart w:id="224" w:name="_Toc67985507"/>
      <w:r w:rsidRPr="00C00255">
        <w:rPr>
          <w:rFonts w:ascii="Times New Roman" w:hAnsi="Times New Roman" w:cs="Times New Roman"/>
          <w:sz w:val="24"/>
          <w:szCs w:val="24"/>
        </w:rPr>
        <w:t>B.</w:t>
      </w:r>
      <w:r w:rsidRPr="00C00255">
        <w:t xml:space="preserve"> </w:t>
      </w:r>
      <w:bookmarkStart w:id="225" w:name="_Hlk67922902"/>
      <w:r w:rsidRPr="00C00255">
        <w:rPr>
          <w:rFonts w:ascii="Times New Roman" w:hAnsi="Times New Roman" w:cs="Times New Roman"/>
          <w:sz w:val="24"/>
          <w:szCs w:val="24"/>
        </w:rPr>
        <w:t>NUSIKALSTAMŲ VEIKŲ PRIEŠ LIETUVOS VALSTYBĘ RENGIMAS,</w:t>
      </w:r>
      <w:r w:rsidR="00EC36F2" w:rsidRPr="00C00255">
        <w:rPr>
          <w:rFonts w:ascii="Times New Roman" w:hAnsi="Times New Roman" w:cs="Times New Roman"/>
          <w:sz w:val="24"/>
          <w:szCs w:val="24"/>
        </w:rPr>
        <w:t xml:space="preserve"> KARINĖS </w:t>
      </w:r>
      <w:r w:rsidRPr="00C00255">
        <w:rPr>
          <w:rFonts w:ascii="Times New Roman" w:hAnsi="Times New Roman" w:cs="Times New Roman"/>
          <w:sz w:val="24"/>
          <w:szCs w:val="24"/>
        </w:rPr>
        <w:t>OPERACIJOS PLANAVIMAS</w:t>
      </w:r>
      <w:bookmarkEnd w:id="223"/>
      <w:bookmarkEnd w:id="224"/>
      <w:bookmarkEnd w:id="225"/>
    </w:p>
    <w:p w:rsidR="00EC36F2" w:rsidRPr="00696681" w:rsidRDefault="00C20839" w:rsidP="00C20839">
      <w:pPr>
        <w:pStyle w:val="ListParagraph"/>
        <w:numPr>
          <w:ilvl w:val="0"/>
          <w:numId w:val="6"/>
        </w:numPr>
        <w:spacing w:before="120" w:after="120"/>
        <w:ind w:left="992" w:hanging="992"/>
        <w:contextualSpacing w:val="0"/>
      </w:pPr>
      <w:r w:rsidRPr="00696681">
        <w:t xml:space="preserve">V alstybinį kaltinimą šioje byloje palaikantys prokurorai tiek byloje pateiktame kaltinamajame akte (čia ir toliau turimi omenyje abu kaltinamieji aktai, t. y. 2015 m. rugpjūčio 20 d. kaltinamasis aktas bei 2017 m. birželio 29 d. kaltinamasis aktas V. K. 2 ir S. K. atžvilgiu), tiek savo baigiamosiose kalbose nurodė, kad planuojant karinę operaciją ir atliekant parengiamuosius nusikaltimų prieš Lietuvos valstybę veiksmus (toliau – planuojant karinę operaciją) dalyvavo šie asmenys: D. J., M. G., V. U. 1, N. </w:t>
      </w:r>
      <w:r w:rsidR="00696681" w:rsidRPr="00696681">
        <w:t>A., V. K. 1, N. D., V. S. 1, A. </w:t>
      </w:r>
      <w:r w:rsidRPr="00696681">
        <w:t>Ž.,</w:t>
      </w:r>
      <w:r w:rsidR="00696681" w:rsidRPr="00696681">
        <w:t xml:space="preserve"> A. N. </w:t>
      </w:r>
      <w:r w:rsidRPr="00696681">
        <w:t>1 ir V. Š. 1 (t. 693, kaltinamojo akto 2635 l</w:t>
      </w:r>
      <w:r w:rsidR="00696681" w:rsidRPr="00696681">
        <w:t>.; t. 748, kaltinamojo akto (V. K. 2 ir S. </w:t>
      </w:r>
      <w:r w:rsidRPr="00696681">
        <w:t>K. atžvilgiu) 99 l., t. 762, b. l. 37 (prokurorų baigiamoji kalba)).</w:t>
      </w:r>
      <w:bookmarkEnd w:id="219"/>
    </w:p>
    <w:p w:rsidR="00EC36F2" w:rsidRPr="00696681" w:rsidRDefault="006F15BA" w:rsidP="00EC36F2">
      <w:pPr>
        <w:pStyle w:val="ListParagraph"/>
        <w:numPr>
          <w:ilvl w:val="0"/>
          <w:numId w:val="6"/>
        </w:numPr>
        <w:spacing w:before="120" w:after="120"/>
        <w:ind w:left="992" w:hanging="992"/>
        <w:contextualSpacing w:val="0"/>
      </w:pPr>
      <w:r w:rsidRPr="00696681">
        <w:rPr>
          <w:szCs w:val="24"/>
        </w:rPr>
        <w:t>Apeliacinės instancijos teismo vertinimu, visgi šioje kaltinimų dalyje prokurorų inkriminuojamos nusikalstamų veikų aplinkybės buvo aprašytos ne visiškai aiškiai. Jos buvo dėstomos labai plačiai, nevengiant baudžiamosios bylos kontekste svarbių, bet pačiam kaltinimui aiškiai perteklinių ir nusikalstamos veikos sudėties požymių niekaip neatspindinčių aplinkybių aprašymo. Dėl to kaltinimas buvo itin didelės apimties ir sudėtingas</w:t>
      </w:r>
      <w:r w:rsidR="00461540" w:rsidRPr="00696681">
        <w:rPr>
          <w:szCs w:val="24"/>
        </w:rPr>
        <w:t xml:space="preserve"> turinio prasme</w:t>
      </w:r>
      <w:r w:rsidRPr="00696681">
        <w:rPr>
          <w:szCs w:val="24"/>
        </w:rPr>
        <w:t>, visiems kaltinamiesiems iš esmės vienodas, tačiau anaiptol nevienodai detaliai aprašyti atskirų kaltinamųjų veiksmai, turint omenyje aiškiai skirtingus atskirų asmenų vaidmenis planuojant byloje analizuojamą karinę operaciją.</w:t>
      </w:r>
    </w:p>
    <w:p w:rsidR="00EC36F2" w:rsidRPr="00C00255" w:rsidRDefault="006F15BA" w:rsidP="00EC36F2">
      <w:pPr>
        <w:pStyle w:val="ListParagraph"/>
        <w:numPr>
          <w:ilvl w:val="0"/>
          <w:numId w:val="6"/>
        </w:numPr>
        <w:spacing w:before="120" w:after="120"/>
        <w:ind w:left="992" w:hanging="992"/>
        <w:contextualSpacing w:val="0"/>
      </w:pPr>
      <w:r w:rsidRPr="00C00255">
        <w:rPr>
          <w:szCs w:val="24"/>
        </w:rPr>
        <w:t xml:space="preserve">Pirmosios instancijos teismas, nurodydamas šioje kaltinimo dalyje nustatytas nusikalstamų veikų aplinkybes, </w:t>
      </w:r>
      <w:r w:rsidRPr="00696681">
        <w:rPr>
          <w:szCs w:val="24"/>
        </w:rPr>
        <w:t>teismo nuosprendyje jas taip pat išdėstė pakankamai plačiai – t. y. nuo nuosprendžio 10 iki 15 lapo (šiame apeliacinės insta</w:t>
      </w:r>
      <w:r w:rsidR="00EC36F2" w:rsidRPr="00696681">
        <w:rPr>
          <w:szCs w:val="24"/>
        </w:rPr>
        <w:t xml:space="preserve">ncijos teismo nuosprendyje jos </w:t>
      </w:r>
      <w:r w:rsidRPr="00696681">
        <w:rPr>
          <w:szCs w:val="24"/>
        </w:rPr>
        <w:t>tiksliai pacituotos ir nurodytos 1.1. pastraipoje).</w:t>
      </w:r>
      <w:r w:rsidRPr="00C00255">
        <w:rPr>
          <w:szCs w:val="24"/>
        </w:rPr>
        <w:t xml:space="preserve"> </w:t>
      </w:r>
    </w:p>
    <w:p w:rsidR="00EC36F2" w:rsidRPr="00696681" w:rsidRDefault="006F15BA" w:rsidP="00EC36F2">
      <w:pPr>
        <w:pStyle w:val="ListParagraph"/>
        <w:numPr>
          <w:ilvl w:val="0"/>
          <w:numId w:val="6"/>
        </w:numPr>
        <w:spacing w:before="120" w:after="120"/>
        <w:ind w:left="992" w:hanging="992"/>
        <w:contextualSpacing w:val="0"/>
      </w:pPr>
      <w:r w:rsidRPr="00696681">
        <w:rPr>
          <w:szCs w:val="24"/>
        </w:rPr>
        <w:t>Iš tokios pirmosios instancijos teismo nuosprendžio nustatomosios dalies, nevertinant viso nuosprendžio, sunku suprasti, kas iš tiesų dalyvavo planuojant byloje analizuojamą karinę operaciją, nes pirmosios instancijos teismo nuosprendžio nustatomojoje dalyje tai nėra aiškiai ir nedviprasmiškai nurodyta. Išvadas apie karinės operacijos planavime dalyvavusius asmenis galima daryti tik žinant prokurorų pateiktus kaltinimus ir jų nedviprasmiškai nurodytą poziciją, kas yra kaltinami dėl karinės operacijos planavimo, taip pat itin atidžiai vertinant visą teismo nuosprendį, t. y. skaitant nuosprendžio nustatomąją dalį ir gretinant ją su motyvuojamąja dalimi; vertinant teismo nuosprendyje šiame epizode nurodytas atskirų kaltinamųjų pozicijas dėl jiems pareikštų kaltinimų (nuosprendžio 15</w:t>
      </w:r>
      <w:r w:rsidRPr="00696681">
        <w:t>–</w:t>
      </w:r>
      <w:r w:rsidRPr="00696681">
        <w:rPr>
          <w:szCs w:val="24"/>
        </w:rPr>
        <w:t xml:space="preserve">20 l.); analizuojant pakankamai abstrakčius teismo argumentus ar teiginius apie atskirų kaltinamųjų dalyvavimą atliekant minėtus veiksmus (nuosprendžio 110–123 ir 859 l.), itin lakonišką kiekvieno iš kaltinamųjų atliktų veiksmų individualizavimą (nuosprendžio 871–876 l.) bei taip pat pakankamai </w:t>
      </w:r>
      <w:r w:rsidR="00461540" w:rsidRPr="00696681">
        <w:rPr>
          <w:szCs w:val="24"/>
        </w:rPr>
        <w:t xml:space="preserve">glaustus </w:t>
      </w:r>
      <w:r w:rsidRPr="00696681">
        <w:rPr>
          <w:szCs w:val="24"/>
        </w:rPr>
        <w:t>teismo motyvus skiriant bausmes ir šioje nuosprendžio dalyje nurodytus atskirų nuteistųjų veiksmus (nuosprendžio 879–890 l.).</w:t>
      </w:r>
      <w:r w:rsidRPr="00696681">
        <w:rPr>
          <w:sz w:val="28"/>
          <w:szCs w:val="28"/>
        </w:rPr>
        <w:t xml:space="preserve"> </w:t>
      </w:r>
      <w:r w:rsidRPr="00696681">
        <w:rPr>
          <w:szCs w:val="24"/>
        </w:rPr>
        <w:t>Tik taip skaitant visą nuosprendį, turint omenyje ir bene aiškiausią išvadą apie asmenis, dalyvavusius planuojant karinę operaciją, nurodytą nuosprendžio 859</w:t>
      </w:r>
      <w:r w:rsidR="0083329D" w:rsidRPr="00696681">
        <w:rPr>
          <w:szCs w:val="24"/>
        </w:rPr>
        <w:t> </w:t>
      </w:r>
      <w:r w:rsidRPr="00696681">
        <w:rPr>
          <w:szCs w:val="24"/>
        </w:rPr>
        <w:t>lape („</w:t>
      </w:r>
      <w:bookmarkStart w:id="226" w:name="_Hlk57621527"/>
      <w:r w:rsidRPr="00696681">
        <w:rPr>
          <w:i/>
          <w:iCs/>
          <w:color w:val="000000"/>
        </w:rPr>
        <w:t>Neskaitant karinę operaciją vienokiu ar kitokiu būdu inicijavusių, rengusių, planavusių, jai vadovavusių be</w:t>
      </w:r>
      <w:r w:rsidR="00EC36F2" w:rsidRPr="00696681">
        <w:rPr>
          <w:i/>
          <w:iCs/>
          <w:color w:val="000000"/>
        </w:rPr>
        <w:t xml:space="preserve">i kontroliavusių kaltinamųjų </w:t>
      </w:r>
      <w:r w:rsidR="00BA18FA" w:rsidRPr="00696681">
        <w:rPr>
          <w:i/>
          <w:iCs/>
          <w:color w:val="000000"/>
        </w:rPr>
        <w:t>V. Š. 1</w:t>
      </w:r>
      <w:r w:rsidRPr="00696681">
        <w:rPr>
          <w:i/>
          <w:iCs/>
          <w:color w:val="000000"/>
        </w:rPr>
        <w:t xml:space="preserve">, </w:t>
      </w:r>
      <w:r w:rsidR="00385BC9" w:rsidRPr="00696681">
        <w:rPr>
          <w:i/>
          <w:iCs/>
          <w:color w:val="000000"/>
        </w:rPr>
        <w:t>A. N. 1</w:t>
      </w:r>
      <w:r w:rsidRPr="00696681">
        <w:rPr>
          <w:i/>
          <w:iCs/>
          <w:color w:val="000000"/>
        </w:rPr>
        <w:t xml:space="preserve">, </w:t>
      </w:r>
      <w:r w:rsidR="00385BC9" w:rsidRPr="00696681">
        <w:rPr>
          <w:i/>
          <w:iCs/>
          <w:color w:val="000000"/>
        </w:rPr>
        <w:t>R. J. 1</w:t>
      </w:r>
      <w:r w:rsidRPr="00696681">
        <w:rPr>
          <w:i/>
          <w:iCs/>
          <w:color w:val="000000"/>
        </w:rPr>
        <w:t xml:space="preserve">, </w:t>
      </w:r>
      <w:r w:rsidR="00385BC9" w:rsidRPr="00696681">
        <w:rPr>
          <w:i/>
          <w:iCs/>
          <w:color w:val="000000"/>
        </w:rPr>
        <w:t>D. J.</w:t>
      </w:r>
      <w:r w:rsidRPr="00696681">
        <w:rPr>
          <w:i/>
          <w:iCs/>
          <w:color w:val="000000"/>
        </w:rPr>
        <w:t xml:space="preserve">, </w:t>
      </w:r>
      <w:r w:rsidR="00385BC9" w:rsidRPr="00696681">
        <w:rPr>
          <w:i/>
          <w:iCs/>
          <w:color w:val="000000"/>
        </w:rPr>
        <w:t>M. G.</w:t>
      </w:r>
      <w:r w:rsidR="00EC36F2" w:rsidRPr="00696681">
        <w:rPr>
          <w:i/>
          <w:iCs/>
          <w:color w:val="000000"/>
        </w:rPr>
        <w:t xml:space="preserve">, </w:t>
      </w:r>
      <w:r w:rsidR="006036E7" w:rsidRPr="00696681">
        <w:rPr>
          <w:i/>
          <w:iCs/>
          <w:color w:val="000000"/>
        </w:rPr>
        <w:t>V. U. 1</w:t>
      </w:r>
      <w:r w:rsidR="00EC36F2" w:rsidRPr="00696681">
        <w:rPr>
          <w:i/>
          <w:iCs/>
          <w:color w:val="000000"/>
        </w:rPr>
        <w:t xml:space="preserve">, </w:t>
      </w:r>
      <w:r w:rsidR="004069BF" w:rsidRPr="00696681">
        <w:rPr>
          <w:i/>
          <w:iCs/>
          <w:color w:val="000000"/>
        </w:rPr>
        <w:t>N. A.</w:t>
      </w:r>
      <w:r w:rsidRPr="00696681">
        <w:rPr>
          <w:i/>
          <w:iCs/>
          <w:color w:val="000000"/>
        </w:rPr>
        <w:t xml:space="preserve">, </w:t>
      </w:r>
      <w:r w:rsidR="00385BC9" w:rsidRPr="00696681">
        <w:rPr>
          <w:i/>
          <w:iCs/>
          <w:color w:val="000000"/>
        </w:rPr>
        <w:t>V. K. 1</w:t>
      </w:r>
      <w:r w:rsidRPr="00696681">
        <w:rPr>
          <w:i/>
          <w:iCs/>
          <w:color w:val="000000"/>
        </w:rPr>
        <w:t xml:space="preserve">, </w:t>
      </w:r>
      <w:r w:rsidR="00385BC9" w:rsidRPr="00696681">
        <w:rPr>
          <w:i/>
          <w:iCs/>
          <w:color w:val="000000"/>
        </w:rPr>
        <w:t>N. D.</w:t>
      </w:r>
      <w:r w:rsidRPr="00696681">
        <w:rPr>
          <w:i/>
          <w:iCs/>
          <w:color w:val="000000"/>
        </w:rPr>
        <w:t xml:space="preserve">, </w:t>
      </w:r>
      <w:r w:rsidR="00385BC9" w:rsidRPr="00696681">
        <w:rPr>
          <w:i/>
          <w:iCs/>
          <w:color w:val="000000"/>
        </w:rPr>
        <w:t>V. S. 1</w:t>
      </w:r>
      <w:r w:rsidRPr="00696681">
        <w:rPr>
          <w:i/>
          <w:iCs/>
          <w:color w:val="000000"/>
        </w:rPr>
        <w:t xml:space="preserve">, </w:t>
      </w:r>
      <w:r w:rsidR="006036E7" w:rsidRPr="00696681">
        <w:rPr>
          <w:i/>
          <w:iCs/>
          <w:color w:val="000000"/>
        </w:rPr>
        <w:t>A. Ž.</w:t>
      </w:r>
      <w:r w:rsidRPr="00696681">
        <w:rPr>
          <w:color w:val="000000"/>
        </w:rPr>
        <w:t xml:space="preserve"> </w:t>
      </w:r>
      <w:bookmarkEnd w:id="226"/>
      <w:r w:rsidRPr="00696681">
        <w:rPr>
          <w:color w:val="000000"/>
        </w:rPr>
        <w:t>- &lt;...&gt;),</w:t>
      </w:r>
      <w:r w:rsidRPr="00696681">
        <w:rPr>
          <w:szCs w:val="24"/>
        </w:rPr>
        <w:t xml:space="preserve"> galima spręsti, kad pirmosios instancijos teismas pripažino, jog planuojant karinę operaciją dalyvavo: </w:t>
      </w:r>
      <w:r w:rsidR="00BA18FA" w:rsidRPr="00696681">
        <w:rPr>
          <w:bCs/>
          <w:iCs/>
          <w:color w:val="000000"/>
          <w:szCs w:val="24"/>
          <w:lang w:eastAsia="lt-LT"/>
        </w:rPr>
        <w:t>V. Š. 1</w:t>
      </w:r>
      <w:r w:rsidRPr="00696681">
        <w:rPr>
          <w:bCs/>
          <w:iCs/>
          <w:color w:val="000000"/>
          <w:szCs w:val="24"/>
          <w:lang w:eastAsia="lt-LT"/>
        </w:rPr>
        <w:t xml:space="preserve">, </w:t>
      </w:r>
      <w:r w:rsidR="00385BC9" w:rsidRPr="00696681">
        <w:rPr>
          <w:bCs/>
          <w:iCs/>
          <w:color w:val="000000"/>
          <w:szCs w:val="24"/>
          <w:lang w:eastAsia="lt-LT"/>
        </w:rPr>
        <w:t>A. N. 1</w:t>
      </w:r>
      <w:r w:rsidRPr="00696681">
        <w:rPr>
          <w:bCs/>
          <w:iCs/>
          <w:color w:val="000000"/>
          <w:szCs w:val="24"/>
          <w:lang w:eastAsia="lt-LT"/>
        </w:rPr>
        <w:t xml:space="preserve">, </w:t>
      </w:r>
      <w:r w:rsidR="00385BC9" w:rsidRPr="00696681">
        <w:rPr>
          <w:bCs/>
          <w:iCs/>
          <w:color w:val="000000"/>
          <w:szCs w:val="24"/>
          <w:lang w:eastAsia="lt-LT"/>
        </w:rPr>
        <w:t>R. J. 1</w:t>
      </w:r>
      <w:r w:rsidRPr="00696681">
        <w:rPr>
          <w:bCs/>
          <w:iCs/>
          <w:color w:val="000000"/>
          <w:szCs w:val="24"/>
          <w:lang w:eastAsia="lt-LT"/>
        </w:rPr>
        <w:t xml:space="preserve">, </w:t>
      </w:r>
      <w:r w:rsidR="00385BC9" w:rsidRPr="00696681">
        <w:rPr>
          <w:bCs/>
          <w:iCs/>
          <w:color w:val="000000"/>
          <w:szCs w:val="24"/>
          <w:lang w:eastAsia="lt-LT"/>
        </w:rPr>
        <w:t>D. J.</w:t>
      </w:r>
      <w:r w:rsidRPr="00696681">
        <w:rPr>
          <w:bCs/>
          <w:iCs/>
          <w:color w:val="000000"/>
          <w:szCs w:val="24"/>
          <w:lang w:eastAsia="lt-LT"/>
        </w:rPr>
        <w:t xml:space="preserve">, </w:t>
      </w:r>
      <w:r w:rsidR="00385BC9" w:rsidRPr="00696681">
        <w:rPr>
          <w:bCs/>
          <w:iCs/>
          <w:color w:val="000000"/>
          <w:szCs w:val="24"/>
          <w:lang w:eastAsia="lt-LT"/>
        </w:rPr>
        <w:t>M. G.</w:t>
      </w:r>
      <w:r w:rsidRPr="00696681">
        <w:rPr>
          <w:bCs/>
          <w:iCs/>
          <w:color w:val="000000"/>
          <w:szCs w:val="24"/>
          <w:lang w:eastAsia="lt-LT"/>
        </w:rPr>
        <w:t xml:space="preserve">, </w:t>
      </w:r>
      <w:r w:rsidR="006036E7" w:rsidRPr="00696681">
        <w:rPr>
          <w:bCs/>
          <w:iCs/>
          <w:color w:val="000000"/>
          <w:szCs w:val="24"/>
          <w:lang w:eastAsia="lt-LT"/>
        </w:rPr>
        <w:t>V. U. 1</w:t>
      </w:r>
      <w:r w:rsidRPr="00696681">
        <w:rPr>
          <w:bCs/>
          <w:iCs/>
          <w:color w:val="000000"/>
          <w:szCs w:val="24"/>
          <w:lang w:eastAsia="lt-LT"/>
        </w:rPr>
        <w:t xml:space="preserve">, </w:t>
      </w:r>
      <w:r w:rsidR="004069BF" w:rsidRPr="00696681">
        <w:rPr>
          <w:color w:val="000000"/>
        </w:rPr>
        <w:t>N. A.</w:t>
      </w:r>
      <w:r w:rsidRPr="00696681">
        <w:rPr>
          <w:color w:val="000000"/>
        </w:rPr>
        <w:t>,</w:t>
      </w:r>
      <w:r w:rsidRPr="00696681">
        <w:rPr>
          <w:bCs/>
          <w:iCs/>
          <w:color w:val="000000"/>
          <w:szCs w:val="24"/>
          <w:lang w:eastAsia="lt-LT"/>
        </w:rPr>
        <w:t xml:space="preserve"> </w:t>
      </w:r>
      <w:r w:rsidR="00385BC9" w:rsidRPr="00696681">
        <w:rPr>
          <w:bCs/>
          <w:iCs/>
          <w:color w:val="000000"/>
          <w:szCs w:val="24"/>
          <w:lang w:eastAsia="lt-LT"/>
        </w:rPr>
        <w:t>V. K. 1</w:t>
      </w:r>
      <w:r w:rsidRPr="00696681">
        <w:rPr>
          <w:bCs/>
          <w:iCs/>
          <w:color w:val="000000"/>
          <w:szCs w:val="24"/>
          <w:lang w:eastAsia="lt-LT"/>
        </w:rPr>
        <w:t xml:space="preserve">, </w:t>
      </w:r>
      <w:r w:rsidR="00385BC9" w:rsidRPr="00696681">
        <w:rPr>
          <w:bCs/>
          <w:iCs/>
          <w:color w:val="000000"/>
          <w:szCs w:val="24"/>
          <w:lang w:eastAsia="lt-LT"/>
        </w:rPr>
        <w:t>N. D.</w:t>
      </w:r>
      <w:r w:rsidRPr="00696681">
        <w:rPr>
          <w:bCs/>
          <w:iCs/>
          <w:color w:val="000000"/>
          <w:szCs w:val="24"/>
          <w:lang w:eastAsia="lt-LT"/>
        </w:rPr>
        <w:t xml:space="preserve">, </w:t>
      </w:r>
      <w:r w:rsidR="00385BC9" w:rsidRPr="00696681">
        <w:rPr>
          <w:bCs/>
          <w:iCs/>
          <w:color w:val="000000"/>
          <w:szCs w:val="24"/>
          <w:lang w:eastAsia="lt-LT"/>
        </w:rPr>
        <w:t>V. S. 1</w:t>
      </w:r>
      <w:r w:rsidRPr="00696681">
        <w:rPr>
          <w:bCs/>
          <w:iCs/>
          <w:color w:val="000000"/>
          <w:szCs w:val="24"/>
          <w:lang w:eastAsia="lt-LT"/>
        </w:rPr>
        <w:t xml:space="preserve"> ir </w:t>
      </w:r>
      <w:r w:rsidR="006036E7" w:rsidRPr="00696681">
        <w:rPr>
          <w:bCs/>
          <w:iCs/>
          <w:color w:val="000000"/>
          <w:szCs w:val="24"/>
          <w:lang w:eastAsia="lt-LT"/>
        </w:rPr>
        <w:t>A. Ž.</w:t>
      </w:r>
      <w:r w:rsidRPr="00696681">
        <w:rPr>
          <w:bCs/>
          <w:iCs/>
          <w:color w:val="000000"/>
          <w:szCs w:val="24"/>
          <w:lang w:eastAsia="lt-LT"/>
        </w:rPr>
        <w:t xml:space="preserve">. Tačiau net ir ši nuosprendžio dalis nėra </w:t>
      </w:r>
      <w:r w:rsidR="00461540" w:rsidRPr="00696681">
        <w:rPr>
          <w:bCs/>
          <w:iCs/>
          <w:color w:val="000000"/>
          <w:szCs w:val="24"/>
          <w:lang w:eastAsia="lt-LT"/>
        </w:rPr>
        <w:t xml:space="preserve">pakankamai </w:t>
      </w:r>
      <w:r w:rsidRPr="00696681">
        <w:rPr>
          <w:bCs/>
          <w:iCs/>
          <w:color w:val="000000"/>
          <w:szCs w:val="24"/>
          <w:lang w:eastAsia="lt-LT"/>
        </w:rPr>
        <w:t>aiški, nes priešingai nei m</w:t>
      </w:r>
      <w:r w:rsidR="00EC36F2" w:rsidRPr="00696681">
        <w:rPr>
          <w:bCs/>
          <w:iCs/>
          <w:color w:val="000000"/>
          <w:szCs w:val="24"/>
          <w:lang w:eastAsia="lt-LT"/>
        </w:rPr>
        <w:t xml:space="preserve">inėtame nuosprendžio 859 lape, </w:t>
      </w:r>
      <w:r w:rsidRPr="00696681">
        <w:rPr>
          <w:bCs/>
          <w:iCs/>
          <w:color w:val="000000"/>
          <w:szCs w:val="24"/>
          <w:lang w:eastAsia="lt-LT"/>
        </w:rPr>
        <w:t xml:space="preserve">skundžiamo teismo nuosprendžio nustatomojoje dalyje karinės operacijos vadovavimo štabo nariu įvardijamas ir nuteistasis </w:t>
      </w:r>
      <w:r w:rsidR="00A97F74" w:rsidRPr="00696681">
        <w:rPr>
          <w:bCs/>
          <w:iCs/>
          <w:color w:val="000000"/>
          <w:szCs w:val="24"/>
          <w:lang w:eastAsia="lt-LT"/>
        </w:rPr>
        <w:t>S. F.</w:t>
      </w:r>
      <w:r w:rsidRPr="00696681">
        <w:rPr>
          <w:bCs/>
          <w:iCs/>
          <w:color w:val="000000"/>
          <w:szCs w:val="24"/>
          <w:lang w:eastAsia="lt-LT"/>
        </w:rPr>
        <w:t xml:space="preserve"> (nuosprendžio 12</w:t>
      </w:r>
      <w:r w:rsidR="00461540" w:rsidRPr="00696681">
        <w:rPr>
          <w:bCs/>
          <w:iCs/>
          <w:color w:val="000000"/>
          <w:szCs w:val="24"/>
          <w:lang w:eastAsia="lt-LT"/>
        </w:rPr>
        <w:t> </w:t>
      </w:r>
      <w:r w:rsidRPr="00696681">
        <w:rPr>
          <w:bCs/>
          <w:iCs/>
          <w:color w:val="000000"/>
          <w:szCs w:val="24"/>
          <w:lang w:eastAsia="lt-LT"/>
        </w:rPr>
        <w:t>l.).</w:t>
      </w:r>
    </w:p>
    <w:p w:rsidR="000B432F" w:rsidRPr="00C00255" w:rsidRDefault="000B432F" w:rsidP="00696681">
      <w:pPr>
        <w:pStyle w:val="ListParagraph"/>
        <w:numPr>
          <w:ilvl w:val="0"/>
          <w:numId w:val="6"/>
        </w:numPr>
        <w:spacing w:before="120" w:after="120"/>
        <w:ind w:left="992" w:hanging="992"/>
        <w:contextualSpacing w:val="0"/>
      </w:pPr>
      <w:r w:rsidRPr="00696681">
        <w:t>Iš tokio teismo nuosprendžio turinio, turint omenyje prieš tai jau minėtą prokurorų kaltinimą, kad planuojant karinę operaciją dalyvavo V. Š. 1, A. N. 1, D. J., M. G., V. U. 1, N. A., V. K. 1, N. D., V. S. 1 ir A. Ž., akivaizdu, jog pirmosios instancijos teismas peržengė BPK 255 straipsniu reglamentuojamas ir nagrinėjamoje byloje pateiktu kaltinimu apibrėžtas teisminio nagrinėjimo ribas bei dalyvavimo planuojant karinę operaciją aplinkybes papildomai inkriminavo R. J. 1, kuriam kaltinimai tokiomis aplinkybėmis nebuvo reiškiami.</w:t>
      </w:r>
    </w:p>
    <w:p w:rsidR="00EC36F2" w:rsidRPr="00696681" w:rsidRDefault="006F15BA" w:rsidP="00EC36F2">
      <w:pPr>
        <w:pStyle w:val="ListParagraph"/>
        <w:numPr>
          <w:ilvl w:val="0"/>
          <w:numId w:val="6"/>
        </w:numPr>
        <w:spacing w:before="120" w:after="120"/>
        <w:ind w:left="992" w:hanging="992"/>
        <w:contextualSpacing w:val="0"/>
      </w:pPr>
      <w:r w:rsidRPr="00696681">
        <w:t xml:space="preserve">Teisėjų kolegija, byloje nustačiusi tokius pirmosios instancijos teismo nustatytų faktinių aplinkybių ir pareikštų kaltinimų prieštaravimus dėl nuteistojo </w:t>
      </w:r>
      <w:r w:rsidR="00385BC9" w:rsidRPr="00696681">
        <w:t>R. J. 1</w:t>
      </w:r>
      <w:r w:rsidRPr="00696681">
        <w:t xml:space="preserve"> veiksmų, sutinka su apeliacinių skundų argumentais dėl byloje padarytų baudžiamojo proceso teisės pažeidimų surašant kaltinimus ir teismo nuosprendį dėl tokių kaltinimų. Atsižvelgdama į tai, teisėjų kolegija, vertindama apeliacinių skundų argumentus, apeliacinio proceso metu išsakytas proceso dalyvių pozicijas, taip pat ir prokurorų sutikimą dėl tikslintinų nusikalstamų veikų aplinkybių daugeliui nuteistųjų, įžvelgia būtinybę pasisakyti ne tik dėl atskirų apeliacinių skundų argumentų, bet pirmiausia atskirai pasisakyti dėl byloje pareikštų kaltinimų kiekvienam nuteistajam</w:t>
      </w:r>
      <w:r w:rsidRPr="00696681">
        <w:rPr>
          <w:bCs/>
          <w:iCs/>
          <w:szCs w:val="24"/>
        </w:rPr>
        <w:t>.</w:t>
      </w:r>
      <w:bookmarkStart w:id="227" w:name="_Hlk57620751"/>
    </w:p>
    <w:p w:rsidR="001D0506" w:rsidRPr="00696681" w:rsidRDefault="006F15BA" w:rsidP="001D0506">
      <w:pPr>
        <w:pStyle w:val="ListParagraph"/>
        <w:numPr>
          <w:ilvl w:val="0"/>
          <w:numId w:val="6"/>
        </w:numPr>
        <w:spacing w:before="120" w:after="120"/>
        <w:ind w:left="992" w:hanging="992"/>
        <w:contextualSpacing w:val="0"/>
      </w:pPr>
      <w:r w:rsidRPr="00696681">
        <w:t xml:space="preserve">Atsižvelgdamas į skirtingą </w:t>
      </w:r>
      <w:r w:rsidR="00461540" w:rsidRPr="00696681">
        <w:rPr>
          <w:rFonts w:eastAsia="Calibri"/>
        </w:rPr>
        <w:t>dalyvavimu planuojant karinę operaciją</w:t>
      </w:r>
      <w:r w:rsidRPr="00696681">
        <w:t xml:space="preserve"> kaltintų asmenų statusą, apeliacinės instancijos teismas toliau aptars apygardos teismo išvadas pagal atskirų asmenų statusą ir pareigas: pirmiausia, pasisakydamas dėl </w:t>
      </w:r>
      <w:r w:rsidRPr="00696681">
        <w:rPr>
          <w:rFonts w:eastAsia="Calibri"/>
        </w:rPr>
        <w:t xml:space="preserve">teismo išvadų, vertinant LKP/TSKP narių veiksmus, toliau – dėl teismo išvadų, vertinant TSRS </w:t>
      </w:r>
      <w:r w:rsidRPr="00696681">
        <w:t>gynybos ministerijos, TSRS VSK ir TSRS vidaus reikalų ministerijos pareigūnų veiksmus</w:t>
      </w:r>
      <w:r w:rsidRPr="00696681">
        <w:rPr>
          <w:iCs/>
          <w:szCs w:val="24"/>
        </w:rPr>
        <w:t>.</w:t>
      </w:r>
      <w:bookmarkEnd w:id="227"/>
    </w:p>
    <w:p w:rsidR="000B432F" w:rsidRPr="000B432F" w:rsidRDefault="00EC36F2" w:rsidP="000B432F">
      <w:pPr>
        <w:pStyle w:val="Heading3"/>
        <w:ind w:left="992"/>
        <w:jc w:val="both"/>
        <w:rPr>
          <w:rFonts w:eastAsia="Calibri"/>
          <w:i/>
          <w:iCs/>
          <w:sz w:val="24"/>
          <w:szCs w:val="24"/>
          <w:lang w:val="lt-LT"/>
        </w:rPr>
      </w:pPr>
      <w:bookmarkStart w:id="228" w:name="_Toc67677381"/>
      <w:bookmarkStart w:id="229" w:name="_Toc67985508"/>
      <w:r w:rsidRPr="000B432F">
        <w:rPr>
          <w:rFonts w:eastAsia="Calibri"/>
          <w:b w:val="0"/>
          <w:i/>
          <w:sz w:val="24"/>
          <w:szCs w:val="24"/>
        </w:rPr>
        <w:t xml:space="preserve">Dėl pirmosios instancijos teismo išvadų vertinant LKP/TSKP narių </w:t>
      </w:r>
      <w:r w:rsidR="00BA18FA" w:rsidRPr="000B432F">
        <w:rPr>
          <w:rFonts w:eastAsia="Calibri"/>
          <w:b w:val="0"/>
          <w:i/>
          <w:sz w:val="24"/>
          <w:szCs w:val="24"/>
        </w:rPr>
        <w:t>V. Š. 1</w:t>
      </w:r>
      <w:r w:rsidRPr="000B432F">
        <w:rPr>
          <w:rFonts w:eastAsia="Calibri"/>
          <w:b w:val="0"/>
          <w:i/>
          <w:sz w:val="24"/>
          <w:szCs w:val="24"/>
        </w:rPr>
        <w:t xml:space="preserve">, </w:t>
      </w:r>
      <w:r w:rsidR="00385BC9" w:rsidRPr="000B432F">
        <w:rPr>
          <w:rFonts w:eastAsia="Calibri"/>
          <w:b w:val="0"/>
          <w:i/>
          <w:sz w:val="24"/>
          <w:szCs w:val="24"/>
        </w:rPr>
        <w:t>A. N. 1</w:t>
      </w:r>
      <w:r w:rsidRPr="000B432F">
        <w:rPr>
          <w:rFonts w:eastAsia="Calibri"/>
          <w:b w:val="0"/>
          <w:i/>
          <w:sz w:val="24"/>
          <w:szCs w:val="24"/>
        </w:rPr>
        <w:t xml:space="preserve"> ir </w:t>
      </w:r>
      <w:r w:rsidR="00385BC9" w:rsidRPr="000B432F">
        <w:rPr>
          <w:rFonts w:eastAsia="Calibri"/>
          <w:b w:val="0"/>
          <w:i/>
          <w:sz w:val="24"/>
          <w:szCs w:val="24"/>
        </w:rPr>
        <w:t>R. J. 1</w:t>
      </w:r>
      <w:r w:rsidRPr="000B432F">
        <w:rPr>
          <w:rFonts w:eastAsia="Calibri"/>
          <w:b w:val="0"/>
          <w:i/>
          <w:sz w:val="24"/>
          <w:szCs w:val="24"/>
        </w:rPr>
        <w:t xml:space="preserve"> veiksmus planuojant karinę operaciją</w:t>
      </w:r>
      <w:bookmarkEnd w:id="228"/>
      <w:bookmarkEnd w:id="229"/>
      <w:r w:rsidRPr="000B432F">
        <w:rPr>
          <w:rFonts w:eastAsia="Calibri"/>
          <w:b w:val="0"/>
          <w:i/>
          <w:sz w:val="24"/>
          <w:szCs w:val="24"/>
        </w:rPr>
        <w:t xml:space="preserve"> </w:t>
      </w:r>
    </w:p>
    <w:p w:rsidR="000B432F" w:rsidRPr="000B432F" w:rsidRDefault="000B432F" w:rsidP="000B432F">
      <w:pPr>
        <w:pStyle w:val="ListParagraph"/>
        <w:numPr>
          <w:ilvl w:val="0"/>
          <w:numId w:val="6"/>
        </w:numPr>
        <w:spacing w:before="120" w:after="120"/>
        <w:ind w:left="992" w:hanging="992"/>
        <w:contextualSpacing w:val="0"/>
        <w:rPr>
          <w:rFonts w:eastAsia="Calibri"/>
        </w:rPr>
      </w:pPr>
      <w:r w:rsidRPr="00696681">
        <w:rPr>
          <w:rFonts w:eastAsia="Calibri"/>
        </w:rPr>
        <w:t>Nuteistųjų V. Š. 1 ir R. J. 1 gynėjai nesutinka su pirmosios instancijos teismo išvadomis dėl V. Š. 1 ir R. J. 1 aktyvaus dalyvavimo LKP/TSKP CK veikloje, siekiant panaikinti Lietuvos suverenitetą, įteisinti kitos valstybės Konstitucija paremtą teisinį režimą ir įvesti TSRS prezidentinį valdymą. Gynėjai taip pat nesutinka su teismo išvada, kad šiems planams įgyvendinti jie pasitelkė TSRS jėgos struktūras (nuteistasis A. N. 1 ir jo gynėjai apeliacinio skundo nepadavė, tačiau apeliacinio proceso metu nuteistojo gynėja laikėsi panašios pozicijos). Gynybos teigimu, vien tai, kad nuteistieji buvo LKP/TSKP nariai, neįrodo jų kaltės dalyvavus planuojant karines operacijas, parenkant planuojamus užgrobti objektus, rengiant užgrobimo planus bei paskiriant atsakingus asmenis. Teisėjų kolegijos vertinimu, nuteistojo V. Š. 1 apeliacinio skundo ir nuteistojo A. N. 1 gynėjos argumentai išdėstyti teismo posėdyje yra nepagrįsti, o nuteistasis R. J. 1, kaip jau minėta, nebuvo inkriminuotas dalyvavimas planuojant karinę operaciją, todėl šios aplinkybės iš nuosprendžio šalintinos</w:t>
      </w:r>
      <w:r w:rsidRPr="000B432F">
        <w:rPr>
          <w:rFonts w:eastAsia="Calibri"/>
        </w:rPr>
        <w:t>.</w:t>
      </w:r>
    </w:p>
    <w:p w:rsidR="00EC36F2" w:rsidRPr="00C00255" w:rsidRDefault="00EC36F2" w:rsidP="00EC36F2">
      <w:pPr>
        <w:pStyle w:val="ListParagraph"/>
        <w:numPr>
          <w:ilvl w:val="0"/>
          <w:numId w:val="6"/>
        </w:numPr>
        <w:spacing w:before="120" w:after="120"/>
        <w:ind w:left="992" w:hanging="992"/>
        <w:contextualSpacing w:val="0"/>
      </w:pPr>
      <w:r w:rsidRPr="00696681">
        <w:t xml:space="preserve">Apeliantai iš esmės neginčija nagrinėjamų įvykių metu Lietuvoje veikusios </w:t>
      </w:r>
      <w:r w:rsidRPr="00696681">
        <w:rPr>
          <w:rFonts w:eastAsia="Calibri"/>
        </w:rPr>
        <w:t>LKP/TSKP</w:t>
      </w:r>
      <w:r w:rsidRPr="00696681">
        <w:t xml:space="preserve"> statuso, tikslų ir kitose bylose įsiteisėjusiais teismų sprendimais jau nustatyto antivalstybinio šios organizacijos veiklos pobūdžio Lietuvai atkūrus nepriklausomybę. Lietuvos Aukščiausiojo Teismo 2001 m. gruodžio 28 d. nutartyje, priimtoje jau minėtoje </w:t>
      </w:r>
      <w:r w:rsidR="00C507EF" w:rsidRPr="00696681">
        <w:t>M. B.</w:t>
      </w:r>
      <w:r w:rsidRPr="00696681">
        <w:t xml:space="preserve">, </w:t>
      </w:r>
      <w:r w:rsidR="00C507EF" w:rsidRPr="00696681">
        <w:t>J. K.</w:t>
      </w:r>
      <w:r w:rsidRPr="00696681">
        <w:t xml:space="preserve"> ir kt. byloje apie LKP/TSKP antivalstybinę veiklą nurodyta</w:t>
      </w:r>
      <w:r w:rsidRPr="00C00255">
        <w:rPr>
          <w:szCs w:val="24"/>
        </w:rPr>
        <w:t>:</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„&lt;...&gt; Kitos (TSRS) valstybės padalinys – LKP (TSKP) veiklą vykdė nuo 1990 m. kovo 11 d. iki 1991 m. rugpjūčio 22 d. LKP (TSKP) organizacijos antivalstybinis pobūdis pasireiškė tuo, kad jos veikla tiesiogiai prieštaravo Lietuvos Respublikos 1990 m. kovo 11-osios įstatymo ,,Dėl Lietuvos Respublikos Laikinojo Pagrindinio Įstatymo” 3 straipsniui ir, iš esmės, visam Laikinajam Pagrindiniam Įstatymui, įtvirtinusiam nepriklausomos Lietuvos valstybės ekonominius, teisinius, politinius pagrindus bei suverenias galias.</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&lt;...&gt; LKP/TSKP 1991 m. balandžio 21 d. VIII plenumo nutarime atsispindi partijos siekis atstatyti LTSR Konstitucijos galiojimą. Šio plenumo kreipimesi į TSKP generalinį sekretorių, prašoma pasinaudoti suteiktais įgaliojimais ir apginti Lietuvos teritorijoje gyvenančių žmonių interesus. Įgyvendinant šiuos programinius siekius, partija aktyviai veikė savo institucijomis ir per tam tikslui sukurtas antivalstybines organizacijas: Lietuvos TSR piliečių komitetus, Lietuvos demokratinių jėgų kongresą, Nacionalinio gelbėjimo komitetą, Lietuvos laisvųjų verslininkų asociaciją ir pan.</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&lt;...&gt; LKP (TSKP) dokumentai rodo, kad LKP (TSKP) organizacija numatė vykdyti ir vykdė antivalstybinę veiklą, siekė panaikinti Lietuvos valstybės suverenitetą, įteisinti Lietuvoje kitos valstybės Konstitucija paremtą teisinį režimą. Tokie tikslai galėjo būti pasiekiami tiktai nuverčiant teisėtai išrinktus ir suformuotus Lietuvos Respublikos valstybinės valdžios ir valdymo organus.</w:t>
      </w:r>
    </w:p>
    <w:p w:rsidR="000B432F" w:rsidRPr="000B432F" w:rsidRDefault="00EC36F2" w:rsidP="000B432F">
      <w:pPr>
        <w:pStyle w:val="NormalWeb"/>
        <w:spacing w:before="120" w:beforeAutospacing="0" w:after="120" w:afterAutospacing="0"/>
        <w:ind w:left="1276"/>
        <w:rPr>
          <w:sz w:val="20"/>
          <w:szCs w:val="20"/>
        </w:rPr>
      </w:pPr>
      <w:r w:rsidRPr="00C00255">
        <w:rPr>
          <w:sz w:val="20"/>
          <w:szCs w:val="20"/>
        </w:rPr>
        <w:t>&lt;...&gt; LKP/TSKP organizacija siekė sutrikdyti Lietuvos Respublikos Konstitucija (Laikinuoju Pagrindiniu Įstatymu) paremtą valstybinę, visuomeninę tvarką, apriboti suverenias Lietuvos valstybės teises, ir ši organizacija BK 70 str. prasme buvo antivalstybinė.</w:t>
      </w:r>
      <w:r w:rsidRPr="00C00255" w:rsidDel="00B52857">
        <w:rPr>
          <w:sz w:val="20"/>
          <w:szCs w:val="20"/>
        </w:rPr>
        <w:t xml:space="preserve"> </w:t>
      </w:r>
      <w:r w:rsidRPr="00C00255">
        <w:rPr>
          <w:sz w:val="20"/>
          <w:szCs w:val="20"/>
        </w:rPr>
        <w:t>&lt;...&gt; partijos sukurtas organizacijas bei struktūras: Lietuvos TSR piliečių komitetą, Laisvųjų verslininkų asociaciją, Lietuvos nacionalinį gelbėjimo komitetą, TSRS VRM partijos komitetą, radiją „Tarybų Lietuva“ ir pan. &lt;...&gt; apygardos teismas pagrįstai pripažino &lt;...&gt; BK 70 str. prasme antivalstybine organizacija“.</w:t>
      </w:r>
    </w:p>
    <w:p w:rsidR="000B432F" w:rsidRPr="00696681" w:rsidRDefault="000B432F" w:rsidP="000B432F">
      <w:pPr>
        <w:pStyle w:val="ListParagraph"/>
        <w:numPr>
          <w:ilvl w:val="0"/>
          <w:numId w:val="6"/>
        </w:numPr>
        <w:spacing w:before="120" w:after="120"/>
        <w:ind w:left="992" w:hanging="992"/>
        <w:contextualSpacing w:val="0"/>
      </w:pPr>
      <w:r w:rsidRPr="00696681">
        <w:t xml:space="preserve">EŽTT, be kita ko, nagrinėjo ir pareiškėjų M. B., J. K., L. B. argumentus, kad LKP/TSKP buvo demokratijos principus remianti partija ir kad bylai reikšmingu metu nebuvo galima numatyti, jog jų veikla LKP/TSKP ir jos antrinėse organizacijose galėtų būti prilyginta baudžiamiesiems teisės pažeidimams, kad jie buvo neteisingai nuteisti už komunistinių politinių įsitikinimų reiškimą, už jų teisėtą darbą, už pasinaudojimą savo teise jungtis į asociacijas su kitais ir už tai, kad palaikė Lietuvos tolimesnės narystės TSRS sudėtyje idėją, kaip jie patys teigė „politinių neramumų laikais“ (savo esme panašius argumentus gynyba dėsto ir nagrinėjamoje byloje). Minėtoje byloje EŽTT konstatavo, kad 1990 m. vasario mėn. Lietuvos Aukščiausioji Taryba turėjo teisėtą valdžią, o pareiškėjų politinė partija LKP/TSKP patyrė triuškinantį pralaimėjimą 1990 m. vasario 24 d. rinkimuose į Lietuvos Parlamentą ir todėl buvo stipriai nustumta į šalį. Maskva, palaikoma pareiškėjų ir jų politinio užnugario, protestavo prieš Aukščiausiosios Tarybos 1990 m. kovo mėn. priimtus esminius įstatymus. EŽTT atkreipė dėmesį ir į tai, kad </w:t>
      </w:r>
      <w:r w:rsidRPr="00696681">
        <w:rPr>
          <w:i/>
        </w:rPr>
        <w:t xml:space="preserve">„naujos Lietuvos Vyriausybės politinė valia buvo aiškiai apibrėžta ir pareiškėjams, kaip profesionaliems politiniams lyderiams, turėjo būti žinoma, kaip smarkiai jie rizikavo toliau tęsdami veiklą LKP/TSKP ir jos antrinėse organizacijose, siekiant nuversti Vyriausybę. Jiems nebūtų reikėję palaikyti sovietinių karinių pajėgų intervencijos 1991 m. sausio mėn., jeigu situacija būtų buvusi kitokia. </w:t>
      </w:r>
      <w:r w:rsidRPr="00696681">
        <w:t xml:space="preserve">&lt;...&gt; pareiškėjai buvo nuteisti už nusikaltimus, kurie buvo pakankamai aiškiai apibrėžti ir numatomi pagal atkurtos Lietuvos Respublikos įstatymus.“ EŽTT įsitikinimu, minėtų įstatymų nesilaikymo pasekmes buvo galima adekvačiai numatyti iš anksto ne tik teisinių konsultacijų pagalba, bet ir vadovaujantis sveiku protu (2008 m. vasario 19 d. EŽTT sprendimo byloje </w:t>
      </w:r>
      <w:r w:rsidRPr="00696681">
        <w:rPr>
          <w:i/>
        </w:rPr>
        <w:t>Kuolelis, Bartoševičius ir Burokevičius prieš Lietuvą</w:t>
      </w:r>
      <w:r w:rsidRPr="00696681">
        <w:t xml:space="preserve"> 118–121 paragrafai).</w:t>
      </w:r>
    </w:p>
    <w:p w:rsidR="00EC36F2" w:rsidRPr="00696681" w:rsidRDefault="00EC36F2" w:rsidP="00EC36F2">
      <w:pPr>
        <w:pStyle w:val="ListParagraph"/>
        <w:numPr>
          <w:ilvl w:val="0"/>
          <w:numId w:val="6"/>
        </w:numPr>
        <w:spacing w:before="120" w:after="120"/>
        <w:ind w:left="992" w:hanging="992"/>
        <w:contextualSpacing w:val="0"/>
      </w:pPr>
      <w:r w:rsidRPr="00696681">
        <w:rPr>
          <w:rFonts w:eastAsia="Calibri"/>
        </w:rPr>
        <w:t xml:space="preserve">Apeliacine tvarka nagrinėjamoje byloje nėra ginčo, kad nuteistieji </w:t>
      </w:r>
      <w:r w:rsidR="00BA18FA" w:rsidRPr="00696681">
        <w:t>V. Š. 1</w:t>
      </w:r>
      <w:r w:rsidRPr="00696681">
        <w:t xml:space="preserve">, </w:t>
      </w:r>
      <w:r w:rsidR="00385BC9" w:rsidRPr="00696681">
        <w:t>A. N. 1</w:t>
      </w:r>
      <w:r w:rsidRPr="00696681">
        <w:t xml:space="preserve"> ir </w:t>
      </w:r>
      <w:r w:rsidR="00385BC9" w:rsidRPr="00696681">
        <w:t>R. J. 1</w:t>
      </w:r>
      <w:r w:rsidRPr="00696681">
        <w:t xml:space="preserve">, kaip ir kiti </w:t>
      </w:r>
      <w:r w:rsidRPr="00696681">
        <w:rPr>
          <w:rFonts w:eastAsia="Calibri"/>
        </w:rPr>
        <w:t xml:space="preserve">LKP/TSKP nariai, t. y. </w:t>
      </w:r>
      <w:r w:rsidR="00C507EF" w:rsidRPr="00696681">
        <w:t>M. B.</w:t>
      </w:r>
      <w:r w:rsidRPr="00696681">
        <w:t xml:space="preserve">, </w:t>
      </w:r>
      <w:r w:rsidR="00C507EF" w:rsidRPr="00696681">
        <w:t>J. K.</w:t>
      </w:r>
      <w:r w:rsidRPr="00696681">
        <w:t>, L. B</w:t>
      </w:r>
      <w:r w:rsidR="005A493E" w:rsidRPr="00696681">
        <w:t>.</w:t>
      </w:r>
      <w:r w:rsidRPr="00696681">
        <w:t xml:space="preserve">, priklausė šiai partijai savo laisva valia ir joje užėmė pakankamai aukštas politines pareigas. Nuteistasis </w:t>
      </w:r>
      <w:r w:rsidR="00385BC9" w:rsidRPr="00696681">
        <w:t>V. Š. 1</w:t>
      </w:r>
      <w:r w:rsidRPr="00696681">
        <w:t xml:space="preserve"> buvo LKP/TSKP CK antrasis sekretorius, </w:t>
      </w:r>
      <w:r w:rsidR="00385BC9" w:rsidRPr="00696681">
        <w:t>A. N. 1</w:t>
      </w:r>
      <w:r w:rsidRPr="00696681">
        <w:t xml:space="preserve"> – LKP/TSKP CK sekretorius (TSRS kariuomenės generolas majoras, kuris vos prieš kelis mėnesius iki byloje nagrinėjamų įvykių, t. y. 1990 m. rugsėjo 7 d., TSRS gynybos ministro pirmojo pavaduotojo įsakymu buvo atleistas iš TSRS kariuomenės dalinio politikos reikalų vado pavaduotojo pareigų ir perkeltas į LKP/TSKP, paliekant jį TSRS kariuomenės kadrų sąraše (t. 667, b. l. 2)), </w:t>
      </w:r>
      <w:r w:rsidR="00385BC9" w:rsidRPr="00696681">
        <w:t>R. J. 1</w:t>
      </w:r>
      <w:r w:rsidRPr="00696681">
        <w:t xml:space="preserve"> – LKP/TSKP CK politinio-teisinio skyriaus konsultantas (TSRS kariuomenės pulkininkas, kuris vos prieš kelis mėnesius iki byloje nagrinėjamų įvykių, t. y. 1990 m. lapkričio 7 d., TSRS gynybos ministro </w:t>
      </w:r>
      <w:r w:rsidR="00385BC9" w:rsidRPr="00696681">
        <w:t>D. J.</w:t>
      </w:r>
      <w:r w:rsidRPr="00696681">
        <w:t xml:space="preserve"> įsakymu atleistas iš TSRS kariuomenės karininko pareigų ir paskirtas į LKP/TSKP, paliekant jį TSRS kariuomenės kadrų sąraše (t. 673, b. l. 3)). Pirmosios instancijos teismo nuosprendyje įvertintais įrodymais nustatyta, kad n</w:t>
      </w:r>
      <w:r w:rsidRPr="00696681">
        <w:rPr>
          <w:rFonts w:eastAsia="Calibri"/>
        </w:rPr>
        <w:t xml:space="preserve">uteistieji </w:t>
      </w:r>
      <w:r w:rsidR="00BA18FA" w:rsidRPr="00696681">
        <w:rPr>
          <w:rFonts w:eastAsia="Calibri"/>
        </w:rPr>
        <w:t>V. Š. 1</w:t>
      </w:r>
      <w:r w:rsidRPr="00696681">
        <w:rPr>
          <w:rFonts w:eastAsia="Calibri"/>
        </w:rPr>
        <w:t xml:space="preserve">, </w:t>
      </w:r>
      <w:r w:rsidR="00385BC9" w:rsidRPr="00696681">
        <w:rPr>
          <w:rFonts w:eastAsia="Calibri"/>
        </w:rPr>
        <w:t>A. N. 1</w:t>
      </w:r>
      <w:r w:rsidRPr="00696681">
        <w:rPr>
          <w:rFonts w:eastAsia="Calibri"/>
        </w:rPr>
        <w:t xml:space="preserve"> ir </w:t>
      </w:r>
      <w:r w:rsidR="00385BC9" w:rsidRPr="00696681">
        <w:rPr>
          <w:rFonts w:eastAsia="Calibri"/>
        </w:rPr>
        <w:t>R. J. 1</w:t>
      </w:r>
      <w:r w:rsidRPr="00696681">
        <w:rPr>
          <w:rFonts w:eastAsia="Calibri"/>
        </w:rPr>
        <w:t xml:space="preserve">, žinodami apie 1990 m. kovo mėn. priimtus teisės aktus bei tai, kad Lietuva yra nepriklausoma valstybė ir joje užsienio šalių įstatymai negalioja, savo veiklos kitos valstybės (TSRS) partijos padalinyje – LKP/TSKP nenutraukė, bet ir toliau aktyviai dalyvavo jos antivalstybinėje veikloje. Visgi </w:t>
      </w:r>
      <w:r w:rsidR="00C82DB0" w:rsidRPr="00696681">
        <w:rPr>
          <w:rFonts w:eastAsia="Calibri"/>
        </w:rPr>
        <w:t xml:space="preserve">apeliaicinės instancijos teismas pažymi, kad </w:t>
      </w:r>
      <w:r w:rsidRPr="00696681">
        <w:rPr>
          <w:rFonts w:eastAsia="Calibri"/>
        </w:rPr>
        <w:t>ne visa jų veikla yra nagrinėjamos bylos dalykas, o tik ta, dėl kurios šioje byloje pastariesiems buvo pareikšti kaltinimai</w:t>
      </w:r>
      <w:r w:rsidRPr="00696681">
        <w:rPr>
          <w:rFonts w:eastAsia="Calibri"/>
          <w:szCs w:val="24"/>
        </w:rPr>
        <w:t>.</w:t>
      </w:r>
    </w:p>
    <w:p w:rsidR="00EC36F2" w:rsidRPr="000B432F" w:rsidRDefault="00C82DB0" w:rsidP="00EC36F2">
      <w:pPr>
        <w:pStyle w:val="ListParagraph"/>
        <w:numPr>
          <w:ilvl w:val="0"/>
          <w:numId w:val="6"/>
        </w:numPr>
        <w:spacing w:before="120" w:after="120"/>
        <w:ind w:left="992" w:hanging="992"/>
        <w:contextualSpacing w:val="0"/>
        <w:rPr>
          <w:szCs w:val="24"/>
        </w:rPr>
      </w:pPr>
      <w:r w:rsidRPr="00696681">
        <w:rPr>
          <w:rFonts w:eastAsia="Calibri"/>
        </w:rPr>
        <w:t>Teisėjų k</w:t>
      </w:r>
      <w:r w:rsidR="00EC36F2" w:rsidRPr="00696681">
        <w:rPr>
          <w:rFonts w:eastAsia="Calibri"/>
        </w:rPr>
        <w:t xml:space="preserve">olegijos </w:t>
      </w:r>
      <w:r w:rsidRPr="00696681">
        <w:rPr>
          <w:rFonts w:eastAsia="Calibri"/>
        </w:rPr>
        <w:t>vertinimu</w:t>
      </w:r>
      <w:r w:rsidR="00EC36F2" w:rsidRPr="00696681">
        <w:rPr>
          <w:rFonts w:eastAsia="Calibri"/>
        </w:rPr>
        <w:t xml:space="preserve">, apygardos teismas pagrįstai pripažino, kad </w:t>
      </w:r>
      <w:r w:rsidR="00385BC9" w:rsidRPr="00696681">
        <w:rPr>
          <w:rFonts w:eastAsia="Calibri"/>
        </w:rPr>
        <w:t xml:space="preserve">V. Š. 1 </w:t>
      </w:r>
      <w:r w:rsidR="00EC36F2" w:rsidRPr="00696681">
        <w:rPr>
          <w:rFonts w:eastAsia="Calibri"/>
        </w:rPr>
        <w:t xml:space="preserve">ir </w:t>
      </w:r>
      <w:r w:rsidR="00385BC9" w:rsidRPr="00696681">
        <w:rPr>
          <w:rFonts w:eastAsia="Calibri"/>
        </w:rPr>
        <w:t>A. N. 1</w:t>
      </w:r>
      <w:r w:rsidR="00EC36F2" w:rsidRPr="00696681">
        <w:rPr>
          <w:rFonts w:eastAsia="Calibri"/>
        </w:rPr>
        <w:t xml:space="preserve"> dalyvavo planuojant karinę operaciją, nes byloje ištirti įrodymai aiškiai patvirtina, kad pastarieji, </w:t>
      </w:r>
      <w:r w:rsidR="00EC36F2" w:rsidRPr="00696681">
        <w:t xml:space="preserve">kartu su kitais LKP/TSKP CK vadovais, kūrė TSRS prezidento tiesioginio valdymo planą, inicijavo karinę operaciją, </w:t>
      </w:r>
      <w:r w:rsidR="00EC36F2" w:rsidRPr="00696681">
        <w:rPr>
          <w:rFonts w:eastAsia="Calibri"/>
        </w:rPr>
        <w:t xml:space="preserve">parinko užgrobiamus objektus ir ruošė jų užgrobimo planus bei paskyrė atsakingus asmenis, tarėsi su </w:t>
      </w:r>
      <w:r w:rsidR="00EC36F2" w:rsidRPr="00696681">
        <w:t>TSRS jėgos struktūrų vadovais</w:t>
      </w:r>
      <w:r w:rsidR="00EC36F2" w:rsidRPr="00696681">
        <w:rPr>
          <w:rFonts w:eastAsia="Calibri"/>
        </w:rPr>
        <w:t xml:space="preserve"> dėl priemonių, įvedant TSRS prezidentinį valdymą bei Ypatingosios padėties teisinį režimą,</w:t>
      </w:r>
      <w:r w:rsidR="00EC36F2" w:rsidRPr="00696681">
        <w:t xml:space="preserve"> </w:t>
      </w:r>
      <w:r w:rsidR="00EC36F2" w:rsidRPr="00696681">
        <w:rPr>
          <w:rFonts w:eastAsia="Calibri"/>
        </w:rPr>
        <w:t>įgyvendinimo, dalyvavo kuriant darbininkų draugoves, visuomeninius komitetus ir koordinavo jų veiksmus, dalyvavo štabo veikloje (teismo nuosprendžio 879–880 l.)</w:t>
      </w:r>
      <w:r w:rsidR="00EC36F2" w:rsidRPr="000B432F">
        <w:rPr>
          <w:rFonts w:eastAsia="Calibri"/>
          <w:szCs w:val="24"/>
        </w:rPr>
        <w:t xml:space="preserve">. </w:t>
      </w:r>
    </w:p>
    <w:p w:rsidR="00EC36F2" w:rsidRPr="00696681" w:rsidRDefault="00EC36F2" w:rsidP="000B432F">
      <w:pPr>
        <w:pStyle w:val="ListParagraph"/>
        <w:numPr>
          <w:ilvl w:val="0"/>
          <w:numId w:val="6"/>
        </w:numPr>
        <w:spacing w:before="120" w:after="120"/>
        <w:ind w:left="992" w:hanging="992"/>
        <w:contextualSpacing w:val="0"/>
      </w:pPr>
      <w:r w:rsidRPr="00696681">
        <w:rPr>
          <w:rFonts w:eastAsia="Calibri"/>
        </w:rPr>
        <w:t xml:space="preserve">Minėtas išvadas dėl </w:t>
      </w:r>
      <w:r w:rsidR="00385BC9" w:rsidRPr="00696681">
        <w:rPr>
          <w:rFonts w:eastAsia="Calibri"/>
        </w:rPr>
        <w:t xml:space="preserve">V. Š. 1 </w:t>
      </w:r>
      <w:r w:rsidRPr="00696681">
        <w:rPr>
          <w:rFonts w:eastAsia="Calibri"/>
        </w:rPr>
        <w:t xml:space="preserve">ir </w:t>
      </w:r>
      <w:r w:rsidR="00385BC9" w:rsidRPr="00696681">
        <w:rPr>
          <w:rFonts w:eastAsia="Calibri"/>
        </w:rPr>
        <w:t>A. N. 1</w:t>
      </w:r>
      <w:r w:rsidRPr="00696681">
        <w:rPr>
          <w:rFonts w:eastAsia="Calibri"/>
        </w:rPr>
        <w:t xml:space="preserve"> veiksmų pirmosios instancijos teismas padarė atsižvelgęs į byloje pateiktus ir pirmosios instancijos teismo nuosprendžio 110–112, 123–135 lapuose plačiau aptartus įrodymus. Visgi darydamas iš esmės analogiškas išvadas dėl nuteistojo </w:t>
      </w:r>
      <w:r w:rsidR="00385BC9" w:rsidRPr="00696681">
        <w:rPr>
          <w:rFonts w:eastAsia="Calibri"/>
        </w:rPr>
        <w:t>R. J. 1</w:t>
      </w:r>
      <w:r w:rsidRPr="00696681">
        <w:rPr>
          <w:rFonts w:eastAsia="Calibri"/>
        </w:rPr>
        <w:t xml:space="preserve"> veiksmų („</w:t>
      </w:r>
      <w:r w:rsidRPr="00696681">
        <w:t xml:space="preserve">kartu su kitais LKP/TSKP CK vadovais inicijavo karinę operaciją, </w:t>
      </w:r>
      <w:r w:rsidRPr="00696681">
        <w:rPr>
          <w:rFonts w:eastAsia="Calibri"/>
        </w:rPr>
        <w:t xml:space="preserve">parinko užgrobiamus objektus ir ruošė jų užgrobimo planus bei paskyrė atsakingus asmenis, tarėsi su </w:t>
      </w:r>
      <w:r w:rsidRPr="00696681">
        <w:t>TSRS jėgos struktūrų vadovais</w:t>
      </w:r>
      <w:r w:rsidRPr="00696681">
        <w:rPr>
          <w:rFonts w:eastAsia="Calibri"/>
        </w:rPr>
        <w:t xml:space="preserve"> dėl priemonių, įvedant TSRS prezidentinį valdymą bei Ypatingosios padėties teisinį režimą, įgyvendinimo, dalyvavo kuriant darbininkų draugoves, visuomeninius komitetus, koordinavo bei kontroliavo draugovininkų veiksmus, buvo vadovavimo karinei operacijai štabo nariu, v</w:t>
      </w:r>
      <w:r w:rsidRPr="00696681">
        <w:t xml:space="preserve">adovavo kitų asmenų (draugovininkų) veiksmams šturmuojant Radijo ir televizijos komiteto (LRT) pastatus“ (nuosprendžio 880 l.)), apygardos teismas iš esmės analizavo tik duomenis apie šio kaltinamojo veiksmus </w:t>
      </w:r>
      <w:r w:rsidRPr="00696681">
        <w:rPr>
          <w:rFonts w:eastAsia="Calibri"/>
        </w:rPr>
        <w:t>v</w:t>
      </w:r>
      <w:r w:rsidRPr="00696681">
        <w:t>adovaujant draugovininkams LRT pastato šturmo metu. Teismo nuosprendžio dalyje „</w:t>
      </w:r>
      <w:r w:rsidRPr="00696681">
        <w:rPr>
          <w:i/>
          <w:iCs/>
        </w:rPr>
        <w:t>Nusikalstamų veikų prieš Lietuvos valstybę rengimas, karinės operacijos planavimas</w:t>
      </w:r>
      <w:r w:rsidRPr="00696681">
        <w:t xml:space="preserve">“, pradedant analizuoti įrodymus apie nuteistojo </w:t>
      </w:r>
      <w:r w:rsidR="00385BC9" w:rsidRPr="00696681">
        <w:t>R. J. 1</w:t>
      </w:r>
      <w:r w:rsidRPr="00696681">
        <w:t xml:space="preserve"> veiksmus, priešingai nei kalbant apie </w:t>
      </w:r>
      <w:r w:rsidR="00385BC9" w:rsidRPr="00696681">
        <w:rPr>
          <w:rFonts w:eastAsia="Calibri"/>
        </w:rPr>
        <w:t xml:space="preserve">V. Š. 1 </w:t>
      </w:r>
      <w:r w:rsidRPr="00696681">
        <w:rPr>
          <w:rFonts w:eastAsia="Calibri"/>
        </w:rPr>
        <w:t xml:space="preserve">ir </w:t>
      </w:r>
      <w:r w:rsidR="00385BC9" w:rsidRPr="00696681">
        <w:rPr>
          <w:rFonts w:eastAsia="Calibri"/>
        </w:rPr>
        <w:t>A. N. 1</w:t>
      </w:r>
      <w:r w:rsidRPr="00696681">
        <w:rPr>
          <w:rFonts w:eastAsia="Calibri"/>
        </w:rPr>
        <w:t xml:space="preserve">, </w:t>
      </w:r>
      <w:r w:rsidRPr="00696681">
        <w:t>teismas neužsiminė apie karinės operacijos planavimą ir nurodė tik tai, kad „</w:t>
      </w:r>
      <w:r w:rsidRPr="00696681">
        <w:rPr>
          <w:rFonts w:eastAsia="Calibri"/>
        </w:rPr>
        <w:t xml:space="preserve">Kaltinamojo </w:t>
      </w:r>
      <w:r w:rsidR="00385BC9" w:rsidRPr="00696681">
        <w:rPr>
          <w:rFonts w:eastAsia="Calibri"/>
        </w:rPr>
        <w:t>R. J. 1</w:t>
      </w:r>
      <w:r w:rsidRPr="00696681">
        <w:rPr>
          <w:rFonts w:eastAsia="Calibri"/>
        </w:rPr>
        <w:t xml:space="preserve"> vadovavimą draugovininkams, vykstant į TSRS kariškių puolamus TV bokštą bei LRT ir padedant juos užgrobti, patvirtina vaizdo įrašuose užfiksuotos faktinės įvykių aplinkybės, liudytojų parodymai. &lt;...&gt;“. </w:t>
      </w:r>
    </w:p>
    <w:p w:rsidR="00EC36F2" w:rsidRPr="000B432F" w:rsidRDefault="00EC36F2" w:rsidP="000B432F">
      <w:pPr>
        <w:pStyle w:val="ListParagraph"/>
        <w:numPr>
          <w:ilvl w:val="0"/>
          <w:numId w:val="6"/>
        </w:numPr>
        <w:spacing w:before="120" w:after="120"/>
        <w:ind w:left="992" w:hanging="992"/>
        <w:contextualSpacing w:val="0"/>
      </w:pPr>
      <w:r w:rsidRPr="00696681">
        <w:rPr>
          <w:rFonts w:eastAsia="Calibri"/>
        </w:rPr>
        <w:t xml:space="preserve">Apeliacinės instancijos teismo teisėjų kolegija kitose šio procesinio dokumento dalyse dar pasisakys ir vertins kokius objektus šturmuojant dalyvavo nuteistasis </w:t>
      </w:r>
      <w:r w:rsidR="00385BC9" w:rsidRPr="00696681">
        <w:rPr>
          <w:rFonts w:eastAsia="Calibri"/>
        </w:rPr>
        <w:t>R. J. 1</w:t>
      </w:r>
      <w:r w:rsidRPr="00696681">
        <w:rPr>
          <w:rFonts w:eastAsia="Calibri"/>
        </w:rPr>
        <w:t xml:space="preserve">, nes pirmosios instancijos teismo išvados ir toje dalyje yra prieštaringos (bent jau dėl dalyvavimo TV bokšto šturmo metu). Visgi akivaizdu, kad apygardos teismas nuteistojo </w:t>
      </w:r>
      <w:r w:rsidR="00385BC9" w:rsidRPr="00696681">
        <w:rPr>
          <w:rFonts w:eastAsia="Calibri"/>
        </w:rPr>
        <w:t>R. J. 1</w:t>
      </w:r>
      <w:r w:rsidRPr="00696681">
        <w:rPr>
          <w:rFonts w:eastAsia="Calibri"/>
        </w:rPr>
        <w:t xml:space="preserve"> veiksmus, vadovaujant draugovininkams pastatų šturmo metu, visiškai nepagrįstai prilygino veiksmams, kuriuos atliko kiti asmenys planuodami karinę operaciją. Be to, teismo nuosprendžio nustatomojoje dalyje, nepagrįstai nurodyta, kad draugovininkų veiksmus pastatų šturmo metu be kitų asmenų kontroliavo bei koordinavo ir </w:t>
      </w:r>
      <w:r w:rsidR="00385BC9" w:rsidRPr="00696681">
        <w:rPr>
          <w:rFonts w:eastAsia="Calibri"/>
        </w:rPr>
        <w:t>R. J. 1</w:t>
      </w:r>
      <w:r w:rsidRPr="00696681">
        <w:rPr>
          <w:rFonts w:eastAsia="Calibri"/>
        </w:rPr>
        <w:t xml:space="preserve"> („Draugovininkų veiksmus kontroliavo ir koordinavo vadovavimo štabo</w:t>
      </w:r>
      <w:r w:rsidR="001D0506" w:rsidRPr="00696681">
        <w:rPr>
          <w:rFonts w:eastAsia="Calibri"/>
        </w:rPr>
        <w:t xml:space="preserve"> nariai kaltinamieji </w:t>
      </w:r>
      <w:r w:rsidR="00385BC9" w:rsidRPr="00696681">
        <w:rPr>
          <w:rFonts w:eastAsia="Calibri"/>
        </w:rPr>
        <w:t>A. N. 1</w:t>
      </w:r>
      <w:r w:rsidRPr="00696681">
        <w:rPr>
          <w:rFonts w:eastAsia="Calibri"/>
        </w:rPr>
        <w:t xml:space="preserve">, </w:t>
      </w:r>
      <w:r w:rsidR="00385BC9" w:rsidRPr="00696681">
        <w:rPr>
          <w:rFonts w:eastAsia="Calibri"/>
        </w:rPr>
        <w:t xml:space="preserve">V. Š. 1 </w:t>
      </w:r>
      <w:r w:rsidRPr="00696681">
        <w:rPr>
          <w:rFonts w:eastAsia="Calibri"/>
        </w:rPr>
        <w:t xml:space="preserve">ir </w:t>
      </w:r>
      <w:r w:rsidR="00385BC9" w:rsidRPr="00696681">
        <w:rPr>
          <w:rFonts w:eastAsia="Calibri"/>
        </w:rPr>
        <w:t>R. J. 1</w:t>
      </w:r>
      <w:r w:rsidRPr="00696681">
        <w:rPr>
          <w:rFonts w:eastAsia="Calibri"/>
        </w:rPr>
        <w:t>“</w:t>
      </w:r>
      <w:r w:rsidR="00C82DB0" w:rsidRPr="00696681">
        <w:rPr>
          <w:rFonts w:eastAsia="Calibri"/>
        </w:rPr>
        <w:t xml:space="preserve"> </w:t>
      </w:r>
      <w:r w:rsidRPr="00696681">
        <w:rPr>
          <w:rFonts w:eastAsia="Calibri"/>
        </w:rPr>
        <w:t>(nuosprendžio 15 l). Kaltinamajame akte tokie veiksmai i</w:t>
      </w:r>
      <w:r w:rsidR="001D0506" w:rsidRPr="00696681">
        <w:rPr>
          <w:rFonts w:eastAsia="Calibri"/>
        </w:rPr>
        <w:t xml:space="preserve">nkriminuoti tik </w:t>
      </w:r>
      <w:r w:rsidR="00385BC9" w:rsidRPr="00696681">
        <w:rPr>
          <w:rFonts w:eastAsia="Calibri"/>
        </w:rPr>
        <w:t xml:space="preserve">V. Š. 1 </w:t>
      </w:r>
      <w:r w:rsidR="001D0506" w:rsidRPr="00696681">
        <w:rPr>
          <w:rFonts w:eastAsia="Calibri"/>
        </w:rPr>
        <w:t xml:space="preserve">ir </w:t>
      </w:r>
      <w:r w:rsidR="00385BC9" w:rsidRPr="00696681">
        <w:rPr>
          <w:rFonts w:eastAsia="Calibri"/>
        </w:rPr>
        <w:t>A. N. 1</w:t>
      </w:r>
      <w:r w:rsidRPr="00696681">
        <w:rPr>
          <w:rFonts w:eastAsia="Calibri"/>
        </w:rPr>
        <w:t xml:space="preserve"> („Draugovininkų veiksmus kontroliavo ir koordinavo vadovavimo štabo nariai </w:t>
      </w:r>
      <w:r w:rsidR="00385BC9" w:rsidRPr="00696681">
        <w:rPr>
          <w:rFonts w:eastAsia="Calibri"/>
        </w:rPr>
        <w:t>A. N. 1</w:t>
      </w:r>
      <w:r w:rsidRPr="00696681">
        <w:rPr>
          <w:rFonts w:eastAsia="Calibri"/>
        </w:rPr>
        <w:t xml:space="preserve"> ir </w:t>
      </w:r>
      <w:r w:rsidR="00BA18FA" w:rsidRPr="00696681">
        <w:rPr>
          <w:rFonts w:eastAsia="Calibri"/>
        </w:rPr>
        <w:t>V. Š. 1</w:t>
      </w:r>
      <w:r w:rsidR="005A493E" w:rsidRPr="00696681">
        <w:rPr>
          <w:rFonts w:eastAsia="Calibri"/>
        </w:rPr>
        <w:t>“ (2015 m. </w:t>
      </w:r>
      <w:r w:rsidRPr="00696681">
        <w:rPr>
          <w:rFonts w:eastAsia="Calibri"/>
        </w:rPr>
        <w:t>rugpjūčio 20 d. kaltinamojo akto 11l.))</w:t>
      </w:r>
      <w:r w:rsidR="001D0506" w:rsidRPr="00696681">
        <w:rPr>
          <w:rFonts w:eastAsia="Calibri"/>
        </w:rPr>
        <w:t>.</w:t>
      </w:r>
      <w:r w:rsidRPr="00696681">
        <w:rPr>
          <w:rFonts w:eastAsia="Calibri"/>
        </w:rPr>
        <w:t xml:space="preserve"> Jokių įrodymų, kurie patvirtintų nuteistojo </w:t>
      </w:r>
      <w:r w:rsidR="00385BC9" w:rsidRPr="00696681">
        <w:rPr>
          <w:rFonts w:eastAsia="Calibri"/>
        </w:rPr>
        <w:t>R. J. 1</w:t>
      </w:r>
      <w:r w:rsidRPr="00696681">
        <w:rPr>
          <w:rFonts w:eastAsia="Calibri"/>
        </w:rPr>
        <w:t xml:space="preserve"> dalyvavimą planuojant karinę operaciją, pirmosios instancijos teismas neanalizavo ir neaptarė, tokie veiksmai kaltinime </w:t>
      </w:r>
      <w:r w:rsidR="00385BC9" w:rsidRPr="00696681">
        <w:rPr>
          <w:rFonts w:eastAsia="Calibri"/>
        </w:rPr>
        <w:t>R. J. 1</w:t>
      </w:r>
      <w:r w:rsidRPr="00696681">
        <w:rPr>
          <w:rFonts w:eastAsia="Calibri"/>
        </w:rPr>
        <w:t xml:space="preserve"> nebuvo inkriminuoti, todėl visos su tuo susijusios faktinės aplinkybės iš nuosprendžio šalinamos</w:t>
      </w:r>
      <w:r w:rsidRPr="000B432F">
        <w:rPr>
          <w:rFonts w:eastAsia="Calibri"/>
        </w:rPr>
        <w:t xml:space="preserve">. </w:t>
      </w:r>
    </w:p>
    <w:p w:rsidR="001D0506" w:rsidRPr="000B432F" w:rsidRDefault="00EC36F2" w:rsidP="000B432F">
      <w:pPr>
        <w:pStyle w:val="ListParagraph"/>
        <w:numPr>
          <w:ilvl w:val="0"/>
          <w:numId w:val="6"/>
        </w:numPr>
        <w:spacing w:before="120" w:after="120"/>
        <w:ind w:left="992" w:hanging="992"/>
        <w:contextualSpacing w:val="0"/>
      </w:pPr>
      <w:r w:rsidRPr="00696681">
        <w:rPr>
          <w:rFonts w:eastAsia="Calibri"/>
        </w:rPr>
        <w:t xml:space="preserve">Nuteistųjų </w:t>
      </w:r>
      <w:r w:rsidR="00385BC9" w:rsidRPr="00696681">
        <w:rPr>
          <w:rFonts w:eastAsia="Calibri"/>
        </w:rPr>
        <w:t xml:space="preserve">V. Š. 1 </w:t>
      </w:r>
      <w:r w:rsidRPr="00696681">
        <w:rPr>
          <w:rFonts w:eastAsia="Calibri"/>
        </w:rPr>
        <w:t xml:space="preserve">ir </w:t>
      </w:r>
      <w:r w:rsidR="00385BC9" w:rsidRPr="00696681">
        <w:rPr>
          <w:rFonts w:eastAsia="Calibri"/>
        </w:rPr>
        <w:t>A. N. 1</w:t>
      </w:r>
      <w:r w:rsidRPr="00696681">
        <w:rPr>
          <w:rFonts w:eastAsia="Calibri"/>
        </w:rPr>
        <w:t xml:space="preserve"> vaidmuo byloje nagrinėjamų 1991 metų įvykių metu buvo visiškai kitoks nei </w:t>
      </w:r>
      <w:r w:rsidR="00385BC9" w:rsidRPr="00696681">
        <w:rPr>
          <w:rFonts w:eastAsia="Calibri"/>
        </w:rPr>
        <w:t>R. J. 1</w:t>
      </w:r>
      <w:r w:rsidRPr="00696681">
        <w:rPr>
          <w:rFonts w:eastAsia="Calibri"/>
        </w:rPr>
        <w:t xml:space="preserve">. Jų dalyvavimas </w:t>
      </w:r>
      <w:r w:rsidRPr="00696681">
        <w:rPr>
          <w:rFonts w:eastAsia="Calibri"/>
          <w:iCs/>
        </w:rPr>
        <w:t xml:space="preserve">planuojant karinę operaciją </w:t>
      </w:r>
      <w:r w:rsidRPr="00696681">
        <w:rPr>
          <w:rFonts w:eastAsia="Calibri"/>
        </w:rPr>
        <w:t>aiškiai matomas iš išlikusių dokumentų apie LKP/TSKP veiksmus ir vaidmenį po Lietuvos Respublikos nepriklausomybės paskelbimo, liudytojų parodymų ir objektyvių TSRS valdžios veiksmų Lietuvos atžvilgiu</w:t>
      </w:r>
      <w:r w:rsidRPr="000B432F">
        <w:rPr>
          <w:rFonts w:eastAsia="Calibri"/>
        </w:rPr>
        <w:t>.</w:t>
      </w:r>
    </w:p>
    <w:p w:rsidR="00EC36F2" w:rsidRPr="00C00255" w:rsidRDefault="00EC36F2" w:rsidP="00EC36F2">
      <w:pPr>
        <w:pStyle w:val="ListParagraph"/>
        <w:numPr>
          <w:ilvl w:val="0"/>
          <w:numId w:val="6"/>
        </w:numPr>
        <w:spacing w:before="120" w:after="120"/>
        <w:ind w:left="992" w:hanging="992"/>
        <w:contextualSpacing w:val="0"/>
        <w:rPr>
          <w:szCs w:val="24"/>
        </w:rPr>
      </w:pPr>
      <w:r w:rsidRPr="00696681">
        <w:rPr>
          <w:rFonts w:eastAsia="Calibri"/>
        </w:rPr>
        <w:t>Iš byloje esančių duomenų matyti</w:t>
      </w:r>
      <w:r w:rsidRPr="00696681">
        <w:t xml:space="preserve">, kad nuteistasis </w:t>
      </w:r>
      <w:r w:rsidR="00385BC9" w:rsidRPr="00696681">
        <w:t xml:space="preserve">V. Š. 1 </w:t>
      </w:r>
      <w:r w:rsidRPr="00696681">
        <w:t xml:space="preserve">ir </w:t>
      </w:r>
      <w:r w:rsidR="00385BC9" w:rsidRPr="00696681">
        <w:t>A. N. 1</w:t>
      </w:r>
      <w:r w:rsidRPr="00696681">
        <w:t>, užimdami vienus iš aukščiausių postų partijoje, LKP/TSKP vykdytoje antivalstybinėje veikloje dalyvavo ne tik tiesiogiai, t. y. priimdami partijos nariams privalomus sprendimus, bet ir per kitas, partijos sukurtas organizacijas – LTSR piliečių komitetą</w:t>
      </w:r>
      <w:r w:rsidRPr="00696681">
        <w:rPr>
          <w:szCs w:val="24"/>
        </w:rPr>
        <w:t xml:space="preserve">, Lietuvos demokratinių jėgų kongresą, draugoves </w:t>
      </w:r>
      <w:r w:rsidRPr="00696681">
        <w:t xml:space="preserve">ir (ar) kt. Jie </w:t>
      </w:r>
      <w:r w:rsidRPr="00696681">
        <w:rPr>
          <w:color w:val="000000"/>
        </w:rPr>
        <w:t xml:space="preserve">nebuvo tik formaliais LKP/TSKP įkurtų organizacijų nariais, o veikė aktyviai ir siekė vieno ir to paties tikslo – </w:t>
      </w:r>
      <w:r w:rsidRPr="00696681">
        <w:t>nuversti teisėtą Lietuvos valdžią, įvesti prezidentinį valdymą, nuginkluoti sukarintas formuotes, jėga įvesti tarybinę tvarką Lietuvoje</w:t>
      </w:r>
      <w:r w:rsidRPr="00C00255">
        <w:t xml:space="preserve">. </w:t>
      </w:r>
    </w:p>
    <w:p w:rsidR="00EC36F2" w:rsidRPr="00C00255" w:rsidRDefault="00EC36F2" w:rsidP="00EC36F2">
      <w:pPr>
        <w:pStyle w:val="ListParagraph"/>
        <w:numPr>
          <w:ilvl w:val="0"/>
          <w:numId w:val="6"/>
        </w:numPr>
        <w:spacing w:before="120" w:after="120"/>
        <w:ind w:left="992" w:hanging="992"/>
        <w:contextualSpacing w:val="0"/>
        <w:rPr>
          <w:szCs w:val="24"/>
        </w:rPr>
      </w:pPr>
      <w:r w:rsidRPr="00696681">
        <w:rPr>
          <w:bCs/>
          <w:szCs w:val="24"/>
        </w:rPr>
        <w:t xml:space="preserve">Lietuvos Aukščiausiojo Teismo 2001 m. gruodžio 28 d. nutartyje, priimtoje jau minėtoje </w:t>
      </w:r>
      <w:r w:rsidR="00C507EF" w:rsidRPr="00696681">
        <w:rPr>
          <w:bCs/>
          <w:iCs/>
          <w:szCs w:val="24"/>
        </w:rPr>
        <w:t>M. B.</w:t>
      </w:r>
      <w:r w:rsidRPr="00696681">
        <w:rPr>
          <w:bCs/>
          <w:iCs/>
          <w:szCs w:val="24"/>
        </w:rPr>
        <w:t xml:space="preserve">, </w:t>
      </w:r>
      <w:r w:rsidR="00C507EF" w:rsidRPr="00696681">
        <w:rPr>
          <w:bCs/>
          <w:iCs/>
          <w:szCs w:val="24"/>
        </w:rPr>
        <w:t>J. K.</w:t>
      </w:r>
      <w:r w:rsidRPr="00696681">
        <w:rPr>
          <w:bCs/>
          <w:iCs/>
          <w:szCs w:val="24"/>
        </w:rPr>
        <w:t xml:space="preserve"> ir kt. byloje, </w:t>
      </w:r>
      <w:r w:rsidRPr="00696681">
        <w:rPr>
          <w:bCs/>
          <w:szCs w:val="24"/>
        </w:rPr>
        <w:t xml:space="preserve">apie </w:t>
      </w:r>
      <w:r w:rsidR="00385BC9" w:rsidRPr="00696681">
        <w:rPr>
          <w:szCs w:val="24"/>
        </w:rPr>
        <w:t xml:space="preserve">V. Š. 1 </w:t>
      </w:r>
      <w:r w:rsidR="001D0506" w:rsidRPr="00696681">
        <w:rPr>
          <w:szCs w:val="24"/>
        </w:rPr>
        <w:t xml:space="preserve">ir </w:t>
      </w:r>
      <w:r w:rsidR="00385BC9" w:rsidRPr="00696681">
        <w:rPr>
          <w:szCs w:val="24"/>
        </w:rPr>
        <w:t>A. N. 1</w:t>
      </w:r>
      <w:r w:rsidRPr="00696681">
        <w:rPr>
          <w:szCs w:val="24"/>
        </w:rPr>
        <w:t xml:space="preserve"> aktyvų dalyvavimą LKP/TSKP veikloje, be kita ko, nurodyta</w:t>
      </w:r>
      <w:r w:rsidRPr="00C00255">
        <w:rPr>
          <w:szCs w:val="24"/>
        </w:rPr>
        <w:t>:</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„&lt;...&gt; LKP/TSKP aikštėje prie Sporto rūmų 1990 03 18 organizuotame mitinge, Vilniaus mieste įkurtas TSRS piliečių komitetas Lietuvoje. Į komiteto koordinacinę grupę (prezidiumą) išrinkti </w:t>
      </w:r>
      <w:r w:rsidR="00C507EF">
        <w:rPr>
          <w:sz w:val="20"/>
          <w:szCs w:val="20"/>
        </w:rPr>
        <w:t>M. B.</w:t>
      </w:r>
      <w:r w:rsidRPr="00C00255">
        <w:rPr>
          <w:sz w:val="20"/>
          <w:szCs w:val="20"/>
        </w:rPr>
        <w:t xml:space="preserve"> (Laikinojo LKP/</w:t>
      </w:r>
      <w:r w:rsidR="005A493E">
        <w:rPr>
          <w:sz w:val="20"/>
          <w:szCs w:val="20"/>
        </w:rPr>
        <w:t>TSKP CK I-asis sekretorius), V. </w:t>
      </w:r>
      <w:r w:rsidRPr="00C00255">
        <w:rPr>
          <w:sz w:val="20"/>
          <w:szCs w:val="20"/>
        </w:rPr>
        <w:t>C</w:t>
      </w:r>
      <w:r w:rsidR="005A493E">
        <w:rPr>
          <w:sz w:val="20"/>
          <w:szCs w:val="20"/>
        </w:rPr>
        <w:t>.</w:t>
      </w:r>
      <w:r w:rsidRPr="00C00255">
        <w:rPr>
          <w:sz w:val="20"/>
          <w:szCs w:val="20"/>
        </w:rPr>
        <w:t xml:space="preserve"> (Vilniaus miesto LKP/TSKP komiteto sekretorius), </w:t>
      </w:r>
      <w:r w:rsidR="00C507EF">
        <w:rPr>
          <w:sz w:val="20"/>
          <w:szCs w:val="20"/>
        </w:rPr>
        <w:t>J. J.</w:t>
      </w:r>
      <w:r w:rsidR="005A493E">
        <w:rPr>
          <w:sz w:val="20"/>
          <w:szCs w:val="20"/>
        </w:rPr>
        <w:t xml:space="preserve"> (CK </w:t>
      </w:r>
      <w:r w:rsidRPr="00C00255">
        <w:rPr>
          <w:sz w:val="20"/>
          <w:szCs w:val="20"/>
        </w:rPr>
        <w:t xml:space="preserve">ideologinio skyriaus vedėjas), </w:t>
      </w:r>
      <w:r w:rsidR="00C507EF">
        <w:rPr>
          <w:sz w:val="20"/>
          <w:szCs w:val="20"/>
        </w:rPr>
        <w:t>J. K.</w:t>
      </w:r>
      <w:r w:rsidRPr="00C00255">
        <w:rPr>
          <w:sz w:val="20"/>
          <w:szCs w:val="20"/>
        </w:rPr>
        <w:t xml:space="preserve"> (CK sekretorius), I. K</w:t>
      </w:r>
      <w:r w:rsidR="005A493E">
        <w:rPr>
          <w:sz w:val="20"/>
          <w:szCs w:val="20"/>
        </w:rPr>
        <w:t>.</w:t>
      </w:r>
      <w:r w:rsidRPr="00C00255">
        <w:rPr>
          <w:sz w:val="20"/>
          <w:szCs w:val="20"/>
        </w:rPr>
        <w:t xml:space="preserve"> (CK ideologinio skyriaus konsultantas), </w:t>
      </w:r>
      <w:r w:rsidR="00385BC9">
        <w:rPr>
          <w:sz w:val="20"/>
          <w:szCs w:val="20"/>
        </w:rPr>
        <w:t>V. Š. 1</w:t>
      </w:r>
      <w:r w:rsidRPr="00C00255">
        <w:rPr>
          <w:sz w:val="20"/>
          <w:szCs w:val="20"/>
        </w:rPr>
        <w:t xml:space="preserve"> (CK antrasis sekretorius) ir kiti LKP/TSKP etatiniai darbuotojai;</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&lt;...&gt; Lietuvos TSR piliečių komitetų steigiamasis suvažiavimas įvyko Vilniuje 1990 m. balandžio 28 d. Suvažiavimas išrinko 63 žmonių Lietuvos TSR piliečių komitetą. Šio komiteto pirmininku išrinktas LKP/TSKP CK antrasis sekretorius </w:t>
      </w:r>
      <w:r w:rsidR="00385BC9">
        <w:rPr>
          <w:sz w:val="20"/>
          <w:szCs w:val="20"/>
        </w:rPr>
        <w:t>V. Š. 1</w:t>
      </w:r>
      <w:r w:rsidRPr="00C00255">
        <w:rPr>
          <w:sz w:val="20"/>
          <w:szCs w:val="20"/>
        </w:rPr>
        <w:t>. &lt;...&gt; LKP/TSKP vadovaujantys darbuotojai įėjo į įsteigto Lietuvos TSR piliečių komiteto sudėtį ir praktiškai jam vadovavo (t. 7, b. l. 38; t. 286, b. l. 25-34);</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Lietuvos TSR piliečių komitetų įstatuose konstatuota, kad komitetai yra „atstovaujamieji organai”, jų pagrindiniai uždaviniai yra užtikrinti, kad Lietuvos teritorijoje būtų atstatyta Lietuvos TSR, TSRS Konstitucijų veikimas, būtų vykdomi tarybiniai įstatymai ir kiti Tarybų Sąjungos aukščiausiųjų valstybinės valdžios ir valdymo organų aktai. </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&lt;...&gt; Piliečių komiteto pirmininkas </w:t>
      </w:r>
      <w:r w:rsidR="00385BC9">
        <w:rPr>
          <w:sz w:val="20"/>
          <w:szCs w:val="20"/>
        </w:rPr>
        <w:t>V. Š. 1</w:t>
      </w:r>
      <w:r w:rsidRPr="00C00255">
        <w:rPr>
          <w:sz w:val="20"/>
          <w:szCs w:val="20"/>
        </w:rPr>
        <w:t xml:space="preserve"> suformulavo Piliečių komiteto tikslus</w:t>
      </w:r>
      <w:r w:rsidR="005A493E">
        <w:rPr>
          <w:sz w:val="20"/>
          <w:szCs w:val="20"/>
        </w:rPr>
        <w:t>: siekti paleisti Aukščiausiąją </w:t>
      </w:r>
      <w:r w:rsidRPr="00C00255">
        <w:rPr>
          <w:sz w:val="20"/>
          <w:szCs w:val="20"/>
        </w:rPr>
        <w:t>Tarybą, atstatydinti Vyriausybę; darbo kolektyvai turi paimti savo nuosavybėn įmones ir stoti į Laisvųjų verslininkų asociaciją; paskelbti nacionalinius-teritorinius junginius, teritorijas su ypatingu statusu Respublikoje (autonominius junginius) (t. 286, b. l. 1; t. 287, b. l. 62-67);</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Lietuvos TSR piliečių komiteto IV-oje sesijoje, įvykusioje 1990 11 17, kom</w:t>
      </w:r>
      <w:r w:rsidR="001D0506" w:rsidRPr="00C00255">
        <w:rPr>
          <w:sz w:val="20"/>
          <w:szCs w:val="20"/>
        </w:rPr>
        <w:t xml:space="preserve">iteto pirmininkas </w:t>
      </w:r>
      <w:r w:rsidR="00385BC9">
        <w:rPr>
          <w:sz w:val="20"/>
          <w:szCs w:val="20"/>
        </w:rPr>
        <w:t>V. Š. 1</w:t>
      </w:r>
      <w:r w:rsidRPr="00C00255">
        <w:rPr>
          <w:sz w:val="20"/>
          <w:szCs w:val="20"/>
        </w:rPr>
        <w:t xml:space="preserve"> nurodė, kad dabartiniame etape svarbiausi Piliečių komitetų uždaviniai – “…pasiekti, kad būtų paleista Respublikos Aukščiausioji Taryba ir atstatydinti Vyriausybę, kad organizacijų ir įstaigų kolektyvai, teritoriniai junginiai paskelbtų apie TSRS ir Lietuvos TSR Konstitucijų galiojimą junginių teritorijose</w:t>
      </w:r>
      <w:r w:rsidR="005A493E">
        <w:rPr>
          <w:sz w:val="20"/>
          <w:szCs w:val="20"/>
        </w:rPr>
        <w:t xml:space="preserve"> (Šalčininkų raj.)“ (t. 286, b. </w:t>
      </w:r>
      <w:r w:rsidRPr="00C00255">
        <w:rPr>
          <w:sz w:val="20"/>
          <w:szCs w:val="20"/>
        </w:rPr>
        <w:t>l. 169-187);</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Vilniaus miesto Piliečių komiteto 1990 11 30 sesijoje priimta Rezoliucija, kurioje prašoma TSRS Gynybos ministro </w:t>
      </w:r>
      <w:r w:rsidR="00385BC9">
        <w:rPr>
          <w:sz w:val="20"/>
          <w:szCs w:val="20"/>
        </w:rPr>
        <w:t>D. J.</w:t>
      </w:r>
      <w:r w:rsidRPr="00C00255">
        <w:rPr>
          <w:sz w:val="20"/>
          <w:szCs w:val="20"/>
        </w:rPr>
        <w:t xml:space="preserve"> ir TSRS VRM ministro </w:t>
      </w:r>
      <w:r w:rsidR="00C507EF">
        <w:rPr>
          <w:sz w:val="20"/>
          <w:szCs w:val="20"/>
        </w:rPr>
        <w:t>B. P.</w:t>
      </w:r>
      <w:r w:rsidRPr="00C00255">
        <w:rPr>
          <w:sz w:val="20"/>
          <w:szCs w:val="20"/>
        </w:rPr>
        <w:t xml:space="preserve"> jėga įvesti reikiamą tvarką Lietuvoje. Ši rezoliucija adresuota TSRS Prezidentui, TSRS Aukščiausiosios Tarybos Pirmininkui, TSRS Min</w:t>
      </w:r>
      <w:r w:rsidR="005A493E">
        <w:rPr>
          <w:sz w:val="20"/>
          <w:szCs w:val="20"/>
        </w:rPr>
        <w:t>istrų Tarybos Pirmininkui, TSRS </w:t>
      </w:r>
      <w:r w:rsidRPr="00C00255">
        <w:rPr>
          <w:sz w:val="20"/>
          <w:szCs w:val="20"/>
        </w:rPr>
        <w:t>Generaliniam prokurorui, TSRS Gynybos ir Vidaus reikalų ministrams (t. 138, b. l. 117-124);</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Lietuvos TSR piliečių komiteto organizatoriai siekė, kad šis komitetas TSRS Aukščiausiojoje Taryboje atstovautų Lietuvos gyventojų interesus ir realiai vykdė šių tikslų įgyvendinimą;</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Piliečių komiteto pirmininkas </w:t>
      </w:r>
      <w:r w:rsidR="00385BC9">
        <w:rPr>
          <w:sz w:val="20"/>
          <w:szCs w:val="20"/>
        </w:rPr>
        <w:t>V. Š. 1</w:t>
      </w:r>
      <w:r w:rsidRPr="00C00255">
        <w:rPr>
          <w:sz w:val="20"/>
          <w:szCs w:val="20"/>
        </w:rPr>
        <w:t>, pirmin</w:t>
      </w:r>
      <w:r w:rsidR="005A493E">
        <w:rPr>
          <w:sz w:val="20"/>
          <w:szCs w:val="20"/>
        </w:rPr>
        <w:t>inko pavaduotojai V. </w:t>
      </w:r>
      <w:r w:rsidRPr="00C00255">
        <w:rPr>
          <w:sz w:val="20"/>
          <w:szCs w:val="20"/>
        </w:rPr>
        <w:t>D</w:t>
      </w:r>
      <w:r w:rsidR="005A493E">
        <w:rPr>
          <w:sz w:val="20"/>
          <w:szCs w:val="20"/>
        </w:rPr>
        <w:t>.</w:t>
      </w:r>
      <w:r w:rsidRPr="00C00255">
        <w:rPr>
          <w:sz w:val="20"/>
          <w:szCs w:val="20"/>
        </w:rPr>
        <w:t xml:space="preserve"> ir </w:t>
      </w:r>
      <w:r w:rsidR="00C507EF">
        <w:rPr>
          <w:sz w:val="20"/>
          <w:szCs w:val="20"/>
        </w:rPr>
        <w:t>J. J.</w:t>
      </w:r>
      <w:r w:rsidRPr="00C00255">
        <w:rPr>
          <w:sz w:val="20"/>
          <w:szCs w:val="20"/>
        </w:rPr>
        <w:t xml:space="preserve"> prašė patvirtinti minėto komiteto atstovybę prie TSRS Aukščiausiosios Tarybos, visus Lietuvos ateities klausimus, liečiančius TSRS piliečių interesus, nagrinėti ir spręsti būtinai dalyvaujant šiam komitetui &lt;...&gt;.</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&lt;...&gt; Piliečių komitetai buvo įkurti tik formaliai. Praktiškai jiems vadovavo LKP/TSKP etatiniai darbuotojai ir aktyvistai. Komitetai buvo tik priedanga LKP/TSKP tikslams įgyvendinti. Nuo pat jų įkūrimo šie komitetai pasireiškė antivalstybinės organizacijos požymiais, skelbė tuos pačius uždavinius kaip LKP/TSKP – siekė nuversti teisėtą valdžią, įvesti prezidentinį valdymą, nuginkluoti sukarintas formuotes, jėga įvesti tarybinę tvarką Lietuvoje. </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&lt;...&gt; Vilniaus apygardos teismas, įvertinęs byloje surinktus įrodymus, pagrįstai sprendė, kad Lietuvos demokratinių jėgų kongresas BK 70 str. prasme yra antivalstybinė organizacija, &lt;...&gt;. Kongresas sukurtas tam, kad sudarytų įvaizdį, jog LKP/TSKP palaiko Lietuvos inteligentija bei kiti visuomenės sluoksniai. Kongreso pirmininku buvo išrinktas </w:t>
      </w:r>
      <w:r w:rsidR="00C507EF">
        <w:rPr>
          <w:sz w:val="20"/>
          <w:szCs w:val="20"/>
        </w:rPr>
        <w:t>M. B.</w:t>
      </w:r>
      <w:r w:rsidRPr="00C00255">
        <w:rPr>
          <w:sz w:val="20"/>
          <w:szCs w:val="20"/>
        </w:rPr>
        <w:t xml:space="preserve">, pirmininko pavaduotojais </w:t>
      </w:r>
      <w:r w:rsidR="00BA18FA">
        <w:rPr>
          <w:sz w:val="20"/>
          <w:szCs w:val="20"/>
        </w:rPr>
        <w:t>LKP/TSKP sekretoriai A. </w:t>
      </w:r>
      <w:r w:rsidRPr="00C00255">
        <w:rPr>
          <w:sz w:val="20"/>
          <w:szCs w:val="20"/>
        </w:rPr>
        <w:t>Š</w:t>
      </w:r>
      <w:r w:rsidR="00BA18FA">
        <w:rPr>
          <w:sz w:val="20"/>
          <w:szCs w:val="20"/>
        </w:rPr>
        <w:t>.</w:t>
      </w:r>
      <w:r w:rsidRPr="00C00255">
        <w:rPr>
          <w:sz w:val="20"/>
          <w:szCs w:val="20"/>
        </w:rPr>
        <w:t xml:space="preserve">, </w:t>
      </w:r>
      <w:r w:rsidR="00C507EF">
        <w:rPr>
          <w:sz w:val="20"/>
          <w:szCs w:val="20"/>
        </w:rPr>
        <w:t>J. K.</w:t>
      </w:r>
      <w:r w:rsidRPr="00C00255">
        <w:rPr>
          <w:sz w:val="20"/>
          <w:szCs w:val="20"/>
        </w:rPr>
        <w:t xml:space="preserve">, CK nariai </w:t>
      </w:r>
      <w:r w:rsidR="00385BC9">
        <w:rPr>
          <w:sz w:val="20"/>
          <w:szCs w:val="20"/>
        </w:rPr>
        <w:t>A. N. 1</w:t>
      </w:r>
      <w:r w:rsidR="005A493E">
        <w:rPr>
          <w:sz w:val="20"/>
          <w:szCs w:val="20"/>
        </w:rPr>
        <w:t>, V. </w:t>
      </w:r>
      <w:r w:rsidRPr="00C00255">
        <w:rPr>
          <w:sz w:val="20"/>
          <w:szCs w:val="20"/>
        </w:rPr>
        <w:t>L</w:t>
      </w:r>
      <w:r w:rsidR="005A493E">
        <w:rPr>
          <w:sz w:val="20"/>
          <w:szCs w:val="20"/>
        </w:rPr>
        <w:t>.</w:t>
      </w:r>
      <w:r w:rsidRPr="00C00255">
        <w:rPr>
          <w:sz w:val="20"/>
          <w:szCs w:val="20"/>
        </w:rPr>
        <w:t xml:space="preserve"> ir kiti. Šio Kongreso ir LKP/TSKP Vilniaus miesto komiteto vardu buvo išspausdinti kvietimai į 1991 m. sausio mėn. 9 d. 16.00 val. miting</w:t>
      </w:r>
      <w:r w:rsidR="005A493E">
        <w:rPr>
          <w:sz w:val="20"/>
          <w:szCs w:val="20"/>
        </w:rPr>
        <w:t>ą (t. 146, b. l. 253). Per 1991 m. </w:t>
      </w:r>
      <w:r w:rsidRPr="00C00255">
        <w:rPr>
          <w:sz w:val="20"/>
          <w:szCs w:val="20"/>
        </w:rPr>
        <w:t xml:space="preserve">sausio įvykius Kongreso vardu buvo paskelbta eilė dokumentų, tame tarpe ir apie LNGK įkūrimą. </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 xml:space="preserve">&lt;...&gt; LKP (TSKP) vadovybė &lt;...&gt; remdamasi Lietuvos teritorijoje negaliojančiomis LTSR ir TSRS Konstitucijomis, organizavo ir vykdė kitos valstybės – TSRS referendumą Lietuvoje. 1991 m. vasario 28 d. LKP (TSKP) CK biuro nutarimu miestų ir rajonų partijos komitetai buvo įpareigoti paruošti ir įgyvendinti konkrečius kompleksinių priemonių planus TSRS referendumui Lietuvoje organizuoti bei vykdyti. Biuro nutarimu referendumo organizavimo klausimais duoti imperatyvūs nurodymai LKP (TSKP) CK politikos ir teisės skyriaus vadovui </w:t>
      </w:r>
      <w:r w:rsidR="00385BC9">
        <w:rPr>
          <w:sz w:val="20"/>
          <w:szCs w:val="20"/>
        </w:rPr>
        <w:t>A. N. 1</w:t>
      </w:r>
      <w:r w:rsidRPr="00C00255">
        <w:rPr>
          <w:sz w:val="20"/>
          <w:szCs w:val="20"/>
        </w:rPr>
        <w:t>.</w:t>
      </w:r>
    </w:p>
    <w:p w:rsidR="00EC36F2" w:rsidRPr="00C00255" w:rsidRDefault="00EC36F2" w:rsidP="00EC36F2">
      <w:pPr>
        <w:pStyle w:val="NormalWeb"/>
        <w:spacing w:before="120" w:beforeAutospacing="0" w:after="120" w:afterAutospacing="0"/>
        <w:ind w:left="1276"/>
        <w:rPr>
          <w:sz w:val="20"/>
          <w:szCs w:val="20"/>
        </w:rPr>
      </w:pPr>
      <w:r w:rsidRPr="00C00255">
        <w:rPr>
          <w:sz w:val="20"/>
          <w:szCs w:val="20"/>
        </w:rPr>
        <w:t>&lt;...&gt; LKP (TSKP) ir jos vadovų veikla organizuojant ir vykdant 1991 m. kovo 17 d. TSRS referendumą Lietuvoje buvo kėsinamasi į Lietuvos Respublikos konstitucinę santvarką, siekiama apriboti suverenias Lietuvos valstybės galias.“</w:t>
      </w:r>
    </w:p>
    <w:p w:rsidR="00EC36F2" w:rsidRPr="00C00255" w:rsidRDefault="00EC36F2" w:rsidP="00EC36F2">
      <w:pPr>
        <w:pStyle w:val="ListParagraph"/>
        <w:numPr>
          <w:ilvl w:val="0"/>
          <w:numId w:val="6"/>
        </w:numPr>
        <w:spacing w:before="120" w:after="120"/>
        <w:ind w:left="992" w:hanging="992"/>
        <w:contextualSpacing w:val="0"/>
      </w:pPr>
      <w:r w:rsidRPr="00696681">
        <w:rPr>
          <w:rFonts w:eastAsia="Calibri"/>
        </w:rPr>
        <w:t xml:space="preserve">Taigi </w:t>
      </w:r>
      <w:r w:rsidRPr="00696681">
        <w:rPr>
          <w:bCs/>
        </w:rPr>
        <w:t xml:space="preserve">minėtoje byloje, be kita ko, nustatyta, kad </w:t>
      </w:r>
      <w:r w:rsidRPr="00696681">
        <w:t xml:space="preserve">Lietuvos TSR piliečių komiteto, kaip ir visos LKP/TSKP veikla buvo antivalstybinė, o jo pirmininku išrinktas </w:t>
      </w:r>
      <w:r w:rsidRPr="00696681">
        <w:rPr>
          <w:bCs/>
        </w:rPr>
        <w:t xml:space="preserve">LKP/TSKP CK antrasis sekretorius </w:t>
      </w:r>
      <w:r w:rsidR="00385BC9" w:rsidRPr="00696681">
        <w:rPr>
          <w:bCs/>
        </w:rPr>
        <w:t>V. Š. 1</w:t>
      </w:r>
      <w:r w:rsidRPr="00696681">
        <w:rPr>
          <w:bCs/>
        </w:rPr>
        <w:t xml:space="preserve"> buvo ne formalus, bet aktyvus jo dalyvis</w:t>
      </w:r>
      <w:r w:rsidRPr="00C00255">
        <w:rPr>
          <w:bCs/>
        </w:rPr>
        <w:t>.</w:t>
      </w:r>
    </w:p>
    <w:p w:rsidR="00EC36F2" w:rsidRPr="000B432F" w:rsidRDefault="00EC36F2" w:rsidP="00EC36F2">
      <w:pPr>
        <w:pStyle w:val="ListParagraph"/>
        <w:numPr>
          <w:ilvl w:val="0"/>
          <w:numId w:val="6"/>
        </w:numPr>
        <w:spacing w:before="120" w:after="120"/>
        <w:ind w:left="992" w:hanging="992"/>
        <w:contextualSpacing w:val="0"/>
      </w:pPr>
      <w:r w:rsidRPr="00696681">
        <w:t xml:space="preserve">Nuteistasis </w:t>
      </w:r>
      <w:r w:rsidR="00385BC9" w:rsidRPr="00696681">
        <w:t>V. Š. 1</w:t>
      </w:r>
      <w:r w:rsidRPr="00696681">
        <w:t xml:space="preserve"> teisiamajame posėdyje apklaustas nebuvo, tačiau iš jo teisme paskelbtų parodymų, duotų ikiteisminio tyrimo metu, kur jis buvo apklaustas liudytoju (t. 284, b. l. 1–6, 7–9, 10–22, 23–36, 82–84, 85–86, 87–89, 107–121, 151–154), ir teismui nuteistojo </w:t>
      </w:r>
      <w:r w:rsidR="00385BC9" w:rsidRPr="00696681">
        <w:t>V. Š. 1</w:t>
      </w:r>
      <w:r w:rsidRPr="00696681">
        <w:t xml:space="preserve"> gynėjo pateikto nuteistojo vardu surašyto paskutinio žodžio, kur</w:t>
      </w:r>
      <w:r w:rsidR="005A493E" w:rsidRPr="00696681">
        <w:t>is pridėtas prie bylos (t. 768, b. </w:t>
      </w:r>
      <w:r w:rsidRPr="00696681">
        <w:t xml:space="preserve">l. 1–157), matyti, kad </w:t>
      </w:r>
      <w:r w:rsidR="00385BC9" w:rsidRPr="00696681">
        <w:t>V. Š. 1</w:t>
      </w:r>
      <w:r w:rsidRPr="00696681">
        <w:t xml:space="preserve"> neneigė buvęs išrinktas LTSR piliečių komiteto pirmininku ir Lietuvos demokratinių jėgų kongreso (LDJK) pirmininko </w:t>
      </w:r>
      <w:r w:rsidR="00C507EF" w:rsidRPr="00696681">
        <w:t>M. B.</w:t>
      </w:r>
      <w:r w:rsidRPr="00696681">
        <w:t xml:space="preserve"> pavaduotoju, pripažino, jog jis </w:t>
      </w:r>
      <w:r w:rsidRPr="00696681">
        <w:rPr>
          <w:rFonts w:eastAsia="Calibri"/>
        </w:rPr>
        <w:t xml:space="preserve">asmeniškai paruošė planą dėl Lietuvos TSR Piliečių komiteto tikslų ir veiklos taktikos, kuriame numatė pasiekti Lietuvos Parlamento atsistatydinimą, nacionalinių </w:t>
      </w:r>
      <w:r w:rsidRPr="00696681">
        <w:t>–</w:t>
      </w:r>
      <w:r w:rsidRPr="00696681">
        <w:rPr>
          <w:rFonts w:eastAsia="Calibri"/>
        </w:rPr>
        <w:t xml:space="preserve"> teritorinių vienetų įkūrimą, teritorijų su ypatingu statusu paskelbimą ir kitus tikslus. Visgi esminiu apeliacinio skundo argumentu pareikštų kaltinimų kontekste yra tai, kad, nepaisant </w:t>
      </w:r>
      <w:r w:rsidR="00385BC9" w:rsidRPr="00696681">
        <w:rPr>
          <w:rFonts w:eastAsia="Calibri"/>
        </w:rPr>
        <w:t>V. Š. 1</w:t>
      </w:r>
      <w:r w:rsidRPr="00696681">
        <w:rPr>
          <w:rFonts w:eastAsia="Calibri"/>
        </w:rPr>
        <w:t xml:space="preserve"> dalyvavimo LKP/TSKP veikloje, byloje nėra jokių įrodymų apie jo siekį jėga nuversti Lietuvos valdžią. Tokie apeliacinio skundo argumentai nepagrįsti, nes byloje surinkti įrodymai leidžia daryti išvadą, kad nuteistasis </w:t>
      </w:r>
      <w:r w:rsidR="00385BC9" w:rsidRPr="00696681">
        <w:rPr>
          <w:rFonts w:eastAsia="Calibri"/>
        </w:rPr>
        <w:t>V. Š. 1</w:t>
      </w:r>
      <w:r w:rsidRPr="00696681">
        <w:rPr>
          <w:rFonts w:eastAsia="Calibri"/>
        </w:rPr>
        <w:t xml:space="preserve"> pritarė visoms LKP/TSKP pasirinktoms savo tikslų įgyvendinimo priemonėms ir pats kėlė tikslus, kurių įgyvendinimas nebuvo įmanomas be prievartos panaudojimo</w:t>
      </w:r>
      <w:r w:rsidRPr="000B432F">
        <w:rPr>
          <w:rFonts w:eastAsia="Calibri"/>
        </w:rPr>
        <w:t xml:space="preserve">. </w:t>
      </w:r>
    </w:p>
    <w:p w:rsidR="00EC36F2" w:rsidRPr="00C00255" w:rsidRDefault="00EC36F2" w:rsidP="00EC36F2">
      <w:pPr>
        <w:pStyle w:val="ListParagraph"/>
        <w:numPr>
          <w:ilvl w:val="0"/>
          <w:numId w:val="6"/>
        </w:numPr>
        <w:spacing w:before="120" w:after="120"/>
        <w:ind w:left="992" w:hanging="992"/>
        <w:contextualSpacing w:val="0"/>
      </w:pPr>
      <w:r w:rsidRPr="00696681">
        <w:rPr>
          <w:rFonts w:eastAsia="Calibri"/>
        </w:rPr>
        <w:t xml:space="preserve">Kaip jau minėta cituotame LAT sprendime, </w:t>
      </w:r>
      <w:r w:rsidR="00385BC9" w:rsidRPr="00696681">
        <w:t>V. Š. 1</w:t>
      </w:r>
      <w:r w:rsidRPr="00696681">
        <w:t xml:space="preserve"> veikdamas kaip piliečių komiteto pirmininkas suformulavo šio komiteto tikslus: siekti paleisti Aukščiausiąją Tarybą, atstatydinti Vyriausybę; darbo kolektyvai turi paimti savo nuosavybėn įmones ir kt. Lietuvos TSR piliečių komiteto IV-oje sesijoje, įvykusioje 1990 m. lapkričio 17 d., </w:t>
      </w:r>
      <w:r w:rsidR="00385BC9" w:rsidRPr="00696681">
        <w:t>V. Š. 1</w:t>
      </w:r>
      <w:r w:rsidRPr="00696681">
        <w:t xml:space="preserve"> nurodė, kad tuo metu svarbiausi Piliečių komitetų uždaviniai – “…pasiekti, kad būtų paleista Respublikos Aukščiausioji Taryba ir atstatydinti Vyriausybę &lt;...&gt;“, o jau netrukus po to, Vilniaus miesto piliečių komiteto 1990 m. lapkričio 30 d. sesijoje buvo priimta Rezoliucija, kurioje prašoma TSRS gynybos ministro </w:t>
      </w:r>
      <w:r w:rsidR="00385BC9" w:rsidRPr="00696681">
        <w:t>D. J.</w:t>
      </w:r>
      <w:r w:rsidRPr="00696681">
        <w:t xml:space="preserve"> ir TSRS VRM ministro </w:t>
      </w:r>
      <w:r w:rsidR="00C507EF" w:rsidRPr="00696681">
        <w:t>B. P.</w:t>
      </w:r>
      <w:r w:rsidRPr="00696681">
        <w:t xml:space="preserve"> jėga įvesti reikiamą tvarką Lietuvoje. Buvo s</w:t>
      </w:r>
      <w:r w:rsidRPr="00696681">
        <w:rPr>
          <w:rFonts w:eastAsia="Calibri"/>
        </w:rPr>
        <w:t>iūloma įpareigoti Pabaltijo karinės apygardos ir TSRS VRM vidaus kariuomenės vadovybes imtis energingų priemonių nuginkluojant nacionalistinius darinius, užtikrinti visuomenės saugumą bei turto ir kultūros paveldo ap</w:t>
      </w:r>
      <w:r w:rsidR="005A493E" w:rsidRPr="00696681">
        <w:rPr>
          <w:rFonts w:eastAsia="Calibri"/>
        </w:rPr>
        <w:t>saugą; taip pat kreiptis į TSRS </w:t>
      </w:r>
      <w:r w:rsidRPr="00696681">
        <w:rPr>
          <w:rFonts w:eastAsia="Calibri"/>
        </w:rPr>
        <w:t>generalinį prokurorą pradėti baudžiamąjį persekiojimą O</w:t>
      </w:r>
      <w:r w:rsidR="00DD1A27" w:rsidRPr="00696681">
        <w:rPr>
          <w:rFonts w:eastAsia="Calibri"/>
        </w:rPr>
        <w:t>.</w:t>
      </w:r>
      <w:r w:rsidRPr="00696681">
        <w:rPr>
          <w:rFonts w:eastAsia="Calibri"/>
        </w:rPr>
        <w:t>, L</w:t>
      </w:r>
      <w:r w:rsidR="00DD1A27" w:rsidRPr="00696681">
        <w:rPr>
          <w:rFonts w:eastAsia="Calibri"/>
        </w:rPr>
        <w:t>.</w:t>
      </w:r>
      <w:r w:rsidRPr="00696681">
        <w:rPr>
          <w:rFonts w:eastAsia="Calibri"/>
        </w:rPr>
        <w:t>, M</w:t>
      </w:r>
      <w:r w:rsidR="00DD1A27" w:rsidRPr="00696681">
        <w:rPr>
          <w:rFonts w:eastAsia="Calibri"/>
        </w:rPr>
        <w:t>.</w:t>
      </w:r>
      <w:r w:rsidRPr="00696681">
        <w:rPr>
          <w:rFonts w:eastAsia="Calibri"/>
        </w:rPr>
        <w:t>, B</w:t>
      </w:r>
      <w:r w:rsidR="00DD1A27" w:rsidRPr="00696681">
        <w:rPr>
          <w:rFonts w:eastAsia="Calibri"/>
        </w:rPr>
        <w:t>.</w:t>
      </w:r>
      <w:r w:rsidRPr="00696681">
        <w:rPr>
          <w:rFonts w:eastAsia="Calibri"/>
        </w:rPr>
        <w:t xml:space="preserve"> ir kt. atžvilgiu dėl propagandos ar pilietinio karo organizavimo. </w:t>
      </w:r>
      <w:r w:rsidRPr="00696681">
        <w:t xml:space="preserve">Ši rezoliucija buvo adresuota TSRS Prezidentui, TSRS Aukščiausiosios Tarybos pirmininkui, TSRS Ministrų Tarybos pirmininkui, TSRS generaliniam prokurorui, TSRS gynybos ir vidaus reikalų ministrams (t. 138, b. l. 117–124; t. 389, b. l. 50). Minėtas kreipimasis buvo pagrindas TSRS gynybos ministrui </w:t>
      </w:r>
      <w:r w:rsidR="00385BC9" w:rsidRPr="00696681">
        <w:t>D. J.</w:t>
      </w:r>
      <w:r w:rsidRPr="00696681">
        <w:t xml:space="preserve"> ir TSRS VRM ministrui </w:t>
      </w:r>
      <w:r w:rsidR="00C507EF" w:rsidRPr="00696681">
        <w:t>B. P.</w:t>
      </w:r>
      <w:r w:rsidRPr="00696681">
        <w:t xml:space="preserve"> imtis aktyvių veiksmų, planuojant ir rengiant karinę operaciją prieš Lietuvos valstybę, todėl tokių byloje surinktų įrodymų kontekste gynybos teiginiai apie </w:t>
      </w:r>
      <w:r w:rsidR="00385BC9" w:rsidRPr="00696681">
        <w:t>V. Š. 1</w:t>
      </w:r>
      <w:r w:rsidRPr="00696681">
        <w:t xml:space="preserve"> nepritarimą jėgos panaudojimui yra aiškiai deklaratyvūs ir atmestini</w:t>
      </w:r>
      <w:r w:rsidRPr="00C00255">
        <w:t>.</w:t>
      </w:r>
    </w:p>
    <w:p w:rsidR="00EC36F2" w:rsidRPr="00C00255" w:rsidRDefault="00EC36F2" w:rsidP="00EC36F2">
      <w:pPr>
        <w:pStyle w:val="ListParagraph"/>
        <w:numPr>
          <w:ilvl w:val="0"/>
          <w:numId w:val="6"/>
        </w:numPr>
        <w:spacing w:before="120" w:after="120"/>
        <w:ind w:left="992" w:hanging="992"/>
        <w:contextualSpacing w:val="0"/>
      </w:pPr>
      <w:r w:rsidRPr="00696681">
        <w:t xml:space="preserve">Be to, iš byloje esančių rašytinių dokumentų ir liudytojų parodymų matyti, kad nuteistasis </w:t>
      </w:r>
      <w:r w:rsidR="00385BC9" w:rsidRPr="00696681">
        <w:t>V. Š. 1</w:t>
      </w:r>
      <w:r w:rsidRPr="00696681">
        <w:t xml:space="preserve"> veikė kaip vienas aukščiausių </w:t>
      </w:r>
      <w:r w:rsidRPr="00696681">
        <w:rPr>
          <w:rFonts w:eastAsia="Calibri"/>
        </w:rPr>
        <w:t>LKP/TSKP</w:t>
      </w:r>
      <w:r w:rsidRPr="00696681">
        <w:t xml:space="preserve"> atstovų, siekė dalyvauti ir dalyvavo sprendžiant Lietuvos ateities klausimus Maskvoje su aukščiausia TSRS valdžia. </w:t>
      </w:r>
      <w:r w:rsidRPr="00696681">
        <w:rPr>
          <w:color w:val="000000"/>
        </w:rPr>
        <w:t xml:space="preserve">Byloje esantis LTSR piliečių komiteto kreipimasis į TSRS prezidentą </w:t>
      </w:r>
      <w:r w:rsidR="00DD1A27" w:rsidRPr="00696681">
        <w:rPr>
          <w:color w:val="000000"/>
        </w:rPr>
        <w:t>M. G.</w:t>
      </w:r>
      <w:r w:rsidRPr="00696681">
        <w:rPr>
          <w:color w:val="000000"/>
        </w:rPr>
        <w:t xml:space="preserve"> ir pareiškimas TSRS Aukščiausiajai Tarybai patvirtina, kad LTSR p</w:t>
      </w:r>
      <w:r w:rsidRPr="00696681">
        <w:t xml:space="preserve">iliečių komiteto pirmininkas </w:t>
      </w:r>
      <w:r w:rsidR="00385BC9" w:rsidRPr="00696681">
        <w:t>V. Š. 1</w:t>
      </w:r>
      <w:r w:rsidRPr="00696681">
        <w:t xml:space="preserve"> pasirašė pareiškimą, kuriuo prašė patvirtinti minėto komiteto atstovybę prie TSRS Aukščiausiosios Tarybos ir visus Lietuvos ateities klausimus, susijusius su TSRS piliečių interesais, nagrinėti ir spręsti būtinai dalyvaujant šiam komitetui (t. 286, b. l. 40–42, 43; t. 389, b. l. 50). Liudytojas </w:t>
      </w:r>
      <w:r w:rsidR="00DD1A27" w:rsidRPr="00696681">
        <w:t>V. L.</w:t>
      </w:r>
      <w:r w:rsidRPr="00696681">
        <w:t xml:space="preserve"> nurodė, kad Lietuvos delegacijai nuvykus į Maskvą, ten buvo ir </w:t>
      </w:r>
      <w:r w:rsidR="00385BC9" w:rsidRPr="00696681">
        <w:t>V. Š. 1</w:t>
      </w:r>
      <w:r w:rsidRPr="00696681">
        <w:t xml:space="preserve">, o Maskvos atstovai </w:t>
      </w:r>
      <w:r w:rsidRPr="00696681">
        <w:rPr>
          <w:color w:val="000000"/>
        </w:rPr>
        <w:t>siekė įtraukti LKP/TSKP atstovus į derybas kaip savo marionetes (t. 756, b.</w:t>
      </w:r>
      <w:r w:rsidR="0083329D" w:rsidRPr="00696681">
        <w:rPr>
          <w:color w:val="000000"/>
        </w:rPr>
        <w:t> </w:t>
      </w:r>
      <w:r w:rsidRPr="00696681">
        <w:rPr>
          <w:color w:val="000000"/>
        </w:rPr>
        <w:t>l. 87</w:t>
      </w:r>
      <w:r w:rsidRPr="00696681">
        <w:t>–</w:t>
      </w:r>
      <w:r w:rsidRPr="00696681">
        <w:rPr>
          <w:color w:val="000000"/>
        </w:rPr>
        <w:t xml:space="preserve">88). Šias aplinkybes patvirtina ir 1999 m. rugpjūčio 23 d. Vilniaus apygardos teismo nuosprendyje, priimtame </w:t>
      </w:r>
      <w:r w:rsidR="00C507EF" w:rsidRPr="00696681">
        <w:rPr>
          <w:bCs/>
          <w:iCs/>
        </w:rPr>
        <w:t>M. B.</w:t>
      </w:r>
      <w:r w:rsidRPr="00696681">
        <w:rPr>
          <w:bCs/>
          <w:iCs/>
        </w:rPr>
        <w:t xml:space="preserve">, </w:t>
      </w:r>
      <w:r w:rsidR="00C507EF" w:rsidRPr="00696681">
        <w:rPr>
          <w:bCs/>
          <w:iCs/>
        </w:rPr>
        <w:t>J. K.</w:t>
      </w:r>
      <w:r w:rsidRPr="00696681">
        <w:rPr>
          <w:bCs/>
          <w:iCs/>
        </w:rPr>
        <w:t xml:space="preserve"> ir kt. byloje, nurodyti </w:t>
      </w:r>
      <w:r w:rsidR="00C507EF" w:rsidRPr="00696681">
        <w:rPr>
          <w:bCs/>
          <w:iCs/>
        </w:rPr>
        <w:t>M. B.</w:t>
      </w:r>
      <w:r w:rsidRPr="00696681">
        <w:rPr>
          <w:bCs/>
          <w:iCs/>
        </w:rPr>
        <w:t xml:space="preserve"> parodymai ir jų pagrindu padaryta išvada apie tai, kad </w:t>
      </w:r>
      <w:r w:rsidRPr="00696681">
        <w:t xml:space="preserve">TSRS prezidentinio valdymo Lietuvoje įvedimo planą </w:t>
      </w:r>
      <w:r w:rsidR="00C507EF" w:rsidRPr="00696681">
        <w:t>M. B.</w:t>
      </w:r>
      <w:r w:rsidRPr="00696681">
        <w:t xml:space="preserve"> 1991 m. sausio 8 d. paliko TSRS Prezidento </w:t>
      </w:r>
      <w:r w:rsidR="00DD1A27" w:rsidRPr="00696681">
        <w:t>M. G.</w:t>
      </w:r>
      <w:r w:rsidRPr="00696681">
        <w:t xml:space="preserve"> aparato vadovui </w:t>
      </w:r>
      <w:r w:rsidR="005A493E" w:rsidRPr="00696681">
        <w:t>V. B.</w:t>
      </w:r>
      <w:r w:rsidRPr="00696681">
        <w:t xml:space="preserve">, kai lankėsi Maskvoje, kad po šio susitikimo jis kartu su </w:t>
      </w:r>
      <w:r w:rsidR="00385BC9" w:rsidRPr="00696681">
        <w:t xml:space="preserve">V. Š. 1 </w:t>
      </w:r>
      <w:r w:rsidRPr="00696681">
        <w:t>grįžo į Lietuvą, kur organizavo mitingus ir streikus (</w:t>
      </w:r>
      <w:r w:rsidR="00696681">
        <w:rPr>
          <w:bCs/>
          <w:iCs/>
        </w:rPr>
        <w:t>t. 379, b. l. </w:t>
      </w:r>
      <w:r w:rsidRPr="00696681">
        <w:rPr>
          <w:bCs/>
          <w:iCs/>
        </w:rPr>
        <w:t xml:space="preserve">78). Apie buvimą Maskvoje būtent šiuo laikotarpiu ikiteisminio tyrimo metu užsiminė ir pats </w:t>
      </w:r>
      <w:r w:rsidR="00385BC9" w:rsidRPr="00696681">
        <w:rPr>
          <w:bCs/>
          <w:iCs/>
        </w:rPr>
        <w:t>V. Š. 1</w:t>
      </w:r>
      <w:r w:rsidRPr="00696681">
        <w:rPr>
          <w:bCs/>
          <w:iCs/>
        </w:rPr>
        <w:t xml:space="preserve">. Nors jis ir neigė vykęs į susitikimą su </w:t>
      </w:r>
      <w:r w:rsidR="00DD1A27" w:rsidRPr="00696681">
        <w:rPr>
          <w:bCs/>
          <w:iCs/>
        </w:rPr>
        <w:t>M. G.</w:t>
      </w:r>
      <w:r w:rsidRPr="00696681">
        <w:rPr>
          <w:bCs/>
          <w:iCs/>
        </w:rPr>
        <w:t xml:space="preserve">, tačiau pripažino, kad žinojo apie kitų LKP/TSKP narių vykimą pas </w:t>
      </w:r>
      <w:r w:rsidR="00DD1A27" w:rsidRPr="00696681">
        <w:rPr>
          <w:bCs/>
          <w:iCs/>
        </w:rPr>
        <w:t>M. G.</w:t>
      </w:r>
      <w:r w:rsidRPr="00696681">
        <w:rPr>
          <w:bCs/>
          <w:iCs/>
        </w:rPr>
        <w:t xml:space="preserve"> (t. 284, b. l. 3, 7–8), nurodė, kad iš Maskvos grįžo tuo pačiu lėktuvu kartu su </w:t>
      </w:r>
      <w:r w:rsidR="00C507EF" w:rsidRPr="00696681">
        <w:rPr>
          <w:bCs/>
          <w:iCs/>
        </w:rPr>
        <w:t>M. B.</w:t>
      </w:r>
      <w:r w:rsidRPr="00696681">
        <w:rPr>
          <w:bCs/>
          <w:iCs/>
        </w:rPr>
        <w:t xml:space="preserve"> ir kalbėjo su juo apie tolesnius v</w:t>
      </w:r>
      <w:r w:rsidR="005A493E" w:rsidRPr="00696681">
        <w:rPr>
          <w:bCs/>
          <w:iCs/>
        </w:rPr>
        <w:t>eiksmus, organizuojant sausio 9 </w:t>
      </w:r>
      <w:r w:rsidRPr="00696681">
        <w:rPr>
          <w:bCs/>
          <w:iCs/>
        </w:rPr>
        <w:t xml:space="preserve">d. mitingą, apie </w:t>
      </w:r>
      <w:r w:rsidR="00385BC9" w:rsidRPr="00696681">
        <w:rPr>
          <w:bCs/>
          <w:iCs/>
        </w:rPr>
        <w:t>V. Š. 1</w:t>
      </w:r>
      <w:r w:rsidRPr="00696681">
        <w:rPr>
          <w:bCs/>
          <w:iCs/>
        </w:rPr>
        <w:t xml:space="preserve"> kalbą šiame mitinge ir kt. (t. 284, b. l. 28)</w:t>
      </w:r>
      <w:r w:rsidRPr="00C00255">
        <w:rPr>
          <w:bCs/>
          <w:iCs/>
        </w:rPr>
        <w:t>.</w:t>
      </w:r>
    </w:p>
    <w:p w:rsidR="00EC36F2" w:rsidRPr="00C00255" w:rsidRDefault="00EC36F2" w:rsidP="00EC36F2">
      <w:pPr>
        <w:pStyle w:val="ListParagraph"/>
        <w:numPr>
          <w:ilvl w:val="0"/>
          <w:numId w:val="6"/>
        </w:numPr>
        <w:spacing w:before="120" w:after="120"/>
        <w:ind w:left="992" w:hanging="992"/>
        <w:contextualSpacing w:val="0"/>
      </w:pPr>
      <w:r w:rsidRPr="00696681">
        <w:rPr>
          <w:color w:val="000000"/>
          <w:shd w:val="clear" w:color="auto" w:fill="FFFFFF"/>
        </w:rPr>
        <w:t xml:space="preserve">Kaip jau buvo minėta cituotame LAT sprendime, Piliečių komitetai, kaip ir komitetas, kuriam vadovavo nuteistasis </w:t>
      </w:r>
      <w:r w:rsidR="00385BC9" w:rsidRPr="00696681">
        <w:rPr>
          <w:color w:val="000000"/>
          <w:shd w:val="clear" w:color="auto" w:fill="FFFFFF"/>
        </w:rPr>
        <w:t>V. Š. 1</w:t>
      </w:r>
      <w:r w:rsidRPr="00696681">
        <w:rPr>
          <w:color w:val="000000"/>
          <w:shd w:val="clear" w:color="auto" w:fill="FFFFFF"/>
        </w:rPr>
        <w:t xml:space="preserve">, buvo tik priedanga LKP/TSKP tikslams įgyvendinti. Nuo pat jų įkūrimo šie komitetai pasireiškė antivalstybinės organizacijos požymiais, skelbė tuos pačius uždavinius kaip LKP/TSKP – siekė nuversti teisėtą valdžią, įvesti prezidentinį valdymą, nuginkluoti sukarintas formuotes, jėga įvesti tarybinę tvarką Lietuvoje. Tokia išvada apie tikslą jėga Lietuvoje įvesti tarybinę tvarką padaryta jau išnagrinėtoje </w:t>
      </w:r>
      <w:r w:rsidR="00C507EF" w:rsidRPr="00696681">
        <w:rPr>
          <w:bCs/>
          <w:iCs/>
        </w:rPr>
        <w:t>M. B.</w:t>
      </w:r>
      <w:r w:rsidRPr="00696681">
        <w:rPr>
          <w:bCs/>
          <w:iCs/>
        </w:rPr>
        <w:t xml:space="preserve">, </w:t>
      </w:r>
      <w:r w:rsidR="00C507EF" w:rsidRPr="00696681">
        <w:rPr>
          <w:bCs/>
          <w:iCs/>
        </w:rPr>
        <w:t>J. K.</w:t>
      </w:r>
      <w:r w:rsidRPr="00696681">
        <w:rPr>
          <w:bCs/>
          <w:iCs/>
        </w:rPr>
        <w:t xml:space="preserve"> ir kt. byloje</w:t>
      </w:r>
      <w:r w:rsidRPr="00696681">
        <w:rPr>
          <w:bCs/>
        </w:rPr>
        <w:t xml:space="preserve"> </w:t>
      </w:r>
      <w:r w:rsidRPr="00696681">
        <w:rPr>
          <w:bCs/>
          <w:iCs/>
        </w:rPr>
        <w:t>ir tiesiogiai nurodyta</w:t>
      </w:r>
      <w:r w:rsidRPr="00696681">
        <w:rPr>
          <w:color w:val="000000"/>
          <w:shd w:val="clear" w:color="auto" w:fill="FFFFFF"/>
        </w:rPr>
        <w:t xml:space="preserve"> </w:t>
      </w:r>
      <w:r w:rsidRPr="00696681">
        <w:rPr>
          <w:bCs/>
        </w:rPr>
        <w:t xml:space="preserve">2001 m. gruodžio 28 d. </w:t>
      </w:r>
      <w:r w:rsidRPr="00696681">
        <w:rPr>
          <w:color w:val="000000"/>
          <w:shd w:val="clear" w:color="auto" w:fill="FFFFFF"/>
        </w:rPr>
        <w:t xml:space="preserve">LAT </w:t>
      </w:r>
      <w:r w:rsidRPr="00696681">
        <w:rPr>
          <w:bCs/>
        </w:rPr>
        <w:t>sprendime</w:t>
      </w:r>
      <w:r w:rsidRPr="00696681">
        <w:rPr>
          <w:color w:val="000000"/>
          <w:shd w:val="clear" w:color="auto" w:fill="FFFFFF"/>
        </w:rPr>
        <w:t xml:space="preserve">, todėl teisėjų kolegija, </w:t>
      </w:r>
      <w:r w:rsidR="00385BC9" w:rsidRPr="00696681">
        <w:rPr>
          <w:color w:val="000000"/>
          <w:shd w:val="clear" w:color="auto" w:fill="FFFFFF"/>
        </w:rPr>
        <w:t>V. Š. 1</w:t>
      </w:r>
      <w:r w:rsidRPr="00696681">
        <w:rPr>
          <w:color w:val="000000"/>
          <w:shd w:val="clear" w:color="auto" w:fill="FFFFFF"/>
        </w:rPr>
        <w:t xml:space="preserve"> siekius vertina lygiai taip pat, kaip ir jau nustatytus LKP TSKP siekius</w:t>
      </w:r>
      <w:r w:rsidRPr="00C00255">
        <w:rPr>
          <w:color w:val="000000"/>
          <w:shd w:val="clear" w:color="auto" w:fill="FFFFFF"/>
        </w:rPr>
        <w:t>.</w:t>
      </w:r>
    </w:p>
    <w:p w:rsidR="00EC36F2" w:rsidRPr="00C00255" w:rsidRDefault="00EC36F2" w:rsidP="00EC36F2">
      <w:pPr>
        <w:pStyle w:val="ListParagraph"/>
        <w:numPr>
          <w:ilvl w:val="0"/>
          <w:numId w:val="6"/>
        </w:numPr>
        <w:spacing w:before="120" w:after="120"/>
        <w:ind w:left="992" w:hanging="992"/>
        <w:contextualSpacing w:val="0"/>
      </w:pPr>
      <w:r w:rsidRPr="00C00255">
        <w:t xml:space="preserve">Taigi akivaizdu, kad nuteistasis </w:t>
      </w:r>
      <w:r w:rsidR="00385BC9">
        <w:t>V. Š. 1</w:t>
      </w:r>
      <w:r w:rsidRPr="00C00255">
        <w:t xml:space="preserve"> ne tik buvo LKP/TSKP narys, kaip apeliaciniame skunde nurodo jo gynėjas, bet ir rėmė LKP/TSKP vykdytą politiką, pats dalyvaudamas LKP/TSKP įkurtose organizacijose, priimdamas dokumentus šių organizacijų vardu, keldamas uždavinius, kuriais siekta atkurti TSRS valdžią Lietuvoje, be kita ko, ir panaudojant jėgą. </w:t>
      </w:r>
    </w:p>
    <w:p w:rsidR="00EC36F2" w:rsidRPr="00C00255" w:rsidRDefault="00EC36F2" w:rsidP="00EC36F2">
      <w:pPr>
        <w:pStyle w:val="ListParagraph"/>
        <w:numPr>
          <w:ilvl w:val="0"/>
          <w:numId w:val="6"/>
        </w:numPr>
        <w:spacing w:before="120" w:after="120"/>
        <w:ind w:left="992" w:hanging="992"/>
        <w:contextualSpacing w:val="0"/>
      </w:pPr>
      <w:r w:rsidRPr="00696681">
        <w:t xml:space="preserve">Byloje taip pat pagrįstai nustatytas nuteistųjų </w:t>
      </w:r>
      <w:r w:rsidR="00385BC9" w:rsidRPr="00696681">
        <w:t xml:space="preserve">V. Š. 1 </w:t>
      </w:r>
      <w:r w:rsidRPr="00696681">
        <w:t xml:space="preserve">ir </w:t>
      </w:r>
      <w:r w:rsidR="00385BC9" w:rsidRPr="00696681">
        <w:t>A. N. 1</w:t>
      </w:r>
      <w:r w:rsidRPr="00696681">
        <w:t xml:space="preserve"> dalyvavimas Lietuvos demokratinių jėgų kongreso veikloje. Jau minėtoje </w:t>
      </w:r>
      <w:r w:rsidR="00C507EF" w:rsidRPr="00696681">
        <w:t>M. B.</w:t>
      </w:r>
      <w:r w:rsidRPr="00696681">
        <w:t xml:space="preserve">, </w:t>
      </w:r>
      <w:r w:rsidR="00C507EF" w:rsidRPr="00696681">
        <w:t>J. K.</w:t>
      </w:r>
      <w:r w:rsidRPr="00696681">
        <w:t xml:space="preserve"> ir kt. byloje padaryta išvada</w:t>
      </w:r>
      <w:r w:rsidRPr="00696681">
        <w:rPr>
          <w:rFonts w:eastAsia="Calibri"/>
        </w:rPr>
        <w:t xml:space="preserve">, kad </w:t>
      </w:r>
      <w:r w:rsidRPr="00696681">
        <w:t xml:space="preserve">Lietuvos demokratinių jėgų kongresas buvo įkurtas ir jam vadovavo LKP/TSKP. Kaip matyti iš bylos medžiagos, 1990 m. gruodžio 16 d. LKP/TSKP </w:t>
      </w:r>
      <w:r w:rsidR="005A493E" w:rsidRPr="00696681">
        <w:t>CK organizuotame Lietuvos </w:t>
      </w:r>
      <w:r w:rsidRPr="00696681">
        <w:t>visuomenės konsolidavimo už demokratiją</w:t>
      </w:r>
      <w:r w:rsidR="005A493E" w:rsidRPr="00696681">
        <w:t xml:space="preserve"> kongrese buvo įkurtas Lietuvos </w:t>
      </w:r>
      <w:r w:rsidRPr="00696681">
        <w:t>demokratinių jėgų kongresas (LDJK), kurio pagrindu tapo LTSR piliečių komitetas ir kitos LKP/TSKP CK sukurtos organizacijos (dauguma narių buvo tie patys LKP/TSKP funkcionieriai ir aktyvesni nariai). LDJK pirmininku buvo išrinktas</w:t>
      </w:r>
      <w:r w:rsidRPr="00696681">
        <w:rPr>
          <w:rFonts w:eastAsia="Calibri"/>
        </w:rPr>
        <w:t xml:space="preserve"> LKP/TSKP CK pirmasis sekretorius </w:t>
      </w:r>
      <w:r w:rsidR="00C507EF" w:rsidRPr="00696681">
        <w:rPr>
          <w:rFonts w:eastAsia="Calibri"/>
        </w:rPr>
        <w:t>M. B.</w:t>
      </w:r>
      <w:r w:rsidRPr="00696681">
        <w:rPr>
          <w:rFonts w:eastAsia="Calibri"/>
        </w:rPr>
        <w:t xml:space="preserve"> (t. 202, b. l. 120–140). Lietuvos demokratinių jėgų kongreso steigiamąjį susirinkimą sušaukė ir šią organizaciją įkūrė LKP/TSKP </w:t>
      </w:r>
      <w:r w:rsidRPr="00696681">
        <w:t>(</w:t>
      </w:r>
      <w:r w:rsidR="00DB7E07" w:rsidRPr="00696681">
        <w:t>LAT</w:t>
      </w:r>
      <w:r w:rsidRPr="00696681">
        <w:t xml:space="preserve"> 2001 m. gruodžio</w:t>
      </w:r>
      <w:r w:rsidR="008E4551" w:rsidRPr="00696681">
        <w:t> </w:t>
      </w:r>
      <w:r w:rsidRPr="00696681">
        <w:t xml:space="preserve">28 d. nutartis </w:t>
      </w:r>
      <w:r w:rsidR="00671CA0" w:rsidRPr="00696681">
        <w:t xml:space="preserve">baudžiamojoje </w:t>
      </w:r>
      <w:r w:rsidRPr="00696681">
        <w:t>byloje Nr. 2K-595/2001)</w:t>
      </w:r>
      <w:r w:rsidRPr="000B432F">
        <w:t>.</w:t>
      </w:r>
      <w:r w:rsidRPr="00C00255">
        <w:t xml:space="preserve"> </w:t>
      </w:r>
    </w:p>
    <w:p w:rsidR="00EC36F2" w:rsidRPr="000B432F" w:rsidRDefault="00EC36F2" w:rsidP="00EC36F2">
      <w:pPr>
        <w:pStyle w:val="ListParagraph"/>
        <w:numPr>
          <w:ilvl w:val="0"/>
          <w:numId w:val="6"/>
        </w:numPr>
        <w:spacing w:before="120" w:after="120"/>
        <w:ind w:left="992" w:hanging="992"/>
        <w:contextualSpacing w:val="0"/>
        <w:rPr>
          <w:szCs w:val="24"/>
        </w:rPr>
      </w:pPr>
      <w:r w:rsidRPr="00696681">
        <w:t xml:space="preserve">Teisėjų kolegijos įsitikinimu, Lietuvos demokratinių jėgų kongreso, </w:t>
      </w:r>
      <w:r w:rsidRPr="00696681">
        <w:rPr>
          <w:szCs w:val="24"/>
        </w:rPr>
        <w:t xml:space="preserve">kuris </w:t>
      </w:r>
      <w:r w:rsidRPr="00696681">
        <w:rPr>
          <w:rFonts w:eastAsia="Calibri"/>
          <w:szCs w:val="24"/>
        </w:rPr>
        <w:t>buvo sukurtas tam, kad sudarytų įvaizdį, jog LKP/TSKP veiklą palaiko Lietuvos inteligentija bei visuomenė, bet</w:t>
      </w:r>
      <w:r w:rsidRPr="00696681">
        <w:rPr>
          <w:szCs w:val="24"/>
        </w:rPr>
        <w:t xml:space="preserve"> iš esmės buvo LKP/TSKP ir vykdė partijos nustatytą politiką, nukreiptą prieš Lietuvos suverenitetą, pirmininko LKP/TSKP CK pirmojo sekretoriaus </w:t>
      </w:r>
      <w:r w:rsidR="00C507EF" w:rsidRPr="00696681">
        <w:rPr>
          <w:szCs w:val="24"/>
        </w:rPr>
        <w:t>M. B.</w:t>
      </w:r>
      <w:r w:rsidRPr="00696681">
        <w:rPr>
          <w:szCs w:val="24"/>
        </w:rPr>
        <w:t xml:space="preserve"> pavaduotojais išrinkti LKP/TSKP CK antrasis sekretorius </w:t>
      </w:r>
      <w:r w:rsidR="00385BC9" w:rsidRPr="00696681">
        <w:rPr>
          <w:szCs w:val="24"/>
        </w:rPr>
        <w:t>V. Š. 1</w:t>
      </w:r>
      <w:r w:rsidRPr="00696681">
        <w:rPr>
          <w:szCs w:val="24"/>
        </w:rPr>
        <w:t xml:space="preserve"> ir LKP/TSKP CK sekretorius </w:t>
      </w:r>
      <w:r w:rsidR="00385BC9" w:rsidRPr="00696681">
        <w:rPr>
          <w:szCs w:val="24"/>
        </w:rPr>
        <w:t>A. N. 1</w:t>
      </w:r>
      <w:r w:rsidRPr="00696681">
        <w:rPr>
          <w:szCs w:val="24"/>
        </w:rPr>
        <w:t xml:space="preserve"> žinojo apie </w:t>
      </w:r>
      <w:r w:rsidRPr="00696681">
        <w:rPr>
          <w:rFonts w:eastAsia="Calibri"/>
          <w:szCs w:val="24"/>
        </w:rPr>
        <w:t>LDJK uždavinius, jiems pritarė ir patys aktyviai dalyvavo juos įgyvendinant. Šią išvadą patvirtina toliau nurodytos aplinkybės</w:t>
      </w:r>
      <w:r w:rsidRPr="000B432F">
        <w:rPr>
          <w:rFonts w:eastAsia="Calibri"/>
          <w:szCs w:val="24"/>
        </w:rPr>
        <w:t>.</w:t>
      </w:r>
    </w:p>
    <w:p w:rsidR="00EC36F2" w:rsidRPr="00C00255" w:rsidRDefault="00EC36F2" w:rsidP="00EC36F2">
      <w:pPr>
        <w:pStyle w:val="ListParagraph"/>
        <w:numPr>
          <w:ilvl w:val="0"/>
          <w:numId w:val="6"/>
        </w:numPr>
        <w:spacing w:before="120" w:after="120"/>
        <w:ind w:left="992" w:hanging="992"/>
        <w:contextualSpacing w:val="0"/>
      </w:pPr>
      <w:r w:rsidRPr="00696681">
        <w:rPr>
          <w:bCs/>
        </w:rPr>
        <w:t xml:space="preserve">Minėtoje </w:t>
      </w:r>
      <w:r w:rsidR="00C507EF" w:rsidRPr="00696681">
        <w:rPr>
          <w:bCs/>
          <w:iCs/>
        </w:rPr>
        <w:t>M. B.</w:t>
      </w:r>
      <w:r w:rsidRPr="00696681">
        <w:rPr>
          <w:bCs/>
          <w:iCs/>
        </w:rPr>
        <w:t xml:space="preserve">, </w:t>
      </w:r>
      <w:r w:rsidR="00C507EF" w:rsidRPr="00696681">
        <w:rPr>
          <w:bCs/>
          <w:iCs/>
        </w:rPr>
        <w:t>J. K.</w:t>
      </w:r>
      <w:r w:rsidRPr="00696681">
        <w:rPr>
          <w:bCs/>
          <w:iCs/>
        </w:rPr>
        <w:t xml:space="preserve"> ir kt. byloje</w:t>
      </w:r>
      <w:r w:rsidRPr="00696681">
        <w:rPr>
          <w:bCs/>
        </w:rPr>
        <w:t xml:space="preserve">, be kita ko, nustatyta, kad </w:t>
      </w:r>
      <w:r w:rsidRPr="00696681">
        <w:t xml:space="preserve">per 1991 m. sausio įvykius Kongreso vardu buvo paskelbta eilė dokumentų, taip pat ir apie LNGK įkūrimą. 1991 m. sausio 11 d. LNGK pareiškė ultimatumą Lietuvos Aukščiausiosios Tarybos pirmininkui bei Ministrų Tarybos pirmininkui. Tą pačią dieną apie LNGK įkūrimą pranešė LKP/TSKP CK narys </w:t>
      </w:r>
      <w:r w:rsidR="00C507EF" w:rsidRPr="00696681">
        <w:t>J. J.</w:t>
      </w:r>
      <w:r w:rsidRPr="00696681">
        <w:t xml:space="preserve">. Sausio 12 d. per LKP/TSKP radiją ,,Tarybų Lietuva” buvo paskelbti LNGK atsišaukimai ,,LNGK kreipimasis į TSRS Aukščiausiąją Tarybą”, ,,LNGK kreipimasis į Lietuvos gyventojus” bei </w:t>
      </w:r>
      <w:r w:rsidR="00C507EF" w:rsidRPr="00696681">
        <w:t>M. B.</w:t>
      </w:r>
      <w:r w:rsidRPr="00696681">
        <w:t xml:space="preserve"> atsišaukimas ,,Į Lietuvos liaudį”. Kaip nurodė kasacinis teismas, šių dokumentų sąsaja ir antivalstybinis turinys yra akivaizdus.</w:t>
      </w:r>
      <w:r w:rsidRPr="00696681">
        <w:rPr>
          <w:rFonts w:eastAsia="Calibri"/>
        </w:rPr>
        <w:t xml:space="preserve"> </w:t>
      </w:r>
      <w:r w:rsidRPr="00696681">
        <w:rPr>
          <w:rFonts w:eastAsia="Calibri"/>
          <w:szCs w:val="24"/>
        </w:rPr>
        <w:t>Lietuvos nacionalinio gelbėjimo komiteto uždavinys buvo perimti įstatymų vykdomąją</w:t>
      </w:r>
      <w:r w:rsidRPr="00696681">
        <w:rPr>
          <w:szCs w:val="24"/>
        </w:rPr>
        <w:t xml:space="preserve"> valdžią</w:t>
      </w:r>
      <w:r w:rsidRPr="00696681">
        <w:rPr>
          <w:rFonts w:eastAsia="Calibri"/>
          <w:szCs w:val="24"/>
        </w:rPr>
        <w:t xml:space="preserve">, atkurti TSRS ir Lietuvos TSRS Konstitucijų veikimą Lietuvoje, įvedant tiesioginį TSRS prezidentinį valdymą ir komendanto valandą. Kaip nustatyta jau minėtoje </w:t>
      </w:r>
      <w:r w:rsidR="00C507EF" w:rsidRPr="00696681">
        <w:rPr>
          <w:szCs w:val="24"/>
        </w:rPr>
        <w:t>M. B.</w:t>
      </w:r>
      <w:r w:rsidRPr="00696681">
        <w:rPr>
          <w:szCs w:val="24"/>
        </w:rPr>
        <w:t xml:space="preserve">, </w:t>
      </w:r>
      <w:r w:rsidR="00C507EF" w:rsidRPr="00696681">
        <w:rPr>
          <w:szCs w:val="24"/>
        </w:rPr>
        <w:t>J. K.</w:t>
      </w:r>
      <w:r w:rsidRPr="00696681">
        <w:rPr>
          <w:szCs w:val="24"/>
        </w:rPr>
        <w:t xml:space="preserve"> ir kt. byloje,</w:t>
      </w:r>
      <w:r w:rsidRPr="00696681">
        <w:rPr>
          <w:rFonts w:eastAsia="Calibri"/>
          <w:szCs w:val="24"/>
        </w:rPr>
        <w:t xml:space="preserve"> LNGK aktyviai veikė mėginant įvykdyti perversmą 1991 m. sausio 11–13 d., </w:t>
      </w:r>
      <w:r w:rsidRPr="00696681">
        <w:rPr>
          <w:szCs w:val="24"/>
        </w:rPr>
        <w:t>L</w:t>
      </w:r>
      <w:r w:rsidRPr="00696681">
        <w:rPr>
          <w:rFonts w:eastAsia="Calibri"/>
          <w:szCs w:val="24"/>
        </w:rPr>
        <w:t>KP/TSKP aktyvistai dalyvavo LNGK veikloje, jo vardu skleisdami įvairius viešus pareiškimus per radijo stotį „Tarybų Lietuva“, skatinant jėga nuversti teisėtą Lietuvos Vyriausybę</w:t>
      </w:r>
      <w:r w:rsidRPr="00696681">
        <w:rPr>
          <w:szCs w:val="24"/>
        </w:rPr>
        <w:t xml:space="preserve"> (</w:t>
      </w:r>
      <w:r w:rsidR="00DB7E07" w:rsidRPr="00696681">
        <w:rPr>
          <w:szCs w:val="24"/>
        </w:rPr>
        <w:t>LAT</w:t>
      </w:r>
      <w:r w:rsidR="001D0506" w:rsidRPr="00696681">
        <w:rPr>
          <w:szCs w:val="24"/>
        </w:rPr>
        <w:t xml:space="preserve"> 2001 m. gruodžio </w:t>
      </w:r>
      <w:r w:rsidRPr="00696681">
        <w:rPr>
          <w:szCs w:val="24"/>
        </w:rPr>
        <w:t xml:space="preserve">28 d. nutartis </w:t>
      </w:r>
      <w:r w:rsidR="00671CA0" w:rsidRPr="00696681">
        <w:rPr>
          <w:szCs w:val="24"/>
        </w:rPr>
        <w:t xml:space="preserve">baudžiamojoje </w:t>
      </w:r>
      <w:r w:rsidRPr="00696681">
        <w:rPr>
          <w:szCs w:val="24"/>
        </w:rPr>
        <w:t>byloje Nr. 2K-595/2001)</w:t>
      </w:r>
      <w:r w:rsidRPr="000B432F">
        <w:rPr>
          <w:szCs w:val="24"/>
        </w:rPr>
        <w:t xml:space="preserve">. </w:t>
      </w:r>
      <w:r w:rsidRPr="000B432F">
        <w:rPr>
          <w:rFonts w:eastAsia="Calibri"/>
          <w:szCs w:val="24"/>
        </w:rPr>
        <w:t xml:space="preserve"> </w:t>
      </w:r>
    </w:p>
    <w:p w:rsidR="00EC36F2" w:rsidRPr="000B432F" w:rsidRDefault="00EC36F2" w:rsidP="000B432F">
      <w:pPr>
        <w:pStyle w:val="ListParagraph"/>
        <w:numPr>
          <w:ilvl w:val="0"/>
          <w:numId w:val="6"/>
        </w:numPr>
        <w:spacing w:before="120" w:after="120"/>
        <w:ind w:left="992" w:hanging="992"/>
        <w:contextualSpacing w:val="0"/>
      </w:pPr>
      <w:r w:rsidRPr="00696681">
        <w:rPr>
          <w:rFonts w:eastAsia="Calibri"/>
        </w:rPr>
        <w:t xml:space="preserve">Iš bylos medžiagos matyti, kad </w:t>
      </w:r>
      <w:r w:rsidR="00385BC9" w:rsidRPr="00696681">
        <w:rPr>
          <w:rFonts w:eastAsia="Calibri"/>
        </w:rPr>
        <w:t xml:space="preserve">V. Š. 1 </w:t>
      </w:r>
      <w:r w:rsidRPr="00696681">
        <w:rPr>
          <w:rFonts w:eastAsia="Calibri"/>
        </w:rPr>
        <w:t xml:space="preserve">ir </w:t>
      </w:r>
      <w:r w:rsidR="00385BC9" w:rsidRPr="00696681">
        <w:rPr>
          <w:rFonts w:eastAsia="Calibri"/>
        </w:rPr>
        <w:t>A. N. 1</w:t>
      </w:r>
      <w:r w:rsidRPr="00696681">
        <w:rPr>
          <w:rFonts w:eastAsia="Calibri"/>
        </w:rPr>
        <w:t xml:space="preserve">, kaip ir kiti LKP/TSKP aktyvistai, kurie nustatyti jau minėtoje </w:t>
      </w:r>
      <w:r w:rsidR="00C507EF" w:rsidRPr="00696681">
        <w:t>M. B.</w:t>
      </w:r>
      <w:r w:rsidRPr="00696681">
        <w:t xml:space="preserve">, </w:t>
      </w:r>
      <w:r w:rsidR="00C507EF" w:rsidRPr="00696681">
        <w:t>J. K.</w:t>
      </w:r>
      <w:r w:rsidRPr="00696681">
        <w:t xml:space="preserve"> ir kt. byloje, buvo</w:t>
      </w:r>
      <w:r w:rsidRPr="00696681">
        <w:rPr>
          <w:rFonts w:eastAsia="Calibri"/>
        </w:rPr>
        <w:t xml:space="preserve"> suinteresuoti Prezidentinio valdymo įvedimo plano įgyvendinimu ir veikė kartu su karinėje operacijoje Sausio įvykių metu dalyvavusiais TSRS karininkais</w:t>
      </w:r>
      <w:r w:rsidRPr="000B432F">
        <w:rPr>
          <w:rFonts w:eastAsia="Calibri"/>
        </w:rPr>
        <w:t>.</w:t>
      </w:r>
    </w:p>
    <w:p w:rsidR="00EC36F2" w:rsidRPr="00696681" w:rsidRDefault="00EC36F2" w:rsidP="00EC36F2">
      <w:pPr>
        <w:pStyle w:val="ListParagraph"/>
        <w:numPr>
          <w:ilvl w:val="0"/>
          <w:numId w:val="6"/>
        </w:numPr>
        <w:spacing w:before="120" w:after="120"/>
        <w:ind w:left="992" w:hanging="992"/>
        <w:contextualSpacing w:val="0"/>
      </w:pPr>
      <w:r w:rsidRPr="00696681">
        <w:rPr>
          <w:bCs/>
        </w:rPr>
        <w:t xml:space="preserve">Minėtoje </w:t>
      </w:r>
      <w:r w:rsidR="00C507EF" w:rsidRPr="00696681">
        <w:rPr>
          <w:bCs/>
          <w:iCs/>
        </w:rPr>
        <w:t>M. B.</w:t>
      </w:r>
      <w:r w:rsidRPr="00696681">
        <w:rPr>
          <w:bCs/>
          <w:iCs/>
        </w:rPr>
        <w:t xml:space="preserve">, </w:t>
      </w:r>
      <w:r w:rsidR="00C507EF" w:rsidRPr="00696681">
        <w:rPr>
          <w:bCs/>
          <w:iCs/>
        </w:rPr>
        <w:t>J. K.</w:t>
      </w:r>
      <w:r w:rsidRPr="00696681">
        <w:rPr>
          <w:bCs/>
          <w:iCs/>
        </w:rPr>
        <w:t xml:space="preserve"> ir kt.</w:t>
      </w:r>
      <w:r w:rsidRPr="00696681">
        <w:rPr>
          <w:bCs/>
        </w:rPr>
        <w:t xml:space="preserve"> </w:t>
      </w:r>
      <w:r w:rsidRPr="00696681">
        <w:rPr>
          <w:bCs/>
          <w:iCs/>
        </w:rPr>
        <w:t>byloje</w:t>
      </w:r>
      <w:r w:rsidRPr="00696681">
        <w:rPr>
          <w:rFonts w:eastAsia="Calibri"/>
        </w:rPr>
        <w:t xml:space="preserve"> konstatuota, kad „</w:t>
      </w:r>
      <w:r w:rsidRPr="00696681">
        <w:t xml:space="preserve">LKP (TSKP) CK pirmasis sekretorius </w:t>
      </w:r>
      <w:r w:rsidR="00C507EF" w:rsidRPr="00696681">
        <w:t>M. B.</w:t>
      </w:r>
      <w:r w:rsidRPr="00696681">
        <w:t xml:space="preserve">, žinodamas, kad Radijo ir televizijos komitetas, televizijos bokštas yra Lietuvos gyventojų saugomi ir teisėtomis priemonėmis jų užvaldyti nepavyks, sukurstė TSRS vadovybę šiuos pastatus užgrobti panaudojant smurtą. </w:t>
      </w:r>
      <w:r w:rsidR="00C507EF" w:rsidRPr="00696681">
        <w:t>M. B.</w:t>
      </w:r>
      <w:r w:rsidRPr="00696681">
        <w:t xml:space="preserve"> 1991 m. sausio 8 d. TSRS vadovybei įteikė TSRS Prezidentui adresuotą dokumentą, kuriame išdėstė TSRS prezidentinio valdymo Lietuvoje įvedimo planą (t. 201, b. l. 114–123). </w:t>
      </w:r>
      <w:r w:rsidR="00C507EF" w:rsidRPr="00696681">
        <w:t>M. B.</w:t>
      </w:r>
      <w:r w:rsidRPr="00696681">
        <w:t xml:space="preserve"> jau prieš sausio tryliktosios įvykius Vilniuje numatė šių objektų užgrobimo būtinumą, panaudojant TSRS gynybos ministerijos, Valstybės saugumo, Vidaus reikalų ministerijos ginkluotus padalinius. Dokumente teigiama, kad asmenys, atsakingi už objektų užėmimą, jau paskirti ,,būtini dalykiniai kontaktai” su TSRS gynybos ministerija, Valstybės saugumo komiteto bei Vidaus reikalų ministerijos atstovais jau užmegzti. </w:t>
      </w:r>
      <w:r w:rsidR="00C507EF" w:rsidRPr="00696681">
        <w:t>M. B.</w:t>
      </w:r>
      <w:r w:rsidRPr="00696681">
        <w:t xml:space="preserve"> iš anksto numatė, kad strategiškai svarbių, gyventojų saugomų pastatų užgrobimas įmanomas tik ginkluotos karinės jėgos pagalba. Įteikdamas šį dokumentą TSRS vadovybei, jis padarė viską, kad TSRS karinė jėga tuo tikslu būtų panaudota. Teismai, įvertindami prezidentui </w:t>
      </w:r>
      <w:r w:rsidR="00DD1A27" w:rsidRPr="00696681">
        <w:t>M. G.</w:t>
      </w:r>
      <w:r w:rsidRPr="00696681">
        <w:t xml:space="preserve"> adresuotą TSRS prezidentinio valdymo Lietuvoje įvedimo plano turinį bei liudytojų </w:t>
      </w:r>
      <w:r w:rsidR="005A493E" w:rsidRPr="00696681">
        <w:t>R. M.</w:t>
      </w:r>
      <w:r w:rsidRPr="00696681">
        <w:t xml:space="preserve">, </w:t>
      </w:r>
      <w:r w:rsidR="005A493E" w:rsidRPr="00696681">
        <w:t>J. G.</w:t>
      </w:r>
      <w:r w:rsidRPr="00696681">
        <w:t xml:space="preserve"> parodymus, </w:t>
      </w:r>
      <w:r w:rsidR="00C507EF" w:rsidRPr="00696681">
        <w:t>M. B.</w:t>
      </w:r>
      <w:r w:rsidRPr="00696681">
        <w:t xml:space="preserve"> pasisakymus prieš ir po Sausio 13 d. įvykių, LKP/TSKP veiksmus bei priimtus dokumentus, teisingai sprendė, kad </w:t>
      </w:r>
      <w:r w:rsidR="00C507EF" w:rsidRPr="00696681">
        <w:t>M. B.</w:t>
      </w:r>
      <w:r w:rsidRPr="00696681">
        <w:t xml:space="preserve"> sukurstė TSRS vadovybę panaudoti karinę jėgą Lietuvos Radijo ir telev</w:t>
      </w:r>
      <w:r w:rsidR="005A493E" w:rsidRPr="00696681">
        <w:t>izijos komiteto bei Televizijos </w:t>
      </w:r>
      <w:r w:rsidRPr="00696681">
        <w:t>bokšto užgrobimui“</w:t>
      </w:r>
      <w:r w:rsidRPr="00696681">
        <w:rPr>
          <w:rFonts w:eastAsia="Calibri"/>
        </w:rPr>
        <w:t xml:space="preserve"> (</w:t>
      </w:r>
      <w:r w:rsidR="00DB7E07" w:rsidRPr="00696681">
        <w:rPr>
          <w:rFonts w:eastAsia="Calibri"/>
          <w:iCs/>
        </w:rPr>
        <w:t>LAT</w:t>
      </w:r>
      <w:r w:rsidRPr="00696681">
        <w:rPr>
          <w:rFonts w:eastAsia="Calibri"/>
          <w:iCs/>
        </w:rPr>
        <w:t xml:space="preserve"> </w:t>
      </w:r>
      <w:r w:rsidRPr="00696681">
        <w:rPr>
          <w:iCs/>
        </w:rPr>
        <w:t>2001</w:t>
      </w:r>
      <w:r w:rsidR="008E4551" w:rsidRPr="00696681">
        <w:rPr>
          <w:iCs/>
        </w:rPr>
        <w:t> </w:t>
      </w:r>
      <w:r w:rsidRPr="00696681">
        <w:rPr>
          <w:iCs/>
        </w:rPr>
        <w:t>m.</w:t>
      </w:r>
      <w:r w:rsidR="008E4551" w:rsidRPr="00696681">
        <w:rPr>
          <w:iCs/>
        </w:rPr>
        <w:t> </w:t>
      </w:r>
      <w:r w:rsidRPr="00696681">
        <w:rPr>
          <w:iCs/>
        </w:rPr>
        <w:t xml:space="preserve">gruodžio 28 d. nutartis </w:t>
      </w:r>
      <w:r w:rsidR="00671CA0" w:rsidRPr="00696681">
        <w:rPr>
          <w:iCs/>
        </w:rPr>
        <w:t xml:space="preserve">baudžiamojoje </w:t>
      </w:r>
      <w:r w:rsidRPr="00696681">
        <w:rPr>
          <w:iCs/>
        </w:rPr>
        <w:t>byloje Nr. 2K-595/2001)</w:t>
      </w:r>
      <w:r w:rsidRPr="00696681">
        <w:t>.</w:t>
      </w:r>
      <w:r w:rsidR="005A493E" w:rsidRPr="00696681">
        <w:t xml:space="preserve"> </w:t>
      </w:r>
    </w:p>
    <w:p w:rsidR="00EC36F2" w:rsidRPr="00C00255" w:rsidRDefault="00EC36F2" w:rsidP="00EC36F2">
      <w:pPr>
        <w:pStyle w:val="ListParagraph"/>
        <w:numPr>
          <w:ilvl w:val="0"/>
          <w:numId w:val="6"/>
        </w:numPr>
        <w:spacing w:before="120" w:after="120"/>
        <w:ind w:left="992" w:hanging="992"/>
        <w:contextualSpacing w:val="0"/>
      </w:pPr>
      <w:r w:rsidRPr="00696681">
        <w:rPr>
          <w:bCs/>
        </w:rPr>
        <w:t>Aplinkybė</w:t>
      </w:r>
      <w:r w:rsidRPr="00696681">
        <w:rPr>
          <w:bCs/>
          <w:iCs/>
        </w:rPr>
        <w:t>, kad minėtas dokumentas buvo p</w:t>
      </w:r>
      <w:r w:rsidRPr="00696681">
        <w:rPr>
          <w:bCs/>
        </w:rPr>
        <w:t>a</w:t>
      </w:r>
      <w:r w:rsidRPr="00696681">
        <w:rPr>
          <w:bCs/>
          <w:iCs/>
        </w:rPr>
        <w:t>sirašy</w:t>
      </w:r>
      <w:r w:rsidRPr="00696681">
        <w:rPr>
          <w:rFonts w:eastAsia="Calibri"/>
        </w:rPr>
        <w:t xml:space="preserve">tas </w:t>
      </w:r>
      <w:r w:rsidR="00C507EF" w:rsidRPr="00696681">
        <w:rPr>
          <w:rFonts w:eastAsia="Calibri"/>
        </w:rPr>
        <w:t>M. B.</w:t>
      </w:r>
      <w:r w:rsidRPr="00696681">
        <w:t xml:space="preserve"> ir kad jo vardu paskelbti dokumentai nebuvo suklastoti, nustatyta kriminalistinių ekspertizių išvadomis (t. 203, b. l. 95–103).</w:t>
      </w:r>
      <w:r w:rsidRPr="00696681">
        <w:rPr>
          <w:rFonts w:eastAsia="Calibri"/>
        </w:rPr>
        <w:t xml:space="preserve"> </w:t>
      </w:r>
      <w:r w:rsidRPr="00696681">
        <w:t xml:space="preserve">Svarbu ir tai, kad prie LKP/TSKP CK pastato 1991 m. rugpjūčio 23 d. tarp degančių dokumentų buvo surasti 3 lapai, kuriuose kalbama apie prezidentinį valdymą. Juodraštiniame šio plano variante sąmokslininkai reikalavo, kad TSRS Prezidentas nurodytų TSRS kariuomenei, TSRS VSK, TSRS VRM specialiosioms tarnyboms paruošti planus užgrobti šiuos objektus (t. 201, b. l. 134–136). Rašysenos ekspertizė nustatė, kad šis rankraštis surašytas </w:t>
      </w:r>
      <w:r w:rsidR="00385BC9" w:rsidRPr="00696681">
        <w:t>A. N. 1</w:t>
      </w:r>
      <w:r w:rsidRPr="00696681">
        <w:t xml:space="preserve">. Palyginus šį tekstą su anksčiau minėtu </w:t>
      </w:r>
      <w:r w:rsidR="00C507EF" w:rsidRPr="00696681">
        <w:t>M. B.</w:t>
      </w:r>
      <w:r w:rsidRPr="00696681">
        <w:t xml:space="preserve"> raštu, adresuotu </w:t>
      </w:r>
      <w:r w:rsidR="00DD1A27" w:rsidRPr="00696681">
        <w:t>M. G.</w:t>
      </w:r>
      <w:r w:rsidRPr="00696681">
        <w:t xml:space="preserve">, matyti, kad jų turinys yra vienodas, tik </w:t>
      </w:r>
      <w:r w:rsidR="00C507EF" w:rsidRPr="00696681">
        <w:t>M. B.</w:t>
      </w:r>
      <w:r w:rsidRPr="00696681">
        <w:t xml:space="preserve"> pasirašytas tekstas yra platesnis, papildytas (t. 201, b. l. 132–133). Taigi neabejotinai nustatyta, kad anksčiau minėto </w:t>
      </w:r>
      <w:r w:rsidR="00C507EF" w:rsidRPr="00696681">
        <w:t>M. B.</w:t>
      </w:r>
      <w:r w:rsidRPr="00696681">
        <w:t xml:space="preserve"> dokumento, adresuoto </w:t>
      </w:r>
      <w:r w:rsidR="00DD1A27" w:rsidRPr="00696681">
        <w:t>M. G.</w:t>
      </w:r>
      <w:r w:rsidRPr="00696681">
        <w:t xml:space="preserve">, projektą paruošė nuteistasis </w:t>
      </w:r>
      <w:r w:rsidR="00385BC9" w:rsidRPr="00696681">
        <w:t>A. N. 1</w:t>
      </w:r>
      <w:r w:rsidRPr="00C00255">
        <w:t>.</w:t>
      </w:r>
    </w:p>
    <w:p w:rsidR="000B432F" w:rsidRPr="00C00255" w:rsidRDefault="00EC36F2" w:rsidP="000B432F">
      <w:pPr>
        <w:pStyle w:val="ListParagraph"/>
        <w:numPr>
          <w:ilvl w:val="0"/>
          <w:numId w:val="6"/>
        </w:numPr>
        <w:spacing w:before="120" w:after="120"/>
        <w:ind w:left="992" w:hanging="992"/>
        <w:contextualSpacing w:val="0"/>
      </w:pPr>
      <w:r w:rsidRPr="00696681">
        <w:t>Visa tai</w:t>
      </w:r>
      <w:r w:rsidRPr="00696681">
        <w:rPr>
          <w:rFonts w:eastAsia="Calibri"/>
        </w:rPr>
        <w:t xml:space="preserve"> rodo, kad </w:t>
      </w:r>
      <w:r w:rsidRPr="00696681">
        <w:t>LKP/TSKP CK vadovai kartu su TSKP CK, TSRS aukščiausiųjų valstybinės valdžios ir valdymo organų, TSRS VSK, TSRS GM, TSRS VRM ir jų specialiųjų padalinių vadovais 1991 m. sausio 7</w:t>
      </w:r>
      <w:r w:rsidRPr="00696681">
        <w:rPr>
          <w:rFonts w:eastAsia="Calibri"/>
        </w:rPr>
        <w:t>–</w:t>
      </w:r>
      <w:r w:rsidRPr="00696681">
        <w:t>8 d. paruošė sąmokslo Lietuvoje planą, kurį pavadino „TSRS Prezidentinio valdymo įvedimo Lietuvoje planu“ ir kuriame numatė jėga nuversti valstybinę valdžią Lietuvoje, sukurti naujas, palankias TSRS valdžios struktūras bei numatė tokių struktūrų vadovų kandidatūras. Taip pat planas numatė kompleksą politinių ir propagandinių priemonių, naudotinų įvedant ir tik įvedus TSRS Prezidentinį valdym</w:t>
      </w:r>
      <w:r w:rsidRPr="00696681">
        <w:rPr>
          <w:rFonts w:eastAsia="Calibri"/>
        </w:rPr>
        <w:t xml:space="preserve">ą. </w:t>
      </w:r>
      <w:r w:rsidR="000B432F" w:rsidRPr="00696681">
        <w:t>Pagal šį planą Vilniaus, Kauno, Klaipėdos, Šiaulių ir Panevėžio miestuose buvo parinkti objektai, kuriuos būtina užgrobti, paruošti jų užgrobimo planai ir paskirti už tai atsakingi asmenys, o LKP/TSKP CK vadovai kartu su TSKP CK, TSRS aukščiausiaisiais valstybinės valdžios ir valdymo organais bei su kitos valstybės – TSRS GM, TSRS VSK, TSRS VRM paskirtais atstovais susitarė dėl šių tikslų įgyvendinimo. Apie tai tiesiogiai liudija jau minėto dokumento turinys, kuriame aiškiai nurodoma, kad jau parengti minėtų pastatų užėmimo planai ir jau užmegzti ryšiai su TSRS GM, VSK ir VRM padaliniais (t. 201, b. l. 122–123). Šio dokumento turinys, visų kitų byloje ištirtų įrodymų kontekste, leidžia daryti pagrįstas išvadas apie šį dokumentą rengusių ir jam pritarusių asmenų dalyvavimą planuojant karinę operaciją, parenkant užgrobiamus objektus ir paruošiant jų užgrobimo planus, paskiriant už tai atsakingus asmenis, tariantis su TSRS jėgos struktūrų vadovais dėl priemonių, įvedant TSRS prezidentinį valdymą bei Ypatingosios padėties teisinį režimą, įgyvendinimo</w:t>
      </w:r>
      <w:r w:rsidR="000B432F" w:rsidRPr="000B432F">
        <w:t>.</w:t>
      </w:r>
    </w:p>
    <w:p w:rsidR="00EC36F2" w:rsidRPr="00C00255" w:rsidRDefault="00EC36F2" w:rsidP="00EC36F2">
      <w:pPr>
        <w:pStyle w:val="ListParagraph"/>
        <w:numPr>
          <w:ilvl w:val="0"/>
          <w:numId w:val="6"/>
        </w:numPr>
        <w:spacing w:before="120" w:after="120"/>
        <w:ind w:left="992" w:hanging="992"/>
        <w:contextualSpacing w:val="0"/>
      </w:pPr>
      <w:r w:rsidRPr="00696681">
        <w:rPr>
          <w:rFonts w:eastAsia="Calibri"/>
        </w:rPr>
        <w:t xml:space="preserve">Svarbu paminėti ir tai, kad </w:t>
      </w:r>
      <w:r w:rsidRPr="00696681">
        <w:t xml:space="preserve">LKP/TSKP Vilniaus m. komiteto plenume, vykusiame jau po 1991 m. sausio 13 d. įvykių, LKP/TSKP Centrinė kontrolės komisija paskelbė apie pavojų LKP/TSKP veiklai, pakartotinai reikalavo, kad TSRS valstybiniai valdžios ir valdymo organai kartu su TSRS vidaus reikalų ministru </w:t>
      </w:r>
      <w:r w:rsidR="00C507EF" w:rsidRPr="00696681">
        <w:t>B. P.</w:t>
      </w:r>
      <w:r w:rsidRPr="00696681">
        <w:t xml:space="preserve"> (ikiteisminis tyrimas nutrauktas jam mirus), Lietuvoje skubiai įvestų Ypatingąją padėtį ir TSRS prezidentinį valdymą (t. 231, b. l. 28–32). Rezoliucijoje „Dėl visuomeninės-politinės situacijos Vilniaus mieste ir miesto partinės organizacijos veiksmų“ LKP/TSKP nurodė palaikanti ir pasitikinti LNGK veikla, pateisinanti TSRS kariškių, darbininkų draugovių veiksmus sausio 13 d. naktį. Rezoliucijoje ir toliau buvo reikalaujama nedelsiant Lietuvoje įvesti TSRS prezidentinį valdymą, partinės organizacijos buvo kviečiamos susitelkti ir organizuotai duoti atkirtį Liet</w:t>
      </w:r>
      <w:r w:rsidR="005A493E" w:rsidRPr="00696681">
        <w:t>uvos reakcinėms jėgoms (t. 226, </w:t>
      </w:r>
      <w:r w:rsidRPr="00696681">
        <w:t>b.</w:t>
      </w:r>
      <w:r w:rsidR="0083329D" w:rsidRPr="00696681">
        <w:t> </w:t>
      </w:r>
      <w:r w:rsidRPr="00696681">
        <w:t xml:space="preserve">l. 85–86). 1991 m. sausio 14 d. pakartotinai buvo reikalaujama neatidėliotinai įvesti TSRS prezidentinį valdymą, paleisti Lietuvos Parlamentą, įvesti komendanto valandą ir nustatyti komunistų veiklos strategiją ir taktiką, įspėjama, kad to nepadarius, vėl bus kraujo, nes LKP/TSKP nenusileis, nes viską, kas pradėta, reikia vykdyti iki galo ir įvesti Nepaprastosios padėties režimą (t. 233, b. l. 5–6, 7–41). LKP/TSKP CK vadovybė, kuriai priklausė nuteistieji </w:t>
      </w:r>
      <w:r w:rsidR="00385BC9" w:rsidRPr="00696681">
        <w:t xml:space="preserve">V. Š. 1 </w:t>
      </w:r>
      <w:r w:rsidRPr="00696681">
        <w:t xml:space="preserve">ir </w:t>
      </w:r>
      <w:r w:rsidR="00385BC9" w:rsidRPr="00696681">
        <w:t>A. N. 1</w:t>
      </w:r>
      <w:r w:rsidRPr="00696681">
        <w:t>, pasisiūlė organizuoti derybas tarp Lietuvos Respublikos Aukščiausiosios Tarybos, jų įsteigto ir vadovaujamo LNGK, TSRS jėgos struktūrų vadovybės ir TSRS Aukščiausiosios Tarybos komisijos (kurios sudarymo taip pat reikalavo LNGK) (t.</w:t>
      </w:r>
      <w:r w:rsidR="0083329D" w:rsidRPr="00696681">
        <w:t> </w:t>
      </w:r>
      <w:r w:rsidRPr="00696681">
        <w:t xml:space="preserve">202, b. l. 66). Šių dokumentų turinys neabejotinai patvirtina, kad net ir po Vilniuje įvykdytos karinės agresijos – kuri pareikalavo civilių aukų, LKP/TSKP CK toliau įgyvendino TSRS ir TSKP politiką, kuria buvo siekiama Lietuvą grąžinti į TSRS sudėtį, o nuteistieji </w:t>
      </w:r>
      <w:r w:rsidR="00385BC9" w:rsidRPr="00696681">
        <w:t xml:space="preserve">V. Š. 1 </w:t>
      </w:r>
      <w:r w:rsidRPr="00696681">
        <w:t xml:space="preserve">ir </w:t>
      </w:r>
      <w:r w:rsidR="00385BC9" w:rsidRPr="00696681">
        <w:t>A. N. 1</w:t>
      </w:r>
      <w:r w:rsidRPr="00696681">
        <w:t xml:space="preserve"> pritarė tolesniam jėgos panaudojimui</w:t>
      </w:r>
      <w:r w:rsidRPr="00C00255">
        <w:t>.</w:t>
      </w:r>
      <w:r w:rsidR="005A493E">
        <w:t xml:space="preserve"> </w:t>
      </w:r>
    </w:p>
    <w:p w:rsidR="00EC36F2" w:rsidRPr="00C00255" w:rsidRDefault="00EC36F2" w:rsidP="00EC36F2">
      <w:pPr>
        <w:pStyle w:val="ListParagraph"/>
        <w:numPr>
          <w:ilvl w:val="0"/>
          <w:numId w:val="6"/>
        </w:numPr>
        <w:spacing w:before="120" w:after="120"/>
        <w:ind w:left="992" w:hanging="992"/>
        <w:contextualSpacing w:val="0"/>
      </w:pPr>
      <w:r w:rsidRPr="00C00255">
        <w:t xml:space="preserve">Apie tai, kad tiek </w:t>
      </w:r>
      <w:r w:rsidR="00385BC9">
        <w:t>V. Š. 1</w:t>
      </w:r>
      <w:r w:rsidRPr="00C00255">
        <w:t xml:space="preserve">, tiek </w:t>
      </w:r>
      <w:r w:rsidR="00385BC9">
        <w:t>A. N. 1</w:t>
      </w:r>
      <w:r w:rsidRPr="00C00255">
        <w:t xml:space="preserve"> žinojo apie LKP/TSKP ir </w:t>
      </w:r>
      <w:r w:rsidR="00C507EF">
        <w:t>M. B.</w:t>
      </w:r>
      <w:r w:rsidRPr="00C00255">
        <w:t xml:space="preserve"> planus bei siekį įvesti TSRS prezidentinį valdymą, šiame plane numatytų priemonių suderinimą su TSRS jėgos struktūrų padalinių Lietuvoje vadovais, LKP/TSKP vaidmenį 1991</w:t>
      </w:r>
      <w:r w:rsidR="0083329D">
        <w:t> </w:t>
      </w:r>
      <w:r w:rsidRPr="00C00255">
        <w:t xml:space="preserve">m. Sausio įvykiuose, yra nurodęs ir teisiamajame posėdyje apklaustas liudytojas </w:t>
      </w:r>
      <w:r w:rsidR="005A493E">
        <w:t>J. G.</w:t>
      </w:r>
      <w:r w:rsidRPr="00C00255">
        <w:t xml:space="preserve">, kuris byloje nagrinėjamų įvykių metu buvo LKP/TSKP CK biuro narys. Jis teigė, kad apie prezidentinį valdymą LKP/TSKP buvo kalbama, ir nors balsavimo dėl to nebuvo, dauguma narių pritarė tokiam planui. Liudytojas taip pat nurodė, kad </w:t>
      </w:r>
      <w:r w:rsidR="00385BC9">
        <w:t>A. N. 1</w:t>
      </w:r>
      <w:r w:rsidRPr="00C00255">
        <w:t xml:space="preserve"> buvo sekretorius ir užsiimdavo administraciniais reikalais, taip pat palaikė ryšius su kariuomene, kurios aukštesnieji vadai eidavo tik pas LKP/TSKP pirmąjį sekretorių, t. y. </w:t>
      </w:r>
      <w:r w:rsidR="00C507EF">
        <w:t>M. B.</w:t>
      </w:r>
      <w:r w:rsidRPr="00C00255">
        <w:t xml:space="preserve">, arba </w:t>
      </w:r>
      <w:r w:rsidR="00385BC9">
        <w:t>A. N. 1</w:t>
      </w:r>
      <w:r w:rsidRPr="00C00255">
        <w:t xml:space="preserve"> (t. 757, b. l. 141–143). Tokių šio liudytojo paaiškinimų kontekste pažymėtina, kad nuteistasis </w:t>
      </w:r>
      <w:r w:rsidR="00385BC9">
        <w:t>A. N. 1</w:t>
      </w:r>
      <w:r w:rsidRPr="00C00255">
        <w:t xml:space="preserve"> buvo ir TSRS kariuomenės generolas majoras, kuris vos prieš kelis mėnesius i</w:t>
      </w:r>
      <w:r w:rsidR="005A493E">
        <w:t>ki Sausio įvykių, t. y. 1990 m. </w:t>
      </w:r>
      <w:r w:rsidRPr="00C00255">
        <w:t>rugsėjo 7 d., TSRS gynybos ministro įsakymu buvo perkeltas į LKP/TSKP, paliekant jį TSRS kariuomenės kadrų sąraše (t.</w:t>
      </w:r>
      <w:r w:rsidR="0083329D">
        <w:t> </w:t>
      </w:r>
      <w:r w:rsidRPr="00C00255">
        <w:t xml:space="preserve">667, b. l. 2). </w:t>
      </w:r>
    </w:p>
    <w:p w:rsidR="00EC36F2" w:rsidRPr="00C00255" w:rsidRDefault="00EC36F2" w:rsidP="00EC36F2">
      <w:pPr>
        <w:pStyle w:val="ListParagraph"/>
        <w:numPr>
          <w:ilvl w:val="0"/>
          <w:numId w:val="6"/>
        </w:numPr>
        <w:spacing w:before="120" w:after="120"/>
        <w:ind w:left="992" w:hanging="992"/>
        <w:contextualSpacing w:val="0"/>
      </w:pPr>
      <w:r w:rsidRPr="00C00255">
        <w:t xml:space="preserve">Faktas apie nuteistojo </w:t>
      </w:r>
      <w:r w:rsidR="00385BC9">
        <w:t>A. N. 1</w:t>
      </w:r>
      <w:r w:rsidRPr="00C00255">
        <w:t xml:space="preserve"> perkėlimą į LKP/TSKP paaiškina ir patvirtina tiek </w:t>
      </w:r>
      <w:r w:rsidR="00385BC9">
        <w:t>A. N. 1</w:t>
      </w:r>
      <w:r w:rsidRPr="00C00255">
        <w:t xml:space="preserve"> veiklos pobūdį LKP/TSKP, tiek TSRS kariuomenės vadovybės poziciją, rodančią, kad po Lietuvos nepriklausomybės paskelbimo TSRS aukštų kariškių perkėlimas į LKP/TSKP buvo ne atsitiktinis, o logiškas ir apgalvotas žingsnis, siekiant užtikrinti LKP/TSKP ryšį su TSRS kariuomene. Tą patvirtina ir teismo posėdyje apklaustų liudytojų, buvusių LKP/TSKP narių, parodymai. Liudytojas </w:t>
      </w:r>
      <w:r w:rsidR="005A493E">
        <w:t>J. G.</w:t>
      </w:r>
      <w:r w:rsidRPr="00C00255">
        <w:t xml:space="preserve"> nurodė, jog vieną sykį iš Maskvos grįžęs </w:t>
      </w:r>
      <w:r w:rsidR="00C507EF">
        <w:t>M. B.</w:t>
      </w:r>
      <w:r w:rsidRPr="00C00255">
        <w:t xml:space="preserve"> pasakė, kad į LKP/TSKP sutinka atvažiuoti dirbti </w:t>
      </w:r>
      <w:r w:rsidR="00385BC9">
        <w:t>A. N. 1</w:t>
      </w:r>
      <w:r w:rsidRPr="00C00255">
        <w:t xml:space="preserve"> bei kad buvo siekta turėti vieną kariškį, kuris palaikytų santykius su kariškiais (t. 186, b. l. 49). Liudytojas </w:t>
      </w:r>
      <w:r w:rsidR="005A493E">
        <w:t>S. T.</w:t>
      </w:r>
      <w:r w:rsidRPr="00C00255">
        <w:t xml:space="preserve"> teigė, kad jam susidarė įspūdis, jog viskam vadovauja kariškiai iš Maskvos, kad tą patvirtina vien </w:t>
      </w:r>
      <w:r w:rsidR="00385BC9">
        <w:t>A. N. 1</w:t>
      </w:r>
      <w:r w:rsidRPr="00C00255">
        <w:t xml:space="preserve"> tapimas LKP/TSKP sekretoriumi (t.</w:t>
      </w:r>
      <w:r w:rsidR="0083329D">
        <w:t> </w:t>
      </w:r>
      <w:r w:rsidRPr="00C00255">
        <w:t xml:space="preserve">757, b. l. 135). Šias aplinkybes taip pat patvirtina ir teismo posėdyje pirmosios instancijos teisme apklausto liudytojo </w:t>
      </w:r>
      <w:r w:rsidR="00DD1A27">
        <w:t>A. B.</w:t>
      </w:r>
      <w:r w:rsidRPr="00C00255">
        <w:t xml:space="preserve">, vadovavusio Lietuvos Respublikos krašto apsaugos departamentui, o vėliau ir ministerijai, parodymai. Iš jų matyti, kad </w:t>
      </w:r>
      <w:r w:rsidR="00385BC9">
        <w:t>A. N. 1</w:t>
      </w:r>
      <w:r w:rsidRPr="00C00255">
        <w:t xml:space="preserve"> TSRS kariuomenė delegavo vykdyti pasipriešinimą Lietuvos Respublikos nepriklausomybei, kad jis tiesiogiai dalyvavo </w:t>
      </w:r>
      <w:r w:rsidR="00C507EF">
        <w:t>M. B.</w:t>
      </w:r>
      <w:r w:rsidRPr="00C00255">
        <w:t xml:space="preserve"> ir LKP/TSKP veikloje, rengė eilę tekstų ir kt. (t.</w:t>
      </w:r>
      <w:r w:rsidR="0083329D">
        <w:t> </w:t>
      </w:r>
      <w:r w:rsidRPr="00C00255">
        <w:t xml:space="preserve">756, b. l. 129–137). Apie </w:t>
      </w:r>
      <w:r w:rsidR="00385BC9">
        <w:t>A. N. 1</w:t>
      </w:r>
      <w:r w:rsidRPr="00C00255">
        <w:t xml:space="preserve">, kaip LKP/TSKP nario ir kariškio, statusą liudijo ir kiti teismo posėdyje pirmosios instancijos teisme apklausti asmenys. </w:t>
      </w:r>
    </w:p>
    <w:p w:rsidR="000B432F" w:rsidRPr="000B432F" w:rsidRDefault="00EC36F2" w:rsidP="000B432F">
      <w:pPr>
        <w:pStyle w:val="ListParagraph"/>
        <w:numPr>
          <w:ilvl w:val="0"/>
          <w:numId w:val="6"/>
        </w:numPr>
        <w:spacing w:before="120" w:after="120"/>
        <w:ind w:left="992" w:hanging="992"/>
        <w:contextualSpacing w:val="0"/>
        <w:rPr>
          <w:szCs w:val="24"/>
        </w:rPr>
      </w:pPr>
      <w:r w:rsidRPr="00696681">
        <w:rPr>
          <w:rFonts w:eastAsia="Calibri"/>
        </w:rPr>
        <w:t>T</w:t>
      </w:r>
      <w:r w:rsidRPr="00696681">
        <w:t xml:space="preserve">eisiamajame posėdyje apklaustas liudytojas </w:t>
      </w:r>
      <w:r w:rsidR="005A493E" w:rsidRPr="00696681">
        <w:t>J. G.</w:t>
      </w:r>
      <w:r w:rsidRPr="00696681">
        <w:t xml:space="preserve">, perskaičius jo anksčiau duotus detalesnius parodymus, šiuos parodymus patvirtino. </w:t>
      </w:r>
      <w:r w:rsidR="000B432F" w:rsidRPr="00696681">
        <w:t>Liudytojas patvirtino, kad A. N. 1 ir jo skyriaus darbuotojai priklausė tai grupei LKP/TSKP narių, kurie lenkė prie jėgos pozicijų ir siūlydavo jėga spręsti visus politinius klausimus. Už TSRS prezidentinio valdymo įvedimą be M. B. pasisakydavo ir A. N. 1, V. Š. 1, V. Š., J. J.. Anot liudytojo, pas M. B. lankydavosi kariškiai: V. O., V. U. 1, politinio skyriaus vadovas (pavardės neprisimena) ir kiti. Po 1991 m. sausio mėn. tragiškų įvykių LKP/TSKP CK įvyko biuro posėdis. M. B. perskaitė pranešimą ir nurodė, kad Sausio įvykiuose dalyvavo ir LDJK, kuris įkūrė LNGK, ir šis kol kas dirba pogrindyje. M. B. pasakė, kad TV bokštą reikėjo šturmuoti dėl to, jog prieš komunistų partiją vyksta propaganda ir šį šmeižto šaltinį reikėjo nuslopinti. CK biuro posėdyje buvo kalbama apie reikalavimą įvesti Lietuvoje TSRS prezidentinį valdymą. M. B. pasakė, jog valdžią į savo rankas paėmė LNGK. Po to, kalbėjo A. N. 1, kuris palaikė įvykius ir iš esmės pasakė tą patį. Liudytojas J. G. išskyrė tris asmenis, kurie, jo nuomone, buvo arčiausiai visų įvykių, tai M. B., A. N. 1 ir J. J. (t. 186, b. l. 44–75; t. 373, b. l. 96–98)</w:t>
      </w:r>
      <w:r w:rsidR="000B432F" w:rsidRPr="000B432F">
        <w:rPr>
          <w:szCs w:val="24"/>
        </w:rPr>
        <w:t>.</w:t>
      </w:r>
    </w:p>
    <w:p w:rsidR="000B432F" w:rsidRPr="00696681" w:rsidRDefault="000B432F" w:rsidP="000B432F">
      <w:pPr>
        <w:pStyle w:val="ListParagraph"/>
        <w:numPr>
          <w:ilvl w:val="0"/>
          <w:numId w:val="6"/>
        </w:numPr>
        <w:ind w:left="992" w:hanging="992"/>
      </w:pPr>
      <w:r w:rsidRPr="00696681">
        <w:t>Lietuvos nacionalinio gelbėjimo komiteto, iš esmės LKP/TSKP, itin aktyvų vaidmenį ir dalyvavimą rengiant karinę operaciją patvirtina ir 1991 m. sausio 14–16 d. TSRS Aukščiausios Tarybos sesijoje TSRS vidaus reikalų ministro B. P. ir gynybos ministro D. J. pasakytos kalbos. 1991 m. sausio 14 d. TSRS Aukščiausiosios Tarybos posėdžio pradžioje padėtį Lietuvoje pristatęs TSRS vidaus reikalų ministras B. P. (ikiteisminis tyrimas nutrauktas jam mirus) teigė, kad 1991 sausio 11 d. LKP/TSKP CK prašymu pagal kovo 28 d. TSRS Ministrų Tarybos nutarimą „Dėl priemonių TSKP turtui apsaugoti Lietuvos TSRS teritorijoje“ buvo užimti LKP/TSKP CK, Spaudos rūmų ir kiti pastatai. Po sausio 12 d., kai LNGK atstovai norėjo patekti į Aukščiausiąją Tarybą ir buvo pasitikti lazdomis bei strypais, Lietuvos nacionalinio gelbėjimo komitetas pagalbos kreipėsi į Tarybinės Armijos įgulos komendantą, kuris įsakė nukreipti ten karinį kontingentą su tankais ir šarvuočiais. Šaudymą pradėjo „Sąjūdžio“ atstovai ir tik po to kariškiai „atidengė ugnį“. Pradžioje buvo šaudoma į viršų, vėliau pradėtas tikslinis šaudymas (rus. „</w:t>
      </w:r>
      <w:r w:rsidRPr="00696681">
        <w:rPr>
          <w:i/>
        </w:rPr>
        <w:t>na paraženije</w:t>
      </w:r>
      <w:r w:rsidRPr="00696681">
        <w:t>“). Kadangi susišaudymas buvo ypač didelis, buvo „nukauta“ 13 žmonių. Siekiant sušvelninti padėtį LNGK Vilniuje ir Kaune įvedė komendanto valandą (t. 195, b. l. 89–119; t. 453, b. l. 50–59). Tame pačiame posėdyje dalyvavęs TSRS gynybos ministras D. J. teigė, kad jis nežino, ką atstovavo LNGK, tačiau nurodė, jog šis komitetas tiesiogiai kreipėsi į Vilniaus įgulos viršininką (nustatyta – V. U. 1) ir būtent jis, vadovaudamasis „Garnizoninės ir patrulinės tarnybos įstatais“, nusprendė imtis priemonių tvarkos palaikymui ir kraujo praliejimo išvengimui. Jis veikė teisėtai ir apie savo sprendimą Vilniaus įgulos viršininkas (V. U. 1) pranešė generolui V. O., kuris tuo metu buvo Vilniuje. D. J. palaikė TSRS vykdytą politiką, o dėl 1991 m. sausio mėn. įvykių kaltino Lietuvos vadovus, jų priimtus antikonstitucinius aktus, TSRS kariuomenės veiksmus laikydamas teisėtais (t. 195, b. l. 89–119; t. 453, b. l. 60–66).</w:t>
      </w:r>
    </w:p>
    <w:p w:rsidR="00EC36F2" w:rsidRPr="000B432F" w:rsidRDefault="00EC36F2" w:rsidP="00EC36F2">
      <w:pPr>
        <w:pStyle w:val="ListParagraph"/>
        <w:numPr>
          <w:ilvl w:val="0"/>
          <w:numId w:val="6"/>
        </w:numPr>
        <w:spacing w:before="120" w:after="120"/>
        <w:ind w:left="992" w:hanging="992"/>
        <w:contextualSpacing w:val="0"/>
        <w:rPr>
          <w:szCs w:val="24"/>
        </w:rPr>
      </w:pPr>
      <w:r w:rsidRPr="00ED6FED">
        <w:rPr>
          <w:rFonts w:eastAsia="Calibri"/>
        </w:rPr>
        <w:t>Kaltinime inkriminuotas aplinkybes apie LKP/TSKP sąsajas su TSRS kariškiais, jos aktyvistų tiesioginį bendravimą su kariškiais patvirtina ne tik aptartas dokumentas dėl TSRS pr</w:t>
      </w:r>
      <w:r w:rsidRPr="00ED6FED">
        <w:t xml:space="preserve">ezidentinio valdymo įvedimo Lietuvoje plano, </w:t>
      </w:r>
      <w:r w:rsidR="00385BC9" w:rsidRPr="00ED6FED">
        <w:t>A. N. 1</w:t>
      </w:r>
      <w:r w:rsidRPr="00ED6FED">
        <w:t xml:space="preserve"> perkėlimo į LKP/TSKP aplinkybės, liudytojo </w:t>
      </w:r>
      <w:r w:rsidR="005A493E" w:rsidRPr="00ED6FED">
        <w:t>J. G.</w:t>
      </w:r>
      <w:r w:rsidRPr="00ED6FED">
        <w:t xml:space="preserve"> parodymai,</w:t>
      </w:r>
      <w:r w:rsidRPr="00ED6FED">
        <w:rPr>
          <w:rFonts w:eastAsia="Calibri"/>
        </w:rPr>
        <w:t xml:space="preserve"> bet ir kiti byloje esantys įrodymai apie tai, kad LKP/TSKP aktyvistai, taip pat ir </w:t>
      </w:r>
      <w:r w:rsidR="00385BC9" w:rsidRPr="00ED6FED">
        <w:rPr>
          <w:rFonts w:eastAsia="Calibri"/>
        </w:rPr>
        <w:t xml:space="preserve">V. Š. 1 </w:t>
      </w:r>
      <w:r w:rsidRPr="00ED6FED">
        <w:rPr>
          <w:rFonts w:eastAsia="Calibri"/>
        </w:rPr>
        <w:t xml:space="preserve">bei </w:t>
      </w:r>
      <w:r w:rsidR="00385BC9" w:rsidRPr="00ED6FED">
        <w:rPr>
          <w:rFonts w:eastAsia="Calibri"/>
        </w:rPr>
        <w:t>A. N. 1</w:t>
      </w:r>
      <w:r w:rsidRPr="00ED6FED">
        <w:rPr>
          <w:rFonts w:eastAsia="Calibri"/>
        </w:rPr>
        <w:t>, bendravo su Šiaurės miestelyje įsikūrusiais kariškiais, kurie pagal bylos medžiagą buvo vadovavimo karinei operacijai štabo nariai</w:t>
      </w:r>
      <w:r w:rsidRPr="000B432F">
        <w:rPr>
          <w:rFonts w:eastAsia="Calibri"/>
          <w:szCs w:val="24"/>
        </w:rPr>
        <w:t>.</w:t>
      </w:r>
    </w:p>
    <w:p w:rsidR="00EC36F2" w:rsidRPr="000B432F" w:rsidRDefault="0083329D" w:rsidP="00EC36F2">
      <w:pPr>
        <w:pStyle w:val="ListParagraph"/>
        <w:numPr>
          <w:ilvl w:val="0"/>
          <w:numId w:val="6"/>
        </w:numPr>
        <w:spacing w:before="120" w:after="120"/>
        <w:ind w:left="992" w:hanging="992"/>
        <w:contextualSpacing w:val="0"/>
        <w:rPr>
          <w:szCs w:val="24"/>
        </w:rPr>
      </w:pPr>
      <w:r w:rsidRPr="00ED6FED">
        <w:rPr>
          <w:rFonts w:eastAsia="Calibri"/>
        </w:rPr>
        <w:t>T</w:t>
      </w:r>
      <w:r w:rsidR="00EC36F2" w:rsidRPr="00ED6FED">
        <w:rPr>
          <w:rFonts w:eastAsia="Calibri"/>
        </w:rPr>
        <w:t xml:space="preserve">eisiamajame posėdyje apklaustas </w:t>
      </w:r>
      <w:r w:rsidR="00EC36F2" w:rsidRPr="00ED6FED">
        <w:t xml:space="preserve">liudytojas </w:t>
      </w:r>
      <w:r w:rsidR="005A493E" w:rsidRPr="00ED6FED">
        <w:t>A. Š.</w:t>
      </w:r>
      <w:r w:rsidR="001D0506" w:rsidRPr="00ED6FED">
        <w:t xml:space="preserve"> (</w:t>
      </w:r>
      <w:r w:rsidR="005A493E" w:rsidRPr="00ED6FED">
        <w:t>A. Š.</w:t>
      </w:r>
      <w:r w:rsidR="00EC36F2" w:rsidRPr="00ED6FED">
        <w:t>), analizuojamų įvykių metu buvęs Vilniuje dislokuotos TSRS kariuomenės 107-osios divizijos štabo karininkas, nurodė, kad klausimus dėl karinės technikos panaudojimo 1991 m. sausio 12–13 d. naktį sprendė štabas, kuriame jis matė daug generolų, taip pat ir V</w:t>
      </w:r>
      <w:r w:rsidR="00660130" w:rsidRPr="00ED6FED">
        <w:t>.</w:t>
      </w:r>
      <w:r w:rsidR="00EC36F2" w:rsidRPr="00ED6FED">
        <w:t xml:space="preserve">. Taip pat teismo posėdyje </w:t>
      </w:r>
      <w:r w:rsidR="005A493E" w:rsidRPr="00ED6FED">
        <w:t>A. Š.</w:t>
      </w:r>
      <w:r w:rsidR="00EC36F2" w:rsidRPr="00ED6FED">
        <w:t xml:space="preserve"> patvirtino savo parodymus apie tai, kad be generolo V</w:t>
      </w:r>
      <w:r w:rsidR="00660130" w:rsidRPr="00ED6FED">
        <w:t>.</w:t>
      </w:r>
      <w:r w:rsidR="00EC36F2" w:rsidRPr="00ED6FED">
        <w:t xml:space="preserve"> Šiaurės miestelyje divizijos štabe taip pat buvo </w:t>
      </w:r>
      <w:r w:rsidR="00C507EF" w:rsidRPr="00ED6FED">
        <w:t>V. O.</w:t>
      </w:r>
      <w:r w:rsidR="00EC36F2" w:rsidRPr="00ED6FED">
        <w:t xml:space="preserve">, </w:t>
      </w:r>
      <w:r w:rsidR="00C507EF" w:rsidRPr="00ED6FED">
        <w:t>V. A.</w:t>
      </w:r>
      <w:r w:rsidR="00EC36F2" w:rsidRPr="00ED6FED">
        <w:t xml:space="preserve">, divizijos vado </w:t>
      </w:r>
      <w:r w:rsidR="006036E7" w:rsidRPr="00ED6FED">
        <w:t>V. U. 1</w:t>
      </w:r>
      <w:r w:rsidR="00EC36F2" w:rsidRPr="00ED6FED">
        <w:t xml:space="preserve"> kabinete matė </w:t>
      </w:r>
      <w:r w:rsidR="00385BC9" w:rsidRPr="00ED6FED">
        <w:t xml:space="preserve">V. Š. 1 </w:t>
      </w:r>
      <w:r w:rsidR="00EC36F2" w:rsidRPr="00ED6FED">
        <w:t xml:space="preserve">ir </w:t>
      </w:r>
      <w:r w:rsidR="00C507EF" w:rsidRPr="00ED6FED">
        <w:t>M. B.</w:t>
      </w:r>
      <w:r w:rsidR="00EC36F2" w:rsidRPr="00ED6FED">
        <w:t xml:space="preserve"> (t. 75</w:t>
      </w:r>
      <w:r w:rsidR="000B432F" w:rsidRPr="00ED6FED">
        <w:t>7, b. l. 125–127; t. 474, b. l. </w:t>
      </w:r>
      <w:r w:rsidR="00EC36F2" w:rsidRPr="00ED6FED">
        <w:t>198–206).</w:t>
      </w:r>
      <w:r w:rsidR="00EC36F2" w:rsidRPr="00ED6FED">
        <w:rPr>
          <w:rFonts w:eastAsia="Calibri"/>
        </w:rPr>
        <w:t xml:space="preserve"> Teisėjų kolegijai tokie teisme apklausto liudytojo A.</w:t>
      </w:r>
      <w:r w:rsidRPr="00ED6FED">
        <w:rPr>
          <w:rFonts w:eastAsia="Calibri"/>
        </w:rPr>
        <w:t> </w:t>
      </w:r>
      <w:r w:rsidR="00EC36F2" w:rsidRPr="00ED6FED">
        <w:rPr>
          <w:rFonts w:eastAsia="Calibri"/>
        </w:rPr>
        <w:t>Š</w:t>
      </w:r>
      <w:r w:rsidR="005A493E" w:rsidRPr="00ED6FED">
        <w:rPr>
          <w:rFonts w:eastAsia="Calibri"/>
        </w:rPr>
        <w:t>.</w:t>
      </w:r>
      <w:r w:rsidR="00EC36F2" w:rsidRPr="00ED6FED">
        <w:rPr>
          <w:rFonts w:eastAsia="Calibri"/>
        </w:rPr>
        <w:t xml:space="preserve"> parodymai apie Šiaurės miestelyje veikusį štabą ir jo veikloje dalyvavusį nuteistąjį </w:t>
      </w:r>
      <w:r w:rsidR="00385BC9" w:rsidRPr="00ED6FED">
        <w:rPr>
          <w:rFonts w:eastAsia="Calibri"/>
        </w:rPr>
        <w:t xml:space="preserve">V. Š. 1 </w:t>
      </w:r>
      <w:r w:rsidR="00EC36F2" w:rsidRPr="00ED6FED">
        <w:rPr>
          <w:rFonts w:eastAsia="Calibri"/>
        </w:rPr>
        <w:t xml:space="preserve">nekelia jokių abejonių, nes šis liudytojas aiškiai nurodė, kad gerai pažinojo jo dėstytoju buvusį </w:t>
      </w:r>
      <w:r w:rsidR="00385BC9" w:rsidRPr="00ED6FED">
        <w:rPr>
          <w:rFonts w:eastAsia="Calibri"/>
        </w:rPr>
        <w:t xml:space="preserve">V. Š. 1 </w:t>
      </w:r>
      <w:r w:rsidR="00EC36F2" w:rsidRPr="00ED6FED">
        <w:rPr>
          <w:rFonts w:eastAsia="Calibri"/>
        </w:rPr>
        <w:t xml:space="preserve">ir matė jį divizijos vado </w:t>
      </w:r>
      <w:r w:rsidR="006036E7" w:rsidRPr="00ED6FED">
        <w:rPr>
          <w:rFonts w:eastAsia="Calibri"/>
        </w:rPr>
        <w:t>V. U. 1</w:t>
      </w:r>
      <w:r w:rsidR="00EC36F2" w:rsidRPr="00ED6FED">
        <w:rPr>
          <w:rFonts w:eastAsia="Calibri"/>
        </w:rPr>
        <w:t xml:space="preserve"> kabinete 1991</w:t>
      </w:r>
      <w:r w:rsidRPr="00ED6FED">
        <w:rPr>
          <w:rFonts w:eastAsia="Calibri"/>
        </w:rPr>
        <w:t> </w:t>
      </w:r>
      <w:r w:rsidR="00EC36F2" w:rsidRPr="00ED6FED">
        <w:rPr>
          <w:rFonts w:eastAsia="Calibri"/>
        </w:rPr>
        <w:t>m.</w:t>
      </w:r>
      <w:r w:rsidRPr="00ED6FED">
        <w:rPr>
          <w:rFonts w:eastAsia="Calibri"/>
        </w:rPr>
        <w:t> </w:t>
      </w:r>
      <w:r w:rsidR="00EC36F2" w:rsidRPr="00ED6FED">
        <w:rPr>
          <w:rFonts w:eastAsia="Calibri"/>
        </w:rPr>
        <w:t>sausio</w:t>
      </w:r>
      <w:r w:rsidRPr="00ED6FED">
        <w:rPr>
          <w:rFonts w:eastAsia="Calibri"/>
        </w:rPr>
        <w:t> </w:t>
      </w:r>
      <w:r w:rsidR="00EC36F2" w:rsidRPr="00ED6FED">
        <w:rPr>
          <w:rFonts w:eastAsia="Calibri"/>
        </w:rPr>
        <w:t>12</w:t>
      </w:r>
      <w:r w:rsidRPr="00ED6FED">
        <w:rPr>
          <w:rFonts w:eastAsia="Calibri"/>
        </w:rPr>
        <w:t> </w:t>
      </w:r>
      <w:r w:rsidR="00EC36F2" w:rsidRPr="00ED6FED">
        <w:rPr>
          <w:rFonts w:eastAsia="Calibri"/>
        </w:rPr>
        <w:t>d. vakare kartu su ten buvusiais aukšto rango kariškiais (t. 474, b. l. 203)</w:t>
      </w:r>
      <w:r w:rsidR="00EC36F2" w:rsidRPr="000B432F">
        <w:rPr>
          <w:rFonts w:eastAsia="Calibri"/>
          <w:szCs w:val="24"/>
        </w:rPr>
        <w:t>.</w:t>
      </w:r>
      <w:r w:rsidR="005A493E" w:rsidRPr="000B432F">
        <w:rPr>
          <w:rFonts w:eastAsia="Calibri"/>
          <w:szCs w:val="24"/>
        </w:rPr>
        <w:t xml:space="preserve"> </w:t>
      </w:r>
    </w:p>
    <w:p w:rsidR="000B432F" w:rsidRPr="000B432F" w:rsidRDefault="00F06360" w:rsidP="000B432F">
      <w:pPr>
        <w:pStyle w:val="ListParagraph"/>
        <w:numPr>
          <w:ilvl w:val="0"/>
          <w:numId w:val="6"/>
        </w:numPr>
        <w:spacing w:before="120" w:after="120"/>
        <w:ind w:left="992" w:hanging="992"/>
        <w:contextualSpacing w:val="0"/>
      </w:pPr>
      <w:r w:rsidRPr="00ED6FED">
        <w:t>Teisiamajame posėdyje apklaustas liudytojas J. K., (duomenys neskel</w:t>
      </w:r>
      <w:r w:rsidR="000B432F" w:rsidRPr="00ED6FED">
        <w:t>btini) buvęs V. U. </w:t>
      </w:r>
      <w:r w:rsidRPr="00ED6FED">
        <w:t>1 patikėtiniu, taip pat nurodė, jog Šiaurės miestelyj</w:t>
      </w:r>
      <w:r w:rsidR="000B432F" w:rsidRPr="00ED6FED">
        <w:t>e matė tiek V. Š. 1, tiek A. N. </w:t>
      </w:r>
      <w:r w:rsidRPr="00ED6FED">
        <w:t>1. Liudytojas patvirtino savo parodymus, duotus ikiteisminio tyrimo metu, kuriuose nurodė, kad prieš pat Sausio įvykius jis V. Š. 1 su M. B. matė kelis vakarus ir pastarieji net pasilikdavo nakvoti Šiaurės miestelyje (t. 757, b. l. 87; t. 190, b. l. 145, 149 ir kt.)</w:t>
      </w:r>
      <w:r w:rsidRPr="000B432F">
        <w:t>.</w:t>
      </w:r>
    </w:p>
    <w:p w:rsidR="001D0506" w:rsidRPr="000B432F" w:rsidRDefault="00EC36F2" w:rsidP="001D0506">
      <w:pPr>
        <w:pStyle w:val="ListParagraph"/>
        <w:numPr>
          <w:ilvl w:val="0"/>
          <w:numId w:val="6"/>
        </w:numPr>
        <w:spacing w:before="120" w:after="120"/>
        <w:ind w:left="992" w:hanging="992"/>
        <w:contextualSpacing w:val="0"/>
        <w:rPr>
          <w:szCs w:val="24"/>
        </w:rPr>
      </w:pPr>
      <w:r w:rsidRPr="00ED6FED">
        <w:rPr>
          <w:rFonts w:eastAsia="Calibri"/>
        </w:rPr>
        <w:t xml:space="preserve">Tokius teisme apklaustų liudytojų parodymus apie pasitarimuose dėl karinės operacijos įgyvendinimo dalyvavusius kariškius bei LKP/TSKP aktyvistus visiškai patvirtina ir kitų ikiteisminio tyrimo metu apklaustų kariškių parodymai. Šių parodymų </w:t>
      </w:r>
      <w:r w:rsidRPr="00ED6FED">
        <w:t>perskaitymas teismo posėdyje, ką padarė pirmosios instancijos teismas, ir analizė bendrame bylos duomenų kontekste gali turėti reikšmės formuojantis teismo vidiniam įsitikinimui ir galutiniam įrodymų įvertinimui (</w:t>
      </w:r>
      <w:r w:rsidR="00A300D1" w:rsidRPr="00ED6FED">
        <w:t>LAT</w:t>
      </w:r>
      <w:r w:rsidRPr="00ED6FED">
        <w:t xml:space="preserve"> nutartis </w:t>
      </w:r>
      <w:r w:rsidR="00671CA0" w:rsidRPr="00ED6FED">
        <w:t xml:space="preserve">baudžiamojoje </w:t>
      </w:r>
      <w:r w:rsidRPr="00ED6FED">
        <w:t>byloje Nr. 2K-79-697/2020)</w:t>
      </w:r>
      <w:r w:rsidRPr="000B432F">
        <w:rPr>
          <w:szCs w:val="24"/>
        </w:rPr>
        <w:t>.</w:t>
      </w:r>
    </w:p>
    <w:p w:rsidR="00EC36F2" w:rsidRPr="00C00255" w:rsidRDefault="00EC36F2" w:rsidP="00EC36F2">
      <w:pPr>
        <w:pStyle w:val="ListParagraph"/>
        <w:numPr>
          <w:ilvl w:val="1"/>
          <w:numId w:val="6"/>
        </w:numPr>
        <w:spacing w:before="120" w:after="120"/>
        <w:ind w:left="992" w:hanging="992"/>
        <w:contextualSpacing w:val="0"/>
      </w:pPr>
      <w:r w:rsidRPr="00C00255">
        <w:rPr>
          <w:rFonts w:eastAsia="Calibri"/>
        </w:rPr>
        <w:t>I</w:t>
      </w:r>
      <w:r w:rsidRPr="00C00255">
        <w:t xml:space="preserve">š TSRS gynybos ministerijos 76-osios Pskovo oro desanto divizijos 234-ojo pulko žvalgybos tarnybos viršininko </w:t>
      </w:r>
      <w:r w:rsidR="006036E7">
        <w:t>S. P.</w:t>
      </w:r>
      <w:r w:rsidRPr="00C00255">
        <w:rPr>
          <w:color w:val="000000"/>
        </w:rPr>
        <w:t xml:space="preserve"> </w:t>
      </w:r>
      <w:r w:rsidRPr="00C00255">
        <w:t>parodymų, duotų ikiteisminio tyrimo metu, matyti, kad</w:t>
      </w:r>
      <w:r w:rsidR="005A493E">
        <w:rPr>
          <w:color w:val="000000"/>
        </w:rPr>
        <w:t xml:space="preserve"> 1991 m. </w:t>
      </w:r>
      <w:r w:rsidRPr="00C00255">
        <w:rPr>
          <w:color w:val="000000"/>
        </w:rPr>
        <w:t xml:space="preserve">sausio 11 d. apie 19.30 val. jis, </w:t>
      </w:r>
      <w:r w:rsidR="00385BC9">
        <w:rPr>
          <w:color w:val="000000"/>
        </w:rPr>
        <w:t>V. S. 2</w:t>
      </w:r>
      <w:r w:rsidRPr="00C00255">
        <w:rPr>
          <w:color w:val="000000"/>
        </w:rPr>
        <w:t xml:space="preserve">, tankų pulko ar bataliono vadas papulkininkis </w:t>
      </w:r>
      <w:r w:rsidR="00C507EF">
        <w:rPr>
          <w:color w:val="000000"/>
        </w:rPr>
        <w:t>I. K.</w:t>
      </w:r>
      <w:r w:rsidRPr="00C00255">
        <w:rPr>
          <w:color w:val="000000"/>
        </w:rPr>
        <w:t xml:space="preserve">, TSRS VRM kariuomenės pulko vadas papulkininkis </w:t>
      </w:r>
      <w:r w:rsidR="00A97F74">
        <w:rPr>
          <w:color w:val="000000"/>
        </w:rPr>
        <w:t>S. F.</w:t>
      </w:r>
      <w:r w:rsidRPr="00C00255">
        <w:rPr>
          <w:color w:val="000000"/>
        </w:rPr>
        <w:t xml:space="preserve">, divizijos vado pavaduotojas </w:t>
      </w:r>
      <w:r w:rsidR="00385BC9">
        <w:rPr>
          <w:color w:val="000000"/>
        </w:rPr>
        <w:t>V. K. 1</w:t>
      </w:r>
      <w:r w:rsidRPr="00C00255">
        <w:rPr>
          <w:color w:val="000000"/>
        </w:rPr>
        <w:t xml:space="preserve"> buvo pakviesti dalyvauti susirinkime pas Pabaltijo karinės apygardos vado pavaduotoją generolą leitenantą </w:t>
      </w:r>
      <w:r w:rsidR="00C507EF">
        <w:rPr>
          <w:color w:val="000000"/>
        </w:rPr>
        <w:t>V. O.</w:t>
      </w:r>
      <w:r w:rsidRPr="00C00255">
        <w:rPr>
          <w:color w:val="000000"/>
        </w:rPr>
        <w:t xml:space="preserve">, kur jau buvo atvykę motorizuotų šaulių divizijos vadas generolas majoras </w:t>
      </w:r>
      <w:r w:rsidR="006036E7">
        <w:rPr>
          <w:color w:val="000000"/>
        </w:rPr>
        <w:t>V. U. 1</w:t>
      </w:r>
      <w:r w:rsidRPr="00C00255">
        <w:rPr>
          <w:color w:val="000000"/>
        </w:rPr>
        <w:t xml:space="preserve">, TSRS gynybos ministro pavaduotojas generolas pulkininkas </w:t>
      </w:r>
      <w:r w:rsidR="00C507EF">
        <w:rPr>
          <w:color w:val="000000"/>
        </w:rPr>
        <w:t>V. A.</w:t>
      </w:r>
      <w:r w:rsidRPr="00C00255">
        <w:rPr>
          <w:color w:val="000000"/>
        </w:rPr>
        <w:t xml:space="preserve"> ir dar gal penki žmonės civiliais rūbais, jo nuomone, vienas iš jų buvo </w:t>
      </w:r>
      <w:r w:rsidR="00385BC9">
        <w:rPr>
          <w:color w:val="000000"/>
        </w:rPr>
        <w:t>V. Š. 1</w:t>
      </w:r>
      <w:r w:rsidRPr="00C00255">
        <w:rPr>
          <w:color w:val="000000"/>
        </w:rPr>
        <w:t xml:space="preserve">, o kitų nepažįsta. Pasitarime </w:t>
      </w:r>
      <w:r w:rsidR="00C507EF">
        <w:rPr>
          <w:color w:val="000000"/>
        </w:rPr>
        <w:t>V. O.</w:t>
      </w:r>
      <w:r w:rsidRPr="00C00255">
        <w:rPr>
          <w:color w:val="000000"/>
        </w:rPr>
        <w:t xml:space="preserve"> bendrais bruožais iškėlė uždavinį perimti valstybinę televiziją ir radiją bei televizijos bokštą, kitų objektų jis neminėjo (</w:t>
      </w:r>
      <w:r w:rsidRPr="00C00255">
        <w:t xml:space="preserve">t. 756, b. l. 30–32; </w:t>
      </w:r>
      <w:r w:rsidRPr="00C00255">
        <w:rPr>
          <w:color w:val="000000"/>
        </w:rPr>
        <w:t>t.</w:t>
      </w:r>
      <w:r w:rsidR="005A493E">
        <w:rPr>
          <w:color w:val="000000"/>
        </w:rPr>
        <w:t xml:space="preserve"> 117, b. l. 9–13; t. 430, b. l. </w:t>
      </w:r>
      <w:r w:rsidRPr="00C00255">
        <w:rPr>
          <w:color w:val="000000"/>
        </w:rPr>
        <w:t xml:space="preserve">8–9). </w:t>
      </w:r>
    </w:p>
    <w:p w:rsidR="00EC36F2" w:rsidRPr="000B432F" w:rsidRDefault="00EC36F2" w:rsidP="00EC36F2">
      <w:pPr>
        <w:pStyle w:val="ListParagraph"/>
        <w:numPr>
          <w:ilvl w:val="1"/>
          <w:numId w:val="6"/>
        </w:numPr>
        <w:spacing w:before="120" w:after="120"/>
        <w:ind w:left="992" w:hanging="992"/>
        <w:contextualSpacing w:val="0"/>
        <w:rPr>
          <w:szCs w:val="24"/>
        </w:rPr>
      </w:pPr>
      <w:r w:rsidRPr="000E2C88">
        <w:t xml:space="preserve">Iš </w:t>
      </w:r>
      <w:r w:rsidRPr="000E2C88">
        <w:rPr>
          <w:rFonts w:eastAsia="Calibri"/>
        </w:rPr>
        <w:t>TSRS VSK valdybos „Z“ viršininko pavaduotojo generolo</w:t>
      </w:r>
      <w:r w:rsidRPr="000E2C88">
        <w:t xml:space="preserve"> </w:t>
      </w:r>
      <w:r w:rsidR="00DD1A27" w:rsidRPr="000E2C88">
        <w:t>I. F.</w:t>
      </w:r>
      <w:r w:rsidRPr="000E2C88">
        <w:t xml:space="preserve"> parodymų matyti, kad TSRS VSK Tarybinės Konstitucijos santvarkos gynimo skyriaus „Z” viršininkas E.</w:t>
      </w:r>
      <w:r w:rsidR="0083329D" w:rsidRPr="000E2C88">
        <w:t> </w:t>
      </w:r>
      <w:r w:rsidRPr="000E2C88">
        <w:t>I</w:t>
      </w:r>
      <w:r w:rsidR="005A493E" w:rsidRPr="000E2C88">
        <w:t>.</w:t>
      </w:r>
      <w:r w:rsidRPr="000E2C88">
        <w:t xml:space="preserve"> sausio 8 d. ar 9 d. 13.00 val. įsakė jam skubiai grupės sudėtyje vykti į Vilnių dėl padėties paaštrėjimo. Atvykęs jis pasitikslino pa</w:t>
      </w:r>
      <w:r w:rsidR="001D0506" w:rsidRPr="000E2C88">
        <w:t xml:space="preserve">dėtį, susitiko ir kalbėjo su </w:t>
      </w:r>
      <w:r w:rsidR="005A493E" w:rsidRPr="000E2C88">
        <w:t>R. M.</w:t>
      </w:r>
      <w:r w:rsidRPr="000E2C88">
        <w:t xml:space="preserve">, </w:t>
      </w:r>
      <w:r w:rsidR="00D37127" w:rsidRPr="000E2C88">
        <w:t>S. C.</w:t>
      </w:r>
      <w:r w:rsidRPr="000E2C88">
        <w:t xml:space="preserve">, generolu pulkininku </w:t>
      </w:r>
      <w:r w:rsidR="00C507EF" w:rsidRPr="000E2C88">
        <w:t>V. A.</w:t>
      </w:r>
      <w:r w:rsidRPr="000E2C88">
        <w:t xml:space="preserve">, LKP/TSKP CK sekretoriumi </w:t>
      </w:r>
      <w:r w:rsidR="00C507EF" w:rsidRPr="000E2C88">
        <w:t>M. B.</w:t>
      </w:r>
      <w:r w:rsidRPr="000E2C88">
        <w:t xml:space="preserve">. Susitikimas su </w:t>
      </w:r>
      <w:r w:rsidR="00C507EF" w:rsidRPr="000E2C88">
        <w:t>M. B.</w:t>
      </w:r>
      <w:r w:rsidRPr="000E2C88">
        <w:t xml:space="preserve"> įvyko galimai tą pačią dieną jo iniciatyva LKP CK pastate, </w:t>
      </w:r>
      <w:r w:rsidR="00C507EF" w:rsidRPr="000E2C88">
        <w:t>M. B.</w:t>
      </w:r>
      <w:r w:rsidRPr="000E2C88">
        <w:t xml:space="preserve"> kabinete. Pokalbyje dalyvavo </w:t>
      </w:r>
      <w:r w:rsidR="00D37127" w:rsidRPr="000E2C88">
        <w:t>S. C.</w:t>
      </w:r>
      <w:r w:rsidRPr="000E2C88">
        <w:t xml:space="preserve">, </w:t>
      </w:r>
      <w:r w:rsidR="00C507EF" w:rsidRPr="000E2C88">
        <w:t>J. K.</w:t>
      </w:r>
      <w:r w:rsidRPr="000E2C88">
        <w:t xml:space="preserve">, </w:t>
      </w:r>
      <w:r w:rsidR="00385BC9" w:rsidRPr="000E2C88">
        <w:t>N. D.</w:t>
      </w:r>
      <w:r w:rsidRPr="000E2C88">
        <w:t xml:space="preserve">, galėjo būti ir daugiau žmonių, bet jis neprisimena. Iš pokalbio tapo aišku, kad </w:t>
      </w:r>
      <w:r w:rsidR="00C507EF" w:rsidRPr="000E2C88">
        <w:t>M. B.</w:t>
      </w:r>
      <w:r w:rsidRPr="000E2C88">
        <w:t xml:space="preserve"> buvo Maskvoje, tačiau kokius klausimus ir su kuo jis ten sprendė, </w:t>
      </w:r>
      <w:r w:rsidR="00DD1A27" w:rsidRPr="000E2C88">
        <w:t>I. F.</w:t>
      </w:r>
      <w:r w:rsidRPr="000E2C88">
        <w:t xml:space="preserve"> nežino. 1991 m. sausio 10 d. padėtis vis aštrėjo. Prie Aukščiausiosios Tarybos vyko mitingas, kuriame dalyvavo skirtingos politinės orientacijos žmonės. Pasitarime pas </w:t>
      </w:r>
      <w:r w:rsidR="00C507EF" w:rsidRPr="000E2C88">
        <w:t>V. A.</w:t>
      </w:r>
      <w:r w:rsidRPr="000E2C88">
        <w:t xml:space="preserve"> buvo priimtas sprendimas įvesti VRM kariškių diviziją į aikštę, be karininkų ir kariškių pasitarime dalyvavo ir </w:t>
      </w:r>
      <w:r w:rsidR="00C507EF" w:rsidRPr="000E2C88">
        <w:t>M. B.</w:t>
      </w:r>
      <w:r w:rsidRPr="000E2C88">
        <w:t xml:space="preserve"> su </w:t>
      </w:r>
      <w:r w:rsidR="00BA18FA" w:rsidRPr="000E2C88">
        <w:t>V. Š. 1</w:t>
      </w:r>
      <w:r w:rsidRPr="000E2C88">
        <w:t xml:space="preserve">. </w:t>
      </w:r>
      <w:r w:rsidR="00385BC9" w:rsidRPr="000E2C88">
        <w:t>V. Š. 1</w:t>
      </w:r>
      <w:r w:rsidRPr="000E2C88">
        <w:t xml:space="preserve"> visada nešiojo deputato ženklelį</w:t>
      </w:r>
      <w:r w:rsidRPr="000E2C88">
        <w:rPr>
          <w:rFonts w:eastAsia="Calibri"/>
        </w:rPr>
        <w:t xml:space="preserve"> </w:t>
      </w:r>
      <w:r w:rsidRPr="000E2C88">
        <w:t xml:space="preserve">(t. 757, b. l. 64; t. 192, b. l. 102–106). Vertindama tokius </w:t>
      </w:r>
      <w:r w:rsidR="00DD1A27" w:rsidRPr="000E2C88">
        <w:t>I. F.</w:t>
      </w:r>
      <w:r w:rsidRPr="000E2C88">
        <w:t xml:space="preserve"> parodymus visų kitų byloje esančių duomenų kontekste, kol</w:t>
      </w:r>
      <w:r w:rsidR="005A493E" w:rsidRPr="000E2C88">
        <w:t>egija pažymi, kad nors per 1990 m. </w:t>
      </w:r>
      <w:r w:rsidRPr="000E2C88">
        <w:t>vasario 24 d. vykusius rinkimus į</w:t>
      </w:r>
      <w:r w:rsidRPr="000E2C88">
        <w:rPr>
          <w:rFonts w:eastAsia="Calibri"/>
        </w:rPr>
        <w:t xml:space="preserve"> Aukščiausiąją Tarybą nebuvo išrinktas nei vienas LKP/TSKP narys, 1990 m. gruodžio 4 d. Aukščiausiosios Tarybos nutarimu pripažinta, kad 1990 m. lapkričio 24 d. Naujosios Vilnios rinkiminėje apygardoje Nr. 21 buvo išrinktas Aukščiausiosios Tarybos deputatas </w:t>
      </w:r>
      <w:r w:rsidR="00385BC9" w:rsidRPr="000E2C88">
        <w:rPr>
          <w:rFonts w:eastAsia="Calibri"/>
        </w:rPr>
        <w:t>V. Š. 1</w:t>
      </w:r>
      <w:r w:rsidRPr="000E2C88">
        <w:rPr>
          <w:rFonts w:eastAsia="Calibri"/>
        </w:rPr>
        <w:t xml:space="preserve"> (t. 2, b. l. 179), todėl tokie </w:t>
      </w:r>
      <w:r w:rsidR="00DD1A27" w:rsidRPr="000E2C88">
        <w:rPr>
          <w:rFonts w:eastAsia="Calibri"/>
        </w:rPr>
        <w:t>I. F.</w:t>
      </w:r>
      <w:r w:rsidR="001D0506" w:rsidRPr="000E2C88">
        <w:rPr>
          <w:rFonts w:eastAsia="Calibri"/>
        </w:rPr>
        <w:t xml:space="preserve"> parodymai apie </w:t>
      </w:r>
      <w:r w:rsidR="00385BC9" w:rsidRPr="000E2C88">
        <w:rPr>
          <w:rFonts w:eastAsia="Calibri"/>
        </w:rPr>
        <w:t>V. Š. 1</w:t>
      </w:r>
      <w:r w:rsidRPr="000E2C88">
        <w:rPr>
          <w:rFonts w:eastAsia="Calibri"/>
        </w:rPr>
        <w:t xml:space="preserve"> dalyvavimą minėtame pasitarime teismui nekelia jokių abejonių</w:t>
      </w:r>
      <w:r w:rsidRPr="000B432F">
        <w:rPr>
          <w:rFonts w:eastAsia="Calibri"/>
          <w:szCs w:val="24"/>
        </w:rPr>
        <w:t xml:space="preserve">.  </w:t>
      </w:r>
    </w:p>
    <w:p w:rsidR="00EC36F2" w:rsidRPr="00C00255" w:rsidRDefault="00EC36F2" w:rsidP="00EC36F2">
      <w:pPr>
        <w:pStyle w:val="ListParagraph"/>
        <w:numPr>
          <w:ilvl w:val="1"/>
          <w:numId w:val="6"/>
        </w:numPr>
        <w:spacing w:before="120" w:after="120"/>
        <w:ind w:left="992" w:hanging="992"/>
        <w:contextualSpacing w:val="0"/>
      </w:pPr>
      <w:r w:rsidRPr="000E2C88">
        <w:rPr>
          <w:rFonts w:eastAsia="Calibri"/>
        </w:rPr>
        <w:t>Byloje yra ir g</w:t>
      </w:r>
      <w:r w:rsidRPr="000E2C88">
        <w:rPr>
          <w:color w:val="000000"/>
        </w:rPr>
        <w:t xml:space="preserve">rupės „A“ vado pavaduotojo papulkininkio </w:t>
      </w:r>
      <w:r w:rsidR="00385BC9" w:rsidRPr="000E2C88">
        <w:rPr>
          <w:color w:val="000000"/>
        </w:rPr>
        <w:t>M. G.</w:t>
      </w:r>
      <w:r w:rsidRPr="000E2C88">
        <w:rPr>
          <w:color w:val="000000"/>
        </w:rPr>
        <w:t xml:space="preserve"> parodymai, duoti RTFSR Aukščiausiosios Tarybos komisijai sudarytai TSRS Prezidento </w:t>
      </w:r>
      <w:r w:rsidR="00DD1A27" w:rsidRPr="000E2C88">
        <w:rPr>
          <w:color w:val="000000"/>
        </w:rPr>
        <w:t>M. G.</w:t>
      </w:r>
      <w:r w:rsidRPr="000E2C88">
        <w:rPr>
          <w:color w:val="000000"/>
        </w:rPr>
        <w:t xml:space="preserve"> įsaku tirti TSRS VSK veiklai, kuriuose jis Lietuvos nacionalinio gelbėjimo komiteto nariais įvardijo ir </w:t>
      </w:r>
      <w:r w:rsidR="00BA18FA" w:rsidRPr="000E2C88">
        <w:rPr>
          <w:color w:val="000000"/>
        </w:rPr>
        <w:t>V. Š. 1</w:t>
      </w:r>
      <w:r w:rsidRPr="000E2C88">
        <w:rPr>
          <w:color w:val="000000"/>
        </w:rPr>
        <w:t xml:space="preserve">, ir </w:t>
      </w:r>
      <w:r w:rsidR="00385BC9" w:rsidRPr="000E2C88">
        <w:rPr>
          <w:color w:val="000000"/>
        </w:rPr>
        <w:t>A. N. 1</w:t>
      </w:r>
      <w:r w:rsidRPr="000E2C88">
        <w:rPr>
          <w:color w:val="000000"/>
        </w:rPr>
        <w:t xml:space="preserve"> bei nurodė juos matęs Šiaurės miestelyje įkurtame štabe, kuriame buvo įsikūręs gynybos ministro pavaduotojas </w:t>
      </w:r>
      <w:r w:rsidR="00C507EF" w:rsidRPr="000E2C88">
        <w:rPr>
          <w:color w:val="000000"/>
        </w:rPr>
        <w:t>V. A.</w:t>
      </w:r>
      <w:r w:rsidRPr="000E2C88">
        <w:rPr>
          <w:color w:val="000000"/>
        </w:rPr>
        <w:t>. Šiuose parodymuose taip pat užfiksuotas detalus pasirengimas karinei operacijai, o būtent, kad 1991 m. sausio 11, 12 ir 13</w:t>
      </w:r>
      <w:r w:rsidR="008E4551" w:rsidRPr="000E2C88">
        <w:rPr>
          <w:color w:val="000000"/>
        </w:rPr>
        <w:t> </w:t>
      </w:r>
      <w:r w:rsidRPr="000E2C88">
        <w:rPr>
          <w:color w:val="000000"/>
        </w:rPr>
        <w:t xml:space="preserve">dienomis jau buvo sukurtas Lietuvos nacionalinis gelbėjimo komitetas, kurio nariais buvo </w:t>
      </w:r>
      <w:r w:rsidR="00C507EF" w:rsidRPr="000E2C88">
        <w:rPr>
          <w:color w:val="000000"/>
        </w:rPr>
        <w:t>M. B.</w:t>
      </w:r>
      <w:r w:rsidRPr="000E2C88">
        <w:rPr>
          <w:color w:val="000000"/>
        </w:rPr>
        <w:t xml:space="preserve">, </w:t>
      </w:r>
      <w:r w:rsidR="00385BC9" w:rsidRPr="000E2C88">
        <w:rPr>
          <w:color w:val="000000"/>
        </w:rPr>
        <w:t xml:space="preserve">V. Š. 1 </w:t>
      </w:r>
      <w:r w:rsidRPr="000E2C88">
        <w:rPr>
          <w:color w:val="000000"/>
        </w:rPr>
        <w:t xml:space="preserve">ir </w:t>
      </w:r>
      <w:r w:rsidR="00385BC9" w:rsidRPr="000E2C88">
        <w:rPr>
          <w:color w:val="000000"/>
        </w:rPr>
        <w:t>A. N. 1</w:t>
      </w:r>
      <w:r w:rsidRPr="000E2C88">
        <w:rPr>
          <w:color w:val="000000"/>
        </w:rPr>
        <w:t xml:space="preserve"> bei kiti LKP/TSKP nariai. 1991 m. sausio 11 d. uždaviniai jau buvo numatyti: LRT, TV bokšto ir radijo cecho Nr. 3 užėmimas. </w:t>
      </w:r>
      <w:r w:rsidRPr="000E2C88">
        <w:rPr>
          <w:bCs/>
          <w:color w:val="000000"/>
        </w:rPr>
        <w:t>Kiekvienai operacijai buvo ruošiamasi iš anksto, įtraukiant</w:t>
      </w:r>
      <w:r w:rsidRPr="000E2C88">
        <w:rPr>
          <w:color w:val="000000"/>
        </w:rPr>
        <w:t xml:space="preserve"> žmones iš VSK, VRM ir GM, t. y. iš tų žinybų, kurios veiks karinės operacijos metu. Vilniuje buvo TSRS gynybos ministro pavaduotojas </w:t>
      </w:r>
      <w:r w:rsidR="00C507EF" w:rsidRPr="000E2C88">
        <w:rPr>
          <w:color w:val="000000"/>
        </w:rPr>
        <w:t>V. A.</w:t>
      </w:r>
      <w:r w:rsidRPr="000E2C88">
        <w:rPr>
          <w:color w:val="000000"/>
        </w:rPr>
        <w:t xml:space="preserve">, Pabaltijo karinės apygardos vado pavaduotojas generolas majoras </w:t>
      </w:r>
      <w:r w:rsidR="00C507EF" w:rsidRPr="000E2C88">
        <w:rPr>
          <w:color w:val="000000"/>
        </w:rPr>
        <w:t>V. O.</w:t>
      </w:r>
      <w:r w:rsidRPr="000E2C88">
        <w:rPr>
          <w:color w:val="000000"/>
        </w:rPr>
        <w:t>, iš VRM pusės VRM</w:t>
      </w:r>
      <w:r w:rsidR="005A493E" w:rsidRPr="000E2C88">
        <w:rPr>
          <w:color w:val="000000"/>
        </w:rPr>
        <w:t xml:space="preserve"> kariuomenės veiklą kuravo TSRS </w:t>
      </w:r>
      <w:r w:rsidRPr="000E2C88">
        <w:rPr>
          <w:color w:val="000000"/>
        </w:rPr>
        <w:t xml:space="preserve">VRM ministro pavaduotojas </w:t>
      </w:r>
      <w:r w:rsidR="00385BC9" w:rsidRPr="000E2C88">
        <w:rPr>
          <w:color w:val="000000"/>
        </w:rPr>
        <w:t>N. D.</w:t>
      </w:r>
      <w:r w:rsidRPr="000E2C88">
        <w:rPr>
          <w:color w:val="000000"/>
        </w:rPr>
        <w:t xml:space="preserve">, iš Lietuvos VSK – pirmininko pavaduotojas </w:t>
      </w:r>
      <w:r w:rsidR="00D37127" w:rsidRPr="000E2C88">
        <w:rPr>
          <w:color w:val="000000"/>
        </w:rPr>
        <w:t>S. C.</w:t>
      </w:r>
      <w:r w:rsidRPr="000E2C88">
        <w:rPr>
          <w:color w:val="000000"/>
        </w:rPr>
        <w:t xml:space="preserve">, VSK pirmininkas (pavardės nenurodė). Iš Maskvos buvo </w:t>
      </w:r>
      <w:r w:rsidR="00C507EF" w:rsidRPr="000E2C88">
        <w:rPr>
          <w:color w:val="000000"/>
        </w:rPr>
        <w:t>J. K.</w:t>
      </w:r>
      <w:r w:rsidRPr="000E2C88">
        <w:rPr>
          <w:color w:val="000000"/>
        </w:rPr>
        <w:t xml:space="preserve">, 3-ios Vyriausiosios valdybos viršininko pavaduotojas (nuo kariškių), ir </w:t>
      </w:r>
      <w:r w:rsidR="00DD1A27" w:rsidRPr="000E2C88">
        <w:rPr>
          <w:color w:val="000000"/>
        </w:rPr>
        <w:t>I. F.</w:t>
      </w:r>
      <w:r w:rsidRPr="000E2C88">
        <w:rPr>
          <w:color w:val="000000"/>
        </w:rPr>
        <w:t>, „Z” valdybos v</w:t>
      </w:r>
      <w:r w:rsidR="005A493E" w:rsidRPr="000E2C88">
        <w:rPr>
          <w:color w:val="000000"/>
        </w:rPr>
        <w:t>iršininko pavaduotojas (t. 192, </w:t>
      </w:r>
      <w:r w:rsidRPr="000E2C88">
        <w:rPr>
          <w:color w:val="000000"/>
        </w:rPr>
        <w:t>b. l. 12–35)</w:t>
      </w:r>
      <w:r w:rsidRPr="00C00255">
        <w:rPr>
          <w:color w:val="000000"/>
        </w:rPr>
        <w:t>.</w:t>
      </w:r>
    </w:p>
    <w:p w:rsidR="000B432F" w:rsidRPr="000B432F" w:rsidRDefault="000B432F" w:rsidP="000B432F">
      <w:pPr>
        <w:pStyle w:val="ListParagraph"/>
        <w:numPr>
          <w:ilvl w:val="0"/>
          <w:numId w:val="6"/>
        </w:numPr>
        <w:spacing w:before="120" w:after="120"/>
        <w:ind w:left="992" w:hanging="992"/>
        <w:contextualSpacing w:val="0"/>
        <w:rPr>
          <w:szCs w:val="24"/>
        </w:rPr>
      </w:pPr>
      <w:r w:rsidRPr="000E2C88">
        <w:t>Tokių parodymų apie nuteistojo V. Š. 1 bendravimą su kariškiais kontekste, pastebėtina, kad ikiteisminio tyrimo metu ir pats V. Š. 1 yra nurodęs, jog prieš pat Sausio įvykius, TV bokšto ir LRT užgrobimą yra kalbėjęsis su generolu V. U. 1 (t. 284, b. l. 3), kelis kartus su generolu V. V. bei jį lydėjusiais generolais (t. 284, b. l. 26), daug bendravo su S. C. (t. 284, b. l. 27) ir pan. Atsižvelgiant į visa tai, teisėjų kolegijai nekyla abejonių dėl kaltinime V. Š. 1 ir A. N. 1 inkriminuotų aplinkybių – jų dalyvavimo vadovavimo karinei operacijai štabo veikloje</w:t>
      </w:r>
      <w:r w:rsidRPr="000B432F">
        <w:rPr>
          <w:szCs w:val="24"/>
        </w:rPr>
        <w:t>.</w:t>
      </w:r>
      <w:bookmarkStart w:id="230" w:name="_Hlk57364221"/>
    </w:p>
    <w:p w:rsidR="000B432F" w:rsidRPr="000B432F" w:rsidRDefault="000B432F" w:rsidP="000B432F">
      <w:pPr>
        <w:pStyle w:val="ListParagraph"/>
        <w:numPr>
          <w:ilvl w:val="0"/>
          <w:numId w:val="6"/>
        </w:numPr>
        <w:ind w:left="992" w:hanging="992"/>
      </w:pPr>
      <w:r w:rsidRPr="000E2C88">
        <w:t>Pagal byloje inkriminuotas aplinkybes karinės operacijos planavimo veiksmus apėmė ir veiksmai, kuriant darbininkų draugoves, visuomeninius komitetus, koordinuojant jų veiksmus. Tokio pobūdžio organizacijų įkūrimo, veiklos pobūdžio ir tikslų klausimas teisėjų kolegijai nekelia jokių abejonių, be to, šios aplinkybės nustatytos ir jau išnagrinėtose bylose priimtais ir įsiteisėjusiais teismų sprendimais</w:t>
      </w:r>
      <w:r w:rsidRPr="000B432F">
        <w:t xml:space="preserve">.  </w:t>
      </w:r>
    </w:p>
    <w:p w:rsidR="00EC36F2" w:rsidRPr="00C00255" w:rsidRDefault="00EC36F2" w:rsidP="00EC36F2">
      <w:pPr>
        <w:pStyle w:val="ListParagraph"/>
        <w:numPr>
          <w:ilvl w:val="0"/>
          <w:numId w:val="6"/>
        </w:numPr>
        <w:spacing w:before="120" w:after="120"/>
        <w:ind w:left="992" w:hanging="992"/>
        <w:contextualSpacing w:val="0"/>
      </w:pPr>
      <w:r w:rsidRPr="00C00255">
        <w:t>Lietuvos Aukščiausiojo Teismo 1994 m. balandžio 29 d. nuosprendžiu už aktyvų dalyvavimą antivalstybinės organizacijos LKP/TSKP veikloje buvo nuteisti draugovin</w:t>
      </w:r>
      <w:r w:rsidR="005A493E">
        <w:t>inkai ir LKP/TSKP aktyvistai A. B., V. I.</w:t>
      </w:r>
      <w:r w:rsidRPr="00C00255">
        <w:t>, A. K</w:t>
      </w:r>
      <w:r w:rsidR="00E420BD">
        <w:t>.</w:t>
      </w:r>
      <w:r w:rsidRPr="00C00255">
        <w:t>, S. N</w:t>
      </w:r>
      <w:r w:rsidR="005A493E">
        <w:t>.</w:t>
      </w:r>
      <w:r w:rsidRPr="00C00255">
        <w:t>, A. S</w:t>
      </w:r>
      <w:r w:rsidR="005A493E">
        <w:t>.</w:t>
      </w:r>
      <w:r w:rsidRPr="00C00255">
        <w:t xml:space="preserve">. Jie nuteisti už LKP/TSKP 1991 m. sausio mėn. 7–13 d. organizuotas smurtines akcijas, nukreiptas prieš Lietuvos Respublikos </w:t>
      </w:r>
      <w:r w:rsidR="005A493E">
        <w:t>suverenitetą (t. 33, </w:t>
      </w:r>
      <w:r w:rsidRPr="00C00255">
        <w:t xml:space="preserve">b. l. 212–245).  </w:t>
      </w:r>
      <w:bookmarkEnd w:id="230"/>
    </w:p>
    <w:p w:rsidR="00EC36F2" w:rsidRPr="00C00255" w:rsidRDefault="00C507EF" w:rsidP="00EC36F2">
      <w:pPr>
        <w:pStyle w:val="ListParagraph"/>
        <w:numPr>
          <w:ilvl w:val="0"/>
          <w:numId w:val="6"/>
        </w:numPr>
        <w:spacing w:before="120" w:after="120"/>
        <w:ind w:left="992" w:hanging="992"/>
        <w:contextualSpacing w:val="0"/>
      </w:pPr>
      <w:r>
        <w:rPr>
          <w:bCs/>
        </w:rPr>
        <w:t>M. B.</w:t>
      </w:r>
      <w:r w:rsidR="00EC36F2" w:rsidRPr="00C00255">
        <w:rPr>
          <w:bCs/>
        </w:rPr>
        <w:t xml:space="preserve">, </w:t>
      </w:r>
      <w:r>
        <w:rPr>
          <w:bCs/>
        </w:rPr>
        <w:t>J. K.</w:t>
      </w:r>
      <w:r w:rsidR="00EC36F2" w:rsidRPr="00C00255">
        <w:rPr>
          <w:bCs/>
        </w:rPr>
        <w:t xml:space="preserve"> ir kt. byloje, be kita ko, įrodytomis pripažintos ir šios aplinkybės, susijusios su darbininkų draugovių įkūrimu: </w:t>
      </w:r>
      <w:r w:rsidR="00EC36F2" w:rsidRPr="00C00255">
        <w:rPr>
          <w:color w:val="000000"/>
          <w:shd w:val="clear" w:color="auto" w:fill="FFFFFF"/>
        </w:rPr>
        <w:t xml:space="preserve">„LKP/TSKP vadovybės antivalstybinė veikla pasireiškė per jų sukurtas kitas organizacijas, jų struktūras bei veiksmus. Nuteistieji </w:t>
      </w:r>
      <w:r>
        <w:rPr>
          <w:color w:val="000000"/>
          <w:shd w:val="clear" w:color="auto" w:fill="FFFFFF"/>
        </w:rPr>
        <w:t>M. B.</w:t>
      </w:r>
      <w:r w:rsidR="00EC36F2" w:rsidRPr="00C00255">
        <w:rPr>
          <w:color w:val="000000"/>
          <w:shd w:val="clear" w:color="auto" w:fill="FFFFFF"/>
        </w:rPr>
        <w:t xml:space="preserve">, </w:t>
      </w:r>
      <w:r>
        <w:rPr>
          <w:color w:val="000000"/>
          <w:shd w:val="clear" w:color="auto" w:fill="FFFFFF"/>
        </w:rPr>
        <w:t>J. J.</w:t>
      </w:r>
      <w:r w:rsidR="00EC36F2" w:rsidRPr="00C00255">
        <w:rPr>
          <w:color w:val="000000"/>
          <w:shd w:val="clear" w:color="auto" w:fill="FFFFFF"/>
        </w:rPr>
        <w:t xml:space="preserve"> kartu su kitais LKP/TSKP funkcionieriais 1990</w:t>
      </w:r>
      <w:r w:rsidR="0083329D">
        <w:rPr>
          <w:color w:val="000000"/>
          <w:shd w:val="clear" w:color="auto" w:fill="FFFFFF"/>
        </w:rPr>
        <w:t> </w:t>
      </w:r>
      <w:r w:rsidR="00EC36F2" w:rsidRPr="00C00255">
        <w:rPr>
          <w:color w:val="000000"/>
          <w:shd w:val="clear" w:color="auto" w:fill="FFFFFF"/>
        </w:rPr>
        <w:t xml:space="preserve">m. balandžio 21 d. įkūrė ,,Lietuvos TSR piliečių komitetą” ir nustatė jo uždavinius – nuversti teisėtą valstybės valdžią, nepaklusti Lietuvos valstybės įstatymams, atstatyti TSRS Konstitucijos ir įstatymų viršenybę, šio komiteto pagrindu įkurti alternatyvias valdžios ir valdymo struktūras. Šiam komitetui vadovavo </w:t>
      </w:r>
      <w:r w:rsidR="00385BC9">
        <w:rPr>
          <w:color w:val="000000"/>
          <w:shd w:val="clear" w:color="auto" w:fill="FFFFFF"/>
        </w:rPr>
        <w:t>V. Š. 1</w:t>
      </w:r>
      <w:r w:rsidR="00EC36F2" w:rsidRPr="00C00255">
        <w:rPr>
          <w:color w:val="000000"/>
          <w:shd w:val="clear" w:color="auto" w:fill="FFFFFF"/>
        </w:rPr>
        <w:t xml:space="preserve">, į vadovybę įėjo vienas iš pavaduotojų </w:t>
      </w:r>
      <w:r w:rsidR="00EC36F2" w:rsidRPr="00C00255">
        <w:t>–</w:t>
      </w:r>
      <w:r w:rsidR="00EC36F2" w:rsidRPr="00C00255">
        <w:rPr>
          <w:color w:val="000000"/>
          <w:shd w:val="clear" w:color="auto" w:fill="FFFFFF"/>
        </w:rPr>
        <w:t xml:space="preserve"> </w:t>
      </w:r>
      <w:r>
        <w:rPr>
          <w:color w:val="000000"/>
          <w:shd w:val="clear" w:color="auto" w:fill="FFFFFF"/>
        </w:rPr>
        <w:t>J. J.</w:t>
      </w:r>
      <w:r w:rsidR="00EC36F2" w:rsidRPr="00C00255">
        <w:rPr>
          <w:color w:val="000000"/>
          <w:shd w:val="clear" w:color="auto" w:fill="FFFFFF"/>
        </w:rPr>
        <w:t xml:space="preserve">, prezidiumo nariais buvo </w:t>
      </w:r>
      <w:r>
        <w:rPr>
          <w:color w:val="000000"/>
          <w:shd w:val="clear" w:color="auto" w:fill="FFFFFF"/>
        </w:rPr>
        <w:t>M. B.</w:t>
      </w:r>
      <w:r w:rsidR="00EC36F2" w:rsidRPr="00C00255">
        <w:rPr>
          <w:color w:val="000000"/>
          <w:shd w:val="clear" w:color="auto" w:fill="FFFFFF"/>
        </w:rPr>
        <w:t xml:space="preserve"> ir </w:t>
      </w:r>
      <w:r>
        <w:rPr>
          <w:color w:val="000000"/>
          <w:shd w:val="clear" w:color="auto" w:fill="FFFFFF"/>
        </w:rPr>
        <w:t>J. K.</w:t>
      </w:r>
      <w:r w:rsidR="00EC36F2" w:rsidRPr="00C00255">
        <w:rPr>
          <w:color w:val="000000"/>
          <w:shd w:val="clear" w:color="auto" w:fill="FFFFFF"/>
        </w:rPr>
        <w:t>. Šio komiteto nutarimu 1990 m. rugpjūčio 7 d. buvo įkurtos ,,darbininkų draugovės”, kurių uždavinys buvo ,,priešintis neteisėtiems priverstiniams veiksmams, jeigu bus likviduojama socialistinė santvarka ar Lietuva neteisėtai atsiskirs nuo TSRS”</w:t>
      </w:r>
      <w:bookmarkStart w:id="231" w:name="p5"/>
      <w:r w:rsidR="00EC36F2" w:rsidRPr="00C00255">
        <w:rPr>
          <w:color w:val="000000"/>
          <w:shd w:val="clear" w:color="auto" w:fill="FFFFFF"/>
        </w:rPr>
        <w:t xml:space="preserve"> (t. 389, b. l. 78).</w:t>
      </w:r>
      <w:bookmarkStart w:id="232" w:name="pn5e8f12e9-34ba-4af9-bcd2-2e28e3820455"/>
      <w:bookmarkEnd w:id="231"/>
      <w:bookmarkEnd w:id="232"/>
    </w:p>
    <w:p w:rsidR="00EC36F2" w:rsidRPr="00F06360" w:rsidRDefault="00EC36F2" w:rsidP="00EC36F2">
      <w:pPr>
        <w:pStyle w:val="ListParagraph"/>
        <w:numPr>
          <w:ilvl w:val="0"/>
          <w:numId w:val="6"/>
        </w:numPr>
        <w:spacing w:before="120" w:after="120"/>
        <w:ind w:left="992" w:hanging="992"/>
        <w:contextualSpacing w:val="0"/>
        <w:rPr>
          <w:szCs w:val="24"/>
        </w:rPr>
      </w:pPr>
      <w:r w:rsidRPr="000E2C88">
        <w:t xml:space="preserve">Tai, kad darbininkų draugovės buvo sukurtos Lietuvos TSR piliečių komiteto iniciatyva, </w:t>
      </w:r>
      <w:r w:rsidR="00C507EF" w:rsidRPr="000E2C88">
        <w:t>M. B.</w:t>
      </w:r>
      <w:r w:rsidRPr="000E2C88">
        <w:t xml:space="preserve">, </w:t>
      </w:r>
      <w:r w:rsidR="00C507EF" w:rsidRPr="000E2C88">
        <w:t>J. K.</w:t>
      </w:r>
      <w:r w:rsidRPr="000E2C88">
        <w:t xml:space="preserve"> ir kt. byloje pripažino ir teisiamajame posėdyje apklausti nuteistieji </w:t>
      </w:r>
      <w:r w:rsidR="00C507EF" w:rsidRPr="000E2C88">
        <w:t>M. B.</w:t>
      </w:r>
      <w:r w:rsidRPr="000E2C88">
        <w:t xml:space="preserve"> ir </w:t>
      </w:r>
      <w:r w:rsidR="00C507EF" w:rsidRPr="000E2C88">
        <w:t>J. J.</w:t>
      </w:r>
      <w:r w:rsidRPr="000E2C88">
        <w:t xml:space="preserve">. Nuteistasis </w:t>
      </w:r>
      <w:r w:rsidR="00C507EF" w:rsidRPr="000E2C88">
        <w:t>J. J.</w:t>
      </w:r>
      <w:r w:rsidRPr="000E2C88">
        <w:t xml:space="preserve"> taip pat parodė, kad </w:t>
      </w:r>
      <w:r w:rsidR="00385BC9" w:rsidRPr="000E2C88">
        <w:t>A. N. 1</w:t>
      </w:r>
      <w:r w:rsidRPr="000E2C88">
        <w:t xml:space="preserve"> jam pranešė apie TV bokšto ir LRT pastato užėmimą ir kad reikia pavesti E. K</w:t>
      </w:r>
      <w:r w:rsidR="005A493E" w:rsidRPr="000E2C88">
        <w:t>. ir G. </w:t>
      </w:r>
      <w:r w:rsidRPr="000E2C88">
        <w:t>S</w:t>
      </w:r>
      <w:r w:rsidR="005A493E" w:rsidRPr="000E2C88">
        <w:t>.</w:t>
      </w:r>
      <w:r w:rsidRPr="000E2C88">
        <w:t xml:space="preserve"> prižiūrėti, jog nebūtų grobstomas turtas. Be to, nuteistasis </w:t>
      </w:r>
      <w:r w:rsidR="00C507EF" w:rsidRPr="000E2C88">
        <w:t>J. K.</w:t>
      </w:r>
      <w:r w:rsidRPr="000E2C88">
        <w:t xml:space="preserve"> teisiamajame posėdyje parodė, kad tiesiogiai su Vilniaus įgulos vadovybe bendravo ir ryšius palaikė LKP/TSKP CK sekretorius </w:t>
      </w:r>
      <w:r w:rsidR="00385BC9" w:rsidRPr="000E2C88">
        <w:t>A. N. 1</w:t>
      </w:r>
      <w:r w:rsidRPr="000E2C88">
        <w:t xml:space="preserve"> ir </w:t>
      </w:r>
      <w:r w:rsidR="005A493E" w:rsidRPr="000E2C88">
        <w:t>V. Š.</w:t>
      </w:r>
      <w:r w:rsidRPr="000E2C88">
        <w:t xml:space="preserve"> (žr. nuteistųjų </w:t>
      </w:r>
      <w:r w:rsidR="00C507EF" w:rsidRPr="000E2C88">
        <w:t>M. B.</w:t>
      </w:r>
      <w:r w:rsidRPr="000E2C88">
        <w:t xml:space="preserve">, </w:t>
      </w:r>
      <w:r w:rsidR="00C507EF" w:rsidRPr="000E2C88">
        <w:t>J. J.</w:t>
      </w:r>
      <w:r w:rsidRPr="000E2C88">
        <w:t xml:space="preserve"> ir </w:t>
      </w:r>
      <w:r w:rsidR="00C507EF" w:rsidRPr="000E2C88">
        <w:t>J. K.</w:t>
      </w:r>
      <w:r w:rsidRPr="000E2C88">
        <w:t xml:space="preserve"> parodymus </w:t>
      </w:r>
      <w:r w:rsidRPr="000E2C88">
        <w:rPr>
          <w:rFonts w:eastAsia="Calibri"/>
        </w:rPr>
        <w:t>Vilniaus apygardos teismo 1999</w:t>
      </w:r>
      <w:r w:rsidR="008E4551" w:rsidRPr="000E2C88">
        <w:rPr>
          <w:rFonts w:eastAsia="Calibri"/>
        </w:rPr>
        <w:t> </w:t>
      </w:r>
      <w:r w:rsidRPr="000E2C88">
        <w:rPr>
          <w:rFonts w:eastAsia="Calibri"/>
        </w:rPr>
        <w:t>m. rugpjūčio 23 d. nuosprendyje, nuosprendžio 32, 48–50 l.; t. 379, b. l. 1–246)</w:t>
      </w:r>
      <w:r w:rsidRPr="00F06360">
        <w:rPr>
          <w:rFonts w:eastAsia="Calibri"/>
          <w:szCs w:val="24"/>
        </w:rPr>
        <w:t xml:space="preserve">. </w:t>
      </w:r>
    </w:p>
    <w:p w:rsidR="00EC36F2" w:rsidRPr="00C00255" w:rsidRDefault="00EC36F2" w:rsidP="00EC36F2">
      <w:pPr>
        <w:pStyle w:val="ListParagraph"/>
        <w:numPr>
          <w:ilvl w:val="0"/>
          <w:numId w:val="6"/>
        </w:numPr>
        <w:spacing w:before="120" w:after="120"/>
        <w:ind w:left="992" w:hanging="992"/>
        <w:contextualSpacing w:val="0"/>
      </w:pPr>
      <w:r w:rsidRPr="00C00255">
        <w:t xml:space="preserve">Apie darbininkų draugovių vykdytas užduotis, apie tai, kad </w:t>
      </w:r>
      <w:r w:rsidRPr="00C00255">
        <w:rPr>
          <w:color w:val="000000"/>
        </w:rPr>
        <w:t>darbininkų draugovės buvo kuriamos LKP/TSKP CK iniciatyva, joms vadovavo LKP/TSKP, kad jos buvo įkurtos ir veikė prie Piliečių komitetų, teisiamajame posėdyje</w:t>
      </w:r>
      <w:r w:rsidR="0003079E" w:rsidRPr="00C00255">
        <w:rPr>
          <w:color w:val="000000"/>
        </w:rPr>
        <w:t xml:space="preserve"> nurodė apklausti liudytojai </w:t>
      </w:r>
      <w:r w:rsidR="005A493E">
        <w:rPr>
          <w:color w:val="000000"/>
        </w:rPr>
        <w:t>J. G.</w:t>
      </w:r>
      <w:r w:rsidRPr="00C00255">
        <w:rPr>
          <w:color w:val="000000"/>
        </w:rPr>
        <w:t xml:space="preserve"> (</w:t>
      </w:r>
      <w:r w:rsidRPr="00C00255">
        <w:t>t. 757, b. l. 141–143</w:t>
      </w:r>
      <w:r w:rsidRPr="00C00255">
        <w:rPr>
          <w:color w:val="000000"/>
        </w:rPr>
        <w:t xml:space="preserve">), </w:t>
      </w:r>
      <w:r w:rsidR="005A493E">
        <w:rPr>
          <w:color w:val="000000"/>
        </w:rPr>
        <w:t>S. T.</w:t>
      </w:r>
      <w:r w:rsidRPr="00C00255">
        <w:rPr>
          <w:color w:val="000000"/>
        </w:rPr>
        <w:t xml:space="preserve"> (</w:t>
      </w:r>
      <w:r w:rsidRPr="00C00255">
        <w:t>t. 757, b. l. 133–139</w:t>
      </w:r>
      <w:r w:rsidRPr="00C00255">
        <w:rPr>
          <w:color w:val="000000"/>
        </w:rPr>
        <w:t xml:space="preserve">), </w:t>
      </w:r>
      <w:r w:rsidR="005A493E">
        <w:rPr>
          <w:color w:val="000000"/>
        </w:rPr>
        <w:t>D. A.</w:t>
      </w:r>
      <w:r w:rsidRPr="00C00255">
        <w:rPr>
          <w:color w:val="000000"/>
        </w:rPr>
        <w:t xml:space="preserve"> (t. 756, b. l. 31) ir kt. Liudytojas </w:t>
      </w:r>
      <w:r w:rsidR="00DD1A27">
        <w:rPr>
          <w:color w:val="000000"/>
        </w:rPr>
        <w:t>A. B.</w:t>
      </w:r>
      <w:r w:rsidRPr="00C00255">
        <w:rPr>
          <w:color w:val="000000"/>
        </w:rPr>
        <w:t xml:space="preserve"> detaliai papasakojo ir apie draugovininkų santykius su TSRS karinėmis pajėgomis, apie TSRS kariškių priskyrimą vadovauti draugovininkams ir kt. (t. 756, b. l. 129</w:t>
      </w:r>
      <w:r w:rsidRPr="00C00255">
        <w:t>–</w:t>
      </w:r>
      <w:r w:rsidRPr="00C00255">
        <w:rPr>
          <w:color w:val="000000"/>
        </w:rPr>
        <w:t xml:space="preserve">137). Teisiamajame posėdyje apklaustas liudytojas </w:t>
      </w:r>
      <w:r w:rsidR="005A493E">
        <w:rPr>
          <w:color w:val="000000"/>
        </w:rPr>
        <w:t>R. M.</w:t>
      </w:r>
      <w:r w:rsidRPr="00C00255">
        <w:rPr>
          <w:color w:val="000000"/>
        </w:rPr>
        <w:t xml:space="preserve"> neprisiminė aplinkybių apie draugovininkų ir konkrečių LKP/TSKP narių santykį su šiomis organizacijomis, tačiau perskaičius jo parodymus duotus ikiteisminio tyrimo metu, patvirtino, kad Vilniaus m. draugovininkų organizacijos veikė prie miesto partijos komiteto. Jų veiklai vadovavo CK sekretorius </w:t>
      </w:r>
      <w:r w:rsidR="00385BC9">
        <w:rPr>
          <w:color w:val="000000"/>
        </w:rPr>
        <w:t>A. N. 1</w:t>
      </w:r>
      <w:r w:rsidRPr="00C00255">
        <w:rPr>
          <w:color w:val="000000"/>
        </w:rPr>
        <w:t xml:space="preserve"> per CK darbuotoją V. Š</w:t>
      </w:r>
      <w:r w:rsidR="005A493E">
        <w:rPr>
          <w:color w:val="000000"/>
        </w:rPr>
        <w:t>.</w:t>
      </w:r>
      <w:r w:rsidRPr="00C00255">
        <w:rPr>
          <w:color w:val="000000"/>
        </w:rPr>
        <w:t xml:space="preserve"> (V. Š</w:t>
      </w:r>
      <w:r w:rsidR="005A493E">
        <w:rPr>
          <w:color w:val="000000"/>
        </w:rPr>
        <w:t>.</w:t>
      </w:r>
      <w:r w:rsidRPr="00C00255">
        <w:rPr>
          <w:color w:val="000000"/>
        </w:rPr>
        <w:t>). Ti</w:t>
      </w:r>
      <w:r w:rsidR="00E420BD">
        <w:rPr>
          <w:color w:val="000000"/>
        </w:rPr>
        <w:t>esiogiai draugovėms vadovavo A. </w:t>
      </w:r>
      <w:r w:rsidRPr="00C00255">
        <w:rPr>
          <w:color w:val="000000"/>
        </w:rPr>
        <w:t>K</w:t>
      </w:r>
      <w:r w:rsidR="00E420BD">
        <w:rPr>
          <w:color w:val="000000"/>
        </w:rPr>
        <w:t>.</w:t>
      </w:r>
      <w:r w:rsidRPr="00C00255">
        <w:rPr>
          <w:color w:val="000000"/>
        </w:rPr>
        <w:t>. Tai buvo sukarinta struktūra. Buvę nuomonių, kad draugoves reikia apginkluoti (</w:t>
      </w:r>
      <w:r w:rsidRPr="00C00255">
        <w:t>t. 757, b. l. 30</w:t>
      </w:r>
      <w:r w:rsidRPr="00C00255">
        <w:rPr>
          <w:color w:val="000000"/>
        </w:rPr>
        <w:t>).</w:t>
      </w:r>
      <w:r w:rsidR="005A493E">
        <w:rPr>
          <w:color w:val="000000"/>
        </w:rPr>
        <w:t xml:space="preserve"> </w:t>
      </w:r>
    </w:p>
    <w:p w:rsidR="00EC36F2" w:rsidRPr="00C00255" w:rsidRDefault="00EC36F2" w:rsidP="00EC36F2">
      <w:pPr>
        <w:pStyle w:val="ListParagraph"/>
        <w:numPr>
          <w:ilvl w:val="0"/>
          <w:numId w:val="6"/>
        </w:numPr>
        <w:spacing w:before="120" w:after="120"/>
        <w:ind w:left="992" w:hanging="992"/>
        <w:contextualSpacing w:val="0"/>
      </w:pPr>
      <w:r w:rsidRPr="000E2C88">
        <w:t xml:space="preserve">Teismo nustatytas aplinkybes ne tik apie </w:t>
      </w:r>
      <w:r w:rsidR="00385BC9" w:rsidRPr="000E2C88">
        <w:t>A. N. 1</w:t>
      </w:r>
      <w:r w:rsidRPr="000E2C88">
        <w:t xml:space="preserve">, bet ir </w:t>
      </w:r>
      <w:r w:rsidR="00385BC9" w:rsidRPr="000E2C88">
        <w:t>V. Š. 1</w:t>
      </w:r>
      <w:r w:rsidRPr="000E2C88">
        <w:t xml:space="preserve"> veiksmus </w:t>
      </w:r>
      <w:r w:rsidRPr="000E2C88">
        <w:rPr>
          <w:rFonts w:eastAsia="Calibri"/>
        </w:rPr>
        <w:t xml:space="preserve">kuriant darbininkų draugoves, patvirtina ir paties </w:t>
      </w:r>
      <w:r w:rsidR="00385BC9" w:rsidRPr="000E2C88">
        <w:rPr>
          <w:rFonts w:eastAsia="Calibri"/>
        </w:rPr>
        <w:t xml:space="preserve">V. Š. 1 </w:t>
      </w:r>
      <w:r w:rsidRPr="000E2C88">
        <w:rPr>
          <w:rFonts w:eastAsia="Calibri"/>
        </w:rPr>
        <w:t xml:space="preserve">parodymai, kurių teismas, nors ir nelaiko savarankišku įrodymų šaltiniu, tačiau turi omenyje vertindamas kitus įrodymus (apie tokių parodymų vertinimą teismas dar pasisakys ir atskirai, analizuodamas apeliantų argumentus dėl byloje padarytų baudžiamojo proceso teisės pažeidimų). </w:t>
      </w:r>
      <w:r w:rsidRPr="000E2C88">
        <w:t xml:space="preserve">Ikiteisminio tyrimo metu nuteistasis </w:t>
      </w:r>
      <w:r w:rsidR="00385BC9" w:rsidRPr="000E2C88">
        <w:t>V. Š. 1</w:t>
      </w:r>
      <w:r w:rsidRPr="000E2C88">
        <w:t xml:space="preserve"> davė pakankamai prieštaringus parodymus apie draugovininkų organizacijų kūrimą. Pradžioje jis neigė, ką nors žinantis apie tokias draugoves, pripažino, kad buvo tik tokia idėja sukurti draugoves, jog daugiau apie draugovių veiklą jis nieko nežino (t. 284, b. l. 84), vėliau jau teigė, kad piliečių komiteto prezidiume, kurio pirmininku jis buvo, priimtas nutarimas įkurti centrinį darbininkų ir valstiečių draugovių štabą. Štabo koordinuojamos draugovės buvo kuriamos siekiant apsaugoti TSRS valstybinį turtą, o taip pat saugoti paminklus (t. 284, b.</w:t>
      </w:r>
      <w:r w:rsidR="00A734AE" w:rsidRPr="000E2C88">
        <w:t> </w:t>
      </w:r>
      <w:r w:rsidRPr="000E2C88">
        <w:t>l.</w:t>
      </w:r>
      <w:r w:rsidR="00A734AE" w:rsidRPr="000E2C88">
        <w:t> </w:t>
      </w:r>
      <w:r w:rsidRPr="000E2C88">
        <w:t>111)</w:t>
      </w:r>
      <w:r w:rsidRPr="00C00255">
        <w:rPr>
          <w:color w:val="000000"/>
        </w:rPr>
        <w:t xml:space="preserve">. </w:t>
      </w:r>
    </w:p>
    <w:p w:rsidR="00EC36F2" w:rsidRPr="00C00255" w:rsidRDefault="00EC36F2" w:rsidP="00EC36F2">
      <w:pPr>
        <w:pStyle w:val="ListParagraph"/>
        <w:numPr>
          <w:ilvl w:val="0"/>
          <w:numId w:val="6"/>
        </w:numPr>
        <w:spacing w:before="120" w:after="120"/>
        <w:ind w:left="992" w:hanging="992"/>
        <w:contextualSpacing w:val="0"/>
      </w:pPr>
      <w:r w:rsidRPr="00C00255">
        <w:rPr>
          <w:color w:val="000000"/>
        </w:rPr>
        <w:t xml:space="preserve">Objektyviai </w:t>
      </w:r>
      <w:r w:rsidR="00385BC9">
        <w:rPr>
          <w:color w:val="000000"/>
        </w:rPr>
        <w:t>V. Š. 1</w:t>
      </w:r>
      <w:r w:rsidRPr="00C00255">
        <w:rPr>
          <w:color w:val="000000"/>
        </w:rPr>
        <w:t xml:space="preserve"> veiksmus kuriant draugoves ir aiškų jo suvokimą kam tokios draugovės buvo reikalingos patvirtina byloje esantys dokumentai ir, pirmiausia, paties </w:t>
      </w:r>
      <w:r w:rsidR="00385BC9">
        <w:rPr>
          <w:color w:val="000000"/>
        </w:rPr>
        <w:t>V. Š. 1</w:t>
      </w:r>
      <w:r w:rsidRPr="00C00255">
        <w:rPr>
          <w:color w:val="000000"/>
        </w:rPr>
        <w:t xml:space="preserve"> pasirašytas 1990 m. liepos 27 d. pareiškimas, kuriuo kreipiamasi į Lietuvos Respublikos Aukščiausiąją Tarybą, be kita ko, tiesiogiai grasinant imtis pačių griežčiausių priemonių, taip pat ir darbininkų draugovių suformavimo, kurios visomis priemonėmis gins TSRS piliečių teises ir neleis niekinti V. Lenino ir kitų paminklų (t. 7, b. l. 90–93). Ikiteisminio tyrimo metu </w:t>
      </w:r>
      <w:r w:rsidR="00385BC9">
        <w:rPr>
          <w:color w:val="000000"/>
        </w:rPr>
        <w:t>V. Š. 1</w:t>
      </w:r>
      <w:r w:rsidRPr="00C00255">
        <w:rPr>
          <w:color w:val="000000"/>
        </w:rPr>
        <w:t xml:space="preserve"> pripažino, kad šį dokumentą pasirašė jis pats (t. 284, b. l. 88), todėl teisėjų kolegijai nekyla jokių abejonių apie </w:t>
      </w:r>
      <w:r w:rsidR="00385BC9">
        <w:rPr>
          <w:color w:val="000000"/>
        </w:rPr>
        <w:t>V. Š. 1</w:t>
      </w:r>
      <w:r w:rsidRPr="00C00255">
        <w:rPr>
          <w:color w:val="000000"/>
        </w:rPr>
        <w:t xml:space="preserve"> dalyvavimą kuriant darbininkų draugoves bei koordinuojant jų veiksmus.</w:t>
      </w:r>
      <w:r w:rsidRPr="00C00255">
        <w:rPr>
          <w:rFonts w:eastAsia="Calibri"/>
        </w:rPr>
        <w:t xml:space="preserve"> </w:t>
      </w:r>
    </w:p>
    <w:p w:rsidR="00F06360" w:rsidRPr="00F06360" w:rsidRDefault="00F06360" w:rsidP="00F06360">
      <w:pPr>
        <w:pStyle w:val="ListParagraph"/>
        <w:numPr>
          <w:ilvl w:val="0"/>
          <w:numId w:val="6"/>
        </w:numPr>
        <w:ind w:left="992" w:hanging="992"/>
      </w:pPr>
      <w:r w:rsidRPr="000E2C88">
        <w:t>Apie tai, kad LKP/TSKP aktyvistų, o taip pat ir V. Š. 1 bei A. N. 1 įkurtos draugovininkų organizacijos buvo sukurtos siekiant įgyvendinti LKP/TSKP ir TSRS politiką bei pasipriešinti Lietuvos Respublikos nepriklausomybei ir atkurti TSRS valdymą, patvirtina ne tik jau minėti, bet taip pat ir kiti byloje surinkti dokumentai bei faktiniai draugovininkų veiksmai neginčijamai nustatyti įsiteisėjusiais teismų nuosprendžiais</w:t>
      </w:r>
      <w:r w:rsidRPr="00F06360">
        <w:t>.</w:t>
      </w:r>
    </w:p>
    <w:p w:rsidR="00EC36F2" w:rsidRPr="00C00255" w:rsidRDefault="00EC36F2" w:rsidP="00EC36F2">
      <w:pPr>
        <w:pStyle w:val="ListParagraph"/>
        <w:numPr>
          <w:ilvl w:val="0"/>
          <w:numId w:val="6"/>
        </w:numPr>
        <w:spacing w:before="120" w:after="120"/>
        <w:ind w:left="992" w:hanging="992"/>
        <w:contextualSpacing w:val="0"/>
      </w:pPr>
      <w:r w:rsidRPr="000E2C88">
        <w:rPr>
          <w:rFonts w:eastAsia="Calibri"/>
          <w:szCs w:val="24"/>
        </w:rPr>
        <w:t>Tiek iš nagrinėjamos bylos medžiagos, tiek iš kitų jau išnagrinėtų bylų bei istorinių šaltinių žinoma</w:t>
      </w:r>
      <w:r w:rsidRPr="000E2C88">
        <w:rPr>
          <w:rFonts w:eastAsia="Calibri"/>
        </w:rPr>
        <w:t xml:space="preserve">, jog </w:t>
      </w:r>
      <w:r w:rsidRPr="000E2C88">
        <w:rPr>
          <w:color w:val="000000"/>
          <w:shd w:val="clear" w:color="auto" w:fill="FFFFFF"/>
        </w:rPr>
        <w:t xml:space="preserve">po to, kai LKP/TSKP aktyvistų inicijuotas ir parengtas dokumentas apie prezidentinio valdymo įvedimo planą buvo pateiktas TSRS vadovybei (šioje byloje nuteisti </w:t>
      </w:r>
      <w:r w:rsidR="00385BC9" w:rsidRPr="000E2C88">
        <w:rPr>
          <w:color w:val="000000"/>
          <w:shd w:val="clear" w:color="auto" w:fill="FFFFFF"/>
        </w:rPr>
        <w:t xml:space="preserve">V. Š. 1 </w:t>
      </w:r>
      <w:r w:rsidRPr="000E2C88">
        <w:rPr>
          <w:color w:val="000000"/>
          <w:shd w:val="clear" w:color="auto" w:fill="FFFFFF"/>
        </w:rPr>
        <w:t xml:space="preserve">bei </w:t>
      </w:r>
      <w:r w:rsidR="00385BC9" w:rsidRPr="000E2C88">
        <w:rPr>
          <w:color w:val="000000"/>
          <w:shd w:val="clear" w:color="auto" w:fill="FFFFFF"/>
        </w:rPr>
        <w:t>A. N. 1</w:t>
      </w:r>
      <w:r w:rsidRPr="000E2C88">
        <w:rPr>
          <w:color w:val="000000"/>
          <w:shd w:val="clear" w:color="auto" w:fill="FFFFFF"/>
        </w:rPr>
        <w:t xml:space="preserve"> apie tai žinojo, tam pritarė, o </w:t>
      </w:r>
      <w:r w:rsidR="00385BC9" w:rsidRPr="000E2C88">
        <w:rPr>
          <w:color w:val="000000"/>
          <w:shd w:val="clear" w:color="auto" w:fill="FFFFFF"/>
        </w:rPr>
        <w:t>A. N. 1</w:t>
      </w:r>
      <w:r w:rsidRPr="000E2C88">
        <w:rPr>
          <w:color w:val="000000"/>
          <w:shd w:val="clear" w:color="auto" w:fill="FFFFFF"/>
        </w:rPr>
        <w:t xml:space="preserve">, kaip jau minėta, ir tiesiogiai rengė minėto plano tekstą), LKP/TSKP organizacijos veikla bei TSRS kariškių veikla Lietuvos Respublikos teritorijoje pastebimai suaktyvėjo. Vilniaus mieste buvo organizuojami mitingai, streikai įmonėse, gamyklose, kuriuose buvo keliami analogiški politiniai reikalavimai – įvesti prezidentinį valdymą, atstatyti Lietuvos TSR ir TSRS Konstitucijų galiojimą Lietuvoje. </w:t>
      </w:r>
      <w:r w:rsidRPr="000E2C88">
        <w:rPr>
          <w:rFonts w:eastAsia="Calibri"/>
        </w:rPr>
        <w:t xml:space="preserve">Streikus </w:t>
      </w:r>
      <w:r w:rsidRPr="000E2C88">
        <w:rPr>
          <w:color w:val="000000"/>
          <w:shd w:val="clear" w:color="auto" w:fill="FFFFFF"/>
        </w:rPr>
        <w:t>Vilniaus miesto gamyklose, tarp jų ir Vilniaus geležinkelio stotyje, buvo suinteresuota organizuoti ir faktiškai organizavo LKP/TSKP vadovybė (pvz., t. 389, b. l. 106–108).</w:t>
      </w:r>
      <w:r w:rsidRPr="000E2C88">
        <w:rPr>
          <w:rFonts w:ascii="Arial" w:hAnsi="Arial" w:cs="Arial"/>
          <w:color w:val="000000"/>
          <w:sz w:val="23"/>
          <w:szCs w:val="23"/>
          <w:shd w:val="clear" w:color="auto" w:fill="FFFFFF"/>
        </w:rPr>
        <w:t xml:space="preserve"> </w:t>
      </w:r>
      <w:r w:rsidR="00C507EF" w:rsidRPr="000E2C88">
        <w:rPr>
          <w:bCs/>
        </w:rPr>
        <w:t>M. B.</w:t>
      </w:r>
      <w:r w:rsidRPr="000E2C88">
        <w:rPr>
          <w:bCs/>
        </w:rPr>
        <w:t xml:space="preserve">, </w:t>
      </w:r>
      <w:r w:rsidR="00C507EF" w:rsidRPr="000E2C88">
        <w:rPr>
          <w:bCs/>
        </w:rPr>
        <w:t>J. K.</w:t>
      </w:r>
      <w:r w:rsidRPr="000E2C88">
        <w:rPr>
          <w:bCs/>
        </w:rPr>
        <w:t xml:space="preserve"> ir kt. byloje taip pat </w:t>
      </w:r>
      <w:r w:rsidRPr="000E2C88">
        <w:rPr>
          <w:rFonts w:eastAsia="Calibri"/>
        </w:rPr>
        <w:t>nustatyta, kad „</w:t>
      </w:r>
      <w:r w:rsidRPr="000E2C88">
        <w:rPr>
          <w:color w:val="000000"/>
          <w:shd w:val="clear" w:color="auto" w:fill="FFFFFF"/>
        </w:rPr>
        <w:t>užimant Radijo ir televizijos pastatus bei Televizijos bokštą betarpiškai dalyvavo ir smurtą prieš nukentėjusiuosius vartojo TSRS vidaus reikalų ministerijos, Valstybės saugumo komiteto, Gynybos ministerijos padalinių ginkluoti kariškiai bei LKP (TSKP) CK vadovų ir kariškių pasiųsti draugovininkai” (t. 389, b. l. 112). Apie šioje byloje nuteistų asmenų ir draugovininkų dalyvavimą užimant minėtus objektus ir tą patvirtinančius įrodymus teismas dar pasisakys kitose šio sprendimo dalys</w:t>
      </w:r>
      <w:r w:rsidRPr="00C00255">
        <w:rPr>
          <w:color w:val="000000"/>
          <w:shd w:val="clear" w:color="auto" w:fill="FFFFFF"/>
        </w:rPr>
        <w:t xml:space="preserve">e. </w:t>
      </w:r>
    </w:p>
    <w:p w:rsidR="001D0506" w:rsidRPr="00F06360" w:rsidRDefault="00EC36F2" w:rsidP="001D0506">
      <w:pPr>
        <w:pStyle w:val="ListParagraph"/>
        <w:numPr>
          <w:ilvl w:val="0"/>
          <w:numId w:val="6"/>
        </w:numPr>
        <w:spacing w:before="120" w:after="120"/>
        <w:ind w:left="992" w:hanging="992"/>
        <w:contextualSpacing w:val="0"/>
        <w:rPr>
          <w:szCs w:val="24"/>
        </w:rPr>
      </w:pPr>
      <w:r w:rsidRPr="000E2C88">
        <w:rPr>
          <w:rFonts w:eastAsia="Calibri"/>
        </w:rPr>
        <w:t xml:space="preserve">Atsižvelgiant į visa tai, konstatuotina, kad </w:t>
      </w:r>
      <w:r w:rsidR="001D0506" w:rsidRPr="000E2C88">
        <w:t xml:space="preserve">nuteistiesiems </w:t>
      </w:r>
      <w:r w:rsidR="00385BC9" w:rsidRPr="000E2C88">
        <w:t xml:space="preserve">V. Š. 1 </w:t>
      </w:r>
      <w:r w:rsidR="001D0506" w:rsidRPr="000E2C88">
        <w:t xml:space="preserve">ir </w:t>
      </w:r>
      <w:r w:rsidR="00385BC9" w:rsidRPr="000E2C88">
        <w:t>A. N. 1</w:t>
      </w:r>
      <w:r w:rsidRPr="000E2C88">
        <w:t xml:space="preserve"> inkriminuotos ir nuosprendžiu nustatytos kaip įrodytos bylos aplinkybės, Vilniaus apygardos teismo nuosprendyje nurodytos teisingai. </w:t>
      </w:r>
      <w:r w:rsidRPr="000E2C88">
        <w:rPr>
          <w:rFonts w:eastAsia="Calibri"/>
        </w:rPr>
        <w:t xml:space="preserve">Pirmosios instancijos teismas pagrįstai pripažino, kad </w:t>
      </w:r>
      <w:r w:rsidR="00385BC9" w:rsidRPr="000E2C88">
        <w:rPr>
          <w:rFonts w:eastAsia="Calibri"/>
        </w:rPr>
        <w:t xml:space="preserve">V. Š. 1 </w:t>
      </w:r>
      <w:r w:rsidRPr="000E2C88">
        <w:rPr>
          <w:rFonts w:eastAsia="Calibri"/>
        </w:rPr>
        <w:t xml:space="preserve">ir </w:t>
      </w:r>
      <w:r w:rsidR="00385BC9" w:rsidRPr="000E2C88">
        <w:rPr>
          <w:rFonts w:eastAsia="Calibri"/>
        </w:rPr>
        <w:t>A. N. 1</w:t>
      </w:r>
      <w:r w:rsidRPr="000E2C88">
        <w:rPr>
          <w:rFonts w:eastAsia="Calibri"/>
        </w:rPr>
        <w:t xml:space="preserve"> </w:t>
      </w:r>
      <w:r w:rsidRPr="000E2C88">
        <w:t xml:space="preserve">kartu su kitais LKP/TSKP CK vadovais kūrė TSRS prezidento tiesioginio valdymo planą, </w:t>
      </w:r>
      <w:r w:rsidRPr="000E2C88">
        <w:rPr>
          <w:rFonts w:eastAsia="Calibri"/>
        </w:rPr>
        <w:t xml:space="preserve">parinko užgrobiamus objektus ir ruošė jų užgrobimo planus bei paskyrė atsakingus asmenis, tarėsi su </w:t>
      </w:r>
      <w:r w:rsidRPr="000E2C88">
        <w:t>TSRS jėgos struktūrų vadovais</w:t>
      </w:r>
      <w:r w:rsidRPr="000E2C88">
        <w:rPr>
          <w:rFonts w:eastAsia="Calibri"/>
        </w:rPr>
        <w:t xml:space="preserve"> dėl priemonių, įvedant TSRS prezidentinį valdymą bei Ypatingosios padėties teisinį režimą, įgyvendinimo, dalyvavo kuriant darbininkų draugoves, visuomeninius komitetus ir koordinavo jų veiksmus bei </w:t>
      </w:r>
      <w:r w:rsidRPr="000E2C88">
        <w:t xml:space="preserve">inicijavo karinę operaciją, apie kurią teismas dar pasisakys kitose šio sprendimo dalyse. Tačiau, kaip jau minėta, nuteistasis </w:t>
      </w:r>
      <w:r w:rsidR="00385BC9" w:rsidRPr="000E2C88">
        <w:t>R. J. 1</w:t>
      </w:r>
      <w:r w:rsidRPr="000E2C88">
        <w:t xml:space="preserve"> dėl to nebuvo kaltinamas ir tokie jo veiksmai byloje neįrodyti, todėl pirmosios instancijos teismo išvados dėl </w:t>
      </w:r>
      <w:r w:rsidR="00385BC9" w:rsidRPr="000E2C88">
        <w:t>R. J. 1</w:t>
      </w:r>
      <w:r w:rsidRPr="000E2C88">
        <w:t xml:space="preserve"> dalyvavimo </w:t>
      </w:r>
      <w:r w:rsidRPr="000E2C88">
        <w:rPr>
          <w:rFonts w:eastAsia="Calibri"/>
        </w:rPr>
        <w:t xml:space="preserve">planuojant karinę operaciją ir rengiant nusikalstamas veikas prieš </w:t>
      </w:r>
      <w:r w:rsidRPr="000E2C88">
        <w:t>Lietuvos valstybę</w:t>
      </w:r>
      <w:r w:rsidRPr="000E2C88">
        <w:rPr>
          <w:rFonts w:eastAsia="Calibri"/>
        </w:rPr>
        <w:t xml:space="preserve"> </w:t>
      </w:r>
      <w:r w:rsidRPr="000E2C88">
        <w:t xml:space="preserve">yra neteisingos ir naikintinos. Atsižvelgiant į tai, prokurorų apeliaciniame skunde nurodytos faktinės aplinkybės, kurias prokurorai prašo pripažinti kaip nustatytas ir įrodytas, iš esmės paliekant pirmosios instancijos teismo išvadas dėl </w:t>
      </w:r>
      <w:r w:rsidR="00385BC9" w:rsidRPr="000E2C88">
        <w:t>R. J. 1</w:t>
      </w:r>
      <w:r w:rsidRPr="000E2C88">
        <w:t xml:space="preserve"> inkriminuotų aplinkybių nustatymo, netenkintinas</w:t>
      </w:r>
      <w:r w:rsidRPr="00F06360">
        <w:rPr>
          <w:szCs w:val="24"/>
        </w:rPr>
        <w:t xml:space="preserve">.  </w:t>
      </w:r>
    </w:p>
    <w:p w:rsidR="00EC36F2" w:rsidRPr="00C00255" w:rsidRDefault="00EC36F2" w:rsidP="00EC36F2">
      <w:pPr>
        <w:pStyle w:val="Heading3"/>
        <w:spacing w:before="120" w:after="120"/>
        <w:ind w:left="992"/>
        <w:jc w:val="both"/>
        <w:rPr>
          <w:b w:val="0"/>
          <w:i/>
          <w:sz w:val="24"/>
          <w:szCs w:val="24"/>
          <w:lang w:val="lt-LT"/>
        </w:rPr>
      </w:pPr>
      <w:bookmarkStart w:id="233" w:name="_Toc67677382"/>
      <w:bookmarkStart w:id="234" w:name="_Toc67985509"/>
      <w:r w:rsidRPr="00C00255">
        <w:rPr>
          <w:b w:val="0"/>
          <w:i/>
          <w:sz w:val="24"/>
          <w:szCs w:val="24"/>
          <w:lang w:val="lt-LT"/>
        </w:rPr>
        <w:t xml:space="preserve">Dėl pirmosios instancijos teismo išvadų vertinant TSRS </w:t>
      </w:r>
      <w:r w:rsidR="008E4551">
        <w:rPr>
          <w:b w:val="0"/>
          <w:i/>
          <w:sz w:val="24"/>
          <w:szCs w:val="24"/>
          <w:lang w:val="lt-LT"/>
        </w:rPr>
        <w:t>GM</w:t>
      </w:r>
      <w:r w:rsidRPr="00C00255">
        <w:rPr>
          <w:b w:val="0"/>
          <w:i/>
          <w:sz w:val="24"/>
          <w:szCs w:val="24"/>
          <w:lang w:val="lt-LT"/>
        </w:rPr>
        <w:t xml:space="preserve"> ir jai pavaldžių dalinių bei nuteistųjų </w:t>
      </w:r>
      <w:r w:rsidR="00385BC9">
        <w:rPr>
          <w:b w:val="0"/>
          <w:i/>
          <w:sz w:val="24"/>
          <w:szCs w:val="24"/>
          <w:lang w:val="lt-LT"/>
        </w:rPr>
        <w:t>D. J.</w:t>
      </w:r>
      <w:r w:rsidRPr="00C00255">
        <w:rPr>
          <w:b w:val="0"/>
          <w:i/>
          <w:sz w:val="24"/>
          <w:szCs w:val="24"/>
          <w:lang w:val="lt-LT"/>
        </w:rPr>
        <w:t xml:space="preserve">, </w:t>
      </w:r>
      <w:r w:rsidR="00385BC9">
        <w:rPr>
          <w:b w:val="0"/>
          <w:i/>
          <w:sz w:val="24"/>
          <w:szCs w:val="24"/>
          <w:lang w:val="lt-LT"/>
        </w:rPr>
        <w:t>V. K. 1</w:t>
      </w:r>
      <w:r w:rsidRPr="00C00255">
        <w:rPr>
          <w:b w:val="0"/>
          <w:i/>
          <w:sz w:val="24"/>
          <w:szCs w:val="24"/>
          <w:lang w:val="lt-LT"/>
        </w:rPr>
        <w:t xml:space="preserve">, </w:t>
      </w:r>
      <w:r w:rsidR="006036E7">
        <w:rPr>
          <w:b w:val="0"/>
          <w:i/>
          <w:sz w:val="24"/>
          <w:szCs w:val="24"/>
          <w:lang w:val="lt-LT"/>
        </w:rPr>
        <w:t>V. U. 1</w:t>
      </w:r>
      <w:r w:rsidRPr="00C00255">
        <w:rPr>
          <w:b w:val="0"/>
          <w:i/>
          <w:sz w:val="24"/>
          <w:szCs w:val="24"/>
          <w:lang w:val="lt-LT"/>
        </w:rPr>
        <w:t xml:space="preserve"> ir </w:t>
      </w:r>
      <w:r w:rsidR="004069BF">
        <w:rPr>
          <w:b w:val="0"/>
          <w:i/>
          <w:sz w:val="24"/>
          <w:szCs w:val="24"/>
          <w:lang w:val="lt-LT"/>
        </w:rPr>
        <w:t>N. A.</w:t>
      </w:r>
      <w:r w:rsidRPr="00C00255">
        <w:rPr>
          <w:b w:val="0"/>
          <w:i/>
          <w:sz w:val="24"/>
          <w:szCs w:val="24"/>
          <w:lang w:val="lt-LT"/>
        </w:rPr>
        <w:t xml:space="preserve"> veiksmus planuojant karinę operaciją</w:t>
      </w:r>
      <w:bookmarkEnd w:id="233"/>
      <w:bookmarkEnd w:id="234"/>
    </w:p>
    <w:p w:rsidR="00EC36F2" w:rsidRPr="00C00255" w:rsidRDefault="00EC36F2" w:rsidP="00EC36F2">
      <w:pPr>
        <w:pStyle w:val="ListParagraph"/>
        <w:numPr>
          <w:ilvl w:val="0"/>
          <w:numId w:val="6"/>
        </w:numPr>
        <w:spacing w:before="120" w:after="120"/>
        <w:ind w:left="992" w:hanging="992"/>
        <w:contextualSpacing w:val="0"/>
      </w:pPr>
      <w:r w:rsidRPr="000E2C88">
        <w:t xml:space="preserve">Nagrinėjamoje baudžiamojoje byloje </w:t>
      </w:r>
      <w:r w:rsidR="00385BC9" w:rsidRPr="000E2C88">
        <w:t>D. J.</w:t>
      </w:r>
      <w:r w:rsidRPr="000E2C88">
        <w:t xml:space="preserve"> buvo kaltinamas tuo, kad jis, kaip TSRS gynybos ministras maršalas, įkūrė vadovavimo karinei operacijai štabą ir vadovavo jam, dėl karinės operacijos organizavimo ir vykdymo davė nurodymus jam pavaldžiam pavaduotojui ir </w:t>
      </w:r>
      <w:r w:rsidR="005A493E" w:rsidRPr="000E2C88">
        <w:rPr>
          <w:rFonts w:eastAsia="Calibri"/>
        </w:rPr>
        <w:t>TSRS </w:t>
      </w:r>
      <w:r w:rsidRPr="000E2C88">
        <w:rPr>
          <w:rFonts w:eastAsia="Calibri"/>
        </w:rPr>
        <w:t xml:space="preserve">GM Oro desanto pajėgų vado pareigas užimančiam generolui pulkininkui </w:t>
      </w:r>
      <w:r w:rsidR="00C507EF" w:rsidRPr="000E2C88">
        <w:t>V. A.</w:t>
      </w:r>
      <w:r w:rsidRPr="000E2C88">
        <w:t xml:space="preserve"> (ikiteisminis tyrimas nutrauktas jam mirus), </w:t>
      </w:r>
      <w:r w:rsidRPr="000E2C88">
        <w:rPr>
          <w:rFonts w:eastAsia="Calibri"/>
        </w:rPr>
        <w:t xml:space="preserve">dėl karinės operacijos Lietuvoje vykdymo ir vadovavimo operacijai davė nurodymus </w:t>
      </w:r>
      <w:r w:rsidRPr="000E2C88">
        <w:t xml:space="preserve">jam pavaldžiam </w:t>
      </w:r>
      <w:r w:rsidRPr="000E2C88">
        <w:rPr>
          <w:rFonts w:eastAsia="Calibri"/>
        </w:rPr>
        <w:t>TSRS GM Sausumos pajėgų Pabaltijo karinės apygardos vado pavaduotojui</w:t>
      </w:r>
      <w:r w:rsidRPr="000E2C88">
        <w:t xml:space="preserve"> </w:t>
      </w:r>
      <w:r w:rsidR="00C507EF" w:rsidRPr="000E2C88">
        <w:t>V. O.</w:t>
      </w:r>
      <w:r w:rsidRPr="000E2C88">
        <w:t xml:space="preserve"> (ikiteisminis tyrimas nutrauktas jam mirus), priėmė sprendimus dėl papildomų karinių junginių perdislokavimo. Tokias esmines nagrinėjamo kaltinimo aplinkybes pirmosios instancijos teismas pripažino įrodytomis ir nuteisė šioje byloje kaltintą </w:t>
      </w:r>
      <w:r w:rsidR="00385BC9" w:rsidRPr="000E2C88">
        <w:t>D. J.</w:t>
      </w:r>
      <w:r w:rsidRPr="000E2C88">
        <w:t xml:space="preserve"> dar iki jo mirties fakto, paaiškėjusio nagrinėjant bylą apeliacinės instancijos teisme</w:t>
      </w:r>
      <w:r w:rsidRPr="00C00255">
        <w:t xml:space="preserve">. </w:t>
      </w:r>
    </w:p>
    <w:p w:rsidR="0003079E" w:rsidRPr="00C00255" w:rsidRDefault="00EC36F2" w:rsidP="0003079E">
      <w:pPr>
        <w:pStyle w:val="ListParagraph"/>
        <w:numPr>
          <w:ilvl w:val="0"/>
          <w:numId w:val="6"/>
        </w:numPr>
        <w:spacing w:before="120" w:after="120"/>
        <w:ind w:left="992" w:hanging="992"/>
        <w:contextualSpacing w:val="0"/>
      </w:pPr>
      <w:r w:rsidRPr="00C00255">
        <w:t xml:space="preserve">Bylą apeliacine tvarka nagrinėjanti teisėjų kolegija 2020 m. rugsėjo 16 d. nutartimi konstatavo, kad baudžiamasis procesas </w:t>
      </w:r>
      <w:r w:rsidR="00385BC9">
        <w:t>D. J.</w:t>
      </w:r>
      <w:r w:rsidRPr="00C00255">
        <w:t xml:space="preserve"> atžvilgiu, nepaisant nustatyto jo mirties fakto, turi būti tęsiamas, iš esmės siekiant užtikrinti sąžiningą procesą ir patikrinti tiek mirusiam </w:t>
      </w:r>
      <w:r w:rsidR="00385BC9">
        <w:t>D. J.</w:t>
      </w:r>
      <w:r w:rsidRPr="00C00255">
        <w:t xml:space="preserve">, tiek kitiems byloje nuteistiems asmenims pareikštų kaltinimų pagrįstumą. Nagrinėjamoje byloje </w:t>
      </w:r>
      <w:r w:rsidRPr="00C00255">
        <w:rPr>
          <w:shd w:val="clear" w:color="auto" w:fill="FFFFFF"/>
        </w:rPr>
        <w:t xml:space="preserve">pirmosios instancijos teismas nustatė, kad kiti byloje nuteisti asmenys veikė kartu su </w:t>
      </w:r>
      <w:r w:rsidR="00385BC9">
        <w:rPr>
          <w:shd w:val="clear" w:color="auto" w:fill="FFFFFF"/>
        </w:rPr>
        <w:t>D. J.</w:t>
      </w:r>
      <w:r w:rsidRPr="00C00255">
        <w:rPr>
          <w:shd w:val="clear" w:color="auto" w:fill="FFFFFF"/>
        </w:rPr>
        <w:t xml:space="preserve">, o pastarųjų apeliaciniuose skunduose prašoma juos išteisinti nepadarius inkriminuojamų veikų. Taigi baudžiamojo proceso tęsimas ir dėl </w:t>
      </w:r>
      <w:r w:rsidR="00385BC9">
        <w:rPr>
          <w:shd w:val="clear" w:color="auto" w:fill="FFFFFF"/>
        </w:rPr>
        <w:t>D. J.</w:t>
      </w:r>
      <w:r w:rsidRPr="00C00255">
        <w:rPr>
          <w:shd w:val="clear" w:color="auto" w:fill="FFFFFF"/>
        </w:rPr>
        <w:t xml:space="preserve">, mirusio po pirmosios instancijos teismo apkaltinamojo nuosprendžio priėmimo, be kita ko, pagrįstas siekiu nepabloginti pastarojo padėties, jei apeliacinės instancijos teismas, peržiūrėjęs bylą pagal </w:t>
      </w:r>
      <w:r w:rsidR="00385BC9">
        <w:rPr>
          <w:shd w:val="clear" w:color="auto" w:fill="FFFFFF"/>
        </w:rPr>
        <w:t>D. J.</w:t>
      </w:r>
      <w:r w:rsidRPr="00C00255">
        <w:rPr>
          <w:shd w:val="clear" w:color="auto" w:fill="FFFFFF"/>
        </w:rPr>
        <w:t xml:space="preserve"> gynėjo ir kitų proceso dalyvių apeliacinius skundus, konstatuotų, kad pirmosios instancijos teismo nustatytos aplinkybės yra neteisingos ir nepagrįstai kaltinančios mirusį asmenį. Būtent tokiame kontekste teismas analizuos ir vertins visas toliau aptariamas bylos aplinkybes, taip pat ir tas, kurios inkriminuotos </w:t>
      </w:r>
      <w:r w:rsidR="00385BC9">
        <w:rPr>
          <w:shd w:val="clear" w:color="auto" w:fill="FFFFFF"/>
        </w:rPr>
        <w:t>D. J.</w:t>
      </w:r>
      <w:r w:rsidRPr="00C00255">
        <w:rPr>
          <w:shd w:val="clear" w:color="auto" w:fill="FFFFFF"/>
        </w:rPr>
        <w:t xml:space="preserve">. </w:t>
      </w:r>
    </w:p>
    <w:p w:rsidR="001D0506" w:rsidRPr="00C00255" w:rsidRDefault="00EC36F2" w:rsidP="001D0506">
      <w:pPr>
        <w:pStyle w:val="ListParagraph"/>
        <w:numPr>
          <w:ilvl w:val="0"/>
          <w:numId w:val="6"/>
        </w:numPr>
        <w:spacing w:before="120" w:after="120"/>
        <w:ind w:left="992" w:hanging="992"/>
        <w:contextualSpacing w:val="0"/>
      </w:pPr>
      <w:r w:rsidRPr="00C00255">
        <w:t xml:space="preserve">Pagal pirmosios instancijos teismo nuosprendžiu nustatytas aplinkybes, be buvusio TSRS gynybos ministro </w:t>
      </w:r>
      <w:r w:rsidR="00385BC9">
        <w:t>D. J.</w:t>
      </w:r>
      <w:r w:rsidRPr="00C00255">
        <w:t xml:space="preserve">, planuojant karinę operaciją, dalyvavo dar trys jam pavaldūs kariškiai, t. y. </w:t>
      </w:r>
      <w:r w:rsidR="00385BC9">
        <w:t>V. K. 1</w:t>
      </w:r>
      <w:r w:rsidRPr="00C00255">
        <w:t xml:space="preserve">, </w:t>
      </w:r>
      <w:r w:rsidR="006036E7">
        <w:t>V. U. 1</w:t>
      </w:r>
      <w:r w:rsidRPr="00C00255">
        <w:t xml:space="preserve"> ir </w:t>
      </w:r>
      <w:r w:rsidR="004069BF">
        <w:t>N. A.</w:t>
      </w:r>
      <w:r w:rsidRPr="00C00255">
        <w:t xml:space="preserve">. </w:t>
      </w:r>
    </w:p>
    <w:p w:rsidR="00EC36F2" w:rsidRPr="00F06360" w:rsidRDefault="00EC36F2" w:rsidP="00EC36F2">
      <w:pPr>
        <w:pStyle w:val="ListParagraph"/>
        <w:numPr>
          <w:ilvl w:val="1"/>
          <w:numId w:val="6"/>
        </w:numPr>
        <w:spacing w:before="120" w:after="120"/>
        <w:ind w:left="992" w:hanging="992"/>
        <w:contextualSpacing w:val="0"/>
        <w:rPr>
          <w:szCs w:val="24"/>
        </w:rPr>
      </w:pPr>
      <w:r w:rsidRPr="000E2C88">
        <w:rPr>
          <w:rFonts w:eastAsia="Calibri"/>
          <w:szCs w:val="24"/>
        </w:rPr>
        <w:t xml:space="preserve">TSRS GM oro desanto pajėgų Pskovo 76-osios oro desanto divizijos vado pavaduotojas pulkininkas </w:t>
      </w:r>
      <w:r w:rsidR="00385BC9" w:rsidRPr="000E2C88">
        <w:rPr>
          <w:rFonts w:eastAsia="Calibri"/>
          <w:szCs w:val="24"/>
        </w:rPr>
        <w:t>V. K. 1</w:t>
      </w:r>
      <w:r w:rsidRPr="000E2C88">
        <w:rPr>
          <w:rFonts w:eastAsia="Calibri"/>
          <w:szCs w:val="24"/>
        </w:rPr>
        <w:t>, be kita ko,</w:t>
      </w:r>
      <w:r w:rsidRPr="000E2C88">
        <w:rPr>
          <w:szCs w:val="24"/>
        </w:rPr>
        <w:t xml:space="preserve"> nuteistas už tai, kad</w:t>
      </w:r>
      <w:r w:rsidRPr="000E2C88">
        <w:rPr>
          <w:rFonts w:eastAsia="Calibri"/>
          <w:szCs w:val="24"/>
        </w:rPr>
        <w:t xml:space="preserve"> veikdamas pagal TSRS GM oro desanto pajėgų vado </w:t>
      </w:r>
      <w:r w:rsidR="00C507EF" w:rsidRPr="000E2C88">
        <w:rPr>
          <w:rFonts w:eastAsia="Calibri"/>
          <w:szCs w:val="24"/>
        </w:rPr>
        <w:t>V. A.</w:t>
      </w:r>
      <w:r w:rsidRPr="000E2C88">
        <w:rPr>
          <w:rFonts w:eastAsia="Calibri"/>
        </w:rPr>
        <w:t xml:space="preserve"> </w:t>
      </w:r>
      <w:r w:rsidRPr="000E2C88">
        <w:t xml:space="preserve">(ikiteisminis tyrimas nutrauktas jam mirus) ir pastarajam įsakymą davusio </w:t>
      </w:r>
      <w:r w:rsidR="00385BC9" w:rsidRPr="000E2C88">
        <w:t>D. J.</w:t>
      </w:r>
      <w:r w:rsidRPr="000E2C88">
        <w:t xml:space="preserve"> </w:t>
      </w:r>
      <w:r w:rsidRPr="000E2C88">
        <w:rPr>
          <w:rFonts w:eastAsia="Calibri"/>
          <w:szCs w:val="24"/>
        </w:rPr>
        <w:t xml:space="preserve">nurodymą ir būdamas vadovavimo karinei operacijai štabo nariu, detalizavo karinės operacijos plano įgyvendinimą, numatė užgrobiamus objektus ir paskirstė kariškius, konkretizavo kariuomenės rūšių užduotis ir veiksmus, paskyrė kariniams veiksmams vadovaujančius bei už veiksmų koordinavimą atsakingus karininkus, koordinavo </w:t>
      </w:r>
      <w:bookmarkStart w:id="235" w:name="_Hlk58325428"/>
      <w:r w:rsidRPr="000E2C88">
        <w:rPr>
          <w:rFonts w:eastAsia="Calibri"/>
          <w:szCs w:val="24"/>
        </w:rPr>
        <w:t>kariškių, dalyvaujančių užimant objektus, bendrus veiksmus</w:t>
      </w:r>
      <w:bookmarkEnd w:id="235"/>
      <w:r w:rsidRPr="00F06360">
        <w:rPr>
          <w:rFonts w:eastAsia="Calibri"/>
          <w:szCs w:val="24"/>
        </w:rPr>
        <w:t>.</w:t>
      </w:r>
    </w:p>
    <w:p w:rsidR="00EC36F2" w:rsidRPr="00F06360" w:rsidRDefault="00EC36F2" w:rsidP="00EC36F2">
      <w:pPr>
        <w:pStyle w:val="ListParagraph"/>
        <w:numPr>
          <w:ilvl w:val="1"/>
          <w:numId w:val="6"/>
        </w:numPr>
        <w:spacing w:before="120" w:after="120"/>
        <w:ind w:left="992" w:hanging="992"/>
        <w:contextualSpacing w:val="0"/>
        <w:rPr>
          <w:szCs w:val="24"/>
        </w:rPr>
      </w:pPr>
      <w:r w:rsidRPr="000E2C88">
        <w:rPr>
          <w:rFonts w:eastAsia="Calibri"/>
          <w:szCs w:val="24"/>
        </w:rPr>
        <w:t xml:space="preserve">TSRS GM Sausumos pajėgų Pabaltijo karinės apygardos 107-osios motorizuotų šaulių divizijos vadas generolas majoras </w:t>
      </w:r>
      <w:r w:rsidR="006036E7" w:rsidRPr="000E2C88">
        <w:rPr>
          <w:rFonts w:eastAsia="Calibri"/>
          <w:szCs w:val="24"/>
        </w:rPr>
        <w:t>V. U. 1</w:t>
      </w:r>
      <w:r w:rsidRPr="000E2C88">
        <w:rPr>
          <w:rFonts w:eastAsia="Calibri"/>
          <w:szCs w:val="24"/>
        </w:rPr>
        <w:t>, be kita ko,</w:t>
      </w:r>
      <w:r w:rsidRPr="000E2C88">
        <w:rPr>
          <w:szCs w:val="24"/>
        </w:rPr>
        <w:t xml:space="preserve"> nuteistas</w:t>
      </w:r>
      <w:r w:rsidRPr="000E2C88">
        <w:rPr>
          <w:rFonts w:eastAsia="Calibri"/>
          <w:szCs w:val="24"/>
        </w:rPr>
        <w:t xml:space="preserve"> už tai, kad veikdamas pagal TSRS GM Sausumos pajėgų Pabaltijo karinės apygardos vado pavaduotojo </w:t>
      </w:r>
      <w:r w:rsidR="00C507EF" w:rsidRPr="000E2C88">
        <w:rPr>
          <w:rFonts w:eastAsia="Calibri"/>
          <w:szCs w:val="24"/>
        </w:rPr>
        <w:t>V. O.</w:t>
      </w:r>
      <w:r w:rsidRPr="000E2C88">
        <w:rPr>
          <w:rFonts w:eastAsia="Calibri"/>
        </w:rPr>
        <w:t xml:space="preserve"> </w:t>
      </w:r>
      <w:r w:rsidRPr="000E2C88">
        <w:t xml:space="preserve">(ikiteisminis tyrimas nutrauktas jam mirus) ir pastarajam įsakymą davusio </w:t>
      </w:r>
      <w:r w:rsidR="00385BC9" w:rsidRPr="000E2C88">
        <w:t>D. J.</w:t>
      </w:r>
      <w:r w:rsidRPr="000E2C88">
        <w:t xml:space="preserve"> </w:t>
      </w:r>
      <w:r w:rsidRPr="000E2C88">
        <w:rPr>
          <w:rFonts w:eastAsia="Calibri"/>
          <w:szCs w:val="24"/>
        </w:rPr>
        <w:t>nurodymą ir būdamas vadovavimo karinei operacijai štabo nariu,</w:t>
      </w:r>
      <w:r w:rsidRPr="000E2C88">
        <w:rPr>
          <w:szCs w:val="24"/>
        </w:rPr>
        <w:t xml:space="preserve"> </w:t>
      </w:r>
      <w:r w:rsidRPr="000E2C88">
        <w:rPr>
          <w:rFonts w:eastAsia="Calibri"/>
          <w:szCs w:val="24"/>
        </w:rPr>
        <w:t>konkretizavo kariuomenės rūšių užduotis ir veiksmus, paskyrė kariniams veiksmams vadovaujančius bei už veiksmų koordinavimą atsakingus jam pavaldžius asmenis (kariškius), davė jiems nurodymus dėl tiesioginio dalyvavimo karinėje operacijoje ir vadovavimo jai, paskelbė kovinę parengtį divizijos daliniuose, koordinavo kariškių, dalyvaujančių užimant objektus, bendrus veiksmus</w:t>
      </w:r>
      <w:r w:rsidRPr="00F06360">
        <w:rPr>
          <w:rFonts w:eastAsia="Calibri"/>
          <w:szCs w:val="24"/>
        </w:rPr>
        <w:t>.</w:t>
      </w:r>
    </w:p>
    <w:p w:rsidR="00EC36F2" w:rsidRPr="00F06360" w:rsidRDefault="00EC36F2" w:rsidP="00EC36F2">
      <w:pPr>
        <w:pStyle w:val="ListParagraph"/>
        <w:numPr>
          <w:ilvl w:val="1"/>
          <w:numId w:val="6"/>
        </w:numPr>
        <w:spacing w:before="120" w:after="120"/>
        <w:ind w:left="992" w:hanging="992"/>
        <w:contextualSpacing w:val="0"/>
        <w:rPr>
          <w:szCs w:val="24"/>
        </w:rPr>
      </w:pPr>
      <w:r w:rsidRPr="000E2C88">
        <w:t xml:space="preserve">TSRS GM </w:t>
      </w:r>
      <w:r w:rsidRPr="000E2C88">
        <w:rPr>
          <w:rFonts w:eastAsia="Calibri"/>
          <w:szCs w:val="24"/>
        </w:rPr>
        <w:t>Sausumos pajėgų Pabaltijo karinės apygardos 107-osios motorizuotų šaulių divizijos</w:t>
      </w:r>
      <w:r w:rsidRPr="000E2C88">
        <w:rPr>
          <w:szCs w:val="24"/>
        </w:rPr>
        <w:t xml:space="preserve"> 106-ojo tankų pulko vado </w:t>
      </w:r>
      <w:r w:rsidR="004069BF" w:rsidRPr="000E2C88">
        <w:rPr>
          <w:szCs w:val="24"/>
        </w:rPr>
        <w:t>N. A.</w:t>
      </w:r>
      <w:r w:rsidRPr="000E2C88">
        <w:rPr>
          <w:szCs w:val="24"/>
        </w:rPr>
        <w:t xml:space="preserve"> veiksmai Vilniaus apygardos teismo nuosprendžio dalyje „Nusikalstamų veiksmų prieš Lietuvos valstybę rengimas, karinės operacijos planavimas“, kurioje išdėstytos įrodytomis pripažintos šios nusikalstamos veikos aplinkybės (nuosprendžio nustatomosios dalies 10–15 l.) nėra aiškiai nurodyti. Šioje dalyje </w:t>
      </w:r>
      <w:r w:rsidR="004069BF" w:rsidRPr="000E2C88">
        <w:rPr>
          <w:szCs w:val="24"/>
        </w:rPr>
        <w:t>N. A.</w:t>
      </w:r>
      <w:r w:rsidRPr="000E2C88">
        <w:rPr>
          <w:szCs w:val="24"/>
        </w:rPr>
        <w:t xml:space="preserve"> paminėtas tik vieną kartą, nurodant, kad nuteistasis </w:t>
      </w:r>
      <w:r w:rsidR="006036E7" w:rsidRPr="000E2C88">
        <w:rPr>
          <w:szCs w:val="24"/>
        </w:rPr>
        <w:t>V. U. 1</w:t>
      </w:r>
      <w:r w:rsidRPr="000E2C88">
        <w:rPr>
          <w:szCs w:val="24"/>
        </w:rPr>
        <w:t xml:space="preserve"> </w:t>
      </w:r>
      <w:r w:rsidRPr="000E2C88">
        <w:rPr>
          <w:rFonts w:eastAsia="Calibri"/>
          <w:szCs w:val="24"/>
        </w:rPr>
        <w:t xml:space="preserve">perdavė pavaldumo tvarka paklūstantiems kariškiams (viso dvidešimčiai kariškių, tarp jų ir </w:t>
      </w:r>
      <w:r w:rsidR="004069BF" w:rsidRPr="000E2C88">
        <w:rPr>
          <w:rFonts w:eastAsia="Calibri"/>
          <w:szCs w:val="24"/>
        </w:rPr>
        <w:t>N. A.</w:t>
      </w:r>
      <w:r w:rsidRPr="000E2C88">
        <w:rPr>
          <w:rFonts w:eastAsia="Calibri"/>
          <w:szCs w:val="24"/>
        </w:rPr>
        <w:t>)</w:t>
      </w:r>
      <w:r w:rsidRPr="000E2C88">
        <w:rPr>
          <w:szCs w:val="24"/>
        </w:rPr>
        <w:t xml:space="preserve"> </w:t>
      </w:r>
      <w:r w:rsidRPr="000E2C88">
        <w:rPr>
          <w:rFonts w:eastAsia="Calibri"/>
          <w:szCs w:val="24"/>
        </w:rPr>
        <w:t xml:space="preserve">nurodymus dėl tiesioginio dalyvavimo karinėje operacijoje ir vadovavimo jai bei dėl šturmo veiksmų </w:t>
      </w:r>
      <w:r w:rsidRPr="000E2C88">
        <w:rPr>
          <w:rFonts w:eastAsia="Calibri"/>
        </w:rPr>
        <w:t xml:space="preserve">koordinavimo </w:t>
      </w:r>
      <w:r w:rsidRPr="000E2C88">
        <w:rPr>
          <w:rFonts w:eastAsia="Calibri"/>
          <w:i/>
        </w:rPr>
        <w:t>(</w:t>
      </w:r>
      <w:bookmarkStart w:id="236" w:name="_Hlk58333956"/>
      <w:r w:rsidRPr="000E2C88">
        <w:rPr>
          <w:rFonts w:eastAsia="Calibri"/>
          <w:i/>
        </w:rPr>
        <w:t xml:space="preserve">„&lt;...&gt; </w:t>
      </w:r>
      <w:r w:rsidR="006036E7" w:rsidRPr="000E2C88">
        <w:rPr>
          <w:rFonts w:eastAsia="Calibri"/>
          <w:i/>
        </w:rPr>
        <w:t>V. U. 1</w:t>
      </w:r>
      <w:r w:rsidRPr="000E2C88">
        <w:rPr>
          <w:rFonts w:eastAsia="Calibri"/>
          <w:i/>
        </w:rPr>
        <w:t xml:space="preserve"> nurodymus dėl tiesioginio dalyvavimo karinėje operacijoje ir vadovavimo jai bei dėl šturmo veiksmų koordinavimo perdavė pavaldumo tvarka paklūstantiems kariškiams: 106-ojo tankų pulko vadui </w:t>
      </w:r>
      <w:r w:rsidR="004069BF" w:rsidRPr="000E2C88">
        <w:rPr>
          <w:rFonts w:eastAsia="Calibri"/>
          <w:i/>
        </w:rPr>
        <w:t>N. A.</w:t>
      </w:r>
      <w:r w:rsidRPr="000E2C88">
        <w:rPr>
          <w:rFonts w:eastAsia="Calibri"/>
          <w:i/>
        </w:rPr>
        <w:t xml:space="preserve">, pulko vado pavaduotojui </w:t>
      </w:r>
      <w:r w:rsidR="00C82C9D" w:rsidRPr="000E2C88">
        <w:rPr>
          <w:rFonts w:eastAsia="Calibri"/>
          <w:i/>
        </w:rPr>
        <w:t>J. O.</w:t>
      </w:r>
      <w:r w:rsidRPr="000E2C88">
        <w:rPr>
          <w:rFonts w:eastAsia="Calibri"/>
          <w:i/>
        </w:rPr>
        <w:t xml:space="preserve">, pulko partinio biuro sekretoriui </w:t>
      </w:r>
      <w:r w:rsidR="00C82C9D" w:rsidRPr="000E2C88">
        <w:rPr>
          <w:rFonts w:eastAsia="Calibri"/>
          <w:i/>
        </w:rPr>
        <w:t>V. U. 2</w:t>
      </w:r>
      <w:r w:rsidRPr="000E2C88">
        <w:rPr>
          <w:rFonts w:eastAsia="Calibri"/>
          <w:i/>
        </w:rPr>
        <w:t xml:space="preserve">, pulko bataliono vado pavaduotojams – </w:t>
      </w:r>
      <w:r w:rsidR="00C82C9D" w:rsidRPr="000E2C88">
        <w:rPr>
          <w:rFonts w:eastAsia="Calibri"/>
          <w:i/>
        </w:rPr>
        <w:t>V. S. 4</w:t>
      </w:r>
      <w:r w:rsidRPr="000E2C88">
        <w:rPr>
          <w:rFonts w:eastAsia="Calibri"/>
          <w:i/>
        </w:rPr>
        <w:t xml:space="preserve">, </w:t>
      </w:r>
      <w:r w:rsidR="00C82C9D" w:rsidRPr="000E2C88">
        <w:rPr>
          <w:rFonts w:eastAsia="Calibri"/>
          <w:i/>
        </w:rPr>
        <w:t>V. Š. 3</w:t>
      </w:r>
      <w:r w:rsidRPr="000E2C88">
        <w:rPr>
          <w:rFonts w:eastAsia="Calibri"/>
          <w:i/>
        </w:rPr>
        <w:t xml:space="preserve"> ir </w:t>
      </w:r>
      <w:r w:rsidR="00C82C9D" w:rsidRPr="000E2C88">
        <w:rPr>
          <w:rFonts w:eastAsia="Calibri"/>
          <w:i/>
        </w:rPr>
        <w:t>S. V.</w:t>
      </w:r>
      <w:r w:rsidRPr="000E2C88">
        <w:rPr>
          <w:rFonts w:eastAsia="Calibri"/>
          <w:i/>
        </w:rPr>
        <w:t xml:space="preserve">, kuopų vadams – </w:t>
      </w:r>
      <w:r w:rsidR="00C82C9D" w:rsidRPr="000E2C88">
        <w:rPr>
          <w:rFonts w:eastAsia="Calibri"/>
          <w:i/>
        </w:rPr>
        <w:t>V. P.</w:t>
      </w:r>
      <w:r w:rsidRPr="000E2C88">
        <w:rPr>
          <w:rFonts w:eastAsia="Calibri"/>
          <w:i/>
        </w:rPr>
        <w:t xml:space="preserve">, </w:t>
      </w:r>
      <w:r w:rsidR="00C82C9D" w:rsidRPr="000E2C88">
        <w:rPr>
          <w:rFonts w:eastAsia="Calibri"/>
          <w:i/>
        </w:rPr>
        <w:t>E. R.</w:t>
      </w:r>
      <w:r w:rsidRPr="000E2C88">
        <w:rPr>
          <w:rFonts w:eastAsia="Calibri"/>
          <w:i/>
        </w:rPr>
        <w:t xml:space="preserve">, </w:t>
      </w:r>
      <w:r w:rsidR="00C82C9D" w:rsidRPr="000E2C88">
        <w:rPr>
          <w:rFonts w:eastAsia="Calibri"/>
          <w:i/>
        </w:rPr>
        <w:t>A. G. 1</w:t>
      </w:r>
      <w:r w:rsidRPr="000E2C88">
        <w:rPr>
          <w:rFonts w:eastAsia="Calibri"/>
          <w:i/>
        </w:rPr>
        <w:t xml:space="preserve">, </w:t>
      </w:r>
      <w:r w:rsidR="00C82C9D" w:rsidRPr="000E2C88">
        <w:rPr>
          <w:rFonts w:eastAsia="Calibri"/>
          <w:i/>
        </w:rPr>
        <w:t>A. B.</w:t>
      </w:r>
      <w:r w:rsidRPr="000E2C88">
        <w:rPr>
          <w:rFonts w:eastAsia="Calibri"/>
          <w:i/>
        </w:rPr>
        <w:t xml:space="preserve">, </w:t>
      </w:r>
      <w:r w:rsidR="00C82C9D" w:rsidRPr="000E2C88">
        <w:rPr>
          <w:rFonts w:eastAsia="Calibri"/>
          <w:i/>
        </w:rPr>
        <w:t>O. A.</w:t>
      </w:r>
      <w:r w:rsidRPr="000E2C88">
        <w:rPr>
          <w:rFonts w:eastAsia="Calibri"/>
          <w:i/>
        </w:rPr>
        <w:t xml:space="preserve">, būrio vado pavaduotojui </w:t>
      </w:r>
      <w:r w:rsidR="00C82C9D" w:rsidRPr="000E2C88">
        <w:rPr>
          <w:rFonts w:eastAsia="Calibri"/>
          <w:i/>
        </w:rPr>
        <w:t>N. S.</w:t>
      </w:r>
      <w:r w:rsidRPr="000E2C88">
        <w:rPr>
          <w:rFonts w:eastAsia="Calibri"/>
          <w:i/>
        </w:rPr>
        <w:t xml:space="preserve">, kuopos vado pavaduotojui </w:t>
      </w:r>
      <w:r w:rsidR="00C82C9D" w:rsidRPr="000E2C88">
        <w:rPr>
          <w:rFonts w:eastAsia="Calibri"/>
          <w:i/>
        </w:rPr>
        <w:t>A. U.</w:t>
      </w:r>
      <w:r w:rsidRPr="000E2C88">
        <w:rPr>
          <w:rFonts w:eastAsia="Calibri"/>
          <w:i/>
        </w:rPr>
        <w:t xml:space="preserve">, kuopos vadui </w:t>
      </w:r>
      <w:r w:rsidR="00A97F74" w:rsidRPr="000E2C88">
        <w:rPr>
          <w:rFonts w:eastAsia="Calibri"/>
          <w:i/>
        </w:rPr>
        <w:t>A. K. 1</w:t>
      </w:r>
      <w:r w:rsidRPr="000E2C88">
        <w:rPr>
          <w:rFonts w:eastAsia="Calibri"/>
          <w:i/>
        </w:rPr>
        <w:t xml:space="preserve">, būrių vadams – </w:t>
      </w:r>
      <w:r w:rsidR="00A97F74" w:rsidRPr="000E2C88">
        <w:rPr>
          <w:rFonts w:eastAsia="Calibri"/>
          <w:i/>
        </w:rPr>
        <w:t>D. F.</w:t>
      </w:r>
      <w:r w:rsidRPr="000E2C88">
        <w:rPr>
          <w:rFonts w:eastAsia="Calibri"/>
          <w:i/>
        </w:rPr>
        <w:t xml:space="preserve">, </w:t>
      </w:r>
      <w:r w:rsidR="00BA18FA" w:rsidRPr="000E2C88">
        <w:rPr>
          <w:rFonts w:eastAsia="Calibri"/>
          <w:i/>
        </w:rPr>
        <w:t>J. M.</w:t>
      </w:r>
      <w:r w:rsidRPr="000E2C88">
        <w:rPr>
          <w:rFonts w:eastAsia="Calibri"/>
          <w:i/>
        </w:rPr>
        <w:t xml:space="preserve">, </w:t>
      </w:r>
      <w:r w:rsidR="00A97F74" w:rsidRPr="000E2C88">
        <w:rPr>
          <w:rFonts w:eastAsia="Calibri"/>
          <w:i/>
        </w:rPr>
        <w:t>D. B.</w:t>
      </w:r>
      <w:r w:rsidRPr="000E2C88">
        <w:rPr>
          <w:rFonts w:eastAsia="Calibri"/>
          <w:i/>
        </w:rPr>
        <w:t xml:space="preserve">, </w:t>
      </w:r>
      <w:r w:rsidR="00A97F74" w:rsidRPr="000E2C88">
        <w:rPr>
          <w:rFonts w:eastAsia="Calibri"/>
          <w:i/>
        </w:rPr>
        <w:t>N. O.</w:t>
      </w:r>
      <w:r w:rsidRPr="000E2C88">
        <w:rPr>
          <w:rFonts w:eastAsia="Calibri"/>
          <w:i/>
        </w:rPr>
        <w:t xml:space="preserve">, </w:t>
      </w:r>
      <w:r w:rsidR="00A97F74" w:rsidRPr="000E2C88">
        <w:rPr>
          <w:rFonts w:eastAsia="Calibri"/>
          <w:i/>
        </w:rPr>
        <w:t>A. K. 2</w:t>
      </w:r>
      <w:r w:rsidRPr="000E2C88">
        <w:rPr>
          <w:rFonts w:eastAsia="Calibri"/>
          <w:i/>
        </w:rPr>
        <w:t xml:space="preserve"> ir kuopos vado pavaduotojui ginkluotei </w:t>
      </w:r>
      <w:r w:rsidR="00A97F74" w:rsidRPr="000E2C88">
        <w:rPr>
          <w:rFonts w:eastAsia="Calibri"/>
          <w:i/>
        </w:rPr>
        <w:t>A. R.</w:t>
      </w:r>
      <w:r w:rsidRPr="000E2C88">
        <w:rPr>
          <w:rFonts w:eastAsia="Calibri"/>
          <w:i/>
        </w:rPr>
        <w:t xml:space="preserve">“ </w:t>
      </w:r>
      <w:r w:rsidRPr="00F06360">
        <w:rPr>
          <w:rFonts w:eastAsia="Calibri"/>
        </w:rPr>
        <w:t>(nuosprendžio 13</w:t>
      </w:r>
      <w:r w:rsidRPr="00F06360">
        <w:t>–</w:t>
      </w:r>
      <w:r w:rsidRPr="00F06360">
        <w:rPr>
          <w:rFonts w:eastAsia="Calibri"/>
        </w:rPr>
        <w:t>14 l.)).</w:t>
      </w:r>
      <w:r w:rsidRPr="00F06360">
        <w:rPr>
          <w:rFonts w:eastAsia="Calibri"/>
          <w:szCs w:val="24"/>
        </w:rPr>
        <w:t xml:space="preserve"> Kokius konkrečiai veiksmus </w:t>
      </w:r>
      <w:r w:rsidR="004069BF" w:rsidRPr="00F06360">
        <w:rPr>
          <w:rFonts w:eastAsia="Calibri"/>
          <w:szCs w:val="24"/>
        </w:rPr>
        <w:t>N. A.</w:t>
      </w:r>
      <w:r w:rsidRPr="00F06360">
        <w:rPr>
          <w:rFonts w:eastAsia="Calibri"/>
          <w:szCs w:val="24"/>
        </w:rPr>
        <w:t xml:space="preserve"> atliko </w:t>
      </w:r>
      <w:r w:rsidRPr="00F06360">
        <w:rPr>
          <w:szCs w:val="24"/>
        </w:rPr>
        <w:t>planuojant karinę operaciją šioje nuosprendžio dalyje nėra nurodoma. Visgi nuosprendžio motyvuojamojoje dalyje yra nurodyta, jog „</w:t>
      </w:r>
      <w:r w:rsidRPr="00F06360">
        <w:rPr>
          <w:i/>
          <w:szCs w:val="24"/>
        </w:rPr>
        <w:t xml:space="preserve">Kaltinamasis </w:t>
      </w:r>
      <w:r w:rsidR="004069BF" w:rsidRPr="00F06360">
        <w:rPr>
          <w:i/>
          <w:szCs w:val="24"/>
        </w:rPr>
        <w:t>N. A.</w:t>
      </w:r>
      <w:r w:rsidRPr="00F06360">
        <w:rPr>
          <w:i/>
          <w:szCs w:val="24"/>
        </w:rPr>
        <w:t xml:space="preserve"> </w:t>
      </w:r>
      <w:bookmarkStart w:id="237" w:name="_Hlk58328904"/>
      <w:r w:rsidRPr="00F06360">
        <w:rPr>
          <w:i/>
          <w:szCs w:val="24"/>
        </w:rPr>
        <w:t>paskyrė jungtinių tankų ekipažų narius ir vadovavo tankų ekipažams Spaudos rūmų, TV bokšto ir RTV Komiteto (LRT) užgrobimo metu, TV bokšto šturmo metu davė nurodymus dėl užtvarų šalinimo, šaudymo išmušamaisiais užtaisais, asmeniškai vadovavo tanko Nr. 502 ekipažui, kuriam pavojingai manevruojant kartu su kita prie bokšto atvykusia karine technika buvo mirtinai sužalota L. A</w:t>
      </w:r>
      <w:r w:rsidR="005A493E" w:rsidRPr="00F06360">
        <w:rPr>
          <w:i/>
          <w:szCs w:val="24"/>
        </w:rPr>
        <w:t>.</w:t>
      </w:r>
      <w:r w:rsidRPr="00F06360">
        <w:rPr>
          <w:i/>
          <w:szCs w:val="24"/>
        </w:rPr>
        <w:t xml:space="preserve"> bei padaryti kūno sužalojimai nukentėjusiesiems L. T</w:t>
      </w:r>
      <w:r w:rsidR="00C943F4" w:rsidRPr="00F06360">
        <w:rPr>
          <w:i/>
          <w:szCs w:val="24"/>
        </w:rPr>
        <w:t>.</w:t>
      </w:r>
      <w:r w:rsidRPr="00F06360">
        <w:rPr>
          <w:i/>
          <w:szCs w:val="24"/>
        </w:rPr>
        <w:t>, A. M. P</w:t>
      </w:r>
      <w:r w:rsidR="00C943F4" w:rsidRPr="00F06360">
        <w:rPr>
          <w:i/>
          <w:szCs w:val="24"/>
        </w:rPr>
        <w:t>.</w:t>
      </w:r>
      <w:r w:rsidRPr="00F06360">
        <w:rPr>
          <w:i/>
          <w:szCs w:val="24"/>
        </w:rPr>
        <w:t xml:space="preserve">, </w:t>
      </w:r>
      <w:r w:rsidR="00C943F4" w:rsidRPr="00F06360">
        <w:rPr>
          <w:i/>
          <w:szCs w:val="24"/>
        </w:rPr>
        <w:t>A. S.</w:t>
      </w:r>
      <w:r w:rsidRPr="00F06360">
        <w:rPr>
          <w:i/>
          <w:szCs w:val="24"/>
        </w:rPr>
        <w:t>.</w:t>
      </w:r>
      <w:r w:rsidRPr="00F06360">
        <w:rPr>
          <w:szCs w:val="24"/>
        </w:rPr>
        <w:t xml:space="preserve">“ (nuosprendžio 874 l.), todėl iš nuosprendžio galima spręsti, kad </w:t>
      </w:r>
      <w:r w:rsidR="004069BF" w:rsidRPr="00F06360">
        <w:rPr>
          <w:szCs w:val="24"/>
        </w:rPr>
        <w:t>N. A.</w:t>
      </w:r>
      <w:r w:rsidRPr="00F06360">
        <w:rPr>
          <w:szCs w:val="24"/>
        </w:rPr>
        <w:t xml:space="preserve"> veiksmai karinės operacijos planavimo dalyje pasireiškė jungtinių tankų ekipažų narių paskyrimu ir vadovavimu tankų ekipažams.</w:t>
      </w:r>
      <w:bookmarkEnd w:id="236"/>
      <w:bookmarkEnd w:id="237"/>
    </w:p>
    <w:p w:rsidR="00EC36F2" w:rsidRPr="00C00255" w:rsidRDefault="00EC36F2" w:rsidP="00EC36F2">
      <w:pPr>
        <w:pStyle w:val="NormalWeb"/>
        <w:numPr>
          <w:ilvl w:val="0"/>
          <w:numId w:val="6"/>
        </w:numPr>
        <w:spacing w:before="120" w:beforeAutospacing="0" w:after="120" w:afterAutospacing="0"/>
        <w:ind w:left="992" w:hanging="992"/>
      </w:pPr>
      <w:r w:rsidRPr="000E2C88">
        <w:rPr>
          <w:rFonts w:eastAsia="Calibri"/>
        </w:rPr>
        <w:t xml:space="preserve">Nuteistojo </w:t>
      </w:r>
      <w:r w:rsidR="00385BC9" w:rsidRPr="000E2C88">
        <w:rPr>
          <w:rFonts w:eastAsia="Calibri"/>
        </w:rPr>
        <w:t>D. J.</w:t>
      </w:r>
      <w:r w:rsidRPr="000E2C88">
        <w:rPr>
          <w:rFonts w:eastAsia="Calibri"/>
        </w:rPr>
        <w:t xml:space="preserve"> </w:t>
      </w:r>
      <w:r w:rsidRPr="000E2C88">
        <w:t>gynėjas apeliaciniame</w:t>
      </w:r>
      <w:r w:rsidRPr="000E2C88">
        <w:rPr>
          <w:rFonts w:eastAsia="Calibri"/>
        </w:rPr>
        <w:t xml:space="preserve"> </w:t>
      </w:r>
      <w:r w:rsidRPr="000E2C88">
        <w:t>skunde</w:t>
      </w:r>
      <w:r w:rsidRPr="000E2C88">
        <w:rPr>
          <w:rFonts w:eastAsia="Calibri"/>
        </w:rPr>
        <w:t xml:space="preserve"> jokių argumentų dėl jo ginamojo nekaltumo nenurodė. Nuteis</w:t>
      </w:r>
      <w:r w:rsidRPr="000E2C88">
        <w:t xml:space="preserve">tojo </w:t>
      </w:r>
      <w:r w:rsidR="00385BC9" w:rsidRPr="000E2C88">
        <w:t>V. K. 1</w:t>
      </w:r>
      <w:r w:rsidRPr="000E2C88">
        <w:rPr>
          <w:rFonts w:eastAsia="Calibri"/>
        </w:rPr>
        <w:t xml:space="preserve"> gynėja apeliaciniame skunde neneigė jos ginamojo dalyvavimo karinėse</w:t>
      </w:r>
      <w:r w:rsidRPr="000E2C88">
        <w:t xml:space="preserve"> operacijose ir nurodė, kad </w:t>
      </w:r>
      <w:r w:rsidR="00385BC9" w:rsidRPr="000E2C88">
        <w:t>V. K. 1</w:t>
      </w:r>
      <w:r w:rsidRPr="000E2C88">
        <w:t xml:space="preserve"> vykdė </w:t>
      </w:r>
      <w:r w:rsidR="00385BC9" w:rsidRPr="000E2C88">
        <w:t>D. J.</w:t>
      </w:r>
      <w:r w:rsidRPr="000E2C88">
        <w:t xml:space="preserve"> nurodymus, negalėdamas atsisakyti vykdyti įsakymo. Nuteis</w:t>
      </w:r>
      <w:r w:rsidRPr="000E2C88">
        <w:rPr>
          <w:rFonts w:eastAsia="Calibri"/>
        </w:rPr>
        <w:t xml:space="preserve">tojo </w:t>
      </w:r>
      <w:r w:rsidR="006036E7" w:rsidRPr="000E2C88">
        <w:rPr>
          <w:rFonts w:eastAsia="Calibri"/>
        </w:rPr>
        <w:t>V. U. 1</w:t>
      </w:r>
      <w:r w:rsidRPr="000E2C88">
        <w:rPr>
          <w:rFonts w:eastAsia="Calibri"/>
        </w:rPr>
        <w:t xml:space="preserve"> gynėjas apeliaciniame skunde </w:t>
      </w:r>
      <w:r w:rsidR="000B0704" w:rsidRPr="000E2C88">
        <w:rPr>
          <w:rFonts w:eastAsia="Calibri"/>
        </w:rPr>
        <w:t>teigė</w:t>
      </w:r>
      <w:r w:rsidRPr="000E2C88">
        <w:rPr>
          <w:rFonts w:eastAsia="Calibri"/>
        </w:rPr>
        <w:t xml:space="preserve">, kad </w:t>
      </w:r>
      <w:r w:rsidR="006036E7" w:rsidRPr="000E2C88">
        <w:rPr>
          <w:rFonts w:eastAsia="Calibri"/>
        </w:rPr>
        <w:t>V. U. 1</w:t>
      </w:r>
      <w:r w:rsidRPr="000E2C88">
        <w:rPr>
          <w:rFonts w:eastAsia="Calibri"/>
        </w:rPr>
        <w:t xml:space="preserve"> bei jo pavaldiniai, kuriems jis davė nurodymus, yra nekalti</w:t>
      </w:r>
      <w:r w:rsidR="000B0704" w:rsidRPr="000E2C88">
        <w:rPr>
          <w:rFonts w:eastAsia="Calibri"/>
        </w:rPr>
        <w:t>, o</w:t>
      </w:r>
      <w:r w:rsidRPr="000E2C88">
        <w:rPr>
          <w:rFonts w:eastAsia="Calibri"/>
        </w:rPr>
        <w:t xml:space="preserve"> </w:t>
      </w:r>
      <w:r w:rsidR="000B0704" w:rsidRPr="000E2C88">
        <w:rPr>
          <w:rFonts w:eastAsia="Calibri"/>
        </w:rPr>
        <w:t>n</w:t>
      </w:r>
      <w:r w:rsidRPr="000E2C88">
        <w:rPr>
          <w:rFonts w:eastAsia="Calibri"/>
        </w:rPr>
        <w:t xml:space="preserve">uteistasis </w:t>
      </w:r>
      <w:r w:rsidR="006036E7" w:rsidRPr="000E2C88">
        <w:rPr>
          <w:rFonts w:eastAsia="Calibri"/>
        </w:rPr>
        <w:t>V. U. 1</w:t>
      </w:r>
      <w:r w:rsidRPr="000E2C88">
        <w:rPr>
          <w:rFonts w:eastAsia="Calibri"/>
        </w:rPr>
        <w:t xml:space="preserve"> padarė viską, kad nebūtų pralietas kraujas, ir nedavė įsakymų panaudoti ginklų, atvirkščiai – kategor</w:t>
      </w:r>
      <w:r w:rsidRPr="000E2C88">
        <w:t xml:space="preserve">iškai tai draudė. </w:t>
      </w:r>
      <w:r w:rsidR="006036E7" w:rsidRPr="000E2C88">
        <w:t>V. U. 1</w:t>
      </w:r>
      <w:r w:rsidRPr="000E2C88">
        <w:t xml:space="preserve"> vadovaujama </w:t>
      </w:r>
      <w:r w:rsidRPr="000E2C88">
        <w:rPr>
          <w:rFonts w:eastAsia="Calibri"/>
        </w:rPr>
        <w:t xml:space="preserve">motorizuota divizija tik teikė palaikymą desantininkams, kurie turėjo užimti TV bokštą ir kitus objektus. </w:t>
      </w:r>
      <w:r w:rsidR="006036E7" w:rsidRPr="000E2C88">
        <w:rPr>
          <w:rFonts w:eastAsia="Calibri"/>
        </w:rPr>
        <w:t>V. U. 1</w:t>
      </w:r>
      <w:r w:rsidRPr="000E2C88">
        <w:t xml:space="preserve"> nedalyvavo jokiose civilių organizacijose ir nebandė vykdyti per</w:t>
      </w:r>
      <w:r w:rsidRPr="000E2C88">
        <w:rPr>
          <w:rFonts w:eastAsia="Calibri"/>
        </w:rPr>
        <w:t xml:space="preserve">versmo šalyje, su </w:t>
      </w:r>
      <w:r w:rsidR="00C507EF" w:rsidRPr="000E2C88">
        <w:rPr>
          <w:rFonts w:eastAsia="Calibri"/>
        </w:rPr>
        <w:t>M. B.</w:t>
      </w:r>
      <w:r w:rsidRPr="000E2C88">
        <w:rPr>
          <w:rFonts w:eastAsia="Calibri"/>
        </w:rPr>
        <w:t xml:space="preserve"> ir </w:t>
      </w:r>
      <w:r w:rsidR="00385BC9" w:rsidRPr="000E2C88">
        <w:rPr>
          <w:rFonts w:eastAsia="Calibri"/>
        </w:rPr>
        <w:t>A. N. 1</w:t>
      </w:r>
      <w:r w:rsidRPr="000E2C88">
        <w:rPr>
          <w:rFonts w:eastAsia="Calibri"/>
        </w:rPr>
        <w:t xml:space="preserve"> susitikęs nebuvo. Nuteistojo </w:t>
      </w:r>
      <w:r w:rsidR="004069BF" w:rsidRPr="000E2C88">
        <w:rPr>
          <w:rFonts w:eastAsia="Calibri"/>
        </w:rPr>
        <w:t>N. A.</w:t>
      </w:r>
      <w:r w:rsidRPr="000E2C88">
        <w:rPr>
          <w:rFonts w:eastAsia="Calibri"/>
        </w:rPr>
        <w:t xml:space="preserve"> gynėjai teismo nuosprendžio neskundė, o prokurorai prašė patikslinti teismo nuosprendyje nurodytas faktines bylos aplinkybes, papildant jas kaltinime nurodytomis aplinkybėmis – pirmiausia, tuo, kad</w:t>
      </w:r>
      <w:r w:rsidRPr="00F06360">
        <w:rPr>
          <w:rFonts w:eastAsia="Calibri"/>
        </w:rPr>
        <w:t xml:space="preserve"> „</w:t>
      </w:r>
      <w:r w:rsidRPr="00F06360">
        <w:rPr>
          <w:i/>
        </w:rPr>
        <w:t>TSRS gynybos mi</w:t>
      </w:r>
      <w:r w:rsidRPr="00F06360">
        <w:rPr>
          <w:rFonts w:eastAsia="Calibri"/>
          <w:i/>
        </w:rPr>
        <w:t xml:space="preserve">nistras </w:t>
      </w:r>
      <w:r w:rsidR="00385BC9" w:rsidRPr="00F06360">
        <w:rPr>
          <w:rFonts w:eastAsia="Calibri"/>
          <w:i/>
        </w:rPr>
        <w:t>D. J.</w:t>
      </w:r>
      <w:r w:rsidRPr="00F06360">
        <w:rPr>
          <w:rFonts w:eastAsia="Calibri"/>
          <w:i/>
        </w:rPr>
        <w:t xml:space="preserve"> kartu su TSRS vidaus reikalų (toliau – TSRS VRM) ministru </w:t>
      </w:r>
      <w:r w:rsidR="00C507EF" w:rsidRPr="00F06360">
        <w:rPr>
          <w:rFonts w:eastAsia="Calibri"/>
          <w:i/>
        </w:rPr>
        <w:t>B. P.</w:t>
      </w:r>
      <w:r w:rsidRPr="00F06360">
        <w:rPr>
          <w:rFonts w:eastAsia="Calibri"/>
          <w:i/>
        </w:rPr>
        <w:t xml:space="preserve"> (ikiteisminis tyrimas nutrauktas jam mirus), TSRS valstybės saugumo komiteto (toliau – TSRS VSK) pirmininku </w:t>
      </w:r>
      <w:r w:rsidR="00C507EF" w:rsidRPr="00F06360">
        <w:rPr>
          <w:rFonts w:eastAsia="Calibri"/>
          <w:i/>
        </w:rPr>
        <w:t>V. K.</w:t>
      </w:r>
      <w:r w:rsidRPr="00F06360">
        <w:rPr>
          <w:rFonts w:eastAsia="Calibri"/>
          <w:i/>
        </w:rPr>
        <w:t xml:space="preserve"> (ikiteisminis tyrimas nutrauktas jam mirus), TSRS TSKP CK sekretoriumi ir Politinio biur</w:t>
      </w:r>
      <w:r w:rsidRPr="00F06360">
        <w:rPr>
          <w:i/>
        </w:rPr>
        <w:t>o n</w:t>
      </w:r>
      <w:r w:rsidRPr="00F06360">
        <w:rPr>
          <w:rFonts w:eastAsia="Calibri"/>
          <w:i/>
        </w:rPr>
        <w:t>a</w:t>
      </w:r>
      <w:r w:rsidRPr="00F06360">
        <w:rPr>
          <w:i/>
        </w:rPr>
        <w:t xml:space="preserve">riu </w:t>
      </w:r>
      <w:r w:rsidR="00D37127" w:rsidRPr="00F06360">
        <w:rPr>
          <w:i/>
        </w:rPr>
        <w:t>O. Š.</w:t>
      </w:r>
      <w:r w:rsidRPr="00F06360">
        <w:rPr>
          <w:i/>
        </w:rPr>
        <w:t xml:space="preserve"> (ikiteisminis tyrimas nutrauktas jam mirus) siekdami grąžinti Lietuvą į TSRS sudėtį, 1990 metų pabaigoje subūrė organizuotą grupę, į kurią per jiems pavaldžius asmenis įtraukė kitus kaltinime nurodytus asmenis</w:t>
      </w:r>
      <w:r w:rsidRPr="00F06360">
        <w:t xml:space="preserve">.“, </w:t>
      </w:r>
      <w:r w:rsidRPr="000E2C88">
        <w:t xml:space="preserve">bei papildant nustatytas aplinkybes tuo, kad nuteistojo </w:t>
      </w:r>
      <w:r w:rsidR="00385BC9" w:rsidRPr="000E2C88">
        <w:t>D. J.</w:t>
      </w:r>
      <w:r w:rsidRPr="000E2C88">
        <w:t xml:space="preserve"> kartu su kitais (</w:t>
      </w:r>
      <w:r w:rsidR="00C507EF" w:rsidRPr="000E2C88">
        <w:t>B. P.</w:t>
      </w:r>
      <w:r w:rsidRPr="000E2C88">
        <w:t xml:space="preserve"> ir </w:t>
      </w:r>
      <w:r w:rsidR="00C507EF" w:rsidRPr="000E2C88">
        <w:t>V. K.</w:t>
      </w:r>
      <w:r w:rsidRPr="000E2C88">
        <w:t>) įkurtas vadovavimo karinei operacijai štabas, nutarus užimti numatytus strateginius objektus, Spaudos rūmus, TV bokštą bei LRT, ne tik paskirstė karines pajėgas į užimamus objektus, konkretizavo kariuomenės rūšių užduotis ir veiksmus, paskyrė kariniams veiksmams vadovaujančius bei už veiksmų koordinavimą atsakingus karininkus, įsakė apie karinių operacijų eigą ir rezultatus informuoti vadovavimo štabą, bet ir</w:t>
      </w:r>
      <w:r w:rsidRPr="00F06360">
        <w:t xml:space="preserve"> </w:t>
      </w:r>
      <w:r w:rsidRPr="00C00255">
        <w:t>„</w:t>
      </w:r>
      <w:r w:rsidRPr="00C00255">
        <w:rPr>
          <w:rStyle w:val="Numatytasispastraiposriftas1"/>
          <w:i/>
        </w:rPr>
        <w:t>nutarė pradėti ginkluotą konfliktą, kurio metu užimti numatytus strateginius objektus, o Spaudos rūmus, TV bokštą bei LRT užimti vykdant tarptautinės humanitarinės teisės draudžiamas karo atakas nukreiptas prieš civilius. Rengiant karinę operaciją buvo siekiama remti ir vykdyti TSRS ir TSKP politiką dideliu mastu ir sistemingai užpuldinėti civilius, juos žudant, sunkiai sutrikdant jų sveikatą, persekiojant žmonių grupes ar bendrijas dėl politinių motyvų, kuriuos draudžia tarptautinė teisė. Karinės operacijos numatytos vykdyti naudojant bauginimo ir teroro priemones, neteisėtai atimant ar suvaržant žmonių laisves, panaudojant uždraustas karo priemones.</w:t>
      </w:r>
      <w:r w:rsidRPr="00C00255">
        <w:rPr>
          <w:rStyle w:val="Numatytasispastraiposriftas1"/>
        </w:rPr>
        <w:t>“</w:t>
      </w:r>
      <w:r w:rsidRPr="00C00255">
        <w:rPr>
          <w:rStyle w:val="Numatytasispastraiposriftas1"/>
          <w:i/>
        </w:rPr>
        <w:t xml:space="preserve">. </w:t>
      </w:r>
      <w:r w:rsidRPr="00C00255">
        <w:rPr>
          <w:rStyle w:val="Numatytasispastraiposriftas1"/>
          <w:iCs/>
        </w:rPr>
        <w:t xml:space="preserve">Nuteistajam </w:t>
      </w:r>
      <w:r w:rsidR="006036E7">
        <w:rPr>
          <w:rStyle w:val="Numatytasispastraiposriftas1"/>
          <w:iCs/>
        </w:rPr>
        <w:t>V. U. 1</w:t>
      </w:r>
      <w:r w:rsidRPr="00C00255">
        <w:rPr>
          <w:rStyle w:val="Numatytasispastraiposriftas1"/>
          <w:iCs/>
        </w:rPr>
        <w:t xml:space="preserve"> inkriminuotas aplinkybes prokurorai prašo papildyti aplinkybe, kad šis, be kita ko, vykdė ir </w:t>
      </w:r>
      <w:r w:rsidRPr="00C00255">
        <w:rPr>
          <w:iCs/>
        </w:rPr>
        <w:t xml:space="preserve">TSRS GM Sausumos pajėgų Pabaltijo karinės apygardos vado pavaduotojo </w:t>
      </w:r>
      <w:r w:rsidR="00C507EF">
        <w:rPr>
          <w:iCs/>
        </w:rPr>
        <w:t>V. O.</w:t>
      </w:r>
      <w:r w:rsidRPr="00C00255">
        <w:rPr>
          <w:iCs/>
        </w:rPr>
        <w:t xml:space="preserve"> nurodymus (plačiau </w:t>
      </w:r>
      <w:r w:rsidR="00A300D1" w:rsidRPr="00C00255">
        <w:rPr>
          <w:iCs/>
        </w:rPr>
        <w:t>šio sprendimo 62.8 pastraipoje</w:t>
      </w:r>
      <w:r w:rsidRPr="00C00255">
        <w:rPr>
          <w:iCs/>
        </w:rPr>
        <w:t>).</w:t>
      </w:r>
    </w:p>
    <w:p w:rsidR="00F06360" w:rsidRPr="00F06360" w:rsidRDefault="000B0704" w:rsidP="00F06360">
      <w:pPr>
        <w:pStyle w:val="NormalWeb"/>
        <w:numPr>
          <w:ilvl w:val="0"/>
          <w:numId w:val="6"/>
        </w:numPr>
        <w:spacing w:before="120" w:beforeAutospacing="0" w:after="120" w:afterAutospacing="0"/>
        <w:ind w:left="992" w:hanging="992"/>
      </w:pPr>
      <w:r w:rsidRPr="000E2C88">
        <w:rPr>
          <w:rFonts w:eastAsia="Calibri"/>
        </w:rPr>
        <w:t>Teisėjų k</w:t>
      </w:r>
      <w:r w:rsidR="00EC36F2" w:rsidRPr="000E2C88">
        <w:rPr>
          <w:rFonts w:eastAsia="Calibri"/>
        </w:rPr>
        <w:t xml:space="preserve">olegijos nuomone, apygardos teismas pagrįstai pripažino, kad </w:t>
      </w:r>
      <w:r w:rsidR="00385BC9" w:rsidRPr="000E2C88">
        <w:rPr>
          <w:rFonts w:eastAsia="Calibri"/>
        </w:rPr>
        <w:t>D. J.</w:t>
      </w:r>
      <w:r w:rsidR="001D0506" w:rsidRPr="000E2C88">
        <w:rPr>
          <w:rFonts w:eastAsia="Calibri"/>
        </w:rPr>
        <w:t xml:space="preserve">, </w:t>
      </w:r>
      <w:r w:rsidR="00385BC9" w:rsidRPr="000E2C88">
        <w:rPr>
          <w:rFonts w:eastAsia="Calibri"/>
        </w:rPr>
        <w:t>V. K. 1</w:t>
      </w:r>
      <w:r w:rsidR="00EC36F2" w:rsidRPr="000E2C88">
        <w:rPr>
          <w:rFonts w:eastAsia="Calibri"/>
        </w:rPr>
        <w:t xml:space="preserve"> ir </w:t>
      </w:r>
      <w:r w:rsidR="006036E7" w:rsidRPr="000E2C88">
        <w:rPr>
          <w:rFonts w:eastAsia="Calibri"/>
        </w:rPr>
        <w:t>V. U. 1</w:t>
      </w:r>
      <w:r w:rsidR="00EC36F2" w:rsidRPr="000E2C88">
        <w:rPr>
          <w:rFonts w:eastAsia="Calibri"/>
        </w:rPr>
        <w:t xml:space="preserve"> dalyvavo planuojant karinę operaciją, </w:t>
      </w:r>
      <w:r w:rsidR="00EC36F2" w:rsidRPr="000E2C88">
        <w:t xml:space="preserve">tačiau analogiškos teismo išvados apie nuteistojo </w:t>
      </w:r>
      <w:r w:rsidR="004069BF" w:rsidRPr="000E2C88">
        <w:t>N. A.</w:t>
      </w:r>
      <w:r w:rsidR="00EC36F2" w:rsidRPr="000E2C88">
        <w:t xml:space="preserve"> dalyvavimą šioje nusikalstamos veikos dalyje yra padarytos iš esmės pažeidž</w:t>
      </w:r>
      <w:r w:rsidR="005A493E" w:rsidRPr="000E2C88">
        <w:t>iant BPK </w:t>
      </w:r>
      <w:r w:rsidR="00EC36F2" w:rsidRPr="000E2C88">
        <w:t xml:space="preserve">reikalavimus, nes jos niekuo nepagrįstos. Be to, konkretūs </w:t>
      </w:r>
      <w:r w:rsidR="004069BF" w:rsidRPr="000E2C88">
        <w:t>N. A.</w:t>
      </w:r>
      <w:r w:rsidR="00EC36F2" w:rsidRPr="000E2C88">
        <w:t xml:space="preserve"> veiksmai</w:t>
      </w:r>
      <w:r w:rsidR="00EC36F2" w:rsidRPr="000E2C88">
        <w:rPr>
          <w:rFonts w:eastAsia="Calibri"/>
        </w:rPr>
        <w:t xml:space="preserve"> planuojant karinę operaciją nuosprendžio nustatomojoje dalyje, priešingai nei </w:t>
      </w:r>
      <w:r w:rsidR="005A493E" w:rsidRPr="000E2C88">
        <w:rPr>
          <w:rFonts w:eastAsia="Calibri"/>
        </w:rPr>
        <w:t>reikalauja BPK 305 straipsnio 1 </w:t>
      </w:r>
      <w:r w:rsidR="00EC36F2" w:rsidRPr="000E2C88">
        <w:rPr>
          <w:rFonts w:eastAsia="Calibri"/>
        </w:rPr>
        <w:t>dalies 1 punktas, apskritai nenurodyti</w:t>
      </w:r>
      <w:r w:rsidR="00EC36F2" w:rsidRPr="00F06360">
        <w:rPr>
          <w:rFonts w:eastAsia="Calibri"/>
        </w:rPr>
        <w:t xml:space="preserve">. </w:t>
      </w:r>
    </w:p>
    <w:p w:rsidR="00F06360" w:rsidRPr="00F06360" w:rsidRDefault="00F06360" w:rsidP="00F06360">
      <w:pPr>
        <w:pStyle w:val="ListParagraph"/>
        <w:numPr>
          <w:ilvl w:val="0"/>
          <w:numId w:val="6"/>
        </w:numPr>
        <w:ind w:left="992" w:hanging="992"/>
        <w:rPr>
          <w:rFonts w:eastAsia="Calibri"/>
        </w:rPr>
      </w:pPr>
      <w:r w:rsidRPr="00F06360">
        <w:rPr>
          <w:rFonts w:eastAsia="Calibri"/>
        </w:rPr>
        <w:t>Teisėjų kolegijos įsitikinimu, byloje ištirti įrodymai a</w:t>
      </w:r>
      <w:r>
        <w:rPr>
          <w:rFonts w:eastAsia="Calibri"/>
        </w:rPr>
        <w:t>iškiai liudija apie tai, kad D. J., V. K. </w:t>
      </w:r>
      <w:r w:rsidRPr="00F06360">
        <w:rPr>
          <w:rFonts w:eastAsia="Calibri"/>
        </w:rPr>
        <w:t>1 ir V. U. 1 atliko kaltinime jiems inkriminuotus veiksmus:</w:t>
      </w:r>
    </w:p>
    <w:p w:rsidR="00EC36F2" w:rsidRPr="00F06360" w:rsidRDefault="00385BC9" w:rsidP="00EC36F2">
      <w:pPr>
        <w:pStyle w:val="NormalWeb"/>
        <w:numPr>
          <w:ilvl w:val="1"/>
          <w:numId w:val="6"/>
        </w:numPr>
        <w:spacing w:before="120" w:beforeAutospacing="0" w:after="120" w:afterAutospacing="0"/>
        <w:ind w:left="992" w:hanging="992"/>
        <w:rPr>
          <w:rFonts w:eastAsia="Calibri"/>
        </w:rPr>
      </w:pPr>
      <w:r w:rsidRPr="000E2C88">
        <w:rPr>
          <w:rFonts w:eastAsia="Calibri"/>
        </w:rPr>
        <w:t>D. J.</w:t>
      </w:r>
      <w:r w:rsidR="00EC36F2" w:rsidRPr="000E2C88">
        <w:rPr>
          <w:rFonts w:eastAsia="Calibri"/>
        </w:rPr>
        <w:t xml:space="preserve"> kartu su kitais TSRS valdžios atstovais, kurių atžvilgiu byla nutraukta dėl jų mirties, vykdydami ir remdami TSRS ir TSKP bei jos padalinio Lietuvoje LKP/TSKP politiką bei </w:t>
      </w:r>
      <w:r w:rsidR="00EC36F2" w:rsidRPr="000E2C88">
        <w:t>siekdami grąžinti Lietuvą į TSRS sudėtį</w:t>
      </w:r>
      <w:r w:rsidR="00EC36F2" w:rsidRPr="000E2C88">
        <w:rPr>
          <w:rFonts w:eastAsia="Calibri"/>
        </w:rPr>
        <w:t xml:space="preserve">, </w:t>
      </w:r>
      <w:r w:rsidR="00EC36F2" w:rsidRPr="000E2C88">
        <w:t xml:space="preserve">įkūrė vadovavimo karinei operacijai štabą Vilniuje, įtraukė į jį pavaldžius kariškius, </w:t>
      </w:r>
      <w:r w:rsidR="00EC36F2" w:rsidRPr="000E2C88">
        <w:rPr>
          <w:rFonts w:eastAsia="Calibri"/>
        </w:rPr>
        <w:t xml:space="preserve">vadovavo jam, </w:t>
      </w:r>
      <w:r w:rsidRPr="000E2C88">
        <w:rPr>
          <w:rFonts w:eastAsia="Calibri"/>
        </w:rPr>
        <w:t>D. J.</w:t>
      </w:r>
      <w:r w:rsidR="00EC36F2" w:rsidRPr="000E2C88">
        <w:rPr>
          <w:rFonts w:eastAsia="Calibri"/>
        </w:rPr>
        <w:t xml:space="preserve"> davė nurodymus jam pavaldiems </w:t>
      </w:r>
      <w:r w:rsidR="00C507EF" w:rsidRPr="000E2C88">
        <w:rPr>
          <w:rFonts w:eastAsia="Calibri"/>
        </w:rPr>
        <w:t>V. A.</w:t>
      </w:r>
      <w:r w:rsidR="00EC36F2" w:rsidRPr="000E2C88">
        <w:rPr>
          <w:rFonts w:eastAsia="Calibri"/>
        </w:rPr>
        <w:t xml:space="preserve"> ir </w:t>
      </w:r>
      <w:r w:rsidR="00C507EF" w:rsidRPr="000E2C88">
        <w:rPr>
          <w:rFonts w:eastAsia="Calibri"/>
        </w:rPr>
        <w:t>V. O.</w:t>
      </w:r>
      <w:r w:rsidR="00EC36F2" w:rsidRPr="000E2C88">
        <w:rPr>
          <w:rFonts w:eastAsia="Calibri"/>
        </w:rPr>
        <w:t xml:space="preserve"> dėl karinės operacijos organizavimo, vykdymo ir vadovavimo jai, priėmė sprendimus dėl papildomų karinių junginių perdislokavimo</w:t>
      </w:r>
      <w:r w:rsidR="00EC36F2" w:rsidRPr="00F06360">
        <w:rPr>
          <w:rFonts w:eastAsia="Calibri"/>
        </w:rPr>
        <w:t>;</w:t>
      </w:r>
    </w:p>
    <w:p w:rsidR="00EC36F2" w:rsidRPr="00C00255" w:rsidRDefault="00385BC9" w:rsidP="00EC36F2">
      <w:pPr>
        <w:pStyle w:val="NormalWeb"/>
        <w:numPr>
          <w:ilvl w:val="1"/>
          <w:numId w:val="6"/>
        </w:numPr>
        <w:spacing w:before="120" w:beforeAutospacing="0" w:after="120" w:afterAutospacing="0"/>
        <w:ind w:left="992" w:hanging="992"/>
        <w:rPr>
          <w:rFonts w:eastAsia="Calibri"/>
        </w:rPr>
      </w:pPr>
      <w:r w:rsidRPr="00F06360">
        <w:rPr>
          <w:rFonts w:eastAsia="Calibri"/>
        </w:rPr>
        <w:t>V</w:t>
      </w:r>
      <w:r w:rsidRPr="000E2C88">
        <w:rPr>
          <w:rFonts w:eastAsia="Calibri"/>
        </w:rPr>
        <w:t>. K. 1</w:t>
      </w:r>
      <w:r w:rsidR="00EC36F2" w:rsidRPr="000E2C88">
        <w:rPr>
          <w:rFonts w:eastAsia="Calibri"/>
        </w:rPr>
        <w:t xml:space="preserve">, veikdamas pagal TSRS GM oro desanto pajėgų vado </w:t>
      </w:r>
      <w:r w:rsidR="00C507EF" w:rsidRPr="000E2C88">
        <w:rPr>
          <w:rFonts w:eastAsia="Calibri"/>
        </w:rPr>
        <w:t>V. A.</w:t>
      </w:r>
      <w:r w:rsidR="00EC36F2" w:rsidRPr="000E2C88">
        <w:rPr>
          <w:rFonts w:eastAsia="Calibri"/>
        </w:rPr>
        <w:t xml:space="preserve"> </w:t>
      </w:r>
      <w:r w:rsidR="00EC36F2" w:rsidRPr="000E2C88">
        <w:t xml:space="preserve">(ikiteisminis tyrimas nutrauktas jam mirus) ir jam įsakymą davusio </w:t>
      </w:r>
      <w:r w:rsidRPr="000E2C88">
        <w:t>D. J.</w:t>
      </w:r>
      <w:r w:rsidR="00EC36F2" w:rsidRPr="000E2C88">
        <w:t xml:space="preserve"> </w:t>
      </w:r>
      <w:r w:rsidR="00EC36F2" w:rsidRPr="000E2C88">
        <w:rPr>
          <w:rFonts w:eastAsia="Calibri"/>
        </w:rPr>
        <w:t>nurodymą ir būdamas vadovavimo karinei operacijai štabo nariu, detalizavo karinės operacijos plano įgyvendinimą, numatė užgrobiamus objektus, konkretizavo kariuomenės rūšių užduotis ir veiksmus, paskyrė kariniams veiksmams vadovaujančius bei už veiksmų koordinavimą atsakingus jam pavaldžius karininkus bei koordinavo bendrus kariškių veiksmus, užimant Spaudos rūmus, TV</w:t>
      </w:r>
      <w:r w:rsidR="00A734AE" w:rsidRPr="000E2C88">
        <w:rPr>
          <w:rFonts w:eastAsia="Calibri"/>
        </w:rPr>
        <w:t> </w:t>
      </w:r>
      <w:r w:rsidR="00EC36F2" w:rsidRPr="000E2C88">
        <w:rPr>
          <w:rFonts w:eastAsia="Calibri"/>
        </w:rPr>
        <w:t>Bokštą bei LRT pastatus</w:t>
      </w:r>
      <w:r w:rsidR="00EC36F2" w:rsidRPr="00F06360">
        <w:rPr>
          <w:rFonts w:eastAsia="Calibri"/>
        </w:rPr>
        <w:t>;</w:t>
      </w:r>
    </w:p>
    <w:p w:rsidR="00EC36F2" w:rsidRPr="000E2C88" w:rsidRDefault="006036E7" w:rsidP="00EC36F2">
      <w:pPr>
        <w:pStyle w:val="NormalWeb"/>
        <w:numPr>
          <w:ilvl w:val="1"/>
          <w:numId w:val="6"/>
        </w:numPr>
        <w:spacing w:before="120" w:beforeAutospacing="0" w:after="120" w:afterAutospacing="0"/>
        <w:ind w:left="992" w:hanging="992"/>
        <w:rPr>
          <w:rFonts w:eastAsia="Calibri"/>
        </w:rPr>
      </w:pPr>
      <w:r w:rsidRPr="000E2C88">
        <w:rPr>
          <w:rFonts w:eastAsia="Calibri"/>
        </w:rPr>
        <w:t>V. U. 1</w:t>
      </w:r>
      <w:r w:rsidR="00EC36F2" w:rsidRPr="000E2C88">
        <w:rPr>
          <w:rFonts w:eastAsia="Calibri"/>
        </w:rPr>
        <w:t xml:space="preserve">, veikdamas pagal TSRS GM Sausumos pajėgų Pabaltijo karinės apygardos vado pavaduotojo </w:t>
      </w:r>
      <w:r w:rsidR="00C507EF" w:rsidRPr="000E2C88">
        <w:rPr>
          <w:rFonts w:eastAsia="Calibri"/>
        </w:rPr>
        <w:t>V. O.</w:t>
      </w:r>
      <w:r w:rsidR="00EC36F2" w:rsidRPr="000E2C88">
        <w:rPr>
          <w:rFonts w:eastAsia="Calibri"/>
        </w:rPr>
        <w:t xml:space="preserve"> </w:t>
      </w:r>
      <w:r w:rsidR="00EC36F2" w:rsidRPr="000E2C88">
        <w:t xml:space="preserve">ir jam įsakymą davusio </w:t>
      </w:r>
      <w:r w:rsidR="00385BC9" w:rsidRPr="000E2C88">
        <w:t>D. J.</w:t>
      </w:r>
      <w:r w:rsidR="00EC36F2" w:rsidRPr="000E2C88">
        <w:t xml:space="preserve"> </w:t>
      </w:r>
      <w:r w:rsidR="00EC36F2" w:rsidRPr="000E2C88">
        <w:rPr>
          <w:rFonts w:eastAsia="Calibri"/>
        </w:rPr>
        <w:t>nurodymą ir būdamas vadovavimo karinei operacijai štabo nariu, konkretizavo kariuomenės rūšių užduotis ir veiksmus, paskyrė kariniams veiksmams vadovaujančius bei už veiksmų koordinavimą atsakingus jam pavaldžius asmenis (kariškius), davė jiems nurodymus dėl tiesioginio dalyvavimo karinėje operacijoje ir vadovavimo jai, koordinavo kariškių, dalyvaujančių užimant objektus, bendrus veiksmus.</w:t>
      </w:r>
    </w:p>
    <w:p w:rsidR="00EC36F2" w:rsidRPr="00C00255" w:rsidRDefault="00EC36F2" w:rsidP="00EC36F2">
      <w:pPr>
        <w:pStyle w:val="ListParagraph"/>
        <w:numPr>
          <w:ilvl w:val="0"/>
          <w:numId w:val="6"/>
        </w:numPr>
        <w:shd w:val="clear" w:color="auto" w:fill="FFFFFF"/>
        <w:spacing w:before="120" w:after="120"/>
        <w:ind w:left="992" w:hanging="992"/>
        <w:contextualSpacing w:val="0"/>
        <w:rPr>
          <w:rFonts w:eastAsia="Calibri"/>
          <w:szCs w:val="24"/>
        </w:rPr>
      </w:pPr>
      <w:r w:rsidRPr="000E2C88">
        <w:rPr>
          <w:rFonts w:eastAsia="Calibri"/>
          <w:szCs w:val="24"/>
        </w:rPr>
        <w:t xml:space="preserve">Minėtas išvadas dėl </w:t>
      </w:r>
      <w:r w:rsidR="00385BC9" w:rsidRPr="000E2C88">
        <w:rPr>
          <w:rFonts w:eastAsia="Calibri"/>
          <w:szCs w:val="24"/>
        </w:rPr>
        <w:t>D. J.</w:t>
      </w:r>
      <w:r w:rsidRPr="000E2C88">
        <w:rPr>
          <w:rFonts w:eastAsia="Calibri"/>
          <w:szCs w:val="24"/>
        </w:rPr>
        <w:t xml:space="preserve">, </w:t>
      </w:r>
      <w:r w:rsidR="00385BC9" w:rsidRPr="000E2C88">
        <w:rPr>
          <w:rFonts w:eastAsia="Calibri"/>
          <w:szCs w:val="24"/>
        </w:rPr>
        <w:t>V. K. 1</w:t>
      </w:r>
      <w:r w:rsidRPr="000E2C88">
        <w:rPr>
          <w:rFonts w:eastAsia="Calibri"/>
          <w:szCs w:val="24"/>
        </w:rPr>
        <w:t xml:space="preserve"> ir </w:t>
      </w:r>
      <w:r w:rsidR="006036E7" w:rsidRPr="000E2C88">
        <w:rPr>
          <w:rFonts w:eastAsia="Calibri"/>
          <w:szCs w:val="24"/>
        </w:rPr>
        <w:t>V. U. 1</w:t>
      </w:r>
      <w:r w:rsidRPr="000E2C88">
        <w:rPr>
          <w:rFonts w:eastAsia="Calibri"/>
          <w:szCs w:val="24"/>
        </w:rPr>
        <w:t xml:space="preserve"> veiksmų apeliacinės instancijos teismas padarė, atsižvelgdamas į byloje pateiktus ir pirmosios instancijos teismo nuosprendyje plačiau aptartus įrodymus. </w:t>
      </w:r>
      <w:r w:rsidR="00385BC9" w:rsidRPr="000E2C88">
        <w:rPr>
          <w:rFonts w:eastAsia="Calibri"/>
          <w:szCs w:val="24"/>
        </w:rPr>
        <w:t>D. J.</w:t>
      </w:r>
      <w:r w:rsidRPr="000E2C88">
        <w:rPr>
          <w:rFonts w:eastAsia="Calibri"/>
          <w:szCs w:val="24"/>
        </w:rPr>
        <w:t xml:space="preserve">, </w:t>
      </w:r>
      <w:r w:rsidR="00385BC9" w:rsidRPr="000E2C88">
        <w:rPr>
          <w:rFonts w:eastAsia="Calibri"/>
          <w:szCs w:val="24"/>
        </w:rPr>
        <w:t>V. K. 1</w:t>
      </w:r>
      <w:r w:rsidRPr="000E2C88">
        <w:rPr>
          <w:rFonts w:eastAsia="Calibri"/>
          <w:szCs w:val="24"/>
        </w:rPr>
        <w:t xml:space="preserve"> ir </w:t>
      </w:r>
      <w:r w:rsidR="006036E7" w:rsidRPr="000E2C88">
        <w:rPr>
          <w:rFonts w:eastAsia="Calibri"/>
          <w:szCs w:val="24"/>
        </w:rPr>
        <w:t>V. U. 1</w:t>
      </w:r>
      <w:r w:rsidRPr="000E2C88">
        <w:rPr>
          <w:rFonts w:eastAsia="Calibri"/>
          <w:szCs w:val="24"/>
        </w:rPr>
        <w:t xml:space="preserve"> veiksmai </w:t>
      </w:r>
      <w:r w:rsidRPr="000E2C88">
        <w:rPr>
          <w:rFonts w:eastAsia="Calibri"/>
          <w:iCs/>
          <w:szCs w:val="24"/>
        </w:rPr>
        <w:t xml:space="preserve">planuojant karinę operaciją </w:t>
      </w:r>
      <w:r w:rsidRPr="000E2C88">
        <w:rPr>
          <w:rFonts w:eastAsia="Calibri"/>
          <w:color w:val="000000"/>
          <w:szCs w:val="24"/>
          <w:lang w:eastAsia="lt-LT"/>
        </w:rPr>
        <w:t>aiškiai matomi iš išlikusių dokumentų, liudytojų parodymų bei kitų įrodymų šaltinių, kuriuos objektyviai patvirtina TSRS valdžios, o taip pat ir nuteistųjų, veikusių kaip TSRS valdžios pareigūnai, veiksmai Lietuvos atžvilgiu</w:t>
      </w:r>
      <w:r w:rsidRPr="00C00255">
        <w:rPr>
          <w:rFonts w:eastAsia="Calibri"/>
          <w:color w:val="000000"/>
          <w:szCs w:val="24"/>
          <w:lang w:eastAsia="lt-LT"/>
        </w:rPr>
        <w:t>.</w:t>
      </w:r>
    </w:p>
    <w:p w:rsidR="00EC36F2" w:rsidRPr="00C00255" w:rsidRDefault="00EC36F2" w:rsidP="00EC36F2">
      <w:pPr>
        <w:pStyle w:val="ListParagraph"/>
        <w:numPr>
          <w:ilvl w:val="0"/>
          <w:numId w:val="6"/>
        </w:numPr>
        <w:shd w:val="clear" w:color="auto" w:fill="FFFFFF"/>
        <w:spacing w:before="120" w:after="120"/>
        <w:ind w:left="992" w:hanging="992"/>
        <w:contextualSpacing w:val="0"/>
        <w:rPr>
          <w:rFonts w:eastAsia="Calibri"/>
          <w:szCs w:val="24"/>
        </w:rPr>
      </w:pPr>
      <w:r w:rsidRPr="000E2C88">
        <w:rPr>
          <w:rFonts w:eastAsia="Calibri"/>
        </w:rPr>
        <w:t xml:space="preserve">Apeliaciniame skunde prokurorai teigia, kad byloje inkriminuojamus veiksmus </w:t>
      </w:r>
      <w:r w:rsidR="00385BC9" w:rsidRPr="000E2C88">
        <w:rPr>
          <w:rFonts w:eastAsia="Calibri"/>
        </w:rPr>
        <w:t>D. J.</w:t>
      </w:r>
      <w:r w:rsidRPr="000E2C88">
        <w:rPr>
          <w:rFonts w:eastAsia="Calibri"/>
        </w:rPr>
        <w:t xml:space="preserve"> kartu su kitais kaltinime nurodytais ir šiuo metu jau mirusiais TSRS VRM, VSK ir TSKP vadovais atliko, siekdami grąžinti Lietuvą į TSRS sudėtį, kad šiuo tikslu jie 1990 metų pabaigoje subūrė grupę jiems pavaldžių kariškių (kaltinime ši kariškių grupė laikoma organizuota grupe, bet apie tai dar bus pasisakyta atskirai). Teisėjų kolegija su tokia prokurorų pozicija sutinka ir konstatuoja, jog tai patvirtina ne tik byloje išlikę dokumentai, liudytojų parodymai, bet ir kitose bylose įsiteisėjusiais teismų sprendimais jau nustatyti faktai, todėl nuosprendžio nustatomoji dalis turi būti papildyta šiomis prokurorų nurodytomis faktinėmis aplinkybėmis. Byloje pagrįstai nustatyta, kad LKP/TSKP aktyvistai, kurie nurodyti šioje, o taip pat ir jau minėtoje </w:t>
      </w:r>
      <w:r w:rsidR="00C507EF" w:rsidRPr="000E2C88">
        <w:t>M. B.</w:t>
      </w:r>
      <w:r w:rsidRPr="000E2C88">
        <w:t xml:space="preserve">, </w:t>
      </w:r>
      <w:r w:rsidR="00C507EF" w:rsidRPr="000E2C88">
        <w:t>J. K.</w:t>
      </w:r>
      <w:r w:rsidRPr="000E2C88">
        <w:t xml:space="preserve"> ir kt. byloje, siekė</w:t>
      </w:r>
      <w:r w:rsidRPr="000E2C88">
        <w:rPr>
          <w:rFonts w:eastAsia="Calibri"/>
        </w:rPr>
        <w:t xml:space="preserve"> įgyvendinti jų paruoštą Prezidentinio valdymo įvedimo planą ir veikė kartu su karinėje operacijoje Sausio įvykių metu dalyvavusiais TSRS kariškiais. Tokią išvadą, taip pat ir TSRS gynybos ministro </w:t>
      </w:r>
      <w:r w:rsidR="00385BC9" w:rsidRPr="000E2C88">
        <w:rPr>
          <w:rFonts w:eastAsia="Calibri"/>
        </w:rPr>
        <w:t>D. J.</w:t>
      </w:r>
      <w:r w:rsidRPr="000E2C88">
        <w:rPr>
          <w:rFonts w:eastAsia="Calibri"/>
        </w:rPr>
        <w:t xml:space="preserve"> bei jam pavaldžių karininkų bei TSKP veikėjų </w:t>
      </w:r>
      <w:r w:rsidRPr="000E2C88">
        <w:t xml:space="preserve">vaidmenį </w:t>
      </w:r>
      <w:r w:rsidRPr="000E2C88">
        <w:rPr>
          <w:rFonts w:eastAsia="Calibri"/>
        </w:rPr>
        <w:t xml:space="preserve">patvirtina byloje esančių rašytinių duomenų analizė, paties </w:t>
      </w:r>
      <w:r w:rsidR="00385BC9" w:rsidRPr="000E2C88">
        <w:rPr>
          <w:rFonts w:eastAsia="Calibri"/>
        </w:rPr>
        <w:t>D. J.</w:t>
      </w:r>
      <w:r w:rsidRPr="000E2C88">
        <w:rPr>
          <w:rFonts w:eastAsia="Calibri"/>
        </w:rPr>
        <w:t xml:space="preserve"> pasisakymai TSRS Aukščiausioje Taryboje ir kt</w:t>
      </w:r>
      <w:r w:rsidRPr="00C00255">
        <w:rPr>
          <w:rFonts w:eastAsia="Calibri"/>
        </w:rPr>
        <w:t>.</w:t>
      </w:r>
    </w:p>
    <w:p w:rsidR="00EC36F2" w:rsidRPr="000E2C88" w:rsidRDefault="00EC36F2" w:rsidP="00EC36F2">
      <w:pPr>
        <w:pStyle w:val="NormalWeb"/>
        <w:numPr>
          <w:ilvl w:val="0"/>
          <w:numId w:val="6"/>
        </w:numPr>
        <w:spacing w:before="120" w:beforeAutospacing="0" w:after="120" w:afterAutospacing="0"/>
        <w:ind w:left="992" w:hanging="992"/>
      </w:pPr>
      <w:r w:rsidRPr="000E2C88">
        <w:rPr>
          <w:rFonts w:eastAsia="Calibri"/>
        </w:rPr>
        <w:t xml:space="preserve">Šiame sprendime teisėjų kolegija jau minėjo LKP/TSKP veikėjų ir </w:t>
      </w:r>
      <w:r w:rsidRPr="000E2C88">
        <w:t xml:space="preserve">Vilniaus miesto Piliečių komiteto 1990 m. lapkričio 30 d. </w:t>
      </w:r>
      <w:r w:rsidRPr="000E2C88">
        <w:rPr>
          <w:rFonts w:eastAsia="Calibri"/>
        </w:rPr>
        <w:t xml:space="preserve">priimtą rezoliuciją, </w:t>
      </w:r>
      <w:r w:rsidRPr="000E2C88">
        <w:t>kurioje kreipiantis į TSRS valdžios atstovus buvo prašoma jėga įvesti reikiamą tvarką Lietuvoje.</w:t>
      </w:r>
      <w:r w:rsidRPr="000E2C88">
        <w:rPr>
          <w:rFonts w:eastAsia="Calibri"/>
        </w:rPr>
        <w:t xml:space="preserve"> 1990 m. gruodžio 6 d. ši rezoliucija buvo išsiųsta, be kita ko, ir TSRS </w:t>
      </w:r>
      <w:r w:rsidRPr="000E2C88">
        <w:t xml:space="preserve">gynybos ministrui </w:t>
      </w:r>
      <w:r w:rsidR="00385BC9" w:rsidRPr="000E2C88">
        <w:rPr>
          <w:rFonts w:eastAsia="Calibri"/>
        </w:rPr>
        <w:t>D. J.</w:t>
      </w:r>
      <w:r w:rsidRPr="000E2C88">
        <w:rPr>
          <w:rFonts w:eastAsia="Calibri"/>
        </w:rPr>
        <w:t xml:space="preserve">, kurioje </w:t>
      </w:r>
      <w:r w:rsidR="00385BC9" w:rsidRPr="000E2C88">
        <w:rPr>
          <w:rFonts w:eastAsia="Calibri"/>
        </w:rPr>
        <w:t>D. J.</w:t>
      </w:r>
      <w:r w:rsidRPr="000E2C88">
        <w:rPr>
          <w:rFonts w:eastAsia="Calibri"/>
        </w:rPr>
        <w:t xml:space="preserve"> ir TSRS vidaus reikalų ministrui </w:t>
      </w:r>
      <w:r w:rsidR="00C507EF" w:rsidRPr="000E2C88">
        <w:rPr>
          <w:rFonts w:eastAsia="Calibri"/>
        </w:rPr>
        <w:t>B. P.</w:t>
      </w:r>
      <w:r w:rsidRPr="000E2C88">
        <w:rPr>
          <w:rFonts w:eastAsia="Calibri"/>
        </w:rPr>
        <w:t xml:space="preserve"> buvo siūloma įpareigoti Pabaltijo karinės apygardos ir TSRS VRM Vidaus kariuomenės vadovybes imtis energingų priemonių nuginkluojant nacionalistinius darinius, užtikrinti visuomenės saugumą bei turto ir kultūros paveldo apsaugą; taip pat siūloma kreiptis į TSRS generalinį prokurorą pradėti baudžiamąjį persekiojimą O</w:t>
      </w:r>
      <w:r w:rsidR="00DD1A27" w:rsidRPr="000E2C88">
        <w:rPr>
          <w:rFonts w:eastAsia="Calibri"/>
        </w:rPr>
        <w:t>., </w:t>
      </w:r>
      <w:r w:rsidRPr="000E2C88">
        <w:rPr>
          <w:rFonts w:eastAsia="Calibri"/>
        </w:rPr>
        <w:t>L</w:t>
      </w:r>
      <w:r w:rsidR="00DD1A27" w:rsidRPr="000E2C88">
        <w:rPr>
          <w:rFonts w:eastAsia="Calibri"/>
        </w:rPr>
        <w:t>., </w:t>
      </w:r>
      <w:r w:rsidRPr="000E2C88">
        <w:rPr>
          <w:rFonts w:eastAsia="Calibri"/>
        </w:rPr>
        <w:t>M</w:t>
      </w:r>
      <w:r w:rsidR="00DD1A27" w:rsidRPr="000E2C88">
        <w:rPr>
          <w:rFonts w:eastAsia="Calibri"/>
        </w:rPr>
        <w:t>.</w:t>
      </w:r>
      <w:r w:rsidRPr="000E2C88">
        <w:rPr>
          <w:rFonts w:eastAsia="Calibri"/>
        </w:rPr>
        <w:t>, B</w:t>
      </w:r>
      <w:r w:rsidR="00DD1A27" w:rsidRPr="000E2C88">
        <w:rPr>
          <w:rFonts w:eastAsia="Calibri"/>
        </w:rPr>
        <w:t>.</w:t>
      </w:r>
      <w:r w:rsidRPr="000E2C88">
        <w:rPr>
          <w:rFonts w:eastAsia="Calibri"/>
        </w:rPr>
        <w:t xml:space="preserve"> ir kt. atžvilgiu dėl propagandos ar pilietinio karo organizavimo. Ši rezoliucija taip pat adresuota TSRS Prezidentui, TSRS Aukščiausiosios Tarybos bei Ministrų Tarybos pirmininkams, TSRS generaliniam prokurorui, TSRS gynybos ministrui, vidaus reikalų ministrui bei žiniasklaidai (</w:t>
      </w:r>
      <w:r w:rsidRPr="000E2C88">
        <w:t>t. 8, b. l. 19–21; t. 138, b.</w:t>
      </w:r>
      <w:r w:rsidR="00A734AE" w:rsidRPr="000E2C88">
        <w:t> </w:t>
      </w:r>
      <w:r w:rsidRPr="000E2C88">
        <w:t xml:space="preserve">l. 117–124; t. 389, b. l. 50). Šis kreipimasis visos tuometinės situacijos kontekste sudarė formalų pagrindą TSRS gynybos ministrui </w:t>
      </w:r>
      <w:r w:rsidR="00385BC9" w:rsidRPr="000E2C88">
        <w:t>D. J.</w:t>
      </w:r>
      <w:r w:rsidRPr="000E2C88">
        <w:t xml:space="preserve"> ir TSRS VRM ministrui </w:t>
      </w:r>
      <w:r w:rsidR="00C507EF" w:rsidRPr="000E2C88">
        <w:t>B. P.</w:t>
      </w:r>
      <w:r w:rsidRPr="000E2C88">
        <w:t xml:space="preserve"> imtis aktyvių veiksmų, planuojant ir rengiant karinę operaciją prieš Lietuvos valstybę, nors byloje yra duomenų ir apie anksčiau planuotus bei jėgos panaudojimu grįstus veiksmus prieš Lietuvos valstybę (žr. pvz., liudytojo </w:t>
      </w:r>
      <w:r w:rsidR="00DD1A27" w:rsidRPr="000E2C88">
        <w:t>A. B.</w:t>
      </w:r>
      <w:r w:rsidRPr="000E2C88">
        <w:t xml:space="preserve"> parodymus apie jam teiktą žvalgybos, taip pat kitą informaciją, gautą tiesiogiai ir iš tuometinės TSRS gynybos ministerijos Maskvoje darbuotojų (t. 756, b. l. 129), </w:t>
      </w:r>
      <w:r w:rsidRPr="000E2C88">
        <w:rPr>
          <w:rFonts w:eastAsia="Calibri"/>
        </w:rPr>
        <w:t>Lietuvos Respublikos generalinėje prokuratūroje gautą P</w:t>
      </w:r>
      <w:r w:rsidR="005A493E" w:rsidRPr="000E2C88">
        <w:rPr>
          <w:rFonts w:eastAsia="Calibri"/>
        </w:rPr>
        <w:t>.</w:t>
      </w:r>
      <w:r w:rsidR="00916A1E" w:rsidRPr="000E2C88">
        <w:rPr>
          <w:rFonts w:eastAsia="Calibri"/>
        </w:rPr>
        <w:t> </w:t>
      </w:r>
      <w:r w:rsidRPr="000E2C88">
        <w:rPr>
          <w:rFonts w:eastAsia="Calibri"/>
        </w:rPr>
        <w:t>S</w:t>
      </w:r>
      <w:r w:rsidR="005A493E" w:rsidRPr="000E2C88">
        <w:rPr>
          <w:rFonts w:eastAsia="Calibri"/>
        </w:rPr>
        <w:t>.</w:t>
      </w:r>
      <w:r w:rsidRPr="000E2C88">
        <w:rPr>
          <w:rFonts w:eastAsia="Calibri"/>
        </w:rPr>
        <w:t xml:space="preserve"> medžiagą, kuri dar bus aptarta</w:t>
      </w:r>
      <w:r w:rsidRPr="000E2C88">
        <w:t xml:space="preserve"> ir kt.). </w:t>
      </w:r>
    </w:p>
    <w:p w:rsidR="00EC36F2" w:rsidRPr="00F06360" w:rsidRDefault="00EC36F2" w:rsidP="00EC36F2">
      <w:pPr>
        <w:pStyle w:val="NormalWeb"/>
        <w:numPr>
          <w:ilvl w:val="0"/>
          <w:numId w:val="6"/>
        </w:numPr>
        <w:spacing w:before="120" w:beforeAutospacing="0" w:after="120" w:afterAutospacing="0"/>
        <w:ind w:left="992" w:hanging="992"/>
      </w:pPr>
      <w:r w:rsidRPr="000E2C88">
        <w:t xml:space="preserve">Šiame sprendime, aptariant LKP/TSKP CK vadovų, </w:t>
      </w:r>
      <w:r w:rsidR="001D0506" w:rsidRPr="000E2C88">
        <w:t xml:space="preserve">taip pat ir </w:t>
      </w:r>
      <w:r w:rsidR="00385BC9" w:rsidRPr="000E2C88">
        <w:t>A. N. 1</w:t>
      </w:r>
      <w:r w:rsidR="001D0506" w:rsidRPr="000E2C88">
        <w:t xml:space="preserve"> bei </w:t>
      </w:r>
      <w:r w:rsidR="00385BC9" w:rsidRPr="000E2C88">
        <w:t xml:space="preserve">V. Š. 1 </w:t>
      </w:r>
      <w:r w:rsidRPr="000E2C88">
        <w:t>veiksmus rengiant nusikalstamas veikas prieš Lietuvą, jau minėta, kad LKP/TSKP CK vadovai kartu su TSKP CK, TSRS aukščiausiųjų valstybinės valdžios i</w:t>
      </w:r>
      <w:r w:rsidR="005A493E" w:rsidRPr="000E2C88">
        <w:t>r valdymo organų, TSRS GM, TSRS </w:t>
      </w:r>
      <w:r w:rsidRPr="000E2C88">
        <w:t>VSK, TSRS VRM ir jų specialiųjų padalinių vadovais 1991 m. sausio 7</w:t>
      </w:r>
      <w:r w:rsidRPr="000E2C88">
        <w:rPr>
          <w:rFonts w:eastAsia="Calibri"/>
        </w:rPr>
        <w:t>–</w:t>
      </w:r>
      <w:r w:rsidRPr="000E2C88">
        <w:t xml:space="preserve">8 d. paruošė sąmokslo planą Lietuvoje, kurį pavadino „TSRS Prezidentinio valdymo įvedimo Lietuvoje planu“ ir kuriame numatė jėga nuversti valstybinę valdžią Lietuvoje, sukurti naujas, palankias TSRS valdžios struktūras bei numatė tokių struktūrų vadovų kandidatūras </w:t>
      </w:r>
      <w:r w:rsidRPr="000E2C88">
        <w:rPr>
          <w:rFonts w:eastAsia="Calibri"/>
        </w:rPr>
        <w:t>(t. 201, b. l. 122–123). Kaip minėta, šio dokumento turinys, visų kitų byloje ištirtų įrodymų kontekste, leidžia daryti išvadas apie šį dokumentą rengusių ir jam pritarusių asmenų siekį grąžinti Lietuvą į TSRS sudėtį, kas visiškai atitiko ir TSRS valdžios vykdomą politiką</w:t>
      </w:r>
      <w:r w:rsidRPr="00F06360">
        <w:rPr>
          <w:rFonts w:eastAsia="Calibri"/>
        </w:rPr>
        <w:t>.</w:t>
      </w:r>
    </w:p>
    <w:p w:rsidR="00EC36F2" w:rsidRPr="00F06360" w:rsidRDefault="00EC36F2" w:rsidP="00EC36F2">
      <w:pPr>
        <w:pStyle w:val="NormalWeb"/>
        <w:numPr>
          <w:ilvl w:val="0"/>
          <w:numId w:val="6"/>
        </w:numPr>
        <w:spacing w:before="120" w:beforeAutospacing="0" w:after="120" w:afterAutospacing="0"/>
        <w:ind w:left="992" w:hanging="992"/>
      </w:pPr>
      <w:r w:rsidRPr="000E2C88">
        <w:rPr>
          <w:rFonts w:eastAsia="Calibri"/>
        </w:rPr>
        <w:t>Teisėjų kolegija visiškai sutinka su prokurorų pozicija, kad dar iki 1990 m. kovo 11 d. Nepriklausomybės Akto priėmimo, 1988</w:t>
      </w:r>
      <w:r w:rsidRPr="000E2C88">
        <w:t>–</w:t>
      </w:r>
      <w:r w:rsidRPr="000E2C88">
        <w:rPr>
          <w:rFonts w:eastAsia="Calibri"/>
        </w:rPr>
        <w:t xml:space="preserve">1990 metų laikotarpiu TSRS ir TSKP formavo politiką, kurios esmė – visomis priemonėmis išlaikyti visas Sąjungines Socialistines Respublikas TSRS sudėtyje. Tai buvo tęstinė TSRS politika trukusi nuo pat </w:t>
      </w:r>
      <w:r w:rsidRPr="000E2C88">
        <w:t xml:space="preserve">1940 m. birželio 15 d. TSRS agresijos akto prieš Lietuvos Respubliką ir Lietuvos Respublikos teritorijos okupavimo, apie ką šiame sprendime jau minėta, cituojant Lietuvos Respublikos Konstitucinio Teismo jurisprudenciją ir aptariant 1991 m. sausio – rugpjūčio mėnesių įvykių Lietuvoje istorinį ir politinį kontekstą. </w:t>
      </w:r>
      <w:r w:rsidRPr="000E2C88">
        <w:rPr>
          <w:rFonts w:eastAsia="Calibri"/>
        </w:rPr>
        <w:t>Kai 1990 m. kovo 11 d. buvo priimtas sprendimas dėl nepriklausomybės atkūrimo Lietuvoje, TSRS Liaudies deputatų neeilinis suvažiavimas 1990 m. kovo 15 d. priėmė nutarimą „Ryšium su Lietuvos TSR Aukščiausiosios Tarybos 1990</w:t>
      </w:r>
      <w:r w:rsidR="00916A1E" w:rsidRPr="000E2C88">
        <w:rPr>
          <w:rFonts w:eastAsia="Calibri"/>
        </w:rPr>
        <w:t> </w:t>
      </w:r>
      <w:r w:rsidRPr="000E2C88">
        <w:rPr>
          <w:rFonts w:eastAsia="Calibri"/>
        </w:rPr>
        <w:t>metų kovo 10</w:t>
      </w:r>
      <w:r w:rsidRPr="000E2C88">
        <w:t>–</w:t>
      </w:r>
      <w:r w:rsidRPr="000E2C88">
        <w:rPr>
          <w:rFonts w:eastAsia="Calibri"/>
        </w:rPr>
        <w:t>12 dienos sprendimais“, kuriame nurodė, kad nepaisa</w:t>
      </w:r>
      <w:r w:rsidR="005A493E" w:rsidRPr="000E2C88">
        <w:rPr>
          <w:rFonts w:eastAsia="Calibri"/>
        </w:rPr>
        <w:t>nt priimtų Lietuvos </w:t>
      </w:r>
      <w:r w:rsidRPr="000E2C88">
        <w:rPr>
          <w:rFonts w:eastAsia="Calibri"/>
        </w:rPr>
        <w:t>Aukščiausiosios Tarybos sprendimų, TSRS suverenitetas ir TSRS Konstitucija Lietuvoje toliau tebegalioja.</w:t>
      </w:r>
      <w:r w:rsidRPr="000E2C88">
        <w:t xml:space="preserve"> </w:t>
      </w:r>
      <w:r w:rsidRPr="000E2C88">
        <w:rPr>
          <w:rFonts w:eastAsia="Calibri"/>
        </w:rPr>
        <w:t>TSRS ir TSKP toliau tęsė politiką išlaikyti TSRS sienas ir nepripažinti Lietuvos ir kitų Pabaltijo valstybių suvereniomis ir nepriklausomomis valstybėmis, buvo priimti TSRS įstatymai ir TSRS Prezidento įsakai, ignoruojantys nepriklausomybės atkūrimą Lietuvoje, numatantys įvairius suvaržymus tiek politiniais, tiek ir ekonominiais klausimais, numatomos įvairios priemonės, ribojančios nepriklausomos valstybės įvairių institucijų kūrimą ir kt</w:t>
      </w:r>
      <w:r w:rsidRPr="00F06360">
        <w:rPr>
          <w:rFonts w:eastAsia="Calibri"/>
        </w:rPr>
        <w:t>.</w:t>
      </w:r>
    </w:p>
    <w:p w:rsidR="00EC36F2" w:rsidRPr="00C00255" w:rsidRDefault="00EC36F2" w:rsidP="00EC36F2">
      <w:pPr>
        <w:pStyle w:val="NormalWeb"/>
        <w:numPr>
          <w:ilvl w:val="0"/>
          <w:numId w:val="6"/>
        </w:numPr>
        <w:spacing w:before="120" w:beforeAutospacing="0" w:after="120" w:afterAutospacing="0"/>
        <w:ind w:left="992" w:hanging="992"/>
      </w:pPr>
      <w:r w:rsidRPr="00C00255">
        <w:t>Tokių argumentų kontekste teisėjų kolegija p</w:t>
      </w:r>
      <w:r w:rsidR="001D0506" w:rsidRPr="00C00255">
        <w:t xml:space="preserve">ažymi, jog </w:t>
      </w:r>
      <w:r w:rsidR="00C507EF">
        <w:t>M. B.</w:t>
      </w:r>
      <w:r w:rsidR="001D0506" w:rsidRPr="00C00255">
        <w:t xml:space="preserve">, </w:t>
      </w:r>
      <w:r w:rsidR="00C507EF">
        <w:t>J. K.</w:t>
      </w:r>
      <w:r w:rsidRPr="00C00255">
        <w:t xml:space="preserve"> ir kt. byloje jau buvo nustatyta aplinkybė apie TSRS ir jos vadovybės siekį grąžinti </w:t>
      </w:r>
      <w:r w:rsidR="005A493E">
        <w:t>Lietuvą į TSRS sudėtį. Vilniaus </w:t>
      </w:r>
      <w:r w:rsidRPr="00C00255">
        <w:t>apygardos teismo 1999 m. rugpjūčio 23 d. nuosprendžio nustatomojoje dalyje (trečiame nuosprendžio lape) konstatuota, kad „TSRS vadovybė kartu su TSKP CK, siekdama grąžinti Lietuvą į TSRS sudėtį, naudojosi TSRS valstybinės valdžios ir valdymo organais: TSRS VSK ir jų padaliniais Lietuvoje, TSRS gynybos ministerijos ir VRM bei jų padaliniais, kariniais daliniais dislokuotais Lietuvoje ir už jos ribų“.</w:t>
      </w:r>
    </w:p>
    <w:p w:rsidR="0003079E" w:rsidRPr="00C00255" w:rsidRDefault="00EC36F2" w:rsidP="0003079E">
      <w:pPr>
        <w:pStyle w:val="NormalWeb"/>
        <w:numPr>
          <w:ilvl w:val="0"/>
          <w:numId w:val="6"/>
        </w:numPr>
        <w:spacing w:before="120" w:beforeAutospacing="0" w:after="120" w:afterAutospacing="0"/>
        <w:ind w:left="992" w:hanging="992"/>
      </w:pPr>
      <w:r w:rsidRPr="000E2C88">
        <w:rPr>
          <w:rFonts w:eastAsia="Calibri"/>
        </w:rPr>
        <w:t>Valstybinį kaltinimą byloje palaikantys prokurorai pagrįstai teigia, kad tai, kokia politika Pabaltijo klausimais 1989–1990 metais buvo formuojama aukščiausiuose TSRS ir TSKP valdančiuose sluoksniuose (TSKP CK politiniame biure, Politiniame Biure Pabaltijo klausimais, TSKP CK ir kt.), galima vertinti ir pagal 2011 m. lapkričio 25 d. Lietuvos Respublikos generalinėje prokuratūroje gautą P</w:t>
      </w:r>
      <w:r w:rsidR="005A493E" w:rsidRPr="000E2C88">
        <w:rPr>
          <w:rFonts w:eastAsia="Calibri"/>
        </w:rPr>
        <w:t>. S.</w:t>
      </w:r>
      <w:r w:rsidRPr="000E2C88">
        <w:rPr>
          <w:rFonts w:eastAsia="Calibri"/>
        </w:rPr>
        <w:t xml:space="preserve"> medžiagą, kurioje pateiktos įvairių susitikimų, vykusių minimu laikotarpiu, stenogramos, įvairių TSRS ir TSKP lyderių nuomonės, TSRS ir užsienio valstybių lyderių ar jų atstovų pokalbiai. Iš šių dokumentų išties matyti, kad pagrindinis TSRS vadovybės tikslas – Lietuva TSRS sudėtyje. Nagrinėjamų klausimų dėl kaltinimų </w:t>
      </w:r>
      <w:r w:rsidR="00385BC9" w:rsidRPr="000E2C88">
        <w:rPr>
          <w:rFonts w:eastAsia="Calibri"/>
        </w:rPr>
        <w:t>D. J.</w:t>
      </w:r>
      <w:r w:rsidRPr="000E2C88">
        <w:rPr>
          <w:rFonts w:eastAsia="Calibri"/>
        </w:rPr>
        <w:t xml:space="preserve"> pagrįstumo kontekste pastebėtina, kad šioje medžiagoje minimuose susitikimuose dalyvavo ir TSRS gynybos ministras </w:t>
      </w:r>
      <w:r w:rsidR="00385BC9" w:rsidRPr="000E2C88">
        <w:rPr>
          <w:rFonts w:eastAsia="Calibri"/>
        </w:rPr>
        <w:t>D. J.</w:t>
      </w:r>
      <w:r w:rsidRPr="000E2C88">
        <w:rPr>
          <w:rFonts w:eastAsia="Calibri"/>
        </w:rPr>
        <w:t xml:space="preserve">, taip pat kiti kaltinime minimi ir vadovavimo operacijai štabą Vilniuje su </w:t>
      </w:r>
      <w:r w:rsidR="00385BC9" w:rsidRPr="000E2C88">
        <w:rPr>
          <w:rFonts w:eastAsia="Calibri"/>
        </w:rPr>
        <w:t>D. J.</w:t>
      </w:r>
      <w:r w:rsidRPr="000E2C88">
        <w:rPr>
          <w:rFonts w:eastAsia="Calibri"/>
        </w:rPr>
        <w:t xml:space="preserve"> įkūrę </w:t>
      </w:r>
      <w:r w:rsidR="005A493E" w:rsidRPr="000E2C88">
        <w:rPr>
          <w:rFonts w:eastAsia="Calibri"/>
        </w:rPr>
        <w:t>asmenys, ir tai patvirtina TSRS </w:t>
      </w:r>
      <w:r w:rsidRPr="000E2C88">
        <w:rPr>
          <w:rFonts w:eastAsia="Calibri"/>
        </w:rPr>
        <w:t xml:space="preserve">VSK, TSRS VRM ir TSRS GM ir jų vadovų </w:t>
      </w:r>
      <w:r w:rsidR="00C507EF" w:rsidRPr="000E2C88">
        <w:rPr>
          <w:rFonts w:eastAsia="Calibri"/>
        </w:rPr>
        <w:t>V. K.</w:t>
      </w:r>
      <w:r w:rsidRPr="000E2C88">
        <w:rPr>
          <w:rFonts w:eastAsia="Calibri"/>
        </w:rPr>
        <w:t xml:space="preserve">, </w:t>
      </w:r>
      <w:r w:rsidR="00C507EF" w:rsidRPr="000E2C88">
        <w:rPr>
          <w:rFonts w:eastAsia="Calibri"/>
        </w:rPr>
        <w:t>B. P.</w:t>
      </w:r>
      <w:r w:rsidRPr="000E2C88">
        <w:rPr>
          <w:rFonts w:eastAsia="Calibri"/>
        </w:rPr>
        <w:t xml:space="preserve">, </w:t>
      </w:r>
      <w:r w:rsidR="00385BC9" w:rsidRPr="000E2C88">
        <w:rPr>
          <w:rFonts w:eastAsia="Calibri"/>
        </w:rPr>
        <w:t>D. J.</w:t>
      </w:r>
      <w:r w:rsidRPr="000E2C88">
        <w:rPr>
          <w:rFonts w:eastAsia="Calibri"/>
        </w:rPr>
        <w:t xml:space="preserve"> ryšį su TSRS ir TSKP vykdoma politika, aktyvų dalyvavimą kuriant ir vykdant planus Lietuvos ir kitų Pabaltijo valstybių atžvilgiu dar iki joms atkuriant nepriklausomybę ir vėliau</w:t>
      </w:r>
      <w:r w:rsidRPr="00C00255">
        <w:rPr>
          <w:rFonts w:eastAsia="Calibri"/>
        </w:rPr>
        <w:t>.</w:t>
      </w:r>
    </w:p>
    <w:p w:rsidR="00EC36F2" w:rsidRPr="00C00255" w:rsidRDefault="00EC36F2" w:rsidP="00EC36F2">
      <w:pPr>
        <w:pStyle w:val="NormalWeb"/>
        <w:numPr>
          <w:ilvl w:val="1"/>
          <w:numId w:val="6"/>
        </w:numPr>
        <w:spacing w:before="120" w:beforeAutospacing="0" w:after="120" w:afterAutospacing="0"/>
        <w:ind w:left="992" w:hanging="992"/>
      </w:pPr>
      <w:r w:rsidRPr="000E2C88">
        <w:rPr>
          <w:rFonts w:eastAsia="Calibri"/>
        </w:rPr>
        <w:t>1990 m. kovo 22 d. TSRS Politiniame Biure TSRS gynybos mi</w:t>
      </w:r>
      <w:r w:rsidR="00660130" w:rsidRPr="000E2C88">
        <w:rPr>
          <w:rFonts w:eastAsia="Calibri"/>
        </w:rPr>
        <w:t>nistro pirmasis pavaduotojas V. I. </w:t>
      </w:r>
      <w:r w:rsidRPr="000E2C88">
        <w:rPr>
          <w:rFonts w:eastAsia="Calibri"/>
        </w:rPr>
        <w:t>V</w:t>
      </w:r>
      <w:r w:rsidR="00660130" w:rsidRPr="000E2C88">
        <w:rPr>
          <w:rFonts w:eastAsia="Calibri"/>
        </w:rPr>
        <w:t>.</w:t>
      </w:r>
      <w:r w:rsidRPr="000E2C88">
        <w:rPr>
          <w:rFonts w:eastAsia="Calibri"/>
        </w:rPr>
        <w:t xml:space="preserve"> siūlė ginti TSRS interesus ryžtingai, neatmetant ir karinės padėties, pateikė pasiūlymą Lietuvoje įvesti nepaprastąją padėtį. TSRS gynybos ministras </w:t>
      </w:r>
      <w:r w:rsidR="00385BC9" w:rsidRPr="000E2C88">
        <w:rPr>
          <w:rFonts w:eastAsia="Calibri"/>
        </w:rPr>
        <w:t>D. J.</w:t>
      </w:r>
      <w:r w:rsidRPr="000E2C88">
        <w:rPr>
          <w:rFonts w:eastAsia="Calibri"/>
        </w:rPr>
        <w:t xml:space="preserve"> siūlė atstatyti Lietuvoje buvusią valdžią, kurią nuvertė, kaip jis išsireiškė „saujelė avantiūristų“. TSRS VSK pirmininko </w:t>
      </w:r>
      <w:r w:rsidR="00C507EF" w:rsidRPr="000E2C88">
        <w:rPr>
          <w:rFonts w:eastAsia="Calibri"/>
        </w:rPr>
        <w:t>V. K.</w:t>
      </w:r>
      <w:r w:rsidRPr="000E2C88">
        <w:rPr>
          <w:rFonts w:eastAsia="Calibri"/>
        </w:rPr>
        <w:t xml:space="preserve"> nuomone, nei ankstesnė, nei dabartinė valdžia nepadės atstatyti buvusios padėties, reikia remtis Lietuvos piliečių sąjungomis. Su tuo sutiko ir tuometinis TSRS prezidentas </w:t>
      </w:r>
      <w:r w:rsidR="00DD1A27" w:rsidRPr="000E2C88">
        <w:rPr>
          <w:rFonts w:eastAsia="Calibri"/>
        </w:rPr>
        <w:t>M. G.</w:t>
      </w:r>
      <w:r w:rsidRPr="000E2C88">
        <w:rPr>
          <w:rFonts w:eastAsia="Calibri"/>
        </w:rPr>
        <w:t xml:space="preserve"> (t. 495, b. l. 150</w:t>
      </w:r>
      <w:r w:rsidRPr="000E2C88">
        <w:t>–</w:t>
      </w:r>
      <w:r w:rsidRPr="000E2C88">
        <w:rPr>
          <w:rFonts w:eastAsia="Calibri"/>
        </w:rPr>
        <w:t>152, 260</w:t>
      </w:r>
      <w:r w:rsidRPr="000E2C88">
        <w:t>–</w:t>
      </w:r>
      <w:r w:rsidRPr="000E2C88">
        <w:rPr>
          <w:rFonts w:eastAsia="Calibri"/>
        </w:rPr>
        <w:t>261)</w:t>
      </w:r>
      <w:r w:rsidRPr="00C00255">
        <w:rPr>
          <w:rFonts w:eastAsia="Calibri"/>
        </w:rPr>
        <w:t>.</w:t>
      </w:r>
    </w:p>
    <w:p w:rsidR="00EC36F2" w:rsidRPr="00C00255" w:rsidRDefault="00EC36F2" w:rsidP="00EC36F2">
      <w:pPr>
        <w:pStyle w:val="NormalWeb"/>
        <w:numPr>
          <w:ilvl w:val="1"/>
          <w:numId w:val="6"/>
        </w:numPr>
        <w:spacing w:before="120" w:beforeAutospacing="0" w:after="120" w:afterAutospacing="0"/>
        <w:ind w:left="992" w:hanging="992"/>
      </w:pPr>
      <w:r w:rsidRPr="000E2C88">
        <w:rPr>
          <w:rFonts w:eastAsia="Calibri"/>
          <w:bCs/>
        </w:rPr>
        <w:t>1990 m. balandžio 12 d.</w:t>
      </w:r>
      <w:r w:rsidRPr="000E2C88">
        <w:rPr>
          <w:rFonts w:eastAsia="Calibri"/>
        </w:rPr>
        <w:t xml:space="preserve"> TSRS Prezidentas </w:t>
      </w:r>
      <w:r w:rsidR="00DD1A27" w:rsidRPr="000E2C88">
        <w:rPr>
          <w:rFonts w:eastAsia="Calibri"/>
        </w:rPr>
        <w:t>M. G.</w:t>
      </w:r>
      <w:r w:rsidRPr="000E2C88">
        <w:rPr>
          <w:rFonts w:eastAsia="Calibri"/>
        </w:rPr>
        <w:t>, susitikęs su JA</w:t>
      </w:r>
      <w:r w:rsidR="005A493E" w:rsidRPr="000E2C88">
        <w:rPr>
          <w:rFonts w:eastAsia="Calibri"/>
        </w:rPr>
        <w:t>V senatoriais, vadovaujamais D. M.</w:t>
      </w:r>
      <w:r w:rsidRPr="000E2C88">
        <w:rPr>
          <w:rFonts w:eastAsia="Calibri"/>
        </w:rPr>
        <w:t>, kalbėjo apie būtinybę grįžti į statusą iki 1990 m. kovo 10 d., t. y. iki Nepriklausomybės paskelbimo, ir nors kalbėjo apie Lietuvos galimybę išstoti iš TSRS su visomis iš to kylančiomis problemomis, jei nebūtų pritarta Lietuvai likti TSRS sudėtyje, kam, anot jo, pritartų Lietuvos liaudis, neatmetė galimybės Lietuvoje panaudoti griežtas priemones, įskaitant ir Prezide</w:t>
      </w:r>
      <w:r w:rsidR="001D0506" w:rsidRPr="000E2C88">
        <w:rPr>
          <w:rFonts w:eastAsia="Calibri"/>
        </w:rPr>
        <w:t xml:space="preserve">ntinio valdymo įvedimą. Anot </w:t>
      </w:r>
      <w:r w:rsidR="00DD1A27" w:rsidRPr="000E2C88">
        <w:rPr>
          <w:rFonts w:eastAsia="Calibri"/>
        </w:rPr>
        <w:t>M. G.</w:t>
      </w:r>
      <w:r w:rsidRPr="000E2C88">
        <w:rPr>
          <w:rFonts w:eastAsia="Calibri"/>
        </w:rPr>
        <w:t xml:space="preserve">, Lietuvoje priimami avantiūristiniai sprendimai, nesuprantant jų turinio. TSRS turi reikalą su avantiūristais, todėl būtina grįžti į padėtį, buvusią 1990 m., tik tokiu atveju galės prasidėti diskusijos apie skyrybų procesą. Išsakęs tokią poziciją, </w:t>
      </w:r>
      <w:r w:rsidR="00DD1A27" w:rsidRPr="000E2C88">
        <w:rPr>
          <w:rFonts w:eastAsia="Calibri"/>
        </w:rPr>
        <w:t>M. G.</w:t>
      </w:r>
      <w:r w:rsidRPr="000E2C88">
        <w:rPr>
          <w:rFonts w:eastAsia="Calibri"/>
        </w:rPr>
        <w:t xml:space="preserve"> nurodė, kad prieš tai Lietuvai nudirs kailį („Tiesa, mes jiems nudirsim kailį kaip „Sidorovo ožkai“. Lai gyvena kaip nori“ (t. 495, b.</w:t>
      </w:r>
      <w:r w:rsidR="00916A1E" w:rsidRPr="000E2C88">
        <w:rPr>
          <w:rFonts w:eastAsia="Calibri"/>
        </w:rPr>
        <w:t> </w:t>
      </w:r>
      <w:r w:rsidRPr="000E2C88">
        <w:rPr>
          <w:rFonts w:eastAsia="Calibri"/>
        </w:rPr>
        <w:t>l.</w:t>
      </w:r>
      <w:r w:rsidR="00916A1E" w:rsidRPr="000E2C88">
        <w:rPr>
          <w:rFonts w:eastAsia="Calibri"/>
        </w:rPr>
        <w:t> </w:t>
      </w:r>
      <w:r w:rsidRPr="000E2C88">
        <w:rPr>
          <w:rFonts w:eastAsia="Calibri"/>
        </w:rPr>
        <w:t>262</w:t>
      </w:r>
      <w:r w:rsidRPr="00C00255">
        <w:rPr>
          <w:rFonts w:eastAsia="Calibri"/>
        </w:rPr>
        <w:t xml:space="preserve">)). </w:t>
      </w:r>
    </w:p>
    <w:p w:rsidR="00EC36F2" w:rsidRPr="00C00255" w:rsidRDefault="00EC36F2" w:rsidP="00EC36F2">
      <w:pPr>
        <w:pStyle w:val="NormalWeb"/>
        <w:numPr>
          <w:ilvl w:val="1"/>
          <w:numId w:val="6"/>
        </w:numPr>
        <w:spacing w:before="120" w:beforeAutospacing="0" w:after="120" w:afterAutospacing="0"/>
        <w:ind w:left="992" w:hanging="992"/>
      </w:pPr>
      <w:r w:rsidRPr="00C00255">
        <w:t>Panašios pozicijos TSRS vadovybė laikėsi ir toliau, paskelbiant ekonominę blokadą bei, p</w:t>
      </w:r>
      <w:r w:rsidR="0064599E" w:rsidRPr="00C00255">
        <w:t>a</w:t>
      </w:r>
      <w:r w:rsidRPr="00C00255">
        <w:t>v</w:t>
      </w:r>
      <w:r w:rsidR="0064599E" w:rsidRPr="00C00255">
        <w:t>y</w:t>
      </w:r>
      <w:r w:rsidRPr="00C00255">
        <w:t>z</w:t>
      </w:r>
      <w:r w:rsidR="0064599E" w:rsidRPr="00C00255">
        <w:t>džiui</w:t>
      </w:r>
      <w:r w:rsidRPr="00C00255">
        <w:t xml:space="preserve">, 1990 m. birželio 12 d. </w:t>
      </w:r>
      <w:r w:rsidR="00DD1A27">
        <w:t>M. G.</w:t>
      </w:r>
      <w:r w:rsidRPr="00C00255">
        <w:t xml:space="preserve"> reikalaujant Lietuvos Aukščiausiosios Tarybos Pirmininko </w:t>
      </w:r>
      <w:r w:rsidR="00DD1A27">
        <w:t>V. L.</w:t>
      </w:r>
      <w:r w:rsidRPr="00C00255">
        <w:t xml:space="preserve"> atsisakyti savo reikalavimų ir sprendimų ar bent jau atidėti tokius sprendimus, mainais į tai žadant panaikinti eko</w:t>
      </w:r>
      <w:r w:rsidR="0064599E" w:rsidRPr="00C00255">
        <w:t>nominę blokadą ir pan. (t. 495,</w:t>
      </w:r>
      <w:r w:rsidR="00916A1E">
        <w:t xml:space="preserve"> </w:t>
      </w:r>
      <w:r w:rsidRPr="00C00255">
        <w:t>b.</w:t>
      </w:r>
      <w:r w:rsidR="00916A1E">
        <w:t> </w:t>
      </w:r>
      <w:r w:rsidRPr="00C00255">
        <w:t>l. 167–168).</w:t>
      </w:r>
    </w:p>
    <w:p w:rsidR="00EC36F2" w:rsidRPr="00EB01B7" w:rsidRDefault="00EC36F2" w:rsidP="00EC36F2">
      <w:pPr>
        <w:pStyle w:val="NormalWeb"/>
        <w:numPr>
          <w:ilvl w:val="0"/>
          <w:numId w:val="6"/>
        </w:numPr>
        <w:spacing w:before="120" w:beforeAutospacing="0" w:after="120" w:afterAutospacing="0"/>
        <w:ind w:left="992" w:hanging="992"/>
      </w:pPr>
      <w:r w:rsidRPr="000E2C88">
        <w:rPr>
          <w:rFonts w:eastAsia="Calibri"/>
        </w:rPr>
        <w:t xml:space="preserve">Bylos duomenys patvirtina, kad 1991 m. sausio 8 d. TSRS vadovybei buvo įteiktas LKP/TSKP CK pirmojo sekretoriaus </w:t>
      </w:r>
      <w:r w:rsidR="00C507EF" w:rsidRPr="000E2C88">
        <w:rPr>
          <w:rFonts w:eastAsia="Calibri"/>
        </w:rPr>
        <w:t>M. B.</w:t>
      </w:r>
      <w:r w:rsidRPr="000E2C88">
        <w:rPr>
          <w:rFonts w:eastAsia="Calibri"/>
        </w:rPr>
        <w:t xml:space="preserve"> 1991 m. sausio 7 d. pareiškimas </w:t>
      </w:r>
      <w:r w:rsidRPr="000E2C88">
        <w:t>dėl TSRS Prezidentinio valdymo įvedimo Lietuvoje</w:t>
      </w:r>
      <w:r w:rsidRPr="000E2C88">
        <w:rPr>
          <w:rFonts w:eastAsia="Calibri"/>
        </w:rPr>
        <w:t xml:space="preserve">, kuris </w:t>
      </w:r>
      <w:r w:rsidRPr="000E2C88">
        <w:t>1991 m. sausio 9 d. perduot</w:t>
      </w:r>
      <w:r w:rsidR="005A493E" w:rsidRPr="000E2C88">
        <w:t>as TSRS Prezidentui (t. 201, b. l. </w:t>
      </w:r>
      <w:r w:rsidRPr="000E2C88">
        <w:t xml:space="preserve">114–123). </w:t>
      </w:r>
      <w:r w:rsidRPr="000E2C88">
        <w:rPr>
          <w:rFonts w:eastAsia="Calibri"/>
        </w:rPr>
        <w:t xml:space="preserve">1991 m. sausio 10 d. TSRS prezidentas </w:t>
      </w:r>
      <w:r w:rsidR="00DD1A27" w:rsidRPr="000E2C88">
        <w:rPr>
          <w:rFonts w:eastAsia="Calibri"/>
        </w:rPr>
        <w:t>M. G.</w:t>
      </w:r>
      <w:r w:rsidRPr="000E2C88">
        <w:rPr>
          <w:rFonts w:eastAsia="Calibri"/>
        </w:rPr>
        <w:t xml:space="preserve"> pareikalavo Lietuvos Respublikos Aukščiausiosios Tarybos nedelsiant atstatyti TSRS ir Lietuvos TSR Konstitucijų galiojimą Lietuvoje (</w:t>
      </w:r>
      <w:r w:rsidRPr="000E2C88">
        <w:t>t. 232, b. l. 182)</w:t>
      </w:r>
      <w:r w:rsidRPr="000E2C88">
        <w:rPr>
          <w:rFonts w:eastAsia="Calibri"/>
        </w:rPr>
        <w:t xml:space="preserve">. Pažymėtina ir tai, kad </w:t>
      </w:r>
      <w:r w:rsidRPr="000E2C88">
        <w:t>1999 m. rugpjūčio 23 d. Viln</w:t>
      </w:r>
      <w:r w:rsidR="005A493E" w:rsidRPr="000E2C88">
        <w:t>iaus </w:t>
      </w:r>
      <w:r w:rsidRPr="000E2C88">
        <w:t xml:space="preserve">apygardos teismo nuosprendyje, priimtame </w:t>
      </w:r>
      <w:r w:rsidR="00C507EF" w:rsidRPr="000E2C88">
        <w:t>M. B.</w:t>
      </w:r>
      <w:r w:rsidRPr="000E2C88">
        <w:t xml:space="preserve">, </w:t>
      </w:r>
      <w:r w:rsidR="00C507EF" w:rsidRPr="000E2C88">
        <w:t>J. K.</w:t>
      </w:r>
      <w:r w:rsidRPr="000E2C88">
        <w:t xml:space="preserve"> ir </w:t>
      </w:r>
      <w:r w:rsidRPr="000E2C88">
        <w:rPr>
          <w:rFonts w:eastAsia="Calibri"/>
        </w:rPr>
        <w:t>k</w:t>
      </w:r>
      <w:r w:rsidRPr="000E2C88">
        <w:t xml:space="preserve">t. byloje, nurodyti LKP/TSKP CK pirmojo sekretoriaus </w:t>
      </w:r>
      <w:r w:rsidR="00C507EF" w:rsidRPr="000E2C88">
        <w:t>M. B.</w:t>
      </w:r>
      <w:r w:rsidRPr="000E2C88">
        <w:t xml:space="preserve"> parodymai ir </w:t>
      </w:r>
      <w:r w:rsidR="005A493E" w:rsidRPr="000E2C88">
        <w:t>V. B.</w:t>
      </w:r>
      <w:r w:rsidRPr="000E2C88">
        <w:t xml:space="preserve"> lankytojų žurnalo duomenys patvirtina, kad dokumentą, adresuotą TSRS Prezidentui, TSKP generaliniam sekretoriui </w:t>
      </w:r>
      <w:r w:rsidR="00DD1A27" w:rsidRPr="000E2C88">
        <w:t>M. G.</w:t>
      </w:r>
      <w:r w:rsidRPr="000E2C88">
        <w:t xml:space="preserve"> dėl TSRS Prezidentinio valdymo įvedimo Lietuvoje, </w:t>
      </w:r>
      <w:r w:rsidR="00C507EF" w:rsidRPr="000E2C88">
        <w:t>M. B.</w:t>
      </w:r>
      <w:r w:rsidRPr="000E2C88">
        <w:t xml:space="preserve"> įteik</w:t>
      </w:r>
      <w:r w:rsidRPr="000E2C88">
        <w:rPr>
          <w:rFonts w:eastAsia="Calibri"/>
        </w:rPr>
        <w:t xml:space="preserve">ė TSRS vadovybei, o tarp asmenų, dalyvavusių 1991 m. sausio 8 d. minėtos TSRS aukščiausiosios vadovybės susitikime, buvo ir </w:t>
      </w:r>
      <w:r w:rsidR="00385BC9" w:rsidRPr="000E2C88">
        <w:rPr>
          <w:rFonts w:eastAsia="Calibri"/>
        </w:rPr>
        <w:t>D. J.</w:t>
      </w:r>
      <w:r w:rsidRPr="000E2C88">
        <w:rPr>
          <w:rFonts w:eastAsia="Calibri"/>
        </w:rPr>
        <w:t xml:space="preserve">. Be kitų asmenų buvo ir </w:t>
      </w:r>
      <w:r w:rsidR="00C507EF" w:rsidRPr="000E2C88">
        <w:rPr>
          <w:rFonts w:eastAsia="Calibri"/>
        </w:rPr>
        <w:t>V. K.</w:t>
      </w:r>
      <w:r w:rsidRPr="000E2C88">
        <w:rPr>
          <w:rFonts w:eastAsia="Calibri"/>
        </w:rPr>
        <w:t xml:space="preserve">, </w:t>
      </w:r>
      <w:r w:rsidR="00C507EF" w:rsidRPr="000E2C88">
        <w:rPr>
          <w:rFonts w:eastAsia="Calibri"/>
        </w:rPr>
        <w:t>B. P.</w:t>
      </w:r>
      <w:r w:rsidRPr="000E2C88">
        <w:rPr>
          <w:rFonts w:eastAsia="Calibri"/>
        </w:rPr>
        <w:t xml:space="preserve"> bei </w:t>
      </w:r>
      <w:r w:rsidR="00D37127" w:rsidRPr="000E2C88">
        <w:rPr>
          <w:rFonts w:eastAsia="Calibri"/>
        </w:rPr>
        <w:t>O. Š.</w:t>
      </w:r>
      <w:r w:rsidRPr="000E2C88">
        <w:rPr>
          <w:rFonts w:eastAsia="Calibri"/>
        </w:rPr>
        <w:t xml:space="preserve">. Taigi šio susitikimo metu buvo pristatytas planas kaip nuversti teisėtą valdžią Lietuvoje ir įvesti prezidentinį valdymą </w:t>
      </w:r>
      <w:r w:rsidR="005A493E" w:rsidRPr="000E2C88">
        <w:t>(t. 379, </w:t>
      </w:r>
      <w:r w:rsidRPr="000E2C88">
        <w:t>b. l. 76–78), apie kurį, kaip jau minėta, TSRS vadovy</w:t>
      </w:r>
      <w:r w:rsidR="005A493E" w:rsidRPr="000E2C88">
        <w:t>bė svarstė jau netrukus po 1990 m. </w:t>
      </w:r>
      <w:r w:rsidRPr="000E2C88">
        <w:t>kovo 11 d. akto paskelbimo</w:t>
      </w:r>
      <w:r w:rsidRPr="00EB01B7">
        <w:t>.</w:t>
      </w:r>
    </w:p>
    <w:p w:rsidR="00EC36F2" w:rsidRPr="00C00255" w:rsidRDefault="00EC36F2" w:rsidP="00EC36F2">
      <w:pPr>
        <w:pStyle w:val="NormalWeb"/>
        <w:numPr>
          <w:ilvl w:val="0"/>
          <w:numId w:val="6"/>
        </w:numPr>
        <w:spacing w:before="120" w:beforeAutospacing="0" w:after="120" w:afterAutospacing="0"/>
        <w:ind w:left="992" w:hanging="992"/>
      </w:pPr>
      <w:r w:rsidRPr="00C00255">
        <w:rPr>
          <w:color w:val="000000"/>
        </w:rPr>
        <w:t xml:space="preserve">Tokie rašytiniai dokumentai, vertinant ir formaliai </w:t>
      </w:r>
      <w:r w:rsidR="00385BC9">
        <w:rPr>
          <w:color w:val="000000"/>
        </w:rPr>
        <w:t>D. J.</w:t>
      </w:r>
      <w:r w:rsidRPr="00C00255">
        <w:rPr>
          <w:color w:val="000000"/>
        </w:rPr>
        <w:t xml:space="preserve"> priimtus sprendimus (pvz., TSRS gynybos ministro </w:t>
      </w:r>
      <w:r w:rsidR="00385BC9">
        <w:rPr>
          <w:color w:val="000000"/>
        </w:rPr>
        <w:t>D. J.</w:t>
      </w:r>
      <w:r w:rsidRPr="00C00255">
        <w:rPr>
          <w:color w:val="000000"/>
        </w:rPr>
        <w:t xml:space="preserve"> įsakymas, pagal kurį TSRS ginkluotųjų pajėgų g</w:t>
      </w:r>
      <w:r w:rsidR="005A493E">
        <w:rPr>
          <w:color w:val="000000"/>
        </w:rPr>
        <w:t>eneralinio štabo viršininkas M. </w:t>
      </w:r>
      <w:r w:rsidRPr="00C00255">
        <w:rPr>
          <w:color w:val="000000"/>
        </w:rPr>
        <w:t>M</w:t>
      </w:r>
      <w:r w:rsidR="005A493E">
        <w:rPr>
          <w:color w:val="000000"/>
        </w:rPr>
        <w:t>. (M. </w:t>
      </w:r>
      <w:r w:rsidRPr="00C00255">
        <w:rPr>
          <w:color w:val="000000"/>
        </w:rPr>
        <w:t>M</w:t>
      </w:r>
      <w:r w:rsidR="005A493E">
        <w:rPr>
          <w:color w:val="000000"/>
        </w:rPr>
        <w:t>.</w:t>
      </w:r>
      <w:r w:rsidRPr="00C00255">
        <w:rPr>
          <w:color w:val="000000"/>
        </w:rPr>
        <w:t xml:space="preserve">) šifruota telegrama Nr. 8883 perduoda įsakymą visoms TSRS jėgos struktūroms būti pasirengus veikti ekstremalioje situacijoje siekiant išsaugoti TSRS likimą, nepriklausomai nuo žinybinio pavaldumo numatyti, o, esant būtinybei, ir perimti visus opozicijos agitacinę informaciją skleidžiančius objektus (televiziją, radiją ir </w:t>
      </w:r>
      <w:r w:rsidR="005A493E">
        <w:rPr>
          <w:color w:val="000000"/>
        </w:rPr>
        <w:t>kt.) (t. 191, b. l. </w:t>
      </w:r>
      <w:r w:rsidRPr="00C00255">
        <w:rPr>
          <w:color w:val="000000"/>
        </w:rPr>
        <w:t>106–107)</w:t>
      </w:r>
      <w:r w:rsidRPr="00C00255">
        <w:t xml:space="preserve">, taip pat </w:t>
      </w:r>
      <w:r w:rsidRPr="00C00255">
        <w:rPr>
          <w:color w:val="000000"/>
        </w:rPr>
        <w:t>1990 m. gruodžio 29 d. bendras įsakymas su TSRS vidaus reikalų ministru dėl kariškių patruliavimo (t. 458, b. l. 41</w:t>
      </w:r>
      <w:r w:rsidRPr="00C00255">
        <w:t>–</w:t>
      </w:r>
      <w:r w:rsidRPr="00C00255">
        <w:rPr>
          <w:color w:val="000000"/>
        </w:rPr>
        <w:t xml:space="preserve">45), sprendimai dėl kariuomenės pajėgų perdislokavimo į Lietuvą), taip pat </w:t>
      </w:r>
      <w:r w:rsidR="00385BC9">
        <w:rPr>
          <w:color w:val="000000"/>
        </w:rPr>
        <w:t>D. J.</w:t>
      </w:r>
      <w:r w:rsidRPr="00C00255">
        <w:rPr>
          <w:color w:val="000000"/>
        </w:rPr>
        <w:t xml:space="preserve"> pasisakymus (pvz., </w:t>
      </w:r>
      <w:r w:rsidR="00916A1E">
        <w:rPr>
          <w:color w:val="000000"/>
        </w:rPr>
        <w:t> </w:t>
      </w:r>
      <w:r w:rsidRPr="00C00255">
        <w:rPr>
          <w:color w:val="000000"/>
        </w:rPr>
        <w:t>m.</w:t>
      </w:r>
      <w:r w:rsidR="00916A1E">
        <w:rPr>
          <w:color w:val="000000"/>
        </w:rPr>
        <w:t> </w:t>
      </w:r>
      <w:r w:rsidRPr="00C00255">
        <w:rPr>
          <w:color w:val="000000"/>
        </w:rPr>
        <w:t>lapkričio</w:t>
      </w:r>
      <w:r w:rsidR="00916A1E">
        <w:rPr>
          <w:color w:val="000000"/>
        </w:rPr>
        <w:t> </w:t>
      </w:r>
      <w:r w:rsidRPr="00C00255">
        <w:rPr>
          <w:color w:val="000000"/>
        </w:rPr>
        <w:t>27</w:t>
      </w:r>
      <w:r w:rsidR="00916A1E">
        <w:rPr>
          <w:color w:val="000000"/>
        </w:rPr>
        <w:t> </w:t>
      </w:r>
      <w:r w:rsidRPr="00C00255">
        <w:rPr>
          <w:color w:val="000000"/>
        </w:rPr>
        <w:t>d. pasisakymas per televiziją apie kariuomenės dislokavimą ten, kur jos reikia (t. 261, b. l. 24</w:t>
      </w:r>
      <w:r w:rsidRPr="00C00255">
        <w:t>–</w:t>
      </w:r>
      <w:r w:rsidRPr="00C00255">
        <w:rPr>
          <w:color w:val="000000"/>
        </w:rPr>
        <w:t>25), šiame sprendime jau minėtas jo pasisakymas TSRS Aukščiausiosios Tarybos 1991</w:t>
      </w:r>
      <w:r w:rsidR="00916A1E">
        <w:rPr>
          <w:color w:val="000000"/>
        </w:rPr>
        <w:t> </w:t>
      </w:r>
      <w:r w:rsidRPr="00C00255">
        <w:rPr>
          <w:color w:val="000000"/>
        </w:rPr>
        <w:t>m.</w:t>
      </w:r>
      <w:r w:rsidR="00916A1E">
        <w:rPr>
          <w:color w:val="000000"/>
        </w:rPr>
        <w:t> </w:t>
      </w:r>
      <w:r w:rsidRPr="00C00255">
        <w:rPr>
          <w:color w:val="000000"/>
        </w:rPr>
        <w:t xml:space="preserve">sausio 14 d. posėdyje, kuriame </w:t>
      </w:r>
      <w:r w:rsidRPr="00C00255">
        <w:t>jis aiškiai palaikė TSRS vykdytą politiką prieš Lietuvą, pateisino 1991 m. sausio mėn. įvykius ir dėl jų kaltino Lietuvos vadovus, jų priimtus antikonstitucinius aktus, o ne TSRS kariuomenę (t. 195, b. l. 89–119; t. 453, b. l. 60–66)</w:t>
      </w:r>
      <w:r w:rsidRPr="00C00255">
        <w:rPr>
          <w:color w:val="000000"/>
        </w:rPr>
        <w:t xml:space="preserve">), leidžia daryti abejonių nekeliančią išvadą, kad </w:t>
      </w:r>
      <w:r w:rsidR="00385BC9">
        <w:rPr>
          <w:color w:val="000000"/>
        </w:rPr>
        <w:t>D. J.</w:t>
      </w:r>
      <w:r w:rsidRPr="00C00255">
        <w:rPr>
          <w:rFonts w:eastAsia="Calibri"/>
          <w:color w:val="000000"/>
        </w:rPr>
        <w:t xml:space="preserve"> ne tik </w:t>
      </w:r>
      <w:r w:rsidRPr="00C00255">
        <w:rPr>
          <w:color w:val="000000"/>
        </w:rPr>
        <w:t>palaikė, bet ir, kaip vienas aukščiausios tuometinės TSRS valdžios atstovų, formavo TSRS vykdytą politiką Lietuvos atžvilgiu bei kartu su LKP/TSKP CK nariais siekė įvesti TSRS Prezidentinį valdymą Lietuvoje bei pritarė ir netgi davė įsakymus jėgos panaudojimui.</w:t>
      </w:r>
    </w:p>
    <w:p w:rsidR="00EC36F2" w:rsidRPr="00C00255" w:rsidRDefault="00EC36F2" w:rsidP="00EC36F2">
      <w:pPr>
        <w:pStyle w:val="NormalWeb"/>
        <w:numPr>
          <w:ilvl w:val="0"/>
          <w:numId w:val="6"/>
        </w:numPr>
        <w:spacing w:before="120" w:beforeAutospacing="0" w:after="120" w:afterAutospacing="0"/>
        <w:ind w:left="992" w:hanging="992"/>
      </w:pPr>
      <w:r w:rsidRPr="00C00255">
        <w:t xml:space="preserve">Apie TSRS gynybos ministro </w:t>
      </w:r>
      <w:r w:rsidR="00385BC9">
        <w:t>D. J.</w:t>
      </w:r>
      <w:r w:rsidRPr="00C00255">
        <w:t xml:space="preserve"> pritarimą jėgos panaudojimui galima spręsti ne tik iš objektyvių TSRS kariuomenės veiksmų, TSRS generalinio štabo vado telegramos apie </w:t>
      </w:r>
      <w:r w:rsidR="00385BC9">
        <w:t>D. J.</w:t>
      </w:r>
      <w:r w:rsidRPr="00C00255">
        <w:t xml:space="preserve"> įsakymą, jau minėto jo kartu su TSRS vidaus reikalų ministru priimto sprendimo dėl kariškių patruliavimo ir TSRS kariuomenės perdislokavimo, bet taip pat ir iš paties </w:t>
      </w:r>
      <w:r w:rsidR="00385BC9">
        <w:t>D. J.</w:t>
      </w:r>
      <w:r w:rsidRPr="00C00255">
        <w:t xml:space="preserve"> pasirašyto rašto TSRS generaliniam prokurorui jau po byloje nagrinėjamų 1991 m. sausio įvykių. </w:t>
      </w:r>
    </w:p>
    <w:p w:rsidR="00EC36F2" w:rsidRPr="00C00255" w:rsidRDefault="00EC36F2" w:rsidP="00EC36F2">
      <w:pPr>
        <w:pStyle w:val="NormalWeb"/>
        <w:numPr>
          <w:ilvl w:val="0"/>
          <w:numId w:val="6"/>
        </w:numPr>
        <w:spacing w:before="120" w:beforeAutospacing="0" w:after="120" w:afterAutospacing="0"/>
        <w:ind w:left="992" w:hanging="992"/>
      </w:pPr>
      <w:r w:rsidRPr="00C00255">
        <w:t xml:space="preserve">Byloje esančio </w:t>
      </w:r>
      <w:r w:rsidRPr="00C00255">
        <w:rPr>
          <w:color w:val="000000"/>
        </w:rPr>
        <w:t xml:space="preserve">TSRS gynybos ministro </w:t>
      </w:r>
      <w:r w:rsidR="00385BC9">
        <w:rPr>
          <w:color w:val="000000"/>
        </w:rPr>
        <w:t>D. J.</w:t>
      </w:r>
      <w:r w:rsidRPr="00C00255">
        <w:rPr>
          <w:color w:val="000000"/>
        </w:rPr>
        <w:t xml:space="preserve"> 1991 m. vasario 20 d. rašto Nr. 225/03 TSRS generaliniam prokurorui turinys aiškiai patvirtina, kad kariuomenės dalinių iš Pskovo (divizijų Nr. 234 ir 76) perdislokavimas nebuvo susijęs su šauktinių į TSRS kariuomenę užtikrinimu, kaip buvo bandoma teigti byloje, bet kariuomenė perdislokuota siekiant įvesti tvarką dėl tariamų masinių neramumų prie TV bokšto ir pan., kad karinė operacija Vilniuje vykdyta pagal LNGK prašymą“. Prie šio rašto pridėtuose ir taip pat </w:t>
      </w:r>
      <w:r w:rsidR="00385BC9">
        <w:rPr>
          <w:color w:val="000000"/>
        </w:rPr>
        <w:t>D. J.</w:t>
      </w:r>
      <w:r w:rsidRPr="00C00255">
        <w:rPr>
          <w:color w:val="000000"/>
        </w:rPr>
        <w:t xml:space="preserve"> pasirašytuose prieduose dar detaliau atskleista TSRS jėgos panaudojimo priežastis, nurodant, kad 1991 m. sausio 12 d. kilo būtinybė ginti darbininkų draugoves nuo ginkluoto Sąjūdžio (t. 115, b. l. 279</w:t>
      </w:r>
      <w:r w:rsidRPr="00C00255">
        <w:t>–</w:t>
      </w:r>
      <w:r w:rsidRPr="00C00255">
        <w:rPr>
          <w:color w:val="000000"/>
        </w:rPr>
        <w:t>193, t. 428, b. l. 236</w:t>
      </w:r>
      <w:r w:rsidRPr="00C00255">
        <w:t>–</w:t>
      </w:r>
      <w:r w:rsidRPr="00C00255">
        <w:rPr>
          <w:color w:val="000000"/>
        </w:rPr>
        <w:t xml:space="preserve">247). </w:t>
      </w:r>
    </w:p>
    <w:p w:rsidR="0072749F" w:rsidRPr="00C00255" w:rsidRDefault="00EC36F2" w:rsidP="0072749F">
      <w:pPr>
        <w:pStyle w:val="NormalWeb"/>
        <w:numPr>
          <w:ilvl w:val="0"/>
          <w:numId w:val="6"/>
        </w:numPr>
        <w:spacing w:before="120" w:beforeAutospacing="0" w:after="120" w:afterAutospacing="0"/>
        <w:ind w:left="992" w:hanging="992"/>
      </w:pPr>
      <w:r w:rsidRPr="00C00255">
        <w:t>Visgi priešingai, nei bandyta nurodyti šiame rašte, objektyvūs duomenys apie pasiruošimą jėgos panaudojimui (kariuomenės iš Pskovo, o taip pat ir minėtame rašte nutylėto TSRS VSK specialaus dalinio „A“ perdislokavimas į Vilnių, LKP/TSKP paruoštas planas dėl ypatingosios padėties ir prezidentinio valdymo įvedimo, LKP/TSKP bendradarbiavimas su TSRS jėgos struktūromis ir kt.) liudija, kad jėgos panaudojimui, kaip ir valdžios perėmimui, buvo ruoštasi gerokai anksčiau iki Sausio įvykių ir jokio poreikio gintis, užgrobiant strateginius pastatus, nebuvo. Būtent šių pastatų užėmimas, o ne tariama gynyba ir buvo tiesioginis TSRS valdžios ir LKP/TSKP uždavinys, siekiant Lietuvoje atkurti TSRS valdžią.</w:t>
      </w:r>
    </w:p>
    <w:p w:rsidR="0003079E" w:rsidRPr="00C00255" w:rsidRDefault="0072749F" w:rsidP="001D0506">
      <w:pPr>
        <w:pStyle w:val="NormalWeb"/>
        <w:numPr>
          <w:ilvl w:val="0"/>
          <w:numId w:val="6"/>
        </w:numPr>
        <w:spacing w:before="120" w:beforeAutospacing="0" w:after="120" w:afterAutospacing="0"/>
        <w:ind w:left="992" w:hanging="992"/>
      </w:pPr>
      <w:r w:rsidRPr="00C00255">
        <w:t xml:space="preserve">Pastebėtina, kad </w:t>
      </w:r>
      <w:r w:rsidR="00385BC9">
        <w:t>D. J.</w:t>
      </w:r>
      <w:r w:rsidRPr="00C00255">
        <w:t xml:space="preserve"> ir byloje aiškiai matomą TSRS TSKP ir LKP/TSKP atstovų poziciją dėl tariamos gynybos būtinybės, neabejotinai paneigia ir byloje surinkti dokumentai apie LKP/TSKP aktyvistų raštu ne kartą išdėstytą poziciją po kruvinų 1991 m. sausio įvykių. </w:t>
      </w:r>
    </w:p>
    <w:p w:rsidR="0072749F" w:rsidRPr="00C00255" w:rsidRDefault="0072749F" w:rsidP="0072749F">
      <w:pPr>
        <w:pStyle w:val="NormalWeb"/>
        <w:numPr>
          <w:ilvl w:val="1"/>
          <w:numId w:val="6"/>
        </w:numPr>
        <w:spacing w:before="120" w:beforeAutospacing="0" w:after="120" w:afterAutospacing="0"/>
        <w:ind w:left="992" w:hanging="992"/>
      </w:pPr>
      <w:r w:rsidRPr="00C00255">
        <w:t xml:space="preserve">LKP/TSKP Vilniaus m. komiteto plenume, vykusiame jau po 1991 m. sausio 13 d. įvykių, LKP/TSKP pakartotinai reikalavo, kad TSRS valstybiniai valdžios ir valdymo organai kartu su TSRS vidaus reikalų ministru </w:t>
      </w:r>
      <w:r w:rsidR="00C507EF">
        <w:t>B. P.</w:t>
      </w:r>
      <w:r w:rsidRPr="00C00255">
        <w:t xml:space="preserve"> skubiai įvestų Lietuvoje Ypatingąją padėtį ir TSRS prezidentinį valdymą (t. 231, b. l. 28–32; t. 688, b. l. 7–8). </w:t>
      </w:r>
    </w:p>
    <w:p w:rsidR="0072749F" w:rsidRPr="00C00255" w:rsidRDefault="0072749F" w:rsidP="0072749F">
      <w:pPr>
        <w:pStyle w:val="NormalWeb"/>
        <w:numPr>
          <w:ilvl w:val="1"/>
          <w:numId w:val="6"/>
        </w:numPr>
        <w:spacing w:before="120" w:beforeAutospacing="0" w:after="120" w:afterAutospacing="0"/>
        <w:ind w:left="992" w:hanging="992"/>
      </w:pPr>
      <w:r w:rsidRPr="00C00255">
        <w:t>Rezoliucijoje „Dėl visuomeninės-politinės situacijos Vilniaus mieste ir miesto partinės organizacijos veiksmų“ LKP/TSKP nurodė palaikanti ir pasitikinti LNGK veikla, pateisinanti TSRS kariškių, darbininkų draugovių veiksmus sausio 13 d. naktį. Rezoliucijoje ir toliau buvo reikalaujama nedelsiant Lietuvoje įvesti TSRS prezidentinį valdymą, partinės organizacijos buvo kviečiamos susitelkti ir organizuotai duoti atkirtį</w:t>
      </w:r>
      <w:r w:rsidR="005A493E">
        <w:t xml:space="preserve"> Lietuvos reakcinėms jėgoms (t. </w:t>
      </w:r>
      <w:r w:rsidRPr="00C00255">
        <w:t>226</w:t>
      </w:r>
      <w:r w:rsidR="005A493E">
        <w:t>, </w:t>
      </w:r>
      <w:r w:rsidRPr="00C00255">
        <w:t xml:space="preserve">b. l. 85–86; t. 687, b. l. 141). </w:t>
      </w:r>
    </w:p>
    <w:p w:rsidR="0072749F" w:rsidRPr="00C00255" w:rsidRDefault="0072749F" w:rsidP="0072749F">
      <w:pPr>
        <w:pStyle w:val="NormalWeb"/>
        <w:numPr>
          <w:ilvl w:val="1"/>
          <w:numId w:val="6"/>
        </w:numPr>
        <w:spacing w:before="120" w:beforeAutospacing="0" w:after="120" w:afterAutospacing="0"/>
        <w:ind w:left="992" w:hanging="992"/>
      </w:pPr>
      <w:r w:rsidRPr="00C00255">
        <w:t xml:space="preserve">1991 m. sausio 14 d. pakartotinai buvo reikalaujama neatidėliotinai įvesti TSRS prezidentinį valdymą, paleisti Lietuvos Parlamentą, įvesti komendanto valandą, nustatyti komunistų veiklos strategiją ir taktiką, </w:t>
      </w:r>
      <w:r w:rsidRPr="00C00255">
        <w:rPr>
          <w:i/>
          <w:iCs/>
        </w:rPr>
        <w:t>įspėjama, kad to nepadarius, vėl bus kraujo</w:t>
      </w:r>
      <w:r w:rsidRPr="00C00255">
        <w:t xml:space="preserve">, nes LKP/TSKP nenusileis, nes viską, kas pradėta, reikia vykdyti iki galo ir įvesti Nepaprastosios padėties režimą (t. 233, b. l. 5–6; t. 688, b. l. 9–13). </w:t>
      </w:r>
    </w:p>
    <w:p w:rsidR="001D0506" w:rsidRPr="00C00255" w:rsidRDefault="00EC36F2" w:rsidP="001D0506">
      <w:pPr>
        <w:pStyle w:val="NormalWeb"/>
        <w:numPr>
          <w:ilvl w:val="0"/>
          <w:numId w:val="6"/>
        </w:numPr>
        <w:spacing w:before="120" w:beforeAutospacing="0" w:after="120" w:afterAutospacing="0"/>
        <w:ind w:left="992" w:hanging="992"/>
        <w:rPr>
          <w:color w:val="000000"/>
        </w:rPr>
      </w:pPr>
      <w:r w:rsidRPr="00C00255">
        <w:t xml:space="preserve">Apie aukščiausių TSRS valdžios bei kariuomenės vadovų, taip pat ir TSRS gynybos ministro </w:t>
      </w:r>
      <w:r w:rsidR="00385BC9">
        <w:t>D. J.</w:t>
      </w:r>
      <w:r w:rsidRPr="00C00255">
        <w:t xml:space="preserve">, siekį atkurti TSRS valdžią Lietuvoje, be kita ko, ir panaudojant jėgą, byloje </w:t>
      </w:r>
      <w:r w:rsidR="000B0704" w:rsidRPr="00C00255">
        <w:t xml:space="preserve">patvirtina </w:t>
      </w:r>
      <w:r w:rsidRPr="00C00255">
        <w:t>ir teisiamajame posėdyje apkl</w:t>
      </w:r>
      <w:r w:rsidR="0072749F" w:rsidRPr="00C00255">
        <w:t xml:space="preserve">austų liudytojų </w:t>
      </w:r>
      <w:r w:rsidR="00DD1A27">
        <w:t>V. L.</w:t>
      </w:r>
      <w:r w:rsidR="0072749F" w:rsidRPr="00C00255">
        <w:t>, </w:t>
      </w:r>
      <w:r w:rsidR="00DD1A27">
        <w:t>E. B.</w:t>
      </w:r>
      <w:r w:rsidRPr="00C00255">
        <w:t xml:space="preserve">, </w:t>
      </w:r>
      <w:r w:rsidR="00DD1A27">
        <w:t>P. L.</w:t>
      </w:r>
      <w:r w:rsidRPr="00C00255">
        <w:t xml:space="preserve">, </w:t>
      </w:r>
      <w:r w:rsidR="00660130">
        <w:t>K. M.</w:t>
      </w:r>
      <w:r w:rsidRPr="00C00255">
        <w:t xml:space="preserve">, </w:t>
      </w:r>
      <w:r w:rsidR="00DD1A27">
        <w:t>A. B.</w:t>
      </w:r>
      <w:r w:rsidRPr="00C00255">
        <w:t xml:space="preserve"> ir kt. parodymai.</w:t>
      </w:r>
    </w:p>
    <w:p w:rsidR="0072749F" w:rsidRPr="00C00255" w:rsidRDefault="00EC36F2" w:rsidP="0072749F">
      <w:pPr>
        <w:pStyle w:val="NormalWeb"/>
        <w:numPr>
          <w:ilvl w:val="1"/>
          <w:numId w:val="6"/>
        </w:numPr>
        <w:spacing w:before="120" w:beforeAutospacing="0" w:after="120" w:afterAutospacing="0"/>
        <w:ind w:left="992" w:hanging="992"/>
        <w:rPr>
          <w:color w:val="000000"/>
        </w:rPr>
      </w:pPr>
      <w:r w:rsidRPr="00C00255">
        <w:rPr>
          <w:color w:val="000000"/>
        </w:rPr>
        <w:t xml:space="preserve">Teisiamajame posėdyje liudytoju apklaustas tuometinis </w:t>
      </w:r>
      <w:r w:rsidRPr="00C00255">
        <w:rPr>
          <w:color w:val="202122"/>
          <w:shd w:val="clear" w:color="auto" w:fill="FFFFFF"/>
        </w:rPr>
        <w:t>Lietuvos Respublikos Aukščiausiosios Tarybos pirmininkas</w:t>
      </w:r>
      <w:r w:rsidRPr="00C00255">
        <w:rPr>
          <w:color w:val="000000"/>
        </w:rPr>
        <w:t xml:space="preserve"> </w:t>
      </w:r>
      <w:r w:rsidR="00DD1A27">
        <w:rPr>
          <w:color w:val="000000"/>
        </w:rPr>
        <w:t>V. L.</w:t>
      </w:r>
      <w:r w:rsidRPr="00C00255">
        <w:rPr>
          <w:color w:val="000000"/>
        </w:rPr>
        <w:t xml:space="preserve">, be kita ko, nurodė, kad bendraudamas su aukštas pareigas einančiais TSRS kariškiais, kurie tvirtino, jog vykdys TSRS Konstituciją ir įves savo konstitucinę tvarką, šiems kariškiams yra nurodęs, kad tokiu atveju jų perspektyva </w:t>
      </w:r>
      <w:r w:rsidRPr="00C00255">
        <w:t xml:space="preserve">– </w:t>
      </w:r>
      <w:r w:rsidRPr="00C00255">
        <w:rPr>
          <w:color w:val="000000"/>
        </w:rPr>
        <w:t xml:space="preserve">Niurnbergo tribunolas, kuriame buvo teisiami tariamai teisėtus įsakymus vykdę kariškiai. Atviru pasiruošimo jėgos panaudojimui ženklu buvo 1990 metų gruodžio pabaigoje TSRS ministrų </w:t>
      </w:r>
      <w:r w:rsidR="00385BC9">
        <w:rPr>
          <w:color w:val="000000"/>
        </w:rPr>
        <w:t>D. J.</w:t>
      </w:r>
      <w:r w:rsidRPr="00C00255">
        <w:rPr>
          <w:color w:val="000000"/>
        </w:rPr>
        <w:t xml:space="preserve"> ir </w:t>
      </w:r>
      <w:r w:rsidR="00C507EF">
        <w:rPr>
          <w:color w:val="000000"/>
        </w:rPr>
        <w:t>B. P.</w:t>
      </w:r>
      <w:r w:rsidRPr="00C00255">
        <w:rPr>
          <w:color w:val="000000"/>
        </w:rPr>
        <w:t xml:space="preserve"> ar </w:t>
      </w:r>
      <w:r w:rsidR="00C507EF">
        <w:rPr>
          <w:color w:val="000000"/>
        </w:rPr>
        <w:t>V. K.</w:t>
      </w:r>
      <w:r w:rsidRPr="00C00255">
        <w:rPr>
          <w:color w:val="000000"/>
        </w:rPr>
        <w:t xml:space="preserve"> priimtas sprendimas, numatęs TSRS kariškiams teisę kontroliuoti padėtį visose TSRS respublikose su plačiomis teisėmis bet ką suimti ar patekti į gyvenamąsias patalpas. Tai buvo pasirengimas kariniam smurtavimui, buvo tik laukiama tam tinkamos dienos (t. 756, b. l. 74</w:t>
      </w:r>
      <w:r w:rsidRPr="00C00255">
        <w:t>– </w:t>
      </w:r>
      <w:r w:rsidRPr="00C00255">
        <w:rPr>
          <w:color w:val="000000"/>
        </w:rPr>
        <w:t>89).</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t xml:space="preserve">Teisiamajame posėdyje apklaustas tuometinis Lietuvos Aukščiausiosios Tarybos Prezidiumo narys, taip pat </w:t>
      </w:r>
      <w:r w:rsidR="005A493E">
        <w:t>(duomenys neskelbtini)</w:t>
      </w:r>
      <w:r w:rsidRPr="00C00255">
        <w:t xml:space="preserve"> liudytojas </w:t>
      </w:r>
      <w:r w:rsidR="00DD1A27">
        <w:t>E. B.</w:t>
      </w:r>
      <w:r w:rsidR="005A493E">
        <w:t>, be kita ko, nurodė, kad 1990 m. </w:t>
      </w:r>
      <w:r w:rsidRPr="00C00255">
        <w:t xml:space="preserve">kovo 13 d. TSRS liaudies deputatų suvažiavimo metu, kur dalyvavo ir </w:t>
      </w:r>
      <w:r w:rsidR="00385BC9">
        <w:t>D. J.</w:t>
      </w:r>
      <w:r w:rsidRPr="00C00255">
        <w:t xml:space="preserve"> bei </w:t>
      </w:r>
      <w:r w:rsidR="00C507EF">
        <w:t>V. K.</w:t>
      </w:r>
      <w:r w:rsidRPr="00C00255">
        <w:t xml:space="preserve">, asmeniškai </w:t>
      </w:r>
      <w:r w:rsidR="00DD1A27">
        <w:t>M. G.</w:t>
      </w:r>
      <w:r w:rsidRPr="00C00255">
        <w:t xml:space="preserve"> įteikė kovo 11 d. Lietuvoje pasirašytus dokumentus. Federacijos posėdyje, kalbant apie Lietuvą, kilo labai aštrus žodinis konfliktas su generolu V</w:t>
      </w:r>
      <w:r w:rsidR="00660130">
        <w:t>.</w:t>
      </w:r>
      <w:r w:rsidRPr="00C00255">
        <w:t xml:space="preserve">, kuris buvo vienas iš aršiausių ir nuosekliausių jėgos panaudojimo šalininkų. Sausio 12 d. Kremliuje vyko Tarybų Sąjungos Federacijos tarybos posėdis, kuriame dalyvavo </w:t>
      </w:r>
      <w:r w:rsidR="00DD1A27">
        <w:t>M. G.</w:t>
      </w:r>
      <w:r w:rsidRPr="00C00255">
        <w:t xml:space="preserve">, Ministrų Tarybos pirmininkas, ministrai ir kiti pareigūnai, taip pat sąjunginių respublikų vadovai. Tokiuose posėdžiuose liudytojas dalyvaudavo Lietuvos vadovybės pavedimu, kaip stebėtojas. Įtampa šio posėdžio metu buvo didelė, kadangi liudytojas susirinkusiuosius informavo apie tai, kad į Lietuvą yra perkelta papildomų karinių dalinių. Po posėdžio liudytojas pasakė </w:t>
      </w:r>
      <w:r w:rsidR="00DD1A27">
        <w:t>M. G.</w:t>
      </w:r>
      <w:r w:rsidRPr="00C00255">
        <w:t>, kad daroma didelė klaida, jei manoma, kad visas problemas galima išspręsti jėgos panaudojimu. Tačiau </w:t>
      </w:r>
      <w:r w:rsidR="00DD1A27">
        <w:t>M. G.</w:t>
      </w:r>
      <w:r w:rsidRPr="00C00255">
        <w:t xml:space="preserve"> į tai reagavo numodamas ranka. Iš tokio TSRS prezidento elgesio </w:t>
      </w:r>
      <w:r w:rsidR="00DD1A27">
        <w:t>E. B.</w:t>
      </w:r>
      <w:r w:rsidRPr="00C00255">
        <w:t xml:space="preserve"> suprato, kad sprendimai Lietuvos klausimu jau priimti, bet kokie tie sprendimai, nežinojo (t. 756, b. l. 89–100). </w:t>
      </w:r>
    </w:p>
    <w:p w:rsidR="00EC36F2" w:rsidRPr="000E2C88" w:rsidRDefault="00EC36F2" w:rsidP="00EB01B7">
      <w:pPr>
        <w:pStyle w:val="NormalWeb"/>
        <w:numPr>
          <w:ilvl w:val="1"/>
          <w:numId w:val="6"/>
        </w:numPr>
        <w:spacing w:before="120" w:beforeAutospacing="0" w:after="120" w:afterAutospacing="0"/>
        <w:ind w:left="992" w:hanging="992"/>
        <w:rPr>
          <w:color w:val="000000"/>
        </w:rPr>
      </w:pPr>
      <w:r w:rsidRPr="000E2C88">
        <w:t xml:space="preserve">Teisiamajame posėdyje apklaustas tuometinis </w:t>
      </w:r>
      <w:r w:rsidRPr="000E2C88">
        <w:rPr>
          <w:rFonts w:eastAsia="Calibri"/>
        </w:rPr>
        <w:t>Lietuvos Respublikos vidaus reikalų ministro pavaduotojas</w:t>
      </w:r>
      <w:r w:rsidRPr="000E2C88">
        <w:t xml:space="preserve"> liudytojas </w:t>
      </w:r>
      <w:r w:rsidR="00DD1A27" w:rsidRPr="000E2C88">
        <w:t>P. L.</w:t>
      </w:r>
      <w:r w:rsidRPr="000E2C88">
        <w:rPr>
          <w:rFonts w:eastAsia="Calibri"/>
        </w:rPr>
        <w:t>,</w:t>
      </w:r>
      <w:r w:rsidRPr="000E2C88">
        <w:t xml:space="preserve"> be kita ko, nurodė, kad</w:t>
      </w:r>
      <w:r w:rsidRPr="000E2C88">
        <w:rPr>
          <w:rFonts w:eastAsia="Calibri"/>
        </w:rPr>
        <w:t xml:space="preserve"> 1990 m. pabaigoje santykiai su TSRS kariškiais buvo itin įtempti. TSRS gynybos ministro </w:t>
      </w:r>
      <w:r w:rsidR="00385BC9" w:rsidRPr="000E2C88">
        <w:rPr>
          <w:rFonts w:eastAsia="Calibri"/>
        </w:rPr>
        <w:t>D. J.</w:t>
      </w:r>
      <w:r w:rsidRPr="000E2C88">
        <w:rPr>
          <w:rFonts w:eastAsia="Calibri"/>
        </w:rPr>
        <w:t xml:space="preserve"> laiške TSRS Ministrų Tarybos pirmininkui R</w:t>
      </w:r>
      <w:r w:rsidR="005A493E" w:rsidRPr="000E2C88">
        <w:rPr>
          <w:rFonts w:eastAsia="Calibri"/>
        </w:rPr>
        <w:t>.</w:t>
      </w:r>
      <w:r w:rsidRPr="000E2C88">
        <w:rPr>
          <w:rFonts w:eastAsia="Calibri"/>
        </w:rPr>
        <w:t xml:space="preserve">, kurį liudytojas pacitavo teismo posėdyje, buvo nurodoma, kad „TSRS gynybos ministerija, laikydama Pabaltijo Respublikas Tarybų Sąjungos teritorijos dalimi, pasilieka teisę nurodyti kariuomenės, dislokuotos Lietuvoje, Latvijoje ir Estijoje, vadovybei nevykdyti Muitinės tarnybų atstovų reikalavimų ir užkardyti jų neteisėtą veiklą“. 1990 m. lapkričio 17 d. prie karinio Šiaurės miestelio sovietiniai kareiviai apipylė piketuotojus vandeniu, paleido šūvius virš žmonių galvų. Kartu su ministru </w:t>
      </w:r>
      <w:r w:rsidR="00DD1A27" w:rsidRPr="000E2C88">
        <w:rPr>
          <w:rFonts w:eastAsia="Calibri"/>
        </w:rPr>
        <w:t>M. M.</w:t>
      </w:r>
      <w:r w:rsidRPr="000E2C88">
        <w:rPr>
          <w:rFonts w:eastAsia="Calibri"/>
        </w:rPr>
        <w:t xml:space="preserve"> nuvykus pas ka</w:t>
      </w:r>
      <w:r w:rsidR="0072749F" w:rsidRPr="000E2C88">
        <w:rPr>
          <w:rFonts w:eastAsia="Calibri"/>
        </w:rPr>
        <w:t xml:space="preserve">rinio Šiaurės miestelio vadą </w:t>
      </w:r>
      <w:r w:rsidR="006036E7" w:rsidRPr="000E2C88">
        <w:rPr>
          <w:rFonts w:eastAsia="Calibri"/>
        </w:rPr>
        <w:t>V. U. 1</w:t>
      </w:r>
      <w:r w:rsidRPr="000E2C88">
        <w:rPr>
          <w:rFonts w:eastAsia="Calibri"/>
        </w:rPr>
        <w:t>, šis įspėjo, kad kitą kartą šūviai bus paleisti ne vi</w:t>
      </w:r>
      <w:r w:rsidR="005A493E" w:rsidRPr="000E2C88">
        <w:rPr>
          <w:rFonts w:eastAsia="Calibri"/>
        </w:rPr>
        <w:t>rš galvų, bet į žmones. 1990 m. </w:t>
      </w:r>
      <w:r w:rsidRPr="000E2C88">
        <w:rPr>
          <w:rFonts w:eastAsia="Calibri"/>
        </w:rPr>
        <w:t xml:space="preserve">gruodžio 29 d. TSRS gynybos ministras </w:t>
      </w:r>
      <w:r w:rsidR="00385BC9" w:rsidRPr="000E2C88">
        <w:rPr>
          <w:rFonts w:eastAsia="Calibri"/>
        </w:rPr>
        <w:t>D. J.</w:t>
      </w:r>
      <w:r w:rsidRPr="000E2C88">
        <w:rPr>
          <w:rFonts w:eastAsia="Calibri"/>
        </w:rPr>
        <w:t xml:space="preserve"> ir T</w:t>
      </w:r>
      <w:r w:rsidR="0072749F" w:rsidRPr="000E2C88">
        <w:rPr>
          <w:rFonts w:eastAsia="Calibri"/>
        </w:rPr>
        <w:t xml:space="preserve">SRS vidaus reikalų ministras </w:t>
      </w:r>
      <w:r w:rsidR="00C507EF" w:rsidRPr="000E2C88">
        <w:rPr>
          <w:rFonts w:eastAsia="Calibri"/>
        </w:rPr>
        <w:t>B. P.</w:t>
      </w:r>
      <w:r w:rsidRPr="000E2C88">
        <w:rPr>
          <w:rFonts w:eastAsia="Calibri"/>
        </w:rPr>
        <w:t xml:space="preserve"> pasirašė bendrą įsakymą „Dėl VRM darbuotojų ir kariškių bendro patruliavimo, naudojant BTR ir ginklus“. Po šio įsakymo miesto gatvėse prasidėjo ginkluotas TSRS kariškių patruliavimas </w:t>
      </w:r>
      <w:r w:rsidRPr="000E2C88">
        <w:t xml:space="preserve">(t. 761, b. l. 56–60). </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t xml:space="preserve">Teisiamajame posėdyje apklaustas tuometinis Lietuvos Aukščiausios Tarybos pirmininko pavaduotojas </w:t>
      </w:r>
      <w:r w:rsidR="00660130">
        <w:t>K. M.</w:t>
      </w:r>
      <w:r w:rsidRPr="00C00255">
        <w:t>, be kita ko, nurodė, kad, stabdant nepriklausomybės atkūrimo procesą ir siekiant jį panaikinti, didelį vaidmenį Lietuvoje atliko Nacionalinio gelbėjimo komitetas. Kas jam vadovavo nežino, tačiau viskam buvo vadovaujama iš Maskvos. Nacionalinio gelbėjimo komitetas buvo Maskvos organizuotas darinys, kuriuo norėta sugriauti Lietuvos siekius atkurti nepriklausomybę ir jėga numalšinti pasipriešinimą. Ir TSRS kariuomenė, ir Nacionalinio išgelbėjimo padaliniai veikė sutartinai (t. 756, b. l. 126–129).</w:t>
      </w:r>
    </w:p>
    <w:p w:rsidR="0072749F" w:rsidRPr="00C00255" w:rsidRDefault="00EC36F2" w:rsidP="0072749F">
      <w:pPr>
        <w:pStyle w:val="NormalWeb"/>
        <w:numPr>
          <w:ilvl w:val="1"/>
          <w:numId w:val="6"/>
        </w:numPr>
        <w:spacing w:before="120" w:beforeAutospacing="0" w:after="120" w:afterAutospacing="0"/>
        <w:ind w:left="992" w:hanging="992"/>
        <w:rPr>
          <w:color w:val="000000"/>
        </w:rPr>
      </w:pPr>
      <w:r w:rsidRPr="00C00255">
        <w:t xml:space="preserve">Teisiamajame posėdyje apklaustas tuometinis Lietuvos Respublikos krašto apsaugos departamento direktorius, o vėliau Lietuvos Respublikos krašto apsaugos ministras liudytojas </w:t>
      </w:r>
      <w:r w:rsidR="00DD1A27">
        <w:t>A. B.</w:t>
      </w:r>
      <w:r w:rsidRPr="00C00255">
        <w:t>, be kita ko, parodė, kad 1991 metais paskelbusi nepriklausomybę Lietuva susidūrė su įvairiomis spaudimo formomis iš tuometinės TSRS vadovybės. Laikotarpį nuo 1990 m. kovo 11-osios iki 1991 m. rugpjūčio pabaigos vertina kaip užtęstą konfliktą, kuriame Lietuva grėsmes patyrė kiekvieną dieną, o 1991 m. sausio įvykiai Vilniuje buvo kulminacija. Įvykių pradžia laiko sausio 2–3 dienas, kai tarybiniai kariškiai pradėjo naudoti įvairias jėgos pareiškimo formas. Apie ketinimą panaudoti jėgą valandų tikslumu buvo žinoma iš tuomet jau veikusios Lietuvos žvalgybos dokumentų, TSRS gynybos ministerijoje dirbusių asmenų, taip pat ir Lietuvoje veikusio KGB padalinio darbuotojų. Jam, kaip derybų su TSRS delegacijos nariui, atsakingam už derybas su TSRS gynybos ministerija, jau nuo 1990 m. rugpjūčio mėnesio vidurio buvo žinoma apie TSRS kariuomenės dislokavimo Lietuvoje aspektus. Viename iš derybų grupės posėdžių TSRS generalinio štabo viršininkas M</w:t>
      </w:r>
      <w:r w:rsidR="005A493E">
        <w:t xml:space="preserve">. </w:t>
      </w:r>
      <w:r w:rsidRPr="00C00255">
        <w:t>užsiminė, kad sudėtingoms deryboms trukdo skirtinga LKP/TSKP vadovų pozicija. Buvo konkrečiai kalbama, kad šie asmenys turi įtaką tuometinėje TSKP CK vadovybėje ir sudaro pagrindinę problemą Lietuvai derėtis. Jau 1990 m. rugsėjo mėnesį buvo žinoma, kad ruošiamas komitetas, kuris aktyviai bendradarbiauja su į Rygą perkeltu situacijos koordinavimo štabu. Į štabą buvo įjungti TSRS vidaus reikalų ministerijos, KGB ir kariuomenės atstovai. Štabas koordinavo veiksmus, siekiant suvaldyti padėtį trijose Baltijos valstybėse ir, remdamasis Lietuvoje veikusios LKP/TSKP nariais, organizavo pasipriešinimą atkurtai valstybei. Susitikimai su F.</w:t>
      </w:r>
      <w:r w:rsidR="00916A1E">
        <w:t> </w:t>
      </w:r>
      <w:r w:rsidRPr="00C00255">
        <w:t>K</w:t>
      </w:r>
      <w:r w:rsidR="00D220F2">
        <w:t>.</w:t>
      </w:r>
      <w:r w:rsidRPr="00C00255">
        <w:t xml:space="preserve"> vyko Rygoje, o </w:t>
      </w:r>
      <w:r w:rsidR="00C507EF">
        <w:t>V. O.</w:t>
      </w:r>
      <w:r w:rsidRPr="00C00255">
        <w:t xml:space="preserve">, vienas iš pagrindinių Tarybų Sąjungos išsaugojimo panaudojant karinę jėgą ideologų ir vykdytojų, epizodiškai pasirodydavo Lietuvoje. Tuo metu </w:t>
      </w:r>
      <w:r w:rsidR="00DD1A27">
        <w:t>A. B.</w:t>
      </w:r>
      <w:r w:rsidRPr="00C00255">
        <w:t xml:space="preserve"> buvo vienintelis oficialus veikiančios ir, TSRS atstovų supratimu, nekonstitucinės karinės formuotės vadovas, todėl su TSRS karinių struktūrų vadais jis buvo susitikęs keliolika kartų. Neformalaus pokalbio su </w:t>
      </w:r>
      <w:r w:rsidR="00C507EF">
        <w:t>V. O.</w:t>
      </w:r>
      <w:r w:rsidRPr="00C00255">
        <w:t xml:space="preserve"> metu kalbėjo apie tai, kad iš Lietuvos pusės bus imamasi visų galimų priemonių, neleisiančių civiliams asmenims išprovokuoti konflikto su kariškiais. Išgirdęs šiuos argumentus, </w:t>
      </w:r>
      <w:r w:rsidR="00C507EF">
        <w:t>V. O.</w:t>
      </w:r>
      <w:r w:rsidRPr="00C00255">
        <w:t xml:space="preserve"> tiesiai pasakė, kad bet kuriuo atveju, jeigu bus įsakymas, kariškiai veiks nedvejodami. Tai buvo vienas pirmųjų susitikimų, vykusių po to, kai vykdant vieną iš </w:t>
      </w:r>
      <w:r w:rsidR="00C507EF">
        <w:t>V. O.</w:t>
      </w:r>
      <w:r w:rsidRPr="00C00255">
        <w:t xml:space="preserve"> nurodymų, vidaus kariuomenės kariškiai užėmė spaustuvę ir Spaudos rūmus. Karinės operacijos organizavimo štabas buvo sudarytas iš trijų TSRS žinybų – VRM, KGB ir GM kariškių. Kariškiai, turėdami tokios situacijos patirties, suvokė, kad gali būti apkaltinti dėl žudynių mieste, kad vadovai bus kaltinami dėl įvykių, todėl TSRS gynybos ministro pavaduotojas generolas V</w:t>
      </w:r>
      <w:r w:rsidR="00660130">
        <w:t>.</w:t>
      </w:r>
      <w:r w:rsidRPr="00C00255">
        <w:t xml:space="preserve"> tiesiog neatvyko į įvykių pradžią, jog būtų galima perkelti atsakomybę kitiems asmenims. Taip V</w:t>
      </w:r>
      <w:r w:rsidR="00660130">
        <w:t>.</w:t>
      </w:r>
      <w:r w:rsidRPr="00C00255">
        <w:t xml:space="preserve"> elgesį komentavo buvę jo pavaldiniai 1995 m. Maskvoje. Atsakydamas į klausimus, liudytojas </w:t>
      </w:r>
      <w:r w:rsidR="00DD1A27">
        <w:t>A. B.</w:t>
      </w:r>
      <w:r w:rsidRPr="00C00255">
        <w:t xml:space="preserve"> patikslino, kad KGB padalinys Lietuvoje nebuvo vienalytis ir </w:t>
      </w:r>
      <w:r w:rsidR="00D37127">
        <w:t>S. C.</w:t>
      </w:r>
      <w:r w:rsidRPr="00C00255">
        <w:t>, būdamas KGB padalinio Lietuvoje viršininko pavaduotoju, iš esmės vadovavo tik daliai KGB darbuotojų, kurių dauguma buvo rusakalbiai ir laikė save Tar</w:t>
      </w:r>
      <w:r w:rsidR="001D0506" w:rsidRPr="00C00255">
        <w:t xml:space="preserve">ybų Sąjungos idėjų gynėjais. </w:t>
      </w:r>
      <w:r w:rsidR="00C507EF">
        <w:t>V. A.</w:t>
      </w:r>
      <w:r w:rsidRPr="00C00255">
        <w:t xml:space="preserve">, būdamas profesionalus kariškis, puikiai suvokė, kad TSRS byra, kad nebus apsieita be kraujo. Su </w:t>
      </w:r>
      <w:r w:rsidR="00385BC9">
        <w:t>N. D.</w:t>
      </w:r>
      <w:r w:rsidRPr="00C00255">
        <w:t xml:space="preserve"> matėsi Maskvoje ir jam atvykus į Vilnių, </w:t>
      </w:r>
      <w:r w:rsidR="00385BC9">
        <w:t>N. D.</w:t>
      </w:r>
      <w:r w:rsidRPr="00C00255">
        <w:t xml:space="preserve"> Lietuvoje maskuodavosi. </w:t>
      </w:r>
      <w:r w:rsidR="00C507EF">
        <w:t>V. A.</w:t>
      </w:r>
      <w:r w:rsidRPr="00C00255">
        <w:t xml:space="preserve"> ir </w:t>
      </w:r>
      <w:r w:rsidR="00385BC9">
        <w:t>N. D.</w:t>
      </w:r>
      <w:r w:rsidRPr="00C00255">
        <w:t xml:space="preserve"> sausio 13 d. buvo Šiaurės miestelyje. Tai buvo trijų žinybų operacija, negalėjusi vykti be aukš</w:t>
      </w:r>
      <w:r w:rsidR="001D0506" w:rsidRPr="00C00255">
        <w:t xml:space="preserve">tesnės politinės vadovybės – </w:t>
      </w:r>
      <w:r w:rsidR="00DD1A27">
        <w:t>M. G.</w:t>
      </w:r>
      <w:r w:rsidRPr="00C00255">
        <w:t xml:space="preserve"> žinios, nes sujungti tris žinybas bendriems veiksmams be pastarojo įsikišimo buvo neįmanoma. Būtent tai ir buvo viena iš priežasčių, dėl ko TSRS karinei vadovybei teko permetinėti pajėgas iš Pskovo. Tiesiogiai, be maršalo </w:t>
      </w:r>
      <w:r w:rsidR="00385BC9">
        <w:t>D. J.</w:t>
      </w:r>
      <w:r w:rsidRPr="00C00255">
        <w:t xml:space="preserve"> žinios, kariuomenės padalinių perdislokavimas negalėjo būti vykdomas. Vyriausiasis TSRS ginkluotųjų pajėgų vadas </w:t>
      </w:r>
      <w:r w:rsidR="00DD1A27">
        <w:t>M. G.</w:t>
      </w:r>
      <w:r w:rsidRPr="00C00255">
        <w:t xml:space="preserve"> taip pat turėjo būti informuotas apie tai. Nors ir ne visa Pskovo divizija buvo pervesta į Vilnių, o pasirinkti žmonės, kurie vykdys konkrečią užduotį, bet net ir tokiu masteliu šių asmenų permetimas į Lietuvą negalėjo būti vykdomas be gynybos ministro žinios (t. 756, b. l. 129–137).</w:t>
      </w:r>
    </w:p>
    <w:p w:rsidR="0072749F" w:rsidRPr="00C00255" w:rsidRDefault="00EC36F2" w:rsidP="0072749F">
      <w:pPr>
        <w:pStyle w:val="NormalWeb"/>
        <w:numPr>
          <w:ilvl w:val="0"/>
          <w:numId w:val="6"/>
        </w:numPr>
        <w:spacing w:before="120" w:beforeAutospacing="0" w:after="120" w:afterAutospacing="0"/>
        <w:ind w:left="992" w:hanging="992"/>
        <w:rPr>
          <w:color w:val="000000"/>
        </w:rPr>
      </w:pPr>
      <w:r w:rsidRPr="00C00255">
        <w:t xml:space="preserve">Jau minėtus liudytojo </w:t>
      </w:r>
      <w:r w:rsidR="00DD1A27">
        <w:t>A. B.</w:t>
      </w:r>
      <w:r w:rsidRPr="00C00255">
        <w:t xml:space="preserve"> parodymus apie pasirengimą karinei operacijai, apie TSRS generalinio štabo sprendimus bei iš trijų žinybų (TSRS GM, VRM ir VSK) sudaryto štabo veiklą rengiantis karinei operacijai visiškai atitinka ir byloje pateikta karybos specialisto J. Andriškevičiaus išvada.</w:t>
      </w:r>
      <w:bookmarkStart w:id="238" w:name="_Hlk58830815"/>
      <w:r w:rsidRPr="00C00255">
        <w:t xml:space="preserve"> </w:t>
      </w:r>
    </w:p>
    <w:p w:rsidR="001D0506" w:rsidRPr="00C00255" w:rsidRDefault="00EC36F2" w:rsidP="001D0506">
      <w:pPr>
        <w:pStyle w:val="NormalWeb"/>
        <w:numPr>
          <w:ilvl w:val="0"/>
          <w:numId w:val="6"/>
        </w:numPr>
        <w:spacing w:before="120" w:beforeAutospacing="0" w:after="120" w:afterAutospacing="0"/>
        <w:ind w:left="992" w:hanging="992"/>
        <w:rPr>
          <w:color w:val="000000"/>
        </w:rPr>
      </w:pPr>
      <w:r w:rsidRPr="000E2C88">
        <w:rPr>
          <w:rFonts w:eastAsia="Calibri"/>
        </w:rPr>
        <w:t>Iš pirmosios instancijos teismo posėdyje ištirtos specialisto J. Andriškevičiaus 2014 m. birželio 10 d. išvados (t. 480, b. l. 34–81) bei jo teisme ir ikiteisminio tyrimo metu duotų paaiškinimų (</w:t>
      </w:r>
      <w:r w:rsidRPr="000E2C88">
        <w:t>t. 761, b. l. 58–67; t. 47</w:t>
      </w:r>
      <w:r w:rsidR="001D0506" w:rsidRPr="000E2C88">
        <w:t>9, b. l. 9–44, 125–152) apie J. </w:t>
      </w:r>
      <w:r w:rsidRPr="000E2C88">
        <w:t>Andriškevičiui gerai žinomą TSRS kariuomenės organizacinę struktūrą, joje priimamų sprendimų tvarką, atskirų kariuomenės padalinių specifiką, ginkluotę ir veikimo taktiką, taip pat įvertinant ir kitą byloje surinktą medžiagą, matyti, kad kaltinime inkriminuotos aplinkybės dėl karinės operacijos planavimo ir Vilniuje veikusio karinės operacijos vadovavimo štabo sudarymo bei jo sudėties, iš tiesų yra nurodytos pagrįstai</w:t>
      </w:r>
      <w:r w:rsidRPr="00C00255">
        <w:t xml:space="preserve">.    </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 xml:space="preserve">Pagal specialistui žinomą egzistavusią funkcijų pasiskirstymo tvarką ir praktiką TSRS Ginkluotosiose pajėgose, TSRS gynybos ministras </w:t>
      </w:r>
      <w:r w:rsidR="00385BC9">
        <w:rPr>
          <w:color w:val="000000"/>
        </w:rPr>
        <w:t>D. J.</w:t>
      </w:r>
      <w:r w:rsidR="00D220F2">
        <w:rPr>
          <w:color w:val="000000"/>
        </w:rPr>
        <w:t>, siekdamas įgyvendinti 1990 </w:t>
      </w:r>
      <w:r w:rsidRPr="00C00255">
        <w:rPr>
          <w:color w:val="000000"/>
        </w:rPr>
        <w:t>m. priimtus politinius sprendimus, karinės jėgos panaudojimo organizacinius klausimus turėjo pavesti TSRS Ginkluotųjų pajėgų Generaliniam štabui. TSRS Ginkluotųjų pajėgų Generalinio štabo viršininkas (1990 m. juo buvo TSRS kariuomenės generolas M. M</w:t>
      </w:r>
      <w:r w:rsidR="005A493E">
        <w:rPr>
          <w:color w:val="000000"/>
        </w:rPr>
        <w:t>. (M. </w:t>
      </w:r>
      <w:r w:rsidRPr="00C00255">
        <w:rPr>
          <w:color w:val="000000"/>
        </w:rPr>
        <w:t>M</w:t>
      </w:r>
      <w:r w:rsidR="005A493E">
        <w:rPr>
          <w:color w:val="000000"/>
        </w:rPr>
        <w:t>.</w:t>
      </w:r>
      <w:r w:rsidRPr="00C00255">
        <w:rPr>
          <w:color w:val="000000"/>
        </w:rPr>
        <w:t>) – tai pirmasis gynybos ministro pavaduotojas, TSRS gynybos tarybos narys, pavaldus gynybos ministrui. Pagrindinės TSRS Ginkluotųjų pajėgų Generalinio štabo funkcijos – užtikrinti pajėgų rūšių Vyriausiųjų štabų, karinių apygardų ir karinių regionų veiklą, visapusiškai analizuoti ir vertinti karinę – politinę padėtį kaip valstybės viduje taip ir užsienyje, nubrėžti Ginkluotųjų pajėgų vystymo, galimų karo veiksmų kryptis ir pajėgų panaudojimo perspektyvas kariniuose konfliktuose. Generalinis štabo viršininkas, vykdydamas TSRS gynybos ministro nurodymus, turėjo atitinkamai perduoti juos gynybos ministrui pavaldžioms struktūroms. Nagrinėjamu atveju tai buvo padaryta TSRS Ginkluotųjų pajėgų Generalinio štabo viršininko M. M</w:t>
      </w:r>
      <w:r w:rsidR="005A493E">
        <w:rPr>
          <w:color w:val="000000"/>
        </w:rPr>
        <w:t>.</w:t>
      </w:r>
      <w:r w:rsidRPr="00C00255">
        <w:rPr>
          <w:color w:val="000000"/>
        </w:rPr>
        <w:t xml:space="preserve"> šifruota telegrama Nr. 8883, kuria gynybos ministro pavaduotojams, Tolimųjų Rytų ir krypčių vyriausiesiems vadams, karinių apygardų, laivynų vadams, Oro desanto kariuomenės vadui, GM Vyriausiųjų ir centrinių valdybų viršininkams perduotas TSRS gynybos ministro </w:t>
      </w:r>
      <w:r w:rsidR="00385BC9">
        <w:rPr>
          <w:color w:val="000000"/>
        </w:rPr>
        <w:t>D. J.</w:t>
      </w:r>
      <w:r w:rsidRPr="00C00255">
        <w:rPr>
          <w:color w:val="000000"/>
        </w:rPr>
        <w:t xml:space="preserve"> įsakymas, pagal kurį Spaudos rūmai, LRT, TV bokštas, Radijo perdavimo centras, esantys Vilniuje, tapo pagrindiniais TSRS kariškių atakų objektais;</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Vykdant nurodytas TSRS jėgos struktūrų užduotis, 1990 m. gruodžio 29 d. buvo pasirašytas vidaus reikalų ir gynybos ministrų bendras įsakymas Nr. 493/513 ,,Dėl vidaus reikalų darbuotojų, Tarybinės Armijos ir Karinio Jūrų laivyno kariškių bendro patruliavimo organizavimo“, detalizuojantis nurodytų užduočių sprendimą;</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Galimoms specifinėms užduotims Lietuvoje vykdyti Generalinis štabas turėjo sudaryti operacinę grupuotę iš TSRS jėgos struktūrų, numatomų užduočių vykdymui. Buvo priimtas sprendimas pasitelkti padalinius iš struktūrų, pavaldžių VSK, GM ir VRM. Tolimesni įvykiai tai patvirtino;</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Pagal specialistui žinomą praktiką, operacijos planams parengti Generalinis štabas turėjo sudaryti specialią karinės operacijos planavimo grupę. Į jos sudėtį turėjo būti įtraukti atstovai iš visų operacijoje planuojamų dalyvauti jėgos struktūrų. Ši karinės operacijos planavimo grupė turėjo numatyti užimtinus strategiškai svarbius objektus, galimus veiksmų variantus. Ji turėjo numatyti kokios paskirties ir kokių karinių vienetų būtina turėti numatytoms užduotims vykdyti, o neturint – perdislokuoti. Iš bylos medžiagos ir 1991 m. sausio 13</w:t>
      </w:r>
      <w:r w:rsidRPr="00C00255">
        <w:t>–</w:t>
      </w:r>
      <w:r w:rsidRPr="00C00255">
        <w:rPr>
          <w:color w:val="000000"/>
        </w:rPr>
        <w:t>14 d. įvykių matyti, kad: pagrindinėms trumpalaikėms operacijos užduotims vykdyti buvo numatyta pasitelkti VSK specialiosios paskirties padalinį ,,A“; padalinio ,,A“ operacijų veiksmų aprūpinimui ir pagrindinių jėgos užduočių vykdymui buvo numatyta pasitelkti GM pavaldžius karinius vienetus iš Oro desanto kariuomenės bei Sausumos pajėgų Pabaltijo karinės apygardos dalinių; papildomoms operacijos užduotims vykdyti ir užimtų objektų apsaugai buvo numatyta pasitelkti padalinius iš VRM Šiaurės Vakarų ir Pabaltijo vidaus kariuomenės valdybos Vilniuje dislokuotų dalinių; pagalbinėms užduotims vykdyti buvo numatyta pasitelkti LTSR VSK.</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 xml:space="preserve">Pagal egzistavusią operacijų rengimo tvarką, jėgos struktūrų vadovai iš kiekvienos žinybos turėjo paskirti atsakingus už planuojamos operacijos įgyvendinimą pareigūnus, kuriais, pagal bylos medžiagą, buvo šie asmenys: iš TSRS VSK – 3-iosios Valdybos viršininko pavaduotojas generolas majoras </w:t>
      </w:r>
      <w:r w:rsidR="00C507EF">
        <w:rPr>
          <w:color w:val="000000"/>
        </w:rPr>
        <w:t>J. K.</w:t>
      </w:r>
      <w:r w:rsidRPr="00C00255">
        <w:rPr>
          <w:color w:val="000000"/>
        </w:rPr>
        <w:t xml:space="preserve"> ir „Z“ valdybos viršininko pavaduotojas generolas majoras </w:t>
      </w:r>
      <w:r w:rsidR="00DD1A27">
        <w:rPr>
          <w:color w:val="000000"/>
        </w:rPr>
        <w:t>I. F.</w:t>
      </w:r>
      <w:r w:rsidRPr="00C00255">
        <w:rPr>
          <w:color w:val="000000"/>
        </w:rPr>
        <w:t>; iš TSRS GM – gynybos ministro pavaduotojas Oro desanto kariuomenės</w:t>
      </w:r>
      <w:r w:rsidR="001D0506" w:rsidRPr="00C00255">
        <w:rPr>
          <w:color w:val="000000"/>
        </w:rPr>
        <w:t xml:space="preserve"> vadas generolas pulkininkas </w:t>
      </w:r>
      <w:r w:rsidR="00C507EF">
        <w:rPr>
          <w:color w:val="000000"/>
        </w:rPr>
        <w:t>V. A.</w:t>
      </w:r>
      <w:r w:rsidRPr="00C00255">
        <w:rPr>
          <w:color w:val="000000"/>
        </w:rPr>
        <w:t xml:space="preserve"> ir Sausumos kariuomenės Pabaltijo karinės apygardos vado pavaduotojas generolas majoras </w:t>
      </w:r>
      <w:r w:rsidR="00C507EF">
        <w:rPr>
          <w:color w:val="000000"/>
        </w:rPr>
        <w:t>V. O.</w:t>
      </w:r>
      <w:r w:rsidRPr="00C00255">
        <w:rPr>
          <w:color w:val="000000"/>
        </w:rPr>
        <w:t xml:space="preserve">; iš TSRS VRM – vidaus reikalų ministro pavaduotojas generolas leitenantas </w:t>
      </w:r>
      <w:r w:rsidR="00385BC9">
        <w:rPr>
          <w:color w:val="000000"/>
        </w:rPr>
        <w:t>N. D.</w:t>
      </w:r>
      <w:r w:rsidRPr="00C00255">
        <w:rPr>
          <w:color w:val="000000"/>
        </w:rPr>
        <w:t>.</w:t>
      </w:r>
    </w:p>
    <w:p w:rsidR="00EC36F2" w:rsidRPr="00C00255" w:rsidRDefault="00EC36F2" w:rsidP="00EC36F2">
      <w:pPr>
        <w:pStyle w:val="NormalWeb"/>
        <w:numPr>
          <w:ilvl w:val="1"/>
          <w:numId w:val="6"/>
        </w:numPr>
        <w:spacing w:before="120" w:beforeAutospacing="0" w:after="120" w:afterAutospacing="0"/>
        <w:ind w:left="992" w:hanging="992"/>
      </w:pPr>
      <w:r w:rsidRPr="00C00255">
        <w:rPr>
          <w:color w:val="000000"/>
        </w:rPr>
        <w:t xml:space="preserve">Detalių operacijos vykdymo klausimų sprendimui Vilniuje, kariniame Šiaurės miestelyje, t. y. TSRS Sausumos kariuomenės Pabaltijo karinės apygardos 107-osios motorizuotų šaulių divizijos dislokacijos vietoje, buvo sukurtas operacijos vadovavimo štabas. Šio štabo sudėtyje buvo TSRS VSK – 3-iosios Valdybos viršininko pavaduotojas generolas majoras </w:t>
      </w:r>
      <w:r w:rsidR="00C507EF">
        <w:rPr>
          <w:color w:val="000000"/>
        </w:rPr>
        <w:t>J. K.</w:t>
      </w:r>
      <w:r w:rsidRPr="00C00255">
        <w:rPr>
          <w:color w:val="000000"/>
        </w:rPr>
        <w:t xml:space="preserve"> ir „Z“ valdybos viršininko pavaduotojas generolas majoras </w:t>
      </w:r>
      <w:r w:rsidR="00DD1A27">
        <w:rPr>
          <w:color w:val="000000"/>
        </w:rPr>
        <w:t>I. F.</w:t>
      </w:r>
      <w:r w:rsidRPr="00C00255">
        <w:rPr>
          <w:color w:val="000000"/>
        </w:rPr>
        <w:t xml:space="preserve">; TSRS GM – gynybos ministro pavaduotojas Oro desanto kariuomenės vadas generolas pulkininkas </w:t>
      </w:r>
      <w:r w:rsidR="00C507EF">
        <w:rPr>
          <w:color w:val="000000"/>
        </w:rPr>
        <w:t>V. A.</w:t>
      </w:r>
      <w:r w:rsidRPr="00C00255">
        <w:rPr>
          <w:color w:val="000000"/>
        </w:rPr>
        <w:t xml:space="preserve"> ir Sausumos kariuomenės Pabaltijo karinės apygardos vado pavaduotojas generolas majoras </w:t>
      </w:r>
      <w:r w:rsidR="00C507EF">
        <w:rPr>
          <w:color w:val="000000"/>
        </w:rPr>
        <w:t>V. O.</w:t>
      </w:r>
      <w:r w:rsidRPr="00C00255">
        <w:rPr>
          <w:color w:val="000000"/>
        </w:rPr>
        <w:t xml:space="preserve">; TSRS VRM – vidaus reikalų ministro pavaduotojas generolas leitenantas </w:t>
      </w:r>
      <w:r w:rsidR="00385BC9">
        <w:rPr>
          <w:color w:val="000000"/>
        </w:rPr>
        <w:t>N. D.</w:t>
      </w:r>
      <w:r w:rsidRPr="00C00255">
        <w:rPr>
          <w:color w:val="000000"/>
        </w:rPr>
        <w:t>, jų atstovai ir LKP/TSKP politiniai veikėjai (2014 m. birželio 10 d. specialisto išvados 3 l. (t. 480, b. l. 36)).</w:t>
      </w:r>
      <w:bookmarkEnd w:id="238"/>
    </w:p>
    <w:p w:rsidR="0072749F" w:rsidRPr="00C00255" w:rsidRDefault="00EC36F2" w:rsidP="0072749F">
      <w:pPr>
        <w:pStyle w:val="NormalWeb"/>
        <w:numPr>
          <w:ilvl w:val="0"/>
          <w:numId w:val="6"/>
        </w:numPr>
        <w:spacing w:before="120" w:beforeAutospacing="0" w:after="120" w:afterAutospacing="0"/>
        <w:ind w:left="992" w:hanging="992"/>
        <w:rPr>
          <w:color w:val="000000"/>
        </w:rPr>
      </w:pPr>
      <w:r w:rsidRPr="00C00255">
        <w:t xml:space="preserve">Jau minėtus liudytojo </w:t>
      </w:r>
      <w:r w:rsidR="00DD1A27">
        <w:t>A. B.</w:t>
      </w:r>
      <w:r w:rsidRPr="00C00255">
        <w:t xml:space="preserve"> parodymus ir specialisto J. Andriškevičiaus išvadas apie štabo sudarymą, jo paskirtį, sudėtį ir veiklą, visiškai patvirtina tiek specialisto išvadoje minimi duomenys, tiek kiti byloje surinkti duomenys, taip pat ir kariškių liudijimai, duoti teisiamajame posėdyje (pvz., liudytojų </w:t>
      </w:r>
      <w:r w:rsidR="00DD1A27">
        <w:t>V. V.</w:t>
      </w:r>
      <w:r w:rsidRPr="00C00255">
        <w:t xml:space="preserve">, </w:t>
      </w:r>
      <w:r w:rsidR="00660130">
        <w:t>A. K.</w:t>
      </w:r>
      <w:r w:rsidRPr="00C00255">
        <w:t>, A. Š</w:t>
      </w:r>
      <w:r w:rsidR="005A493E">
        <w:t>.</w:t>
      </w:r>
      <w:r w:rsidRPr="00C00255">
        <w:t xml:space="preserve">) ar užfiksuoti ir išlikę visuomenės informavimo priemonėse ir filmuotoje medžiagoje (pvz., </w:t>
      </w:r>
      <w:r w:rsidR="00C507EF">
        <w:t>V. A.</w:t>
      </w:r>
      <w:r w:rsidRPr="00C00255">
        <w:t xml:space="preserve"> interviu turinys), bei kitų ikiteisminio tyrimo metu apklaustų kariškių parodymai, kuriuos teismas vertina analizuodamas byloje surinktus kitus įrodymus ir kurie taip pat formuoja teismo vidinį įsitikinimą dėl padarytų išvadų pagrįstumo.</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 xml:space="preserve">Liudytojas </w:t>
      </w:r>
      <w:r w:rsidR="00DD1A27">
        <w:rPr>
          <w:color w:val="000000"/>
        </w:rPr>
        <w:t>V. V.</w:t>
      </w:r>
      <w:r w:rsidRPr="00C00255">
        <w:rPr>
          <w:color w:val="000000"/>
        </w:rPr>
        <w:t xml:space="preserve"> teisiamajame posėdyje nurodė, kad jis buvo </w:t>
      </w:r>
      <w:r w:rsidRPr="00C00255">
        <w:t xml:space="preserve">karinės dalies Nr. 35615 karinės žvalgybos įgulos vado pavaduotojas. Jų padalinys buvo KGB padalinys, pavaldus </w:t>
      </w:r>
      <w:r w:rsidR="00C507EF">
        <w:t>V. K.</w:t>
      </w:r>
      <w:r w:rsidRPr="00C00255">
        <w:t xml:space="preserve"> ir nepavaldus Vilniuje dislokuotos divizijos vadui. Į Vilnių dislokuota Pskovo divizija taip pat nebuvo pavaldi </w:t>
      </w:r>
      <w:r w:rsidR="006036E7">
        <w:t>V. U. 1</w:t>
      </w:r>
      <w:r w:rsidRPr="00C00255">
        <w:t xml:space="preserve">. Mano, kad Vilniuje dislokuotos divizijos vadas </w:t>
      </w:r>
      <w:r w:rsidR="006036E7">
        <w:t>V. U. 1</w:t>
      </w:r>
      <w:r w:rsidRPr="00C00255">
        <w:t xml:space="preserve">, pats be aukščiausios vadovybės, t. y. </w:t>
      </w:r>
      <w:r w:rsidR="00DD1A27">
        <w:t>M. G.</w:t>
      </w:r>
      <w:r w:rsidRPr="00C00255">
        <w:t xml:space="preserve"> įsakymo, negalėjo duoti įsakymo panaudoti tokią karinę techniką miesto teritorijoje esant civiliams. Prieš byloje nagrinėjamus įvykius, į Vilnių buvo atvykusi ir grupė „Alfa“, kuri buvo dislokuota Naujininkų rajone. Į Šiaurės karinį miestelį buvo atvykęs generolas pulkininkas </w:t>
      </w:r>
      <w:r w:rsidR="00C507EF">
        <w:t>V. A.</w:t>
      </w:r>
      <w:r w:rsidRPr="00C00255">
        <w:t xml:space="preserve">, gynybos ministro pavaduotojas ypatingosioms situacijoms generolas leitenantas </w:t>
      </w:r>
      <w:r w:rsidR="00C507EF">
        <w:t>V. O.</w:t>
      </w:r>
      <w:r w:rsidRPr="00C00255">
        <w:t>, karinės žvalgybos komiteto pulkininkas L</w:t>
      </w:r>
      <w:r w:rsidR="00D220F2">
        <w:t>.</w:t>
      </w:r>
      <w:r w:rsidRPr="00C00255">
        <w:t>, kontradmirolas K</w:t>
      </w:r>
      <w:r w:rsidR="00C507EF">
        <w:t>.</w:t>
      </w:r>
      <w:r w:rsidRPr="00C00255">
        <w:t xml:space="preserve"> ir kt., visų nepamena. Prieš pat įvykius Šiaurės miestelyje buvo įvesta taip vadinama kareivinių padėtis, per kurią visi kariškiai turi būti dalinyje. Jo kaip KGB skyriaus padalinį prieš įvykius instruktavo </w:t>
      </w:r>
      <w:r w:rsidR="00C507EF">
        <w:t>J. K.</w:t>
      </w:r>
      <w:r w:rsidRPr="00C00255">
        <w:t>. Jie buvo divizijos pirmajame štabe, o ar buvo jie ten tą naktį – nežino. Pagrindinis vadovavimo kariuomenei štabas buvo 107-ojoje motošaulių divizijoje. Į štabą, kur buvo dislokuota aukščiausioji vadovybė, į</w:t>
      </w:r>
      <w:r w:rsidR="00D220F2">
        <w:t>ėjimas buvo ribotas (t. 757, b. </w:t>
      </w:r>
      <w:r w:rsidRPr="00C00255">
        <w:t xml:space="preserve">l. 80–84). </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t xml:space="preserve">Liudytojas </w:t>
      </w:r>
      <w:r w:rsidR="00660130">
        <w:t>A. K.</w:t>
      </w:r>
      <w:r w:rsidRPr="00C00255">
        <w:t xml:space="preserve"> </w:t>
      </w:r>
      <w:r w:rsidRPr="00C00255">
        <w:rPr>
          <w:color w:val="000000"/>
        </w:rPr>
        <w:t xml:space="preserve">teisiamajame posėdyje </w:t>
      </w:r>
      <w:r w:rsidRPr="00C00255">
        <w:t xml:space="preserve">parodė, kad jis 1991 m. sausio mėn. buvo divizijos, dislokuotos Šiaurės miestelyje, vado pavaduotojas ginkluotei. Apie papildomų kariuomenės dalinių atvykimą į Šiaurės miestelį nežinojo iki jų atvykimo ir apsigyvenimo kareivinių parkuose, tačiau iš kur jie ir kas, nežino. Gali įvardinti tik </w:t>
      </w:r>
      <w:r w:rsidR="00C507EF">
        <w:t>V. A.</w:t>
      </w:r>
      <w:r w:rsidRPr="00C00255">
        <w:t xml:space="preserve"> ir </w:t>
      </w:r>
      <w:r w:rsidR="00660130">
        <w:t>V. V.</w:t>
      </w:r>
      <w:r w:rsidRPr="00C00255">
        <w:t xml:space="preserve">, kuriuos matė Šiaurės miestelyje, jie atvyko sausio mėnesį iki įvykių. Likus 2-3 dienoms iki sausio įvykių, taktikos klasėje vykusiame susirinkime dalyvavo </w:t>
      </w:r>
      <w:r w:rsidR="00C507EF">
        <w:t>V. A.</w:t>
      </w:r>
      <w:r w:rsidRPr="00C00255">
        <w:t xml:space="preserve"> ir </w:t>
      </w:r>
      <w:r w:rsidR="00660130">
        <w:t>V. V.</w:t>
      </w:r>
      <w:r w:rsidRPr="00C00255">
        <w:t xml:space="preserve">, kurie ir davė komandą kariškiams neišvykti iš karinio miestelio. Po sausio įvykių, iš kalbų žino, kad viskam vadovavo </w:t>
      </w:r>
      <w:r w:rsidR="00C507EF">
        <w:t>V. A.</w:t>
      </w:r>
      <w:r w:rsidRPr="00C00255">
        <w:t xml:space="preserve"> ir </w:t>
      </w:r>
      <w:r w:rsidR="00660130">
        <w:t>V. V.</w:t>
      </w:r>
      <w:r w:rsidRPr="00C00255">
        <w:t xml:space="preserve">. Jis, net ir būdamas divizijos vado pavaduotoju, negalėjo užeiti į štabą, kur buvo įsikūręs </w:t>
      </w:r>
      <w:r w:rsidR="00660130">
        <w:t>V. V.</w:t>
      </w:r>
      <w:r w:rsidRPr="00C00255">
        <w:t>, nes ten buvo jo apsauga (t. 757, b. l. 91–95). Pagarsinus dalį liudytojo ikiteisminio tyrimo metu duotų parodymų, jis patvirtino, kad šie teising</w:t>
      </w:r>
      <w:r w:rsidR="00D220F2">
        <w:t>i ir nurodė, kad 1991 m. sausio </w:t>
      </w:r>
      <w:r w:rsidRPr="00C00255">
        <w:t xml:space="preserve">pradžioje į diviziją atvyko du aukšti karininkai: TSRS sausumos kariuomenės vadas – armijos generolas </w:t>
      </w:r>
      <w:r w:rsidR="00660130">
        <w:t>V. V.</w:t>
      </w:r>
      <w:r w:rsidRPr="00C00255">
        <w:t xml:space="preserve"> ir vyriausiasis oro desanto pajėgų vadas – generolas pulkininkas </w:t>
      </w:r>
      <w:r w:rsidR="00C507EF">
        <w:t>V. A.</w:t>
      </w:r>
      <w:r w:rsidRPr="00C00255">
        <w:t xml:space="preserve">, kurie surinko visus divizijos štabo karininkus, divizijos pulkų, atskirų batalionų, divizionų vadus į divizijos taktikos klasę ir pranešė, kad atvyko išspręsti susidariusios įtemptos padėties, kad reikia nuimti karinę techniką nuo konservavimo ir paruošti ją bei kad įvedama kareivinių padėtis (t. 474, b. l. 175–179, 180–183). </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t>Iš esmės analogiškas aplinkybes teisiamajame posėdyje nurodė ir liudytojas A. Š</w:t>
      </w:r>
      <w:r w:rsidR="005A493E">
        <w:t>.</w:t>
      </w:r>
      <w:r w:rsidRPr="00C00255">
        <w:t xml:space="preserve">, kuris taip pat teigė, kad klausimus dėl karinės technikos panaudojimo nagrinėjamų įvykių metu sprendė atskiras štabas, įkurtas antrame aukšte ir kuriame matė daug generolų, taip pat ir </w:t>
      </w:r>
      <w:r w:rsidR="00660130">
        <w:t>V. V.</w:t>
      </w:r>
      <w:r w:rsidRPr="00C00255">
        <w:t xml:space="preserve">. </w:t>
      </w:r>
      <w:r w:rsidRPr="00C00255">
        <w:rPr>
          <w:color w:val="000000"/>
        </w:rPr>
        <w:t xml:space="preserve">Taip pat teismo posėdyje jis patvirtino savo parodymus, duotus ikiteisminio tyrimo metu, apie tai, kad be generolo </w:t>
      </w:r>
      <w:r w:rsidR="00660130">
        <w:rPr>
          <w:color w:val="000000"/>
        </w:rPr>
        <w:t>V. V.</w:t>
      </w:r>
      <w:r w:rsidRPr="00C00255">
        <w:rPr>
          <w:color w:val="000000"/>
        </w:rPr>
        <w:t xml:space="preserve"> Šiaurės miestelyje divizijos štabe taip pat buvo </w:t>
      </w:r>
      <w:r w:rsidR="00C507EF">
        <w:rPr>
          <w:color w:val="000000"/>
        </w:rPr>
        <w:t>V. A.</w:t>
      </w:r>
      <w:r w:rsidRPr="00C00255">
        <w:rPr>
          <w:color w:val="000000"/>
        </w:rPr>
        <w:t xml:space="preserve">, </w:t>
      </w:r>
      <w:r w:rsidR="00C507EF">
        <w:rPr>
          <w:color w:val="000000"/>
        </w:rPr>
        <w:t>V. O.</w:t>
      </w:r>
      <w:r w:rsidRPr="00C00255">
        <w:rPr>
          <w:color w:val="000000"/>
        </w:rPr>
        <w:t xml:space="preserve">, divizijos vado </w:t>
      </w:r>
      <w:r w:rsidR="006036E7">
        <w:rPr>
          <w:color w:val="000000"/>
        </w:rPr>
        <w:t>V. U. 1</w:t>
      </w:r>
      <w:r w:rsidRPr="00C00255">
        <w:rPr>
          <w:color w:val="000000"/>
        </w:rPr>
        <w:t xml:space="preserve"> kabinete matė ir </w:t>
      </w:r>
      <w:r w:rsidR="00BA18FA">
        <w:rPr>
          <w:color w:val="000000"/>
        </w:rPr>
        <w:t>V. Š. 1</w:t>
      </w:r>
      <w:r w:rsidRPr="00C00255">
        <w:rPr>
          <w:color w:val="000000"/>
        </w:rPr>
        <w:t xml:space="preserve">, ir </w:t>
      </w:r>
      <w:r w:rsidR="00C507EF">
        <w:rPr>
          <w:color w:val="000000"/>
        </w:rPr>
        <w:t>M. B.</w:t>
      </w:r>
      <w:r w:rsidRPr="00C00255">
        <w:rPr>
          <w:color w:val="000000"/>
        </w:rPr>
        <w:t>. Po to, kai į</w:t>
      </w:r>
      <w:r w:rsidR="001D0506" w:rsidRPr="00C00255">
        <w:rPr>
          <w:color w:val="000000"/>
        </w:rPr>
        <w:t xml:space="preserve"> Šiaurės miestelį atvyko </w:t>
      </w:r>
      <w:r w:rsidR="00660130">
        <w:rPr>
          <w:color w:val="000000"/>
        </w:rPr>
        <w:t>V. V.</w:t>
      </w:r>
      <w:r w:rsidRPr="00C00255">
        <w:rPr>
          <w:color w:val="000000"/>
        </w:rPr>
        <w:t xml:space="preserve"> ir </w:t>
      </w:r>
      <w:r w:rsidR="00C507EF">
        <w:rPr>
          <w:color w:val="000000"/>
        </w:rPr>
        <w:t>V. A.</w:t>
      </w:r>
      <w:r w:rsidRPr="00C00255">
        <w:rPr>
          <w:color w:val="000000"/>
        </w:rPr>
        <w:t xml:space="preserve">, pastarieji apsistojo divizijos vado </w:t>
      </w:r>
      <w:r w:rsidR="006036E7">
        <w:rPr>
          <w:color w:val="000000"/>
        </w:rPr>
        <w:t>V. U. 1</w:t>
      </w:r>
      <w:r w:rsidRPr="00C00255">
        <w:rPr>
          <w:color w:val="000000"/>
        </w:rPr>
        <w:t xml:space="preserve"> kabinete. Ryšiui su štabu užtikrinti buvo pastatyti du specialūs ryšio BTR iš atskiro ryšio bataliono, ko paprastai nebūdavo. Čia buvo ryšininkai tiek iš jo divizijos, tiek iš desantininkų. V. U</w:t>
      </w:r>
      <w:r w:rsidR="00D220F2">
        <w:rPr>
          <w:color w:val="000000"/>
        </w:rPr>
        <w:t>. 1</w:t>
      </w:r>
      <w:r w:rsidRPr="00C00255">
        <w:rPr>
          <w:color w:val="000000"/>
        </w:rPr>
        <w:t xml:space="preserve"> kabinete, kuriame įsikūrė </w:t>
      </w:r>
      <w:r w:rsidR="00660130">
        <w:rPr>
          <w:color w:val="000000"/>
        </w:rPr>
        <w:t>V. V.</w:t>
      </w:r>
      <w:r w:rsidRPr="00C00255">
        <w:rPr>
          <w:color w:val="000000"/>
        </w:rPr>
        <w:t>, turėjo nuolat veikti radijo ryšys ir slaptasis VČ ryšys (</w:t>
      </w:r>
      <w:r w:rsidRPr="00C00255">
        <w:t>t. 757, b. l. 125–127; t. 474, b. l. 198–206</w:t>
      </w:r>
      <w:r w:rsidRPr="00C00255">
        <w:rPr>
          <w:color w:val="000000"/>
        </w:rPr>
        <w:t xml:space="preserve">). </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t xml:space="preserve">Apie </w:t>
      </w:r>
      <w:r w:rsidR="00385BC9">
        <w:t>D. J.</w:t>
      </w:r>
      <w:r w:rsidRPr="00C00255">
        <w:t xml:space="preserve">, </w:t>
      </w:r>
      <w:r w:rsidR="00660130">
        <w:t>V. V.</w:t>
      </w:r>
      <w:r w:rsidRPr="00C00255">
        <w:t xml:space="preserve">, </w:t>
      </w:r>
      <w:r w:rsidR="00C507EF">
        <w:t>V. A.</w:t>
      </w:r>
      <w:r w:rsidRPr="00C00255">
        <w:t xml:space="preserve"> ir </w:t>
      </w:r>
      <w:r w:rsidR="00C507EF">
        <w:t>V. O.</w:t>
      </w:r>
      <w:r w:rsidRPr="00C00255">
        <w:t xml:space="preserve"> poziciją ir vaidmenį byloje nagrinėjamų įvykių metu teisme nurodė ir liudytoju apklaustas buvęs TSRS generolas S</w:t>
      </w:r>
      <w:r w:rsidR="00D220F2">
        <w:t>. </w:t>
      </w:r>
      <w:r w:rsidR="00842685">
        <w:t>N.</w:t>
      </w:r>
      <w:r w:rsidRPr="00C00255">
        <w:t xml:space="preserve">, kuris paliudijo apie </w:t>
      </w:r>
      <w:r w:rsidR="00660130">
        <w:t>V. V.</w:t>
      </w:r>
      <w:r w:rsidRPr="00C00255">
        <w:t xml:space="preserve">, </w:t>
      </w:r>
      <w:r w:rsidR="00C507EF">
        <w:t>V. A.</w:t>
      </w:r>
      <w:r w:rsidRPr="00C00255">
        <w:t xml:space="preserve"> ir </w:t>
      </w:r>
      <w:r w:rsidR="00C507EF">
        <w:t>V. O.</w:t>
      </w:r>
      <w:r w:rsidRPr="00C00255">
        <w:t xml:space="preserve"> buvimą Vilniuje, kariniame Šiaurės miestelyje. Liudytojas teigė, jog tiek </w:t>
      </w:r>
      <w:r w:rsidR="00660130">
        <w:t>V. V.</w:t>
      </w:r>
      <w:r w:rsidRPr="00C00255">
        <w:t xml:space="preserve">, tiek </w:t>
      </w:r>
      <w:r w:rsidR="00C507EF">
        <w:t>V. A.</w:t>
      </w:r>
      <w:r w:rsidRPr="00C00255">
        <w:t xml:space="preserve"> buvo jį išsikvietę į Šiaurės miestelį. </w:t>
      </w:r>
      <w:r w:rsidR="00C507EF">
        <w:t>V. A.</w:t>
      </w:r>
      <w:r w:rsidRPr="00C00255">
        <w:t xml:space="preserve"> klausė jo, kaip Civilinės gynybos štabo viršininko, ar jie turi kokių nors turtinių pretenzijų Lietuvai dėl pastatų, o </w:t>
      </w:r>
      <w:r w:rsidR="00660130">
        <w:t>V. V.</w:t>
      </w:r>
      <w:r w:rsidRPr="00C00255">
        <w:t xml:space="preserve"> dėl jo interviu dienraščiui „Respublika“, kuriame liudytojas Sausio 13-osios įvykius pavadino bjauriausia avantiūra. Liudytojas teigė, kad </w:t>
      </w:r>
      <w:r w:rsidR="00660130">
        <w:t>V. V.</w:t>
      </w:r>
      <w:r w:rsidRPr="00C00255">
        <w:t xml:space="preserve"> jį palaikė antitarybiniu, informavo apie tai TSRS gynybos ministrą </w:t>
      </w:r>
      <w:r w:rsidR="00385BC9">
        <w:t>D. J.</w:t>
      </w:r>
      <w:r w:rsidRPr="00C00255">
        <w:t xml:space="preserve">, dėl ko jis buvo iškviestas į Maskvą pas </w:t>
      </w:r>
      <w:r w:rsidR="00385BC9">
        <w:t>D. J.</w:t>
      </w:r>
      <w:r w:rsidRPr="00C00255">
        <w:t>. Jam buvo pasakyta, kad bus atimtas generolo laipsnis (t. 757, b. l. 84–86, t. 474, b. l. 31–40, 41–44).</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0E2C88">
        <w:t xml:space="preserve">Buvusio </w:t>
      </w:r>
      <w:r w:rsidRPr="000E2C88">
        <w:rPr>
          <w:rFonts w:eastAsia="Calibri"/>
        </w:rPr>
        <w:t xml:space="preserve">TSRS gynybos ministro pavaduotojo ir Oro desanto pajėgų vado </w:t>
      </w:r>
      <w:r w:rsidR="00C507EF" w:rsidRPr="000E2C88">
        <w:rPr>
          <w:rFonts w:eastAsia="Calibri"/>
        </w:rPr>
        <w:t>V. A.</w:t>
      </w:r>
      <w:r w:rsidRPr="000E2C88">
        <w:rPr>
          <w:rFonts w:eastAsia="Calibri"/>
        </w:rPr>
        <w:t xml:space="preserve">, o kartu ir jam įsakymus davusio </w:t>
      </w:r>
      <w:r w:rsidR="00385BC9" w:rsidRPr="000E2C88">
        <w:rPr>
          <w:rFonts w:eastAsia="Calibri"/>
        </w:rPr>
        <w:t>D. J.</w:t>
      </w:r>
      <w:r w:rsidRPr="000E2C88">
        <w:rPr>
          <w:rFonts w:eastAsia="Calibri"/>
        </w:rPr>
        <w:t xml:space="preserve"> vadovaujantis vaidmuo vadovavimo karinei operacijai štabe ir rengiantis nusikalstamoms veikoms prieš Lietuvą bei planuojant karinę operaciją aiškiai matomas ne tik iš jau minėtų įrodymų, bet ir iš paties </w:t>
      </w:r>
      <w:r w:rsidR="00C507EF" w:rsidRPr="000E2C88">
        <w:rPr>
          <w:rFonts w:eastAsia="Calibri"/>
        </w:rPr>
        <w:t>V. A.</w:t>
      </w:r>
      <w:r w:rsidRPr="000E2C88">
        <w:rPr>
          <w:rFonts w:eastAsia="Calibri"/>
        </w:rPr>
        <w:t xml:space="preserve"> </w:t>
      </w:r>
      <w:r w:rsidRPr="000E2C88">
        <w:t xml:space="preserve">pasisakymų byloje užfiksuotoje filmuotoje medžiagoje (t. 519, b. l. 226–243). Byloje 2011 m. spalio 17–20 d. apžiūros metu buvo peržiūrėti 4 vaizdo įrašai, patalpinti interneto svetainėje adresu www.youtube.com, kuriuose </w:t>
      </w:r>
      <w:r w:rsidR="00C507EF" w:rsidRPr="000E2C88">
        <w:t>V. A.</w:t>
      </w:r>
      <w:r w:rsidRPr="000E2C88">
        <w:t>, be kita ko, pasisakė ir dėl byloje nagrinėjamų įvykių</w:t>
      </w:r>
      <w:r w:rsidRPr="00C00255">
        <w:t xml:space="preserve">.   </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0E2C88">
        <w:t xml:space="preserve">Iš vaizdo įrašų matyti, kad įsakymą paruošti veiksmų planą, kaip suvaldyti neramumus Lietuvoje ir atkurti buvusią tvarką, davė TSRS gynybos ministras </w:t>
      </w:r>
      <w:r w:rsidR="00385BC9" w:rsidRPr="000E2C88">
        <w:t>D. J.</w:t>
      </w:r>
      <w:r w:rsidRPr="000E2C88">
        <w:t xml:space="preserve">. Planą ruošė </w:t>
      </w:r>
      <w:r w:rsidR="00660130" w:rsidRPr="000E2C88">
        <w:t>V. V.</w:t>
      </w:r>
      <w:r w:rsidRPr="000E2C88">
        <w:t>, A. B</w:t>
      </w:r>
      <w:r w:rsidR="00D220F2" w:rsidRPr="000E2C88">
        <w:t xml:space="preserve">. </w:t>
      </w:r>
      <w:r w:rsidRPr="000E2C88">
        <w:t>ir F. K</w:t>
      </w:r>
      <w:r w:rsidR="00D220F2" w:rsidRPr="000E2C88">
        <w:t>.</w:t>
      </w:r>
      <w:r w:rsidRPr="000E2C88">
        <w:t xml:space="preserve">. Tai buvo daroma labai slaptai ir apie šį planą žinojo tik tie, kurie jį ruošė ir turėjo vykdyti. Įsakymą vykti į Vilnių </w:t>
      </w:r>
      <w:r w:rsidR="00C507EF" w:rsidRPr="000E2C88">
        <w:t>V. A.</w:t>
      </w:r>
      <w:r w:rsidRPr="000E2C88">
        <w:t xml:space="preserve"> davė TSRS gynybos ministras </w:t>
      </w:r>
      <w:r w:rsidR="00385BC9" w:rsidRPr="000E2C88">
        <w:t>D. J.</w:t>
      </w:r>
      <w:r w:rsidRPr="000E2C88">
        <w:t xml:space="preserve">. Kai atvykęs pamatė situaciją Vilniuje, </w:t>
      </w:r>
      <w:r w:rsidR="00C507EF" w:rsidRPr="000E2C88">
        <w:t>V. A.</w:t>
      </w:r>
      <w:r w:rsidRPr="000E2C88">
        <w:t xml:space="preserve"> paskambino </w:t>
      </w:r>
      <w:r w:rsidR="00385BC9" w:rsidRPr="000E2C88">
        <w:t>D. J.</w:t>
      </w:r>
      <w:r w:rsidRPr="000E2C88">
        <w:t xml:space="preserve"> ir pasiūlė veikti pagal anksčiau parengtą planą. Pasak </w:t>
      </w:r>
      <w:r w:rsidR="00C507EF" w:rsidRPr="000E2C88">
        <w:t>V. A.</w:t>
      </w:r>
      <w:r w:rsidRPr="000E2C88">
        <w:t xml:space="preserve">, </w:t>
      </w:r>
      <w:r w:rsidR="00DD1A27" w:rsidRPr="000E2C88">
        <w:t>M. G.</w:t>
      </w:r>
      <w:r w:rsidRPr="000E2C88">
        <w:t xml:space="preserve">, kaip visada, jokių nurodymų nedavė. Kai buvo įsteigtas nacionalinės vienybės frontas (turimas omenyje LNGK), jam paskambino </w:t>
      </w:r>
      <w:r w:rsidR="00C507EF" w:rsidRPr="000E2C88">
        <w:t>V. K.</w:t>
      </w:r>
      <w:r w:rsidRPr="000E2C88">
        <w:t xml:space="preserve"> (TSRS VSK pirmininkas, ikiteisminis tyrimas nutrauktas jam mirus) ir pasakė, kad yra keli kandidatai, kurie po to, kai jie įves tvarką, galės vadovauti Respublikai. </w:t>
      </w:r>
      <w:r w:rsidR="00C507EF" w:rsidRPr="000E2C88">
        <w:t>V. A.</w:t>
      </w:r>
      <w:r w:rsidRPr="000E2C88">
        <w:t xml:space="preserve"> papasakojo, kad kandidatą reikėjo parvežti iš labai toli, tačiau po susitikimo Maskvoje, taip pat ir jo paties pokalbio su šiuo žmogumi Vilniuje, tas žmogus tokio pasiūlymo nepriėmė (iš bylos medžiagos ir joje esančių liudytojo V. S</w:t>
      </w:r>
      <w:r w:rsidR="00D220F2" w:rsidRPr="000E2C88">
        <w:t>.</w:t>
      </w:r>
      <w:r w:rsidRPr="000E2C88">
        <w:t xml:space="preserve"> parodymų matyti, kad </w:t>
      </w:r>
      <w:r w:rsidRPr="000E2C88">
        <w:rPr>
          <w:rFonts w:eastAsia="Calibri"/>
        </w:rPr>
        <w:t xml:space="preserve">1991 m. sausio 10 d. jis buvo iškviestas į Maskvą ir </w:t>
      </w:r>
      <w:r w:rsidRPr="000E2C88">
        <w:t xml:space="preserve">susitiko su </w:t>
      </w:r>
      <w:r w:rsidR="00D37127" w:rsidRPr="000E2C88">
        <w:t>O. Š.</w:t>
      </w:r>
      <w:r w:rsidRPr="000E2C88">
        <w:t xml:space="preserve">, </w:t>
      </w:r>
      <w:r w:rsidR="00C507EF" w:rsidRPr="000E2C88">
        <w:t>V. K.</w:t>
      </w:r>
      <w:r w:rsidRPr="000E2C88">
        <w:t xml:space="preserve"> ir jam buvo siūloma grįžti iš </w:t>
      </w:r>
      <w:r w:rsidR="00D220F2" w:rsidRPr="000E2C88">
        <w:t>(duomenys neskelbtini)</w:t>
      </w:r>
      <w:r w:rsidRPr="000E2C88">
        <w:rPr>
          <w:rFonts w:eastAsia="Calibri"/>
        </w:rPr>
        <w:t xml:space="preserve"> ir imtis vadovavimo naujajai Lietuvos Vyriausybei. 1991 m. sausio 14 d. jis buvo atvykęs į Šiaurės miestelį Vilniuje, kalbėjosi su kariškiais </w:t>
      </w:r>
      <w:r w:rsidR="00C507EF" w:rsidRPr="000E2C88">
        <w:rPr>
          <w:rFonts w:eastAsia="Calibri"/>
        </w:rPr>
        <w:t>V. A.</w:t>
      </w:r>
      <w:r w:rsidRPr="000E2C88">
        <w:rPr>
          <w:rFonts w:eastAsia="Calibri"/>
        </w:rPr>
        <w:t xml:space="preserve">, </w:t>
      </w:r>
      <w:r w:rsidR="00660130" w:rsidRPr="000E2C88">
        <w:rPr>
          <w:rFonts w:eastAsia="Calibri"/>
        </w:rPr>
        <w:t>V. V.</w:t>
      </w:r>
      <w:r w:rsidRPr="000E2C88">
        <w:rPr>
          <w:rFonts w:eastAsia="Calibri"/>
        </w:rPr>
        <w:t>, tačiau su pasiūlymu nesutiko (</w:t>
      </w:r>
      <w:r w:rsidRPr="000E2C88">
        <w:t>t. 37</w:t>
      </w:r>
      <w:r w:rsidR="0072749F" w:rsidRPr="000E2C88">
        <w:t>3, b. l. 615–616; t. 184, b. l. </w:t>
      </w:r>
      <w:r w:rsidRPr="000E2C88">
        <w:t>132–152))</w:t>
      </w:r>
      <w:r w:rsidRPr="000E2C88">
        <w:rPr>
          <w:rFonts w:eastAsia="Calibri"/>
        </w:rPr>
        <w:t xml:space="preserve">. </w:t>
      </w:r>
      <w:r w:rsidRPr="000E2C88">
        <w:t xml:space="preserve">Tuo metu buvo prasidėjęs tikras ideologinis karas. Panaudojant televiziją, buvo kritikuojama TSRS santvarka, todėl buvo nuspręsta, kad televizija yra vienas iš pagrindinių objektų vykdant operaciją („Mes nusprendėme, kad televizija taip pat buvo vienas iš pagrindinių objektų vykdant šią operaciją. Buvo duota komanda blokuoti šį objektą“; „Mes atlikome užduotį, užėmėm televizijos bokštą, atidavėm jį vidaus kariuomenei“). </w:t>
      </w:r>
      <w:r w:rsidR="00C507EF" w:rsidRPr="000E2C88">
        <w:t>V. A.</w:t>
      </w:r>
      <w:r w:rsidRPr="000E2C88">
        <w:t xml:space="preserve"> taip pat papasakojo, kad įvykių metu jis buvo 107-ojoje divizijoje, visa informacija suplaukdavo pas jį. Kaip aukštesniam kariuomenės viršininkui jam buvo pavesta vadovauti visoms pajėgoms. Ten buvo grupė „Alfa“, Vidaus reikalų ministerijos specialiosios paskirties padalinys, atvyko TSRS vidaus reikalų ministro pavaduotojas generolas </w:t>
      </w:r>
      <w:r w:rsidR="00385BC9" w:rsidRPr="000E2C88">
        <w:t>N. D.</w:t>
      </w:r>
      <w:r w:rsidRPr="000E2C88">
        <w:t xml:space="preserve">, iš TSRS VSK – </w:t>
      </w:r>
      <w:r w:rsidR="00C507EF" w:rsidRPr="000E2C88">
        <w:t>J. K.</w:t>
      </w:r>
      <w:r w:rsidRPr="000E2C88">
        <w:t xml:space="preserve"> (ikiteisminis tyrimas nutrauktas jam mirus). Anot </w:t>
      </w:r>
      <w:r w:rsidR="00C507EF" w:rsidRPr="000E2C88">
        <w:t>V. A.</w:t>
      </w:r>
      <w:r w:rsidRPr="000E2C88">
        <w:t xml:space="preserve">, jis sujungė visų pajėgų atstovus į vieną štabą. Kai viskas buvo paruošta, </w:t>
      </w:r>
      <w:r w:rsidR="00385BC9" w:rsidRPr="000E2C88">
        <w:t>D. J.</w:t>
      </w:r>
      <w:r w:rsidRPr="000E2C88">
        <w:t xml:space="preserve"> bandė susisiekti su </w:t>
      </w:r>
      <w:r w:rsidR="00DD1A27" w:rsidRPr="000E2C88">
        <w:t>M. G.</w:t>
      </w:r>
      <w:r w:rsidRPr="000E2C88">
        <w:t>, tačiau šis nusprendė nesikišti ir leidimo operacijai nedavė. Operacija vis tiek buvo įvykdyta („pamatę, kad iš nieko negausime leidimo, o užduotis duota, mes vis dėlto nusprendėme blokuoti tą televizijos bokštą &lt;...&gt; operacija buvo apgalvota, tiksliai suplanuota.“) (t. 519,</w:t>
      </w:r>
      <w:r w:rsidR="00916A1E" w:rsidRPr="000E2C88">
        <w:t xml:space="preserve"> </w:t>
      </w:r>
      <w:r w:rsidRPr="000E2C88">
        <w:t>b. l.</w:t>
      </w:r>
      <w:r w:rsidR="00916A1E" w:rsidRPr="000E2C88">
        <w:t> </w:t>
      </w:r>
      <w:r w:rsidRPr="000E2C88">
        <w:t>226–243)</w:t>
      </w:r>
      <w:r w:rsidRPr="00C00255">
        <w:rPr>
          <w:color w:val="000000"/>
        </w:rPr>
        <w:t>.</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 xml:space="preserve">Tokius itin svarbius ir patikimumo prasme abejonių nekeliančius bei vaizdo įraše užfiksuotus </w:t>
      </w:r>
      <w:r w:rsidR="00C507EF">
        <w:rPr>
          <w:color w:val="000000"/>
        </w:rPr>
        <w:t>V. A.</w:t>
      </w:r>
      <w:r w:rsidRPr="00C00255">
        <w:rPr>
          <w:color w:val="000000"/>
        </w:rPr>
        <w:t xml:space="preserve"> paaiškinimus atitinka ir kitų kariškių parodymai. </w:t>
      </w:r>
      <w:r w:rsidRPr="00C00255">
        <w:t xml:space="preserve">TSRS gynybos ministerijos Pabaltijo karinės apygardos vado pavaduotojas </w:t>
      </w:r>
      <w:r w:rsidR="00C507EF">
        <w:t>V. O.</w:t>
      </w:r>
      <w:r w:rsidRPr="00C00255">
        <w:t xml:space="preserve"> (ikiteisminis tyrimas nutrauktas jam mirus) ikiteisminio tyrimo metu yra davęs paaiškinimą vadovybei, kuris buvo pagarsintas teisiamajame posėdyje (t. 757, b. l. 74) ir kuriame taip pat nurodoma, apie vadovaujantį </w:t>
      </w:r>
      <w:r w:rsidR="00C507EF">
        <w:t>V. A.</w:t>
      </w:r>
      <w:r w:rsidRPr="00C00255">
        <w:t xml:space="preserve">, veikusio pagal </w:t>
      </w:r>
      <w:r w:rsidR="00385BC9">
        <w:t>D. J.</w:t>
      </w:r>
      <w:r w:rsidRPr="00C00255">
        <w:t xml:space="preserve"> įsakymą, vaidmenį vykdant operaciją. </w:t>
      </w:r>
      <w:r w:rsidR="00C507EF">
        <w:t>V. O.</w:t>
      </w:r>
      <w:r w:rsidRPr="00C00255">
        <w:t xml:space="preserve"> nurodė, kad Pabaltijo karinės apygardos vado F. K</w:t>
      </w:r>
      <w:r w:rsidR="00D220F2">
        <w:t>.</w:t>
      </w:r>
      <w:r w:rsidRPr="00C00255">
        <w:t xml:space="preserve"> įsakymu jis tomis dienomis buvęs 107-ojoje motorizuotų šaulių divizijoje, kur 1991 m. sausio 10–11 dienomis atvyko ir TSRS gynybos ministro pavaduotojas </w:t>
      </w:r>
      <w:r w:rsidR="00C507EF">
        <w:t>V. A.</w:t>
      </w:r>
      <w:r w:rsidRPr="00C00255">
        <w:t xml:space="preserve">. Pastarasis, susipažinęs su padėtimi įguloje, nurodė perkelti oro desanto pulką iš Pskovo. 1991 m. sausio 12 d. </w:t>
      </w:r>
      <w:r w:rsidR="00C507EF">
        <w:t>V. A.</w:t>
      </w:r>
      <w:r w:rsidRPr="00C00255">
        <w:t xml:space="preserve"> kelis kartus kalbėjosi telefonu su </w:t>
      </w:r>
      <w:r w:rsidR="00385BC9">
        <w:t>D. J.</w:t>
      </w:r>
      <w:r w:rsidRPr="00C00255">
        <w:t xml:space="preserve"> ir po paskutinio pokalbio </w:t>
      </w:r>
      <w:r w:rsidR="00C507EF">
        <w:t>V. A.</w:t>
      </w:r>
      <w:r w:rsidRPr="00C00255">
        <w:t xml:space="preserve"> davė įsakymą užimti Lietuvos televiziją. 1991 m. sausio 13 d. apie 2 val. dvi kolonos, kurias sudarė oro desanto karinė technika ir septyni tankai iš 106-ojo tankų pulko pajudėjo link LRT ir TV bokšto. Viena kolona, kurioje buvo trys tankai, </w:t>
      </w:r>
      <w:r w:rsidR="00D220F2">
        <w:t>užėmė LRT, kita, kurioje buvo 4 </w:t>
      </w:r>
      <w:r w:rsidRPr="00C00255">
        <w:t>tankai, užėmė TV bokštą (t. 191, b. l. 134–139).</w:t>
      </w:r>
    </w:p>
    <w:p w:rsidR="00EC36F2" w:rsidRPr="00C00255" w:rsidRDefault="00EC36F2" w:rsidP="00EC36F2">
      <w:pPr>
        <w:pStyle w:val="NormalWeb"/>
        <w:numPr>
          <w:ilvl w:val="1"/>
          <w:numId w:val="6"/>
        </w:numPr>
        <w:spacing w:before="120" w:beforeAutospacing="0" w:after="120" w:afterAutospacing="0"/>
        <w:ind w:left="992" w:hanging="992"/>
        <w:rPr>
          <w:color w:val="000000"/>
        </w:rPr>
      </w:pPr>
      <w:r w:rsidRPr="00C00255">
        <w:rPr>
          <w:color w:val="000000"/>
        </w:rPr>
        <w:t>Byloje taip pat buvo apžiūrėti internete paskelbti kitų tiesioginių 1991 m. sausio įvykių dalyvių pasisakymai apie byloje nagrinėjamas aplinkybes ir operacijos Vilniuje planavimą, įgyvendinimą ir jos padarinius TSRS (</w:t>
      </w:r>
      <w:r w:rsidRPr="00C00255">
        <w:t>2014 m. kovo 25 d. interneto puslapio apžiūros protokolas)</w:t>
      </w:r>
      <w:r w:rsidRPr="00C00255">
        <w:rPr>
          <w:color w:val="000000"/>
        </w:rPr>
        <w:t xml:space="preserve">. Apžiūrėtame vaizdo įraše „Nuteistieji. Spąstai grupei „Alfa“ (vertimas iš rusų kalbos) be kitų komentarų yra pateikiamas </w:t>
      </w:r>
      <w:r w:rsidR="006036E7">
        <w:t>V. U. 1</w:t>
      </w:r>
      <w:r w:rsidRPr="00C00255">
        <w:t xml:space="preserve"> paaiškinimas, kuriame jis, pasakodamas apie 1991 m. sausio 13 d. nakties įvykius, patvirtino, kad </w:t>
      </w:r>
      <w:r w:rsidR="00385BC9">
        <w:t>D. J.</w:t>
      </w:r>
      <w:r w:rsidRPr="00C00255">
        <w:t xml:space="preserve"> nurodymus davė </w:t>
      </w:r>
      <w:r w:rsidR="00C507EF">
        <w:t>V. A.</w:t>
      </w:r>
      <w:r w:rsidRPr="00C00255">
        <w:t xml:space="preserve">, o pats </w:t>
      </w:r>
      <w:r w:rsidR="00385BC9">
        <w:t>D. J.</w:t>
      </w:r>
      <w:r w:rsidRPr="00C00255">
        <w:t xml:space="preserve"> veiksmus derino su </w:t>
      </w:r>
      <w:r w:rsidR="00DD1A27">
        <w:t>M. G.</w:t>
      </w:r>
      <w:r w:rsidRPr="00C00255">
        <w:t xml:space="preserve">. </w:t>
      </w:r>
      <w:r w:rsidR="006036E7">
        <w:t>V. U. 1</w:t>
      </w:r>
      <w:r w:rsidRPr="00C00255">
        <w:t>, papasakodamas apie įsakymų hierarchiją, ją apibūdino taip: „</w:t>
      </w:r>
      <w:r w:rsidR="00DD1A27">
        <w:t>M. G.</w:t>
      </w:r>
      <w:r w:rsidRPr="00C00255">
        <w:t xml:space="preserve"> – </w:t>
      </w:r>
      <w:r w:rsidR="00385BC9">
        <w:t>D. J.</w:t>
      </w:r>
      <w:r w:rsidRPr="00C00255">
        <w:t xml:space="preserve">, </w:t>
      </w:r>
      <w:r w:rsidR="00385BC9">
        <w:t>D. J.</w:t>
      </w:r>
      <w:r w:rsidRPr="00C00255">
        <w:t xml:space="preserve"> – </w:t>
      </w:r>
      <w:r w:rsidR="00C507EF">
        <w:t>V. A.</w:t>
      </w:r>
      <w:r w:rsidRPr="00C00255">
        <w:t xml:space="preserve">, o </w:t>
      </w:r>
      <w:r w:rsidR="00C507EF">
        <w:t>V. A.</w:t>
      </w:r>
      <w:r w:rsidRPr="00C00255">
        <w:t xml:space="preserve"> – mums“ (t. 472, b. l. 103–110). </w:t>
      </w:r>
    </w:p>
    <w:p w:rsidR="0072749F" w:rsidRPr="00C00255" w:rsidRDefault="00EC36F2" w:rsidP="0072749F">
      <w:pPr>
        <w:pStyle w:val="NormalWeb"/>
        <w:numPr>
          <w:ilvl w:val="1"/>
          <w:numId w:val="6"/>
        </w:numPr>
        <w:spacing w:before="120" w:beforeAutospacing="0" w:after="120" w:afterAutospacing="0"/>
        <w:ind w:left="992" w:hanging="992"/>
        <w:rPr>
          <w:color w:val="000000"/>
        </w:rPr>
      </w:pPr>
      <w:r w:rsidRPr="00C00255">
        <w:t xml:space="preserve">Iš teisiamajame posėdyje (t. 756, b. l. 24) pagarsintų </w:t>
      </w:r>
      <w:r w:rsidR="006036E7">
        <w:t>V. U. 1</w:t>
      </w:r>
      <w:r w:rsidRPr="00C00255">
        <w:t xml:space="preserve"> parodymų, gautų įvykdžius teisinės pagalbos prašymą, matyti, kad kariškių ir karinės technikos paskirstymo planų parengimu rūpinosi TSRS gynybos ministerija ir Pabaltijo karinės apygardos štabas. Sprendimą išvesti 107-osios divizijos šarvuotąją techniką priėmė TSRS gynybos ministerijos vadovybė. Atitinkamai nurodymai buvo gaunami raštu ir žodžiu. </w:t>
      </w:r>
      <w:r w:rsidR="006036E7">
        <w:t>V. U. 1</w:t>
      </w:r>
      <w:r w:rsidRPr="00C00255">
        <w:t xml:space="preserve"> patvirtino, kad tai jis, remdamasis TSRS gynybos ministro ir Pabaltijo karinės apygardos vado įsakymais, įsakė pavaldiems kariškiams ir karinei technikai iš 107-osios motorizuotų šaulių divizijos išvykti ir dalyvauti veiksmuose (t. 520, b. l. 325–341). Iš teisme paskelbto </w:t>
      </w:r>
      <w:r w:rsidRPr="00C00255">
        <w:rPr>
          <w:color w:val="000000"/>
        </w:rPr>
        <w:t xml:space="preserve">TSRS gynybos ministerijos 107-osios motorizuotų šaulių divizijos (k/d 22238) vado ir Vilniaus įgulos viršininko </w:t>
      </w:r>
      <w:r w:rsidR="006036E7">
        <w:rPr>
          <w:color w:val="000000"/>
        </w:rPr>
        <w:t>V. U. 1</w:t>
      </w:r>
      <w:r w:rsidRPr="00C00255">
        <w:rPr>
          <w:color w:val="000000"/>
        </w:rPr>
        <w:t xml:space="preserve"> ikiteisminio tyrimo metu duoto paaiškinimo vadovybei matyti, kad 1991 m. sausio 12 d. jis gavo karinės apygardos vado pavaduotojo </w:t>
      </w:r>
      <w:r w:rsidR="00C507EF">
        <w:rPr>
          <w:color w:val="000000"/>
        </w:rPr>
        <w:t>V. O.</w:t>
      </w:r>
      <w:r w:rsidRPr="00C00255">
        <w:rPr>
          <w:color w:val="000000"/>
        </w:rPr>
        <w:t xml:space="preserve"> įsakymą su tankais padaryti praėjimą oro desanto pajėgoms iki radijo ir televizijos centro, nes keliai buvo užtverti sunkiąja technika. Tankams vadovavo desantininkų vyresnieji. Tankistai užduotį įvykdė puikiai, kelis kartus iššovė į viršų (t. 191, b. l. 140–141). Iš esmės taip pat operacijos eigą jau minėtame vaizdo įraše paaiškino ir </w:t>
      </w:r>
      <w:r w:rsidR="00C507EF">
        <w:rPr>
          <w:color w:val="000000"/>
        </w:rPr>
        <w:t>V. A.</w:t>
      </w:r>
      <w:r w:rsidRPr="00C00255">
        <w:rPr>
          <w:color w:val="000000"/>
        </w:rPr>
        <w:t xml:space="preserve">, kuris, be to, nurodė ir TSRS VSK padalinio „A“ vaidmenį operacijoje, t. y. kad pagal iš anksto parengtą detalų planą šturmuojant televizijos bokštą desantininkai, vidaus kariuomenė ir tankai turėjo ištuštinti aikštę prie bokšto, kad TSRS VSK grupė „A“ galėtų patekti į bokštą </w:t>
      </w:r>
      <w:r w:rsidRPr="00C00255">
        <w:t>(t. 519, b. l. 226–243)</w:t>
      </w:r>
      <w:r w:rsidRPr="00C00255">
        <w:rPr>
          <w:color w:val="000000"/>
        </w:rPr>
        <w:t xml:space="preserve">. </w:t>
      </w:r>
    </w:p>
    <w:p w:rsidR="00EC36F2" w:rsidRPr="00EB01B7" w:rsidRDefault="00EC36F2" w:rsidP="0072749F">
      <w:pPr>
        <w:pStyle w:val="NormalWeb"/>
        <w:numPr>
          <w:ilvl w:val="0"/>
          <w:numId w:val="6"/>
        </w:numPr>
        <w:spacing w:before="120" w:beforeAutospacing="0" w:after="120" w:afterAutospacing="0"/>
        <w:ind w:left="992" w:hanging="992"/>
      </w:pPr>
      <w:r w:rsidRPr="00C00255">
        <w:t xml:space="preserve">Prieš tai aptarti įrodymai teisėjų kolegijai nekelia jokių abejonių ir leidžia daryti tvirtas išvadas apie byloje kaltinto </w:t>
      </w:r>
      <w:r w:rsidR="00385BC9">
        <w:t>D. J.</w:t>
      </w:r>
      <w:r w:rsidRPr="00C00255">
        <w:t xml:space="preserve"> ir TSRS valdžios veikimą, siekiant </w:t>
      </w:r>
      <w:r w:rsidRPr="00C00255">
        <w:rPr>
          <w:bCs/>
          <w:color w:val="000000"/>
          <w:lang w:eastAsia="ar-SA" w:bidi="lt-LT"/>
        </w:rPr>
        <w:t xml:space="preserve">grąžinti Lietuvą į TSRS sudėtį, ir šiems tikslams įgyvendinti įtrauktus kitus asmenis; </w:t>
      </w:r>
      <w:r w:rsidR="00385BC9">
        <w:rPr>
          <w:bCs/>
          <w:color w:val="000000"/>
          <w:lang w:eastAsia="ar-SA" w:bidi="lt-LT"/>
        </w:rPr>
        <w:t>D. J.</w:t>
      </w:r>
      <w:r w:rsidRPr="00C00255">
        <w:rPr>
          <w:bCs/>
          <w:i/>
          <w:iCs/>
          <w:color w:val="000000"/>
          <w:lang w:eastAsia="ar-SA" w:bidi="lt-LT"/>
        </w:rPr>
        <w:t xml:space="preserve"> </w:t>
      </w:r>
      <w:r w:rsidRPr="00C00255">
        <w:t xml:space="preserve">vadovaujantį vaidmenį įkuriant vadovavimo karinei operacijai štabą, duodant nurodymus dėl karinės operacijos organizavimo ir vykdymo savo pavaduotojui ir </w:t>
      </w:r>
      <w:r w:rsidRPr="00C00255">
        <w:rPr>
          <w:rFonts w:eastAsia="Calibri"/>
        </w:rPr>
        <w:t xml:space="preserve">TSRS GM Oro desanto </w:t>
      </w:r>
      <w:r w:rsidRPr="00EB01B7">
        <w:rPr>
          <w:rFonts w:eastAsia="Calibri"/>
        </w:rPr>
        <w:t xml:space="preserve">pajėgų vadui </w:t>
      </w:r>
      <w:r w:rsidR="00C507EF" w:rsidRPr="00EB01B7">
        <w:t>V. A.</w:t>
      </w:r>
      <w:r w:rsidRPr="00EB01B7">
        <w:t xml:space="preserve"> bei </w:t>
      </w:r>
      <w:r w:rsidRPr="00EB01B7">
        <w:rPr>
          <w:rFonts w:eastAsia="Calibri"/>
        </w:rPr>
        <w:t>TSRS GM Sausumos pajėgų Pabaltijo karinės apygardos vado pavaduotojui</w:t>
      </w:r>
      <w:r w:rsidRPr="00EB01B7">
        <w:t xml:space="preserve"> </w:t>
      </w:r>
      <w:r w:rsidR="00C507EF" w:rsidRPr="00EB01B7">
        <w:t>V. O.</w:t>
      </w:r>
      <w:r w:rsidRPr="00EB01B7">
        <w:t xml:space="preserve">, kurie savo veiksmus ir sprendimus derino su pačiu </w:t>
      </w:r>
      <w:r w:rsidR="00385BC9" w:rsidRPr="00EB01B7">
        <w:t>D. J.</w:t>
      </w:r>
      <w:r w:rsidRPr="00EB01B7">
        <w:t xml:space="preserve">, bei davė nurodymus kitiems aukštas ir vadovaujančias pareigas užimantiems kariškiams, taip pat ir TSRS GM struktūroje veikusiems </w:t>
      </w:r>
      <w:r w:rsidRPr="00EB01B7">
        <w:rPr>
          <w:rFonts w:eastAsia="Calibri"/>
        </w:rPr>
        <w:t xml:space="preserve">TSRS GM Oro desanto pajėgų Pskovo 76-osios oro desanto divizijos vado pavaduotojui </w:t>
      </w:r>
      <w:r w:rsidR="00385BC9" w:rsidRPr="00EB01B7">
        <w:t>V. K. 1</w:t>
      </w:r>
      <w:r w:rsidRPr="00EB01B7">
        <w:t xml:space="preserve"> bei </w:t>
      </w:r>
      <w:r w:rsidRPr="00EB01B7">
        <w:rPr>
          <w:rFonts w:eastAsia="Calibri"/>
        </w:rPr>
        <w:t>TSRS GM Sausumos pajėgų Pabaltijo karinės apygardos 107-osios motorizuotų šaulių divizijos vadui</w:t>
      </w:r>
      <w:r w:rsidRPr="00EB01B7">
        <w:t xml:space="preserve"> </w:t>
      </w:r>
      <w:r w:rsidR="006036E7" w:rsidRPr="00EB01B7">
        <w:t>V. U. 1</w:t>
      </w:r>
      <w:r w:rsidRPr="00EB01B7">
        <w:t>.</w:t>
      </w:r>
    </w:p>
    <w:p w:rsidR="00EC36F2" w:rsidRPr="00EB01B7" w:rsidRDefault="00EC36F2" w:rsidP="00EC36F2">
      <w:pPr>
        <w:pStyle w:val="NormalWeb"/>
        <w:numPr>
          <w:ilvl w:val="0"/>
          <w:numId w:val="6"/>
        </w:numPr>
        <w:spacing w:before="120" w:beforeAutospacing="0" w:after="120" w:afterAutospacing="0"/>
        <w:ind w:left="992" w:hanging="992"/>
      </w:pPr>
      <w:r w:rsidRPr="000E2C88">
        <w:rPr>
          <w:rFonts w:eastAsia="Calibri"/>
        </w:rPr>
        <w:t xml:space="preserve">Pagal byloje pateiktą kaltinimą, </w:t>
      </w:r>
      <w:r w:rsidR="00385BC9" w:rsidRPr="000E2C88">
        <w:rPr>
          <w:rFonts w:eastAsia="Calibri"/>
        </w:rPr>
        <w:t>V. K. 1</w:t>
      </w:r>
      <w:r w:rsidRPr="000E2C88">
        <w:rPr>
          <w:rFonts w:eastAsia="Calibri"/>
        </w:rPr>
        <w:t xml:space="preserve"> ir </w:t>
      </w:r>
      <w:r w:rsidR="006036E7" w:rsidRPr="000E2C88">
        <w:rPr>
          <w:rFonts w:eastAsia="Calibri"/>
        </w:rPr>
        <w:t>V. U. 1</w:t>
      </w:r>
      <w:r w:rsidRPr="000E2C88">
        <w:rPr>
          <w:rFonts w:eastAsia="Calibri"/>
        </w:rPr>
        <w:t xml:space="preserve">, kiekvienas veikdamas pagal jam įsakymus davusio atitinkamų pajėgų vado, t. y. </w:t>
      </w:r>
      <w:r w:rsidR="00C507EF" w:rsidRPr="000E2C88">
        <w:rPr>
          <w:rFonts w:eastAsia="Calibri"/>
        </w:rPr>
        <w:t>V. A.</w:t>
      </w:r>
      <w:r w:rsidRPr="000E2C88">
        <w:rPr>
          <w:rFonts w:eastAsia="Calibri"/>
        </w:rPr>
        <w:t xml:space="preserve"> ir </w:t>
      </w:r>
      <w:r w:rsidR="00C507EF" w:rsidRPr="000E2C88">
        <w:rPr>
          <w:rFonts w:eastAsia="Calibri"/>
        </w:rPr>
        <w:t>V. O.</w:t>
      </w:r>
      <w:r w:rsidRPr="000E2C88">
        <w:rPr>
          <w:rFonts w:eastAsia="Calibri"/>
        </w:rPr>
        <w:t xml:space="preserve"> nurodymus, ir būdami vadovavimo karinei operacijai štabo nariais, detalizavo karinės operacijos plano įgyvendinimą, numatė užgrobiamus objektus ir paskirstė kariškius, konkretizavo kariuomenės rūšių užduotis ir veiksmus, paskyrė kariniams veiksmams vadovaujančius bei už veiksmų koordinavimą atsakingus karininkus, koordinavo kariškių, dalyvaujančių užimant objektus, bendrus veiksmus. Teisėjų kolegija su tokiomis esminėmis kaltinimo aplinkybėmis visiškai sutinka, nes jos pagrįstos byloje surinktais įrodymais: byloje esančiais rašytiniais dokumentais apie </w:t>
      </w:r>
      <w:r w:rsidR="00385BC9" w:rsidRPr="000E2C88">
        <w:rPr>
          <w:rFonts w:eastAsia="Calibri"/>
        </w:rPr>
        <w:t>V. K. 1</w:t>
      </w:r>
      <w:r w:rsidRPr="000E2C88">
        <w:rPr>
          <w:rFonts w:eastAsia="Calibri"/>
        </w:rPr>
        <w:t xml:space="preserve"> ir </w:t>
      </w:r>
      <w:r w:rsidR="006036E7" w:rsidRPr="000E2C88">
        <w:rPr>
          <w:rFonts w:eastAsia="Calibri"/>
        </w:rPr>
        <w:t>V. U. 1</w:t>
      </w:r>
      <w:r w:rsidRPr="000E2C88">
        <w:rPr>
          <w:rFonts w:eastAsia="Calibri"/>
        </w:rPr>
        <w:t xml:space="preserve"> vadovavimą kariškių daliniams, veikusiems karinės operacijos metu, kariškių, o taip pat ir </w:t>
      </w:r>
      <w:r w:rsidR="006036E7" w:rsidRPr="000E2C88">
        <w:rPr>
          <w:rFonts w:eastAsia="Calibri"/>
        </w:rPr>
        <w:t>V. U. 1</w:t>
      </w:r>
      <w:r w:rsidRPr="000E2C88">
        <w:rPr>
          <w:rFonts w:eastAsia="Calibri"/>
        </w:rPr>
        <w:t xml:space="preserve"> viešais pasisakymais, užfiksuotais byloje esančiuose vaizdo įrašuose, specialisto išvada, teismo posėdyje apklaustų liudytojų parodymais, kuriuos visiškai atitinka ir patvirtina daugelio ikiteisminio tyrimo metu apklaustų kariškių parodymai, kuriuos teismas vertino visų byloje surinktų įrodymų kontekste</w:t>
      </w:r>
      <w:r w:rsidRPr="00EB01B7">
        <w:rPr>
          <w:rFonts w:eastAsia="Calibri"/>
        </w:rPr>
        <w:t>.</w:t>
      </w:r>
    </w:p>
    <w:p w:rsidR="00EC36F2" w:rsidRPr="00C00255" w:rsidRDefault="00EC36F2" w:rsidP="00EC36F2">
      <w:pPr>
        <w:pStyle w:val="NormalWeb"/>
        <w:numPr>
          <w:ilvl w:val="0"/>
          <w:numId w:val="6"/>
        </w:numPr>
        <w:spacing w:before="120" w:beforeAutospacing="0" w:after="120" w:afterAutospacing="0"/>
        <w:ind w:left="992" w:hanging="992"/>
      </w:pPr>
      <w:r w:rsidRPr="000E2C88">
        <w:rPr>
          <w:rFonts w:eastAsia="Calibri"/>
        </w:rPr>
        <w:t xml:space="preserve">Byloje iš esmės nėra ginčo dėl </w:t>
      </w:r>
      <w:r w:rsidR="00385BC9" w:rsidRPr="000E2C88">
        <w:rPr>
          <w:rFonts w:eastAsia="Calibri"/>
        </w:rPr>
        <w:t>V. K. 1</w:t>
      </w:r>
      <w:r w:rsidRPr="000E2C88">
        <w:rPr>
          <w:rFonts w:eastAsia="Calibri"/>
        </w:rPr>
        <w:t xml:space="preserve"> ir </w:t>
      </w:r>
      <w:r w:rsidR="006036E7" w:rsidRPr="000E2C88">
        <w:rPr>
          <w:rFonts w:eastAsia="Calibri"/>
        </w:rPr>
        <w:t>V. U. 1</w:t>
      </w:r>
      <w:r w:rsidRPr="000E2C88">
        <w:rPr>
          <w:rFonts w:eastAsia="Calibri"/>
        </w:rPr>
        <w:t xml:space="preserve"> vadovautų karinių dalinių dalyvavimo byloje nagrinėjamų 1991 m. sausio įvykių metu. Tokia aplinkybė jau nustatyta įsiteisėjusiu teismo sprendimu </w:t>
      </w:r>
      <w:r w:rsidR="00C507EF" w:rsidRPr="000E2C88">
        <w:rPr>
          <w:rFonts w:eastAsia="Calibri"/>
        </w:rPr>
        <w:t>M. B.</w:t>
      </w:r>
      <w:r w:rsidRPr="000E2C88">
        <w:rPr>
          <w:rFonts w:eastAsia="Calibri"/>
        </w:rPr>
        <w:t xml:space="preserve">, </w:t>
      </w:r>
      <w:r w:rsidR="00C507EF" w:rsidRPr="000E2C88">
        <w:rPr>
          <w:rFonts w:eastAsia="Calibri"/>
        </w:rPr>
        <w:t>J. K.</w:t>
      </w:r>
      <w:r w:rsidRPr="000E2C88">
        <w:rPr>
          <w:rFonts w:eastAsia="Calibri"/>
        </w:rPr>
        <w:t xml:space="preserve"> ir kt. byloje, be to, tą aiškiai patvirtina daugelis nagrinėjamoje byloje surinktų rašytinių įrodymų, dokumentai apie dalinio iš Pskovo perdislokavimą, Vilniuje veikusio dalinio veiklą, specialisto išvada, vaizdo įrašai, liudytojų, taip pat ir apklaustų teisme, parodymai. Esminis klausimas apeliacinių skundų argumentų kontekste – koks buvo </w:t>
      </w:r>
      <w:r w:rsidR="00385BC9" w:rsidRPr="000E2C88">
        <w:rPr>
          <w:rFonts w:eastAsia="Calibri"/>
        </w:rPr>
        <w:t>V. K. 1</w:t>
      </w:r>
      <w:r w:rsidRPr="000E2C88">
        <w:rPr>
          <w:rFonts w:eastAsia="Calibri"/>
        </w:rPr>
        <w:t xml:space="preserve"> ir </w:t>
      </w:r>
      <w:r w:rsidR="006036E7" w:rsidRPr="000E2C88">
        <w:rPr>
          <w:rFonts w:eastAsia="Calibri"/>
        </w:rPr>
        <w:t>V. U. 1</w:t>
      </w:r>
      <w:r w:rsidRPr="000E2C88">
        <w:rPr>
          <w:rFonts w:eastAsia="Calibri"/>
        </w:rPr>
        <w:t xml:space="preserve"> vaidmuo rengiantis karinei operacijai ir ar jie, kaip nurodoma gynėjų apeliaciniuose skunduose, nebuvo tik formalūs </w:t>
      </w:r>
      <w:r w:rsidR="00385BC9" w:rsidRPr="000E2C88">
        <w:rPr>
          <w:rFonts w:eastAsia="Calibri"/>
        </w:rPr>
        <w:t>D. J.</w:t>
      </w:r>
      <w:r w:rsidRPr="000E2C88">
        <w:rPr>
          <w:rFonts w:eastAsia="Calibri"/>
        </w:rPr>
        <w:t xml:space="preserve"> ir kitų aukštesnių kariškių įsakymų vykdytojai (</w:t>
      </w:r>
      <w:r w:rsidR="006036E7" w:rsidRPr="000E2C88">
        <w:rPr>
          <w:rFonts w:eastAsia="Calibri"/>
        </w:rPr>
        <w:t>V. U. 1</w:t>
      </w:r>
      <w:r w:rsidRPr="000E2C88">
        <w:rPr>
          <w:rFonts w:eastAsia="Calibri"/>
        </w:rPr>
        <w:t xml:space="preserve"> gynėjas ginčydamas teismo nuosprendį šioje dalyje taip pat nurodė, kad nuteistasis </w:t>
      </w:r>
      <w:r w:rsidR="006036E7" w:rsidRPr="000E2C88">
        <w:rPr>
          <w:rFonts w:eastAsia="Calibri"/>
        </w:rPr>
        <w:t>V. U. 1</w:t>
      </w:r>
      <w:r w:rsidRPr="000E2C88">
        <w:rPr>
          <w:rFonts w:eastAsia="Calibri"/>
        </w:rPr>
        <w:t xml:space="preserve"> </w:t>
      </w:r>
      <w:r w:rsidRPr="000E2C88">
        <w:t xml:space="preserve">nedalyvavo jokiose civilių organizacijose ir nebandė vykdyti perversmo šalyje, su </w:t>
      </w:r>
      <w:r w:rsidR="00C507EF" w:rsidRPr="000E2C88">
        <w:t>M. B.</w:t>
      </w:r>
      <w:r w:rsidRPr="000E2C88">
        <w:t xml:space="preserve"> ir </w:t>
      </w:r>
      <w:r w:rsidR="00385BC9" w:rsidRPr="000E2C88">
        <w:t>A. N. 1</w:t>
      </w:r>
      <w:r w:rsidRPr="000E2C88">
        <w:t xml:space="preserve"> susitikęs nebuvo; nuteistojo </w:t>
      </w:r>
      <w:r w:rsidR="00385BC9" w:rsidRPr="000E2C88">
        <w:t>V. K. 1</w:t>
      </w:r>
      <w:r w:rsidRPr="000E2C88">
        <w:t xml:space="preserve"> gynėja apeliaciniu skundu iš esmės neginčija</w:t>
      </w:r>
      <w:r w:rsidRPr="000E2C88">
        <w:rPr>
          <w:rFonts w:eastAsia="Calibri"/>
        </w:rPr>
        <w:t xml:space="preserve"> </w:t>
      </w:r>
      <w:r w:rsidR="00385BC9" w:rsidRPr="000E2C88">
        <w:rPr>
          <w:rFonts w:eastAsia="Calibri"/>
        </w:rPr>
        <w:t>V. K. 1</w:t>
      </w:r>
      <w:r w:rsidRPr="000E2C88">
        <w:rPr>
          <w:rFonts w:eastAsia="Calibri"/>
        </w:rPr>
        <w:t xml:space="preserve"> dalyvavimo karinėje</w:t>
      </w:r>
      <w:r w:rsidRPr="000E2C88">
        <w:t xml:space="preserve"> operacijoje ir jos parengiamojoje stadijoje</w:t>
      </w:r>
      <w:r w:rsidRPr="00C00255">
        <w:t xml:space="preserve">). </w:t>
      </w:r>
    </w:p>
    <w:p w:rsidR="00EC36F2" w:rsidRPr="00C00255" w:rsidRDefault="00EC36F2" w:rsidP="00EC36F2">
      <w:pPr>
        <w:pStyle w:val="NormalWeb"/>
        <w:numPr>
          <w:ilvl w:val="0"/>
          <w:numId w:val="6"/>
        </w:numPr>
        <w:spacing w:before="120" w:beforeAutospacing="0" w:after="120" w:afterAutospacing="0"/>
        <w:ind w:left="992" w:hanging="992"/>
      </w:pPr>
      <w:r w:rsidRPr="000E2C88">
        <w:rPr>
          <w:rFonts w:eastAsia="Calibri"/>
        </w:rPr>
        <w:t xml:space="preserve">Teisėjų kolegija su tokia gynybos pozicija nesutinka. Teisėjų kolegijos vertinimu, iš byloje surinktų įrodymų aiškiai galima spręsti apie </w:t>
      </w:r>
      <w:r w:rsidR="00385BC9" w:rsidRPr="000E2C88">
        <w:rPr>
          <w:rFonts w:eastAsia="Calibri"/>
        </w:rPr>
        <w:t>V. K. 1</w:t>
      </w:r>
      <w:r w:rsidRPr="000E2C88">
        <w:rPr>
          <w:rFonts w:eastAsia="Calibri"/>
        </w:rPr>
        <w:t xml:space="preserve"> ir </w:t>
      </w:r>
      <w:r w:rsidR="006036E7" w:rsidRPr="000E2C88">
        <w:rPr>
          <w:rFonts w:eastAsia="Calibri"/>
        </w:rPr>
        <w:t>V. U. 1</w:t>
      </w:r>
      <w:r w:rsidRPr="000E2C88">
        <w:rPr>
          <w:rFonts w:eastAsia="Calibri"/>
        </w:rPr>
        <w:t xml:space="preserve"> vadovaujantį vaidmenį rengiantis karinei operacijai, jų dalyvavimą specialiai sukurto vadovavimo operacijai štabo veikloje, aiškų savo veiksmų suvokimą ir supratimą, jog veikiama, siekiant įgyvendinti TSRS tikslą – </w:t>
      </w:r>
      <w:r w:rsidRPr="000E2C88">
        <w:t>grąžinti Lietuvą į TSRS sudėtį, įgyvendinant antivalstybinę veiklą Lietuvoje vykdžiusių TSKP aktyvistų ir bendrą TSRS politiką Lietuvos atžvilgiu, jėga siekiant perimti Lietuvos valdžią, pirmiausia, perimant strateginių visuomenės informavimo priemonių kontrolę</w:t>
      </w:r>
      <w:r w:rsidRPr="00C00255">
        <w:rPr>
          <w:bCs/>
          <w:color w:val="000000"/>
          <w:lang w:eastAsia="ar-SA" w:bidi="lt-LT"/>
        </w:rPr>
        <w:t>.</w:t>
      </w:r>
    </w:p>
    <w:p w:rsidR="00EC36F2" w:rsidRPr="00C00255" w:rsidRDefault="00EC36F2" w:rsidP="00EC36F2">
      <w:pPr>
        <w:pStyle w:val="NormalWeb"/>
        <w:numPr>
          <w:ilvl w:val="0"/>
          <w:numId w:val="6"/>
        </w:numPr>
        <w:spacing w:before="120" w:beforeAutospacing="0" w:after="120" w:afterAutospacing="0"/>
        <w:ind w:left="992" w:hanging="992"/>
      </w:pPr>
      <w:r w:rsidRPr="00C00255">
        <w:rPr>
          <w:bCs/>
          <w:color w:val="000000"/>
          <w:lang w:eastAsia="ar-SA" w:bidi="lt-LT"/>
        </w:rPr>
        <w:t xml:space="preserve">Byloje pakanka įrodymų konstatuoti, kad </w:t>
      </w:r>
      <w:r w:rsidR="006036E7">
        <w:rPr>
          <w:bCs/>
          <w:color w:val="000000"/>
          <w:lang w:eastAsia="ar-SA" w:bidi="lt-LT"/>
        </w:rPr>
        <w:t>V. U. 1</w:t>
      </w:r>
      <w:r w:rsidRPr="00C00255">
        <w:rPr>
          <w:bCs/>
          <w:color w:val="000000"/>
          <w:lang w:eastAsia="ar-SA" w:bidi="lt-LT"/>
        </w:rPr>
        <w:t xml:space="preserve">, būdamas Vilniuje dislokuoto TSRS karinio dalinio vadu, tiesiogiai bendravo ir bendradarbiavo su Lietuvoje veikusiais LKP/TSKP aktyvistais (tą teismas jau minėjo), ir pats </w:t>
      </w:r>
      <w:r w:rsidR="006036E7">
        <w:rPr>
          <w:bCs/>
          <w:color w:val="000000"/>
          <w:lang w:eastAsia="ar-SA" w:bidi="lt-LT"/>
        </w:rPr>
        <w:t>V. U. 1</w:t>
      </w:r>
      <w:r w:rsidRPr="00C00255">
        <w:rPr>
          <w:bCs/>
          <w:color w:val="000000"/>
          <w:lang w:eastAsia="ar-SA" w:bidi="lt-LT"/>
        </w:rPr>
        <w:t xml:space="preserve"> tiesiogiai pripažino, kad savo, kaip TSRS kariuomenės dalinio vado, sprendimus priėmė, veikdamas pagal jų prašymą.</w:t>
      </w:r>
    </w:p>
    <w:p w:rsidR="00EC36F2" w:rsidRPr="007A31AA" w:rsidRDefault="006036E7" w:rsidP="007A31AA">
      <w:pPr>
        <w:pStyle w:val="NormalWeb"/>
        <w:numPr>
          <w:ilvl w:val="0"/>
          <w:numId w:val="6"/>
        </w:numPr>
        <w:spacing w:before="120" w:beforeAutospacing="0" w:after="120" w:afterAutospacing="0"/>
        <w:ind w:left="992" w:hanging="992"/>
      </w:pPr>
      <w:r w:rsidRPr="000E2C88">
        <w:t>V. U. 1</w:t>
      </w:r>
      <w:r w:rsidR="00EC36F2" w:rsidRPr="000E2C88">
        <w:t xml:space="preserve"> bendradarbiavimą su LKP/TSKP vadovais ir jų aktyvų dalyvavimą rengiant karinę operaciją patvirtina </w:t>
      </w:r>
      <w:r w:rsidRPr="000E2C88">
        <w:t>V. U. 1</w:t>
      </w:r>
      <w:r w:rsidR="00EC36F2" w:rsidRPr="000E2C88">
        <w:t xml:space="preserve"> pasirašyto 1991 m. sausio 15 d. įsakymo Nr. 3 turinys, kuriame tiesiogiai nurodyta, kad 1991 m. sausio įvykių negalima vertinti atsietai nuo situacijos Lietuvoje ir antikonstitucinio 1990 m. kovo 11 d. akto dėl nepriklausomybės paskelbimo, kad Nacionalinio gelbėjimo komitetas kreipėsi prašydamas padėti darbininkų draugovėms perimti radijo ir televizijos kontrolę ir taip nutr</w:t>
      </w:r>
      <w:r w:rsidR="0072749F" w:rsidRPr="000E2C88">
        <w:t>aukti jų provokacinę veiklą. Be </w:t>
      </w:r>
      <w:r w:rsidR="00EC36F2" w:rsidRPr="000E2C88">
        <w:t xml:space="preserve">to, minėtame įsakyme nurodoma, kad pats </w:t>
      </w:r>
      <w:r w:rsidRPr="000E2C88">
        <w:t>V. U. 1</w:t>
      </w:r>
      <w:r w:rsidR="00EC36F2" w:rsidRPr="000E2C88">
        <w:t>, vadovaudamasis TSRS ginkluotųjų pajėgų vidaus tarnybos statuto 43 ir 52 straipsniais bei TSRS ginkluotųjų pajėgų įgulos tarnybos ir sargybų tarnybų statuto 19, 28 straipsniais, nusprendė išskirti įgulos padalinius darbininkų draugovėms tvarkai prie telecentro palaikyti ir bendram patruliavimui ypatingai pavojinguose rajonuose (įsakyme nurodoma: „aš nutariau skirti kai kurių įgulos dalinių etatinius kariškius darbininkų draugovėms padėti įvesti tvarką &lt;...&gt;“)</w:t>
      </w:r>
      <w:r w:rsidR="00EC36F2" w:rsidRPr="000E2C88">
        <w:rPr>
          <w:rFonts w:eastAsia="Calibri"/>
        </w:rPr>
        <w:t xml:space="preserve">. Įsakyme pasisakoma apie jo vadovautos įgulos dalinių veikimo Sausio 13-osios naktį, padedant darbininkų draugovėms, teisėtumą. Įsakymo rezoliucinėje dalyje </w:t>
      </w:r>
      <w:r w:rsidRPr="000E2C88">
        <w:rPr>
          <w:rFonts w:eastAsia="Calibri"/>
        </w:rPr>
        <w:t>V. U. 1</w:t>
      </w:r>
      <w:r w:rsidR="00EC36F2" w:rsidRPr="000E2C88">
        <w:rPr>
          <w:rFonts w:eastAsia="Calibri"/>
        </w:rPr>
        <w:t xml:space="preserve">, be kita ko, įsako kariuomenės daliniams ir pavaduotojui politikos reikalams ginti TSRS politiką, TSRS Konstituciją ir TSRS Prezidento įsakus. Šiame įsakyme bei jo prieduose </w:t>
      </w:r>
      <w:r w:rsidRPr="000E2C88">
        <w:rPr>
          <w:rFonts w:eastAsia="Calibri"/>
        </w:rPr>
        <w:t>V. U. 1</w:t>
      </w:r>
      <w:r w:rsidR="00EC36F2" w:rsidRPr="000E2C88">
        <w:rPr>
          <w:rFonts w:eastAsia="Calibri"/>
        </w:rPr>
        <w:t xml:space="preserve"> LNGK politiką įvertino kaip „nuoseklią, teisingą ir realistinę“, įvardino sąmokslo organizatorius, vadovus ir vykdytojus. Prie įsakymo pridėjo jį pagrindžiančius teisės aktus, LNGK dokumentus, pažymą apie TSRS kariškių, LNGK ir LKP/TSKP CK ryšius bei bendrus veiksmus, TSRS Ministrų Tarybos 1990 m. kovo 28 d. nutarimą dėl turto paėmimo ir, be kita ko, akcentavo savo pareigą palaikyti glaudų ryšį su vietos partiniais ir sovietiniais organais, kartu sprendžiant reikiamų priemonių įgyvendinimo klausimus </w:t>
      </w:r>
      <w:r w:rsidR="00EC36F2" w:rsidRPr="000E2C88">
        <w:t>(t. 203, b. l. 63–81)</w:t>
      </w:r>
      <w:r w:rsidR="00EC36F2" w:rsidRPr="000E2C88">
        <w:rPr>
          <w:rFonts w:eastAsia="Calibri"/>
        </w:rPr>
        <w:t xml:space="preserve">. Pažymėtina, kad dalis </w:t>
      </w:r>
      <w:r w:rsidRPr="000E2C88">
        <w:rPr>
          <w:rFonts w:eastAsia="Calibri"/>
        </w:rPr>
        <w:t>V. U. 1</w:t>
      </w:r>
      <w:r w:rsidR="00EC36F2" w:rsidRPr="000E2C88">
        <w:rPr>
          <w:rFonts w:eastAsia="Calibri"/>
        </w:rPr>
        <w:t xml:space="preserve"> įsakymo priedų, kaip pagrindžiančių kariškių veiksmus Sausio 13-osios naktį, pasirašyti 1991 m. sausio 12 d. 23 val., visiškai prieš pat karinės operacijos sausio 13-osios naktį įgyvendinimą, t. y. aiškiai ir nedviprasmiškai nurodant apie palaikomą LNGK veiklą, smerkiamą Lietuvos politiką ir </w:t>
      </w:r>
      <w:r w:rsidR="00EC36F2" w:rsidRPr="000E2C88">
        <w:t>visuomenės informavimo priemonių</w:t>
      </w:r>
      <w:r w:rsidR="00EC36F2" w:rsidRPr="000E2C88">
        <w:rPr>
          <w:rFonts w:eastAsia="Calibri"/>
        </w:rPr>
        <w:t xml:space="preserve"> veiklą</w:t>
      </w:r>
      <w:r w:rsidR="00EC36F2" w:rsidRPr="007A31AA">
        <w:rPr>
          <w:rFonts w:eastAsia="Calibri"/>
        </w:rPr>
        <w:t>.</w:t>
      </w:r>
    </w:p>
    <w:p w:rsidR="00EC36F2" w:rsidRPr="00C00255" w:rsidRDefault="006036E7" w:rsidP="00EC36F2">
      <w:pPr>
        <w:pStyle w:val="NormalWeb"/>
        <w:numPr>
          <w:ilvl w:val="0"/>
          <w:numId w:val="6"/>
        </w:numPr>
        <w:spacing w:before="120" w:beforeAutospacing="0" w:after="120" w:afterAutospacing="0"/>
        <w:ind w:left="992" w:hanging="992"/>
      </w:pPr>
      <w:r>
        <w:t>V. U. 1</w:t>
      </w:r>
      <w:r w:rsidR="00EC36F2" w:rsidRPr="00C00255">
        <w:t xml:space="preserve"> dalyvavimą rengiant karinę operaciją ir kartu su kitais kariškiais priimant esminius sprendimus dėl jos įgyvendinimo pagrindžia ir 1991 m. sausio 12 d. TSRS karininkų spaudos konferencijos Karininkų namuose Vilniuje vaizdo įrašas, iš kurio matyti, kad šioje konferencijoje dalyvavo ir nuteistasis </w:t>
      </w:r>
      <w:r>
        <w:t>V. U. 1</w:t>
      </w:r>
      <w:r w:rsidR="00EC36F2" w:rsidRPr="00C00255">
        <w:t>, nes kariškiai patys prisistatė žurnalistams. Šios konferencijos metu buvo pateikiami klausimai apie TSRS k</w:t>
      </w:r>
      <w:r w:rsidR="00D220F2">
        <w:t>ariškių veiksmus 1991 m. sausio 11 </w:t>
      </w:r>
      <w:r w:rsidR="00EC36F2" w:rsidRPr="00C00255">
        <w:t>d. ir kt. Karininkai atsakė į pateiktus klausimus, taip pat užsiminė ir apie Lietuvos nacionalinio gelbėjimo komiteto kreipimąsi (2011 m. gruodžio 23 d. apžiūros protokole aptartas dvyliktasis vaizdo įrašas (t. 493 b. l. 67–71).</w:t>
      </w:r>
    </w:p>
    <w:p w:rsidR="00EC36F2" w:rsidRPr="00C00255" w:rsidRDefault="00EC36F2" w:rsidP="00EC36F2">
      <w:pPr>
        <w:pStyle w:val="NormalWeb"/>
        <w:numPr>
          <w:ilvl w:val="0"/>
          <w:numId w:val="6"/>
        </w:numPr>
        <w:spacing w:before="120" w:beforeAutospacing="0" w:after="120" w:afterAutospacing="0"/>
        <w:ind w:left="992" w:hanging="992"/>
      </w:pPr>
      <w:r w:rsidRPr="00C00255">
        <w:rPr>
          <w:color w:val="000000"/>
        </w:rPr>
        <w:t xml:space="preserve">Kaltinime inkriminuotas aplinkybes apie tai, kad </w:t>
      </w:r>
      <w:r w:rsidR="006036E7">
        <w:rPr>
          <w:color w:val="000000"/>
        </w:rPr>
        <w:t>V. U. 1</w:t>
      </w:r>
      <w:r w:rsidRPr="00C00255">
        <w:rPr>
          <w:color w:val="000000"/>
        </w:rPr>
        <w:t xml:space="preserve"> paskyrė kariniams veiksmams vadovaujančius ir už veiksmų koordinavimą atsakingus jam pavaldžius asmenis, davė jiems nurodymus dėl tiesioginio dalyvavimo karinėje operacijoje ir vadovavimo bei buvo asmeniškai atsakingas už visų kariškių bendrų veiksmų koordinavimą, pagrindžia tiek jau minėtas </w:t>
      </w:r>
      <w:r w:rsidR="006036E7">
        <w:rPr>
          <w:color w:val="000000"/>
        </w:rPr>
        <w:t>V. U. 1</w:t>
      </w:r>
      <w:r w:rsidRPr="00C00255">
        <w:rPr>
          <w:color w:val="000000"/>
        </w:rPr>
        <w:t xml:space="preserve"> pasirašytas įsakymas apie jo vadovauto padalinio kariškių veikimą, jų veiksmų teisėtumą padedant draugovininkams ir kt., tiek kiti byloje surinkti įrodymai, p</w:t>
      </w:r>
      <w:r w:rsidR="0064599E" w:rsidRPr="00C00255">
        <w:rPr>
          <w:color w:val="000000"/>
        </w:rPr>
        <w:t>avy</w:t>
      </w:r>
      <w:r w:rsidRPr="00C00255">
        <w:rPr>
          <w:color w:val="000000"/>
        </w:rPr>
        <w:t>z</w:t>
      </w:r>
      <w:r w:rsidR="0064599E" w:rsidRPr="00C00255">
        <w:rPr>
          <w:color w:val="000000"/>
        </w:rPr>
        <w:t>džiui</w:t>
      </w:r>
      <w:r w:rsidRPr="00C00255">
        <w:rPr>
          <w:color w:val="000000"/>
        </w:rPr>
        <w:t xml:space="preserve">, specialisto J. Andriškevičiaus išvada ir paaiškinimai, teisiamajame posėdyje duoti liudytojų, tuometinių Lietuvos pareigūnų, parodymai apie bendravimą su </w:t>
      </w:r>
      <w:r w:rsidR="006036E7">
        <w:rPr>
          <w:color w:val="000000"/>
        </w:rPr>
        <w:t>V. U. 1</w:t>
      </w:r>
      <w:r w:rsidRPr="00C00255">
        <w:rPr>
          <w:color w:val="000000"/>
        </w:rPr>
        <w:t xml:space="preserve"> tiek prieš, tiek po karinės operacijos, bei galiausiai kariškių parodymai apie jo įsakymus ir dalyvavimą pasitarimuose štabe, kuris sprendė visus su karinės operacijos planavimu ir įgyvendinimu susijusius klausimus. </w:t>
      </w:r>
    </w:p>
    <w:p w:rsidR="00EC36F2" w:rsidRPr="00C00255" w:rsidRDefault="00EC36F2" w:rsidP="00EC36F2">
      <w:pPr>
        <w:pStyle w:val="NormalWeb"/>
        <w:numPr>
          <w:ilvl w:val="0"/>
          <w:numId w:val="6"/>
        </w:numPr>
        <w:spacing w:before="120" w:beforeAutospacing="0" w:after="120" w:afterAutospacing="0"/>
        <w:ind w:left="992" w:hanging="992"/>
      </w:pPr>
      <w:r w:rsidRPr="00C00255">
        <w:rPr>
          <w:color w:val="000000"/>
        </w:rPr>
        <w:t>Specialisto J. Andriškevičiaus išvados dalyje apie TSRS kariuomenės sausumos pajėgų dalyvavimą byloje nagrinėjamuose įvykiuose (t. 480, b. l. 41– 43) teigiama, kad specialioms operacijoms Vilniuje kaip taktinis vienetas iš 107-osios divizijos buvo skirtos motorizuotų šaulių ir tankų kuopos. 1991 m. sausio 11</w:t>
      </w:r>
      <w:r w:rsidRPr="00C00255">
        <w:t>–</w:t>
      </w:r>
      <w:r w:rsidRPr="00C00255">
        <w:rPr>
          <w:color w:val="000000"/>
        </w:rPr>
        <w:t xml:space="preserve">13 d. specialiose operacijose Vilniuje iš šios divizijos dalyvavo du identifikuojami pulkai, t. y. 77-asis motorizuotų šaulių pulkas ir 106-asis tankų pulkas. Specialistas taip pat nustatė, kad 107-osios divizijos daliniams vadovavo divizijos vadas generolas majoras </w:t>
      </w:r>
      <w:r w:rsidR="006036E7">
        <w:rPr>
          <w:color w:val="000000"/>
        </w:rPr>
        <w:t>V. U. 1</w:t>
      </w:r>
      <w:r w:rsidRPr="00C00255">
        <w:rPr>
          <w:color w:val="000000"/>
        </w:rPr>
        <w:t xml:space="preserve">. Priešingai nei apibrėždamas bendrą </w:t>
      </w:r>
      <w:r w:rsidR="006036E7">
        <w:rPr>
          <w:color w:val="000000"/>
        </w:rPr>
        <w:t>V. U. 1</w:t>
      </w:r>
      <w:r w:rsidRPr="00C00255">
        <w:rPr>
          <w:color w:val="000000"/>
        </w:rPr>
        <w:t xml:space="preserve"> vadovaujantį vaidmenį, specialistas išskyrė ne bendrai visai operacijai vadovavusius ar ją koordinavusius, bet tik atskirų svarbių objektų šturmui vadovavusius ir </w:t>
      </w:r>
      <w:r w:rsidR="006036E7">
        <w:rPr>
          <w:color w:val="000000"/>
        </w:rPr>
        <w:t>V. U. 1</w:t>
      </w:r>
      <w:r w:rsidRPr="00C00255">
        <w:rPr>
          <w:color w:val="000000"/>
        </w:rPr>
        <w:t xml:space="preserve"> tiesiogiai pavaldžius kariškius („Atskirų svarbių objektų užėmimo operacijose dalyvavusiems 77 mšp padaliniams galimai vadovavo pulko vadas </w:t>
      </w:r>
      <w:r w:rsidR="00D220F2">
        <w:rPr>
          <w:color w:val="000000"/>
        </w:rPr>
        <w:t>A. G.</w:t>
      </w:r>
      <w:r w:rsidRPr="00C00255">
        <w:rPr>
          <w:color w:val="000000"/>
        </w:rPr>
        <w:t xml:space="preserve">, o 106 tp – vadas </w:t>
      </w:r>
      <w:r w:rsidR="004069BF">
        <w:rPr>
          <w:color w:val="000000"/>
        </w:rPr>
        <w:t>N. A.</w:t>
      </w:r>
      <w:r w:rsidRPr="00C00255">
        <w:rPr>
          <w:color w:val="000000"/>
        </w:rPr>
        <w:t>.</w:t>
      </w:r>
      <w:r w:rsidR="00842685">
        <w:rPr>
          <w:color w:val="000000"/>
        </w:rPr>
        <w:t>“ (ši išvados dalis (t. </w:t>
      </w:r>
      <w:r w:rsidRPr="00C00255">
        <w:rPr>
          <w:color w:val="000000"/>
        </w:rPr>
        <w:t xml:space="preserve">480, b. l. 43) cituojama kaip itin svarbi vertinant ne tik </w:t>
      </w:r>
      <w:r w:rsidR="006036E7">
        <w:rPr>
          <w:color w:val="000000"/>
        </w:rPr>
        <w:t>V. U. 1</w:t>
      </w:r>
      <w:r w:rsidRPr="00C00255">
        <w:rPr>
          <w:color w:val="000000"/>
        </w:rPr>
        <w:t xml:space="preserve"> vaidmenį, bet ir aptariant skirtingą </w:t>
      </w:r>
      <w:r w:rsidR="006036E7">
        <w:rPr>
          <w:color w:val="000000"/>
        </w:rPr>
        <w:t>V. U. 1</w:t>
      </w:r>
      <w:r w:rsidRPr="00C00255">
        <w:rPr>
          <w:color w:val="000000"/>
        </w:rPr>
        <w:t xml:space="preserve"> pavaldaus tankų pulko vado </w:t>
      </w:r>
      <w:r w:rsidR="004069BF">
        <w:rPr>
          <w:color w:val="000000"/>
        </w:rPr>
        <w:t>N. A.</w:t>
      </w:r>
      <w:r w:rsidRPr="00C00255">
        <w:rPr>
          <w:color w:val="000000"/>
        </w:rPr>
        <w:t xml:space="preserve"> vaidmenį bei vertinant kaltinime inkriminuotą ir pirmosios instancijos teismo nustatytą aplinkybę apie jo dalyvavimą karinės operacijos planavime). Pažymėtina, kad šias išvadas specialistas pateikė, vadovaudamasis TSRS egzistavusiais normatyvais, bylos duomenimis apie personalo ir karinės technikos skaičių, be to, išanalizavęs jam pateiktą vaizdinę medžiagą, joje užfiksuotos karinės technikos vienetus, jų žymėjimo ypatumus ir kt.</w:t>
      </w:r>
      <w:r w:rsidR="00D220F2">
        <w:rPr>
          <w:color w:val="000000"/>
        </w:rPr>
        <w:t xml:space="preserve"> </w:t>
      </w:r>
    </w:p>
    <w:p w:rsidR="00EC36F2" w:rsidRPr="00C00255" w:rsidRDefault="00EC36F2" w:rsidP="00EC36F2">
      <w:pPr>
        <w:pStyle w:val="NormalWeb"/>
        <w:numPr>
          <w:ilvl w:val="0"/>
          <w:numId w:val="6"/>
        </w:numPr>
        <w:spacing w:before="120" w:beforeAutospacing="0" w:after="120" w:afterAutospacing="0"/>
        <w:ind w:left="992" w:hanging="992"/>
      </w:pPr>
      <w:r w:rsidRPr="00C00255">
        <w:t xml:space="preserve">Tokios specialisto išvados teismui nekelia abejonių ne tik todėl, kad jos logiškai suprantamos vertinant </w:t>
      </w:r>
      <w:r w:rsidR="006036E7">
        <w:t>V. U. 1</w:t>
      </w:r>
      <w:r w:rsidRPr="00C00255">
        <w:t xml:space="preserve"> kaip TSRS GM Sausumos pajėgų </w:t>
      </w:r>
      <w:r w:rsidRPr="00C00255">
        <w:rPr>
          <w:rFonts w:eastAsia="Calibri"/>
        </w:rPr>
        <w:t xml:space="preserve">dalinio </w:t>
      </w:r>
      <w:r w:rsidRPr="00C00255">
        <w:t xml:space="preserve">dislokuoto Vilniuje vadovaujantį statusą (iš jo pasirašytų ir jau aptartų dokumentų akivaizdu, kad jis neapsiribojo tik kariškių veiklos koordinavimu, bet atliko ir aiškų politinių procesų vertinimą), bet ir atitinka byloje apklaustų TSRS kariškių parodymus. Dalį iš jų teismas jau minėjo, pavyzdžiui, </w:t>
      </w:r>
      <w:r w:rsidR="006036E7">
        <w:t>S. P.</w:t>
      </w:r>
      <w:r w:rsidRPr="00C00255">
        <w:t xml:space="preserve">, </w:t>
      </w:r>
      <w:r w:rsidR="00DD1A27">
        <w:t>I. F.</w:t>
      </w:r>
      <w:r w:rsidRPr="00C00255">
        <w:t xml:space="preserve"> parodymai, kurie jau aptarti analizuojant LKP/TSKP narių dalyvavimą vadovavimo štabo veikloje, Pskovo 76-osios oro desanto divizijos parašiutų desanto pulko vado </w:t>
      </w:r>
      <w:r w:rsidR="00C507EF">
        <w:t>I. K.</w:t>
      </w:r>
      <w:r w:rsidRPr="00C00255">
        <w:t xml:space="preserve"> paaiškinimai, užfiksuoti liudytojo </w:t>
      </w:r>
      <w:r w:rsidR="00660130">
        <w:t>M. P.</w:t>
      </w:r>
      <w:r w:rsidRPr="00C00255">
        <w:t xml:space="preserve"> pateiktame garso įraše i</w:t>
      </w:r>
      <w:r w:rsidR="00D220F2">
        <w:t>r jo apžiūros protokole (t. 735 ,</w:t>
      </w:r>
      <w:r w:rsidRPr="00C00255">
        <w:t xml:space="preserve">b. l. 11–69) ir kt. Iš šių parodymų taip pat matyti, jog </w:t>
      </w:r>
      <w:r w:rsidR="006036E7">
        <w:t>V. U. 1</w:t>
      </w:r>
      <w:r w:rsidRPr="00C00255">
        <w:t>, nepaisant dalinyje buvusių dar aukštesnio rango kariškių, sprendė pasirengimo karinei operacijai klausimus, koordinavo kariškių veiksmus, davė nurodymus savo dalinio kariškiams dėl konkrečių užduočių.</w:t>
      </w:r>
    </w:p>
    <w:p w:rsidR="00EC36F2" w:rsidRPr="00C00255" w:rsidRDefault="00EC36F2" w:rsidP="00EC36F2">
      <w:pPr>
        <w:pStyle w:val="NormalWeb"/>
        <w:numPr>
          <w:ilvl w:val="0"/>
          <w:numId w:val="6"/>
        </w:numPr>
        <w:spacing w:before="120" w:beforeAutospacing="0" w:after="120" w:afterAutospacing="0"/>
        <w:ind w:left="992" w:hanging="992"/>
      </w:pPr>
      <w:r w:rsidRPr="00C00255">
        <w:t xml:space="preserve">Teismas jau minėjo, kad strateginę reikšmę turėjusių objektų užgrobimas buvo bendro TSRS siekio – sugrąžinti Lietuvą į TSRS sudėtį – dalis. Siekiant užimti šiuos objektus buvo būtina detaliai pasiruošti, apie ką nurodė ir TSRS gynybos ministro pavaduotojas </w:t>
      </w:r>
      <w:r w:rsidR="00C507EF">
        <w:t>V. A.</w:t>
      </w:r>
      <w:r w:rsidRPr="00C00255">
        <w:t xml:space="preserve"> jau aptartame vaizdo įraše. Tyrimą atlikęs specialistas J. Andriškevičius taip pat nurodė, kad operacijai buvo detaliai pasiruošta, kad rengdamas konkrečių svarbių objektų užėmimą operacijos vadovavimo štabas ir padalinių vadai tikslino operacijos vietų žemėlapius, maršrutus, parengė schemas, atliko laiko paskaičiavimus, vykdė nuolatinį objektų stebėjimą (t. 480, b. l. 46). </w:t>
      </w:r>
    </w:p>
    <w:p w:rsidR="0072749F" w:rsidRPr="00C00255" w:rsidRDefault="00EC36F2" w:rsidP="0072749F">
      <w:pPr>
        <w:pStyle w:val="NormalWeb"/>
        <w:numPr>
          <w:ilvl w:val="0"/>
          <w:numId w:val="6"/>
        </w:numPr>
        <w:spacing w:before="120" w:beforeAutospacing="0" w:after="120" w:afterAutospacing="0"/>
        <w:ind w:left="992" w:hanging="992"/>
      </w:pPr>
      <w:r w:rsidRPr="00C00255">
        <w:t xml:space="preserve">Teisiamajame posėdyje buvo paskelbti liudytojo </w:t>
      </w:r>
      <w:r w:rsidR="00660130">
        <w:t>M. P.</w:t>
      </w:r>
      <w:r w:rsidRPr="00C00255">
        <w:t xml:space="preserve">, </w:t>
      </w:r>
      <w:r w:rsidRPr="00C00255">
        <w:rPr>
          <w:rFonts w:eastAsia="Calibri"/>
        </w:rPr>
        <w:t>1991 m. tarnavusio TSRS kariuomenės Pskovo pulke,</w:t>
      </w:r>
      <w:r w:rsidRPr="00C00255">
        <w:t xml:space="preserve"> parodymai, duoti teisiamajame posėdyje </w:t>
      </w:r>
      <w:r w:rsidR="00C507EF">
        <w:t>M. B.</w:t>
      </w:r>
      <w:r w:rsidRPr="00C00255">
        <w:t xml:space="preserve">, </w:t>
      </w:r>
      <w:r w:rsidR="00C507EF">
        <w:t>J. K.</w:t>
      </w:r>
      <w:r w:rsidR="00D220F2">
        <w:t xml:space="preserve"> ir kt. byloje (t. 374, b. l. </w:t>
      </w:r>
      <w:r w:rsidRPr="00C00255">
        <w:t xml:space="preserve">62–64). </w:t>
      </w:r>
      <w:r w:rsidRPr="00C00255">
        <w:rPr>
          <w:color w:val="000000"/>
        </w:rPr>
        <w:t>Iš jų matyti, kad liudytojas, kaip karinių pajėgų ekspertas, būdamas Rusijos Federacijoje veikusios parlamentinės komisijos dėl valstybinio perversmo nariu ir susipažinęs su šios komisijos tyrimui pateiktais dokumentais, rado ir dokumentus ap</w:t>
      </w:r>
      <w:r w:rsidR="00D220F2">
        <w:rPr>
          <w:color w:val="000000"/>
        </w:rPr>
        <w:t>ie 1990 </w:t>
      </w:r>
      <w:r w:rsidRPr="00C00255">
        <w:rPr>
          <w:color w:val="000000"/>
        </w:rPr>
        <w:t xml:space="preserve">m. Vilniaus įvykius. Iš jų jis matė, kad visų objektų Vilniuje užėmimo pasiruošimas vyko jau 1990 metais. Mieste buvo vykdoma žvalgyba ir viskas buvo paruošta objektų užgrobimui. Buvo rastas ir daugiau nei 40 žmonių sąrašas, tokių kaip </w:t>
      </w:r>
      <w:r w:rsidR="00DD1A27">
        <w:rPr>
          <w:color w:val="000000"/>
        </w:rPr>
        <w:t>V. L.</w:t>
      </w:r>
      <w:r w:rsidRPr="00C00255">
        <w:rPr>
          <w:color w:val="000000"/>
        </w:rPr>
        <w:t xml:space="preserve"> ir kt. Sąraše nurodytos jų gyvenamosios vietos, buvimo namuose laikas, maršrutas kaip geriau patekti iki namų, buvo pateikiamos nuorodos, kuriose matėsi užkoduotas asmuo greta pavardės ir koks 76-osios Pskovo divizijos poskyris skiriamas tam užkoduotam asmeniui. Iš medžiagos buvo galima spręsti, kad sąraše nurodytus asmenis planuota sulaikyti. Visgi dėl vidinių aplinkybių Respublikoje operacijos terminas buvo perkeltas vėlesniam laikui. Pasitarime 1990</w:t>
      </w:r>
      <w:r w:rsidR="00916A1E">
        <w:rPr>
          <w:color w:val="000000"/>
        </w:rPr>
        <w:t> </w:t>
      </w:r>
      <w:r w:rsidR="00D220F2">
        <w:rPr>
          <w:color w:val="000000"/>
        </w:rPr>
        <w:t>m. </w:t>
      </w:r>
      <w:r w:rsidRPr="00C00255">
        <w:rPr>
          <w:color w:val="000000"/>
        </w:rPr>
        <w:t xml:space="preserve">rugpjūčio 8 d. 12.00 val. Pabaltijo Kariniame štabe </w:t>
      </w:r>
      <w:r w:rsidR="00D220F2">
        <w:rPr>
          <w:color w:val="000000"/>
        </w:rPr>
        <w:t>(duomenys neskelbtini)</w:t>
      </w:r>
      <w:r w:rsidRPr="00C00255">
        <w:rPr>
          <w:color w:val="000000"/>
        </w:rPr>
        <w:t xml:space="preserve">, kuriam vadovavo </w:t>
      </w:r>
      <w:r w:rsidR="00C507EF">
        <w:rPr>
          <w:color w:val="000000"/>
        </w:rPr>
        <w:t>V. A.</w:t>
      </w:r>
      <w:r w:rsidRPr="00C00255">
        <w:rPr>
          <w:color w:val="000000"/>
        </w:rPr>
        <w:t xml:space="preserve">, buvo numatyti pirmieji objektai užgrobimui. Tai buvo telecentras, telegrafas ir radijo taškai. Liudytojas matė ir Vilniaus miesto žemėlapį, kuriame buvo pažymėti objektai: Aukščiausioji Taryba, LRT, TV bokštas, Sąjūdžio būstinė. Pagal karinės topografijos taisykles šie objektai buvo pažymėti mėlynai, kaip priešo objektai. Gamyklos buvo pažymėtos raudona spalva, nurodyta dirbančiųjų sudėtis procentais ir draugovininkų skaičius. Žemėlapis buvo sudarytas Vilniaus įgulos komendanto, t. y. </w:t>
      </w:r>
      <w:r w:rsidR="006036E7">
        <w:rPr>
          <w:color w:val="000000"/>
        </w:rPr>
        <w:t>V. U. 1</w:t>
      </w:r>
      <w:r w:rsidRPr="00C00255">
        <w:rPr>
          <w:color w:val="000000"/>
        </w:rPr>
        <w:t>, ir dar 1990 m. kovo mėnesį išsiųstas 76-osios divizijos operatyviniam skyriui (</w:t>
      </w:r>
      <w:r w:rsidRPr="007A31AA">
        <w:t xml:space="preserve">turima omenyje TSRS </w:t>
      </w:r>
      <w:r w:rsidRPr="007A31AA">
        <w:rPr>
          <w:rFonts w:eastAsia="Calibri"/>
        </w:rPr>
        <w:t xml:space="preserve">Oro desanto pajėgų Pskovo 76-osios oro desanto divizija – </w:t>
      </w:r>
      <w:r w:rsidRPr="007A31AA">
        <w:rPr>
          <w:rFonts w:eastAsia="Calibri"/>
          <w:i/>
        </w:rPr>
        <w:t>kolegijos pastaba</w:t>
      </w:r>
      <w:r w:rsidRPr="007A31AA">
        <w:rPr>
          <w:rFonts w:eastAsia="Calibri"/>
        </w:rPr>
        <w:t>)</w:t>
      </w:r>
      <w:r w:rsidRPr="007A31AA">
        <w:t>.</w:t>
      </w:r>
      <w:r w:rsidRPr="00C00255">
        <w:rPr>
          <w:color w:val="000000"/>
        </w:rPr>
        <w:t xml:space="preserve"> Tai, kad šį žemėlapį sudarė Vilniaus įgulos komendantas, buvo aišku iš rekvizitų, kiek liudytojas</w:t>
      </w:r>
      <w:r w:rsidR="00D220F2">
        <w:rPr>
          <w:color w:val="000000"/>
        </w:rPr>
        <w:t xml:space="preserve"> pamena, buvo net ir antspaudas </w:t>
      </w:r>
      <w:r w:rsidR="00D220F2">
        <w:t>(t. 374, b. </w:t>
      </w:r>
      <w:r w:rsidRPr="00C00255">
        <w:t>l. 62–64).</w:t>
      </w:r>
    </w:p>
    <w:p w:rsidR="00EC36F2" w:rsidRPr="00C00255" w:rsidRDefault="00EC36F2" w:rsidP="00EC36F2">
      <w:pPr>
        <w:pStyle w:val="NormalWeb"/>
        <w:numPr>
          <w:ilvl w:val="0"/>
          <w:numId w:val="6"/>
        </w:numPr>
        <w:spacing w:before="120" w:beforeAutospacing="0" w:after="120" w:afterAutospacing="0"/>
        <w:ind w:left="992" w:hanging="992"/>
      </w:pPr>
      <w:r w:rsidRPr="00C00255">
        <w:rPr>
          <w:color w:val="000000"/>
        </w:rPr>
        <w:t xml:space="preserve">Specialisto J. Andriškevičiaus išvadoje nurodoma, kad apžiūrint įvykio vietą prie TV bokšto rasta TV bokšto užėmimo schema buvo parengta TSRS kariškių, remiantis TSRS sausumos pajėgose galiojusiais statutais ir sutartiniais ženklais (t. 480, b. l. 46). Turint omenyje jau minėtus liudytojo </w:t>
      </w:r>
      <w:r w:rsidR="00660130">
        <w:rPr>
          <w:color w:val="000000"/>
        </w:rPr>
        <w:t>M. P.</w:t>
      </w:r>
      <w:r w:rsidRPr="00C00255">
        <w:rPr>
          <w:color w:val="000000"/>
        </w:rPr>
        <w:t xml:space="preserve"> parodymus ir šią specialisto J. Andriškevičiaus išvadą, akivaizdu, kad </w:t>
      </w:r>
      <w:r w:rsidR="006036E7">
        <w:rPr>
          <w:color w:val="000000"/>
        </w:rPr>
        <w:t>V. U. 1</w:t>
      </w:r>
      <w:r w:rsidRPr="00C00255">
        <w:rPr>
          <w:color w:val="000000"/>
        </w:rPr>
        <w:t xml:space="preserve"> ne tik buvo </w:t>
      </w:r>
      <w:r w:rsidRPr="00C00255">
        <w:t xml:space="preserve">operacijos vadovavimo štabo narys ir dalyvavo priimant lemiamus sprendimus, nusprendžiant panaudoti jėgą bei pradėti šturmo veiksmus (apie ką liudija LNGK kreipimosi į Vilniaus įgulos viršininką, t. y. </w:t>
      </w:r>
      <w:r w:rsidR="006036E7">
        <w:t>V. U. 1</w:t>
      </w:r>
      <w:r w:rsidRPr="00C00255">
        <w:t>, dėl pagalbos draugovininkams perimant TV bokštą laikas (1991 m. sausio 12 d. 23 val.; t. 203,</w:t>
      </w:r>
      <w:r w:rsidR="00916A1E">
        <w:t xml:space="preserve"> </w:t>
      </w:r>
      <w:r w:rsidRPr="00C00255">
        <w:t>b.</w:t>
      </w:r>
      <w:r w:rsidR="00916A1E">
        <w:t> </w:t>
      </w:r>
      <w:r w:rsidRPr="00C00255">
        <w:t xml:space="preserve">l. 77), </w:t>
      </w:r>
      <w:r w:rsidR="006036E7">
        <w:t>V. U. 1</w:t>
      </w:r>
      <w:r w:rsidRPr="00C00255">
        <w:t xml:space="preserve"> įsakymas bei jo priedai, kuriuose jis pats nurodo, jog paskyrė kai kuriuos karinius dalinius bei jų kariškius tokiems veiksmams (t. 203, b. l. 71) ir kt.), bet ir pats ar jo vadovaujamo dalinio kariškiai jo pavedimu tikslino operacijos vietų žemėlapius, maršrutus ir </w:t>
      </w:r>
      <w:r w:rsidRPr="00C00255">
        <w:rPr>
          <w:color w:val="000000"/>
        </w:rPr>
        <w:t>dalyvavo rengiant karinę operaciją bei iš anksto žinojo apie mažų mažiausiai galimą TSRS oro desanto pajėgų iš Pskovo 76-osios divizijos dalyvavimą užimant šiuos objektus, nes šiai divizijai siuntė informaciją apie planuojamos operacijos detales su žemėlapiais.</w:t>
      </w:r>
    </w:p>
    <w:p w:rsidR="0072749F" w:rsidRPr="00C00255" w:rsidRDefault="00EC36F2" w:rsidP="0072749F">
      <w:pPr>
        <w:pStyle w:val="NormalWeb"/>
        <w:numPr>
          <w:ilvl w:val="0"/>
          <w:numId w:val="6"/>
        </w:numPr>
        <w:spacing w:before="120" w:beforeAutospacing="0" w:after="120" w:afterAutospacing="0"/>
        <w:ind w:left="992" w:hanging="992"/>
      </w:pPr>
      <w:r w:rsidRPr="00C00255">
        <w:rPr>
          <w:color w:val="000000"/>
        </w:rPr>
        <w:t xml:space="preserve">Iš minėtų teismo išvadų matyti, kad Pskovo 76-osios divizijos kariškių dalyvavimas 1991 m. sausio įvykiuose (kas iš esmės byloje nekelia ginčo; be to, tai nustatyta ir įsiteisėjusiu teismo sprendimu </w:t>
      </w:r>
      <w:r w:rsidR="00C507EF">
        <w:rPr>
          <w:color w:val="000000"/>
        </w:rPr>
        <w:t>M. B.</w:t>
      </w:r>
      <w:r w:rsidRPr="00C00255">
        <w:rPr>
          <w:color w:val="000000"/>
        </w:rPr>
        <w:t xml:space="preserve">, </w:t>
      </w:r>
      <w:r w:rsidR="00C507EF">
        <w:rPr>
          <w:color w:val="000000"/>
        </w:rPr>
        <w:t>J. K.</w:t>
      </w:r>
      <w:r w:rsidRPr="00C00255">
        <w:rPr>
          <w:color w:val="000000"/>
        </w:rPr>
        <w:t xml:space="preserve"> ir kt. byloje) buvo planuojamas iš anksto. Akivaizdu, kad tam reikėjo ir šio dalinio vadovybės dalyvavimo, o tokiu asmeniu pagal byloje surinktus įrodymus buvo nuteistasis </w:t>
      </w:r>
      <w:r w:rsidR="00385BC9">
        <w:rPr>
          <w:color w:val="000000"/>
        </w:rPr>
        <w:t>V. K. 1</w:t>
      </w:r>
      <w:r w:rsidRPr="00C00255">
        <w:rPr>
          <w:color w:val="000000"/>
        </w:rPr>
        <w:t xml:space="preserve">. Kaip jau minėta, byloje pateiktu </w:t>
      </w:r>
      <w:r w:rsidR="00385BC9">
        <w:rPr>
          <w:color w:val="000000"/>
        </w:rPr>
        <w:t>V. K. 1</w:t>
      </w:r>
      <w:r w:rsidRPr="00C00255">
        <w:rPr>
          <w:color w:val="000000"/>
        </w:rPr>
        <w:t xml:space="preserve"> gynėjos apeliaciniu skundu iš esmės nėra ginčijamas</w:t>
      </w:r>
      <w:r w:rsidRPr="00C00255">
        <w:rPr>
          <w:rFonts w:eastAsia="Calibri"/>
        </w:rPr>
        <w:t xml:space="preserve"> </w:t>
      </w:r>
      <w:r w:rsidR="00385BC9" w:rsidRPr="007A31AA">
        <w:rPr>
          <w:rFonts w:eastAsia="Calibri"/>
        </w:rPr>
        <w:t>V. K. 1</w:t>
      </w:r>
      <w:r w:rsidRPr="007A31AA">
        <w:rPr>
          <w:rFonts w:eastAsia="Calibri"/>
        </w:rPr>
        <w:t xml:space="preserve"> dalyvavimas karinėje</w:t>
      </w:r>
      <w:r w:rsidRPr="007A31AA">
        <w:t xml:space="preserve"> operacijoje</w:t>
      </w:r>
      <w:r w:rsidRPr="00C00255">
        <w:t xml:space="preserve">, taip pat ir jos parengiamojoje stadijoje. Visgi, panašiai kaip ir nuteistojo </w:t>
      </w:r>
      <w:r w:rsidR="006036E7">
        <w:t>V. U. 1</w:t>
      </w:r>
      <w:r w:rsidRPr="00C00255">
        <w:t xml:space="preserve"> gynėjas, </w:t>
      </w:r>
      <w:r w:rsidR="00385BC9">
        <w:t>V. K. 1</w:t>
      </w:r>
      <w:r w:rsidRPr="00C00255">
        <w:t xml:space="preserve"> gynėja teigia, </w:t>
      </w:r>
      <w:r w:rsidRPr="00C00255">
        <w:rPr>
          <w:szCs w:val="20"/>
        </w:rPr>
        <w:t>kad jos ginamasis</w:t>
      </w:r>
      <w:r w:rsidRPr="00C00255">
        <w:t xml:space="preserve"> vykdė </w:t>
      </w:r>
      <w:r w:rsidR="00385BC9">
        <w:t>D. J.</w:t>
      </w:r>
      <w:r w:rsidRPr="00C00255">
        <w:t xml:space="preserve"> ir </w:t>
      </w:r>
      <w:r w:rsidR="00C507EF">
        <w:t>V. A.</w:t>
      </w:r>
      <w:r w:rsidRPr="00C00255">
        <w:t xml:space="preserve"> nurodymus, negalėdamas atsisakyti vykdyti įsakymo. </w:t>
      </w:r>
    </w:p>
    <w:p w:rsidR="00EC36F2" w:rsidRPr="00C00255" w:rsidRDefault="00EC36F2" w:rsidP="00EC36F2">
      <w:pPr>
        <w:pStyle w:val="NormalWeb"/>
        <w:numPr>
          <w:ilvl w:val="0"/>
          <w:numId w:val="6"/>
        </w:numPr>
        <w:spacing w:before="120" w:beforeAutospacing="0" w:after="120" w:afterAutospacing="0"/>
        <w:ind w:left="992" w:hanging="992"/>
      </w:pPr>
      <w:r w:rsidRPr="00C00255">
        <w:t xml:space="preserve">Teisėjų kolegija su tokia gynėjų pozicija nesutinka ir argumentus apie kariškio pareigą vykdyti įsakymą bei atsakomybę, kylančią dėl aiškiai neteisėto įsakymo vykdymo, dar išdėstys atskirai. Šioje sprendimo dalyje, atsižvelgdamas į tai, kad </w:t>
      </w:r>
      <w:r w:rsidR="00385BC9">
        <w:t>V. K. 1</w:t>
      </w:r>
      <w:r w:rsidRPr="00C00255">
        <w:t xml:space="preserve"> gynėjos apeliaciniame skunde detalesni argumentai apie </w:t>
      </w:r>
      <w:r w:rsidR="00385BC9">
        <w:t>V. K. 1</w:t>
      </w:r>
      <w:r w:rsidRPr="00C00255">
        <w:t xml:space="preserve"> inkriminuotas nusikalstamų veiksmų faktines aplinkybes, susijusias karinės operacijos planavimu, nenurodomi, apeliacinės instancijos teismas tik pažymi, jog šios aplinkybės byloje yra ištirtos pakankamai išsamiai ir pagrįstos byloje surinktais įrodymais (pvz., specialisto J. Andriškevičiaus išvada ir kitais dokumentais apie Pskovo 76-osios oro desanto divizijos su ginkluote perkėlimą į Vilnių; apie užduotims Vilniuje spręsti, veiksmams organizuoti bei koordinuoti sudarytą divizijos operatyvinę grupę, kuriai vadovauti buvo paskirtas divizijos vado pavaduotojas </w:t>
      </w:r>
      <w:r w:rsidR="00385BC9">
        <w:t>V. K. 1</w:t>
      </w:r>
      <w:r w:rsidRPr="00C00255">
        <w:t xml:space="preserve"> (t. 480, b. l. 34–81); šių pajėgų perdislokavimo tikslą, matomą ne tik iš minėtos specialisto išvados, bet ir iš </w:t>
      </w:r>
      <w:r w:rsidRPr="00C00255">
        <w:rPr>
          <w:color w:val="000000"/>
        </w:rPr>
        <w:t xml:space="preserve">TSRS gynybos ministro </w:t>
      </w:r>
      <w:r w:rsidR="00385BC9">
        <w:rPr>
          <w:color w:val="000000"/>
        </w:rPr>
        <w:t>D. J.</w:t>
      </w:r>
      <w:r w:rsidRPr="00C00255">
        <w:rPr>
          <w:color w:val="000000"/>
        </w:rPr>
        <w:t xml:space="preserve"> 1991 m. vasario 20 d. rašto Nr. 225/03 TSRS generaliniam prokurorui, kurio turinys aiškiai liudija apie siekį panaudojant jėgą užimti strategiškai svarbius objektus, būtinus siekiant sugrąžinti Lietuvą į TSRS sudėtį (t. 115, b. l. 279</w:t>
      </w:r>
      <w:r w:rsidRPr="00C00255">
        <w:t>–</w:t>
      </w:r>
      <w:r w:rsidRPr="00C00255">
        <w:rPr>
          <w:color w:val="000000"/>
        </w:rPr>
        <w:t>193, t. 428, b.</w:t>
      </w:r>
      <w:r w:rsidR="00916A1E">
        <w:rPr>
          <w:color w:val="000000"/>
        </w:rPr>
        <w:t> </w:t>
      </w:r>
      <w:r w:rsidRPr="00C00255">
        <w:rPr>
          <w:color w:val="000000"/>
        </w:rPr>
        <w:t>l.</w:t>
      </w:r>
      <w:r w:rsidR="00916A1E">
        <w:rPr>
          <w:color w:val="000000"/>
        </w:rPr>
        <w:t> </w:t>
      </w:r>
      <w:r w:rsidRPr="00C00255">
        <w:rPr>
          <w:color w:val="000000"/>
        </w:rPr>
        <w:t>236</w:t>
      </w:r>
      <w:r w:rsidRPr="00C00255">
        <w:t>–</w:t>
      </w:r>
      <w:r w:rsidRPr="00C00255">
        <w:rPr>
          <w:color w:val="000000"/>
        </w:rPr>
        <w:t>247) ir kt.;</w:t>
      </w:r>
      <w:r w:rsidRPr="00C00255">
        <w:t xml:space="preserve"> liudytojo </w:t>
      </w:r>
      <w:r w:rsidR="00660130">
        <w:t>M. P.</w:t>
      </w:r>
      <w:r w:rsidRPr="00C00255">
        <w:t xml:space="preserve"> parodymais apie aukščiausią vadovaujamą </w:t>
      </w:r>
      <w:r w:rsidR="00385BC9">
        <w:t>V. K. 1</w:t>
      </w:r>
      <w:r w:rsidRPr="00C00255">
        <w:t xml:space="preserve"> vaidmenį oro desantininkams iš Pskovo ir dar iki šio dalinio perdislokavimo į Vilnių šiam daliniui siųstą informaciją, būtiną detaliam operacijos planavimui (t. 374, b. l. 62–64); liudytojo </w:t>
      </w:r>
      <w:r w:rsidR="00660130">
        <w:t>M. P.</w:t>
      </w:r>
      <w:r w:rsidRPr="00C00255">
        <w:t xml:space="preserve"> pateiktu Pskovo 76-osios oro desanto divizijos parašiutų desanto pulko vado </w:t>
      </w:r>
      <w:r w:rsidR="00C507EF">
        <w:t>I. K.</w:t>
      </w:r>
      <w:r w:rsidRPr="00C00255">
        <w:t xml:space="preserve"> paaiškinimų garso įrašu, kurio autentiškumą ir tikrumą patvirtino ekspertai ir kuriame taip pat aiškiai matomas </w:t>
      </w:r>
      <w:r w:rsidR="00385BC9">
        <w:t>V. K. 1</w:t>
      </w:r>
      <w:r w:rsidRPr="00C00255">
        <w:t xml:space="preserve"> vadovaujantis vaidmuo visiems iš Pskovo į Vilnių perdislokuotiems kariškiams, tiek planuojant operaciją, tiek dalyvaujant Šiaurės miestelyje vykusio aukščiausio rango kariškių (vadovavimo karinei operacijai štabo) pasitarimuose, į kuriuos pats </w:t>
      </w:r>
      <w:r w:rsidR="00C507EF">
        <w:t>I. K.</w:t>
      </w:r>
      <w:r w:rsidRPr="00C00255">
        <w:t xml:space="preserve"> patekti negalėjo, tiek koordinuojant visų kariškių bendrus veiksmus (t. 735, b. l. 11–69); teisiamajame posėdyje apklausto liudytojo </w:t>
      </w:r>
      <w:r w:rsidR="00660130">
        <w:t>J. T.</w:t>
      </w:r>
      <w:r w:rsidRPr="00C00255">
        <w:t xml:space="preserve">, tarnavusio Pskovo dalinyje ir veikusio pagal </w:t>
      </w:r>
      <w:r w:rsidR="00C507EF">
        <w:t>I. K.</w:t>
      </w:r>
      <w:r w:rsidRPr="00C00255">
        <w:t xml:space="preserve"> įsakymus, parodymais, patvirtinančiais </w:t>
      </w:r>
      <w:r w:rsidR="00C507EF">
        <w:t>I. K.</w:t>
      </w:r>
      <w:r w:rsidRPr="00C00255">
        <w:t xml:space="preserve"> duotų parodymų patikimumą; šiuos ir kitus byloje surinktus įrodymus visiškai patvirtinančiais kitų byloje apklaustų kariškių parodymais apie </w:t>
      </w:r>
      <w:r w:rsidR="00385BC9">
        <w:t>V. K. 1</w:t>
      </w:r>
      <w:r w:rsidRPr="00C00255">
        <w:t xml:space="preserve"> dalyvavimą štabo veikloje, kartu su kitais aukščiausio rango kariškiais planuojant operaciją, tariantis dėl jos įgyvendinimo ir nutariant pradėti jos įgyvendinimą bei duodant atitinkamus įsakymus pavaldiems žemesnio rango kariškiams (pvz., </w:t>
      </w:r>
      <w:r w:rsidR="00385BC9">
        <w:t>G. G.</w:t>
      </w:r>
      <w:r w:rsidRPr="00C00255">
        <w:t xml:space="preserve"> (t. 117, 1</w:t>
      </w:r>
      <w:r w:rsidRPr="00C00255">
        <w:rPr>
          <w:color w:val="000000"/>
        </w:rPr>
        <w:t>–</w:t>
      </w:r>
      <w:r w:rsidRPr="00C00255">
        <w:t>3; t. 430, b. l. 1</w:t>
      </w:r>
      <w:r w:rsidRPr="00C00255">
        <w:rPr>
          <w:color w:val="000000"/>
        </w:rPr>
        <w:t>–4),</w:t>
      </w:r>
      <w:r w:rsidRPr="00C00255">
        <w:t xml:space="preserve"> </w:t>
      </w:r>
      <w:r w:rsidR="006036E7">
        <w:t>S. P.</w:t>
      </w:r>
      <w:r w:rsidRPr="00C00255">
        <w:t xml:space="preserve"> </w:t>
      </w:r>
      <w:r w:rsidRPr="00C00255">
        <w:rPr>
          <w:color w:val="000000"/>
        </w:rPr>
        <w:t>(</w:t>
      </w:r>
      <w:r w:rsidRPr="00C00255">
        <w:t xml:space="preserve">t. 756, b. l. 30–32; </w:t>
      </w:r>
      <w:r w:rsidRPr="00C00255">
        <w:rPr>
          <w:color w:val="000000"/>
        </w:rPr>
        <w:t>t. 117, b. l. 9–13; t. 430, b. l. 8–9)</w:t>
      </w:r>
      <w:r w:rsidRPr="00C00255">
        <w:t xml:space="preserve">, </w:t>
      </w:r>
      <w:r w:rsidR="00DD1A27">
        <w:t>I. F.</w:t>
      </w:r>
      <w:r w:rsidRPr="00C00255">
        <w:t xml:space="preserve"> (t. 757 b. l. 64, t. 192, b. l. 102–106); </w:t>
      </w:r>
      <w:r w:rsidR="006036E7">
        <w:t>E. M.</w:t>
      </w:r>
      <w:r w:rsidRPr="00C00255">
        <w:t xml:space="preserve"> </w:t>
      </w:r>
      <w:r w:rsidRPr="00C00255">
        <w:rPr>
          <w:color w:val="000000"/>
        </w:rPr>
        <w:t xml:space="preserve">(t. 118, b. l. 6–10; t. 431, b. l. 7–11), </w:t>
      </w:r>
      <w:r w:rsidR="00385BC9">
        <w:rPr>
          <w:color w:val="000000"/>
        </w:rPr>
        <w:t>V. S. 2</w:t>
      </w:r>
      <w:r w:rsidRPr="00C00255">
        <w:rPr>
          <w:color w:val="000000"/>
        </w:rPr>
        <w:t xml:space="preserve"> (t. 119, b. l. 168–173; t. 432, b. l. 102–105), </w:t>
      </w:r>
      <w:r w:rsidR="004069BF">
        <w:rPr>
          <w:rFonts w:eastAsia="Calibri"/>
        </w:rPr>
        <w:t>N. A.</w:t>
      </w:r>
      <w:r w:rsidRPr="00C00255">
        <w:rPr>
          <w:rFonts w:eastAsia="Calibri"/>
        </w:rPr>
        <w:t xml:space="preserve"> (</w:t>
      </w:r>
      <w:r w:rsidRPr="00C00255">
        <w:t>t. 527, b. l. 3, 6–13</w:t>
      </w:r>
      <w:r w:rsidRPr="00C00255">
        <w:rPr>
          <w:rFonts w:eastAsia="Calibri"/>
        </w:rPr>
        <w:t xml:space="preserve">) </w:t>
      </w:r>
      <w:r w:rsidRPr="00C00255">
        <w:rPr>
          <w:color w:val="000000"/>
        </w:rPr>
        <w:t>ir kt. parodymais</w:t>
      </w:r>
      <w:r w:rsidRPr="00C00255">
        <w:t>)).</w:t>
      </w:r>
    </w:p>
    <w:p w:rsidR="00EC36F2" w:rsidRPr="007A31AA" w:rsidRDefault="00EC36F2" w:rsidP="007A31AA">
      <w:pPr>
        <w:pStyle w:val="NormalWeb"/>
        <w:numPr>
          <w:ilvl w:val="0"/>
          <w:numId w:val="6"/>
        </w:numPr>
        <w:spacing w:before="120" w:beforeAutospacing="0" w:after="120" w:afterAutospacing="0"/>
        <w:ind w:left="992" w:hanging="992"/>
      </w:pPr>
      <w:r w:rsidRPr="000E2C88">
        <w:t xml:space="preserve">Taigi iš visų jau aptartų įrodymų matyti, kad nuteistieji </w:t>
      </w:r>
      <w:r w:rsidR="00385BC9" w:rsidRPr="000E2C88">
        <w:t>V. K. 1</w:t>
      </w:r>
      <w:r w:rsidRPr="000E2C88">
        <w:t xml:space="preserve"> ir </w:t>
      </w:r>
      <w:r w:rsidR="006036E7" w:rsidRPr="000E2C88">
        <w:t>V. U. 1</w:t>
      </w:r>
      <w:r w:rsidRPr="000E2C88">
        <w:t xml:space="preserve">, </w:t>
      </w:r>
      <w:r w:rsidRPr="000E2C88">
        <w:rPr>
          <w:rFonts w:eastAsia="Calibri"/>
        </w:rPr>
        <w:t xml:space="preserve">rengiantis karinei operacijai Vilniuje, nebuvo tik formalūs </w:t>
      </w:r>
      <w:r w:rsidR="00385BC9" w:rsidRPr="000E2C88">
        <w:rPr>
          <w:rFonts w:eastAsia="Calibri"/>
        </w:rPr>
        <w:t>D. J.</w:t>
      </w:r>
      <w:r w:rsidRPr="000E2C88">
        <w:rPr>
          <w:rFonts w:eastAsia="Calibri"/>
        </w:rPr>
        <w:t xml:space="preserve"> ir atitinkamai </w:t>
      </w:r>
      <w:r w:rsidR="00C507EF" w:rsidRPr="000E2C88">
        <w:rPr>
          <w:rFonts w:eastAsia="Calibri"/>
        </w:rPr>
        <w:t>V. A.</w:t>
      </w:r>
      <w:r w:rsidRPr="000E2C88">
        <w:rPr>
          <w:rFonts w:eastAsia="Calibri"/>
        </w:rPr>
        <w:t xml:space="preserve"> bei </w:t>
      </w:r>
      <w:r w:rsidR="00C507EF" w:rsidRPr="000E2C88">
        <w:rPr>
          <w:rFonts w:eastAsia="Calibri"/>
        </w:rPr>
        <w:t>V. O.</w:t>
      </w:r>
      <w:r w:rsidRPr="000E2C88">
        <w:rPr>
          <w:rFonts w:eastAsia="Calibri"/>
        </w:rPr>
        <w:t xml:space="preserve">, kurių atžvilgiu tyrimas nutrauktas jiems mirus, įsakymų vykdytojai. </w:t>
      </w:r>
      <w:r w:rsidR="00385BC9" w:rsidRPr="000E2C88">
        <w:rPr>
          <w:rFonts w:eastAsia="Calibri"/>
        </w:rPr>
        <w:t>V. K. 1</w:t>
      </w:r>
      <w:r w:rsidRPr="000E2C88">
        <w:rPr>
          <w:rFonts w:eastAsia="Calibri"/>
        </w:rPr>
        <w:t xml:space="preserve"> ir </w:t>
      </w:r>
      <w:r w:rsidR="006036E7" w:rsidRPr="000E2C88">
        <w:rPr>
          <w:rFonts w:eastAsia="Calibri"/>
        </w:rPr>
        <w:t>V. U. 1</w:t>
      </w:r>
      <w:r w:rsidRPr="000E2C88">
        <w:rPr>
          <w:rFonts w:eastAsia="Calibri"/>
        </w:rPr>
        <w:t xml:space="preserve">, vykdydami </w:t>
      </w:r>
      <w:r w:rsidR="00385BC9" w:rsidRPr="000E2C88">
        <w:rPr>
          <w:rFonts w:eastAsia="Calibri"/>
        </w:rPr>
        <w:t>D. J.</w:t>
      </w:r>
      <w:r w:rsidRPr="000E2C88">
        <w:rPr>
          <w:rFonts w:eastAsia="Calibri"/>
        </w:rPr>
        <w:t xml:space="preserve">, </w:t>
      </w:r>
      <w:r w:rsidR="00C507EF" w:rsidRPr="000E2C88">
        <w:rPr>
          <w:rFonts w:eastAsia="Calibri"/>
        </w:rPr>
        <w:t>V. A.</w:t>
      </w:r>
      <w:r w:rsidRPr="000E2C88">
        <w:rPr>
          <w:rFonts w:eastAsia="Calibri"/>
        </w:rPr>
        <w:t xml:space="preserve"> bei </w:t>
      </w:r>
      <w:r w:rsidR="00C507EF" w:rsidRPr="000E2C88">
        <w:rPr>
          <w:rFonts w:eastAsia="Calibri"/>
        </w:rPr>
        <w:t>V. O.</w:t>
      </w:r>
      <w:r w:rsidRPr="000E2C88">
        <w:rPr>
          <w:rFonts w:eastAsia="Calibri"/>
        </w:rPr>
        <w:t xml:space="preserve"> nurodymus, buvo vadovavimo karinei operacijai štabo nariai, detalizavo karinės operacijos plano įgyvendinimą, numatė užgrobiamus objektus ir paskirstė jiems pavaldžius atitinkamų TSRS oro desanto (</w:t>
      </w:r>
      <w:r w:rsidR="00385BC9" w:rsidRPr="000E2C88">
        <w:rPr>
          <w:rFonts w:eastAsia="Calibri"/>
        </w:rPr>
        <w:t>V. K. 1</w:t>
      </w:r>
      <w:r w:rsidRPr="000E2C88">
        <w:rPr>
          <w:rFonts w:eastAsia="Calibri"/>
        </w:rPr>
        <w:t>) ir sausumos pajėgų (</w:t>
      </w:r>
      <w:r w:rsidR="006036E7" w:rsidRPr="000E2C88">
        <w:rPr>
          <w:rFonts w:eastAsia="Calibri"/>
        </w:rPr>
        <w:t>V. U. 1</w:t>
      </w:r>
      <w:r w:rsidRPr="000E2C88">
        <w:rPr>
          <w:rFonts w:eastAsia="Calibri"/>
        </w:rPr>
        <w:t>) kariškius, konkretizavo jiems pavaldžių dalinių užduotis ir veiksmus žemesniems karininkams, paskyrė kariniams veiksmams vadovaujančius bei už veiksmų koordinavimą atsakingus karininkus, koordinavo kariškių, dalyvaujančių užimant objektus, bendrus veiksmus. Be jų, kaip už atitinkamus TSRS GM dalinius atsakingų karininkų dalyvavimo karinės operacijos vadovavimo štabo veikloje, bendrai kartu veikusių TSRS GM, VSK ir VRM dalinių suplanuoti ir gerai koordinuoti kariškių veiksmai apskritai nebūtų buvę galimi (</w:t>
      </w:r>
      <w:r w:rsidRPr="000E2C88">
        <w:t xml:space="preserve">tik veikiant bendrai su kitų struktūrų atstovais, derinant tarpusavio veiksmus, ką objektyviai liudija jau išnagrinėtoje </w:t>
      </w:r>
      <w:r w:rsidR="00C507EF" w:rsidRPr="000E2C88">
        <w:t>M. B.</w:t>
      </w:r>
      <w:r w:rsidRPr="000E2C88">
        <w:t xml:space="preserve">, </w:t>
      </w:r>
      <w:r w:rsidR="00C507EF" w:rsidRPr="000E2C88">
        <w:t>J. K.</w:t>
      </w:r>
      <w:r w:rsidRPr="000E2C88">
        <w:t xml:space="preserve"> ir kt. byloje ir šioje byloje pirmosios instancijos teismo nuosprendyje nustatytos Spaudos rūmų, TV bokšto ir LRT užėmimo aplinkybės, buvo galima tikėtis suplanuotos karinės operacijos tikslaus įvykdymo). </w:t>
      </w:r>
      <w:r w:rsidRPr="000E2C88">
        <w:rPr>
          <w:rFonts w:eastAsia="Calibri"/>
        </w:rPr>
        <w:t xml:space="preserve">Taigi teismo išvados dėl </w:t>
      </w:r>
      <w:r w:rsidR="00385BC9" w:rsidRPr="000E2C88">
        <w:t>V. K. 1</w:t>
      </w:r>
      <w:r w:rsidRPr="000E2C88">
        <w:t xml:space="preserve"> ir </w:t>
      </w:r>
      <w:r w:rsidR="006036E7" w:rsidRPr="000E2C88">
        <w:t>V. U. 1</w:t>
      </w:r>
      <w:r w:rsidRPr="000E2C88">
        <w:rPr>
          <w:rFonts w:eastAsia="Calibri"/>
        </w:rPr>
        <w:t xml:space="preserve"> dalyvavimo planuojant karinę operaciją yra pagrįstos ir teisingos</w:t>
      </w:r>
      <w:r w:rsidRPr="007A31AA">
        <w:rPr>
          <w:rFonts w:eastAsia="Calibri"/>
        </w:rPr>
        <w:t xml:space="preserve">. </w:t>
      </w:r>
    </w:p>
    <w:p w:rsidR="007A31AA" w:rsidRPr="00C00255" w:rsidRDefault="007A31AA" w:rsidP="007A31AA">
      <w:pPr>
        <w:pStyle w:val="ListParagraph"/>
        <w:numPr>
          <w:ilvl w:val="0"/>
          <w:numId w:val="6"/>
        </w:numPr>
        <w:ind w:left="992" w:hanging="992"/>
      </w:pPr>
      <w:r w:rsidRPr="000E2C88">
        <w:t>Visiškai kitokios pozicijos teisėjų kolegija laikosi vertindama V. U. 1 pavaldaus N. A. veiksmus, kurio dalyvavimas planuojant karinę operaciją, nevertinant formalaus jo, kaip tankų pulko vado, pasirašyto įsakymo dėl jungtinių tankų ekipažo sudarymo ir konkrečių vadovaujamo pobūdžio veiksmų jau pradėjus karinės operacijos įgyvendinimą, nėra pagrįstas jokiais bylos duomenimis. Be to, nei prokurorų pareikštame kaltinime, nei teismo nuosprendžio nustatomojoje dalyje, priešingai nei to reikalauja BPK 305 straipsnio 1 dalies 1 punkto nuostatos, nėra nurodyta kokiais konkrečiais veiksmais pasireiškė N. A. dalyvavimas planuojant karinę operaciją</w:t>
      </w:r>
      <w:r w:rsidRPr="007A31AA">
        <w:t>.</w:t>
      </w:r>
    </w:p>
    <w:p w:rsidR="00EC36F2" w:rsidRPr="007A31AA" w:rsidRDefault="00EC36F2" w:rsidP="00EC36F2">
      <w:pPr>
        <w:pStyle w:val="NormalWeb"/>
        <w:numPr>
          <w:ilvl w:val="0"/>
          <w:numId w:val="6"/>
        </w:numPr>
        <w:spacing w:before="120" w:beforeAutospacing="0" w:after="120" w:afterAutospacing="0"/>
        <w:ind w:left="992" w:hanging="992"/>
      </w:pPr>
      <w:r w:rsidRPr="00C00255">
        <w:t xml:space="preserve">Kaip jau buvo minėta, nuteistasis </w:t>
      </w:r>
      <w:r w:rsidR="004069BF">
        <w:t>N. A.</w:t>
      </w:r>
      <w:r w:rsidRPr="00C00255">
        <w:t xml:space="preserve"> tiek prokurorų pareikštame kaltinime, tiek nuosprendžio nustatomojoje dalyje paminėtas tarp daugelio kitų karininkų, kuriems atitinkamus įsakymus </w:t>
      </w:r>
      <w:r w:rsidRPr="007A31AA">
        <w:rPr>
          <w:rFonts w:eastAsia="Calibri"/>
        </w:rPr>
        <w:t xml:space="preserve">dėl tiesioginio dalyvavimo karinėje operacijoje ir vadovavimo jai bei dėl konkrečių šturmo veiksmų koordinavimo davė </w:t>
      </w:r>
      <w:r w:rsidR="006036E7" w:rsidRPr="007A31AA">
        <w:rPr>
          <w:rFonts w:eastAsia="Calibri"/>
        </w:rPr>
        <w:t>V. U. 1</w:t>
      </w:r>
      <w:r w:rsidRPr="007A31AA">
        <w:rPr>
          <w:rFonts w:eastAsia="Calibri"/>
        </w:rPr>
        <w:t xml:space="preserve">. </w:t>
      </w:r>
      <w:r w:rsidR="004069BF" w:rsidRPr="007A31AA">
        <w:rPr>
          <w:rFonts w:eastAsia="Calibri"/>
        </w:rPr>
        <w:t>N. A.</w:t>
      </w:r>
      <w:r w:rsidRPr="007A31AA">
        <w:rPr>
          <w:rFonts w:eastAsia="Calibri"/>
        </w:rPr>
        <w:t xml:space="preserve"> paminėjimas tarp asmenų, kuriems įsakymus davė </w:t>
      </w:r>
      <w:r w:rsidR="006036E7" w:rsidRPr="007A31AA">
        <w:rPr>
          <w:rFonts w:eastAsia="Calibri"/>
        </w:rPr>
        <w:t>V. U. 1</w:t>
      </w:r>
      <w:r w:rsidRPr="007A31AA">
        <w:rPr>
          <w:rFonts w:eastAsia="Calibri"/>
        </w:rPr>
        <w:t xml:space="preserve">, pirmiausia, rodo ne </w:t>
      </w:r>
      <w:r w:rsidR="004069BF" w:rsidRPr="007A31AA">
        <w:rPr>
          <w:rFonts w:eastAsia="Calibri"/>
        </w:rPr>
        <w:t>N. A.</w:t>
      </w:r>
      <w:r w:rsidRPr="007A31AA">
        <w:rPr>
          <w:rFonts w:eastAsia="Calibri"/>
        </w:rPr>
        <w:t xml:space="preserve"> veiksmus, o </w:t>
      </w:r>
      <w:r w:rsidR="006036E7" w:rsidRPr="007A31AA">
        <w:rPr>
          <w:rFonts w:eastAsia="Calibri"/>
        </w:rPr>
        <w:t>V. U. 1</w:t>
      </w:r>
      <w:r w:rsidRPr="007A31AA">
        <w:rPr>
          <w:rFonts w:eastAsia="Calibri"/>
        </w:rPr>
        <w:t xml:space="preserve"> veiksmus („</w:t>
      </w:r>
      <w:r w:rsidRPr="007A31AA">
        <w:rPr>
          <w:rFonts w:eastAsia="Calibri"/>
          <w:i/>
        </w:rPr>
        <w:t xml:space="preserve">Vykdydamas motorizuotų šaulių divizijos vado nurodymus, kaltinamasis </w:t>
      </w:r>
      <w:r w:rsidR="006036E7" w:rsidRPr="007A31AA">
        <w:rPr>
          <w:rFonts w:eastAsia="Calibri"/>
          <w:i/>
        </w:rPr>
        <w:t>V. U. 1</w:t>
      </w:r>
      <w:r w:rsidRPr="007A31AA">
        <w:rPr>
          <w:rFonts w:eastAsia="Calibri"/>
          <w:i/>
        </w:rPr>
        <w:t xml:space="preserve"> nurodymus dėl tiesioginio dalyvavimo karinėje operacijoje ir vadovavimo jai bei dėl šturmo veiksmų koordinavimo perdavė pavaldumo tvarka paklūstantiems kariškiams: 106-ojo tankų pulko vadui </w:t>
      </w:r>
      <w:r w:rsidR="004069BF" w:rsidRPr="007A31AA">
        <w:rPr>
          <w:rFonts w:eastAsia="Calibri"/>
          <w:i/>
        </w:rPr>
        <w:t>N. A.</w:t>
      </w:r>
      <w:r w:rsidRPr="007A31AA">
        <w:rPr>
          <w:rFonts w:eastAsia="Calibri"/>
          <w:i/>
        </w:rPr>
        <w:t>, &lt;...&gt;</w:t>
      </w:r>
      <w:r w:rsidRPr="007A31AA">
        <w:rPr>
          <w:rFonts w:eastAsia="Calibri"/>
        </w:rPr>
        <w:t>“ (nuosprendžio 13</w:t>
      </w:r>
      <w:r w:rsidRPr="007A31AA">
        <w:t>–</w:t>
      </w:r>
      <w:r w:rsidRPr="007A31AA">
        <w:rPr>
          <w:rFonts w:eastAsia="Calibri"/>
        </w:rPr>
        <w:t xml:space="preserve">14 l.)). Taigi iš to spręsti apie </w:t>
      </w:r>
      <w:r w:rsidR="004069BF" w:rsidRPr="007A31AA">
        <w:rPr>
          <w:rFonts w:eastAsia="Calibri"/>
        </w:rPr>
        <w:t>N. A.</w:t>
      </w:r>
      <w:r w:rsidRPr="007A31AA">
        <w:rPr>
          <w:rFonts w:eastAsia="Calibri"/>
        </w:rPr>
        <w:t xml:space="preserve"> dalyvavimą </w:t>
      </w:r>
      <w:r w:rsidRPr="007A31AA">
        <w:t xml:space="preserve">planuojant karinę operaciją negalima, o jokių kitų aplinkybių apie </w:t>
      </w:r>
      <w:r w:rsidR="004069BF" w:rsidRPr="007A31AA">
        <w:t>N. A.</w:t>
      </w:r>
      <w:r w:rsidRPr="007A31AA">
        <w:t xml:space="preserve"> dalyvavimą planuojant karinę operaciją nenurodoma. </w:t>
      </w:r>
    </w:p>
    <w:p w:rsidR="00EC36F2" w:rsidRPr="007A31AA" w:rsidRDefault="00EC36F2" w:rsidP="00EC36F2">
      <w:pPr>
        <w:pStyle w:val="NormalWeb"/>
        <w:numPr>
          <w:ilvl w:val="0"/>
          <w:numId w:val="6"/>
        </w:numPr>
        <w:spacing w:before="120" w:beforeAutospacing="0" w:after="120" w:afterAutospacing="0"/>
        <w:ind w:left="992" w:hanging="992"/>
      </w:pPr>
      <w:r w:rsidRPr="007A31AA">
        <w:t xml:space="preserve">Atkreiptinas dėmesys, jog prieš tai cituotame pirmosios instancijos teismo nuosprendžio tekste aiškiai klaidingai nurodoma, kad </w:t>
      </w:r>
      <w:r w:rsidR="006036E7" w:rsidRPr="007A31AA">
        <w:t>V. U. 1</w:t>
      </w:r>
      <w:r w:rsidRPr="007A31AA">
        <w:t xml:space="preserve"> čia minimus nurodymus </w:t>
      </w:r>
      <w:r w:rsidR="004069BF" w:rsidRPr="007A31AA">
        <w:t>N. A.</w:t>
      </w:r>
      <w:r w:rsidRPr="007A31AA">
        <w:t xml:space="preserve"> ir kitiems davė „vykdydamas </w:t>
      </w:r>
      <w:r w:rsidRPr="007A31AA">
        <w:rPr>
          <w:rFonts w:eastAsia="Calibri"/>
        </w:rPr>
        <w:t>motorizuotų šaulių divizijos vado nurodymus“ (nuosprendžio 13</w:t>
      </w:r>
      <w:r w:rsidR="008E4551" w:rsidRPr="007A31AA">
        <w:rPr>
          <w:rFonts w:eastAsia="Calibri"/>
        </w:rPr>
        <w:t> </w:t>
      </w:r>
      <w:r w:rsidRPr="007A31AA">
        <w:rPr>
          <w:rFonts w:eastAsia="Calibri"/>
        </w:rPr>
        <w:t xml:space="preserve">l.). Pats nuteistasis </w:t>
      </w:r>
      <w:r w:rsidR="006036E7" w:rsidRPr="007A31AA">
        <w:rPr>
          <w:rFonts w:eastAsia="Calibri"/>
        </w:rPr>
        <w:t>V. U. 1</w:t>
      </w:r>
      <w:r w:rsidRPr="007A31AA">
        <w:rPr>
          <w:rFonts w:eastAsia="Calibri"/>
        </w:rPr>
        <w:t xml:space="preserve"> ir buvo čia minimos motorizuotų šaulių divizijos vadas, </w:t>
      </w:r>
      <w:r w:rsidRPr="007A31AA">
        <w:t xml:space="preserve">o iš kitų nuosprendyje nurodytų aplinkybių akivaizdu, kad jis vykdė </w:t>
      </w:r>
      <w:r w:rsidRPr="007A31AA">
        <w:rPr>
          <w:iCs/>
        </w:rPr>
        <w:t xml:space="preserve">TSRS GM Sausumos pajėgų Pabaltijo karinės apygardos vado pavaduotojo </w:t>
      </w:r>
      <w:r w:rsidR="00C507EF" w:rsidRPr="007A31AA">
        <w:rPr>
          <w:iCs/>
        </w:rPr>
        <w:t>V. O.</w:t>
      </w:r>
      <w:r w:rsidRPr="007A31AA">
        <w:rPr>
          <w:iCs/>
        </w:rPr>
        <w:t xml:space="preserve"> nurodymus, kurie jau minėtoje vietoje ir turėti omenyje</w:t>
      </w:r>
      <w:r w:rsidRPr="007A31AA">
        <w:rPr>
          <w:rStyle w:val="ListParagraphChar"/>
          <w:rFonts w:eastAsiaTheme="minorEastAsia"/>
        </w:rPr>
        <w:t xml:space="preserve">. Todėl apeliacinės instancijos teismo teisėjų kolegija pritaria prokurorų apeliaciniame skunde nurodytam prašymui dėl minėtų aplinkybių patikslinimo. </w:t>
      </w:r>
    </w:p>
    <w:p w:rsidR="0072749F" w:rsidRPr="00C00255" w:rsidRDefault="00EC36F2" w:rsidP="0072749F">
      <w:pPr>
        <w:pStyle w:val="NormalWeb"/>
        <w:numPr>
          <w:ilvl w:val="0"/>
          <w:numId w:val="6"/>
        </w:numPr>
        <w:spacing w:before="120" w:beforeAutospacing="0" w:after="120" w:afterAutospacing="0"/>
        <w:ind w:left="992" w:hanging="992"/>
      </w:pPr>
      <w:r w:rsidRPr="00C00255">
        <w:t xml:space="preserve">Pagrindo išvadoms apie </w:t>
      </w:r>
      <w:r w:rsidR="004069BF">
        <w:t>N. A.</w:t>
      </w:r>
      <w:r w:rsidRPr="00C00255">
        <w:t xml:space="preserve"> dalyvavimą specialiai sudaryto vadovavimo karinei operacijai štabo veikloje byloje nenustatyta. Šios aplinkybės kaltinamajam </w:t>
      </w:r>
      <w:r w:rsidR="004069BF">
        <w:t>N. A.</w:t>
      </w:r>
      <w:r w:rsidRPr="00C00255">
        <w:t xml:space="preserve"> neinkriminavo prokurorai, jos nenustatė ir pirmosios instancijos teismas. Pagal bylos duomenis </w:t>
      </w:r>
      <w:r w:rsidR="004069BF">
        <w:t>N. A.</w:t>
      </w:r>
      <w:r w:rsidRPr="00C00255">
        <w:t xml:space="preserve"> veikė kaip ir kiti sausumos pajėgoms vadovavusiam </w:t>
      </w:r>
      <w:r w:rsidR="006036E7">
        <w:t>V. U. 1</w:t>
      </w:r>
      <w:r w:rsidRPr="00C00255">
        <w:t xml:space="preserve"> ar oro desanto pajėgoms vadovavusiam </w:t>
      </w:r>
      <w:r w:rsidR="00385BC9">
        <w:t>V. K. 1</w:t>
      </w:r>
      <w:r w:rsidRPr="00C00255">
        <w:t xml:space="preserve"> pavaldūs karininkai, kuriems buvo pavesta vykdyti vadovavimo karinei operaci</w:t>
      </w:r>
      <w:r w:rsidR="0072749F" w:rsidRPr="00C00255">
        <w:t xml:space="preserve">jai štabo sprendimus, be to, </w:t>
      </w:r>
      <w:r w:rsidR="004069BF">
        <w:t>N. A.</w:t>
      </w:r>
      <w:r w:rsidRPr="00C00255">
        <w:t xml:space="preserve"> nebuvo atsakingas už bendrą visų TSRS GM, VSK, VRM pajėgų koordinavimą.</w:t>
      </w:r>
    </w:p>
    <w:p w:rsidR="0072749F" w:rsidRPr="00C00255" w:rsidRDefault="00EC36F2" w:rsidP="0072749F">
      <w:pPr>
        <w:pStyle w:val="NormalWeb"/>
        <w:numPr>
          <w:ilvl w:val="0"/>
          <w:numId w:val="6"/>
        </w:numPr>
        <w:spacing w:before="120" w:beforeAutospacing="0" w:after="120" w:afterAutospacing="0"/>
        <w:ind w:left="992" w:hanging="992"/>
      </w:pPr>
      <w:r w:rsidRPr="00C00255">
        <w:t xml:space="preserve">Pirmosios instancijos teismo nuosprendyje </w:t>
      </w:r>
      <w:r w:rsidR="004069BF">
        <w:t>N. A.</w:t>
      </w:r>
      <w:r w:rsidRPr="00C00255">
        <w:t xml:space="preserve"> dalyvavimas planuojant karinę operaciją grindžiamas dviem duomenų šaltiniais: 1) jo paties parodymais, 2) jo bendrai su kitu karininku priimtais sprendimais </w:t>
      </w:r>
      <w:r w:rsidRPr="007A31AA">
        <w:rPr>
          <w:rFonts w:eastAsia="Calibri"/>
        </w:rPr>
        <w:t>dėl jungtinių tankų ekipažo sudarymo</w:t>
      </w:r>
      <w:r w:rsidRPr="00C00255">
        <w:t xml:space="preserve"> (teismo nuosprendžio 119 l.). Visgi, jo paties parodymuose, kuriais rėmėsi teismas, </w:t>
      </w:r>
      <w:r w:rsidR="004069BF">
        <w:t>N. A.</w:t>
      </w:r>
      <w:r w:rsidRPr="00C00255">
        <w:t xml:space="preserve"> pripažino tik tai, kad vadovavo tankų kolonai, važiuojančiai per Vilnių paskirtu maršrutu, t. y. nurodė apie jau vykdomą operaciją, o ne apie jos planavimą. Taigi </w:t>
      </w:r>
      <w:r w:rsidR="004069BF">
        <w:t>N. A.</w:t>
      </w:r>
      <w:r w:rsidRPr="00C00255">
        <w:t xml:space="preserve"> kaltė šiame etape iš esmės grindžiama tik </w:t>
      </w:r>
      <w:r w:rsidR="004069BF">
        <w:t>N. A.</w:t>
      </w:r>
      <w:r w:rsidRPr="00C00255">
        <w:t xml:space="preserve"> priimtais sprendimais dėl konkrečių tankų nuėmimo nuo ilgalaikio saugojimo ir jų ekipažų priskyrimo konkretiems kariškiams. </w:t>
      </w:r>
    </w:p>
    <w:p w:rsidR="00EC36F2" w:rsidRPr="00C00255" w:rsidRDefault="00EC36F2" w:rsidP="00EC36F2">
      <w:pPr>
        <w:pStyle w:val="NormalWeb"/>
        <w:numPr>
          <w:ilvl w:val="1"/>
          <w:numId w:val="6"/>
        </w:numPr>
        <w:spacing w:before="120" w:beforeAutospacing="0" w:after="120" w:afterAutospacing="0"/>
        <w:ind w:left="992" w:hanging="992"/>
      </w:pPr>
      <w:r w:rsidRPr="00C00255">
        <w:rPr>
          <w:color w:val="000000"/>
        </w:rPr>
        <w:t xml:space="preserve">Iš byloje esančio karinio dalinio 78018 vado papulkininkio </w:t>
      </w:r>
      <w:r w:rsidR="004069BF">
        <w:rPr>
          <w:color w:val="000000"/>
        </w:rPr>
        <w:t>N. A.</w:t>
      </w:r>
      <w:r w:rsidRPr="00C00255">
        <w:rPr>
          <w:color w:val="000000"/>
        </w:rPr>
        <w:t xml:space="preserve"> ir šio dalinio vado pavaduotojo ginkluotei majoro S</w:t>
      </w:r>
      <w:r w:rsidR="00D220F2">
        <w:rPr>
          <w:color w:val="000000"/>
        </w:rPr>
        <w:t>.</w:t>
      </w:r>
      <w:r w:rsidRPr="00C00255">
        <w:rPr>
          <w:color w:val="000000"/>
        </w:rPr>
        <w:t xml:space="preserve"> (vardas nenurodytas) 1991 m. sausio 2 d. pasirašyto įsakymo Nr. 1 kopijos matyti, kad minėtą dieną buvo priimtas sprendimas tankams Nr. 511, </w:t>
      </w:r>
      <w:r w:rsidR="0072749F" w:rsidRPr="00C00255">
        <w:rPr>
          <w:color w:val="000000"/>
        </w:rPr>
        <w:t xml:space="preserve">Nr. </w:t>
      </w:r>
      <w:r w:rsidRPr="00C00255">
        <w:rPr>
          <w:color w:val="000000"/>
        </w:rPr>
        <w:t>513,</w:t>
      </w:r>
      <w:r w:rsidR="0072749F" w:rsidRPr="00C00255">
        <w:rPr>
          <w:color w:val="000000"/>
        </w:rPr>
        <w:t xml:space="preserve"> Nr.</w:t>
      </w:r>
      <w:r w:rsidRPr="00C00255">
        <w:rPr>
          <w:color w:val="000000"/>
        </w:rPr>
        <w:t xml:space="preserve"> 541, </w:t>
      </w:r>
      <w:r w:rsidR="0072749F" w:rsidRPr="00C00255">
        <w:rPr>
          <w:color w:val="000000"/>
        </w:rPr>
        <w:t xml:space="preserve">Nr. </w:t>
      </w:r>
      <w:r w:rsidRPr="00C00255">
        <w:rPr>
          <w:color w:val="000000"/>
        </w:rPr>
        <w:t xml:space="preserve">544, </w:t>
      </w:r>
      <w:r w:rsidR="0072749F" w:rsidRPr="00C00255">
        <w:rPr>
          <w:color w:val="000000"/>
        </w:rPr>
        <w:t xml:space="preserve">Nr. </w:t>
      </w:r>
      <w:r w:rsidRPr="00C00255">
        <w:rPr>
          <w:color w:val="000000"/>
        </w:rPr>
        <w:t xml:space="preserve">571, </w:t>
      </w:r>
      <w:r w:rsidR="0072749F" w:rsidRPr="00C00255">
        <w:rPr>
          <w:color w:val="000000"/>
        </w:rPr>
        <w:t xml:space="preserve">Nr. </w:t>
      </w:r>
      <w:r w:rsidRPr="00C00255">
        <w:rPr>
          <w:color w:val="000000"/>
        </w:rPr>
        <w:t>574 priskirti vairuotojus ir taikytojus, tačiau šie asmenys pagal byloje pateiktą kaltinimą vėliau operacijoje n</w:t>
      </w:r>
      <w:r w:rsidR="0072749F" w:rsidRPr="00C00255">
        <w:rPr>
          <w:color w:val="000000"/>
        </w:rPr>
        <w:t>edalyvavo (t. 127, b. l. 12; t. </w:t>
      </w:r>
      <w:r w:rsidRPr="00C00255">
        <w:rPr>
          <w:color w:val="000000"/>
        </w:rPr>
        <w:t xml:space="preserve">440, b. l. 19).  </w:t>
      </w:r>
    </w:p>
    <w:p w:rsidR="00EC36F2" w:rsidRPr="00C00255" w:rsidRDefault="00EC36F2" w:rsidP="00EC36F2">
      <w:pPr>
        <w:pStyle w:val="NormalWeb"/>
        <w:numPr>
          <w:ilvl w:val="1"/>
          <w:numId w:val="6"/>
        </w:numPr>
        <w:spacing w:before="120" w:beforeAutospacing="0" w:after="120" w:afterAutospacing="0"/>
        <w:ind w:left="992" w:hanging="992"/>
      </w:pPr>
      <w:r w:rsidRPr="00C00255">
        <w:rPr>
          <w:color w:val="000000"/>
        </w:rPr>
        <w:t xml:space="preserve">Iš byloje esančio karinio dalinio 78018 vado papulkininkio </w:t>
      </w:r>
      <w:r w:rsidR="004069BF">
        <w:rPr>
          <w:color w:val="000000"/>
        </w:rPr>
        <w:t>N. A.</w:t>
      </w:r>
      <w:r w:rsidRPr="00C00255">
        <w:rPr>
          <w:color w:val="000000"/>
        </w:rPr>
        <w:t xml:space="preserve"> ir šio dalinio vado pavaduotojo ginkluotei majoro S</w:t>
      </w:r>
      <w:r w:rsidR="00D220F2">
        <w:rPr>
          <w:color w:val="000000"/>
        </w:rPr>
        <w:t>.</w:t>
      </w:r>
      <w:r w:rsidRPr="00C00255">
        <w:rPr>
          <w:color w:val="000000"/>
        </w:rPr>
        <w:t xml:space="preserve"> (vardas nenurodytas) 1991 m. sausio 9 d. pasirašyto įsakymo Nr. 3 kopijos matyti, kad 1991 m. sausio 9 d. tankai, kurių borto numeriai 513, 541, 544, 571, 574, 502, 559, buvo nuimti nuo ilgalaikio saugojimo ir paskirti šių tankų vadai, taikytojai, vairuotojai – mechanikai (t. 127, b. l. 10–11, t. 440 b. l. 17–18).</w:t>
      </w:r>
    </w:p>
    <w:p w:rsidR="0072749F" w:rsidRPr="00C00255" w:rsidRDefault="00EC36F2" w:rsidP="0072749F">
      <w:pPr>
        <w:pStyle w:val="NormalWeb"/>
        <w:numPr>
          <w:ilvl w:val="0"/>
          <w:numId w:val="6"/>
        </w:numPr>
        <w:spacing w:before="120" w:beforeAutospacing="0" w:after="120" w:afterAutospacing="0"/>
        <w:ind w:left="992" w:hanging="992"/>
      </w:pPr>
      <w:r w:rsidRPr="00C00255">
        <w:t xml:space="preserve">Kaip matyti iš minėtų įsakymų turinio, 1991 m. sausio 9 d. įsakyme, priešingai nei sausio 2 d. įsakyme, buvo aptariami ne 6, o 7 tankai, neliko tanko, kurio borto numeris 511, atsirado numeriai 502 ir 559, be to, visiškai pasikeitė jų ekipažai. Vertinant vėlesnius byloje nagrinėjamus įvykius, kai buvo panaudoti tankai, pastebėtina, kad, pagal specialisto J. Andriškevičiaus išvadas, 1991 m. sausio 11 d. Spaudos rūmų šturmo metu pirminiame jo etape tankai apskritai nebuvo panaudoti. Spaudos rūmų šturmo operacijos eiga dėl civilių pasipriešinimo įstrigo, todėl tik vėliau buvo priimtas sprendimas sustiprinti Spaudos rūmų užėmimo pajėgas papildomais kariškiais ir tankais. Pabrėžtina, kad pagal specialisto išvadas šį sprendimą dėl pajėgų sustiprinimo tankais priėmė ne </w:t>
      </w:r>
      <w:r w:rsidR="004069BF">
        <w:t>N. A.</w:t>
      </w:r>
      <w:r w:rsidRPr="00C00255">
        <w:t xml:space="preserve">, o vadovavimo karinei operacijai štabas, kurio nariu, kaip jau minėta, </w:t>
      </w:r>
      <w:r w:rsidR="004069BF">
        <w:t>N. A.</w:t>
      </w:r>
      <w:r w:rsidRPr="00C00255">
        <w:t xml:space="preserve"> nebuvo („operacijos vadovavimo štabe buvo priimtas sprendimas sustiprinti Spaudos rūmų užėmimo pajėgas, nurodant 76 odd 334 pdp vadui </w:t>
      </w:r>
      <w:r w:rsidR="00C507EF">
        <w:t>I. K.</w:t>
      </w:r>
      <w:r w:rsidRPr="00C00255">
        <w:t xml:space="preserve"> ir 107 </w:t>
      </w:r>
      <w:r w:rsidR="0016273E" w:rsidRPr="00C00255">
        <w:t xml:space="preserve">mšd </w:t>
      </w:r>
      <w:r w:rsidRPr="00C00255">
        <w:t>106 tp vadui N. A</w:t>
      </w:r>
      <w:r w:rsidR="004069BF">
        <w:t>.</w:t>
      </w:r>
      <w:r w:rsidRPr="00C00255">
        <w:t xml:space="preserve"> skirti papildomus kovinius padalinius Spaudos rūmams užimti“ (t. 480, b. l. 48</w:t>
      </w:r>
      <w:r w:rsidRPr="00C00255">
        <w:rPr>
          <w:color w:val="000000"/>
        </w:rPr>
        <w:t>–49)). Be to, bylos duomenys patvirtina, kad Spaudos rūmų šturmo metu dalyvavo mažesnis tankų skaičius ir kita tan</w:t>
      </w:r>
      <w:r w:rsidR="00D220F2">
        <w:rPr>
          <w:color w:val="000000"/>
        </w:rPr>
        <w:t>kų sudėtis nei nurodoma 1991 m. </w:t>
      </w:r>
      <w:r w:rsidRPr="00C00255">
        <w:rPr>
          <w:color w:val="000000"/>
        </w:rPr>
        <w:t xml:space="preserve">sausio 2 ar 9 d. įsakymuose, kuriais rėmėsi teismas ir kaltinimas (realiai buvo panaudoti tankai, kurių borto Nr. 119, 511, 571, 574, o tankas Nr. 119 galėjo būti net ne iš 106-ojo tankų pulko, kuriam vadovavo </w:t>
      </w:r>
      <w:r w:rsidR="004069BF">
        <w:rPr>
          <w:color w:val="000000"/>
        </w:rPr>
        <w:t>N. A.</w:t>
      </w:r>
      <w:r w:rsidRPr="00C00255">
        <w:rPr>
          <w:color w:val="000000"/>
        </w:rPr>
        <w:t xml:space="preserve"> (t. 440, b. l. 49)).</w:t>
      </w:r>
    </w:p>
    <w:p w:rsidR="00EC36F2" w:rsidRPr="00C00255" w:rsidRDefault="00EC36F2" w:rsidP="00EC36F2">
      <w:pPr>
        <w:pStyle w:val="NormalWeb"/>
        <w:numPr>
          <w:ilvl w:val="0"/>
          <w:numId w:val="6"/>
        </w:numPr>
        <w:spacing w:before="120" w:beforeAutospacing="0" w:after="120" w:afterAutospacing="0"/>
        <w:ind w:left="992" w:hanging="992"/>
      </w:pPr>
      <w:r w:rsidRPr="00C00255">
        <w:t xml:space="preserve">Specialistas J. Andriškevičius savo išvadoje nedviprasmiškai nurodė, kad visiems </w:t>
      </w:r>
      <w:r w:rsidRPr="00C00255">
        <w:rPr>
          <w:color w:val="000000"/>
        </w:rPr>
        <w:t xml:space="preserve">107-osios divizijos daliniams, taip pat ir tankų pulko padaliniams vadovavo divizijos vadas generolas majoras </w:t>
      </w:r>
      <w:r w:rsidR="006036E7">
        <w:rPr>
          <w:color w:val="000000"/>
        </w:rPr>
        <w:t>V. U. 1</w:t>
      </w:r>
      <w:r w:rsidRPr="00C00255">
        <w:rPr>
          <w:color w:val="000000"/>
        </w:rPr>
        <w:t xml:space="preserve">. Teismas jau minėjo, kad priešingai nei nurodant bendrą </w:t>
      </w:r>
      <w:r w:rsidR="006036E7">
        <w:rPr>
          <w:color w:val="000000"/>
        </w:rPr>
        <w:t>V. U. 1</w:t>
      </w:r>
      <w:r w:rsidRPr="00C00255">
        <w:rPr>
          <w:color w:val="000000"/>
        </w:rPr>
        <w:t xml:space="preserve"> vadovaujantį vaidmenį, specialistas išskyrė ne bendrai visai operacijai vadovavusius ar ją koordinavusius, bet tik atskirų svarbių objektų šturmui vadovavusius ir </w:t>
      </w:r>
      <w:r w:rsidR="006036E7">
        <w:rPr>
          <w:color w:val="000000"/>
        </w:rPr>
        <w:t>V. U. 1</w:t>
      </w:r>
      <w:r w:rsidRPr="00C00255">
        <w:rPr>
          <w:color w:val="000000"/>
        </w:rPr>
        <w:t xml:space="preserve"> tiesiogiai pavaldžius kariškius. Tokiu specialistas įvardijo ir </w:t>
      </w:r>
      <w:r w:rsidR="004069BF">
        <w:rPr>
          <w:color w:val="000000"/>
        </w:rPr>
        <w:t>N. A.</w:t>
      </w:r>
      <w:r w:rsidRPr="00C00255">
        <w:rPr>
          <w:color w:val="000000"/>
        </w:rPr>
        <w:t xml:space="preserve"> („</w:t>
      </w:r>
      <w:r w:rsidRPr="00C00255">
        <w:rPr>
          <w:i/>
          <w:iCs/>
          <w:color w:val="000000"/>
        </w:rPr>
        <w:t>Atskirų svarbių objektų užėmimo operacijose</w:t>
      </w:r>
      <w:r w:rsidRPr="00C00255">
        <w:rPr>
          <w:color w:val="000000"/>
        </w:rPr>
        <w:t xml:space="preserve"> dalyvavusiems 77 mšp padaliniams galimai vadovavo pulko vadas </w:t>
      </w:r>
      <w:r w:rsidR="00D220F2">
        <w:rPr>
          <w:color w:val="000000"/>
        </w:rPr>
        <w:t>A. G.</w:t>
      </w:r>
      <w:r w:rsidRPr="00C00255">
        <w:rPr>
          <w:color w:val="000000"/>
        </w:rPr>
        <w:t xml:space="preserve">, o 106 tp – vadas </w:t>
      </w:r>
      <w:r w:rsidR="004069BF">
        <w:rPr>
          <w:color w:val="000000"/>
        </w:rPr>
        <w:t>N. A.</w:t>
      </w:r>
      <w:r w:rsidRPr="00C00255">
        <w:rPr>
          <w:color w:val="000000"/>
        </w:rPr>
        <w:t xml:space="preserve">.“ (t. 480, b. l. 43)). </w:t>
      </w:r>
    </w:p>
    <w:p w:rsidR="001D0506" w:rsidRPr="00C00255" w:rsidRDefault="00EC36F2" w:rsidP="001D0506">
      <w:pPr>
        <w:pStyle w:val="NormalWeb"/>
        <w:numPr>
          <w:ilvl w:val="0"/>
          <w:numId w:val="6"/>
        </w:numPr>
        <w:spacing w:before="120" w:beforeAutospacing="0" w:after="120" w:afterAutospacing="0"/>
        <w:ind w:left="992" w:hanging="992"/>
      </w:pPr>
      <w:r w:rsidRPr="00C00255">
        <w:rPr>
          <w:color w:val="000000"/>
        </w:rPr>
        <w:t xml:space="preserve">Teisėjų kolegijos įsitikinimu, tokios specialisto išvados apie </w:t>
      </w:r>
      <w:r w:rsidR="004069BF">
        <w:rPr>
          <w:color w:val="000000"/>
        </w:rPr>
        <w:t>N. A.</w:t>
      </w:r>
      <w:r w:rsidRPr="00C00255">
        <w:rPr>
          <w:color w:val="000000"/>
        </w:rPr>
        <w:t xml:space="preserve"> dalyvavimą ir vadovavimą tankų ekipažams tik atskirų objektų šturmo metu, taip pat apie </w:t>
      </w:r>
      <w:r w:rsidRPr="00C00255">
        <w:t xml:space="preserve">operacijos vadovavimo štabo, o ne </w:t>
      </w:r>
      <w:r w:rsidR="004069BF">
        <w:t>N. A.</w:t>
      </w:r>
      <w:r w:rsidRPr="00C00255">
        <w:t xml:space="preserve"> sprendimą sustiprinti Spaudos rūmų užėmimo pajėgas tankais, nėra pakankamos išvadai apie </w:t>
      </w:r>
      <w:r w:rsidR="004069BF">
        <w:t>N. A.</w:t>
      </w:r>
      <w:r w:rsidRPr="00C00255">
        <w:t xml:space="preserve"> dalyvavimą rengiant nusikalstamas veikas prieš Lietuvą ir planuojant karinę operaciją, todėl šios aplinkybės iš kaltinimo </w:t>
      </w:r>
      <w:r w:rsidR="004069BF">
        <w:t>N. A.</w:t>
      </w:r>
      <w:r w:rsidRPr="00C00255">
        <w:t xml:space="preserve"> šalintinos. </w:t>
      </w:r>
    </w:p>
    <w:p w:rsidR="0072749F" w:rsidRPr="007A31AA" w:rsidRDefault="0072749F" w:rsidP="007A31AA">
      <w:pPr>
        <w:pStyle w:val="Heading3"/>
        <w:ind w:left="992"/>
        <w:jc w:val="both"/>
        <w:rPr>
          <w:b w:val="0"/>
          <w:i/>
          <w:sz w:val="24"/>
          <w:szCs w:val="24"/>
        </w:rPr>
      </w:pPr>
      <w:bookmarkStart w:id="239" w:name="_Toc67677383"/>
      <w:bookmarkStart w:id="240" w:name="_Toc67985510"/>
      <w:r w:rsidRPr="007A31AA">
        <w:rPr>
          <w:rFonts w:eastAsia="Calibri"/>
          <w:b w:val="0"/>
          <w:i/>
          <w:sz w:val="24"/>
          <w:szCs w:val="24"/>
        </w:rPr>
        <w:t xml:space="preserve">Dėl pirmosios instancijos teismo išvadų vertinant </w:t>
      </w:r>
      <w:r w:rsidRPr="007A31AA">
        <w:rPr>
          <w:b w:val="0"/>
          <w:i/>
          <w:sz w:val="24"/>
          <w:szCs w:val="24"/>
        </w:rPr>
        <w:t xml:space="preserve">TSRS </w:t>
      </w:r>
      <w:r w:rsidR="008E4551" w:rsidRPr="007A31AA">
        <w:rPr>
          <w:b w:val="0"/>
          <w:i/>
          <w:sz w:val="24"/>
          <w:szCs w:val="24"/>
        </w:rPr>
        <w:t>VSK</w:t>
      </w:r>
      <w:r w:rsidR="00AB0AF6" w:rsidRPr="007A31AA">
        <w:rPr>
          <w:b w:val="0"/>
          <w:i/>
          <w:sz w:val="24"/>
          <w:szCs w:val="24"/>
        </w:rPr>
        <w:t xml:space="preserve"> </w:t>
      </w:r>
      <w:r w:rsidRPr="007A31AA">
        <w:rPr>
          <w:b w:val="0"/>
          <w:i/>
          <w:sz w:val="24"/>
          <w:szCs w:val="24"/>
        </w:rPr>
        <w:t xml:space="preserve">ir jai pavaldžių dalinių bei nuteistojo </w:t>
      </w:r>
      <w:r w:rsidR="00385BC9" w:rsidRPr="007A31AA">
        <w:rPr>
          <w:b w:val="0"/>
          <w:i/>
          <w:sz w:val="24"/>
          <w:szCs w:val="24"/>
        </w:rPr>
        <w:t>M. G.</w:t>
      </w:r>
      <w:r w:rsidRPr="007A31AA">
        <w:rPr>
          <w:b w:val="0"/>
          <w:i/>
          <w:sz w:val="24"/>
          <w:szCs w:val="24"/>
        </w:rPr>
        <w:t xml:space="preserve"> veiksmus</w:t>
      </w:r>
      <w:r w:rsidRPr="007A31AA">
        <w:rPr>
          <w:rFonts w:eastAsia="Calibri"/>
          <w:b w:val="0"/>
          <w:i/>
          <w:sz w:val="24"/>
          <w:szCs w:val="24"/>
        </w:rPr>
        <w:t xml:space="preserve"> planuojant karinę operaciją</w:t>
      </w:r>
      <w:bookmarkEnd w:id="239"/>
      <w:bookmarkEnd w:id="240"/>
      <w:r w:rsidRPr="007A31AA">
        <w:rPr>
          <w:rFonts w:eastAsia="Calibri"/>
          <w:b w:val="0"/>
          <w:i/>
          <w:sz w:val="24"/>
          <w:szCs w:val="24"/>
        </w:rPr>
        <w:t xml:space="preserve"> </w:t>
      </w:r>
    </w:p>
    <w:p w:rsidR="0072749F" w:rsidRPr="00C00255" w:rsidRDefault="0072749F" w:rsidP="0072749F">
      <w:pPr>
        <w:pStyle w:val="NormalWeb"/>
        <w:numPr>
          <w:ilvl w:val="0"/>
          <w:numId w:val="6"/>
        </w:numPr>
        <w:spacing w:before="120" w:beforeAutospacing="0" w:after="120" w:afterAutospacing="0"/>
        <w:ind w:left="992" w:hanging="992"/>
        <w:rPr>
          <w:rFonts w:eastAsia="Calibri"/>
        </w:rPr>
      </w:pPr>
      <w:r w:rsidRPr="000E2C88">
        <w:t>Kaip jau buvo minėta šio skyriaus pradžioje, dalyvavimas planuojant karinę operaciją buvo inkriminuotas tik vienam iš byloje kaltintų TSRS VSK pareigūnų, t. y. TSRS VSK specialiosios paskirties grupės „A“ viršininko</w:t>
      </w:r>
      <w:r w:rsidR="001D0506" w:rsidRPr="000E2C88">
        <w:t xml:space="preserve"> pavaduotojui papulkininkiui </w:t>
      </w:r>
      <w:r w:rsidR="00385BC9" w:rsidRPr="000E2C88">
        <w:t>M. G.</w:t>
      </w:r>
      <w:r w:rsidRPr="000E2C88">
        <w:t xml:space="preserve">. Pagal byloje pareikštą kaltinimą, parengiamojoje operacijos stadijoje </w:t>
      </w:r>
      <w:r w:rsidRPr="000E2C88">
        <w:rPr>
          <w:rFonts w:eastAsia="Calibri"/>
        </w:rPr>
        <w:t xml:space="preserve">TSRS VSK pirmininkas </w:t>
      </w:r>
      <w:r w:rsidR="00C507EF" w:rsidRPr="000E2C88">
        <w:rPr>
          <w:rFonts w:eastAsia="Calibri"/>
        </w:rPr>
        <w:t>V. K.</w:t>
      </w:r>
      <w:r w:rsidRPr="000E2C88">
        <w:rPr>
          <w:rFonts w:eastAsia="Calibri"/>
        </w:rPr>
        <w:t xml:space="preserve"> (ikiteisminis tyrimas nutrauktas jam mirus) pasitelkė ir įtraukė į organizuotos grupės narius TSRS VSK 3-iosios vyriausiosios valdybos viršininko pavaduotoją generolą majorą </w:t>
      </w:r>
      <w:r w:rsidR="00C507EF" w:rsidRPr="000E2C88">
        <w:rPr>
          <w:rFonts w:eastAsia="Calibri"/>
        </w:rPr>
        <w:t>J. K.</w:t>
      </w:r>
      <w:r w:rsidRPr="000E2C88">
        <w:rPr>
          <w:rFonts w:eastAsia="Calibri"/>
        </w:rPr>
        <w:t xml:space="preserve"> (ikiteisminis tyrimas nutrauktas jam mirus), kuris buvo ir TSRS VSK atstovas vadovavimo karinei operacijai štabe. Pagal pateiktą kaltinimą M. G</w:t>
      </w:r>
      <w:r w:rsidR="00385BC9" w:rsidRPr="000E2C88">
        <w:rPr>
          <w:rFonts w:eastAsia="Calibri"/>
        </w:rPr>
        <w:t>.</w:t>
      </w:r>
      <w:r w:rsidRPr="000E2C88">
        <w:rPr>
          <w:rFonts w:eastAsia="Calibri"/>
        </w:rPr>
        <w:t xml:space="preserve"> nebuvo inkriminuotas dalyvavimas vadovavimo operacijai štabo veikloje, tačiau nurodyta, kad jau šioje karinės operacijos planavimo stadijoje jis buvo paskirtas kaip vienas iš karininkų, koordinavusių bendrus operacijoje dalyvaujančių pajėgų veiksmus (bendrus </w:t>
      </w:r>
      <w:r w:rsidRPr="000E2C88">
        <w:t xml:space="preserve">TSRS VSK specialios paskirties grupės „A“, 76-osios oro desanto divizijos, 107-osios motošaulių divizijos ir 42-osios divizijos kariškių, dalyvaujančių užimant minėtus objektus, veiksmus koordinuoti buvo paskirti TSRS VSK specialios paskirties grupės vado pavaduotojas </w:t>
      </w:r>
      <w:r w:rsidR="00385BC9" w:rsidRPr="000E2C88">
        <w:t>M. G.</w:t>
      </w:r>
      <w:r w:rsidRPr="000E2C88">
        <w:t xml:space="preserve">, TSRS GM 76-osios oro desanto divizijos vado pavaduotojas </w:t>
      </w:r>
      <w:r w:rsidR="00385BC9" w:rsidRPr="000E2C88">
        <w:t>V. K. 1</w:t>
      </w:r>
      <w:r w:rsidRPr="000E2C88">
        <w:t xml:space="preserve">, 107-osios motošaulių divizijos vadas </w:t>
      </w:r>
      <w:r w:rsidR="006036E7" w:rsidRPr="000E2C88">
        <w:t>V. U. 1</w:t>
      </w:r>
      <w:r w:rsidRPr="000E2C88">
        <w:t xml:space="preserve">, TSRS VRM 42-osios divizijos vadas </w:t>
      </w:r>
      <w:r w:rsidR="006036E7" w:rsidRPr="000E2C88">
        <w:t>A. Ž.</w:t>
      </w:r>
      <w:r w:rsidRPr="00C00255">
        <w:t>).</w:t>
      </w:r>
      <w:r w:rsidRPr="00C00255">
        <w:rPr>
          <w:rFonts w:eastAsia="Calibri"/>
        </w:rPr>
        <w:t xml:space="preserve"> </w:t>
      </w:r>
    </w:p>
    <w:p w:rsidR="0072749F" w:rsidRPr="00C00255" w:rsidRDefault="0072749F" w:rsidP="0072749F">
      <w:pPr>
        <w:pStyle w:val="NormalWeb"/>
        <w:numPr>
          <w:ilvl w:val="0"/>
          <w:numId w:val="6"/>
        </w:numPr>
        <w:spacing w:before="120" w:beforeAutospacing="0" w:after="120" w:afterAutospacing="0"/>
        <w:ind w:left="992" w:hanging="992"/>
        <w:rPr>
          <w:rFonts w:eastAsia="Calibri"/>
        </w:rPr>
      </w:pPr>
      <w:r w:rsidRPr="000E2C88">
        <w:rPr>
          <w:rFonts w:eastAsia="Calibri"/>
        </w:rPr>
        <w:t xml:space="preserve">Iš pirmosios instancijos teismo nuosprendžio matyti, kad teismas tokias kaltinimo inkriminuotas aplinkybes pripažino pagrįstomis ir nurodė, kad: „Kaltinamojo </w:t>
      </w:r>
      <w:r w:rsidR="00385BC9" w:rsidRPr="000E2C88">
        <w:rPr>
          <w:rFonts w:eastAsia="Calibri"/>
        </w:rPr>
        <w:t>D. J.</w:t>
      </w:r>
      <w:r w:rsidRPr="000E2C88">
        <w:rPr>
          <w:rFonts w:eastAsia="Calibri"/>
        </w:rPr>
        <w:t xml:space="preserve"> kartu su kitais (</w:t>
      </w:r>
      <w:r w:rsidR="00C507EF" w:rsidRPr="000E2C88">
        <w:rPr>
          <w:rFonts w:eastAsia="Calibri"/>
        </w:rPr>
        <w:t>B. P.</w:t>
      </w:r>
      <w:r w:rsidRPr="000E2C88">
        <w:rPr>
          <w:rFonts w:eastAsia="Calibri"/>
        </w:rPr>
        <w:t xml:space="preserve"> ir </w:t>
      </w:r>
      <w:r w:rsidR="00C507EF" w:rsidRPr="000E2C88">
        <w:rPr>
          <w:rFonts w:eastAsia="Calibri"/>
        </w:rPr>
        <w:t>V. K.</w:t>
      </w:r>
      <w:r w:rsidRPr="000E2C88">
        <w:rPr>
          <w:rFonts w:eastAsia="Calibri"/>
        </w:rPr>
        <w:t xml:space="preserve">) įkurtas vadovavimo karinei operacijai štabas, atsižvelgdamas į užimtinų objektų strateginę reikšmę ir Lietuvos nepriklausomybės rėmėjų, pasiryžusių ginti šiuos objektus skaičių, atakose dalyvaujančias karines pajėgas (karinę techniką ir kariškių skaičių) paskirstė į užimamus objektus, konkretizavo kariuomenės rūšių užduotis ir veiksmus, paskyrė kariniams veiksmams vadovaujančius bei už veiksmų koordinavimą atsakingus karininkus, įsakė apie karinių operacijų eigą ir rezultatus informuoti vadovavimo štabą, o būtent: &lt;...&gt;. TSRS VSK specialios paskirties grupės „A“, 76-osios oro desanto divizijos, 107-osios motorizuotos šaulių divizijos ir 42-os divizijos kariškių, dalyvaujančių užimant objektus, bendrus veiksmus koordinavo grupės vado pavaduotojas kaltinamasis </w:t>
      </w:r>
      <w:r w:rsidR="00385BC9" w:rsidRPr="000E2C88">
        <w:rPr>
          <w:rFonts w:eastAsia="Calibri"/>
        </w:rPr>
        <w:t>M. G.</w:t>
      </w:r>
      <w:r w:rsidRPr="000E2C88">
        <w:rPr>
          <w:rFonts w:eastAsia="Calibri"/>
        </w:rPr>
        <w:t xml:space="preserve">, 76-osios oro desanto divizijos vado pavaduotojas kaltinamasis </w:t>
      </w:r>
      <w:r w:rsidR="00385BC9" w:rsidRPr="000E2C88">
        <w:rPr>
          <w:rFonts w:eastAsia="Calibri"/>
        </w:rPr>
        <w:t>V. K. 1</w:t>
      </w:r>
      <w:r w:rsidRPr="000E2C88">
        <w:rPr>
          <w:rFonts w:eastAsia="Calibri"/>
        </w:rPr>
        <w:t xml:space="preserve">, 107-osios motorizuotos šaulių divizijos vadas kaltinamasis </w:t>
      </w:r>
      <w:r w:rsidR="006036E7" w:rsidRPr="000E2C88">
        <w:rPr>
          <w:rFonts w:eastAsia="Calibri"/>
        </w:rPr>
        <w:t>V. U. 1</w:t>
      </w:r>
      <w:r w:rsidRPr="000E2C88">
        <w:rPr>
          <w:rFonts w:eastAsia="Calibri"/>
        </w:rPr>
        <w:t xml:space="preserve">, 42-os divizijos vadas kaltinamasis </w:t>
      </w:r>
      <w:r w:rsidR="006036E7" w:rsidRPr="000E2C88">
        <w:rPr>
          <w:rFonts w:eastAsia="Calibri"/>
        </w:rPr>
        <w:t>A. Ž.</w:t>
      </w:r>
      <w:r w:rsidRPr="000E2C88">
        <w:rPr>
          <w:rFonts w:eastAsia="Calibri"/>
        </w:rPr>
        <w:t xml:space="preserve">. Koordinatorių veiksmus kontroliavo vadovavimo operacijai štabo nariai: kaltinamieji </w:t>
      </w:r>
      <w:r w:rsidR="00385BC9" w:rsidRPr="000E2C88">
        <w:rPr>
          <w:rFonts w:eastAsia="Calibri"/>
        </w:rPr>
        <w:t>N. D.</w:t>
      </w:r>
      <w:r w:rsidRPr="000E2C88">
        <w:rPr>
          <w:rFonts w:eastAsia="Calibri"/>
        </w:rPr>
        <w:t xml:space="preserve">, </w:t>
      </w:r>
      <w:r w:rsidR="00385BC9" w:rsidRPr="000E2C88">
        <w:rPr>
          <w:rFonts w:eastAsia="Calibri"/>
        </w:rPr>
        <w:t>V. S. 1</w:t>
      </w:r>
      <w:r w:rsidRPr="000E2C88">
        <w:rPr>
          <w:rFonts w:eastAsia="Calibri"/>
        </w:rPr>
        <w:t xml:space="preserve"> (kartu su </w:t>
      </w:r>
      <w:r w:rsidR="00C507EF" w:rsidRPr="000E2C88">
        <w:rPr>
          <w:rFonts w:eastAsia="Calibri"/>
        </w:rPr>
        <w:t>J. K.</w:t>
      </w:r>
      <w:r w:rsidRPr="000E2C88">
        <w:rPr>
          <w:rFonts w:eastAsia="Calibri"/>
        </w:rPr>
        <w:t xml:space="preserve">, </w:t>
      </w:r>
      <w:r w:rsidR="00D37127" w:rsidRPr="000E2C88">
        <w:rPr>
          <w:rFonts w:eastAsia="Calibri"/>
        </w:rPr>
        <w:t>S. C.</w:t>
      </w:r>
      <w:r w:rsidRPr="000E2C88">
        <w:rPr>
          <w:rFonts w:eastAsia="Calibri"/>
        </w:rPr>
        <w:t xml:space="preserve">, </w:t>
      </w:r>
      <w:r w:rsidR="00C507EF" w:rsidRPr="000E2C88">
        <w:rPr>
          <w:rFonts w:eastAsia="Calibri"/>
        </w:rPr>
        <w:t>V. A.</w:t>
      </w:r>
      <w:r w:rsidRPr="000E2C88">
        <w:rPr>
          <w:rFonts w:eastAsia="Calibri"/>
        </w:rPr>
        <w:t xml:space="preserve">, </w:t>
      </w:r>
      <w:r w:rsidR="00C507EF" w:rsidRPr="000E2C88">
        <w:rPr>
          <w:rFonts w:eastAsia="Calibri"/>
        </w:rPr>
        <w:t>V. O.</w:t>
      </w:r>
      <w:r w:rsidRPr="000E2C88">
        <w:rPr>
          <w:rFonts w:eastAsia="Calibri"/>
        </w:rPr>
        <w:t>). &lt;...&gt;“ (nuosprendžio 14</w:t>
      </w:r>
      <w:r w:rsidRPr="000E2C88">
        <w:t>–</w:t>
      </w:r>
      <w:r w:rsidRPr="000E2C88">
        <w:rPr>
          <w:rFonts w:eastAsia="Calibri"/>
        </w:rPr>
        <w:t xml:space="preserve">15 l.). Iš nuosprendžio motyvuojamosios dalies aiškiai matyti, kad </w:t>
      </w:r>
      <w:r w:rsidR="00385BC9" w:rsidRPr="000E2C88">
        <w:rPr>
          <w:rFonts w:eastAsia="Calibri"/>
        </w:rPr>
        <w:t>M. G.</w:t>
      </w:r>
      <w:r w:rsidRPr="000E2C88">
        <w:rPr>
          <w:rFonts w:eastAsia="Calibri"/>
        </w:rPr>
        <w:t xml:space="preserve"> (priešingai nei byloje taip pat kaltintas TSRS VSK pareigūnas </w:t>
      </w:r>
      <w:r w:rsidR="00385BC9" w:rsidRPr="000E2C88">
        <w:rPr>
          <w:rFonts w:eastAsia="Calibri"/>
        </w:rPr>
        <w:t>J. Č.</w:t>
      </w:r>
      <w:r w:rsidRPr="000E2C88">
        <w:rPr>
          <w:rFonts w:eastAsia="Calibri"/>
        </w:rPr>
        <w:t xml:space="preserve">) nustatytas kaip vienas iš byloje kaltintų 11 asmenų, kurie vienokiu ar kitokiu būdu inicijavo, rengė, planavo, vadovavo bei kontroliavo karinę operaciją (nuosprendžio </w:t>
      </w:r>
      <w:r w:rsidRPr="000E2C88">
        <w:t xml:space="preserve">859 l.). Teismo nuosprendyje, apibendrinant ir individualizuojant nuteistojo </w:t>
      </w:r>
      <w:r w:rsidR="00385BC9" w:rsidRPr="000E2C88">
        <w:t>M. G.</w:t>
      </w:r>
      <w:r w:rsidRPr="000E2C88">
        <w:t xml:space="preserve"> veiksmus, nurodyta, kad jis buvo: „</w:t>
      </w:r>
      <w:r w:rsidRPr="000E2C88">
        <w:rPr>
          <w:rFonts w:eastAsia="Calibri"/>
        </w:rPr>
        <w:t>karinės operacijos Vilniuje koordinatorius ir vykdytojas, koordinavo bendrus grupės „A“ ir kitų karinių padalinių veiksmus užgrobiant objektus, karinės atakos prie TV bokšto metu asmeniškai vadovavo VSK specialios paskirties grupės „A“ kariškiams, vadovauti RTV</w:t>
      </w:r>
      <w:r w:rsidR="008E4551" w:rsidRPr="000E2C88">
        <w:rPr>
          <w:rFonts w:eastAsia="Calibri"/>
        </w:rPr>
        <w:t> </w:t>
      </w:r>
      <w:r w:rsidRPr="000E2C88">
        <w:rPr>
          <w:rFonts w:eastAsia="Calibri"/>
        </w:rPr>
        <w:t xml:space="preserve">komiteto šturmui paskyrė </w:t>
      </w:r>
      <w:r w:rsidR="00385BC9" w:rsidRPr="000E2C88">
        <w:rPr>
          <w:rFonts w:eastAsia="Calibri"/>
        </w:rPr>
        <w:t>J. Č.</w:t>
      </w:r>
      <w:r w:rsidRPr="000E2C88">
        <w:rPr>
          <w:rFonts w:eastAsia="Calibri"/>
        </w:rPr>
        <w:t xml:space="preserve"> ir koordinavo šios grupės veiksmus, </w:t>
      </w:r>
      <w:r w:rsidRPr="000E2C88">
        <w:t>grupės „A“ kariškiams leido naudoti kovos veiksmus, granatsvaidžius, šviesos ir garso granatas, spec. priemones, kovinius ginklus ir šaudmenis.“ (nuosprendžio 872</w:t>
      </w:r>
      <w:r w:rsidRPr="00C00255">
        <w:t xml:space="preserve"> l.).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C00255">
        <w:t xml:space="preserve">Nuteistojo </w:t>
      </w:r>
      <w:r w:rsidR="00385BC9">
        <w:t>M. G.</w:t>
      </w:r>
      <w:r w:rsidRPr="00C00255">
        <w:t xml:space="preserve"> gynėjas apeliaciniame skunde neneigė jo ginamojo dalyvavimo karinėje operacijoje ir nurodė, kad </w:t>
      </w:r>
      <w:r w:rsidR="00385BC9">
        <w:t>M. G.</w:t>
      </w:r>
      <w:r w:rsidRPr="00C00255">
        <w:t xml:space="preserve"> privalėjo vykdyti jam aukštesnio rango karininkų duotus įsakymus. Grupės „A“ karininkai užėmė pastatus, tačiau gynėjas ginčija </w:t>
      </w:r>
      <w:r w:rsidR="00385BC9">
        <w:t>M. G.</w:t>
      </w:r>
      <w:r w:rsidRPr="00C00255">
        <w:t xml:space="preserve"> veiksmų vertinimą kaip nusikaltimus žmoniškumui ir karo nusikaltimus. Apeliantas, nesutikdamas su teismo išvadomis vertinant įrodymus, iš esmės ginčija galimybę remtis byloje surinktais duomenimis apie </w:t>
      </w:r>
      <w:r w:rsidR="00385BC9">
        <w:t>M. G.</w:t>
      </w:r>
      <w:r w:rsidRPr="00C00255">
        <w:t xml:space="preserve"> poziciją dėl bylos aplinkybių, nes pats </w:t>
      </w:r>
      <w:r w:rsidR="00385BC9">
        <w:t>M. G.</w:t>
      </w:r>
      <w:r w:rsidRPr="00C00255">
        <w:t xml:space="preserve"> byloje nebuvo apklaustas. Nuteistojo </w:t>
      </w:r>
      <w:r w:rsidR="00385BC9">
        <w:t>J. Č.</w:t>
      </w:r>
      <w:r w:rsidRPr="00C00255">
        <w:t xml:space="preserve"> gynėja savo apeliaciniame skunde atskirai neginčija teismo išvadų dėl karinės operacijos planavimo, tačiau prašydama išteisinti ginamąjį, greta kitų apeliacinio skundo argumentų, susijusių su nuteistajam inkriminuotų veikų kvalifikavimu ir pan., nurodė, kad </w:t>
      </w:r>
      <w:r w:rsidR="00385BC9">
        <w:t>J. Č.</w:t>
      </w:r>
      <w:r w:rsidRPr="00C00255">
        <w:t xml:space="preserve"> nebuvo karinės operacijos planavimo grupės narys.</w:t>
      </w:r>
    </w:p>
    <w:p w:rsidR="007A31AA" w:rsidRPr="007A31AA" w:rsidRDefault="007A31AA" w:rsidP="007A31AA">
      <w:pPr>
        <w:pStyle w:val="NormalWeb"/>
        <w:numPr>
          <w:ilvl w:val="0"/>
          <w:numId w:val="6"/>
        </w:numPr>
        <w:spacing w:before="120" w:beforeAutospacing="0" w:after="120" w:afterAutospacing="0"/>
        <w:ind w:left="992" w:hanging="992"/>
        <w:rPr>
          <w:rFonts w:eastAsia="Calibri"/>
        </w:rPr>
      </w:pPr>
      <w:r w:rsidRPr="007A31AA">
        <w:t>Atsižvelgdama į tai, teisėjų kolegija šiame teismo sprendimo skyriuje pasisakys tik apie pirmosios instancijos teismo nustatytų faktinių aplinkybių p</w:t>
      </w:r>
      <w:r>
        <w:t>agrįstumą, o argumentus apie M. </w:t>
      </w:r>
      <w:r w:rsidRPr="007A31AA">
        <w:t>G. ir J. Č. veiksmų teisinį vertinimą ir kvalifikavimą pateiks atskiroje teismo sprendimo dalyje.</w:t>
      </w:r>
    </w:p>
    <w:p w:rsid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Pirmosios instancijos teismo išvados dėl </w:t>
      </w:r>
      <w:r w:rsidR="00385BC9" w:rsidRPr="000E2C88">
        <w:rPr>
          <w:rFonts w:eastAsia="Calibri"/>
        </w:rPr>
        <w:t>M. G.</w:t>
      </w:r>
      <w:r w:rsidRPr="000E2C88">
        <w:rPr>
          <w:rFonts w:eastAsia="Calibri"/>
        </w:rPr>
        <w:t xml:space="preserve"> dalyvavimo rengiant karinę operaciją yra pagrįstos byloje surinktais duomenimis apie: </w:t>
      </w:r>
      <w:r w:rsidR="00385BC9" w:rsidRPr="000E2C88">
        <w:rPr>
          <w:rFonts w:eastAsia="Calibri"/>
        </w:rPr>
        <w:t>M. G.</w:t>
      </w:r>
      <w:r w:rsidRPr="000E2C88">
        <w:rPr>
          <w:rFonts w:eastAsia="Calibri"/>
        </w:rPr>
        <w:t xml:space="preserve"> ir jo vadovauto TSRS VSK padalinio „A“ perdislokavimą į Lietuvą; šio dalinio paskirtį bendrame operacijos tikslo kontekste; </w:t>
      </w:r>
      <w:r w:rsidR="00385BC9" w:rsidRPr="000E2C88">
        <w:rPr>
          <w:rFonts w:eastAsia="Calibri"/>
        </w:rPr>
        <w:t>M. G.</w:t>
      </w:r>
      <w:r w:rsidRPr="000E2C88">
        <w:rPr>
          <w:rFonts w:eastAsia="Calibri"/>
        </w:rPr>
        <w:t xml:space="preserve"> vadovaujantį vaidmenį padalinio „A“ kariškiams, bei byloje surinktais gausiais ir objektyviais, be kita ko, ir vaizdo įrašuose užfiksuotais duomeni</w:t>
      </w:r>
      <w:r w:rsidR="00496FB4" w:rsidRPr="000E2C88">
        <w:rPr>
          <w:rFonts w:eastAsia="Calibri"/>
        </w:rPr>
        <w:t>mi</w:t>
      </w:r>
      <w:r w:rsidRPr="000E2C88">
        <w:rPr>
          <w:rFonts w:eastAsia="Calibri"/>
        </w:rPr>
        <w:t xml:space="preserve">s apie šio padalinio kariškių veiksmus karinės operacijos metu. Taigi paties </w:t>
      </w:r>
      <w:r w:rsidR="00385BC9" w:rsidRPr="000E2C88">
        <w:rPr>
          <w:rFonts w:eastAsia="Calibri"/>
        </w:rPr>
        <w:t>M. G.</w:t>
      </w:r>
      <w:r w:rsidRPr="000E2C88">
        <w:rPr>
          <w:rFonts w:eastAsia="Calibri"/>
        </w:rPr>
        <w:t xml:space="preserve"> pozicija dėl nagrinėjamų faktinių aplinkybių, net jei ji užfiksuota ne kaip jo parodymai, tėra tik vienas iš daugelio byloje surinktų duomenų, kurie gali būti vertinami tikrinant byloje surinktus įrodymus ir sprendžiant dėl jam pareikštų kaltinimų pagrįstumo</w:t>
      </w:r>
      <w:r w:rsidRPr="007A31AA">
        <w:rPr>
          <w:rFonts w:eastAsia="Calibri"/>
        </w:rPr>
        <w:t>.</w:t>
      </w:r>
    </w:p>
    <w:p w:rsid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Byloje iš esmės nėra ginčo dėl to, kad TSRS VSK, taip pat ir </w:t>
      </w:r>
      <w:r w:rsidR="00385BC9" w:rsidRPr="000E2C88">
        <w:rPr>
          <w:rFonts w:eastAsia="Calibri"/>
        </w:rPr>
        <w:t>M. G.</w:t>
      </w:r>
      <w:r w:rsidRPr="000E2C88">
        <w:rPr>
          <w:rFonts w:eastAsia="Calibri"/>
        </w:rPr>
        <w:t xml:space="preserve"> vadovautas padalinys „A“ dalyvavo bendroje operacijoje, kad tai nulėmė TSRS gynybos ministro </w:t>
      </w:r>
      <w:r w:rsidR="00385BC9" w:rsidRPr="000E2C88">
        <w:rPr>
          <w:rFonts w:eastAsia="Calibri"/>
        </w:rPr>
        <w:t>D. J.</w:t>
      </w:r>
      <w:r w:rsidRPr="000E2C88">
        <w:rPr>
          <w:rFonts w:eastAsia="Calibri"/>
        </w:rPr>
        <w:t xml:space="preserve">, TSRS vidaus reikalų ministro </w:t>
      </w:r>
      <w:r w:rsidR="00C507EF" w:rsidRPr="000E2C88">
        <w:rPr>
          <w:rFonts w:eastAsia="Calibri"/>
        </w:rPr>
        <w:t>B. P.</w:t>
      </w:r>
      <w:r w:rsidRPr="000E2C88">
        <w:rPr>
          <w:rFonts w:eastAsia="Calibri"/>
        </w:rPr>
        <w:t xml:space="preserve"> ir TSRS valstybės saugumo komiteto pirmininko </w:t>
      </w:r>
      <w:r w:rsidR="00C507EF" w:rsidRPr="000E2C88">
        <w:rPr>
          <w:rFonts w:eastAsia="Calibri"/>
        </w:rPr>
        <w:t>V. K.</w:t>
      </w:r>
      <w:r w:rsidRPr="000E2C88">
        <w:rPr>
          <w:rFonts w:eastAsia="Calibri"/>
        </w:rPr>
        <w:t xml:space="preserve"> bendri veiksmai, siekiant grąžinti Lietuvą į TSRS sudėtį. Byloje pagrįstai nustatyta, kad LKP/TSKP aktyvistai, kurie nustatyti ir jau minėtoje </w:t>
      </w:r>
      <w:r w:rsidR="00C507EF" w:rsidRPr="000E2C88">
        <w:t>M. B.</w:t>
      </w:r>
      <w:r w:rsidRPr="000E2C88">
        <w:t xml:space="preserve">, </w:t>
      </w:r>
      <w:r w:rsidR="00C507EF" w:rsidRPr="000E2C88">
        <w:t>J. K.</w:t>
      </w:r>
      <w:r w:rsidRPr="000E2C88">
        <w:t xml:space="preserve"> ir kt. byloje, buv</w:t>
      </w:r>
      <w:r w:rsidRPr="000E2C88">
        <w:rPr>
          <w:rFonts w:eastAsia="Calibri"/>
        </w:rPr>
        <w:t xml:space="preserve">o suinteresuoti Prezidentinio valdymo įvedimo plano įgyvendinimu ir veikė kartu su karinėje operacijoje Sausio įvykių metu dalyvavusiais TSRS karininkais, taip pat ir TSRS VSK pareigūnais. Tokias išvadas, o taip pat ir TSRS VSK pirmininko </w:t>
      </w:r>
      <w:r w:rsidR="00C507EF" w:rsidRPr="000E2C88">
        <w:rPr>
          <w:rFonts w:eastAsia="Calibri"/>
        </w:rPr>
        <w:t>V. K.</w:t>
      </w:r>
      <w:r w:rsidRPr="000E2C88">
        <w:rPr>
          <w:rFonts w:eastAsia="Calibri"/>
        </w:rPr>
        <w:t xml:space="preserve"> bei jam pavaldžių karininkų </w:t>
      </w:r>
      <w:r w:rsidRPr="000E2C88">
        <w:t xml:space="preserve">vaidmenį aptariamuose įvykiuose, </w:t>
      </w:r>
      <w:r w:rsidRPr="000E2C88">
        <w:rPr>
          <w:rFonts w:eastAsia="Calibri"/>
        </w:rPr>
        <w:t>patvirtina byloje esantys rašytiniai šaltiniai, specialisto išvada, teismo posėdyje apklaustų liudytojų parodymai, be kita ko, ir buvusių TSRS VS</w:t>
      </w:r>
      <w:r w:rsidR="007A31AA" w:rsidRPr="000E2C88">
        <w:rPr>
          <w:rFonts w:eastAsia="Calibri"/>
        </w:rPr>
        <w:t xml:space="preserve">K darbuotojų, dirbusių Lietuvos </w:t>
      </w:r>
      <w:r w:rsidRPr="000E2C88">
        <w:rPr>
          <w:rFonts w:eastAsia="Calibri"/>
        </w:rPr>
        <w:t>padalinyje, parodymai apie TSRS VSK vaidmenį operacijos metu ir kt</w:t>
      </w:r>
      <w:r w:rsidRPr="007A31AA">
        <w:rPr>
          <w:rFonts w:eastAsia="Calibri"/>
        </w:rPr>
        <w:t>.</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TSRS VSK ir aukščiausios TSRS valdžios vaidmenį byloje nagrinėjamų 1991 m. sausio įvykių metu iliustruoja teisiamajame posėdyje apklausto, buvusio ilgamečio TSRS VSK darbuotojo ir tuometinio TSRS VSK padalinio Lietuvoje vadovo liudytojo </w:t>
      </w:r>
      <w:r w:rsidR="005A493E" w:rsidRPr="000E2C88">
        <w:rPr>
          <w:rFonts w:eastAsia="Calibri"/>
        </w:rPr>
        <w:t>R. M.</w:t>
      </w:r>
      <w:r w:rsidRPr="000E2C88">
        <w:rPr>
          <w:rFonts w:eastAsia="Calibri"/>
        </w:rPr>
        <w:t xml:space="preserve"> parodymai. Iš jų aiškiai matyti, kad liudytojas, būdamas TSRS VSK padalinio Lietuvoje vadovu, prieš pat byloje nagrinėjamus įvykius itin dažnai bendravo su TSRS VSK pirmininku </w:t>
      </w:r>
      <w:r w:rsidR="00C507EF" w:rsidRPr="000E2C88">
        <w:rPr>
          <w:rFonts w:eastAsia="Calibri"/>
        </w:rPr>
        <w:t>V. K.</w:t>
      </w:r>
      <w:r w:rsidRPr="000E2C88">
        <w:rPr>
          <w:rFonts w:eastAsia="Calibri"/>
        </w:rPr>
        <w:t xml:space="preserve">, o sužinojęs apie planuojamą jėgos panaudojimą, primygtinai reikalavo </w:t>
      </w:r>
      <w:r w:rsidR="00C507EF" w:rsidRPr="000E2C88">
        <w:rPr>
          <w:rFonts w:eastAsia="Calibri"/>
        </w:rPr>
        <w:t>V. K.</w:t>
      </w:r>
      <w:r w:rsidRPr="000E2C88">
        <w:rPr>
          <w:rFonts w:eastAsia="Calibri"/>
        </w:rPr>
        <w:t xml:space="preserve"> atsisakyti tokių ketinimų ir imtis veiksmų, kad TSRS jėgos struktūros nebūtų panaudotos prieš civilius. </w:t>
      </w:r>
      <w:r w:rsidR="00C507EF" w:rsidRPr="000E2C88">
        <w:rPr>
          <w:rFonts w:eastAsia="Calibri"/>
        </w:rPr>
        <w:t>V. K.</w:t>
      </w:r>
      <w:r w:rsidRPr="000E2C88">
        <w:rPr>
          <w:rFonts w:eastAsia="Calibri"/>
        </w:rPr>
        <w:t xml:space="preserve"> nurodymu, liudytojas vyko į karinį Šiaurės miestelį Vilniuje ir ten buvusiame štabe bandė atkalbėti LKP TSKP atstovą </w:t>
      </w:r>
      <w:r w:rsidR="00C507EF" w:rsidRPr="000E2C88">
        <w:rPr>
          <w:rFonts w:eastAsia="Calibri"/>
        </w:rPr>
        <w:t>M. B.</w:t>
      </w:r>
      <w:r w:rsidRPr="000E2C88">
        <w:rPr>
          <w:rFonts w:eastAsia="Calibri"/>
        </w:rPr>
        <w:t xml:space="preserve">. Galiausiai, nepritardamas planuojamam jėgos panaudojimui, pradžioje </w:t>
      </w:r>
      <w:r w:rsidR="00C507EF" w:rsidRPr="000E2C88">
        <w:rPr>
          <w:rFonts w:eastAsia="Calibri"/>
        </w:rPr>
        <w:t>V. K.</w:t>
      </w:r>
      <w:r w:rsidRPr="000E2C88">
        <w:rPr>
          <w:rFonts w:eastAsia="Calibri"/>
        </w:rPr>
        <w:t xml:space="preserve">, o vėliau ir TSRS gynybos ministrui </w:t>
      </w:r>
      <w:r w:rsidR="00385BC9" w:rsidRPr="000E2C88">
        <w:rPr>
          <w:rFonts w:eastAsia="Calibri"/>
        </w:rPr>
        <w:t>D. J.</w:t>
      </w:r>
      <w:r w:rsidRPr="000E2C88">
        <w:rPr>
          <w:rFonts w:eastAsia="Calibri"/>
        </w:rPr>
        <w:t xml:space="preserve"> pokalbio su juo metu, ministrui sužinojus, kad liudytojas ketina nevykdyti įsakymo, </w:t>
      </w:r>
      <w:r w:rsidR="005A493E" w:rsidRPr="000E2C88">
        <w:rPr>
          <w:rFonts w:eastAsia="Calibri"/>
        </w:rPr>
        <w:t>R. M.</w:t>
      </w:r>
      <w:r w:rsidRPr="000E2C88">
        <w:rPr>
          <w:rFonts w:eastAsia="Calibri"/>
        </w:rPr>
        <w:t xml:space="preserve"> nurodė, kad panaudojus jėgą nebus išvengta civilių aukų, todėl atsistatydino iš užimamų pareigų ir nusikalstamo įsakymo nevykdė. Liudytojas teigė, kad esminius sprendimus priiminėjo ir viską sprendė trys jėgos, kurioms vadovavo </w:t>
      </w:r>
      <w:r w:rsidR="00385BC9" w:rsidRPr="000E2C88">
        <w:rPr>
          <w:rFonts w:eastAsia="Calibri"/>
        </w:rPr>
        <w:t>D. J.</w:t>
      </w:r>
      <w:r w:rsidRPr="000E2C88">
        <w:rPr>
          <w:rFonts w:eastAsia="Calibri"/>
        </w:rPr>
        <w:t xml:space="preserve">, </w:t>
      </w:r>
      <w:r w:rsidR="00C507EF" w:rsidRPr="000E2C88">
        <w:rPr>
          <w:rFonts w:eastAsia="Calibri"/>
        </w:rPr>
        <w:t>V. K.</w:t>
      </w:r>
      <w:r w:rsidRPr="000E2C88">
        <w:rPr>
          <w:rFonts w:eastAsia="Calibri"/>
        </w:rPr>
        <w:t xml:space="preserve"> ir </w:t>
      </w:r>
      <w:r w:rsidR="00C507EF" w:rsidRPr="000E2C88">
        <w:rPr>
          <w:rFonts w:eastAsia="Calibri"/>
        </w:rPr>
        <w:t>B. P.</w:t>
      </w:r>
      <w:r w:rsidRPr="000E2C88">
        <w:rPr>
          <w:rFonts w:eastAsia="Calibri"/>
        </w:rPr>
        <w:t xml:space="preserve">. Nurodymą TSRS VSK padaliniui „A“ galėjo duoti TSRS VSK pirmininkas </w:t>
      </w:r>
      <w:r w:rsidR="00C507EF" w:rsidRPr="000E2C88">
        <w:rPr>
          <w:rFonts w:eastAsia="Calibri"/>
        </w:rPr>
        <w:t>V. K.</w:t>
      </w:r>
      <w:r w:rsidRPr="000E2C88">
        <w:rPr>
          <w:rFonts w:eastAsia="Calibri"/>
        </w:rPr>
        <w:t xml:space="preserve"> arba jo pavaduotojas Babkovas, taip pat už šio padalinio darbą buvo atsakingas </w:t>
      </w:r>
      <w:r w:rsidR="00C507EF" w:rsidRPr="000E2C88">
        <w:rPr>
          <w:rFonts w:eastAsia="Calibri"/>
        </w:rPr>
        <w:t>J. K.</w:t>
      </w:r>
      <w:r w:rsidRPr="000E2C88">
        <w:rPr>
          <w:rFonts w:eastAsia="Calibri"/>
        </w:rPr>
        <w:t xml:space="preserve">, kuris su dar keliais pareigūnais iš TSRS VSK prieš byloje nagrinėjamus įvykius buvo atvykęs į Vilnių. Sprendžiant iš atvykusių asmenų sudėties, grupė „A“ galėjo būti įtraukta ir </w:t>
      </w:r>
      <w:r w:rsidR="00C507EF" w:rsidRPr="000E2C88">
        <w:rPr>
          <w:rFonts w:eastAsia="Calibri"/>
        </w:rPr>
        <w:t>J. K.</w:t>
      </w:r>
      <w:r w:rsidRPr="000E2C88">
        <w:rPr>
          <w:rFonts w:eastAsia="Calibri"/>
        </w:rPr>
        <w:t xml:space="preserve"> įsakymu. </w:t>
      </w:r>
      <w:r w:rsidR="00C507EF" w:rsidRPr="000E2C88">
        <w:rPr>
          <w:rFonts w:eastAsia="Calibri"/>
        </w:rPr>
        <w:t>J. K.</w:t>
      </w:r>
      <w:r w:rsidRPr="000E2C88">
        <w:rPr>
          <w:rFonts w:eastAsia="Calibri"/>
        </w:rPr>
        <w:t xml:space="preserve"> padalinys kuravo jėgos struktūras. Su TSRS VSK atstovais, atvykusiais į Vilnių, bendravo Lietuvoje dirbęs VSK pareigūnas </w:t>
      </w:r>
      <w:r w:rsidR="00D37127" w:rsidRPr="000E2C88">
        <w:rPr>
          <w:rFonts w:eastAsia="Calibri"/>
        </w:rPr>
        <w:t>S. C.</w:t>
      </w:r>
      <w:r w:rsidRPr="000E2C88">
        <w:rPr>
          <w:rFonts w:eastAsia="Calibri"/>
        </w:rPr>
        <w:t xml:space="preserve">. Pastarasis kuravo visus klausimus, susijusius su kariškiais ir LKP/TSKP. Po visų įvykių </w:t>
      </w:r>
      <w:r w:rsidR="00C507EF" w:rsidRPr="000E2C88">
        <w:rPr>
          <w:rFonts w:eastAsia="Calibri"/>
        </w:rPr>
        <w:t>V. K.</w:t>
      </w:r>
      <w:r w:rsidRPr="000E2C88">
        <w:rPr>
          <w:rFonts w:eastAsia="Calibri"/>
        </w:rPr>
        <w:t xml:space="preserve"> stengėsi neigti grupės „A“ dalyvavimą Vilniuje, nors žinojo apie vieno iš šios grupės kariškių žūtį </w:t>
      </w:r>
      <w:r w:rsidRPr="000E2C88">
        <w:t>(t. 757, b. l. 25–30</w:t>
      </w:r>
      <w:r w:rsidRPr="007A31AA">
        <w:t>).</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t xml:space="preserve">Teisėjų kolegija pažymi, kad liudytojo </w:t>
      </w:r>
      <w:r w:rsidR="005A493E" w:rsidRPr="007A31AA">
        <w:t>R. M.</w:t>
      </w:r>
      <w:r w:rsidRPr="007A31AA">
        <w:t xml:space="preserve"> parodymai pirmosios instancijos teism</w:t>
      </w:r>
      <w:r w:rsidR="00496FB4" w:rsidRPr="007A31AA">
        <w:t>e</w:t>
      </w:r>
      <w:r w:rsidRPr="007A31AA">
        <w:t xml:space="preserve"> buvo itin detalūs ir itin aiškiai rodantys, kad TSRS VSK vadovybė vykdė TSRS politinę valią, siekiant bet kokiomis priemonėmis, taip pat ir panaudojant jėgą bei žinant apie neišvengiamas civilių aukas, gražinti Lietuvą į TSRS sudėtį. Liudytojo </w:t>
      </w:r>
      <w:r w:rsidR="005A493E" w:rsidRPr="007A31AA">
        <w:t>R. M.</w:t>
      </w:r>
      <w:r w:rsidRPr="007A31AA">
        <w:t xml:space="preserve"> parodymai taip pat rodo, kad jėgos panaudojimas buvo detaliai planuojamas, derinamas ir ruošiamas, kad tai nebuvo spontaniškas sprendimas.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t xml:space="preserve">Liudytojo </w:t>
      </w:r>
      <w:r w:rsidR="005A493E" w:rsidRPr="007A31AA">
        <w:t>R. M.</w:t>
      </w:r>
      <w:r w:rsidRPr="007A31AA">
        <w:t xml:space="preserve"> parodymų patikimumas teisėjų kolegijai nekelia jokių abejonių, nes jo parodymus patvirtino ir kiti teisiamajame posėdyje apklausti liudytojai bei kiti byloje surinkti įrodymai.</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t>Liudytojas A. A</w:t>
      </w:r>
      <w:r w:rsidR="00D220F2" w:rsidRPr="007A31AA">
        <w:t>.</w:t>
      </w:r>
      <w:r w:rsidRPr="007A31AA">
        <w:t xml:space="preserve"> teisme patvirtino, kad </w:t>
      </w:r>
      <w:r w:rsidR="005A493E" w:rsidRPr="007A31AA">
        <w:t>R. M.</w:t>
      </w:r>
      <w:r w:rsidRPr="007A31AA">
        <w:t xml:space="preserve"> nepritarė jėgos panaudojimui, o supratęs apie galimą jos panaudojimą, žinant apie TSRS VSK padalinio „A“ atvykimą, jam kaip savo pavaduotojui papasakojo apie pokalbius su </w:t>
      </w:r>
      <w:r w:rsidR="00C507EF" w:rsidRPr="007A31AA">
        <w:t>V. K.</w:t>
      </w:r>
      <w:r w:rsidRPr="007A31AA">
        <w:t xml:space="preserve"> ir savo atsistatydinimą. Liudytojas nurodė, kad po </w:t>
      </w:r>
      <w:r w:rsidR="005A493E" w:rsidRPr="007A31AA">
        <w:t>R. M.</w:t>
      </w:r>
      <w:r w:rsidRPr="007A31AA">
        <w:t xml:space="preserve"> atsistatydinimo, jam taip pat skambino TSRS VSK pirmininkas </w:t>
      </w:r>
      <w:r w:rsidR="00C507EF" w:rsidRPr="007A31AA">
        <w:t>V. K.</w:t>
      </w:r>
      <w:r w:rsidRPr="007A31AA">
        <w:t xml:space="preserve">. Iš pokalbio su </w:t>
      </w:r>
      <w:r w:rsidR="00C507EF" w:rsidRPr="007A31AA">
        <w:t>V. K.</w:t>
      </w:r>
      <w:r w:rsidRPr="007A31AA">
        <w:t xml:space="preserve"> liudytojas A. A</w:t>
      </w:r>
      <w:r w:rsidR="00D220F2" w:rsidRPr="007A31AA">
        <w:t>.</w:t>
      </w:r>
      <w:r w:rsidRPr="007A31AA">
        <w:t xml:space="preserve"> suprato, kad TSRS VSK pirmininkas jau žino apie padalinio „A“ panaudojimą. Be to, </w:t>
      </w:r>
      <w:r w:rsidR="00C507EF" w:rsidRPr="007A31AA">
        <w:t>V. K.</w:t>
      </w:r>
      <w:r w:rsidRPr="007A31AA">
        <w:t xml:space="preserve"> jam siūlė tapti TSRS VSK padalinio Lietuvoje vadovu, tačiau liudytojui nurodžius, kad jis pritaria </w:t>
      </w:r>
      <w:r w:rsidR="005A493E" w:rsidRPr="007A31AA">
        <w:t>R. M.</w:t>
      </w:r>
      <w:r w:rsidRPr="007A31AA">
        <w:t xml:space="preserve"> pozicijai, </w:t>
      </w:r>
      <w:r w:rsidR="00C507EF" w:rsidRPr="007A31AA">
        <w:t>V. K.</w:t>
      </w:r>
      <w:r w:rsidRPr="007A31AA">
        <w:t xml:space="preserve"> tokio pasiūlymo atsisakė. Liudytojas taip pat kaip ir </w:t>
      </w:r>
      <w:r w:rsidR="005A493E" w:rsidRPr="007A31AA">
        <w:t>R. M.</w:t>
      </w:r>
      <w:r w:rsidRPr="007A31AA">
        <w:t xml:space="preserve"> papasakojo apie grupės „A“ ir būrio TSRS VRM atstovų, taip pat ir TSRS vidaus reikalų ministro pavaduotojo atvykimą į Vilnių bei buvusio Lietuvos VSK pavaduoto </w:t>
      </w:r>
      <w:r w:rsidR="00D37127" w:rsidRPr="007A31AA">
        <w:t>S. C.</w:t>
      </w:r>
      <w:r w:rsidRPr="007A31AA">
        <w:t xml:space="preserve"> vaidmenį atstovaujant Lietuvos VSK pajėgas derinant veiksmus su TSRS VSK bei kitais Vilniuje dislokuotais kariškiais (t. 757, b. l. 36</w:t>
      </w:r>
      <w:r w:rsidRPr="007A31AA">
        <w:rPr>
          <w:color w:val="000000"/>
        </w:rPr>
        <w:t>–</w:t>
      </w:r>
      <w:r w:rsidRPr="007A31AA">
        <w:t>38). Taip pat liudytojas teismo posėdyje patvirtino parodymus, duotus ikiteisminio tyrimo metu (t. 192, b. l. 48</w:t>
      </w:r>
      <w:r w:rsidRPr="007A31AA">
        <w:rPr>
          <w:color w:val="000000"/>
        </w:rPr>
        <w:t>–</w:t>
      </w:r>
      <w:r w:rsidRPr="007A31AA">
        <w:t>52; t. 473, b. l. 108</w:t>
      </w:r>
      <w:r w:rsidRPr="007A31AA">
        <w:rPr>
          <w:color w:val="000000"/>
        </w:rPr>
        <w:t>–115)</w:t>
      </w:r>
      <w:r w:rsidRPr="007A31AA">
        <w:t>.</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t xml:space="preserve">Liudytojas </w:t>
      </w:r>
      <w:r w:rsidR="005A493E" w:rsidRPr="007A31AA">
        <w:t>D. A.</w:t>
      </w:r>
      <w:r w:rsidRPr="007A31AA">
        <w:t xml:space="preserve">, nuo 1990 m. balandžio mėnesio dirbęs Lietuvos valstybės saugumo departamente, taip pat nurodė, jog sužinojęs apie galimą TSRS jėgos panaudojimą, bendravo su </w:t>
      </w:r>
      <w:r w:rsidR="005A493E" w:rsidRPr="007A31AA">
        <w:t>R. M.</w:t>
      </w:r>
      <w:r w:rsidRPr="007A31AA">
        <w:t>, kuris nurodė, jog nepritaria galimam jėgos panaudojimui, kad išvyksta į Maskvą įteikti atsistatydinimo pareiškimo (t. 757, b. l. 31</w:t>
      </w:r>
      <w:r w:rsidRPr="007A31AA">
        <w:rPr>
          <w:color w:val="000000"/>
        </w:rPr>
        <w:t>–</w:t>
      </w:r>
      <w:r w:rsidRPr="007A31AA">
        <w:t>32).</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t xml:space="preserve">Apie liudytojo </w:t>
      </w:r>
      <w:r w:rsidR="005A493E" w:rsidRPr="007A31AA">
        <w:t>R. M.</w:t>
      </w:r>
      <w:r w:rsidRPr="007A31AA">
        <w:t xml:space="preserve"> veiksmus, bandant atkalbėti </w:t>
      </w:r>
      <w:r w:rsidR="00C507EF" w:rsidRPr="007A31AA">
        <w:t>V. K.</w:t>
      </w:r>
      <w:r w:rsidRPr="007A31AA">
        <w:t xml:space="preserve"> ir kitus nuo jėgos panaudojimo, taip pat vykimą į Šiaurės miestelį, teisiamajame posėdyje nurodė ir liudytojas </w:t>
      </w:r>
      <w:r w:rsidR="00DD1A27" w:rsidRPr="007A31AA">
        <w:t>Z. V.</w:t>
      </w:r>
      <w:r w:rsidRPr="007A31AA">
        <w:t xml:space="preserve">. Jis taip pat nurodė, jog Šiaurės miestelyje tuometinio TSRS VSK Lietuvos padalinį atstovavo </w:t>
      </w:r>
      <w:r w:rsidR="00D37127" w:rsidRPr="007A31AA">
        <w:t>S. C.</w:t>
      </w:r>
      <w:r w:rsidR="00D220F2" w:rsidRPr="007A31AA">
        <w:t xml:space="preserve"> (t. 757, </w:t>
      </w:r>
      <w:r w:rsidRPr="007A31AA">
        <w:t>b. l. 51</w:t>
      </w:r>
      <w:r w:rsidRPr="00C00255">
        <w:t>–</w:t>
      </w:r>
      <w:r w:rsidRPr="007A31AA">
        <w:t>55).</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Teisiamajame posėdyje buvo apklaustas ir liudytojas </w:t>
      </w:r>
      <w:r w:rsidR="00DD1A27" w:rsidRPr="000E2C88">
        <w:rPr>
          <w:rFonts w:eastAsia="Calibri"/>
        </w:rPr>
        <w:t>V. V.</w:t>
      </w:r>
      <w:r w:rsidRPr="000E2C88">
        <w:rPr>
          <w:rFonts w:eastAsia="Calibri"/>
        </w:rPr>
        <w:t xml:space="preserve">, vienas iš TSRS VSK pareigūnų, įvykių metu buvusių Vilniuje įsikūrusiame kariniame Šiaurės miestelyje. Šio liudytojo parodymai taip pat atitinka liudytojo </w:t>
      </w:r>
      <w:r w:rsidR="005A493E" w:rsidRPr="000E2C88">
        <w:rPr>
          <w:rFonts w:eastAsia="Calibri"/>
        </w:rPr>
        <w:t>R. M.</w:t>
      </w:r>
      <w:r w:rsidRPr="000E2C88">
        <w:rPr>
          <w:rFonts w:eastAsia="Calibri"/>
        </w:rPr>
        <w:t xml:space="preserve"> parodymus apie TSRS VSK padalinio „A“, </w:t>
      </w:r>
      <w:r w:rsidR="00C507EF" w:rsidRPr="000E2C88">
        <w:rPr>
          <w:rFonts w:eastAsia="Calibri"/>
        </w:rPr>
        <w:t>J. K.</w:t>
      </w:r>
      <w:r w:rsidRPr="000E2C88">
        <w:rPr>
          <w:rFonts w:eastAsia="Calibri"/>
        </w:rPr>
        <w:t xml:space="preserve"> atvykimą į Vilnių ir </w:t>
      </w:r>
      <w:r w:rsidR="00C507EF" w:rsidRPr="000E2C88">
        <w:rPr>
          <w:rFonts w:eastAsia="Calibri"/>
        </w:rPr>
        <w:t>V. K.</w:t>
      </w:r>
      <w:r w:rsidRPr="000E2C88">
        <w:rPr>
          <w:rFonts w:eastAsia="Calibri"/>
        </w:rPr>
        <w:t xml:space="preserve"> tiesioginį vadovavimą TSRS VSK pajėgoms. Liudytojas </w:t>
      </w:r>
      <w:r w:rsidR="00DD1A27" w:rsidRPr="000E2C88">
        <w:rPr>
          <w:rFonts w:eastAsia="Calibri"/>
        </w:rPr>
        <w:t>V. V.</w:t>
      </w:r>
      <w:r w:rsidRPr="000E2C88">
        <w:rPr>
          <w:rFonts w:eastAsia="Calibri"/>
        </w:rPr>
        <w:t xml:space="preserve">, be kita ko, taip pat nurodė, kad </w:t>
      </w:r>
      <w:r w:rsidR="00C507EF" w:rsidRPr="000E2C88">
        <w:t>J. K.</w:t>
      </w:r>
      <w:r w:rsidRPr="000E2C88">
        <w:t xml:space="preserve"> buvo apsistojęs divizijos štabe ir prieš nagrinėjamus įvykius instruktavo jo skyriaus darbuotojus apie tai, kokie keliami uždaviniai ir kas turi būti vykdoma (liudytojas buvo karinės žvalgybos įgulos vado pavaduotojas). Liudytojo teigimu, TSRS VSK padalinys „A“ buvo tiesiogiai pavaldus VSK pirmininkui </w:t>
      </w:r>
      <w:r w:rsidR="00C507EF" w:rsidRPr="000E2C88">
        <w:t>V. K.</w:t>
      </w:r>
      <w:r w:rsidRPr="000E2C88">
        <w:t xml:space="preserve">. </w:t>
      </w:r>
      <w:r w:rsidR="00C507EF" w:rsidRPr="000E2C88">
        <w:t>V. K.</w:t>
      </w:r>
      <w:r w:rsidRPr="000E2C88">
        <w:t xml:space="preserve"> tokį įsakymą galėjo duoti tik suderinęs su vyriausiuoju vadu </w:t>
      </w:r>
      <w:r w:rsidR="00DD1A27" w:rsidRPr="000E2C88">
        <w:t>M. G.</w:t>
      </w:r>
      <w:r w:rsidRPr="000E2C88">
        <w:t xml:space="preserve"> (t. 757, b. l. 80–84</w:t>
      </w:r>
      <w:r w:rsidRPr="00C00255">
        <w:t>)</w:t>
      </w:r>
      <w:r w:rsidRPr="007A31AA">
        <w:rPr>
          <w:color w:val="000000"/>
        </w:rPr>
        <w:t xml:space="preserve">. </w:t>
      </w:r>
    </w:p>
    <w:p w:rsidR="007A31AA" w:rsidRPr="000E2C88" w:rsidRDefault="0072749F" w:rsidP="007A31AA">
      <w:pPr>
        <w:pStyle w:val="NormalWeb"/>
        <w:numPr>
          <w:ilvl w:val="0"/>
          <w:numId w:val="6"/>
        </w:numPr>
        <w:spacing w:before="120" w:beforeAutospacing="0" w:after="120" w:afterAutospacing="0"/>
        <w:ind w:left="992" w:hanging="992"/>
        <w:rPr>
          <w:rFonts w:eastAsia="Calibri"/>
        </w:rPr>
      </w:pPr>
      <w:r w:rsidRPr="007A31AA">
        <w:rPr>
          <w:color w:val="000000"/>
        </w:rPr>
        <w:t xml:space="preserve">Tokių teisiamajame posėdyje apklaustų liudytojų parodymų apie TSRS VSK vadovo </w:t>
      </w:r>
      <w:r w:rsidR="00C507EF" w:rsidRPr="007A31AA">
        <w:rPr>
          <w:color w:val="000000"/>
        </w:rPr>
        <w:t>V. K.</w:t>
      </w:r>
      <w:r w:rsidRPr="007A31AA">
        <w:rPr>
          <w:color w:val="000000"/>
        </w:rPr>
        <w:t xml:space="preserve"> sprendimą siųsti į Lietuvą TSRS VSK padalinį „A“ kontekste paminėtini ir teisiamajame posėdyje paskelbti bei ištirti TSRS VSK pirmini</w:t>
      </w:r>
      <w:r w:rsidR="001D0506" w:rsidRPr="007A31AA">
        <w:rPr>
          <w:color w:val="000000"/>
        </w:rPr>
        <w:t xml:space="preserve">nko </w:t>
      </w:r>
      <w:r w:rsidR="00C507EF" w:rsidRPr="007A31AA">
        <w:rPr>
          <w:color w:val="000000"/>
        </w:rPr>
        <w:t>V. K.</w:t>
      </w:r>
      <w:r w:rsidR="001D0506" w:rsidRPr="007A31AA">
        <w:rPr>
          <w:color w:val="000000"/>
        </w:rPr>
        <w:t xml:space="preserve"> pavaduotojo F. </w:t>
      </w:r>
      <w:r w:rsidRPr="007A31AA">
        <w:rPr>
          <w:color w:val="000000"/>
        </w:rPr>
        <w:t>B</w:t>
      </w:r>
      <w:r w:rsidR="00D220F2" w:rsidRPr="007A31AA">
        <w:rPr>
          <w:color w:val="000000"/>
        </w:rPr>
        <w:t>.</w:t>
      </w:r>
      <w:r w:rsidRPr="007A31AA">
        <w:rPr>
          <w:color w:val="000000"/>
        </w:rPr>
        <w:t xml:space="preserve"> parodymai, duoti ikiteisminio tyrimo metu, kurie patvirtina ir paaiškina jau minėtų ir teisme apkla</w:t>
      </w:r>
      <w:r w:rsidR="00D220F2" w:rsidRPr="007A31AA">
        <w:rPr>
          <w:color w:val="000000"/>
        </w:rPr>
        <w:t>ustų liudytojų parodymus. Iš F. </w:t>
      </w:r>
      <w:r w:rsidRPr="007A31AA">
        <w:rPr>
          <w:color w:val="000000"/>
        </w:rPr>
        <w:t>B</w:t>
      </w:r>
      <w:r w:rsidR="00D220F2" w:rsidRPr="007A31AA">
        <w:rPr>
          <w:color w:val="000000"/>
        </w:rPr>
        <w:t>.</w:t>
      </w:r>
      <w:r w:rsidRPr="007A31AA">
        <w:rPr>
          <w:color w:val="000000"/>
        </w:rPr>
        <w:t xml:space="preserve"> parodymų matyti, kad TSRS VSK pirmininkas </w:t>
      </w:r>
      <w:r w:rsidR="00C507EF" w:rsidRPr="007A31AA">
        <w:rPr>
          <w:color w:val="000000"/>
        </w:rPr>
        <w:t>V. K.</w:t>
      </w:r>
      <w:r w:rsidRPr="007A31AA">
        <w:rPr>
          <w:color w:val="000000"/>
        </w:rPr>
        <w:t xml:space="preserve"> 1991 m. jam pavedė palaikyti ryšį su LTSR VSK, jis buvo derybų su Lietuvos Respublika delegacijos narys. Dar 1990 m. gruodžio mėn. pradžioje jis su LTSR VSK pirmininku </w:t>
      </w:r>
      <w:r w:rsidR="005A493E" w:rsidRPr="007A31AA">
        <w:rPr>
          <w:color w:val="000000"/>
        </w:rPr>
        <w:t>R. M.</w:t>
      </w:r>
      <w:r w:rsidRPr="007A31AA">
        <w:rPr>
          <w:color w:val="000000"/>
        </w:rPr>
        <w:t xml:space="preserve"> padarė išvadą, kad reali Lietuvos jėga yra Lietuvos Parlamentas bei jį remiančios grupuotės. Dėl to būtina neleisti konfrontuoti, nes galimi sunkūs padariniai. Savo nuomonę jie išsakė TSRS VSK pirmininkui </w:t>
      </w:r>
      <w:r w:rsidR="00C507EF" w:rsidRPr="007A31AA">
        <w:rPr>
          <w:color w:val="000000"/>
        </w:rPr>
        <w:t>V. K.</w:t>
      </w:r>
      <w:r w:rsidRPr="007A31AA">
        <w:rPr>
          <w:color w:val="000000"/>
        </w:rPr>
        <w:t xml:space="preserve">, kuris jiems pritarė. 1991 m. sausio pradžioje padėtis Lietuvoje pablogėjo. Šios situacijos įvertinimu buvo 1991 m. sausio 10 d. TSRS Prezidento kreipimasis į Lietuvos Parlamentą. Tomis dienomis buvo paskelbta apie LNGK įkūrimą, tačiau kas jame buvo, liudytojas nežino. 1991 m. sausio 12-osios pavakaryje iš </w:t>
      </w:r>
      <w:r w:rsidR="00C507EF" w:rsidRPr="007A31AA">
        <w:rPr>
          <w:color w:val="000000"/>
        </w:rPr>
        <w:t>V. K.</w:t>
      </w:r>
      <w:r w:rsidRPr="007A31AA">
        <w:rPr>
          <w:color w:val="000000"/>
        </w:rPr>
        <w:t xml:space="preserve"> sužinojo, kad LNGK rengia protesto akciją, t. y. ketina sukelti vietos darbininkų draugoves. Tai jam patvirtino ir LTSR VSK pirmininko pavaduotojas </w:t>
      </w:r>
      <w:r w:rsidR="00D37127" w:rsidRPr="007A31AA">
        <w:rPr>
          <w:color w:val="000000"/>
        </w:rPr>
        <w:t>S. C.</w:t>
      </w:r>
      <w:r w:rsidRPr="007A31AA">
        <w:rPr>
          <w:color w:val="000000"/>
        </w:rPr>
        <w:t xml:space="preserve">. Kiek vėliau </w:t>
      </w:r>
      <w:r w:rsidR="00C507EF" w:rsidRPr="007A31AA">
        <w:rPr>
          <w:color w:val="000000"/>
        </w:rPr>
        <w:t>V. K.</w:t>
      </w:r>
      <w:r w:rsidR="00D220F2" w:rsidRPr="007A31AA">
        <w:rPr>
          <w:color w:val="000000"/>
        </w:rPr>
        <w:t xml:space="preserve"> nurodė savo pavaduotojui V. </w:t>
      </w:r>
      <w:r w:rsidRPr="007A31AA">
        <w:rPr>
          <w:color w:val="000000"/>
        </w:rPr>
        <w:t>P</w:t>
      </w:r>
      <w:r w:rsidR="00D220F2" w:rsidRPr="007A31AA">
        <w:rPr>
          <w:color w:val="000000"/>
        </w:rPr>
        <w:t>.</w:t>
      </w:r>
      <w:r w:rsidRPr="007A31AA">
        <w:rPr>
          <w:color w:val="000000"/>
        </w:rPr>
        <w:t xml:space="preserve"> siųsti į Vilnių TSRS VSK grupę „A“. Vėlai naktį jis skambino telefonu tuo metu Vilniuje buvusiam </w:t>
      </w:r>
      <w:r w:rsidR="00C507EF" w:rsidRPr="007A31AA">
        <w:rPr>
          <w:color w:val="000000"/>
        </w:rPr>
        <w:t>J. K.</w:t>
      </w:r>
      <w:r w:rsidRPr="007A31AA">
        <w:rPr>
          <w:color w:val="000000"/>
        </w:rPr>
        <w:t>, ir iš jo sužinojo apie galimą pagalbą kariškiams išlaisvinant LRT. Jis pasakė, kad grupė „A“ dalyvauti neturėtų, tačiau šios grupės veiklą kuravo kitas pavaduotojas V. P</w:t>
      </w:r>
      <w:r w:rsidR="00D220F2" w:rsidRPr="007A31AA">
        <w:rPr>
          <w:color w:val="000000"/>
        </w:rPr>
        <w:t>.</w:t>
      </w:r>
      <w:r w:rsidRPr="007A31AA">
        <w:rPr>
          <w:color w:val="000000"/>
        </w:rPr>
        <w:t xml:space="preserve">. Pasak liudytojo, grupė „A“ </w:t>
      </w:r>
      <w:r w:rsidRPr="000E2C88">
        <w:rPr>
          <w:color w:val="000000"/>
        </w:rPr>
        <w:t>galėjo dalyvauti operacijose tik TSRS VSK pirmininkui leidus ir paliepus (t. 192, b. l. 65–70).</w:t>
      </w:r>
    </w:p>
    <w:p w:rsid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Iš 2014 m. birželio 10 d. </w:t>
      </w:r>
      <w:r w:rsidRPr="000E2C88">
        <w:rPr>
          <w:rFonts w:eastAsia="Calibri"/>
          <w:color w:val="000000" w:themeColor="text1"/>
        </w:rPr>
        <w:t xml:space="preserve">specialisto J. Andriškevičiaus išvados (t. 480, b. l. 34–81) matyti, kad TSRS VSK pareigūnai dalyvavo tiek rengiant karinę operaciją, tiek ją įgyvendinant. TSRS VSK atstovai buvo operacijos vadovavimo štabe ir dalyvavo ją planuojant, </w:t>
      </w:r>
      <w:r w:rsidRPr="000E2C88">
        <w:rPr>
          <w:rFonts w:eastAsia="Calibri"/>
        </w:rPr>
        <w:t>o ją įgyvendinant TSRS VSK padaliniui „A“ buvo skirtos ne papildomos ar pagalbinės, o pagrindinės užduotys („padalinio „A“ operacijų veiksmų aprūpinimui ir pagrindinių jėgos užduočių vykdymui buvo numatyta pasitelkti GM pavaldžius kartinius vienetus iš Oro desanto ir Sausumos pajėgų Pabaltijo karinės apygardos dalinių“ (t. 480, b. l. 36</w:t>
      </w:r>
      <w:r w:rsidRPr="007A31AA">
        <w:rPr>
          <w:rFonts w:eastAsia="Calibri"/>
        </w:rPr>
        <w:t xml:space="preserve">)). </w:t>
      </w:r>
    </w:p>
    <w:p w:rsidR="007A31AA" w:rsidRDefault="0072749F" w:rsidP="007A31AA">
      <w:pPr>
        <w:pStyle w:val="NormalWeb"/>
        <w:numPr>
          <w:ilvl w:val="1"/>
          <w:numId w:val="6"/>
        </w:numPr>
        <w:spacing w:before="120" w:beforeAutospacing="0" w:after="120" w:afterAutospacing="0"/>
        <w:ind w:left="992" w:hanging="992"/>
        <w:rPr>
          <w:rFonts w:eastAsia="Calibri"/>
        </w:rPr>
      </w:pPr>
      <w:r w:rsidRPr="000E2C88">
        <w:rPr>
          <w:rFonts w:eastAsia="Calibri"/>
        </w:rPr>
        <w:t xml:space="preserve">Specialistas, kaip ir byloje apklausti liudytojai, nurodė, kad TSRS VSK padalinio „A“ dalyvavimą buvo bandoma nuslėpti. Byloje esančiuose ir TSRS VSK pirmininko </w:t>
      </w:r>
      <w:r w:rsidR="00C507EF" w:rsidRPr="000E2C88">
        <w:rPr>
          <w:rFonts w:eastAsia="Calibri"/>
        </w:rPr>
        <w:t>V. K.</w:t>
      </w:r>
      <w:r w:rsidRPr="000E2C88">
        <w:rPr>
          <w:rFonts w:eastAsia="Calibri"/>
        </w:rPr>
        <w:t xml:space="preserve"> pasirašytuose dokumentuose, liudijančiuose apie šio padalinio perdislokavimą (TSRS VSK pirmininko J. K</w:t>
      </w:r>
      <w:r w:rsidR="00D220F2" w:rsidRPr="000E2C88">
        <w:rPr>
          <w:rFonts w:eastAsia="Calibri"/>
        </w:rPr>
        <w:t>.</w:t>
      </w:r>
      <w:r w:rsidRPr="000E2C88">
        <w:rPr>
          <w:rFonts w:eastAsia="Calibri"/>
        </w:rPr>
        <w:t xml:space="preserve"> 1991 m. vasario 18 d. raštas (t. 115, b. l. 265</w:t>
      </w:r>
      <w:r w:rsidRPr="000E2C88">
        <w:t>–</w:t>
      </w:r>
      <w:r w:rsidRPr="000E2C88">
        <w:rPr>
          <w:rFonts w:eastAsia="Calibri"/>
        </w:rPr>
        <w:t>268; t. 428, b. l. 225</w:t>
      </w:r>
      <w:r w:rsidRPr="000E2C88">
        <w:t>–</w:t>
      </w:r>
      <w:r w:rsidRPr="000E2C88">
        <w:rPr>
          <w:rFonts w:eastAsia="Calibri"/>
        </w:rPr>
        <w:t>226) ir 1991 m. rugpjūčio 5 d. raštas (t. 115, b. l. 274</w:t>
      </w:r>
      <w:r w:rsidRPr="000E2C88">
        <w:t>–</w:t>
      </w:r>
      <w:r w:rsidRPr="000E2C88">
        <w:rPr>
          <w:rFonts w:eastAsia="Calibri"/>
        </w:rPr>
        <w:t>275; t. 428, b. l. 231</w:t>
      </w:r>
      <w:r w:rsidRPr="000E2C88">
        <w:t>–</w:t>
      </w:r>
      <w:r w:rsidRPr="000E2C88">
        <w:rPr>
          <w:rFonts w:eastAsia="Calibri"/>
        </w:rPr>
        <w:t>232)), buvo siekiama sumažinti į Vilnių perdislokuotų pareigūnų skaičių, nuslėpti tikrąją šio dalinio ginkluotę ir pan., tačiau šio padalinio dalyvavimas, nepaisant tokių bandymų, nenuginčytinas ir tai matyti iš byloje užfiksuotų objektyvių duomenų (vaizdo įrašų ir foto nuotraukų, radijo ryšio garso įrašų, dokumentų ir kt.)</w:t>
      </w:r>
      <w:r w:rsidRPr="007A31AA">
        <w:rPr>
          <w:rFonts w:eastAsia="Calibri"/>
        </w:rPr>
        <w:t xml:space="preserve">. </w:t>
      </w:r>
    </w:p>
    <w:p w:rsidR="007A31AA" w:rsidRDefault="0072749F" w:rsidP="007A31AA">
      <w:pPr>
        <w:pStyle w:val="NormalWeb"/>
        <w:numPr>
          <w:ilvl w:val="1"/>
          <w:numId w:val="6"/>
        </w:numPr>
        <w:spacing w:before="120" w:beforeAutospacing="0" w:after="120" w:afterAutospacing="0"/>
        <w:ind w:left="992" w:hanging="992"/>
        <w:rPr>
          <w:rFonts w:eastAsia="Calibri"/>
        </w:rPr>
      </w:pPr>
      <w:r w:rsidRPr="000E2C88">
        <w:rPr>
          <w:rFonts w:eastAsia="Calibri"/>
        </w:rPr>
        <w:t xml:space="preserve">Specialistas J. Andriškevičius, analizuodamas jau minėtus </w:t>
      </w:r>
      <w:r w:rsidR="00C507EF" w:rsidRPr="000E2C88">
        <w:rPr>
          <w:rFonts w:eastAsia="Calibri"/>
        </w:rPr>
        <w:t>V. K.</w:t>
      </w:r>
      <w:r w:rsidRPr="000E2C88">
        <w:rPr>
          <w:rFonts w:eastAsia="Calibri"/>
        </w:rPr>
        <w:t xml:space="preserve"> pasirašytus dokumentus, lygino juos su kitais byloje esančiais dokumentais (pvz., </w:t>
      </w:r>
      <w:r w:rsidR="00385BC9" w:rsidRPr="000E2C88">
        <w:rPr>
          <w:rFonts w:eastAsia="Calibri"/>
        </w:rPr>
        <w:t>M. G.</w:t>
      </w:r>
      <w:r w:rsidR="00D220F2" w:rsidRPr="000E2C88">
        <w:rPr>
          <w:rFonts w:eastAsia="Calibri"/>
        </w:rPr>
        <w:t xml:space="preserve"> pasirašytu dokumentu (t. 192, </w:t>
      </w:r>
      <w:r w:rsidRPr="000E2C88">
        <w:rPr>
          <w:rFonts w:eastAsia="Calibri"/>
        </w:rPr>
        <w:t>b. l. 206</w:t>
      </w:r>
      <w:r w:rsidRPr="000E2C88">
        <w:t>–</w:t>
      </w:r>
      <w:r w:rsidRPr="000E2C88">
        <w:rPr>
          <w:rFonts w:eastAsia="Calibri"/>
        </w:rPr>
        <w:t xml:space="preserve">222)), analizavo juos kartu ir vertino pagal byloje surinktą vaizdo medžiagą. Specialistas aiškiai paneigė </w:t>
      </w:r>
      <w:r w:rsidR="00C507EF" w:rsidRPr="000E2C88">
        <w:rPr>
          <w:rFonts w:eastAsia="Calibri"/>
        </w:rPr>
        <w:t>V. K.</w:t>
      </w:r>
      <w:r w:rsidRPr="000E2C88">
        <w:rPr>
          <w:rFonts w:eastAsia="Calibri"/>
        </w:rPr>
        <w:t xml:space="preserve"> teiginius apie vos kelis į Lietuvą komandiruotus TSRS VSK darbuotojus ir nurodė, jog „byloje surinkta video ir foto medžiaga &lt;...&gt; leidžia daryti išvadas, kad VSK kariškių skaičius gali atitikti </w:t>
      </w:r>
      <w:r w:rsidR="00385BC9" w:rsidRPr="000E2C88">
        <w:rPr>
          <w:rFonts w:eastAsia="Calibri"/>
        </w:rPr>
        <w:t>M. G.</w:t>
      </w:r>
      <w:r w:rsidRPr="000E2C88">
        <w:rPr>
          <w:rFonts w:eastAsia="Calibri"/>
        </w:rPr>
        <w:t xml:space="preserve"> ataskaitoje Rusijos prokuratūrai nurodytą operatyvinių grupių ir asmenų, kurie dalyvavo užimant Lietuvos Respublikos svarbius objektus, skaičių, t. y. apie 66 VSK „A“ kariškius“ (t. 480, b. l. 3</w:t>
      </w:r>
      <w:r w:rsidRPr="007A31AA">
        <w:rPr>
          <w:rFonts w:eastAsia="Calibri"/>
        </w:rPr>
        <w:t xml:space="preserve">7). </w:t>
      </w:r>
    </w:p>
    <w:p w:rsidR="007A31AA" w:rsidRDefault="0072749F" w:rsidP="007A31AA">
      <w:pPr>
        <w:pStyle w:val="NormalWeb"/>
        <w:numPr>
          <w:ilvl w:val="1"/>
          <w:numId w:val="6"/>
        </w:numPr>
        <w:spacing w:before="120" w:beforeAutospacing="0" w:after="120" w:afterAutospacing="0"/>
        <w:ind w:left="992" w:hanging="992"/>
        <w:rPr>
          <w:rFonts w:eastAsia="Calibri"/>
        </w:rPr>
      </w:pPr>
      <w:r w:rsidRPr="000E2C88">
        <w:rPr>
          <w:rFonts w:eastAsia="Calibri"/>
        </w:rPr>
        <w:t>Analizuodamas byloje esančius vaizdo įrašus ir foto nuotraukas, o taip pat objektyvius duomenis apie rastus šaudmenis, specialistas pripažino, kad tik dalis TSRS VSK pareigūnų nurodomos informacijos apie ginkluotę atitinka tikrovę. Teiginiai, kad VSK „A“ kariškiai naudojo tik imitacinius 5,45 mm kalibro šaudmenis neatitinka tikrovės, nes iš byloje esančių įrašų matyti priešingai (pvz., matyti, kaip VSK „A“ kariškis pro 9 aukštų LRT pastato tambūro kolonas šaudo koviniais šoviniais (t. 480, b. l. 38</w:t>
      </w:r>
      <w:r w:rsidRPr="007A31AA">
        <w:rPr>
          <w:rFonts w:eastAsia="Calibri"/>
        </w:rPr>
        <w:t xml:space="preserve">)).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Tokie specialisto vertinimai, analizuojant byloje esančią vaizdinę medžiagą, paneigia gynybos argumentus apie įrodymų vertinimo pažeidimus analizuojant </w:t>
      </w:r>
      <w:r w:rsidR="00385BC9" w:rsidRPr="000E2C88">
        <w:rPr>
          <w:rFonts w:eastAsia="Calibri"/>
        </w:rPr>
        <w:t>M. G.</w:t>
      </w:r>
      <w:r w:rsidRPr="000E2C88">
        <w:rPr>
          <w:rFonts w:eastAsia="Calibri"/>
        </w:rPr>
        <w:t xml:space="preserve"> ar kitų panašų statusą turinčių TSRS VSK pareigūnų (</w:t>
      </w:r>
      <w:r w:rsidR="00C507EF" w:rsidRPr="000E2C88">
        <w:rPr>
          <w:rFonts w:eastAsia="Calibri"/>
        </w:rPr>
        <w:t>V. K.</w:t>
      </w:r>
      <w:r w:rsidRPr="000E2C88">
        <w:rPr>
          <w:rFonts w:eastAsia="Calibri"/>
        </w:rPr>
        <w:t xml:space="preserve">, </w:t>
      </w:r>
      <w:r w:rsidR="00C507EF" w:rsidRPr="000E2C88">
        <w:rPr>
          <w:rFonts w:eastAsia="Calibri"/>
        </w:rPr>
        <w:t>J. K.</w:t>
      </w:r>
      <w:r w:rsidRPr="000E2C88">
        <w:rPr>
          <w:rFonts w:eastAsia="Calibri"/>
        </w:rPr>
        <w:t xml:space="preserve">, </w:t>
      </w:r>
      <w:r w:rsidR="00D37127" w:rsidRPr="000E2C88">
        <w:rPr>
          <w:rFonts w:eastAsia="Calibri"/>
        </w:rPr>
        <w:t>S. C.</w:t>
      </w:r>
      <w:r w:rsidRPr="000E2C88">
        <w:rPr>
          <w:rFonts w:eastAsia="Calibri"/>
        </w:rPr>
        <w:t xml:space="preserve"> ir kt.) pasirašytus dokumentus, nes pastarieji gali būti vertinami visų byloje surinktų duomenų kontekste ir kaip bet kurie kiti daiktai ar dokumentai, svarbūs tiriant nusikalstamos veikos aplinkybes, gali būti pripažįstami įrodymais. Teismų praktikoje pripažįstama, kad </w:t>
      </w:r>
      <w:r w:rsidRPr="000E2C88">
        <w:t xml:space="preserve">baudžiamojon atsakomybėn </w:t>
      </w:r>
      <w:r w:rsidRPr="000E2C88">
        <w:rPr>
          <w:rFonts w:eastAsia="Calibri"/>
        </w:rPr>
        <w:t>t</w:t>
      </w:r>
      <w:r w:rsidRPr="000E2C88">
        <w:t>raukiamo asmens surašyti dokumentai baudžiamojoje byloje paprastai pripažįstami</w:t>
      </w:r>
      <w:r w:rsidR="00D220F2" w:rsidRPr="000E2C88">
        <w:t xml:space="preserve"> įrodymais (BPK 96 straipsnio 1 </w:t>
      </w:r>
      <w:r w:rsidRPr="000E2C88">
        <w:t xml:space="preserve">dalies 3 punkte numatyta dokumentų rūšis), tačiau įrodymu negali būti laikomi raštai, gauti kaip įtariamojo ar kaltinamojo apklausos protokolo pakaitalas (LAT 2013 m. rugsėjo 24 d. nutartis </w:t>
      </w:r>
      <w:bookmarkStart w:id="241" w:name="_Hlk67936204"/>
      <w:r w:rsidR="00671CA0" w:rsidRPr="000E2C88">
        <w:t>baudžiamojoje</w:t>
      </w:r>
      <w:bookmarkEnd w:id="241"/>
      <w:r w:rsidR="00671CA0" w:rsidRPr="000E2C88">
        <w:t xml:space="preserve"> </w:t>
      </w:r>
      <w:r w:rsidRPr="000E2C88">
        <w:t>byloje Nr. 2K-350/2013); dokumentai, kuriuose užfiksuota informacija gali padėti nustatyti su nusikalstama veika susijusias aplinkybes, atitinka BPK 95, 96 straipsniuose apibūdintų dokumentų, turinčių reikšmės nusikalstamai veikai tirti ir nagrinėti, požymius, todėl tiriami ir vertinami kaip ir kiti byloje esant</w:t>
      </w:r>
      <w:r w:rsidR="00D220F2" w:rsidRPr="000E2C88">
        <w:t>ys įrodymai (L</w:t>
      </w:r>
      <w:r w:rsidR="007A31AA" w:rsidRPr="000E2C88">
        <w:t>AT </w:t>
      </w:r>
      <w:r w:rsidR="00D220F2" w:rsidRPr="000E2C88">
        <w:t>2020 m. liepos 9 </w:t>
      </w:r>
      <w:r w:rsidRPr="000E2C88">
        <w:t xml:space="preserve">d. nutartis </w:t>
      </w:r>
      <w:r w:rsidR="00671CA0" w:rsidRPr="000E2C88">
        <w:t xml:space="preserve">baudžiamojoje </w:t>
      </w:r>
      <w:r w:rsidRPr="000E2C88">
        <w:t>byloje Nr. 2K-89-689/2020</w:t>
      </w:r>
      <w:r w:rsidRPr="007A31AA">
        <w:rPr>
          <w:color w:val="000000"/>
          <w:shd w:val="clear" w:color="auto" w:fill="FFFFFF"/>
        </w:rPr>
        <w:t>).</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rPr>
          <w:color w:val="000000"/>
        </w:rPr>
        <w:t xml:space="preserve">Nuteistasis </w:t>
      </w:r>
      <w:r w:rsidR="00385BC9" w:rsidRPr="007A31AA">
        <w:rPr>
          <w:color w:val="000000"/>
        </w:rPr>
        <w:t>M. G.</w:t>
      </w:r>
      <w:r w:rsidRPr="007A31AA">
        <w:rPr>
          <w:color w:val="000000"/>
        </w:rPr>
        <w:t xml:space="preserve"> </w:t>
      </w:r>
      <w:r w:rsidRPr="00C00255">
        <w:t>parodymų</w:t>
      </w:r>
      <w:r w:rsidRPr="007A31AA" w:rsidDel="00B97DD8">
        <w:rPr>
          <w:color w:val="000000"/>
        </w:rPr>
        <w:t xml:space="preserve"> </w:t>
      </w:r>
      <w:r w:rsidRPr="007A31AA">
        <w:rPr>
          <w:color w:val="000000"/>
        </w:rPr>
        <w:t>dėl Sausio įvykių b</w:t>
      </w:r>
      <w:r w:rsidRPr="00C00255">
        <w:t xml:space="preserve">yloje tiesiogiai nėra davęs, tačiau apie jo dalyvavimą planuojant karinę operaciją, vadovavimą jai ir tiesioginį dalyvavimą joje, visų kitų įrodymų kontekste, galima spręsti iš byloje surinktų dokumentų ir juose esančių </w:t>
      </w:r>
      <w:r w:rsidR="00385BC9">
        <w:t>M. G.</w:t>
      </w:r>
      <w:r w:rsidRPr="00C00255">
        <w:t xml:space="preserve"> paaiškinimų, kurie vertinant tokių paaiškinimų pateikimo</w:t>
      </w:r>
      <w:r w:rsidR="0064599E" w:rsidRPr="00C00255">
        <w:t xml:space="preserve"> aplinkybes, pavy</w:t>
      </w:r>
      <w:r w:rsidRPr="00C00255">
        <w:t>z</w:t>
      </w:r>
      <w:r w:rsidR="0064599E" w:rsidRPr="00C00255">
        <w:t>džiui,</w:t>
      </w:r>
      <w:r w:rsidRPr="00C00255">
        <w:t xml:space="preserve"> laiką, vietą ir kontekstą, niekaip negali būti vertinami kaip jo apklausos atliekant baudžiamąjį persekiojimą atitikmuo. </w:t>
      </w:r>
    </w:p>
    <w:p w:rsidR="007A31AA" w:rsidRPr="007A31AA" w:rsidRDefault="0072749F" w:rsidP="007A31AA">
      <w:pPr>
        <w:pStyle w:val="NormalWeb"/>
        <w:numPr>
          <w:ilvl w:val="1"/>
          <w:numId w:val="6"/>
        </w:numPr>
        <w:spacing w:before="120" w:beforeAutospacing="0" w:after="120" w:afterAutospacing="0"/>
        <w:ind w:left="992" w:hanging="992"/>
        <w:rPr>
          <w:rFonts w:eastAsia="Calibri"/>
        </w:rPr>
      </w:pPr>
      <w:r w:rsidRPr="007A31AA">
        <w:rPr>
          <w:color w:val="000000"/>
        </w:rPr>
        <w:t xml:space="preserve">1991 m. rugsėjo 20 d. prokuroras </w:t>
      </w:r>
      <w:r w:rsidR="00660130" w:rsidRPr="007A31AA">
        <w:rPr>
          <w:bCs/>
          <w:color w:val="000000"/>
        </w:rPr>
        <w:t>J. </w:t>
      </w:r>
      <w:r w:rsidRPr="007A31AA">
        <w:rPr>
          <w:bCs/>
          <w:color w:val="000000"/>
        </w:rPr>
        <w:t>G</w:t>
      </w:r>
      <w:r w:rsidR="00660130" w:rsidRPr="007A31AA">
        <w:rPr>
          <w:bCs/>
          <w:color w:val="000000"/>
        </w:rPr>
        <w:t>.</w:t>
      </w:r>
      <w:r w:rsidRPr="007A31AA">
        <w:rPr>
          <w:color w:val="000000"/>
        </w:rPr>
        <w:t xml:space="preserve"> buvo susitikęs su RTFSR deputatais, kurie negali būti vertinami kaip baudžiamąjį persekiojimą atliekantys pareigūnai, TSRS Prezidento </w:t>
      </w:r>
      <w:r w:rsidR="00DD1A27" w:rsidRPr="007A31AA">
        <w:rPr>
          <w:color w:val="000000"/>
        </w:rPr>
        <w:t>M. G.</w:t>
      </w:r>
      <w:r w:rsidRPr="007A31AA">
        <w:rPr>
          <w:color w:val="000000"/>
        </w:rPr>
        <w:t xml:space="preserve"> įsaku tyrusiais TSRS VSK vaidmenį puče, t. y. ne įvykius Lietuvoje, ir šio susitikimo metu gavo </w:t>
      </w:r>
      <w:r w:rsidR="00385BC9" w:rsidRPr="007A31AA">
        <w:rPr>
          <w:color w:val="000000"/>
        </w:rPr>
        <w:t>M. G.</w:t>
      </w:r>
      <w:r w:rsidRPr="007A31AA">
        <w:rPr>
          <w:color w:val="000000"/>
        </w:rPr>
        <w:t xml:space="preserve"> paaiškinimus TSRS deputatams bei 1991 m. sausio mėnesį </w:t>
      </w:r>
      <w:r w:rsidR="00385BC9" w:rsidRPr="007A31AA">
        <w:rPr>
          <w:color w:val="000000"/>
        </w:rPr>
        <w:t>M. G.</w:t>
      </w:r>
      <w:r w:rsidRPr="007A31AA">
        <w:rPr>
          <w:color w:val="000000"/>
        </w:rPr>
        <w:t xml:space="preserve"> paruoštos pažymos apie TSRS VSK grupės „A“ komandiruotės Vilniuje rezultatus kopiją (t. 192, b. l. 11).  </w:t>
      </w:r>
    </w:p>
    <w:p w:rsidR="007A31AA" w:rsidRPr="007A31AA" w:rsidRDefault="0072749F" w:rsidP="007A31AA">
      <w:pPr>
        <w:pStyle w:val="NormalWeb"/>
        <w:numPr>
          <w:ilvl w:val="2"/>
          <w:numId w:val="6"/>
        </w:numPr>
        <w:spacing w:before="120" w:beforeAutospacing="0" w:after="120" w:afterAutospacing="0"/>
        <w:ind w:left="992" w:hanging="992"/>
        <w:rPr>
          <w:rFonts w:eastAsia="Calibri"/>
        </w:rPr>
      </w:pPr>
      <w:r w:rsidRPr="007A31AA">
        <w:rPr>
          <w:bCs/>
          <w:color w:val="000000"/>
        </w:rPr>
        <w:t xml:space="preserve">Iš </w:t>
      </w:r>
      <w:r w:rsidR="00385BC9" w:rsidRPr="007A31AA">
        <w:rPr>
          <w:bCs/>
          <w:color w:val="000000"/>
        </w:rPr>
        <w:t>M. G.</w:t>
      </w:r>
      <w:r w:rsidRPr="007A31AA">
        <w:rPr>
          <w:bCs/>
          <w:color w:val="000000"/>
        </w:rPr>
        <w:t xml:space="preserve"> paaiškinimų, duotų RTFSR Aukščiausiosios Tarybos komisijai TSRS VSK veiklai tirti, be kita ko, matyti, jog jis per kelis TSRS VSK pareigūnus gavo įsakymą vykti į komandiruotę Vilniuje, kur turėjo ištirti situaciją mieste ir nustatyti čia esančius svarbius objektus. Į Vilnių jis išskrido naktį iš 1991 m. sausio 5 d. į 6 d., o či</w:t>
      </w:r>
      <w:r w:rsidR="00D220F2" w:rsidRPr="007A31AA">
        <w:rPr>
          <w:bCs/>
          <w:color w:val="000000"/>
        </w:rPr>
        <w:t>a atvykęs susitiko su LTSR </w:t>
      </w:r>
      <w:r w:rsidRPr="007A31AA">
        <w:rPr>
          <w:bCs/>
          <w:color w:val="000000"/>
        </w:rPr>
        <w:t xml:space="preserve">VSK pirmininko pavaduotoju </w:t>
      </w:r>
      <w:r w:rsidR="00D37127" w:rsidRPr="007A31AA">
        <w:rPr>
          <w:bCs/>
          <w:color w:val="000000"/>
        </w:rPr>
        <w:t>S. C.</w:t>
      </w:r>
      <w:r w:rsidRPr="007A31AA">
        <w:rPr>
          <w:bCs/>
          <w:color w:val="000000"/>
        </w:rPr>
        <w:t xml:space="preserve">. Iš pradžių buvo planuojama operaciją vykdyti po dviejų savaičių, tačiau situacija pradėjo labai sparčiai vystytis ir ją reikėjo pradėti anksčiau. 1991 m. sausio 11 d. jau buvo numatyti uždaviniai užimti TV centrą. Buvo siekiama išlaisvinti televiziją ir sudaryti sąlygas transliuoti laidas dviem kalbomis. Savo paaiškinimuose </w:t>
      </w:r>
      <w:r w:rsidR="00385BC9" w:rsidRPr="007A31AA">
        <w:rPr>
          <w:bCs/>
          <w:color w:val="000000"/>
        </w:rPr>
        <w:t>M. G.</w:t>
      </w:r>
      <w:r w:rsidRPr="007A31AA">
        <w:rPr>
          <w:bCs/>
          <w:color w:val="000000"/>
        </w:rPr>
        <w:t xml:space="preserve"> taip pat nurodė, kad kiekvienai operacijai buvo ruošiamasi, į</w:t>
      </w:r>
      <w:r w:rsidRPr="007A31AA">
        <w:rPr>
          <w:color w:val="000000"/>
        </w:rPr>
        <w:t xml:space="preserve"> kiekvieną operaciją įtraukiami žmonės iš VSK, VRM ir GM, t. y. iš tų žinybų, kurios veiks. 1991 m. sausio 11–13 dienomis jau buvo sukurtas Lietuvos gelbėjimo komitetas, kurio nariais buvo </w:t>
      </w:r>
      <w:r w:rsidR="00C507EF" w:rsidRPr="007A31AA">
        <w:rPr>
          <w:color w:val="000000"/>
        </w:rPr>
        <w:t>M. B.</w:t>
      </w:r>
      <w:r w:rsidRPr="007A31AA">
        <w:rPr>
          <w:color w:val="000000"/>
        </w:rPr>
        <w:t xml:space="preserve">, </w:t>
      </w:r>
      <w:r w:rsidR="00385BC9" w:rsidRPr="007A31AA">
        <w:rPr>
          <w:color w:val="000000"/>
        </w:rPr>
        <w:t xml:space="preserve">V. Š. 1 </w:t>
      </w:r>
      <w:r w:rsidRPr="007A31AA">
        <w:rPr>
          <w:color w:val="000000"/>
        </w:rPr>
        <w:t xml:space="preserve">ir </w:t>
      </w:r>
      <w:r w:rsidR="00385BC9" w:rsidRPr="007A31AA">
        <w:rPr>
          <w:color w:val="000000"/>
        </w:rPr>
        <w:t>A. N. 1</w:t>
      </w:r>
      <w:r w:rsidRPr="007A31AA">
        <w:rPr>
          <w:color w:val="000000"/>
        </w:rPr>
        <w:t xml:space="preserve"> bei kiti LKP nariai. Vilniuje buvo TSRS gynybos ministro pavaduotojas </w:t>
      </w:r>
      <w:r w:rsidR="00C507EF" w:rsidRPr="007A31AA">
        <w:rPr>
          <w:color w:val="000000"/>
        </w:rPr>
        <w:t>V. A.</w:t>
      </w:r>
      <w:r w:rsidRPr="007A31AA">
        <w:rPr>
          <w:color w:val="000000"/>
        </w:rPr>
        <w:t xml:space="preserve">, Pabaltijo karinės apygardos vado pavaduotojas generolas majoras </w:t>
      </w:r>
      <w:r w:rsidR="00C507EF" w:rsidRPr="007A31AA">
        <w:rPr>
          <w:color w:val="000000"/>
        </w:rPr>
        <w:t>V. O.</w:t>
      </w:r>
      <w:r w:rsidRPr="007A31AA">
        <w:rPr>
          <w:color w:val="000000"/>
        </w:rPr>
        <w:t xml:space="preserve">, iš VRM pusės VRM kariuomenės veiklą kuravo TSRS VRM ministro pavaduotojas </w:t>
      </w:r>
      <w:r w:rsidR="00385BC9" w:rsidRPr="007A31AA">
        <w:rPr>
          <w:color w:val="000000"/>
        </w:rPr>
        <w:t>N. D.</w:t>
      </w:r>
      <w:r w:rsidRPr="007A31AA">
        <w:rPr>
          <w:color w:val="000000"/>
        </w:rPr>
        <w:t xml:space="preserve">, iš Lietuvos VSK – pirmininko pavaduotojas </w:t>
      </w:r>
      <w:r w:rsidR="00D37127" w:rsidRPr="007A31AA">
        <w:rPr>
          <w:color w:val="000000"/>
        </w:rPr>
        <w:t>S. C.</w:t>
      </w:r>
      <w:r w:rsidRPr="007A31AA">
        <w:rPr>
          <w:color w:val="000000"/>
        </w:rPr>
        <w:t xml:space="preserve"> ir pirmininkas (nepamena pavardės). Iš Maskvos buvo – </w:t>
      </w:r>
      <w:r w:rsidR="00C507EF" w:rsidRPr="007A31AA">
        <w:rPr>
          <w:color w:val="000000"/>
        </w:rPr>
        <w:t>J. K.</w:t>
      </w:r>
      <w:r w:rsidRPr="007A31AA">
        <w:rPr>
          <w:color w:val="000000"/>
        </w:rPr>
        <w:t xml:space="preserve"> – 3-osios Vyriausiosios valdybos viršininko pavaduotojas (nuo kariškių), </w:t>
      </w:r>
      <w:r w:rsidR="00DD1A27" w:rsidRPr="007A31AA">
        <w:rPr>
          <w:color w:val="000000"/>
        </w:rPr>
        <w:t>I. F.</w:t>
      </w:r>
      <w:r w:rsidRPr="007A31AA">
        <w:rPr>
          <w:color w:val="000000"/>
        </w:rPr>
        <w:t xml:space="preserve"> – „Z“ valdybos viršininko pavaduotojas. Pagal susidariusią situaciją reikėjo daugiau pajėgų, todėl apie tai jis </w:t>
      </w:r>
      <w:r w:rsidR="00D220F2" w:rsidRPr="007A31AA">
        <w:rPr>
          <w:color w:val="000000"/>
        </w:rPr>
        <w:t>pranešė Maskvoje esančiam J. M. </w:t>
      </w:r>
      <w:r w:rsidRPr="007A31AA">
        <w:rPr>
          <w:color w:val="000000"/>
        </w:rPr>
        <w:t>R</w:t>
      </w:r>
      <w:r w:rsidR="00D220F2" w:rsidRPr="007A31AA">
        <w:rPr>
          <w:color w:val="000000"/>
        </w:rPr>
        <w:t>.</w:t>
      </w:r>
      <w:r w:rsidRPr="007A31AA">
        <w:rPr>
          <w:color w:val="000000"/>
        </w:rPr>
        <w:t xml:space="preserve">, po ko 1991 m. sausio 11 d. 22 val. į Vilnių buvo atsiųsti du lėktuvai su 64 TSRS VSK pareigūnais ir dviem tarnybiniais šunimis. Pareigūnams buvo nurodyta atlaisvinti TV centrą ir leisti ten dirbti naujiems žmonėms. Jų veiksmai buvo koordinuoti, TSRS GM ir VRM kariškiai turėjo užtikrinti prieigą prie objektų, jie turėjo visų pastatų aukštų planus. Papasakodamas apie Vilniuje veikusį štabą, </w:t>
      </w:r>
      <w:r w:rsidR="00385BC9" w:rsidRPr="007A31AA">
        <w:rPr>
          <w:color w:val="000000"/>
        </w:rPr>
        <w:t>M. G.</w:t>
      </w:r>
      <w:r w:rsidRPr="007A31AA">
        <w:rPr>
          <w:color w:val="000000"/>
        </w:rPr>
        <w:t xml:space="preserve"> nurodė, kad štabas buvo kabinete, kuriame įsikūrė gynybos ministro pavaduotojas </w:t>
      </w:r>
      <w:r w:rsidR="00C507EF" w:rsidRPr="007A31AA">
        <w:rPr>
          <w:color w:val="000000"/>
        </w:rPr>
        <w:t>V. A.</w:t>
      </w:r>
      <w:r w:rsidRPr="007A31AA">
        <w:rPr>
          <w:color w:val="000000"/>
        </w:rPr>
        <w:t xml:space="preserve">, ten pat buvo </w:t>
      </w:r>
      <w:r w:rsidR="00385BC9" w:rsidRPr="007A31AA">
        <w:rPr>
          <w:color w:val="000000"/>
        </w:rPr>
        <w:t>A. N. 1</w:t>
      </w:r>
      <w:r w:rsidRPr="007A31AA">
        <w:rPr>
          <w:color w:val="000000"/>
        </w:rPr>
        <w:t xml:space="preserve">, </w:t>
      </w:r>
      <w:r w:rsidR="00385BC9" w:rsidRPr="007A31AA">
        <w:rPr>
          <w:color w:val="000000"/>
        </w:rPr>
        <w:t xml:space="preserve">V. Š. 1 </w:t>
      </w:r>
      <w:r w:rsidRPr="007A31AA">
        <w:rPr>
          <w:color w:val="000000"/>
        </w:rPr>
        <w:t xml:space="preserve">ir </w:t>
      </w:r>
      <w:r w:rsidR="00C507EF" w:rsidRPr="007A31AA">
        <w:rPr>
          <w:color w:val="000000"/>
        </w:rPr>
        <w:t>M. B.</w:t>
      </w:r>
      <w:r w:rsidRPr="007A31AA">
        <w:rPr>
          <w:color w:val="000000"/>
        </w:rPr>
        <w:t xml:space="preserve">. Operacijos metu </w:t>
      </w:r>
      <w:r w:rsidR="00385BC9" w:rsidRPr="007A31AA">
        <w:rPr>
          <w:color w:val="000000"/>
        </w:rPr>
        <w:t>M. G.</w:t>
      </w:r>
      <w:r w:rsidRPr="007A31AA">
        <w:rPr>
          <w:color w:val="000000"/>
        </w:rPr>
        <w:t xml:space="preserve"> buvo operatyviniame VSK grupės pavaldume ir klausė jų nurodymų. Analogiškoje padėtyje buvo </w:t>
      </w:r>
      <w:r w:rsidR="00C507EF" w:rsidRPr="007A31AA">
        <w:rPr>
          <w:color w:val="000000"/>
        </w:rPr>
        <w:t>J. K.</w:t>
      </w:r>
      <w:r w:rsidRPr="007A31AA">
        <w:rPr>
          <w:color w:val="000000"/>
        </w:rPr>
        <w:t xml:space="preserve">, </w:t>
      </w:r>
      <w:r w:rsidR="00DD1A27" w:rsidRPr="007A31AA">
        <w:rPr>
          <w:color w:val="000000"/>
        </w:rPr>
        <w:t>I. F.</w:t>
      </w:r>
      <w:r w:rsidRPr="007A31AA">
        <w:rPr>
          <w:color w:val="000000"/>
        </w:rPr>
        <w:t xml:space="preserve"> ir </w:t>
      </w:r>
      <w:r w:rsidR="00D37127" w:rsidRPr="007A31AA">
        <w:rPr>
          <w:color w:val="000000"/>
        </w:rPr>
        <w:t>S. C.</w:t>
      </w:r>
      <w:r w:rsidRPr="007A31AA">
        <w:rPr>
          <w:color w:val="000000"/>
        </w:rPr>
        <w:t xml:space="preserve">. Visi buvo pavaldūs vyriausiajam operatyviniam viršininkui, kuriuo buvo </w:t>
      </w:r>
      <w:r w:rsidR="00D37127" w:rsidRPr="007A31AA">
        <w:rPr>
          <w:color w:val="000000"/>
        </w:rPr>
        <w:t>S. C.</w:t>
      </w:r>
      <w:r w:rsidRPr="007A31AA">
        <w:rPr>
          <w:color w:val="000000"/>
        </w:rPr>
        <w:t xml:space="preserve">. Tačiau kur bebūtų minėta grupė, jie vykdo tik TSRS VSK pirmininko ar jo pavaduotojo nurodymus, kuriems pateikiama informacija apie operatyvinę situaciją, pajėgų išdėstymą ir klausiama nurodymo veikti. Bendrą operatyvinę situaciją pranešdavo </w:t>
      </w:r>
      <w:r w:rsidR="00D37127" w:rsidRPr="007A31AA">
        <w:rPr>
          <w:color w:val="000000"/>
        </w:rPr>
        <w:t>S. C.</w:t>
      </w:r>
      <w:r w:rsidRPr="007A31AA">
        <w:rPr>
          <w:color w:val="000000"/>
        </w:rPr>
        <w:t xml:space="preserve">, o </w:t>
      </w:r>
      <w:r w:rsidR="00385BC9" w:rsidRPr="007A31AA">
        <w:rPr>
          <w:color w:val="000000"/>
        </w:rPr>
        <w:t>M. G.</w:t>
      </w:r>
      <w:r w:rsidRPr="007A31AA">
        <w:rPr>
          <w:color w:val="000000"/>
        </w:rPr>
        <w:t xml:space="preserve"> informuodavo Maskvoje buvusį T</w:t>
      </w:r>
      <w:r w:rsidR="00D220F2" w:rsidRPr="007A31AA">
        <w:rPr>
          <w:color w:val="000000"/>
        </w:rPr>
        <w:t>SRS VSK valdybos viršininkas J. </w:t>
      </w:r>
      <w:r w:rsidRPr="007A31AA">
        <w:rPr>
          <w:color w:val="000000"/>
        </w:rPr>
        <w:t>M. R</w:t>
      </w:r>
      <w:r w:rsidR="00D220F2" w:rsidRPr="007A31AA">
        <w:rPr>
          <w:color w:val="000000"/>
        </w:rPr>
        <w:t>.</w:t>
      </w:r>
      <w:r w:rsidRPr="007A31AA">
        <w:rPr>
          <w:color w:val="000000"/>
        </w:rPr>
        <w:t>, kuris leido šturmuoti TV</w:t>
      </w:r>
      <w:r w:rsidR="008E4551" w:rsidRPr="007A31AA">
        <w:rPr>
          <w:color w:val="000000"/>
        </w:rPr>
        <w:t> </w:t>
      </w:r>
      <w:r w:rsidRPr="007A31AA">
        <w:rPr>
          <w:color w:val="000000"/>
        </w:rPr>
        <w:t xml:space="preserve">bokštą bei LRT, tačiau taip pat buvo ir </w:t>
      </w:r>
      <w:r w:rsidR="00C507EF" w:rsidRPr="007A31AA">
        <w:rPr>
          <w:color w:val="000000"/>
        </w:rPr>
        <w:t>V. K.</w:t>
      </w:r>
      <w:r w:rsidRPr="007A31AA">
        <w:rPr>
          <w:color w:val="000000"/>
        </w:rPr>
        <w:t xml:space="preserve"> nurodymas (t. 192, b. l. 12</w:t>
      </w:r>
      <w:r w:rsidRPr="00C00255">
        <w:t>–</w:t>
      </w:r>
      <w:r w:rsidRPr="007A31AA">
        <w:rPr>
          <w:color w:val="000000"/>
        </w:rPr>
        <w:t>35).</w:t>
      </w:r>
    </w:p>
    <w:p w:rsidR="007A31AA" w:rsidRPr="007A31AA" w:rsidRDefault="0072749F" w:rsidP="007A31AA">
      <w:pPr>
        <w:pStyle w:val="NormalWeb"/>
        <w:numPr>
          <w:ilvl w:val="2"/>
          <w:numId w:val="6"/>
        </w:numPr>
        <w:spacing w:before="120" w:beforeAutospacing="0" w:after="120" w:afterAutospacing="0"/>
        <w:ind w:left="992" w:hanging="992"/>
        <w:rPr>
          <w:rFonts w:eastAsia="Calibri"/>
        </w:rPr>
      </w:pPr>
      <w:r w:rsidRPr="007A31AA">
        <w:rPr>
          <w:rFonts w:eastAsia="Calibri"/>
        </w:rPr>
        <w:t xml:space="preserve">Tokius </w:t>
      </w:r>
      <w:r w:rsidR="00385BC9" w:rsidRPr="007A31AA">
        <w:rPr>
          <w:rFonts w:eastAsia="Calibri"/>
        </w:rPr>
        <w:t>M. G.</w:t>
      </w:r>
      <w:r w:rsidRPr="007A31AA">
        <w:rPr>
          <w:rFonts w:eastAsia="Calibri"/>
        </w:rPr>
        <w:t xml:space="preserve"> paaiškinimus atitinka ir jau minėta iš TSRS Aukščiausiosios Tarybos deputatų gauta </w:t>
      </w:r>
      <w:r w:rsidRPr="007A31AA">
        <w:t xml:space="preserve">1991 m. sausio mėnesį </w:t>
      </w:r>
      <w:r w:rsidR="00385BC9" w:rsidRPr="007A31AA">
        <w:t>M. G.</w:t>
      </w:r>
      <w:r w:rsidRPr="007A31AA">
        <w:t xml:space="preserve"> paruošta pažyma apie TSRS VSK grupės „A“ komandiruotės Vilniuje rezultatus (t. 192, b. l. 36–47). </w:t>
      </w:r>
      <w:r w:rsidRPr="007A31AA">
        <w:rPr>
          <w:color w:val="000000"/>
        </w:rPr>
        <w:t>Joje, be kita ko, nurodyta, kad grupės „A“ darbuotojai (</w:t>
      </w:r>
      <w:r w:rsidR="00385BC9" w:rsidRPr="007A31AA">
        <w:rPr>
          <w:color w:val="000000"/>
        </w:rPr>
        <w:t>M. G.</w:t>
      </w:r>
      <w:r w:rsidR="00D220F2" w:rsidRPr="007A31AA">
        <w:rPr>
          <w:color w:val="000000"/>
        </w:rPr>
        <w:t>, A. </w:t>
      </w:r>
      <w:r w:rsidRPr="007A31AA">
        <w:rPr>
          <w:color w:val="000000"/>
        </w:rPr>
        <w:t>M</w:t>
      </w:r>
      <w:r w:rsidR="00D220F2" w:rsidRPr="007A31AA">
        <w:rPr>
          <w:color w:val="000000"/>
        </w:rPr>
        <w:t>.</w:t>
      </w:r>
      <w:r w:rsidRPr="007A31AA">
        <w:rPr>
          <w:color w:val="000000"/>
        </w:rPr>
        <w:t>, I. O</w:t>
      </w:r>
      <w:r w:rsidR="00D220F2" w:rsidRPr="007A31AA">
        <w:rPr>
          <w:color w:val="000000"/>
        </w:rPr>
        <w:t>.</w:t>
      </w:r>
      <w:r w:rsidRPr="007A31AA">
        <w:rPr>
          <w:color w:val="000000"/>
        </w:rPr>
        <w:t xml:space="preserve">) nuo 1991 m. sausio 7 d. buvo komandiruoti į Vilnių siekiant atlikti žvalgybą ir kitus paruošiamuosius darbus saugumo ir kariuomenės planuojamai operacijai. Vilniuje darbuotojų grupei vadovavo grupės „A“ viršininko pavaduotojas </w:t>
      </w:r>
      <w:r w:rsidR="00385BC9" w:rsidRPr="007A31AA">
        <w:rPr>
          <w:color w:val="000000"/>
        </w:rPr>
        <w:t>M. G.</w:t>
      </w:r>
      <w:r w:rsidRPr="007A31AA">
        <w:rPr>
          <w:color w:val="000000"/>
        </w:rPr>
        <w:t xml:space="preserve">. 1991 m. sausio 11 d. 17.30 val., vykdant TSRS VSK vadovybės sprendimą, padalinyje buvo paskelbta kovinė parengtis ir 20.00 val. 65 grupės „A“ darbuotojai bei du tarnybiniai šunys, vadovaujami </w:t>
      </w:r>
      <w:r w:rsidR="00385BC9" w:rsidRPr="007A31AA">
        <w:rPr>
          <w:color w:val="000000"/>
        </w:rPr>
        <w:t>J. Č.</w:t>
      </w:r>
      <w:r w:rsidRPr="007A31AA">
        <w:rPr>
          <w:color w:val="000000"/>
        </w:rPr>
        <w:t xml:space="preserve"> dviem lėktuvais apie 23 val. atskrido į Vilnių. 1991 m. sausio 12 d. 13.00</w:t>
      </w:r>
      <w:r w:rsidR="00D220F2" w:rsidRPr="007A31AA">
        <w:rPr>
          <w:color w:val="000000"/>
        </w:rPr>
        <w:t> </w:t>
      </w:r>
      <w:r w:rsidRPr="007A31AA">
        <w:rPr>
          <w:color w:val="000000"/>
        </w:rPr>
        <w:t xml:space="preserve">val. buvo pravestas instruktažas, kurio metu </w:t>
      </w:r>
      <w:r w:rsidR="00385BC9" w:rsidRPr="007A31AA">
        <w:rPr>
          <w:color w:val="000000"/>
        </w:rPr>
        <w:t>M. G.</w:t>
      </w:r>
      <w:r w:rsidRPr="007A31AA">
        <w:rPr>
          <w:color w:val="000000"/>
        </w:rPr>
        <w:t xml:space="preserve"> išdėstė operatyvinę situaciją, susidariusią Respublikoje ir numatomus grupės „A“ veiksmus. Remiantis LTSR VSK operatyvinio štabo ir TSRS GM Pabaltijo karinės apygardos parengtu planu ir atsižvelgiant į susidariusią kritinę politinę situaciją Respublikoje, TSRS VSK, Respublikos VSK, TSRS GM ir VRM kariškiams buvo numatytas uždavinys – perimti ir perduoti TSRS VRM vidaus kariuomenės saugojimui tris objektus: LRT, TV bokštą ir Radijo retransliatorių (Mėnulio g.). Pažymoje nurodyta, kad papulkininkis </w:t>
      </w:r>
      <w:r w:rsidR="00385BC9" w:rsidRPr="007A31AA">
        <w:rPr>
          <w:color w:val="000000"/>
        </w:rPr>
        <w:t>M. G.</w:t>
      </w:r>
      <w:r w:rsidRPr="007A31AA">
        <w:rPr>
          <w:color w:val="000000"/>
        </w:rPr>
        <w:t xml:space="preserve"> 23.00 val. grupės „A“ darbuotojams nurodė, kaip turi būti paskirstytos pajėgos ir priemonės, kaip suderinti veiksmus su TSRS GM ir VRM kariškiais, kaip užmegzti ir palaikyti ryšį (be kita ko, </w:t>
      </w:r>
      <w:r w:rsidRPr="00C00255">
        <w:t xml:space="preserve">vadovauti LRT šturmui paskyrė </w:t>
      </w:r>
      <w:r w:rsidR="00385BC9">
        <w:t>J. Č.</w:t>
      </w:r>
      <w:r w:rsidRPr="00C00255">
        <w:t>)</w:t>
      </w:r>
      <w:r w:rsidRPr="007A31AA">
        <w:rPr>
          <w:color w:val="000000"/>
        </w:rPr>
        <w:t xml:space="preserve">. Buvo atkreiptas ypatingas dėmesys į tai, kad negalima naudoti šaunamųjų ginklų bei nurodyta tvarka kaip naudoti specialiąsias priemones ir išvengti gyventojų aukų. Buvo leista naudoti tik granatas „GSZ“, granatsvaidį „RGD-50“, priemones „PSŽ“, taip pat kovos imtynių būdus. Sausio 13 d. 00.30 val. generolas majoras </w:t>
      </w:r>
      <w:r w:rsidR="00C507EF" w:rsidRPr="007A31AA">
        <w:rPr>
          <w:color w:val="000000"/>
        </w:rPr>
        <w:t>V. O.</w:t>
      </w:r>
      <w:r w:rsidRPr="007A31AA">
        <w:rPr>
          <w:color w:val="000000"/>
        </w:rPr>
        <w:t xml:space="preserve"> ir generolas majoras </w:t>
      </w:r>
      <w:r w:rsidR="00D37127" w:rsidRPr="007A31AA">
        <w:rPr>
          <w:color w:val="000000"/>
        </w:rPr>
        <w:t>S. C.</w:t>
      </w:r>
      <w:r w:rsidRPr="007A31AA">
        <w:rPr>
          <w:color w:val="000000"/>
        </w:rPr>
        <w:t xml:space="preserve"> kartu išaiškino užduotis VSK, GM ir VRM grupių vadovams. Pagal operacijos vykdymo prie 1 ir 2 objekto sumanymą, tankai turėjo pralaisvinti kolonai kelią ir šarvuočiais atstumti žmones nuo objektų, šaudant tuščiais šoviniais psichologiškai paveikti minią (operacijos metu tuščiais šoviniais buvo iššauta apie 30 kartų), o TSRS GM ir VRM kariai pralaisvinę grupės „A“ darbuotojams priėjimo prie objektų koridorių, turėjo atlaisvinti aikštę ir perimti saugoti minėtus objektus, kuriuos vėliau perduotų saugoti VRM VK 42-ajai divizijai. Veikti pastatų viduje ir atlikti užduotį – nutraukti TVR laidų transliavimą – turėjo grupės „A“ darbuotojai su jiems skirtais vedliais – Lietuvos VSK operatyviniais darbuotojais (t. 192, b. l. 36</w:t>
      </w:r>
      <w:r w:rsidRPr="00C00255">
        <w:t>–</w:t>
      </w:r>
      <w:r w:rsidRPr="007A31AA">
        <w:rPr>
          <w:color w:val="000000"/>
        </w:rPr>
        <w:t xml:space="preserve">47). </w:t>
      </w:r>
    </w:p>
    <w:p w:rsidR="007A31AA" w:rsidRDefault="0072749F" w:rsidP="007A31AA">
      <w:pPr>
        <w:pStyle w:val="NormalWeb"/>
        <w:numPr>
          <w:ilvl w:val="2"/>
          <w:numId w:val="6"/>
        </w:numPr>
        <w:spacing w:before="120" w:beforeAutospacing="0" w:after="120" w:afterAutospacing="0"/>
        <w:ind w:left="992" w:hanging="992"/>
        <w:rPr>
          <w:rFonts w:eastAsia="Calibri"/>
        </w:rPr>
      </w:pPr>
      <w:r w:rsidRPr="000E2C88">
        <w:rPr>
          <w:rFonts w:eastAsia="Calibri"/>
        </w:rPr>
        <w:t>Atkreiptinas dėmesys ir į tai, kad bylos medžiagoje yra ir</w:t>
      </w:r>
      <w:r w:rsidR="00496FB4" w:rsidRPr="000E2C88">
        <w:rPr>
          <w:rFonts w:eastAsia="Calibri"/>
        </w:rPr>
        <w:t xml:space="preserve"> </w:t>
      </w:r>
      <w:r w:rsidRPr="000E2C88">
        <w:rPr>
          <w:rFonts w:eastAsia="Calibri"/>
        </w:rPr>
        <w:t xml:space="preserve">1991 m. spalio 21 d. grupės „A“ viršininko papulkininkio </w:t>
      </w:r>
      <w:r w:rsidR="00385BC9" w:rsidRPr="000E2C88">
        <w:rPr>
          <w:rFonts w:eastAsia="Calibri"/>
        </w:rPr>
        <w:t>M. G.</w:t>
      </w:r>
      <w:r w:rsidRPr="000E2C88">
        <w:rPr>
          <w:rFonts w:eastAsia="Calibri"/>
        </w:rPr>
        <w:t xml:space="preserve"> pasirašytas „Pranešimas RTSFR prokuratūrai dėl „A“ grupės darbuotojų komandiruotės Vilniuje (1991 m. sausio 11–14 d.)“ (t. 192, b. l. 209–211; t. 192, b. l. 206–208). Šiame pranešime, be kita ko, nurodoma, kad po komandiruotės buvo parengta jos rezultatų ataskaita ir pateikta TSRS VSK bei 7-osios valdybos vadovybei (t. 192, b. l. 211). Taigi pats </w:t>
      </w:r>
      <w:r w:rsidR="00385BC9" w:rsidRPr="000E2C88">
        <w:rPr>
          <w:rFonts w:eastAsia="Calibri"/>
        </w:rPr>
        <w:t>M. G.</w:t>
      </w:r>
      <w:r w:rsidRPr="000E2C88">
        <w:rPr>
          <w:rFonts w:eastAsia="Calibri"/>
        </w:rPr>
        <w:t xml:space="preserve"> vėliau savo parašu patvirtino minėtos pažymos (ataskaitos) egzistavimą ir jos pateikimo vadovybei faktą. Teisėjų kolegijos vertinimu, ši aplinkybė taip pat formuoja įsitikinimą, apie anksčiau minėtų dokumentų turinio atitikimą tikrovei</w:t>
      </w:r>
      <w:r w:rsidRPr="007A31AA">
        <w:rPr>
          <w:rFonts w:eastAsia="Calibri"/>
        </w:rPr>
        <w:t>.</w:t>
      </w:r>
    </w:p>
    <w:p w:rsidR="007A31AA" w:rsidRDefault="0072749F" w:rsidP="007A31AA">
      <w:pPr>
        <w:pStyle w:val="NormalWeb"/>
        <w:numPr>
          <w:ilvl w:val="2"/>
          <w:numId w:val="6"/>
        </w:numPr>
        <w:spacing w:before="120" w:beforeAutospacing="0" w:after="120" w:afterAutospacing="0"/>
        <w:ind w:left="992" w:hanging="992"/>
        <w:rPr>
          <w:rFonts w:eastAsia="Calibri"/>
        </w:rPr>
      </w:pPr>
      <w:r w:rsidRPr="000E2C88">
        <w:t xml:space="preserve">Jau minėtas aplinkybes </w:t>
      </w:r>
      <w:r w:rsidR="00385BC9" w:rsidRPr="000E2C88">
        <w:t>M. G.</w:t>
      </w:r>
      <w:r w:rsidRPr="000E2C88">
        <w:t xml:space="preserve"> iš esmės patvirtino ir savo interviu </w:t>
      </w:r>
      <w:r w:rsidRPr="000E2C88">
        <w:rPr>
          <w:rFonts w:eastAsia="Calibri"/>
        </w:rPr>
        <w:t xml:space="preserve">2011 m. liepos 21 d. „RIA Novosti“ žurnalistui po to, kai pagal Europos arešto orderį buvo sulaikytas Vienos oro uoste ir paleistas </w:t>
      </w:r>
      <w:r w:rsidR="00D220F2" w:rsidRPr="000E2C88">
        <w:rPr>
          <w:rFonts w:eastAsia="Calibri"/>
        </w:rPr>
        <w:t>(duomenys neskelbtini)</w:t>
      </w:r>
      <w:r w:rsidRPr="000E2C88">
        <w:rPr>
          <w:rFonts w:eastAsia="Calibri"/>
        </w:rPr>
        <w:t xml:space="preserve"> teisėsaugos institucijų. Šiame interviu </w:t>
      </w:r>
      <w:r w:rsidR="00385BC9" w:rsidRPr="000E2C88">
        <w:rPr>
          <w:rFonts w:eastAsia="Calibri"/>
        </w:rPr>
        <w:t>M. G.</w:t>
      </w:r>
      <w:r w:rsidRPr="000E2C88">
        <w:rPr>
          <w:rFonts w:eastAsia="Calibri"/>
        </w:rPr>
        <w:t xml:space="preserve">, komentuodamas sulaikymo aplinkybes ir atsakydamas į kitus žurnalistų klausimus, be kita ko, nurodė, kad Rusija privalo ginti savo kariškius, kurie rizikuodami gyvybe atliko specialias kovos su terorizmu ir ekstremizmu užduotis. 1991 metais jis atsisakė duoti parodymus prokurorams, bet galėjo duoti paaiškinimus kaip padalinio vadovas. Teikdamas tokius paaiškinimus, jis tuomet nurodė, kad 1991 m. į Lietuvą skrido specialiu reisu tam, kad atliktų Televizijos bokšto ryšio priemonių kontūro palaikymą ir užtikrintų rusakalbių žurnalistų įėjimą į bokštą. Nurodė, kad būdamas karininku, TSRS teritorijoje veikė pagal vyriausiojo vado įsakymus ir nurodymus, kurie buvo duodami skirtingiems padaliniams. Tuomet vyko štabo posėdis, sprendimai derinami ir per vyriausybinį ryšį. </w:t>
      </w:r>
      <w:r w:rsidR="00496FB4" w:rsidRPr="000E2C88">
        <w:rPr>
          <w:rFonts w:eastAsia="Calibri"/>
        </w:rPr>
        <w:t>Jo teigimu, j</w:t>
      </w:r>
      <w:r w:rsidRPr="000E2C88">
        <w:rPr>
          <w:rFonts w:eastAsia="Calibri"/>
        </w:rPr>
        <w:t>ie veikė teisėtai ir pagal vyriausiojo vado įsakymus (t. 659, b. l. 162–164, 165–170</w:t>
      </w:r>
      <w:r w:rsidRPr="007A31AA">
        <w:rPr>
          <w:rFonts w:eastAsia="Calibri"/>
        </w:rPr>
        <w:t>).</w:t>
      </w:r>
    </w:p>
    <w:p w:rsidR="007A31AA" w:rsidRPr="007A31AA" w:rsidRDefault="0072749F" w:rsidP="007A31AA">
      <w:pPr>
        <w:pStyle w:val="NormalWeb"/>
        <w:numPr>
          <w:ilvl w:val="2"/>
          <w:numId w:val="6"/>
        </w:numPr>
        <w:spacing w:before="120" w:beforeAutospacing="0" w:after="120" w:afterAutospacing="0"/>
        <w:ind w:left="992" w:hanging="992"/>
        <w:rPr>
          <w:rFonts w:eastAsia="Calibri"/>
        </w:rPr>
      </w:pPr>
      <w:r w:rsidRPr="007A31AA">
        <w:rPr>
          <w:color w:val="000000"/>
        </w:rPr>
        <w:t xml:space="preserve">Byloje taip pat užfiksuota, kaip </w:t>
      </w:r>
      <w:r w:rsidR="00385BC9" w:rsidRPr="007A31AA">
        <w:rPr>
          <w:color w:val="000000"/>
        </w:rPr>
        <w:t>M. G.</w:t>
      </w:r>
      <w:r w:rsidRPr="007A31AA">
        <w:rPr>
          <w:color w:val="000000"/>
        </w:rPr>
        <w:t xml:space="preserve"> labai panašiai apie esmines 1991 m. sausio įvykių aplinkybes pasakoja filme „Nuteistieji. Spąstai grupei „Alfa“ (vertimas iš rusų kalbos, </w:t>
      </w:r>
      <w:r w:rsidR="00D220F2">
        <w:t>2014 m. </w:t>
      </w:r>
      <w:r w:rsidRPr="00C00255">
        <w:t>kovo 25 d. interneto puslapio apžiūros protokolas (t. 472, b. l. 103–110))</w:t>
      </w:r>
      <w:r w:rsidRPr="007A31AA">
        <w:rPr>
          <w:color w:val="000000"/>
        </w:rPr>
        <w:t>, taip pat Pirmojo Baltijos kanalo laidoje „Žmogus ir įstatymas“, kurioje jis ne tik prisipažino tiesiogiai dalyvavęs jau vykdant operaciją, bet ir dalyvavęs štabo veikloje, kai buvo priimtas sprendimas dėl operacijos įgyvendinimo (2013 m. spalio 11 d. interneto puslapio apžiūros protokolas, t.</w:t>
      </w:r>
      <w:r w:rsidR="008E4551" w:rsidRPr="007A31AA">
        <w:rPr>
          <w:color w:val="000000"/>
        </w:rPr>
        <w:t> </w:t>
      </w:r>
      <w:r w:rsidRPr="007A31AA">
        <w:rPr>
          <w:color w:val="000000"/>
        </w:rPr>
        <w:t>472, b. l. 86</w:t>
      </w:r>
      <w:r w:rsidRPr="00C00255">
        <w:t>–</w:t>
      </w:r>
      <w:r w:rsidRPr="007A31AA">
        <w:rPr>
          <w:color w:val="000000"/>
        </w:rPr>
        <w:t xml:space="preserve">98). Šie vaizdo įrašai buvo paskelbti internete, juose </w:t>
      </w:r>
      <w:r w:rsidR="00385BC9" w:rsidRPr="007A31AA">
        <w:rPr>
          <w:color w:val="000000"/>
        </w:rPr>
        <w:t>M. G.</w:t>
      </w:r>
      <w:r w:rsidRPr="007A31AA">
        <w:rPr>
          <w:color w:val="000000"/>
        </w:rPr>
        <w:t xml:space="preserve">, kaip ir kiti TSRS kariškiai, savo paaiškinimus davė laisva valia, o ne kaip baudžiamojo proceso dalyvis baudžiamąjį persekiojimą atliekantiems pareigūnams. Taigi tokie paaiškinimai gali būti tiriami, vertinami ir laikomi įrodymais baudžiamojoje byloje. Atsižvelgiant į tai, nuteistojo </w:t>
      </w:r>
      <w:r w:rsidR="00385BC9" w:rsidRPr="007A31AA">
        <w:rPr>
          <w:color w:val="000000"/>
        </w:rPr>
        <w:t>M. G.</w:t>
      </w:r>
      <w:r w:rsidRPr="007A31AA">
        <w:rPr>
          <w:color w:val="000000"/>
        </w:rPr>
        <w:t xml:space="preserve"> gynėjo apeliacinio skundo argumentai, kad byloje nėra jokių teisėtų duomenų, iš kurių būtų galima matyti paties </w:t>
      </w:r>
      <w:r w:rsidR="00385BC9" w:rsidRPr="007A31AA">
        <w:rPr>
          <w:color w:val="000000"/>
        </w:rPr>
        <w:t>M. G.</w:t>
      </w:r>
      <w:r w:rsidRPr="007A31AA">
        <w:rPr>
          <w:color w:val="000000"/>
        </w:rPr>
        <w:t xml:space="preserve"> poziciją dėl nagrinėjamų įvykių, yra nepagrįsti ir atmestini.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rPr>
          <w:rFonts w:eastAsia="Calibri"/>
        </w:rPr>
        <w:t xml:space="preserve">Teisėjų kolegija, vertindama tokius įrodymus apie </w:t>
      </w:r>
      <w:r w:rsidR="00385BC9" w:rsidRPr="007A31AA">
        <w:rPr>
          <w:rFonts w:eastAsia="Calibri"/>
        </w:rPr>
        <w:t>M. G.</w:t>
      </w:r>
      <w:r w:rsidRPr="007A31AA">
        <w:rPr>
          <w:rFonts w:eastAsia="Calibri"/>
        </w:rPr>
        <w:t xml:space="preserve"> vaidmenį planuojant karinę operaciją, pažymi, kad juos visiškai atitinka ir paaiškina byloje ištirti ikiteisminio tyrimo metu apklaustų TSRS VSK kariškių parodymai. Iš pirmosios instancijos teismo po</w:t>
      </w:r>
      <w:r w:rsidRPr="007A31AA">
        <w:t xml:space="preserve">sėdyje paskelbtų ir ištirtų LTSR VSK pirmininko pavaduotojo </w:t>
      </w:r>
      <w:r w:rsidR="00D37127" w:rsidRPr="007A31AA">
        <w:t>S. C.</w:t>
      </w:r>
      <w:r w:rsidRPr="00C00255">
        <w:t xml:space="preserve"> (tyrimas nutrauktas jam mirus) parodymų, du</w:t>
      </w:r>
      <w:r w:rsidRPr="007A31AA">
        <w:rPr>
          <w:color w:val="000000"/>
        </w:rPr>
        <w:t>otų ikiteisminio tyrimo metu (</w:t>
      </w:r>
      <w:r w:rsidRPr="00C00255">
        <w:t xml:space="preserve">t. 192, b. l. 74–84), be kita ko, matyti, kad </w:t>
      </w:r>
      <w:r w:rsidR="00385BC9">
        <w:t>M. G.</w:t>
      </w:r>
      <w:r w:rsidRPr="00C00255">
        <w:t xml:space="preserve"> (kaip savo paaiškinimuose ir surašytoje pažymoje nurodė ir pats </w:t>
      </w:r>
      <w:r w:rsidR="00385BC9">
        <w:t>M. G.</w:t>
      </w:r>
      <w:r w:rsidRPr="00C00255">
        <w:t xml:space="preserve">) į Vilnių atskrido anksčiau nei du lėktuvai su jo vadovaujamais grupės „A“ kariškiais ir čia analizavo situaciją bei planavo bendrus numatytų objektų šturmo veiksmus. Iš </w:t>
      </w:r>
      <w:r w:rsidR="00D37127">
        <w:t>S. C.</w:t>
      </w:r>
      <w:r w:rsidRPr="00C00255">
        <w:t xml:space="preserve"> parodymų matyti ir tai, kad štabo veikloje kaip TSRS VSK atstovai dalyvavo </w:t>
      </w:r>
      <w:r w:rsidR="00C507EF">
        <w:t>J. K.</w:t>
      </w:r>
      <w:r w:rsidRPr="00C00255">
        <w:t xml:space="preserve"> ir </w:t>
      </w:r>
      <w:r w:rsidR="00DD1A27">
        <w:t>I. F.</w:t>
      </w:r>
      <w:r w:rsidRPr="00C00255">
        <w:t xml:space="preserve">. Iš teisiamajame posėdyje paskelbtų </w:t>
      </w:r>
      <w:r w:rsidRPr="007A31AA">
        <w:rPr>
          <w:color w:val="000000"/>
        </w:rPr>
        <w:t>TSRS VSK valdybos „Z“ viršininko pavaduotojo generolo</w:t>
      </w:r>
      <w:r w:rsidRPr="00C00255">
        <w:t xml:space="preserve"> </w:t>
      </w:r>
      <w:r w:rsidR="00DD1A27">
        <w:t>I. F.</w:t>
      </w:r>
      <w:r w:rsidRPr="00C00255">
        <w:t xml:space="preserve"> parodymų, duotų ikiteisminio tyrimo metu (t. 192, b. l. </w:t>
      </w:r>
      <w:r w:rsidRPr="007A31AA">
        <w:rPr>
          <w:color w:val="000000"/>
        </w:rPr>
        <w:t>91–93, 94–106</w:t>
      </w:r>
      <w:r w:rsidRPr="00C00255">
        <w:t>), matyti, kad</w:t>
      </w:r>
      <w:r w:rsidRPr="007A31AA">
        <w:rPr>
          <w:color w:val="000000"/>
        </w:rPr>
        <w:t xml:space="preserve"> jis, kaip ir </w:t>
      </w:r>
      <w:r w:rsidR="00C507EF" w:rsidRPr="007A31AA">
        <w:rPr>
          <w:color w:val="000000"/>
        </w:rPr>
        <w:t>J. K.</w:t>
      </w:r>
      <w:r w:rsidRPr="007A31AA">
        <w:rPr>
          <w:color w:val="000000"/>
        </w:rPr>
        <w:t>, 1991 m. sausio 8 ar 9</w:t>
      </w:r>
      <w:r w:rsidR="00150E2A" w:rsidRPr="007A31AA">
        <w:rPr>
          <w:color w:val="000000"/>
        </w:rPr>
        <w:t> </w:t>
      </w:r>
      <w:r w:rsidRPr="007A31AA">
        <w:rPr>
          <w:color w:val="000000"/>
        </w:rPr>
        <w:t xml:space="preserve">dienomis turėjo skristi į Vilnių dėl padėties paaštrėjimo, kad čia pasitarime pas </w:t>
      </w:r>
      <w:r w:rsidR="00C507EF" w:rsidRPr="007A31AA">
        <w:rPr>
          <w:color w:val="000000"/>
        </w:rPr>
        <w:t>V. A.</w:t>
      </w:r>
      <w:r w:rsidRPr="007A31AA">
        <w:rPr>
          <w:color w:val="000000"/>
        </w:rPr>
        <w:t xml:space="preserve"> buvo priimtas sprendimas šturmuoti numatytus objektus (pasitarime dalyvavo </w:t>
      </w:r>
      <w:r w:rsidR="00385BC9" w:rsidRPr="007A31AA">
        <w:rPr>
          <w:color w:val="000000"/>
        </w:rPr>
        <w:t>N. D.</w:t>
      </w:r>
      <w:r w:rsidRPr="007A31AA">
        <w:rPr>
          <w:color w:val="000000"/>
        </w:rPr>
        <w:t xml:space="preserve">, </w:t>
      </w:r>
      <w:r w:rsidR="00C507EF" w:rsidRPr="007A31AA">
        <w:rPr>
          <w:color w:val="000000"/>
        </w:rPr>
        <w:t>J. K.</w:t>
      </w:r>
      <w:r w:rsidRPr="007A31AA">
        <w:rPr>
          <w:color w:val="000000"/>
        </w:rPr>
        <w:t xml:space="preserve">, </w:t>
      </w:r>
      <w:r w:rsidR="006036E7" w:rsidRPr="007A31AA">
        <w:rPr>
          <w:color w:val="000000"/>
        </w:rPr>
        <w:t>V. U. 1</w:t>
      </w:r>
      <w:r w:rsidRPr="007A31AA">
        <w:rPr>
          <w:color w:val="000000"/>
        </w:rPr>
        <w:t xml:space="preserve">, </w:t>
      </w:r>
      <w:r w:rsidR="00C507EF" w:rsidRPr="007A31AA">
        <w:rPr>
          <w:color w:val="000000"/>
        </w:rPr>
        <w:t>M. B.</w:t>
      </w:r>
      <w:r w:rsidRPr="007A31AA">
        <w:rPr>
          <w:color w:val="000000"/>
        </w:rPr>
        <w:t xml:space="preserve">, </w:t>
      </w:r>
      <w:r w:rsidR="00385BC9" w:rsidRPr="007A31AA">
        <w:rPr>
          <w:color w:val="000000"/>
        </w:rPr>
        <w:t>V. Š. 1</w:t>
      </w:r>
      <w:r w:rsidRPr="007A31AA">
        <w:rPr>
          <w:color w:val="000000"/>
        </w:rPr>
        <w:t xml:space="preserve"> ir kiti kariškiai). Pasitarime pas </w:t>
      </w:r>
      <w:r w:rsidR="00C507EF" w:rsidRPr="007A31AA">
        <w:rPr>
          <w:color w:val="000000"/>
        </w:rPr>
        <w:t>V. A.</w:t>
      </w:r>
      <w:r w:rsidRPr="007A31AA">
        <w:rPr>
          <w:color w:val="000000"/>
        </w:rPr>
        <w:t xml:space="preserve"> jis pasakė, kad iki tol, kol apsispręs TSRS Prezidentas, jokių akcijų su kariškiais vykdyti negalima, todėl vėliau į pasitarimus pas </w:t>
      </w:r>
      <w:r w:rsidR="00C507EF" w:rsidRPr="007A31AA">
        <w:rPr>
          <w:color w:val="000000"/>
        </w:rPr>
        <w:t>V. A.</w:t>
      </w:r>
      <w:r w:rsidRPr="007A31AA">
        <w:rPr>
          <w:color w:val="000000"/>
        </w:rPr>
        <w:t xml:space="preserve">, o po to ir pas </w:t>
      </w:r>
      <w:r w:rsidR="00660130" w:rsidRPr="007A31AA">
        <w:rPr>
          <w:color w:val="000000"/>
        </w:rPr>
        <w:t>V. V.</w:t>
      </w:r>
      <w:r w:rsidRPr="007A31AA">
        <w:rPr>
          <w:color w:val="000000"/>
        </w:rPr>
        <w:t xml:space="preserve">, jo nekviesdavo. Apie sprendimą perimti TV bokštą sužinojo iš </w:t>
      </w:r>
      <w:r w:rsidR="00C507EF" w:rsidRPr="007A31AA">
        <w:rPr>
          <w:color w:val="000000"/>
        </w:rPr>
        <w:t>J. K.</w:t>
      </w:r>
      <w:r w:rsidRPr="007A31AA">
        <w:rPr>
          <w:color w:val="000000"/>
        </w:rPr>
        <w:t>. Grupę „A“ išsiųsti galėjo tik TSRS VSK pirmininkas ar jo pirmasis pavaduotojas.</w:t>
      </w:r>
    </w:p>
    <w:p w:rsid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Teisėjų kolegija, įvertinusi visus jau aptartus įrodymus, visiškai sutinka su byloje specialisto išvadą pateikusio J. Andriškevičiaus vertinimu, jog VSK grupės „A“ viršininko pavaduotojas </w:t>
      </w:r>
      <w:r w:rsidR="00385BC9" w:rsidRPr="000E2C88">
        <w:rPr>
          <w:rFonts w:eastAsia="Calibri"/>
        </w:rPr>
        <w:t>M. G.</w:t>
      </w:r>
      <w:r w:rsidRPr="000E2C88">
        <w:rPr>
          <w:rFonts w:eastAsia="Calibri"/>
        </w:rPr>
        <w:t xml:space="preserve"> asmeninių kontaktų tvarka gavo nurodymus rengtis operacijai Vilniuje ir 1991</w:t>
      </w:r>
      <w:r w:rsidR="00150E2A" w:rsidRPr="000E2C88">
        <w:rPr>
          <w:rFonts w:eastAsia="Calibri"/>
        </w:rPr>
        <w:t> </w:t>
      </w:r>
      <w:r w:rsidR="00D220F2" w:rsidRPr="000E2C88">
        <w:rPr>
          <w:rFonts w:eastAsia="Calibri"/>
        </w:rPr>
        <w:t>m. sausio </w:t>
      </w:r>
      <w:r w:rsidRPr="000E2C88">
        <w:rPr>
          <w:rFonts w:eastAsia="Calibri"/>
        </w:rPr>
        <w:t xml:space="preserve">7 d. kartu su kitais VSK karininkais atvyko į Vilnių, kur buvo vykdoma objektų žvalgyba, buvo suderintos būsimų VSK grupės ,,A“ ir kitų jėgos struktūrų padalinių veiksmų planavimo detalės (t. 480, b. l. 46). Iš jau minėtų įrodymų ir paties </w:t>
      </w:r>
      <w:r w:rsidR="00385BC9" w:rsidRPr="000E2C88">
        <w:rPr>
          <w:rFonts w:eastAsia="Calibri"/>
        </w:rPr>
        <w:t>M. G.</w:t>
      </w:r>
      <w:r w:rsidRPr="000E2C88">
        <w:rPr>
          <w:rFonts w:eastAsia="Calibri"/>
        </w:rPr>
        <w:t xml:space="preserve"> paaiškinimų bei surašytos pažymos turinio matyti, kad jis vadovavo TSRS VSK „A“ pajėgoms, kad jis </w:t>
      </w:r>
      <w:r w:rsidRPr="000E2C88">
        <w:t xml:space="preserve">grupės „A“ pareigūnams nurodė, kaip turi būti paskirstytos pajėgos ir priemonės (be kita ko, vadovauti LRT šturmui paskyrė </w:t>
      </w:r>
      <w:r w:rsidR="00385BC9" w:rsidRPr="000E2C88">
        <w:t>J. Č.</w:t>
      </w:r>
      <w:r w:rsidRPr="000E2C88">
        <w:t xml:space="preserve">), kaip suderinti veiksmus su TSRS GM ir VRM kariškiais, kaip užmegzti ir palaikyti ryšį. Visa tai rodo, kad </w:t>
      </w:r>
      <w:r w:rsidR="00385BC9" w:rsidRPr="000E2C88">
        <w:t>M. G.</w:t>
      </w:r>
      <w:r w:rsidRPr="000E2C88">
        <w:t xml:space="preserve"> </w:t>
      </w:r>
      <w:r w:rsidRPr="000E2C88">
        <w:rPr>
          <w:rFonts w:eastAsia="Calibri"/>
        </w:rPr>
        <w:t xml:space="preserve">kaip pagrindinius uždavinius įgyvendinančių karinės operacijos pajėgų – TSRS VSK grupės „A“ – vadovas, dalyvavo rengiantis karinei operacijai Vilniuje ir nebuvo tik formalus TSRS VSK pirmininko ir kitų kariškių, kurių atžvilgiu tyrimas nutrauktas jiems mirus, vykdytojas. Jis </w:t>
      </w:r>
      <w:r w:rsidRPr="000E2C88">
        <w:t xml:space="preserve">dalyvavo planuojant karinę operaciją, </w:t>
      </w:r>
      <w:r w:rsidRPr="000E2C88">
        <w:rPr>
          <w:rFonts w:eastAsia="Calibri"/>
        </w:rPr>
        <w:t xml:space="preserve">detalizuodamas karinės operacijos plano įgyvendinimą ir konkretizuodamas jam pavaldžios TSRS VSK grupės „A“ užduotis ir veiksmus žemesniems karininkams, be to, dar šioje karinės operacijos planavimo stadijoje jis veikė kaip bendrus </w:t>
      </w:r>
      <w:r w:rsidRPr="000E2C88">
        <w:t xml:space="preserve">TSRS VSK, GM, VRM kariškių veiksmus koordinuojantis kariškis. </w:t>
      </w:r>
      <w:r w:rsidRPr="000E2C88">
        <w:rPr>
          <w:rFonts w:eastAsia="Calibri"/>
        </w:rPr>
        <w:t xml:space="preserve">Taigi, teisėjų kolegijos vertinimu, pirmosios instancijos teismo išvados dėl </w:t>
      </w:r>
      <w:r w:rsidR="00385BC9" w:rsidRPr="000E2C88">
        <w:rPr>
          <w:rFonts w:eastAsia="Calibri"/>
        </w:rPr>
        <w:t>M. G.</w:t>
      </w:r>
      <w:r w:rsidRPr="000E2C88">
        <w:rPr>
          <w:rFonts w:eastAsia="Calibri"/>
        </w:rPr>
        <w:t xml:space="preserve"> dalyvavimo planuojant karinę operaciją yra pagrįstos ir teisingos</w:t>
      </w:r>
      <w:r w:rsidRPr="007A31AA">
        <w:rPr>
          <w:rFonts w:eastAsia="Calibri"/>
        </w:rPr>
        <w:t xml:space="preserve">. </w:t>
      </w:r>
    </w:p>
    <w:p w:rsidR="001D0506" w:rsidRP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Aptariamoje nagrinėjamos bylos kaltinimų dalyje teisėjų kolegija pažymi, kad TSRS VSK </w:t>
      </w:r>
      <w:r w:rsidRPr="000E2C88">
        <w:t xml:space="preserve">specialiosios paskirties grupės „A“ 3-iojo poskyrio viršininkui </w:t>
      </w:r>
      <w:r w:rsidR="00385BC9" w:rsidRPr="000E2C88">
        <w:t>J. Č.</w:t>
      </w:r>
      <w:r w:rsidRPr="000E2C88">
        <w:t xml:space="preserve"> dalyvavimas planuojant karinę operaciją nebuvo inkriminuotas. Jis iš esmės byloje buvo kaltinamas dėl vadovavimo TSRS VSK grupės „A“ kariškiams LRT šturmo metu, todėl teisėjų kolegija sutinka su nuteistojo </w:t>
      </w:r>
      <w:r w:rsidR="00385BC9" w:rsidRPr="000E2C88">
        <w:t>J. Č.</w:t>
      </w:r>
      <w:r w:rsidRPr="000E2C88">
        <w:t xml:space="preserve"> gynėjos apeliacinio skundo argumentu, kad </w:t>
      </w:r>
      <w:r w:rsidR="00385BC9" w:rsidRPr="000E2C88">
        <w:t>J. Č.</w:t>
      </w:r>
      <w:r w:rsidRPr="000E2C88">
        <w:t xml:space="preserve"> nebuvo karinės operacijos planavimo grupės narys. Pirmosios instancijos teismo nuosprendžio nustatomojoje dalyje teisingai nurodyta, kad </w:t>
      </w:r>
      <w:r w:rsidR="00C507EF" w:rsidRPr="000E2C88">
        <w:rPr>
          <w:rFonts w:eastAsia="Calibri"/>
        </w:rPr>
        <w:t>V. K.</w:t>
      </w:r>
      <w:r w:rsidRPr="000E2C88">
        <w:rPr>
          <w:rFonts w:eastAsia="Calibri"/>
        </w:rPr>
        <w:t xml:space="preserve"> (ikiteisminis tyrimas nutrauktas mirus), pasinaudodamas savo tarnybine padėtimi, karinės operacijos koordinatoriais ir vykdytojais paskyrė TSRS VSK (KGB) 3-iosios vyriausiosios valdybos viršininko pavaduotoją generolą majorą </w:t>
      </w:r>
      <w:r w:rsidR="00C507EF" w:rsidRPr="000E2C88">
        <w:rPr>
          <w:rFonts w:eastAsia="Calibri"/>
        </w:rPr>
        <w:t>J. K.</w:t>
      </w:r>
      <w:r w:rsidRPr="000E2C88">
        <w:rPr>
          <w:rFonts w:eastAsia="Calibri"/>
        </w:rPr>
        <w:t xml:space="preserve"> (ikiteisminis tyrimas nutrauktas mirus) ir TSRS VSK specialios paskirties grupės „A“ viršininko pavaduotoją </w:t>
      </w:r>
      <w:r w:rsidR="00385BC9" w:rsidRPr="000E2C88">
        <w:rPr>
          <w:rFonts w:eastAsia="Calibri"/>
        </w:rPr>
        <w:t>M. G.</w:t>
      </w:r>
      <w:r w:rsidRPr="000E2C88">
        <w:rPr>
          <w:rFonts w:eastAsia="Calibri"/>
        </w:rPr>
        <w:t xml:space="preserve">. Tai yra įrodyta jau aptartais įrodymais, tačiau aplinkybė, kad būtent </w:t>
      </w:r>
      <w:r w:rsidR="00C507EF" w:rsidRPr="000E2C88">
        <w:rPr>
          <w:rFonts w:eastAsia="Calibri"/>
        </w:rPr>
        <w:t>V. K.</w:t>
      </w:r>
      <w:r w:rsidRPr="000E2C88">
        <w:rPr>
          <w:rFonts w:eastAsia="Calibri"/>
        </w:rPr>
        <w:t xml:space="preserve"> paskyrė karinės operacijos koordinatoriumi ir </w:t>
      </w:r>
      <w:r w:rsidR="00385BC9" w:rsidRPr="000E2C88">
        <w:rPr>
          <w:rFonts w:eastAsia="Calibri"/>
        </w:rPr>
        <w:t>J. Č.</w:t>
      </w:r>
      <w:r w:rsidRPr="000E2C88">
        <w:rPr>
          <w:rFonts w:eastAsia="Calibri"/>
        </w:rPr>
        <w:t xml:space="preserve">, yra netiksli </w:t>
      </w:r>
      <w:r w:rsidR="00D220F2" w:rsidRPr="000E2C88">
        <w:rPr>
          <w:rFonts w:eastAsia="Calibri"/>
        </w:rPr>
        <w:t>(nuosprendžio 14 </w:t>
      </w:r>
      <w:r w:rsidRPr="000E2C88">
        <w:rPr>
          <w:rFonts w:eastAsia="Calibri"/>
        </w:rPr>
        <w:t>l</w:t>
      </w:r>
      <w:r w:rsidR="00A300D1" w:rsidRPr="000E2C88">
        <w:rPr>
          <w:rFonts w:eastAsia="Calibri"/>
        </w:rPr>
        <w:t>apo 2 pastraipa ir 872 lapo 3 pastraipa</w:t>
      </w:r>
      <w:r w:rsidRPr="000E2C88">
        <w:rPr>
          <w:rFonts w:eastAsia="Calibri"/>
        </w:rPr>
        <w:t xml:space="preserve">), be to, ji prieštarauja to paties nuosprendžio išvadai, kad karinės operacijos koordinatoriais iš TSRS VSK buvo </w:t>
      </w:r>
      <w:r w:rsidR="00385BC9" w:rsidRPr="000E2C88">
        <w:rPr>
          <w:rFonts w:eastAsia="Calibri"/>
        </w:rPr>
        <w:t>M. G.</w:t>
      </w:r>
      <w:r w:rsidRPr="000E2C88">
        <w:rPr>
          <w:rFonts w:eastAsia="Calibri"/>
        </w:rPr>
        <w:t xml:space="preserve"> ir jo veiksm</w:t>
      </w:r>
      <w:r w:rsidR="00A300D1" w:rsidRPr="000E2C88">
        <w:rPr>
          <w:rFonts w:eastAsia="Calibri"/>
        </w:rPr>
        <w:t xml:space="preserve">us kontroliavęs </w:t>
      </w:r>
      <w:r w:rsidR="00C507EF" w:rsidRPr="000E2C88">
        <w:rPr>
          <w:rFonts w:eastAsia="Calibri"/>
        </w:rPr>
        <w:t>J. K.</w:t>
      </w:r>
      <w:r w:rsidR="00A300D1" w:rsidRPr="000E2C88">
        <w:rPr>
          <w:rFonts w:eastAsia="Calibri"/>
        </w:rPr>
        <w:t xml:space="preserve"> (</w:t>
      </w:r>
      <w:r w:rsidRPr="000E2C88">
        <w:rPr>
          <w:rFonts w:eastAsia="Calibri"/>
        </w:rPr>
        <w:t>nuosp</w:t>
      </w:r>
      <w:r w:rsidR="00A300D1" w:rsidRPr="000E2C88">
        <w:rPr>
          <w:rFonts w:eastAsia="Calibri"/>
        </w:rPr>
        <w:t>rendžio 15 lapo 2 ir 3 pastraipo</w:t>
      </w:r>
      <w:r w:rsidRPr="000E2C88">
        <w:rPr>
          <w:rFonts w:eastAsia="Calibri"/>
        </w:rPr>
        <w:t xml:space="preserve">s), todėl iš nuosprendžio nustatomosios dalies šalintina aplinkybė, kad </w:t>
      </w:r>
      <w:r w:rsidR="00C507EF" w:rsidRPr="000E2C88">
        <w:rPr>
          <w:rFonts w:eastAsia="Calibri"/>
        </w:rPr>
        <w:t>V. K.</w:t>
      </w:r>
      <w:r w:rsidRPr="000E2C88">
        <w:rPr>
          <w:rFonts w:eastAsia="Calibri"/>
        </w:rPr>
        <w:t xml:space="preserve"> (ikiteisminis tyrimas nutrauktas mirus), pasinaudodamas savo tarnybine padėtimi, karinės operacijos koordinatoriumi paskyrė ir TSRS VSK specialios paskirties grupės „A“ 3-iojo poskyrio viršininką </w:t>
      </w:r>
      <w:r w:rsidR="00385BC9" w:rsidRPr="000E2C88">
        <w:rPr>
          <w:rFonts w:eastAsia="Calibri"/>
        </w:rPr>
        <w:t>J. Č.</w:t>
      </w:r>
      <w:r w:rsidRPr="000E2C88">
        <w:rPr>
          <w:rFonts w:eastAsia="Calibri"/>
        </w:rPr>
        <w:t xml:space="preserve">. Plačiau kitas </w:t>
      </w:r>
      <w:r w:rsidR="00385BC9" w:rsidRPr="000E2C88">
        <w:rPr>
          <w:rFonts w:eastAsia="Calibri"/>
        </w:rPr>
        <w:t>J. Č.</w:t>
      </w:r>
      <w:r w:rsidRPr="000E2C88">
        <w:rPr>
          <w:rFonts w:eastAsia="Calibri"/>
        </w:rPr>
        <w:t xml:space="preserve"> inkriminuotas aplinkybes dėl vadovavimo TSRS VSK grupės „A“ kariškiams užimant LRT teismas aptars kitoje nuosprendžio dalyje</w:t>
      </w:r>
      <w:r w:rsidRPr="007A31AA">
        <w:rPr>
          <w:rFonts w:eastAsia="Calibri"/>
        </w:rPr>
        <w:t xml:space="preserve">.  </w:t>
      </w:r>
    </w:p>
    <w:p w:rsidR="0072749F" w:rsidRPr="00C00255" w:rsidRDefault="0072749F" w:rsidP="0072749F">
      <w:pPr>
        <w:pStyle w:val="Heading3"/>
        <w:spacing w:before="120" w:after="120"/>
        <w:ind w:left="992"/>
        <w:jc w:val="both"/>
        <w:rPr>
          <w:rFonts w:eastAsia="Calibri"/>
          <w:i/>
          <w:iCs/>
          <w:sz w:val="24"/>
          <w:lang w:val="lt-LT"/>
        </w:rPr>
      </w:pPr>
      <w:bookmarkStart w:id="242" w:name="_Toc67677384"/>
      <w:bookmarkStart w:id="243" w:name="_Toc67985511"/>
      <w:r w:rsidRPr="00C00255">
        <w:rPr>
          <w:rFonts w:eastAsia="Calibri"/>
          <w:b w:val="0"/>
          <w:i/>
          <w:sz w:val="24"/>
          <w:lang w:val="lt-LT"/>
        </w:rPr>
        <w:t xml:space="preserve">Dėl pirmosios instancijos teismo išvadų vertinant </w:t>
      </w:r>
      <w:r w:rsidRPr="00C00255">
        <w:rPr>
          <w:b w:val="0"/>
          <w:i/>
          <w:sz w:val="24"/>
          <w:lang w:val="lt-LT"/>
        </w:rPr>
        <w:t xml:space="preserve">TSRS VRM ir jai pavaldžių dalinių bei nuteistųjų </w:t>
      </w:r>
      <w:r w:rsidR="00385BC9">
        <w:rPr>
          <w:b w:val="0"/>
          <w:i/>
          <w:sz w:val="24"/>
          <w:lang w:val="lt-LT"/>
        </w:rPr>
        <w:t>N. D.</w:t>
      </w:r>
      <w:r w:rsidRPr="00C00255">
        <w:rPr>
          <w:b w:val="0"/>
          <w:i/>
          <w:sz w:val="24"/>
          <w:lang w:val="lt-LT"/>
        </w:rPr>
        <w:t xml:space="preserve">, </w:t>
      </w:r>
      <w:r w:rsidR="00385BC9">
        <w:rPr>
          <w:b w:val="0"/>
          <w:i/>
          <w:sz w:val="24"/>
          <w:lang w:val="lt-LT"/>
        </w:rPr>
        <w:t>V. S. 1</w:t>
      </w:r>
      <w:r w:rsidRPr="00C00255">
        <w:rPr>
          <w:b w:val="0"/>
          <w:i/>
          <w:sz w:val="24"/>
          <w:lang w:val="lt-LT"/>
        </w:rPr>
        <w:t xml:space="preserve"> ir </w:t>
      </w:r>
      <w:r w:rsidR="006036E7">
        <w:rPr>
          <w:b w:val="0"/>
          <w:i/>
          <w:sz w:val="24"/>
          <w:lang w:val="lt-LT"/>
        </w:rPr>
        <w:t>A. Ž.</w:t>
      </w:r>
      <w:r w:rsidRPr="00C00255">
        <w:rPr>
          <w:b w:val="0"/>
          <w:i/>
          <w:sz w:val="24"/>
          <w:lang w:val="lt-LT"/>
        </w:rPr>
        <w:t xml:space="preserve"> </w:t>
      </w:r>
      <w:r w:rsidRPr="00C00255">
        <w:rPr>
          <w:rFonts w:eastAsia="Calibri"/>
          <w:b w:val="0"/>
          <w:i/>
          <w:sz w:val="24"/>
          <w:lang w:val="lt-LT"/>
        </w:rPr>
        <w:t>veiksmus planuojant karinę operaciją</w:t>
      </w:r>
      <w:bookmarkEnd w:id="242"/>
      <w:bookmarkEnd w:id="243"/>
      <w:r w:rsidRPr="00C00255">
        <w:rPr>
          <w:rFonts w:eastAsia="Calibri"/>
          <w:b w:val="0"/>
          <w:i/>
          <w:sz w:val="24"/>
          <w:lang w:val="lt-LT"/>
        </w:rPr>
        <w:t xml:space="preserve">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0E2C88">
        <w:t xml:space="preserve">Nagrinėjamoje byloje dalyvavimas planuojant karinę operaciją buvo inkriminuotas ne tik aptartiems LKP/TSKP, TSRS GM ir VSK atstovams, bet ir trims buvusiems TSRS VRM pareigūnams: TSRS vidaus reikalų ministro pavaduotojui </w:t>
      </w:r>
      <w:r w:rsidR="00385BC9" w:rsidRPr="000E2C88">
        <w:t>N. D.</w:t>
      </w:r>
      <w:r w:rsidRPr="000E2C88">
        <w:t xml:space="preserve">; TSRS vidaus reikalų ministerijos Šiaurės vakarų ir Pabaltijo vidaus kariuomenės valdybos viršininkui </w:t>
      </w:r>
      <w:r w:rsidR="00385BC9" w:rsidRPr="000E2C88">
        <w:t>V. S. 1</w:t>
      </w:r>
      <w:r w:rsidRPr="000E2C88">
        <w:t xml:space="preserve"> ir TSRS VRM Vidaus kariuomenės 42-osios divizijos vadui </w:t>
      </w:r>
      <w:r w:rsidR="006036E7" w:rsidRPr="000E2C88">
        <w:t>A. Ž</w:t>
      </w:r>
      <w:r w:rsidR="006036E7" w:rsidRPr="007A31AA">
        <w:t>.</w:t>
      </w:r>
      <w:r w:rsidRPr="007A31AA">
        <w:t xml:space="preserve">. </w:t>
      </w:r>
    </w:p>
    <w:p w:rsid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Pagal byloje prokurorų pareikštus kaltinimus ir pirmosios instancijos teismo įrodytomis pripažintas aplinkybes, TSRS VRM atstovai </w:t>
      </w:r>
      <w:r w:rsidR="00385BC9" w:rsidRPr="000E2C88">
        <w:rPr>
          <w:rFonts w:eastAsia="Calibri"/>
        </w:rPr>
        <w:t>N. D.</w:t>
      </w:r>
      <w:r w:rsidRPr="000E2C88">
        <w:rPr>
          <w:rFonts w:eastAsia="Calibri"/>
        </w:rPr>
        <w:t xml:space="preserve">, </w:t>
      </w:r>
      <w:r w:rsidR="00385BC9" w:rsidRPr="000E2C88">
        <w:rPr>
          <w:rFonts w:eastAsia="Calibri"/>
        </w:rPr>
        <w:t>V. S. 1</w:t>
      </w:r>
      <w:r w:rsidRPr="000E2C88">
        <w:rPr>
          <w:rFonts w:eastAsia="Calibri"/>
        </w:rPr>
        <w:t xml:space="preserve"> ir </w:t>
      </w:r>
      <w:r w:rsidR="006036E7" w:rsidRPr="000E2C88">
        <w:rPr>
          <w:rFonts w:eastAsia="Calibri"/>
        </w:rPr>
        <w:t>A. Ž.</w:t>
      </w:r>
      <w:r w:rsidRPr="000E2C88">
        <w:rPr>
          <w:rFonts w:eastAsia="Calibri"/>
        </w:rPr>
        <w:t xml:space="preserve"> buvo 1990 metų pabaigoje Vilniuje įkurto vadovavimo karinei operacijai štabo nariai (štabe pagal nuosprendžiu nustatytas aplinkybes taip pat buvo nuteistieji </w:t>
      </w:r>
      <w:r w:rsidR="00385BC9" w:rsidRPr="000E2C88">
        <w:rPr>
          <w:rFonts w:eastAsia="Calibri"/>
        </w:rPr>
        <w:t>V. K. 1</w:t>
      </w:r>
      <w:r w:rsidRPr="000E2C88">
        <w:rPr>
          <w:rFonts w:eastAsia="Calibri"/>
        </w:rPr>
        <w:t xml:space="preserve">, </w:t>
      </w:r>
      <w:r w:rsidR="006036E7" w:rsidRPr="000E2C88">
        <w:rPr>
          <w:rFonts w:eastAsia="Calibri"/>
        </w:rPr>
        <w:t>V. U. 1</w:t>
      </w:r>
      <w:r w:rsidRPr="000E2C88">
        <w:rPr>
          <w:rFonts w:eastAsia="Calibri"/>
        </w:rPr>
        <w:t xml:space="preserve">, </w:t>
      </w:r>
      <w:r w:rsidR="00A97F74" w:rsidRPr="000E2C88">
        <w:rPr>
          <w:rFonts w:eastAsia="Calibri"/>
        </w:rPr>
        <w:t>S. F.</w:t>
      </w:r>
      <w:r w:rsidRPr="000E2C88">
        <w:rPr>
          <w:rFonts w:eastAsia="Calibri"/>
        </w:rPr>
        <w:t xml:space="preserve">, </w:t>
      </w:r>
      <w:r w:rsidR="00385BC9" w:rsidRPr="000E2C88">
        <w:rPr>
          <w:rFonts w:eastAsia="Calibri"/>
        </w:rPr>
        <w:t>V. Š. 1</w:t>
      </w:r>
      <w:r w:rsidRPr="000E2C88">
        <w:rPr>
          <w:rFonts w:eastAsia="Calibri"/>
        </w:rPr>
        <w:t xml:space="preserve">, </w:t>
      </w:r>
      <w:r w:rsidR="00385BC9" w:rsidRPr="000E2C88">
        <w:rPr>
          <w:rFonts w:eastAsia="Calibri"/>
        </w:rPr>
        <w:t>A. N. 1</w:t>
      </w:r>
      <w:r w:rsidRPr="000E2C88">
        <w:rPr>
          <w:rFonts w:eastAsia="Calibri"/>
        </w:rPr>
        <w:t xml:space="preserve">). Štabas turėjo apjungti ir koordinuoti skirtingų kariuomenės rūšių veiksmus, tikslinti būsimos karinės operacijos vietų žemėlapius, sudaryti prieigų prie objektų schemas ir maršrutus, apskaičiuoti atvykimui į užimamus objektus ir karinės operacijos vykdymui būtiną laiką, nuolat stebėti strateginius objektus, detalizuoti vedlių ir draugovininkų buvimo vietas bei vaidmenį, nustatyti papildomai užimtinus objektus, konkretizuoti operacijoje dalyvaujančių kariuomenės rūšių veiksmus kiekviename iš užimamų objektų. Pagal nuosprendžiu nustatytas aplinkybes </w:t>
      </w:r>
      <w:r w:rsidR="00385BC9" w:rsidRPr="000E2C88">
        <w:rPr>
          <w:rFonts w:eastAsia="Calibri"/>
        </w:rPr>
        <w:t>V. S. 1</w:t>
      </w:r>
      <w:r w:rsidRPr="000E2C88">
        <w:rPr>
          <w:rFonts w:eastAsia="Calibri"/>
        </w:rPr>
        <w:t xml:space="preserve"> kartu su jam pavaldžiu </w:t>
      </w:r>
      <w:r w:rsidR="006036E7" w:rsidRPr="000E2C88">
        <w:rPr>
          <w:rFonts w:eastAsia="Calibri"/>
        </w:rPr>
        <w:t>A. Ž.</w:t>
      </w:r>
      <w:r w:rsidRPr="000E2C88">
        <w:rPr>
          <w:rFonts w:eastAsia="Calibri"/>
        </w:rPr>
        <w:t xml:space="preserve">, vykdydami </w:t>
      </w:r>
      <w:r w:rsidR="00C507EF" w:rsidRPr="000E2C88">
        <w:rPr>
          <w:rFonts w:eastAsia="Calibri"/>
        </w:rPr>
        <w:t>B. P.</w:t>
      </w:r>
      <w:r w:rsidRPr="000E2C88">
        <w:rPr>
          <w:rFonts w:eastAsia="Calibri"/>
        </w:rPr>
        <w:t xml:space="preserve"> ir </w:t>
      </w:r>
      <w:r w:rsidR="00385BC9" w:rsidRPr="000E2C88">
        <w:rPr>
          <w:rFonts w:eastAsia="Calibri"/>
        </w:rPr>
        <w:t>N. D.</w:t>
      </w:r>
      <w:r w:rsidRPr="000E2C88">
        <w:rPr>
          <w:rFonts w:eastAsia="Calibri"/>
        </w:rPr>
        <w:t xml:space="preserve"> nurodymus, įtraukė į karinę operaciją ir kitus jiems pavaldžius kariškius (</w:t>
      </w:r>
      <w:r w:rsidR="00A97F74" w:rsidRPr="000E2C88">
        <w:rPr>
          <w:rFonts w:eastAsia="Calibri"/>
        </w:rPr>
        <w:t>S. F.</w:t>
      </w:r>
      <w:r w:rsidRPr="000E2C88">
        <w:rPr>
          <w:rFonts w:eastAsia="Calibri"/>
        </w:rPr>
        <w:t>, V. R</w:t>
      </w:r>
      <w:r w:rsidR="00A97F74" w:rsidRPr="000E2C88">
        <w:rPr>
          <w:rFonts w:eastAsia="Calibri"/>
        </w:rPr>
        <w:t>.</w:t>
      </w:r>
      <w:r w:rsidRPr="000E2C88">
        <w:rPr>
          <w:rFonts w:eastAsia="Calibri"/>
        </w:rPr>
        <w:t xml:space="preserve">, </w:t>
      </w:r>
      <w:r w:rsidR="00A97F74" w:rsidRPr="000E2C88">
        <w:rPr>
          <w:rFonts w:eastAsia="Calibri"/>
        </w:rPr>
        <w:t>V. Š. 2</w:t>
      </w:r>
      <w:r w:rsidRPr="000E2C88">
        <w:rPr>
          <w:rFonts w:eastAsia="Calibri"/>
        </w:rPr>
        <w:t xml:space="preserve">, </w:t>
      </w:r>
      <w:r w:rsidR="00DC0414" w:rsidRPr="000E2C88">
        <w:rPr>
          <w:rFonts w:eastAsia="Calibri"/>
        </w:rPr>
        <w:t>O. M.</w:t>
      </w:r>
      <w:r w:rsidRPr="000E2C88">
        <w:rPr>
          <w:rFonts w:eastAsia="Calibri"/>
        </w:rPr>
        <w:t xml:space="preserve">, </w:t>
      </w:r>
      <w:r w:rsidR="00A97F74" w:rsidRPr="000E2C88">
        <w:rPr>
          <w:rFonts w:eastAsia="Calibri"/>
        </w:rPr>
        <w:t>V. M.</w:t>
      </w:r>
      <w:r w:rsidRPr="000E2C88">
        <w:rPr>
          <w:rFonts w:eastAsia="Calibri"/>
        </w:rPr>
        <w:t xml:space="preserve">, </w:t>
      </w:r>
      <w:r w:rsidR="00DC0414" w:rsidRPr="000E2C88">
        <w:rPr>
          <w:rFonts w:eastAsia="Calibri"/>
        </w:rPr>
        <w:t>G. P.</w:t>
      </w:r>
      <w:r w:rsidRPr="000E2C88">
        <w:rPr>
          <w:rFonts w:eastAsia="Calibri"/>
        </w:rPr>
        <w:t xml:space="preserve">, </w:t>
      </w:r>
      <w:r w:rsidR="00DC0414" w:rsidRPr="000E2C88">
        <w:rPr>
          <w:rFonts w:eastAsia="Calibri"/>
        </w:rPr>
        <w:t>M. C.</w:t>
      </w:r>
      <w:r w:rsidRPr="000E2C88">
        <w:rPr>
          <w:rFonts w:eastAsia="Calibri"/>
        </w:rPr>
        <w:t xml:space="preserve">, </w:t>
      </w:r>
      <w:r w:rsidR="00DC0414" w:rsidRPr="000E2C88">
        <w:rPr>
          <w:rFonts w:eastAsia="Calibri"/>
        </w:rPr>
        <w:t>J. S.</w:t>
      </w:r>
      <w:r w:rsidRPr="000E2C88">
        <w:rPr>
          <w:rFonts w:eastAsia="Calibri"/>
        </w:rPr>
        <w:t>) bei davė jiems nurodymus dėl tiesioginio dalyvavimo karinėje operacijoje ir konkrečių veiksmų atlikimo. N</w:t>
      </w:r>
      <w:r w:rsidRPr="000E2C88">
        <w:t>uosprendžiu taip pat nustatyta, kad n</w:t>
      </w:r>
      <w:r w:rsidRPr="000E2C88">
        <w:rPr>
          <w:rFonts w:eastAsia="Calibri"/>
        </w:rPr>
        <w:t xml:space="preserve">uo 1991 m. sausio mėn. pradžios nuteistojo </w:t>
      </w:r>
      <w:r w:rsidR="006036E7" w:rsidRPr="000E2C88">
        <w:rPr>
          <w:rFonts w:eastAsia="Calibri"/>
        </w:rPr>
        <w:t>A. Ž.</w:t>
      </w:r>
      <w:r w:rsidRPr="000E2C88">
        <w:rPr>
          <w:rFonts w:eastAsia="Calibri"/>
        </w:rPr>
        <w:t xml:space="preserve"> nurodymu jo vadovaujamoje 42-ojoje divizijoje buvo paskelbta „kovinė“ parengtis, parengta ginkluotė ir technika, kariškiams išduoti etatiniai ginklai ir šaudmenys, įsakyta būti tarnybos vietose, sustiprinta karinių miestelių apsauga, įvesti paros budėjimai bei patruliavimas Vilniuje ir kituose miestuose. Vadovavimo karinei operacijai štabas atakose dalyvaujančias karines pajėgas paskirstė į užimamus objektus, konkretizavo kariuomenės rūšių užduotis ir veiksmus, paskyrė kariniams veiksmams vadovaujančius bei už veiksmų koordinavimą atsakingus karininkus, įsakė apie karinių operacijų eigą ir rezultatus informuoti vadovavimo štabą. </w:t>
      </w:r>
      <w:r w:rsidR="006036E7" w:rsidRPr="000E2C88">
        <w:rPr>
          <w:rFonts w:eastAsia="Calibri"/>
        </w:rPr>
        <w:t>A. Ž.</w:t>
      </w:r>
      <w:r w:rsidRPr="000E2C88">
        <w:rPr>
          <w:rFonts w:eastAsia="Calibri"/>
        </w:rPr>
        <w:t xml:space="preserve"> kartu su </w:t>
      </w:r>
      <w:r w:rsidR="00385BC9" w:rsidRPr="000E2C88">
        <w:rPr>
          <w:rFonts w:eastAsia="Calibri"/>
        </w:rPr>
        <w:t>M. G.</w:t>
      </w:r>
      <w:r w:rsidRPr="000E2C88">
        <w:rPr>
          <w:rFonts w:eastAsia="Calibri"/>
        </w:rPr>
        <w:t xml:space="preserve">, </w:t>
      </w:r>
      <w:r w:rsidR="00385BC9" w:rsidRPr="000E2C88">
        <w:rPr>
          <w:rFonts w:eastAsia="Calibri"/>
        </w:rPr>
        <w:t>V. K. 1</w:t>
      </w:r>
      <w:r w:rsidRPr="000E2C88">
        <w:rPr>
          <w:rFonts w:eastAsia="Calibri"/>
        </w:rPr>
        <w:t xml:space="preserve"> ir </w:t>
      </w:r>
      <w:r w:rsidR="006036E7" w:rsidRPr="000E2C88">
        <w:rPr>
          <w:rFonts w:eastAsia="Calibri"/>
        </w:rPr>
        <w:t>V. U. 1</w:t>
      </w:r>
      <w:r w:rsidRPr="000E2C88">
        <w:rPr>
          <w:rFonts w:eastAsia="Calibri"/>
        </w:rPr>
        <w:t xml:space="preserve"> koordinavo bendrus TSRS GM, VSK ir VRM kariškių veiksmus, o jų, kaip koordinatorių veiksmus kontroliavo kiti vadovavimo operacijai štabo nariai, t. y. </w:t>
      </w:r>
      <w:r w:rsidR="00385BC9" w:rsidRPr="000E2C88">
        <w:rPr>
          <w:rFonts w:eastAsia="Calibri"/>
        </w:rPr>
        <w:t>N. D.</w:t>
      </w:r>
      <w:r w:rsidRPr="000E2C88">
        <w:rPr>
          <w:rFonts w:eastAsia="Calibri"/>
        </w:rPr>
        <w:t xml:space="preserve">, </w:t>
      </w:r>
      <w:r w:rsidR="00385BC9" w:rsidRPr="000E2C88">
        <w:rPr>
          <w:rFonts w:eastAsia="Calibri"/>
        </w:rPr>
        <w:t>V. S. 1</w:t>
      </w:r>
      <w:r w:rsidRPr="000E2C88">
        <w:rPr>
          <w:rFonts w:eastAsia="Calibri"/>
        </w:rPr>
        <w:t xml:space="preserve"> (kartu su </w:t>
      </w:r>
      <w:r w:rsidR="00C507EF" w:rsidRPr="000E2C88">
        <w:rPr>
          <w:rFonts w:eastAsia="Calibri"/>
        </w:rPr>
        <w:t>J. K.</w:t>
      </w:r>
      <w:r w:rsidRPr="000E2C88">
        <w:rPr>
          <w:rFonts w:eastAsia="Calibri"/>
        </w:rPr>
        <w:t xml:space="preserve">, </w:t>
      </w:r>
      <w:r w:rsidR="00D37127" w:rsidRPr="000E2C88">
        <w:rPr>
          <w:rFonts w:eastAsia="Calibri"/>
        </w:rPr>
        <w:t>S. C.</w:t>
      </w:r>
      <w:r w:rsidRPr="000E2C88">
        <w:rPr>
          <w:rFonts w:eastAsia="Calibri"/>
        </w:rPr>
        <w:t xml:space="preserve">, </w:t>
      </w:r>
      <w:r w:rsidR="00C507EF" w:rsidRPr="000E2C88">
        <w:rPr>
          <w:rFonts w:eastAsia="Calibri"/>
        </w:rPr>
        <w:t>V. A.</w:t>
      </w:r>
      <w:r w:rsidRPr="000E2C88">
        <w:rPr>
          <w:rFonts w:eastAsia="Calibri"/>
        </w:rPr>
        <w:t xml:space="preserve">, </w:t>
      </w:r>
      <w:r w:rsidR="00C507EF" w:rsidRPr="000E2C88">
        <w:rPr>
          <w:rFonts w:eastAsia="Calibri"/>
        </w:rPr>
        <w:t>V. O.</w:t>
      </w:r>
      <w:r w:rsidRPr="000E2C88">
        <w:rPr>
          <w:rFonts w:eastAsia="Calibri"/>
        </w:rPr>
        <w:t>, kurių atžvilgiu tyrimas nutrauktas jiems miru</w:t>
      </w:r>
      <w:r w:rsidRPr="007A31AA">
        <w:rPr>
          <w:rFonts w:eastAsia="Calibri"/>
        </w:rPr>
        <w:t xml:space="preserve">s).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t xml:space="preserve">Pirmosios instancijos teismas, atsižvelgdamas į visas byloje nustatytas aplinkybes, nuosprendžio motyvuojamojoje dalyje </w:t>
      </w:r>
      <w:r w:rsidR="00385BC9" w:rsidRPr="007A31AA">
        <w:rPr>
          <w:iCs/>
        </w:rPr>
        <w:t>N. D.</w:t>
      </w:r>
      <w:r w:rsidRPr="007A31AA">
        <w:rPr>
          <w:iCs/>
        </w:rPr>
        <w:t xml:space="preserve">, </w:t>
      </w:r>
      <w:r w:rsidR="00385BC9" w:rsidRPr="007A31AA">
        <w:rPr>
          <w:iCs/>
        </w:rPr>
        <w:t>V. S. 1</w:t>
      </w:r>
      <w:r w:rsidRPr="007A31AA">
        <w:rPr>
          <w:iCs/>
        </w:rPr>
        <w:t xml:space="preserve"> ir </w:t>
      </w:r>
      <w:r w:rsidR="006036E7" w:rsidRPr="007A31AA">
        <w:rPr>
          <w:iCs/>
        </w:rPr>
        <w:t>A. Ž.</w:t>
      </w:r>
      <w:r w:rsidRPr="007A31AA">
        <w:rPr>
          <w:iCs/>
        </w:rPr>
        <w:t xml:space="preserve"> veiksmus </w:t>
      </w:r>
      <w:r w:rsidRPr="007A31AA">
        <w:t xml:space="preserve">apibendrino taip: </w:t>
      </w:r>
      <w:r w:rsidRPr="007A31AA">
        <w:rPr>
          <w:rFonts w:eastAsia="Calibri"/>
          <w:i/>
          <w:iCs/>
        </w:rPr>
        <w:t xml:space="preserve"> </w:t>
      </w:r>
    </w:p>
    <w:p w:rsidR="007A31AA" w:rsidRDefault="00385BC9" w:rsidP="007A31AA">
      <w:pPr>
        <w:pStyle w:val="NormalWeb"/>
        <w:numPr>
          <w:ilvl w:val="1"/>
          <w:numId w:val="6"/>
        </w:numPr>
        <w:spacing w:before="120" w:beforeAutospacing="0" w:after="120" w:afterAutospacing="0"/>
        <w:ind w:left="992" w:hanging="992"/>
        <w:rPr>
          <w:rFonts w:eastAsia="Calibri"/>
        </w:rPr>
      </w:pPr>
      <w:r w:rsidRPr="007A31AA">
        <w:t>N</w:t>
      </w:r>
      <w:r w:rsidRPr="000E2C88">
        <w:t>. D.</w:t>
      </w:r>
      <w:r w:rsidR="0072749F" w:rsidRPr="000E2C88">
        <w:t xml:space="preserve"> buvo </w:t>
      </w:r>
      <w:r w:rsidR="0072749F" w:rsidRPr="000E2C88">
        <w:rPr>
          <w:rFonts w:eastAsia="Calibri"/>
        </w:rPr>
        <w:t>vadovavimo karinei operacijai štabo narys ir kartu su kitais vadovavimo štabo nariais kontroliavo koordinatorių veiksmus karinės operacijos metu</w:t>
      </w:r>
      <w:r w:rsidR="0072749F" w:rsidRPr="007A31AA">
        <w:rPr>
          <w:rFonts w:eastAsia="Calibri"/>
        </w:rPr>
        <w:t>;</w:t>
      </w:r>
    </w:p>
    <w:p w:rsidR="007A31AA" w:rsidRDefault="00385BC9" w:rsidP="007A31AA">
      <w:pPr>
        <w:pStyle w:val="NormalWeb"/>
        <w:numPr>
          <w:ilvl w:val="1"/>
          <w:numId w:val="6"/>
        </w:numPr>
        <w:spacing w:before="120" w:beforeAutospacing="0" w:after="120" w:afterAutospacing="0"/>
        <w:ind w:left="992" w:hanging="992"/>
        <w:rPr>
          <w:rFonts w:eastAsia="Calibri"/>
        </w:rPr>
      </w:pPr>
      <w:r w:rsidRPr="000E2C88">
        <w:rPr>
          <w:rFonts w:eastAsia="Calibri"/>
        </w:rPr>
        <w:t>V. S. 1</w:t>
      </w:r>
      <w:r w:rsidR="0072749F" w:rsidRPr="000E2C88">
        <w:rPr>
          <w:rFonts w:eastAsia="Calibri"/>
        </w:rPr>
        <w:t xml:space="preserve"> buvo vadovavimo karinei operacijai štabo narys, skirstė kariškius bei karinę techniką į užimamus objektus, konkretizavo kariuomenės rūšių užduotis ir veiksmus, paskyrė kariniams veiksmams vadovaujančius bei už veiksmų koordinavimą atsakingus karininkus, kontroliavo koordinatorių veiksmus, asmeniškai vadovavo LRT pastatų šturmui</w:t>
      </w:r>
      <w:r w:rsidR="0072749F" w:rsidRPr="007A31AA">
        <w:rPr>
          <w:rFonts w:eastAsia="Calibri"/>
        </w:rPr>
        <w:t>;</w:t>
      </w:r>
    </w:p>
    <w:p w:rsidR="007A31AA" w:rsidRPr="007A31AA" w:rsidRDefault="006036E7" w:rsidP="007A31AA">
      <w:pPr>
        <w:pStyle w:val="NormalWeb"/>
        <w:numPr>
          <w:ilvl w:val="1"/>
          <w:numId w:val="6"/>
        </w:numPr>
        <w:spacing w:before="120" w:beforeAutospacing="0" w:after="120" w:afterAutospacing="0"/>
        <w:ind w:left="992" w:hanging="992"/>
        <w:rPr>
          <w:rFonts w:eastAsia="Calibri"/>
        </w:rPr>
      </w:pPr>
      <w:r w:rsidRPr="000E2C88">
        <w:rPr>
          <w:rFonts w:eastAsia="Calibri"/>
        </w:rPr>
        <w:t>A. Ž.</w:t>
      </w:r>
      <w:r w:rsidR="0072749F" w:rsidRPr="000E2C88">
        <w:rPr>
          <w:rFonts w:eastAsia="Calibri"/>
        </w:rPr>
        <w:t xml:space="preserve"> buvo vadovavimo karinei operacijai štabo narys, konkretizavo kariuomenės rūšių užduotis ir veiksmus, paskyrė kariniams veiksmams vadovaujančius bei už veiksmų koordinavimą atsakingus karininkus, paskirstė kariškius į užimamus objektus, paskelbė kovinę parengtį divizijos daliniuose, koordinavo kariškių veiksmus objektų šturmo metu, davė nurodymą dėl ginklų pagrobimo iš medžiotojų žvejų draugijos sandėlio, vadovavo ir koordinavo karinės operacijos veiksmus prie TV bokšto bei LRT</w:t>
      </w:r>
      <w:r w:rsidR="0072749F" w:rsidRPr="007A31AA">
        <w:rPr>
          <w:rFonts w:eastAsia="Calibri"/>
        </w:rPr>
        <w:t>.</w:t>
      </w:r>
      <w:r w:rsidR="0072749F" w:rsidRPr="007A31AA">
        <w:t xml:space="preserve">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7A31AA">
        <w:t xml:space="preserve">Nuteistojo </w:t>
      </w:r>
      <w:r w:rsidR="00385BC9" w:rsidRPr="007A31AA">
        <w:t>N. D.</w:t>
      </w:r>
      <w:r w:rsidRPr="007A31AA">
        <w:t xml:space="preserve"> gynėjas apeliaciniu skundu prašė išteisinti jo ginamąjį, pastarajam nepadarius inkriminuojamų nusikalstamų veikų. Gynėjo teigimu, b</w:t>
      </w:r>
      <w:r w:rsidRPr="007A31AA">
        <w:rPr>
          <w:bCs/>
        </w:rPr>
        <w:t xml:space="preserve">yloje, be kita ko, neįrodyta, jog </w:t>
      </w:r>
      <w:r w:rsidR="00385BC9" w:rsidRPr="007A31AA">
        <w:rPr>
          <w:bCs/>
        </w:rPr>
        <w:t>N. D.</w:t>
      </w:r>
      <w:r w:rsidRPr="007A31AA">
        <w:rPr>
          <w:bCs/>
        </w:rPr>
        <w:t xml:space="preserve"> dalyvavo karinės operacijos štabo veikloje bei jam vadovavo. Apie Sausio 13 d. įvykius </w:t>
      </w:r>
      <w:r w:rsidR="00385BC9" w:rsidRPr="007A31AA">
        <w:rPr>
          <w:bCs/>
        </w:rPr>
        <w:t>N. D.</w:t>
      </w:r>
      <w:r w:rsidRPr="007A31AA">
        <w:rPr>
          <w:bCs/>
        </w:rPr>
        <w:t xml:space="preserve"> sužinojo tik minėtos dienos rytą. Gynėjas taip pat nesutinka su </w:t>
      </w:r>
      <w:r w:rsidR="00385BC9" w:rsidRPr="007A31AA">
        <w:rPr>
          <w:bCs/>
        </w:rPr>
        <w:t>N. D.</w:t>
      </w:r>
      <w:r w:rsidRPr="007A31AA">
        <w:rPr>
          <w:bCs/>
        </w:rPr>
        <w:t xml:space="preserve"> veiksmų teisiniu vertinimu. Panašios pozicijos apeliaciniame skunde laikėsi ir nuteistojo </w:t>
      </w:r>
      <w:r w:rsidR="00385BC9" w:rsidRPr="007A31AA">
        <w:rPr>
          <w:bCs/>
        </w:rPr>
        <w:t>V. S. 1</w:t>
      </w:r>
      <w:r w:rsidRPr="007A31AA">
        <w:rPr>
          <w:bCs/>
        </w:rPr>
        <w:t xml:space="preserve"> gynėjas, kuris nurodė, kad byloje nesurinkta įrodymų, jog nuteistasis buvo karinės operacijos štabo narys. Gynėjo teigimu, </w:t>
      </w:r>
      <w:r w:rsidR="00385BC9" w:rsidRPr="007A31AA">
        <w:rPr>
          <w:bCs/>
        </w:rPr>
        <w:t>V. S. 1</w:t>
      </w:r>
      <w:r w:rsidRPr="007A31AA">
        <w:rPr>
          <w:bCs/>
        </w:rPr>
        <w:t xml:space="preserve"> nedalyvavo jokiuose susirinkimuose. Specialisto išvadoje nepagrįstai nurodoma, kad štabas buvo įkurtas ir jame turėjo aktyviai dalyvauti </w:t>
      </w:r>
      <w:r w:rsidR="00385BC9" w:rsidRPr="007A31AA">
        <w:rPr>
          <w:bCs/>
        </w:rPr>
        <w:t>V. S. 1</w:t>
      </w:r>
      <w:r w:rsidRPr="007A31AA">
        <w:rPr>
          <w:bCs/>
        </w:rPr>
        <w:t xml:space="preserve">. Specialistas rėmėsi prielaidomis, kuriomis teismas nuosprendžio grįsti negalėjo. </w:t>
      </w:r>
      <w:r w:rsidR="00385BC9" w:rsidRPr="007A31AA">
        <w:rPr>
          <w:bCs/>
        </w:rPr>
        <w:t>V. S. 1</w:t>
      </w:r>
      <w:r w:rsidRPr="007A31AA">
        <w:rPr>
          <w:bCs/>
        </w:rPr>
        <w:t xml:space="preserve"> dalyvavo tik sprendžiant klausimus dėl pastatų perėmimo po jų užėmimo, tačiau ne juos užimant. Nuteistojo </w:t>
      </w:r>
      <w:r w:rsidR="006036E7" w:rsidRPr="007A31AA">
        <w:rPr>
          <w:bCs/>
        </w:rPr>
        <w:t>A. Ž.</w:t>
      </w:r>
      <w:r w:rsidRPr="007A31AA">
        <w:rPr>
          <w:bCs/>
        </w:rPr>
        <w:t xml:space="preserve"> gynėjas, prašydamas išteisinti jo ginamąjį, apeliaciniame skunde, be kita ko, nurodė, kad </w:t>
      </w:r>
      <w:r w:rsidR="006036E7" w:rsidRPr="007A31AA">
        <w:rPr>
          <w:bCs/>
        </w:rPr>
        <w:t>A. Ž.</w:t>
      </w:r>
      <w:r w:rsidRPr="007A31AA">
        <w:rPr>
          <w:bCs/>
        </w:rPr>
        <w:t xml:space="preserve"> nežinojo apie Sausio 13 d. įvykių planą. VRM kariai, kuriems jis vadovavo, buvo skirti pastatų apsaugai, be to, jam pavaldūs kariškiai buvo perduoti kitam vadui ir kur bus naudojami, jis nežinojo.</w:t>
      </w:r>
    </w:p>
    <w:p w:rsidR="007A31AA" w:rsidRDefault="0072749F" w:rsidP="007A31AA">
      <w:pPr>
        <w:pStyle w:val="NormalWeb"/>
        <w:numPr>
          <w:ilvl w:val="0"/>
          <w:numId w:val="6"/>
        </w:numPr>
        <w:spacing w:before="120" w:beforeAutospacing="0" w:after="120" w:afterAutospacing="0"/>
        <w:ind w:left="992" w:hanging="992"/>
        <w:rPr>
          <w:rFonts w:eastAsia="Calibri"/>
        </w:rPr>
      </w:pPr>
      <w:r w:rsidRPr="000E2C88">
        <w:t xml:space="preserve">Teisėjų kolegija su tokiais gynėjų argumentais dėl byloje nustatytų faktinių aplinkybių, susijusių su nuteistųjų </w:t>
      </w:r>
      <w:r w:rsidR="00385BC9" w:rsidRPr="000E2C88">
        <w:t>N. D.</w:t>
      </w:r>
      <w:r w:rsidRPr="000E2C88">
        <w:t xml:space="preserve">, </w:t>
      </w:r>
      <w:r w:rsidR="00385BC9" w:rsidRPr="000E2C88">
        <w:t>V. S. 1</w:t>
      </w:r>
      <w:r w:rsidRPr="000E2C88">
        <w:t xml:space="preserve"> ir </w:t>
      </w:r>
      <w:r w:rsidR="006036E7" w:rsidRPr="000E2C88">
        <w:t>A. Ž.</w:t>
      </w:r>
      <w:r w:rsidRPr="000E2C88">
        <w:t xml:space="preserve"> </w:t>
      </w:r>
      <w:r w:rsidRPr="000E2C88">
        <w:rPr>
          <w:rFonts w:eastAsia="Calibri"/>
        </w:rPr>
        <w:t xml:space="preserve">veiksmais planuojant karinę operaciją </w:t>
      </w:r>
      <w:r w:rsidRPr="000E2C88">
        <w:t xml:space="preserve">nesutinka. Šiuos skundų argumentus paneigia byloje surinktų, pirmosios instancijos teismo posėdyje ištirtų ir nuosprendyje paminėtų įrodymų visuma: teisiamajame posėdyje apklaustų liudytojų parodymai apie nuteistųjų </w:t>
      </w:r>
      <w:r w:rsidR="00385BC9" w:rsidRPr="000E2C88">
        <w:t>N. D.</w:t>
      </w:r>
      <w:r w:rsidRPr="000E2C88">
        <w:t xml:space="preserve">, </w:t>
      </w:r>
      <w:r w:rsidR="00385BC9" w:rsidRPr="000E2C88">
        <w:t>V. S. 1</w:t>
      </w:r>
      <w:r w:rsidRPr="000E2C88">
        <w:t xml:space="preserve"> ir </w:t>
      </w:r>
      <w:r w:rsidR="006036E7" w:rsidRPr="000E2C88">
        <w:t>A. Ž.</w:t>
      </w:r>
      <w:r w:rsidRPr="000E2C88">
        <w:t xml:space="preserve"> atvykimą į Vilnių ir dalyvavimą kariniame Šiaurės miestelyje bei ten veikusiame štabe (pvz., liudytojų </w:t>
      </w:r>
      <w:r w:rsidR="00DD1A27" w:rsidRPr="000E2C88">
        <w:t>A. B.</w:t>
      </w:r>
      <w:r w:rsidRPr="000E2C88">
        <w:t xml:space="preserve">, </w:t>
      </w:r>
      <w:r w:rsidR="00DD1A27" w:rsidRPr="000E2C88">
        <w:t>M. M.</w:t>
      </w:r>
      <w:r w:rsidRPr="000E2C88">
        <w:t xml:space="preserve">, </w:t>
      </w:r>
      <w:r w:rsidR="005A493E" w:rsidRPr="000E2C88">
        <w:t>R. M.</w:t>
      </w:r>
      <w:r w:rsidRPr="000E2C88">
        <w:t xml:space="preserve"> ir kt. parodymai, kuriais abejoti neleidžia ir juos patvirtina TSRS kariškių parodymai, duoti ikiteisminio tyrimo metu (</w:t>
      </w:r>
      <w:r w:rsidR="00D37127" w:rsidRPr="000E2C88">
        <w:t>S. C.</w:t>
      </w:r>
      <w:r w:rsidRPr="000E2C88">
        <w:t xml:space="preserve">, </w:t>
      </w:r>
      <w:r w:rsidR="00DD1A27" w:rsidRPr="000E2C88">
        <w:t>I. F.</w:t>
      </w:r>
      <w:r w:rsidRPr="000E2C88">
        <w:t xml:space="preserve">, </w:t>
      </w:r>
      <w:r w:rsidR="00385BC9" w:rsidRPr="000E2C88">
        <w:t>V. S. 2</w:t>
      </w:r>
      <w:r w:rsidRPr="000E2C88">
        <w:t xml:space="preserve"> ir iš dalies paties </w:t>
      </w:r>
      <w:r w:rsidR="00385BC9" w:rsidRPr="000E2C88">
        <w:t>V. S. 1</w:t>
      </w:r>
      <w:r w:rsidRPr="000E2C88">
        <w:t xml:space="preserve"> parodymai)); </w:t>
      </w:r>
      <w:r w:rsidR="00C507EF" w:rsidRPr="000E2C88">
        <w:t>V. A.</w:t>
      </w:r>
      <w:r w:rsidRPr="000E2C88">
        <w:t xml:space="preserve"> vieši pasisakymai ir jų vaizdo įrašai; nuteistojo </w:t>
      </w:r>
      <w:r w:rsidR="00385BC9" w:rsidRPr="000E2C88">
        <w:t>M. G.</w:t>
      </w:r>
      <w:r w:rsidRPr="000E2C88">
        <w:t xml:space="preserve"> surašyta pažyma dėl komandiruotės Vilniuje ir jo paaiškinimai duoti RTFSR Aukščiausiosios Ta</w:t>
      </w:r>
      <w:r w:rsidR="00D220F2" w:rsidRPr="000E2C88">
        <w:t>rybos komisijai; specialisto J. </w:t>
      </w:r>
      <w:r w:rsidRPr="000E2C88">
        <w:t xml:space="preserve">Andriškevičiaus išvados apie TSRS VRM padalinių vaidmenį, be kita ko, nustatytą ir iš objektyviai užfiksuotų vaizdo bei garso įrašų; rašytiniai bylos dokumentai ir kiti duomenys, liudijantys apie tai, kad </w:t>
      </w:r>
      <w:r w:rsidR="00385BC9" w:rsidRPr="000E2C88">
        <w:t>N. D.</w:t>
      </w:r>
      <w:r w:rsidRPr="000E2C88">
        <w:t xml:space="preserve">, kaip ir tiesiogiai jam pavaldus </w:t>
      </w:r>
      <w:r w:rsidR="00385BC9" w:rsidRPr="000E2C88">
        <w:t>V. S. 1</w:t>
      </w:r>
      <w:r w:rsidRPr="000E2C88">
        <w:t xml:space="preserve">, bei pastarajam pavaldus </w:t>
      </w:r>
      <w:r w:rsidR="006036E7" w:rsidRPr="000E2C88">
        <w:t>A. Ž.</w:t>
      </w:r>
      <w:r w:rsidRPr="000E2C88">
        <w:t xml:space="preserve"> buvo aktyvūs karinės operacijos rengimo dalyviai ir Vilniuje įkurto vadovavimo karinei operacijai štabo nariai, kurie davė </w:t>
      </w:r>
      <w:r w:rsidRPr="000E2C88">
        <w:rPr>
          <w:rFonts w:eastAsia="Calibri"/>
        </w:rPr>
        <w:t>nurodymus dėl tiesioginio dalyvavimo karinėje operacijoje bei konkrečių veiksmų atlikimo sau pavaldiems kariškiams, koordinavo bei kontroliavo žemesnių kariškių veiksmus, siekiant užimti svarbius ir strateginę reikšmę turinčius objektus bei siekiant bendro tikslo – Lietuvos gražinimo į TSRS sudėtį</w:t>
      </w:r>
      <w:r w:rsidRPr="007A31AA">
        <w:rPr>
          <w:rFonts w:eastAsia="Calibri"/>
        </w:rPr>
        <w:t xml:space="preserve">. </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0E2C88">
        <w:rPr>
          <w:rFonts w:eastAsia="Calibri"/>
        </w:rPr>
        <w:t xml:space="preserve">Šiame sprendime, analizuojant LKP/TSKP aktyvistų, TSRS GM bei VSK vadovų ir kariškių veiksmus planuojant karinę operaciją, jau buvo aptarti byloje surinkti ir ištirti įrodymai, patvirtinantys, kad visos jau minėtos TSRS institucijos, o taip pat ir LKP/TSKP, vykdė tą pačią TSRS politiką, kad Vilniuje buvo įkurtas vadovavimo karinei operacijai štabas, į kurį įėjo visų karinėje operacijoje dalyvaujančių struktūrų atstovai. Tie patys įrodymai liudija ir apie TSRS vidaus reikalų ministerijos vadovų ir jiems pavaldžių kariškių vykdytą TSRS politiką Lietuvos atžvilgiu (paminėtini teisiamajame posėdyje apklaustų liudytojų, pvz., </w:t>
      </w:r>
      <w:r w:rsidR="00DD1A27" w:rsidRPr="000E2C88">
        <w:rPr>
          <w:rFonts w:eastAsia="Calibri"/>
        </w:rPr>
        <w:t>V. L.</w:t>
      </w:r>
      <w:r w:rsidRPr="000E2C88">
        <w:rPr>
          <w:rFonts w:eastAsia="Calibri"/>
        </w:rPr>
        <w:t xml:space="preserve">, </w:t>
      </w:r>
      <w:r w:rsidR="00DD1A27" w:rsidRPr="000E2C88">
        <w:rPr>
          <w:rFonts w:eastAsia="Calibri"/>
        </w:rPr>
        <w:t>E. B.</w:t>
      </w:r>
      <w:r w:rsidRPr="000E2C88">
        <w:rPr>
          <w:rFonts w:eastAsia="Calibri"/>
        </w:rPr>
        <w:t xml:space="preserve">, </w:t>
      </w:r>
      <w:r w:rsidR="00DD1A27" w:rsidRPr="000E2C88">
        <w:rPr>
          <w:rFonts w:eastAsia="Calibri"/>
        </w:rPr>
        <w:t>A. B.</w:t>
      </w:r>
      <w:r w:rsidRPr="000E2C88">
        <w:rPr>
          <w:rFonts w:eastAsia="Calibri"/>
        </w:rPr>
        <w:t xml:space="preserve">, </w:t>
      </w:r>
      <w:r w:rsidR="00DD1A27" w:rsidRPr="000E2C88">
        <w:rPr>
          <w:rFonts w:eastAsia="Calibri"/>
        </w:rPr>
        <w:t>P. L.</w:t>
      </w:r>
      <w:r w:rsidRPr="000E2C88">
        <w:rPr>
          <w:rFonts w:eastAsia="Calibri"/>
        </w:rPr>
        <w:t xml:space="preserve">, </w:t>
      </w:r>
      <w:r w:rsidR="005A493E" w:rsidRPr="000E2C88">
        <w:rPr>
          <w:rFonts w:eastAsia="Calibri"/>
        </w:rPr>
        <w:t>R. M.</w:t>
      </w:r>
      <w:r w:rsidRPr="000E2C88">
        <w:rPr>
          <w:rFonts w:eastAsia="Calibri"/>
        </w:rPr>
        <w:t xml:space="preserve"> parodymai; </w:t>
      </w:r>
      <w:r w:rsidRPr="000E2C88">
        <w:t xml:space="preserve">1991 m. sausio 14–16 d. TSRS Aukščiausios Tarybos posėdžių metu išsakyti TSRS vidaus reikalų ministro </w:t>
      </w:r>
      <w:r w:rsidR="00C507EF" w:rsidRPr="000E2C88">
        <w:t>B. P.</w:t>
      </w:r>
      <w:r w:rsidRPr="000E2C88">
        <w:t xml:space="preserve"> pasisakymai ir jo kartu su </w:t>
      </w:r>
      <w:r w:rsidR="00385BC9" w:rsidRPr="000E2C88">
        <w:t>D. J.</w:t>
      </w:r>
      <w:r w:rsidRPr="000E2C88">
        <w:t xml:space="preserve"> priimti sprendimai dėl kariškių perdislokavimo, kariškių patruliavimo, TSRS gynybos ministro pavaduotojo ir TSRS Oro desanto pajėgų vado pereigas užimančio </w:t>
      </w:r>
      <w:r w:rsidR="00C507EF" w:rsidRPr="000E2C88">
        <w:t>V. A.</w:t>
      </w:r>
      <w:r w:rsidRPr="000E2C88">
        <w:t xml:space="preserve"> pasisakymai, užfiksuoti vaizdo įrašuose ir kt.). Taigi, teisėjų kolegija šių įrodymų pakartotinai neanalizuoja, bet juos vertina darydama išvadas dėl nuteistųjų </w:t>
      </w:r>
      <w:r w:rsidR="00385BC9" w:rsidRPr="000E2C88">
        <w:t>N. D.</w:t>
      </w:r>
      <w:r w:rsidRPr="000E2C88">
        <w:t xml:space="preserve">, </w:t>
      </w:r>
      <w:r w:rsidR="00385BC9" w:rsidRPr="000E2C88">
        <w:t>V. S. 1</w:t>
      </w:r>
      <w:r w:rsidRPr="000E2C88">
        <w:t xml:space="preserve"> ir </w:t>
      </w:r>
      <w:r w:rsidR="006036E7" w:rsidRPr="000E2C88">
        <w:t>A. Ž.</w:t>
      </w:r>
      <w:r w:rsidRPr="000E2C88">
        <w:t xml:space="preserve"> veiksmų įgyvendinant minėtą TSRS politiką, siekiant Lietuvos grąžinimo į TSRS sudėtį</w:t>
      </w:r>
      <w:r w:rsidRPr="00C00255">
        <w:t>.</w:t>
      </w:r>
    </w:p>
    <w:p w:rsidR="007A31AA" w:rsidRPr="007A31AA" w:rsidRDefault="0072749F" w:rsidP="007A31AA">
      <w:pPr>
        <w:pStyle w:val="NormalWeb"/>
        <w:numPr>
          <w:ilvl w:val="0"/>
          <w:numId w:val="6"/>
        </w:numPr>
        <w:spacing w:before="120" w:beforeAutospacing="0" w:after="120" w:afterAutospacing="0"/>
        <w:ind w:left="992" w:hanging="992"/>
        <w:rPr>
          <w:rFonts w:eastAsia="Calibri"/>
        </w:rPr>
      </w:pPr>
      <w:r w:rsidRPr="00C00255">
        <w:t xml:space="preserve">Pirmosios instancijos teismo išvadas dėl </w:t>
      </w:r>
      <w:r w:rsidR="00385BC9">
        <w:t>N. D.</w:t>
      </w:r>
      <w:r w:rsidRPr="00C00255">
        <w:t xml:space="preserve">, </w:t>
      </w:r>
      <w:r w:rsidR="00385BC9">
        <w:t>V. S. 1</w:t>
      </w:r>
      <w:r w:rsidRPr="00C00255">
        <w:t xml:space="preserve"> ir </w:t>
      </w:r>
      <w:r w:rsidR="006036E7">
        <w:t>A. Ž.</w:t>
      </w:r>
      <w:r w:rsidRPr="00C00255">
        <w:t xml:space="preserve"> dalyvavimo karinės operacijos vadovavimo štabo veikloje, pirmiausia, patvirtina neginčijamai nustatytas faktas, kad karinėje operacijoje dalyvavo TSRS VRM kariškiai, o </w:t>
      </w:r>
      <w:r w:rsidR="00385BC9">
        <w:t>N. D.</w:t>
      </w:r>
      <w:r w:rsidRPr="00C00255">
        <w:t xml:space="preserve">, </w:t>
      </w:r>
      <w:r w:rsidR="00385BC9">
        <w:t>V. S. 1</w:t>
      </w:r>
      <w:r w:rsidRPr="00C00255">
        <w:t xml:space="preserve"> ir </w:t>
      </w:r>
      <w:r w:rsidR="006036E7">
        <w:t>A. Ž.</w:t>
      </w:r>
      <w:r w:rsidRPr="00C00255">
        <w:t xml:space="preserve"> buvo aukščiausi šių TSRS VRM pajėgų vadovai. Šias aplinkybes detaliai atskleidžia specialisto J. Andriškevičiaus išvada, byloje esantys TSRS pareigūnų raštai, ataskaitos, pažymos ir panašūs dokumentai, kurie surašyti netrukus po operacijos įvykdymo, be to, šios aplinkybės nustatytos ir jau minėtoje </w:t>
      </w:r>
      <w:r w:rsidR="00C507EF">
        <w:t>M. B.</w:t>
      </w:r>
      <w:r w:rsidRPr="00C00255">
        <w:t xml:space="preserve">, </w:t>
      </w:r>
      <w:r w:rsidR="00C507EF">
        <w:t>J. K.</w:t>
      </w:r>
      <w:r w:rsidRPr="00C00255">
        <w:t xml:space="preserve"> ir kt. byloje.</w:t>
      </w:r>
    </w:p>
    <w:p w:rsidR="00361401" w:rsidRPr="00361401" w:rsidRDefault="0072749F" w:rsidP="00361401">
      <w:pPr>
        <w:pStyle w:val="NormalWeb"/>
        <w:numPr>
          <w:ilvl w:val="0"/>
          <w:numId w:val="6"/>
        </w:numPr>
        <w:spacing w:before="120" w:beforeAutospacing="0" w:after="120" w:afterAutospacing="0"/>
        <w:ind w:left="992" w:hanging="992"/>
        <w:rPr>
          <w:rFonts w:eastAsia="Calibri"/>
        </w:rPr>
      </w:pPr>
      <w:r w:rsidRPr="000E2C88">
        <w:rPr>
          <w:rFonts w:eastAsia="Calibri"/>
        </w:rPr>
        <w:t>TSRS vidaus reikalų minister</w:t>
      </w:r>
      <w:r w:rsidR="00D220F2" w:rsidRPr="000E2C88">
        <w:rPr>
          <w:rFonts w:eastAsia="Calibri"/>
        </w:rPr>
        <w:t>ijos Vidaus kariuomenės vado J. </w:t>
      </w:r>
      <w:r w:rsidRPr="000E2C88">
        <w:rPr>
          <w:rFonts w:eastAsia="Calibri"/>
        </w:rPr>
        <w:t>Š</w:t>
      </w:r>
      <w:r w:rsidR="00D220F2" w:rsidRPr="000E2C88">
        <w:rPr>
          <w:rFonts w:eastAsia="Calibri"/>
        </w:rPr>
        <w:t>.</w:t>
      </w:r>
      <w:r w:rsidRPr="000E2C88">
        <w:rPr>
          <w:rFonts w:eastAsia="Calibri"/>
        </w:rPr>
        <w:t xml:space="preserve">1991 m. vasario 14 d. pasirašytose išvadose „Dėl vidaus kariuomenės dalinių dalyvavimo užtikrinant viešąją tvarką Vilniuje 1991 m. sausio 13 d.“ ne tik atskleistas TSRS VRM dalyvavimas operacijoje, bet ir nurodytos 1991 m. sausio įvykių priežastys. Išvadoje nurodoma, kad 1991 m. sausio 11 d., LKP/TSKP vadovų prašymu, Vidaus tarnybos kariuomenė apsaugai perėmė Spaudos rūmus ir kitus LKP/TSKP CK objektus, Tarybinės armijos padaliniams grąžintas jiems priklausantis turtas. Siekiant išvengti kraujo praliejimo ir masinių riaušių, sausio 13-osios naktį Vilniaus įgulos vado sprendimu į televizijos bokšto rajoną buvo nukreipti Vilniaus įgulos padaliniai, kurie sukliudė „Sąjūdžio“ smogikams užpulti draugovininkus ir vėliau kartu užtikrino objektų apsaugą. Įgulos vado sprendimu objekto apsaugos perėmime dalyvavo septyniasdešimt vienas karinio dalinio Nr. 7574 mokomosios kuopos kariškis. Objekto apsaugą karinio dalinio Nr. 7574 daliniai vykdė iki sausio 17 d. (pastebėtina, kad kiek vėliau pateikiant šią išvadą TSRS prokuratūrai, lydimąjį dokumentą Nr. 1/670 pasirašė TSRS vidaus reikalų ministras </w:t>
      </w:r>
      <w:r w:rsidR="00C507EF" w:rsidRPr="000E2C88">
        <w:rPr>
          <w:rFonts w:eastAsia="Calibri"/>
        </w:rPr>
        <w:t>B. P.</w:t>
      </w:r>
      <w:r w:rsidRPr="000E2C88">
        <w:rPr>
          <w:rFonts w:eastAsia="Calibri"/>
        </w:rPr>
        <w:t xml:space="preserve">, tuo patvirtindamas, kad su išvada sutinka (t. 115, b. l. 296, 297–300; t. 428, b. l. 255–258)). </w:t>
      </w:r>
      <w:r w:rsidRPr="000E2C88">
        <w:t>1991 m. rugsėjo 3 d. rašte Nr. 1/3221, adresuotame TSRS prokuratūrai,</w:t>
      </w:r>
      <w:r w:rsidRPr="000E2C88">
        <w:rPr>
          <w:rFonts w:eastAsia="Calibri"/>
        </w:rPr>
        <w:t xml:space="preserve"> nuteistasis </w:t>
      </w:r>
      <w:r w:rsidR="00385BC9" w:rsidRPr="000E2C88">
        <w:t>N. D.</w:t>
      </w:r>
      <w:r w:rsidRPr="000E2C88">
        <w:t>, tuometinis TSRS vidaus reikalų ministro pavaduotojas, nurodė, kad TSRS VRM vidaus kariuomenės pareigūnams pavesta pateikti papildomą informaciją dėl Sausio 13-osios įvykių TSRS prokuratūrai, taip pat, kad į prokuratūros tyrimo grupę bus deleguotas TSRS VRM pareigūnas, padėsiantis išsiaiškinti visas svarbias aplinkybes. Po šio rašto, TSRS VRM vidaus k</w:t>
      </w:r>
      <w:r w:rsidR="00D220F2" w:rsidRPr="000E2C88">
        <w:t>ariuomenės vado pavaduotojas V. </w:t>
      </w:r>
      <w:r w:rsidRPr="000E2C88">
        <w:t>G</w:t>
      </w:r>
      <w:r w:rsidR="00D220F2" w:rsidRPr="000E2C88">
        <w:t>. (G.) TSRS prokuratūrai 1991 </w:t>
      </w:r>
      <w:r w:rsidRPr="000E2C88">
        <w:t>m. rugsėjo 6 d. išsiuntė raštą Nr. 8/15-3/52, kuriame nurodė, kad dėl ypatingai sunkios operatyvinės padėties ir greitai bei neprognozuojamai besivystančių įvykių, laikas sprendimų priėmimui ir jų įforminimui buvo ribotas, todėl komandos ir nurodymai buvo duodami žodžiu, suderinus su TSRS VRM vadovybe (t. 115, b. l. 304, 305–306; t. 428, b. l. 259–264</w:t>
      </w:r>
      <w:r w:rsidRPr="007A31AA">
        <w:rPr>
          <w:color w:val="000000"/>
        </w:rPr>
        <w:t>).</w:t>
      </w:r>
    </w:p>
    <w:p w:rsidR="00361401" w:rsidRPr="00361401" w:rsidRDefault="0072749F" w:rsidP="00361401">
      <w:pPr>
        <w:pStyle w:val="NormalWeb"/>
        <w:numPr>
          <w:ilvl w:val="0"/>
          <w:numId w:val="6"/>
        </w:numPr>
        <w:spacing w:before="120" w:beforeAutospacing="0" w:after="120" w:afterAutospacing="0"/>
        <w:ind w:left="992" w:hanging="992"/>
        <w:rPr>
          <w:rFonts w:eastAsia="Calibri"/>
        </w:rPr>
      </w:pPr>
      <w:r w:rsidRPr="00361401">
        <w:t xml:space="preserve">Iš </w:t>
      </w:r>
      <w:r w:rsidRPr="00361401">
        <w:rPr>
          <w:color w:val="000000" w:themeColor="text1"/>
        </w:rPr>
        <w:t xml:space="preserve">specialisto J. Andriškevičiaus išvados matyti, kad </w:t>
      </w:r>
      <w:r w:rsidRPr="00361401">
        <w:rPr>
          <w:color w:val="000000"/>
        </w:rPr>
        <w:t>1991 m. sausio 11</w:t>
      </w:r>
      <w:r w:rsidRPr="00C00255">
        <w:t>–</w:t>
      </w:r>
      <w:r w:rsidRPr="00361401">
        <w:rPr>
          <w:color w:val="000000"/>
        </w:rPr>
        <w:t xml:space="preserve">13 įvykių metu TSRS VRM kariškiai iš 42-osios divizijos atliko pagalbines operacijos užduotis, susijusias su pastatų užėmimu, ir po objektų užėmimo turėjo perimti jų apsaugą. Operacijos metu TSRS VRM padaliniams vadovavo 42-osios divizijos Konvojaus pulko vadas papulkininkis </w:t>
      </w:r>
      <w:r w:rsidR="00A97F74" w:rsidRPr="00361401">
        <w:rPr>
          <w:color w:val="000000"/>
        </w:rPr>
        <w:t>S. F.</w:t>
      </w:r>
      <w:r w:rsidRPr="00361401">
        <w:rPr>
          <w:color w:val="000000"/>
        </w:rPr>
        <w:t xml:space="preserve"> ir Konvojaus pulko mokomosios specialios paskirties kuopos vyresnysis leitenantas </w:t>
      </w:r>
      <w:r w:rsidR="00DC0414" w:rsidRPr="00361401">
        <w:rPr>
          <w:color w:val="000000"/>
        </w:rPr>
        <w:t>O. M.</w:t>
      </w:r>
      <w:r w:rsidRPr="00361401">
        <w:rPr>
          <w:color w:val="000000"/>
        </w:rPr>
        <w:t xml:space="preserve"> </w:t>
      </w:r>
      <w:r w:rsidRPr="00361401">
        <w:rPr>
          <w:color w:val="000000" w:themeColor="text1"/>
        </w:rPr>
        <w:t>(t. 480, b. l. 34–81). Detaliau operacijos eigą ir atskirų kariškių veiksmus teismas dar aptars, analizuodamas atskirų objektų šturmo aplinkybes, tačiau iš bylos aplinkybių ir specialisto paaiškinimų visiškai akivaizdu, kad jau minėti kariškiai, t.</w:t>
      </w:r>
      <w:r w:rsidR="00150E2A" w:rsidRPr="00361401">
        <w:rPr>
          <w:color w:val="000000" w:themeColor="text1"/>
        </w:rPr>
        <w:t> </w:t>
      </w:r>
      <w:r w:rsidRPr="00361401">
        <w:rPr>
          <w:color w:val="000000" w:themeColor="text1"/>
        </w:rPr>
        <w:t xml:space="preserve">y. </w:t>
      </w:r>
      <w:r w:rsidR="00A97F74" w:rsidRPr="00361401">
        <w:rPr>
          <w:color w:val="000000" w:themeColor="text1"/>
        </w:rPr>
        <w:t>S. F.</w:t>
      </w:r>
      <w:r w:rsidRPr="00361401">
        <w:rPr>
          <w:color w:val="000000" w:themeColor="text1"/>
        </w:rPr>
        <w:t xml:space="preserve"> ir </w:t>
      </w:r>
      <w:r w:rsidR="00DC0414" w:rsidRPr="00361401">
        <w:rPr>
          <w:color w:val="000000" w:themeColor="text1"/>
        </w:rPr>
        <w:t>O. M.</w:t>
      </w:r>
      <w:r w:rsidRPr="00361401">
        <w:rPr>
          <w:color w:val="000000" w:themeColor="text1"/>
        </w:rPr>
        <w:t xml:space="preserve">, be aukštesniųjų karininkų įsakymo ir nurodymų, operacijai, panaudojant gausią ginkluotę ir jiems pavaldžius kariškius, nebūtų galėję vadovauti. </w:t>
      </w:r>
    </w:p>
    <w:p w:rsidR="00361401" w:rsidRPr="00361401" w:rsidRDefault="0072749F" w:rsidP="00361401">
      <w:pPr>
        <w:pStyle w:val="NormalWeb"/>
        <w:numPr>
          <w:ilvl w:val="0"/>
          <w:numId w:val="6"/>
        </w:numPr>
        <w:spacing w:before="120" w:beforeAutospacing="0" w:after="120" w:afterAutospacing="0"/>
        <w:ind w:left="992" w:hanging="992"/>
        <w:rPr>
          <w:rFonts w:eastAsia="Calibri"/>
        </w:rPr>
      </w:pPr>
      <w:r w:rsidRPr="00C00255">
        <w:t xml:space="preserve">Iš šiame sprendime jau minėtų TSRS gynybos ministro pavaduotojo ir TSRS GM Oro desanto pajėgų vado </w:t>
      </w:r>
      <w:r w:rsidR="00C507EF">
        <w:t>V. A.</w:t>
      </w:r>
      <w:r w:rsidRPr="00C00255">
        <w:t xml:space="preserve"> pasisakymų, užfiksuotų vaizdo įrašuose, be kita ko, matyti, kad karinė operacija Lietuvoje buvo iš anksto ir detaliai suplanuota, kad atskridus į Vilnių</w:t>
      </w:r>
      <w:r w:rsidRPr="00361401">
        <w:rPr>
          <w:color w:val="000000"/>
        </w:rPr>
        <w:t xml:space="preserve">, čia jau buvo atstovai iš VRM, taip pat buvo atvykęs TSRS vidaus reikalų ministro pavaduotojas generolas </w:t>
      </w:r>
      <w:r w:rsidR="00385BC9" w:rsidRPr="00361401">
        <w:rPr>
          <w:color w:val="000000"/>
        </w:rPr>
        <w:t>N. D.</w:t>
      </w:r>
      <w:r w:rsidRPr="00361401">
        <w:rPr>
          <w:color w:val="000000"/>
        </w:rPr>
        <w:t xml:space="preserve">. </w:t>
      </w:r>
      <w:r w:rsidR="00C507EF" w:rsidRPr="00361401">
        <w:rPr>
          <w:color w:val="000000"/>
        </w:rPr>
        <w:t>V. A.</w:t>
      </w:r>
      <w:r w:rsidRPr="00361401">
        <w:rPr>
          <w:color w:val="000000"/>
        </w:rPr>
        <w:t xml:space="preserve"> taip pat nurodė, kad jam buvo pavesta vadovauti bendrai visoms operacijoje dalyvausiančioms TSRS GM, VSK ir VRM pajėgoms, todėl jis sujungė visus atstovus iš minėtų pajėgų į vieną štabą, o kai viskas operacijai jau buvo paruošta, </w:t>
      </w:r>
      <w:r w:rsidR="00385BC9" w:rsidRPr="00361401">
        <w:rPr>
          <w:color w:val="000000"/>
        </w:rPr>
        <w:t>D. J.</w:t>
      </w:r>
      <w:r w:rsidRPr="00361401">
        <w:rPr>
          <w:color w:val="000000"/>
        </w:rPr>
        <w:t xml:space="preserve"> bandė susisiekti su </w:t>
      </w:r>
      <w:r w:rsidR="00DD1A27" w:rsidRPr="00361401">
        <w:rPr>
          <w:color w:val="000000"/>
        </w:rPr>
        <w:t>M. G.</w:t>
      </w:r>
      <w:r w:rsidRPr="00361401">
        <w:rPr>
          <w:color w:val="000000"/>
        </w:rPr>
        <w:t xml:space="preserve"> dėl leidimo pradėti operaciją. Pasak jo, net ir negavus </w:t>
      </w:r>
      <w:r w:rsidR="00DD1A27" w:rsidRPr="00361401">
        <w:rPr>
          <w:color w:val="000000"/>
        </w:rPr>
        <w:t>M. G.</w:t>
      </w:r>
      <w:r w:rsidRPr="00361401">
        <w:rPr>
          <w:color w:val="000000"/>
        </w:rPr>
        <w:t xml:space="preserve"> leidimo, operacija buvo įvykdyta</w:t>
      </w:r>
      <w:r w:rsidRPr="00C00255">
        <w:t xml:space="preserve"> (t. 519, b. l. 226–243)</w:t>
      </w:r>
      <w:r w:rsidRPr="00361401">
        <w:rPr>
          <w:color w:val="000000"/>
        </w:rPr>
        <w:t xml:space="preserve">. </w:t>
      </w:r>
    </w:p>
    <w:p w:rsidR="00361401" w:rsidRPr="00361401" w:rsidRDefault="0072749F" w:rsidP="00361401">
      <w:pPr>
        <w:pStyle w:val="NormalWeb"/>
        <w:numPr>
          <w:ilvl w:val="0"/>
          <w:numId w:val="6"/>
        </w:numPr>
        <w:spacing w:before="120" w:beforeAutospacing="0" w:after="120" w:afterAutospacing="0"/>
        <w:ind w:left="992" w:hanging="992"/>
        <w:rPr>
          <w:rFonts w:eastAsia="Calibri"/>
        </w:rPr>
      </w:pPr>
      <w:r w:rsidRPr="00361401">
        <w:rPr>
          <w:color w:val="000000"/>
        </w:rPr>
        <w:t xml:space="preserve">Minėtame vaizdo įraše užfiksuotas ir </w:t>
      </w:r>
      <w:r w:rsidR="00C507EF" w:rsidRPr="00361401">
        <w:rPr>
          <w:color w:val="000000"/>
        </w:rPr>
        <w:t>V. A.</w:t>
      </w:r>
      <w:r w:rsidRPr="00361401">
        <w:rPr>
          <w:color w:val="000000"/>
        </w:rPr>
        <w:t xml:space="preserve"> nurodytas aplinkybes apie karinės operacijos planavimą ir joje dalyvavusių pajėgų užduotis iš esmės atitinka ir šiame sprendime, aptariant TSRS VSK pareigūnų veiksmus, nurodyta </w:t>
      </w:r>
      <w:r w:rsidRPr="00361401">
        <w:rPr>
          <w:rFonts w:eastAsia="Calibri"/>
        </w:rPr>
        <w:t xml:space="preserve">iš TSRS Aukščiausiosios Tarybos deputatų gauta </w:t>
      </w:r>
      <w:r w:rsidR="00385BC9" w:rsidRPr="00361401">
        <w:rPr>
          <w:color w:val="000000"/>
        </w:rPr>
        <w:t>M. G.</w:t>
      </w:r>
      <w:r w:rsidRPr="00361401">
        <w:rPr>
          <w:color w:val="000000"/>
        </w:rPr>
        <w:t xml:space="preserve"> paruošta pažyma apie TSRS VSK grupės „A“ komandiruotės Vilniuje rezultatus </w:t>
      </w:r>
      <w:r w:rsidR="00D220F2" w:rsidRPr="00361401">
        <w:rPr>
          <w:color w:val="000000"/>
        </w:rPr>
        <w:t>(t. 192, </w:t>
      </w:r>
      <w:r w:rsidRPr="00361401">
        <w:rPr>
          <w:color w:val="000000"/>
        </w:rPr>
        <w:t>b. l. 36–47).</w:t>
      </w:r>
    </w:p>
    <w:p w:rsidR="00361401" w:rsidRPr="00361401" w:rsidRDefault="0072749F" w:rsidP="00361401">
      <w:pPr>
        <w:pStyle w:val="NormalWeb"/>
        <w:numPr>
          <w:ilvl w:val="0"/>
          <w:numId w:val="6"/>
        </w:numPr>
        <w:spacing w:before="120" w:beforeAutospacing="0" w:after="120" w:afterAutospacing="0"/>
        <w:ind w:left="992" w:hanging="992"/>
        <w:rPr>
          <w:rFonts w:eastAsia="Calibri"/>
        </w:rPr>
      </w:pPr>
      <w:r w:rsidRPr="00361401">
        <w:t xml:space="preserve">Teisiamajame posėdyje liudytojas </w:t>
      </w:r>
      <w:r w:rsidR="00DD1A27" w:rsidRPr="00361401">
        <w:t>A. B.</w:t>
      </w:r>
      <w:r w:rsidRPr="00361401">
        <w:t xml:space="preserve"> nurodė, kad su </w:t>
      </w:r>
      <w:r w:rsidR="00385BC9" w:rsidRPr="00361401">
        <w:t>N. D.</w:t>
      </w:r>
      <w:r w:rsidRPr="00361401">
        <w:t xml:space="preserve"> matėsi Maskvoje ir šiam atvykus į Vilnių, todėl susidarė nuomonę, kad </w:t>
      </w:r>
      <w:r w:rsidR="00385BC9" w:rsidRPr="00361401">
        <w:t>N. D.</w:t>
      </w:r>
      <w:r w:rsidRPr="00361401">
        <w:t xml:space="preserve"> yra kur kas labiau ideologiškai suinteresuotas išsaugoti senąsias TSRS pozicijas. </w:t>
      </w:r>
      <w:r w:rsidR="00385BC9" w:rsidRPr="00361401">
        <w:t>N. D.</w:t>
      </w:r>
      <w:r w:rsidRPr="00361401">
        <w:t xml:space="preserve"> Lietuvoje maskuodavosi. </w:t>
      </w:r>
      <w:r w:rsidR="00C507EF" w:rsidRPr="00361401">
        <w:t>V. A.</w:t>
      </w:r>
      <w:r w:rsidRPr="00361401">
        <w:t xml:space="preserve"> ir </w:t>
      </w:r>
      <w:r w:rsidR="00385BC9" w:rsidRPr="00361401">
        <w:t>N. D.</w:t>
      </w:r>
      <w:r w:rsidRPr="00361401">
        <w:t xml:space="preserve"> sausio 13 d. buvo Šiaurės miestelyje. </w:t>
      </w:r>
      <w:r w:rsidRPr="00C00255">
        <w:t>Tai buvo trijų žinybų operacija</w:t>
      </w:r>
      <w:r w:rsidRPr="00361401">
        <w:t xml:space="preserve"> </w:t>
      </w:r>
      <w:r w:rsidRPr="00C00255">
        <w:t>(t. 756, b. l. 129–137)</w:t>
      </w:r>
      <w:r w:rsidRPr="00361401">
        <w:t>.</w:t>
      </w:r>
    </w:p>
    <w:p w:rsidR="00361401" w:rsidRPr="00361401" w:rsidRDefault="0072749F" w:rsidP="00361401">
      <w:pPr>
        <w:pStyle w:val="NormalWeb"/>
        <w:numPr>
          <w:ilvl w:val="0"/>
          <w:numId w:val="6"/>
        </w:numPr>
        <w:spacing w:before="120" w:beforeAutospacing="0" w:after="120" w:afterAutospacing="0"/>
        <w:ind w:left="992" w:hanging="992"/>
        <w:rPr>
          <w:rFonts w:eastAsia="Calibri"/>
        </w:rPr>
      </w:pPr>
      <w:r w:rsidRPr="000E2C88">
        <w:t xml:space="preserve">Teisiamajame posėdyje liudytoju buvo apklaustas ir tuometinis Lietuvos Respublikos vidaus reikalų ministras </w:t>
      </w:r>
      <w:r w:rsidR="00DD1A27" w:rsidRPr="000E2C88">
        <w:t>M. M.</w:t>
      </w:r>
      <w:r w:rsidRPr="000E2C88">
        <w:t xml:space="preserve">. Šis liudytojas, be kita ko, nurodė, kad </w:t>
      </w:r>
      <w:r w:rsidRPr="000E2C88">
        <w:rPr>
          <w:color w:val="000000"/>
        </w:rPr>
        <w:t xml:space="preserve">1990 metų pabaigoje TSRS VRM ministru buvo paskirtas </w:t>
      </w:r>
      <w:r w:rsidR="00C507EF" w:rsidRPr="000E2C88">
        <w:rPr>
          <w:color w:val="000000"/>
        </w:rPr>
        <w:t>B. P.</w:t>
      </w:r>
      <w:r w:rsidRPr="000E2C88">
        <w:rPr>
          <w:color w:val="000000"/>
        </w:rPr>
        <w:t xml:space="preserve">, kuris buvo kietos rankos politikos žmogus. Su juo bendravimas apie tuometinius Lietuvos siekius ir situaciją Lietuvoje buvo sudėtingas, nes </w:t>
      </w:r>
      <w:r w:rsidR="00C507EF" w:rsidRPr="000E2C88">
        <w:rPr>
          <w:color w:val="000000"/>
        </w:rPr>
        <w:t>B. P.</w:t>
      </w:r>
      <w:r w:rsidRPr="000E2C88">
        <w:rPr>
          <w:color w:val="000000"/>
        </w:rPr>
        <w:t>, priešingai nei prie</w:t>
      </w:r>
      <w:r w:rsidR="00D220F2" w:rsidRPr="000E2C88">
        <w:rPr>
          <w:color w:val="000000"/>
        </w:rPr>
        <w:t>š tai ministro pareigas ėjęs V. </w:t>
      </w:r>
      <w:r w:rsidRPr="000E2C88">
        <w:rPr>
          <w:color w:val="000000"/>
        </w:rPr>
        <w:t>B</w:t>
      </w:r>
      <w:r w:rsidR="00D220F2" w:rsidRPr="000E2C88">
        <w:rPr>
          <w:color w:val="000000"/>
        </w:rPr>
        <w:t>.</w:t>
      </w:r>
      <w:r w:rsidRPr="000E2C88">
        <w:rPr>
          <w:color w:val="000000"/>
        </w:rPr>
        <w:t xml:space="preserve">, kitos pusės argumentų neklausė. Vilniuje buvo dislokuota TSRS vidaus kariuomenės divizija, kurios paslaugų Lietuva po nepriklausomybės paskelbimo atsisakė. Vis dėlto, šie daliniai saugojo atskirus objektus Lietuvoje, dėl to jis ne kartą bendravo su TSRS VRM atstovais, taip pat ir ministru </w:t>
      </w:r>
      <w:r w:rsidR="00C507EF" w:rsidRPr="000E2C88">
        <w:rPr>
          <w:color w:val="000000"/>
        </w:rPr>
        <w:t>B. P.</w:t>
      </w:r>
      <w:r w:rsidRPr="000E2C88">
        <w:rPr>
          <w:color w:val="000000"/>
        </w:rPr>
        <w:t>, kuris šio klausimo nesprendė ir siūlė leisti Lietuvos pareigūnams kartu vykdyti atskirų objektų apsaugos funkcijas. Lietuva su tokiu pasiūlymu nesutiko, nes tai būtų bendradarbiavimas su TSRS. Prieš byloje nagrinėjamus įvykius Lietuvos vidaus reikalų ministerija turėjo pakankamai tikslią informaciją apie galimą jėgos panaudojimą, maždaug vienos dienos tikslumu, todėl tokiai situacijai ruošėsi, analizavo TSRS jėgos panaudojimą 1989 m. Kaukaze, Tbilisyje. Būtent dėl to nagrinėjamų įvykių metu Lietuvos pareigūnai nebuvo ginkluoti, jų funkcija buvo atskirti civilius nuo kariškių, išlaikyti ribą tarp TSRS kariškių ir civilių, kad TSRS kariškiai matytų uniformuotus pareigūnus ir būtų išveng</w:t>
      </w:r>
      <w:r w:rsidR="00D220F2" w:rsidRPr="000E2C88">
        <w:rPr>
          <w:color w:val="000000"/>
        </w:rPr>
        <w:t>ta aukų. Dar iki 1991 m. sausio </w:t>
      </w:r>
      <w:r w:rsidRPr="000E2C88">
        <w:rPr>
          <w:color w:val="000000"/>
        </w:rPr>
        <w:t xml:space="preserve">11 ar 12 d. jis sužinojo, kad į Vilnių yra atvykęs TSRS vidaus reikalų ministro pavaduotojas </w:t>
      </w:r>
      <w:r w:rsidR="00385BC9" w:rsidRPr="000E2C88">
        <w:rPr>
          <w:color w:val="000000"/>
        </w:rPr>
        <w:t>N. D.</w:t>
      </w:r>
      <w:r w:rsidRPr="000E2C88">
        <w:rPr>
          <w:color w:val="000000"/>
        </w:rPr>
        <w:t xml:space="preserve">. Pastarasis buvo Pabaltijo Respublikų kuratorius, jam buvo pavaldi TSRS VRM Šiaurės vakarų apygarda, kuriai vadovavo </w:t>
      </w:r>
      <w:r w:rsidR="00385BC9" w:rsidRPr="000E2C88">
        <w:rPr>
          <w:color w:val="000000"/>
        </w:rPr>
        <w:t>V. S. 1</w:t>
      </w:r>
      <w:r w:rsidRPr="000E2C88">
        <w:rPr>
          <w:color w:val="000000"/>
        </w:rPr>
        <w:t xml:space="preserve"> ir kurios sudėtyje buvo </w:t>
      </w:r>
      <w:r w:rsidR="006036E7" w:rsidRPr="000E2C88">
        <w:rPr>
          <w:color w:val="000000"/>
        </w:rPr>
        <w:t>A. Ž.</w:t>
      </w:r>
      <w:r w:rsidRPr="000E2C88">
        <w:rPr>
          <w:color w:val="000000"/>
        </w:rPr>
        <w:t xml:space="preserve"> vadovaujama vidaus kariuomenės divizija dislokuota Vilniuje. Iki byloje nagrinėjamų įvykių jis kelis kartus bendravo su </w:t>
      </w:r>
      <w:r w:rsidR="00385BC9" w:rsidRPr="000E2C88">
        <w:rPr>
          <w:color w:val="000000"/>
        </w:rPr>
        <w:t>N. D.</w:t>
      </w:r>
      <w:r w:rsidRPr="000E2C88">
        <w:rPr>
          <w:color w:val="000000"/>
        </w:rPr>
        <w:t xml:space="preserve">, kuris teigė atvykęs į Vilnių siekiant išvengti kraujo praliejimo. </w:t>
      </w:r>
      <w:r w:rsidR="00385BC9" w:rsidRPr="000E2C88">
        <w:rPr>
          <w:color w:val="000000"/>
        </w:rPr>
        <w:t>N. D.</w:t>
      </w:r>
      <w:r w:rsidRPr="000E2C88">
        <w:rPr>
          <w:color w:val="000000"/>
        </w:rPr>
        <w:t xml:space="preserve"> jam skambino ir klausė, kodėl Lietuvos pareigūnai pasiruošė kulkosvaidžius ant pastatų stogų. Tuomet liudytojas atsakė, jog taip siekiama apsiginti („aš jam pasakiau, jei lysit, tai gausit“). Lietuvos VRM pareigūnai turėjo informacijos apie tai, kad vidaus kariuomenės ginkluojasi, todėl jis kalbėjo apie tai su </w:t>
      </w:r>
      <w:r w:rsidR="00385BC9" w:rsidRPr="000E2C88">
        <w:rPr>
          <w:color w:val="000000"/>
        </w:rPr>
        <w:t>V. S. 1</w:t>
      </w:r>
      <w:r w:rsidRPr="000E2C88">
        <w:rPr>
          <w:color w:val="000000"/>
        </w:rPr>
        <w:t xml:space="preserve"> ir </w:t>
      </w:r>
      <w:r w:rsidR="006036E7" w:rsidRPr="000E2C88">
        <w:rPr>
          <w:color w:val="000000"/>
        </w:rPr>
        <w:t>A. Ž.</w:t>
      </w:r>
      <w:r w:rsidRPr="000E2C88">
        <w:rPr>
          <w:color w:val="000000"/>
        </w:rPr>
        <w:t>. Su </w:t>
      </w:r>
      <w:r w:rsidR="00385BC9" w:rsidRPr="000E2C88">
        <w:rPr>
          <w:color w:val="000000"/>
        </w:rPr>
        <w:t>N. D.</w:t>
      </w:r>
      <w:r w:rsidRPr="000E2C88">
        <w:rPr>
          <w:color w:val="000000"/>
        </w:rPr>
        <w:t xml:space="preserve">, </w:t>
      </w:r>
      <w:r w:rsidR="00385BC9" w:rsidRPr="000E2C88">
        <w:rPr>
          <w:color w:val="000000"/>
        </w:rPr>
        <w:t>V. S. 1</w:t>
      </w:r>
      <w:r w:rsidRPr="000E2C88">
        <w:rPr>
          <w:color w:val="000000"/>
        </w:rPr>
        <w:t xml:space="preserve"> ir </w:t>
      </w:r>
      <w:r w:rsidR="006036E7" w:rsidRPr="000E2C88">
        <w:rPr>
          <w:color w:val="000000"/>
        </w:rPr>
        <w:t>V. U. 1</w:t>
      </w:r>
      <w:r w:rsidRPr="000E2C88">
        <w:rPr>
          <w:color w:val="000000"/>
        </w:rPr>
        <w:t xml:space="preserve"> tiesiogiai buvo susitikęs ir bendravo po sausio įvykių dėl komendanto valandos. Su </w:t>
      </w:r>
      <w:r w:rsidR="006036E7" w:rsidRPr="000E2C88">
        <w:rPr>
          <w:color w:val="000000"/>
        </w:rPr>
        <w:t>A. Ž.</w:t>
      </w:r>
      <w:r w:rsidRPr="000E2C88">
        <w:rPr>
          <w:color w:val="000000"/>
        </w:rPr>
        <w:t xml:space="preserve"> ne kartą bendravo apie galimą jėgos panaudojimą, tačiau </w:t>
      </w:r>
      <w:r w:rsidR="006036E7" w:rsidRPr="000E2C88">
        <w:rPr>
          <w:color w:val="000000"/>
        </w:rPr>
        <w:t>A. Ž.</w:t>
      </w:r>
      <w:r w:rsidRPr="000E2C88">
        <w:rPr>
          <w:color w:val="000000"/>
        </w:rPr>
        <w:t xml:space="preserve"> visuomet teigė, jog pats negali priimti sprendimo, kad vykdo politinius sprendimus iš Maskvos. Su divizijos vadu bendravo ir Spaudos rūmų šturmo metu, kai atvykęs prie pastato, liudytojas paprašė kariškių racijos ir per ją susisiekęs su divizijos vadu prašė jo atitraukti kariškius. 1991 m. sausio 13 d. naktį jis skambino tuometiniam TSRS gynybos ministrui </w:t>
      </w:r>
      <w:r w:rsidR="00385BC9" w:rsidRPr="000E2C88">
        <w:rPr>
          <w:color w:val="000000"/>
        </w:rPr>
        <w:t>D. J.</w:t>
      </w:r>
      <w:r w:rsidRPr="000E2C88">
        <w:rPr>
          <w:color w:val="000000"/>
        </w:rPr>
        <w:t xml:space="preserve">, taip pat TSRS vidaus reikalų ministrui </w:t>
      </w:r>
      <w:r w:rsidR="00C507EF" w:rsidRPr="000E2C88">
        <w:rPr>
          <w:color w:val="000000"/>
        </w:rPr>
        <w:t>B. P.</w:t>
      </w:r>
      <w:r w:rsidRPr="000E2C88">
        <w:rPr>
          <w:color w:val="000000"/>
        </w:rPr>
        <w:t>, tačiau ministerijų budintys pasakė, kad ministrų nėra, jog jie ilsisi. Jis norėjo sustabdyti agresyvius kariškių veiksmus prieš taikius gyventojus ir milicijos pareigūnus, tačiau pavyko prisiskambinti tik buvusiam TSRS VRM ministrui V. B</w:t>
      </w:r>
      <w:r w:rsidR="00D220F2" w:rsidRPr="000E2C88">
        <w:rPr>
          <w:color w:val="000000"/>
        </w:rPr>
        <w:t>.</w:t>
      </w:r>
      <w:r w:rsidRPr="000E2C88">
        <w:rPr>
          <w:color w:val="000000"/>
        </w:rPr>
        <w:t xml:space="preserve">, kurio paprašė šią informaciją perduoti </w:t>
      </w:r>
      <w:r w:rsidR="00DD1A27" w:rsidRPr="000E2C88">
        <w:rPr>
          <w:color w:val="000000"/>
        </w:rPr>
        <w:t>M. G.</w:t>
      </w:r>
      <w:r w:rsidRPr="000E2C88">
        <w:rPr>
          <w:color w:val="000000"/>
        </w:rPr>
        <w:t xml:space="preserve"> </w:t>
      </w:r>
      <w:r w:rsidRPr="000E2C88">
        <w:t>(t. 756, b. l. 113–121</w:t>
      </w:r>
      <w:r w:rsidRPr="00C00255">
        <w:t>)</w:t>
      </w:r>
      <w:r w:rsidRPr="00361401">
        <w:rPr>
          <w:color w:val="000000"/>
        </w:rPr>
        <w:t xml:space="preserve">. </w:t>
      </w:r>
    </w:p>
    <w:p w:rsidR="00361401" w:rsidRDefault="0072749F" w:rsidP="00361401">
      <w:pPr>
        <w:pStyle w:val="NormalWeb"/>
        <w:numPr>
          <w:ilvl w:val="0"/>
          <w:numId w:val="6"/>
        </w:numPr>
        <w:spacing w:before="120" w:beforeAutospacing="0" w:after="120" w:afterAutospacing="0"/>
        <w:ind w:left="992" w:hanging="992"/>
        <w:rPr>
          <w:rFonts w:eastAsia="Calibri"/>
        </w:rPr>
      </w:pPr>
      <w:r w:rsidRPr="000E2C88">
        <w:rPr>
          <w:rFonts w:eastAsia="Calibri"/>
        </w:rPr>
        <w:t xml:space="preserve">Teisėjų kolegija šiame sprendime jau minėjo ir itin reikšmingus bei abejonių nekeliančius buvusio ilgamečio TSRS VSK darbuotojo ir tuometinio TSRS VSK padalinio Lietuvoje vadovo liudytojo </w:t>
      </w:r>
      <w:r w:rsidR="005A493E" w:rsidRPr="000E2C88">
        <w:rPr>
          <w:rFonts w:eastAsia="Calibri"/>
        </w:rPr>
        <w:t>R. M.</w:t>
      </w:r>
      <w:r w:rsidRPr="000E2C88">
        <w:rPr>
          <w:rFonts w:eastAsia="Calibri"/>
        </w:rPr>
        <w:t xml:space="preserve"> parodymus apie TSRS VSK vaidmenį byloje nagrinėjamų įvykių metu. Šis teisiamajame posėdyje apklaustas liudytojas be jau minėtų aplinkybių nurodė ir tai, kad prieš pat sausio įvykius į Vilnių kartu su TSRS VSK atstovu </w:t>
      </w:r>
      <w:r w:rsidR="00C507EF" w:rsidRPr="000E2C88">
        <w:rPr>
          <w:rFonts w:eastAsia="Calibri"/>
        </w:rPr>
        <w:t>J. K.</w:t>
      </w:r>
      <w:r w:rsidRPr="000E2C88">
        <w:rPr>
          <w:rFonts w:eastAsia="Calibri"/>
        </w:rPr>
        <w:t xml:space="preserve"> atskrido ir TSRS vidaus reikalų ministro pavaduotojas </w:t>
      </w:r>
      <w:r w:rsidR="00385BC9" w:rsidRPr="000E2C88">
        <w:rPr>
          <w:rFonts w:eastAsia="Calibri"/>
        </w:rPr>
        <w:t>N. D.</w:t>
      </w:r>
      <w:r w:rsidRPr="000E2C88">
        <w:rPr>
          <w:rFonts w:eastAsia="Calibri"/>
        </w:rPr>
        <w:t xml:space="preserve">. Kaip jau minėta, liudytojas </w:t>
      </w:r>
      <w:r w:rsidR="005A493E" w:rsidRPr="000E2C88">
        <w:rPr>
          <w:rFonts w:eastAsia="Calibri"/>
        </w:rPr>
        <w:t>R. M.</w:t>
      </w:r>
      <w:r w:rsidRPr="000E2C88">
        <w:rPr>
          <w:rFonts w:eastAsia="Calibri"/>
        </w:rPr>
        <w:t xml:space="preserve"> nepritarė planuojamam jėgos panaudojimui šturmuojant TV bokštą, LRT ir kitus pastatus ir atsisakė dalyvauti karinėje operacijoje bei suteikti pagalbą TSRS VSK ir kitiems TSRS kariškiams dėl galimų civilių aukų. Jis taip pat nurodė, kad bendravo ir su </w:t>
      </w:r>
      <w:r w:rsidR="00385BC9" w:rsidRPr="000E2C88">
        <w:rPr>
          <w:rFonts w:eastAsia="Calibri"/>
        </w:rPr>
        <w:t>N. D.</w:t>
      </w:r>
      <w:r w:rsidRPr="000E2C88">
        <w:rPr>
          <w:rFonts w:eastAsia="Calibri"/>
        </w:rPr>
        <w:t>, kuris p</w:t>
      </w:r>
      <w:r w:rsidR="00D220F2" w:rsidRPr="000E2C88">
        <w:rPr>
          <w:rFonts w:eastAsia="Calibri"/>
        </w:rPr>
        <w:t>rieš pat nagrinėjamus 1991 metų </w:t>
      </w:r>
      <w:r w:rsidRPr="000E2C88">
        <w:rPr>
          <w:rFonts w:eastAsia="Calibri"/>
        </w:rPr>
        <w:t xml:space="preserve">sausio įvykius norėjo išsiaiškinti liudytojo </w:t>
      </w:r>
      <w:r w:rsidR="005A493E" w:rsidRPr="000E2C88">
        <w:rPr>
          <w:rFonts w:eastAsia="Calibri"/>
        </w:rPr>
        <w:t>R. M.</w:t>
      </w:r>
      <w:r w:rsidRPr="000E2C88">
        <w:rPr>
          <w:rFonts w:eastAsia="Calibri"/>
        </w:rPr>
        <w:t xml:space="preserve"> poziciją ir kaip planuojamoje operacijoje ketina elgtis tuometinis TSRS VSK padalinys. Teisiamajame posėdyje paskelbus liudytojo </w:t>
      </w:r>
      <w:r w:rsidR="005A493E" w:rsidRPr="000E2C88">
        <w:rPr>
          <w:rFonts w:eastAsia="Calibri"/>
        </w:rPr>
        <w:t>R. M.</w:t>
      </w:r>
      <w:r w:rsidRPr="000E2C88">
        <w:rPr>
          <w:rFonts w:eastAsia="Calibri"/>
        </w:rPr>
        <w:t xml:space="preserve"> parodymus duotus ikiteisminio tyrimo metu, liudytojas patvirtino ir anksčiau nurodytas aplinkybes apie </w:t>
      </w:r>
      <w:r w:rsidR="00385BC9" w:rsidRPr="000E2C88">
        <w:rPr>
          <w:rFonts w:eastAsia="Calibri"/>
        </w:rPr>
        <w:t>N. D.</w:t>
      </w:r>
      <w:r w:rsidRPr="000E2C88">
        <w:rPr>
          <w:rFonts w:eastAsia="Calibri"/>
        </w:rPr>
        <w:t xml:space="preserve"> buvimą Vilniuje ir pokalbius su juo, taip pat patikslino, kad </w:t>
      </w:r>
      <w:r w:rsidR="00385BC9" w:rsidRPr="000E2C88">
        <w:rPr>
          <w:rFonts w:eastAsia="Calibri"/>
        </w:rPr>
        <w:t>N. D.</w:t>
      </w:r>
      <w:r w:rsidRPr="000E2C88">
        <w:rPr>
          <w:rFonts w:eastAsia="Calibri"/>
        </w:rPr>
        <w:t xml:space="preserve">, būdamas liudytojo kabinete, paprašė paskambinti tuometiniam TSRS vidaus reikalų ministrui </w:t>
      </w:r>
      <w:r w:rsidR="00C507EF" w:rsidRPr="000E2C88">
        <w:rPr>
          <w:rFonts w:eastAsia="Calibri"/>
        </w:rPr>
        <w:t>B. P.</w:t>
      </w:r>
      <w:r w:rsidRPr="000E2C88">
        <w:rPr>
          <w:rFonts w:eastAsia="Calibri"/>
        </w:rPr>
        <w:t xml:space="preserve"> ir kalbėjo su juo apie Lietuvos policiją bei ginkluot</w:t>
      </w:r>
      <w:r w:rsidR="00D220F2" w:rsidRPr="000E2C88">
        <w:rPr>
          <w:rFonts w:eastAsia="Calibri"/>
        </w:rPr>
        <w:t>ę (t. 757, b. l. 30, t. 192, b. l. </w:t>
      </w:r>
      <w:r w:rsidRPr="000E2C88">
        <w:rPr>
          <w:rFonts w:eastAsia="Calibri"/>
        </w:rPr>
        <w:t>157</w:t>
      </w:r>
      <w:r w:rsidRPr="00361401">
        <w:rPr>
          <w:rFonts w:eastAsia="Calibri"/>
        </w:rPr>
        <w:t>).</w:t>
      </w:r>
    </w:p>
    <w:p w:rsidR="00361401" w:rsidRPr="00361401" w:rsidRDefault="0072749F" w:rsidP="00361401">
      <w:pPr>
        <w:pStyle w:val="NormalWeb"/>
        <w:numPr>
          <w:ilvl w:val="0"/>
          <w:numId w:val="6"/>
        </w:numPr>
        <w:spacing w:before="120" w:beforeAutospacing="0" w:after="120" w:afterAutospacing="0"/>
        <w:ind w:left="992" w:hanging="992"/>
        <w:rPr>
          <w:rFonts w:eastAsia="Calibri"/>
        </w:rPr>
      </w:pPr>
      <w:r w:rsidRPr="00361401">
        <w:t xml:space="preserve">Teisėjų kolegija jau minėjo, kad vadovaujantis liudytojo </w:t>
      </w:r>
      <w:r w:rsidR="005A493E" w:rsidRPr="00361401">
        <w:t>R. M.</w:t>
      </w:r>
      <w:r w:rsidRPr="00361401">
        <w:t xml:space="preserve"> parodymais, kaip ir kitais byloje surinktais įrodymais, galima daryti išvadą, kad jėgos panaudojimas buvo detaliai planuojamas, derinamas ir ruošiamas, jog tai nebuvo spontaniškas sprendimas, nes </w:t>
      </w:r>
      <w:r w:rsidR="005A493E" w:rsidRPr="00361401">
        <w:t>R. M.</w:t>
      </w:r>
      <w:r w:rsidRPr="00361401">
        <w:t xml:space="preserve"> daug kartų siekė atkalbėti TSRS pareigūnus ir VSK vadovus nuo jėgos panaudojimo. Šio liudytojo parodymus patvirtino daugelis kitų byloje surinktų įrodymų, o parodymų dalį apie </w:t>
      </w:r>
      <w:r w:rsidR="00385BC9" w:rsidRPr="00361401">
        <w:t>N. D.</w:t>
      </w:r>
      <w:r w:rsidRPr="00361401">
        <w:t xml:space="preserve"> atvykimą į Vilnių patvirtino ir teisme apklaustas liudytojas </w:t>
      </w:r>
      <w:r w:rsidR="00DD1A27" w:rsidRPr="00361401">
        <w:t>Z. V.</w:t>
      </w:r>
      <w:r w:rsidRPr="00361401">
        <w:t xml:space="preserve">, susidaręs įspūdį, jog </w:t>
      </w:r>
      <w:r w:rsidR="00385BC9" w:rsidRPr="00361401">
        <w:t>N. D.</w:t>
      </w:r>
      <w:r w:rsidRPr="00361401">
        <w:t xml:space="preserve"> po Lietuvos nepriklausomybės paskelbimo Vilniuje ir Rygoje praleido daugiau laiko nei Maskvoje (t. 757, b. l. 51</w:t>
      </w:r>
      <w:r w:rsidRPr="00C00255">
        <w:t>–</w:t>
      </w:r>
      <w:r w:rsidRPr="00361401">
        <w:t>55).</w:t>
      </w:r>
    </w:p>
    <w:p w:rsidR="00361401" w:rsidRDefault="0072749F" w:rsidP="00361401">
      <w:pPr>
        <w:pStyle w:val="NormalWeb"/>
        <w:numPr>
          <w:ilvl w:val="0"/>
          <w:numId w:val="6"/>
        </w:numPr>
        <w:spacing w:before="120" w:beforeAutospacing="0" w:after="120" w:afterAutospacing="0"/>
        <w:ind w:left="992" w:hanging="992"/>
        <w:rPr>
          <w:rFonts w:eastAsia="Calibri"/>
        </w:rPr>
      </w:pPr>
      <w:r w:rsidRPr="000E2C88">
        <w:rPr>
          <w:rFonts w:eastAsia="Calibri"/>
        </w:rPr>
        <w:t xml:space="preserve">Tokie teisme apklaustų liudytojų parodymai jau minėtų </w:t>
      </w:r>
      <w:r w:rsidR="00C507EF" w:rsidRPr="000E2C88">
        <w:rPr>
          <w:rFonts w:eastAsia="Calibri"/>
        </w:rPr>
        <w:t>V. A.</w:t>
      </w:r>
      <w:r w:rsidRPr="000E2C88">
        <w:rPr>
          <w:rFonts w:eastAsia="Calibri"/>
        </w:rPr>
        <w:t xml:space="preserve"> paaiškinimų ir kitų byloje surinktų įrodymų kontekste paneigia gynybos poziciją, kad </w:t>
      </w:r>
      <w:r w:rsidR="00385BC9" w:rsidRPr="000E2C88">
        <w:rPr>
          <w:rFonts w:eastAsia="Calibri"/>
        </w:rPr>
        <w:t>N. D.</w:t>
      </w:r>
      <w:r w:rsidRPr="000E2C88">
        <w:rPr>
          <w:rFonts w:eastAsia="Calibri"/>
        </w:rPr>
        <w:t xml:space="preserve">, </w:t>
      </w:r>
      <w:r w:rsidR="00385BC9" w:rsidRPr="000E2C88">
        <w:rPr>
          <w:rFonts w:eastAsia="Calibri"/>
        </w:rPr>
        <w:t>V. S. 1</w:t>
      </w:r>
      <w:r w:rsidRPr="000E2C88">
        <w:rPr>
          <w:rFonts w:eastAsia="Calibri"/>
        </w:rPr>
        <w:t xml:space="preserve"> ir </w:t>
      </w:r>
      <w:r w:rsidR="006036E7" w:rsidRPr="000E2C88">
        <w:rPr>
          <w:rFonts w:eastAsia="Calibri"/>
        </w:rPr>
        <w:t>A. Ž.</w:t>
      </w:r>
      <w:r w:rsidRPr="000E2C88">
        <w:rPr>
          <w:rFonts w:eastAsia="Calibri"/>
        </w:rPr>
        <w:t xml:space="preserve"> nežinojo apie karinės operacijos planavimą. Iš liudytojo </w:t>
      </w:r>
      <w:r w:rsidR="00DD1A27" w:rsidRPr="000E2C88">
        <w:rPr>
          <w:rFonts w:eastAsia="Calibri"/>
        </w:rPr>
        <w:t>A. B.</w:t>
      </w:r>
      <w:r w:rsidRPr="000E2C88">
        <w:rPr>
          <w:rFonts w:eastAsia="Calibri"/>
        </w:rPr>
        <w:t xml:space="preserve"> parodymų matyti, kad </w:t>
      </w:r>
      <w:r w:rsidR="00385BC9" w:rsidRPr="000E2C88">
        <w:rPr>
          <w:rFonts w:eastAsia="Calibri"/>
        </w:rPr>
        <w:t>N. D.</w:t>
      </w:r>
      <w:r w:rsidRPr="000E2C88">
        <w:rPr>
          <w:rFonts w:eastAsia="Calibri"/>
        </w:rPr>
        <w:t xml:space="preserve">, kaip ir detaliai apie operacijos planavimą bei visų pajėgų kariškių atstovų subūrimą į štabą papasakojęs </w:t>
      </w:r>
      <w:r w:rsidR="00C507EF" w:rsidRPr="000E2C88">
        <w:rPr>
          <w:rFonts w:eastAsia="Calibri"/>
        </w:rPr>
        <w:t>V. A.</w:t>
      </w:r>
      <w:r w:rsidRPr="000E2C88">
        <w:rPr>
          <w:rFonts w:eastAsia="Calibri"/>
        </w:rPr>
        <w:t xml:space="preserve">, buvo kariniame Šiaurės miestelyje įsikūrusiame štabe. Iš liudytojo </w:t>
      </w:r>
      <w:r w:rsidR="00DD1A27" w:rsidRPr="000E2C88">
        <w:rPr>
          <w:rFonts w:eastAsia="Calibri"/>
        </w:rPr>
        <w:t>M. M.</w:t>
      </w:r>
      <w:r w:rsidRPr="000E2C88">
        <w:rPr>
          <w:rFonts w:eastAsia="Calibri"/>
        </w:rPr>
        <w:t xml:space="preserve"> pokalbių su </w:t>
      </w:r>
      <w:r w:rsidR="00385BC9" w:rsidRPr="000E2C88">
        <w:rPr>
          <w:rFonts w:eastAsia="Calibri"/>
        </w:rPr>
        <w:t>N. D.</w:t>
      </w:r>
      <w:r w:rsidRPr="000E2C88">
        <w:rPr>
          <w:rFonts w:eastAsia="Calibri"/>
        </w:rPr>
        <w:t xml:space="preserve"> akivaizdu, jog pastarasis žinojo apie TSRS siekį gražinti Lietuvą į TSRS sudėtį, rengiamą planą šturmuoti strategiškai svarbius pastatus, galimą jėgos panaudojimą ir civilių aukas, nes pats nurodė, jog yra Vilniuje siekiant išvengti kraujo. Iš liudytojo </w:t>
      </w:r>
      <w:r w:rsidR="00DD1A27" w:rsidRPr="000E2C88">
        <w:rPr>
          <w:rFonts w:eastAsia="Calibri"/>
        </w:rPr>
        <w:t>M. M.</w:t>
      </w:r>
      <w:r w:rsidRPr="000E2C88">
        <w:rPr>
          <w:rFonts w:eastAsia="Calibri"/>
        </w:rPr>
        <w:t xml:space="preserve"> parodymų akivaizdu ir tai, jog </w:t>
      </w:r>
      <w:r w:rsidR="00385BC9" w:rsidRPr="000E2C88">
        <w:rPr>
          <w:rFonts w:eastAsia="Calibri"/>
        </w:rPr>
        <w:t>V. S. 1</w:t>
      </w:r>
      <w:r w:rsidRPr="000E2C88">
        <w:rPr>
          <w:rFonts w:eastAsia="Calibri"/>
        </w:rPr>
        <w:t xml:space="preserve"> bei </w:t>
      </w:r>
      <w:r w:rsidR="006036E7" w:rsidRPr="000E2C88">
        <w:rPr>
          <w:rFonts w:eastAsia="Calibri"/>
        </w:rPr>
        <w:t>A. Ž.</w:t>
      </w:r>
      <w:r w:rsidRPr="000E2C88">
        <w:rPr>
          <w:rFonts w:eastAsia="Calibri"/>
        </w:rPr>
        <w:t xml:space="preserve"> ne kartą bendravo su Lietuvos pareigūnais apie iškylančias problemas po nepriklausomybės paskelbimo, apie prašymus nenaudoti jėgos prieš civilius ir Lietuvos pareigūnus ir, nepaisydami supratimo apie galimas aukas, vykdė aukštesnių pareigūnų ir TSRS vadovų nurodymus ir įsakymus, patys planuodami tokių tikslų įgyvendinimui reikalingas priemones, kariškių pajėgas, detalizuodami ir konkretizuodami sau pavaldžių kariškių užduotis ir veiksmus. Tokios teismo išvados iš esmės atitinka ir ikiteisminio tyrimo metu duotus </w:t>
      </w:r>
      <w:r w:rsidR="00385BC9" w:rsidRPr="000E2C88">
        <w:rPr>
          <w:rFonts w:eastAsia="Calibri"/>
        </w:rPr>
        <w:t>N. D.</w:t>
      </w:r>
      <w:r w:rsidRPr="000E2C88">
        <w:rPr>
          <w:rFonts w:eastAsia="Calibri"/>
        </w:rPr>
        <w:t xml:space="preserve"> bei </w:t>
      </w:r>
      <w:r w:rsidR="00385BC9" w:rsidRPr="000E2C88">
        <w:rPr>
          <w:rFonts w:eastAsia="Calibri"/>
        </w:rPr>
        <w:t>V. S. 1</w:t>
      </w:r>
      <w:r w:rsidRPr="000E2C88">
        <w:rPr>
          <w:rFonts w:eastAsia="Calibri"/>
        </w:rPr>
        <w:t xml:space="preserve"> parodymus, taip pat kitų ikiteisminio tyrimo metu apklaustų kariškių parodymus, todėl teismas yra tikras dėl jų tvirtumo</w:t>
      </w:r>
      <w:r w:rsidRPr="00361401">
        <w:rPr>
          <w:rFonts w:eastAsia="Calibri"/>
        </w:rPr>
        <w:t xml:space="preserve">.  </w:t>
      </w:r>
    </w:p>
    <w:p w:rsidR="00361401" w:rsidRDefault="0072749F" w:rsidP="00361401">
      <w:pPr>
        <w:pStyle w:val="NormalWeb"/>
        <w:numPr>
          <w:ilvl w:val="1"/>
          <w:numId w:val="6"/>
        </w:numPr>
        <w:spacing w:before="120" w:beforeAutospacing="0" w:after="120" w:afterAutospacing="0"/>
        <w:ind w:left="992" w:hanging="992"/>
        <w:rPr>
          <w:rFonts w:eastAsia="Calibri"/>
        </w:rPr>
      </w:pPr>
      <w:r w:rsidRPr="00361401">
        <w:rPr>
          <w:rFonts w:eastAsia="Calibri"/>
        </w:rPr>
        <w:t xml:space="preserve">Tyrimo metu </w:t>
      </w:r>
      <w:r w:rsidR="00385BC9" w:rsidRPr="00361401">
        <w:rPr>
          <w:rFonts w:eastAsia="Calibri"/>
        </w:rPr>
        <w:t>N. D.</w:t>
      </w:r>
      <w:r w:rsidRPr="00361401">
        <w:rPr>
          <w:rFonts w:eastAsia="Calibri"/>
        </w:rPr>
        <w:t xml:space="preserve"> pripažino, kad, vykdydamas TSRS vidaus reikalų ministro </w:t>
      </w:r>
      <w:r w:rsidR="00C507EF" w:rsidRPr="00361401">
        <w:rPr>
          <w:rFonts w:eastAsia="Calibri"/>
        </w:rPr>
        <w:t>B. P.</w:t>
      </w:r>
      <w:r w:rsidRPr="00361401">
        <w:rPr>
          <w:rFonts w:eastAsia="Calibri"/>
        </w:rPr>
        <w:t xml:space="preserve"> įsakymą, 1991 m. sausio 8 d. atskrido į Vilnių, kad Vilniuje apsistojo </w:t>
      </w:r>
      <w:r w:rsidR="006036E7" w:rsidRPr="00361401">
        <w:rPr>
          <w:rFonts w:eastAsia="Calibri"/>
        </w:rPr>
        <w:t>A. Ž.</w:t>
      </w:r>
      <w:r w:rsidRPr="00361401">
        <w:rPr>
          <w:rFonts w:eastAsia="Calibri"/>
        </w:rPr>
        <w:t xml:space="preserve"> padalinyje, kad ne kartą bendravo su </w:t>
      </w:r>
      <w:r w:rsidR="00DD1A27" w:rsidRPr="00361401">
        <w:rPr>
          <w:rFonts w:eastAsia="Calibri"/>
        </w:rPr>
        <w:t>M. M.</w:t>
      </w:r>
      <w:r w:rsidRPr="00361401">
        <w:rPr>
          <w:rFonts w:eastAsia="Calibri"/>
        </w:rPr>
        <w:t xml:space="preserve">, kad </w:t>
      </w:r>
      <w:r w:rsidR="006036E7" w:rsidRPr="00361401">
        <w:rPr>
          <w:rFonts w:eastAsia="Calibri"/>
        </w:rPr>
        <w:t>A. Ž.</w:t>
      </w:r>
      <w:r w:rsidRPr="00361401">
        <w:rPr>
          <w:rFonts w:eastAsia="Calibri"/>
        </w:rPr>
        <w:t xml:space="preserve"> vadovaujamame štabe buvo ir </w:t>
      </w:r>
      <w:r w:rsidR="00385BC9" w:rsidRPr="00361401">
        <w:rPr>
          <w:rFonts w:eastAsia="Calibri"/>
        </w:rPr>
        <w:t>V. S. 1</w:t>
      </w:r>
      <w:r w:rsidRPr="00361401">
        <w:rPr>
          <w:rFonts w:eastAsia="Calibri"/>
        </w:rPr>
        <w:t xml:space="preserve">. Nors </w:t>
      </w:r>
      <w:r w:rsidR="00385BC9" w:rsidRPr="00361401">
        <w:rPr>
          <w:rFonts w:eastAsia="Calibri"/>
        </w:rPr>
        <w:t>N. D.</w:t>
      </w:r>
      <w:r w:rsidRPr="00361401">
        <w:rPr>
          <w:rFonts w:eastAsia="Calibri"/>
        </w:rPr>
        <w:t xml:space="preserve"> teigė, kad apie 1991 m. sausio 12</w:t>
      </w:r>
      <w:r w:rsidRPr="00361401">
        <w:t>–</w:t>
      </w:r>
      <w:r w:rsidRPr="00361401">
        <w:rPr>
          <w:rFonts w:eastAsia="Calibri"/>
        </w:rPr>
        <w:t>13 d. įvykius nieko nežinojo, kad sausio 12 d. po žinių laidos nuėjo miegoti ir jokių įsakymų niekam nedavė</w:t>
      </w:r>
      <w:r w:rsidRPr="00361401">
        <w:t xml:space="preserve"> (t.</w:t>
      </w:r>
      <w:r w:rsidR="00150E2A" w:rsidRPr="00361401">
        <w:t> </w:t>
      </w:r>
      <w:r w:rsidRPr="00361401">
        <w:t>628, b. l. 1–17),</w:t>
      </w:r>
      <w:r w:rsidRPr="00361401">
        <w:rPr>
          <w:rFonts w:eastAsia="Calibri"/>
        </w:rPr>
        <w:t xml:space="preserve"> </w:t>
      </w:r>
      <w:r w:rsidR="00385BC9" w:rsidRPr="00361401">
        <w:rPr>
          <w:rFonts w:eastAsia="Calibri"/>
        </w:rPr>
        <w:t>V. S. 1</w:t>
      </w:r>
      <w:r w:rsidRPr="00361401">
        <w:rPr>
          <w:rFonts w:eastAsia="Calibri"/>
        </w:rPr>
        <w:t xml:space="preserve"> nurodė visiškai priešingai.</w:t>
      </w:r>
    </w:p>
    <w:p w:rsidR="00361401" w:rsidRPr="00361401" w:rsidRDefault="0072749F" w:rsidP="00361401">
      <w:pPr>
        <w:pStyle w:val="NormalWeb"/>
        <w:numPr>
          <w:ilvl w:val="1"/>
          <w:numId w:val="6"/>
        </w:numPr>
        <w:spacing w:before="120" w:beforeAutospacing="0" w:after="120" w:afterAutospacing="0"/>
        <w:ind w:left="992" w:hanging="992"/>
        <w:rPr>
          <w:rFonts w:eastAsia="Calibri"/>
        </w:rPr>
      </w:pPr>
      <w:r w:rsidRPr="00361401">
        <w:rPr>
          <w:rFonts w:eastAsia="Calibri"/>
        </w:rPr>
        <w:t xml:space="preserve">Tyrimo metu </w:t>
      </w:r>
      <w:r w:rsidR="00385BC9" w:rsidRPr="00361401">
        <w:rPr>
          <w:rFonts w:eastAsia="Calibri"/>
        </w:rPr>
        <w:t>V. S. 1</w:t>
      </w:r>
      <w:r w:rsidRPr="00361401">
        <w:rPr>
          <w:rFonts w:eastAsia="Calibri"/>
        </w:rPr>
        <w:t xml:space="preserve"> teigė, kad s</w:t>
      </w:r>
      <w:r w:rsidRPr="00361401">
        <w:rPr>
          <w:color w:val="000000"/>
        </w:rPr>
        <w:t xml:space="preserve">u </w:t>
      </w:r>
      <w:r w:rsidR="00385BC9" w:rsidRPr="00361401">
        <w:rPr>
          <w:color w:val="000000"/>
        </w:rPr>
        <w:t>N. D.</w:t>
      </w:r>
      <w:r w:rsidRPr="00361401">
        <w:rPr>
          <w:color w:val="000000"/>
        </w:rPr>
        <w:t xml:space="preserve"> susitiko divizijoje 1991 m. sausio 9 d. </w:t>
      </w:r>
      <w:r w:rsidR="00385BC9" w:rsidRPr="00361401">
        <w:rPr>
          <w:color w:val="000000"/>
        </w:rPr>
        <w:t>N. D.</w:t>
      </w:r>
      <w:r w:rsidRPr="00361401">
        <w:rPr>
          <w:color w:val="000000"/>
        </w:rPr>
        <w:t xml:space="preserve"> domėjosi padėtimi divizijoje, vėliau pasakė, kad atsižvelgiant į neramumus mieste, esant reikalui, reiktų sustiprinti objektų apsaugą. 1991 m. sausio 12 d. vakare </w:t>
      </w:r>
      <w:r w:rsidR="00385BC9" w:rsidRPr="00361401">
        <w:rPr>
          <w:color w:val="000000"/>
        </w:rPr>
        <w:t>N. D.</w:t>
      </w:r>
      <w:r w:rsidRPr="00361401">
        <w:rPr>
          <w:color w:val="000000"/>
        </w:rPr>
        <w:t xml:space="preserve"> kalbėjo telefonu su ministru </w:t>
      </w:r>
      <w:r w:rsidR="00C507EF" w:rsidRPr="00361401">
        <w:rPr>
          <w:color w:val="000000"/>
        </w:rPr>
        <w:t>B. P.</w:t>
      </w:r>
      <w:r w:rsidRPr="00361401">
        <w:rPr>
          <w:color w:val="000000"/>
        </w:rPr>
        <w:t>, jis (</w:t>
      </w:r>
      <w:r w:rsidR="00385BC9" w:rsidRPr="00361401">
        <w:rPr>
          <w:color w:val="000000"/>
        </w:rPr>
        <w:t>V. S. 1</w:t>
      </w:r>
      <w:r w:rsidRPr="00361401">
        <w:rPr>
          <w:color w:val="000000"/>
        </w:rPr>
        <w:t xml:space="preserve">) ir </w:t>
      </w:r>
      <w:r w:rsidR="006036E7" w:rsidRPr="00361401">
        <w:rPr>
          <w:color w:val="000000"/>
        </w:rPr>
        <w:t>A. Ž.</w:t>
      </w:r>
      <w:r w:rsidRPr="00361401">
        <w:rPr>
          <w:color w:val="000000"/>
        </w:rPr>
        <w:t xml:space="preserve"> girdėjo šį pokalbį. Po šio pokalbio </w:t>
      </w:r>
      <w:r w:rsidR="00385BC9" w:rsidRPr="00361401">
        <w:rPr>
          <w:color w:val="000000"/>
        </w:rPr>
        <w:t>N. D.</w:t>
      </w:r>
      <w:r w:rsidRPr="00361401">
        <w:rPr>
          <w:color w:val="000000"/>
        </w:rPr>
        <w:t xml:space="preserve"> jiems pasakė, kad VRM kariuomenei apsaugai reikės paimti LRT pastatą po to, kai jį užims TSRS kariškiai. </w:t>
      </w:r>
      <w:r w:rsidR="00385BC9" w:rsidRPr="00361401">
        <w:rPr>
          <w:color w:val="000000"/>
        </w:rPr>
        <w:t>V. S. 1</w:t>
      </w:r>
      <w:r w:rsidRPr="00361401">
        <w:rPr>
          <w:color w:val="000000"/>
        </w:rPr>
        <w:t xml:space="preserve"> pasitarė su </w:t>
      </w:r>
      <w:r w:rsidR="006036E7" w:rsidRPr="00361401">
        <w:rPr>
          <w:color w:val="000000"/>
        </w:rPr>
        <w:t>A. Ž.</w:t>
      </w:r>
      <w:r w:rsidRPr="00361401">
        <w:rPr>
          <w:color w:val="000000"/>
        </w:rPr>
        <w:t xml:space="preserve"> ir nutarė, kad tai padarys TSRS VRM konvojaus pulko 7574 mokomoji kuopa. Šį įsakymą </w:t>
      </w:r>
      <w:r w:rsidR="006036E7" w:rsidRPr="00361401">
        <w:rPr>
          <w:color w:val="000000"/>
        </w:rPr>
        <w:t>A. Ž.</w:t>
      </w:r>
      <w:r w:rsidRPr="00361401">
        <w:rPr>
          <w:color w:val="000000"/>
        </w:rPr>
        <w:t xml:space="preserve"> perdavė pulko vadui </w:t>
      </w:r>
      <w:r w:rsidR="00A97F74" w:rsidRPr="00361401">
        <w:rPr>
          <w:color w:val="000000"/>
        </w:rPr>
        <w:t>S. F.</w:t>
      </w:r>
      <w:r w:rsidRPr="00361401">
        <w:rPr>
          <w:color w:val="000000"/>
        </w:rPr>
        <w:t>, kuris susitiko su kariškiais ir aptarė LRT saugojimo perėmimo laiką ir detales (</w:t>
      </w:r>
      <w:r w:rsidRPr="00361401">
        <w:t>t. 632, b. l. 55–73)</w:t>
      </w:r>
      <w:r w:rsidRPr="00361401">
        <w:rPr>
          <w:color w:val="000000"/>
        </w:rPr>
        <w:t>.</w:t>
      </w:r>
      <w:r w:rsidRPr="00361401">
        <w:t xml:space="preserve"> </w:t>
      </w:r>
    </w:p>
    <w:p w:rsidR="00361401" w:rsidRPr="00361401" w:rsidRDefault="0072749F" w:rsidP="00361401">
      <w:pPr>
        <w:pStyle w:val="NormalWeb"/>
        <w:numPr>
          <w:ilvl w:val="1"/>
          <w:numId w:val="6"/>
        </w:numPr>
        <w:spacing w:before="120" w:beforeAutospacing="0" w:after="120" w:afterAutospacing="0"/>
        <w:ind w:left="992" w:hanging="992"/>
        <w:rPr>
          <w:rFonts w:eastAsia="Calibri"/>
        </w:rPr>
      </w:pPr>
      <w:r w:rsidRPr="00361401">
        <w:t xml:space="preserve">Iš teisiamajame posėdyje paskelbtų </w:t>
      </w:r>
      <w:r w:rsidRPr="00361401">
        <w:rPr>
          <w:color w:val="000000"/>
        </w:rPr>
        <w:t xml:space="preserve">TSRS VSK valdybos „Z“ viršininko pavaduotojo </w:t>
      </w:r>
      <w:r w:rsidRPr="00361401">
        <w:t xml:space="preserve">liudytojo </w:t>
      </w:r>
      <w:r w:rsidR="00DD1A27" w:rsidRPr="00361401">
        <w:t>I. F.</w:t>
      </w:r>
      <w:r w:rsidRPr="00361401">
        <w:t xml:space="preserve"> parodymų, duotų ikiteisminio tyrimo metu, be kita ko, matyti, kad</w:t>
      </w:r>
      <w:r w:rsidRPr="00361401">
        <w:rPr>
          <w:color w:val="000000"/>
        </w:rPr>
        <w:t xml:space="preserve"> kartu su juo ir kitais TSRS VSK darbuotojais į Vilnių atskrido TSRS VRM ministro pavaduotojas </w:t>
      </w:r>
      <w:r w:rsidR="00385BC9" w:rsidRPr="00361401">
        <w:rPr>
          <w:color w:val="000000"/>
        </w:rPr>
        <w:t>N. D.</w:t>
      </w:r>
      <w:r w:rsidRPr="00361401">
        <w:rPr>
          <w:color w:val="000000"/>
        </w:rPr>
        <w:t xml:space="preserve">. Juos pasitiko </w:t>
      </w:r>
      <w:r w:rsidR="00D37127" w:rsidRPr="00361401">
        <w:rPr>
          <w:color w:val="000000"/>
        </w:rPr>
        <w:t>S. C.</w:t>
      </w:r>
      <w:r w:rsidRPr="00361401">
        <w:rPr>
          <w:color w:val="000000"/>
        </w:rPr>
        <w:t xml:space="preserve">, VRM bendradarbiai. Atvykęs jis pasitikslino padėtį, susitiko ir kalbėjo su </w:t>
      </w:r>
      <w:r w:rsidR="005A493E" w:rsidRPr="00361401">
        <w:rPr>
          <w:color w:val="000000"/>
        </w:rPr>
        <w:t>R. M.</w:t>
      </w:r>
      <w:r w:rsidRPr="00361401">
        <w:rPr>
          <w:color w:val="000000"/>
        </w:rPr>
        <w:t xml:space="preserve">, </w:t>
      </w:r>
      <w:r w:rsidR="00D37127" w:rsidRPr="00361401">
        <w:rPr>
          <w:color w:val="000000"/>
        </w:rPr>
        <w:t>S. C.</w:t>
      </w:r>
      <w:r w:rsidRPr="00361401">
        <w:rPr>
          <w:color w:val="000000"/>
        </w:rPr>
        <w:t xml:space="preserve">, generolu pulkininku </w:t>
      </w:r>
      <w:r w:rsidR="00C507EF" w:rsidRPr="00361401">
        <w:rPr>
          <w:color w:val="000000"/>
        </w:rPr>
        <w:t>V. A.</w:t>
      </w:r>
      <w:r w:rsidRPr="00361401">
        <w:rPr>
          <w:color w:val="000000"/>
        </w:rPr>
        <w:t xml:space="preserve">, LKP/TSKP CK sekretoriumi </w:t>
      </w:r>
      <w:r w:rsidR="00C507EF" w:rsidRPr="00361401">
        <w:rPr>
          <w:color w:val="000000"/>
        </w:rPr>
        <w:t>M. B.</w:t>
      </w:r>
      <w:r w:rsidRPr="00361401">
        <w:rPr>
          <w:color w:val="000000"/>
        </w:rPr>
        <w:t xml:space="preserve">. Susitikimas su </w:t>
      </w:r>
      <w:r w:rsidR="00C507EF" w:rsidRPr="00361401">
        <w:rPr>
          <w:color w:val="000000"/>
        </w:rPr>
        <w:t>M. B.</w:t>
      </w:r>
      <w:r w:rsidRPr="00361401">
        <w:rPr>
          <w:color w:val="000000"/>
        </w:rPr>
        <w:t xml:space="preserve"> įvyko galimai tą pačią dieną jo iniciatyva, LKP/TSKP CK pastate, </w:t>
      </w:r>
      <w:r w:rsidR="00C507EF" w:rsidRPr="00361401">
        <w:rPr>
          <w:color w:val="000000"/>
        </w:rPr>
        <w:t>M. B.</w:t>
      </w:r>
      <w:r w:rsidRPr="00361401">
        <w:rPr>
          <w:color w:val="000000"/>
        </w:rPr>
        <w:t xml:space="preserve"> kabinete. Pokalbyje dalyvavo </w:t>
      </w:r>
      <w:r w:rsidR="00D37127" w:rsidRPr="00361401">
        <w:rPr>
          <w:color w:val="000000"/>
        </w:rPr>
        <w:t>S. C.</w:t>
      </w:r>
      <w:r w:rsidRPr="00361401">
        <w:rPr>
          <w:color w:val="000000"/>
        </w:rPr>
        <w:t xml:space="preserve">, </w:t>
      </w:r>
      <w:r w:rsidR="00C507EF" w:rsidRPr="00361401">
        <w:rPr>
          <w:color w:val="000000"/>
        </w:rPr>
        <w:t>J. K.</w:t>
      </w:r>
      <w:r w:rsidRPr="00361401">
        <w:rPr>
          <w:color w:val="000000"/>
        </w:rPr>
        <w:t xml:space="preserve">, </w:t>
      </w:r>
      <w:r w:rsidR="00385BC9" w:rsidRPr="00361401">
        <w:rPr>
          <w:color w:val="000000"/>
        </w:rPr>
        <w:t>N. D.</w:t>
      </w:r>
      <w:r w:rsidRPr="00361401">
        <w:rPr>
          <w:color w:val="000000"/>
        </w:rPr>
        <w:t xml:space="preserve">, galėjo būti ir daugiau žmonių, bet jis neprisimena </w:t>
      </w:r>
      <w:r w:rsidRPr="00361401">
        <w:t xml:space="preserve">(t. 192, b. l. </w:t>
      </w:r>
      <w:r w:rsidRPr="00361401">
        <w:rPr>
          <w:color w:val="000000"/>
        </w:rPr>
        <w:t>91–112</w:t>
      </w:r>
      <w:r w:rsidRPr="00361401">
        <w:t>)</w:t>
      </w:r>
      <w:r w:rsidRPr="00361401">
        <w:rPr>
          <w:color w:val="000000"/>
        </w:rPr>
        <w:t xml:space="preserve">. </w:t>
      </w:r>
    </w:p>
    <w:p w:rsidR="00361401" w:rsidRPr="00361401" w:rsidRDefault="0072749F" w:rsidP="00361401">
      <w:pPr>
        <w:pStyle w:val="NormalWeb"/>
        <w:numPr>
          <w:ilvl w:val="1"/>
          <w:numId w:val="6"/>
        </w:numPr>
        <w:spacing w:before="120" w:beforeAutospacing="0" w:after="120" w:afterAutospacing="0"/>
        <w:ind w:left="992" w:hanging="992"/>
        <w:rPr>
          <w:rFonts w:eastAsia="Calibri"/>
        </w:rPr>
      </w:pPr>
      <w:r w:rsidRPr="00C00255">
        <w:t xml:space="preserve">Iš teisiamajame posėdyje paskelbtų </w:t>
      </w:r>
      <w:r w:rsidRPr="00361401">
        <w:t>TSRS VRM Vidaus kariuomenės 42-osios divizijos konvojaus pulko vado</w:t>
      </w:r>
      <w:r w:rsidRPr="00C00255">
        <w:t xml:space="preserve"> </w:t>
      </w:r>
      <w:r w:rsidR="00A97F74">
        <w:t>S. F.</w:t>
      </w:r>
      <w:r w:rsidRPr="00361401">
        <w:rPr>
          <w:color w:val="000000"/>
        </w:rPr>
        <w:t xml:space="preserve"> </w:t>
      </w:r>
      <w:r w:rsidRPr="00C00255">
        <w:t>parodymų, duotų ikiteisminio tyrimo metu, matyti, kad</w:t>
      </w:r>
      <w:r w:rsidRPr="00361401">
        <w:rPr>
          <w:color w:val="000000"/>
        </w:rPr>
        <w:t xml:space="preserve"> jam paskambino </w:t>
      </w:r>
      <w:r w:rsidR="006036E7" w:rsidRPr="00361401">
        <w:rPr>
          <w:color w:val="000000"/>
        </w:rPr>
        <w:t>A. Ž.</w:t>
      </w:r>
      <w:r w:rsidRPr="00361401">
        <w:rPr>
          <w:color w:val="000000"/>
        </w:rPr>
        <w:t xml:space="preserve"> ir įsakė vykti su daliniu į Šiaurės karinį miestelį, prisistatyti oro desanto kariškių vadui ir toliau vykdyti jo įsakymus. Vėliau jam buvo įsakyta vykti į LRT ir užtikrinti viešąją tvarką, saugoti 4-ių aukštų pastato fojė. Jam pavaldūs kariškiai šį pastatą užėmė ir saugojo </w:t>
      </w:r>
      <w:r w:rsidRPr="00C00255">
        <w:t>(</w:t>
      </w:r>
      <w:r w:rsidRPr="00361401">
        <w:rPr>
          <w:color w:val="000000"/>
        </w:rPr>
        <w:t>t. 125, b. l. 113–123; t. 438, b. l. 111–113</w:t>
      </w:r>
      <w:r w:rsidRPr="00C00255">
        <w:t xml:space="preserve">). </w:t>
      </w:r>
    </w:p>
    <w:p w:rsidR="00361401" w:rsidRPr="00361401" w:rsidRDefault="0072749F" w:rsidP="00361401">
      <w:pPr>
        <w:pStyle w:val="NormalWeb"/>
        <w:numPr>
          <w:ilvl w:val="2"/>
          <w:numId w:val="6"/>
        </w:numPr>
        <w:spacing w:before="120" w:beforeAutospacing="0" w:after="120" w:afterAutospacing="0"/>
        <w:ind w:left="992" w:hanging="992"/>
        <w:rPr>
          <w:rFonts w:eastAsia="Calibri"/>
        </w:rPr>
      </w:pPr>
      <w:r w:rsidRPr="00C00255">
        <w:t xml:space="preserve">Apie kariškių vykimą į karinį Šiaurės miestelį, draudimą išvykti iš karinio dalinio, </w:t>
      </w:r>
      <w:r w:rsidR="00A97F74">
        <w:t>S. F.</w:t>
      </w:r>
      <w:r w:rsidRPr="00C00255">
        <w:t xml:space="preserve"> vadovavimą TSRS VRM </w:t>
      </w:r>
      <w:r w:rsidRPr="00361401">
        <w:t xml:space="preserve">42-osios divizijos </w:t>
      </w:r>
      <w:r w:rsidRPr="00C00255">
        <w:t xml:space="preserve">kariškiams ikiteisminio tyrimo metu davė parodymus ir kiti kariškiai, kurių parodymai iš esmės sutampa su </w:t>
      </w:r>
      <w:r w:rsidR="00A97F74">
        <w:t>S. F.</w:t>
      </w:r>
      <w:r w:rsidRPr="00C00255">
        <w:t xml:space="preserve"> parodymais. </w:t>
      </w:r>
      <w:r w:rsidRPr="00361401">
        <w:t>TSRS VRM Vidaus kariuomenės 42-osios divizijos konvojaus pulko Ryšių tarnybos viršininkas</w:t>
      </w:r>
      <w:r w:rsidRPr="00C00255">
        <w:t xml:space="preserve"> </w:t>
      </w:r>
      <w:r w:rsidR="00A97F74">
        <w:t>V. Š. 2</w:t>
      </w:r>
      <w:r w:rsidRPr="00C00255">
        <w:t xml:space="preserve"> tei</w:t>
      </w:r>
      <w:r w:rsidRPr="00361401">
        <w:t xml:space="preserve">gė, kad </w:t>
      </w:r>
      <w:r w:rsidR="00A97F74" w:rsidRPr="00361401">
        <w:t>S. F.</w:t>
      </w:r>
      <w:r w:rsidRPr="00C00255">
        <w:t xml:space="preserve"> įsakymą vykti į Šiaurės miestelį davė 1991 m. sausio 12 d. vakare. Be to, šis liudytojas nurodė ir tai, kad </w:t>
      </w:r>
      <w:r w:rsidRPr="00361401">
        <w:rPr>
          <w:color w:val="000000"/>
        </w:rPr>
        <w:t xml:space="preserve">beveik iki ryto buvo mašinoje prie LRT ir palaikė radijo ryšį tarp </w:t>
      </w:r>
      <w:r w:rsidR="00A97F74" w:rsidRPr="00361401">
        <w:rPr>
          <w:color w:val="000000"/>
        </w:rPr>
        <w:t>S. F.</w:t>
      </w:r>
      <w:r w:rsidRPr="00361401">
        <w:rPr>
          <w:color w:val="000000"/>
        </w:rPr>
        <w:t xml:space="preserve"> ir </w:t>
      </w:r>
      <w:r w:rsidR="00385BC9" w:rsidRPr="00361401">
        <w:rPr>
          <w:color w:val="000000"/>
        </w:rPr>
        <w:t>V. S. 1</w:t>
      </w:r>
      <w:r w:rsidRPr="00361401">
        <w:rPr>
          <w:color w:val="000000"/>
        </w:rPr>
        <w:t xml:space="preserve"> </w:t>
      </w:r>
      <w:r w:rsidRPr="00361401">
        <w:t>(</w:t>
      </w:r>
      <w:r w:rsidRPr="00361401">
        <w:rPr>
          <w:color w:val="000000"/>
        </w:rPr>
        <w:t>t. 126, b. l. 268–271; t. 439, b. l. 155–157</w:t>
      </w:r>
      <w:r w:rsidRPr="00C00255">
        <w:t xml:space="preserve">). </w:t>
      </w:r>
    </w:p>
    <w:p w:rsidR="00361401" w:rsidRPr="00361401" w:rsidRDefault="0072749F" w:rsidP="00361401">
      <w:pPr>
        <w:pStyle w:val="NormalWeb"/>
        <w:numPr>
          <w:ilvl w:val="2"/>
          <w:numId w:val="6"/>
        </w:numPr>
        <w:spacing w:before="120" w:beforeAutospacing="0" w:after="120" w:afterAutospacing="0"/>
        <w:ind w:left="992" w:hanging="992"/>
        <w:rPr>
          <w:rFonts w:eastAsia="Calibri"/>
        </w:rPr>
      </w:pPr>
      <w:r w:rsidRPr="00361401">
        <w:t>TSRS VRM Vidaus kariuomenės 42-osios divizijos konvojaus pulko specialiosios paskirties mokomosios kuopos vadas</w:t>
      </w:r>
      <w:r w:rsidRPr="00C00255">
        <w:t xml:space="preserve"> </w:t>
      </w:r>
      <w:r w:rsidR="00DC0414">
        <w:t>O. M.</w:t>
      </w:r>
      <w:r w:rsidRPr="00C00255">
        <w:t xml:space="preserve"> </w:t>
      </w:r>
      <w:r w:rsidRPr="00361401">
        <w:rPr>
          <w:color w:val="000000"/>
        </w:rPr>
        <w:t xml:space="preserve">nurodė, kad 1991 metų sausio 8–9 d. dalinio vadas papulkininkis </w:t>
      </w:r>
      <w:r w:rsidR="00A97F74" w:rsidRPr="00361401">
        <w:rPr>
          <w:color w:val="000000"/>
        </w:rPr>
        <w:t>S. F.</w:t>
      </w:r>
      <w:r w:rsidRPr="00361401">
        <w:rPr>
          <w:color w:val="000000"/>
        </w:rPr>
        <w:t xml:space="preserve"> liepė dalinio karininkams ir praporščikams niekur neišvykti. 19</w:t>
      </w:r>
      <w:r w:rsidRPr="00361401">
        <w:rPr>
          <w:rFonts w:eastAsia="Calibri"/>
          <w:color w:val="000000"/>
        </w:rPr>
        <w:t>9</w:t>
      </w:r>
      <w:r w:rsidRPr="00361401">
        <w:rPr>
          <w:color w:val="000000"/>
        </w:rPr>
        <w:t>1</w:t>
      </w:r>
      <w:r w:rsidR="00150E2A" w:rsidRPr="00361401">
        <w:rPr>
          <w:color w:val="000000"/>
        </w:rPr>
        <w:t> </w:t>
      </w:r>
      <w:r w:rsidRPr="00361401">
        <w:rPr>
          <w:color w:val="000000"/>
        </w:rPr>
        <w:t>m.</w:t>
      </w:r>
      <w:r w:rsidR="00150E2A" w:rsidRPr="00361401">
        <w:rPr>
          <w:color w:val="000000"/>
        </w:rPr>
        <w:t> </w:t>
      </w:r>
      <w:r w:rsidRPr="00361401">
        <w:rPr>
          <w:color w:val="000000"/>
        </w:rPr>
        <w:t>sausio</w:t>
      </w:r>
      <w:r w:rsidR="00150E2A" w:rsidRPr="00361401">
        <w:rPr>
          <w:color w:val="000000"/>
        </w:rPr>
        <w:t> </w:t>
      </w:r>
      <w:r w:rsidRPr="00361401">
        <w:rPr>
          <w:color w:val="000000"/>
        </w:rPr>
        <w:t xml:space="preserve">12 d. apie 21 val. pulko vadas surinko visus karininkus ir praporščikus savo kabinete ir pranešė, kad jo kuopa yra rezerve išvykimui į Vilnių tam atvejui, jei reiks padėti desanto padaliniui. Apie 24 val. jiems buvo pranešta apie išvykimą į Šiaurės miestelį. Ten nuvykus pulko vadas nuėjo į pasitarimą, po to jis iš karto pranešė užduotį. Jo kuopa turėjo padėti desantininkams perimant saugoti LRT, t. y. desantininkams užėmus LRT pastatą, jie turėjo blokuoti centrinį įėjimą ir vestibiulį ir neįleisti ten pašalinių žmonių. Jis pranešė visiems karininkams ir praporščikams apie šią užduotį, o jie informavo apie tai savo pavaldinius. Viso važiavo 4 karininkai: vyr. leitenantas </w:t>
      </w:r>
      <w:r w:rsidR="00A97F74" w:rsidRPr="00361401">
        <w:rPr>
          <w:color w:val="000000"/>
        </w:rPr>
        <w:t>V. M.</w:t>
      </w:r>
      <w:r w:rsidRPr="00361401">
        <w:rPr>
          <w:color w:val="000000"/>
        </w:rPr>
        <w:t xml:space="preserve">, vyr. leitenantas </w:t>
      </w:r>
      <w:r w:rsidR="00DC0414" w:rsidRPr="00361401">
        <w:rPr>
          <w:color w:val="000000"/>
        </w:rPr>
        <w:t>M. C.</w:t>
      </w:r>
      <w:r w:rsidRPr="00361401">
        <w:rPr>
          <w:color w:val="000000"/>
        </w:rPr>
        <w:t xml:space="preserve">, leitenantas </w:t>
      </w:r>
      <w:r w:rsidR="002F1EB0" w:rsidRPr="00361401">
        <w:rPr>
          <w:color w:val="000000"/>
        </w:rPr>
        <w:t>A. Ž.</w:t>
      </w:r>
      <w:r w:rsidRPr="00361401">
        <w:rPr>
          <w:color w:val="000000"/>
        </w:rPr>
        <w:t xml:space="preserve"> ir du praporščikai – </w:t>
      </w:r>
      <w:r w:rsidR="00DC0414" w:rsidRPr="00361401">
        <w:rPr>
          <w:color w:val="000000"/>
        </w:rPr>
        <w:t>J. S.</w:t>
      </w:r>
      <w:r w:rsidRPr="00361401">
        <w:rPr>
          <w:color w:val="000000"/>
        </w:rPr>
        <w:t xml:space="preserve"> ir S. K</w:t>
      </w:r>
      <w:r w:rsidR="00D220F2" w:rsidRPr="00361401">
        <w:rPr>
          <w:color w:val="000000"/>
        </w:rPr>
        <w:t>.</w:t>
      </w:r>
      <w:r w:rsidRPr="00361401">
        <w:rPr>
          <w:color w:val="000000"/>
        </w:rPr>
        <w:t xml:space="preserve">. Apie 2.00 val. jie išvyko prie objekto </w:t>
      </w:r>
      <w:r w:rsidRPr="00C00255">
        <w:t>(</w:t>
      </w:r>
      <w:r w:rsidRPr="00361401">
        <w:rPr>
          <w:color w:val="000000"/>
        </w:rPr>
        <w:t>t. 125, b. l. 169–177; t. 438, b. l. 144–149</w:t>
      </w:r>
      <w:r w:rsidRPr="00C00255">
        <w:t xml:space="preserve">). </w:t>
      </w:r>
    </w:p>
    <w:p w:rsidR="00361401" w:rsidRDefault="0072749F" w:rsidP="00361401">
      <w:pPr>
        <w:pStyle w:val="NormalWeb"/>
        <w:numPr>
          <w:ilvl w:val="2"/>
          <w:numId w:val="6"/>
        </w:numPr>
        <w:spacing w:before="120" w:beforeAutospacing="0" w:after="120" w:afterAutospacing="0"/>
        <w:ind w:left="992" w:hanging="992"/>
        <w:rPr>
          <w:rFonts w:eastAsia="Calibri"/>
        </w:rPr>
      </w:pPr>
      <w:r w:rsidRPr="000E2C88">
        <w:rPr>
          <w:rFonts w:eastAsia="Calibri"/>
        </w:rPr>
        <w:t>TSRS VRM Vidaus kariuomenės 42-osios divizijos Artilerinės ginkluotės tarnybos viršininkas R</w:t>
      </w:r>
      <w:r w:rsidR="00660130" w:rsidRPr="000E2C88">
        <w:rPr>
          <w:rFonts w:eastAsia="Calibri"/>
        </w:rPr>
        <w:t>. </w:t>
      </w:r>
      <w:r w:rsidRPr="000E2C88">
        <w:rPr>
          <w:rFonts w:eastAsia="Calibri"/>
        </w:rPr>
        <w:t>M</w:t>
      </w:r>
      <w:r w:rsidR="00660130" w:rsidRPr="000E2C88">
        <w:rPr>
          <w:rFonts w:eastAsia="Calibri"/>
        </w:rPr>
        <w:t>. </w:t>
      </w:r>
      <w:r w:rsidRPr="000E2C88">
        <w:rPr>
          <w:rFonts w:eastAsia="Calibri"/>
        </w:rPr>
        <w:t>(</w:t>
      </w:r>
      <w:r w:rsidR="00660130" w:rsidRPr="000E2C88">
        <w:rPr>
          <w:rFonts w:eastAsia="Calibri"/>
        </w:rPr>
        <w:t>R. M.</w:t>
      </w:r>
      <w:r w:rsidRPr="000E2C88">
        <w:rPr>
          <w:rFonts w:eastAsia="Calibri"/>
        </w:rPr>
        <w:t xml:space="preserve">) nurodė, kad, po to, kai 1990 m. prasidėjo neramumai ir jų divizijoje pradėjo lankytis aukšti TSRS VRM pareigūnai, </w:t>
      </w:r>
      <w:r w:rsidR="006036E7" w:rsidRPr="000E2C88">
        <w:rPr>
          <w:rFonts w:eastAsia="Calibri"/>
        </w:rPr>
        <w:t>A. Ž.</w:t>
      </w:r>
      <w:r w:rsidRPr="000E2C88">
        <w:rPr>
          <w:rFonts w:eastAsia="Calibri"/>
        </w:rPr>
        <w:t xml:space="preserve"> jam nurodė, kad buvo atvykęs ir TSRS gynybos ministro pavaduotojas </w:t>
      </w:r>
      <w:r w:rsidR="00C507EF" w:rsidRPr="000E2C88">
        <w:rPr>
          <w:rFonts w:eastAsia="Calibri"/>
        </w:rPr>
        <w:t>V. A.</w:t>
      </w:r>
      <w:r w:rsidRPr="000E2C88">
        <w:rPr>
          <w:rFonts w:eastAsia="Calibri"/>
        </w:rPr>
        <w:t xml:space="preserve">. Tuomet po susitikimo su </w:t>
      </w:r>
      <w:r w:rsidR="00C507EF" w:rsidRPr="000E2C88">
        <w:rPr>
          <w:rFonts w:eastAsia="Calibri"/>
        </w:rPr>
        <w:t>V. A.</w:t>
      </w:r>
      <w:r w:rsidRPr="000E2C88">
        <w:rPr>
          <w:rFonts w:eastAsia="Calibri"/>
        </w:rPr>
        <w:t xml:space="preserve"> grįžęs </w:t>
      </w:r>
      <w:r w:rsidR="006036E7" w:rsidRPr="000E2C88">
        <w:rPr>
          <w:rFonts w:eastAsia="Calibri"/>
        </w:rPr>
        <w:t>A. Ž.</w:t>
      </w:r>
      <w:r w:rsidRPr="000E2C88">
        <w:rPr>
          <w:rFonts w:eastAsia="Calibri"/>
        </w:rPr>
        <w:t xml:space="preserve"> perdavė </w:t>
      </w:r>
      <w:r w:rsidR="00C507EF" w:rsidRPr="000E2C88">
        <w:rPr>
          <w:rFonts w:eastAsia="Calibri"/>
        </w:rPr>
        <w:t>V. A.</w:t>
      </w:r>
      <w:r w:rsidRPr="000E2C88">
        <w:rPr>
          <w:rFonts w:eastAsia="Calibri"/>
        </w:rPr>
        <w:t xml:space="preserve"> įsakymą: stiprinti kovinę padėtį, visoms tarnyboms būti pasiruošusioms bet kokiems atvejams – būti parengtyje, buvo įvesta kareivinių padėtis. Taip pat tuo metu į diviziją buvo atvažiavę TSRS vidaus reikalų ministro pavaduotojas </w:t>
      </w:r>
      <w:r w:rsidR="00385BC9" w:rsidRPr="000E2C88">
        <w:rPr>
          <w:rFonts w:eastAsia="Calibri"/>
        </w:rPr>
        <w:t>N. D.</w:t>
      </w:r>
      <w:r w:rsidRPr="000E2C88">
        <w:rPr>
          <w:rFonts w:eastAsia="Calibri"/>
        </w:rPr>
        <w:t xml:space="preserve">, TSRS VRM Šiaurės Vakarų valdybos vadas </w:t>
      </w:r>
      <w:r w:rsidR="00385BC9" w:rsidRPr="000E2C88">
        <w:rPr>
          <w:rFonts w:eastAsia="Calibri"/>
        </w:rPr>
        <w:t>V. S. 1</w:t>
      </w:r>
      <w:r w:rsidRPr="000E2C88">
        <w:rPr>
          <w:rFonts w:eastAsia="Calibri"/>
        </w:rPr>
        <w:t xml:space="preserve">, jo pavaduotojas užnugariui </w:t>
      </w:r>
      <w:r w:rsidR="00660130" w:rsidRPr="000E2C88">
        <w:rPr>
          <w:rFonts w:eastAsia="Calibri"/>
        </w:rPr>
        <w:t>ir štabo viršininkas. Be to, R. </w:t>
      </w:r>
      <w:r w:rsidRPr="000E2C88">
        <w:rPr>
          <w:rFonts w:eastAsia="Calibri"/>
        </w:rPr>
        <w:t>M</w:t>
      </w:r>
      <w:r w:rsidR="00660130" w:rsidRPr="000E2C88">
        <w:rPr>
          <w:rFonts w:eastAsia="Calibri"/>
        </w:rPr>
        <w:t>.</w:t>
      </w:r>
      <w:r w:rsidRPr="000E2C88">
        <w:rPr>
          <w:rFonts w:eastAsia="Calibri"/>
        </w:rPr>
        <w:t xml:space="preserve"> nurodė ir tai, kad 1991</w:t>
      </w:r>
      <w:r w:rsidR="00150E2A" w:rsidRPr="000E2C88">
        <w:rPr>
          <w:rFonts w:eastAsia="Calibri"/>
        </w:rPr>
        <w:t> </w:t>
      </w:r>
      <w:r w:rsidR="00D220F2" w:rsidRPr="000E2C88">
        <w:rPr>
          <w:rFonts w:eastAsia="Calibri"/>
        </w:rPr>
        <w:t>m. </w:t>
      </w:r>
      <w:r w:rsidRPr="000E2C88">
        <w:rPr>
          <w:rFonts w:eastAsia="Calibri"/>
        </w:rPr>
        <w:t xml:space="preserve">sausio 12 d. matė aikštėje išrikiuotus mokomosios specialios paskirties kuopos „BTR“, „BRDM“, automatais „AKMS“ ginkluotus kariškius, pulko vadą </w:t>
      </w:r>
      <w:r w:rsidR="00A97F74" w:rsidRPr="000E2C88">
        <w:rPr>
          <w:rFonts w:eastAsia="Calibri"/>
        </w:rPr>
        <w:t>S. F.</w:t>
      </w:r>
      <w:r w:rsidRPr="000E2C88">
        <w:rPr>
          <w:rFonts w:eastAsia="Calibri"/>
        </w:rPr>
        <w:t xml:space="preserve">, jo štabo viršininką ir kitus karininkus, kuopos karininkus – </w:t>
      </w:r>
      <w:r w:rsidR="00DC0414" w:rsidRPr="000E2C88">
        <w:rPr>
          <w:rFonts w:eastAsia="Calibri"/>
        </w:rPr>
        <w:t>O. M.</w:t>
      </w:r>
      <w:r w:rsidRPr="000E2C88">
        <w:rPr>
          <w:rFonts w:eastAsia="Calibri"/>
        </w:rPr>
        <w:t xml:space="preserve">, </w:t>
      </w:r>
      <w:r w:rsidR="00A97F74" w:rsidRPr="000E2C88">
        <w:rPr>
          <w:rFonts w:eastAsia="Calibri"/>
        </w:rPr>
        <w:t>V. M.</w:t>
      </w:r>
      <w:r w:rsidR="00DC0414" w:rsidRPr="000E2C88">
        <w:rPr>
          <w:rFonts w:eastAsia="Calibri"/>
        </w:rPr>
        <w:t>, M. C.</w:t>
      </w:r>
      <w:r w:rsidRPr="000E2C88">
        <w:rPr>
          <w:rFonts w:eastAsia="Calibri"/>
        </w:rPr>
        <w:t xml:space="preserve">, </w:t>
      </w:r>
      <w:r w:rsidR="00DC0414" w:rsidRPr="000E2C88">
        <w:t>J. S.</w:t>
      </w:r>
      <w:r w:rsidRPr="000E2C88">
        <w:rPr>
          <w:rFonts w:eastAsia="Calibri"/>
        </w:rPr>
        <w:t xml:space="preserve">. Jį buvo iškvietęs </w:t>
      </w:r>
      <w:r w:rsidR="006036E7" w:rsidRPr="000E2C88">
        <w:rPr>
          <w:rFonts w:eastAsia="Calibri"/>
        </w:rPr>
        <w:t>A. Ž.</w:t>
      </w:r>
      <w:r w:rsidRPr="000E2C88">
        <w:rPr>
          <w:rFonts w:eastAsia="Calibri"/>
        </w:rPr>
        <w:t xml:space="preserve"> ir liepė nuvykti į vietą, kur veikia „jų“ padalinys ir paėmus iš sandėlio nuvežti </w:t>
      </w:r>
      <w:r w:rsidR="00A97F74" w:rsidRPr="000E2C88">
        <w:rPr>
          <w:rFonts w:eastAsia="Calibri"/>
        </w:rPr>
        <w:t>S. F.</w:t>
      </w:r>
      <w:r w:rsidRPr="000E2C88">
        <w:rPr>
          <w:rFonts w:eastAsia="Calibri"/>
        </w:rPr>
        <w:t xml:space="preserve"> tuščių šovinių dėžę ir galimai spec. priemonių. Jie važiavo greitosios pagalbos automobiliu „RAF“. Prie LRT 4-ių aukštų pastato prie jo priėjo kuopos vadas </w:t>
      </w:r>
      <w:r w:rsidR="00DC0414" w:rsidRPr="000E2C88">
        <w:rPr>
          <w:rFonts w:eastAsia="Calibri"/>
        </w:rPr>
        <w:t>O. M.</w:t>
      </w:r>
      <w:r w:rsidRPr="000E2C88">
        <w:rPr>
          <w:rFonts w:eastAsia="Calibri"/>
        </w:rPr>
        <w:t xml:space="preserve"> ir jis jam pasakė, kad šoviniai mašinoje. Prie objekto matė ir </w:t>
      </w:r>
      <w:r w:rsidR="00A97F74" w:rsidRPr="000E2C88">
        <w:rPr>
          <w:rFonts w:eastAsia="Calibri"/>
        </w:rPr>
        <w:t>S. F</w:t>
      </w:r>
      <w:r w:rsidR="00A97F74" w:rsidRPr="00361401">
        <w:rPr>
          <w:rFonts w:eastAsia="Calibri"/>
        </w:rPr>
        <w:t>.</w:t>
      </w:r>
      <w:r w:rsidRPr="00361401">
        <w:rPr>
          <w:rFonts w:eastAsia="Calibri"/>
        </w:rPr>
        <w:t>.</w:t>
      </w:r>
    </w:p>
    <w:p w:rsidR="00361401" w:rsidRPr="00361401" w:rsidRDefault="0072749F" w:rsidP="00361401">
      <w:pPr>
        <w:pStyle w:val="NormalWeb"/>
        <w:numPr>
          <w:ilvl w:val="1"/>
          <w:numId w:val="6"/>
        </w:numPr>
        <w:spacing w:before="120" w:beforeAutospacing="0" w:after="120" w:afterAutospacing="0"/>
        <w:ind w:left="992" w:hanging="992"/>
        <w:rPr>
          <w:rFonts w:eastAsia="Calibri"/>
        </w:rPr>
      </w:pPr>
      <w:r w:rsidRPr="00C00255">
        <w:t xml:space="preserve">Apie tai, kad operacijai vadovavę kariškiai veikė pagal </w:t>
      </w:r>
      <w:r w:rsidR="006036E7">
        <w:t>A. Ž.</w:t>
      </w:r>
      <w:r w:rsidRPr="00C00255">
        <w:t xml:space="preserve"> ir </w:t>
      </w:r>
      <w:r w:rsidR="00385BC9">
        <w:t>V. S. 1</w:t>
      </w:r>
      <w:r w:rsidRPr="00C00255">
        <w:t xml:space="preserve"> nurodymus tiek planuojant operaciją, tiek ją koordinuojant, matyti ir iš specialaus pasirengimo transliuoti LNGK garso įrašą</w:t>
      </w:r>
      <w:r w:rsidRPr="00361401">
        <w:rPr>
          <w:rFonts w:eastAsia="Calibri"/>
        </w:rPr>
        <w:t xml:space="preserve">, kuriame buvo įrašytas vieno iš LKP/TSKP vadovų kreipimasis rusų ir lietuvių kalbomis LNGK vardu, kad visą valdžią Lietuvoje perima LNGK. </w:t>
      </w:r>
      <w:r w:rsidR="00EA2970" w:rsidRPr="00361401">
        <w:rPr>
          <w:rFonts w:eastAsia="Calibri"/>
        </w:rPr>
        <w:t>I</w:t>
      </w:r>
      <w:r w:rsidRPr="00C00255">
        <w:t xml:space="preserve">š teisiamajame posėdyje paskelbtų </w:t>
      </w:r>
      <w:r w:rsidRPr="00361401">
        <w:t xml:space="preserve">TSRS VRM Vidaus kariuomenės 42-osios divizijos konvojaus pulko vado pavaduotojo </w:t>
      </w:r>
      <w:r w:rsidRPr="00C00255">
        <w:t xml:space="preserve">nuteistojo </w:t>
      </w:r>
      <w:r w:rsidR="00A97F74">
        <w:t>V. R.</w:t>
      </w:r>
      <w:r w:rsidRPr="00C00255">
        <w:t xml:space="preserve"> parodymų, duotų ikiteisminio tyrimo metu, matyti, kad</w:t>
      </w:r>
      <w:r w:rsidR="00D220F2" w:rsidRPr="00361401">
        <w:rPr>
          <w:color w:val="000000"/>
        </w:rPr>
        <w:t xml:space="preserve"> 1991 m. </w:t>
      </w:r>
      <w:r w:rsidRPr="00361401">
        <w:rPr>
          <w:color w:val="000000"/>
        </w:rPr>
        <w:t xml:space="preserve">sausio 12 d. 20 val. jį iškvietė generolas leitenantas </w:t>
      </w:r>
      <w:r w:rsidR="00385BC9" w:rsidRPr="00361401">
        <w:rPr>
          <w:color w:val="000000"/>
        </w:rPr>
        <w:t>V. S. 1</w:t>
      </w:r>
      <w:r w:rsidRPr="00361401">
        <w:rPr>
          <w:color w:val="000000"/>
        </w:rPr>
        <w:t xml:space="preserve"> ir įsakė paruošti veikti radiofoninį įrenginį, atvykti su juo į Šiaurės karinį miestelį ir vykdyti visus generolo </w:t>
      </w:r>
      <w:r w:rsidR="006036E7" w:rsidRPr="00361401">
        <w:rPr>
          <w:color w:val="000000"/>
        </w:rPr>
        <w:t>V. U. 1</w:t>
      </w:r>
      <w:r w:rsidRPr="00361401">
        <w:rPr>
          <w:color w:val="000000"/>
        </w:rPr>
        <w:t xml:space="preserve"> įsakymus. Šiaurės kariniame miestelyje papulkininkis iš politinio skyriaus davė magnetofono kasetę, kurioje buvo Nacionalinio gelbėjimo komiteto kreipimosi tekstas. Jam buvo nurodyta nuvažiuoti jungtinės grupės sudėtyje prie LRT ir po antro šūvio iš tanko tuščiu užtaisu įjungti radiofoninį įrenginį su minėtu garso įrašu. Jungtinei kolonai vadovavo pulkininkas iš Pskovo desantininkų divizijos. Kolonoje buvo „specnazo“ kuopa iš jų divizijos, vadovaujama papulkininkio </w:t>
      </w:r>
      <w:r w:rsidR="00A97F74" w:rsidRPr="00361401">
        <w:rPr>
          <w:color w:val="000000"/>
        </w:rPr>
        <w:t>S. F.</w:t>
      </w:r>
      <w:r w:rsidRPr="00361401">
        <w:rPr>
          <w:color w:val="000000"/>
        </w:rPr>
        <w:t xml:space="preserve"> </w:t>
      </w:r>
      <w:r w:rsidRPr="00C00255">
        <w:t>(</w:t>
      </w:r>
      <w:r w:rsidRPr="00361401">
        <w:rPr>
          <w:color w:val="000000"/>
        </w:rPr>
        <w:t>t. 126, b. l. 276–279; t. 439, b. l. 161–163</w:t>
      </w:r>
      <w:r w:rsidRPr="00C00255">
        <w:t>)</w:t>
      </w:r>
      <w:r w:rsidRPr="00361401">
        <w:rPr>
          <w:color w:val="000000"/>
        </w:rPr>
        <w:t xml:space="preserve">. Tokius </w:t>
      </w:r>
      <w:r w:rsidR="00A97F74">
        <w:t>V. R.</w:t>
      </w:r>
      <w:r w:rsidRPr="00C00255">
        <w:t xml:space="preserve"> parodymus atitinka ir kartu su juo ekipaže buvusio </w:t>
      </w:r>
      <w:r w:rsidRPr="00361401">
        <w:t xml:space="preserve">TSRS VRM Vidaus kariuomenės 42-osios divizijos Ryšių grandies viršininko pavaduotojo </w:t>
      </w:r>
      <w:r w:rsidR="00DC0414">
        <w:t>G. P.</w:t>
      </w:r>
      <w:r w:rsidRPr="00C00255">
        <w:t xml:space="preserve"> parodymai, duoti i</w:t>
      </w:r>
      <w:r w:rsidR="00D220F2">
        <w:t>kiteisminio tyrimo metu ir 1997 </w:t>
      </w:r>
      <w:r w:rsidRPr="00C00255">
        <w:t xml:space="preserve">m. rugpjūčio 14 d. teismo posėdyje Vilniaus apygardos teisme </w:t>
      </w:r>
      <w:r w:rsidR="00C507EF" w:rsidRPr="00361401">
        <w:rPr>
          <w:bCs/>
          <w:iCs/>
        </w:rPr>
        <w:t>M. B.</w:t>
      </w:r>
      <w:r w:rsidRPr="00361401">
        <w:rPr>
          <w:bCs/>
          <w:iCs/>
        </w:rPr>
        <w:t xml:space="preserve">, </w:t>
      </w:r>
      <w:r w:rsidR="00C507EF" w:rsidRPr="00361401">
        <w:rPr>
          <w:bCs/>
          <w:iCs/>
        </w:rPr>
        <w:t>J. K.</w:t>
      </w:r>
      <w:r w:rsidRPr="00361401">
        <w:rPr>
          <w:bCs/>
          <w:iCs/>
        </w:rPr>
        <w:t xml:space="preserve"> ir kt. byloje,</w:t>
      </w:r>
      <w:r w:rsidRPr="00361401">
        <w:rPr>
          <w:bCs/>
        </w:rPr>
        <w:t xml:space="preserve"> iš kurių, matyti, kad</w:t>
      </w:r>
      <w:r w:rsidRPr="00361401">
        <w:rPr>
          <w:color w:val="000000"/>
        </w:rPr>
        <w:t xml:space="preserve"> </w:t>
      </w:r>
      <w:r w:rsidR="00A97F74" w:rsidRPr="00361401">
        <w:rPr>
          <w:color w:val="000000"/>
        </w:rPr>
        <w:t>V. R.</w:t>
      </w:r>
      <w:r w:rsidRPr="00361401">
        <w:rPr>
          <w:color w:val="000000"/>
        </w:rPr>
        <w:t xml:space="preserve">, kaip ekipažo vyresnysis, jam nurodė, kada turės įjungti magnetofoną su minėtu įrašu, o gavęs komandą jis tą ir padarė. Įrašas buvo leidžiamas nuolat, kol sugedo magnetofonas </w:t>
      </w:r>
      <w:r w:rsidRPr="00C00255">
        <w:t>(</w:t>
      </w:r>
      <w:r w:rsidRPr="00361401">
        <w:rPr>
          <w:color w:val="000000"/>
        </w:rPr>
        <w:t>t. 126, b. l. 300–303; t. 439, b. l. 182–185,</w:t>
      </w:r>
      <w:r w:rsidRPr="00361401">
        <w:rPr>
          <w:bCs/>
        </w:rPr>
        <w:t xml:space="preserve"> t. 373, b. l. 102)</w:t>
      </w:r>
      <w:r w:rsidRPr="00361401">
        <w:rPr>
          <w:color w:val="000000"/>
        </w:rPr>
        <w:t>.</w:t>
      </w:r>
    </w:p>
    <w:p w:rsidR="00361401" w:rsidRDefault="00361401" w:rsidP="00361401">
      <w:pPr>
        <w:pStyle w:val="NormalWeb"/>
        <w:numPr>
          <w:ilvl w:val="0"/>
          <w:numId w:val="6"/>
        </w:numPr>
        <w:spacing w:before="120" w:beforeAutospacing="0" w:after="120" w:afterAutospacing="0"/>
        <w:ind w:left="992" w:hanging="992"/>
        <w:rPr>
          <w:rFonts w:eastAsia="Calibri"/>
        </w:rPr>
      </w:pPr>
      <w:r w:rsidRPr="000E2C88">
        <w:t>Atsižvelgęs į visus minėtus įrodymus ir juos patvirtinančius bei atitinkančius ikiteisminio tyrimo metu surinktus duomenis, apeliacinės instancijos teismas konstatuoja, kad apygardos teismas padarė teisingas išvadas dėl nuteistųjų N. D., V. S. 1 ir A. Ž. dalyvavimo planuojant karinę operaciją</w:t>
      </w:r>
      <w:r w:rsidRPr="004837C5">
        <w:t xml:space="preserve">.  </w:t>
      </w:r>
    </w:p>
    <w:p w:rsidR="00361401" w:rsidRPr="000E2C88" w:rsidRDefault="00361401" w:rsidP="00361401">
      <w:pPr>
        <w:pStyle w:val="NormalWeb"/>
        <w:numPr>
          <w:ilvl w:val="0"/>
          <w:numId w:val="6"/>
        </w:numPr>
        <w:spacing w:before="120" w:beforeAutospacing="0" w:after="120" w:afterAutospacing="0"/>
        <w:ind w:left="992" w:hanging="992"/>
        <w:rPr>
          <w:rFonts w:eastAsia="Calibri"/>
        </w:rPr>
      </w:pPr>
      <w:r w:rsidRPr="000E2C88">
        <w:t xml:space="preserve">Visgi teisėjų kolegija sutinka su nuteistojo A. Ž. gynėjo apeliacinio skundo argumentais, kad byloje negalima daryti įrodymais pagrįstų išvadų apie tai, jog nuteistasis A. Ž., kaip ir nuteistasis V. U. 1, paskelbė kovinę parengtį jų vadovaujamuose daliniuose. Pirmosios instancijos teismo išvada, kad „nuo 1991 m. sausio mėn. pradžios, kaltinamųjų V. U. 1 ir A. Ž. nurodymu, 107-osios motorizuotų šaulių divizijos ir 42-osios divizijos daliniuose paskelbta „kovinė“ parengtis, &lt;...&gt;“ (nuosprendžio 14 l.) prieštarauja teismo išvadoms, nurodytoms motyvuojamojoje dalyje apie tai, kad kovinę parengtį paskelbė ne A. Ž. ir V. U. 1, o V. A. ir V. O. („Tai, kad pagal 1990 m. paruoštą planą Vilniuje buvo įkurtas vadovavimo operacijai štabas, kuris koordinavo kariškių veiksmus, patvirtina TSRS gynybos ministro pavaduotojo ir Oro desanto pajėgų vado V. A. ir TSRS gynybos ministerijos Pabaltijo karinės apygardos TSRS gynybos ministerijos Pabaltijo karinės apygardos vado F. K. bei jo pavaduotojo V. O. nurodytos faktinės įvykių aplinkybės. Iš šių liudytojais apklaustų aukšto rango karininkų paaiškinimų akivaizdu, kad 1991 m. sausio pradžioje, atskridę į 107 motorizuotų šaulių diviziją, jie įvedė padidintos kovinės parengties padėtį divizijoje ir patys vadovavo kariškių iš pavaldžių oro desanto ir sausumos kariuomenės pajėgų, veiksmams (t. 115, b. l. 279–293)“. </w:t>
      </w:r>
    </w:p>
    <w:p w:rsidR="00361401" w:rsidRPr="00361401" w:rsidRDefault="00361401" w:rsidP="00361401">
      <w:pPr>
        <w:pStyle w:val="NormalWeb"/>
        <w:numPr>
          <w:ilvl w:val="0"/>
          <w:numId w:val="6"/>
        </w:numPr>
        <w:spacing w:before="120" w:beforeAutospacing="0" w:after="120" w:afterAutospacing="0"/>
        <w:ind w:left="992" w:hanging="992"/>
        <w:rPr>
          <w:rFonts w:eastAsia="Calibri"/>
        </w:rPr>
      </w:pPr>
      <w:r w:rsidRPr="004837C5">
        <w:t>Apeliacinės instancijos teismo posėdyje prokurorai nurodė, kad A. Ž. net nebuvo inkriminuota aplinkybė apie kovinės parengties paskelbimą, todėl teisėjų kolegija šias aplinkybes iš kaltinimo tiek A. Ž., tiek V. U. 1 šalina. Prokurorai sutiko</w:t>
      </w:r>
      <w:r>
        <w:t xml:space="preserve"> ir su tuo, jog iš kaltinimo A. </w:t>
      </w:r>
      <w:r w:rsidRPr="004837C5">
        <w:t>Ž. turi būti pašalintos aplinkybės apie jo duotus nurodymus dėl ginklų pagrobimo iš medžiotojų žvejų draugijos sandėlio, vadovavimo karinės operacijos veiksmams prie TV bokšto, tačiau apie tai kolegija pasisakys kitose šio sprendimo dalyse, kur ir bus analizuojamos minėtos faktinės aplinkybės.</w:t>
      </w:r>
    </w:p>
    <w:p w:rsidR="0072749F" w:rsidRPr="00361401" w:rsidRDefault="0072749F" w:rsidP="00361401">
      <w:pPr>
        <w:pStyle w:val="NormalWeb"/>
        <w:numPr>
          <w:ilvl w:val="0"/>
          <w:numId w:val="6"/>
        </w:numPr>
        <w:spacing w:before="120" w:beforeAutospacing="0" w:after="120" w:afterAutospacing="0"/>
        <w:ind w:left="992" w:hanging="992"/>
        <w:rPr>
          <w:rFonts w:eastAsia="Calibri"/>
        </w:rPr>
      </w:pPr>
      <w:r w:rsidRPr="000E2C88">
        <w:rPr>
          <w:rFonts w:eastAsia="Calibri"/>
        </w:rPr>
        <w:t xml:space="preserve">Teisėjų kolegija pažymi, kad, vertindama byloje pareikštus kaltinimus ir TSRS VRM kariškiams inkriminuotus veiksmus planuojant karinę operaciją, negali sutikti su pirmosios instancijos teismo išvadomis konstatuojant nuteistajam </w:t>
      </w:r>
      <w:r w:rsidR="00A97F74" w:rsidRPr="000E2C88">
        <w:rPr>
          <w:rFonts w:eastAsia="Calibri"/>
        </w:rPr>
        <w:t>S. F.</w:t>
      </w:r>
      <w:r w:rsidRPr="000E2C88">
        <w:rPr>
          <w:rFonts w:eastAsia="Calibri"/>
        </w:rPr>
        <w:t xml:space="preserve"> iš esmės tokias pačias aplinkybes, kokios buvo nustatytos vertinant jo vado </w:t>
      </w:r>
      <w:r w:rsidR="006036E7" w:rsidRPr="000E2C88">
        <w:rPr>
          <w:rFonts w:eastAsia="Calibri"/>
        </w:rPr>
        <w:t>A. Ž.</w:t>
      </w:r>
      <w:r w:rsidRPr="000E2C88">
        <w:rPr>
          <w:rFonts w:eastAsia="Calibri"/>
        </w:rPr>
        <w:t xml:space="preserve"> veiksmus. Pagal byloje nustatytas aplinkybes </w:t>
      </w:r>
      <w:r w:rsidR="00A97F74" w:rsidRPr="000E2C88">
        <w:rPr>
          <w:rFonts w:eastAsia="Calibri"/>
        </w:rPr>
        <w:t>S. F.</w:t>
      </w:r>
      <w:r w:rsidRPr="000E2C88">
        <w:rPr>
          <w:rFonts w:eastAsia="Calibri"/>
        </w:rPr>
        <w:t xml:space="preserve"> buvo TSRS VRM Vidaus kariuomenės 42-osios divizijos Konvojaus pulko vadas ir būdama</w:t>
      </w:r>
      <w:r w:rsidR="001D0506" w:rsidRPr="000E2C88">
        <w:rPr>
          <w:rFonts w:eastAsia="Calibri"/>
        </w:rPr>
        <w:t xml:space="preserve">s pavaldus </w:t>
      </w:r>
      <w:r w:rsidR="006036E7" w:rsidRPr="000E2C88">
        <w:rPr>
          <w:rFonts w:eastAsia="Calibri"/>
        </w:rPr>
        <w:t>A. Ž.</w:t>
      </w:r>
      <w:r w:rsidR="001D0506" w:rsidRPr="000E2C88">
        <w:rPr>
          <w:rFonts w:eastAsia="Calibri"/>
        </w:rPr>
        <w:t xml:space="preserve"> bei </w:t>
      </w:r>
      <w:r w:rsidR="00385BC9" w:rsidRPr="000E2C88">
        <w:rPr>
          <w:rFonts w:eastAsia="Calibri"/>
        </w:rPr>
        <w:t>V. S. 1</w:t>
      </w:r>
      <w:r w:rsidRPr="000E2C88">
        <w:rPr>
          <w:rFonts w:eastAsia="Calibri"/>
        </w:rPr>
        <w:t xml:space="preserve"> iš pastarųjų gavo nurodymus dėl tiesioginio dalyvavimo karinėje operacijoje bei konkrečių veiksmų atlikimo. Tačiau iš byloje surinktų įrodymų negalima daryti išvadų, kad nuteistasis </w:t>
      </w:r>
      <w:r w:rsidR="00A97F74" w:rsidRPr="000E2C88">
        <w:rPr>
          <w:rFonts w:eastAsia="Calibri"/>
        </w:rPr>
        <w:t>S. F.</w:t>
      </w:r>
      <w:r w:rsidRPr="000E2C88">
        <w:rPr>
          <w:rFonts w:eastAsia="Calibri"/>
        </w:rPr>
        <w:t xml:space="preserve"> dalyvavo planuojant karinę operaciją. Prokurorai byloje ne vieną kartą nurodė, kad planuojant karinę operaciją dalyvavo tik šie nuteistieji: „</w:t>
      </w:r>
      <w:r w:rsidR="00385BC9" w:rsidRPr="000E2C88">
        <w:rPr>
          <w:rFonts w:eastAsia="Calibri"/>
        </w:rPr>
        <w:t>D. J.</w:t>
      </w:r>
      <w:r w:rsidRPr="000E2C88">
        <w:rPr>
          <w:rFonts w:eastAsia="Calibri"/>
        </w:rPr>
        <w:t xml:space="preserve">, </w:t>
      </w:r>
      <w:r w:rsidR="00385BC9" w:rsidRPr="000E2C88">
        <w:rPr>
          <w:rFonts w:eastAsia="Calibri"/>
        </w:rPr>
        <w:t>M. G.</w:t>
      </w:r>
      <w:r w:rsidRPr="000E2C88">
        <w:rPr>
          <w:rFonts w:eastAsia="Calibri"/>
        </w:rPr>
        <w:t xml:space="preserve">, </w:t>
      </w:r>
      <w:r w:rsidR="006036E7" w:rsidRPr="000E2C88">
        <w:rPr>
          <w:rFonts w:eastAsia="Calibri"/>
        </w:rPr>
        <w:t>V. U. 1</w:t>
      </w:r>
      <w:r w:rsidRPr="000E2C88">
        <w:rPr>
          <w:rFonts w:eastAsia="Calibri"/>
        </w:rPr>
        <w:t xml:space="preserve">, </w:t>
      </w:r>
      <w:r w:rsidR="004069BF" w:rsidRPr="000E2C88">
        <w:rPr>
          <w:rFonts w:eastAsia="Calibri"/>
        </w:rPr>
        <w:t>N. A.</w:t>
      </w:r>
      <w:r w:rsidRPr="000E2C88">
        <w:rPr>
          <w:rFonts w:eastAsia="Calibri"/>
        </w:rPr>
        <w:t xml:space="preserve">, </w:t>
      </w:r>
      <w:r w:rsidR="00385BC9" w:rsidRPr="000E2C88">
        <w:rPr>
          <w:rFonts w:eastAsia="Calibri"/>
        </w:rPr>
        <w:t>V. K. 1</w:t>
      </w:r>
      <w:r w:rsidRPr="000E2C88">
        <w:rPr>
          <w:rFonts w:eastAsia="Calibri"/>
        </w:rPr>
        <w:t xml:space="preserve">, </w:t>
      </w:r>
      <w:r w:rsidR="00385BC9" w:rsidRPr="000E2C88">
        <w:rPr>
          <w:rFonts w:eastAsia="Calibri"/>
        </w:rPr>
        <w:t>N. D.</w:t>
      </w:r>
      <w:r w:rsidRPr="000E2C88">
        <w:rPr>
          <w:rFonts w:eastAsia="Calibri"/>
        </w:rPr>
        <w:t xml:space="preserve">, </w:t>
      </w:r>
      <w:r w:rsidR="00385BC9" w:rsidRPr="000E2C88">
        <w:rPr>
          <w:rFonts w:eastAsia="Calibri"/>
        </w:rPr>
        <w:t>V. S. 1</w:t>
      </w:r>
      <w:r w:rsidRPr="000E2C88">
        <w:rPr>
          <w:rFonts w:eastAsia="Calibri"/>
        </w:rPr>
        <w:t xml:space="preserve">, </w:t>
      </w:r>
      <w:r w:rsidR="006036E7" w:rsidRPr="000E2C88">
        <w:rPr>
          <w:rFonts w:eastAsia="Calibri"/>
        </w:rPr>
        <w:t>A. Ž.</w:t>
      </w:r>
      <w:r w:rsidRPr="000E2C88">
        <w:rPr>
          <w:rFonts w:eastAsia="Calibri"/>
        </w:rPr>
        <w:t xml:space="preserve">, </w:t>
      </w:r>
      <w:r w:rsidR="00385BC9" w:rsidRPr="000E2C88">
        <w:rPr>
          <w:rFonts w:eastAsia="Calibri"/>
        </w:rPr>
        <w:t>A. N. 1</w:t>
      </w:r>
      <w:r w:rsidRPr="000E2C88">
        <w:rPr>
          <w:rFonts w:eastAsia="Calibri"/>
        </w:rPr>
        <w:t xml:space="preserve"> ir </w:t>
      </w:r>
      <w:r w:rsidR="00385BC9" w:rsidRPr="000E2C88">
        <w:rPr>
          <w:rFonts w:eastAsia="Calibri"/>
        </w:rPr>
        <w:t>V. Š. 1</w:t>
      </w:r>
      <w:r w:rsidR="00D220F2" w:rsidRPr="000E2C88">
        <w:rPr>
          <w:rFonts w:eastAsia="Calibri"/>
        </w:rPr>
        <w:t>“ (t. 693, </w:t>
      </w:r>
      <w:r w:rsidRPr="000E2C88">
        <w:rPr>
          <w:rFonts w:eastAsia="Calibri"/>
        </w:rPr>
        <w:t>kaltinamojo akto 2635 l.; t. 748, kaltinamojo akto (</w:t>
      </w:r>
      <w:r w:rsidR="006036E7" w:rsidRPr="000E2C88">
        <w:rPr>
          <w:rFonts w:eastAsia="Calibri"/>
        </w:rPr>
        <w:t>V. K. 2</w:t>
      </w:r>
      <w:r w:rsidRPr="000E2C88">
        <w:rPr>
          <w:rFonts w:eastAsia="Calibri"/>
        </w:rPr>
        <w:t xml:space="preserve"> ir </w:t>
      </w:r>
      <w:r w:rsidR="006036E7" w:rsidRPr="000E2C88">
        <w:rPr>
          <w:rFonts w:eastAsia="Calibri"/>
        </w:rPr>
        <w:t>S. K.</w:t>
      </w:r>
      <w:r w:rsidR="00D220F2" w:rsidRPr="000E2C88">
        <w:rPr>
          <w:rFonts w:eastAsia="Calibri"/>
        </w:rPr>
        <w:t xml:space="preserve"> atžvilgiu) 99 l., t. </w:t>
      </w:r>
      <w:r w:rsidRPr="000E2C88">
        <w:rPr>
          <w:rFonts w:eastAsia="Calibri"/>
        </w:rPr>
        <w:t xml:space="preserve">762, b. l. 37 (prokurorų baigiamoji kalba)). </w:t>
      </w:r>
      <w:bookmarkStart w:id="244" w:name="_Hlk61513719"/>
      <w:r w:rsidRPr="000E2C88">
        <w:rPr>
          <w:rFonts w:eastAsia="Calibri"/>
        </w:rPr>
        <w:t xml:space="preserve">Be to, valstybinį kaltinimą palaikantys prokurorai pirmosios instancijos teismo posėdyje apibendrindami </w:t>
      </w:r>
      <w:r w:rsidR="00A97F74" w:rsidRPr="000E2C88">
        <w:rPr>
          <w:rFonts w:eastAsia="Calibri"/>
        </w:rPr>
        <w:t>S. F.</w:t>
      </w:r>
      <w:r w:rsidRPr="000E2C88">
        <w:rPr>
          <w:rFonts w:eastAsia="Calibri"/>
        </w:rPr>
        <w:t xml:space="preserve"> veiksmus nurodė tik tai, kad jis vadovavo mokomosios specialios paskirties kuopos kariškiams, dalyvavusiems užimant LRT radijo pastatą ir neužsiminė apie jo dalyvavimą planuojant karinę operacij</w:t>
      </w:r>
      <w:r w:rsidR="00842685" w:rsidRPr="000E2C88">
        <w:rPr>
          <w:rFonts w:eastAsia="Calibri"/>
        </w:rPr>
        <w:t>ą (t. </w:t>
      </w:r>
      <w:r w:rsidRPr="000E2C88">
        <w:rPr>
          <w:rFonts w:eastAsia="Calibri"/>
        </w:rPr>
        <w:t xml:space="preserve">763, b. l. 202). Iš tokios prokurorų pozicijos matyti, kad </w:t>
      </w:r>
      <w:r w:rsidR="00A97F74" w:rsidRPr="000E2C88">
        <w:rPr>
          <w:rFonts w:eastAsia="Calibri"/>
        </w:rPr>
        <w:t>S. F.</w:t>
      </w:r>
      <w:r w:rsidRPr="000E2C88">
        <w:rPr>
          <w:rFonts w:eastAsia="Calibri"/>
        </w:rPr>
        <w:t xml:space="preserve"> net nebuvo inkriminuojamas dalyvavimas planuojant karinę operaciją, o jo įvardijimas tarp kaltinime nurodytų kitų vadovavimo karinei operacijai štabo narių buvo klaida. Pirmosios instancijos teismas jokių įrodymų ir argumentų apie </w:t>
      </w:r>
      <w:r w:rsidR="00A97F74" w:rsidRPr="000E2C88">
        <w:rPr>
          <w:rFonts w:eastAsia="Calibri"/>
        </w:rPr>
        <w:t>S. F.</w:t>
      </w:r>
      <w:r w:rsidRPr="000E2C88">
        <w:rPr>
          <w:rFonts w:eastAsia="Calibri"/>
        </w:rPr>
        <w:t xml:space="preserve"> dalyvavimą planuojant karinę operaciją ar jo dalyvavimą vadovavimo karinei operacijai štabe nenurodė (žr. nuosprendžio 110–135 l.), </w:t>
      </w:r>
      <w:bookmarkEnd w:id="244"/>
      <w:r w:rsidRPr="000E2C88">
        <w:rPr>
          <w:rFonts w:eastAsia="Calibri"/>
        </w:rPr>
        <w:t xml:space="preserve">todėl </w:t>
      </w:r>
      <w:r w:rsidR="006A615B" w:rsidRPr="000E2C88">
        <w:rPr>
          <w:rFonts w:eastAsia="Calibri"/>
        </w:rPr>
        <w:t>Lietuvos apeliacinis</w:t>
      </w:r>
      <w:r w:rsidRPr="000E2C88">
        <w:rPr>
          <w:rFonts w:eastAsia="Calibri"/>
        </w:rPr>
        <w:t xml:space="preserve"> teismas, konstatuodamas byloje padarytą BPK 305 straipsnio 1 dalies 2 punkto pažeidimą, iš kaltinimo </w:t>
      </w:r>
      <w:r w:rsidR="00A97F74" w:rsidRPr="000E2C88">
        <w:rPr>
          <w:rFonts w:eastAsia="Calibri"/>
        </w:rPr>
        <w:t>S. F.</w:t>
      </w:r>
      <w:r w:rsidRPr="000E2C88">
        <w:rPr>
          <w:rFonts w:eastAsia="Calibri"/>
        </w:rPr>
        <w:t xml:space="preserve"> šalina aplinkybes dėl jo buvimo vadovavimo karinei operacijai štabo nariu ir dalyvavimo planuojant karinę operaciją</w:t>
      </w:r>
      <w:r w:rsidRPr="00361401">
        <w:rPr>
          <w:rFonts w:eastAsia="Calibri"/>
        </w:rPr>
        <w:t>.</w:t>
      </w:r>
    </w:p>
    <w:p w:rsidR="00175BE8" w:rsidRPr="00C00255" w:rsidRDefault="00175BE8" w:rsidP="00314045">
      <w:pPr>
        <w:pStyle w:val="Heading3"/>
        <w:ind w:left="992"/>
        <w:jc w:val="both"/>
        <w:rPr>
          <w:bCs/>
          <w:i/>
          <w:iCs/>
          <w:sz w:val="24"/>
          <w:szCs w:val="24"/>
          <w:lang w:val="lt-LT"/>
        </w:rPr>
      </w:pPr>
      <w:bookmarkStart w:id="245" w:name="_Toc67985512"/>
      <w:r w:rsidRPr="00C00255">
        <w:rPr>
          <w:b w:val="0"/>
          <w:bCs/>
          <w:i/>
          <w:iCs/>
          <w:sz w:val="24"/>
          <w:szCs w:val="24"/>
          <w:lang w:val="lt-LT"/>
        </w:rPr>
        <w:t>Apibendrinančios išvados dėl faktinių aplinkybių, susijusių su karinės operacijos planavimu</w:t>
      </w:r>
      <w:bookmarkEnd w:id="245"/>
    </w:p>
    <w:p w:rsidR="001D0506" w:rsidRPr="00C00255" w:rsidRDefault="0072749F" w:rsidP="001D0506">
      <w:pPr>
        <w:pStyle w:val="ListParagraph"/>
        <w:numPr>
          <w:ilvl w:val="0"/>
          <w:numId w:val="6"/>
        </w:numPr>
        <w:spacing w:before="120" w:after="120"/>
        <w:ind w:left="992" w:hanging="992"/>
        <w:contextualSpacing w:val="0"/>
        <w:rPr>
          <w:rFonts w:eastAsia="Calibri"/>
        </w:rPr>
      </w:pPr>
      <w:bookmarkStart w:id="246" w:name="_Hlk61518118"/>
      <w:r w:rsidRPr="000E2C88">
        <w:rPr>
          <w:color w:val="000000"/>
          <w:szCs w:val="24"/>
          <w:lang w:eastAsia="lt-LT" w:bidi="lt-LT"/>
        </w:rPr>
        <w:t>Reziumuodama visa tai, kas minėta, teisėjų kolegija konstatuoja, jog Vilniaus apygardos teismo 2019 m. kovo 27 d. nuosprendyje konstatuotos faktinės aplinkybės dėl karinės operacijos planavimo nėra visiškai teisingos</w:t>
      </w:r>
      <w:r w:rsidRPr="00C00255">
        <w:rPr>
          <w:color w:val="000000"/>
          <w:szCs w:val="24"/>
          <w:lang w:eastAsia="lt-LT" w:bidi="lt-LT"/>
        </w:rPr>
        <w:t>.</w:t>
      </w:r>
    </w:p>
    <w:p w:rsidR="0072749F" w:rsidRPr="00C00255" w:rsidRDefault="0072749F" w:rsidP="0072749F">
      <w:pPr>
        <w:pStyle w:val="ListParagraph"/>
        <w:numPr>
          <w:ilvl w:val="1"/>
          <w:numId w:val="6"/>
        </w:numPr>
        <w:spacing w:before="120" w:after="120"/>
        <w:ind w:left="992" w:hanging="992"/>
        <w:contextualSpacing w:val="0"/>
        <w:rPr>
          <w:rFonts w:eastAsia="Calibri"/>
        </w:rPr>
      </w:pPr>
      <w:r w:rsidRPr="00C00255">
        <w:rPr>
          <w:color w:val="000000"/>
          <w:szCs w:val="24"/>
          <w:lang w:eastAsia="lt-LT" w:bidi="lt-LT"/>
        </w:rPr>
        <w:t xml:space="preserve">Pirmosios instancijos teismo išvados dėl nuteistojo </w:t>
      </w:r>
      <w:r w:rsidR="00385BC9">
        <w:rPr>
          <w:color w:val="000000"/>
          <w:szCs w:val="24"/>
          <w:lang w:eastAsia="lt-LT" w:bidi="lt-LT"/>
        </w:rPr>
        <w:t>R. J. 1</w:t>
      </w:r>
      <w:r w:rsidRPr="00C00255">
        <w:rPr>
          <w:color w:val="000000"/>
          <w:szCs w:val="24"/>
          <w:lang w:eastAsia="lt-LT" w:bidi="lt-LT"/>
        </w:rPr>
        <w:t xml:space="preserve">, </w:t>
      </w:r>
      <w:r w:rsidR="004069BF">
        <w:rPr>
          <w:color w:val="000000"/>
          <w:szCs w:val="24"/>
          <w:lang w:eastAsia="lt-LT" w:bidi="lt-LT"/>
        </w:rPr>
        <w:t>N. A.</w:t>
      </w:r>
      <w:r w:rsidRPr="00C00255">
        <w:rPr>
          <w:color w:val="000000"/>
          <w:szCs w:val="24"/>
          <w:lang w:eastAsia="lt-LT" w:bidi="lt-LT"/>
        </w:rPr>
        <w:t xml:space="preserve"> ir </w:t>
      </w:r>
      <w:r w:rsidR="00A97F74">
        <w:rPr>
          <w:color w:val="000000"/>
          <w:szCs w:val="24"/>
          <w:lang w:eastAsia="lt-LT" w:bidi="lt-LT"/>
        </w:rPr>
        <w:t>S. F.</w:t>
      </w:r>
      <w:r w:rsidRPr="00C00255">
        <w:rPr>
          <w:color w:val="000000"/>
          <w:szCs w:val="24"/>
          <w:lang w:eastAsia="lt-LT" w:bidi="lt-LT"/>
        </w:rPr>
        <w:t xml:space="preserve"> dalyvavimo planuojant karinę operaciją </w:t>
      </w:r>
      <w:r w:rsidRPr="00C00255">
        <w:t>neatitinka byloje nustatytų faktinių aplinkybių ir yra nepagrįstos byloje surinktais įrodymais, todėl iš nuosprendžio šalintinos.</w:t>
      </w:r>
      <w:r w:rsidRPr="00C00255">
        <w:rPr>
          <w:color w:val="000000"/>
          <w:szCs w:val="24"/>
          <w:lang w:eastAsia="lt-LT" w:bidi="lt-LT"/>
        </w:rPr>
        <w:t xml:space="preserve"> Apeliacinės instancijos teismo teisėjų kolegija nustatė, kad </w:t>
      </w:r>
      <w:r w:rsidRPr="00C00255">
        <w:rPr>
          <w:rStyle w:val="Numatytasispastraiposriftas1"/>
          <w:color w:val="000000"/>
        </w:rPr>
        <w:t xml:space="preserve">1991 m. sausio mėnesį Vilniuje įvykdytą </w:t>
      </w:r>
      <w:r w:rsidRPr="00C00255">
        <w:rPr>
          <w:szCs w:val="24"/>
        </w:rPr>
        <w:t xml:space="preserve">karinę operaciją planavo šie byloje kaltinti asmenys: </w:t>
      </w:r>
      <w:r w:rsidR="00385BC9">
        <w:rPr>
          <w:szCs w:val="24"/>
        </w:rPr>
        <w:t>D. J.</w:t>
      </w:r>
      <w:r w:rsidRPr="00C00255">
        <w:rPr>
          <w:szCs w:val="24"/>
        </w:rPr>
        <w:t xml:space="preserve">, </w:t>
      </w:r>
      <w:r w:rsidR="00385BC9">
        <w:rPr>
          <w:szCs w:val="24"/>
        </w:rPr>
        <w:t>M. G.</w:t>
      </w:r>
      <w:r w:rsidRPr="00C00255">
        <w:rPr>
          <w:szCs w:val="24"/>
        </w:rPr>
        <w:t xml:space="preserve">, </w:t>
      </w:r>
      <w:r w:rsidR="006036E7">
        <w:rPr>
          <w:szCs w:val="24"/>
        </w:rPr>
        <w:t>V. U. 1</w:t>
      </w:r>
      <w:r w:rsidRPr="00C00255">
        <w:rPr>
          <w:szCs w:val="24"/>
        </w:rPr>
        <w:t xml:space="preserve">, </w:t>
      </w:r>
      <w:r w:rsidR="00385BC9">
        <w:rPr>
          <w:szCs w:val="24"/>
        </w:rPr>
        <w:t>V. K. 1</w:t>
      </w:r>
      <w:r w:rsidRPr="00C00255">
        <w:rPr>
          <w:szCs w:val="24"/>
        </w:rPr>
        <w:t xml:space="preserve">, </w:t>
      </w:r>
      <w:r w:rsidR="00385BC9">
        <w:rPr>
          <w:szCs w:val="24"/>
        </w:rPr>
        <w:t>N. D.</w:t>
      </w:r>
      <w:r w:rsidRPr="00C00255">
        <w:rPr>
          <w:szCs w:val="24"/>
        </w:rPr>
        <w:t xml:space="preserve">, </w:t>
      </w:r>
      <w:r w:rsidR="00385BC9">
        <w:rPr>
          <w:szCs w:val="24"/>
        </w:rPr>
        <w:t>V. S. 1</w:t>
      </w:r>
      <w:r w:rsidRPr="00C00255">
        <w:rPr>
          <w:szCs w:val="24"/>
        </w:rPr>
        <w:t xml:space="preserve">, </w:t>
      </w:r>
      <w:r w:rsidR="006036E7">
        <w:rPr>
          <w:szCs w:val="24"/>
        </w:rPr>
        <w:t>A. Ž.</w:t>
      </w:r>
      <w:r w:rsidRPr="00C00255">
        <w:rPr>
          <w:szCs w:val="24"/>
        </w:rPr>
        <w:t xml:space="preserve">, </w:t>
      </w:r>
      <w:r w:rsidR="00385BC9">
        <w:rPr>
          <w:szCs w:val="24"/>
        </w:rPr>
        <w:t>A. N. 1</w:t>
      </w:r>
      <w:r w:rsidRPr="00C00255">
        <w:rPr>
          <w:szCs w:val="24"/>
        </w:rPr>
        <w:t xml:space="preserve"> ir </w:t>
      </w:r>
      <w:r w:rsidR="00385BC9">
        <w:rPr>
          <w:szCs w:val="24"/>
        </w:rPr>
        <w:t>V. Š. 1</w:t>
      </w:r>
      <w:r w:rsidRPr="00C00255">
        <w:rPr>
          <w:szCs w:val="24"/>
        </w:rPr>
        <w:t xml:space="preserve">.  </w:t>
      </w:r>
    </w:p>
    <w:p w:rsidR="0072749F" w:rsidRPr="00C00255" w:rsidRDefault="0072749F" w:rsidP="0072749F">
      <w:pPr>
        <w:pStyle w:val="ListParagraph"/>
        <w:numPr>
          <w:ilvl w:val="1"/>
          <w:numId w:val="6"/>
        </w:numPr>
        <w:spacing w:before="120" w:after="120"/>
        <w:ind w:left="992" w:hanging="992"/>
        <w:contextualSpacing w:val="0"/>
        <w:rPr>
          <w:rFonts w:eastAsia="Calibri"/>
        </w:rPr>
      </w:pPr>
      <w:r w:rsidRPr="00C00255">
        <w:rPr>
          <w:color w:val="000000"/>
          <w:szCs w:val="24"/>
          <w:lang w:eastAsia="lt-LT" w:bidi="lt-LT"/>
        </w:rPr>
        <w:t xml:space="preserve">Apeliacinės instancijos teismo vertinimu, byloje nepasitvirtino ir iš </w:t>
      </w:r>
      <w:r w:rsidR="006A615B" w:rsidRPr="00C00255">
        <w:rPr>
          <w:color w:val="000000"/>
          <w:szCs w:val="24"/>
          <w:lang w:eastAsia="lt-LT" w:bidi="lt-LT"/>
        </w:rPr>
        <w:t>Vilniaus apygardos</w:t>
      </w:r>
      <w:r w:rsidRPr="00C00255">
        <w:rPr>
          <w:color w:val="000000"/>
          <w:szCs w:val="24"/>
          <w:lang w:eastAsia="lt-LT" w:bidi="lt-LT"/>
        </w:rPr>
        <w:t xml:space="preserve"> teismo nuosprendžio šalintina aplinkybė, </w:t>
      </w:r>
      <w:r w:rsidRPr="00361401">
        <w:t xml:space="preserve">kad TSRS VSK pirmininkas </w:t>
      </w:r>
      <w:r w:rsidR="00C507EF" w:rsidRPr="00361401">
        <w:rPr>
          <w:rFonts w:eastAsia="Calibri"/>
        </w:rPr>
        <w:t>V. K.</w:t>
      </w:r>
      <w:r w:rsidRPr="00361401">
        <w:rPr>
          <w:rFonts w:eastAsia="Calibri"/>
        </w:rPr>
        <w:t xml:space="preserve"> karinės operacijos koordinatoriumi, be kitų asmenų, paskyrė ir TSRS VSK specialios paskirties grupės „A“ 3-iojo poskyrio viršininką </w:t>
      </w:r>
      <w:r w:rsidR="00385BC9" w:rsidRPr="00361401">
        <w:rPr>
          <w:rFonts w:eastAsia="Calibri"/>
        </w:rPr>
        <w:t>J. Č.</w:t>
      </w:r>
      <w:r w:rsidRPr="00361401">
        <w:rPr>
          <w:rFonts w:eastAsia="Calibri"/>
        </w:rPr>
        <w:t xml:space="preserve">. Byloje pagrįstai nustatyta, kad tokiais asmenimis buvęs TSRS VSK pirmininkas paskyrė </w:t>
      </w:r>
      <w:r w:rsidR="00C507EF" w:rsidRPr="00361401">
        <w:rPr>
          <w:rFonts w:eastAsia="Calibri"/>
        </w:rPr>
        <w:t>J. K.</w:t>
      </w:r>
      <w:r w:rsidRPr="00361401">
        <w:rPr>
          <w:rFonts w:eastAsia="Calibri"/>
        </w:rPr>
        <w:t xml:space="preserve"> ir </w:t>
      </w:r>
      <w:r w:rsidR="00385BC9" w:rsidRPr="00361401">
        <w:rPr>
          <w:rFonts w:eastAsia="Calibri"/>
        </w:rPr>
        <w:t>M. G.</w:t>
      </w:r>
      <w:r w:rsidRPr="00361401">
        <w:rPr>
          <w:rFonts w:eastAsia="Calibri"/>
        </w:rPr>
        <w:t>.</w:t>
      </w:r>
      <w:r w:rsidRPr="00C00255">
        <w:rPr>
          <w:rFonts w:eastAsia="Calibri"/>
          <w:color w:val="000000" w:themeColor="text1"/>
          <w:szCs w:val="24"/>
        </w:rPr>
        <w:t xml:space="preserve"> </w:t>
      </w:r>
    </w:p>
    <w:p w:rsidR="0072749F" w:rsidRPr="00C00255" w:rsidRDefault="0072749F" w:rsidP="0072749F">
      <w:pPr>
        <w:pStyle w:val="ListParagraph"/>
        <w:numPr>
          <w:ilvl w:val="1"/>
          <w:numId w:val="6"/>
        </w:numPr>
        <w:spacing w:before="120" w:after="120"/>
        <w:ind w:left="992" w:hanging="992"/>
        <w:contextualSpacing w:val="0"/>
        <w:rPr>
          <w:rFonts w:eastAsia="Calibri"/>
        </w:rPr>
      </w:pPr>
      <w:r w:rsidRPr="00C00255">
        <w:rPr>
          <w:rFonts w:eastAsia="Calibri"/>
          <w:color w:val="000000" w:themeColor="text1"/>
          <w:szCs w:val="24"/>
        </w:rPr>
        <w:t>Taip pat i</w:t>
      </w:r>
      <w:r w:rsidRPr="00C00255">
        <w:rPr>
          <w:szCs w:val="24"/>
        </w:rPr>
        <w:t xml:space="preserve">š nuosprendžio nustatomosios dalies šalintina ir byloje neįrodyta aplinkybė, kad nuteistieji </w:t>
      </w:r>
      <w:r w:rsidR="006036E7">
        <w:rPr>
          <w:color w:val="000000"/>
          <w:szCs w:val="24"/>
        </w:rPr>
        <w:t>V. U. 1</w:t>
      </w:r>
      <w:r w:rsidRPr="00C00255">
        <w:rPr>
          <w:color w:val="000000"/>
          <w:szCs w:val="24"/>
        </w:rPr>
        <w:t xml:space="preserve"> ir </w:t>
      </w:r>
      <w:r w:rsidR="006036E7">
        <w:rPr>
          <w:color w:val="000000"/>
          <w:szCs w:val="24"/>
        </w:rPr>
        <w:t>A. Ž.</w:t>
      </w:r>
      <w:r w:rsidRPr="00C00255">
        <w:rPr>
          <w:color w:val="000000"/>
          <w:szCs w:val="24"/>
        </w:rPr>
        <w:t xml:space="preserve"> jų vadovaujamuose daliniuose buvo paskelbę kovinę parengtį. Byloje ištirti įrodymai liudija apie tai, kad sprendimus dėl tokios ar panašios parengties galėjo priimti kiti aukštesnes pareigas ėję kariškiai. Nepaisant to, minėtos aplinkybės pašalinimas niekaip nekeičia teismo išvadų dėl nuteistųjų </w:t>
      </w:r>
      <w:r w:rsidR="006036E7">
        <w:rPr>
          <w:color w:val="000000"/>
          <w:szCs w:val="24"/>
        </w:rPr>
        <w:t>V. U. 1</w:t>
      </w:r>
      <w:r w:rsidRPr="00C00255">
        <w:rPr>
          <w:color w:val="000000"/>
          <w:szCs w:val="24"/>
        </w:rPr>
        <w:t xml:space="preserve"> ir </w:t>
      </w:r>
      <w:r w:rsidR="006036E7">
        <w:rPr>
          <w:color w:val="000000"/>
          <w:szCs w:val="24"/>
        </w:rPr>
        <w:t>A. Ž.</w:t>
      </w:r>
      <w:r w:rsidRPr="00C00255">
        <w:rPr>
          <w:color w:val="000000"/>
          <w:szCs w:val="24"/>
        </w:rPr>
        <w:t xml:space="preserve"> dalyvavimo planuojant karinę operaciją. </w:t>
      </w:r>
    </w:p>
    <w:p w:rsidR="0072749F" w:rsidRPr="00C00255" w:rsidRDefault="0072749F" w:rsidP="0072749F">
      <w:pPr>
        <w:pStyle w:val="ListParagraph"/>
        <w:numPr>
          <w:ilvl w:val="1"/>
          <w:numId w:val="6"/>
        </w:numPr>
        <w:spacing w:before="120" w:after="120"/>
        <w:ind w:left="992" w:hanging="992"/>
        <w:contextualSpacing w:val="0"/>
        <w:rPr>
          <w:rFonts w:eastAsia="Calibri"/>
        </w:rPr>
      </w:pPr>
      <w:r w:rsidRPr="00C00255">
        <w:rPr>
          <w:rFonts w:eastAsia="Calibri"/>
          <w:color w:val="000000" w:themeColor="text1"/>
          <w:szCs w:val="24"/>
        </w:rPr>
        <w:t xml:space="preserve">Apeliacinės instancijos teismo teisėjų kolegija sutiko su prokurorų argumentais, jog </w:t>
      </w:r>
      <w:r w:rsidRPr="00C00255">
        <w:rPr>
          <w:szCs w:val="24"/>
        </w:rPr>
        <w:t xml:space="preserve">nuosprendžio nustatomoji dalis dėl karinės operacijos planavimo turi būti papildyta aplinkybėmis apie tokią operaciją planavusių asmenų siekį </w:t>
      </w:r>
      <w:r w:rsidRPr="00C00255">
        <w:rPr>
          <w:rStyle w:val="Numatytasispastraiposriftas1"/>
          <w:szCs w:val="24"/>
        </w:rPr>
        <w:t xml:space="preserve">remti ir vykdyti TSRS ir TSKP politiką bei </w:t>
      </w:r>
      <w:r w:rsidRPr="00C00255">
        <w:rPr>
          <w:szCs w:val="24"/>
          <w:lang w:eastAsia="ar-SA" w:bidi="lt-LT"/>
        </w:rPr>
        <w:t xml:space="preserve">grąžinti Lietuvą į TSRS sudėtį, taip pat apie tai, kad </w:t>
      </w:r>
      <w:r w:rsidRPr="00C00255">
        <w:rPr>
          <w:rStyle w:val="Numatytasispastraiposriftas1"/>
        </w:rPr>
        <w:t>vadovavimo karinei operacijai štabas, ne tik paskyrė kariniams veiksmams vadovaujančius bei už veiksmų koordinavimą atsakingus karininkus, įsakė apie karinių operacijų eigą ir rezultatus informuoti vadovavimo štabą, bet ir nutarė pradėti karinę operaciją dėl kurios teisinio vertinimo teismas dar pasisakys.</w:t>
      </w:r>
      <w:r w:rsidRPr="00C00255">
        <w:rPr>
          <w:szCs w:val="24"/>
          <w:lang w:eastAsia="ar-SA" w:bidi="lt-LT"/>
        </w:rPr>
        <w:t xml:space="preserve"> </w:t>
      </w:r>
    </w:p>
    <w:p w:rsidR="003D0CA0" w:rsidRPr="00C00255" w:rsidRDefault="0072749F" w:rsidP="003D0CA0">
      <w:pPr>
        <w:pStyle w:val="ListParagraph"/>
        <w:numPr>
          <w:ilvl w:val="1"/>
          <w:numId w:val="6"/>
        </w:numPr>
        <w:spacing w:before="120" w:after="120"/>
        <w:ind w:left="992" w:hanging="992"/>
        <w:contextualSpacing w:val="0"/>
        <w:rPr>
          <w:rFonts w:eastAsia="Calibri"/>
        </w:rPr>
      </w:pPr>
      <w:r w:rsidRPr="00C00255">
        <w:rPr>
          <w:szCs w:val="24"/>
          <w:lang w:eastAsia="ar-SA" w:bidi="lt-LT"/>
        </w:rPr>
        <w:t>Be to, tei</w:t>
      </w:r>
      <w:r w:rsidRPr="00C00255">
        <w:rPr>
          <w:color w:val="000000"/>
          <w:szCs w:val="24"/>
          <w:lang w:eastAsia="ar-SA" w:bidi="lt-LT"/>
        </w:rPr>
        <w:t xml:space="preserve">sėjų kolegija sutinka ir su prokurorų apeliaciniame skunde išdėstytu prašymu </w:t>
      </w:r>
      <w:r w:rsidRPr="00C00255">
        <w:t>ištaisyti pirmosios instancijos teismo nuosprendžio nustatomojoje dalyje (nuosprendžio 13 l.) nurodytas aiškiai netikslias ar klaidingas formuluotes dėl to, kokie kariškai ir kam perdavė TSRS gynybos ministro įsakymus dėl karinės operacijos Lietuvoje:</w:t>
      </w:r>
    </w:p>
    <w:p w:rsidR="0072749F" w:rsidRPr="00C00255" w:rsidRDefault="0072749F" w:rsidP="0072749F">
      <w:pPr>
        <w:pStyle w:val="ListParagraph"/>
        <w:numPr>
          <w:ilvl w:val="2"/>
          <w:numId w:val="6"/>
        </w:numPr>
        <w:spacing w:before="120" w:after="120"/>
        <w:ind w:left="992" w:hanging="992"/>
        <w:contextualSpacing w:val="0"/>
        <w:rPr>
          <w:rStyle w:val="Numatytasispastraiposriftas1"/>
          <w:rFonts w:eastAsia="Calibri"/>
        </w:rPr>
      </w:pPr>
      <w:r w:rsidRPr="00C00255">
        <w:t xml:space="preserve">Nuosprendyje klaidingai nurodyta, kad </w:t>
      </w:r>
      <w:r w:rsidRPr="00C00255">
        <w:rPr>
          <w:rStyle w:val="Numatytasispastraiposriftas1"/>
        </w:rPr>
        <w:t xml:space="preserve">TSRS gynybos ministro pavaduotojas ir Oro desanto pajėgų vadas </w:t>
      </w:r>
      <w:r w:rsidR="00C507EF">
        <w:rPr>
          <w:rStyle w:val="Numatytasispastraiposriftas1"/>
        </w:rPr>
        <w:t>V. A.</w:t>
      </w:r>
      <w:r w:rsidRPr="00C00255">
        <w:rPr>
          <w:rStyle w:val="Numatytasispastraiposriftas1"/>
        </w:rPr>
        <w:t xml:space="preserve"> „ministro įsakymą perdavė savo pavaldiniui TSRS GM Oro desanto pajėgų 76-osios oro desanto divizijos </w:t>
      </w:r>
      <w:r w:rsidRPr="00C00255">
        <w:rPr>
          <w:bCs/>
          <w:szCs w:val="24"/>
        </w:rPr>
        <w:t xml:space="preserve">vado pavaduotojui pulkininkui </w:t>
      </w:r>
      <w:r w:rsidR="00385BC9">
        <w:rPr>
          <w:bCs/>
          <w:szCs w:val="24"/>
        </w:rPr>
        <w:t>V. K. 1</w:t>
      </w:r>
      <w:r w:rsidRPr="00C00255">
        <w:rPr>
          <w:bCs/>
          <w:szCs w:val="24"/>
        </w:rPr>
        <w:t>.“. Iš bylos aplinkybių matyti, kad toks įsakymas, pirmiausia, buvo perduotas</w:t>
      </w:r>
      <w:r w:rsidRPr="00C00255">
        <w:rPr>
          <w:rStyle w:val="Numatytasispastraiposriftas1"/>
        </w:rPr>
        <w:t xml:space="preserve"> TSRS GM Oro desanto pajėgų 76-osios oro desanto divizijos </w:t>
      </w:r>
      <w:r w:rsidRPr="00C00255">
        <w:rPr>
          <w:bCs/>
          <w:szCs w:val="24"/>
        </w:rPr>
        <w:t>vadui</w:t>
      </w:r>
      <w:r w:rsidRPr="00C00255">
        <w:rPr>
          <w:rStyle w:val="Numatytasispastraiposriftas1"/>
          <w:bCs/>
        </w:rPr>
        <w:t>.</w:t>
      </w:r>
    </w:p>
    <w:p w:rsidR="001D0506" w:rsidRPr="00DA38E9" w:rsidRDefault="0072749F" w:rsidP="001D0506">
      <w:pPr>
        <w:pStyle w:val="ListParagraph"/>
        <w:numPr>
          <w:ilvl w:val="2"/>
          <w:numId w:val="6"/>
        </w:numPr>
        <w:spacing w:before="120" w:after="120"/>
        <w:ind w:left="992" w:hanging="992"/>
        <w:contextualSpacing w:val="0"/>
        <w:rPr>
          <w:rStyle w:val="ListParagraphChar"/>
          <w:rFonts w:eastAsia="Calibri"/>
        </w:rPr>
      </w:pPr>
      <w:r w:rsidRPr="00C00255">
        <w:t xml:space="preserve">Nuosprendyje taip pat klaidingai nurodoma, kad nuteistasis </w:t>
      </w:r>
      <w:r w:rsidR="006036E7">
        <w:t>V. U. 1</w:t>
      </w:r>
      <w:r w:rsidRPr="00C00255">
        <w:t xml:space="preserve"> </w:t>
      </w:r>
      <w:r w:rsidRPr="00C00255">
        <w:rPr>
          <w:rFonts w:eastAsia="Calibri"/>
        </w:rPr>
        <w:t xml:space="preserve">nurodymus dėl tiesioginio dalyvavimo karinėje operacijoje kitiems kariškiams perdavė </w:t>
      </w:r>
      <w:r w:rsidRPr="00C00255">
        <w:t xml:space="preserve">„vykdydamas </w:t>
      </w:r>
      <w:r w:rsidRPr="00C00255">
        <w:rPr>
          <w:rFonts w:eastAsia="Calibri"/>
        </w:rPr>
        <w:t xml:space="preserve">motorizuotų šaulių divizijos vado nurodymus“. Iš teismo nuosprendžio ir nustatytų bylos aplinkybių matyti, kad </w:t>
      </w:r>
      <w:r w:rsidR="006036E7">
        <w:rPr>
          <w:rFonts w:eastAsia="Calibri"/>
        </w:rPr>
        <w:t>V. U. 1</w:t>
      </w:r>
      <w:r w:rsidRPr="00C00255">
        <w:rPr>
          <w:rFonts w:eastAsia="Calibri"/>
        </w:rPr>
        <w:t xml:space="preserve"> pats buvo minėtos motorizuotų šaulių divizijos vadu, o perduodamas tokius nurodymus, jis </w:t>
      </w:r>
      <w:r w:rsidRPr="00C00255">
        <w:rPr>
          <w:rStyle w:val="Numatytasispastraiposriftas1"/>
        </w:rPr>
        <w:t xml:space="preserve">vykdė </w:t>
      </w:r>
      <w:r w:rsidRPr="00C00255">
        <w:rPr>
          <w:iCs/>
        </w:rPr>
        <w:t>TSRS GM Sausumos pajėgų Pabaltijo karinės apygardos vado pavaduotojo nurodymus</w:t>
      </w:r>
      <w:r w:rsidRPr="00C00255">
        <w:rPr>
          <w:rStyle w:val="ListParagraphChar"/>
          <w:rFonts w:eastAsiaTheme="minorEastAsia"/>
        </w:rPr>
        <w:t xml:space="preserve">. </w:t>
      </w:r>
      <w:bookmarkEnd w:id="246"/>
    </w:p>
    <w:p w:rsidR="00DA38E9" w:rsidRPr="00C00255" w:rsidRDefault="00DA38E9" w:rsidP="00DA38E9">
      <w:pPr>
        <w:pStyle w:val="Heading2"/>
        <w:spacing w:after="120"/>
        <w:ind w:firstLine="992"/>
        <w:jc w:val="center"/>
        <w:rPr>
          <w:rStyle w:val="Heading3Char"/>
          <w:rFonts w:eastAsiaTheme="majorEastAsia"/>
          <w:b/>
          <w:sz w:val="24"/>
          <w:szCs w:val="28"/>
          <w:lang w:val="lt-LT" w:eastAsia="en-US"/>
        </w:rPr>
      </w:pPr>
      <w:bookmarkStart w:id="247" w:name="_Toc67677385"/>
      <w:bookmarkStart w:id="248" w:name="_Toc67985513"/>
      <w:bookmarkStart w:id="249" w:name="_Toc67480777"/>
      <w:bookmarkStart w:id="250" w:name="_Toc67677390"/>
      <w:bookmarkStart w:id="251" w:name="_Toc67985518"/>
      <w:r w:rsidRPr="00C00255">
        <w:rPr>
          <w:rStyle w:val="Heading3Char"/>
          <w:rFonts w:eastAsiaTheme="majorEastAsia"/>
          <w:b/>
          <w:sz w:val="24"/>
          <w:szCs w:val="28"/>
          <w:lang w:val="lt-LT" w:eastAsia="en-US"/>
        </w:rPr>
        <w:t>C. DĖL SPAUDOS RŪMŲ UŽĖMIMO</w:t>
      </w:r>
      <w:bookmarkEnd w:id="247"/>
      <w:bookmarkEnd w:id="248"/>
    </w:p>
    <w:p w:rsidR="00DA38E9" w:rsidRPr="00C00255" w:rsidRDefault="00DA38E9" w:rsidP="00DA38E9">
      <w:pPr>
        <w:pStyle w:val="ListParagraph"/>
        <w:numPr>
          <w:ilvl w:val="0"/>
          <w:numId w:val="6"/>
        </w:numPr>
        <w:spacing w:after="120"/>
        <w:ind w:left="992" w:hanging="992"/>
        <w:contextualSpacing w:val="0"/>
        <w:rPr>
          <w:color w:val="000000"/>
          <w:szCs w:val="24"/>
          <w:lang w:eastAsia="lt-LT" w:bidi="lt-LT"/>
        </w:rPr>
      </w:pPr>
      <w:r w:rsidRPr="000E2C88">
        <w:rPr>
          <w:color w:val="000000"/>
          <w:szCs w:val="24"/>
          <w:lang w:eastAsia="lt-LT" w:bidi="lt-LT"/>
        </w:rPr>
        <w:t>Vilniaus apygardos teismo 2019 m. kovo 27 d. nuosprendžio dalyje „</w:t>
      </w:r>
      <w:r w:rsidRPr="000E2C88">
        <w:rPr>
          <w:i/>
          <w:color w:val="000000"/>
          <w:szCs w:val="24"/>
          <w:lang w:eastAsia="lt-LT" w:bidi="lt-LT"/>
        </w:rPr>
        <w:t>Spaudos rūmų ir kitų objektų užgrobimas</w:t>
      </w:r>
      <w:r w:rsidRPr="000E2C88">
        <w:rPr>
          <w:szCs w:val="24"/>
        </w:rPr>
        <w:t>“ (</w:t>
      </w:r>
      <w:r w:rsidRPr="000E2C88">
        <w:rPr>
          <w:rFonts w:eastAsia="Calibri"/>
          <w:szCs w:val="24"/>
        </w:rPr>
        <w:t>žr. nuosprendžio 135–138 l. (t. 769, b. l. 135–138))</w:t>
      </w:r>
      <w:r w:rsidRPr="000E2C88">
        <w:rPr>
          <w:color w:val="000000"/>
          <w:szCs w:val="24"/>
          <w:lang w:eastAsia="lt-LT" w:bidi="lt-LT"/>
        </w:rPr>
        <w:t xml:space="preserve"> konstatuota, kad TSRS karinės operacijos, kuri pradėta vykdyti 1991 m. sausio 11 d. ir buvo nukreipta prieš nepriklausomybę atkūrusią Lietuvą, metu, įgyvendinant </w:t>
      </w:r>
      <w:r w:rsidRPr="000E2C88">
        <w:rPr>
          <w:szCs w:val="24"/>
          <w:lang w:eastAsia="lt-LT"/>
        </w:rPr>
        <w:t>operacijos planavimo grupės ir vadovavimo štabo parengtą planą,</w:t>
      </w:r>
      <w:r w:rsidRPr="000E2C88">
        <w:rPr>
          <w:color w:val="000000"/>
          <w:szCs w:val="24"/>
          <w:lang w:eastAsia="lt-LT" w:bidi="lt-LT"/>
        </w:rPr>
        <w:t xml:space="preserve"> buvo užgrobti toliau nurodyti strateginiai Lietuvos Respublikos objektai ir (arba) iš jų buvo pagrobti ginklai ir (ar) šaudmenys</w:t>
      </w:r>
      <w:r w:rsidRPr="00C00255">
        <w:rPr>
          <w:color w:val="000000"/>
          <w:szCs w:val="24"/>
          <w:lang w:eastAsia="lt-LT" w:bidi="lt-LT"/>
        </w:rPr>
        <w:t>.</w:t>
      </w:r>
    </w:p>
    <w:p w:rsidR="00DA38E9" w:rsidRPr="00C00255" w:rsidRDefault="00DA38E9" w:rsidP="00DA38E9">
      <w:pPr>
        <w:pStyle w:val="ListParagraph"/>
        <w:numPr>
          <w:ilvl w:val="1"/>
          <w:numId w:val="6"/>
        </w:numPr>
        <w:spacing w:after="120"/>
        <w:ind w:left="993" w:hanging="993"/>
        <w:contextualSpacing w:val="0"/>
        <w:rPr>
          <w:color w:val="000000"/>
          <w:szCs w:val="24"/>
          <w:lang w:eastAsia="lt-LT" w:bidi="lt-LT"/>
        </w:rPr>
      </w:pPr>
      <w:r w:rsidRPr="000E2C88">
        <w:rPr>
          <w:szCs w:val="24"/>
        </w:rPr>
        <w:t>1991 m. sausio 11 d. užgrobti šie objektai ir (arba) iš jų pagrobti ginklai ir (ar) šaudmenys:</w:t>
      </w:r>
      <w:r w:rsidRPr="000E2C88">
        <w:rPr>
          <w:lang w:eastAsia="lt-LT"/>
        </w:rPr>
        <w:t xml:space="preserve"> užgrobti Spaudos rūmai (Lietuvos Respublikos valstybinė leidybos įmonė „Spauda“, esanti Kosmonautų pr. (dabar – Laisvės pr.) 60, Vilniuje);</w:t>
      </w:r>
      <w:r w:rsidRPr="000E2C88">
        <w:rPr>
          <w:szCs w:val="24"/>
          <w:lang w:eastAsia="lt-LT"/>
        </w:rPr>
        <w:t xml:space="preserve"> KAD Alytaus technikos mokykla, esanti Santaikos g. 30, Alytuje, iš kurios taip pat pagrobti šaudmenys; KAD administracinis pastatas, esantis Viršuliškių g. 36, Vilniuje; iš Lietuvos medžiotojų ir žvejų draugijos Respublikinės tarybos sandėlio, esančio Stiklių g. 6/8, Vilniuje, pagrobti medžiokliniai šaunamieji ginklai ir šaudmenys; užgrobtos Vilniaus geležinkelio stoties valdymo posto (MRC) patalpos, esančios Pelesos g. 2, Vilniuje; užgrobtos Valstybinės įmonės „Lietuvos telekomas“ filialo Tarpmiestinio telefono centro cecho Vilnius-I ir Lietuvos radijo ir televizijos centro Radijo transliacijos operatorinės (radijo biuro) patalpos, esančios Kreivalaužių km., Vilniaus rajone; užgrobti Lietuvos radijo ir televizijos kūrybos namai bei atsarginės Lietuvos radijo ir televizijos patalpos-bunkeris, esantys Naujasodžio km., Vilniaus rajone; užgrobta Lietuvos Respublikos VRM Ypatingos paskirties milicijos būrio (OMON) bazė, esanti Maudyklos g. 5, Vilniuje, iš kurios taip pat pagrobti šaunamieji ginklai bei šaudmenys</w:t>
      </w:r>
      <w:r w:rsidRPr="00C00255">
        <w:rPr>
          <w:szCs w:val="24"/>
          <w:lang w:eastAsia="lt-LT"/>
        </w:rPr>
        <w:t>.</w:t>
      </w:r>
    </w:p>
    <w:p w:rsidR="00DA38E9" w:rsidRPr="00C00255" w:rsidRDefault="00DA38E9" w:rsidP="00DA38E9">
      <w:pPr>
        <w:pStyle w:val="ListParagraph"/>
        <w:numPr>
          <w:ilvl w:val="1"/>
          <w:numId w:val="6"/>
        </w:numPr>
        <w:spacing w:after="120"/>
        <w:ind w:left="993" w:hanging="993"/>
        <w:contextualSpacing w:val="0"/>
        <w:rPr>
          <w:color w:val="000000"/>
          <w:szCs w:val="24"/>
          <w:lang w:eastAsia="lt-LT" w:bidi="lt-LT"/>
        </w:rPr>
      </w:pPr>
      <w:r w:rsidRPr="00C00255">
        <w:rPr>
          <w:szCs w:val="24"/>
        </w:rPr>
        <w:t xml:space="preserve">1991 m. sausio 12 d. užgrobti šie objektai: </w:t>
      </w:r>
      <w:r w:rsidRPr="00C00255">
        <w:rPr>
          <w:szCs w:val="24"/>
          <w:lang w:eastAsia="lt-LT"/>
        </w:rPr>
        <w:t xml:space="preserve">Lietuvos Respublikos VRM Policijos akademijos patalpos, esančios Valakampių g. 5, Vilniuje; Lietuvos Respublikos valstybinės sporto ir technikos organizacijos „Vytis“ prie KAD patalpos, esančios Kosciuškos g. 36, Vilniuje; KAD Varėnos pasienio užkardos postas, esantis Druskininkų-Pariečės-Slonimo kelyje; Prienų rajono prokuratūros, Vidaus reikalų skyriaus apsaugos poskyrio, LDDP Prienų rajono tarybos ir kitų visuomeninių organizacijų patalpos, esančios Kauno g. 2, Prienuose; taip pat pasikėsinta į Lietuvos Respublikos Aukščiausiąją Tarybą, esančią Gedimino pr. 53, ir Ministrų Tarybą, esančią J. Tumo-Vaižganto g. 2, Vilniuje – reikalauta šių institucijų atsistatydinimo ir valdžios perdavimo LNGK. </w:t>
      </w:r>
    </w:p>
    <w:p w:rsidR="00DA38E9" w:rsidRPr="00C00255" w:rsidRDefault="00DA38E9" w:rsidP="00DA38E9">
      <w:pPr>
        <w:pStyle w:val="ListParagraph"/>
        <w:numPr>
          <w:ilvl w:val="1"/>
          <w:numId w:val="6"/>
        </w:numPr>
        <w:shd w:val="clear" w:color="auto" w:fill="FFFFFF"/>
        <w:tabs>
          <w:tab w:val="left" w:pos="993"/>
        </w:tabs>
        <w:spacing w:before="120" w:after="120"/>
        <w:ind w:left="992" w:hanging="992"/>
        <w:contextualSpacing w:val="0"/>
        <w:rPr>
          <w:szCs w:val="24"/>
        </w:rPr>
      </w:pPr>
      <w:r w:rsidRPr="00C00255">
        <w:rPr>
          <w:szCs w:val="24"/>
        </w:rPr>
        <w:t xml:space="preserve">1991 m. sausio 13 d. užgrobti: </w:t>
      </w:r>
      <w:r w:rsidRPr="00361401">
        <w:rPr>
          <w:rFonts w:eastAsia="Calibri"/>
          <w:szCs w:val="24"/>
        </w:rPr>
        <w:t>Lietuvos radijo ir televizijos centro radijofonijos cechas, esantis Tujų g. 2</w:t>
      </w:r>
      <w:r w:rsidRPr="00361401">
        <w:rPr>
          <w:szCs w:val="24"/>
        </w:rPr>
        <w:t>, Vilniuje,</w:t>
      </w:r>
      <w:r w:rsidRPr="00C00255">
        <w:rPr>
          <w:szCs w:val="24"/>
          <w:lang w:eastAsia="lt-LT"/>
        </w:rPr>
        <w:t xml:space="preserve"> TV bokštas bei LRT pastatai.</w:t>
      </w:r>
    </w:p>
    <w:p w:rsidR="00DA38E9" w:rsidRPr="00C00255" w:rsidRDefault="00DA38E9" w:rsidP="00DA38E9">
      <w:pPr>
        <w:pStyle w:val="ListParagraph"/>
        <w:numPr>
          <w:ilvl w:val="0"/>
          <w:numId w:val="6"/>
        </w:numPr>
        <w:spacing w:after="120"/>
        <w:ind w:left="993" w:hanging="993"/>
        <w:contextualSpacing w:val="0"/>
        <w:rPr>
          <w:rFonts w:eastAsia="Calibri"/>
          <w:szCs w:val="24"/>
        </w:rPr>
      </w:pPr>
      <w:r w:rsidRPr="00C00255">
        <w:rPr>
          <w:szCs w:val="24"/>
          <w:lang w:eastAsia="lt-LT"/>
        </w:rPr>
        <w:t xml:space="preserve">Šioje byloje nuteistiesiems nebuvo inkriminuotas visų minėtų pastatų užgrobimas. Jiems inkriminuotas tik Spaudos rūmų, TV bokšto ir LRT pastatų užgrobimas, o kiti objektai, kaip tą byloje nurodė prokurorai, minimi tik atskleidžiant didelio masto užpuldinėjimus ir jų sistemiškumo požymius. Kiti minėti pastatai, prokurorų įsitikinimu, buvo užimti nepadarius nusikaltimų žmoniškumui ar karo nusikaltimų, todėl jų užgrobimas ar ginklų bei šaudmenų iš jų pagrobimas šioje byloje niekam nebuvo inkriminuoti (t. 796, b. l. 50, 118). </w:t>
      </w:r>
    </w:p>
    <w:p w:rsidR="00DA38E9" w:rsidRPr="00C00255" w:rsidRDefault="00DA38E9" w:rsidP="00DA38E9">
      <w:pPr>
        <w:pStyle w:val="ListParagraph"/>
        <w:numPr>
          <w:ilvl w:val="0"/>
          <w:numId w:val="6"/>
        </w:numPr>
        <w:spacing w:after="120"/>
        <w:ind w:left="993" w:hanging="993"/>
        <w:contextualSpacing w:val="0"/>
        <w:rPr>
          <w:rFonts w:eastAsia="Calibri"/>
          <w:szCs w:val="24"/>
        </w:rPr>
      </w:pPr>
      <w:r w:rsidRPr="00C00255">
        <w:rPr>
          <w:szCs w:val="24"/>
          <w:lang w:eastAsia="lt-LT"/>
        </w:rPr>
        <w:t xml:space="preserve">Teisėjų kolegija, atsižvelgdama į atskirų gynėjų skundų argumentus dėl nepakankamo jau minėtų atskirų pastatų užgrobimo aplinkybių ištyrimo ir jų ginamųjų kaltę patvirtinančių įrodymų nebuvimo (pvz., nuteistųjų </w:t>
      </w:r>
      <w:r>
        <w:rPr>
          <w:szCs w:val="24"/>
          <w:lang w:eastAsia="lt-LT"/>
        </w:rPr>
        <w:t>O. M.</w:t>
      </w:r>
      <w:r w:rsidRPr="00C00255">
        <w:rPr>
          <w:szCs w:val="24"/>
          <w:lang w:eastAsia="lt-LT"/>
        </w:rPr>
        <w:t xml:space="preserve"> ir </w:t>
      </w:r>
      <w:r>
        <w:rPr>
          <w:szCs w:val="24"/>
          <w:lang w:eastAsia="lt-LT"/>
        </w:rPr>
        <w:t>M. C.</w:t>
      </w:r>
      <w:r w:rsidRPr="00C00255">
        <w:rPr>
          <w:szCs w:val="24"/>
          <w:lang w:eastAsia="lt-LT"/>
        </w:rPr>
        <w:t xml:space="preserve"> gynėjų apeliaciniai skundai), atkreipia dėmesį, kad byloje pateiktuose kaltinimuose visų jau minėtų objektų (išskyrus Spaudos rūmų, TV bokšto ir LRT pastatų) užgrobimas neinkriminuotas ir minimas tik kaip žinomas faktas (beje, atskirais atvejais nustatytas ir kitais įsiteisėjusiais teismo nuosprendžiais: pvz., Lietuvos apeliacinio teismo 2017 m. sausio 24 d. nuosprendžiu byloje Nr. 1A-32-628/2017 – dėl OMON padalinio bazės, buvusios Maudyklos g. 5, Vilniuje, ir Policijos akademijos patalpų užėmimo; Lietuvos Aukščiausiojo Teismo 1992 m. gruodžio 17 d. nuosprendžiu byloje Nr. 2-130/1992 – dėl Prienų raj. prokuratūros ir kitų patalpų, esančių Kauno g. 2, Prienuose, užgrobimo ir pan.), nepateikiant detalaus šių objekto užgrobimo aplinkybių aprašymo nagrinėjamoje byloje bei nurodant, kad atskirus pastatus užgrobė visiškai kiti, šioje byloje nekaltinami, asmenys (pvz., jog TSRS GM Alytaus oro desantininkai užgrobė KAD Alytaus technikos mokyklą) ir pan. (pvz.,</w:t>
      </w:r>
      <w:r>
        <w:rPr>
          <w:szCs w:val="24"/>
          <w:lang w:eastAsia="lt-LT"/>
        </w:rPr>
        <w:t> </w:t>
      </w:r>
      <w:r w:rsidRPr="00C00255">
        <w:rPr>
          <w:szCs w:val="24"/>
          <w:lang w:eastAsia="lt-LT"/>
        </w:rPr>
        <w:t>žr.</w:t>
      </w:r>
      <w:r>
        <w:rPr>
          <w:szCs w:val="24"/>
          <w:lang w:eastAsia="lt-LT"/>
        </w:rPr>
        <w:t> </w:t>
      </w:r>
      <w:r w:rsidRPr="00C00255">
        <w:rPr>
          <w:szCs w:val="24"/>
          <w:lang w:eastAsia="lt-LT"/>
        </w:rPr>
        <w:t>t. 693,</w:t>
      </w:r>
      <w:r>
        <w:rPr>
          <w:szCs w:val="24"/>
          <w:lang w:eastAsia="lt-LT"/>
        </w:rPr>
        <w:t xml:space="preserve"> </w:t>
      </w:r>
      <w:r w:rsidRPr="00C00255">
        <w:rPr>
          <w:szCs w:val="24"/>
          <w:lang w:eastAsia="lt-LT"/>
        </w:rPr>
        <w:t xml:space="preserve">b. l. 12, 15–16). </w:t>
      </w:r>
    </w:p>
    <w:p w:rsidR="00DA38E9" w:rsidRPr="00C00255" w:rsidRDefault="00DA38E9" w:rsidP="00DA38E9">
      <w:pPr>
        <w:pStyle w:val="ListParagraph"/>
        <w:numPr>
          <w:ilvl w:val="0"/>
          <w:numId w:val="6"/>
        </w:numPr>
        <w:spacing w:after="120"/>
        <w:ind w:left="993" w:hanging="993"/>
        <w:contextualSpacing w:val="0"/>
        <w:rPr>
          <w:rFonts w:eastAsia="Calibri"/>
          <w:szCs w:val="24"/>
        </w:rPr>
      </w:pPr>
      <w:r w:rsidRPr="00C00255">
        <w:rPr>
          <w:szCs w:val="24"/>
          <w:lang w:eastAsia="lt-LT"/>
        </w:rPr>
        <w:t xml:space="preserve">Teismo nuosprendžio nustatomojoje dalyje tokių objektų užgrobimo aplinkybės taip pat nurodytos kaip nustatyti faktai. </w:t>
      </w:r>
      <w:r w:rsidRPr="00361401">
        <w:t>Pavyzdžiui, nuosprendžio dalis „Spaudos rūmų ir kitų objektų užgrobimas“ pradedama tekstu: „TSRS karinė operacija prieš Lietuvą</w:t>
      </w:r>
      <w:r w:rsidRPr="00361401">
        <w:rPr>
          <w:rFonts w:eastAsia="Calibri"/>
        </w:rPr>
        <w:t>, paskelbusią apie savo nepriklausomybės atkūrimą, pradėta vykdyti 1991 m. sausio 11 d., įgyvendinant operacijos planavimo grupės ir vadovavimo štabo parengtą planą, užgrobti šie strateginiai Lietuvos Respublikos objektai: - apie 11.30 val., TSRS GM Alytaus oro desanto k/d 10999 kariškiai užgrobė KAD Alytaus technikos mokyklą, Santaikos g. 30, Alytuje, ir užvaldė ten esančius šaudmenis; &lt;...&gt;“ (nuosprendžio 135–136 l.) ir t. t.</w:t>
      </w:r>
      <w:r w:rsidRPr="00C00255">
        <w:rPr>
          <w:rFonts w:eastAsia="Calibri"/>
          <w:szCs w:val="24"/>
        </w:rPr>
        <w:t xml:space="preserve"> </w:t>
      </w:r>
      <w:r w:rsidRPr="00C00255">
        <w:rPr>
          <w:szCs w:val="24"/>
          <w:lang w:eastAsia="lt-LT"/>
        </w:rPr>
        <w:t xml:space="preserve">Atsižvelgdami į tai, apeliacinės instancijos teismo posėdyje prokurorai prašė pašalinti iš nuosprendžio atskiriems nuteistiesiems neinkriminuotas, bet nuosprendžio motyvuojamojoje dalyje individualizuojant jų veiksmus nepagrįstai nurodytas išvadas ir teiginius apie jų dalyvavimą užimant atskirus kaltinime ir nuosprendyje minimus pastatus. </w:t>
      </w:r>
      <w:bookmarkStart w:id="252" w:name="pn09545078-458e-4378-93f5-ba3f6b06f12c"/>
      <w:bookmarkStart w:id="253" w:name="pn2ee82b73-aff1-451b-8a37-ee9a0e1f5617"/>
      <w:bookmarkStart w:id="254" w:name="pn2338844a-2287-4a0c-b1d2-f37e5205361f"/>
      <w:bookmarkStart w:id="255" w:name="pn99fdaed4-f62a-4039-96bd-949b1dfa10a6"/>
      <w:bookmarkStart w:id="256" w:name="pn803b45c0-9e31-47ea-b97a-804ee19e9650"/>
      <w:bookmarkStart w:id="257" w:name="pn81c00774-0491-42d8-94fa-f2afe080f831"/>
      <w:bookmarkStart w:id="258" w:name="pn2ced9d0d-3b72-4b3a-b0a5-401a6c15544b"/>
      <w:bookmarkStart w:id="259" w:name="pn1aae6bbb-6b82-4a60-bc6e-61b45317c9b4"/>
      <w:bookmarkStart w:id="260" w:name="pn0b8ea176-6ae5-45d4-95c1-91c348cca254"/>
      <w:bookmarkStart w:id="261" w:name="pn9e2808be-f3ad-4a97-b12b-2f880005458b"/>
      <w:bookmarkStart w:id="262" w:name="pn0094feef-6bb7-4362-bc05-0d2b7f178145"/>
      <w:bookmarkEnd w:id="252"/>
      <w:bookmarkEnd w:id="253"/>
      <w:bookmarkEnd w:id="254"/>
      <w:bookmarkEnd w:id="255"/>
      <w:bookmarkEnd w:id="256"/>
      <w:bookmarkEnd w:id="257"/>
      <w:bookmarkEnd w:id="258"/>
      <w:bookmarkEnd w:id="259"/>
      <w:bookmarkEnd w:id="260"/>
      <w:bookmarkEnd w:id="261"/>
      <w:bookmarkEnd w:id="262"/>
    </w:p>
    <w:p w:rsidR="00DA38E9" w:rsidRPr="00361401" w:rsidRDefault="00DA38E9" w:rsidP="00DA38E9">
      <w:pPr>
        <w:pStyle w:val="ListParagraph"/>
        <w:numPr>
          <w:ilvl w:val="0"/>
          <w:numId w:val="6"/>
        </w:numPr>
        <w:shd w:val="clear" w:color="auto" w:fill="FFFFFF"/>
        <w:spacing w:after="120"/>
        <w:ind w:left="992" w:hanging="992"/>
        <w:contextualSpacing w:val="0"/>
        <w:rPr>
          <w:rFonts w:eastAsia="Calibri"/>
        </w:rPr>
      </w:pPr>
      <w:r w:rsidRPr="00361401">
        <w:t xml:space="preserve">Teisėjų kolegija, dėl nurodytų motyvų, pritaria prokurorų pozicijai ir iš pirmosios instancijos teismo nuosprendžio nustatomosios bei motyvuojamosios dalies šalina visas išvadas ir teiginius apie šioje byloje neinkriminuotas aplinkybes dėl nuteistųjų dalyvavimo užimant skundžiamo nuosprendžio 135–136 lapuose nurodytus pastatus (dėl nuteistojo </w:t>
      </w:r>
      <w:r w:rsidRPr="00361401">
        <w:rPr>
          <w:rFonts w:eastAsia="Calibri"/>
        </w:rPr>
        <w:t xml:space="preserve">V. U. 1 dalyvavimo užimant Krašto apsaugos departamento administracinį pastatą, esantį Viršuliškių g. 36, Vilniuje (nuosprendžio 135 l.); dėl nuteistųjų </w:t>
      </w:r>
      <w:bookmarkStart w:id="263" w:name="_Hlk61533164"/>
      <w:r w:rsidRPr="00361401">
        <w:t xml:space="preserve">A. Ž., S. F., O. M. ir M. C. dalyvavimo užimant Lietuvos medžiotojų ir žvejų draugijos sandėlį </w:t>
      </w:r>
      <w:bookmarkEnd w:id="263"/>
      <w:r w:rsidRPr="00361401">
        <w:t xml:space="preserve">(nuosprendžio 135 l.); dėl nuteistojo V. K. 1 dalyvavimo užimant Policijos akademijos, OMON-o bazę, Nemenčinės ryšių mazgo ir radijo retransliacijų centrą ir jau minėtą Lietuvos medžiotojų ir žvejų draugijos sandėlį (nuosprendžio 205, 859, 872 l.); dėl nuteistųjų G. G. ir S. K. dalyvavimo užimant Policijos akademijos pastatą (nuosprendžio 872, 881 l.); dėl nuteistojo A. N. 1 dalyvavimo užimant Prienų rajono prokuratūros ir kt. patalpas, esančias Kauno g. 2, Prienuose (nuosprendžio 136 l.). </w:t>
      </w:r>
    </w:p>
    <w:p w:rsidR="00DA38E9" w:rsidRPr="00C00255" w:rsidRDefault="00DA38E9" w:rsidP="00DA38E9">
      <w:pPr>
        <w:pStyle w:val="ListParagraph"/>
        <w:numPr>
          <w:ilvl w:val="0"/>
          <w:numId w:val="6"/>
        </w:numPr>
        <w:spacing w:after="120"/>
        <w:ind w:left="992" w:hanging="992"/>
        <w:contextualSpacing w:val="0"/>
        <w:rPr>
          <w:szCs w:val="24"/>
          <w:lang w:eastAsia="lt-LT" w:bidi="lt-LT"/>
        </w:rPr>
      </w:pPr>
      <w:r w:rsidRPr="00C00255">
        <w:rPr>
          <w:szCs w:val="24"/>
          <w:lang w:eastAsia="lt-LT"/>
        </w:rPr>
        <w:t xml:space="preserve">Atsižvelgdamas į tai, teismas šioje dalyje pasisakys tik dėl kaltinimuose inkriminuotų ir nuosprendžiu įrodytomis pripažintų Spaudos rūmų užėmimo aplinkybių, o kitų objektų užėmimo aplinkybes aptars tik tiek, kiek tai aktualu ir būtina, pavyzdžiui, šalinant kaltinime neinkriminuotas aplinkybes ir pan.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Skundžiamo nuosprendžio nustatomojoje dalyje kaip dalyvavę įvykiuose, susijusiuose su Spaudos rūmų užėmimu, įvardinti šie nuteistieji: </w:t>
      </w:r>
      <w:r>
        <w:rPr>
          <w:szCs w:val="24"/>
          <w:lang w:eastAsia="lt-LT"/>
        </w:rPr>
        <w:t>V. K. 1</w:t>
      </w:r>
      <w:r w:rsidRPr="00C00255">
        <w:rPr>
          <w:szCs w:val="24"/>
          <w:lang w:eastAsia="lt-LT"/>
        </w:rPr>
        <w:t xml:space="preserve">, </w:t>
      </w:r>
      <w:r>
        <w:rPr>
          <w:szCs w:val="24"/>
          <w:lang w:eastAsia="lt-LT"/>
        </w:rPr>
        <w:t>N. A.</w:t>
      </w:r>
      <w:r w:rsidRPr="00C00255">
        <w:rPr>
          <w:szCs w:val="24"/>
          <w:lang w:eastAsia="lt-LT"/>
        </w:rPr>
        <w:t xml:space="preserve">, </w:t>
      </w:r>
      <w:r>
        <w:rPr>
          <w:szCs w:val="24"/>
          <w:lang w:eastAsia="lt-LT"/>
        </w:rPr>
        <w:t>V. S. 2</w:t>
      </w:r>
      <w:r w:rsidRPr="00C00255">
        <w:rPr>
          <w:szCs w:val="24"/>
          <w:lang w:eastAsia="lt-LT"/>
        </w:rPr>
        <w:t xml:space="preserve">, </w:t>
      </w:r>
      <w:r>
        <w:rPr>
          <w:szCs w:val="24"/>
          <w:lang w:eastAsia="lt-LT"/>
        </w:rPr>
        <w:t>V. D.</w:t>
      </w:r>
      <w:r w:rsidRPr="00C00255">
        <w:rPr>
          <w:szCs w:val="24"/>
          <w:lang w:eastAsia="lt-LT"/>
        </w:rPr>
        <w:t xml:space="preserve">, </w:t>
      </w:r>
      <w:r>
        <w:rPr>
          <w:szCs w:val="24"/>
          <w:lang w:eastAsia="lt-LT"/>
        </w:rPr>
        <w:t>A. G. 2</w:t>
      </w:r>
      <w:r w:rsidRPr="00C00255">
        <w:rPr>
          <w:szCs w:val="24"/>
          <w:lang w:eastAsia="lt-LT"/>
        </w:rPr>
        <w:t xml:space="preserve">, </w:t>
      </w:r>
      <w:r>
        <w:rPr>
          <w:szCs w:val="24"/>
          <w:lang w:eastAsia="lt-LT"/>
        </w:rPr>
        <w:t>S. M.</w:t>
      </w:r>
      <w:r w:rsidRPr="00C00255">
        <w:rPr>
          <w:szCs w:val="24"/>
          <w:lang w:eastAsia="lt-LT"/>
        </w:rPr>
        <w:t xml:space="preserve">, </w:t>
      </w:r>
      <w:r>
        <w:rPr>
          <w:szCs w:val="24"/>
          <w:lang w:eastAsia="lt-LT"/>
        </w:rPr>
        <w:t>V. K. 2</w:t>
      </w:r>
      <w:r w:rsidRPr="00C00255">
        <w:rPr>
          <w:szCs w:val="24"/>
          <w:lang w:eastAsia="lt-LT"/>
        </w:rPr>
        <w:t xml:space="preserve">, </w:t>
      </w:r>
      <w:r>
        <w:rPr>
          <w:szCs w:val="24"/>
          <w:lang w:eastAsia="lt-LT"/>
        </w:rPr>
        <w:t>E. M.</w:t>
      </w:r>
      <w:r w:rsidRPr="00C00255">
        <w:rPr>
          <w:szCs w:val="24"/>
        </w:rPr>
        <w:t>,</w:t>
      </w:r>
      <w:r w:rsidRPr="00C00255">
        <w:rPr>
          <w:szCs w:val="24"/>
          <w:lang w:eastAsia="lt-LT"/>
        </w:rPr>
        <w:t xml:space="preserve"> </w:t>
      </w:r>
      <w:r>
        <w:rPr>
          <w:szCs w:val="24"/>
          <w:lang w:eastAsia="lt-LT"/>
        </w:rPr>
        <w:t>G. I.</w:t>
      </w:r>
      <w:r w:rsidRPr="00C00255">
        <w:rPr>
          <w:szCs w:val="24"/>
          <w:lang w:eastAsia="lt-LT"/>
        </w:rPr>
        <w:t xml:space="preserve">, </w:t>
      </w:r>
      <w:r>
        <w:rPr>
          <w:szCs w:val="24"/>
          <w:lang w:eastAsia="lt-LT"/>
        </w:rPr>
        <w:t>V. U. 2</w:t>
      </w:r>
      <w:r w:rsidRPr="00C00255">
        <w:rPr>
          <w:szCs w:val="24"/>
          <w:lang w:eastAsia="lt-LT"/>
        </w:rPr>
        <w:t xml:space="preserve">, </w:t>
      </w:r>
      <w:r>
        <w:rPr>
          <w:szCs w:val="24"/>
          <w:lang w:eastAsia="lt-LT"/>
        </w:rPr>
        <w:t>A. B.</w:t>
      </w:r>
      <w:r w:rsidRPr="00C00255">
        <w:rPr>
          <w:szCs w:val="24"/>
          <w:lang w:eastAsia="lt-LT"/>
        </w:rPr>
        <w:t xml:space="preserve">, </w:t>
      </w:r>
      <w:r>
        <w:rPr>
          <w:szCs w:val="24"/>
          <w:lang w:eastAsia="lt-LT"/>
        </w:rPr>
        <w:t>A. R.</w:t>
      </w:r>
      <w:r w:rsidRPr="00C00255">
        <w:rPr>
          <w:szCs w:val="24"/>
          <w:lang w:eastAsia="lt-LT"/>
        </w:rPr>
        <w:t xml:space="preserve">, </w:t>
      </w:r>
      <w:r>
        <w:rPr>
          <w:szCs w:val="24"/>
          <w:lang w:eastAsia="lt-LT"/>
        </w:rPr>
        <w:t>V. P.</w:t>
      </w:r>
      <w:r w:rsidRPr="00C00255">
        <w:rPr>
          <w:szCs w:val="24"/>
          <w:lang w:eastAsia="lt-LT"/>
        </w:rPr>
        <w:t xml:space="preserve">, </w:t>
      </w:r>
      <w:r>
        <w:rPr>
          <w:szCs w:val="24"/>
          <w:lang w:eastAsia="lt-LT"/>
        </w:rPr>
        <w:t>N. O.</w:t>
      </w:r>
      <w:r w:rsidRPr="00C00255">
        <w:rPr>
          <w:szCs w:val="24"/>
          <w:lang w:eastAsia="lt-LT"/>
        </w:rPr>
        <w:t xml:space="preserve">, </w:t>
      </w:r>
      <w:r>
        <w:rPr>
          <w:szCs w:val="24"/>
          <w:lang w:eastAsia="lt-LT"/>
        </w:rPr>
        <w:t>A. U.</w:t>
      </w:r>
      <w:r w:rsidRPr="00C00255">
        <w:rPr>
          <w:szCs w:val="24"/>
          <w:lang w:eastAsia="lt-LT"/>
        </w:rPr>
        <w:t xml:space="preserve">, </w:t>
      </w:r>
      <w:r>
        <w:rPr>
          <w:szCs w:val="24"/>
          <w:lang w:eastAsia="lt-LT"/>
        </w:rPr>
        <w:t>E. R.</w:t>
      </w:r>
      <w:r w:rsidRPr="00C00255">
        <w:rPr>
          <w:szCs w:val="24"/>
          <w:lang w:eastAsia="lt-LT"/>
        </w:rPr>
        <w:t xml:space="preserve">, </w:t>
      </w:r>
      <w:r>
        <w:rPr>
          <w:szCs w:val="24"/>
          <w:lang w:eastAsia="lt-LT"/>
        </w:rPr>
        <w:t>A. K. 2</w:t>
      </w:r>
      <w:r w:rsidRPr="00C00255">
        <w:rPr>
          <w:szCs w:val="24"/>
          <w:lang w:eastAsia="lt-LT"/>
        </w:rPr>
        <w:t xml:space="preserve"> ir </w:t>
      </w:r>
      <w:r>
        <w:rPr>
          <w:szCs w:val="24"/>
          <w:lang w:eastAsia="lt-LT"/>
        </w:rPr>
        <w:t>N. S.</w:t>
      </w:r>
      <w:r w:rsidRPr="00C00255">
        <w:rPr>
          <w:szCs w:val="24"/>
          <w:lang w:eastAsia="lt-LT"/>
        </w:rPr>
        <w:t xml:space="preserve"> </w:t>
      </w:r>
      <w:r w:rsidRPr="00361401">
        <w:t xml:space="preserve">(žr. </w:t>
      </w:r>
      <w:r w:rsidRPr="00361401">
        <w:rPr>
          <w:rFonts w:eastAsia="Calibri"/>
        </w:rPr>
        <w:t>nuosprendžio 135–138 l. (t. 769, b. l. 135–138)).</w:t>
      </w:r>
      <w:r w:rsidRPr="00361401">
        <w:t xml:space="preserve"> </w:t>
      </w:r>
      <w:r w:rsidRPr="00C00255">
        <w:rPr>
          <w:szCs w:val="24"/>
          <w:lang w:eastAsia="lt-LT"/>
        </w:rPr>
        <w:t xml:space="preserve">Teisėjų kolegija pažymi, kad atskirose Vilniaus apygardos teismo 2019 m. kovo 27 d. nuosprendžio dalyse konstatuota ir tai, jog Spaudos rūmų užėmime dalyvavo ir kiti, t. y. teismo sprendimo nustatomojoje dalyje neįvardinti, nuteistieji: </w:t>
      </w:r>
      <w:r>
        <w:rPr>
          <w:szCs w:val="24"/>
          <w:lang w:eastAsia="lt-LT"/>
        </w:rPr>
        <w:t>S. K.</w:t>
      </w:r>
      <w:r w:rsidRPr="00C00255">
        <w:rPr>
          <w:szCs w:val="24"/>
          <w:lang w:eastAsia="lt-LT"/>
        </w:rPr>
        <w:t xml:space="preserve">, </w:t>
      </w:r>
      <w:r>
        <w:rPr>
          <w:szCs w:val="24"/>
          <w:lang w:eastAsia="lt-LT"/>
        </w:rPr>
        <w:t>A. I.</w:t>
      </w:r>
      <w:r w:rsidRPr="00C00255">
        <w:rPr>
          <w:szCs w:val="24"/>
          <w:lang w:eastAsia="lt-LT"/>
        </w:rPr>
        <w:t xml:space="preserve">, </w:t>
      </w:r>
      <w:r>
        <w:rPr>
          <w:szCs w:val="24"/>
          <w:lang w:eastAsia="lt-LT"/>
        </w:rPr>
        <w:t>G. G.</w:t>
      </w:r>
      <w:r w:rsidRPr="00C00255">
        <w:rPr>
          <w:szCs w:val="24"/>
          <w:lang w:eastAsia="lt-LT"/>
        </w:rPr>
        <w:t xml:space="preserve">, </w:t>
      </w:r>
      <w:r>
        <w:rPr>
          <w:szCs w:val="24"/>
          <w:lang w:eastAsia="lt-LT"/>
        </w:rPr>
        <w:t>S. V.</w:t>
      </w:r>
      <w:r w:rsidRPr="00C00255">
        <w:rPr>
          <w:szCs w:val="24"/>
          <w:lang w:eastAsia="lt-LT"/>
        </w:rPr>
        <w:t xml:space="preserve">, </w:t>
      </w:r>
      <w:r>
        <w:rPr>
          <w:szCs w:val="24"/>
          <w:lang w:eastAsia="lt-LT"/>
        </w:rPr>
        <w:t>A. K. 1</w:t>
      </w:r>
      <w:r w:rsidRPr="00C00255">
        <w:rPr>
          <w:szCs w:val="24"/>
          <w:lang w:eastAsia="lt-LT"/>
        </w:rPr>
        <w:t xml:space="preserve"> ir </w:t>
      </w:r>
      <w:r>
        <w:rPr>
          <w:szCs w:val="24"/>
          <w:lang w:eastAsia="lt-LT"/>
        </w:rPr>
        <w:t>A. S.</w:t>
      </w:r>
      <w:r w:rsidRPr="00C00255">
        <w:rPr>
          <w:szCs w:val="24"/>
          <w:lang w:eastAsia="lt-LT"/>
        </w:rPr>
        <w:t>.</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 xml:space="preserve">Apeliacinės instancijos teismas, susipažinęs su bylos medžiaga, priešingai nei teigiama nuteistųjų apeliaciniuose skunduose, konstatuoja, kad daugumos iš minėtų nuteistųjų dalyvavimą užimant Spaudos rūmus patvirtina ne tik nuteistųjų ir tyrimo metu apklaustų liudytojų parodymai, bet ir kiti byloje surinkti duomenys – nukentėjusiųjų, liudytojų parodymai pirmosios instancijos teisme, specialistų išvados bei ekspertizės aktai, vaizdo įrašai ir fotonuotraukos, kariškių bei karinės technikos sąrašai ir kt. Visgi, iš minėtų duomenų taip pat matyti, kad nuteistieji S. K., A. I., G. G., A. S., S. V. ir A. K. 1 užimant Spaudos rūmus nedalyvavo ir šios aplinkybės nei ikiteisminio tyrimo metu, nei teisme jiems net nebuvo inkriminuotos, todėl teisėjų kolegija toliau pasisakys dėl kiekvieno iš šioje dalyje minėtų nuteistųjų vaidmens užimant šį objektą ir su tuo susijusių ginčijamų faktinių aplinkybių. </w:t>
      </w:r>
    </w:p>
    <w:p w:rsidR="00DA38E9" w:rsidRPr="00C00255" w:rsidRDefault="00DA38E9" w:rsidP="00DA38E9">
      <w:pPr>
        <w:pStyle w:val="Heading3"/>
        <w:ind w:left="992"/>
        <w:jc w:val="both"/>
        <w:rPr>
          <w:b w:val="0"/>
          <w:i/>
          <w:sz w:val="24"/>
          <w:szCs w:val="24"/>
          <w:lang w:val="lt-LT"/>
        </w:rPr>
      </w:pPr>
      <w:bookmarkStart w:id="264" w:name="_Toc67677386"/>
      <w:bookmarkStart w:id="265" w:name="_Toc67985514"/>
      <w:r w:rsidRPr="00C00255">
        <w:rPr>
          <w:b w:val="0"/>
          <w:i/>
          <w:sz w:val="24"/>
          <w:szCs w:val="24"/>
          <w:lang w:val="lt-LT"/>
        </w:rPr>
        <w:t>Dėl TSRS GM 76-ajai oro desanto divizijai priklausiusių nuteistųjų dalyvavimo užimant Spaudos rūmus</w:t>
      </w:r>
      <w:bookmarkEnd w:id="264"/>
      <w:bookmarkEnd w:id="265"/>
    </w:p>
    <w:p w:rsidR="00DA38E9" w:rsidRPr="00C00255" w:rsidRDefault="00DA38E9" w:rsidP="00DA38E9">
      <w:pPr>
        <w:pStyle w:val="ListParagraph"/>
        <w:numPr>
          <w:ilvl w:val="0"/>
          <w:numId w:val="6"/>
        </w:numPr>
        <w:spacing w:before="120" w:after="120"/>
        <w:ind w:left="993" w:hanging="993"/>
        <w:contextualSpacing w:val="0"/>
        <w:rPr>
          <w:rFonts w:eastAsia="Calibri"/>
          <w:szCs w:val="24"/>
        </w:rPr>
      </w:pPr>
      <w:r w:rsidRPr="000E2C88">
        <w:rPr>
          <w:lang w:eastAsia="lt-LT"/>
        </w:rPr>
        <w:t xml:space="preserve">Pirmosios instancijos teismas, išnagrinėjęs bylą, be kita ko, konstatavo tokias su </w:t>
      </w:r>
      <w:r w:rsidRPr="000E2C88">
        <w:t>TSRS GM 76-ajai oro desanto divizijai priklausiusių kariškių dalyvavimu užimant Spaudos rūmus susijusias aplinkybes</w:t>
      </w:r>
      <w:r w:rsidRPr="00C00255">
        <w:rPr>
          <w:lang w:eastAsia="lt-LT"/>
        </w:rPr>
        <w:t>:</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0E2C88">
        <w:rPr>
          <w:rFonts w:eastAsia="Calibri"/>
        </w:rPr>
        <w:t>1991 m. sausio 11 d., apie 12 val. TSRS GM 76-osios oro desanto divizijos 237-ojo pulko kariškių grupė, vadovaujama kaltinamojo V. K. 1, atvyko prie Spaudos rūmų desanto kovinėmis mašinomis BMD, kurių borto numeriai 211, 212, 213, 221, 229 ir vadavietei skirta BMD, kurios borto numeris 601, trimis URAL automobiliais, skirtais kariškiams pervežti, bei dviem automobiliais UAZ. Išsilaipinę iš BMD bei URAL automobilių</w:t>
      </w:r>
      <w:r w:rsidRPr="000E2C88">
        <w:rPr>
          <w:rFonts w:eastAsia="Calibri"/>
          <w:szCs w:val="24"/>
        </w:rPr>
        <w:t xml:space="preserve">, </w:t>
      </w:r>
      <w:r w:rsidRPr="000E2C88">
        <w:rPr>
          <w:rFonts w:eastAsia="Calibri"/>
        </w:rPr>
        <w:t>kariškiai pasidalinę į dvi grupes į Spaudos rūmus veržėsi pro centrinį ir tarnybinį įėjimus</w:t>
      </w:r>
      <w:r w:rsidRPr="00361401">
        <w:rPr>
          <w:rFonts w:eastAsia="Calibri"/>
        </w:rPr>
        <w:t>.</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361401">
        <w:rPr>
          <w:rFonts w:eastAsia="Calibri"/>
        </w:rPr>
        <w:t>Oro desanto kariškiai, ginkluoti automatais AKS-74 ir AKS-74U, kulkosvaidžiais RPK-74 ir RPKS-74, skirtais šaudyti 5,45 mm šoviniais, snaiperiniais ginklais SVD, stumdydami, smūgiuodami kumščiais ir ginklais,</w:t>
      </w:r>
      <w:r w:rsidRPr="00C00255">
        <w:rPr>
          <w:rFonts w:eastAsia="Calibri"/>
          <w:szCs w:val="24"/>
        </w:rPr>
        <w:t xml:space="preserve"> </w:t>
      </w:r>
      <w:r w:rsidRPr="00361401">
        <w:rPr>
          <w:rFonts w:eastAsia="Calibri"/>
        </w:rPr>
        <w:t>suduodami nenustatytą skaičių smūgių civiliams, juos baugino ir terorizavo</w:t>
      </w:r>
      <w:r w:rsidRPr="00C00255">
        <w:rPr>
          <w:rFonts w:eastAsia="Calibri"/>
          <w:szCs w:val="24"/>
        </w:rPr>
        <w:t>.</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361401">
        <w:rPr>
          <w:rFonts w:eastAsia="Calibri"/>
        </w:rPr>
        <w:t>Šios karinės operacijos metu, daliai kariškių patekus į civilių saugomą pastatą pro tarnybinį įėjimą, o likusiai kariškių daliai tebesiveržiant pro centrinį įėjimą, operacijai vadovavęs V. K. 1 tyčia iš automatinio ginklo AKS-74, naudodamas tarptautinių sutarčių uždraustą karo priemonę – 5,45 mm kalibro šovinius su išcentruota kulka, iššovė seriją šūvių į Spaudos rūmus gynusį ir vandens srovę į puolančius kariškius nukreipusį Krašto apsaugos departamento darbuotoją V. L., tuo padarydamas jam sunkų sveikatos sutrikdymą</w:t>
      </w:r>
      <w:r w:rsidRPr="00C00255">
        <w:rPr>
          <w:rFonts w:eastAsia="Calibri"/>
          <w:szCs w:val="24"/>
        </w:rPr>
        <w:t>.</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361401">
        <w:rPr>
          <w:rFonts w:eastAsia="Calibri"/>
        </w:rPr>
        <w:t>Civiliams aktyviai priešinantis, vadovavimo operacijai štabas, reaguodamas į susidariusią padėtį, įsakė 76-osios oro desanto divizijos 234-ojo pulko vadui I. K. (ikiteisminis tyrimas nutrauktas mirus) ir 107-osios motorizuotų šaulių divizijos 106-ojo tankų pulko vadui N. A. pavesti pavaldiems kariškiams dalyvauti kaltinamojo V. K. 1 vadovaujamoje karo atakoje prie</w:t>
      </w:r>
      <w:r w:rsidRPr="00C00255">
        <w:rPr>
          <w:rFonts w:eastAsia="Calibri"/>
          <w:szCs w:val="24"/>
        </w:rPr>
        <w:t xml:space="preserve"> </w:t>
      </w:r>
      <w:r w:rsidRPr="00361401">
        <w:rPr>
          <w:rFonts w:eastAsia="Calibri"/>
        </w:rPr>
        <w:t>Spaudos rūmų</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361401">
        <w:rPr>
          <w:rFonts w:eastAsia="Calibri"/>
        </w:rPr>
        <w:t>Vykdydami šį I. K. įsakymą, 76-osios oro desanto divizijos 234-ojo pulko trečiojo bataliono kariškiai, vadovaujami kaltinamojo V. S. 2 ir jam pavaldžių kaltinamųjų V. D., A. G. 2, S. M., V. K. 2, E. M., ginkluoti automatiniais ginklais, atvyko prie Spaudos rūmų. Pagal operacijai vadovavusio V. K. 1 nurodymą atvykę keturi T-72 tankai ir apie 100 kariškių iš 76-osios oro desanto divizijos 234-ojo pulko trečiojo bataliono išsirikiavo priešais centrinį Spaudos rūmų įėjimą ir pagal komandą pradėjo pakartotinę Spaudos rūmų ataką bei rūmus gynusių civilių puolimą, terorizavimą bei bauginimą</w:t>
      </w:r>
      <w:r w:rsidRPr="00C00255">
        <w:rPr>
          <w:rFonts w:eastAsia="Calibri"/>
          <w:szCs w:val="24"/>
        </w:rPr>
        <w:t xml:space="preserve">. </w:t>
      </w:r>
    </w:p>
    <w:p w:rsidR="00DA38E9" w:rsidRPr="000E2C88" w:rsidRDefault="00DA38E9" w:rsidP="00DA38E9">
      <w:pPr>
        <w:pStyle w:val="ListParagraph"/>
        <w:numPr>
          <w:ilvl w:val="1"/>
          <w:numId w:val="6"/>
        </w:numPr>
        <w:spacing w:before="120" w:after="120"/>
        <w:ind w:left="993" w:hanging="993"/>
        <w:contextualSpacing w:val="0"/>
        <w:rPr>
          <w:color w:val="000000"/>
          <w:szCs w:val="24"/>
          <w:lang w:eastAsia="lt-LT" w:bidi="lt-LT"/>
        </w:rPr>
      </w:pPr>
      <w:r w:rsidRPr="000E2C88">
        <w:rPr>
          <w:rFonts w:eastAsia="Calibri"/>
        </w:rPr>
        <w:t>Prie Spaudos rūmų 76-osios oro desanto divizijos 234-ojo ir 237-ojo pulkų kariškiai, gavę operacijai vadovavusio V. K. 1 įsakymą, būdami ginkluoti ir šaudydami iš automatų AKS-74 ir AKS-74U tuščiais bei koviniais 5,45 mm kalibro šoviniais, kurių naudojimą draudžia tarptautinės sutartys bei panaudodami artimos kovos veiksmus (stumdydami, smūgiuodami kumščiais ir kojomis, suduodami ginklais nenustatytą skaičių smūgių į įvairias kūno dalis), taip baugindami bei terorizuodami, atstūmė civilius nuo Spaudos rūmų pastato ir bendrais veiksmais užgrobė Spaudos rūmus, padarydami įvairaus laipsnio kūno sužalojimus rūmus gynusiems civiliams asmenims (skundžiamo nuosprendžio 135–138 l.</w:t>
      </w:r>
      <w:r w:rsidRPr="000E2C88">
        <w:rPr>
          <w:rFonts w:eastAsia="Calibri"/>
          <w:szCs w:val="24"/>
        </w:rPr>
        <w:t>).</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Dalis jau minėtų ir įrodytomis pripažintų aplinkybių byloje nėra ginčijamos ir teisėjų kolegijai nekelia jokių abejonių, todėl jos plačiau šiame procesiniame sprendime pakartotinai nebus analizuojamos. Nustatyta, kad 1991 m. sausio 11 d. apie 12 val. TSRS GM 76-osios oro desanto divizijos 237-ojo pulko kariškių grupė atvyko prie Spaudos rūmų desanto kovinėmis mašinomis BMD, kurių borto numeriai 211, 212, 213, 221, 229 ir vadavietei skirta BMD, kurios borto numeris 601, trimis URAL automobiliais, skirtais kariškiams pervežti, bei dviem automobiliais UAZ. Išsilaipinę iš BMD bei URAL automobilių, kariškiai pasidalinę į dvi grupes į Spaudos rūmus veržėsi pro centrinį ir tarnybinį įėjimus. Taip pat teisėjų kolegijai nekyla abejonių ir dėl to, kad šie asmenys buvo ginkluoti automatais AKS-74 ir AKS-74U, kulkosvaidžiais RPK-74 ir RPKS-74, snaiperiniais ginklais SVD</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Oro desanto kariškių atvykimo prie Spaudos rūmų aplinkybės ir jų turėta ginkluotė yra įrodyta objektyviais byloje surinktais ir pirmosios instancijos teisme ištirtais įrodymais.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Iš byloje pateiktos specialisto J. Andriškevičiaus išvados matyti, kad specialistas, įvertinęs byloje esančią vaizdinę medžiagą ir kitus surinktus duomenis, konstatavo, jog</w:t>
      </w:r>
      <w:r w:rsidRPr="00C00255">
        <w:rPr>
          <w:bCs/>
          <w:iCs/>
          <w:szCs w:val="24"/>
        </w:rPr>
        <w:t xml:space="preserve"> Spaudos rūmų užėmimo užduočiai vykdyti buvo skirta apie 100 kariškių iš TSRS GM 76-osios oro desanto divizijos 237-ojo parašiutininkų desanto pulko, tačiau vėliau jau užduoties vykdymo eigoje, kai dalis kariškių, susidūrusių su civilių pasipriešinimu, buvo atskirta ir liko Spaudos rūmų prieigose, o tolesnė operacijos eiga įstrigo, operacijos vadovavimo štabe buvo priimtas sprendimas sustiprinti Spaudos rūmų užėmimo prieigas ir prie TSRS GM Pskovo 76-osios oro desanto divizijos 237-ojo parašiutininkų desanto pulko prisijungė dar iki 100 kariškių dydžio oro desanto divizijos padalinys iš 234-ojo parašiutininkų desanto pulko 3-iojo parašiutų desanto bataliono ir TSRS GM 107-osios motorizuotų šaulių divizijos 106-ojo tankų pulko kariškiai. Specialistas taip pat nurodė, kad visai Spaudos rūmų užėmimo operacijai vadovavo TSRS GM Pskovo 76-osios oro desanto divizijos vado pavaduotojas pulkininkas </w:t>
      </w:r>
      <w:r>
        <w:rPr>
          <w:bCs/>
          <w:iCs/>
          <w:szCs w:val="24"/>
        </w:rPr>
        <w:t>V. K. 1</w:t>
      </w:r>
      <w:r w:rsidRPr="00C00255">
        <w:rPr>
          <w:bCs/>
          <w:iCs/>
          <w:szCs w:val="24"/>
        </w:rPr>
        <w:t xml:space="preserve"> (t. 480, b. l. 46–50). Pateiktą išvadą specialistas patvirtino duodamas paaiškinimus pirmosios instancijos teisme. Specialisto išvadoje nurodytus duomenis patvirtina ir </w:t>
      </w:r>
      <w:r w:rsidRPr="00C00255">
        <w:rPr>
          <w:szCs w:val="24"/>
          <w:lang w:eastAsia="lt-LT"/>
        </w:rPr>
        <w:t>vaizdinė medžiaga, rašytiniai duomenys, kiti byloje esantys objektyvūs duomenys.</w:t>
      </w:r>
    </w:p>
    <w:p w:rsidR="00DA38E9" w:rsidRPr="00C00255" w:rsidRDefault="00DA38E9" w:rsidP="00DA38E9">
      <w:pPr>
        <w:pStyle w:val="Heading4"/>
        <w:spacing w:before="120" w:after="120"/>
        <w:ind w:left="992"/>
        <w:rPr>
          <w:rFonts w:ascii="Times New Roman" w:hAnsi="Times New Roman"/>
          <w:b w:val="0"/>
          <w:i/>
          <w:sz w:val="24"/>
          <w:szCs w:val="24"/>
          <w:lang w:bidi="lt-LT"/>
        </w:rPr>
      </w:pPr>
      <w:r w:rsidRPr="00C00255">
        <w:rPr>
          <w:rFonts w:ascii="Times New Roman" w:hAnsi="Times New Roman"/>
          <w:b w:val="0"/>
          <w:i/>
          <w:sz w:val="24"/>
          <w:szCs w:val="24"/>
        </w:rPr>
        <w:t xml:space="preserve">Dėl nuteistojo </w:t>
      </w:r>
      <w:r>
        <w:rPr>
          <w:rFonts w:ascii="Times New Roman" w:hAnsi="Times New Roman"/>
          <w:b w:val="0"/>
          <w:i/>
          <w:sz w:val="24"/>
          <w:szCs w:val="24"/>
        </w:rPr>
        <w:t>V. K. 1</w:t>
      </w:r>
      <w:r w:rsidRPr="00C00255">
        <w:rPr>
          <w:rFonts w:ascii="Times New Roman" w:hAnsi="Times New Roman"/>
          <w:b w:val="0"/>
          <w:i/>
          <w:sz w:val="24"/>
          <w:szCs w:val="24"/>
        </w:rPr>
        <w:t xml:space="preserve"> dalyvavimo užimant Spaudos rūmus</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 xml:space="preserve">Teisėjų kolegija sutinka su pirmosios instancijos teismo išvada, kad TSRS GM Pskovo 76-osios oro desanto divizijos vado pavaduotojas </w:t>
      </w:r>
      <w:r w:rsidRPr="000E2C88">
        <w:rPr>
          <w:color w:val="000000" w:themeColor="text1"/>
          <w:szCs w:val="24"/>
          <w:lang w:eastAsia="lt-LT"/>
        </w:rPr>
        <w:t xml:space="preserve">pulkininkas </w:t>
      </w:r>
      <w:r w:rsidRPr="000E2C88">
        <w:rPr>
          <w:szCs w:val="24"/>
          <w:lang w:eastAsia="lt-LT"/>
        </w:rPr>
        <w:t>V. K. 1 vadovavo operacijai užimant Spaudos rūmus, koordinavo TSRS GM 76-osios oro desanto divizijos ir TSRS GM 107-osios motorizuotų šaulių divizijos kariškių veiksmus bei pats tiesiogiai dalyvavo šiame šturme ir iš automato AKS-74 iššauta 5,45 mm kalibro</w:t>
      </w:r>
      <w:r w:rsidRPr="000E2C88">
        <w:rPr>
          <w:rFonts w:eastAsia="Calibri"/>
          <w:szCs w:val="24"/>
        </w:rPr>
        <w:t xml:space="preserve"> išcentruota</w:t>
      </w:r>
      <w:r w:rsidRPr="000E2C88">
        <w:rPr>
          <w:szCs w:val="24"/>
          <w:lang w:eastAsia="lt-LT"/>
        </w:rPr>
        <w:t xml:space="preserve"> kulka sunkiai sužalojo V. L.. Šios išvados yra pagrįstos byloje surinktais bei ištirtais įrodymais ir yra teisingos.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Sprendžiant dėl </w:t>
      </w:r>
      <w:r>
        <w:rPr>
          <w:szCs w:val="24"/>
          <w:lang w:eastAsia="lt-LT"/>
        </w:rPr>
        <w:t>V. K. 1</w:t>
      </w:r>
      <w:r w:rsidRPr="00C00255">
        <w:rPr>
          <w:szCs w:val="24"/>
          <w:lang w:eastAsia="lt-LT"/>
        </w:rPr>
        <w:t xml:space="preserve"> gynėjos apeliacinio skundo argumentų pagrįstumo, pirmiausia, pažymėtina, jog </w:t>
      </w:r>
      <w:r>
        <w:rPr>
          <w:szCs w:val="24"/>
          <w:lang w:eastAsia="lt-LT"/>
        </w:rPr>
        <w:t>V. K. 1</w:t>
      </w:r>
      <w:r w:rsidRPr="00C00255">
        <w:rPr>
          <w:szCs w:val="24"/>
          <w:lang w:eastAsia="lt-LT"/>
        </w:rPr>
        <w:t xml:space="preserve"> gynėja apeliaciniu skundu iš esmės neginčija jos ginamajam inkriminuojamo vadovavimo aptariamai operacijai. Apygardos teismas tokią išvadą grindė kitų nuteistųjų, liudytojų </w:t>
      </w:r>
      <w:r>
        <w:rPr>
          <w:szCs w:val="24"/>
          <w:lang w:eastAsia="lt-LT"/>
        </w:rPr>
        <w:t>V. G.</w:t>
      </w:r>
      <w:r w:rsidRPr="00C00255">
        <w:rPr>
          <w:szCs w:val="24"/>
          <w:lang w:eastAsia="lt-LT"/>
        </w:rPr>
        <w:t xml:space="preserve">, </w:t>
      </w:r>
      <w:r>
        <w:rPr>
          <w:szCs w:val="24"/>
          <w:lang w:eastAsia="lt-LT"/>
        </w:rPr>
        <w:t>V. B.</w:t>
      </w:r>
      <w:r w:rsidRPr="00C00255">
        <w:rPr>
          <w:szCs w:val="24"/>
          <w:lang w:eastAsia="lt-LT"/>
        </w:rPr>
        <w:t xml:space="preserve"> parodymais, vaizdo ir foto medžiaga, iš kurios </w:t>
      </w:r>
      <w:r>
        <w:rPr>
          <w:szCs w:val="24"/>
          <w:lang w:eastAsia="lt-LT"/>
        </w:rPr>
        <w:t>V. K. 1</w:t>
      </w:r>
      <w:r w:rsidRPr="00C00255">
        <w:rPr>
          <w:szCs w:val="24"/>
          <w:lang w:eastAsia="lt-LT"/>
        </w:rPr>
        <w:t xml:space="preserve"> atpažino nukentėjusysis </w:t>
      </w:r>
      <w:r>
        <w:rPr>
          <w:szCs w:val="24"/>
          <w:lang w:eastAsia="lt-LT"/>
        </w:rPr>
        <w:t>V. L.</w:t>
      </w:r>
      <w:r w:rsidRPr="00C00255">
        <w:rPr>
          <w:szCs w:val="24"/>
          <w:lang w:eastAsia="lt-LT"/>
        </w:rPr>
        <w:t xml:space="preserve"> ir liudytojas </w:t>
      </w:r>
      <w:r>
        <w:rPr>
          <w:szCs w:val="24"/>
          <w:lang w:eastAsia="lt-LT"/>
        </w:rPr>
        <w:t>R. L.</w:t>
      </w:r>
      <w:r w:rsidRPr="00C00255">
        <w:rPr>
          <w:szCs w:val="24"/>
          <w:lang w:eastAsia="lt-LT"/>
        </w:rPr>
        <w:t xml:space="preserve">. Teisėjų kolegija savo ruožtu pažymi, kad </w:t>
      </w:r>
      <w:r>
        <w:rPr>
          <w:szCs w:val="24"/>
          <w:lang w:eastAsia="lt-LT"/>
        </w:rPr>
        <w:t>V. K. 1</w:t>
      </w:r>
      <w:r w:rsidRPr="00C00255">
        <w:rPr>
          <w:szCs w:val="24"/>
          <w:lang w:eastAsia="lt-LT"/>
        </w:rPr>
        <w:t xml:space="preserve"> vadovavimo prie Spaudos rūmų aplinkybė konstatuota ir 2014 m. birželio 10 d. specialisto išvada (t. 480, b. l. </w:t>
      </w:r>
      <w:r w:rsidRPr="00C00255">
        <w:t>50</w:t>
      </w:r>
      <w:r w:rsidRPr="00C00255">
        <w:rPr>
          <w:szCs w:val="24"/>
          <w:lang w:eastAsia="lt-LT"/>
        </w:rPr>
        <w:t xml:space="preserve">). Be to, įvykių prie Spaudos rūmų metu </w:t>
      </w:r>
      <w:r>
        <w:rPr>
          <w:szCs w:val="24"/>
          <w:lang w:eastAsia="lt-LT"/>
        </w:rPr>
        <w:t>V. K. 1</w:t>
      </w:r>
      <w:r w:rsidRPr="00C00255">
        <w:rPr>
          <w:szCs w:val="24"/>
          <w:lang w:eastAsia="lt-LT"/>
        </w:rPr>
        <w:t xml:space="preserve"> buvo aukščiausio rango kariškis, kuris, kaip jau minėta, dalyvavo ir rengiant visą karinę operaciją bei turėjo koordinuoti bendrus visų operacijoje užimant ir kitus objektus dalyvavusių skirtingų TSRS GM, VSK ir VRM pajėgų veiksmus, o tai taip pat patvirtina apie jo vadovaujamą poziciją Spaudos rūmų puolimo metu.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Konkrečius </w:t>
      </w:r>
      <w:r>
        <w:rPr>
          <w:color w:val="000000"/>
          <w:szCs w:val="24"/>
          <w:lang w:eastAsia="lt-LT" w:bidi="lt-LT"/>
        </w:rPr>
        <w:t>V. K. 1</w:t>
      </w:r>
      <w:r w:rsidRPr="00C00255">
        <w:rPr>
          <w:color w:val="000000"/>
          <w:szCs w:val="24"/>
          <w:lang w:eastAsia="lt-LT" w:bidi="lt-LT"/>
        </w:rPr>
        <w:t xml:space="preserve"> veiksmus vadovaujant operacijai atskleidžia teisiamajame posėdyje apklaustų liudytojų ir nukentėjusiųjų parodymai apie aukšto rango karininką, šaudžiusį prie Spaudos rūmų ir įsakinėjusį kitiems kariškiams.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color w:val="000000"/>
          <w:szCs w:val="24"/>
          <w:lang w:eastAsia="lt-LT" w:bidi="lt-LT"/>
        </w:rPr>
        <w:t xml:space="preserve">Kaip minėta, </w:t>
      </w:r>
      <w:r>
        <w:rPr>
          <w:szCs w:val="24"/>
          <w:lang w:eastAsia="lt-LT"/>
        </w:rPr>
        <w:t>V. K. 1</w:t>
      </w:r>
      <w:r w:rsidRPr="00C00255">
        <w:rPr>
          <w:szCs w:val="24"/>
          <w:lang w:eastAsia="lt-LT"/>
        </w:rPr>
        <w:t xml:space="preserve">, kaip buvusį jo pulko vadą ir asmenį prie Spaudos rūmų šovusį į žmogų, atpažino ir įvardijo liudytojas </w:t>
      </w:r>
      <w:r>
        <w:rPr>
          <w:szCs w:val="24"/>
          <w:lang w:eastAsia="lt-LT"/>
        </w:rPr>
        <w:t>R. L.</w:t>
      </w:r>
      <w:r w:rsidRPr="00C00255">
        <w:rPr>
          <w:szCs w:val="24"/>
          <w:lang w:eastAsia="lt-LT"/>
        </w:rPr>
        <w:t xml:space="preserve"> (t. 470, b. l. 2–8, t. 758, b. l. 40–41).</w:t>
      </w:r>
    </w:p>
    <w:p w:rsidR="00DA38E9" w:rsidRPr="000E2C88" w:rsidRDefault="00DA38E9" w:rsidP="00DA38E9">
      <w:pPr>
        <w:pStyle w:val="ListParagraph"/>
        <w:numPr>
          <w:ilvl w:val="1"/>
          <w:numId w:val="6"/>
        </w:numPr>
        <w:spacing w:before="120" w:after="120"/>
        <w:ind w:left="993" w:hanging="993"/>
        <w:contextualSpacing w:val="0"/>
        <w:rPr>
          <w:color w:val="000000"/>
          <w:szCs w:val="24"/>
          <w:lang w:eastAsia="lt-LT" w:bidi="lt-LT"/>
        </w:rPr>
      </w:pPr>
      <w:r w:rsidRPr="000E2C88">
        <w:rPr>
          <w:color w:val="000000"/>
          <w:szCs w:val="24"/>
          <w:lang w:eastAsia="lt-LT" w:bidi="lt-LT"/>
        </w:rPr>
        <w:t xml:space="preserve">Nukentėjusysis V. L. teisiamajame posėdyje parodė, kad 1991 m. sausio 11 d. kariškiams apsupus Spaudos rūmus, jis nubėgo ant pastato stogelio, kur buvo priešgaisrinės žarnos. Matė kaip </w:t>
      </w:r>
      <w:r w:rsidRPr="000E2C88">
        <w:rPr>
          <w:color w:val="000000"/>
        </w:rPr>
        <w:t xml:space="preserve">kariškis automatu puolė žmones, todėl pradėjo pilti ant jo vandenį. Nurodė, kad turi šio kariškio nuotrauką, jį matė ir įvykio vietoje – tai </w:t>
      </w:r>
      <w:r w:rsidRPr="000E2C88">
        <w:rPr>
          <w:color w:val="000000" w:themeColor="text1"/>
        </w:rPr>
        <w:t>papulkininkis K. 1. Kai vandens srovę nukreipė į tą papulkininkį, pastarojo pirmasis š</w:t>
      </w:r>
      <w:r w:rsidRPr="000E2C88">
        <w:rPr>
          <w:color w:val="000000"/>
        </w:rPr>
        <w:t>ūvis skriejo į jį. Kulka jam praėjo per galvą. Buvo šūvių serija, nes ant sienos buvo žymės. Jis peržiūrėjo vaizdo įrašą – matė, kaip tas kariškis paėmė automatą ir į jį šovė (t. </w:t>
      </w:r>
      <w:r w:rsidRPr="000E2C88">
        <w:rPr>
          <w:color w:val="000000"/>
          <w:szCs w:val="24"/>
        </w:rPr>
        <w:t xml:space="preserve">758, b. l. 26–27).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Nukentėjusysis J. K</w:t>
      </w:r>
      <w:r>
        <w:rPr>
          <w:szCs w:val="24"/>
          <w:lang w:eastAsia="lt-LT"/>
        </w:rPr>
        <w:t>.</w:t>
      </w:r>
      <w:r w:rsidRPr="00C00255">
        <w:rPr>
          <w:szCs w:val="24"/>
          <w:lang w:eastAsia="lt-LT"/>
        </w:rPr>
        <w:t xml:space="preserve"> </w:t>
      </w:r>
      <w:r w:rsidRPr="00C00255">
        <w:rPr>
          <w:color w:val="000000"/>
          <w:szCs w:val="24"/>
        </w:rPr>
        <w:t xml:space="preserve">teisiamajame posėdyje, be kita ko, nurodė, kad po kariškių apliejimo vandeniu aukšto rango kariškis davė įsakymą šaudyti į Spaudos rūmų pastatą, o vėliau pats iššovė automatu ten, kur buvo stogelis – </w:t>
      </w:r>
      <w:r w:rsidRPr="00C00255">
        <w:rPr>
          <w:szCs w:val="24"/>
          <w:lang w:eastAsia="lt-LT"/>
        </w:rPr>
        <w:t>jis taikėsi į žmogų, kuris buvo ant pastato (stogelio) viršaus, o praėjus kelioms minutėms po šūvių iš pastato buvo išvestas sužeistas jaunuolis. Nukentėjusysis taip pat parodė, kad šoviniai buvo koviniai, nes nuo šūvių į pastatą byrėjo tinkas (</w:t>
      </w:r>
      <w:r w:rsidRPr="00C00255">
        <w:rPr>
          <w:color w:val="000000"/>
          <w:szCs w:val="24"/>
        </w:rPr>
        <w:t>t. 757, b. l. 204–205). Aplinkybes apie byrantį tinką nuo Spaudos rūmų pastato teisiamajame posėdyje patvirtino nukentėjusioji D. L</w:t>
      </w:r>
      <w:r>
        <w:rPr>
          <w:color w:val="000000"/>
          <w:szCs w:val="24"/>
        </w:rPr>
        <w:t>.</w:t>
      </w:r>
      <w:r w:rsidRPr="00C00255">
        <w:rPr>
          <w:color w:val="000000"/>
          <w:szCs w:val="24"/>
        </w:rPr>
        <w:t xml:space="preserve"> (</w:t>
      </w:r>
      <w:r w:rsidRPr="00C00255">
        <w:rPr>
          <w:bCs/>
          <w:szCs w:val="24"/>
        </w:rPr>
        <w:t>t. 757, b. l. 201–202), o apie iššautų šūvių seriją – ir nukentėjusysis A. R</w:t>
      </w:r>
      <w:r>
        <w:rPr>
          <w:bCs/>
          <w:szCs w:val="24"/>
        </w:rPr>
        <w:t>.</w:t>
      </w:r>
      <w:r w:rsidRPr="00C00255">
        <w:rPr>
          <w:bCs/>
          <w:szCs w:val="24"/>
        </w:rPr>
        <w:t xml:space="preserve"> (</w:t>
      </w:r>
      <w:r w:rsidRPr="00C00255">
        <w:rPr>
          <w:color w:val="000000"/>
        </w:rPr>
        <w:t xml:space="preserve">t. 758, b. l. 14–15).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color w:val="000000"/>
        </w:rPr>
        <w:t>Nukentėjusysis A. R</w:t>
      </w:r>
      <w:r>
        <w:rPr>
          <w:color w:val="000000"/>
        </w:rPr>
        <w:t>.</w:t>
      </w:r>
      <w:r w:rsidRPr="00C00255">
        <w:rPr>
          <w:color w:val="000000"/>
        </w:rPr>
        <w:t xml:space="preserve"> </w:t>
      </w:r>
      <w:r w:rsidRPr="00C00255">
        <w:rPr>
          <w:color w:val="000000"/>
          <w:szCs w:val="24"/>
        </w:rPr>
        <w:t>teisiamajame posėdyje</w:t>
      </w:r>
      <w:r w:rsidRPr="00C00255">
        <w:rPr>
          <w:color w:val="000000"/>
        </w:rPr>
        <w:t xml:space="preserve"> parodė, kad kulkų seriją iš automato paleido aukštesnio rango karininkas, kuris išrikiavo visą savo kareivių komandą, stovėjo šalia jų, o kareiviai laukė jo komandos pulti (t. 758, b. l. 14–15)</w:t>
      </w:r>
      <w:r w:rsidRPr="00C00255">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color w:val="000000"/>
          <w:szCs w:val="24"/>
        </w:rPr>
        <w:t>Nukentėjusysis A. M</w:t>
      </w:r>
      <w:r>
        <w:rPr>
          <w:color w:val="000000"/>
          <w:szCs w:val="24"/>
        </w:rPr>
        <w:t>.</w:t>
      </w:r>
      <w:r w:rsidRPr="00C00255">
        <w:rPr>
          <w:color w:val="000000"/>
          <w:szCs w:val="24"/>
        </w:rPr>
        <w:t xml:space="preserve"> teisiamajame posėdyje taip pat nurodė, kad automatu prie Spaudos rūmų šaudęs karininkas</w:t>
      </w:r>
      <w:r w:rsidRPr="00C00255">
        <w:rPr>
          <w:color w:val="000000"/>
        </w:rPr>
        <w:t xml:space="preserve"> davė nurodymus kitiems kareiviams, kurie rikiavosi; jis kažką organizavo (t. 758, b. l. 11–12).</w:t>
      </w:r>
    </w:p>
    <w:p w:rsidR="00DA38E9" w:rsidRPr="00C00255" w:rsidRDefault="00DA38E9" w:rsidP="00DA38E9">
      <w:pPr>
        <w:pStyle w:val="ListParagraph"/>
        <w:numPr>
          <w:ilvl w:val="0"/>
          <w:numId w:val="6"/>
        </w:numPr>
        <w:spacing w:before="120" w:after="120"/>
        <w:ind w:left="993" w:hanging="993"/>
        <w:contextualSpacing w:val="0"/>
        <w:rPr>
          <w:lang w:eastAsia="lt-LT" w:bidi="lt-LT"/>
        </w:rPr>
      </w:pPr>
      <w:r w:rsidRPr="00C00255">
        <w:rPr>
          <w:szCs w:val="24"/>
          <w:lang w:eastAsia="lt-LT"/>
        </w:rPr>
        <w:t xml:space="preserve">Visi šie duomenys, teisėjų kolegijos vertinimu, patvirtina, kad prie Spaudos rūmų šaudęs aukšto rango karininkas buvo </w:t>
      </w:r>
      <w:r>
        <w:rPr>
          <w:szCs w:val="24"/>
          <w:lang w:eastAsia="lt-LT"/>
        </w:rPr>
        <w:t>V. K. 1</w:t>
      </w:r>
      <w:r w:rsidRPr="00C00255">
        <w:rPr>
          <w:szCs w:val="24"/>
          <w:lang w:eastAsia="lt-LT"/>
        </w:rPr>
        <w:t xml:space="preserve">. Jis, kaip operacijos vadovas-koordinatorius, kareiviams davė įsakymus dėl rikiuotės ir ginklų panaudojimo, vykdant operaciją buvo vadovaujamasi jo įsakymais ir ten buvę kariškiai jam buvo pavaldūs. Be to, </w:t>
      </w:r>
      <w:r>
        <w:rPr>
          <w:szCs w:val="24"/>
          <w:lang w:eastAsia="lt-LT"/>
        </w:rPr>
        <w:t>V. K. 1</w:t>
      </w:r>
      <w:r w:rsidRPr="00C00255">
        <w:rPr>
          <w:szCs w:val="24"/>
          <w:lang w:eastAsia="lt-LT"/>
        </w:rPr>
        <w:t xml:space="preserve"> pats priėmė sprendimą šaudyti, kai buvo pradėtas pilti vanduo, o tai rodo jo išskirtinius ir savarankiškus įgaliojimus Spaudos rūmų užėmimo operacijoje bei paneigia apeliaciniame skunde gynybos keltą versiją, kad nukentėjusiojo </w:t>
      </w:r>
      <w:r>
        <w:rPr>
          <w:szCs w:val="24"/>
          <w:lang w:eastAsia="lt-LT"/>
        </w:rPr>
        <w:t>V. L.</w:t>
      </w:r>
      <w:r w:rsidRPr="00C00255">
        <w:rPr>
          <w:szCs w:val="24"/>
          <w:lang w:eastAsia="lt-LT"/>
        </w:rPr>
        <w:t xml:space="preserve"> sužalojimas buvo nelaimingas atsitikimas. </w:t>
      </w:r>
      <w:r>
        <w:t>V. K. 1</w:t>
      </w:r>
      <w:r w:rsidRPr="00C00255">
        <w:t xml:space="preserve"> šūviai iš šaunamojo ginklo į Spaudos rūmų pastato stogelį ir ten buvusį nukentėjusįjį </w:t>
      </w:r>
      <w:r>
        <w:t>V. L.</w:t>
      </w:r>
      <w:r w:rsidRPr="00C00255">
        <w:t xml:space="preserve"> buvo atsakas į kariškių apliejimą vandeniu. Kitaip tariant, </w:t>
      </w:r>
      <w:r>
        <w:t>V. K. 1</w:t>
      </w:r>
      <w:r w:rsidRPr="00C00255">
        <w:t xml:space="preserve"> veikimas buvo apgalvotas ir tikslingas, o ne atsitiktinis. Turint omenyje duomenis apie nuo pastato dėl šūvių byrėjusį tinką ir nukentėjusiajam </w:t>
      </w:r>
      <w:r>
        <w:t>V. L.</w:t>
      </w:r>
      <w:r w:rsidRPr="00C00255">
        <w:t xml:space="preserve"> padarytus sužalojimus, akivaizdu, kad </w:t>
      </w:r>
      <w:r>
        <w:t>V. K. 1</w:t>
      </w:r>
      <w:r w:rsidRPr="00C00255">
        <w:t xml:space="preserve"> panaudojo ne tuščius, o kovinius šovinius. Be to, </w:t>
      </w:r>
      <w:r>
        <w:t>V. K. 1</w:t>
      </w:r>
      <w:r w:rsidRPr="00C00255">
        <w:t xml:space="preserve"> iššovė ne pavienį šūvį, tačiau visą jų seriją, nukreiptą į ten, iš kur vandenį liejo </w:t>
      </w:r>
      <w:r>
        <w:t>V. L.</w:t>
      </w:r>
      <w:r w:rsidRPr="00C00255">
        <w:t xml:space="preserve">. Tokių </w:t>
      </w:r>
      <w:r>
        <w:t>V. K. 1</w:t>
      </w:r>
      <w:r w:rsidRPr="00C00255">
        <w:t xml:space="preserve"> veiksmų kontekste teiginiai apie galimus aukštesnių vadų įsakymus veikti tik siekiant atstumti civilius, o ne juos sužaloti, neturi reikšmės. </w:t>
      </w:r>
      <w:r>
        <w:t>V. K. 1</w:t>
      </w:r>
      <w:r w:rsidRPr="00C00255">
        <w:t xml:space="preserve"> įsakymai panaudoti šaunamąjį ginklą ir faktinis kovinių šovinių panaudojimas aiškiai liudija apie tai, kad prie Spaudos rūmų buvo imtasi priemonių, kurios akivaizdžiai peržengė tikslo – tik atstumti civilius nuo pastato, ribas. </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color w:val="000000"/>
          <w:szCs w:val="24"/>
        </w:rPr>
        <w:t xml:space="preserve">Teisėjų kolegijai nekyla abejonių ir dėl to, kad V. K. 1 šaudė į V. L. 5,45 mm kalibro šoviniais su išcentruota kulka. Pažymėtina, kad V. K. 1 gynėja šių aplinkybių iš esmės neginčija (ji remiasi tik šiame procesiniame sprendime jau paneigta nelaimingo atsitikimo aplinkybe). 2014 m. birželio 10 d. specialisto išvadoje konstatuota, kad prie Spaudos rūmų </w:t>
      </w:r>
      <w:r w:rsidRPr="000E2C88">
        <w:rPr>
          <w:szCs w:val="24"/>
          <w:lang w:eastAsia="lt-LT"/>
        </w:rPr>
        <w:t xml:space="preserve">TSRS GM Pskovo 76-osios oro desanto divizijos kariškiai, be kita ko, </w:t>
      </w:r>
      <w:r w:rsidRPr="000E2C88">
        <w:rPr>
          <w:color w:val="000000"/>
          <w:szCs w:val="24"/>
        </w:rPr>
        <w:t xml:space="preserve">buvo ginkluoti 5,45 mm kalibro automatais AKS-74, AKS-74U, kulkosvaidžiais RPKS-74 bei panaudojo 5,45 mm kalibro šovinius (t. 480, b. l. 51–52). Liudytojas Lietuvos kariuomenės karininkas majoras G. J. teisiamajame posėdyje patvirtino dar ikiteisminio tyrimo metu duotus parodymus apie prie Spaudos rūmų matytus kariškius, kurių didžioji dauguma buvo ginkluoti 5,45 mm kalibro AKS-74 automatais (t. 760, b. l. 7–9; t. 470, b. l. 130–131). Taigi dėl V. K. 1 į V. L. iššautų šovinių kalibro abejonių nekyla. Išvadą, kad minėti šoviniai buvo su išcentruota kulka, patvirtina ir teismo medicinos ekspertizės aktas dėl V. L. patirtų sužalojimų. Ekspertizės akte Nr. 454, be kita ko, nurodyta, kad V. L. kairiajame skruoste yra padaryta šautinė-plėštinė žaizda nelygiais kraštais. Taip pat šiuo dokumentu V. L. konstatuota 0,5x2 cm dydžio įėjimo žaizda ir 4x4,5 cm dydžio išėjimo žaizda, apibūdinama kaip plėštinė su įžvelgiamais odos defektais (t. 42, b. l. 6–7). Šių V. L. patirtų sužalojimų vertinimui </w:t>
      </w:r>
      <w:r w:rsidRPr="000E2C88">
        <w:rPr>
          <w:szCs w:val="24"/>
        </w:rPr>
        <w:t>svarbūs ir dar ikiteisminio tyrimo metu</w:t>
      </w:r>
      <w:r w:rsidRPr="000E2C88">
        <w:rPr>
          <w:color w:val="FF0000"/>
          <w:szCs w:val="24"/>
        </w:rPr>
        <w:t xml:space="preserve"> </w:t>
      </w:r>
      <w:r w:rsidRPr="000E2C88">
        <w:rPr>
          <w:color w:val="000000"/>
          <w:szCs w:val="24"/>
        </w:rPr>
        <w:t xml:space="preserve">apklausto specialisto A. Garlos parodymai. Specialistas A. Garla nurodė, kad </w:t>
      </w:r>
      <w:r w:rsidRPr="000E2C88">
        <w:rPr>
          <w:szCs w:val="24"/>
        </w:rPr>
        <w:t xml:space="preserve">viešojoje erdvėje 5,45 mm šoviniai, kurių kulka susidūrusi su kliūtimi keičia savo kryptį, vadinami šoviniais su „išcentrine“ kulka, tačiau oficialiai toks pavadinimas jiems nėra suteiktas; tokios kulkos uždraustos dėl savo žalojančio poveikio žmogui. Anot specialisto, kulkos, kurių kalibras 5,45 mm, yra labai pavojingos, nes jų išėjimo anga visada būna didesnė nei įėjimo, o žaizda dažniausiai būna plėštinė (t. 481, b. l. 60–62). Taigi ekspertizės aktą įvertinus kitų byloje surinktų duomenų kontekste akivaizdu, kad V. K. 1 prieš V. L. panaudojo 5,45 mm kalibro šovinius su išcentruota kulka – šiam asmeniui prie Spaudos rūmų kulka padaryti sužalojimai pagal savo pobūdį yra iš esmės identiški tiems, kurie padaromi išcentrinėmis kulkomis. </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rPr>
        <w:t>Atsižvelgdama į tai, teisėjų kolegija konstatuoja, kad pirmosios instancijos teismo išvados dėl V. K. 1 vaidmens ir faktiškai atliktų veiksmų prie Spaudos rūmų yra pagrįstos byloje ištirtais įrodymais ir pasitvirtino visa apimtimi.</w:t>
      </w:r>
    </w:p>
    <w:p w:rsidR="00DA38E9" w:rsidRPr="00C00255" w:rsidRDefault="00DA38E9" w:rsidP="00DA38E9">
      <w:pPr>
        <w:pStyle w:val="Heading4"/>
        <w:spacing w:before="120" w:after="120"/>
        <w:ind w:firstLine="992"/>
        <w:rPr>
          <w:rFonts w:ascii="Times New Roman" w:hAnsi="Times New Roman"/>
          <w:b w:val="0"/>
          <w:i/>
          <w:sz w:val="24"/>
          <w:szCs w:val="24"/>
          <w:lang w:bidi="lt-LT"/>
        </w:rPr>
      </w:pPr>
      <w:r w:rsidRPr="00C00255">
        <w:rPr>
          <w:rFonts w:ascii="Times New Roman" w:hAnsi="Times New Roman"/>
          <w:b w:val="0"/>
          <w:i/>
          <w:sz w:val="24"/>
          <w:szCs w:val="24"/>
          <w:lang w:bidi="lt-LT"/>
        </w:rPr>
        <w:t xml:space="preserve">Dėl nuteistojo </w:t>
      </w:r>
      <w:r>
        <w:rPr>
          <w:rFonts w:ascii="Times New Roman" w:hAnsi="Times New Roman"/>
          <w:b w:val="0"/>
          <w:i/>
          <w:sz w:val="24"/>
          <w:szCs w:val="24"/>
          <w:lang w:bidi="lt-LT"/>
        </w:rPr>
        <w:t>V. S. 2</w:t>
      </w:r>
      <w:r w:rsidRPr="00C00255">
        <w:rPr>
          <w:rFonts w:ascii="Times New Roman" w:hAnsi="Times New Roman"/>
          <w:b w:val="0"/>
          <w:i/>
          <w:sz w:val="24"/>
          <w:szCs w:val="24"/>
          <w:lang w:bidi="lt-LT"/>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Teisėjų kolegija laiko pagrįsta ir apygardos teismo išvadą, kad TSRS GM Pskovo 76-osios oro desanto divizijos 234-ojo pulko 3-iojo bataliono vadas majoras V. S. 2 su šio bataliono kariškiais trimis automobiliais „URAL“ atvyko prie Spaudos rūmų ir vadovavo jiems šį objektą šturmuojant. Apygardos teismas tokią išvadą grindė paties nuteistojo V. S. 2 parodymais, nuteistųjų, kurie operacijos metu buvo pavaldūs V. S. 2 – V. D., A. G. 2, S. M., V. K. 2, E. M.</w:t>
      </w:r>
      <w:r w:rsidRPr="000E2C88">
        <w:rPr>
          <w:rFonts w:eastAsia="Microsoft JhengHei"/>
          <w:szCs w:val="24"/>
          <w:lang w:eastAsia="lt-LT"/>
        </w:rPr>
        <w:t xml:space="preserve"> </w:t>
      </w:r>
      <w:r w:rsidRPr="000E2C88">
        <w:rPr>
          <w:szCs w:val="24"/>
          <w:lang w:eastAsia="lt-LT"/>
        </w:rPr>
        <w:t>parodymais, taip pat kitų kariškių, kurie dalyvavo užimant Spaudos rūmus – liudytojų A. C., I. R., V. G., D. J., Š. B., M. N. ir kitų parodymais. Teisėjų kolegijos įsitikinimu, pirmosios instancijos teismo išvadą dėl V. S. 2 dalyvavimo šturmuojant Spaudos rūmus patvirtina BPK 20 straipsnio reikalavimus atitinkantys bylos duomenys.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Pirmiausia, aplinkybę, kad bataliono, kurio vadu aptariamų įvykių metu buvo </w:t>
      </w:r>
      <w:r>
        <w:rPr>
          <w:szCs w:val="24"/>
          <w:lang w:eastAsia="lt-LT"/>
        </w:rPr>
        <w:t>V. S. 2</w:t>
      </w:r>
      <w:r w:rsidRPr="00C00255">
        <w:rPr>
          <w:szCs w:val="24"/>
          <w:lang w:eastAsia="lt-LT"/>
        </w:rPr>
        <w:t xml:space="preserve">, kariai trimis „URAL“ automobiliais 1991 m. sausio 11 d. popietę atvyko prie Spaudos rūmų ir dalyvavo jų užėmime, patvirtina byloje esanti vaizdo medžiaga. Kompaktiniame diske pavadinimu „Sausio 13-oji. </w:t>
      </w:r>
      <w:r w:rsidRPr="00C00255">
        <w:rPr>
          <w:i/>
          <w:szCs w:val="24"/>
          <w:lang w:eastAsia="lt-LT"/>
        </w:rPr>
        <w:t>In memoriam</w:t>
      </w:r>
      <w:r w:rsidRPr="00C00255">
        <w:rPr>
          <w:szCs w:val="24"/>
          <w:lang w:eastAsia="lt-LT"/>
        </w:rPr>
        <w:t xml:space="preserve">“ esančio pirmojo vaizdo įrašo pradžioje užfiksuota, kaip kariniai automobiliai juda Spaudos rūmų link, o vėliau – kaip iš karinių automobilių išlipa ir rikiuojasi kariškiai. Sprendžiant konkrečiai dėl </w:t>
      </w:r>
      <w:r>
        <w:rPr>
          <w:szCs w:val="24"/>
          <w:lang w:eastAsia="lt-LT"/>
        </w:rPr>
        <w:t>V. S. 2</w:t>
      </w:r>
      <w:r w:rsidRPr="00C00255">
        <w:rPr>
          <w:szCs w:val="24"/>
          <w:lang w:eastAsia="lt-LT"/>
        </w:rPr>
        <w:t xml:space="preserve"> bataliono vaidmens šio pastato šturme, svarbūs tolesni įraše fiksuoti kadrai. Įraše nuo 11 min. 3 sek. matyti prie Spaudos rūmų gatvėje stovintys 3 kariniai sunkvežimiai ir netoli jų ant vejos – tankai (t. 493, b. l. 123). Kompaktiniame diske Nr. 43, ant kurio yra ir užrašas „1991.01.11 prie Spaudos rūmų“, esančiame antrame vaizdo įraše nuo 3 min. 33 sek. iki 4 min. matyti šalia Spaudos rūmų stovintys tie patys trys kariniai sunkvežimiai ir prie jų jau išsirikiavę kariškiai, ginkluoti automatiniais ginklais (t. 507, b. l. 45). Pažymėtina, kad dar tyrimo metu apklaustas specialistas J. Andriškevičius šiuos įraše matytus asmenis įvardijo oro desantininkais, o automobilius – kariniais „URAL“ automobiliais, skirtais žmonių pervežimui (t. 479, b. l. 130). Specialistas 2014 m. birželio 10 d. išvadoje konstatavo, kad, vykdant antrąjį operacijos užimti Spaudos rūmus etapą, prie Spaudos rūmų šiais trimis „URAL“ automobiliais atvyko būtent 234-ojo pulko 3-iojo bataliono kariškiai, o kartu su jais atvyko ir tankai (t. 480, b. l. 49). Toliau kompaktiniame diske su užrašu „1991.01.11 prie Spaudos rūmų“ esančiame antrame vaizdo įraše nuo 4 min. 45 sek. matyti, kaip ginkluoti kariškiai nuo karinių automobilių juda rikiuote, o nuo 5 min. 5 sek. matyti ir girdėti šūviai atsimušantys į Spaudos rūmų pastatą. Šiame vaizdo įraše nuo 5 min. 50 sek. matyti, kaip kariškiai pro minią civilių, apsupusių Spaudos rūmų pastatą, bando prasibrauti prie pastato (t. 507, b. l. 45). Teisėjų kolegijos vertinimu, šie duomenys bei nurodyta chronologinė įvykių seka patvirtina skundžiamu nuosprendžiu nustatytą faktinę aplinkybę, kad TSRS GM Pskovo 76-osios oro desanto divizijos 234-ojo pulko 3-iojo bataliono kariškiai ne tik atvyko prie Spaudos rūmų pastato „URAL“ automobiliais, bet ir atliko veiksmus, siekdami prie šio pastato prasibrauti. Šių aplinkybių kontekste nuteistojo gynėjo argumentai apie tai, kad kariškiams nepavyko prasibrauti pro civilius, neturi esminės reikšmės – teisine prasme reikšmingas vien bandymas prasiveržti pro civilius panaudojant jėgą.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Aplinkybę, kad oro desanto divizijos 234-ojo pulko 3-iajam batalionui prie Spaudos rūmų vadovavo būtent </w:t>
      </w:r>
      <w:r>
        <w:rPr>
          <w:szCs w:val="24"/>
          <w:lang w:eastAsia="lt-LT"/>
        </w:rPr>
        <w:t>V. S. 2</w:t>
      </w:r>
      <w:r w:rsidRPr="00C00255">
        <w:rPr>
          <w:szCs w:val="24"/>
          <w:lang w:eastAsia="lt-LT"/>
        </w:rPr>
        <w:t xml:space="preserve">, patvirtina ir 2014 m. birželio 10 d. specialisto išvada (t. 480, b. l. 49–50), kuri paremta iš skirtingų šaltinių gautų duomenų analize. Teisėjų kolegijos išvadą dėl </w:t>
      </w:r>
      <w:r>
        <w:rPr>
          <w:szCs w:val="24"/>
          <w:lang w:eastAsia="lt-LT"/>
        </w:rPr>
        <w:t>V. S. 2</w:t>
      </w:r>
      <w:r w:rsidRPr="00C00255">
        <w:rPr>
          <w:szCs w:val="24"/>
          <w:lang w:eastAsia="lt-LT"/>
        </w:rPr>
        <w:t xml:space="preserve"> vadovaujamo vaidmens šiuose įvykiuose pagrindžia ir byloje esantis karių, dalyvavusių 1991 m. sausio 13 d. Vilniaus mieste užimant saugoti TV bokštą ir LRT, sąrašas. Iš jo matyti, kad artimu sausio 11 d. įvykiams metu </w:t>
      </w:r>
      <w:r>
        <w:rPr>
          <w:szCs w:val="24"/>
          <w:lang w:eastAsia="lt-LT"/>
        </w:rPr>
        <w:t>V. S. 2</w:t>
      </w:r>
      <w:r w:rsidRPr="00C00255">
        <w:rPr>
          <w:szCs w:val="24"/>
          <w:lang w:eastAsia="lt-LT"/>
        </w:rPr>
        <w:t xml:space="preserve"> buvo Lietuvoje ir priklausė 3-ajai parašiutinio-desantinio bataliono valdybai (t. 451, b. l. 89; t. 152, b. l. 133–138). </w:t>
      </w:r>
      <w:r w:rsidRPr="00C00255">
        <w:rPr>
          <w:szCs w:val="24"/>
          <w:lang w:eastAsia="lt-LT" w:bidi="lt-LT"/>
        </w:rPr>
        <w:t xml:space="preserve">Šiuo klausimu reikšmingi ir </w:t>
      </w:r>
      <w:r w:rsidRPr="00C00255">
        <w:rPr>
          <w:szCs w:val="24"/>
          <w:lang w:eastAsia="lt-LT"/>
        </w:rPr>
        <w:t>2017 m. </w:t>
      </w:r>
      <w:r w:rsidRPr="00C00255">
        <w:t xml:space="preserve">sausio 23 d. </w:t>
      </w:r>
      <w:r w:rsidRPr="00C00255">
        <w:rPr>
          <w:szCs w:val="24"/>
          <w:lang w:eastAsia="lt-LT"/>
        </w:rPr>
        <w:t xml:space="preserve">teisiamajame posėdyje </w:t>
      </w:r>
      <w:r w:rsidRPr="00C00255">
        <w:rPr>
          <w:szCs w:val="24"/>
          <w:lang w:eastAsia="lt-LT" w:bidi="lt-LT"/>
        </w:rPr>
        <w:t xml:space="preserve">perskaityti ikiteisminio tyrimo pareigūno liudytojais apklaustų kitų </w:t>
      </w:r>
      <w:r w:rsidRPr="00C00255">
        <w:rPr>
          <w:szCs w:val="24"/>
          <w:lang w:eastAsia="lt-LT"/>
        </w:rPr>
        <w:t>234-ojo pulko</w:t>
      </w:r>
      <w:r w:rsidRPr="00C00255">
        <w:rPr>
          <w:szCs w:val="24"/>
          <w:lang w:eastAsia="lt-LT" w:bidi="lt-LT"/>
        </w:rPr>
        <w:t xml:space="preserve"> 3-iojo bataliono kariškių</w:t>
      </w:r>
      <w:r w:rsidRPr="00C00255">
        <w:rPr>
          <w:szCs w:val="24"/>
        </w:rPr>
        <w:t xml:space="preserve"> parodymai</w:t>
      </w:r>
      <w:r w:rsidRPr="00C00255">
        <w:rPr>
          <w:szCs w:val="24"/>
          <w:lang w:eastAsia="lt-LT" w:bidi="lt-LT"/>
        </w:rPr>
        <w:t xml:space="preserve"> (</w:t>
      </w:r>
      <w:r w:rsidRPr="00C00255">
        <w:rPr>
          <w:szCs w:val="24"/>
        </w:rPr>
        <w:t xml:space="preserve">t. 758, b. l. 47). </w:t>
      </w:r>
      <w:r w:rsidRPr="00C00255">
        <w:rPr>
          <w:szCs w:val="24"/>
          <w:lang w:eastAsia="lt-LT" w:bidi="lt-LT"/>
        </w:rPr>
        <w:t xml:space="preserve">Liudytojai </w:t>
      </w:r>
      <w:r>
        <w:rPr>
          <w:szCs w:val="24"/>
        </w:rPr>
        <w:t>D. J.</w:t>
      </w:r>
      <w:r w:rsidRPr="00C00255">
        <w:rPr>
          <w:szCs w:val="24"/>
        </w:rPr>
        <w:t xml:space="preserve"> (t. 431, b. l. 120–124; t. 118, b. l. 200–208), </w:t>
      </w:r>
      <w:r>
        <w:rPr>
          <w:szCs w:val="24"/>
        </w:rPr>
        <w:t>I. R.</w:t>
      </w:r>
      <w:r w:rsidRPr="00C00255">
        <w:rPr>
          <w:szCs w:val="24"/>
        </w:rPr>
        <w:t xml:space="preserve"> (t. 432, b. l. 93–97; t. 119, b. l. 155–162) ir </w:t>
      </w:r>
      <w:r>
        <w:rPr>
          <w:szCs w:val="24"/>
        </w:rPr>
        <w:t>V. G.</w:t>
      </w:r>
      <w:r w:rsidRPr="00C00255">
        <w:rPr>
          <w:szCs w:val="24"/>
        </w:rPr>
        <w:t xml:space="preserve"> (t. 431, b. l. 130–134; t. 118, b. l. 214–222) nurodė, kad tiek važiuojant kolona prie Spaudos rūmų, tiek šturmuojant Spaudos rūmus ir siekiant nuo pastato nustumti civilius, jų bataliono veiksmams vadovavo </w:t>
      </w:r>
      <w:r>
        <w:rPr>
          <w:szCs w:val="24"/>
        </w:rPr>
        <w:t>V. S. 2</w:t>
      </w:r>
      <w:r w:rsidRPr="00C00255">
        <w:rPr>
          <w:szCs w:val="24"/>
        </w:rPr>
        <w:t xml:space="preserve">. </w:t>
      </w:r>
      <w:r w:rsidRPr="00C00255">
        <w:rPr>
          <w:szCs w:val="24"/>
          <w:lang w:eastAsia="lt-LT" w:bidi="lt-LT"/>
        </w:rPr>
        <w:t xml:space="preserve">Šie parodymai atitinka ir papildo kitus jau minėtus objektyvius duomenis ir taip pat formuoja teismo vidinį įsitikinimą, kad prie Spaudos rūmų </w:t>
      </w:r>
      <w:r>
        <w:rPr>
          <w:szCs w:val="24"/>
          <w:lang w:eastAsia="lt-LT" w:bidi="lt-LT"/>
        </w:rPr>
        <w:t>V. S. 2</w:t>
      </w:r>
      <w:r w:rsidRPr="00C00255">
        <w:rPr>
          <w:szCs w:val="24"/>
          <w:lang w:eastAsia="lt-LT" w:bidi="lt-LT"/>
        </w:rPr>
        <w:t xml:space="preserve"> atliko vadovaujantį vaidmenį vienam iš kariškių padalinių šturmuojant šį objektą.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color w:val="000000"/>
          <w:szCs w:val="24"/>
          <w:lang w:eastAsia="lt-LT" w:bidi="lt-LT"/>
        </w:rPr>
        <w:t xml:space="preserve">Apeliaciniu skundu nuteistojo gynėjas neginčija aplinkybės, kad V. S. 2 buvo TSRS GM </w:t>
      </w:r>
      <w:r w:rsidRPr="000E2C88">
        <w:rPr>
          <w:szCs w:val="24"/>
          <w:lang w:eastAsia="lt-LT"/>
        </w:rPr>
        <w:t>76-osios oro desanto divizijos 234-ojo pulko 3-iojo bataliono vadas ir dalyvavo įvykiuose prie Spaudos rūmų. Visgi gynyba nesutinka, kad V. S. 2 vadovavo šturmuojant Spaudos rūmus – vadovaujantis 2014 m. birželio 10 d. specialisto išvada, tai darė V. K. 1. Nors teisėjų kolegija sutinka, kad užimant Spaudos rūmus V. K. 1 buvo vyriausiuoju pagal rangą TSRS GM 76-osios oro desanto divizijos pareigūnu ir buvo vadovavimo visai karinei operacijai štabo nariu Vilniuje</w:t>
      </w:r>
      <w:r w:rsidRPr="00C00255">
        <w:rPr>
          <w:szCs w:val="24"/>
          <w:lang w:eastAsia="lt-LT"/>
        </w:rPr>
        <w:t xml:space="preserve"> (žr. sprendimo dalis „</w:t>
      </w:r>
      <w:r w:rsidRPr="00C00255">
        <w:rPr>
          <w:rFonts w:eastAsia="Calibri"/>
          <w:i/>
        </w:rPr>
        <w:t xml:space="preserve">Dėl pirmosios instancijos teismo išvadų vertinant </w:t>
      </w:r>
      <w:r w:rsidRPr="00C00255">
        <w:rPr>
          <w:i/>
        </w:rPr>
        <w:t xml:space="preserve">TSRS </w:t>
      </w:r>
      <w:r>
        <w:rPr>
          <w:i/>
        </w:rPr>
        <w:t>GM</w:t>
      </w:r>
      <w:r w:rsidRPr="00C00255">
        <w:rPr>
          <w:i/>
        </w:rPr>
        <w:t xml:space="preserve"> ir jai pavaldžių dalinių bei nuteistųjų </w:t>
      </w:r>
      <w:r>
        <w:rPr>
          <w:i/>
        </w:rPr>
        <w:t>D. J.</w:t>
      </w:r>
      <w:r w:rsidRPr="00C00255">
        <w:rPr>
          <w:i/>
        </w:rPr>
        <w:t xml:space="preserve">, </w:t>
      </w:r>
      <w:r>
        <w:rPr>
          <w:i/>
        </w:rPr>
        <w:t>V. K. 1</w:t>
      </w:r>
      <w:r w:rsidRPr="00C00255">
        <w:rPr>
          <w:i/>
        </w:rPr>
        <w:t xml:space="preserve">, </w:t>
      </w:r>
      <w:r>
        <w:rPr>
          <w:i/>
        </w:rPr>
        <w:t>V. U. 1</w:t>
      </w:r>
      <w:r w:rsidRPr="00C00255">
        <w:rPr>
          <w:i/>
        </w:rPr>
        <w:t xml:space="preserve"> ir </w:t>
      </w:r>
      <w:r>
        <w:rPr>
          <w:i/>
        </w:rPr>
        <w:t>N. A.</w:t>
      </w:r>
      <w:r w:rsidRPr="00C00255">
        <w:rPr>
          <w:i/>
        </w:rPr>
        <w:t xml:space="preserve"> veiksmus</w:t>
      </w:r>
      <w:r w:rsidRPr="00C00255">
        <w:rPr>
          <w:rFonts w:eastAsia="Calibri"/>
          <w:i/>
        </w:rPr>
        <w:t xml:space="preserve"> planuojant karinę operaciją</w:t>
      </w:r>
      <w:r w:rsidRPr="00C00255">
        <w:rPr>
          <w:rFonts w:eastAsia="Calibri"/>
        </w:rPr>
        <w:t>“ bei</w:t>
      </w:r>
      <w:r w:rsidRPr="00C00255">
        <w:rPr>
          <w:szCs w:val="24"/>
          <w:lang w:eastAsia="lt-LT"/>
        </w:rPr>
        <w:t xml:space="preserve"> „</w:t>
      </w:r>
      <w:r w:rsidRPr="00C00255">
        <w:rPr>
          <w:i/>
          <w:szCs w:val="24"/>
          <w:lang w:eastAsia="lt-LT"/>
        </w:rPr>
        <w:t xml:space="preserve">Dėl nuteistojo </w:t>
      </w:r>
      <w:r>
        <w:rPr>
          <w:i/>
          <w:szCs w:val="24"/>
          <w:lang w:eastAsia="lt-LT"/>
        </w:rPr>
        <w:t>V. K. 1</w:t>
      </w:r>
      <w:r w:rsidRPr="00C00255">
        <w:rPr>
          <w:i/>
          <w:szCs w:val="24"/>
          <w:lang w:eastAsia="lt-LT"/>
        </w:rPr>
        <w:t xml:space="preserve"> </w:t>
      </w:r>
      <w:r w:rsidRPr="00C00255">
        <w:rPr>
          <w:i/>
          <w:szCs w:val="24"/>
          <w:lang w:eastAsia="lt-LT" w:bidi="lt-LT"/>
        </w:rPr>
        <w:t xml:space="preserve">dalyvavimo </w:t>
      </w:r>
      <w:r w:rsidRPr="00C00255">
        <w:rPr>
          <w:i/>
          <w:szCs w:val="24"/>
          <w:lang w:eastAsia="lt-LT"/>
        </w:rPr>
        <w:t>užimant Spaudos rūmus</w:t>
      </w:r>
      <w:r w:rsidRPr="00C00255">
        <w:rPr>
          <w:szCs w:val="24"/>
          <w:lang w:eastAsia="lt-LT"/>
        </w:rPr>
        <w:t xml:space="preserve">“), </w:t>
      </w:r>
      <w:r w:rsidRPr="000E2C88">
        <w:rPr>
          <w:szCs w:val="24"/>
          <w:lang w:eastAsia="lt-LT"/>
        </w:rPr>
        <w:t>daro išvadą, kad tai neeliminuoja nustatyto V. S. 2 vadovaujamo vaidmens toje pačioje operacijoje. Teisėjų kolegija pabrėžia, kad nuteistojo gynėjas</w:t>
      </w:r>
      <w:r w:rsidRPr="000E2C88">
        <w:rPr>
          <w:szCs w:val="24"/>
        </w:rPr>
        <w:t xml:space="preserve"> </w:t>
      </w:r>
      <w:r w:rsidRPr="000E2C88">
        <w:rPr>
          <w:szCs w:val="24"/>
          <w:lang w:eastAsia="lt-LT"/>
        </w:rPr>
        <w:t>2014 m. birželio 10 d. specialisto išvada</w:t>
      </w:r>
      <w:r w:rsidRPr="000E2C88">
        <w:rPr>
          <w:szCs w:val="24"/>
        </w:rPr>
        <w:t xml:space="preserve"> vadovaujasi, neatskleisdamas viso jos turinio. Specialisto išvados dalyje „Bendros pastabos“ nurodyta, kad „užimant Spaudos rūmus dalyvavo 76 odd vado pavaduotojas, divizijos operatyvinės grupės vadovas pulkininkas V. K. 1, o vienam iš padalinių vadovavo 234 pdp 3 pdb vado pavaduotojas majoras V. S. 2“ (t. 480, b. l. 78, atitinkama išvada nurodyta ir specialisto išvados aprašomojoje dalyje (t. 480, b. l. 50)). Taigi gynėjas nutyli, kad specialistas, kaip vieną iš Spaudos rūmų šturmo vadovų, išskyrė ne tik V. K. 1, bet ir V. S. 2. Be to, specialistas konstatavo ir tai, kad V. S. 2 vadovavo ne visiems operacijoje prie Spaudos rūmų dalyvavusiems kariškiams, o tik vienam iš oro desanto divizijos padalinių. </w:t>
      </w:r>
      <w:r w:rsidRPr="000E2C88">
        <w:rPr>
          <w:rFonts w:eastAsia="Calibri"/>
        </w:rPr>
        <w:t xml:space="preserve">Kadangi V. S. 2 vadovaujamas 3-iasis batalionas priklausė oro desanto divizijai, apygardos teismo išvada apie V. S. 2 vadovavimą šios divizijos kariškiams Spaudos rūmų šturmo metu (žr. nuosprendžio 872 l.; t. 773, b. l. 72) laikytina teisinga ir pagrįsta, o vien tai, kad operacijos metu V. S. 2 buvo pavaldus aukštesnio rango kariškiams (tarp jų ir V. K. 1) bei vykdė jų įsakymus, nepaneigia nustatytos faktinės aplinkybės, kad V. S. 2 Spaudos rūmų užėmimo metu vadovavo </w:t>
      </w:r>
      <w:r w:rsidRPr="000E2C88">
        <w:t>TSRS GM Pskovo 76-osios oro desanto divizijos 234-ojo pulko 3-iojo bataliono kariškiams.</w:t>
      </w:r>
      <w:r w:rsidRPr="00361401">
        <w:rPr>
          <w:rFonts w:eastAsia="Calibri"/>
        </w:rPr>
        <w:t xml:space="preserve"> </w:t>
      </w:r>
    </w:p>
    <w:p w:rsidR="00DA38E9" w:rsidRPr="00C00255" w:rsidRDefault="00DA38E9" w:rsidP="00DA38E9">
      <w:pPr>
        <w:pStyle w:val="Heading4"/>
        <w:spacing w:before="120" w:after="120"/>
        <w:ind w:firstLine="992"/>
        <w:rPr>
          <w:rFonts w:ascii="Times New Roman" w:hAnsi="Times New Roman"/>
          <w:b w:val="0"/>
          <w:i/>
          <w:sz w:val="24"/>
          <w:szCs w:val="24"/>
          <w:lang w:bidi="lt-LT"/>
        </w:rPr>
      </w:pPr>
      <w:r w:rsidRPr="00C00255">
        <w:rPr>
          <w:rFonts w:ascii="Times New Roman" w:hAnsi="Times New Roman"/>
          <w:b w:val="0"/>
          <w:i/>
          <w:sz w:val="24"/>
          <w:szCs w:val="24"/>
          <w:lang w:bidi="lt-LT"/>
        </w:rPr>
        <w:t xml:space="preserve">Dėl nuteistojo </w:t>
      </w:r>
      <w:r>
        <w:rPr>
          <w:rFonts w:ascii="Times New Roman" w:hAnsi="Times New Roman"/>
          <w:b w:val="0"/>
          <w:i/>
          <w:sz w:val="24"/>
          <w:szCs w:val="24"/>
          <w:lang w:bidi="lt-LT"/>
        </w:rPr>
        <w:t>V. D.</w:t>
      </w:r>
      <w:r w:rsidRPr="00C00255">
        <w:rPr>
          <w:rFonts w:ascii="Times New Roman" w:hAnsi="Times New Roman"/>
          <w:b w:val="0"/>
          <w:i/>
          <w:sz w:val="24"/>
          <w:szCs w:val="24"/>
          <w:lang w:bidi="lt-LT"/>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Teisėjų kolegijos įsitikinimu, pasitvirtino ir pirmosios instancijos teismo išvada, kad TSRS GM Pskovo 76-osios oro desanto divizijos 234-ojo pulko 3-iojo bataliono štabo vadas V. D. kartu su kitais bataliono kariškiais trimis automobiliais „URAL“ atvyko prie Spaudos rūmų ir buvo vienu iš šio bataliono kariškiams vadovavusių asmenų. Skundžiamame nuosprendyje tokia išvada grįsta paties nuteistojo parodymais, nuteistųjų V. S. 2 ir E. M., liudytojų kariškių A. C., V. G., D. M. ir kitų, neįvardintų kariškių, parodymais. Savo ruožtu teisėjų kolegija konstatuoja, kad pirmosios instancijos teismo išvadas dėl V. D. dalyvavimo šturmuojant Spaudos rūmus, patvirtina objektyvių bylos duomenų visuma.</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Apie </w:t>
      </w:r>
      <w:r>
        <w:rPr>
          <w:color w:val="000000"/>
          <w:szCs w:val="24"/>
          <w:lang w:eastAsia="lt-LT" w:bidi="lt-LT"/>
        </w:rPr>
        <w:t>V. D.</w:t>
      </w:r>
      <w:r w:rsidRPr="00C00255">
        <w:rPr>
          <w:color w:val="000000"/>
          <w:szCs w:val="24"/>
          <w:lang w:eastAsia="lt-LT" w:bidi="lt-LT"/>
        </w:rPr>
        <w:t xml:space="preserve"> dalyvavimą Spaudos rūmų šturme pirmiausia patvirtina šio teismo procesinio sprendimo dalyje „</w:t>
      </w:r>
      <w:r w:rsidRPr="00C00255">
        <w:rPr>
          <w:i/>
          <w:color w:val="000000"/>
          <w:szCs w:val="24"/>
          <w:lang w:eastAsia="lt-LT" w:bidi="lt-LT"/>
        </w:rPr>
        <w:t xml:space="preserve">Dėl nuteistojo </w:t>
      </w:r>
      <w:r>
        <w:rPr>
          <w:i/>
          <w:color w:val="000000"/>
          <w:szCs w:val="24"/>
          <w:lang w:eastAsia="lt-LT" w:bidi="lt-LT"/>
        </w:rPr>
        <w:t>V. S. 2</w:t>
      </w:r>
      <w:r w:rsidRPr="00C00255">
        <w:rPr>
          <w:i/>
          <w:color w:val="000000"/>
          <w:szCs w:val="24"/>
          <w:lang w:eastAsia="lt-LT" w:bidi="lt-LT"/>
        </w:rPr>
        <w:t xml:space="preserve"> dalyvavimo užimant Spaudos rūmus</w:t>
      </w:r>
      <w:r w:rsidRPr="00C00255">
        <w:rPr>
          <w:color w:val="000000"/>
          <w:szCs w:val="24"/>
          <w:lang w:eastAsia="lt-LT" w:bidi="lt-LT"/>
        </w:rPr>
        <w:t>“</w:t>
      </w:r>
      <w:r w:rsidRPr="00C00255">
        <w:rPr>
          <w:i/>
          <w:color w:val="000000"/>
          <w:szCs w:val="24"/>
          <w:lang w:eastAsia="lt-LT" w:bidi="lt-LT"/>
        </w:rPr>
        <w:t xml:space="preserve"> </w:t>
      </w:r>
      <w:r w:rsidRPr="00C00255">
        <w:rPr>
          <w:color w:val="000000"/>
          <w:szCs w:val="24"/>
          <w:lang w:eastAsia="lt-LT" w:bidi="lt-LT"/>
        </w:rPr>
        <w:t xml:space="preserve">minėti duomenys. Kaip minėta, iš jų matyti, kad TSRS GM </w:t>
      </w:r>
      <w:r w:rsidRPr="00C00255">
        <w:rPr>
          <w:szCs w:val="24"/>
          <w:lang w:eastAsia="lt-LT"/>
        </w:rPr>
        <w:t xml:space="preserve">76-osios oro desanto divizijos 234-ojo pulko 3-iojo bataliono kariškiai trimis „URAL“ automobiliais atvyko prie Spaudos rūmų ir ginkluoti automatiniais ginklais bandė patekti prie šio pastato. Pažymėtina, jog byloje nėra ginčo, kad įvykių metu majoras </w:t>
      </w:r>
      <w:r>
        <w:rPr>
          <w:szCs w:val="24"/>
          <w:lang w:eastAsia="lt-LT"/>
        </w:rPr>
        <w:t>V. D.</w:t>
      </w:r>
      <w:r w:rsidRPr="00C00255">
        <w:rPr>
          <w:szCs w:val="24"/>
          <w:lang w:eastAsia="lt-LT"/>
        </w:rPr>
        <w:t xml:space="preserve"> buvo šio bataliono štabo vadu. Išvadą dėl tokių įvykių metu užimtų </w:t>
      </w:r>
      <w:r>
        <w:rPr>
          <w:szCs w:val="24"/>
          <w:lang w:eastAsia="lt-LT"/>
        </w:rPr>
        <w:t>V. D.</w:t>
      </w:r>
      <w:r w:rsidRPr="00C00255">
        <w:rPr>
          <w:szCs w:val="24"/>
          <w:lang w:eastAsia="lt-LT"/>
        </w:rPr>
        <w:t xml:space="preserve"> pareigų pagrindžia byloje esantis karių, dalyvavusių 1991 m. sausio 13 d. Vilniaus mieste užimant saugoti TV bokštą ir LRT, sąrašas. Iš jo matyti, kad artimu sausio 11 d. įvykiams metu </w:t>
      </w:r>
      <w:r>
        <w:rPr>
          <w:szCs w:val="24"/>
          <w:lang w:eastAsia="lt-LT"/>
        </w:rPr>
        <w:t>V. D.</w:t>
      </w:r>
      <w:r w:rsidRPr="00C00255">
        <w:rPr>
          <w:szCs w:val="24"/>
          <w:lang w:eastAsia="lt-LT"/>
        </w:rPr>
        <w:t xml:space="preserve"> buvo Lietuvoje ir priklausė 3-ajai parašiutinio-desantinio bataliono valdybai (t. 451, b. l. 89; t. 152, b. l. 133–138). Atitinkamai ir apeliaciniame skunde nurodoma, kad </w:t>
      </w:r>
      <w:r>
        <w:rPr>
          <w:szCs w:val="24"/>
          <w:lang w:eastAsia="lt-LT"/>
        </w:rPr>
        <w:t>V. D.</w:t>
      </w:r>
      <w:r w:rsidRPr="00C00255">
        <w:rPr>
          <w:szCs w:val="24"/>
          <w:lang w:eastAsia="lt-LT"/>
        </w:rPr>
        <w:t xml:space="preserve"> aptariamų įvykių metu buvo prie Spaudos rūmų. Taigi darytina objektyviai pagrįsta išvada, kad vadovaujančias pareigas oro desanto divizijos 234-ojo pulko 3-ajame batalione užėmęs bataliono štabo vadas majoras </w:t>
      </w:r>
      <w:r>
        <w:rPr>
          <w:szCs w:val="24"/>
          <w:lang w:eastAsia="lt-LT"/>
        </w:rPr>
        <w:t>V. D.</w:t>
      </w:r>
      <w:r w:rsidRPr="00C00255">
        <w:rPr>
          <w:szCs w:val="24"/>
          <w:lang w:eastAsia="lt-LT"/>
        </w:rPr>
        <w:t xml:space="preserve"> (jo rangas prilygo šio bataliono vado </w:t>
      </w:r>
      <w:r>
        <w:rPr>
          <w:szCs w:val="24"/>
          <w:lang w:eastAsia="lt-LT"/>
        </w:rPr>
        <w:t>V. S. 2</w:t>
      </w:r>
      <w:r w:rsidRPr="00C00255">
        <w:rPr>
          <w:szCs w:val="24"/>
          <w:lang w:eastAsia="lt-LT"/>
        </w:rPr>
        <w:t xml:space="preserve">, taip pat majoro, rangui) dalyvavo Spaudos rūmų užėmimo operacijoje ir buvo vienu iš vadovaujančias pareigas užėmusių kariškių.  </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szCs w:val="24"/>
          <w:lang w:eastAsia="lt-LT" w:bidi="lt-LT"/>
        </w:rPr>
        <w:t xml:space="preserve">Tokių išvadų kontekste reikšmingi ir </w:t>
      </w:r>
      <w:r w:rsidRPr="00C00255">
        <w:rPr>
          <w:szCs w:val="24"/>
          <w:lang w:eastAsia="lt-LT"/>
        </w:rPr>
        <w:t>2017 m. </w:t>
      </w:r>
      <w:r w:rsidRPr="00C00255">
        <w:t xml:space="preserve">sausio 23 d. </w:t>
      </w:r>
      <w:r w:rsidRPr="00C00255">
        <w:rPr>
          <w:szCs w:val="24"/>
          <w:lang w:eastAsia="lt-LT"/>
        </w:rPr>
        <w:t xml:space="preserve">teisiamajame posėdyje </w:t>
      </w:r>
      <w:r w:rsidRPr="00C00255">
        <w:rPr>
          <w:color w:val="000000"/>
          <w:szCs w:val="24"/>
          <w:lang w:eastAsia="lt-LT" w:bidi="lt-LT"/>
        </w:rPr>
        <w:t xml:space="preserve">perskaityti ikiteisminio tyrimo pareigūno liudytojais apklaustų kitų TSRS GM 76-osios oro desanto divizijos </w:t>
      </w:r>
      <w:r w:rsidRPr="00C00255">
        <w:rPr>
          <w:szCs w:val="24"/>
          <w:lang w:eastAsia="lt-LT"/>
        </w:rPr>
        <w:t>234-ojo pulko</w:t>
      </w:r>
      <w:r w:rsidRPr="00C00255">
        <w:rPr>
          <w:color w:val="000000"/>
          <w:szCs w:val="24"/>
          <w:lang w:eastAsia="lt-LT" w:bidi="lt-LT"/>
        </w:rPr>
        <w:t xml:space="preserve"> 3-iojo bataliono kariškių</w:t>
      </w:r>
      <w:r w:rsidRPr="00C00255">
        <w:rPr>
          <w:szCs w:val="24"/>
        </w:rPr>
        <w:t xml:space="preserve"> parodymai</w:t>
      </w:r>
      <w:r w:rsidRPr="00C00255">
        <w:rPr>
          <w:color w:val="000000"/>
          <w:szCs w:val="24"/>
          <w:lang w:eastAsia="lt-LT" w:bidi="lt-LT"/>
        </w:rPr>
        <w:t xml:space="preserve"> (</w:t>
      </w:r>
      <w:r w:rsidRPr="00C00255">
        <w:rPr>
          <w:szCs w:val="24"/>
        </w:rPr>
        <w:t xml:space="preserve">t. 758, b. l. 47). </w:t>
      </w:r>
      <w:r w:rsidRPr="00C00255">
        <w:t>Liudytojas A. C</w:t>
      </w:r>
      <w:r>
        <w:t>.</w:t>
      </w:r>
      <w:r w:rsidRPr="00C00255">
        <w:t xml:space="preserve"> parodė, kad vairavo „URAL“ automobilį, kuriame sėdėjo bataliono vadas </w:t>
      </w:r>
      <w:r>
        <w:t>V. S. 2</w:t>
      </w:r>
      <w:r w:rsidRPr="00C00255">
        <w:t xml:space="preserve"> ir bataliono štabo vadas majoras </w:t>
      </w:r>
      <w:r>
        <w:t>V. D.</w:t>
      </w:r>
      <w:r w:rsidRPr="00C00255">
        <w:t>, iš kurių pokalbio suprato, jog jie važiuoja prie Spaudos rūmų suteikti pagalbą 1-ajam batalionui (t. 432, b. l. 143–146; t. 119, b. l. 248–253). Liudytojas V. G</w:t>
      </w:r>
      <w:r>
        <w:t>.</w:t>
      </w:r>
      <w:r w:rsidRPr="00C00255">
        <w:t xml:space="preserve"> parodė, kad įvykio dieną paskelbus pavojaus signalą, po to, kai kariškiams buvo išduoti šoviniai, bataliono štabo vadas </w:t>
      </w:r>
      <w:r>
        <w:t>V. D.</w:t>
      </w:r>
      <w:r w:rsidRPr="00C00255">
        <w:t xml:space="preserve"> davė komandą vietoj kovinių šovinių kareiviams išduoti tuščius. Po to, batalionas susėdo į tris automobilius „URAL“ ir išvyko prie Spaudos rūmų (t. 431, b. l. 130–134; t. 118, b. l. 214–222). </w:t>
      </w:r>
      <w:r w:rsidRPr="00C00255">
        <w:rPr>
          <w:color w:val="000000"/>
          <w:szCs w:val="24"/>
          <w:lang w:eastAsia="lt-LT" w:bidi="lt-LT"/>
        </w:rPr>
        <w:t xml:space="preserve">Teisėjų kolegijos įsitikinimu, minėti parodymai </w:t>
      </w:r>
      <w:r w:rsidRPr="00C00255">
        <w:t xml:space="preserve">yra </w:t>
      </w:r>
      <w:r w:rsidRPr="00C00255">
        <w:rPr>
          <w:color w:val="000000"/>
          <w:szCs w:val="24"/>
          <w:lang w:eastAsia="lt-LT" w:bidi="lt-LT"/>
        </w:rPr>
        <w:t xml:space="preserve">aktualūs tikrinant šioje dalyje jau aptartus įrodymus apie </w:t>
      </w:r>
      <w:r>
        <w:rPr>
          <w:color w:val="000000"/>
          <w:szCs w:val="24"/>
          <w:lang w:eastAsia="lt-LT" w:bidi="lt-LT"/>
        </w:rPr>
        <w:t>V. D.</w:t>
      </w:r>
      <w:r w:rsidRPr="00C00255">
        <w:rPr>
          <w:color w:val="000000"/>
          <w:szCs w:val="24"/>
          <w:lang w:eastAsia="lt-LT" w:bidi="lt-LT"/>
        </w:rPr>
        <w:t xml:space="preserve"> vaidmenį prie Spaudos rūmų. Pažymėtina, kad šie parodymai atitinka ir papildo kitus jau minėtus objektyvius duomenis ir taip pat formuoja teismo vidinį įsitikinimą, kad </w:t>
      </w:r>
      <w:r>
        <w:t>V. D.</w:t>
      </w:r>
      <w:r w:rsidRPr="00C00255">
        <w:t xml:space="preserve"> dalyvavo šturmuojant Spaudos rūmus ir šioje operacijoje atliko vadovaujamo pobūdžio vaidmenį. Taigi nuosprendžiu padarytos išvados, susijusios su </w:t>
      </w:r>
      <w:r>
        <w:t>V. D.</w:t>
      </w:r>
      <w:r w:rsidRPr="00C00255">
        <w:t xml:space="preserve"> dalyvavimu šiuose įvykiuose, pasitvirtino.  </w:t>
      </w:r>
    </w:p>
    <w:p w:rsidR="00DA38E9" w:rsidRPr="00C00255" w:rsidRDefault="00DA38E9" w:rsidP="00DA38E9">
      <w:pPr>
        <w:pStyle w:val="Heading4"/>
        <w:spacing w:before="120" w:after="120"/>
        <w:ind w:firstLine="992"/>
        <w:rPr>
          <w:rFonts w:ascii="Times New Roman" w:hAnsi="Times New Roman"/>
          <w:b w:val="0"/>
          <w:i/>
          <w:sz w:val="24"/>
        </w:rPr>
      </w:pPr>
      <w:r w:rsidRPr="00C00255">
        <w:rPr>
          <w:rFonts w:ascii="Times New Roman" w:hAnsi="Times New Roman"/>
          <w:b w:val="0"/>
          <w:i/>
          <w:sz w:val="24"/>
        </w:rPr>
        <w:t xml:space="preserve">Dėl nuteistojo </w:t>
      </w:r>
      <w:r>
        <w:rPr>
          <w:rFonts w:ascii="Times New Roman" w:hAnsi="Times New Roman"/>
          <w:b w:val="0"/>
          <w:i/>
          <w:sz w:val="24"/>
        </w:rPr>
        <w:t>A. G. 2</w:t>
      </w:r>
      <w:r w:rsidRPr="00C00255">
        <w:rPr>
          <w:rFonts w:ascii="Times New Roman" w:hAnsi="Times New Roman"/>
          <w:b w:val="0"/>
          <w:i/>
          <w:sz w:val="24"/>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Pirmosios instancijos teismas pagrįstai konstatavo ir tai, kad TSRS GM Pskovo 76-osios oro desanto divizijos 234-ojo pulko 8-osios kuopos vadas vyr. leitenantas A. G. 2 kartu su kitais šio pulko 3-iojo bataliono kariškiais trimis automobiliais „URAL“ atvyko prie Spaudos rūmų ir buvo vienu iš bataliono kariškiams vadovavusių asmenų juos šturmuojant. Apygardos teismas A. G. 2 dalyvavimą įvykiuose prie Spaudos rūmų grindė jo paties ir nuteistojo V. D. parodymais bei kitų 3-iojo bataliono kariškių – liudytojų V. G., V. B., M. N. parodymais.</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 xml:space="preserve">Savo ruožtu apeliacinės instancijos teismas pabrėžia, kad pirmiausia apie A. G. 2 dalyvavimą Spaudos rūmų šturme patvirtina </w:t>
      </w:r>
      <w:r w:rsidRPr="000E2C88">
        <w:rPr>
          <w:color w:val="000000"/>
          <w:szCs w:val="24"/>
          <w:lang w:eastAsia="lt-LT" w:bidi="lt-LT"/>
        </w:rPr>
        <w:t>dalyje „</w:t>
      </w:r>
      <w:r w:rsidRPr="000E2C88">
        <w:rPr>
          <w:i/>
          <w:color w:val="000000"/>
          <w:szCs w:val="24"/>
          <w:lang w:eastAsia="lt-LT" w:bidi="lt-LT"/>
        </w:rPr>
        <w:t>Dėl nuteistojo V. S. 2 dalyvavimo užimant Spaudos rūmus</w:t>
      </w:r>
      <w:r w:rsidRPr="000E2C88">
        <w:rPr>
          <w:szCs w:val="24"/>
          <w:lang w:eastAsia="lt-LT"/>
        </w:rPr>
        <w:t>“</w:t>
      </w:r>
      <w:r w:rsidRPr="000E2C88">
        <w:rPr>
          <w:i/>
          <w:color w:val="000000"/>
          <w:szCs w:val="24"/>
          <w:lang w:eastAsia="lt-LT" w:bidi="lt-LT"/>
        </w:rPr>
        <w:t xml:space="preserve"> </w:t>
      </w:r>
      <w:r w:rsidRPr="000E2C88">
        <w:rPr>
          <w:color w:val="000000"/>
          <w:szCs w:val="24"/>
          <w:lang w:eastAsia="lt-LT" w:bidi="lt-LT"/>
        </w:rPr>
        <w:t xml:space="preserve">minėti duomenys apie tai, jog TSRS GM </w:t>
      </w:r>
      <w:r w:rsidRPr="000E2C88">
        <w:rPr>
          <w:szCs w:val="24"/>
          <w:lang w:eastAsia="lt-LT"/>
        </w:rPr>
        <w:t>76-osios oro desanto divizijos 234-ojo pulko 3-iojo bataliono kariškiai trimis „URAL“ automobiliais 1991 m. sausio 11 d. atvyko prie Spaudos rūmų ir ginkluoti automatiniais ginklais bandė patekti prie šio pastato pro jį apsupusius civilius. Byloje esančiame karių, dalyvavusių 1991 m. sausio 13 d. Vilniaus mieste užimant saugoti TV bokštą ir LRT, sąraše, be kita ko, nurodyta, kad 234-ojo pulko 8-osios parašiutininkų desantininkų kuopos vyriausiuoju įvykių metu buvo būtent A. G. 2 (t. 429, b. l. 98; t. 116, b. l. 133–137). Atitinkamai iš kovinės technikos, automobilių ir karių, veikusių prie TV bokšto, sąrašo matyti, kad A. G. 2 buvo vieno iš karinių automobilių ekipažo vadas (t. 427, b. l. 150; t. 114, b. l. 184). Taigi artimu sausio 11 d. įvykiams metu A. G. 2 buvo Lietuvoje ir vadovavo 234-ojo pulko 8-ajai kuopai, kuri priklausė įvykiuose prie Spaudos rūmų dalyvavusio 3-iojo bataliono sudėčiai. Išvadą apie A. G. 2 buvimą šios kuopos vadu įvykių metu patvirtina ir Ginklų ir šaudmenų išdavimo 8-ojoje kuopoje knygoje esantys įrašai. Iš jų matyti, kad 1991 m. sausio mėnesio pradžioje A. G. 2 pasirašinėjo kaip asmuo, suteikdavęs leidimą šios kuopos kariškiams išduoti ginklus (t. 476, b. l. 137–141). Taigi byloje yra pakankamai duomenų, patvirtinančių, kad A. G. 2 įvykių metu buvo kuopos, buvusios prie Spaudos rūmų, vadu, turinčiu įgaliojimus išdavinėti ginklus šiai kuopai priklausantiems kariškiams.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Šiuo atveju teisėjų kolegijos išvadas apie nuteistojo </w:t>
      </w:r>
      <w:r>
        <w:rPr>
          <w:szCs w:val="24"/>
          <w:lang w:eastAsia="lt-LT"/>
        </w:rPr>
        <w:t>A. G. 2</w:t>
      </w:r>
      <w:r w:rsidRPr="00C00255">
        <w:rPr>
          <w:szCs w:val="24"/>
          <w:lang w:eastAsia="lt-LT"/>
        </w:rPr>
        <w:t xml:space="preserve"> dalyvavimą ir jo vadovaujamą vaidmenį prie Spaudos rūmų patvirtina ir ikiteisminio tyrimo pareigūno apklaustų liudytojų 3-iojo bataliono kariškių parodymai, perskaityti teisiamajame posėdyje (t.</w:t>
      </w:r>
      <w:r>
        <w:rPr>
          <w:szCs w:val="24"/>
          <w:lang w:eastAsia="lt-LT"/>
        </w:rPr>
        <w:t> </w:t>
      </w:r>
      <w:r w:rsidRPr="00C00255">
        <w:rPr>
          <w:szCs w:val="24"/>
          <w:lang w:eastAsia="lt-LT"/>
        </w:rPr>
        <w:t>758, b. l. 47, 49–51). Teisėjų kolegija pažymi, jog nemažas skaičius liudytojais apklaustų minėto bataliono kariškių – pavyzdžiui, V. B</w:t>
      </w:r>
      <w:r>
        <w:rPr>
          <w:szCs w:val="24"/>
          <w:lang w:eastAsia="lt-LT"/>
        </w:rPr>
        <w:t>.</w:t>
      </w:r>
      <w:r w:rsidRPr="00C00255">
        <w:rPr>
          <w:szCs w:val="24"/>
          <w:lang w:eastAsia="lt-LT"/>
        </w:rPr>
        <w:t>, A. P</w:t>
      </w:r>
      <w:r>
        <w:rPr>
          <w:szCs w:val="24"/>
          <w:lang w:eastAsia="lt-LT"/>
        </w:rPr>
        <w:t>.</w:t>
      </w:r>
      <w:r w:rsidRPr="00C00255">
        <w:rPr>
          <w:szCs w:val="24"/>
          <w:lang w:eastAsia="lt-LT"/>
        </w:rPr>
        <w:t>, M. N</w:t>
      </w:r>
      <w:r>
        <w:rPr>
          <w:szCs w:val="24"/>
          <w:lang w:eastAsia="lt-LT"/>
        </w:rPr>
        <w:t>.</w:t>
      </w:r>
      <w:r w:rsidRPr="00C00255">
        <w:rPr>
          <w:szCs w:val="24"/>
          <w:lang w:eastAsia="lt-LT"/>
        </w:rPr>
        <w:t xml:space="preserve">, </w:t>
      </w:r>
      <w:r>
        <w:rPr>
          <w:szCs w:val="24"/>
          <w:lang w:eastAsia="lt-LT"/>
        </w:rPr>
        <w:t>D. J.</w:t>
      </w:r>
      <w:r w:rsidRPr="00C00255">
        <w:rPr>
          <w:szCs w:val="24"/>
          <w:lang w:eastAsia="lt-LT"/>
        </w:rPr>
        <w:t>, V. G</w:t>
      </w:r>
      <w:r>
        <w:rPr>
          <w:szCs w:val="24"/>
          <w:lang w:eastAsia="lt-LT"/>
        </w:rPr>
        <w:t>.</w:t>
      </w:r>
      <w:r w:rsidRPr="00C00255">
        <w:rPr>
          <w:szCs w:val="24"/>
          <w:lang w:eastAsia="lt-LT"/>
        </w:rPr>
        <w:t>o, O. G</w:t>
      </w:r>
      <w:r>
        <w:rPr>
          <w:szCs w:val="24"/>
          <w:lang w:eastAsia="lt-LT"/>
        </w:rPr>
        <w:t>.</w:t>
      </w:r>
      <w:r w:rsidRPr="00C00255">
        <w:rPr>
          <w:szCs w:val="24"/>
          <w:lang w:eastAsia="lt-LT"/>
        </w:rPr>
        <w:t>, O. M</w:t>
      </w:r>
      <w:r>
        <w:rPr>
          <w:szCs w:val="24"/>
          <w:lang w:eastAsia="lt-LT"/>
        </w:rPr>
        <w:t>.</w:t>
      </w:r>
      <w:r w:rsidRPr="00C00255">
        <w:rPr>
          <w:szCs w:val="24"/>
          <w:lang w:eastAsia="lt-LT"/>
        </w:rPr>
        <w:t xml:space="preserve">, </w:t>
      </w:r>
      <w:r>
        <w:rPr>
          <w:szCs w:val="24"/>
          <w:lang w:eastAsia="lt-LT"/>
        </w:rPr>
        <w:t>A. S.</w:t>
      </w:r>
      <w:r w:rsidRPr="00C00255">
        <w:rPr>
          <w:szCs w:val="24"/>
          <w:lang w:eastAsia="lt-LT"/>
        </w:rPr>
        <w:t xml:space="preserve"> – kaip asmenį, tiesiogiai susijusį su įvykiais prie Spaudos rūmų, įvardijo ir </w:t>
      </w:r>
      <w:r>
        <w:rPr>
          <w:szCs w:val="24"/>
          <w:lang w:eastAsia="lt-LT"/>
        </w:rPr>
        <w:t>A. G. 2</w:t>
      </w:r>
      <w:r w:rsidRPr="00C00255">
        <w:rPr>
          <w:szCs w:val="24"/>
          <w:lang w:eastAsia="lt-LT"/>
        </w:rPr>
        <w:t xml:space="preserve">. Atskirai pabrėžtini 8-ajai kuopai priklausiusio liudytojo </w:t>
      </w:r>
      <w:r>
        <w:rPr>
          <w:szCs w:val="24"/>
          <w:lang w:eastAsia="lt-LT"/>
        </w:rPr>
        <w:t>A. S.</w:t>
      </w:r>
      <w:r w:rsidRPr="00C00255">
        <w:rPr>
          <w:szCs w:val="24"/>
          <w:lang w:eastAsia="lt-LT"/>
        </w:rPr>
        <w:t xml:space="preserve"> parodymai. Pastarasis nurodė, kad sausio 10 arba 11 dienos metu jų kuopos desantininkai pagal 8-osios kuopos vado vyresniojo leitenanto </w:t>
      </w:r>
      <w:r>
        <w:rPr>
          <w:szCs w:val="24"/>
          <w:lang w:eastAsia="lt-LT"/>
        </w:rPr>
        <w:t>A. G. 2</w:t>
      </w:r>
      <w:r w:rsidRPr="00C00255">
        <w:rPr>
          <w:szCs w:val="24"/>
          <w:lang w:eastAsia="lt-LT"/>
        </w:rPr>
        <w:t xml:space="preserve"> įsakymą buvo susodinti į automobilius „URAL“ ir išvažiavo vykdyti kuopos vado užduoties – užtikrinti 237-ojo pulko desantininkams išėjimą iš Spaudos rūmų pastato (t. 431, 102–105; t. 118, b. l. 169–174). Atitinkamai liudytojai A. P</w:t>
      </w:r>
      <w:r>
        <w:rPr>
          <w:szCs w:val="24"/>
          <w:lang w:eastAsia="lt-LT"/>
        </w:rPr>
        <w:t>.</w:t>
      </w:r>
      <w:r w:rsidRPr="00C00255">
        <w:rPr>
          <w:szCs w:val="24"/>
          <w:lang w:eastAsia="lt-LT"/>
        </w:rPr>
        <w:t xml:space="preserve"> (t. 431, b. l. 98–101; t. 118, b. l. 164–168) ir M. N</w:t>
      </w:r>
      <w:r>
        <w:rPr>
          <w:szCs w:val="24"/>
          <w:lang w:eastAsia="lt-LT"/>
        </w:rPr>
        <w:t>.</w:t>
      </w:r>
      <w:r w:rsidRPr="00C00255">
        <w:rPr>
          <w:szCs w:val="24"/>
          <w:lang w:eastAsia="lt-LT"/>
        </w:rPr>
        <w:t xml:space="preserve"> (t. 431, b. l. 116–119; t. </w:t>
      </w:r>
      <w:r w:rsidRPr="00C00255">
        <w:rPr>
          <w:rFonts w:eastAsia="Calibri"/>
          <w:szCs w:val="22"/>
        </w:rPr>
        <w:t xml:space="preserve">118, b. l. 195–199) </w:t>
      </w:r>
      <w:r w:rsidRPr="00C00255">
        <w:rPr>
          <w:szCs w:val="24"/>
          <w:lang w:eastAsia="lt-LT"/>
        </w:rPr>
        <w:t xml:space="preserve">nurodė, kad su užduotimi prasimušti pro minią į Spaudos rūmus juos supažindino bei kaip tai atlikti instruktavo vyresnysis leitenantas </w:t>
      </w:r>
      <w:r>
        <w:rPr>
          <w:szCs w:val="24"/>
          <w:lang w:eastAsia="lt-LT"/>
        </w:rPr>
        <w:t>A. G. 2</w:t>
      </w:r>
      <w:r w:rsidRPr="00C00255">
        <w:rPr>
          <w:szCs w:val="24"/>
          <w:lang w:eastAsia="lt-LT"/>
        </w:rPr>
        <w:t xml:space="preserve"> kartu su majoru V. S</w:t>
      </w:r>
      <w:r>
        <w:rPr>
          <w:szCs w:val="24"/>
          <w:lang w:eastAsia="lt-LT"/>
        </w:rPr>
        <w:t>. 2</w:t>
      </w:r>
      <w:r w:rsidRPr="00C00255">
        <w:rPr>
          <w:szCs w:val="24"/>
          <w:lang w:eastAsia="lt-LT"/>
        </w:rPr>
        <w:t>. Savo ruožtu liudytojai V. G</w:t>
      </w:r>
      <w:r>
        <w:rPr>
          <w:szCs w:val="24"/>
          <w:lang w:eastAsia="lt-LT"/>
        </w:rPr>
        <w:t>.</w:t>
      </w:r>
      <w:r w:rsidRPr="00C00255">
        <w:rPr>
          <w:szCs w:val="24"/>
          <w:lang w:eastAsia="lt-LT"/>
        </w:rPr>
        <w:t xml:space="preserve"> </w:t>
      </w:r>
      <w:r w:rsidRPr="00C00255">
        <w:t>(t. 431, b. l. 130–134; t. 118, b. l. 214–222)</w:t>
      </w:r>
      <w:r w:rsidRPr="00C00255">
        <w:rPr>
          <w:szCs w:val="24"/>
          <w:lang w:eastAsia="lt-LT"/>
        </w:rPr>
        <w:t xml:space="preserve">, </w:t>
      </w:r>
      <w:r>
        <w:rPr>
          <w:szCs w:val="24"/>
          <w:lang w:eastAsia="lt-LT"/>
        </w:rPr>
        <w:t>D. J.</w:t>
      </w:r>
      <w:r w:rsidRPr="00C00255">
        <w:rPr>
          <w:szCs w:val="24"/>
          <w:lang w:eastAsia="lt-LT"/>
        </w:rPr>
        <w:t xml:space="preserve"> </w:t>
      </w:r>
      <w:r w:rsidRPr="00C00255">
        <w:rPr>
          <w:color w:val="000000"/>
          <w:szCs w:val="24"/>
        </w:rPr>
        <w:t>(t. 431, b. l. 120–124</w:t>
      </w:r>
      <w:r w:rsidRPr="00C00255">
        <w:rPr>
          <w:szCs w:val="24"/>
        </w:rPr>
        <w:t>; t. 118, b. l. 200–208)</w:t>
      </w:r>
      <w:r w:rsidRPr="00C00255">
        <w:rPr>
          <w:szCs w:val="24"/>
          <w:lang w:eastAsia="lt-LT"/>
        </w:rPr>
        <w:t xml:space="preserve"> ir A. G</w:t>
      </w:r>
      <w:r>
        <w:rPr>
          <w:szCs w:val="24"/>
          <w:lang w:eastAsia="lt-LT"/>
        </w:rPr>
        <w:t>.</w:t>
      </w:r>
      <w:r w:rsidRPr="00C00255">
        <w:rPr>
          <w:szCs w:val="24"/>
          <w:lang w:eastAsia="lt-LT"/>
        </w:rPr>
        <w:t xml:space="preserve"> (t.</w:t>
      </w:r>
      <w:r>
        <w:rPr>
          <w:szCs w:val="24"/>
          <w:lang w:eastAsia="lt-LT"/>
        </w:rPr>
        <w:t> </w:t>
      </w:r>
      <w:r w:rsidRPr="00C00255">
        <w:rPr>
          <w:szCs w:val="24"/>
          <w:lang w:eastAsia="lt-LT"/>
        </w:rPr>
        <w:t xml:space="preserve">431, b. l. 153–157; t. 118, b. l. 256–260) nurodė, kad prieš minėtą operaciją apkabas su šoviniais kareiviams išdalino taipogi </w:t>
      </w:r>
      <w:r>
        <w:rPr>
          <w:szCs w:val="24"/>
          <w:lang w:eastAsia="lt-LT"/>
        </w:rPr>
        <w:t>A. G. 2</w:t>
      </w:r>
      <w:r w:rsidRPr="00C00255">
        <w:rPr>
          <w:szCs w:val="24"/>
          <w:lang w:eastAsia="lt-LT"/>
        </w:rPr>
        <w:t xml:space="preserve">. Aptarti liudytojų parodymai ne tik atitinka vieni kitus, bet ir papildo jau minėtos Ginklų ir šaudmenų išdavimo 8-ojoje kuopoje knygos duomenis apie tai, kad būtent </w:t>
      </w:r>
      <w:r>
        <w:rPr>
          <w:szCs w:val="24"/>
          <w:lang w:eastAsia="lt-LT"/>
        </w:rPr>
        <w:t>A. G. 2</w:t>
      </w:r>
      <w:r w:rsidRPr="00C00255">
        <w:rPr>
          <w:szCs w:val="24"/>
          <w:lang w:eastAsia="lt-LT"/>
        </w:rPr>
        <w:t xml:space="preserve"> šioje knygoje pasirašinėjo kaip asmuo, suteikdavęs leidimą išduoti ginklus kitiems kariškiams. Teisėjų kolegija pritaria skundžiamame nuosprendyje padarytai išvadai, kad 234-ojo pulko 8-osios kuopos vadas </w:t>
      </w:r>
      <w:r>
        <w:rPr>
          <w:szCs w:val="24"/>
          <w:lang w:eastAsia="lt-LT"/>
        </w:rPr>
        <w:t>A. G. 2</w:t>
      </w:r>
      <w:r w:rsidRPr="00C00255">
        <w:rPr>
          <w:szCs w:val="24"/>
          <w:lang w:eastAsia="lt-LT"/>
        </w:rPr>
        <w:t xml:space="preserve"> ne tik dalyvavo Spaudos rūmų užėmimo operacijoje, bet buvo vienu iš vadovaujančias pareigas užėmusių kariškių, kuris dalino šaudmenis bei instruktavo kaip veikti operacijos metu. </w:t>
      </w:r>
    </w:p>
    <w:p w:rsidR="00DA38E9" w:rsidRPr="00C00255" w:rsidRDefault="00DA38E9" w:rsidP="00DA38E9">
      <w:pPr>
        <w:pStyle w:val="Heading4"/>
        <w:spacing w:before="120" w:after="120"/>
        <w:ind w:firstLine="992"/>
        <w:rPr>
          <w:rFonts w:ascii="Times New Roman" w:hAnsi="Times New Roman"/>
          <w:b w:val="0"/>
          <w:i/>
          <w:sz w:val="24"/>
        </w:rPr>
      </w:pPr>
      <w:r w:rsidRPr="00C00255">
        <w:rPr>
          <w:rFonts w:ascii="Times New Roman" w:hAnsi="Times New Roman"/>
          <w:b w:val="0"/>
          <w:i/>
          <w:sz w:val="24"/>
        </w:rPr>
        <w:t xml:space="preserve">Dėl nuteistojo </w:t>
      </w:r>
      <w:r>
        <w:rPr>
          <w:rFonts w:ascii="Times New Roman" w:hAnsi="Times New Roman"/>
          <w:b w:val="0"/>
          <w:i/>
          <w:sz w:val="24"/>
        </w:rPr>
        <w:t>E. M.</w:t>
      </w:r>
      <w:r w:rsidRPr="00C00255">
        <w:rPr>
          <w:rFonts w:ascii="Times New Roman" w:hAnsi="Times New Roman"/>
          <w:b w:val="0"/>
          <w:i/>
          <w:sz w:val="24"/>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 xml:space="preserve">Teisėjų kolegija laiko pagrįsta ir pirmosios instancijos teismo išvadą, kad TSRS GM 76-osios oro desanto divizijos 234-ojo pulko 8-osios kuopos būrio vadas leitenantas E. M. kartu su kitais šio pulko 3-iojo bataliono kariškiais trimis automobiliais „URAL“ atvyko prie Spaudos rūmų ir buvo vienu iš bataliono kariškiams vadovavusių asmenų juos šturmuojant. Apygardos teismas E. M. dalyvavimą įvykiuose prie Spaudos rūmų grindė jo paties ir nuteistojo A. G. 2 parodymais bei kitų 3-iojo bataliono kariškių – liudytojų R. A., O. M., N. G., A. S., O. G. – parodymais.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Nuteistojo gynėja apeliaciniame skunde teigia, kad </w:t>
      </w:r>
      <w:r>
        <w:rPr>
          <w:szCs w:val="24"/>
          <w:lang w:eastAsia="lt-LT"/>
        </w:rPr>
        <w:t>E. M.</w:t>
      </w:r>
      <w:r w:rsidRPr="00C00255">
        <w:rPr>
          <w:szCs w:val="24"/>
          <w:lang w:eastAsia="lt-LT"/>
        </w:rPr>
        <w:t xml:space="preserve"> kaltė grindžiama tik prielaidomis ir duomenimis, kurie pažeidžia nekaltumo prezumpciją – nuteistųjų, apklaustų liudytojais, parodymais ir šiais parodymais pagrįsta 2014 m.</w:t>
      </w:r>
      <w:r w:rsidRPr="00C00255">
        <w:t xml:space="preserve"> birželio 10 d. specialisto J. Andriškevičiaus išvada. Su tokia gynybos pozicija teisėjų kolegija nesutinka ir pažymi, kad </w:t>
      </w:r>
      <w:r>
        <w:t>E. M.</w:t>
      </w:r>
      <w:r w:rsidRPr="00C00255">
        <w:t xml:space="preserve"> dalyvavimą įvykiuose prie Spaudos rūmų ir vadovavimą daliai 234-ojo pulko 3-iojo bataliono kariškių, patvirtina ir kiti įrodymai bei byloje surinktų įrodymų visuma.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Pr>
          <w:szCs w:val="24"/>
          <w:lang w:eastAsia="lt-LT"/>
        </w:rPr>
        <w:t>E. M.</w:t>
      </w:r>
      <w:r w:rsidRPr="00C00255">
        <w:rPr>
          <w:szCs w:val="24"/>
          <w:lang w:eastAsia="lt-LT"/>
        </w:rPr>
        <w:t xml:space="preserve"> dalyvavimą Spaudos rūmų šturme patvirtina jau ne kartą minėti įrodymai, nurodyti šio sprendimo </w:t>
      </w:r>
      <w:r w:rsidRPr="00C00255">
        <w:rPr>
          <w:color w:val="000000"/>
          <w:szCs w:val="24"/>
          <w:lang w:eastAsia="lt-LT" w:bidi="lt-LT"/>
        </w:rPr>
        <w:t>dalyje „</w:t>
      </w:r>
      <w:r w:rsidRPr="00C00255">
        <w:rPr>
          <w:i/>
          <w:color w:val="000000"/>
          <w:szCs w:val="24"/>
          <w:lang w:eastAsia="lt-LT" w:bidi="lt-LT"/>
        </w:rPr>
        <w:t xml:space="preserve">Dėl nuteistojo </w:t>
      </w:r>
      <w:r>
        <w:rPr>
          <w:i/>
          <w:color w:val="000000"/>
          <w:szCs w:val="24"/>
          <w:lang w:eastAsia="lt-LT" w:bidi="lt-LT"/>
        </w:rPr>
        <w:t>V. S. 2</w:t>
      </w:r>
      <w:r w:rsidRPr="00C00255">
        <w:rPr>
          <w:i/>
          <w:color w:val="000000"/>
          <w:szCs w:val="24"/>
          <w:lang w:eastAsia="lt-LT" w:bidi="lt-LT"/>
        </w:rPr>
        <w:t xml:space="preserve"> </w:t>
      </w:r>
      <w:r w:rsidRPr="00C00255">
        <w:rPr>
          <w:i/>
          <w:szCs w:val="24"/>
          <w:lang w:eastAsia="lt-LT" w:bidi="lt-LT"/>
        </w:rPr>
        <w:t xml:space="preserve">dalyvavimo </w:t>
      </w:r>
      <w:r w:rsidRPr="00C00255">
        <w:rPr>
          <w:i/>
          <w:szCs w:val="24"/>
          <w:lang w:eastAsia="lt-LT"/>
        </w:rPr>
        <w:t>užimant Spaudos rūmus</w:t>
      </w:r>
      <w:r w:rsidRPr="00C00255">
        <w:rPr>
          <w:szCs w:val="24"/>
          <w:lang w:eastAsia="lt-LT"/>
        </w:rPr>
        <w:t>“</w:t>
      </w:r>
      <w:r w:rsidRPr="00C00255">
        <w:rPr>
          <w:color w:val="000000"/>
          <w:szCs w:val="24"/>
          <w:lang w:eastAsia="lt-LT" w:bidi="lt-LT"/>
        </w:rPr>
        <w:t xml:space="preserve">. Iš jų matyti, kad TSRS GM </w:t>
      </w:r>
      <w:r w:rsidRPr="00C00255">
        <w:rPr>
          <w:szCs w:val="24"/>
          <w:lang w:eastAsia="lt-LT"/>
        </w:rPr>
        <w:t xml:space="preserve">76-osios oro desanto divizijos 234-ojo pulko 3-iojo bataliono kariškiai trimis „URAL“ automobiliais 1991 m. sausio 11 d. atvyko prie Spaudos rūmų ir ginkluoti automatiniais ginklais bandė patekti prie šio pastato pro jį apsupusius civilius. Iš byloje esančio karių, dalyvavusių 1991 m. sausio 13 d. Vilniaus mieste užimant saugoti TV bokštą ir LRT, sąrašo matyti, kad 234-ojo pulko 8-osios parašiutininkų desantininkų kuopos vienu iš vyriausiųjų kariškių įvykiuose prie TV bokšto buvo leitenantas </w:t>
      </w:r>
      <w:r>
        <w:rPr>
          <w:szCs w:val="24"/>
          <w:lang w:eastAsia="lt-LT"/>
        </w:rPr>
        <w:t>E. M.</w:t>
      </w:r>
      <w:r w:rsidRPr="00C00255">
        <w:rPr>
          <w:szCs w:val="24"/>
          <w:lang w:eastAsia="lt-LT"/>
        </w:rPr>
        <w:t>, kurio karinis laipsnis kuopoje buvo žemesnis tik už kuopos vado vyr.</w:t>
      </w:r>
      <w:r>
        <w:rPr>
          <w:szCs w:val="24"/>
          <w:lang w:eastAsia="lt-LT"/>
        </w:rPr>
        <w:t> </w:t>
      </w:r>
      <w:r w:rsidRPr="00C00255">
        <w:rPr>
          <w:szCs w:val="24"/>
          <w:lang w:eastAsia="lt-LT"/>
        </w:rPr>
        <w:t xml:space="preserve">leitenanto </w:t>
      </w:r>
      <w:r>
        <w:rPr>
          <w:szCs w:val="24"/>
          <w:lang w:eastAsia="lt-LT"/>
        </w:rPr>
        <w:t>A. G. 2</w:t>
      </w:r>
      <w:r w:rsidRPr="00C00255">
        <w:rPr>
          <w:szCs w:val="24"/>
          <w:lang w:eastAsia="lt-LT"/>
        </w:rPr>
        <w:t xml:space="preserve"> (t. 429, b. l. 98; t. 116, b. l. 133–137). Atitinkamai iš kovinės technikos, automobilių ir karių veikusių prie TV bokšto sąrašo matyti, kad </w:t>
      </w:r>
      <w:r>
        <w:rPr>
          <w:szCs w:val="24"/>
          <w:lang w:eastAsia="lt-LT"/>
        </w:rPr>
        <w:t>E. M.</w:t>
      </w:r>
      <w:r w:rsidRPr="00C00255">
        <w:rPr>
          <w:szCs w:val="24"/>
          <w:lang w:eastAsia="lt-LT"/>
        </w:rPr>
        <w:t xml:space="preserve"> buvo vieno iš karinių automobilių ekipažo vadas (t. 427, b. l. 151; t. 114, b. l. 185). Taigi artimu sausio 11 d. įvykiams metu </w:t>
      </w:r>
      <w:r>
        <w:rPr>
          <w:szCs w:val="24"/>
          <w:lang w:eastAsia="lt-LT"/>
        </w:rPr>
        <w:t>E. M.</w:t>
      </w:r>
      <w:r w:rsidRPr="00C00255">
        <w:rPr>
          <w:szCs w:val="24"/>
          <w:lang w:eastAsia="lt-LT"/>
        </w:rPr>
        <w:t xml:space="preserve"> buvo Lietuvoje ir užėmė aukštas pareigas kuopoje, kuri įėjo į įvykiuose prie Spaudos rūmų dalyvavusio 3-iojo bataliono sudėtį. Aplinkybę, kad </w:t>
      </w:r>
      <w:r>
        <w:rPr>
          <w:szCs w:val="24"/>
          <w:lang w:eastAsia="lt-LT"/>
        </w:rPr>
        <w:t>E. M.</w:t>
      </w:r>
      <w:r w:rsidRPr="00C00255">
        <w:rPr>
          <w:szCs w:val="24"/>
          <w:lang w:eastAsia="lt-LT"/>
        </w:rPr>
        <w:t xml:space="preserve"> buvo vienu iš šios kuopos vadų patvirtina ir Ginklų ir šaudmenų išdavimo 8-ojoje kuopoje knygos įrašai apie tai, kad artimu įvykiams prie Spaudos rūmų metu </w:t>
      </w:r>
      <w:r>
        <w:rPr>
          <w:szCs w:val="24"/>
          <w:lang w:eastAsia="lt-LT"/>
        </w:rPr>
        <w:t>E. M.</w:t>
      </w:r>
      <w:r w:rsidRPr="00C00255">
        <w:rPr>
          <w:szCs w:val="24"/>
          <w:lang w:eastAsia="lt-LT"/>
        </w:rPr>
        <w:t xml:space="preserve"> buvo išduotos net kelios dešimtys ginklų AKS-74, o šių ginklų išdavimą parašu patvirtino </w:t>
      </w:r>
      <w:r>
        <w:rPr>
          <w:szCs w:val="24"/>
          <w:lang w:eastAsia="lt-LT"/>
        </w:rPr>
        <w:t>A. G. 2</w:t>
      </w:r>
      <w:r w:rsidRPr="00C00255">
        <w:rPr>
          <w:szCs w:val="24"/>
          <w:lang w:eastAsia="lt-LT"/>
        </w:rPr>
        <w:t xml:space="preserve"> (t. 476, b. l. 138–141). Atitinkamai iš kitos tokio pobūdžio knygos, kurioje pasirašinėjo tik aukščiausio rango kariškiai, matyti, kad 1991</w:t>
      </w:r>
      <w:r>
        <w:rPr>
          <w:szCs w:val="24"/>
          <w:lang w:eastAsia="lt-LT"/>
        </w:rPr>
        <w:t> </w:t>
      </w:r>
      <w:r w:rsidRPr="00C00255">
        <w:rPr>
          <w:szCs w:val="24"/>
          <w:lang w:eastAsia="lt-LT"/>
        </w:rPr>
        <w:t>m.</w:t>
      </w:r>
      <w:r>
        <w:rPr>
          <w:szCs w:val="24"/>
          <w:lang w:eastAsia="lt-LT"/>
        </w:rPr>
        <w:t> </w:t>
      </w:r>
      <w:r w:rsidRPr="00C00255">
        <w:rPr>
          <w:szCs w:val="24"/>
          <w:lang w:eastAsia="lt-LT"/>
        </w:rPr>
        <w:t xml:space="preserve">sausio pradžioje </w:t>
      </w:r>
      <w:r>
        <w:rPr>
          <w:szCs w:val="24"/>
          <w:lang w:eastAsia="lt-LT"/>
        </w:rPr>
        <w:t>E. M.</w:t>
      </w:r>
      <w:r w:rsidRPr="00C00255">
        <w:rPr>
          <w:szCs w:val="24"/>
          <w:lang w:eastAsia="lt-LT"/>
        </w:rPr>
        <w:t xml:space="preserve"> išduoti 5,45 mm (600 vnt.) ir 9 mm kalibro šoviniai (t. 476, b. l. 175). Teisėjų kolegijos vertinimu, šių duomenų visuma ne tik leidžia daryti išvadą apie </w:t>
      </w:r>
      <w:r>
        <w:rPr>
          <w:szCs w:val="24"/>
          <w:lang w:eastAsia="lt-LT"/>
        </w:rPr>
        <w:t>E. M.</w:t>
      </w:r>
      <w:r w:rsidRPr="00C00255">
        <w:rPr>
          <w:szCs w:val="24"/>
          <w:lang w:eastAsia="lt-LT"/>
        </w:rPr>
        <w:t xml:space="preserve"> dalyvavimą įvykiuose prie Spaudos rūmų, bet ir apie aukštą jo rangą (pvz., galimybė disponuoti dideliu kiekiu ginklų ir šaudmenų) bei vadovaujančias pareigas šios operacijos metu. </w:t>
      </w:r>
    </w:p>
    <w:p w:rsidR="00DA38E9" w:rsidRPr="000E2C88"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 xml:space="preserve">Minėtų duomenų patikimumu leidžia įsitikinti ir ikiteisminio tyrimo metu apklaustų, liudytojų statusą šiame procese turinčių 3-iojo bataliono kariškių parodymai perskaityti teisiamajame posėdyje (t. 758, b. l. 49–50), ypač 8-osios kuopos instruktoriaus O. M. parodymai. Pastarasis nurodė, kad į Lietuvą iš Pskovo atvykusi 8-oji kuopa Vilniuje buvo pilnos sudėties, o jai vadovavo vyr. leitenantas A. G. 2, Vilniuje buvo ir kuopos 3-iojo būrio vadas leitenantas E. M. (t. 431, b. l. 46–48; t. 118, b. l. 64–70). Kitas 8-osios kuopos kariškis N. G. nurodė ne tik bendrą šios kuopos kareivių skaičių 1991 m. sausio įvykių metu, bet ir tai, kad šiai kuopai vadovavo vyr. leitenantas A. G. 2 ir taip pat 3-iojo būrio vadas leitenantas E. M. (t. 431, b. l. 60–68; t. 118, b. l. 102–107). </w:t>
      </w:r>
      <w:r w:rsidRPr="000E2C88">
        <w:rPr>
          <w:color w:val="000000"/>
          <w:szCs w:val="24"/>
          <w:lang w:eastAsia="lt-LT" w:bidi="lt-LT"/>
        </w:rPr>
        <w:t>Ypač svarbu pažymėti, jog tiek byloje esantys įrodymai, tiek minėti liudytojų parodymai, kuriais tikrinamas byloje esančių įrodymų patikimumas, kaip vieną iš šios kuopos vadų išskiria ne tik A. G. 2, tačiau ir antrą pagal rangą šios kuopos kariškį E. M.. Todėl, teisėjų kolegijos įsitikinimu, pirmosios instancijos teismo išvada apie vadovaujamą E. M. vaidmenį prie Spaudos rūmų yra patvirtinta logine grandine besijungiančia iš skirtingų šaltinių gauta duomenų visuma.</w:t>
      </w:r>
    </w:p>
    <w:p w:rsidR="00DA38E9" w:rsidRPr="00C00255" w:rsidRDefault="00DA38E9" w:rsidP="00DA38E9">
      <w:pPr>
        <w:pStyle w:val="Heading4"/>
        <w:spacing w:before="120" w:after="120"/>
        <w:ind w:firstLine="992"/>
        <w:rPr>
          <w:rFonts w:ascii="Times New Roman" w:hAnsi="Times New Roman"/>
          <w:b w:val="0"/>
          <w:i/>
        </w:rPr>
      </w:pPr>
      <w:r w:rsidRPr="00C00255">
        <w:rPr>
          <w:rFonts w:ascii="Times New Roman" w:hAnsi="Times New Roman"/>
          <w:b w:val="0"/>
          <w:i/>
          <w:sz w:val="24"/>
        </w:rPr>
        <w:t xml:space="preserve">Dėl nuteistojo </w:t>
      </w:r>
      <w:r>
        <w:rPr>
          <w:rFonts w:ascii="Times New Roman" w:hAnsi="Times New Roman"/>
          <w:b w:val="0"/>
          <w:i/>
          <w:sz w:val="24"/>
        </w:rPr>
        <w:t>S. M.</w:t>
      </w:r>
      <w:r w:rsidRPr="00C00255">
        <w:rPr>
          <w:rFonts w:ascii="Times New Roman" w:hAnsi="Times New Roman"/>
          <w:b w:val="0"/>
          <w:i/>
          <w:sz w:val="24"/>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 xml:space="preserve">Skundžiamu nuosprendžiu pagrįstai konstatuota ir tai, kad TSRS GM Pskovo 76-osios oro desanto divizijos 234-ojo pulko 7-osios kuopos vadas vyr. leitenantas S. M. kartu su kitais šio pulko 3-iojo bataliono kariškiais trimis automobiliais „URAL“ atvyko prie Spaudos rūmų ir buvo vienu iš bataliono kariškiams vadovavusių asmenų juos šturmuojant. Apygardos teismas S. M. dalyvavimą įvykiuose prie Spaudos rūmų grindė jo paties, kitų nuteistųjų S. K., V. K. 2, V. D. ir A. G. 2 parodymais bei kitų 3-iojo bataliono kariškių – liudytojų I. R., D. J. ir Š. B. parodymais. Teisėjų kolegija nesutinka su S. M. gynėjo teiginiais, kad faktinės aplinkybės, susijusios su jo ginamojo veiksmais, byloje yra grindžiamos prielaidomis ir tik nuteistųjų, apklaustų liudytojais, parodymais.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Kaip ir daugumos šioje dalyje minėtų nuteistųjų atveju, pabrėžtina, kad apie </w:t>
      </w:r>
      <w:r>
        <w:rPr>
          <w:szCs w:val="24"/>
          <w:lang w:eastAsia="lt-LT"/>
        </w:rPr>
        <w:t>S. M.</w:t>
      </w:r>
      <w:r w:rsidRPr="00C00255">
        <w:rPr>
          <w:szCs w:val="24"/>
          <w:lang w:eastAsia="lt-LT"/>
        </w:rPr>
        <w:t xml:space="preserve"> dalyvavimą Spaudos rūmų šturme galima spręsti ir iš </w:t>
      </w:r>
      <w:r w:rsidRPr="00C00255">
        <w:rPr>
          <w:color w:val="000000"/>
          <w:szCs w:val="24"/>
          <w:lang w:eastAsia="lt-LT" w:bidi="lt-LT"/>
        </w:rPr>
        <w:t>dalyje „</w:t>
      </w:r>
      <w:r w:rsidRPr="00C00255">
        <w:rPr>
          <w:i/>
          <w:color w:val="000000"/>
          <w:szCs w:val="24"/>
          <w:lang w:eastAsia="lt-LT" w:bidi="lt-LT"/>
        </w:rPr>
        <w:t xml:space="preserve">Dėl nuteistojo </w:t>
      </w:r>
      <w:r>
        <w:rPr>
          <w:i/>
          <w:color w:val="000000"/>
          <w:szCs w:val="24"/>
          <w:lang w:eastAsia="lt-LT" w:bidi="lt-LT"/>
        </w:rPr>
        <w:t>V. S. 2</w:t>
      </w:r>
      <w:r w:rsidRPr="00C00255">
        <w:rPr>
          <w:i/>
          <w:color w:val="000000"/>
          <w:szCs w:val="24"/>
          <w:lang w:eastAsia="lt-LT" w:bidi="lt-LT"/>
        </w:rPr>
        <w:t xml:space="preserve"> </w:t>
      </w:r>
      <w:r w:rsidRPr="00C00255">
        <w:rPr>
          <w:i/>
          <w:szCs w:val="24"/>
          <w:lang w:eastAsia="lt-LT" w:bidi="lt-LT"/>
        </w:rPr>
        <w:t xml:space="preserve">dalyvavimo </w:t>
      </w:r>
      <w:r w:rsidRPr="00C00255">
        <w:rPr>
          <w:i/>
          <w:szCs w:val="24"/>
          <w:lang w:eastAsia="lt-LT"/>
        </w:rPr>
        <w:t>užimant Spaudos rūmus</w:t>
      </w:r>
      <w:r w:rsidRPr="00C00255">
        <w:rPr>
          <w:szCs w:val="24"/>
          <w:lang w:eastAsia="lt-LT"/>
        </w:rPr>
        <w:t>“</w:t>
      </w:r>
      <w:r w:rsidRPr="00C00255">
        <w:rPr>
          <w:i/>
          <w:color w:val="000000"/>
          <w:szCs w:val="24"/>
          <w:lang w:eastAsia="lt-LT" w:bidi="lt-LT"/>
        </w:rPr>
        <w:t xml:space="preserve"> </w:t>
      </w:r>
      <w:r w:rsidRPr="00C00255">
        <w:rPr>
          <w:color w:val="000000"/>
          <w:szCs w:val="24"/>
          <w:lang w:eastAsia="lt-LT" w:bidi="lt-LT"/>
        </w:rPr>
        <w:t xml:space="preserve">nurodytų duomenų. Iš minėtoje dalyje aptartų bylos duomenų matyti, kad TSRS GM </w:t>
      </w:r>
      <w:r w:rsidRPr="00C00255">
        <w:rPr>
          <w:szCs w:val="24"/>
          <w:lang w:eastAsia="lt-LT"/>
        </w:rPr>
        <w:t>76-osios oro desanto divizijos 234-ojo pulko 3-iojo bataliono kariškiai trimis „URAL“ automobiliais 1991 m. sausio 11 d. atvyko prie Spaudos rūmų ir ginkluoti automatiniais ginklais bandė patekti prie šio pastato pro jį apsupusius civilius. Iš byloje esančio karių, dalyvavusių 1991 m. sausio 13 d. Vilniaus mieste užimant saugoti TV</w:t>
      </w:r>
      <w:r>
        <w:rPr>
          <w:szCs w:val="24"/>
          <w:lang w:eastAsia="lt-LT"/>
        </w:rPr>
        <w:t> </w:t>
      </w:r>
      <w:r w:rsidRPr="00C00255">
        <w:rPr>
          <w:szCs w:val="24"/>
          <w:lang w:eastAsia="lt-LT"/>
        </w:rPr>
        <w:t xml:space="preserve">bokštą ir LRT, sąrašo matyti, kad 234-ojo pulko 7-osios parašiutininkų desantininkų kuopos vyriausiuoju buvo būtent </w:t>
      </w:r>
      <w:r>
        <w:rPr>
          <w:szCs w:val="24"/>
          <w:lang w:eastAsia="lt-LT"/>
        </w:rPr>
        <w:t>S. M.</w:t>
      </w:r>
      <w:r w:rsidRPr="00C00255">
        <w:rPr>
          <w:szCs w:val="24"/>
          <w:lang w:eastAsia="lt-LT"/>
        </w:rPr>
        <w:t xml:space="preserve"> (t. 429, b. l. 97; </w:t>
      </w:r>
      <w:r w:rsidRPr="00C00255">
        <w:rPr>
          <w:szCs w:val="24"/>
          <w:lang w:eastAsia="lt-LT" w:bidi="lt-LT"/>
        </w:rPr>
        <w:t>t. 116, b. l. 132–137</w:t>
      </w:r>
      <w:r w:rsidRPr="00C00255">
        <w:rPr>
          <w:szCs w:val="24"/>
          <w:lang w:eastAsia="lt-LT"/>
        </w:rPr>
        <w:t xml:space="preserve">). Šiame kontekste pažymėtini ir byloje esančios Ginklų ir šaudmenų išdavimo 7-ojoje kuopoje knygos įrašai apie tai, kad artimu sausio 11 d. įvykiams metu </w:t>
      </w:r>
      <w:r>
        <w:rPr>
          <w:szCs w:val="24"/>
          <w:lang w:eastAsia="lt-LT"/>
        </w:rPr>
        <w:t>S. M.</w:t>
      </w:r>
      <w:r w:rsidRPr="00C00255">
        <w:rPr>
          <w:szCs w:val="24"/>
          <w:lang w:eastAsia="lt-LT"/>
        </w:rPr>
        <w:t xml:space="preserve"> knygoje pasirašinėjo kaip atsakingas šios kuopos kariškis, kuriam buvo išduodami ginklai (t. 476, b. l. 129–133). Visa tai patvirtina, kad artimu sausio 11 d. įvykiams metu </w:t>
      </w:r>
      <w:r>
        <w:rPr>
          <w:szCs w:val="24"/>
          <w:lang w:eastAsia="lt-LT"/>
        </w:rPr>
        <w:t>S. M.</w:t>
      </w:r>
      <w:r w:rsidRPr="00C00255">
        <w:rPr>
          <w:szCs w:val="24"/>
          <w:lang w:eastAsia="lt-LT"/>
        </w:rPr>
        <w:t xml:space="preserve"> buvo Lietuvoje ir veikė kaip 7-osios kuopos, priklausiusios įvykiuose prie Spaudos rūmų dalyvavusio 3-iojo bataliono sudėčiai, vadas, turintis ir įgaliojimus išduoti ginklus. Pažymėtina ir tai, kad apeliaciniu skundu </w:t>
      </w:r>
      <w:r>
        <w:rPr>
          <w:szCs w:val="24"/>
          <w:lang w:eastAsia="lt-LT"/>
        </w:rPr>
        <w:t>S. M.</w:t>
      </w:r>
      <w:r w:rsidRPr="00C00255">
        <w:rPr>
          <w:szCs w:val="24"/>
          <w:lang w:eastAsia="lt-LT"/>
        </w:rPr>
        <w:t xml:space="preserve"> gynėjas neginčija jo ginamojo buvimo prie Spaudos rūmų fakto – ginčijamas tik jo atliktų veiksmų pobūdis. Taigi byloje yra iš kelių įrodymų šaltinių gautų duomenų, bylojančių apie </w:t>
      </w:r>
      <w:r>
        <w:rPr>
          <w:szCs w:val="24"/>
          <w:lang w:eastAsia="lt-LT"/>
        </w:rPr>
        <w:t>S. M.</w:t>
      </w:r>
      <w:r w:rsidRPr="00C00255">
        <w:rPr>
          <w:szCs w:val="24"/>
          <w:lang w:eastAsia="lt-LT"/>
        </w:rPr>
        <w:t xml:space="preserve"> vaidmenį aptariamuose įvykiuose.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Išvadą, kad </w:t>
      </w:r>
      <w:r>
        <w:rPr>
          <w:szCs w:val="24"/>
          <w:lang w:eastAsia="lt-LT"/>
        </w:rPr>
        <w:t>S. M.</w:t>
      </w:r>
      <w:r w:rsidRPr="00C00255">
        <w:rPr>
          <w:szCs w:val="24"/>
          <w:lang w:eastAsia="lt-LT"/>
        </w:rPr>
        <w:t xml:space="preserve"> dalyvavo įvykiuose prie Spaudos rūmų, patvirtina ir duomenys apie objekto šturmo 1991 m. sausio 11 d. metu jo patirtą kūno sužalojimą. 1991 m. sausio 19 d. paaiškinime </w:t>
      </w:r>
      <w:r>
        <w:rPr>
          <w:szCs w:val="24"/>
          <w:lang w:eastAsia="lt-LT"/>
        </w:rPr>
        <w:t>S. M.</w:t>
      </w:r>
      <w:r w:rsidRPr="00C00255">
        <w:rPr>
          <w:szCs w:val="24"/>
          <w:lang w:eastAsia="lt-LT"/>
        </w:rPr>
        <w:t xml:space="preserve"> nurodė, kad šį sužalojimą patyrė ne sausio 11 d., o sausio 13 d.: „dėl 1991 metų sausio 13 d. mano gautos traumos paaiškinu sekantį: prasiveržimo prie centrinio įėjimo metu gavau smūgį iš dešinės metaliniu daiktu į antakį &lt;...&gt; susidarė plėštinė antakio žaizda“ (t. 441, b. l. 135; t. 128, b. l. 116). Visgi iš bylos duomenų aiškiai matyti, kad šį sužalojimą jis patyrė prie Spaudos rūmų 1991 m. sausio 11 d., o jo paaiškinime nurodyta data yra klaidinga, tikėtina, nurodyta visus 1991 m. sausio įvykius siejant su sausio 13-ąja.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Tokias išvadas teisėjų kolegija daro, vertindama byloje surinktų duomenų apie šią traumą visumą. Pirmiausia, pažymėtina, kad pats </w:t>
      </w:r>
      <w:r>
        <w:rPr>
          <w:szCs w:val="24"/>
          <w:lang w:eastAsia="lt-LT"/>
        </w:rPr>
        <w:t>S. M.</w:t>
      </w:r>
      <w:r w:rsidRPr="00C00255">
        <w:rPr>
          <w:szCs w:val="24"/>
          <w:lang w:eastAsia="lt-LT"/>
        </w:rPr>
        <w:t xml:space="preserve"> jau minėtame paaiškinime tiksliai neįvardijo kurio pastato užėmimo metu patyrė traumą, tačiau apklaustas 1991 m. balandžio 1 d. jis nurodė, kad prie LRT (</w:t>
      </w:r>
      <w:r w:rsidRPr="00C00255">
        <w:rPr>
          <w:i/>
          <w:szCs w:val="24"/>
          <w:lang w:eastAsia="lt-LT"/>
        </w:rPr>
        <w:t>kolegijos pastaba</w:t>
      </w:r>
      <w:r w:rsidRPr="00C00255">
        <w:rPr>
          <w:szCs w:val="24"/>
          <w:lang w:eastAsia="lt-LT"/>
        </w:rPr>
        <w:t xml:space="preserve"> – sausio 13-ąją) sužalojimų nepatyrė (t. 436, b. l. 3–6, t. 123, b. l. 1–5). 1991 m. sausio 16 d. ekspertizės aktu Nr. 21 </w:t>
      </w:r>
      <w:r>
        <w:rPr>
          <w:szCs w:val="24"/>
          <w:lang w:eastAsia="lt-LT"/>
        </w:rPr>
        <w:t>S. M.</w:t>
      </w:r>
      <w:r w:rsidRPr="00C00255">
        <w:rPr>
          <w:szCs w:val="24"/>
          <w:lang w:eastAsia="lt-LT"/>
        </w:rPr>
        <w:t xml:space="preserve"> konstatuota paviršinė 2–4 parų senumo muštinė žaizda dešinio antakio srityje, atsiradusi veikiant kietu buku daiktu, kuris galėjo būti metalinis strypas (t. 441, b. l. 136; t.</w:t>
      </w:r>
      <w:r>
        <w:rPr>
          <w:szCs w:val="24"/>
          <w:lang w:eastAsia="lt-LT"/>
        </w:rPr>
        <w:t> </w:t>
      </w:r>
      <w:r w:rsidRPr="00C00255">
        <w:rPr>
          <w:szCs w:val="24"/>
          <w:lang w:eastAsia="lt-LT"/>
        </w:rPr>
        <w:t>128, b. l. 117–118). Tokia išvada, nors ir atitinka galimą sužalojimą sausio 13-ąją, tačiau nepaneigia sužalojimo galimybės ir sausio 11-ąją. Tokių išvadų patikimumą leidžia patikrinti ir ikiteisminio tyrimo metu apklaustų bei liudytojų statusą šiame procese turinčių 3-iojo bataliono kariškių parodymai, perskaityti teisiamajame posėdyje (žr. t. 758, b. l. 49; t. 760, b. l.</w:t>
      </w:r>
      <w:r>
        <w:rPr>
          <w:szCs w:val="24"/>
          <w:lang w:eastAsia="lt-LT"/>
        </w:rPr>
        <w:t> </w:t>
      </w:r>
      <w:r w:rsidRPr="00C00255">
        <w:rPr>
          <w:szCs w:val="24"/>
          <w:lang w:eastAsia="lt-LT"/>
        </w:rPr>
        <w:t>120, 122, 124). Liudytojai V. B</w:t>
      </w:r>
      <w:r>
        <w:rPr>
          <w:szCs w:val="24"/>
          <w:lang w:eastAsia="lt-LT"/>
        </w:rPr>
        <w:t>.</w:t>
      </w:r>
      <w:r w:rsidRPr="00C00255">
        <w:rPr>
          <w:szCs w:val="24"/>
          <w:lang w:eastAsia="lt-LT"/>
        </w:rPr>
        <w:t xml:space="preserve"> (t. 432, b. l. 93–97; t. 118, b. l. 154–157) ir </w:t>
      </w:r>
      <w:r>
        <w:rPr>
          <w:szCs w:val="24"/>
          <w:lang w:eastAsia="lt-LT"/>
        </w:rPr>
        <w:t>A. V.</w:t>
      </w:r>
      <w:r w:rsidRPr="00C00255">
        <w:rPr>
          <w:szCs w:val="24"/>
          <w:lang w:eastAsia="lt-LT"/>
        </w:rPr>
        <w:t xml:space="preserve"> (t. 436, b. l. 35–38, t. 123, b. l. 59–64) nurodė, kad </w:t>
      </w:r>
      <w:r>
        <w:rPr>
          <w:szCs w:val="24"/>
          <w:lang w:eastAsia="lt-LT"/>
        </w:rPr>
        <w:t>S. M.</w:t>
      </w:r>
      <w:r w:rsidRPr="00C00255">
        <w:rPr>
          <w:szCs w:val="24"/>
          <w:lang w:eastAsia="lt-LT"/>
        </w:rPr>
        <w:t xml:space="preserve"> Spaudos rūmų šturmo metu buvo prakirstas antakis. Liudytojas A. G</w:t>
      </w:r>
      <w:r>
        <w:rPr>
          <w:szCs w:val="24"/>
          <w:lang w:eastAsia="lt-LT"/>
        </w:rPr>
        <w:t>.</w:t>
      </w:r>
      <w:r w:rsidRPr="00C00255">
        <w:rPr>
          <w:szCs w:val="24"/>
          <w:lang w:eastAsia="lt-LT"/>
        </w:rPr>
        <w:t xml:space="preserve"> nurodė, kad po Spaudos rūmų operacijos po </w:t>
      </w:r>
      <w:r>
        <w:rPr>
          <w:szCs w:val="24"/>
          <w:lang w:eastAsia="lt-LT"/>
        </w:rPr>
        <w:t>S. M.</w:t>
      </w:r>
      <w:r w:rsidRPr="00C00255">
        <w:rPr>
          <w:szCs w:val="24"/>
          <w:lang w:eastAsia="lt-LT"/>
        </w:rPr>
        <w:t xml:space="preserve"> akimi matė mėlynę, o jam pačiam operacijos metu buvo prakirstas kairys skruostas (t. 436, b. l. 130–133; t. 123, b. l. 261–266). Taigi net iš trijų liudytojų parodymų matyti, kad </w:t>
      </w:r>
      <w:r>
        <w:rPr>
          <w:szCs w:val="24"/>
          <w:lang w:eastAsia="lt-LT"/>
        </w:rPr>
        <w:t>S. M.</w:t>
      </w:r>
      <w:r w:rsidRPr="00C00255">
        <w:rPr>
          <w:szCs w:val="24"/>
          <w:lang w:eastAsia="lt-LT"/>
        </w:rPr>
        <w:t xml:space="preserve"> minėtą traumą patyrė prie Spaudos rūmų. Be to, pažymėtina ir tai, kad jau minėtas A. G</w:t>
      </w:r>
      <w:r>
        <w:rPr>
          <w:szCs w:val="24"/>
          <w:lang w:eastAsia="lt-LT"/>
        </w:rPr>
        <w:t>.</w:t>
      </w:r>
      <w:r w:rsidRPr="00C00255">
        <w:rPr>
          <w:szCs w:val="24"/>
          <w:lang w:eastAsia="lt-LT"/>
        </w:rPr>
        <w:t xml:space="preserve"> lygiai taip pat kaip ir </w:t>
      </w:r>
      <w:r>
        <w:rPr>
          <w:szCs w:val="24"/>
          <w:lang w:eastAsia="lt-LT"/>
        </w:rPr>
        <w:t>S. M.</w:t>
      </w:r>
      <w:r w:rsidRPr="00C00255">
        <w:rPr>
          <w:szCs w:val="24"/>
          <w:lang w:eastAsia="lt-LT"/>
        </w:rPr>
        <w:t xml:space="preserve">, paaiškinime dėl jo patirtos traumos taip pat nurodė sausio 13-osios datą, nors ir nurodė, kad traumą patyrė prie Spaudos rūmų (t. 441, b. l. 182; t. 128, b. l. 161). Todėl darytina išvada, kad </w:t>
      </w:r>
      <w:r>
        <w:rPr>
          <w:szCs w:val="24"/>
          <w:lang w:eastAsia="lt-LT"/>
        </w:rPr>
        <w:t>S. M.</w:t>
      </w:r>
      <w:r w:rsidRPr="00C00255">
        <w:rPr>
          <w:szCs w:val="24"/>
          <w:lang w:eastAsia="lt-LT"/>
        </w:rPr>
        <w:t xml:space="preserve"> traumą patyrė būtent Spaudos rūmų šturmo metu, sausio 11-ąją, o ši aplinkybė paneigia ir </w:t>
      </w:r>
      <w:r>
        <w:rPr>
          <w:szCs w:val="24"/>
          <w:lang w:eastAsia="lt-LT"/>
        </w:rPr>
        <w:t>S. M.</w:t>
      </w:r>
      <w:r w:rsidRPr="00C00255">
        <w:rPr>
          <w:szCs w:val="24"/>
          <w:lang w:eastAsia="lt-LT"/>
        </w:rPr>
        <w:t xml:space="preserve"> gynėjo versiją, kad nuteistasis prie Spaudos rūmų tik buvo, bet šturme nedalyvavo.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Pr>
          <w:szCs w:val="24"/>
          <w:lang w:eastAsia="lt-LT"/>
        </w:rPr>
        <w:t>S. M.</w:t>
      </w:r>
      <w:r w:rsidRPr="00C00255">
        <w:rPr>
          <w:szCs w:val="24"/>
          <w:lang w:eastAsia="lt-LT"/>
        </w:rPr>
        <w:t xml:space="preserve"> gynėjas taip pat ginčija išvadą dėl jo ginamojo vadovaujamo vaidmens prie Spaudos rūmų. Teisėjų kolegija dėl panašaus pobūdžio argumentų ir Spaudos rūmų užėmimo metu dalyvavusių aukštesnio rango kariškių vadovaujančio vaidmens jau pasisakė. Kaip minėta, vien tai, kad </w:t>
      </w:r>
      <w:r>
        <w:rPr>
          <w:szCs w:val="24"/>
          <w:lang w:eastAsia="lt-LT"/>
        </w:rPr>
        <w:t>V. K. 1</w:t>
      </w:r>
      <w:r w:rsidRPr="00C00255">
        <w:rPr>
          <w:szCs w:val="24"/>
          <w:lang w:eastAsia="lt-LT"/>
        </w:rPr>
        <w:t xml:space="preserve">, būdamas ir vadovavimo karinei operacijai štabo nariu, ir atsakingu už visų kariškių veiksmų bendrą koordinavimą, vadovavo visiems Spaudos rūmų užėmimo operacijos metu dalyvavusiems kariškiams, nepaneigia fakto, jog jam pavaldūs kariškiai vadovavo atskiriems operacijoje dalyvavusiems padaliniams. Toks </w:t>
      </w:r>
      <w:r>
        <w:rPr>
          <w:szCs w:val="24"/>
          <w:lang w:eastAsia="lt-LT"/>
        </w:rPr>
        <w:t>V. K. 1</w:t>
      </w:r>
      <w:r w:rsidRPr="00C00255">
        <w:rPr>
          <w:szCs w:val="24"/>
          <w:lang w:eastAsia="lt-LT"/>
        </w:rPr>
        <w:t xml:space="preserve"> vaidmuo niekaip neeliminuoja nustatyto kitų atskirų 3-iojo bataliono karinių vienetų vadovų – šiuo atveju 234-ojo pulko 7-osios kuopos vado </w:t>
      </w:r>
      <w:r>
        <w:rPr>
          <w:szCs w:val="24"/>
          <w:lang w:eastAsia="lt-LT"/>
        </w:rPr>
        <w:t>S. M.</w:t>
      </w:r>
      <w:r w:rsidRPr="00C00255">
        <w:rPr>
          <w:szCs w:val="24"/>
          <w:lang w:eastAsia="lt-LT"/>
        </w:rPr>
        <w:t xml:space="preserve"> – vadovaujančio vaidmens toje pačioje operacijoje. </w:t>
      </w:r>
    </w:p>
    <w:p w:rsidR="00DA38E9" w:rsidRPr="000E2C88" w:rsidRDefault="00DA38E9" w:rsidP="00DA38E9">
      <w:pPr>
        <w:pStyle w:val="ListParagraph"/>
        <w:numPr>
          <w:ilvl w:val="0"/>
          <w:numId w:val="6"/>
        </w:numPr>
        <w:spacing w:before="120" w:after="120"/>
        <w:ind w:left="992" w:hanging="992"/>
        <w:contextualSpacing w:val="0"/>
      </w:pPr>
      <w:r w:rsidRPr="000E2C88">
        <w:rPr>
          <w:color w:val="000000"/>
          <w:szCs w:val="24"/>
          <w:lang w:eastAsia="lt-LT" w:bidi="lt-LT"/>
        </w:rPr>
        <w:t>Teisėjų kolegijos vidinį įsitikinimą dėl S. M. vadovaujančio vaidmens</w:t>
      </w:r>
      <w:r w:rsidRPr="000E2C88">
        <w:rPr>
          <w:szCs w:val="24"/>
          <w:lang w:eastAsia="lt-LT"/>
        </w:rPr>
        <w:t xml:space="preserve"> patvirtina ir byloje ikiteisminio tyrimo metu apklaustų kariškių parodymai, kurių teisminio nagrinėjimo metu nebuvo galimybės apklausti, juos vertinant bendrame įrodymų kontekste. Pažymėtina, jog jau minėtas liudytojas 7-osios kuopos kariškis A. V. nurodė, kad būtent kuopos vadas S. M. jam davė tuščių šovinių ir pravedė instruktažą kaip naudotis ginklu prie Spaudos rūmų. Liudytojas A. Z. nurodė, jog būtent S. M. 7-ajai kuopai pranešė, kad prie Spaudos rūmų vyksta demonstracijos, o jie vyksta siekiant užkirsti kelią konfliktams (t. 436, b. l. 141–145; t. 123, b.</w:t>
      </w:r>
      <w:r w:rsidR="00361401" w:rsidRPr="000E2C88">
        <w:rPr>
          <w:szCs w:val="24"/>
          <w:lang w:eastAsia="lt-LT"/>
        </w:rPr>
        <w:t> </w:t>
      </w:r>
      <w:r w:rsidRPr="000E2C88">
        <w:rPr>
          <w:szCs w:val="24"/>
          <w:lang w:eastAsia="lt-LT"/>
        </w:rPr>
        <w:t xml:space="preserve">l. 281–295; t. 760, b. l. 124). Visų šių aplinkybių kontekste, turint omenyje ir faktą, kad 234-ojo pulko 7-osios kuopos kariškiai </w:t>
      </w:r>
      <w:r w:rsidRPr="000E2C88">
        <w:t xml:space="preserve">priklausė </w:t>
      </w:r>
      <w:r w:rsidRPr="000E2C88">
        <w:rPr>
          <w:rFonts w:eastAsia="Calibri"/>
        </w:rPr>
        <w:t>oro desanto divizijai, apygardos teismo išvada apie S. M. vadovavimą šios divizijos 3-iojo bataliono kariškiams Spaudos rūmų šturmo metu laikytina teisinga ir pagrįsta.</w:t>
      </w:r>
      <w:r w:rsidRPr="000E2C88" w:rsidDel="000748A2">
        <w:rPr>
          <w:rFonts w:eastAsia="Calibri"/>
        </w:rPr>
        <w:t xml:space="preserve"> </w:t>
      </w:r>
      <w:r w:rsidRPr="000E2C88">
        <w:rPr>
          <w:rFonts w:eastAsia="Calibri"/>
        </w:rPr>
        <w:t xml:space="preserve"> </w:t>
      </w:r>
    </w:p>
    <w:p w:rsidR="00DA38E9" w:rsidRPr="00C00255" w:rsidRDefault="00DA38E9" w:rsidP="00DA38E9">
      <w:pPr>
        <w:pStyle w:val="Heading4"/>
        <w:spacing w:before="120" w:after="120"/>
        <w:ind w:firstLine="992"/>
        <w:rPr>
          <w:rFonts w:ascii="Times New Roman" w:hAnsi="Times New Roman"/>
          <w:b w:val="0"/>
          <w:i/>
          <w:sz w:val="24"/>
          <w:szCs w:val="24"/>
        </w:rPr>
      </w:pPr>
      <w:r w:rsidRPr="00C00255">
        <w:rPr>
          <w:rFonts w:ascii="Times New Roman" w:hAnsi="Times New Roman"/>
          <w:b w:val="0"/>
          <w:i/>
          <w:sz w:val="24"/>
          <w:szCs w:val="24"/>
        </w:rPr>
        <w:t xml:space="preserve">Dėl nuteistojo </w:t>
      </w:r>
      <w:r>
        <w:rPr>
          <w:rFonts w:ascii="Times New Roman" w:hAnsi="Times New Roman"/>
          <w:b w:val="0"/>
          <w:i/>
          <w:sz w:val="24"/>
          <w:szCs w:val="24"/>
        </w:rPr>
        <w:t>V. K. 2</w:t>
      </w:r>
      <w:r w:rsidRPr="00C00255">
        <w:rPr>
          <w:rFonts w:ascii="Times New Roman" w:hAnsi="Times New Roman"/>
          <w:b w:val="0"/>
          <w:i/>
          <w:sz w:val="24"/>
          <w:szCs w:val="24"/>
        </w:rPr>
        <w:t xml:space="preserve"> dalyvavimo užimant Spaudos rūmus</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 xml:space="preserve">Skundžiamu nuosprendžiu pagrįstai konstatuota ir tai, kad TSRS GM Pskovo 76-osios oro desanto divizijos 234-ojo pulko 9-osios kuopos būrio vadas vyr. leitenantas V. K. 2 kartu su kitais šio pulko 3-iojo bataliono kariškiais trimis automobiliais „URAL“ atvyko prie Spaudos rūmų ir buvo vienu iš bataliono kariškiams vadovavusių asmenų juos šturmuojant. Apygardos teismas V. K. 2 dalyvavimą įvykiuose prie Spaudos rūmų grindė jo paties, kitų nuteistųjų S. K., S. M., V. D. ir A. G. 2 parodymais bei kitų 3-iojo bataliono kariškių – liudytojų I. R., D. J. ir Š. B. parodymais.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 xml:space="preserve">Teisėjų kolegija konstatuoja, kad pirmiausia apie V. K. 2 dalyvavimą Spaudos rūmų šturme patvirtina aptarti duomenys, nurodyti šio sprendimo </w:t>
      </w:r>
      <w:r w:rsidRPr="000E2C88">
        <w:rPr>
          <w:szCs w:val="24"/>
          <w:lang w:eastAsia="lt-LT" w:bidi="lt-LT"/>
        </w:rPr>
        <w:t>dalyje „</w:t>
      </w:r>
      <w:r w:rsidRPr="000E2C88">
        <w:rPr>
          <w:i/>
          <w:szCs w:val="24"/>
          <w:lang w:eastAsia="lt-LT" w:bidi="lt-LT"/>
        </w:rPr>
        <w:t xml:space="preserve">Dėl nuteistojo V. S. 2 dalyvavimo </w:t>
      </w:r>
      <w:r w:rsidRPr="000E2C88">
        <w:rPr>
          <w:i/>
          <w:szCs w:val="24"/>
          <w:lang w:eastAsia="lt-LT"/>
        </w:rPr>
        <w:t>užimant Spaudos rūmus</w:t>
      </w:r>
      <w:r w:rsidRPr="000E2C88">
        <w:rPr>
          <w:szCs w:val="24"/>
          <w:lang w:eastAsia="lt-LT"/>
        </w:rPr>
        <w:t>“</w:t>
      </w:r>
      <w:r w:rsidRPr="000E2C88">
        <w:rPr>
          <w:szCs w:val="24"/>
          <w:lang w:eastAsia="lt-LT" w:bidi="lt-LT"/>
        </w:rPr>
        <w:t xml:space="preserve">. Iš 2014 m. birželio 10 d. specialisto išvados, ją surašiusio specialisto J. Andriškevičiaus paaiškinimų bei aktualių vaizdo įrašų matyti, kad TSRS GM </w:t>
      </w:r>
      <w:r w:rsidRPr="000E2C88">
        <w:rPr>
          <w:szCs w:val="24"/>
          <w:lang w:eastAsia="lt-LT"/>
        </w:rPr>
        <w:t>76-osios oro desanto divizijos 234-ojo pulko 3-iojo bataliono kariškiai t</w:t>
      </w:r>
      <w:r w:rsidR="000E2C88">
        <w:rPr>
          <w:szCs w:val="24"/>
          <w:lang w:eastAsia="lt-LT"/>
        </w:rPr>
        <w:t>rimis „URAL“ automobiliais 1991 </w:t>
      </w:r>
      <w:r w:rsidRPr="000E2C88">
        <w:rPr>
          <w:szCs w:val="24"/>
          <w:lang w:eastAsia="lt-LT"/>
        </w:rPr>
        <w:t xml:space="preserve">m. sausio 11 d. atvyko prie Spaudos rūmų ir, būdami ginkluoti automatiniais ginklais, bandė patekti prie šio pastato pro jį apsupusius civilius. Aplinkybę, kad V. K. 2 įvykių metu buvo šio bataliono sudėtyje ir vieno jo padalinių – 9-osios kuopos būrio – vadu, patvirtina duomenys gauti iš nevienarūšių įrodymų šaltinių.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Iš byloje esančio karių, dalyvavusių 1991 m. sausio 13 d. Vilniaus mieste užimant saugoti TV bokštą ir LRT, sąrašo matyti, kad įvykių metu 234-ojo pulko 9-osios parašiutininkų desantininkų kuopos vienu iš aukščiausių pagal rangą kariškių buvo vyr. leitenantas V. K. 2 (rangu jis buvo žemesnis tik už kuopos vadą kapitoną V.) (t. 429, b. l. 98; t. 116, b. l. 133–137). Byloje yra ir kovinės technikos bei karių veikusių prie TV bokšto sąrašas, kuriame kaip vieno iš karinių automobilių ekipažo vadas nurodomas taip pat V. K. 2 (t. 427, b. l. 150; t. 114, b. l. 184). Taigi praėjus tik kiek daugiau nei vienai dienai nuo įvykių prie Spaudos rūmų, V. K. 2, kaip vienas 9-ajai kuopai, buvusiai prie Spaudos rūmų dalyvavusio 3-iojo bataliono sudėtyje, vadovaujančių kariškių, veikė prie kito objekto Vilniuje. Aplinkybę, kad V. K. 2 buvo vienu iš šios kuopos vadų patvirtina ir Ginklų bei šaudmenų išdavimo knygos įrašai apie tai, kad artimu sausio 11 d. įvykiams metu V. K. 2 joje pasirašinėjo kaip kariškis, kuriam išduoti 5,45 mm (900 vnt.) ir 9 mm kalibro šoviniai (t. 476, b. l. 175). Tai rodo tiek aukštą jo rangą, tiek galimybę įvykių metu priimti sprendimus dėl ginklų ir šaudmenų išdavimo. Minėti duomenys apie jo, kaip aukštesnio karininko, įgaliojimus ir byloje neginčijamą faktą apie jo dalyvavimą užimant Spaudos rūmus, leidžia daryti išvadas apie V. K. 2 vadovaujantį vaidmenį, juolab, kad ši aplinkybė apeliacine tvarka ir nėra ginčijama. Taigi pirmosios instancijos teismo išvados dėl šio nuteistojo vaidmens šioje dalyje yra teisingos.</w:t>
      </w:r>
    </w:p>
    <w:p w:rsidR="00DA38E9" w:rsidRPr="00C00255" w:rsidRDefault="00DA38E9" w:rsidP="00DA38E9">
      <w:pPr>
        <w:pStyle w:val="Heading4"/>
        <w:spacing w:before="120" w:after="120"/>
        <w:ind w:firstLine="992"/>
        <w:rPr>
          <w:rFonts w:ascii="Times New Roman" w:hAnsi="Times New Roman"/>
          <w:b w:val="0"/>
          <w:i/>
          <w:sz w:val="24"/>
          <w:lang w:bidi="lt-LT"/>
        </w:rPr>
      </w:pPr>
      <w:r w:rsidRPr="00C00255">
        <w:rPr>
          <w:rFonts w:ascii="Times New Roman" w:hAnsi="Times New Roman"/>
          <w:b w:val="0"/>
          <w:i/>
          <w:sz w:val="24"/>
          <w:lang w:bidi="lt-LT"/>
        </w:rPr>
        <w:t xml:space="preserve">Dėl nuteistojo </w:t>
      </w:r>
      <w:r>
        <w:rPr>
          <w:rFonts w:ascii="Times New Roman" w:hAnsi="Times New Roman"/>
          <w:b w:val="0"/>
          <w:i/>
          <w:sz w:val="24"/>
          <w:lang w:bidi="lt-LT"/>
        </w:rPr>
        <w:t>S. K.</w:t>
      </w:r>
      <w:r w:rsidRPr="00C00255">
        <w:rPr>
          <w:rFonts w:ascii="Times New Roman" w:hAnsi="Times New Roman"/>
          <w:b w:val="0"/>
          <w:i/>
          <w:sz w:val="24"/>
          <w:lang w:bidi="lt-LT"/>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t>Apeliacinės instancijos teismo teisėjų kolegija pažymi, kad skundžiamo nuosprendžio nustatomojoje dalyje aprašant faktines Spaudos rūmų užėmimo aplinkybes, nuteistasis S. K. nepaminėtas, jo atlikti veiksmai nenurodyti (</w:t>
      </w:r>
      <w:r w:rsidRPr="000E2C88">
        <w:rPr>
          <w:rFonts w:eastAsia="Calibri"/>
        </w:rPr>
        <w:t xml:space="preserve">t. 769, b. l. 135–138 l.). Nepaisant to, nuosprendžio motyvuojamojoje dalyje </w:t>
      </w:r>
      <w:r w:rsidRPr="000E2C88">
        <w:t>yra nurodoma apie TSRS GM 76-osios oro desanto divizijos 234-ojo pulko kuro tarnybos viršininko kapitono S. K. dalyvavimą užimant Spaudos rūmus. Skundžiamame nuosprendyje nurodoma, kad: „S. K. – dalyvavo užgrobiant Spaudos rūmus“ (nuosprendžio 859 l.; t. 773, b. l. 59); „S. K. vadovavo desanto pulkui, užgrobiant &lt;...&gt; Spaudos rūmus“ (nuosprendžio 872 l.; t. 773, b. l. 72); „Skiriant bausmę kaltinamajam S. K., atsižvelgiama į &lt;...&gt; tai, kad jis vadovavo desantininkams užgrobiant Policijos akademijos pastatą dalyvavo Spaudos rūmų &lt;...&gt; šturme“ (nuosprendžio 881 l.; t. 773, b. l. 81</w:t>
      </w:r>
      <w:r w:rsidRPr="000E2C88">
        <w:rPr>
          <w:szCs w:val="24"/>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Nuteistojo </w:t>
      </w:r>
      <w:r>
        <w:rPr>
          <w:lang w:eastAsia="lt-LT"/>
        </w:rPr>
        <w:t>S. K.</w:t>
      </w:r>
      <w:r w:rsidRPr="00C00255">
        <w:rPr>
          <w:lang w:eastAsia="lt-LT"/>
        </w:rPr>
        <w:t xml:space="preserve"> gynėjas apeliaciniame skunde nurodo, kad jo ginamasis nei Policijos akademijos, nei Spaudos rūmų užėmime nedalyvavo, jo ten nebuvo, o ir apygardos teismo nuosprendyje minimuose parodymuose nėra jokių duomenų apie </w:t>
      </w:r>
      <w:r>
        <w:rPr>
          <w:lang w:eastAsia="lt-LT"/>
        </w:rPr>
        <w:t>S. K.</w:t>
      </w:r>
      <w:r w:rsidRPr="00C00255">
        <w:rPr>
          <w:lang w:eastAsia="lt-LT"/>
        </w:rPr>
        <w:t xml:space="preserve"> veiksmus prie Spaudos rūmų. Teisėjų kolegija, įvertinusi tokius skundo argumentus ir byloje surinktus duomenis, su tokia gynybos pozicija sutinka ir konstatuoja, kad šioje dalyje </w:t>
      </w:r>
      <w:r w:rsidRPr="00C00255">
        <w:rPr>
          <w:szCs w:val="24"/>
        </w:rPr>
        <w:t xml:space="preserve">pirmosios instancijos teismo </w:t>
      </w:r>
      <w:r w:rsidRPr="00C00255">
        <w:t>nuosprendyje išdėstytos teismo išvados neatitinka bylos aplinkybių</w:t>
      </w:r>
      <w:r w:rsidRPr="00C00255">
        <w:rPr>
          <w:szCs w:val="24"/>
          <w:lang w:eastAsia="lt-LT"/>
        </w:rPr>
        <w:t>.</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Apygardos teismas išvadas dėl </w:t>
      </w:r>
      <w:r>
        <w:rPr>
          <w:lang w:eastAsia="lt-LT"/>
        </w:rPr>
        <w:t>S. K.</w:t>
      </w:r>
      <w:r w:rsidRPr="00C00255">
        <w:rPr>
          <w:lang w:eastAsia="lt-LT"/>
        </w:rPr>
        <w:t xml:space="preserve"> dalyvavimo įvykiuose prie Spaudos rūmų grindė jo paties parodymais, TSRS GM Pskovo 76-osios oro desanto divizijos kariškių – nuteistųjų </w:t>
      </w:r>
      <w:r>
        <w:rPr>
          <w:lang w:eastAsia="lt-LT"/>
        </w:rPr>
        <w:t>V. S. 2</w:t>
      </w:r>
      <w:r w:rsidRPr="00C00255">
        <w:rPr>
          <w:lang w:eastAsia="lt-LT"/>
        </w:rPr>
        <w:t xml:space="preserve"> bei </w:t>
      </w:r>
      <w:r>
        <w:rPr>
          <w:lang w:eastAsia="lt-LT"/>
        </w:rPr>
        <w:t>A. G. 2</w:t>
      </w:r>
      <w:r w:rsidRPr="00C00255">
        <w:rPr>
          <w:lang w:eastAsia="lt-LT"/>
        </w:rPr>
        <w:t xml:space="preserve"> ir liudytojų </w:t>
      </w:r>
      <w:r>
        <w:rPr>
          <w:lang w:eastAsia="lt-LT"/>
        </w:rPr>
        <w:t>I. R.</w:t>
      </w:r>
      <w:r w:rsidRPr="00C00255">
        <w:rPr>
          <w:lang w:eastAsia="lt-LT"/>
        </w:rPr>
        <w:t xml:space="preserve">, </w:t>
      </w:r>
      <w:r>
        <w:rPr>
          <w:lang w:eastAsia="lt-LT"/>
        </w:rPr>
        <w:t>D. J.</w:t>
      </w:r>
      <w:r w:rsidRPr="00C00255">
        <w:rPr>
          <w:lang w:eastAsia="lt-LT"/>
        </w:rPr>
        <w:t xml:space="preserve"> ir </w:t>
      </w:r>
      <w:r>
        <w:rPr>
          <w:lang w:eastAsia="lt-LT"/>
        </w:rPr>
        <w:t>Š. B.</w:t>
      </w:r>
      <w:r w:rsidRPr="00C00255">
        <w:rPr>
          <w:lang w:eastAsia="lt-LT"/>
        </w:rPr>
        <w:t xml:space="preserve"> parodymais (žr. nuosprendžio 208 l., t. 770, b. l. 8).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Vertindama tokias pirmosios instancijos teismo išvadas, teisėjų kolegija, pirmiausia, pažymi, kad pats nuteistasis </w:t>
      </w:r>
      <w:r>
        <w:rPr>
          <w:lang w:eastAsia="lt-LT"/>
        </w:rPr>
        <w:t>S. K.</w:t>
      </w:r>
      <w:r w:rsidRPr="00C00255">
        <w:rPr>
          <w:lang w:eastAsia="lt-LT"/>
        </w:rPr>
        <w:t xml:space="preserve"> ikiteisminio tyrimo metu nenurodė, jog būtų dalyvavęs užimant Spaudos rūmus. Ikiteisminio tyrimo metu jis nurodė, kad nors pulkas, kuriame jis tarnavo, dalyvavo Spaudos rūmų ir kitų objektų užėmime, jis pats iki sausio 12 d. nebuvo išvykęs iš karinio Šiaurės miestelio, Vilniuje (</w:t>
      </w:r>
      <w:r w:rsidRPr="00C00255">
        <w:rPr>
          <w:szCs w:val="24"/>
        </w:rPr>
        <w:t>t. 429, b. l. 166–168; t. 116, b. l. 205–209).</w:t>
      </w:r>
      <w:r w:rsidRPr="00C00255">
        <w:rPr>
          <w:lang w:eastAsia="lt-LT"/>
        </w:rPr>
        <w:t xml:space="preserve"> Iš to akivaizdu, kad remtis paties </w:t>
      </w:r>
      <w:r>
        <w:rPr>
          <w:lang w:eastAsia="lt-LT"/>
        </w:rPr>
        <w:t>S. K.</w:t>
      </w:r>
      <w:r w:rsidRPr="00C00255">
        <w:rPr>
          <w:lang w:eastAsia="lt-LT"/>
        </w:rPr>
        <w:t xml:space="preserve"> parodymais nebuvo jokio pagrindo. Kitų nuosprendyje išvardintų kariškių parodymų, kuriais Vilniaus apygardos teismas grindė </w:t>
      </w:r>
      <w:r>
        <w:rPr>
          <w:lang w:eastAsia="lt-LT"/>
        </w:rPr>
        <w:t>S. K.</w:t>
      </w:r>
      <w:r w:rsidRPr="00C00255">
        <w:rPr>
          <w:lang w:eastAsia="lt-LT"/>
        </w:rPr>
        <w:t xml:space="preserve"> dalyvavimą šiuose įvykiuose, analizė taip pat patvirtina nuteistojo gynėjo poziciją, kad </w:t>
      </w:r>
      <w:r>
        <w:rPr>
          <w:lang w:eastAsia="lt-LT"/>
        </w:rPr>
        <w:t>S. K.</w:t>
      </w:r>
      <w:r w:rsidRPr="00C00255">
        <w:rPr>
          <w:lang w:eastAsia="lt-LT"/>
        </w:rPr>
        <w:t xml:space="preserve"> juose iš tiesų neminimas. Jokių kitų duomenų, kurie patvirtintų šio asmens dalyvavimą įvykiuose prie Spaudos rūmų, teisėjų kolegija nenustatė. </w:t>
      </w:r>
    </w:p>
    <w:p w:rsidR="00DA38E9" w:rsidRPr="00361401" w:rsidRDefault="00DA38E9" w:rsidP="00DA38E9">
      <w:pPr>
        <w:pStyle w:val="ListParagraph"/>
        <w:numPr>
          <w:ilvl w:val="0"/>
          <w:numId w:val="6"/>
        </w:numPr>
        <w:spacing w:before="120" w:after="120"/>
        <w:ind w:left="992" w:hanging="992"/>
        <w:contextualSpacing w:val="0"/>
      </w:pPr>
      <w:r w:rsidRPr="00C00255">
        <w:rPr>
          <w:lang w:eastAsia="lt-LT"/>
        </w:rPr>
        <w:t xml:space="preserve">Tai, kad byloje nėra surinkta duomenų, patvirtinančių </w:t>
      </w:r>
      <w:r>
        <w:rPr>
          <w:lang w:eastAsia="lt-LT"/>
        </w:rPr>
        <w:t>S. K.</w:t>
      </w:r>
      <w:r w:rsidRPr="00C00255">
        <w:rPr>
          <w:lang w:eastAsia="lt-LT"/>
        </w:rPr>
        <w:t xml:space="preserve"> dalyvavimą Spaudos rūmų šturme, patvirtina ir byloje valstybinį kaltinimą palaikiusių prokurorų pozicija. Nors prokurorai apeliaciniu skundu neginčijo skundžiamo nuosprendžio išvadų dėl </w:t>
      </w:r>
      <w:r>
        <w:rPr>
          <w:lang w:eastAsia="lt-LT"/>
        </w:rPr>
        <w:t>S. K.</w:t>
      </w:r>
      <w:r w:rsidRPr="00C00255">
        <w:rPr>
          <w:lang w:eastAsia="lt-LT"/>
        </w:rPr>
        <w:t xml:space="preserve"> vaidmens 1991 m. sausio mėnesio įvykių metu, būtina pažymėti, kad nuteistojo </w:t>
      </w:r>
      <w:r>
        <w:rPr>
          <w:lang w:eastAsia="lt-LT"/>
        </w:rPr>
        <w:t>S. K.</w:t>
      </w:r>
      <w:r w:rsidRPr="00C00255">
        <w:rPr>
          <w:lang w:eastAsia="lt-LT"/>
        </w:rPr>
        <w:t xml:space="preserve"> vaidmuo prie Spaudos rūmų skundžiamo nuosprendžio nustatomojoje dalyje net ir nebuvo konstatuotas. Be to, valstybiniai kaltintojai niekada neįrodinėjo, kad </w:t>
      </w:r>
      <w:r>
        <w:rPr>
          <w:lang w:eastAsia="lt-LT"/>
        </w:rPr>
        <w:t>S. K.</w:t>
      </w:r>
      <w:r w:rsidRPr="00C00255">
        <w:rPr>
          <w:lang w:eastAsia="lt-LT"/>
        </w:rPr>
        <w:t xml:space="preserve"> buvo Spaudos rūmų šturmo dalyviu. Nuteistajam </w:t>
      </w:r>
      <w:r>
        <w:rPr>
          <w:lang w:eastAsia="lt-LT"/>
        </w:rPr>
        <w:t>S. K.</w:t>
      </w:r>
      <w:r w:rsidRPr="00C00255">
        <w:rPr>
          <w:lang w:eastAsia="lt-LT"/>
        </w:rPr>
        <w:t xml:space="preserve"> pareikštame kaltinime jis tarp asmenų, kurie įvardinti kaip tiesiogiai dalyvavę Spaudos rūmų užėmime, nėra nurodytas (t. 696, b. l. 60–62). Pirmosios instancijos teisme pasakytoje baigiamojoje kalboje prokurorai </w:t>
      </w:r>
      <w:r>
        <w:rPr>
          <w:lang w:eastAsia="lt-LT"/>
        </w:rPr>
        <w:t>S. K.</w:t>
      </w:r>
      <w:r w:rsidRPr="00C00255">
        <w:rPr>
          <w:lang w:eastAsia="lt-LT"/>
        </w:rPr>
        <w:t xml:space="preserve"> neįvardijo kaip asmens dalyvavusio Spaudos rūmų puolime, o pasisakydami dėl konkretiems kaltinamiesiems skirtinų bausmių pabrėžė tik </w:t>
      </w:r>
      <w:r>
        <w:rPr>
          <w:lang w:eastAsia="lt-LT"/>
        </w:rPr>
        <w:t>S. K.</w:t>
      </w:r>
      <w:r w:rsidRPr="00C00255">
        <w:rPr>
          <w:lang w:eastAsia="lt-LT"/>
        </w:rPr>
        <w:t xml:space="preserve"> vaidmenį užimant TV bokštą (baigiamosios kalbos 121, 443 l.; t. 762, b. l. 123; t. 763, b. l. 200). Apeliacinės instancijos teisme prokurorai aiškiai nurodė, kad </w:t>
      </w:r>
      <w:r>
        <w:rPr>
          <w:lang w:eastAsia="lt-LT"/>
        </w:rPr>
        <w:t>S. K.</w:t>
      </w:r>
      <w:r w:rsidRPr="00C00255">
        <w:rPr>
          <w:lang w:eastAsia="lt-LT"/>
        </w:rPr>
        <w:t xml:space="preserve"> nebuvo inkriminuojamos pirmosios instancijos teismo nuosprendžiu nustatytos aplinkybės dėl Spaudos rūmų, o taip pat ir Policijos akademijos puolimo, nes jam inkriminuotas tik vadovavimas kariškių grupei užimant TV bokštą </w:t>
      </w:r>
      <w:r w:rsidRPr="00C00255">
        <w:rPr>
          <w:color w:val="000000"/>
        </w:rPr>
        <w:t>(</w:t>
      </w:r>
      <w:r w:rsidRPr="00C00255">
        <w:rPr>
          <w:rFonts w:eastAsia="Calibri"/>
        </w:rPr>
        <w:t>t. 796, b. l. 55–56</w:t>
      </w:r>
      <w:r w:rsidRPr="00361401">
        <w:rPr>
          <w:rFonts w:eastAsia="Calibri"/>
        </w:rPr>
        <w:t>). Šia prasme prokurorai sutiko su nuteistojo S. K. gynėjo pozicija.</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0E2C88">
        <w:rPr>
          <w:lang w:eastAsia="lt-LT"/>
        </w:rPr>
        <w:t xml:space="preserve">Įvertinusi nurodytus duomenis ir aplinkybes, teisėjų kolegijai daro išvadą, kad nuteistojo S. K. gynėjo apeliaciniame skunde nurodyti argumentai dėl pirmosios instancijos teismo išvadų apie S. K. dalyvavimą užimant Spaudos rūmus, o taip pat ir Policijos akademiją, kuo pastarasis net nebuvo kaltintas, yra pagrįsti, o tokios </w:t>
      </w:r>
      <w:r w:rsidRPr="000E2C88">
        <w:rPr>
          <w:szCs w:val="24"/>
        </w:rPr>
        <w:t xml:space="preserve">pirmosios instancijos teismo </w:t>
      </w:r>
      <w:r w:rsidRPr="000E2C88">
        <w:t>nuosprendyje išdėstytos išvados neatitinka bylos aplinkybių</w:t>
      </w:r>
      <w:r w:rsidRPr="000E2C88">
        <w:rPr>
          <w:szCs w:val="24"/>
          <w:lang w:eastAsia="lt-LT"/>
        </w:rPr>
        <w:t>.</w:t>
      </w:r>
      <w:r w:rsidRPr="000E2C88">
        <w:rPr>
          <w:lang w:eastAsia="lt-LT"/>
        </w:rPr>
        <w:t xml:space="preserve"> Teisėjų kolegija, a</w:t>
      </w:r>
      <w:r w:rsidRPr="000E2C88">
        <w:rPr>
          <w:bCs/>
          <w:szCs w:val="24"/>
        </w:rPr>
        <w:t xml:space="preserve">tsižvelgdama į tai, kad minėtos aplinkybės skundžiamo nuosprendžio nustatomojoje dalyje nebuvo nurodytas, o S. K. šioje nuosprendžio dalyje apskritai neminimas, </w:t>
      </w:r>
      <w:bookmarkStart w:id="266" w:name="_Hlk66435392"/>
      <w:r w:rsidRPr="000E2C88">
        <w:rPr>
          <w:bCs/>
          <w:szCs w:val="24"/>
        </w:rPr>
        <w:t xml:space="preserve">darydama išvadas </w:t>
      </w:r>
      <w:bookmarkEnd w:id="266"/>
      <w:r w:rsidRPr="000E2C88">
        <w:rPr>
          <w:bCs/>
          <w:szCs w:val="24"/>
        </w:rPr>
        <w:t>dėl S. K.</w:t>
      </w:r>
      <w:r w:rsidRPr="000E2C88">
        <w:t xml:space="preserve"> veiksmų jų nevertina, o </w:t>
      </w:r>
      <w:r w:rsidRPr="000E2C88">
        <w:rPr>
          <w:lang w:eastAsia="lt-LT"/>
        </w:rPr>
        <w:t>iš skundžiamo nuosprendžio šalina visas teismo išvadas apie S. K. dalyvavimą Policijos akademijos ir Spaudos rūmų šturme (dėl S. K. vaidmens prie TV bokšto bus pasisakyta atskirai kitoje šio teismo sprendimo dalyje)</w:t>
      </w:r>
      <w:r w:rsidRPr="00C00255">
        <w:rPr>
          <w:lang w:eastAsia="lt-LT"/>
        </w:rPr>
        <w:t>.</w:t>
      </w:r>
    </w:p>
    <w:p w:rsidR="00DA38E9" w:rsidRPr="00C00255" w:rsidRDefault="00DA38E9" w:rsidP="00DA38E9">
      <w:pPr>
        <w:pStyle w:val="Heading4"/>
        <w:spacing w:before="120" w:after="120"/>
        <w:ind w:firstLine="992"/>
        <w:rPr>
          <w:rFonts w:ascii="Times New Roman" w:hAnsi="Times New Roman"/>
          <w:b w:val="0"/>
          <w:i/>
          <w:sz w:val="24"/>
          <w:lang w:bidi="lt-LT"/>
        </w:rPr>
      </w:pPr>
      <w:r w:rsidRPr="00C00255">
        <w:rPr>
          <w:rFonts w:ascii="Times New Roman" w:hAnsi="Times New Roman"/>
          <w:b w:val="0"/>
          <w:i/>
          <w:sz w:val="24"/>
          <w:lang w:bidi="lt-LT"/>
        </w:rPr>
        <w:t xml:space="preserve">Dėl nuteistojo </w:t>
      </w:r>
      <w:r>
        <w:rPr>
          <w:rFonts w:ascii="Times New Roman" w:hAnsi="Times New Roman"/>
          <w:b w:val="0"/>
          <w:i/>
          <w:sz w:val="24"/>
          <w:lang w:bidi="lt-LT"/>
        </w:rPr>
        <w:t>A. I.</w:t>
      </w:r>
      <w:r w:rsidRPr="00C00255">
        <w:rPr>
          <w:rFonts w:ascii="Times New Roman" w:hAnsi="Times New Roman"/>
          <w:b w:val="0"/>
          <w:i/>
          <w:sz w:val="24"/>
          <w:lang w:bidi="lt-LT"/>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pPr>
      <w:r w:rsidRPr="000E2C88">
        <w:t>Panašiai kaip ir ankstesnėje dalyje aptartu S. K. atveju, skundžiamo nuosprendžio nustatomojoje dalyje, aprašant faktines Spaudos rūmų užėmimo aplinkybes, nuteistasis A. I. nėra paminėtas ir nenurodyti jo atlikti veiksmai (</w:t>
      </w:r>
      <w:r w:rsidRPr="000E2C88">
        <w:rPr>
          <w:rFonts w:eastAsia="Calibri"/>
        </w:rPr>
        <w:t xml:space="preserve">nuosprendžio 135–138 l.; t. 769). Nepaisant to, nuosprendžio motyvuojamojoje dalyje </w:t>
      </w:r>
      <w:r w:rsidRPr="000E2C88">
        <w:t>nurodoma apie TSRS GM 76-osios oro desanto divizijos 237-ojo pulko slaptosios tarnybos viršininko vyr. praporščiko A. I. dalyvavimą Spaudos rūmų užėmimo operacijoje: „A. I. kartu su oro desanto padalinio kariškiais dalyvavo Spaudos rūmų &lt;...&gt; šturme“ (nuosprendžio 874 l., t. 773, b. l. 74); „skiriant bausmę kaltinamajam A. I., atsižvelgiama į tai, kad jis vadovavo Spaudos rūmų &lt;...&gt;</w:t>
      </w:r>
      <w:r w:rsidRPr="000E2C88">
        <w:rPr>
          <w:rFonts w:eastAsia="Calibri"/>
        </w:rPr>
        <w:t xml:space="preserve"> ir pastatus gynusių civilių puolimui“ (nuosprendžio 884 l.; t. 773, b. l. 84).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Nuteistojo </w:t>
      </w:r>
      <w:r>
        <w:rPr>
          <w:lang w:eastAsia="lt-LT"/>
        </w:rPr>
        <w:t>A. I.</w:t>
      </w:r>
      <w:r w:rsidRPr="00C00255">
        <w:rPr>
          <w:lang w:eastAsia="lt-LT"/>
        </w:rPr>
        <w:t xml:space="preserve"> gynėja apeliaciniame skunde nors ir nedetalizuodama, tačiau nurodo, kad </w:t>
      </w:r>
      <w:r w:rsidRPr="00C00255">
        <w:rPr>
          <w:szCs w:val="24"/>
        </w:rPr>
        <w:t xml:space="preserve">jos ginamojo nusikalstamas veikimas neįrodytas. </w:t>
      </w:r>
      <w:r w:rsidRPr="00C00255">
        <w:rPr>
          <w:lang w:eastAsia="lt-LT"/>
        </w:rPr>
        <w:t xml:space="preserve">Teisėjų kolegija, įvertinusi byloje surinktus įrodymus ir </w:t>
      </w:r>
      <w:r>
        <w:rPr>
          <w:lang w:eastAsia="lt-LT"/>
        </w:rPr>
        <w:t>A. I.</w:t>
      </w:r>
      <w:r w:rsidRPr="00C00255">
        <w:rPr>
          <w:lang w:eastAsia="lt-LT"/>
        </w:rPr>
        <w:t xml:space="preserve"> inkriminuotas aplinkybes, konstatuoja, kad nuteistojo </w:t>
      </w:r>
      <w:r>
        <w:rPr>
          <w:lang w:eastAsia="lt-LT"/>
        </w:rPr>
        <w:t>A. I.</w:t>
      </w:r>
      <w:r w:rsidRPr="00C00255">
        <w:rPr>
          <w:lang w:eastAsia="lt-LT"/>
        </w:rPr>
        <w:t xml:space="preserve"> dalyvavimas, užimant Spaudos rūmus, nenustatytas, o </w:t>
      </w:r>
      <w:r w:rsidRPr="00C00255">
        <w:rPr>
          <w:szCs w:val="24"/>
        </w:rPr>
        <w:t xml:space="preserve">pirmosios instancijos teismo </w:t>
      </w:r>
      <w:r w:rsidRPr="00C00255">
        <w:t>nuosprendyje šiuo aspektu išdėstytos teismo išvados nemotyvuotos ir neatitinka faktinių bylos aplinkybių</w:t>
      </w:r>
      <w:r w:rsidRPr="00C00255">
        <w:rPr>
          <w:szCs w:val="24"/>
          <w:lang w:eastAsia="lt-LT"/>
        </w:rPr>
        <w:t>.</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Apygardos teismo išvados dėl </w:t>
      </w:r>
      <w:r>
        <w:rPr>
          <w:szCs w:val="24"/>
        </w:rPr>
        <w:t>A. I.</w:t>
      </w:r>
      <w:r w:rsidRPr="00C00255">
        <w:rPr>
          <w:szCs w:val="24"/>
        </w:rPr>
        <w:t xml:space="preserve"> dalyvavimo užimant Spaudos rūmus, </w:t>
      </w:r>
      <w:r w:rsidRPr="00C00255">
        <w:rPr>
          <w:lang w:eastAsia="lt-LT"/>
        </w:rPr>
        <w:t xml:space="preserve">skirtingai nei nuteistojo </w:t>
      </w:r>
      <w:r>
        <w:rPr>
          <w:lang w:eastAsia="lt-LT"/>
        </w:rPr>
        <w:t>S. K.</w:t>
      </w:r>
      <w:r w:rsidRPr="00C00255">
        <w:rPr>
          <w:lang w:eastAsia="lt-LT"/>
        </w:rPr>
        <w:t xml:space="preserve"> atveju, apskritai nemotyvuotos ir teismo nuosprendyje nėra nurodyta jokių duomenų bei argumentų, kurie neva pagrindžia </w:t>
      </w:r>
      <w:r>
        <w:rPr>
          <w:lang w:eastAsia="lt-LT"/>
        </w:rPr>
        <w:t>A. I.</w:t>
      </w:r>
      <w:r w:rsidRPr="00C00255">
        <w:rPr>
          <w:lang w:eastAsia="lt-LT"/>
        </w:rPr>
        <w:t xml:space="preserve"> dalyvavimą įvykiuose prie Spaudos rūmų (žr. nuosprendžio </w:t>
      </w:r>
      <w:r w:rsidRPr="00C00255">
        <w:rPr>
          <w:rFonts w:eastAsia="Calibri"/>
          <w:szCs w:val="24"/>
        </w:rPr>
        <w:t>135–212 l.)</w:t>
      </w:r>
      <w:r w:rsidRPr="00C00255">
        <w:rPr>
          <w:lang w:eastAsia="lt-LT"/>
        </w:rPr>
        <w:t xml:space="preserve">. Apeliacinės instancijos teismo vertinimu, nuosprendžio išvados dėl </w:t>
      </w:r>
      <w:r>
        <w:rPr>
          <w:lang w:eastAsia="lt-LT"/>
        </w:rPr>
        <w:t>A. I.</w:t>
      </w:r>
      <w:r w:rsidRPr="00C00255">
        <w:rPr>
          <w:lang w:eastAsia="lt-LT"/>
        </w:rPr>
        <w:t xml:space="preserve"> vaidmens prie Spaudos rūmų yra prieštaringos, nes teismo nuosprendžio motyvuojamojoje dalyje vienu atveju nurodoma, kad </w:t>
      </w:r>
      <w:r>
        <w:rPr>
          <w:lang w:eastAsia="lt-LT"/>
        </w:rPr>
        <w:t>A. I.</w:t>
      </w:r>
      <w:r w:rsidRPr="00C00255">
        <w:rPr>
          <w:lang w:eastAsia="lt-LT"/>
        </w:rPr>
        <w:t xml:space="preserve"> tik dalyvavo Spaudos rūmų šturme, o kitu – jog ir vadovavo.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Teisėjų kolegija, vertindama tokią pirmosios instancijos teismo poziciją, pirmiausia, pabrėžia, kad </w:t>
      </w:r>
      <w:r>
        <w:rPr>
          <w:lang w:eastAsia="lt-LT"/>
        </w:rPr>
        <w:t>A. I.</w:t>
      </w:r>
      <w:r w:rsidRPr="00C00255">
        <w:rPr>
          <w:lang w:eastAsia="lt-LT"/>
        </w:rPr>
        <w:t xml:space="preserve">, kaip ir jau minėtas </w:t>
      </w:r>
      <w:r>
        <w:rPr>
          <w:lang w:eastAsia="lt-LT"/>
        </w:rPr>
        <w:t>S. K.</w:t>
      </w:r>
      <w:r w:rsidRPr="00C00255">
        <w:rPr>
          <w:lang w:eastAsia="lt-LT"/>
        </w:rPr>
        <w:t xml:space="preserve">, nebuvo kaltinamas dalyvavimu užimant Spaudos rūmus. Nors prokurorai neginčija pirmosios instancijos teismo išvados dėl </w:t>
      </w:r>
      <w:r>
        <w:rPr>
          <w:lang w:eastAsia="lt-LT"/>
        </w:rPr>
        <w:t>A. I.</w:t>
      </w:r>
      <w:r w:rsidRPr="00C00255">
        <w:rPr>
          <w:lang w:eastAsia="lt-LT"/>
        </w:rPr>
        <w:t xml:space="preserve"> dalyvavimo Spaudos rūmų šturme, nuteistojo </w:t>
      </w:r>
      <w:r>
        <w:rPr>
          <w:lang w:eastAsia="lt-LT"/>
        </w:rPr>
        <w:t>A. I.</w:t>
      </w:r>
      <w:r w:rsidRPr="00C00255">
        <w:rPr>
          <w:lang w:eastAsia="lt-LT"/>
        </w:rPr>
        <w:t xml:space="preserve"> dalyvavimo užimant Spaudos rūmus jie niekada neįrodinėjo. Kaltinamojo akto 2763 lape nuteistojo </w:t>
      </w:r>
      <w:r>
        <w:rPr>
          <w:lang w:eastAsia="lt-LT"/>
        </w:rPr>
        <w:t>A. I.</w:t>
      </w:r>
      <w:r w:rsidRPr="00C00255">
        <w:rPr>
          <w:lang w:eastAsia="lt-LT"/>
        </w:rPr>
        <w:t xml:space="preserve"> nėra tarp asmenų, kurie įvardinti kaip tiesiogiai dalyvavę Spaudos rūmų užėmime. Pirmosios instancijos teisme pasakytoje baigiamojoje kalboje prokurorai </w:t>
      </w:r>
      <w:r>
        <w:rPr>
          <w:lang w:eastAsia="lt-LT"/>
        </w:rPr>
        <w:t>A. I.</w:t>
      </w:r>
      <w:r w:rsidRPr="00C00255">
        <w:rPr>
          <w:lang w:eastAsia="lt-LT"/>
        </w:rPr>
        <w:t xml:space="preserve">, kaip Spaudos rūmų užėmime dalyvavusio asmens, taip pat neįvardijo (t. 762, b. l. 123), o pasisakydami dėl konkretiems kaltinamiesiems skirtinų bausmių pabrėžė tik </w:t>
      </w:r>
      <w:r>
        <w:rPr>
          <w:lang w:eastAsia="lt-LT"/>
        </w:rPr>
        <w:t>A. I.</w:t>
      </w:r>
      <w:r w:rsidRPr="00C00255">
        <w:rPr>
          <w:lang w:eastAsia="lt-LT"/>
        </w:rPr>
        <w:t xml:space="preserve"> vaidmenį prie LRT (t. 763, b. l. 199). Apeliacinės instancijos teismo posėdyje prokurorai taip pat atkreipė dėmesį į teismo išvadas dėl </w:t>
      </w:r>
      <w:r>
        <w:rPr>
          <w:lang w:eastAsia="lt-LT"/>
        </w:rPr>
        <w:t>A. I.</w:t>
      </w:r>
      <w:r w:rsidRPr="00C00255">
        <w:rPr>
          <w:lang w:eastAsia="lt-LT"/>
        </w:rPr>
        <w:t xml:space="preserve"> dalyvavimo prie Spaudos rūmų bei prašė jas patikslinti, aptariant </w:t>
      </w:r>
      <w:r>
        <w:rPr>
          <w:lang w:eastAsia="lt-LT"/>
        </w:rPr>
        <w:t>A. I.</w:t>
      </w:r>
      <w:r w:rsidRPr="00C00255">
        <w:rPr>
          <w:lang w:eastAsia="lt-LT"/>
        </w:rPr>
        <w:t xml:space="preserve"> veiksmus tik dėl dalyvavimo užimant LRT pastatą (t. 796, b. l. 84).</w:t>
      </w:r>
    </w:p>
    <w:p w:rsidR="00361401" w:rsidRPr="000E2C88" w:rsidRDefault="00361401" w:rsidP="00361401">
      <w:pPr>
        <w:pStyle w:val="ListParagraph"/>
        <w:numPr>
          <w:ilvl w:val="0"/>
          <w:numId w:val="6"/>
        </w:numPr>
        <w:ind w:left="992" w:hanging="992"/>
      </w:pPr>
      <w:r w:rsidRPr="000E2C88">
        <w:t>Dėl nurodytų motyvų apeliacinės instancijos teismo teisėjų kolegija daro išvadą, kad nuteistojo A. I. gynėjos argumentai dėl apygardos teismo išvadų, susijusių su A. I. dalyvavimu užimant Spaudos rūmus ir tokias išvadas pagrindžiančių įrodymų nebuvimo, yra pagrįsti. Tokios apygardos teismo nuosprendžio motyvuojamojoje dalyje išdėstytos išvados yra nepagrįstos ir neatitinka bylos aplinkybių nurodytų teismo nuosprendžio nustatomoje dalyje, todėl apeliacinės instancijos teismas jomis nesivadovauja ir iš skundžiamo nuosprendžio šalina išvadas apie A. I. dalyvavimą Spaudos rūmų šturme (dėl nuteistojo A. I. dalyvavimo užimant LRT pastatus teismas pasisakys kitoje šio teismo sprendimo dalyje).</w:t>
      </w:r>
    </w:p>
    <w:p w:rsidR="00DA38E9" w:rsidRPr="00C00255" w:rsidRDefault="00DA38E9" w:rsidP="00DA38E9">
      <w:pPr>
        <w:pStyle w:val="Heading4"/>
        <w:spacing w:before="120" w:after="120"/>
        <w:ind w:firstLine="992"/>
        <w:rPr>
          <w:rFonts w:ascii="Times New Roman" w:hAnsi="Times New Roman"/>
          <w:b w:val="0"/>
          <w:i/>
          <w:sz w:val="24"/>
          <w:lang w:bidi="lt-LT"/>
        </w:rPr>
      </w:pPr>
      <w:r w:rsidRPr="00C00255">
        <w:rPr>
          <w:rFonts w:ascii="Times New Roman" w:hAnsi="Times New Roman"/>
          <w:b w:val="0"/>
          <w:i/>
          <w:sz w:val="24"/>
          <w:lang w:bidi="lt-LT"/>
        </w:rPr>
        <w:t xml:space="preserve">Dėl nuteistojo </w:t>
      </w:r>
      <w:r>
        <w:rPr>
          <w:rFonts w:ascii="Times New Roman" w:hAnsi="Times New Roman"/>
          <w:b w:val="0"/>
          <w:i/>
          <w:sz w:val="24"/>
          <w:lang w:bidi="lt-LT"/>
        </w:rPr>
        <w:t>G. G.</w:t>
      </w:r>
      <w:r w:rsidRPr="00C00255">
        <w:rPr>
          <w:rFonts w:ascii="Times New Roman" w:hAnsi="Times New Roman"/>
          <w:b w:val="0"/>
          <w:i/>
          <w:sz w:val="24"/>
          <w:lang w:bidi="lt-LT"/>
        </w:rPr>
        <w:t xml:space="preserve"> dalyvavimo </w:t>
      </w:r>
      <w:r w:rsidRPr="00C00255">
        <w:rPr>
          <w:rFonts w:ascii="Times New Roman" w:hAnsi="Times New Roman"/>
          <w:b w:val="0"/>
          <w:i/>
          <w:sz w:val="24"/>
          <w:szCs w:val="24"/>
        </w:rPr>
        <w:t>užimant Spaudos rūmus</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rPr>
          <w:szCs w:val="24"/>
          <w:lang w:eastAsia="lt-LT"/>
        </w:rPr>
        <w:t xml:space="preserve">Kaip jau buvo aptarta, vertinant pirmosios instancijos teismo išvadas dėl S. K. bei A. I. dalyvavimo užimant Spaudos rūmus, taip pat ir kalbant apie G. G., konstatuotina, kad pirmosios instancijos teismo </w:t>
      </w:r>
      <w:r w:rsidRPr="000E2C88">
        <w:t>nuosprendyje išdėstytos teismo išvados</w:t>
      </w:r>
      <w:r w:rsidRPr="000E2C88">
        <w:rPr>
          <w:szCs w:val="24"/>
          <w:lang w:eastAsia="lt-LT"/>
        </w:rPr>
        <w:t xml:space="preserve"> dėl G. G. dalyvavimo užimant Spaudos rūmus </w:t>
      </w:r>
      <w:r w:rsidRPr="000E2C88">
        <w:t>yra nepagrįstos ir neatitinka bylos aplinkybių.</w:t>
      </w:r>
    </w:p>
    <w:p w:rsidR="00DA38E9" w:rsidRPr="00361401" w:rsidRDefault="00DA38E9" w:rsidP="00DA38E9">
      <w:pPr>
        <w:pStyle w:val="ListParagraph"/>
        <w:numPr>
          <w:ilvl w:val="0"/>
          <w:numId w:val="6"/>
        </w:numPr>
        <w:spacing w:before="120" w:after="120"/>
        <w:ind w:left="992" w:hanging="992"/>
        <w:contextualSpacing w:val="0"/>
        <w:rPr>
          <w:lang w:eastAsia="lt-LT"/>
        </w:rPr>
      </w:pPr>
      <w:r w:rsidRPr="000E2C88">
        <w:t>Pirmiausia, skundžiamo nuosprendžio nustatomojoje dalyje ir motyvuojamojoje dalyje išdėstytos išvados yra prieštaringos: aprašant įrodytomis pripažintas Spaudos rūmų užėmimo aplinkybes teismo nuosprendžio nustatomojoje dalyje nuteistasis G. G. neminimas (</w:t>
      </w:r>
      <w:r w:rsidR="00361401" w:rsidRPr="000E2C88">
        <w:rPr>
          <w:rFonts w:eastAsia="Calibri"/>
        </w:rPr>
        <w:t>t. 769, b. l. </w:t>
      </w:r>
      <w:r w:rsidRPr="000E2C88">
        <w:rPr>
          <w:rFonts w:eastAsia="Calibri"/>
        </w:rPr>
        <w:t xml:space="preserve">135–138), o motyvuojamojoje dalyje </w:t>
      </w:r>
      <w:r w:rsidRPr="000E2C88">
        <w:t xml:space="preserve">nurodoma, kad: „G. G. dalyvavo Spaudos rūmų, Policijos akademijos užėmime ir buvo atsakingu už operacijų vykdymą, asmeniškai vadovavo RTV komiteto (LRT) šturmui“ (nuosprendžio 872 l.; t. 773, b. l. 72); „skiriant bausmę kaltinamajam G. G., atsižvelgiama į &lt;...&gt; tai, kad jis &lt;...&gt; dalyvavo Policijos akademijos, Spaudos rūmų užgrobimo operacijose ir buvo atsakingas už jų įvykdymą, </w:t>
      </w:r>
      <w:r w:rsidRPr="000E2C88">
        <w:rPr>
          <w:rFonts w:eastAsia="Calibri"/>
        </w:rPr>
        <w:t>asmeniškai v</w:t>
      </w:r>
      <w:r w:rsidRPr="000E2C88">
        <w:t>adovavo</w:t>
      </w:r>
      <w:r w:rsidRPr="000E2C88">
        <w:rPr>
          <w:rFonts w:eastAsia="Calibri"/>
        </w:rPr>
        <w:t xml:space="preserve"> RTV komiteto (LRT) </w:t>
      </w:r>
      <w:r w:rsidRPr="000E2C88">
        <w:t>šturmui“ (nuosprendžio 881 l.; t. 773, b. l. 81</w:t>
      </w:r>
      <w:r w:rsidRPr="00361401">
        <w:t>).</w:t>
      </w:r>
      <w:r w:rsidRPr="00C00255">
        <w:rPr>
          <w:szCs w:val="24"/>
        </w:rPr>
        <w:t xml:space="preserve"> </w:t>
      </w:r>
    </w:p>
    <w:p w:rsidR="00361401" w:rsidRPr="00C00255" w:rsidRDefault="00DA38E9" w:rsidP="00361401">
      <w:pPr>
        <w:pStyle w:val="ListParagraph"/>
        <w:numPr>
          <w:ilvl w:val="0"/>
          <w:numId w:val="6"/>
        </w:numPr>
        <w:spacing w:before="120" w:after="120"/>
        <w:ind w:left="992" w:hanging="992"/>
        <w:contextualSpacing w:val="0"/>
        <w:rPr>
          <w:lang w:eastAsia="lt-LT"/>
        </w:rPr>
      </w:pPr>
      <w:r w:rsidRPr="000E2C88">
        <w:rPr>
          <w:lang w:eastAsia="lt-LT"/>
        </w:rPr>
        <w:t xml:space="preserve">Pirmosios instancijos teismas, kaip ir A. I. atveju, apskritai nenurodė jokių duomenų, kurie neva pagrindžia G. G. dalyvavimą Spaudos rūmų šturme. Skundžiamame nuosprendyje nuteistojo pozicija dėl Spaudos rūmų šturmo iš esmės nepateikta, o įrodymų analizės, susijusios su jo kaltę dėl įvykių prie šio objekto patvirtinančiais duomenimis, taip pat nėra (nuosprendžio </w:t>
      </w:r>
      <w:r w:rsidRPr="000E2C88">
        <w:rPr>
          <w:rFonts w:eastAsia="Calibri"/>
          <w:szCs w:val="24"/>
        </w:rPr>
        <w:t>135–212 l.; t. 769, b. l. 135–200, t. 770, b. l. 1–12)</w:t>
      </w:r>
      <w:r w:rsidRPr="000E2C88">
        <w:rPr>
          <w:lang w:eastAsia="lt-LT"/>
        </w:rPr>
        <w:t>.</w:t>
      </w:r>
      <w:r w:rsidRPr="000E2C88">
        <w:rPr>
          <w:szCs w:val="24"/>
        </w:rPr>
        <w:t xml:space="preserve"> </w:t>
      </w:r>
      <w:r w:rsidRPr="000E2C88">
        <w:rPr>
          <w:lang w:eastAsia="lt-LT"/>
        </w:rPr>
        <w:t xml:space="preserve">Kaltinamojo akto 2763 lape šio nuteistojo nėra tarp asmenų, kurie įvardinti kaip tiesiogiai dalyvavę Spaudos rūmų užėmime, atitinkamai ir baigiamojoje kalboje pirmosios instancijos teisme prokurorai G. G. neįvardijo tarp asmenų, dalyvavusių Spaudos rūmų puolime, o pasisakydami dėl jam skirtinos bausmės, pabrėžė tik jo vaidmenį užimant LRT pastatus (t. 762, b. l. 123; t. 763, b. l. 199). Tą patį prokurorai pabrėžė ir apeliacinės instancijos teismo posėdyje, aiškiai nurodydami, kad </w:t>
      </w:r>
      <w:r w:rsidRPr="000E2C88">
        <w:rPr>
          <w:rFonts w:eastAsia="Calibri"/>
        </w:rPr>
        <w:t>G. G. nedalyvavo Spaudos rūmų ir Policijos akademijos užgrobime</w:t>
      </w:r>
      <w:r w:rsidRPr="000E2C88">
        <w:t xml:space="preserve"> (</w:t>
      </w:r>
      <w:r w:rsidRPr="000E2C88">
        <w:rPr>
          <w:rFonts w:eastAsia="Calibri"/>
        </w:rPr>
        <w:t>t. 796, b. l. 76–</w:t>
      </w:r>
      <w:r w:rsidRPr="00361401">
        <w:rPr>
          <w:rFonts w:eastAsia="Calibri"/>
        </w:rPr>
        <w:t>77).</w:t>
      </w:r>
      <w:r w:rsidRPr="00C00255">
        <w:rPr>
          <w:rFonts w:eastAsia="Calibri"/>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Teisėjų kolegija, atsižvelgdama į tai, kad </w:t>
      </w:r>
      <w:r>
        <w:rPr>
          <w:szCs w:val="24"/>
        </w:rPr>
        <w:t>G. G.</w:t>
      </w:r>
      <w:r w:rsidRPr="00C00255">
        <w:rPr>
          <w:szCs w:val="24"/>
        </w:rPr>
        <w:t xml:space="preserve"> dalyvavimas šturmuojant Spaudos rūmus ir Policijos akademijos pastatą proceso metu nebuvo inkriminuotas, kad teismo nuosprendžio nustatomojoje dalyje tokios aplinkybės nėra nurodytos kaip pripažintos įrodytomis, </w:t>
      </w:r>
      <w:bookmarkStart w:id="267" w:name="_Hlk67484843"/>
      <w:r w:rsidRPr="00C00255">
        <w:rPr>
          <w:szCs w:val="24"/>
        </w:rPr>
        <w:t xml:space="preserve">darydama išvadas apie nuteistojo </w:t>
      </w:r>
      <w:r>
        <w:rPr>
          <w:szCs w:val="24"/>
        </w:rPr>
        <w:t>G. G.</w:t>
      </w:r>
      <w:r w:rsidRPr="00C00255">
        <w:rPr>
          <w:szCs w:val="24"/>
        </w:rPr>
        <w:t xml:space="preserve"> veiksmus jomis nesivadovauja </w:t>
      </w:r>
      <w:bookmarkEnd w:id="267"/>
      <w:r w:rsidRPr="00C00255">
        <w:rPr>
          <w:szCs w:val="24"/>
        </w:rPr>
        <w:t xml:space="preserve">ir </w:t>
      </w:r>
      <w:r w:rsidRPr="00C00255">
        <w:rPr>
          <w:lang w:eastAsia="lt-LT"/>
        </w:rPr>
        <w:t xml:space="preserve">iš skundžiamo nuosprendžio šalina visas išvadas apie </w:t>
      </w:r>
      <w:r>
        <w:rPr>
          <w:lang w:eastAsia="lt-LT"/>
        </w:rPr>
        <w:t>G. G.</w:t>
      </w:r>
      <w:r w:rsidRPr="00C00255">
        <w:rPr>
          <w:lang w:eastAsia="lt-LT"/>
        </w:rPr>
        <w:t xml:space="preserve"> dalyvavimą užimant Spaudos rūmus ir Policijos akademiją (dėl </w:t>
      </w:r>
      <w:r>
        <w:rPr>
          <w:lang w:eastAsia="lt-LT"/>
        </w:rPr>
        <w:t>G. G.</w:t>
      </w:r>
      <w:r w:rsidRPr="00C00255">
        <w:rPr>
          <w:lang w:eastAsia="lt-LT"/>
        </w:rPr>
        <w:t xml:space="preserve"> vaidmens užimant LRT bus pasisakyta atskirai kitoje šio teismo sprendimo dalyje).</w:t>
      </w:r>
    </w:p>
    <w:p w:rsidR="00DA38E9" w:rsidRPr="00C00255" w:rsidRDefault="00DA38E9" w:rsidP="00DA38E9">
      <w:pPr>
        <w:pStyle w:val="Heading4"/>
        <w:spacing w:before="120" w:after="120"/>
        <w:ind w:firstLine="992"/>
        <w:rPr>
          <w:rFonts w:ascii="Times New Roman" w:hAnsi="Times New Roman"/>
          <w:b w:val="0"/>
          <w:i/>
          <w:sz w:val="24"/>
          <w:szCs w:val="24"/>
        </w:rPr>
      </w:pPr>
      <w:r w:rsidRPr="00C00255">
        <w:rPr>
          <w:rFonts w:ascii="Times New Roman" w:hAnsi="Times New Roman"/>
          <w:b w:val="0"/>
          <w:i/>
          <w:sz w:val="24"/>
          <w:szCs w:val="24"/>
        </w:rPr>
        <w:t xml:space="preserve">Dėl nuteistojo </w:t>
      </w:r>
      <w:r>
        <w:rPr>
          <w:rFonts w:ascii="Times New Roman" w:hAnsi="Times New Roman"/>
          <w:b w:val="0"/>
          <w:i/>
          <w:sz w:val="24"/>
          <w:szCs w:val="24"/>
        </w:rPr>
        <w:t>A. S.</w:t>
      </w:r>
      <w:r w:rsidRPr="00C00255">
        <w:rPr>
          <w:rFonts w:ascii="Times New Roman" w:hAnsi="Times New Roman"/>
          <w:b w:val="0"/>
          <w:i/>
          <w:sz w:val="24"/>
          <w:szCs w:val="24"/>
        </w:rPr>
        <w:t xml:space="preserve"> dalyvavimo užimant Spaudos rūmus</w:t>
      </w:r>
    </w:p>
    <w:p w:rsidR="00DA38E9" w:rsidRPr="00361401" w:rsidRDefault="00DA38E9" w:rsidP="00DA38E9">
      <w:pPr>
        <w:pStyle w:val="ListParagraph"/>
        <w:numPr>
          <w:ilvl w:val="0"/>
          <w:numId w:val="6"/>
        </w:numPr>
        <w:spacing w:before="120" w:after="120"/>
        <w:ind w:left="992" w:hanging="992"/>
        <w:contextualSpacing w:val="0"/>
        <w:rPr>
          <w:rFonts w:eastAsia="Calibri"/>
          <w:lang w:eastAsia="lt-LT"/>
        </w:rPr>
      </w:pPr>
      <w:r w:rsidRPr="000E2C88">
        <w:t>Panašiai kaip ir konstatuota prieš tai jau aptartose šio procesinio sprendimo dalyse dėl pirmosios instancijos teismo išvadų, susijusių su nuteistųjų S. K., A. I. ir G. G. dalyvavimu užimant Spaudos rūmus, nustatyta, kad skundžiamo nuosprendžio nustatomojoje dalyje aprašant faktines Spaudos rūmų užėmimo aplinkybes nuteistasis A. S. neminimas ir jokie jo atlikti veiksmai nei dalyvaujant, nei vadovaujant kitiems kariškiams nenurodyti (</w:t>
      </w:r>
      <w:r w:rsidRPr="000E2C88">
        <w:rPr>
          <w:rFonts w:eastAsia="Calibri"/>
        </w:rPr>
        <w:t xml:space="preserve">t. 769, b. l. 135–138). Nepaisant to, kitose skundžiamo nuosprendžio dalyse </w:t>
      </w:r>
      <w:r w:rsidRPr="000E2C88">
        <w:t>nurodoma apie TSRS GM 76-osios oro desanto divizijos 237-ojo pulko 7-osios kuopos būrio vado leitenanto A. S. dalyvavimą užimant Spaudos rūmus. Nuosprendžio motyvuojamojoje dalyje nurodoma, kad: „A. S. dalyvavo Spaudos rūmų šturme“ (nuosprendžio 873 l., t. 773, b. l. 73); „skiriant bausmę kaltinamajam A. S., atsižvelgiama į tai, kad jis dalyvavo Spaudos rūmų šturme</w:t>
      </w:r>
      <w:r w:rsidRPr="000E2C88">
        <w:rPr>
          <w:rFonts w:eastAsia="Calibri"/>
        </w:rPr>
        <w:t>“ (nuosprendžio 884 l., t. 773, b. l. 84). Pažymėtina, kad net ir šiose teismo nuosprendžio vietose neužsimenama apie jokius A. S. vadovaujančius veiksmus prie Spaudos rūmų, o vadovavimas karinei operacijai minimas tik kalbant apie jo dalyvavimą užimant LRT pastatą</w:t>
      </w:r>
      <w:r w:rsidRPr="00361401">
        <w:rPr>
          <w:rFonts w:eastAsia="Calibri"/>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Kaip ir kitose aptartose pirmosios instancijos teismo nuosprendžio dalyse dėl </w:t>
      </w:r>
      <w:r>
        <w:rPr>
          <w:szCs w:val="24"/>
        </w:rPr>
        <w:t>A. I.</w:t>
      </w:r>
      <w:r w:rsidRPr="00C00255">
        <w:rPr>
          <w:szCs w:val="24"/>
        </w:rPr>
        <w:t xml:space="preserve"> ir </w:t>
      </w:r>
      <w:r>
        <w:rPr>
          <w:szCs w:val="24"/>
        </w:rPr>
        <w:t>G. G.</w:t>
      </w:r>
      <w:r w:rsidRPr="00C00255">
        <w:rPr>
          <w:szCs w:val="24"/>
        </w:rPr>
        <w:t xml:space="preserve"> dalyvavimo užimant Spaudos rūmus, apygardos </w:t>
      </w:r>
      <w:r w:rsidRPr="00C00255">
        <w:rPr>
          <w:lang w:eastAsia="lt-LT"/>
        </w:rPr>
        <w:t xml:space="preserve">teismas nenurodė jokių duomenų, pagrindžiančių </w:t>
      </w:r>
      <w:r>
        <w:rPr>
          <w:lang w:eastAsia="lt-LT"/>
        </w:rPr>
        <w:t>A. S.</w:t>
      </w:r>
      <w:r w:rsidRPr="00C00255">
        <w:rPr>
          <w:lang w:eastAsia="lt-LT"/>
        </w:rPr>
        <w:t xml:space="preserve"> dalyvavimą Spaudos rūmų šturme. Teismas tik aprašė paties </w:t>
      </w:r>
      <w:r>
        <w:rPr>
          <w:lang w:eastAsia="lt-LT"/>
        </w:rPr>
        <w:t>A. S.</w:t>
      </w:r>
      <w:r w:rsidRPr="00C00255">
        <w:rPr>
          <w:lang w:eastAsia="lt-LT"/>
        </w:rPr>
        <w:t xml:space="preserve"> parodymus, duotus ikiteisminio tyrimo metu, bet jų niekaip neanalizavo ir jų turinio iš esmės nevertino. Jokių kitų duomenų ar įrodymų, kuriais grindžiamos teismo išvados dėl </w:t>
      </w:r>
      <w:r>
        <w:rPr>
          <w:lang w:eastAsia="lt-LT"/>
        </w:rPr>
        <w:t>A. S.</w:t>
      </w:r>
      <w:r w:rsidRPr="00C00255">
        <w:rPr>
          <w:lang w:eastAsia="lt-LT"/>
        </w:rPr>
        <w:t xml:space="preserve"> dalyvavimo užimant Spaudos rūmus pirmosios instancijos teismas nenurodė, o apeliacinės instancijos teisėjų kolegija tokių įrodymų taip pat nenustatė.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Valstybinį kaltinimą byloje palaikantys prokurorai apeliacinės instancijos teismo posėdyje nurodė, kad </w:t>
      </w:r>
      <w:r>
        <w:rPr>
          <w:lang w:eastAsia="lt-LT"/>
        </w:rPr>
        <w:t>A. S.</w:t>
      </w:r>
      <w:r w:rsidRPr="00C00255">
        <w:rPr>
          <w:lang w:eastAsia="lt-LT"/>
        </w:rPr>
        <w:t xml:space="preserve">, kaip ir jau minėtiems nuteistiesiems </w:t>
      </w:r>
      <w:r>
        <w:rPr>
          <w:lang w:eastAsia="lt-LT"/>
        </w:rPr>
        <w:t>S. K.</w:t>
      </w:r>
      <w:r w:rsidRPr="00C00255">
        <w:rPr>
          <w:lang w:eastAsia="lt-LT"/>
        </w:rPr>
        <w:t xml:space="preserve">, </w:t>
      </w:r>
      <w:r>
        <w:rPr>
          <w:lang w:eastAsia="lt-LT"/>
        </w:rPr>
        <w:t>A. I.</w:t>
      </w:r>
      <w:r w:rsidRPr="00C00255">
        <w:rPr>
          <w:lang w:eastAsia="lt-LT"/>
        </w:rPr>
        <w:t xml:space="preserve">, </w:t>
      </w:r>
      <w:r>
        <w:rPr>
          <w:lang w:eastAsia="lt-LT"/>
        </w:rPr>
        <w:t>G. G.</w:t>
      </w:r>
      <w:r w:rsidRPr="00C00255">
        <w:rPr>
          <w:lang w:eastAsia="lt-LT"/>
        </w:rPr>
        <w:t xml:space="preserve">, dalyvavimas užimant Spaudos rūmus nebuvo inkriminuotas ir prašė šias pirmosios instancijos teismo išvadas patikslinti, pašalinant iš nuosprendžio tokius teiginius. Teisėjų kolegija su tokia prokurorų pozicija sutinka, nors taip pat atkreipia dėmesį, kad ši prokurorų pozicija dėl </w:t>
      </w:r>
      <w:r>
        <w:rPr>
          <w:lang w:eastAsia="lt-LT"/>
        </w:rPr>
        <w:t>A. S.</w:t>
      </w:r>
      <w:r w:rsidRPr="00C00255">
        <w:rPr>
          <w:lang w:eastAsia="lt-LT"/>
        </w:rPr>
        <w:t xml:space="preserve"> bylos eigoje buvo prieštaringa ir galėjo suklaidinti pirmosios instancijos teismą. Formuluodami kaltinimą dėl Spaudos rūmų prokurorai niekada neminėjo </w:t>
      </w:r>
      <w:r>
        <w:rPr>
          <w:lang w:eastAsia="lt-LT"/>
        </w:rPr>
        <w:t>A. S.</w:t>
      </w:r>
      <w:r w:rsidRPr="00C00255">
        <w:rPr>
          <w:lang w:eastAsia="lt-LT"/>
        </w:rPr>
        <w:t xml:space="preserve"> ir nenurodė jokių jo veiksmų ar kitų faktinių aplinkybių, kurios pastarajam būtų inkriminuojamos. Priešingai nei kiti TSRS GM 76-osios oro desanto divizijos kariškiai (</w:t>
      </w:r>
      <w:r>
        <w:rPr>
          <w:lang w:eastAsia="lt-LT"/>
        </w:rPr>
        <w:t>V. K. 1</w:t>
      </w:r>
      <w:r w:rsidRPr="00C00255">
        <w:rPr>
          <w:lang w:eastAsia="lt-LT"/>
        </w:rPr>
        <w:t xml:space="preserve">, </w:t>
      </w:r>
      <w:r>
        <w:rPr>
          <w:lang w:eastAsia="lt-LT"/>
        </w:rPr>
        <w:t>V. S. 2</w:t>
      </w:r>
      <w:r w:rsidRPr="00C00255">
        <w:rPr>
          <w:lang w:eastAsia="lt-LT"/>
        </w:rPr>
        <w:t xml:space="preserve">, </w:t>
      </w:r>
      <w:r>
        <w:rPr>
          <w:lang w:eastAsia="lt-LT"/>
        </w:rPr>
        <w:t>V. D.</w:t>
      </w:r>
      <w:r w:rsidRPr="00C00255">
        <w:rPr>
          <w:lang w:eastAsia="lt-LT"/>
        </w:rPr>
        <w:t xml:space="preserve">, </w:t>
      </w:r>
      <w:r>
        <w:rPr>
          <w:lang w:eastAsia="lt-LT"/>
        </w:rPr>
        <w:t>A. G. 2</w:t>
      </w:r>
      <w:r w:rsidRPr="00C00255">
        <w:rPr>
          <w:lang w:eastAsia="lt-LT"/>
        </w:rPr>
        <w:t xml:space="preserve">, </w:t>
      </w:r>
      <w:r>
        <w:rPr>
          <w:lang w:eastAsia="lt-LT"/>
        </w:rPr>
        <w:t>S. M.</w:t>
      </w:r>
      <w:r w:rsidRPr="00C00255">
        <w:rPr>
          <w:lang w:eastAsia="lt-LT"/>
        </w:rPr>
        <w:t xml:space="preserve">, </w:t>
      </w:r>
      <w:r>
        <w:rPr>
          <w:lang w:eastAsia="lt-LT"/>
        </w:rPr>
        <w:t>V. K. 2</w:t>
      </w:r>
      <w:r w:rsidRPr="00C00255">
        <w:rPr>
          <w:lang w:eastAsia="lt-LT"/>
        </w:rPr>
        <w:t xml:space="preserve">, </w:t>
      </w:r>
      <w:r>
        <w:rPr>
          <w:lang w:eastAsia="lt-LT"/>
        </w:rPr>
        <w:t>E. M.</w:t>
      </w:r>
      <w:r w:rsidRPr="00C00255">
        <w:rPr>
          <w:lang w:eastAsia="lt-LT"/>
        </w:rPr>
        <w:t xml:space="preserve">), kuriems inkriminuojamas dalyvavimas ir vadovavimas kitiems žemesnio rango kariškiams užimant Spaudos rūmus, </w:t>
      </w:r>
      <w:r>
        <w:rPr>
          <w:lang w:eastAsia="lt-LT"/>
        </w:rPr>
        <w:t>A. S.</w:t>
      </w:r>
      <w:r w:rsidRPr="00C00255">
        <w:rPr>
          <w:lang w:eastAsia="lt-LT"/>
        </w:rPr>
        <w:t xml:space="preserve"> kaltinime nenurodomas (t. 686, kaltinamojo akto 809–812 l.). Jis yra minimas tik kaltinamojo akto dalyje, kurioje aptariami su šiuo epizodu susiję įrodymai, ir tik kaltinamojo akto dalies įžangoje (t. 694, kaltinamojo akto 2763 l.). Vertinant tokį kaltinamojo akto turinį ir jame esminę reikšmę turintį inkriminuojamų nusikalstamų veiksmų aplinkybių aprašymą, taip pat prokurorų poziciją apeliacinės instancijos teisme, akivaizdu, kad </w:t>
      </w:r>
      <w:r>
        <w:rPr>
          <w:lang w:eastAsia="lt-LT"/>
        </w:rPr>
        <w:t>A. S.</w:t>
      </w:r>
      <w:r w:rsidRPr="00C00255">
        <w:rPr>
          <w:lang w:eastAsia="lt-LT"/>
        </w:rPr>
        <w:t xml:space="preserve"> dalyvavimas užimant Spaudos rūmus niekada nebuvo inkriminuojamas. Taigi kaltinamojo akto 2763 lape yra padaryta klaida, nes tiek apeliacinės instancijos teisme, tiek pirmosios instancijos teisme pasakytoje baigiamojoje kalboje prokurorai, apibendrindami </w:t>
      </w:r>
      <w:r>
        <w:rPr>
          <w:lang w:eastAsia="lt-LT"/>
        </w:rPr>
        <w:t>A. S.</w:t>
      </w:r>
      <w:r w:rsidRPr="00C00255">
        <w:rPr>
          <w:lang w:eastAsia="lt-LT"/>
        </w:rPr>
        <w:t xml:space="preserve"> veiksmus, įžvelgė tik jo dalyvavimą užimant LRT pastatą (t. 763, b. l. 199).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Tokias išvadas teismas daro įvertinęs ir byloje surinktus duomenis apie Spaudos rūmų užėmimą bei šioje operacijos dalyje dalyvavusius kariškius. Iš jau minėtų paties </w:t>
      </w:r>
      <w:r>
        <w:rPr>
          <w:lang w:eastAsia="lt-LT"/>
        </w:rPr>
        <w:t>A. S.</w:t>
      </w:r>
      <w:r w:rsidRPr="00C00255">
        <w:rPr>
          <w:lang w:eastAsia="lt-LT"/>
        </w:rPr>
        <w:t xml:space="preserve"> parodymų spręsti apie jo dalyvavimą ir kokį nors jo vadovaujantį vaidmenį užimant Spaudos rūmus negalima, nes vien nuteistojo nurodytos aplinkybės ikiteisminio tyrimo metu apklausiant jį liudytoju, nėra pakankamos išvadoms apie jo dalyvavimą ir vadovavimą užimant Spaudos rūmus daryti, o jokių kitų įrodymų apie jo dalyvavimą užimant Spaudos rūmus prokurorai nepateikė ir atitinkamų kaltinimų neformulavo.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Įvertinusi nurodytus duomenis ir aplinkybes, teisėjų kolegija sutinka su prokurorų pozicija dėl teismo nuosprendžio motyvuojamojoje dalyje esančių prieštaringų išvadų, susijusių su </w:t>
      </w:r>
      <w:r>
        <w:rPr>
          <w:lang w:eastAsia="lt-LT"/>
        </w:rPr>
        <w:t>A. S.</w:t>
      </w:r>
      <w:r w:rsidRPr="00C00255">
        <w:rPr>
          <w:lang w:eastAsia="lt-LT"/>
        </w:rPr>
        <w:t xml:space="preserve"> dalyvavimu užimant Spaudos rūmus, pripažinimo nepagrįstomis, todėl jomis nesivadovauja ir iš skundžiamo nuosprendžio šalina (dėl </w:t>
      </w:r>
      <w:r>
        <w:rPr>
          <w:lang w:eastAsia="lt-LT"/>
        </w:rPr>
        <w:t>A. S.</w:t>
      </w:r>
      <w:r w:rsidRPr="00C00255">
        <w:rPr>
          <w:lang w:eastAsia="lt-LT"/>
        </w:rPr>
        <w:t xml:space="preserve"> vaidmens užimant LRT, teismas pasisakys atskirai kitoje šio teismo sprendimo dalyje).</w:t>
      </w:r>
    </w:p>
    <w:p w:rsidR="00DA38E9" w:rsidRPr="00C00255" w:rsidRDefault="00DA38E9" w:rsidP="00DA38E9">
      <w:pPr>
        <w:pStyle w:val="Heading3"/>
        <w:ind w:left="993"/>
        <w:jc w:val="both"/>
        <w:rPr>
          <w:b w:val="0"/>
          <w:bCs/>
          <w:i/>
          <w:sz w:val="24"/>
          <w:szCs w:val="24"/>
          <w:lang w:val="lt-LT"/>
        </w:rPr>
      </w:pPr>
      <w:bookmarkStart w:id="268" w:name="_Toc67677387"/>
      <w:bookmarkStart w:id="269" w:name="_Toc67985515"/>
      <w:r w:rsidRPr="00C00255">
        <w:rPr>
          <w:b w:val="0"/>
          <w:bCs/>
          <w:i/>
          <w:sz w:val="24"/>
          <w:szCs w:val="24"/>
          <w:lang w:val="lt-LT"/>
        </w:rPr>
        <w:t xml:space="preserve">Dėl TSRS GM 107-ajai motorizuotų šaulių divizijai ir šios divizijos 106-ajam tankų pulkui priklausiusių nuteistųjų dalyvavimo </w:t>
      </w:r>
      <w:r w:rsidRPr="00C00255">
        <w:rPr>
          <w:b w:val="0"/>
          <w:i/>
          <w:sz w:val="24"/>
          <w:szCs w:val="24"/>
          <w:lang w:val="lt-LT"/>
        </w:rPr>
        <w:t>užimant Spaudos rūmus</w:t>
      </w:r>
      <w:bookmarkEnd w:id="268"/>
      <w:bookmarkEnd w:id="269"/>
    </w:p>
    <w:p w:rsidR="00361401" w:rsidRDefault="00361401" w:rsidP="00361401">
      <w:pPr>
        <w:pStyle w:val="ListParagraph"/>
        <w:numPr>
          <w:ilvl w:val="0"/>
          <w:numId w:val="6"/>
        </w:numPr>
        <w:spacing w:before="120" w:after="120"/>
        <w:ind w:left="992" w:hanging="992"/>
        <w:contextualSpacing w:val="0"/>
        <w:rPr>
          <w:lang w:eastAsia="lt-LT"/>
        </w:rPr>
      </w:pPr>
      <w:r w:rsidRPr="000E2C88">
        <w:t>Pirmosios instancijos teismas, vadovaudamasis byloje surinktais įrodymais, be kita ko, konstatavo tokius TSRS GM Sausumos pajėgų Pabaltijo karinės apygardos 107-osios motorizuotų šaulių divizijos kariškių veiksmus užimant Spaudos rūmus</w:t>
      </w:r>
      <w:r w:rsidRPr="00361401">
        <w:rPr>
          <w:lang w:eastAsia="lt-LT"/>
        </w:rPr>
        <w:t>:</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0E2C88">
        <w:t xml:space="preserve">Po to, kai jau minėti </w:t>
      </w:r>
      <w:r w:rsidRPr="000E2C88">
        <w:rPr>
          <w:rFonts w:eastAsia="Calibri"/>
        </w:rPr>
        <w:t>TSRS GM 76-osios oro desanto divizijos kariškiai, vadovaujami V. K. 1, atvyko prie Spaudos rūmų ir susidūrė su aktyviu civilių asmenų pasipriešinimu vadovavimo operacijai, štabas, reaguodamas į susidariusią padėtį, įsakė 76-osios oro desanto divizijos 234-ojo pulko vadui I. K. (ikiteisminis tyrimas nutrauktas mirus) ir 107-osios motorizuotų šaulių divizijos 106-ojo tankų pulko vadui N. A. pavesti pavaldiems kariškiams dalyvauti</w:t>
      </w:r>
      <w:r w:rsidRPr="000E2C88">
        <w:rPr>
          <w:rFonts w:eastAsia="Calibri"/>
          <w:szCs w:val="24"/>
        </w:rPr>
        <w:t xml:space="preserve"> </w:t>
      </w:r>
      <w:r w:rsidRPr="000E2C88">
        <w:rPr>
          <w:rFonts w:eastAsia="Calibri"/>
        </w:rPr>
        <w:t>kaltinamojo V. K. 1 vadovaujamoje karo atakoje prie Spaudos rūmų</w:t>
      </w:r>
      <w:r w:rsidRPr="00361401">
        <w:rPr>
          <w:rFonts w:eastAsia="Calibri"/>
        </w:rPr>
        <w:t>.</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0E2C88">
        <w:rPr>
          <w:rFonts w:eastAsia="Calibri"/>
        </w:rPr>
        <w:t>Vykdant tokį įsakymą, 106-ojo tankų pulko vado N. A. nurodymu prie Spaudos rūmų atvyko keturi 107-osios motošaulių divizijos tankų pulko tankai, vadovaujami kaltinamojo G. I.: į tanko Nr. 511 ekipažą paskirti kaltinamieji: tanko vadu V. U. 2, taikytoju A. B., mechaniku-vairuotoju A. R.; į tanko Nr. 571 ekipažą paskirti kaltinamieji: tanko vadu V. P., taikytoju N. O., mechaniku-vairuotoju A. U.; į tanko Nr. 574 ekipažą paskirti kaltinamieji: tanko vadu E. R., taikytoju A. K. 2, mechaniku-vairuotoju N. S.; į tanko Nr. 119 ekipažą paskirti nariai ikiteisminio tyrimo metu nenustatyti</w:t>
      </w:r>
      <w:r w:rsidRPr="00361401">
        <w:rPr>
          <w:rFonts w:eastAsia="Calibri"/>
        </w:rPr>
        <w:t>.</w:t>
      </w:r>
    </w:p>
    <w:p w:rsidR="00DA38E9" w:rsidRPr="00361401" w:rsidRDefault="00DA38E9" w:rsidP="00DA38E9">
      <w:pPr>
        <w:pStyle w:val="ListParagraph"/>
        <w:numPr>
          <w:ilvl w:val="1"/>
          <w:numId w:val="6"/>
        </w:numPr>
        <w:spacing w:before="120" w:after="120"/>
        <w:ind w:left="993" w:hanging="993"/>
        <w:contextualSpacing w:val="0"/>
        <w:rPr>
          <w:rFonts w:eastAsia="Calibri"/>
        </w:rPr>
      </w:pPr>
      <w:r w:rsidRPr="00361401">
        <w:rPr>
          <w:rFonts w:eastAsia="Calibri"/>
        </w:rPr>
        <w:t>Pagal operacijai vadovavusio V. K. 1 nurodymą atvykę keturi T-72 tankai ir apie šimtas kariškių iš 76-osios oro desanto divizijos 234-ojo pulko trečiojo bataliono išsirikiavo priešais centrinį Spaudos rūmų įėjimą ir pagal komandą pradėjo pakartotinę Spaudos rūmų ataką bei rūmus gynusių civilių puolimą, terorizavimą bei bauginimą. Puolimo metu tankai, nemažiau kaip vieną kartą iššovė tuščiais užtaisais, tuo padarant A. Š. akustinę traumą, dėl ko, išsivysčius didelio laipsnio klausos</w:t>
      </w:r>
      <w:r w:rsidRPr="00361401" w:rsidDel="0007720C">
        <w:rPr>
          <w:rFonts w:eastAsia="Calibri"/>
        </w:rPr>
        <w:t xml:space="preserve"> </w:t>
      </w:r>
      <w:r w:rsidRPr="00361401">
        <w:rPr>
          <w:rFonts w:eastAsia="Calibri"/>
        </w:rPr>
        <w:t>netekimui</w:t>
      </w:r>
      <w:r w:rsidRPr="00C00255">
        <w:rPr>
          <w:rFonts w:eastAsia="Calibri"/>
          <w:szCs w:val="24"/>
        </w:rPr>
        <w:t xml:space="preserve"> </w:t>
      </w:r>
      <w:r w:rsidRPr="00361401">
        <w:rPr>
          <w:rFonts w:eastAsia="Calibri"/>
        </w:rPr>
        <w:t>su kairės ausies kurtumu, pastarasis neteko 30 ir daugiau procentų bendro darbingumo.</w:t>
      </w:r>
    </w:p>
    <w:p w:rsidR="00DA38E9" w:rsidRPr="000E2C88" w:rsidRDefault="00DA38E9" w:rsidP="00DA38E9">
      <w:pPr>
        <w:pStyle w:val="ListParagraph"/>
        <w:numPr>
          <w:ilvl w:val="1"/>
          <w:numId w:val="6"/>
        </w:numPr>
        <w:spacing w:before="120" w:after="120"/>
        <w:ind w:left="993" w:hanging="993"/>
        <w:contextualSpacing w:val="0"/>
        <w:rPr>
          <w:rFonts w:eastAsia="Calibri"/>
        </w:rPr>
      </w:pPr>
      <w:r w:rsidRPr="000E2C88">
        <w:rPr>
          <w:rFonts w:eastAsia="Calibri"/>
        </w:rPr>
        <w:t>Karo atakos metu prie Spaudos rūmų dalyvavę kariškiai bendrais veiksmais užėmė Spaudos rūmus, karinės atakos metu naudodami bauginimo, teroro bei tarptautinių sutarčių uždraustas karo priemones sutrikdė civilių asmenų sveikatą, padarė įvairaus laipsnio kūno sužalojimus rūmus gynusiems civiliams asmenims</w:t>
      </w:r>
      <w:r w:rsidRPr="000E2C88">
        <w:rPr>
          <w:rFonts w:eastAsia="Calibri"/>
          <w:szCs w:val="24"/>
        </w:rPr>
        <w:t xml:space="preserve"> </w:t>
      </w:r>
      <w:r w:rsidRPr="000E2C88">
        <w:rPr>
          <w:rFonts w:eastAsia="Calibri"/>
        </w:rPr>
        <w:t>(skundžiamo nuosprendžio 135–138 l.).</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Teisėjų kolegija, pasisakydama dėl tokių nuosprendžiu įrodytomis pripažintų bylos aplinkybių, susijusių su TSRS GM 107-ajai motorizuotų šaulių divizijai priklausiusių nuteistųjų vaidmeniu užimant Spaudos rūmus, pirmiausia, turėdama omenyje šiame nuosprendyje jau minėtas išvadas apie karinės operacijos planavimą, vadovavimo karinei operacijai štabo narių sprendimus ir jau padarytas išvadas apie karinių pajėgų paskirstymą bei įsakymus TSRS GM 107-osios motorizuotų šaulių divizijos tankų pulko vadui N. A. dėl Spaudos rūmų užėmimo, aptars šios divizijos tankų Nr. 511, Nr. 571, Nr. 574 ir Nr. 119 bei jų ekipažo narių vaidmenį šios operacijos metu, o toliau atskirai pasisakys ir dėl šių tankų junginiui vadovavusių nuteistųjų vaidmens</w:t>
      </w:r>
      <w:r w:rsidRPr="00C00255">
        <w:rPr>
          <w:szCs w:val="24"/>
          <w:lang w:eastAsia="lt-LT"/>
        </w:rPr>
        <w:t xml:space="preserve">.   </w:t>
      </w:r>
    </w:p>
    <w:p w:rsidR="00DA38E9" w:rsidRPr="00C00255" w:rsidRDefault="00DA38E9" w:rsidP="00DA38E9">
      <w:pPr>
        <w:pStyle w:val="Heading4"/>
        <w:spacing w:before="120" w:after="120"/>
        <w:ind w:left="992"/>
        <w:rPr>
          <w:rFonts w:ascii="Times New Roman" w:hAnsi="Times New Roman"/>
          <w:b w:val="0"/>
          <w:i/>
          <w:sz w:val="24"/>
        </w:rPr>
      </w:pPr>
      <w:r w:rsidRPr="00C00255">
        <w:rPr>
          <w:rFonts w:ascii="Times New Roman" w:hAnsi="Times New Roman"/>
          <w:b w:val="0"/>
          <w:i/>
          <w:sz w:val="24"/>
        </w:rPr>
        <w:t xml:space="preserve">Dėl tanko Nr. 511 ir jo ekipažo narių nuteistųjų </w:t>
      </w:r>
      <w:r>
        <w:rPr>
          <w:rFonts w:ascii="Times New Roman" w:hAnsi="Times New Roman"/>
          <w:b w:val="0"/>
          <w:i/>
          <w:sz w:val="24"/>
        </w:rPr>
        <w:t>V. U. 2</w:t>
      </w:r>
      <w:r w:rsidRPr="00C00255">
        <w:rPr>
          <w:rFonts w:ascii="Times New Roman" w:hAnsi="Times New Roman"/>
          <w:b w:val="0"/>
          <w:i/>
          <w:sz w:val="24"/>
        </w:rPr>
        <w:t xml:space="preserve">, </w:t>
      </w:r>
      <w:r>
        <w:rPr>
          <w:rFonts w:ascii="Times New Roman" w:hAnsi="Times New Roman"/>
          <w:b w:val="0"/>
          <w:i/>
          <w:sz w:val="24"/>
        </w:rPr>
        <w:t>A. B.</w:t>
      </w:r>
      <w:r w:rsidRPr="00C00255">
        <w:rPr>
          <w:rFonts w:ascii="Times New Roman" w:hAnsi="Times New Roman"/>
          <w:b w:val="0"/>
          <w:i/>
          <w:sz w:val="24"/>
        </w:rPr>
        <w:t xml:space="preserve"> ir </w:t>
      </w:r>
      <w:r>
        <w:rPr>
          <w:rFonts w:ascii="Times New Roman" w:hAnsi="Times New Roman"/>
          <w:b w:val="0"/>
          <w:i/>
          <w:sz w:val="24"/>
        </w:rPr>
        <w:t>A. R.</w:t>
      </w:r>
      <w:r w:rsidRPr="00C00255">
        <w:rPr>
          <w:rFonts w:ascii="Times New Roman" w:hAnsi="Times New Roman"/>
          <w:b w:val="0"/>
          <w:i/>
          <w:sz w:val="24"/>
        </w:rPr>
        <w:t xml:space="preserve"> dalyvavimo </w:t>
      </w:r>
      <w:r w:rsidRPr="00C00255">
        <w:rPr>
          <w:rStyle w:val="Heading3Char"/>
          <w:rFonts w:eastAsiaTheme="majorEastAsia"/>
          <w:i/>
          <w:sz w:val="24"/>
          <w:szCs w:val="24"/>
          <w:lang w:val="lt-LT"/>
        </w:rPr>
        <w:t>užimant Spaudos rūmus</w:t>
      </w:r>
      <w:r w:rsidRPr="00C00255">
        <w:rPr>
          <w:rFonts w:ascii="Times New Roman" w:hAnsi="Times New Roman"/>
          <w:b w:val="0"/>
          <w:i/>
          <w:sz w:val="24"/>
        </w:rPr>
        <w:t xml:space="preserve"> </w:t>
      </w:r>
    </w:p>
    <w:p w:rsidR="00361401" w:rsidRDefault="00DA38E9" w:rsidP="00361401">
      <w:pPr>
        <w:pStyle w:val="ListParagraph"/>
        <w:numPr>
          <w:ilvl w:val="0"/>
          <w:numId w:val="6"/>
        </w:numPr>
        <w:spacing w:before="120" w:after="120"/>
        <w:ind w:left="992" w:hanging="992"/>
        <w:contextualSpacing w:val="0"/>
        <w:rPr>
          <w:szCs w:val="24"/>
          <w:lang w:eastAsia="lt-LT" w:bidi="lt-LT"/>
        </w:rPr>
      </w:pPr>
      <w:r w:rsidRPr="000E2C88">
        <w:rPr>
          <w:szCs w:val="24"/>
          <w:lang w:eastAsia="lt-LT"/>
        </w:rPr>
        <w:t xml:space="preserve">Teisėjų kolegija, vertindama apeliacinių skundų argumentus dėl šio tanko ir jo ekipažo narių dalyvavimo užimant Spaudos rūmus, pirmiausia, pažymi, kad aplinkybes apie TSRS GM </w:t>
      </w:r>
      <w:bookmarkStart w:id="270" w:name="_Hlk60909847"/>
      <w:r w:rsidRPr="000E2C88">
        <w:rPr>
          <w:szCs w:val="24"/>
          <w:lang w:eastAsia="lt-LT"/>
        </w:rPr>
        <w:t>Sausumos pajėgų Pabaltijo karinės apygardos 107-osios motorizuotų šaulių divizijos 106-ojo tankų pulko tanko Nr. 511</w:t>
      </w:r>
      <w:bookmarkEnd w:id="270"/>
      <w:r w:rsidRPr="000E2C88">
        <w:rPr>
          <w:szCs w:val="24"/>
          <w:lang w:eastAsia="lt-LT"/>
        </w:rPr>
        <w:t xml:space="preserve"> dalyvavimą aptariamų įvykių metu patvirtina abejonių savo objektyvumu nekeliantys įrodymai – minėtus įvykius atspindintys vaizdo įrašai, nuotraukos ir rašytiniai dokumentai</w:t>
      </w:r>
      <w:r w:rsidRPr="00361401">
        <w:rPr>
          <w:szCs w:val="24"/>
          <w:lang w:eastAsia="lt-LT"/>
        </w:rPr>
        <w:t xml:space="preserve">. </w:t>
      </w:r>
    </w:p>
    <w:p w:rsidR="00361401" w:rsidRPr="00361401" w:rsidRDefault="00DA38E9" w:rsidP="00361401">
      <w:pPr>
        <w:pStyle w:val="ListParagraph"/>
        <w:numPr>
          <w:ilvl w:val="0"/>
          <w:numId w:val="6"/>
        </w:numPr>
        <w:spacing w:before="120" w:after="120"/>
        <w:ind w:left="992" w:hanging="992"/>
        <w:contextualSpacing w:val="0"/>
        <w:rPr>
          <w:szCs w:val="24"/>
          <w:lang w:eastAsia="lt-LT" w:bidi="lt-LT"/>
        </w:rPr>
      </w:pPr>
      <w:r w:rsidRPr="000E2C88">
        <w:rPr>
          <w:rFonts w:eastAsia="Calibri"/>
        </w:rPr>
        <w:t>Apeliacinės instancijos teismui nekelia abejonių ir tai, kad tanko Nr. 511 įgulą sudarė skundžiamame nuosprendyje nurodyti nuteistieji: tanko vadas – 106-ojo tankų pulko partinio biuro sekretorius papulkininkis V. U. 2, taikytojas – pulko kuopos vyr. leitenantas A. B. ir mechanikas-vairuotojas – pulko kuopos vado pavaduotojas ginkluotei leitenantas A. R.. Apeliacinių skundų argumentų kontekste, teisėjų kolegija pažymi, kad ši išvada nėra grindžiama vien nuteistųjų ar kitų tankų įgulos narių parodymais – ją patvirtina ir rašytiniai bylos duomenys, kuriais abejoti apeliacinės instancijos teismas neturi pagrindo. Iš byloje esančio karinio dalinio 22238 karių, ginkluotės ir technikos, dalyvavusios sausio įvykiuose Vilniuje, sąrašo matyti, kad objekto Nr. 511 sudėtyje buvo nuteistieji: vadas papulkininkis U. 2, taikytojas vyr. leitenantas B. ir mechanikas leitenantas R. (t. 474, b. l. 122–123; t. 474, b. l. 119–121; A. B. sąraše įvardintas kiek kitaip, tačiau jo rangas, vardo ir tėvavardžio pirmosios raidės atitinka jo asmens duomenis ir neleidžia abejoti, kad tai jis). Šių rašytinių įrodymų patikimumas teisėjų kolegijai abejonių nekelia, nes juos patvirtina ir kiti bylos duomenys</w:t>
      </w:r>
      <w:r w:rsidRPr="00361401">
        <w:rPr>
          <w:rFonts w:eastAsia="Calibri"/>
          <w:szCs w:val="24"/>
        </w:rPr>
        <w:t>.</w:t>
      </w:r>
    </w:p>
    <w:p w:rsidR="00361401" w:rsidRDefault="00DA38E9" w:rsidP="00361401">
      <w:pPr>
        <w:pStyle w:val="ListParagraph"/>
        <w:numPr>
          <w:ilvl w:val="0"/>
          <w:numId w:val="6"/>
        </w:numPr>
        <w:spacing w:before="120" w:after="120"/>
        <w:ind w:left="992" w:hanging="992"/>
        <w:contextualSpacing w:val="0"/>
        <w:rPr>
          <w:szCs w:val="24"/>
          <w:lang w:eastAsia="lt-LT" w:bidi="lt-LT"/>
        </w:rPr>
      </w:pPr>
      <w:r w:rsidRPr="000E2C88">
        <w:rPr>
          <w:rFonts w:eastAsia="Calibri"/>
          <w:szCs w:val="24"/>
        </w:rPr>
        <w:t xml:space="preserve">Byloje esantys objektyvūs duomenys – vaizdo įrašai, nuotraukos – byloja ir apie šio tanko bei jo ekipažą sudariusių narių veiksmus aptariamų įvykių metu. </w:t>
      </w:r>
      <w:r w:rsidRPr="000E2C88">
        <w:rPr>
          <w:szCs w:val="24"/>
          <w:lang w:eastAsia="lt-LT"/>
        </w:rPr>
        <w:t xml:space="preserve">Kompaktiniame diske pavadinimu „Sausio 13-oji. </w:t>
      </w:r>
      <w:r w:rsidRPr="000E2C88">
        <w:rPr>
          <w:i/>
          <w:szCs w:val="24"/>
          <w:lang w:eastAsia="lt-LT"/>
        </w:rPr>
        <w:t>In memoriam</w:t>
      </w:r>
      <w:r w:rsidRPr="000E2C88">
        <w:rPr>
          <w:szCs w:val="24"/>
          <w:lang w:eastAsia="lt-LT"/>
        </w:rPr>
        <w:t>“ esančiame pirmame vaizdo įraše nuo 11 min. 8 sek. matyti prie Spaudos rūmų stovintis tankas, ant kurio borto baltais dažais užrašytas skaičius „511“. Toliau vaizdo įraše apžvalgininkas pasakoja, kad vienas iš tankų sausio 11 d. Žalgirio g., Vilniuje rėžėsi į sunkvežimį ir nurodo, jog tai buvo būtent tankas Nr. 511 (žr. iki 12 min. 15 sek.), kuris vėliau užfiksuotas stovintis prie Spaudos rūmų (t. 493, b. l. 123). Iš kartu su 1993 m. spalio 12 d. pažyma prie bylos pridėtų nuotraukų, kuriose užfiksuoti įvykiai prie Spaudos rūmų, taip pat matyti, kad tankas Nr. 511 buvo prie šio pastato ir kartu su kita karine technika stovėjo priešais jį nukreiptu pabūklu, aplink esant civiliams (aktualios nuotraukos – t. 41, b. l. 101, 104, 156, 157, 158). Tai, kad tankas Nr. 511 atvyko prie Spaudos rūmų ir dalyvavo šiuose įvykiuose, konstatuota ir 2014 m. birželio 10 d</w:t>
      </w:r>
      <w:r w:rsidR="000E2C88">
        <w:rPr>
          <w:szCs w:val="24"/>
          <w:lang w:eastAsia="lt-LT"/>
        </w:rPr>
        <w:t>. specialisto išvadoje (t. 480, b. </w:t>
      </w:r>
      <w:r w:rsidRPr="000E2C88">
        <w:rPr>
          <w:szCs w:val="24"/>
          <w:lang w:eastAsia="lt-LT"/>
        </w:rPr>
        <w:t>l. 48–49). Šiame kontekste pažymėtini ir rašytiniai bylos duomenys. Iš </w:t>
      </w:r>
      <w:r w:rsidRPr="000E2C88">
        <w:rPr>
          <w:szCs w:val="24"/>
          <w:lang w:eastAsia="lt-LT" w:bidi="lt-LT"/>
        </w:rPr>
        <w:t xml:space="preserve">1991 m. sausio 2 d. Vilniuje pasirašyto įsakymo </w:t>
      </w:r>
      <w:r w:rsidRPr="000E2C88">
        <w:rPr>
          <w:szCs w:val="24"/>
          <w:lang w:eastAsia="lt-LT"/>
        </w:rPr>
        <w:t>Nr. 1 „Dėl ginkluotės ir karinės technikos priskyrimo karinio dalinio 78018 vairuotojams ir mechanikams-vairuotojams (įguloms)“ matyti, kad aptariamas tankas</w:t>
      </w:r>
      <w:r w:rsidRPr="000E2C88">
        <w:rPr>
          <w:szCs w:val="24"/>
          <w:lang w:eastAsia="lt-LT" w:bidi="lt-LT"/>
        </w:rPr>
        <w:t xml:space="preserve"> nuolatos buvo kovinės parengties (t. 440, b. l. 19; t. 127, b. l. 12–13). Taigi visuma bylos duomenų rodo, kad tankas Nr. 511 jau sausio mėnesio pradžioje buvo paruoštas kariniams veiksmams Vilniuje, o sausio 11 d. atvyko ir prie Spaudos rūmų</w:t>
      </w:r>
      <w:r w:rsidRPr="00361401">
        <w:rPr>
          <w:szCs w:val="24"/>
          <w:lang w:eastAsia="lt-LT" w:bidi="lt-LT"/>
        </w:rPr>
        <w:t xml:space="preserve">.  </w:t>
      </w:r>
    </w:p>
    <w:p w:rsidR="00361401" w:rsidRPr="00361401" w:rsidRDefault="00DA38E9" w:rsidP="00361401">
      <w:pPr>
        <w:pStyle w:val="ListParagraph"/>
        <w:numPr>
          <w:ilvl w:val="0"/>
          <w:numId w:val="6"/>
        </w:numPr>
        <w:spacing w:before="120" w:after="120"/>
        <w:ind w:left="992" w:hanging="992"/>
        <w:contextualSpacing w:val="0"/>
        <w:rPr>
          <w:szCs w:val="24"/>
          <w:lang w:eastAsia="lt-LT" w:bidi="lt-LT"/>
        </w:rPr>
      </w:pPr>
      <w:r w:rsidRPr="000E2C88">
        <w:t>Be to, tanko Nr. 511 buvimą prie Spaudos rūmų ir judėjimą rūmų teritorijoje iš esmės patvirtino ir teisiamajame posėdyje apklausta liudytoja B. I.. Netrukus po nagrinėjamų įvykių, t. y. 1991 m. kovo 7 d., apklausta liudytoja nurodė, kad prie Spaudos rūmų išvydo atvažiuojančius 3 tankus, iš kurių vieno numeris buvo 511. Anot liudytojos, šis tankas važinėjo dideliu greičiu per gatvės skiriamąją juostą ir vaikė ginti Spaudos rūmus susirinkusius žmones (t. 42, b. l. 27). Liudytoja teisiamajame posėdyje prašė vadovautis šiais jos parodymais, nes tuo metu atsiminė minėto tanko numerį (t. 758, b. l. 37–39). Atitinkamai ir liudytojas R. M., kurio ikiteisminio tyrimo metu duoti parodymai teisiamajame posėdyje buvo perskaityti jam mirus, nurodė, kad prie Spaudos rūmų atvažiavo 3 tankai, iš kurių vieno numeris buvo 511 (t. 758, b. l. 51–52, t. 43, b. l. 49–50). Taigi teisėjų kolegija konstatuoja, kad tanko Nr. 511 dalyvavimas Spaudos rūmų šturme yra patvirtintas iš skirtingų įrodymų šaltinių gautais duomenimis ir abejonių nekelia. Be to, iš aptartų duomenų matyti, jog skundžiamo nuosprendžio motyvuojamojoje dalyje padaryta išvada (nuosprendžio 875 l.; t. 773, b. l. 75), kad tankas Nr. 511 prie Spaudos rūmų pavojingai manevravo, taip pat pagrįsta</w:t>
      </w:r>
      <w:r w:rsidRPr="00361401">
        <w:rPr>
          <w:szCs w:val="24"/>
          <w:lang w:eastAsia="lt-LT"/>
        </w:rPr>
        <w:t>.</w:t>
      </w:r>
    </w:p>
    <w:p w:rsidR="00361401" w:rsidRPr="00361401" w:rsidRDefault="00DA38E9" w:rsidP="00361401">
      <w:pPr>
        <w:pStyle w:val="ListParagraph"/>
        <w:numPr>
          <w:ilvl w:val="0"/>
          <w:numId w:val="6"/>
        </w:numPr>
        <w:spacing w:before="120" w:after="120"/>
        <w:ind w:left="992" w:hanging="992"/>
        <w:contextualSpacing w:val="0"/>
        <w:rPr>
          <w:szCs w:val="24"/>
          <w:lang w:eastAsia="lt-LT" w:bidi="lt-LT"/>
        </w:rPr>
      </w:pPr>
      <w:r w:rsidRPr="000E2C88">
        <w:rPr>
          <w:rFonts w:eastAsia="Calibri"/>
        </w:rPr>
        <w:t xml:space="preserve">Apeliacinės instancijos teismas kaip nepagrįstus atmeta ir apeliantų argumentus, kad tankas Nr. 511 buvo sugedęs ir negalėjo savarankiškai judėti bei šaudyti, o į įvykio vietą atvyko, kai operacija faktiškai buvo baigta. Iš minėtų vaizdo įrašų ir nuotraukų matyti, kad tankui Nr. 511 esant prieš Spaudos rūmus, civiliai vis dar supo pastatą, taip pat prieš jį buvo išstatyta ir kita kovinė technika, taigi, priešingai nei teigia gynėjai, operacija nebuvo baigta. Be to, byloje esantys duomenys leidžia konstatuoti, kad minėtas tankas prie Spaudos rūmų galėjo judėti. Specialistas J. Andriškevičius ikiteisminio tyrimo metu komentuodamas nuotrauką, kurioje prie Spaudos rūmų matyti tankas Nr. 511, konstatavo, kad šis </w:t>
      </w:r>
      <w:r w:rsidR="000E2C88" w:rsidRPr="000E2C88">
        <w:rPr>
          <w:rFonts w:eastAsia="Calibri"/>
        </w:rPr>
        <w:t>stovi įjungtu varikliu (t. 479, </w:t>
      </w:r>
      <w:r w:rsidRPr="000E2C88">
        <w:rPr>
          <w:rFonts w:eastAsia="Calibri"/>
        </w:rPr>
        <w:t>b. l. 13, t. 41, b. l. 104). Iš kompaktiniame diske „LRT Nr. 1“ esančio vaizdo įrašo pavadinimu „1991.01.13 įvykiai Vilniuje“ matyti, kaip tankai vienas po kito pasitraukia nuo Spaudos rūmų pastato (žr. nuo 12 min. 5 sek.). Atitinkamai nuo įrašo 12 min. 35 sek. matyti ir paskui kitus tankus savarankiškai be jokios pagalbos judantis tankas Nr. 511 (t. 494, b. l. 7). Be to, aplinkybę, kad šis tankas sugedo ir nebegalėjo važiuoti tik jau išvažiavęs iš Spaudos rūmų teritorijos, patvirtina byloje esantis M. V. pateiktas vaizdo įrašas pavadinimu „C OK“. Jame nuo 1 val. 11 min. 10 sek. matyti T. Narbuto gatvėje ties sankryža su Sėlių g. stovintis tankas Nr. 511, į kurį vienas iš ekipažo narių pila skystį ir kuriam į pagalbą vėliau atvyksta kitas tankas (kompaktinis diskas – t. 733, b. l. 42, šio vaizdo įrašo apžiūros protokolas su išsamia aktualių vaizdo įrašų kadrų fotolentele – t. 733, b. l. 4–41). Tokių duomenų kontekste, turint omenyje ir jau minėtų liudytojų parodymus apie tanko Nr. 511 judėjimą Spaudos rūmų teritorijoje, darytina išvada, kad gynybos versija apie tanko gedimą ir negalėjimą dalyvauti Spaudos rūmų užėmimo metu yra nepagrįsta bei paneigta objektyviais įrodymais</w:t>
      </w:r>
      <w:r w:rsidRPr="00361401">
        <w:rPr>
          <w:rFonts w:eastAsia="Calibri"/>
          <w:szCs w:val="24"/>
        </w:rPr>
        <w:t xml:space="preserve">. </w:t>
      </w:r>
    </w:p>
    <w:p w:rsidR="00361401" w:rsidRPr="00361401" w:rsidRDefault="00DA38E9" w:rsidP="00361401">
      <w:pPr>
        <w:pStyle w:val="ListParagraph"/>
        <w:numPr>
          <w:ilvl w:val="0"/>
          <w:numId w:val="6"/>
        </w:numPr>
        <w:spacing w:before="120" w:after="120"/>
        <w:ind w:left="992" w:hanging="992"/>
        <w:contextualSpacing w:val="0"/>
        <w:rPr>
          <w:szCs w:val="24"/>
          <w:lang w:eastAsia="lt-LT" w:bidi="lt-LT"/>
        </w:rPr>
      </w:pPr>
      <w:r w:rsidRPr="000E2C88">
        <w:rPr>
          <w:rFonts w:eastAsia="Calibri"/>
        </w:rPr>
        <w:t xml:space="preserve">Nuteistojo A. B. gynėjo argumentai, kad jo ginamojo (kaip ir kitų tanko Nr. 511 įgulos narių – V. U. 2 ir A. R.) parodymai apie jau minėtas aplinkybes ir tanko dalyvavimą užimant Spaudos rūmus, buvo duoti kitame ikiteisminiame tyrime bei kad jų negalima vertinti kaip įrodymų, iš dalies pagrįsti. Tačiau pažymėtina, kad bent jau nuteistojo A. R. </w:t>
      </w:r>
      <w:r w:rsidRPr="000E2C88">
        <w:t xml:space="preserve">2014 m. rugpjūčio 26 d. </w:t>
      </w:r>
      <w:r w:rsidRPr="000E2C88">
        <w:rPr>
          <w:rFonts w:eastAsia="Calibri"/>
        </w:rPr>
        <w:t xml:space="preserve">parodymai buvo duoti šiame, o ne kitame ikiteisminiame tyrime ir </w:t>
      </w:r>
      <w:r w:rsidRPr="000E2C88">
        <w:t>vykdant Generalinės prokuratūros teisinės pagalbos prašymą. 2016 m. kovo 8 d. teismo posėdyje perskaityti A. R. parodymai apie tai, kad jų tankas prie Spaudos rūmų atvažiavo paskutinis dėl aušinimo sistemos gedimo, jog šį gedimą pašalino tanko įgula ir tankas, judėdamas toliau, atvyko į paskirties vietą (t. 573, b. l. 12–19; t. 573, b. l. 4–11; t. 756, b. l. 37), tik patvirtina kitų jau minėtų įrodymų patikimumą ir iš jų, o ne iš minėtų nuteistųjų parodymų, padarytas teismo išvadas, atmetant versiją, jog minėtas tankas dėl patirto gedimo faktiškai nedalyvavo operacijoje. Kaip minėta, net ir po gedimo šis tankas atvyko prie Spaudos rūmų, galėjo judėti ir atliko atitinkamus manevrus</w:t>
      </w:r>
      <w:r w:rsidRPr="00361401">
        <w:rPr>
          <w:szCs w:val="24"/>
          <w:lang w:eastAsia="lt-LT" w:bidi="lt-LT"/>
        </w:rPr>
        <w:t xml:space="preserve">. </w:t>
      </w:r>
    </w:p>
    <w:p w:rsidR="00361401" w:rsidRDefault="00DA38E9" w:rsidP="00361401">
      <w:pPr>
        <w:pStyle w:val="ListParagraph"/>
        <w:numPr>
          <w:ilvl w:val="0"/>
          <w:numId w:val="6"/>
        </w:numPr>
        <w:spacing w:before="120" w:after="120"/>
        <w:ind w:left="992" w:hanging="992"/>
        <w:contextualSpacing w:val="0"/>
        <w:rPr>
          <w:szCs w:val="24"/>
          <w:lang w:eastAsia="lt-LT" w:bidi="lt-LT"/>
        </w:rPr>
      </w:pPr>
      <w:r w:rsidRPr="000E2C88">
        <w:t>Teisėjų kolegija pažymi, kad vien tanko buvimas ir tokios ypač pavojingos ginkluotos jėgos demonstravimas prieš civilių minią ir Spaudos rūmų pastatą rodo neabejotiną bauginantį neigiamą poveikį civiliams. Taigi išvada, kad tankas Nr. 511, kurio įgulą sudarė tanko vadas V. U. 2, taikytojas A. B. ir mechanikas A. R., įvykių dieną atvyko prie Spaudos rūmų ir pagal komandą išsirikiavo prieš juos bei dalyvavo pakartotinėje Spaudos rūmų atakoje, yra teisinga. Teisėjų kolegija sutinka su nuteistojo A. R. gynėjo argumentu, kad ne šis nuteistasis padarė byloje nustatytus sužalojimus nukentėjusiajam V. L. ar kitiems atskiriems nukentėjusiesiems. Visgi vien tai nepaneigia šioje teismo sprendimo dalyje jau aprašytų pavojingų šio tanko veiksmų ir jo vaidmens užimant Spaudos rūmus, veikiant kartu su visais kitais Spaudos rūmų šturme dalyvavusiais kariškiais. Byloje nustatytos Spaudos rūmų užėmimo aplinkybės ir operacijos eiga, pradžioje nepavykus užimti Spaudos rūmų ir tą padarius tik po operacijoje dalyvavusių pajėgų pastiprinimo papildomais kariškiais ir tankais, neabejotinai rodo, kad visi operacijoje dalyvavę kariškiai veikė kartu, koordinuotai ir bendrai, t. y. siekdami vieno bendro tikslo. Todėl pirmosios instancijos teismo išvados apie tanko Nr. 511 ekipažo narių, kaip ir visų kitų operacijoje dalyvavusių kariškių, veikimą bendrai yra visiškai teisingos ir pagrįstos</w:t>
      </w:r>
      <w:r w:rsidRPr="00361401">
        <w:rPr>
          <w:szCs w:val="24"/>
          <w:lang w:eastAsia="lt-LT" w:bidi="lt-LT"/>
        </w:rPr>
        <w:t>.</w:t>
      </w:r>
    </w:p>
    <w:p w:rsidR="00DA38E9" w:rsidRPr="00C00255" w:rsidRDefault="00DA38E9" w:rsidP="00DA38E9">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 xml:space="preserve">Dėl tanko Nr. 571 ir jo ekipažo narių nuteistųjų </w:t>
      </w:r>
      <w:r>
        <w:rPr>
          <w:rFonts w:ascii="Times New Roman" w:hAnsi="Times New Roman"/>
          <w:b w:val="0"/>
          <w:i/>
          <w:sz w:val="24"/>
          <w:szCs w:val="24"/>
        </w:rPr>
        <w:t>V. P.</w:t>
      </w:r>
      <w:r w:rsidRPr="00C00255">
        <w:rPr>
          <w:rFonts w:ascii="Times New Roman" w:hAnsi="Times New Roman"/>
          <w:b w:val="0"/>
          <w:i/>
          <w:sz w:val="24"/>
          <w:szCs w:val="24"/>
        </w:rPr>
        <w:t xml:space="preserve">, </w:t>
      </w:r>
      <w:r>
        <w:rPr>
          <w:rFonts w:ascii="Times New Roman" w:hAnsi="Times New Roman"/>
          <w:b w:val="0"/>
          <w:i/>
          <w:sz w:val="24"/>
          <w:szCs w:val="24"/>
        </w:rPr>
        <w:t>N. O.</w:t>
      </w:r>
      <w:r w:rsidRPr="00C00255">
        <w:rPr>
          <w:rFonts w:ascii="Times New Roman" w:hAnsi="Times New Roman"/>
          <w:b w:val="0"/>
          <w:i/>
          <w:sz w:val="24"/>
          <w:szCs w:val="24"/>
        </w:rPr>
        <w:t xml:space="preserve"> ir </w:t>
      </w:r>
      <w:r>
        <w:rPr>
          <w:rFonts w:ascii="Times New Roman" w:hAnsi="Times New Roman"/>
          <w:b w:val="0"/>
          <w:i/>
          <w:sz w:val="24"/>
          <w:szCs w:val="24"/>
        </w:rPr>
        <w:t>A. U.</w:t>
      </w:r>
      <w:r w:rsidRPr="00C00255">
        <w:rPr>
          <w:rFonts w:ascii="Times New Roman" w:hAnsi="Times New Roman"/>
          <w:b w:val="0"/>
          <w:i/>
          <w:sz w:val="24"/>
          <w:szCs w:val="24"/>
        </w:rPr>
        <w:t xml:space="preserve"> dalyvavimo užimant Spaudos rūmus</w:t>
      </w:r>
    </w:p>
    <w:p w:rsidR="00361401" w:rsidRDefault="00DA38E9" w:rsidP="00361401">
      <w:pPr>
        <w:pStyle w:val="ListParagraph"/>
        <w:numPr>
          <w:ilvl w:val="0"/>
          <w:numId w:val="6"/>
        </w:numPr>
        <w:spacing w:before="120" w:after="120"/>
        <w:ind w:left="992" w:hanging="992"/>
        <w:contextualSpacing w:val="0"/>
        <w:rPr>
          <w:szCs w:val="24"/>
          <w:lang w:eastAsia="lt-LT" w:bidi="lt-LT"/>
        </w:rPr>
      </w:pPr>
      <w:r w:rsidRPr="000E2C88">
        <w:t>Kaip nustatyta prieš tai jau aptartoje dalyje dėl tanko Nr. 511 dalyvavimo užimant Spaudos rūmus, tanko Nr. 571 dalyvavimą šioje operacijoje taip pat pirmiausia patvirtina minėtus įvykius atspindintys vaizdo įrašai ir nuotraukos, o šio tanko sudėtį – rašytiniai dokumentai</w:t>
      </w:r>
      <w:r w:rsidRPr="00361401">
        <w:rPr>
          <w:szCs w:val="24"/>
          <w:lang w:eastAsia="lt-LT"/>
        </w:rPr>
        <w:t xml:space="preserve">. </w:t>
      </w:r>
    </w:p>
    <w:p w:rsidR="00361401" w:rsidRPr="000E2C88" w:rsidRDefault="00DA38E9" w:rsidP="00361401">
      <w:pPr>
        <w:pStyle w:val="ListParagraph"/>
        <w:numPr>
          <w:ilvl w:val="0"/>
          <w:numId w:val="6"/>
        </w:numPr>
        <w:spacing w:before="120" w:after="120"/>
        <w:ind w:left="992" w:hanging="992"/>
        <w:contextualSpacing w:val="0"/>
        <w:rPr>
          <w:rFonts w:eastAsia="Calibri"/>
          <w:lang w:eastAsia="lt-LT" w:bidi="lt-LT"/>
        </w:rPr>
      </w:pPr>
      <w:r w:rsidRPr="000E2C88">
        <w:rPr>
          <w:color w:val="000000"/>
        </w:rPr>
        <w:t xml:space="preserve">Iš byloje esančio </w:t>
      </w:r>
      <w:r w:rsidRPr="000E2C88">
        <w:rPr>
          <w:szCs w:val="24"/>
          <w:lang w:eastAsia="lt-LT"/>
        </w:rPr>
        <w:t>TSRS GM Sausumos pajėgų Pabaltijo karinės apygardos 107-osios motorizuotų šaulių divizijos</w:t>
      </w:r>
      <w:r w:rsidRPr="000E2C88">
        <w:rPr>
          <w:color w:val="000000"/>
        </w:rPr>
        <w:t xml:space="preserve"> </w:t>
      </w:r>
      <w:r w:rsidRPr="000E2C88">
        <w:rPr>
          <w:szCs w:val="24"/>
          <w:lang w:eastAsia="lt-LT"/>
        </w:rPr>
        <w:t>tankų pulko vado</w:t>
      </w:r>
      <w:r w:rsidRPr="000E2C88">
        <w:rPr>
          <w:color w:val="000000"/>
        </w:rPr>
        <w:t xml:space="preserve"> papulkininkio N. A. ir dalinio vado pavaduotojo ginkluotei majoro S</w:t>
      </w:r>
      <w:r w:rsidR="00C17535" w:rsidRPr="000E2C88">
        <w:rPr>
          <w:color w:val="000000"/>
        </w:rPr>
        <w:t>.</w:t>
      </w:r>
      <w:r w:rsidRPr="000E2C88">
        <w:rPr>
          <w:color w:val="000000"/>
        </w:rPr>
        <w:t xml:space="preserve"> (vardas nenurodytas) pasirašyto 1991 m. sausio 9 d. įsakymo Nr. 3 matyti, kad 1991 m. sausio 9 d. tankas, kurio borto numeris 571, buvo nuimtas nuo ilgalaikio saugojimo ir </w:t>
      </w:r>
      <w:r w:rsidRPr="000E2C88">
        <w:rPr>
          <w:szCs w:val="24"/>
          <w:lang w:eastAsia="lt-LT"/>
        </w:rPr>
        <w:t xml:space="preserve">suformuota jo įgula </w:t>
      </w:r>
      <w:r w:rsidRPr="000E2C88">
        <w:rPr>
          <w:color w:val="000000"/>
        </w:rPr>
        <w:t>(t. 440, b. l. 17–18; t. 127, b. l. 10–11). Pagal šį įsakymą</w:t>
      </w:r>
      <w:r w:rsidRPr="000E2C88">
        <w:rPr>
          <w:szCs w:val="24"/>
          <w:lang w:eastAsia="lt-LT"/>
        </w:rPr>
        <w:t xml:space="preserve">, likus 2 dienoms iki įvykių prie Spaudos rūmų, į tanko Nr. 571 įgulą buvo paskirti: tanko vadu – kapitonas V. P., taikytoju – leitenantas N. O., o mechaniku-vairuotoju – leitenantas A. U.. Šias aplinkybes patvirtina ir </w:t>
      </w:r>
      <w:r w:rsidRPr="000E2C88">
        <w:rPr>
          <w:rFonts w:eastAsia="Calibri"/>
        </w:rPr>
        <w:t>byloje esantis minėto karinio dalinio karių, ginkluotės ir technikos, dalyvavusios sausio įvykiuose Vilniuje, sąrašas, kuriame kaip objekto Nr. 571 įgula įvardinti tie patys nuteistieji (t. 474, b. l. 122–123, t. 474, b. l. 119–121). Be to, net ir nuteistasis G. I. teisiamajame posėdyje netiesiogiai patvirtino, kad šio tanko įgulą sudarė minėti asmenys (t. 756, b. l. 45–55).</w:t>
      </w:r>
    </w:p>
    <w:p w:rsidR="00361401" w:rsidRPr="00361401" w:rsidRDefault="00DA38E9" w:rsidP="00361401">
      <w:pPr>
        <w:pStyle w:val="ListParagraph"/>
        <w:numPr>
          <w:ilvl w:val="0"/>
          <w:numId w:val="6"/>
        </w:numPr>
        <w:spacing w:before="120" w:after="120"/>
        <w:ind w:left="992" w:hanging="992"/>
        <w:contextualSpacing w:val="0"/>
        <w:rPr>
          <w:szCs w:val="24"/>
          <w:lang w:eastAsia="lt-LT" w:bidi="lt-LT"/>
        </w:rPr>
      </w:pPr>
      <w:r w:rsidRPr="000E2C88">
        <w:rPr>
          <w:rFonts w:eastAsia="Calibri"/>
        </w:rPr>
        <w:t>Apeliacinės instancijos teismui apygardos teismo nustatytos aplinkybės, kad tanko Nr. 571 įgulą sudarė nuteistieji: tanko vadas – 106-ojo tankų pulko kuopos vadas kapitonas V. P.; taikytojas – pulko būrio vadas leitenantas N. O.; mechanikas-vairuotojas – pulko kuopos vado pavaduotojas leitenantas A. U., nekelia abejonių</w:t>
      </w:r>
      <w:r w:rsidRPr="00E0579E">
        <w:rPr>
          <w:rFonts w:eastAsia="Calibri"/>
        </w:rPr>
        <w:t>.</w:t>
      </w:r>
    </w:p>
    <w:p w:rsidR="00361401" w:rsidRDefault="00DA38E9" w:rsidP="00361401">
      <w:pPr>
        <w:pStyle w:val="ListParagraph"/>
        <w:numPr>
          <w:ilvl w:val="0"/>
          <w:numId w:val="6"/>
        </w:numPr>
        <w:spacing w:before="120" w:after="120"/>
        <w:ind w:left="992" w:hanging="992"/>
        <w:contextualSpacing w:val="0"/>
        <w:rPr>
          <w:szCs w:val="24"/>
          <w:lang w:eastAsia="lt-LT" w:bidi="lt-LT"/>
        </w:rPr>
      </w:pPr>
      <w:r w:rsidRPr="00C00255">
        <w:rPr>
          <w:lang w:eastAsia="lt-LT"/>
        </w:rPr>
        <w:t xml:space="preserve">Nuteistųjų </w:t>
      </w:r>
      <w:r>
        <w:rPr>
          <w:lang w:eastAsia="lt-LT"/>
        </w:rPr>
        <w:t>V. P.</w:t>
      </w:r>
      <w:r w:rsidRPr="00C00255">
        <w:rPr>
          <w:lang w:eastAsia="lt-LT"/>
        </w:rPr>
        <w:t xml:space="preserve"> ir </w:t>
      </w:r>
      <w:r>
        <w:rPr>
          <w:lang w:eastAsia="lt-LT"/>
        </w:rPr>
        <w:t>A. U.</w:t>
      </w:r>
      <w:r w:rsidRPr="00C00255">
        <w:rPr>
          <w:lang w:eastAsia="lt-LT"/>
        </w:rPr>
        <w:t xml:space="preserve"> gynėjai skunduose akcentuoja, kad jų ginamieji tik atvažiavo prie Spaudos rūmų (</w:t>
      </w:r>
      <w:r>
        <w:rPr>
          <w:lang w:eastAsia="lt-LT"/>
        </w:rPr>
        <w:t>A. U.</w:t>
      </w:r>
      <w:r w:rsidRPr="00C00255">
        <w:rPr>
          <w:lang w:eastAsia="lt-LT"/>
        </w:rPr>
        <w:t xml:space="preserve"> gynėjo teigimu, šturme pastarasis nedalyvavo), tačiau tokius gynybos argumentus aiškiai paneigia įvykius </w:t>
      </w:r>
      <w:r w:rsidRPr="00361401">
        <w:rPr>
          <w:szCs w:val="24"/>
          <w:lang w:eastAsia="lt-LT"/>
        </w:rPr>
        <w:t>prie Spaudos rūmų atspindintys vaizdo įrašai ir nuotraukos.</w:t>
      </w:r>
    </w:p>
    <w:p w:rsidR="00E0579E" w:rsidRDefault="00DA38E9" w:rsidP="00E0579E">
      <w:pPr>
        <w:pStyle w:val="ListParagraph"/>
        <w:numPr>
          <w:ilvl w:val="0"/>
          <w:numId w:val="6"/>
        </w:numPr>
        <w:spacing w:before="120" w:after="120"/>
        <w:ind w:left="992" w:hanging="992"/>
        <w:contextualSpacing w:val="0"/>
        <w:rPr>
          <w:szCs w:val="24"/>
          <w:lang w:eastAsia="lt-LT" w:bidi="lt-LT"/>
        </w:rPr>
      </w:pPr>
      <w:r w:rsidRPr="00361401">
        <w:rPr>
          <w:szCs w:val="24"/>
          <w:lang w:eastAsia="lt-LT"/>
        </w:rPr>
        <w:t xml:space="preserve">Kompaktiniame diske pavadinimu „2 A kasete 1 dalis“ esančiame vaizdo įraše nuo 16 min. 28 sek. iki 40 sek. matyti prie Spaudos rūmų per veją važiuojantis tankas, ant kurio borto baltais dažais užrašytas skaičius „571“, bei nuo šio tanko skubiai besitraukiantys civiliai. Toliau įraše matyti, kaip šis tankas stovi priešais Spaudos rūmus į juos nukreiptu pabūklu (žr. nuo 18 min. 54 sek.) (t. 493, b. l. 49). Iš esmės tie patys vaizdai – tanko Nr. 571 atvažiavimas prie Spaudos rūmų ir stovėjimas į šį pastatą nukreiptu pabūklu – kitu kampu užfiksuoti ir diske „Sausio 13-oji. </w:t>
      </w:r>
      <w:r w:rsidRPr="00361401">
        <w:rPr>
          <w:i/>
          <w:szCs w:val="24"/>
          <w:lang w:eastAsia="lt-LT"/>
        </w:rPr>
        <w:t>In memoriam</w:t>
      </w:r>
      <w:r w:rsidRPr="00361401">
        <w:rPr>
          <w:szCs w:val="24"/>
          <w:lang w:eastAsia="lt-LT"/>
        </w:rPr>
        <w:t xml:space="preserve">“ (t. 493, b. l. 123) bei diske Nr. 43 su užrašu „1991.01.11 prie Spaudos rūmų“, esančiame antrajame vaizdo įraše nuo 3 min. (t. 507, b. l. 45). Be to, ir iš kartu su 1993 m. spalio 12 d. pažyma prie bylos medžiagos pridėtų nuotraukų, kuriose užfiksuoti įvykiai prie Spaudos rūmų, matyti, kad tankas Nr. 571 buvo prie šio pastato ir kartu su kita karine technika stovėjo prieš jį apsupusius civilius (aktualios nuotraukos – t. 41, b. l. 112–113, 115, 119, 134, 140, 154). Pažymėtina ir tai, kad tanko Nr. 571 atvykimą prie Spaudos rūmų ir dalyvavimą šiuose įvykiuose konstatavo ir specialistas 2014 m. birželio 10 d. išvadoje (t. 480, b. l. 48–49). Visi šie duomenys aiškiai paneigia nuteistųjų </w:t>
      </w:r>
      <w:r w:rsidRPr="00361401">
        <w:rPr>
          <w:szCs w:val="24"/>
          <w:lang w:eastAsia="lt-LT" w:bidi="lt-LT"/>
        </w:rPr>
        <w:t>V. P. bei A. U. gynėjų argumentus, kad jų ginamieji prie Spaudos rūmų tik buvo/atvažiavo</w:t>
      </w:r>
      <w:r w:rsidRPr="00361401" w:rsidDel="00D76AEC">
        <w:rPr>
          <w:szCs w:val="24"/>
          <w:lang w:eastAsia="lt-LT"/>
        </w:rPr>
        <w:t xml:space="preserve"> </w:t>
      </w:r>
      <w:r w:rsidRPr="00361401">
        <w:rPr>
          <w:szCs w:val="24"/>
          <w:lang w:eastAsia="lt-LT"/>
        </w:rPr>
        <w:t xml:space="preserve">ir </w:t>
      </w:r>
      <w:r w:rsidRPr="00E0579E">
        <w:rPr>
          <w:rFonts w:eastAsia="Calibri"/>
        </w:rPr>
        <w:t xml:space="preserve">rodo tiek tanko Nr. 571 pavojingus manevrus netoliese esant civiliams, tiek kartu su kita karine technika sudarytą išsidėstymą priešais Spaudos rūmus, jų link nukreipiant tanko pabūklą. Atsižvelgdamas į tai, apeliacinės instancijos teismas pripažįsta, kad apygardos teismo išvados apie bendrus tankų įgulų veiksmus ir civilių </w:t>
      </w:r>
      <w:r w:rsidRPr="00E0579E">
        <w:rPr>
          <w:lang w:bidi="lt-LT"/>
        </w:rPr>
        <w:t>bauginimą yra pagrįstos</w:t>
      </w:r>
      <w:r w:rsidRPr="00361401">
        <w:rPr>
          <w:szCs w:val="24"/>
          <w:lang w:eastAsia="lt-LT" w:bidi="lt-LT"/>
        </w:rPr>
        <w:t xml:space="preserve">. </w:t>
      </w:r>
    </w:p>
    <w:p w:rsidR="00E0579E" w:rsidRPr="00E0579E" w:rsidRDefault="00DA38E9" w:rsidP="00E0579E">
      <w:pPr>
        <w:pStyle w:val="ListParagraph"/>
        <w:numPr>
          <w:ilvl w:val="0"/>
          <w:numId w:val="6"/>
        </w:numPr>
        <w:spacing w:before="120" w:after="120"/>
        <w:ind w:left="992" w:hanging="992"/>
        <w:contextualSpacing w:val="0"/>
        <w:rPr>
          <w:szCs w:val="24"/>
          <w:lang w:eastAsia="lt-LT" w:bidi="lt-LT"/>
        </w:rPr>
      </w:pPr>
      <w:r w:rsidRPr="000E2C88">
        <w:t xml:space="preserve">Taigi pirmosios instancijos teismo nuosprendžio nustatomojoje dalyje padarytos išvados apie tanko Nr. 571 ir jo įgulos, t. y. nuteistųjų V. P., </w:t>
      </w:r>
      <w:r w:rsidRPr="000E2C88">
        <w:rPr>
          <w:rFonts w:eastAsia="Calibri"/>
        </w:rPr>
        <w:t xml:space="preserve">N. O. ir </w:t>
      </w:r>
      <w:r w:rsidRPr="000E2C88">
        <w:t>A. U., vaidmenį užimant Spaudos rūmus yra pagrįstos byloje surinktais ir teismo posėdyje ištirtais įrodymais. Kita vertus, apeliacinės instancijos teisėjų kolegija negali sutikti su apygardos teismo ne nustatomojoje, o motyvuojamojoje nuosprendžio dalyje niekaip neargumentuotu ir byloje surinktais įrodymais nepagrįstu teiginiu, kad V. P. prie Spaudos rūmų vadovavo visai tankų kolonai ir derino bendrus veiksmus su oro desanto kariškiais (nuosprendžio 875 l.). Tokios nuosprendyje išdėstytos pirmosios instancijos teismo išvados neatitinka bylos aplinkybių, prieštarauja byloje surinktiems įrodymams, nebuvo inkriminuotos nuteistajam V. P. ir nėra nurodytos teismo nuosprendžio nustatomoje dalyje aprašant įrodytomis pripažintas aplinkybes. Be to, jos prieštarauja ir kitai to paties teismo išvadai, nurodytai bausmės skyrimo motyvuose, iš kurios galima spręsti tik apie tokį V. P. vaidmenį užimant kitą pastatą, t. y. LRT (nuosprendžio 887 l.). Atsižvelgdama į tai, teisėjų kolegija, spręsdama dėl V. P. vaidmens, minėtomis neteisingai nurodytomis aplinkybėmis nesivadovauja ir iš skundžiamo nuosprendžio šalina teismo teiginius apie V. P. vadovavimą visai tankų kolonai ir bendrų veiksmų derinimą su oro desanto kariškiais prie Spaudos rūmų (</w:t>
      </w:r>
      <w:r w:rsidRPr="000E2C88">
        <w:rPr>
          <w:rFonts w:eastAsia="Calibri"/>
        </w:rPr>
        <w:t>apie tai, kokį vaidmenį nuteistasis V. P. atliko prie LRT ir kas vadovavo tankams prie Spaudos rūmų bus pasisakyta kitose šio procesinio sprendimo dalyse</w:t>
      </w:r>
      <w:r w:rsidRPr="00E0579E">
        <w:rPr>
          <w:rFonts w:eastAsia="Calibri"/>
        </w:rPr>
        <w:t>)</w:t>
      </w:r>
      <w:r w:rsidRPr="00E0579E">
        <w:rPr>
          <w:rFonts w:eastAsia="Calibri"/>
          <w:szCs w:val="24"/>
        </w:rPr>
        <w:t>.</w:t>
      </w:r>
    </w:p>
    <w:p w:rsidR="00DA38E9" w:rsidRPr="00C00255" w:rsidRDefault="00DA38E9" w:rsidP="00DA38E9">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 xml:space="preserve">Dėl tanko Nr. 574 ir jo ekipažo narių nuteistųjų </w:t>
      </w:r>
      <w:r>
        <w:rPr>
          <w:rFonts w:ascii="Times New Roman" w:hAnsi="Times New Roman"/>
          <w:b w:val="0"/>
          <w:i/>
          <w:sz w:val="24"/>
          <w:szCs w:val="24"/>
        </w:rPr>
        <w:t>E. R.</w:t>
      </w:r>
      <w:r w:rsidRPr="00C00255">
        <w:rPr>
          <w:rFonts w:ascii="Times New Roman" w:hAnsi="Times New Roman"/>
          <w:b w:val="0"/>
          <w:i/>
          <w:sz w:val="24"/>
          <w:szCs w:val="24"/>
        </w:rPr>
        <w:t xml:space="preserve">, </w:t>
      </w:r>
      <w:r>
        <w:rPr>
          <w:rFonts w:ascii="Times New Roman" w:hAnsi="Times New Roman"/>
          <w:b w:val="0"/>
          <w:i/>
          <w:sz w:val="24"/>
          <w:szCs w:val="24"/>
        </w:rPr>
        <w:t>A. K. 2</w:t>
      </w:r>
      <w:r w:rsidRPr="00C00255">
        <w:rPr>
          <w:rFonts w:ascii="Times New Roman" w:hAnsi="Times New Roman"/>
          <w:b w:val="0"/>
          <w:i/>
          <w:sz w:val="24"/>
          <w:szCs w:val="24"/>
        </w:rPr>
        <w:t xml:space="preserve"> ir </w:t>
      </w:r>
      <w:r>
        <w:rPr>
          <w:rFonts w:ascii="Times New Roman" w:hAnsi="Times New Roman"/>
          <w:b w:val="0"/>
          <w:i/>
          <w:sz w:val="24"/>
          <w:szCs w:val="24"/>
        </w:rPr>
        <w:t>N. S.</w:t>
      </w:r>
      <w:r w:rsidRPr="00C00255">
        <w:rPr>
          <w:rFonts w:ascii="Times New Roman" w:hAnsi="Times New Roman"/>
          <w:b w:val="0"/>
          <w:i/>
          <w:sz w:val="24"/>
          <w:szCs w:val="24"/>
        </w:rPr>
        <w:t xml:space="preserve"> dalyvavimo užimant Spaudos rūmus</w:t>
      </w:r>
    </w:p>
    <w:p w:rsidR="00E0579E" w:rsidRDefault="00DA38E9" w:rsidP="00E0579E">
      <w:pPr>
        <w:pStyle w:val="ListParagraph"/>
        <w:numPr>
          <w:ilvl w:val="0"/>
          <w:numId w:val="6"/>
        </w:numPr>
        <w:spacing w:before="120" w:after="120"/>
        <w:ind w:left="992" w:hanging="992"/>
        <w:contextualSpacing w:val="0"/>
        <w:rPr>
          <w:szCs w:val="24"/>
          <w:lang w:eastAsia="lt-LT" w:bidi="lt-LT"/>
        </w:rPr>
      </w:pPr>
      <w:r w:rsidRPr="000E2C88">
        <w:rPr>
          <w:szCs w:val="24"/>
          <w:lang w:eastAsia="lt-LT"/>
        </w:rPr>
        <w:t>Tanko Nr. 574 dalyvavimą užimant Spaudos rūmus patvirtina minėtus įvykius atspindintys vaizdo įrašai ir nuotraukos, o šio tanko sudėtį – rašytiniai dokumentai</w:t>
      </w:r>
      <w:r w:rsidRPr="00E0579E">
        <w:rPr>
          <w:szCs w:val="24"/>
          <w:lang w:eastAsia="lt-LT"/>
        </w:rPr>
        <w:t xml:space="preserve">. </w:t>
      </w:r>
    </w:p>
    <w:p w:rsidR="00E0579E" w:rsidRPr="00E0579E" w:rsidRDefault="00DA38E9" w:rsidP="00E0579E">
      <w:pPr>
        <w:pStyle w:val="ListParagraph"/>
        <w:numPr>
          <w:ilvl w:val="0"/>
          <w:numId w:val="6"/>
        </w:numPr>
        <w:spacing w:before="120" w:after="120"/>
        <w:ind w:left="992" w:hanging="992"/>
        <w:contextualSpacing w:val="0"/>
        <w:rPr>
          <w:rFonts w:eastAsia="Calibri"/>
          <w:lang w:eastAsia="lt-LT" w:bidi="lt-LT"/>
        </w:rPr>
      </w:pPr>
      <w:r w:rsidRPr="000E2C88">
        <w:t>Iš byloje esančio TSRS GM Sausumos pajėgų Pabaltijo karinės apygardos 107-osios motorizuotų šaulių divizijos tankų pulko vado papulkininkio N. A. ir dalinio vado pavaduotojo ginkluotei majoro S</w:t>
      </w:r>
      <w:r w:rsidR="00C17535" w:rsidRPr="000E2C88">
        <w:t xml:space="preserve">. </w:t>
      </w:r>
      <w:r w:rsidRPr="000E2C88">
        <w:t xml:space="preserve">(vardas nenurodytas) pasirašyto 1991 m. sausio 9 d. įsakymo Nr. 3 matyti, kad 1991 m. sausio 9 d. tankas, kurio borto numeris 574, buvo nuimtas nuo ilgalaikio saugojimo ir suformuota jo įgula (t. 440, b. l. 17–18; t. 127, b. l. 10–11)). Pagal šį įsakymą, likus 2 dienoms iki įvykių prie Spaudos rūmų, į tanko Nr. 574 įgulą buvo paskirti: tanko vadu – kapitonas E. R., taikytoju – leitenantas A. K. 2, o mechaniku-vairuotoju – leitenantas N. S.. Šias aplinkybes patvirtina ir </w:t>
      </w:r>
      <w:r w:rsidRPr="000E2C88">
        <w:rPr>
          <w:rFonts w:eastAsia="Calibri"/>
        </w:rPr>
        <w:t>byloje esantis minėto karinio dalinio karių, ginkluotės ir technikos, dalyvavusios sausio įvykiuose Vilniuje, sąrašas, kuriame objekto Nr. 574 įgula įvardinti tie patys nuteistieji (t. 474, b. l. 122–123, t. 474, b. l. 119–121)</w:t>
      </w:r>
      <w:r w:rsidRPr="00E0579E">
        <w:rPr>
          <w:rFonts w:eastAsia="Calibri"/>
        </w:rPr>
        <w:t xml:space="preserve">. </w:t>
      </w:r>
    </w:p>
    <w:p w:rsidR="00E0579E" w:rsidRPr="00E0579E" w:rsidRDefault="00DA38E9" w:rsidP="00E0579E">
      <w:pPr>
        <w:pStyle w:val="ListParagraph"/>
        <w:numPr>
          <w:ilvl w:val="0"/>
          <w:numId w:val="6"/>
        </w:numPr>
        <w:spacing w:before="120" w:after="120"/>
        <w:ind w:left="992" w:hanging="992"/>
        <w:contextualSpacing w:val="0"/>
        <w:rPr>
          <w:szCs w:val="24"/>
          <w:lang w:eastAsia="lt-LT" w:bidi="lt-LT"/>
        </w:rPr>
      </w:pPr>
      <w:r w:rsidRPr="000E2C88">
        <w:rPr>
          <w:rFonts w:eastAsia="Calibri"/>
        </w:rPr>
        <w:t>Taigi apeliacinės instancijos teismui nekelia abejonių apygardos teismo nustatytos aplinkybės, kad tanko Nr. 574 įgulą sudarė nuteistieji: tanko vadas – 106-ojo tankų pulko kuopos vadas kapitonas E. R., taikytojas – pulko būrio vadas leitenantas A. K. 2 ir mechanikas-vairuotojas – pulko būrio vado pavaduotojas leitenantas N. S.. Tokia teismo išvada padaryta įvertinus byloje esančius rašytinius įrodymus, todėl nuteistųjų gynėjų argumentai, kad teismas, darydamas tokias išvadas, negalėjo remtis pačių nuteistųjų parodymais, duotais ikiteisminio tyrimo metu (apie tanko Nr. 574 įgulos narių dalyvavimą prie Spaudos rūmų ir kt.), nepaneigia jau minėtos teismo išvados. Nuteistųjų parodymai, duoti ikiteisminio tyrimo metu, gali būti analizuojami vertinant padarytų išvadų patikimumą</w:t>
      </w:r>
      <w:r w:rsidRPr="00E0579E">
        <w:rPr>
          <w:rFonts w:eastAsia="Calibri"/>
        </w:rPr>
        <w:t>.</w:t>
      </w:r>
      <w:r w:rsidRPr="00E0579E">
        <w:rPr>
          <w:rFonts w:eastAsia="Calibri"/>
          <w:szCs w:val="24"/>
        </w:rPr>
        <w:t xml:space="preserve"> </w:t>
      </w:r>
    </w:p>
    <w:p w:rsidR="00E0579E" w:rsidRDefault="00DA38E9" w:rsidP="00E0579E">
      <w:pPr>
        <w:pStyle w:val="ListParagraph"/>
        <w:numPr>
          <w:ilvl w:val="0"/>
          <w:numId w:val="6"/>
        </w:numPr>
        <w:spacing w:before="120" w:after="120"/>
        <w:ind w:left="992" w:hanging="992"/>
        <w:contextualSpacing w:val="0"/>
        <w:rPr>
          <w:szCs w:val="24"/>
          <w:lang w:eastAsia="lt-LT" w:bidi="lt-LT"/>
        </w:rPr>
      </w:pPr>
      <w:r w:rsidRPr="00E0579E">
        <w:rPr>
          <w:rFonts w:eastAsia="Calibri"/>
        </w:rPr>
        <w:t>Byloje esantys objektyvūs duomenys – vaizdo įrašai ir nuotraukos – aiškiai leidžia daryti išvadas,</w:t>
      </w:r>
      <w:r w:rsidRPr="00E0579E">
        <w:rPr>
          <w:rFonts w:eastAsia="Calibri"/>
          <w:szCs w:val="24"/>
        </w:rPr>
        <w:t xml:space="preserve"> kad </w:t>
      </w:r>
      <w:r w:rsidRPr="00E0579E">
        <w:rPr>
          <w:szCs w:val="24"/>
          <w:lang w:eastAsia="lt-LT" w:bidi="lt-LT"/>
        </w:rPr>
        <w:t xml:space="preserve">šis tankas, kaip ir prieš tai minėti tankai, prie Spaudos rūmų aiškiai pavojingai manevravo, baugino ten buvusius civilius, priversdamas juos bėgti, pasitraukti iš užimtų pozicijų ginant Spaudos rūmus, o tai ir buvo pagrindinė tankų užduotis veikiant su kitais kariškiais, kurie pirminiame operacijos etape, t. y. veikdami nesant tankų ir mažesne sudėtimi, negalėjo atlikti pavestos užduoties – užimti strateginę reikšmę turinčių Spaudos rūmų.  </w:t>
      </w:r>
    </w:p>
    <w:p w:rsidR="00E0579E" w:rsidRDefault="00DA38E9" w:rsidP="00E0579E">
      <w:pPr>
        <w:pStyle w:val="ListParagraph"/>
        <w:numPr>
          <w:ilvl w:val="0"/>
          <w:numId w:val="6"/>
        </w:numPr>
        <w:spacing w:before="120" w:after="120"/>
        <w:ind w:left="992" w:hanging="992"/>
        <w:contextualSpacing w:val="0"/>
        <w:rPr>
          <w:szCs w:val="24"/>
          <w:lang w:eastAsia="lt-LT" w:bidi="lt-LT"/>
        </w:rPr>
      </w:pPr>
      <w:r w:rsidRPr="00E0579E">
        <w:rPr>
          <w:szCs w:val="24"/>
          <w:lang w:eastAsia="lt-LT"/>
        </w:rPr>
        <w:t xml:space="preserve">Kompaktiniame diske Nr. 43 pavadinimu „1991.01.11 prie Spaudos rūmų“, esančiame antrajame vaizdo įraše nuo 2 min. 55 sek. matyti tankų eilėje priešais Spaudos rūmus ir civilius stovintis tankas, ant kurio borto yra skaičius „74“ (visą skaičių dengia kito tanko korpusas) (t. 507, b. l. 45). </w:t>
      </w:r>
      <w:r w:rsidRPr="00E0579E">
        <w:t xml:space="preserve">Visgi itin iliustratyvūs yra </w:t>
      </w:r>
      <w:r w:rsidRPr="00E0579E">
        <w:rPr>
          <w:rFonts w:eastAsia="Calibri"/>
        </w:rPr>
        <w:t>kompaktiniame diske pavadinimu „M. V. vaizdo įrašas „C OK“ b/b Nr. 01-2-00074-14 (Spaudos rūmai) kopija“ esančiame vaizdo įraše užfiksuoti vaizdai. Šiame vaizdo įraše nuo 35 min. 26 sek. matyti prie Spaudos rūmų atvažiuojantis tankas, ant kurio borto yra skaičius „574“. Nuo 36 min. 7 sek. šiame įraše matyti, kaip šis tankas toliau juda prieš Spaudos rūmų pastatą ir staigiai užvažiuoja ant vejos, taip išvaikydamas ten buvusius civilius (kompaktinis diskas – t. 733, b. l. 42, šio vaizdo įrašo apžiūros protokolas su išsamia aktualių vaizdo įrašų kadrų fotolentele – t. 733, b. l. 4–41).</w:t>
      </w:r>
      <w:r w:rsidRPr="00E0579E">
        <w:rPr>
          <w:rFonts w:eastAsia="Calibri"/>
          <w:szCs w:val="24"/>
        </w:rPr>
        <w:t xml:space="preserve"> Atitinkamai </w:t>
      </w:r>
      <w:r w:rsidRPr="00E0579E">
        <w:rPr>
          <w:szCs w:val="24"/>
          <w:lang w:eastAsia="lt-LT"/>
        </w:rPr>
        <w:t xml:space="preserve">bylos medžiagoje yra nuotraukų, patvirtinančių, kad priešais Spaudos rūmus, apsuptus civilių, kartu su kita karine technika stovėjo būtent tankas Nr. 574 (aktualios nuotraukos – t. 41, b. l. 100, 106, 108, 123, 155, 134 (paskutinėje nuotraukoje matyti prie tanko kulkosvaidžio prijungta šaudmenų dėžė su numeriu „574“)). </w:t>
      </w:r>
    </w:p>
    <w:p w:rsidR="00E0579E" w:rsidRPr="00E0579E" w:rsidRDefault="00DA38E9" w:rsidP="00E0579E">
      <w:pPr>
        <w:pStyle w:val="ListParagraph"/>
        <w:numPr>
          <w:ilvl w:val="0"/>
          <w:numId w:val="6"/>
        </w:numPr>
        <w:spacing w:before="120" w:after="120"/>
        <w:ind w:left="992" w:hanging="992"/>
        <w:contextualSpacing w:val="0"/>
        <w:rPr>
          <w:rFonts w:eastAsia="Calibri"/>
          <w:lang w:eastAsia="lt-LT" w:bidi="lt-LT"/>
        </w:rPr>
      </w:pPr>
      <w:r w:rsidRPr="00E0579E">
        <w:rPr>
          <w:szCs w:val="24"/>
          <w:lang w:eastAsia="lt-LT"/>
        </w:rPr>
        <w:t xml:space="preserve">Teisėjų kolegija atmeta gynybos argumentus dėl tokio pobūdžio įrodymų šaltinio nepakankamo ištyrimo teisminio nagrinėjimo metu, nes pastarieji įrodymai visiems proceso dalyviams buvo prieinami ir buvo peržiūrimi bei analizuojami teismo posėdyje tiek, kiek proceso dalyviai to prašė. Dalis tokios vaizdinės medžiagos, pavyzdžiui, nuotraukos, buvo byloje esančiuose procesiniuose dokumentuose, o ne atskiruose jų prieduose ir visa ši bylos medžiaga buvo paskelbta pirmosios instancijos teisme. Pažymėtina ir tai, kad tanko Nr. 574 atvykimą prie Spaudos rūmų ir dalyvavimą šiuose įvykiuose konstatavo ir specialistas 2014 m. birželio 10 d. išvadoje, kuri pateikta įvertinus ir minėtus vaizdo įrašus bei nuotraukas (t. 480, b. l. 48–49). Šis specialistas pakankamai detaliai ir išsamiai buvo apklaustas teisiamajame posėdyje (taip pat ir apie analizuotą vaizdinę medžiagą), todėl teisėjų kolegija, nekartodama motyvų, dėl kurių jau pasisakė teismo posėdyje, be kita ko, ir spręsdama klausimus dėl poreikio atlikti apeliacine tvarka nagrinėjamoje byloje papildomą įrodymų tyrimą, peržiūrint byloje esančią vaizdinę medžiagą, konstatuoja, kad byloje esantys duomenys aiškiai įrodo, </w:t>
      </w:r>
      <w:r w:rsidRPr="00E0579E">
        <w:rPr>
          <w:rFonts w:eastAsia="Calibri"/>
        </w:rPr>
        <w:t xml:space="preserve">jog tankas Nr. 574, kuriame buvo E. R., A. K. 2 ir N. S., atvažiavo prie Spaudos rūmų, staigiai ir pavojingai manevravo arti esant civiliams, taip juos baugindamas, bei kartu su kita karine technika išsidėstė prieš Spaudos rūmus bei civilius ir dalyvavo šio objekto puolime. </w:t>
      </w:r>
    </w:p>
    <w:p w:rsidR="00E0579E" w:rsidRPr="00E0579E" w:rsidRDefault="00DA38E9" w:rsidP="00E0579E">
      <w:pPr>
        <w:pStyle w:val="ListParagraph"/>
        <w:numPr>
          <w:ilvl w:val="0"/>
          <w:numId w:val="6"/>
        </w:numPr>
        <w:spacing w:before="120" w:after="120"/>
        <w:ind w:left="992" w:hanging="992"/>
        <w:contextualSpacing w:val="0"/>
        <w:rPr>
          <w:szCs w:val="24"/>
          <w:lang w:eastAsia="lt-LT" w:bidi="lt-LT"/>
        </w:rPr>
      </w:pPr>
      <w:r w:rsidRPr="00B024B9">
        <w:rPr>
          <w:rFonts w:eastAsia="Calibri"/>
        </w:rPr>
        <w:t xml:space="preserve">Iš jau minėtos vaizdinės bylos medžiagos matyti ne tik atskiras, bet ir bendras </w:t>
      </w:r>
      <w:r w:rsidRPr="00B024B9">
        <w:t>visų prie Spaudos rūmų buvusių tankų dalyvavimas bei koordinuotas veikimas kartu su visais kitais operacijoje dalyvavusiais kariškiais. Be to, iš</w:t>
      </w:r>
      <w:r w:rsidRPr="00B024B9">
        <w:rPr>
          <w:rFonts w:eastAsia="Calibri"/>
        </w:rPr>
        <w:t xml:space="preserve"> bylos medžiagos akivaizdu ir tai, kad kiekvieno tanko įgula buvo sudaryta tikslingai paskirstant atskirų tanko ekipažo narių užduotis tam, kad kiekvienas tanko įgulos narys užtikrintų bendrą tanko veikimą (tik bendras visų tanko ekipažo narių veikimas gali užtikrinti tanko, kaip atskiro karinio vieneto, dalyvavimą operacijoje), todėl bendras visų tanko ekipažo narių veiksmų vertinimas byloje yra pagrįstas ir teisingas</w:t>
      </w:r>
      <w:r w:rsidRPr="00E0579E">
        <w:rPr>
          <w:rFonts w:eastAsia="Calibri"/>
          <w:szCs w:val="24"/>
        </w:rPr>
        <w:t xml:space="preserve">. </w:t>
      </w:r>
    </w:p>
    <w:p w:rsidR="00E0579E" w:rsidRPr="00B024B9" w:rsidRDefault="00DA38E9" w:rsidP="00E0579E">
      <w:pPr>
        <w:pStyle w:val="ListParagraph"/>
        <w:numPr>
          <w:ilvl w:val="0"/>
          <w:numId w:val="6"/>
        </w:numPr>
        <w:spacing w:before="120" w:after="120"/>
        <w:ind w:left="992" w:hanging="992"/>
        <w:contextualSpacing w:val="0"/>
        <w:rPr>
          <w:rFonts w:eastAsia="Calibri"/>
          <w:lang w:eastAsia="lt-LT" w:bidi="lt-LT"/>
        </w:rPr>
      </w:pPr>
      <w:r w:rsidRPr="000E2C88">
        <w:t xml:space="preserve">Byloje nėra ginčijamos pirmosios instancijos teismo išvados dėl to, kad Spaudos rūmų šturme dalyvavo ir tankas Nr. 119. Šio tanko įgulos nariai byloje nebuvo nustatyti, todėl teisėjų kolegija, pritardama pirmosios instancijos teismo išvadoms, konstatuoja tik tai, jog šio tanko dalyvavimą Spaudos rūmų šturme ir veikimą bendrai kartu su kitais teismo nuosprendyje nurodytais TSRS kariškiais, patvirtina byloje esanti specialisto J. Andriškevičiaus išvada ir vaizdo medžiaga (žr. kompaktiniame diske „LRS kanceliarijos vaizdo įrašai“ esantį ketvirtą vaizdo įrašą nuo 12 min. 45 sek. (t. 493, b. l. 71); taip pat </w:t>
      </w:r>
      <w:r w:rsidRPr="000E2C88">
        <w:rPr>
          <w:rFonts w:eastAsia="Calibri"/>
        </w:rPr>
        <w:t>kompaktiniame diske „LRT Nr. 1“ esantį vaizdo įrašą pavadinimu „1991.01.13 įvykiai Vilniuje“ nuo 12 min. 5 sek. (t. 494,</w:t>
      </w:r>
      <w:r w:rsidR="00B024B9" w:rsidRPr="000E2C88">
        <w:rPr>
          <w:rFonts w:eastAsia="Calibri"/>
        </w:rPr>
        <w:t> </w:t>
      </w:r>
      <w:r w:rsidRPr="000E2C88">
        <w:rPr>
          <w:rFonts w:eastAsia="Calibri"/>
        </w:rPr>
        <w:t>b. l. 7))</w:t>
      </w:r>
      <w:r w:rsidRPr="00B024B9">
        <w:rPr>
          <w:rFonts w:eastAsia="Calibri"/>
        </w:rPr>
        <w:t xml:space="preserve">. </w:t>
      </w:r>
    </w:p>
    <w:p w:rsidR="00E0579E" w:rsidRPr="00E0579E" w:rsidRDefault="00DA38E9" w:rsidP="00E0579E">
      <w:pPr>
        <w:pStyle w:val="ListParagraph"/>
        <w:numPr>
          <w:ilvl w:val="0"/>
          <w:numId w:val="6"/>
        </w:numPr>
        <w:spacing w:before="120" w:after="120"/>
        <w:ind w:left="992" w:hanging="992"/>
        <w:contextualSpacing w:val="0"/>
        <w:rPr>
          <w:szCs w:val="24"/>
          <w:lang w:eastAsia="lt-LT" w:bidi="lt-LT"/>
        </w:rPr>
      </w:pPr>
      <w:r w:rsidRPr="000E2C88">
        <w:rPr>
          <w:rFonts w:eastAsia="Calibri"/>
        </w:rPr>
        <w:t>Apibendrindamas šioje dalyje nurodytus motyvus, apeliacinės instancijos teismas konstatuoja, kad pirmosios instancijos teismo išvados dėl visų minėtų keturių TSRS GM 107-osios motorizuotų šaulių divizijos tankų pulko tankų, t. y. Nr. 511, Nr. 571, Nr. 574 ir Nr. 119, bei jų įgulas sudariusių nuteistųjų dalyvavimo Spaudos rūmų šturme,</w:t>
      </w:r>
      <w:r w:rsidR="00E0579E" w:rsidRPr="000E2C88">
        <w:rPr>
          <w:rFonts w:eastAsia="Calibri"/>
        </w:rPr>
        <w:t xml:space="preserve"> pasitvirtino kaip pagrįstos ir </w:t>
      </w:r>
      <w:r w:rsidRPr="000E2C88">
        <w:rPr>
          <w:rFonts w:eastAsia="Calibri"/>
        </w:rPr>
        <w:t>teisingos</w:t>
      </w:r>
      <w:r w:rsidRPr="00B024B9">
        <w:rPr>
          <w:rFonts w:eastAsia="Calibri"/>
        </w:rPr>
        <w:t>.</w:t>
      </w:r>
    </w:p>
    <w:p w:rsidR="00E0579E" w:rsidRPr="00E0579E" w:rsidRDefault="00DA38E9" w:rsidP="00E0579E">
      <w:pPr>
        <w:pStyle w:val="ListParagraph"/>
        <w:numPr>
          <w:ilvl w:val="0"/>
          <w:numId w:val="6"/>
        </w:numPr>
        <w:spacing w:before="120" w:after="120"/>
        <w:ind w:left="992" w:hanging="992"/>
        <w:contextualSpacing w:val="0"/>
        <w:rPr>
          <w:szCs w:val="24"/>
          <w:lang w:eastAsia="lt-LT" w:bidi="lt-LT"/>
        </w:rPr>
      </w:pPr>
      <w:r w:rsidRPr="000E2C88">
        <w:t>Apeliacinės instancijos teismui nekyla abejonių ir dėl to, kad minėti tankai prie Spaudos rūmų ne mažiau kaip vieną kartą iššovė tuščiu užtaisu ir taip nukentėjusiajam A. Š. padarė akustinę traumą bei jis neteko 30 ir daugiau procentų bendro darbingumo. Iš vaizdo įrašų, kuriuose užfiksuoti įvykiai prie Spaudos rūmų, matyti, kaip nuo vieno iš tankų pasigirdo šūvis, po kurio dalis civilių atsitraukė nuo tankų; apie vieno iš tankų šūvį prie šio objekto parodė ir daugelis liudytojų bei nukentėjusiųjų, apie tai nurodyta ir byloje esančioje specialisto J. Andriškevičiaus išvadoje (t. 480, b. l. 50, 52). Iš bylos aplinkybių susijusių su tankų šūvių traumuojančiu poveikiu žmonėms, greta esančių namų langams ir pan., akivaizdu, kad tankų šūviai buvo itin pavojingi greta tankų buvusiems civiliams ir daugumai jų sukėlė akustines traumas. Išvadą apie tokių šūvių pavojingumą patvirtina ir teisiamajame posėdyje apklausto nuteistojo G. I. parodymai. Pastarasis nurodė, kad kai tankas prie Spaudos rūmų iššovė tuščiu užtaisu jis gavo garsinę kontūziją; sugrįžus į Šiaurės karinį miestelį jam nuolat skaudėjo galvą, buvo apkurtęs (t. 756, b. l. 50)</w:t>
      </w:r>
      <w:r w:rsidRPr="00C00255">
        <w:t xml:space="preserve">. </w:t>
      </w:r>
    </w:p>
    <w:p w:rsidR="00DA38E9" w:rsidRPr="00C00255" w:rsidRDefault="00DA38E9" w:rsidP="00DA38E9">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 xml:space="preserve">Dėl tanko Nr. 513 bei nuteistųjų </w:t>
      </w:r>
      <w:r>
        <w:rPr>
          <w:rFonts w:ascii="Times New Roman" w:hAnsi="Times New Roman"/>
          <w:b w:val="0"/>
          <w:i/>
          <w:sz w:val="24"/>
          <w:szCs w:val="24"/>
        </w:rPr>
        <w:t>S. V.</w:t>
      </w:r>
      <w:r w:rsidRPr="00C00255">
        <w:rPr>
          <w:rFonts w:ascii="Times New Roman" w:hAnsi="Times New Roman"/>
          <w:b w:val="0"/>
          <w:i/>
          <w:sz w:val="24"/>
          <w:szCs w:val="24"/>
        </w:rPr>
        <w:t xml:space="preserve"> ir </w:t>
      </w:r>
      <w:r>
        <w:rPr>
          <w:rFonts w:ascii="Times New Roman" w:hAnsi="Times New Roman"/>
          <w:b w:val="0"/>
          <w:i/>
          <w:sz w:val="24"/>
          <w:szCs w:val="24"/>
        </w:rPr>
        <w:t>A. K. 1</w:t>
      </w:r>
      <w:r w:rsidRPr="00C00255">
        <w:rPr>
          <w:rFonts w:ascii="Times New Roman" w:hAnsi="Times New Roman"/>
          <w:b w:val="0"/>
          <w:i/>
          <w:sz w:val="24"/>
          <w:szCs w:val="24"/>
        </w:rPr>
        <w:t xml:space="preserve"> dalyvavimo užimant Spaudos rūmus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Kaip minėta, pirmosios instancijos teismas, aprašydamas įrodytomis pripažintas Spaudos rūmų užėmimo aplinkybes, aiškiai nurodė, kad užimant Spaudos rūmus dalyvavo tik keturi nurodyti tankai ir jokio kito tanko, taip pat ir tanko, kurio borto numeris 513, tarp jų nenurodė. Lygiai taip pat pirmosios instancijos teismo nuosprendžio nustatomojoje dalyje nėra paminėti ir šio tanko ekipažo nariai nuteistieji S. V. ir A. K. 1 (žr. </w:t>
      </w:r>
      <w:r w:rsidRPr="000E2C88">
        <w:rPr>
          <w:rFonts w:eastAsia="Calibri"/>
          <w:szCs w:val="24"/>
        </w:rPr>
        <w:t xml:space="preserve">t. 769, 135–138 l.). Nepaisant to, teismo nuosprendžio motyvuojamojoje dalyje, individualizuojant nuteistųjų S. V. ir A. K. 1 veiksmus, </w:t>
      </w:r>
      <w:r w:rsidRPr="000E2C88">
        <w:rPr>
          <w:szCs w:val="24"/>
          <w:lang w:eastAsia="lt-LT"/>
        </w:rPr>
        <w:t>nurodoma apie jų, kaip tanko Nr. 513 ekipažo narių, dalyvavimą užimant Spaudos rūmus</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Nuosprendyje nurodoma, kad</w:t>
      </w:r>
      <w:r w:rsidRPr="00C00255">
        <w:rPr>
          <w:lang w:eastAsia="lt-LT"/>
        </w:rPr>
        <w:t>: „</w:t>
      </w:r>
      <w:r>
        <w:t>S. V.</w:t>
      </w:r>
      <w:r w:rsidRPr="00C00255">
        <w:t>, tanko Nr. 513 vadas, dalyvavo Spaudos rūmų ir TV bokšto šturme &lt;...&gt;“ (nuosprendžio 875 l.; t. 773, b. l. 75); „</w:t>
      </w:r>
      <w:r w:rsidRPr="00C00255">
        <w:rPr>
          <w:szCs w:val="24"/>
        </w:rPr>
        <w:t xml:space="preserve">Skiriant bausmę kaltinamajam </w:t>
      </w:r>
      <w:r>
        <w:rPr>
          <w:szCs w:val="24"/>
        </w:rPr>
        <w:t>S. V.</w:t>
      </w:r>
      <w:r w:rsidRPr="00C00255">
        <w:rPr>
          <w:szCs w:val="24"/>
        </w:rPr>
        <w:t xml:space="preserve">, atsižvelgiama į &lt;...&gt; tai, kad jis, būdamas tanko Nr. 513 vadu, dalyvavo Spaudos rūmų šturme, užtikrino desantininkų patekimą į pastatą“ (nuosprendžio 888 l.; </w:t>
      </w:r>
      <w:r w:rsidRPr="00C00255">
        <w:t>t. 773, b. l. 88</w:t>
      </w:r>
      <w:r w:rsidRPr="00C00255">
        <w:rPr>
          <w:szCs w:val="24"/>
        </w:rPr>
        <w:t xml:space="preserve">). Atitinkamai, pasisakant dėl </w:t>
      </w:r>
      <w:r>
        <w:rPr>
          <w:szCs w:val="24"/>
        </w:rPr>
        <w:t>A. K. 1</w:t>
      </w:r>
      <w:r w:rsidRPr="00C00255">
        <w:rPr>
          <w:szCs w:val="24"/>
        </w:rPr>
        <w:t xml:space="preserve"> veiksmų, nuosprendyje nurodoma, kad: </w:t>
      </w:r>
      <w:r>
        <w:rPr>
          <w:szCs w:val="24"/>
        </w:rPr>
        <w:t>A. K. 1</w:t>
      </w:r>
      <w:r w:rsidRPr="00C00255">
        <w:rPr>
          <w:szCs w:val="24"/>
        </w:rPr>
        <w:t>, tanko Nr. 513 vairuotojas, dalyvavo Spaudos rūmų ir TV bokšto šturme &lt;...&gt;“ (</w:t>
      </w:r>
      <w:r w:rsidRPr="00C00255">
        <w:t xml:space="preserve">nuosprendžio 875 l.; t. 773, b. l. 75); „Skiriant bausmę kaltinamajam </w:t>
      </w:r>
      <w:r>
        <w:t>A. K. 1</w:t>
      </w:r>
      <w:r w:rsidRPr="00C00255">
        <w:t>, atsižvelgiama į &lt;...&gt;</w:t>
      </w:r>
      <w:r w:rsidRPr="00C00255">
        <w:rPr>
          <w:color w:val="7030A0"/>
          <w:szCs w:val="24"/>
        </w:rPr>
        <w:t xml:space="preserve"> </w:t>
      </w:r>
      <w:r w:rsidRPr="00C00255">
        <w:rPr>
          <w:szCs w:val="24"/>
        </w:rPr>
        <w:t xml:space="preserve">tai, kad jis, būdamas tanko Nr. 513 vairuotoju – mechaniku, dalyvavo Spaudos rūmų šturme, užtikrino desantininkų patekimą į pastatą“ (nuosprendžio 888 l.; </w:t>
      </w:r>
      <w:r w:rsidRPr="00C00255">
        <w:t>t. 773, b. l. 88</w:t>
      </w:r>
      <w:r w:rsidRPr="00C00255">
        <w:rPr>
          <w:szCs w:val="24"/>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Tokios teismo išvados yra nepagrįstos ir neatitinka byloje nustatytų aplinkybių, nes tankas, kurio borto numeris 513, priešingai nei kiti aiškiai nustatyti keturi tankai, </w:t>
      </w:r>
      <w:r w:rsidRPr="00C00255">
        <w:rPr>
          <w:lang w:eastAsia="lt-LT"/>
        </w:rPr>
        <w:t xml:space="preserve">nagrinėjamų įvykių metu </w:t>
      </w:r>
      <w:r w:rsidRPr="00C00255">
        <w:rPr>
          <w:szCs w:val="24"/>
        </w:rPr>
        <w:t xml:space="preserve">nebuvo prie Spaudos rūmų. </w:t>
      </w:r>
      <w:r w:rsidRPr="00C00255">
        <w:rPr>
          <w:lang w:eastAsia="lt-LT"/>
        </w:rPr>
        <w:t xml:space="preserve">Įvykius prie Spaudos rūmų atspindinčioje vaizdinėje medžiagoje nėra užfiksuota, kad tankas Nr. 513 buvo prie Spaudos rūmų, todėl valstybinį kaltinimą byloje palaikantys prokurorai nei </w:t>
      </w:r>
      <w:r>
        <w:rPr>
          <w:lang w:eastAsia="lt-LT"/>
        </w:rPr>
        <w:t>S. V.</w:t>
      </w:r>
      <w:r w:rsidRPr="00C00255">
        <w:rPr>
          <w:lang w:eastAsia="lt-LT"/>
        </w:rPr>
        <w:t xml:space="preserve">, nei </w:t>
      </w:r>
      <w:r>
        <w:rPr>
          <w:lang w:eastAsia="lt-LT"/>
        </w:rPr>
        <w:t>A. K. 1</w:t>
      </w:r>
      <w:r w:rsidRPr="00C00255">
        <w:rPr>
          <w:lang w:eastAsia="lt-LT"/>
        </w:rPr>
        <w:t xml:space="preserve"> nekaltino dalyvavimu užimant Spaudos rūmus. Pasisakydami apeliacinės instancijos teisme, prokurorai taip pat nurodė, kad šis tankas ir jo ekipažo nariai </w:t>
      </w:r>
      <w:r>
        <w:rPr>
          <w:lang w:eastAsia="lt-LT"/>
        </w:rPr>
        <w:t>S. V.</w:t>
      </w:r>
      <w:r w:rsidRPr="00C00255">
        <w:rPr>
          <w:lang w:eastAsia="lt-LT"/>
        </w:rPr>
        <w:t xml:space="preserve"> bei </w:t>
      </w:r>
      <w:r>
        <w:rPr>
          <w:lang w:eastAsia="lt-LT"/>
        </w:rPr>
        <w:t>A. K. 1</w:t>
      </w:r>
      <w:r w:rsidRPr="00C00255">
        <w:rPr>
          <w:lang w:eastAsia="lt-LT"/>
        </w:rPr>
        <w:t xml:space="preserve"> dalyvavo tik užimant TV</w:t>
      </w:r>
      <w:r>
        <w:rPr>
          <w:lang w:eastAsia="lt-LT"/>
        </w:rPr>
        <w:t> </w:t>
      </w:r>
      <w:r w:rsidRPr="00C00255">
        <w:rPr>
          <w:lang w:eastAsia="lt-LT"/>
        </w:rPr>
        <w:t xml:space="preserve">bokštą, o įvykiuose prie Spaudos rūmų nedalyvavo (t. 796, b. l. 72).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0E2C88">
        <w:rPr>
          <w:szCs w:val="24"/>
        </w:rPr>
        <w:t xml:space="preserve">Teisėjų kolegija, atsižvelgdama į tai, kad minėtos aplinkybės nei S. V., nei A. K. 1 nebuvo inkriminuotos, jos teismo nuosprendžio nustatomojoje dalyje aprašant įrodytomis pripažintas aplinkybes nėra nurodytos, darydama išvadas apie nuteistųjų S. V. ir A. K. 1 veiksmus jomis nesivadovauja ir </w:t>
      </w:r>
      <w:r w:rsidRPr="000E2C88">
        <w:rPr>
          <w:lang w:eastAsia="lt-LT"/>
        </w:rPr>
        <w:t>šalina iš nuosprendžio visas išvadas apie nuteistųjų S. V. ir A. K. 1 bei tanko Nr. 513 dalyvavimą užimant Spaudos rūmus (dėl šių nuteistųjų veiksmų, užimant TV bokštą, teismas pasisakys atskirai kitoje šio teismo sprendimo dalyje</w:t>
      </w:r>
      <w:r w:rsidRPr="00C00255">
        <w:rPr>
          <w:lang w:eastAsia="lt-LT"/>
        </w:rPr>
        <w:t>).</w:t>
      </w:r>
    </w:p>
    <w:p w:rsidR="00DA38E9" w:rsidRPr="00C00255" w:rsidRDefault="00DA38E9" w:rsidP="00DA38E9">
      <w:pPr>
        <w:pStyle w:val="Heading4"/>
        <w:spacing w:before="120" w:after="120"/>
        <w:ind w:firstLine="992"/>
        <w:rPr>
          <w:rFonts w:ascii="Times New Roman" w:hAnsi="Times New Roman"/>
          <w:b w:val="0"/>
          <w:i/>
          <w:sz w:val="24"/>
          <w:szCs w:val="24"/>
        </w:rPr>
      </w:pPr>
      <w:r w:rsidRPr="00C00255">
        <w:rPr>
          <w:rFonts w:ascii="Times New Roman" w:hAnsi="Times New Roman"/>
          <w:b w:val="0"/>
          <w:i/>
          <w:sz w:val="24"/>
          <w:szCs w:val="24"/>
        </w:rPr>
        <w:t xml:space="preserve">Dėl tankų ekipažams prie Spaudos rūmų vadovavusių kariškių  </w:t>
      </w:r>
    </w:p>
    <w:p w:rsidR="00DA38E9" w:rsidRPr="00B024B9" w:rsidRDefault="00DA38E9" w:rsidP="00DA38E9">
      <w:pPr>
        <w:pStyle w:val="ListParagraph"/>
        <w:numPr>
          <w:ilvl w:val="0"/>
          <w:numId w:val="6"/>
        </w:numPr>
        <w:spacing w:before="120" w:after="120"/>
        <w:ind w:left="992" w:hanging="992"/>
        <w:contextualSpacing w:val="0"/>
      </w:pPr>
      <w:r w:rsidRPr="000E2C88">
        <w:rPr>
          <w:szCs w:val="24"/>
          <w:lang w:eastAsia="lt-LT"/>
        </w:rPr>
        <w:t>Kaip jau minėta, užimant Spaudos rūmus dalyvavo keturi TSRS GM Sausumos pajėgų Pabaltijo karinės apygardos 107-osios motorizuotų šaulių divizijos 106-ojo tankų pulko tankai. Šiai divizijai vadovavo nuteistasis V. U. 1, o minėtam tankų pulkui nuteistasis N. A.. Ankstesnėje šio nuosprendžio dalyje „</w:t>
      </w:r>
      <w:r w:rsidRPr="000E2C88">
        <w:rPr>
          <w:rFonts w:eastAsia="Calibri"/>
          <w:i/>
          <w:iCs/>
        </w:rPr>
        <w:t xml:space="preserve">Dėl pirmosios instancijos teismo išvadų vertinant </w:t>
      </w:r>
      <w:r w:rsidRPr="000E2C88">
        <w:rPr>
          <w:i/>
          <w:iCs/>
        </w:rPr>
        <w:t>TSRS GM ir jai pavaldžių dalinių bei nuteistųjų D. J., V. K. 1, V. U. 1 ir N. A. veiksmus</w:t>
      </w:r>
      <w:r w:rsidRPr="000E2C88">
        <w:rPr>
          <w:rFonts w:eastAsia="Calibri"/>
          <w:i/>
          <w:iCs/>
        </w:rPr>
        <w:t xml:space="preserve"> planuojant karinę operaciją</w:t>
      </w:r>
      <w:r w:rsidRPr="000E2C88">
        <w:rPr>
          <w:rFonts w:eastAsia="Calibri"/>
        </w:rPr>
        <w:t xml:space="preserve">“ </w:t>
      </w:r>
      <w:r w:rsidRPr="000E2C88">
        <w:t xml:space="preserve">minėta, kad </w:t>
      </w:r>
      <w:r w:rsidRPr="000E2C88">
        <w:rPr>
          <w:rFonts w:eastAsia="Calibri"/>
        </w:rPr>
        <w:t xml:space="preserve">byloje yra įrodytas N. A. vadovavusio TSRS GM </w:t>
      </w:r>
      <w:r w:rsidRPr="000E2C88">
        <w:t>Sausumos pajėgų Pabaltijo karinės apygardos 107-osios motorizuotų šaulių divizijos vado V. U. 1 dalyvavimas rengiant karinę operaciją, kuriam, be kita ko, vadovavimo operacijai štabas pavedė ir koordinuoti bendrus, taip pat ir užimant Spaudos rūmus, operacijoje dalyvavusių kariškių veiksmus</w:t>
      </w:r>
      <w:r w:rsidRPr="000E2C88">
        <w:rPr>
          <w:rFonts w:eastAsia="Calibri"/>
        </w:rPr>
        <w:t>. Nors nuteistasis N. A. šioje byloje buvo kaltinamas dalyvavimu planuojant karinę operaciją, toks jo vaidmuo, kaip minėta, nėra įrodytas. Visgi byloje esantys įrodymai leidžia daryti jokių abejonių nekeliančias išvadas apie tai, kad N. A., vykdydamas vadovavimo karinei operacijai štabo ir savo tiesioginio vado V. U. 1 įsakymą, paskyrė jungtinių tankų ekipažų narius, kad būtent jo nurodymu, vadovaujami G. I., prie Spaudos rūmų atvyko keturi divizijos tankai (Nr. 511, Nr. 571, Nr. 574 ir Nr. 119), kurių vaidmuo užimant Spaudos rūmus jau buvo aptartas</w:t>
      </w:r>
      <w:r w:rsidRPr="00B024B9">
        <w:rPr>
          <w:rFonts w:eastAsia="Calibri"/>
        </w:rPr>
        <w:t>.</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B024B9">
        <w:rPr>
          <w:rFonts w:eastAsia="Calibri"/>
        </w:rPr>
        <w:t xml:space="preserve">Nei pats N. A., nei jo gynėjai pirmosios instancijos teismo išvadų neskundžia, todėl teisėjų kolegija jo vaidmenį </w:t>
      </w:r>
      <w:r w:rsidRPr="00C00255">
        <w:rPr>
          <w:szCs w:val="24"/>
          <w:lang w:eastAsia="lt-LT" w:bidi="lt-LT"/>
        </w:rPr>
        <w:t xml:space="preserve">patvirtinančius įrodymus aptars tik tiek, kiek tai būtina siekiant atskleisti bylos aplinkybes apie bendrą visų tankų veikimą užimant Spaudos rūmus bei vadovaujantį nuteistojo </w:t>
      </w:r>
      <w:r>
        <w:rPr>
          <w:szCs w:val="24"/>
          <w:lang w:eastAsia="lt-LT" w:bidi="lt-LT"/>
        </w:rPr>
        <w:t>G. I.</w:t>
      </w:r>
      <w:r w:rsidRPr="00C00255">
        <w:rPr>
          <w:szCs w:val="24"/>
          <w:lang w:eastAsia="lt-LT" w:bidi="lt-LT"/>
        </w:rPr>
        <w:t xml:space="preserve"> vaidmenį operacijos metu.</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Teisėjų kolegija šiame sprendime aptardama tiek karinės operacijos planavimo, tiek atskirų tankų įgulų sudėties sudarymo aplinkybes jau minėjo du – 1991 m. sausio 2 d. ir sausio 9 d. įsakymus, kuriais </w:t>
      </w:r>
      <w:r>
        <w:rPr>
          <w:szCs w:val="24"/>
          <w:lang w:eastAsia="lt-LT" w:bidi="lt-LT"/>
        </w:rPr>
        <w:t>N. A.</w:t>
      </w:r>
      <w:r w:rsidRPr="00C00255">
        <w:rPr>
          <w:szCs w:val="24"/>
          <w:lang w:eastAsia="lt-LT" w:bidi="lt-LT"/>
        </w:rPr>
        <w:t>, kaip tankų pulko vadas, nurodė paruošti kovinei parengčiai vėliau prie Spaudos rūmų atvykusius tankus ir sudarė šių tankų įgulas</w:t>
      </w:r>
      <w:r w:rsidRPr="00C00255">
        <w:rPr>
          <w:szCs w:val="24"/>
          <w:lang w:eastAsia="lt-LT"/>
        </w:rPr>
        <w:t xml:space="preserve"> (t. 440, b. l. 17–19; t. 127, b. l. 10–13).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Apygardos teismo išvadas apie N. A. vadovaujantį vaidmenį tankams</w:t>
      </w:r>
      <w:r w:rsidRPr="000E2C88">
        <w:rPr>
          <w:rFonts w:eastAsia="Calibri"/>
          <w:szCs w:val="24"/>
        </w:rPr>
        <w:t xml:space="preserve"> prie Spaudos rūmų patvirtina ir teisiamajame posėdyje apklausti liudytojai, kurių parodymais nėra pagrindo netikėti. </w:t>
      </w:r>
      <w:r w:rsidRPr="000E2C88">
        <w:rPr>
          <w:szCs w:val="24"/>
          <w:lang w:eastAsia="lt-LT"/>
        </w:rPr>
        <w:t>Tankų pulko vadu N. A. teisiamajame posėdyje įvardijo ir tanko Nr. 559 ekipažo narys mechanikas-vairuotojas liudytojas A. R. (t. </w:t>
      </w:r>
      <w:r w:rsidRPr="000E2C88">
        <w:t xml:space="preserve">757, b. l. 102–107). Dar ikiteisminio tyrimo metu A. R. nurodė (parodymai perskaityti teisiamajame posėdyje ir liudytojui užduoti klausimai), kad 1991 m sausio 11 d. į Vilniaus karinį dalinį 78018 jis atvarė tanką Nr. 559; be šio tanko į dalinį buvo atvaryti ir kitų pulkų tankai. Anot liudytojo, rikiuotės metu N. A. pranešė jungtinius tankų įgulų sąrašus. Jo įgulos vadu paskirtas kapitonas J. O. jam vėliau paaiškino, kad įgulos suformuotos tam, jog prireikus galėtų išvažiuoti į Vilniaus miestą ginti karinius objektus (t. 440, b. l. 98–99; t. 127, b. l. 142–149). Taigi šio liudytojo parodymai ne tik patvirtina N. A., kaip tankų pulko vado vaidmenį, tačiau taip pat rodo, kad būtent įvykių prie Spaudos rūmų dieną apie pietus į N. A. vadovaujamą dalinį buvo atvaryti kelių pulkų tankai. Sprendžiant dėl N. A. vaidmens užimant Spaudos rūmus, tai laikytina itin svarbiais duomenimis, nes tankai prie Spaudos rūmų pasirodė būtent 1991 m. sausio 11 d. popietę. </w:t>
      </w:r>
      <w:r w:rsidRPr="000E2C88">
        <w:rPr>
          <w:szCs w:val="24"/>
          <w:lang w:eastAsia="lt-LT"/>
        </w:rPr>
        <w:t>N. A. vadovavimo</w:t>
      </w:r>
      <w:r w:rsidRPr="000E2C88">
        <w:t xml:space="preserve"> 106-ajam tankų pulkui aplinkybę dar tyrimo metu </w:t>
      </w:r>
      <w:r w:rsidRPr="000E2C88">
        <w:rPr>
          <w:szCs w:val="24"/>
          <w:lang w:eastAsia="lt-LT"/>
        </w:rPr>
        <w:t>nurodė ir liudytojas A. K. (A. K.), teisiamajame posėdyje patvirtinęs ikiteisminio tyrimo metu duotus parodymus (t. 474, b. l. 175–179; t. </w:t>
      </w:r>
      <w:r w:rsidRPr="000E2C88">
        <w:rPr>
          <w:szCs w:val="24"/>
        </w:rPr>
        <w:t>757, b. l. 91–95). Tai, kad Spaudos rūmų užėmimo užduočiai vykdyti būtent N. A. skyrė 4 tankus, susipažinęs su bylos medžiaga, kons</w:t>
      </w:r>
      <w:r w:rsidR="00C17535" w:rsidRPr="000E2C88">
        <w:rPr>
          <w:szCs w:val="24"/>
        </w:rPr>
        <w:t>tatavo ir specialistas (t. 480, </w:t>
      </w:r>
      <w:r w:rsidRPr="000E2C88">
        <w:rPr>
          <w:szCs w:val="24"/>
        </w:rPr>
        <w:t xml:space="preserve">b. l. 48–49). Teisėjų kolegijos vertinimu, akivaizdu, kad tokio sprendimo N. A. negalėjo priimti be tiesioginio jo vado, </w:t>
      </w:r>
      <w:r w:rsidRPr="000E2C88">
        <w:rPr>
          <w:rFonts w:eastAsia="Calibri"/>
        </w:rPr>
        <w:t xml:space="preserve">TSRS GM </w:t>
      </w:r>
      <w:r w:rsidRPr="000E2C88">
        <w:rPr>
          <w:szCs w:val="24"/>
          <w:lang w:eastAsia="lt-LT"/>
        </w:rPr>
        <w:t>Sausumos pajėgų Pabaltijo karinės apygardos 107-osios motorizuotų šaulių divizijos vado V. U. 1</w:t>
      </w:r>
      <w:r w:rsidRPr="000E2C88">
        <w:rPr>
          <w:szCs w:val="24"/>
        </w:rPr>
        <w:t xml:space="preserve">, kuriam buvo pavesta koordinuoti visus kariškių veiksmus karinės operacijos metu, žinios ir sprendimo. Be to, tiek minėtas aplinkybes, tiek ir N. A. siekį panaudoti jėgą patvirtina jo interviu, atspausdintas laikraštyje, kuriame jis aiškiai pripažįsta jo vadovaujantį vaidmenį tankams („mano tankai“, „prieš išvažiuojant įsakiau &lt;...&gt;“, „kai mes neseniai užėmėme Spaudos rūmus“ ir kt. (t. 456, b. l. 14–15; </w:t>
      </w:r>
      <w:r w:rsidRPr="000E2C88">
        <w:t>t. 190, b. l. 17)).</w:t>
      </w:r>
      <w:r w:rsidRPr="000E2C88">
        <w:rPr>
          <w:szCs w:val="24"/>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Kolegijos vidinį įsitikinimą dėl </w:t>
      </w:r>
      <w:r>
        <w:rPr>
          <w:szCs w:val="24"/>
          <w:lang w:eastAsia="lt-LT" w:bidi="lt-LT"/>
        </w:rPr>
        <w:t>N. A.</w:t>
      </w:r>
      <w:r w:rsidRPr="00C00255">
        <w:rPr>
          <w:szCs w:val="24"/>
          <w:lang w:eastAsia="lt-LT" w:bidi="lt-LT"/>
        </w:rPr>
        <w:t xml:space="preserve">, kaip asmens davusio nurodymus tankų ekipažams vykti prie Spaudos rūmų, formuoja ir </w:t>
      </w:r>
      <w:r w:rsidRPr="00C00255">
        <w:rPr>
          <w:szCs w:val="24"/>
          <w:lang w:eastAsia="lt-LT"/>
        </w:rPr>
        <w:t xml:space="preserve">2016 m. </w:t>
      </w:r>
      <w:r w:rsidRPr="00C00255">
        <w:t>kovo 8 d.</w:t>
      </w:r>
      <w:r w:rsidRPr="00C00255">
        <w:rPr>
          <w:szCs w:val="24"/>
          <w:lang w:eastAsia="lt-LT"/>
        </w:rPr>
        <w:t xml:space="preserve"> teismo posėdyje </w:t>
      </w:r>
      <w:r w:rsidRPr="00C00255">
        <w:rPr>
          <w:szCs w:val="24"/>
          <w:lang w:eastAsia="lt-LT" w:bidi="lt-LT"/>
        </w:rPr>
        <w:t xml:space="preserve">perskaityti tyrimo metu apklausto nuteistojo </w:t>
      </w:r>
      <w:r>
        <w:rPr>
          <w:szCs w:val="24"/>
          <w:lang w:eastAsia="lt-LT" w:bidi="lt-LT"/>
        </w:rPr>
        <w:t>A. R.</w:t>
      </w:r>
      <w:r w:rsidRPr="00C00255">
        <w:rPr>
          <w:szCs w:val="24"/>
          <w:lang w:eastAsia="lt-LT" w:bidi="lt-LT"/>
        </w:rPr>
        <w:t xml:space="preserve">, vairavusio tanką Nr. 511, parodymai. Vykdant Generalinės prokuratūros teisinės pagalbos prašymą, </w:t>
      </w:r>
      <w:r>
        <w:rPr>
          <w:szCs w:val="24"/>
          <w:lang w:eastAsia="lt-LT" w:bidi="lt-LT"/>
        </w:rPr>
        <w:t>A. R.</w:t>
      </w:r>
      <w:r w:rsidRPr="00C00255">
        <w:rPr>
          <w:szCs w:val="24"/>
          <w:lang w:eastAsia="lt-LT" w:bidi="lt-LT"/>
        </w:rPr>
        <w:t xml:space="preserve"> apklaustas įtariamuoju nurodė, kad būtent </w:t>
      </w:r>
      <w:r>
        <w:rPr>
          <w:szCs w:val="24"/>
          <w:lang w:eastAsia="lt-LT" w:bidi="lt-LT"/>
        </w:rPr>
        <w:t>N. A.</w:t>
      </w:r>
      <w:r w:rsidRPr="00C00255">
        <w:rPr>
          <w:szCs w:val="24"/>
          <w:lang w:eastAsia="lt-LT" w:bidi="lt-LT"/>
        </w:rPr>
        <w:t xml:space="preserve"> davė įsakymą judėti tankais prie Spaudos rūmų, girdint visiems tankų pulko kariškiams, o taip pat jis pravedė instruktažą (t. 573, b. l. 12–19; t. 573, b. l. 4–11; t. 756, b. l. 37). Tokie parodymai visiškai atitinka ir nuoseklia logine bei chronologine grandine jungiasi su šioje dalyje jau minėtais kitais įrodymais, leidžiančiais daryti išvadą, kad tankų ekipažai prie Spaudos rūmų atvyko ir dalyvavo Spaudos rūmų šturme būtent </w:t>
      </w:r>
      <w:r>
        <w:rPr>
          <w:szCs w:val="24"/>
          <w:lang w:eastAsia="lt-LT" w:bidi="lt-LT"/>
        </w:rPr>
        <w:t>N. A.</w:t>
      </w:r>
      <w:r w:rsidRPr="00C00255">
        <w:rPr>
          <w:szCs w:val="24"/>
          <w:lang w:eastAsia="lt-LT" w:bidi="lt-LT"/>
        </w:rPr>
        <w:t xml:space="preserve"> nurodymu. </w:t>
      </w:r>
    </w:p>
    <w:p w:rsidR="00DA38E9" w:rsidRPr="000E2C88" w:rsidRDefault="00DA38E9" w:rsidP="00DA38E9">
      <w:pPr>
        <w:pStyle w:val="ListParagraph"/>
        <w:numPr>
          <w:ilvl w:val="0"/>
          <w:numId w:val="6"/>
        </w:numPr>
        <w:spacing w:before="120" w:after="120"/>
        <w:ind w:left="992" w:hanging="992"/>
        <w:contextualSpacing w:val="0"/>
      </w:pPr>
      <w:r w:rsidRPr="000E2C88">
        <w:t>Byloje nustatyta ir tai, kad šturmuojant Spaudos rūmų pastatą paties N. A., kaip ir jo bei kitų pavaldžių kariškių veiksmus koordinavusio TSRS GM 107-osios divizijos vado V. U. 1, įvykių vietoje nebuvo. Minėtas N. A. įsakymas, vykdant vadovavimo operacijai štabo ir V. U. 1 įsakymus, vietoje buvo įgyvendinamas tankams vadovaujant kitam karininkui, t. y. nuteistajam G. I..</w:t>
      </w:r>
      <w:r w:rsidRPr="000E2C88">
        <w:rPr>
          <w:rFonts w:eastAsia="Calibri"/>
          <w:szCs w:val="24"/>
        </w:rPr>
        <w:t xml:space="preserve"> </w:t>
      </w:r>
      <w:r w:rsidRPr="000E2C88">
        <w:rPr>
          <w:rFonts w:eastAsia="Calibri"/>
        </w:rPr>
        <w:t xml:space="preserve">Nepaisant to, iš bylos medžiagos matyti, kad tiek TSRS GM 107-osios motorizuotų šaulių divizijos vadas V. U. 1, tiek šios divizijos tankų pulko vadas N. A., vadovavo bei koordinavo ten veikusių kariškių veiksmus, palaikydami ryšį su tiesiogiai Spaudos rūmų šturme dalyvavusiais kariškiais. Apie tai, teisėjų kolegija sprendžia ne tik iš karinės operacijos planavimo ir kariuomenės veikimo principų, apie kuriuos byloje nurodė specialistas J. Andriškevičius, faktinių operacijos eigos aplinkybių, pagal kurias, vadovavimo operacijai štabas bei V. U. 1 sekė Spaudos rūmų šturmo aplinkybes ir operatyviai reagavo į jas, pasiunčiant pastiprintas pajėgas, kai operacijos eiga pirminiame etape, veikiant tik oro desanto kariškiams, įstrigo, bet ir iš byloje užfiksuotų TSRS GM 107-osios motorizuotų šaulių divizijos kariškių pokalbių radijo ryšiu užimant Spaudos rūmus.  </w:t>
      </w:r>
    </w:p>
    <w:p w:rsidR="00B024B9" w:rsidRDefault="00DA38E9" w:rsidP="00B024B9">
      <w:pPr>
        <w:pStyle w:val="ListParagraph"/>
        <w:numPr>
          <w:ilvl w:val="0"/>
          <w:numId w:val="6"/>
        </w:numPr>
        <w:spacing w:before="120" w:after="120"/>
        <w:ind w:left="992" w:hanging="992"/>
        <w:contextualSpacing w:val="0"/>
      </w:pPr>
      <w:r w:rsidRPr="000E2C88">
        <w:rPr>
          <w:rFonts w:eastAsia="Calibri"/>
        </w:rPr>
        <w:t xml:space="preserve">Iš bylos medžiagos matyti, kad visi kariškiai operacijos metu bendravo radijo ryšiu, o pokalbių metu save identifikavo per kiekvienam priskirtus šaukinius. Byloje nustatyta, kad tankai naudojosi šaukiniais, prasidedančiais žodžiu „Bronia“ su skaičiumi, atitinkančiu tanko numerį. Apie tai teisme nurodė liudytojas A. Š., kuris įvykių metu tarnavo Vilniuje dislokuoto tankų pulko ryšių kuopoje (t. 757, b. l. 147). Tokius jo parodymus visiškai atitinka ir ikiteisminio tyrimo metu duoti tankų ekipažų narių parodymai (pvz., tanko, kurio borto numeris 513, mechanikas-vairuotojas nuteistasis A. K. 1, nurodė, kad jų tanko Nr. 513 šaukinys buvo „Bronia-13“ (t. 440, b. l. 74-76, t. 127, b. l. 101–106, analogiškas aplinkybes nurodė ir nuteistieji S. V. bei J. M., kurie, be kita ko, nurodė, kad N. A. šaukinys buvo „Bronia-02“). Iš byloje esančių specialisto išvadų matyti, kad V. U. 1 šaukinys buvo „Zenit-22“ (Lietuvos teismo ekspertizės centro specialistai, pavedus atlikti byloje užfiksuotų kariškio, kurio šaukinys buvo „Zenit-22“, garso įrašų tyrimą, padarė išvadą, kad tikėtina, jog garso įrašuose yra užfiksuotas V. U. 1 balsas (t. 486, b. l. 67–79; t. 486, b. l. 174–184)). </w:t>
      </w:r>
      <w:r w:rsidRPr="000E2C88">
        <w:t xml:space="preserve">Iš </w:t>
      </w:r>
      <w:r w:rsidRPr="000E2C88">
        <w:rPr>
          <w:rFonts w:eastAsia="Calibri"/>
        </w:rPr>
        <w:t>TSRS kariškių pokalbių 1991 m. sausio 11 d. matyti, kad šaukiniu „Zenit-22“ kalbėjęs kariškis, kuris, vertinant minėtas išvadas ir visą bylos medžiagą, kaip ir kariškis naudojęsis šaukiniu „Granit-82“ (galimai V. K. 1 ar jo ryšininkas, apie ką dar bus plač</w:t>
      </w:r>
      <w:r w:rsidR="00B024B9" w:rsidRPr="000E2C88">
        <w:rPr>
          <w:rFonts w:eastAsia="Calibri"/>
        </w:rPr>
        <w:t>iau pasisakyta, analizuojant TV </w:t>
      </w:r>
      <w:r w:rsidRPr="000E2C88">
        <w:rPr>
          <w:rFonts w:eastAsia="Calibri"/>
        </w:rPr>
        <w:t xml:space="preserve">bokšto užėmimo aplinkybes), koordinavo kariškių veiksmus operacijos metu ir visi minėtais šaukiniais naudojęsi kariškiai, taip pat ir šaukiniu „Bronia-02 (galimai N. A. ar jo ryšininkas) naudojęsis kariškis, operacijos metu tarpusavyje nuolat bendravo (t. 486, b. l. 174-246). </w:t>
      </w:r>
      <w:r w:rsidRPr="000E2C88">
        <w:t>Išvadą, kad naudodamasis radijo ryšiu V. U. 1 kontaktavo su asmenimis, dalyvavusiais Spaudos rūmų užėmime, suponuoja ir teisiamajame posėdyje apklausto liudytojo A. Š. parodymai apie tai, kad V. U. 1 kabinete įvykių metu veikė radijo ryšys bei vadinamasis slaptasis „VČ“ ryšys ir V. U. 1 buvo dažnai skambinama ir jo teiraujamasi (t. 757, b. l. 123–127; t. 474, b. l. 198–208</w:t>
      </w:r>
      <w:r w:rsidRPr="00B024B9">
        <w:t>).</w:t>
      </w:r>
    </w:p>
    <w:p w:rsidR="00B024B9" w:rsidRPr="000E2C88" w:rsidRDefault="00DA38E9" w:rsidP="00B024B9">
      <w:pPr>
        <w:pStyle w:val="ListParagraph"/>
        <w:numPr>
          <w:ilvl w:val="0"/>
          <w:numId w:val="6"/>
        </w:numPr>
        <w:spacing w:before="120" w:after="120"/>
        <w:ind w:left="992" w:hanging="992"/>
        <w:contextualSpacing w:val="0"/>
      </w:pPr>
      <w:r w:rsidRPr="000E2C88">
        <w:t>Teisėjų kolegijai nekyla abejonių ir dėl to, kad TSRS GM 107-osios motorizuotų šaulių divizijos tankams, vykstant ir esant prie Spaudos rūmų, tiesiogiai vietoje vadovavo G. I., kuris užimant Spaudos rūmus buvo ir aukščiausio rango minėtos divizijos kariškis. Aplinkybę, kad nagrinėjamų įvykių metu G. I. buvo prie Spaudos rūmų, teisiamajame posėdyje patvirtino ir pats nuteistasis, nurodydamas, kad, užsilipęs ant vieno iš tankų, jis atvyko prie Spaudos rūmų. Visgi, nuteistojo teigimu, jis įvykiuose atsidūrė (buvo) atsitiktinai ir tik stebėjo įvykius bei Spaudos rūmų šturme nedalyvavo. Apeliacinės instancijos teismo teisėjų kolegija, įvertinusi byloje surinktus duomenis, ne tik atmeta tokią jo versiją kaip nelogišką ir neįtikinamą, bet ir kaip paneigtą byloje surinktais įrodymais</w:t>
      </w:r>
      <w:r w:rsidRPr="000E2C88">
        <w:rPr>
          <w:lang w:eastAsia="lt-LT"/>
        </w:rPr>
        <w:t xml:space="preserve">. </w:t>
      </w:r>
    </w:p>
    <w:p w:rsidR="00B024B9" w:rsidRPr="000E2C88" w:rsidRDefault="00DA38E9" w:rsidP="00B024B9">
      <w:pPr>
        <w:pStyle w:val="ListParagraph"/>
        <w:numPr>
          <w:ilvl w:val="0"/>
          <w:numId w:val="6"/>
        </w:numPr>
        <w:spacing w:before="120" w:after="120"/>
        <w:ind w:left="992" w:hanging="992"/>
        <w:contextualSpacing w:val="0"/>
      </w:pPr>
      <w:r w:rsidRPr="000E2C88">
        <w:t>Pirmiausia, teisėjų kolegija pažymi, kad G. I., kaip įvykių prie Spaudos rūmų dalyvį sėdėjusį ant tanko Nr. 571, iš nuotraukų ir vaizdo įrašų atpažino dar tyrimo metu apklausti liudytojai A. K. ir A. Š., kurie vėliau teisiamajame posėdyje patvirtino savo parodymus (t. 757, b. l. 91–95, 125–127). A. Š. nurodė, kad vaizdo įrašuose, kuriuose matyti prie Spaudos rūmų atvažiuojantys tankai, ant vieno iš tankų jis mato sėdintį savo viršininką G. I., o jam pateiktose nuotraukose mato G. I. sėdintį ant tanko, kurio borto Nr. 571. Šis liudytojas teisme patvirtino ir savo parodymus, duotus ikiteisminio tyrimo metu, kad įvykių metu G. I. turėjo automatą, kad G. I. buvo divizijos štabo karininkas ir jam, kaip aukšto lygio karininkui, galėjo būti pavesta vadovauti atitinkamai operacijai ar jos daliai – visiškai nesvarbu, kad jis buvo kitos tarnybos viršininkas, svarbu, kad jis buvo divizijos karininkas (t. 474, b. l. 205–206). Liudytojas A. K. apklausos metu jam parodytose iš Lietuvos valstybės naujojo archyvo gautose nuotraukose nurodė matąs ant tanko Nr. 571 jam tuo metu pavaldų raketų artilerijos ginkluotės tarnybai vadovavusį G. I.. Jį liudytojas atpažįstantis neabejotinai – tai vyriškis su ūsais ir kailine žiemine kepure, dėvintis aulinius karinius batus, į kuriuos sukištos kareiviškos kelnės (t. 474, b. l. 179)</w:t>
      </w:r>
      <w:r w:rsidRPr="000E2C88">
        <w:rPr>
          <w:lang w:eastAsia="lt-LT"/>
        </w:rPr>
        <w:t xml:space="preserve">. </w:t>
      </w:r>
    </w:p>
    <w:p w:rsidR="00B024B9" w:rsidRDefault="00DA38E9" w:rsidP="00B024B9">
      <w:pPr>
        <w:pStyle w:val="ListParagraph"/>
        <w:numPr>
          <w:ilvl w:val="0"/>
          <w:numId w:val="6"/>
        </w:numPr>
        <w:spacing w:before="120" w:after="120"/>
        <w:ind w:left="992" w:hanging="992"/>
        <w:contextualSpacing w:val="0"/>
      </w:pPr>
      <w:r w:rsidRPr="000E2C88">
        <w:t>Nuteistojo argumentus apie tai, kad jis tik atsitiktinai, dėl smalsumo ir pan. priežasčių atsidūrė ant tanko, kategoriškai paneigia jo faktinis elgesys būnant ant tanko. Teisiamajame posėdyje nukentėjusysis R. S. nurodė, kad kariškis, kuris sėdėjo ant tanko, šaudė, bandė provokuoti; šis asmuo nebuvo tankistas, jis nedėvėjo jokios apsaugos liemenės ar šalmo, tik lauko uniformos kepurę. Anot R. S., minėtas karininkas aiškiai turėjo papulkininkio laipsnį ir nuo tanko šaudė koviniais šoviniais (t. 758, b. l. 18–19). Be to, ir nukentėjusysis G. P. teisiamajame posėdyje patvirtino dar ikiteisminio tyrimo metu duotus parodymus apie tai, kad ant vieno iš tankų sėdintis apie 40 metų amžiaus karininkas vešliais ūsais peržvelgė minią susirinkusiųjų ir kažką pasakė į raciją, po ko pasigirdo tanko šūvis (t. 758, b. l. 13–14; t. 42, b. l. 202–204</w:t>
      </w:r>
      <w:r w:rsidRPr="00C00255">
        <w:rPr>
          <w:lang w:eastAsia="lt-LT"/>
        </w:rPr>
        <w:t xml:space="preserve">). </w:t>
      </w:r>
    </w:p>
    <w:p w:rsidR="00B024B9" w:rsidRDefault="00DA38E9" w:rsidP="00B024B9">
      <w:pPr>
        <w:pStyle w:val="ListParagraph"/>
        <w:numPr>
          <w:ilvl w:val="0"/>
          <w:numId w:val="6"/>
        </w:numPr>
        <w:spacing w:before="120" w:after="120"/>
        <w:ind w:left="992" w:hanging="992"/>
        <w:contextualSpacing w:val="0"/>
      </w:pPr>
      <w:r w:rsidRPr="000E2C88">
        <w:rPr>
          <w:lang w:eastAsia="lt-LT"/>
        </w:rPr>
        <w:t>Jau minėtos teisme apklaustų liudytojų bei nukentėjusiųjų nurodytos aplinkybės aiškiai rodo, kad nuteistasis G. I. ne tik buvo prie Spaudos rūmų (jį leidžiančius identifikuoti individualius požymius įvardijo skirtingi asmenys), bet ir aktyviai dalyvavo jų šturme. Liudytojų ir nukentėjusiųjų nurodytos aplinkybės apie šio asmens bendravimą radijo ryšio pagalba, automato turėjimą, šaudymą prie Spaudos rūmų ir pan., leidžia atmesti versiją apie tariamą G. I. atsitiktinį vaidmenį šiuose įvykiuose</w:t>
      </w:r>
      <w:r w:rsidRPr="00C00255">
        <w:rPr>
          <w:lang w:eastAsia="lt-LT"/>
        </w:rPr>
        <w:t>.</w:t>
      </w:r>
    </w:p>
    <w:p w:rsidR="00B024B9" w:rsidRPr="00B024B9" w:rsidRDefault="00DA38E9" w:rsidP="00B024B9">
      <w:pPr>
        <w:pStyle w:val="ListParagraph"/>
        <w:numPr>
          <w:ilvl w:val="0"/>
          <w:numId w:val="6"/>
        </w:numPr>
        <w:spacing w:before="120" w:after="120"/>
        <w:ind w:left="992" w:hanging="992"/>
        <w:contextualSpacing w:val="0"/>
      </w:pPr>
      <w:r w:rsidRPr="000E2C88">
        <w:t>Tiek pirmosios instancijos teisme, tiek apeliaciniame skunde nuteistasis savo poziciją, neigiant teismo išvadas dėl vadovavimo tankų ekipažams, grindė šiais esminiais argumentais: a) prie Spaudos rūmų jis buvo be šalmo su ausinėmis, o be jo vadovauti tankistų veiksmams neįmanoma; b) jo pareigos buvo susijusios su raketų įrenginių remontu ir ginkluotės papildymu, jis niekada nevairavo ir nevadovavo tankų ekipažams; c) bylos duomenys patvirtina, kad tankams vadovavo N. A.. Visgi, teisėjų kolegijos įsitikinimu, šie nuteistojo argumentai niekaip nepaneigia išvados apie faktinį jo vadovavimą tankams prie Spaudos rūmų. Tokią išvadą patvirtina ne tik jau aptarti liudytojų ir nukentėjusiųjų parodymai, bet ir 2014 m. birželio 10 d. specialisto išvada bei specialisto paaiškinimai teisiamajame posėdyje</w:t>
      </w:r>
      <w:r w:rsidRPr="00B024B9">
        <w:rPr>
          <w:szCs w:val="24"/>
          <w:lang w:eastAsia="lt-LT"/>
        </w:rPr>
        <w:t>.</w:t>
      </w:r>
    </w:p>
    <w:p w:rsidR="00B024B9" w:rsidRPr="00B024B9" w:rsidRDefault="00DA38E9" w:rsidP="00B024B9">
      <w:pPr>
        <w:pStyle w:val="ListParagraph"/>
        <w:numPr>
          <w:ilvl w:val="0"/>
          <w:numId w:val="6"/>
        </w:numPr>
        <w:spacing w:before="120" w:after="120"/>
        <w:ind w:left="992" w:hanging="992"/>
        <w:contextualSpacing w:val="0"/>
      </w:pPr>
      <w:r w:rsidRPr="00B024B9">
        <w:rPr>
          <w:szCs w:val="24"/>
          <w:lang w:eastAsia="lt-LT"/>
        </w:rPr>
        <w:t xml:space="preserve">Specialistas J. Andriškevičius konstatavo, kad „užimant Spaudos rūmus kartu su 107 mšd 106 tp tankais buvo šios divizijos štabo karininkas papulkininkis G. I., kuris dalyvavo Spaudos rūmų užėmimo operacijoje, bendravo su operacijai vadovaujančiais kariškiais. Jis pagal užimamas pareigas buvo aukštesnis iš operacijoje dalyvavusių 107 mšd kariškių. Nors iš bylos duomenų nėra aišku, kas iš 107 mšd 106 tp vadovavo tankų padaliniui operacijoje prie Spaudos rūmų, tačiau aukšto divizijos štabo karininko buvimas kartu su tankų ekipažais gali liudyti apie jo vadovaujamą vaidmenį operacijoje dalyvaujantiems tankistams“ (t. 480, b. l. 51). Be to, išvados dalyje „Bendros pastabos“ specialistas nurodė, kad „visa eilė karininkų, dalyvavusių užimant Spaudos rūmus, LRT ir TV bokštą, pagal etatų sąrašą neturėjo tiesiogiai pavaldžių kariškių, bet turėjo galimybę jiems vadovauti, pvz. &lt;...&gt; užimant Spaudos rūmus kartu su 107 mšd 106 tp tankais atvyko divizijos štabo karininkas papulkininkis G. I., kuris puolimo metu bendravo su operacijos dalyviais. Jis buvo aukštesnis pagal užimamas pareigas iš operacijoje dalyvavusių 107 mšd kariškių“ (t. 480, b. l. 98). </w:t>
      </w:r>
    </w:p>
    <w:p w:rsidR="00B024B9" w:rsidRPr="00B024B9" w:rsidRDefault="00DA38E9" w:rsidP="00B024B9">
      <w:pPr>
        <w:pStyle w:val="ListParagraph"/>
        <w:numPr>
          <w:ilvl w:val="0"/>
          <w:numId w:val="6"/>
        </w:numPr>
        <w:spacing w:before="120" w:after="120"/>
        <w:ind w:left="992" w:hanging="992"/>
        <w:contextualSpacing w:val="0"/>
      </w:pPr>
      <w:r w:rsidRPr="00B024B9">
        <w:rPr>
          <w:szCs w:val="24"/>
          <w:lang w:eastAsia="lt-LT"/>
        </w:rPr>
        <w:t xml:space="preserve">Teisiamajame posėdyje G. I. gynėja minėtą išvadą surašiusiam specialistui uždavė klausimus, susijusius su jos ginamojo vaidmeniu prie Spaudos rūmų (gynybos klausimai, kuriais siekta paneigti nuteistojo galimybę vadovauti tankams sėdint ant tanko, iš esmės yra tapatūs ir nuteistojo apeliacinio skundo argumentams). Visgi specialistas J. Andriškevičius visas iškeltas abejones įtikinamai paneigė ir, vadovaudamasis savo praktine patirtimi, konstatavo, kad taip būnant ant tanko ir bendraujant per tanko ekipažą, turintį ryšį su kitais tankais, galima vadovauti visiems tankams ir praktikoje tokių atvejų būna.  </w:t>
      </w:r>
    </w:p>
    <w:p w:rsidR="00B024B9" w:rsidRPr="00B024B9" w:rsidRDefault="00DA38E9" w:rsidP="00B024B9">
      <w:pPr>
        <w:pStyle w:val="ListParagraph"/>
        <w:numPr>
          <w:ilvl w:val="0"/>
          <w:numId w:val="6"/>
        </w:numPr>
        <w:spacing w:before="120" w:after="120"/>
        <w:ind w:left="992" w:hanging="992"/>
        <w:contextualSpacing w:val="0"/>
      </w:pPr>
      <w:r w:rsidRPr="00B024B9">
        <w:rPr>
          <w:szCs w:val="24"/>
          <w:lang w:eastAsia="lt-LT"/>
        </w:rPr>
        <w:t>Specialistas J. Andriškevičius, jam uždavus klausimą, kuo grindžiama išvada dėl G. I. vadovavimo jungtiniams tankų padaliniams, nurodė, kad tokią išvadą padarė spręsdamas iš pateiktų vaizdo įrašų ir nuotraukų, kuriose ginkluotas žmogus yra ant kovinio tanko, vyksta greta, veidas prie veido arba ausis prie ausies bendrauja su tanko ekipažo vadu, kuris turėjo radijo ryšį. Specialistas J. Andriškevičius teisiamajame posėdyje atsakydamas į patikslinamus kelių gynėjų klausimus itin detaliai ir vadovaudamasis savo praktine patirtimi kovinėse operacijose paaiškino, kad G. I. nebuvo būtina turėti specialių komunikacijos priemonių, pavyzdžiui, šalmo ir įrangos, kad jis galėtų vadovauti visiems tankams; patvirtino, kad ir pačiam specialistui yra tekę važiuoti ant tanko, kai ant tanko yra pėstininkai, o pačiam tanke – tanko ekipažo nariai, o vadas sėdintis ant tanko vadovavo ir tanko ekipažui, ir pėstininkams. Specialistas J. Andriškevičius nurodė, kad nagrinėjamu atveju tanko vadas buvo su tanko šalmu, kuris buvo atsegtas, todėl galėjo laisvai kalbėtis su asmeniu esančiu ant tanko ir tuo pačiu komunikuoti su visais kitais tankais. Tokiu atveju nėra jokio skirtumo ant kurio iš tankų buvo vadovaujantis asmuo, jis galėjo sėdėti ant bet kurio iš jų ir</w:t>
      </w:r>
      <w:r w:rsidR="00B024B9">
        <w:rPr>
          <w:szCs w:val="24"/>
          <w:lang w:eastAsia="lt-LT"/>
        </w:rPr>
        <w:t xml:space="preserve"> nebūtinai ant pirmojo (t. 761, b. </w:t>
      </w:r>
      <w:r w:rsidRPr="00B024B9">
        <w:rPr>
          <w:szCs w:val="24"/>
          <w:lang w:eastAsia="lt-LT"/>
        </w:rPr>
        <w:t>l. 58–67).</w:t>
      </w:r>
    </w:p>
    <w:p w:rsidR="00B024B9" w:rsidRPr="00B024B9" w:rsidRDefault="00DA38E9" w:rsidP="00B024B9">
      <w:pPr>
        <w:pStyle w:val="ListParagraph"/>
        <w:numPr>
          <w:ilvl w:val="0"/>
          <w:numId w:val="6"/>
        </w:numPr>
        <w:spacing w:before="120" w:after="120"/>
        <w:ind w:left="992" w:hanging="992"/>
        <w:contextualSpacing w:val="0"/>
      </w:pPr>
      <w:r w:rsidRPr="000E2C88">
        <w:t>Iš tokių paaiškinimų aiškiai matyti, kad išvadas apie vadovaujamą G. I. vaidmenį specialistas padarė iš visų jo byloje analizuotų vaizdinių ir kito pobūdžio (pvz., rašytinių) duomenų. Turėdama omenyje tokius specialisto paaiškinimus ir vertindama juos kitų byloje surinktų įrodymų kontekste, taip pat ir jau minėtų teisme apklaustų kariškių bei nukentėjusiųjų parodymus, teisėjų kolegija konstatuoja, kad pirmosios instancijos teismo išvada apie tai, jog TSRS GM 107-osios motorizuotų šaulių divizijos 106-ojo tankų pulko tankams šturmuojant Spaudos rūmus vadovavo būtent G. I., yra pagrįsta ir teisinga</w:t>
      </w:r>
      <w:r w:rsidRPr="00B024B9">
        <w:rPr>
          <w:szCs w:val="24"/>
          <w:lang w:eastAsia="lt-LT" w:bidi="lt-LT"/>
        </w:rPr>
        <w:t xml:space="preserve">.  </w:t>
      </w:r>
    </w:p>
    <w:p w:rsidR="00DA38E9" w:rsidRPr="00C00255" w:rsidRDefault="00DA38E9" w:rsidP="00DA38E9">
      <w:pPr>
        <w:pStyle w:val="Heading3"/>
        <w:spacing w:before="120" w:after="120"/>
        <w:ind w:left="993"/>
        <w:jc w:val="both"/>
        <w:rPr>
          <w:b w:val="0"/>
          <w:i/>
          <w:sz w:val="24"/>
          <w:szCs w:val="24"/>
          <w:lang w:val="lt-LT"/>
        </w:rPr>
      </w:pPr>
      <w:bookmarkStart w:id="271" w:name="_Toc67677388"/>
      <w:bookmarkStart w:id="272" w:name="_Toc67985516"/>
      <w:r w:rsidRPr="00C00255">
        <w:rPr>
          <w:b w:val="0"/>
          <w:i/>
          <w:sz w:val="24"/>
          <w:szCs w:val="24"/>
          <w:lang w:val="lt-LT"/>
        </w:rPr>
        <w:t>Dėl kitų skundžiamu nuosprendžiu nustatytų faktinių aplinkybių, susijusių su Spaudos rūmų užėmimu, pagrįstumo</w:t>
      </w:r>
      <w:bookmarkEnd w:id="271"/>
      <w:bookmarkEnd w:id="272"/>
      <w:r w:rsidRPr="00C00255">
        <w:rPr>
          <w:b w:val="0"/>
          <w:i/>
          <w:sz w:val="24"/>
          <w:szCs w:val="24"/>
          <w:lang w:val="lt-LT"/>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 xml:space="preserve">Teisėjų kolegija neturi pagrindo abejoti teismo išvadomis apie Spaudos rūmų užėmimo operacijos eigą ir joje tiesiogiai dalyvavusius oro desanto kariškius iš TSRS GM </w:t>
      </w:r>
      <w:r w:rsidRPr="000E2C88">
        <w:rPr>
          <w:bCs/>
          <w:iCs/>
          <w:szCs w:val="24"/>
        </w:rPr>
        <w:t xml:space="preserve">76-osios oro desanto divizijos (viso apie 200, kuriems vadovavo V. K. 1) ir TSRS GM 107-osios motorizuotų šaulių divizijos kariškius (viso 13, t. y. po tris ekipažo narius iš 4 tankų, ir jiems vadovavusį G. I.). Iš bylos medžiagos, ištirtų įrodymų ir teismo išvadų matyti, kad nei ikiteisminio tyrimo metu, nei teisme nebuvo galimybės nustatyti visiškai tikslios operacijoje dalyvavusių </w:t>
      </w:r>
      <w:r w:rsidRPr="000E2C88">
        <w:rPr>
          <w:szCs w:val="24"/>
          <w:lang w:eastAsia="lt-LT"/>
        </w:rPr>
        <w:t xml:space="preserve">TSRS GM </w:t>
      </w:r>
      <w:r w:rsidRPr="000E2C88">
        <w:rPr>
          <w:bCs/>
          <w:iCs/>
          <w:szCs w:val="24"/>
        </w:rPr>
        <w:t xml:space="preserve">Pskovo 76-osios oro desanto divizijos kariškių sudėties, todėl pirmosios instancijos teismas, vadovaudamasis specialisto J. Andriškevičiaus išvada ir byloje ištirtų įrodymų visuma, pagrįstai įvardijo neapibrėžtą kariškių skaičių – apie 200. Iš to akivaizdu, kad teismo nuosprendyje minima „TSRS </w:t>
      </w:r>
      <w:r w:rsidRPr="000E2C88">
        <w:rPr>
          <w:szCs w:val="24"/>
          <w:lang w:eastAsia="lt-LT"/>
        </w:rPr>
        <w:t xml:space="preserve">GM </w:t>
      </w:r>
      <w:r w:rsidRPr="000E2C88">
        <w:rPr>
          <w:bCs/>
          <w:iCs/>
          <w:szCs w:val="24"/>
        </w:rPr>
        <w:t>Pskovo 76-osios oro desanto divizijos 237-ojo pulko kariškių grupė“ byloje taip pat nėra tiksliai nustatyta</w:t>
      </w:r>
      <w:r w:rsidRPr="00C00255">
        <w:rPr>
          <w:bCs/>
          <w:iCs/>
          <w:szCs w:val="24"/>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Teisėjų kolegija neturi pagrindo abejoti ir išvada, kad prie Spaudos rūmų buvę TSRS GM 76-osios oro desanto divizijos 234-ojo ir 237-ojo pulkų kariškiai, gavę operacijai vadovavusio </w:t>
      </w:r>
      <w:r>
        <w:rPr>
          <w:szCs w:val="24"/>
          <w:lang w:eastAsia="lt-LT"/>
        </w:rPr>
        <w:t>V. K. 1</w:t>
      </w:r>
      <w:r w:rsidRPr="00C00255">
        <w:rPr>
          <w:szCs w:val="24"/>
          <w:lang w:eastAsia="lt-LT"/>
        </w:rPr>
        <w:t xml:space="preserve"> įsakymą, būdami ginkluoti ankščiau minėtais ginklais ir šaudydami iš automatų AKS-74 ir AKS-74U tuščiais bei koviniais 5,45 mm kalibro šoviniais</w:t>
      </w:r>
      <w:r w:rsidRPr="00C00255">
        <w:rPr>
          <w:color w:val="FF0000"/>
          <w:szCs w:val="24"/>
          <w:lang w:eastAsia="lt-LT"/>
        </w:rPr>
        <w:t xml:space="preserve"> </w:t>
      </w:r>
      <w:r w:rsidRPr="00C00255">
        <w:rPr>
          <w:szCs w:val="24"/>
          <w:lang w:eastAsia="lt-LT"/>
        </w:rPr>
        <w:t xml:space="preserve">bei panaudodami artimos kovos veiksmus (stumdydami, smūgiuodami kumščiais ir kojomis, suduodami ginklais nenustatytą skaičių smūgių įvairias kūno dalis), taip baugindami bei terorizuodami, atstūmė civilius nuo Spaudos rūmų pastato. Byloje yra pakankamai duomenų apie tai, kad kariškiai prie šio objekto naudojo minėtus ginklus, susidūrė su civiliais, o galiausiai ir užėmė minėtą objektą, nepaisant civilių pasipriešinimo jį ginant.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Teisėjų kolegija, analizuodama nuteistojo </w:t>
      </w:r>
      <w:r>
        <w:rPr>
          <w:szCs w:val="24"/>
          <w:lang w:eastAsia="lt-LT"/>
        </w:rPr>
        <w:t>V. K. 1</w:t>
      </w:r>
      <w:r w:rsidRPr="00C00255">
        <w:rPr>
          <w:szCs w:val="24"/>
          <w:lang w:eastAsia="lt-LT"/>
        </w:rPr>
        <w:t xml:space="preserve"> veiksmus, jau pasisakė apie naudotus kovinius šovinius ir 5,45 mm kalibro šovinius. Teisėjų kolegijai nekyla jokių abejonių, kad </w:t>
      </w:r>
      <w:r w:rsidRPr="00C00255">
        <w:rPr>
          <w:lang w:eastAsia="lt-LT"/>
        </w:rPr>
        <w:t>tokius pačius kovinius šovinius, taip pat ir 5,45 mm kalibro, prie Spaudos rūmų naudojo ir kiti kariškiai, nes tą patvirtina objektyvūs duomenys, vaizdo įrašai</w:t>
      </w:r>
      <w:r w:rsidRPr="00C00255" w:rsidDel="00F7043B">
        <w:rPr>
          <w:lang w:eastAsia="lt-LT"/>
        </w:rPr>
        <w:t xml:space="preserve"> </w:t>
      </w:r>
      <w:r w:rsidRPr="00C00255">
        <w:rPr>
          <w:lang w:eastAsia="lt-LT"/>
        </w:rPr>
        <w:t>ir liudytojų bei nukentėjusiųjų parodymai apie likusias kulkų žymes ant Spaudos rūmų sienų ir kt. 2014 m. birželio 10 d. specialisto išvadoje, be kita ko, nurodyta, kad TSRS GM 76-osios oro desanto divizijos kariškiams įvykių metu buvo išduotas didelis kiekis 5,45 mm kalibro šovinių (vien 237-ajam šios divizijos pulkui 19 440 vnt. šio kalibro šovinių) ir šie kariškiai naudojo šio kalibro (tiek kovinius, tiek imitacinius) šovinius prie Spaudos rūmų (t. 480, b. l. 40, 47, 51–52). Liudytojas G. J</w:t>
      </w:r>
      <w:r>
        <w:rPr>
          <w:lang w:eastAsia="lt-LT"/>
        </w:rPr>
        <w:t>.</w:t>
      </w:r>
      <w:r w:rsidRPr="00C00255">
        <w:rPr>
          <w:lang w:eastAsia="lt-LT"/>
        </w:rPr>
        <w:t xml:space="preserve">, kuris yra Lietuvos kariuomenės karininkas ir nagrinėjamų įvykių metu buvo tiek prie Spaudos rūmų, tiek prie TV bokšto, nurodė, kad jo matyta </w:t>
      </w:r>
      <w:r w:rsidRPr="00C00255">
        <w:rPr>
          <w:color w:val="000000"/>
        </w:rPr>
        <w:t>didžioji dauguma kariškių buvo ginkluoti 5,45 mm kalibro AKS-74 automatais (t. 760, b. l. 7–9; t. 470,</w:t>
      </w:r>
      <w:r>
        <w:rPr>
          <w:color w:val="000000"/>
        </w:rPr>
        <w:t xml:space="preserve"> </w:t>
      </w:r>
      <w:r w:rsidRPr="00C00255">
        <w:rPr>
          <w:color w:val="000000"/>
        </w:rPr>
        <w:t>b.</w:t>
      </w:r>
      <w:r>
        <w:rPr>
          <w:color w:val="000000"/>
        </w:rPr>
        <w:t> </w:t>
      </w:r>
      <w:r w:rsidRPr="00C00255">
        <w:rPr>
          <w:color w:val="000000"/>
        </w:rPr>
        <w:t>l.</w:t>
      </w:r>
      <w:r>
        <w:rPr>
          <w:color w:val="000000"/>
        </w:rPr>
        <w:t> </w:t>
      </w:r>
      <w:r w:rsidRPr="00C00255">
        <w:rPr>
          <w:color w:val="000000"/>
        </w:rPr>
        <w:t xml:space="preserve">130–131). Šios aplinkybės byloje nekelia abejonių, todėl teisėjų kolegija plačiau daugelio kitų įrodymų neanalizuoja, o dėl apeliacinių skundų argumentų apie minėtų šovinių naudojimo draudimą tarptautinėje teisėje pasisakys atskiroje sprendimo dalyje, kvalifikuojant byloje nustatytas faktines aplinkybes.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Atitinkamai pasitvirtino ir pirmosios instancijos teismo nuosprendžio išvada, kad atakos prie Spaudos rūmų metu dalyvavusių kariškių veiksmais buvo nesunkiai sutrikdyta 31 civilio sveikata, o nežymų sveikatos sutrikdymą patyrė 24 civiliai. Tokią išvadą teisėjų kolegija daro, vadovaudamasi byloje esančiais objektyviais įrodymais apie šių asmenų patirtus sužalojimus (specialistų išvados, ekspertizės aktai ir pan.). Atsižvelgdama į tai, kad byloje esminio ginčo dėl šių aplinkybių nėra, teisėjų kolegija šiame sprendime plačiau to neanalizuos.</w:t>
      </w:r>
    </w:p>
    <w:p w:rsidR="00DA38E9" w:rsidRPr="00C00255" w:rsidRDefault="00DA38E9" w:rsidP="00DA38E9">
      <w:pPr>
        <w:pStyle w:val="Heading3"/>
        <w:spacing w:before="120" w:after="120"/>
        <w:ind w:left="632" w:firstLine="360"/>
        <w:jc w:val="left"/>
        <w:rPr>
          <w:rFonts w:eastAsiaTheme="majorEastAsia"/>
          <w:b w:val="0"/>
          <w:i/>
          <w:sz w:val="24"/>
          <w:szCs w:val="24"/>
          <w:lang w:val="lt-LT" w:bidi="lt-LT"/>
        </w:rPr>
      </w:pPr>
      <w:bookmarkStart w:id="273" w:name="_Toc66697316"/>
      <w:bookmarkStart w:id="274" w:name="_Toc67677389"/>
      <w:bookmarkStart w:id="275" w:name="_Toc67985517"/>
      <w:bookmarkStart w:id="276" w:name="_Hlk67922552"/>
      <w:r w:rsidRPr="00C00255">
        <w:rPr>
          <w:rStyle w:val="Heading3Char"/>
          <w:rFonts w:eastAsiaTheme="majorEastAsia"/>
          <w:bCs/>
          <w:i/>
          <w:sz w:val="24"/>
          <w:szCs w:val="24"/>
          <w:lang w:val="lt-LT"/>
        </w:rPr>
        <w:t>Apibendrinančios išvados dėl faktinių aplinkybių, susijusių su Spaudos rūmų užėmimu</w:t>
      </w:r>
      <w:bookmarkEnd w:id="273"/>
      <w:bookmarkEnd w:id="274"/>
      <w:bookmarkEnd w:id="275"/>
    </w:p>
    <w:bookmarkEnd w:id="276"/>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Teisėjų kolegija, apibendrindama nurodytus motyvus, konstatuoja, kad iš esmės Vilniaus apygardos teismo 2019 m. kovo 27 d. nuosprendyje įrodytomis pripažintos ir teismo nuosprendžio nustatomojoje dalyje nurodytos faktinės aplinkybės dėl Spaudos rūmų užėmimo pasitvirtino kaip pagrįstos ir teisingos. Visgi teisėjų kolegija sutiko su dalies apeliantų argumentais ir nustatė pirmosios instancijos teismo nuosprendyje esančius netikslumus ir prieštaravimus:</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color w:val="000000"/>
          <w:szCs w:val="24"/>
          <w:lang w:eastAsia="lt-LT" w:bidi="lt-LT"/>
        </w:rPr>
        <w:t xml:space="preserve">Skundžiamo nuosprendžio nustatomojoje ir motyvuojamoje dalyse nepagrįstai nurodyta apie šioje byloje neinkriminuotas aplinkybes dėl nuteistųjų dalyvavimo užimant skundžiamo nuosprendžio 135–136 lapuose nurodytus pastatus (dėl nuteistojo </w:t>
      </w:r>
      <w:r>
        <w:rPr>
          <w:color w:val="000000"/>
          <w:szCs w:val="24"/>
          <w:lang w:eastAsia="lt-LT" w:bidi="lt-LT"/>
        </w:rPr>
        <w:t>V. U. 1</w:t>
      </w:r>
      <w:r w:rsidRPr="00C00255">
        <w:rPr>
          <w:color w:val="000000"/>
          <w:szCs w:val="24"/>
          <w:lang w:eastAsia="lt-LT" w:bidi="lt-LT"/>
        </w:rPr>
        <w:t xml:space="preserve"> dalyvavimo užimant Krašto apsaugos departamento administracinį pastatą, esantį Viršuliškių g. 36, Vilniuje; dėl nuteistųjų </w:t>
      </w:r>
      <w:r>
        <w:rPr>
          <w:color w:val="000000"/>
          <w:szCs w:val="24"/>
          <w:lang w:eastAsia="lt-LT" w:bidi="lt-LT"/>
        </w:rPr>
        <w:t>A. Ž.</w:t>
      </w:r>
      <w:r w:rsidRPr="00C00255">
        <w:rPr>
          <w:color w:val="000000"/>
          <w:szCs w:val="24"/>
          <w:lang w:eastAsia="lt-LT" w:bidi="lt-LT"/>
        </w:rPr>
        <w:t xml:space="preserve">, </w:t>
      </w:r>
      <w:r>
        <w:rPr>
          <w:color w:val="000000"/>
          <w:szCs w:val="24"/>
          <w:lang w:eastAsia="lt-LT" w:bidi="lt-LT"/>
        </w:rPr>
        <w:t>S. F.</w:t>
      </w:r>
      <w:r w:rsidRPr="00C00255">
        <w:rPr>
          <w:color w:val="000000"/>
          <w:szCs w:val="24"/>
          <w:lang w:eastAsia="lt-LT" w:bidi="lt-LT"/>
        </w:rPr>
        <w:t xml:space="preserve">, </w:t>
      </w:r>
      <w:r>
        <w:rPr>
          <w:color w:val="000000"/>
          <w:szCs w:val="24"/>
          <w:lang w:eastAsia="lt-LT" w:bidi="lt-LT"/>
        </w:rPr>
        <w:t>O. M.</w:t>
      </w:r>
      <w:r w:rsidRPr="00C00255">
        <w:rPr>
          <w:color w:val="000000"/>
          <w:szCs w:val="24"/>
          <w:lang w:eastAsia="lt-LT" w:bidi="lt-LT"/>
        </w:rPr>
        <w:t xml:space="preserve"> ir </w:t>
      </w:r>
      <w:r>
        <w:rPr>
          <w:color w:val="000000"/>
          <w:szCs w:val="24"/>
          <w:lang w:eastAsia="lt-LT" w:bidi="lt-LT"/>
        </w:rPr>
        <w:t>M. C.</w:t>
      </w:r>
      <w:r w:rsidRPr="00C00255">
        <w:rPr>
          <w:color w:val="000000"/>
          <w:szCs w:val="24"/>
          <w:lang w:eastAsia="lt-LT" w:bidi="lt-LT"/>
        </w:rPr>
        <w:t xml:space="preserve"> dalyvavimo užimant Lietuvos medžiotojų ir žvejų draugijos sandėlį; dėl nuteistojo </w:t>
      </w:r>
      <w:r>
        <w:rPr>
          <w:color w:val="000000"/>
          <w:szCs w:val="24"/>
          <w:lang w:eastAsia="lt-LT" w:bidi="lt-LT"/>
        </w:rPr>
        <w:t>V. K. 1</w:t>
      </w:r>
      <w:r w:rsidRPr="00C00255">
        <w:rPr>
          <w:color w:val="000000"/>
          <w:szCs w:val="24"/>
          <w:lang w:eastAsia="lt-LT" w:bidi="lt-LT"/>
        </w:rPr>
        <w:t xml:space="preserve"> dalyvavimo užimant Policijos akademijos, OMON-o bazę, Nemenčinės ryšių mazgo ir radijo retransliacijų centrą ir Lietuvos medžiotojų ir žvejų draugijos sandėlį; dėl nuteistųjų </w:t>
      </w:r>
      <w:r>
        <w:rPr>
          <w:color w:val="000000"/>
          <w:szCs w:val="24"/>
          <w:lang w:eastAsia="lt-LT" w:bidi="lt-LT"/>
        </w:rPr>
        <w:t>G. G.</w:t>
      </w:r>
      <w:r w:rsidRPr="00C00255">
        <w:rPr>
          <w:color w:val="000000"/>
          <w:szCs w:val="24"/>
          <w:lang w:eastAsia="lt-LT" w:bidi="lt-LT"/>
        </w:rPr>
        <w:t xml:space="preserve"> ir </w:t>
      </w:r>
      <w:r>
        <w:rPr>
          <w:color w:val="000000"/>
          <w:szCs w:val="24"/>
          <w:lang w:eastAsia="lt-LT" w:bidi="lt-LT"/>
        </w:rPr>
        <w:t>S. K.</w:t>
      </w:r>
      <w:r w:rsidRPr="00C00255">
        <w:rPr>
          <w:color w:val="000000"/>
          <w:szCs w:val="24"/>
          <w:lang w:eastAsia="lt-LT" w:bidi="lt-LT"/>
        </w:rPr>
        <w:t xml:space="preserve"> dalyvavimo užimant Policijos akademijos pastatą; dėl nuteistojo </w:t>
      </w:r>
      <w:r>
        <w:rPr>
          <w:color w:val="000000"/>
          <w:szCs w:val="24"/>
          <w:lang w:eastAsia="lt-LT" w:bidi="lt-LT"/>
        </w:rPr>
        <w:t>A. N. 1</w:t>
      </w:r>
      <w:r w:rsidRPr="00C00255">
        <w:rPr>
          <w:color w:val="000000"/>
          <w:szCs w:val="24"/>
          <w:lang w:eastAsia="lt-LT" w:bidi="lt-LT"/>
        </w:rPr>
        <w:t xml:space="preserve"> dalyvavimo užimant Prienų rajono prokuratūros ir kt. patalpas, esančias Kauno g. 2, Prienuose (</w:t>
      </w:r>
      <w:r w:rsidRPr="00C00255">
        <w:rPr>
          <w:szCs w:val="24"/>
          <w:lang w:eastAsia="lt-LT"/>
        </w:rPr>
        <w:t>plačiau šio sprendimo 217–221 pastraipose)</w:t>
      </w:r>
      <w:r w:rsidRPr="00C00255">
        <w:rPr>
          <w:color w:val="000000"/>
          <w:szCs w:val="24"/>
          <w:lang w:eastAsia="lt-LT" w:bidi="lt-LT"/>
        </w:rPr>
        <w:t xml:space="preserve">. Nagrinėjamoje byloje pirmosios instancijos teismas dėl šių aplinkybių nesprendė, todėl visos šios išvados iš nuosprendžio šalinamos. </w:t>
      </w:r>
    </w:p>
    <w:p w:rsidR="00DA38E9" w:rsidRPr="000E2C88" w:rsidRDefault="00DA38E9" w:rsidP="00DA38E9">
      <w:pPr>
        <w:pStyle w:val="ListParagraph"/>
        <w:numPr>
          <w:ilvl w:val="1"/>
          <w:numId w:val="6"/>
        </w:numPr>
        <w:spacing w:before="120" w:after="240"/>
        <w:ind w:left="992" w:hanging="992"/>
        <w:contextualSpacing w:val="0"/>
        <w:rPr>
          <w:color w:val="000000"/>
          <w:szCs w:val="24"/>
          <w:lang w:eastAsia="lt-LT" w:bidi="lt-LT"/>
        </w:rPr>
      </w:pPr>
      <w:r w:rsidRPr="000E2C88">
        <w:rPr>
          <w:color w:val="000000"/>
          <w:szCs w:val="24"/>
          <w:lang w:eastAsia="lt-LT" w:bidi="lt-LT"/>
        </w:rPr>
        <w:t>Skundžiamo nuosprendžio motyvuojamoje dalyje</w:t>
      </w:r>
      <w:r w:rsidRPr="000E2C88">
        <w:t xml:space="preserve"> išdėstytos teismo išvados apie nuteistųjų </w:t>
      </w:r>
      <w:r w:rsidRPr="000E2C88">
        <w:rPr>
          <w:szCs w:val="24"/>
          <w:lang w:eastAsia="lt-LT"/>
        </w:rPr>
        <w:t xml:space="preserve">S. K., A. I., </w:t>
      </w:r>
      <w:bookmarkStart w:id="277" w:name="_Hlk67485178"/>
      <w:r w:rsidRPr="000E2C88">
        <w:rPr>
          <w:szCs w:val="24"/>
          <w:lang w:eastAsia="lt-LT"/>
        </w:rPr>
        <w:t>G. G.,</w:t>
      </w:r>
      <w:bookmarkEnd w:id="277"/>
      <w:r w:rsidRPr="000E2C88">
        <w:rPr>
          <w:szCs w:val="24"/>
          <w:lang w:eastAsia="lt-LT"/>
        </w:rPr>
        <w:t xml:space="preserve"> A. S., S. V., A. K. 1 </w:t>
      </w:r>
      <w:r w:rsidRPr="000E2C88">
        <w:rPr>
          <w:lang w:eastAsia="lt-LT"/>
        </w:rPr>
        <w:t>bei tanko Nr. 513</w:t>
      </w:r>
      <w:r w:rsidRPr="000E2C88">
        <w:rPr>
          <w:szCs w:val="24"/>
          <w:lang w:eastAsia="lt-LT"/>
        </w:rPr>
        <w:t xml:space="preserve"> </w:t>
      </w:r>
      <w:bookmarkStart w:id="278" w:name="_Hlk67485191"/>
      <w:r w:rsidRPr="000E2C88">
        <w:t xml:space="preserve">dalyvavimą užimant </w:t>
      </w:r>
      <w:bookmarkEnd w:id="278"/>
      <w:r w:rsidRPr="000E2C88">
        <w:t xml:space="preserve">Spaudos rūmus (plačiau žr. šio sprendimo poskyrius dėl minėtų nuteistųjų dalyvavimo užimant Spaudos rūmus), taip pat apie nuteistojo </w:t>
      </w:r>
      <w:r w:rsidRPr="000E2C88">
        <w:rPr>
          <w:szCs w:val="24"/>
          <w:lang w:eastAsia="lt-LT"/>
        </w:rPr>
        <w:t xml:space="preserve">V. P. vadovavimą tankų kolonai prie Spaudos rūmų (plačiau šio sprendimo 291 pastraipoje), prieštarauja teismo nuosprendžio nustatomajam daliai, </w:t>
      </w:r>
      <w:r w:rsidRPr="000E2C88">
        <w:t xml:space="preserve">neatitinka byloje nustatytų faktinių aplinkybių ir yra neteisingos, todėl teismas jomis nesivadovauja ir iš pirmosios instancijos teismo nuosprendžio šalina. </w:t>
      </w:r>
    </w:p>
    <w:p w:rsidR="00DA38E9" w:rsidRPr="00C00255" w:rsidRDefault="00DA38E9" w:rsidP="00DA38E9">
      <w:pPr>
        <w:pStyle w:val="Heading2"/>
        <w:ind w:firstLine="992"/>
        <w:jc w:val="center"/>
        <w:rPr>
          <w:b w:val="0"/>
        </w:rPr>
      </w:pPr>
      <w:r w:rsidRPr="00C00255">
        <w:rPr>
          <w:rStyle w:val="Heading3Char"/>
          <w:rFonts w:eastAsiaTheme="majorEastAsia"/>
          <w:b/>
          <w:iCs/>
          <w:sz w:val="24"/>
          <w:szCs w:val="24"/>
          <w:lang w:val="lt-LT"/>
        </w:rPr>
        <w:t>D. DĖL LIETUVOS RADIJO IR TELEVIZIJOS CENTRO</w:t>
      </w:r>
      <w:bookmarkStart w:id="279" w:name="_Toc67480778"/>
      <w:bookmarkEnd w:id="249"/>
      <w:r w:rsidR="00B024B9">
        <w:rPr>
          <w:rStyle w:val="Heading3Char"/>
          <w:rFonts w:eastAsiaTheme="majorEastAsia"/>
          <w:b/>
          <w:iCs/>
          <w:sz w:val="24"/>
          <w:szCs w:val="24"/>
          <w:lang w:val="lt-LT"/>
        </w:rPr>
        <w:t> (TV BOKŠTO) </w:t>
      </w:r>
      <w:r w:rsidRPr="00C00255">
        <w:rPr>
          <w:rStyle w:val="Heading3Char"/>
          <w:rFonts w:eastAsiaTheme="majorEastAsia"/>
          <w:b/>
          <w:iCs/>
          <w:sz w:val="24"/>
          <w:szCs w:val="24"/>
          <w:lang w:val="lt-LT"/>
        </w:rPr>
        <w:t>UŽĖMIMO</w:t>
      </w:r>
      <w:bookmarkEnd w:id="250"/>
      <w:bookmarkEnd w:id="251"/>
      <w:bookmarkEnd w:id="279"/>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t>Vilniaus apygardos teismo 2019 m. kovo 27 d. nuosprendžio dalyje „</w:t>
      </w:r>
      <w:r w:rsidRPr="000E2C88">
        <w:rPr>
          <w:rFonts w:eastAsia="Calibri"/>
          <w:i/>
        </w:rPr>
        <w:t>Lietuvos radijo ir televizijos centro (TV bokšto) užgrobimas</w:t>
      </w:r>
      <w:r w:rsidRPr="000E2C88">
        <w:t>“ konstatuota, kad įgyvendinant operacijos planavimo grupės ir vadovavimo štabo parengtą planą, TSRS karinės operacijos metu 1991 m. sausio 12–13 d. naktį buvo užgrobtas Lietuvos radijo ir televizijos centras, o šios operacijos metu buvo nužudyti 12 civilių bei itin didelis skaičius civilių – viso 561 – patyrė kitokius sveikatos sužalojimus (</w:t>
      </w:r>
      <w:r w:rsidRPr="000E2C88">
        <w:rPr>
          <w:rFonts w:eastAsia="Calibri"/>
        </w:rPr>
        <w:t>žr. nuosprendžio 212–221 l., t. 770, b. l. 12–21)</w:t>
      </w:r>
      <w:r w:rsidRPr="00C00255">
        <w:rPr>
          <w:color w:val="000000"/>
          <w:szCs w:val="24"/>
          <w:lang w:eastAsia="lt-LT" w:bidi="lt-LT"/>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color w:val="000000"/>
          <w:szCs w:val="24"/>
          <w:lang w:eastAsia="lt-LT" w:bidi="lt-LT"/>
        </w:rPr>
        <w:t xml:space="preserve">Dalis byloje nagrinėjamų TV bokšto užėmimo faktinių aplinkybių yra nustatytos teismų sprendimais, priimtais jau minėtoje </w:t>
      </w:r>
      <w:r w:rsidRPr="000E2C88">
        <w:rPr>
          <w:bCs/>
          <w:szCs w:val="24"/>
        </w:rPr>
        <w:t>M. B., J. K. ir kt. byloje (t. </w:t>
      </w:r>
      <w:r w:rsidRPr="000E2C88">
        <w:rPr>
          <w:szCs w:val="24"/>
        </w:rPr>
        <w:t>386, b. l. 115–171;</w:t>
      </w:r>
      <w:r w:rsidRPr="000E2C88">
        <w:rPr>
          <w:bCs/>
          <w:szCs w:val="24"/>
        </w:rPr>
        <w:t xml:space="preserve"> t. 387, b. l. 328–379). </w:t>
      </w:r>
      <w:r w:rsidRPr="000E2C88">
        <w:rPr>
          <w:szCs w:val="24"/>
          <w:lang w:eastAsia="lt-LT"/>
        </w:rPr>
        <w:t>Vilniaus apygardos teismo 1999 m. rugpjūčio 23 d. nuosprendžiu baudžiamojoje byloje Nr. 1-2/1999 nustatyta</w:t>
      </w:r>
      <w:r w:rsidRPr="000E2C88">
        <w:rPr>
          <w:color w:val="000000"/>
          <w:szCs w:val="24"/>
          <w:lang w:eastAsia="lt-LT" w:bidi="lt-LT"/>
        </w:rPr>
        <w:t xml:space="preserve">, kad būtent TSRS kariškiai aptariamu laiku užgrobė TV bokštą bei prie šio objekto nužudė 12 asmenų (L. A., V. D., D. G., </w:t>
      </w:r>
      <w:bookmarkStart w:id="280" w:name="_Hlk68172345"/>
      <w:r w:rsidRPr="000E2C88">
        <w:rPr>
          <w:color w:val="000000"/>
          <w:szCs w:val="24"/>
          <w:lang w:eastAsia="lt-LT" w:bidi="lt-LT"/>
        </w:rPr>
        <w:t>R. J.</w:t>
      </w:r>
      <w:bookmarkEnd w:id="280"/>
      <w:r w:rsidRPr="000E2C88">
        <w:rPr>
          <w:color w:val="000000"/>
          <w:szCs w:val="24"/>
          <w:lang w:eastAsia="lt-LT" w:bidi="lt-LT"/>
        </w:rPr>
        <w:t xml:space="preserve">, R. J., A. K., V. K., V. M., T. M., A. J.  P., I. Š. ir V. J. V.) bei kartu su draugovininkais kitaip sužalojo itin didelį skaičių civilių. Pažymėtina, kad minėtu nuosprendžiu nustatyta ne tik kaip prie TV bokšto buvo nužudyti asmenys, tačiau pagal padarytų sužalojimų rūšis ir pobūdį išskirtos kitokias traumas patyrusių civilių grupės: išskirti asmenys, patyrę tyčinius sunkius kūno sužalojimus, tyčinius apysunkius kūno sužalojimus (šautines žaizdas, muštines bei akustines, taip pat ir nuo tankų šūvių, patirtas traumas), tyčinius lengvus kūno sužalojimus (šautines žaizdas, skeveldrines, muštines ir akustines, taip pat ir nuo tankų šūvių, patirtas traumas) </w:t>
      </w:r>
      <w:r w:rsidRPr="000E2C88">
        <w:rPr>
          <w:szCs w:val="24"/>
          <w:lang w:eastAsia="lt-LT"/>
        </w:rPr>
        <w:t>(t. 379, b. l. 7–11)</w:t>
      </w:r>
      <w:r w:rsidRPr="000E2C88">
        <w:rPr>
          <w:color w:val="000000"/>
          <w:szCs w:val="24"/>
          <w:lang w:eastAsia="lt-LT" w:bidi="lt-LT"/>
        </w:rPr>
        <w:t xml:space="preserve">. Taigi konstatuotina, kad civilių nužudymo ir jų sveikatos sutrikdymo faktas prie TV bokšto yra nustatytas </w:t>
      </w:r>
      <w:r w:rsidRPr="000E2C88">
        <w:rPr>
          <w:szCs w:val="24"/>
          <w:lang w:eastAsia="lt-LT"/>
        </w:rPr>
        <w:t xml:space="preserve">įsiteisėjusiu ir </w:t>
      </w:r>
      <w:r w:rsidRPr="000E2C88">
        <w:rPr>
          <w:i/>
          <w:szCs w:val="24"/>
          <w:lang w:eastAsia="lt-LT"/>
        </w:rPr>
        <w:t xml:space="preserve">res judicata </w:t>
      </w:r>
      <w:r w:rsidRPr="000E2C88">
        <w:rPr>
          <w:szCs w:val="24"/>
          <w:lang w:eastAsia="lt-LT"/>
        </w:rPr>
        <w:t>galią turinčiu teismo sprendimu kitoje byloje. Dėl šios priežasties teisėjų kolegijai nekelia abejonių asmenų nužudymo ir sužalojimo prie TV bokšto faktas, juolab, kad daugelis šių nustatytų aplinkybių apeliacine tvarka nėra ginčijamos</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 xml:space="preserve">Visgi, minėtame Vilniaus apygardos teismo nuosprendyje baudžiamojoje byloje Nr. 1-2/1999 </w:t>
      </w:r>
      <w:r w:rsidRPr="000E2C88">
        <w:rPr>
          <w:rFonts w:eastAsia="Calibri"/>
        </w:rPr>
        <w:t>nebuvo išskirti konkretūs šio objekto šturme dalyvavę TSRS kariškiai. Šiame nuosprendyje, be kita ko, konstatuota, kad operaciją prie TV bokšto vykdė TSRS kariškiai, kuriems padėjo draugovininkai, o taip pat, jog asmenys prie TV bokšto dėl tankų šūvių patyrė akustines traumas (tai rodo ir teismo išvadas apie nustatytą tankų dalyvavimą) (t. 379, b. l. 7–9)). Taigi teismas minėtoje byloje tiesiogiai neįvardijo konkrečių TSRS karinių dalinių ar tuo labiau konkrečių kariškių, kurie dalyvavo užimant TV bokštą</w:t>
      </w:r>
      <w:r w:rsidRPr="00B024B9">
        <w:rPr>
          <w:rFonts w:eastAsia="Calibri"/>
        </w:rPr>
        <w:t>.</w:t>
      </w:r>
      <w:r w:rsidRPr="00C00255">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E2C88">
        <w:rPr>
          <w:rFonts w:eastAsia="Calibri"/>
        </w:rPr>
        <w:t>Nagrinėjamoje byloje sprendžiamas konkrečių TSRS kariškių atsakomybės klausimas, todėl skundžiamame Vilniaus apygardos teismo 2019 m. kovo 27 d. nuosprendyje buvo išskirti ne tik konkretūs kariniai daliniai, bet ir konkretūs kariškiai, kurie dalyvavo šiuose įvykiuose.</w:t>
      </w:r>
      <w:r w:rsidRPr="000E2C88">
        <w:rPr>
          <w:rFonts w:eastAsia="Calibri"/>
          <w:szCs w:val="24"/>
        </w:rPr>
        <w:t xml:space="preserve"> </w:t>
      </w:r>
      <w:r w:rsidRPr="000E2C88">
        <w:rPr>
          <w:szCs w:val="24"/>
          <w:lang w:eastAsia="lt-LT"/>
        </w:rPr>
        <w:t xml:space="preserve">Pagal byloje nustatytas aplinkybes užimant TV bokštą dalyvavo </w:t>
      </w:r>
      <w:r w:rsidRPr="000E2C88">
        <w:rPr>
          <w:rFonts w:eastAsia="Calibri"/>
          <w:szCs w:val="24"/>
        </w:rPr>
        <w:t xml:space="preserve">TSRS GM ir VSK kariškiai, taip pat nenustatyti kariškiai ir draugovininkai. </w:t>
      </w:r>
      <w:r w:rsidRPr="000E2C88">
        <w:rPr>
          <w:rFonts w:eastAsia="Calibri"/>
        </w:rPr>
        <w:t>Taigi, priešingai nei užimant Spaudos rūmus, be TSRS GM Oro desanto ir Sausumos pajėgų, dalyvavo ir TSRS VSK kariškiai bei draugovininkai (TSRS VRM kariškių dalyvavimas užimant TV bokštą byloje nebuvo inkriminuojamas ir nebuvo nustatytas)</w:t>
      </w:r>
      <w:r w:rsidRPr="00B024B9">
        <w:rPr>
          <w:rFonts w:eastAsia="Calibri"/>
        </w:rPr>
        <w:t>.</w:t>
      </w:r>
      <w:r w:rsidRPr="00C00255">
        <w:rPr>
          <w:rFonts w:eastAsia="Calibri"/>
          <w:szCs w:val="24"/>
        </w:rPr>
        <w:t xml:space="preserve"> </w:t>
      </w:r>
    </w:p>
    <w:p w:rsidR="00DA38E9" w:rsidRPr="00B024B9" w:rsidRDefault="00DA38E9" w:rsidP="00DA38E9">
      <w:pPr>
        <w:pStyle w:val="ListParagraph"/>
        <w:numPr>
          <w:ilvl w:val="1"/>
          <w:numId w:val="6"/>
        </w:numPr>
        <w:spacing w:before="120" w:after="120"/>
        <w:ind w:left="992" w:hanging="992"/>
        <w:contextualSpacing w:val="0"/>
      </w:pPr>
      <w:r w:rsidRPr="000E2C88">
        <w:rPr>
          <w:rFonts w:eastAsia="Calibri"/>
        </w:rPr>
        <w:t>Skundžiamame pirmosios instancijos teismo nuosprendyje nustatyta, kad užimant TV bokštą</w:t>
      </w:r>
      <w:r w:rsidRPr="000E2C88">
        <w:t xml:space="preserve"> dalyvavo: </w:t>
      </w:r>
      <w:r w:rsidRPr="000E2C88">
        <w:rPr>
          <w:rFonts w:eastAsia="Calibri"/>
        </w:rPr>
        <w:t xml:space="preserve">165 kariškiai iš TSRS GM Oro desanto pajėgų 76-osios oro desanto divizijos; 29 kariškiai iš </w:t>
      </w:r>
      <w:bookmarkStart w:id="281" w:name="_Hlk67521018"/>
      <w:r w:rsidRPr="000E2C88">
        <w:rPr>
          <w:rFonts w:eastAsia="Calibri"/>
        </w:rPr>
        <w:t xml:space="preserve">TSRS VSK </w:t>
      </w:r>
      <w:bookmarkEnd w:id="281"/>
      <w:r w:rsidRPr="000E2C88">
        <w:rPr>
          <w:rFonts w:eastAsia="Calibri"/>
        </w:rPr>
        <w:t xml:space="preserve">grupės „A“; 12 kariškių iš </w:t>
      </w:r>
      <w:bookmarkStart w:id="282" w:name="_Hlk67522504"/>
      <w:r w:rsidRPr="000E2C88">
        <w:rPr>
          <w:rFonts w:eastAsia="Calibri"/>
        </w:rPr>
        <w:t>TSRS GM</w:t>
      </w:r>
      <w:bookmarkEnd w:id="282"/>
      <w:r w:rsidRPr="000E2C88">
        <w:rPr>
          <w:rFonts w:eastAsia="Calibri"/>
          <w:szCs w:val="24"/>
        </w:rPr>
        <w:t xml:space="preserve"> </w:t>
      </w:r>
      <w:r w:rsidRPr="000E2C88">
        <w:t xml:space="preserve">Sausumos pajėgų Pabaltijo karinės apygardos </w:t>
      </w:r>
      <w:r w:rsidRPr="000E2C88">
        <w:rPr>
          <w:rFonts w:eastAsia="Calibri"/>
        </w:rPr>
        <w:t>107-osios motorizuotų šaulių divizijos 106-ojo tankų pulko ir tiksliai nenustatytas skaičius kariškių iš šios divizijos 77-ojo motorizuotų šaulių pulko; taip pat</w:t>
      </w:r>
      <w:r w:rsidRPr="000E2C88">
        <w:t xml:space="preserve"> draugovininkai; nenustatyti kariškiai (</w:t>
      </w:r>
      <w:r w:rsidRPr="000E2C88">
        <w:rPr>
          <w:rFonts w:eastAsia="Calibri"/>
        </w:rPr>
        <w:t>nuosprendžio 212–217 l., t. 770, b. l. 12–17</w:t>
      </w:r>
      <w:r w:rsidRPr="00B024B9">
        <w:rPr>
          <w:rFonts w:eastAsia="Calibri"/>
        </w:rPr>
        <w:t>)</w:t>
      </w:r>
      <w:r w:rsidRPr="00B024B9">
        <w:t>.</w:t>
      </w:r>
    </w:p>
    <w:p w:rsidR="00DA38E9" w:rsidRPr="00B024B9" w:rsidRDefault="00DA38E9" w:rsidP="00DA38E9">
      <w:pPr>
        <w:pStyle w:val="ListParagraph"/>
        <w:numPr>
          <w:ilvl w:val="1"/>
          <w:numId w:val="6"/>
        </w:numPr>
        <w:spacing w:before="120" w:after="120"/>
        <w:ind w:left="992" w:hanging="992"/>
        <w:contextualSpacing w:val="0"/>
      </w:pPr>
      <w:r w:rsidRPr="000E2C88">
        <w:t>Pirmosios instancijos teismas nustatė, kad</w:t>
      </w:r>
      <w:r w:rsidRPr="000E2C88">
        <w:rPr>
          <w:szCs w:val="24"/>
          <w:lang w:eastAsia="lt-LT"/>
        </w:rPr>
        <w:t xml:space="preserve"> </w:t>
      </w:r>
      <w:r w:rsidRPr="000E2C88">
        <w:rPr>
          <w:rFonts w:eastAsia="Calibri"/>
        </w:rPr>
        <w:t xml:space="preserve">karinės atakos prie TV bokšto metu kariškiams tiesiogiai vadovavo ir jų veiksmus koordinavo TSRS GM 76-osios oro desanto divizijos 234-ojo pulko 3-iojo bataliono vadas nuteistasis V. S. 2 kartu su TSRS GM 76-osios oro desanto divizijos 234-ojo pulko vadu I. K. (ikiteisminis tyrimas nutrauktas), kuris savo veiksmus ryšio priemonėmis tiesiogiai derino su vadovavimo štabe buvusiu TSRS GM 76-osios oro desanto divizijos vado pavaduotoju nuteistuoju </w:t>
      </w:r>
      <w:bookmarkStart w:id="283" w:name="_Hlk68168906"/>
      <w:r w:rsidRPr="000E2C88">
        <w:rPr>
          <w:rFonts w:eastAsia="Calibri"/>
        </w:rPr>
        <w:t>V. K. 1</w:t>
      </w:r>
      <w:bookmarkEnd w:id="283"/>
      <w:r w:rsidRPr="00B024B9">
        <w:rPr>
          <w:rFonts w:eastAsia="Calibri"/>
        </w:rPr>
        <w:t xml:space="preserve">. </w:t>
      </w:r>
    </w:p>
    <w:p w:rsidR="00DA38E9" w:rsidRPr="00C00255" w:rsidRDefault="00DA38E9" w:rsidP="00DA38E9">
      <w:pPr>
        <w:pStyle w:val="ListParagraph"/>
        <w:numPr>
          <w:ilvl w:val="1"/>
          <w:numId w:val="6"/>
        </w:numPr>
        <w:spacing w:before="120" w:after="120"/>
        <w:ind w:left="992" w:hanging="992"/>
        <w:contextualSpacing w:val="0"/>
        <w:rPr>
          <w:color w:val="000000"/>
          <w:szCs w:val="24"/>
          <w:lang w:eastAsia="lt-LT" w:bidi="lt-LT"/>
        </w:rPr>
      </w:pPr>
      <w:r w:rsidRPr="000E2C88">
        <w:rPr>
          <w:rFonts w:eastAsia="Calibri"/>
        </w:rPr>
        <w:t xml:space="preserve">Skundžiamo </w:t>
      </w:r>
      <w:r w:rsidRPr="000E2C88">
        <w:t>nuosprendžio nustatomojoje dalyje kaip tiesiogiai užimant TV bokštą dalyvavę kariškiai įvardinti šie nuteistieji: V. S. 2, V. D., S. K., A. G. 2, V. K. 2, E. M., A. L., A. Z. (</w:t>
      </w:r>
      <w:r w:rsidRPr="000E2C88">
        <w:rPr>
          <w:rFonts w:eastAsia="Calibri"/>
        </w:rPr>
        <w:t xml:space="preserve">TSRS GM Oro desanto pajėgų 76-osios oro desanto divizijos kariškiai), </w:t>
      </w:r>
      <w:r w:rsidRPr="000E2C88">
        <w:t>N. A., O. A., V. S. 4, S. V., A. K. 1, V. Š. 3, A. G. 1, J. M., D. B. (</w:t>
      </w:r>
      <w:r w:rsidRPr="000E2C88">
        <w:rPr>
          <w:rFonts w:eastAsia="Calibri"/>
        </w:rPr>
        <w:t xml:space="preserve">TSRS GM </w:t>
      </w:r>
      <w:r w:rsidRPr="000E2C88">
        <w:t xml:space="preserve">Sausumos pajėgų Pabaltijo karinės apygardos </w:t>
      </w:r>
      <w:r w:rsidRPr="000E2C88">
        <w:rPr>
          <w:rFonts w:eastAsia="Calibri"/>
        </w:rPr>
        <w:t xml:space="preserve">107-osios motorizuotų šaulių divizijos 106-ojo tankų pulko kariškiai) ir </w:t>
      </w:r>
      <w:r w:rsidRPr="000E2C88">
        <w:t>M. G. (TSRS VSK grupės „A“ viršininko pavaduotojas). Taip pat nurodyta, kad tiesiogiai užimant TV bokštą dalyvavusių kariškių veiksmai ryšio priemonėmis buvo derinami su vadovavimo štabe buvusiu nuteistuoju V. K. 1 (</w:t>
      </w:r>
      <w:r w:rsidRPr="000E2C88">
        <w:rPr>
          <w:rFonts w:eastAsia="Calibri"/>
        </w:rPr>
        <w:t>nuosprendžio 212–221 l.; t. 770, b. l. 12–21</w:t>
      </w:r>
      <w:r w:rsidRPr="00B024B9">
        <w:rPr>
          <w:rFonts w:eastAsia="Calibri"/>
        </w:rPr>
        <w:t>).</w:t>
      </w:r>
      <w:r w:rsidRPr="00C00255">
        <w:rPr>
          <w:szCs w:val="24"/>
          <w:lang w:eastAsia="lt-LT"/>
        </w:rPr>
        <w:t xml:space="preserve"> </w:t>
      </w:r>
    </w:p>
    <w:p w:rsidR="00DA38E9" w:rsidRPr="00B024B9" w:rsidRDefault="00DA38E9" w:rsidP="00DA38E9">
      <w:pPr>
        <w:pStyle w:val="ListParagraph"/>
        <w:numPr>
          <w:ilvl w:val="0"/>
          <w:numId w:val="6"/>
        </w:numPr>
        <w:spacing w:before="120" w:after="120"/>
        <w:ind w:left="992" w:hanging="992"/>
        <w:contextualSpacing w:val="0"/>
      </w:pPr>
      <w:r w:rsidRPr="000E2C88">
        <w:t xml:space="preserve">Atskirose Vilniaus apygardos teismo 2019 m. kovo 27 d. nuosprendžio dalyse taip pat nurodyta ir apie kai kurių kitų nuteistųjų dalyvavimą užimant TV bokštą. Pavyzdžiui, nurodoma apie draugovininkams vadovavusį nuteistąjį R. J. 1 (LKP/TSKP CK Politinio-teisinio skyriaus konsultantas), TSRS GM Sausumos pajėgų kariškiams vadovavusį ir jų veiksmus koordinavusį V. U. 1 (žr. nuosprendžio 112–113, 874, 885 l.; </w:t>
      </w:r>
      <w:r w:rsidRPr="000E2C88">
        <w:rPr>
          <w:rFonts w:eastAsia="Calibri"/>
        </w:rPr>
        <w:t>t. 769, b. l. 112–113,</w:t>
      </w:r>
      <w:r w:rsidRPr="000E2C88">
        <w:t xml:space="preserve"> t. 773, b. l. 74, 85). </w:t>
      </w:r>
      <w:r w:rsidRPr="000E2C88">
        <w:rPr>
          <w:rFonts w:eastAsia="Calibri"/>
        </w:rPr>
        <w:t>Atsižvelgdama į visa tai bei į byloje pateiktų apeliacinių skundų argumentus, teisėjų kolegija vertins ir pasisakys dėl visų nagrinėjamuose įvykiuose užimant TV bokštą dalyvavusių TSRS karinių dalinių ir jiems priklausiusių kariškių, taip pat kitų byloje kaltintų asmenų vaidmenį užimant TV bokštą. Šioje dalyje teisėjų kolegija taip pat pasisakys dėl konkrečių apeliaciniais skundais ginčijamų faktinių TV bokšto užėmimo aplinkybių, susijusių su atskirų asmenų nužudymais, kitais sveikatos sutrikdymais ir pan</w:t>
      </w:r>
      <w:r w:rsidRPr="00B024B9">
        <w:rPr>
          <w:rFonts w:eastAsia="Calibri"/>
        </w:rPr>
        <w:t xml:space="preserve">. </w:t>
      </w:r>
    </w:p>
    <w:p w:rsidR="00DA38E9" w:rsidRPr="00C00255" w:rsidRDefault="00DA38E9" w:rsidP="00DA38E9">
      <w:pPr>
        <w:pStyle w:val="ListParagraph"/>
        <w:numPr>
          <w:ilvl w:val="0"/>
          <w:numId w:val="6"/>
        </w:numPr>
        <w:spacing w:before="120" w:after="120"/>
        <w:ind w:left="992" w:hanging="992"/>
        <w:contextualSpacing w:val="0"/>
        <w:rPr>
          <w:szCs w:val="24"/>
        </w:rPr>
      </w:pPr>
      <w:r w:rsidRPr="000E2C88">
        <w:rPr>
          <w:rFonts w:eastAsia="Calibri"/>
        </w:rPr>
        <w:t xml:space="preserve">Prieš aptariant atskirų karinių dalinių vaidmenį ir byloje nuteistiesiems inkriminuotas aplinkybes, teisėjų kolegija pažymi, kad pagal bylos medžiagą, byloje pateiktą specialisto J. Andriškevičiaus išvadą ir teismo nustatytas aplinkybes visa TV bokšto užėmimo operacija buvo suplanuota taip: operacijoje dalyvaujančius karinius vienetus ir jų veiksmus </w:t>
      </w:r>
      <w:r w:rsidRPr="000E2C88">
        <w:t>buvo suplanuota padalinti į nukreipiančiuosius ir puolančiuosius. Nukreipiančiaisiais karinės technikos ir kariškių veiksmais, demonstruojant jėgą ir ginkluotę, nuo TV bokšto prieigų turėjo būti atitraukti civiliai, o puolantieji padaliniai turėjo tankais pralaužti ir pravalyti privažiavimą prie TV bokšto. Operacijoje dalyvavę TSRS GM Oro ir Sausumos pajėgų kariškiai, pasinaudodami šarvuotos technikos bei savo veiksmais, turėjo nustumti civilius žmones nuo TV bokšto ir VSK grupės ,,A“ kariškiams padaryti praėjimą patekimui į TV bokšto vidų. VSK grupės ,,A“ kariškiai kartu su kitais kariškiais turėjo blokuoti visus įėjimus į TV bokštą ir administracinį pastatą, nutraukti televizijos transliavimo darbus, nušalinti TV bokšte dirbusius darbuotojus ir pašalinti civilius iš pastatų bei jų prieigų</w:t>
      </w:r>
      <w:r w:rsidRPr="00B024B9">
        <w:t xml:space="preserve">. </w:t>
      </w:r>
    </w:p>
    <w:p w:rsidR="00DA38E9" w:rsidRPr="00C00255" w:rsidRDefault="00DA38E9" w:rsidP="00DA38E9">
      <w:pPr>
        <w:pStyle w:val="Heading3"/>
        <w:spacing w:before="120" w:after="120"/>
        <w:ind w:left="992"/>
        <w:jc w:val="both"/>
        <w:rPr>
          <w:b w:val="0"/>
          <w:i/>
          <w:sz w:val="24"/>
          <w:szCs w:val="24"/>
          <w:lang w:val="lt-LT"/>
        </w:rPr>
      </w:pPr>
      <w:bookmarkStart w:id="284" w:name="_Toc67480779"/>
      <w:bookmarkStart w:id="285" w:name="_Toc67677391"/>
      <w:bookmarkStart w:id="286" w:name="_Toc67985519"/>
      <w:r w:rsidRPr="00C00255">
        <w:rPr>
          <w:b w:val="0"/>
          <w:i/>
          <w:sz w:val="24"/>
          <w:szCs w:val="24"/>
          <w:lang w:val="lt-LT"/>
        </w:rPr>
        <w:t xml:space="preserve">Dėl TSRS GM </w:t>
      </w:r>
      <w:r w:rsidRPr="00C00255">
        <w:rPr>
          <w:b w:val="0"/>
          <w:bCs/>
          <w:i/>
          <w:sz w:val="24"/>
          <w:szCs w:val="24"/>
          <w:lang w:val="lt-LT"/>
        </w:rPr>
        <w:t>107-osios motorizuotų šaulių divizijos</w:t>
      </w:r>
      <w:r w:rsidRPr="00C00255">
        <w:rPr>
          <w:b w:val="0"/>
          <w:i/>
          <w:sz w:val="24"/>
          <w:szCs w:val="24"/>
          <w:lang w:val="lt-LT"/>
        </w:rPr>
        <w:t xml:space="preserve"> kariškių ir joje tarnavusių nuteistųjų dalyvavimo užimant TV bokštą</w:t>
      </w:r>
      <w:bookmarkEnd w:id="284"/>
      <w:bookmarkEnd w:id="285"/>
      <w:bookmarkEnd w:id="286"/>
    </w:p>
    <w:p w:rsidR="00DA38E9" w:rsidRPr="00B024B9" w:rsidRDefault="00DA38E9" w:rsidP="00B024B9">
      <w:pPr>
        <w:pStyle w:val="ListParagraph"/>
        <w:numPr>
          <w:ilvl w:val="0"/>
          <w:numId w:val="6"/>
        </w:numPr>
        <w:spacing w:before="120" w:after="120"/>
        <w:ind w:left="992" w:hanging="992"/>
        <w:contextualSpacing w:val="0"/>
        <w:rPr>
          <w:color w:val="000000"/>
          <w:szCs w:val="24"/>
          <w:lang w:eastAsia="lt-LT" w:bidi="lt-LT"/>
        </w:rPr>
      </w:pPr>
      <w:r w:rsidRPr="000E2C88">
        <w:rPr>
          <w:lang w:eastAsia="lt-LT"/>
        </w:rPr>
        <w:t xml:space="preserve">Pirmosios instancijos teismas, vadovaudamasis byloje surinktais įrodymais, be kita ko, konstatavo tokius TSRS GM Sausumos pajėgų </w:t>
      </w:r>
      <w:r w:rsidRPr="000E2C88">
        <w:rPr>
          <w:szCs w:val="24"/>
          <w:lang w:eastAsia="lt-LT"/>
        </w:rPr>
        <w:t xml:space="preserve">Pabaltijo karinės apygardos 107-osios motorizuotų šaulių divizijos </w:t>
      </w:r>
      <w:r w:rsidRPr="000E2C88">
        <w:rPr>
          <w:lang w:eastAsia="lt-LT"/>
        </w:rPr>
        <w:t>kariškių veiksmus užimant TV bokštą</w:t>
      </w:r>
      <w:r w:rsidRPr="00C00255">
        <w:rPr>
          <w:lang w:eastAsia="lt-LT"/>
        </w:rPr>
        <w:t>:</w:t>
      </w:r>
    </w:p>
    <w:p w:rsidR="00DA38E9" w:rsidRPr="00B024B9" w:rsidRDefault="00DA38E9" w:rsidP="00DA38E9">
      <w:pPr>
        <w:pStyle w:val="ListParagraph"/>
        <w:numPr>
          <w:ilvl w:val="1"/>
          <w:numId w:val="6"/>
        </w:numPr>
        <w:spacing w:before="120" w:after="120"/>
        <w:ind w:left="993" w:hanging="993"/>
        <w:contextualSpacing w:val="0"/>
      </w:pPr>
      <w:r w:rsidRPr="00C00255">
        <w:rPr>
          <w:rFonts w:eastAsia="Calibri"/>
          <w:szCs w:val="24"/>
        </w:rPr>
        <w:t>„</w:t>
      </w:r>
      <w:r w:rsidRPr="000E2C88">
        <w:rPr>
          <w:rFonts w:eastAsia="Calibri"/>
        </w:rPr>
        <w:t xml:space="preserve">1991 m. sausio 13 d., apie 1.30 val. TSRS GM </w:t>
      </w:r>
      <w:r w:rsidRPr="000E2C88">
        <w:t>Sausumos pajėgų 107-osios motorizuotų šaulių divizijos</w:t>
      </w:r>
      <w:r w:rsidRPr="000E2C88">
        <w:rPr>
          <w:rFonts w:eastAsia="Calibri"/>
        </w:rPr>
        <w:t xml:space="preserve"> 77-o motorizuotų šaulių pulko kariškiai prie TV bokšto atvyko iš priešingos, nei numatytas puolimas, pusės tankais T-72, priešlėktuvinės gynybos sistema ŠILKA (ZSU 23-4) ir ne mažiau kaip penkiais BTR, vieno iš jų borto numeris 2</w:t>
      </w:r>
      <w:r w:rsidR="000E2C88">
        <w:rPr>
          <w:rFonts w:eastAsia="Calibri"/>
        </w:rPr>
        <w:t>01. Atvykę Žvaigždžių (dabar L. </w:t>
      </w:r>
      <w:r w:rsidRPr="000E2C88">
        <w:rPr>
          <w:rFonts w:eastAsia="Calibri"/>
        </w:rPr>
        <w:t>Asanavičiūtės) gatve ir sustoję prie tilto, esančio Sudervės (dabar Sausio 13-osios g. ir V. M. g.) bei Žvaigždžių (dabar L. Asanavičiūtės) gatvių sankryžoje, turėjo nukreipti susirinkusių civilių dėmesį nuo Sudervės gatve (dabar Sausio 13-osios g.) atvykstančios kitos draudžiamoje karo atakoje dalyvausiančios TSRS kariškių kolonos</w:t>
      </w:r>
      <w:r w:rsidRPr="00B024B9">
        <w:rPr>
          <w:rFonts w:eastAsia="Calibri"/>
        </w:rPr>
        <w:t>.</w:t>
      </w:r>
    </w:p>
    <w:p w:rsidR="00DA38E9" w:rsidRPr="00C00255" w:rsidRDefault="00DA38E9" w:rsidP="00DA38E9">
      <w:pPr>
        <w:pStyle w:val="ListParagraph"/>
        <w:numPr>
          <w:ilvl w:val="1"/>
          <w:numId w:val="6"/>
        </w:numPr>
        <w:spacing w:before="120" w:after="120"/>
        <w:ind w:left="993" w:hanging="993"/>
        <w:contextualSpacing w:val="0"/>
      </w:pPr>
      <w:r w:rsidRPr="00C00255">
        <w:rPr>
          <w:rFonts w:eastAsia="Calibri"/>
          <w:szCs w:val="24"/>
        </w:rPr>
        <w:t xml:space="preserve">&lt;...&gt; </w:t>
      </w:r>
      <w:r w:rsidRPr="00B024B9">
        <w:rPr>
          <w:rFonts w:eastAsia="Calibri"/>
        </w:rPr>
        <w:t>Trys 107-osios motorizuotų šaulių divizijos 77-ojo motorizuotų šaulių pulko, civilių dėmesį nukreipiančiosios kolonos tankai T-72, kurių borto Nr. 220, 221 ir 223, draudžiamos karo atakos metu šaudė iš tankų pabūklų tuščiais užtaisais, skleidė dūmines užsklandas, karinės technikos žibintais apšvietė civilius, pavojingai manevruojant važinėjo Sudervės gatve ir šalino civilius bei esančias užtvaras. Priešlėktuvinės gynybos sistema ŠILKA šaudė – 23 mm kalibro šoviniais TV bokšto pusėn.</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Kai civiliai bėgo į nukreipiančiosios karinės technikos kolonos pusę, apie 2 val. iš kitos pusės Sudervės gatve atvyko puolančioji kolona, kuriai vadovavo kaltinamasis V. S. 2. Puolančiąją koloną sudarė 107-osios motorizuotų šaulių divizijos 106-o tankų pulko keturi tankai T-72, kurių borto Nr. 502, 513, 541 ir 544, 76-osios oro desanto divizijos jungtinio pulko 17 BMD, kurių borto Nr. 281, 295, 283, 284, 286, 289, 291, 292, 294, 296, 242, 243, 246, 247, 248, 258 ir 259, viena BMD KŠM, kurios borto Nr. 600, du automobiliai URAL, skirti kariams pervežti, kurių vieno k/n 23-04 OF, du automobiliai ZIL-131, kurių vieno k/n 23-30 OF ir kuris buvo skirtas techniniam aptarnavimui, viena BTR-D, kurios borto Nr. 670, ir nenustatytam kariniam daliniui priklausanti patruliavimo mašina – BRDM</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Keturi puolančiosios kolonos tankai su 12-a kariškių iš 106-o tankų pulko prie TV bokšto atvyko iš Sudervės g. pusės, šalino kelyje buvusias užtvaras, keliose vietose išgriovė TV bokšto teritoriją juosiančią tvorą ir padarė kelią iš paskos važiuojančiai karinės technikos kolonai, šaudė iš tankų pabūklų tuščiais užtaisais, skleidė dūmines užsklandas, apšvietė karinės technikos žibintais civilius, pavojingai manevruodami važinėjo TV bokšto teritorijoje šalino civilius iš teritorijos ir TV bokšto prieigų</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Kolonos vadas kaltinamasis V. S. 2, gavęs informaciją iš kolonos priekyje BMD 281 važiuojančio kaltinamojo V. D. apie tai, kad kolonos kelyje yra užtvarų iš transporto priemonių, tankų pulko vadui kaltinamajam N. A. nurodė jas pašalinti. Kaltinamojo N. A. nurodymu, jo vadovaujamas tankas, borto Nr. 502, kurio ekipaže buvo taikytojas kaltinamasis O. A. ir mechanikas-vairuotojas kaltinamasis V. S. 4, kartu su kaltinamojo S. V. vadovaujamo tanko, kurio borto Nr. 513, ekipažu: taikytojas I. B. (baudžiamoji byla nutraukta) ir mechanikas-vairuotojas kaltinamasis A. K. 1, šalino kliūtis ir sukėlė pavojų civilių gyvybei ir sveikatai</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Vienas iš užtvaras šalinusių tankų, stumdamas nuo pravažiavimo smėlio barstytuvą ZIL-130 KDM, kurio v/n 29-04 LIČ (raidės rusiškos), prie jo prispaudė A. P. K., kuris dėl nuo visumos traumų galvoje, kūne ir galūnėse bei daugybės skeleto kaulų lūžių ir traumų sukelto šoko komplikacijos, galvos smegenų, plaučių pabrinkimo ir vidinės kraujosruvos mirė, t. y. nukentėjusįjį tyčia nužudė</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Kaltinamojo N. A. vadovaujamam tankui Nr. 502, kurio ekipaže buvo kaltinamieji O. A. bei V. S. 4 bei kaltinamojo S. V. vadovaujamo tanko Nr. 513 ekipažui, kurio vairuotojas-mechanikas buvo kaltinamasis A. K. 1, pašalinus užtvaras, šie tankai bei už jų važiavęs kaltinamojo V. Š. 3 vadovaujamas tankas Nr. 541, kurio taikytojas A. G. 1, mechanikas-vairuotojas V. P. (baudžiamasis persekiojimas už nusikaltimus žmoniškumui ir karo nusikaltimus nevykdomas), TV bokšto rytų pusėje išlaužė tvorą ir pavojingai manevruodami, įvažiavo į bokšto teritoriją, kurioje buvo puolamą objektą gynusi daugiatūkstantinė civilių minia. Tankų Nr. 513 ir 541 ekipažai ne mažiau kaip po du kartus iššovė iš pabūklų tuščiais užtaisais, leido dūmines užsklandas, karinės technikos šviesos prietaisais švietė į civilius ir šturmuojamą objektą bei aplink esančius pastatus, taip civilius baugindami bei terorizuodami</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Kaltinamojo N. A. vadovaujamas tankas Nr. 502, pavojingai manevruodamas pro civilių minią, juos baugindamas bei terorizuodamas, ne mažiau kaip 1 kartą iššovė iš pabūklo tuščiu užtaisu pietinėje TV bokšto pusėje, korpusu išdaužė TV bokšto pastato pirmajame aukšte esančios konferencijų salės langus ir toliau pavojingai manevruodamas šalia puolamo objekto užvažiavo ant L. A., dėl ko pastaroji nuo stipraus dubens ir kojų suspaudimo, sulaužant dubens kaulus ir daugybiniai sužalojant dubens-pilvo apatinės dalies bei kojų minkštuosius audinius, sukėlus labai didelį nukraujavimą iš suplėšytų dubens audinių ir nekompensuojamą trauminį šoką, mirė, t. y. nukentėjusioji buvo tyčia nužudyta</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 xml:space="preserve">Tuo pačiu metu kaltinamojo N. A. vadovaujamas tankas Nr. 502 užvažiavo ir ant </w:t>
      </w:r>
      <w:bookmarkStart w:id="287" w:name="_Hlk68174023"/>
      <w:r w:rsidRPr="00B024B9">
        <w:rPr>
          <w:rFonts w:eastAsia="Calibri"/>
        </w:rPr>
        <w:t>L. T. (Š.)</w:t>
      </w:r>
      <w:bookmarkEnd w:id="287"/>
      <w:r w:rsidRPr="00B024B9">
        <w:rPr>
          <w:rFonts w:eastAsia="Calibri"/>
        </w:rPr>
        <w:t xml:space="preserve">, A. M. P. ir A. S., dėl ko pastariesiems buvo padaryti tyčiniai sunkūs sveikatos sutrikdymai: L. T. (Š.) – atviras dešinio šlaunikaulio lūžimas, traiškytos dešinės šlaunies ir dešinės blauzdos žaizdos, kairės šlaunies ir kairės blauzdos minkštų audinių suspaudimas; </w:t>
      </w:r>
      <w:bookmarkStart w:id="288" w:name="_Hlk68174140"/>
      <w:r w:rsidRPr="00B024B9">
        <w:rPr>
          <w:rFonts w:eastAsia="Calibri"/>
        </w:rPr>
        <w:t>A. M. P.</w:t>
      </w:r>
      <w:bookmarkEnd w:id="288"/>
      <w:r w:rsidRPr="00B024B9">
        <w:rPr>
          <w:rFonts w:eastAsia="Calibri"/>
        </w:rPr>
        <w:t xml:space="preserve"> – plėštinės žaizdos kairėje blauzdoje su skeveldriniu atviru blauzdikaulio ir dvigubu atviru šeivikaulio lūžiais ir plačios daugybinės poodinės kraujosruvos dešinėje blauzdoje ir šlaunyje, A. S. – daugybinės plėštinės-traiškytos žaizdos abiejų kojų blauzdose su atvirais kairio blauzdikaulio ir šeivikaulio vamzdinių dalių bei uždaru dešinio šeivikaulio viršutinio galo lūžiais</w:t>
      </w:r>
      <w:r w:rsidRPr="00C00255">
        <w:rPr>
          <w:rFonts w:eastAsia="Calibri"/>
          <w:szCs w:val="24"/>
        </w:rPr>
        <w:t>.</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Atsitraukus nuo puolamo objekto iš tanko buvo leidžiamos dūminės užsklandos, karinės technikos šviesos prietaisais šviečiama į civilius, užimamą objektą ir aplink esančius pastatus, taip civiliai buvo bauginami bei terorizuojami</w:t>
      </w:r>
      <w:r w:rsidRPr="00C00255">
        <w:rPr>
          <w:rFonts w:eastAsia="Calibri"/>
          <w:szCs w:val="24"/>
        </w:rPr>
        <w:t>.</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Kaltinamojo J. M. vadovaujamas tankas, borto Nr. 544, kurio ekipaže buvo taikytojas kaltinamasis D. B., mechanikas-vairuotojas S. D. (jo atžvilgiu baudžiamasis persekiojimas už nusikaltimus žmoniškumui ir karo nusikaltimus nevykdomas), išlaužęs vakarų pusėje TV bokšto teritoriją juosiančią tvorą ir pavojingai manevruodamas tarp ten esančių civilių, įvažiavo į teritoriją, kur ne mažiau kaip tris kartus iššovė iš pabūklo tuščiais užtaisais, leido dūmines užsklandas</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Išlaužus TV bokšto rytinėje bei pietrytinėje pusėse esančios tvoros dalis, į užimamo objekto teritoriją įvažiavo likusi kolonos dalis: BMD, kurių borto Nr. 281, 295, 283, 284, 286, 289, 291, 292, 294, 296, 242, 243, 246, 247, 248, 258 ir 259, viena BMD KŠM, kurios borto Nr. 600, du automobiliai URAL, skirti kariams pervežti, kurių vieno k/n 23-04 OF, du automobiliai ZIL-131, kurių vieno k/n 23-30 OF ir kuris buvo skirtas techniniam aptarnavimui, viena BTR-D, kurios borto numeris 670 ir BRDM</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024B9">
        <w:rPr>
          <w:rFonts w:eastAsia="Calibri"/>
        </w:rPr>
        <w:t>Tarptautinės humanitarinės teisės draudžiamos karo atakos metu, vienam iš keturių tankų T-72 iššovus iš tanko pabūklo išmušamuoju garsiniu užtaisu ir nuo šūvio bangos R. J. nugriuvus ant žemės, jį pervažiavo TV bokšto teritorijoje pavojingai manevravusi vikšrinė karinė technika, dėl ko pastarasis nuo stipraus kūno suspaudimo tarp kietų bukų daiktų, daugybinių kaukolės ir kitų skeleto kaulų lūžimų, vidaus organų plyšimų, ūmaus nukraujavimo į pilvo ir krūtinės ertmes mirė, t. y. nukentėjusysis buvo tyčia nužudytas</w:t>
      </w:r>
      <w:r w:rsidRPr="00C00255">
        <w:rPr>
          <w:rFonts w:eastAsia="Calibri"/>
          <w:szCs w:val="24"/>
        </w:rPr>
        <w:t xml:space="preserve">. </w:t>
      </w:r>
    </w:p>
    <w:p w:rsidR="00DA38E9" w:rsidRPr="000E2C88" w:rsidRDefault="00DA38E9" w:rsidP="00DA38E9">
      <w:pPr>
        <w:pStyle w:val="ListParagraph"/>
        <w:numPr>
          <w:ilvl w:val="1"/>
          <w:numId w:val="6"/>
        </w:numPr>
        <w:spacing w:before="120" w:after="120"/>
        <w:ind w:left="993" w:hanging="993"/>
        <w:contextualSpacing w:val="0"/>
      </w:pPr>
      <w:r w:rsidRPr="000E2C88">
        <w:rPr>
          <w:rFonts w:eastAsia="Calibri"/>
          <w:szCs w:val="24"/>
        </w:rPr>
        <w:t xml:space="preserve">&lt;...&gt; </w:t>
      </w:r>
      <w:r w:rsidRPr="000E2C88">
        <w:rPr>
          <w:rFonts w:eastAsia="Calibri"/>
        </w:rPr>
        <w:t>Grupės „A“ ir 76-osios oro desanto divizijos jungtinio karinio vieneto kariškiai, pasinaudodami bendrai veikusių 106-ojo tankų pulko kariškių tankų šūviais, tankų bei BMD pavojingu manevravimu, prasibrovė iki puolamo objekto, kur kiekvienas padalinys pradėjo įgyvendinti pavestas užduotis. &lt;...&gt;“</w:t>
      </w:r>
      <w:bookmarkStart w:id="289" w:name="_Hlk63257824"/>
    </w:p>
    <w:p w:rsidR="00DA38E9" w:rsidRPr="000E2C88" w:rsidRDefault="00DA38E9" w:rsidP="00DA38E9">
      <w:pPr>
        <w:pStyle w:val="ListParagraph"/>
        <w:numPr>
          <w:ilvl w:val="1"/>
          <w:numId w:val="6"/>
        </w:numPr>
        <w:spacing w:before="120" w:after="120"/>
        <w:ind w:left="993" w:hanging="993"/>
        <w:contextualSpacing w:val="0"/>
      </w:pPr>
      <w:r w:rsidRPr="000E2C88">
        <w:rPr>
          <w:rFonts w:eastAsia="Calibri"/>
        </w:rPr>
        <w:t>Be to, teismo nuosprendyje konstatuota, kad karo atakos prie TV bokšto metu 76-osios oro desanto divizijos ir kitų karinių struktūrų kariškiai, panaudoję šaunamuosius ginklus, specialiąsias priemones ir artimos kovos veiksmus, bendrais veiksmais tyčia nužudė V. D., D. G., R. J., V. M., T. M., A. J.  P., V. J. V., V. K., padarė tyčinius sunkius ir kitus sveikatos sutrikdymus dar kitiems pirmosios instancijos teismo nuosprendyje detaliai nurodytiems asmenims (nuosprendžio 212–221 l., t. 770, b. l. 12–21)</w:t>
      </w:r>
      <w:r w:rsidRPr="000E2C88">
        <w:rPr>
          <w:rFonts w:eastAsia="Calibri"/>
          <w:szCs w:val="24"/>
        </w:rPr>
        <w:t>.</w:t>
      </w:r>
    </w:p>
    <w:p w:rsidR="00DA38E9" w:rsidRPr="00C00255" w:rsidRDefault="00DA38E9" w:rsidP="00DA38E9">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Dėl TSRS GM 107-osios motorizuotų šaulių divizijos 77-ojo motorizuotų šaulių pulko dalyvavimo užimant TV bokštą</w:t>
      </w:r>
    </w:p>
    <w:bookmarkEnd w:id="289"/>
    <w:p w:rsidR="00B024B9" w:rsidRPr="00B024B9" w:rsidRDefault="00DA38E9" w:rsidP="00B024B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Kaip jau minėta ir nustatyta pirmosios instancijos teismo, siekiant užimti TV bokštą, pirmiausia, prie TV bokšto atvyko nukreipiančiosios grupės kariškiai</w:t>
      </w:r>
      <w:r w:rsidRPr="000E2C88">
        <w:rPr>
          <w:szCs w:val="24"/>
        </w:rPr>
        <w:t xml:space="preserve"> su </w:t>
      </w:r>
      <w:r w:rsidRPr="000E2C88">
        <w:rPr>
          <w:szCs w:val="24"/>
          <w:lang w:eastAsia="lt-LT"/>
        </w:rPr>
        <w:t xml:space="preserve">karine technika – tankais, BTR, priešlėktuvinės gynybos sistema, turėję atitraukti civilių dėmesį nuo kiek vėliau atvykusios puolančiosios grupės. Šią dėmesio nukreipimo funkciją, pagal byloje nustatytas aplinkybes, atliko </w:t>
      </w:r>
      <w:r w:rsidRPr="000E2C88">
        <w:rPr>
          <w:szCs w:val="24"/>
        </w:rPr>
        <w:t>TSRS GM 107-osios motorizuotų šaulių divizijos 77-ojo motorizuotų šaulių pulko kariškiai, kurių tikslaus skaičiaus teismas nenustatė</w:t>
      </w:r>
      <w:r w:rsidRPr="00B024B9">
        <w:rPr>
          <w:szCs w:val="24"/>
          <w:lang w:eastAsia="lt-LT"/>
        </w:rPr>
        <w:t>.</w:t>
      </w:r>
    </w:p>
    <w:p w:rsidR="00B024B9" w:rsidRPr="00B024B9" w:rsidRDefault="00DA38E9" w:rsidP="00B024B9">
      <w:pPr>
        <w:pStyle w:val="ListParagraph"/>
        <w:numPr>
          <w:ilvl w:val="0"/>
          <w:numId w:val="6"/>
        </w:numPr>
        <w:spacing w:before="120" w:after="120"/>
        <w:ind w:left="992" w:hanging="992"/>
        <w:contextualSpacing w:val="0"/>
        <w:rPr>
          <w:color w:val="000000"/>
          <w:szCs w:val="24"/>
          <w:lang w:eastAsia="lt-LT" w:bidi="lt-LT"/>
        </w:rPr>
      </w:pPr>
      <w:r w:rsidRPr="000E2C88">
        <w:rPr>
          <w:szCs w:val="24"/>
          <w:lang w:eastAsia="lt-LT"/>
        </w:rPr>
        <w:t>Tokias pirmosios instancijos teismo išvadas patvirtina byloje surinkta vaizdinė medžiaga, specialisto J. Andriškevičiaus išvada, kariškių bei karinės technikos, dalyvavusios 1991 m. sausio 12–13 d. įvykiuose Vilniuje, sąrašai ir kiti įrodymai. Šio karinio dalinio dalyvavimo minėtoje operacijoje fakto neginčija ir apeliantai, tačiau atskiros byloje nustatytos aplinkybės, susijusios su šio dalinio panaudotu karinės technikos pobūdžiu ir kiekiu bei tankų veiksmų pavojingumu, byloje ginčijamos</w:t>
      </w:r>
      <w:r w:rsidRPr="00B024B9">
        <w:rPr>
          <w:szCs w:val="24"/>
          <w:lang w:eastAsia="lt-LT"/>
        </w:rPr>
        <w:t xml:space="preserve">. </w:t>
      </w:r>
    </w:p>
    <w:p w:rsidR="00B024B9" w:rsidRPr="000E2C88" w:rsidRDefault="00DA38E9" w:rsidP="00B024B9">
      <w:pPr>
        <w:pStyle w:val="ListParagraph"/>
        <w:numPr>
          <w:ilvl w:val="0"/>
          <w:numId w:val="6"/>
        </w:numPr>
        <w:spacing w:before="120" w:after="120"/>
        <w:ind w:left="992" w:hanging="992"/>
        <w:contextualSpacing w:val="0"/>
        <w:rPr>
          <w:rStyle w:val="Numatytasispastraiposriftas1"/>
          <w:color w:val="000000"/>
          <w:szCs w:val="24"/>
          <w:lang w:eastAsia="lt-LT" w:bidi="lt-LT"/>
        </w:rPr>
      </w:pPr>
      <w:r w:rsidRPr="000E2C88">
        <w:rPr>
          <w:szCs w:val="24"/>
          <w:lang w:eastAsia="lt-LT"/>
        </w:rPr>
        <w:t xml:space="preserve">Apeliaciniu skundu prokurorai prašo patikslinti nuosprendžio nustatomąją dalį, kurioje nebuvo nurodytas tikslus prie TV bokšto atvykusių tankų ir </w:t>
      </w:r>
      <w:r w:rsidRPr="000E2C88">
        <w:rPr>
          <w:iCs/>
        </w:rPr>
        <w:t xml:space="preserve">priešlėktuvinės gynybos sistemos ŠILKA (ZSU 23-4) skaičius (nuosprendžio 212 l. paskutinė pastraipa </w:t>
      </w:r>
      <w:r w:rsidRPr="000E2C88">
        <w:rPr>
          <w:rFonts w:eastAsia="Calibri"/>
        </w:rPr>
        <w:t>(t. 770, b. l. 12), šio sprendimo 333.1 pastraipa</w:t>
      </w:r>
      <w:r w:rsidRPr="000E2C88">
        <w:rPr>
          <w:iCs/>
        </w:rPr>
        <w:t>).</w:t>
      </w:r>
      <w:r w:rsidRPr="000E2C88">
        <w:rPr>
          <w:rFonts w:eastAsia="Calibri"/>
        </w:rPr>
        <w:t xml:space="preserve"> Teisėjų kolegija sutinka su prokurorų prašymu šią nuosprendžio dalį patikslinti, nurodant, kad </w:t>
      </w:r>
      <w:r w:rsidRPr="000E2C88">
        <w:rPr>
          <w:szCs w:val="24"/>
        </w:rPr>
        <w:t xml:space="preserve">TSRS GM 107-osios motorizuotų šaulių divizijos </w:t>
      </w:r>
      <w:r w:rsidRPr="000E2C88">
        <w:rPr>
          <w:rStyle w:val="Numatytasispastraiposriftas1"/>
          <w:iCs/>
          <w:lang w:eastAsia="ar-SA" w:bidi="lt-LT"/>
        </w:rPr>
        <w:t xml:space="preserve">77-ojo motorizuotų šaulių pulko kariškiai atvyko </w:t>
      </w:r>
      <w:r w:rsidRPr="000E2C88">
        <w:rPr>
          <w:rStyle w:val="Numatytasispastraiposriftas1"/>
          <w:i/>
          <w:lang w:eastAsia="ar-SA" w:bidi="lt-LT"/>
        </w:rPr>
        <w:t>ne mažiau kaip trimis tankais T-72, kurių borto numeriai 220, 221 ir 223</w:t>
      </w:r>
      <w:r w:rsidRPr="000E2C88">
        <w:rPr>
          <w:rStyle w:val="Numatytasispastraiposriftas1"/>
          <w:iCs/>
          <w:lang w:eastAsia="ar-SA" w:bidi="lt-LT"/>
        </w:rPr>
        <w:t xml:space="preserve">, ir </w:t>
      </w:r>
      <w:r w:rsidRPr="000E2C88">
        <w:rPr>
          <w:rStyle w:val="Numatytasispastraiposriftas1"/>
          <w:i/>
          <w:lang w:eastAsia="ar-SA" w:bidi="lt-LT"/>
        </w:rPr>
        <w:t>ne mažiau kaip viena</w:t>
      </w:r>
      <w:r w:rsidRPr="000E2C88">
        <w:rPr>
          <w:rStyle w:val="Numatytasispastraiposriftas1"/>
          <w:iCs/>
          <w:lang w:eastAsia="ar-SA" w:bidi="lt-LT"/>
        </w:rPr>
        <w:t xml:space="preserve"> priešlėktuvinės gynybos sistema ŠILKA (ZSU 23-4), nes tokias aplinkybes patvirtina </w:t>
      </w:r>
      <w:r w:rsidRPr="000E2C88">
        <w:t>byloje surinktų įrodymų visuma</w:t>
      </w:r>
      <w:r w:rsidRPr="000E2C88">
        <w:rPr>
          <w:rStyle w:val="Numatytasispastraiposriftas1"/>
          <w:i/>
          <w:lang w:eastAsia="ar-SA" w:bidi="lt-LT"/>
        </w:rPr>
        <w:t xml:space="preserve"> </w:t>
      </w:r>
      <w:r w:rsidRPr="000E2C88">
        <w:rPr>
          <w:rStyle w:val="Numatytasispastraiposriftas1"/>
          <w:lang w:eastAsia="ar-SA" w:bidi="lt-LT"/>
        </w:rPr>
        <w:t xml:space="preserve">(t. 777, b. l. 118). </w:t>
      </w:r>
    </w:p>
    <w:p w:rsidR="00B024B9" w:rsidRPr="00B024B9" w:rsidRDefault="00DA38E9" w:rsidP="00B024B9">
      <w:pPr>
        <w:pStyle w:val="ListParagraph"/>
        <w:numPr>
          <w:ilvl w:val="0"/>
          <w:numId w:val="6"/>
        </w:numPr>
        <w:spacing w:before="120" w:after="120"/>
        <w:ind w:left="992" w:hanging="992"/>
        <w:contextualSpacing w:val="0"/>
        <w:rPr>
          <w:rFonts w:eastAsia="Calibri"/>
          <w:lang w:eastAsia="lt-LT" w:bidi="lt-LT"/>
        </w:rPr>
      </w:pPr>
      <w:r w:rsidRPr="000E2C88">
        <w:rPr>
          <w:lang w:eastAsia="ar-SA" w:bidi="lt-LT"/>
        </w:rPr>
        <w:t>Teisėjų kolegija atkreipia dėmesį į tai, kad pirmosios instancijos teismas, nors ir nenurodė tikslaus tankų ir priešlėktuvinės sistemos skaičiaus prokurorų minimoje nuosprendžio nustatomosios dalies vietoje, tokias kaltinime nurodytas aplinkybes pripažino įrodytomis. Tai aiškiai matyti iš toliau nuosprendžio nustatomojoje dalyje nurodomų aplinkybių, aprašant, kokius veiksmus atliko trys tankai, kurių borto Nr. 220, 221 ir 223, ir viena priešlėktuvinė sistema („</w:t>
      </w:r>
      <w:r w:rsidRPr="000E2C88">
        <w:rPr>
          <w:rFonts w:eastAsia="Calibri"/>
        </w:rPr>
        <w:t>Trys 107-osios motorizuotų šaulių divizijos 77-ojo motorizuotų šaulių pulko, civilių dėmesį nukreipiančiosios kolonos tankai T-72, kurių borto Nr. 220, 221 ir 223, draudžiamos karo atakos metu šaudė iš tankų pabūklų tuščiais užtaisais, skleidė dūmines užsklandas, karinės technikos žibintais apšvietė civilius, pavojingai manevruojant važinėjo Sudervės gatve ir šalino civilius bei esančias užtvaras. Priešlėktuvinės gynybos sistema ŠILKA šaudė – 23 mm kalibro šoviniais TV bokšto pusėn.“</w:t>
      </w:r>
      <w:r w:rsidRPr="000E2C88">
        <w:rPr>
          <w:lang w:eastAsia="ar-SA" w:bidi="lt-LT"/>
        </w:rPr>
        <w:t xml:space="preserve"> (</w:t>
      </w:r>
      <w:r w:rsidRPr="000E2C88">
        <w:t xml:space="preserve">nuosprendžio 213 l., </w:t>
      </w:r>
      <w:r w:rsidRPr="000E2C88">
        <w:rPr>
          <w:rFonts w:eastAsia="Calibri"/>
        </w:rPr>
        <w:t>t. 770, b. l. 12). Iš bylos duomenų, o ypač iš vaizdo įrašų, matyti, kad prie TV bokšto įvykių naktį manevravo ne vienas ir ne keli tankai bei buvo panaudota įvairi karinė technika. Atsižvelgdamas į tokius vaizdo įrašus ir kitus tai bylojančius duomenimis, specialistas J. Andriškevičius konstatavo, kad nukreipiančiosios grupės sudėtyje buvo ne mažiau kaip 3 tankai T-72, kurių borto numeriai 220, 221 ir 223, kad nukreipiančioje kolonoje buvo ne mažiau kaip viena ZSU-23-4 sistema (t. 480, b. l. 68–69). Taigi specialistas nurodė mažiausią šios karinės technikos objektų, naudotų 77-ojo motorizuotų šaulių pulko prie TV bokšto, skaičių. Atsižvelgiant į tai prokurorų prašomų aplinkybių nurodymas ir prokurorų minimoje nuosprendžio nustatomosios dalies vietoje yra pagrįstas, siekiant įrodytomis pripažintų bylos aplinkybių tikslumo ir aiškumo</w:t>
      </w:r>
      <w:r w:rsidRPr="00B024B9">
        <w:rPr>
          <w:rFonts w:eastAsia="Calibri"/>
        </w:rPr>
        <w:t>.</w:t>
      </w:r>
    </w:p>
    <w:p w:rsidR="00B024B9" w:rsidRPr="00B024B9" w:rsidRDefault="00DA38E9" w:rsidP="00B024B9">
      <w:pPr>
        <w:pStyle w:val="ListParagraph"/>
        <w:numPr>
          <w:ilvl w:val="0"/>
          <w:numId w:val="6"/>
        </w:numPr>
        <w:spacing w:before="120" w:after="120"/>
        <w:ind w:left="992" w:hanging="992"/>
        <w:contextualSpacing w:val="0"/>
        <w:rPr>
          <w:color w:val="000000"/>
          <w:szCs w:val="24"/>
          <w:lang w:eastAsia="lt-LT" w:bidi="lt-LT"/>
        </w:rPr>
      </w:pPr>
      <w:r w:rsidRPr="000E2C88">
        <w:t>Teisėjų kolegija atkreipia dėmesį ir į tai, kad 77-ojo motorizuotų šaulių pulko kariškiai ir tankų Nr. 220, 221 ir 223 ar priešlėktuvinės sistemos įgulos nariai byloje nėra nustatyti ir nėra teisiami. Su šių kariškių atliktais veiksmais susijusios aplinkybės byloje tiesiogiai nėra ginčijamos, tačiau apeliaciniuose skunduose, be kita ko, yra ir bendri argumentai dėl tankų atliktų veiksmų pavojingumo, nurodant, kad tankai prie TV bokšto pavojingai nemanevravo, jog jų šūviai buvo atlikti pabūklą pakėlus maksimaliu kampu ir pan., todėl teisėjų kolegija pasisakys ir dėl minėtų tankų veiksmų prie TV bokšto</w:t>
      </w:r>
      <w:r w:rsidRPr="00C00255">
        <w:rPr>
          <w:lang w:eastAsia="lt-LT"/>
        </w:rPr>
        <w:t xml:space="preserve">. </w:t>
      </w:r>
    </w:p>
    <w:p w:rsidR="00B024B9" w:rsidRPr="00B024B9" w:rsidRDefault="00DA38E9" w:rsidP="00B024B9">
      <w:pPr>
        <w:pStyle w:val="ListParagraph"/>
        <w:numPr>
          <w:ilvl w:val="1"/>
          <w:numId w:val="6"/>
        </w:numPr>
        <w:spacing w:before="120" w:after="120"/>
        <w:ind w:left="992" w:hanging="992"/>
        <w:contextualSpacing w:val="0"/>
        <w:rPr>
          <w:color w:val="000000"/>
          <w:szCs w:val="24"/>
          <w:lang w:eastAsia="lt-LT" w:bidi="lt-LT"/>
        </w:rPr>
      </w:pPr>
      <w:r w:rsidRPr="00C00255">
        <w:rPr>
          <w:lang w:eastAsia="lt-LT"/>
        </w:rPr>
        <w:t xml:space="preserve">Tankų, kurių borto Nr. 220, 221 ir 223, pavojingi manevrai byloje yra užfiksuoti objektyvioje ir jokių abejonių teisėjų kolegijai nekeliančioje vaizdinėje medžiagoje, kurią analizavęs specialistas J. Andriškevičius konstatavo, kad, siekdami nukreipti TV bokšto gynėjų dėmesį, minėti tankai šaudė iš pabūklų išmušamaisiais užtaisais, akino civilius prožektorių šviesomis (t. 480, b. l. 69). </w:t>
      </w:r>
      <w:r w:rsidRPr="00B024B9">
        <w:rPr>
          <w:szCs w:val="24"/>
          <w:lang w:eastAsia="lt-LT"/>
        </w:rPr>
        <w:t xml:space="preserve">Be to, byloje yra ir </w:t>
      </w:r>
      <w:r w:rsidRPr="00B024B9">
        <w:rPr>
          <w:szCs w:val="24"/>
          <w:lang w:eastAsia="lt-LT" w:bidi="lt-LT"/>
        </w:rPr>
        <w:t>pažyma-pranešimas apie karinio dalinio Nr. 22238 technikos panaudojimą 1991 m. sausio 12–13 dienomis, kurioje, be kita ko, nurodyta, kad incidento metu buvo panaudoti ir tankai Nr. 220, 221 ir 223, kurių įgulos šaudė tuščiais tankų pabūklų sviediniais (</w:t>
      </w:r>
      <w:r w:rsidRPr="00B024B9">
        <w:rPr>
          <w:szCs w:val="24"/>
          <w:lang w:eastAsia="lt-LT"/>
        </w:rPr>
        <w:t>t. 191, b. l. 213; t. 191, b. l. 214</w:t>
      </w:r>
      <w:r w:rsidRPr="00B024B9">
        <w:rPr>
          <w:szCs w:val="24"/>
          <w:lang w:eastAsia="lt-LT" w:bidi="lt-LT"/>
        </w:rPr>
        <w:t xml:space="preserve">). </w:t>
      </w:r>
    </w:p>
    <w:p w:rsidR="00B024B9" w:rsidRPr="00B024B9" w:rsidRDefault="00DA38E9" w:rsidP="00B024B9">
      <w:pPr>
        <w:pStyle w:val="ListParagraph"/>
        <w:numPr>
          <w:ilvl w:val="1"/>
          <w:numId w:val="6"/>
        </w:numPr>
        <w:spacing w:before="120" w:after="120"/>
        <w:ind w:left="992" w:hanging="992"/>
        <w:contextualSpacing w:val="0"/>
        <w:rPr>
          <w:color w:val="000000"/>
          <w:szCs w:val="24"/>
          <w:lang w:eastAsia="lt-LT" w:bidi="lt-LT"/>
        </w:rPr>
      </w:pPr>
      <w:r w:rsidRPr="000E2C88">
        <w:rPr>
          <w:szCs w:val="24"/>
          <w:lang w:eastAsia="lt-LT" w:bidi="lt-LT"/>
        </w:rPr>
        <w:t>Minėtų tankų pavojingus manevrus patvirtino ir teisiamajame posėdyje apklausti asmenys. Pavyzdžiui, nukentėjusiojo R. S. apklausos teisme metu buvo tiriami ir jo parodymai ikiteisminio tyrimo metu, kuriuose jis</w:t>
      </w:r>
      <w:r w:rsidRPr="000E2C88">
        <w:rPr>
          <w:szCs w:val="24"/>
        </w:rPr>
        <w:t xml:space="preserve"> nurodė, kad tankas Nr. 220 prie TV bokšto leido dūmus, o vėliau kartu su tanku Nr. 221 neleido prie TV bokšto privažiuoti greitosios pagalbos automobiliams (t. 759, b. l. 124–126). N</w:t>
      </w:r>
      <w:r w:rsidRPr="000E2C88">
        <w:rPr>
          <w:szCs w:val="24"/>
          <w:lang w:eastAsia="lt-LT" w:bidi="lt-LT"/>
        </w:rPr>
        <w:t>ukentėjusysis V. K. teisiamajame posėdyje nurodė, kad akustinę traumą gavo po tanko Nr. 221 šūvio, šūvio metu nukentėjusysis stovėjo netoli tanko pabūklo, kuris buvo nuleistas žemyn, šiek tiek virš žmonių galvų (t. 759, b. l. 10–11). Be to, kitoje baudžiamojoje byloje Nr. 1-2/1999 dėl tų pačių įvykių posėdyje apklaustas nukentėjusysis A. A. G. parodė, kad prie TV bokšto stovėjo tankas Nr. 221, kuriam kelią pastojo žmonės. Šis tankas apsuko vamzdį ir užkabino autobusą. Nukentėjusysis priėjo prie tanko ir atsistojo jo priekyje, tankas iššovė per 5 metrus nuo jo, po ko nukentėjusiajam suskaudo ausis (t. 371, b. l. 138)</w:t>
      </w:r>
      <w:r w:rsidRPr="00B024B9">
        <w:rPr>
          <w:szCs w:val="24"/>
          <w:lang w:eastAsia="lt-LT" w:bidi="lt-LT"/>
        </w:rPr>
        <w:t xml:space="preserve">. </w:t>
      </w:r>
    </w:p>
    <w:p w:rsidR="00B024B9" w:rsidRPr="00B024B9" w:rsidRDefault="00DA38E9" w:rsidP="00B024B9">
      <w:pPr>
        <w:pStyle w:val="ListParagraph"/>
        <w:numPr>
          <w:ilvl w:val="1"/>
          <w:numId w:val="6"/>
        </w:numPr>
        <w:spacing w:before="120" w:after="120"/>
        <w:ind w:left="992" w:hanging="992"/>
        <w:contextualSpacing w:val="0"/>
        <w:rPr>
          <w:color w:val="000000"/>
          <w:szCs w:val="24"/>
          <w:lang w:eastAsia="lt-LT" w:bidi="lt-LT"/>
        </w:rPr>
      </w:pPr>
      <w:r w:rsidRPr="000E2C88">
        <w:t xml:space="preserve">Teismo išvadas apie išties pavojingą minėtų tankų manevravimą bauginant civilius patvirtina vaizdo įrašai. Kompaktiniame diske „Atgimimo kronika“ esančiame filme nuo 1 val. 15 min. 23 sek. matyti dūmus leidžiantis tankas, ant kurio yra skaičius „223“. Tame pačiame filme nuo 1 val. 19 min. 50 sek. matyti tankas, ant kurio yra skaičius „220“, leidžiantis dūmus. Minėtame filme nuo 1 val. 27 min. 12 sek. taip pat užfiksuota, kaip šalia esant civilių, tankas, ant kurio yra skaičius „221“, greitai sukioja bokštą su pabūklu ir prožektoriumi (t. 493, b. l. 9). Kompaktiniame diske „1A 2 dalis“ esančiame antrajame vaizdo įraše nuo 1 min. 58 sek. užfiksuota, kaip tankas, ant kurio šono matyti skaičius „220“, daro dūmų užsklandą ir sukioja bokštelį su pabūklu (t. 507, b. l. 47). Kompaktiniame diske „M. V. vaizdo įrašas „1991-01-13 TV bokštas“ </w:t>
      </w:r>
      <w:r w:rsidRPr="000E2C88">
        <w:rPr>
          <w:rFonts w:eastAsia="Calibri"/>
        </w:rPr>
        <w:t xml:space="preserve">„08 OK“ kopija“ esančiame </w:t>
      </w:r>
      <w:r w:rsidR="000E2C88">
        <w:rPr>
          <w:rFonts w:eastAsia="Calibri"/>
        </w:rPr>
        <w:t>vaizdo įraše nuo 1 val. 1 </w:t>
      </w:r>
      <w:r w:rsidRPr="000E2C88">
        <w:rPr>
          <w:rFonts w:eastAsia="Calibri"/>
        </w:rPr>
        <w:t>min. 4 sek. matyti tankas, sukiojantis pabūklą, ant kurio bokštelio pasimato numeris „221“. Nuo 1 val. 2 min. 51 sek. matyti, kaip šis tankas dukart iššauna, o šūvių metu aplink šį tanką stovi žmonės. Vaizdo įraše nuo 1 val. 11 min. 49 sek. matyti, kaip tankas, kurio numeris 221, sukioja pabūklą su įjungtu tanko prožektoriumi (kompaktinis diskas – t. 733, b. l. 138; vaizdo įrašo apžiūros protokolas su išsamia aktualių vaizdo įrašų kadrų fotolentele – t. 733, b. l. 111–137</w:t>
      </w:r>
      <w:r w:rsidRPr="00B024B9">
        <w:rPr>
          <w:rFonts w:eastAsia="Calibri"/>
        </w:rPr>
        <w:t>).</w:t>
      </w:r>
      <w:r w:rsidRPr="00B024B9">
        <w:rPr>
          <w:rFonts w:eastAsia="Calibri"/>
          <w:szCs w:val="24"/>
        </w:rPr>
        <w:t xml:space="preserve"> </w:t>
      </w:r>
    </w:p>
    <w:p w:rsidR="00B024B9" w:rsidRPr="000E2C88" w:rsidRDefault="00DA38E9" w:rsidP="00B024B9">
      <w:pPr>
        <w:pStyle w:val="ListParagraph"/>
        <w:numPr>
          <w:ilvl w:val="0"/>
          <w:numId w:val="6"/>
        </w:numPr>
        <w:spacing w:before="120" w:after="120"/>
        <w:ind w:left="992" w:hanging="992"/>
        <w:contextualSpacing w:val="0"/>
        <w:rPr>
          <w:color w:val="000000"/>
          <w:szCs w:val="24"/>
          <w:lang w:eastAsia="lt-LT" w:bidi="lt-LT"/>
        </w:rPr>
      </w:pPr>
      <w:r w:rsidRPr="000E2C88">
        <w:rPr>
          <w:rFonts w:eastAsia="Calibri"/>
        </w:rPr>
        <w:t xml:space="preserve">Teisėjų kolegijos įsitikinimu, minėtuose vaizdo įrašuose užfiksuotų tankų Nr. 220, 221 ir 223 prie TV bokšto atliktų manevrų visuma kartu su kitais aptartais įrodymais šiuo aspektu, leidžia daryti neabejotiną išvadą, kad pirmosios instancijos teismo išvados dėl </w:t>
      </w:r>
      <w:r w:rsidRPr="000E2C88">
        <w:t xml:space="preserve">tankų </w:t>
      </w:r>
      <w:r w:rsidRPr="000E2C88">
        <w:rPr>
          <w:rFonts w:eastAsia="Calibri"/>
        </w:rPr>
        <w:t xml:space="preserve">Nr. 220, Nr. 221 ir Nr. 223 </w:t>
      </w:r>
      <w:r w:rsidRPr="000E2C88">
        <w:t>veiksmų užimant TV bokštą yra padarytos teisingai. Be to,</w:t>
      </w:r>
      <w:r w:rsidRPr="000E2C88">
        <w:rPr>
          <w:rFonts w:eastAsia="Calibri"/>
        </w:rPr>
        <w:t xml:space="preserve"> minėti vaizdo įrašai aiškiai atsako ir į nuteistojo E. R. gynėjos apeliaciniame skunde keltus klausimus dėl neišsamios ir netinkamos specialisto J. Andriškevičiaus apklausos pirmosios instancijos teisme, kai buvo nutraukti gynybos klausimai specialisto prašant nurodyti konkrečius vaizdo įrašus ir vietas, kuriose buvo leidžiamos tankų dūmų užsklandos, ar prašant atsakyti kokie žmonės nukentėjo nuo dūmų užsklandų. Pažymėtina, kad specialistas J. Andriškevičius yra karybos specialistas, be to, byloje nebuvo nustatyti sužalojimai dėl tankų dūmų užsklandų, todėl pirmosios instancijos teismas, atsižvelgdamas į bylos aplinkybėmis apibrėžtas</w:t>
      </w:r>
      <w:r w:rsidRPr="000E2C88">
        <w:rPr>
          <w:rFonts w:eastAsia="Calibri"/>
          <w:szCs w:val="24"/>
        </w:rPr>
        <w:t xml:space="preserve"> </w:t>
      </w:r>
      <w:r w:rsidRPr="000E2C88">
        <w:rPr>
          <w:rFonts w:eastAsia="Calibri"/>
        </w:rPr>
        <w:t>įrodinėjimo ribas, specialisto kompetenciją ir byloje esančią vaizdinę medžiagą, su kuria galėjo susipažinti visi proceso dalyviai, pagrįstai šalino minėtus klausimus, toliau leisdamas atsakinėti į tuos, kurie buvo svarbūs gynybai (t. 761, b. l. 66).</w:t>
      </w:r>
      <w:r w:rsidRPr="000E2C88">
        <w:rPr>
          <w:rFonts w:eastAsia="Calibri"/>
          <w:szCs w:val="24"/>
        </w:rPr>
        <w:t xml:space="preserve"> </w:t>
      </w:r>
    </w:p>
    <w:p w:rsidR="00B024B9" w:rsidRPr="000E2C88" w:rsidRDefault="00DA38E9" w:rsidP="00B024B9">
      <w:pPr>
        <w:pStyle w:val="ListParagraph"/>
        <w:numPr>
          <w:ilvl w:val="0"/>
          <w:numId w:val="6"/>
        </w:numPr>
        <w:spacing w:before="120" w:after="120"/>
        <w:ind w:left="992" w:hanging="992"/>
        <w:contextualSpacing w:val="0"/>
        <w:rPr>
          <w:lang w:bidi="lt-LT"/>
        </w:rPr>
      </w:pPr>
      <w:r w:rsidRPr="000E2C88">
        <w:rPr>
          <w:rFonts w:eastAsia="Calibri"/>
        </w:rPr>
        <w:t xml:space="preserve">Atsižvelgdama į visa tai, teisėjų kolegija sutinka su pirmosios instancijos teismo išvadomis dėl </w:t>
      </w:r>
      <w:r w:rsidRPr="000E2C88">
        <w:t xml:space="preserve">TSRS GM 107-osios motorizuotų šaulių divizijos 77-ojo motorizuotų šaulių pulko kariškių bei tankų Nr. </w:t>
      </w:r>
      <w:r w:rsidRPr="000E2C88">
        <w:rPr>
          <w:rFonts w:eastAsia="Calibri"/>
        </w:rPr>
        <w:t>220, Nr. 221 ir Nr. 223 veiksmų. Iš bylos aplinkybių ir šių kariškių bei tankų veiksmų matyti, kad visų minėtų kariškių veiksmai buvo aiškiai tarpusavyje suderinti, koordinuoti ir vykdomi atveriant kelią kitų,</w:t>
      </w:r>
      <w:r w:rsidRPr="000E2C88">
        <w:rPr>
          <w:rFonts w:eastAsia="Calibri"/>
          <w:szCs w:val="24"/>
        </w:rPr>
        <w:t xml:space="preserve"> </w:t>
      </w:r>
      <w:r w:rsidRPr="000E2C88">
        <w:rPr>
          <w:rFonts w:eastAsia="Calibri"/>
        </w:rPr>
        <w:t>puolamąją funkciją įgyvendinusių operacijoje dalyvavusių kariškių ir kitų keturių tos pačios TSRS GM 107-osios motorizuotų šaulių divizijos 106-ojo tankų pulko tankų, kurių borto Nr. 502, Nr. 513, Nr. 541 ir Nr. 544, veiksmams.</w:t>
      </w:r>
    </w:p>
    <w:p w:rsidR="00DA38E9" w:rsidRPr="00C00255" w:rsidRDefault="00DA38E9" w:rsidP="00DA38E9">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Dėl TSRS GM 107-osios motorizuotų šaulių divizijos 106-ajam tankų pulkui priklausiusių nuteistųjų bei šio pulko tankų dalyvavimo užimant TV bokštą</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Kaip minėta, pagal pirmosios instancijos teismo nustatytas bylos aplinkybes </w:t>
      </w:r>
      <w:r w:rsidRPr="00C00255">
        <w:rPr>
          <w:szCs w:val="24"/>
        </w:rPr>
        <w:t>TSRS GM 107-osios motorizuotų šaulių divizijos</w:t>
      </w:r>
      <w:r w:rsidRPr="00C00255">
        <w:rPr>
          <w:szCs w:val="24"/>
          <w:lang w:eastAsia="lt-LT"/>
        </w:rPr>
        <w:t xml:space="preserve"> 106-ojo tankų pulko tankai Nr. 502, Nr. 513, Nr. 541 ir Nr. 544, sudarė puolančiąją pajėgų dalį ir prie TV bokšto atvyko šiek tiek vėliau nei nukreipiančiuosius veiksmus atlikę kariškiai. Atvykdami prie bokšto iš priešingos pusės nei nukreipiančioji kolona, šie tankai šalino kelyje link šio objekto buvusias užtvaras, keliose vietose išgriovė bokšto teritoriją juosiančią tvorą ir padarė kelią iš paskos važiuojančiai karinės technikos kolonai, šaudė iš tankų pabūklų tuščiais užtaisais, skleidė dūmines užsklandas, karinės technikos žibintais apšvietė civilius ir aplinkinius objektus, pavojingai manevruodami važinėjo TV bokšto teritorijoje ir iš jos šalino žmones. </w:t>
      </w:r>
    </w:p>
    <w:p w:rsidR="00DA38E9" w:rsidRPr="00C00255" w:rsidRDefault="00DA38E9" w:rsidP="00DA38E9">
      <w:pPr>
        <w:pStyle w:val="Heading5"/>
        <w:spacing w:before="120" w:after="120"/>
        <w:ind w:left="992"/>
        <w:rPr>
          <w:rFonts w:ascii="Times New Roman" w:hAnsi="Times New Roman" w:cs="Times New Roman"/>
          <w:i/>
          <w:color w:val="auto"/>
        </w:rPr>
      </w:pPr>
      <w:r w:rsidRPr="00C00255">
        <w:rPr>
          <w:rFonts w:ascii="Times New Roman" w:hAnsi="Times New Roman" w:cs="Times New Roman"/>
          <w:i/>
          <w:color w:val="auto"/>
        </w:rPr>
        <w:t xml:space="preserve">Dėl tanko Nr. 502 ir jo ekipažo narių nuteistųjų </w:t>
      </w:r>
      <w:r>
        <w:rPr>
          <w:rFonts w:ascii="Times New Roman" w:hAnsi="Times New Roman" w:cs="Times New Roman"/>
          <w:i/>
          <w:color w:val="auto"/>
        </w:rPr>
        <w:t>N. A.</w:t>
      </w:r>
      <w:r w:rsidRPr="00C00255">
        <w:rPr>
          <w:rFonts w:ascii="Times New Roman" w:hAnsi="Times New Roman" w:cs="Times New Roman"/>
          <w:i/>
          <w:color w:val="auto"/>
        </w:rPr>
        <w:t xml:space="preserve">, </w:t>
      </w:r>
      <w:r>
        <w:rPr>
          <w:rFonts w:ascii="Times New Roman" w:hAnsi="Times New Roman" w:cs="Times New Roman"/>
          <w:i/>
          <w:color w:val="auto"/>
        </w:rPr>
        <w:t>O. A.</w:t>
      </w:r>
      <w:r w:rsidRPr="00C00255">
        <w:rPr>
          <w:rFonts w:ascii="Times New Roman" w:hAnsi="Times New Roman" w:cs="Times New Roman"/>
          <w:i/>
          <w:color w:val="auto"/>
        </w:rPr>
        <w:t xml:space="preserve"> ir </w:t>
      </w:r>
      <w:r>
        <w:rPr>
          <w:rFonts w:ascii="Times New Roman" w:hAnsi="Times New Roman" w:cs="Times New Roman"/>
          <w:i/>
          <w:color w:val="auto"/>
        </w:rPr>
        <w:t>V. S. 4</w:t>
      </w:r>
      <w:r w:rsidRPr="00C00255">
        <w:rPr>
          <w:rFonts w:ascii="Times New Roman" w:hAnsi="Times New Roman" w:cs="Times New Roman"/>
          <w:i/>
          <w:color w:val="auto"/>
        </w:rPr>
        <w:t xml:space="preserve"> dalyvavimo užimant TV bokštą</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t>Pagal byloje nustatytas aplinkybes, tanke Nr. 502 buvo visam TSRS GM 107-osios motorizuotų šaulių divizijos 106-ajam tankų pulkui vadovaujantis ir, kaip minėta, sprendimus dėl jungtinių tankų ekipažų priėmęs šio pulko vadas nuteistasis N. A.. Apeliacinės instancijos teismas jau pasisakė apie šio nuteistojo vaidmenį vadovaujant ir kitiems tankams, užimant Spaudos rūmus. Priešingai nei užimant Spaudos rūmus, TV bokšto užėmimo operacijoje N. A. dalyvavo tiesiogiai, būdamas tiek tanko Nr. 502 vadu, tiek viso tankų pulko vadu. Skundžiamu teismo nuosprendžiu pripažinta, kad TV bokšto šturmo metu N. A. vadovavo TSRS GM </w:t>
      </w:r>
      <w:r w:rsidRPr="000E2C88">
        <w:rPr>
          <w:rFonts w:eastAsia="Calibri"/>
        </w:rPr>
        <w:t xml:space="preserve">107-osios motorizuotų šaulių divizijos 106-ojo tankų pulko tankams Nr. 502, Nr. 513, Nr. 541 ir Nr. 544 </w:t>
      </w:r>
      <w:r w:rsidRPr="000E2C88">
        <w:t>bei davė šių tankų ekipažams nurodymus dėl užtvarų šalinimo, šaudymo išmušamaisiais užtaisais</w:t>
      </w:r>
      <w:r w:rsidRPr="000E2C88">
        <w:rPr>
          <w:szCs w:val="24"/>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Pažymėtina, kad nuteistasis ir jo gynėjai apygardos teismo nuosprendžio apeliacine tvarka neskundžia, todėl teisėjų kolegija, sutikdama su pirmosios instancijos teismo išvadomis dėl vadovaujančių </w:t>
      </w:r>
      <w:r>
        <w:rPr>
          <w:szCs w:val="24"/>
          <w:lang w:eastAsia="lt-LT"/>
        </w:rPr>
        <w:t>N. A.</w:t>
      </w:r>
      <w:r w:rsidRPr="00C00255">
        <w:rPr>
          <w:szCs w:val="24"/>
          <w:lang w:eastAsia="lt-LT"/>
        </w:rPr>
        <w:t xml:space="preserve"> veiksmų užimant TV bokštą, tik paminės, kad tokius jo veiksmus byloje aiškiai pagrindžia surinktų įrodymų visuma. Apie tai aiškiausiai liudija, pvz., šie įrodymai: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minėti </w:t>
      </w:r>
      <w:r>
        <w:rPr>
          <w:szCs w:val="24"/>
          <w:lang w:eastAsia="lt-LT"/>
        </w:rPr>
        <w:t>N. A.</w:t>
      </w:r>
      <w:r w:rsidRPr="00C00255">
        <w:rPr>
          <w:szCs w:val="24"/>
          <w:lang w:eastAsia="lt-LT"/>
        </w:rPr>
        <w:t xml:space="preserve"> pasirašyti </w:t>
      </w:r>
      <w:r w:rsidRPr="00C00255">
        <w:rPr>
          <w:szCs w:val="24"/>
          <w:lang w:eastAsia="lt-LT" w:bidi="lt-LT"/>
        </w:rPr>
        <w:t xml:space="preserve">1991 m. sausio 2 d. ir 9 d. įsakymai, kuriais įvykiuose dalyvavę tankai </w:t>
      </w:r>
      <w:r w:rsidRPr="00C00255">
        <w:rPr>
          <w:szCs w:val="24"/>
          <w:lang w:eastAsia="lt-LT"/>
        </w:rPr>
        <w:t xml:space="preserve">Nr. 502, 513, 541 ir 544 buvo įtraukti į operaciją ir suformuotos jų įgulos, į vieną iš jų vadu įtraukiant ir save (t. 440, b. l. 17–19, t. 127, b. l. 10–12); </w:t>
      </w:r>
      <w:r w:rsidRPr="00C00255">
        <w:rPr>
          <w:szCs w:val="24"/>
          <w:lang w:eastAsia="lt-LT" w:bidi="lt-LT"/>
        </w:rPr>
        <w:t xml:space="preserve">2014 m. birželio 10 d. specialisto išvada, kurioje, be kita ko, konstatuota, kad 106-ojo tankų pulko veiksmams TV bokšto užėmimo operacijos metu vadovavo ne kas kitas, o papulkininkis </w:t>
      </w:r>
      <w:r>
        <w:rPr>
          <w:szCs w:val="24"/>
          <w:lang w:eastAsia="lt-LT" w:bidi="lt-LT"/>
        </w:rPr>
        <w:t>N. A.</w:t>
      </w:r>
      <w:r w:rsidRPr="00C00255">
        <w:rPr>
          <w:szCs w:val="24"/>
          <w:lang w:eastAsia="lt-LT" w:bidi="lt-LT"/>
        </w:rPr>
        <w:t xml:space="preserve"> (</w:t>
      </w:r>
      <w:r w:rsidRPr="00C00255">
        <w:rPr>
          <w:szCs w:val="24"/>
        </w:rPr>
        <w:t>t.</w:t>
      </w:r>
      <w:r>
        <w:rPr>
          <w:szCs w:val="24"/>
        </w:rPr>
        <w:t> </w:t>
      </w:r>
      <w:r w:rsidRPr="00C00255">
        <w:rPr>
          <w:szCs w:val="24"/>
        </w:rPr>
        <w:t>480, b. l. 75);</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nuteistojo </w:t>
      </w:r>
      <w:r>
        <w:rPr>
          <w:szCs w:val="24"/>
        </w:rPr>
        <w:t>J. M.</w:t>
      </w:r>
      <w:r w:rsidRPr="00C00255">
        <w:rPr>
          <w:szCs w:val="24"/>
        </w:rPr>
        <w:t xml:space="preserve"> teisiamajame posėdyje duoti parodymai apie </w:t>
      </w:r>
      <w:r>
        <w:rPr>
          <w:szCs w:val="24"/>
        </w:rPr>
        <w:t>N. A.</w:t>
      </w:r>
      <w:r w:rsidRPr="00C00255">
        <w:rPr>
          <w:szCs w:val="24"/>
        </w:rPr>
        <w:t xml:space="preserve"> įsakymus ir per rikiuotę prieš išvykstant prie TV bokšto duotus nurodymus dėl ginklų panaudojimo ir jų būriui iškeltą užduotį šalinti užtvaras bei taip užtikrinti kitų kariškių judėjimą, apie užduočių patikslinimą tankų vadams, apie pulko vado įsakymą, duotą prie TV bokšto, šaudyti pakeliant tanko pabūklą maksimaliu kampu (t. 756, b. l. 57–69); </w:t>
      </w:r>
    </w:p>
    <w:p w:rsidR="00DA38E9" w:rsidRPr="00C00255" w:rsidRDefault="00DA38E9" w:rsidP="00DA38E9">
      <w:pPr>
        <w:pStyle w:val="ListParagraph"/>
        <w:numPr>
          <w:ilvl w:val="1"/>
          <w:numId w:val="6"/>
        </w:numPr>
        <w:spacing w:before="120" w:after="120"/>
        <w:ind w:left="993" w:hanging="993"/>
        <w:contextualSpacing w:val="0"/>
        <w:rPr>
          <w:rFonts w:eastAsia="Calibri"/>
          <w:szCs w:val="22"/>
        </w:rPr>
      </w:pPr>
      <w:r w:rsidRPr="00C00255">
        <w:rPr>
          <w:szCs w:val="24"/>
        </w:rPr>
        <w:t xml:space="preserve">kitų teisiamajame posėdyje apklaustų asmenų (pvz., liudytojų </w:t>
      </w:r>
      <w:r>
        <w:rPr>
          <w:szCs w:val="24"/>
          <w:lang w:eastAsia="lt-LT"/>
        </w:rPr>
        <w:t>A. K.</w:t>
      </w:r>
      <w:r w:rsidRPr="00C00255">
        <w:rPr>
          <w:szCs w:val="24"/>
          <w:lang w:eastAsia="lt-LT"/>
        </w:rPr>
        <w:t xml:space="preserve">, </w:t>
      </w:r>
      <w:r>
        <w:rPr>
          <w:szCs w:val="24"/>
        </w:rPr>
        <w:t>A. Š.</w:t>
      </w:r>
      <w:r w:rsidRPr="00C00255">
        <w:rPr>
          <w:szCs w:val="24"/>
        </w:rPr>
        <w:t xml:space="preserve">) parodymai apie </w:t>
      </w:r>
      <w:r>
        <w:rPr>
          <w:szCs w:val="24"/>
        </w:rPr>
        <w:t>N. A.</w:t>
      </w:r>
      <w:r w:rsidRPr="00C00255">
        <w:rPr>
          <w:szCs w:val="24"/>
        </w:rPr>
        <w:t xml:space="preserve"> vadovavimą ir duotus įsakymus kitų tankų ekipažams (</w:t>
      </w:r>
      <w:r w:rsidRPr="00C00255">
        <w:rPr>
          <w:szCs w:val="24"/>
          <w:lang w:eastAsia="lt-LT"/>
        </w:rPr>
        <w:t>t. </w:t>
      </w:r>
      <w:r w:rsidRPr="00C00255">
        <w:rPr>
          <w:szCs w:val="24"/>
        </w:rPr>
        <w:t>757, b. l. 91–95; 145–149);</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byloje esantys paties </w:t>
      </w:r>
      <w:r>
        <w:rPr>
          <w:szCs w:val="24"/>
        </w:rPr>
        <w:t>N. A.</w:t>
      </w:r>
      <w:r w:rsidRPr="00C00255">
        <w:rPr>
          <w:szCs w:val="24"/>
        </w:rPr>
        <w:t xml:space="preserve"> paaiškinimai, duoti ne kaip baudžiamojo proceso dalyvio, o kaip operacijoje dalyvavusio kariškio (1991 m. sausio 16 d. </w:t>
      </w:r>
      <w:r>
        <w:rPr>
          <w:szCs w:val="24"/>
        </w:rPr>
        <w:t>N. A.</w:t>
      </w:r>
      <w:r w:rsidRPr="00C00255">
        <w:rPr>
          <w:szCs w:val="24"/>
        </w:rPr>
        <w:t xml:space="preserve"> pasirašytas paaiškinimas, be kita ko, ir apie prie TV bokšto aptiktą barjerą, sudarytą iš trijų krovininių ir kelių lengvųjų automobilių, įveiktą kliūtį, jo nurodymu sustatytus keturis tankus, kaip jam buvo įsakyta ir kt. (t. 427, b. l. 26, t. 114, b. l. 22)), jo paaiškinimai žiniasklaidai, kur aiškiai pripažino vadovaujamą vaidmenį tankams ir nurodė, kad gavęs įsakymą, dėl Lietuvoje buvusios situacijos, požiūrio į kariškius ir televizijos vaidmens neleidžiant pasisakyti komunistams ar darbininkams, labai noriai („paklusęs širdies balsui“) vyko prie TV bokšto, davė įsakymus panaudoti tik tuščius užtaisus, nuimti šviesos filtrus ir kt., nors neigė tankais padarytus sužalojimus civiliams (t. 456, b. l. 14–15; </w:t>
      </w:r>
      <w:r w:rsidRPr="00C00255">
        <w:t>t. 190, b. l. 17);</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t>byloje surinkti duomenys apie operacijos metu vykusius kariškių tarpusavio pokalbius radijo ryšiu (</w:t>
      </w:r>
      <w:r w:rsidRPr="00C00255">
        <w:rPr>
          <w:rFonts w:eastAsia="Calibri"/>
          <w:szCs w:val="22"/>
        </w:rPr>
        <w:t>t. 488, b. l. 86–194)</w:t>
      </w:r>
      <w:r w:rsidRPr="00C00255">
        <w:t xml:space="preserve"> ir nuteistojo </w:t>
      </w:r>
      <w:r>
        <w:t>N. A.</w:t>
      </w:r>
      <w:r w:rsidRPr="00C00255">
        <w:t xml:space="preserve"> naudotą šaukinį – „Bronia 02“ apie kuriuos plačiau pasisakyta </w:t>
      </w:r>
      <w:r w:rsidRPr="00C00255">
        <w:rPr>
          <w:szCs w:val="24"/>
        </w:rPr>
        <w:t>šio sprendimo 312 pastraipoje ir kt.</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rPr>
        <w:t>Aplinkybę, kad būtent N. A. įsakymu tankais buvo pašalintos iš automobilių sudarytos kliūtys privažiuoti prie TV bokšto, patvirtina ir teisiamajame posėdyje apklaustas 1991 m. sausio mėn. Šiaurės kariniame miestelyje, Vilniuje tankų pulko ryšininko pareigas ėjęs liudytojas A. Š.. Pastarasis, be kita ko, parodė, kad tankų veiksmams prie TV bokšto vadovavo jų pulko vadas N. A.; pažįsta vado balsą ir jį iš balso atpažino (t. 757, b. l. 145–149). Teisėjų kolegijos įsitikinimu, vien iš šių duomenų akivaizdu, kad būtent N. A. tankų ekipažams davė įsakymus dėl kliūčių patenkant prie TV bokšto pašalinimo, šaudymo išmušamaisiais užtaisais ir pan</w:t>
      </w:r>
      <w:r w:rsidRPr="00C00255">
        <w:rPr>
          <w:szCs w:val="24"/>
        </w:rPr>
        <w:t xml:space="preserve">.  </w:t>
      </w:r>
    </w:p>
    <w:p w:rsidR="00DA38E9" w:rsidRPr="000E2C88" w:rsidRDefault="00DA38E9" w:rsidP="00DA38E9">
      <w:pPr>
        <w:pStyle w:val="ListParagraph"/>
        <w:numPr>
          <w:ilvl w:val="0"/>
          <w:numId w:val="6"/>
        </w:numPr>
        <w:spacing w:before="120" w:after="120"/>
        <w:ind w:left="992" w:hanging="992"/>
        <w:contextualSpacing w:val="0"/>
      </w:pPr>
      <w:r w:rsidRPr="000E2C88">
        <w:rPr>
          <w:szCs w:val="24"/>
          <w:lang w:eastAsia="lt-LT"/>
        </w:rPr>
        <w:t>Kaip minėta, įvykių prie TV bokšto metu N. A. tiesiogiai buvo prie TV bokšto ir vadovavo tankui, kurio borto Nr. 502. Š</w:t>
      </w:r>
      <w:r w:rsidRPr="000E2C88">
        <w:rPr>
          <w:rFonts w:eastAsia="Calibri"/>
          <w:szCs w:val="24"/>
        </w:rPr>
        <w:t>io tanko įgulą prie TV bokšto sudarė</w:t>
      </w:r>
      <w:r w:rsidRPr="000E2C88">
        <w:rPr>
          <w:rFonts w:eastAsia="Calibri"/>
        </w:rPr>
        <w:t xml:space="preserve">: tanko vadas – 106-ojo tankų pulko vadas papulkininkis N. A., taikytojas – pulko kuopos vadas leitenantas O. A. ir mechanikas-vairuotojas – pulko bataliono vado pavaduotojas ginkluotei majoras V. S. 4. Tokią išvadą byloje leidžia daryti </w:t>
      </w:r>
      <w:r w:rsidRPr="000E2C88">
        <w:t xml:space="preserve">minėto 1991 m. sausio 9 d. N. A. pasirašyto įsakymo turinys (t. 440, b. l. 17–18, t. 127, b. l. 10–11); </w:t>
      </w:r>
      <w:r w:rsidRPr="000E2C88">
        <w:rPr>
          <w:rFonts w:eastAsia="Calibri"/>
        </w:rPr>
        <w:t>taip pat karinio dalinio Nr. 22238 karių, ginkluotės ir technikos, dalyvavusios sausio įvykiuose Vilniuje, sąrašas (t. 474, b. l. 122–123; t. 474, b. l. 119–121); karinio dalinio Nr. 78018 štabo viršininko papulkininkio O. Ž. pasirašytas karinio personalo, dalyvavusio operacijoje iš 1991 m. sausio 12-osios į sausio 13-ąją, sąrašas (t. 440, b. l. 7, t. 127, b. l. 4). Be to, byloje net nėra ginčo dėl tokios tanko Nr. 502 įgulos sudėties.</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Nuteistųjų </w:t>
      </w:r>
      <w:r>
        <w:rPr>
          <w:szCs w:val="24"/>
          <w:lang w:eastAsia="lt-LT" w:bidi="lt-LT"/>
        </w:rPr>
        <w:t>O. A.</w:t>
      </w:r>
      <w:r w:rsidRPr="00C00255">
        <w:rPr>
          <w:szCs w:val="24"/>
          <w:lang w:eastAsia="lt-LT" w:bidi="lt-LT"/>
        </w:rPr>
        <w:t xml:space="preserve"> ir </w:t>
      </w:r>
      <w:r>
        <w:rPr>
          <w:szCs w:val="24"/>
          <w:lang w:eastAsia="lt-LT" w:bidi="lt-LT"/>
        </w:rPr>
        <w:t>V. S. 4</w:t>
      </w:r>
      <w:r w:rsidRPr="00C00255">
        <w:rPr>
          <w:szCs w:val="24"/>
          <w:lang w:eastAsia="lt-LT" w:bidi="lt-LT"/>
        </w:rPr>
        <w:t xml:space="preserve"> gynėjai, nesutikdami su teismo nuosprendžiu konstatuotomis faktinėmis aplinkybėmis ir tanko Nr. 502 veiksmais, pateikia tokius esminius argumentus:</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Nuteistojo </w:t>
      </w:r>
      <w:r>
        <w:rPr>
          <w:szCs w:val="24"/>
          <w:lang w:eastAsia="lt-LT" w:bidi="lt-LT"/>
        </w:rPr>
        <w:t>O. A.</w:t>
      </w:r>
      <w:r w:rsidRPr="00C00255">
        <w:rPr>
          <w:szCs w:val="24"/>
          <w:lang w:eastAsia="lt-LT" w:bidi="lt-LT"/>
        </w:rPr>
        <w:t xml:space="preserve"> gynėjo teigimu, vykdydamas aukštesnių karininkų įsakymą, jo ginamasis kaip tanko taikytojas nuvyko prie TV bokšto, tačiau jam nebuvo paaiškintas vykimo tikslas. Pagal </w:t>
      </w:r>
      <w:r>
        <w:rPr>
          <w:szCs w:val="24"/>
          <w:lang w:eastAsia="lt-LT" w:bidi="lt-LT"/>
        </w:rPr>
        <w:t>N. A.</w:t>
      </w:r>
      <w:r w:rsidRPr="00C00255">
        <w:rPr>
          <w:szCs w:val="24"/>
          <w:lang w:eastAsia="lt-LT" w:bidi="lt-LT"/>
        </w:rPr>
        <w:t xml:space="preserve"> įsakymą, įvažiuodamas į TV bokšto teritoriją, jis maksimaliai pakeltu patrankos vamzdžiu iššovė iš tuščio užtaiso, tačiau savo iniciatyva jokių veiksmų neatliko. Be to, gynėjo įsitikinimu, teismas neįrodė priežastinio ryšio tarp </w:t>
      </w:r>
      <w:r>
        <w:rPr>
          <w:szCs w:val="24"/>
          <w:lang w:eastAsia="lt-LT" w:bidi="lt-LT"/>
        </w:rPr>
        <w:t>O. A.</w:t>
      </w:r>
      <w:r w:rsidRPr="00C00255">
        <w:rPr>
          <w:szCs w:val="24"/>
          <w:lang w:eastAsia="lt-LT" w:bidi="lt-LT"/>
        </w:rPr>
        <w:t xml:space="preserve"> veiksmų ir prie TV bokšto kilusių padarinių.</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Nuteistojo </w:t>
      </w:r>
      <w:r>
        <w:rPr>
          <w:szCs w:val="24"/>
          <w:lang w:eastAsia="lt-LT" w:bidi="lt-LT"/>
        </w:rPr>
        <w:t>V. S. 4</w:t>
      </w:r>
      <w:r w:rsidRPr="00C00255">
        <w:rPr>
          <w:szCs w:val="24"/>
          <w:lang w:eastAsia="lt-LT" w:bidi="lt-LT"/>
        </w:rPr>
        <w:t xml:space="preserve"> gynėjas teigia, kad byloje nėra nei tiesioginių, nei netiesioginių įrodymų, kurie patvirtintų, kad </w:t>
      </w:r>
      <w:r>
        <w:rPr>
          <w:szCs w:val="24"/>
          <w:lang w:eastAsia="lt-LT" w:bidi="lt-LT"/>
        </w:rPr>
        <w:t>V. S. 4</w:t>
      </w:r>
      <w:r w:rsidRPr="00C00255">
        <w:rPr>
          <w:szCs w:val="24"/>
          <w:lang w:eastAsia="lt-LT" w:bidi="lt-LT"/>
        </w:rPr>
        <w:t>, vairuodamas tanką, užvažiavo ant nukentėjusiųjų L. A</w:t>
      </w:r>
      <w:r>
        <w:rPr>
          <w:szCs w:val="24"/>
          <w:lang w:eastAsia="lt-LT" w:bidi="lt-LT"/>
        </w:rPr>
        <w:t>.</w:t>
      </w:r>
      <w:r w:rsidRPr="00C00255">
        <w:rPr>
          <w:szCs w:val="24"/>
          <w:lang w:eastAsia="lt-LT" w:bidi="lt-LT"/>
        </w:rPr>
        <w:t>, L. T</w:t>
      </w:r>
      <w:r>
        <w:rPr>
          <w:szCs w:val="24"/>
          <w:lang w:eastAsia="lt-LT" w:bidi="lt-LT"/>
        </w:rPr>
        <w:t>.</w:t>
      </w:r>
      <w:r w:rsidRPr="00C00255">
        <w:rPr>
          <w:szCs w:val="24"/>
          <w:lang w:eastAsia="lt-LT" w:bidi="lt-LT"/>
        </w:rPr>
        <w:t xml:space="preserve">, </w:t>
      </w:r>
      <w:r>
        <w:rPr>
          <w:rFonts w:eastAsia="Calibri"/>
          <w:szCs w:val="24"/>
        </w:rPr>
        <w:t>A. M. P.</w:t>
      </w:r>
      <w:r w:rsidRPr="00C00255">
        <w:rPr>
          <w:szCs w:val="24"/>
          <w:lang w:eastAsia="lt-LT" w:bidi="lt-LT"/>
        </w:rPr>
        <w:t xml:space="preserve"> ir </w:t>
      </w:r>
      <w:r>
        <w:rPr>
          <w:szCs w:val="24"/>
          <w:lang w:eastAsia="lt-LT" w:bidi="lt-LT"/>
        </w:rPr>
        <w:t>A. S.</w:t>
      </w:r>
      <w:r w:rsidRPr="00C00255">
        <w:rPr>
          <w:szCs w:val="24"/>
          <w:lang w:eastAsia="lt-LT" w:bidi="lt-LT"/>
        </w:rPr>
        <w:t xml:space="preserve"> bei juos sužalojo. </w:t>
      </w:r>
      <w:r>
        <w:rPr>
          <w:szCs w:val="24"/>
          <w:lang w:eastAsia="lt-LT" w:bidi="lt-LT"/>
        </w:rPr>
        <w:t>N. A.</w:t>
      </w:r>
      <w:r w:rsidRPr="00C00255">
        <w:rPr>
          <w:szCs w:val="24"/>
          <w:lang w:eastAsia="lt-LT" w:bidi="lt-LT"/>
        </w:rPr>
        <w:t xml:space="preserve"> įsakymu iš tanko buvo paleistas vienas šūvis, tačiau prie jo </w:t>
      </w:r>
      <w:r>
        <w:rPr>
          <w:szCs w:val="24"/>
          <w:lang w:eastAsia="lt-LT" w:bidi="lt-LT"/>
        </w:rPr>
        <w:t>V. S. 4</w:t>
      </w:r>
      <w:r w:rsidRPr="00C00255">
        <w:rPr>
          <w:szCs w:val="24"/>
          <w:lang w:eastAsia="lt-LT" w:bidi="lt-LT"/>
        </w:rPr>
        <w:t xml:space="preserve"> neprisidėjo ir jo nekontroliavo, nes buvo tanko vairuotoju, o ne taikytoju. Be to, jo ginamasis prie TV bokšto įsakymų aklai nevykdė. Vairuodamas tanką, </w:t>
      </w:r>
      <w:r>
        <w:rPr>
          <w:szCs w:val="24"/>
          <w:lang w:eastAsia="lt-LT" w:bidi="lt-LT"/>
        </w:rPr>
        <w:t>V. S. 4</w:t>
      </w:r>
      <w:r w:rsidRPr="00C00255">
        <w:rPr>
          <w:szCs w:val="24"/>
          <w:lang w:eastAsia="lt-LT" w:bidi="lt-LT"/>
        </w:rPr>
        <w:t xml:space="preserve"> sustojo prieš iš sunkvežimių </w:t>
      </w:r>
      <w:r w:rsidRPr="00C00255">
        <w:rPr>
          <w:szCs w:val="24"/>
        </w:rPr>
        <w:t xml:space="preserve">sudarytą kliūtį ir kliūties nestumdė (tai darė kitas tankas), toliau nevažiavo. Gynėjo teigimu, šios aplinkybės rodo, kad </w:t>
      </w:r>
      <w:r>
        <w:rPr>
          <w:szCs w:val="24"/>
        </w:rPr>
        <w:t>V. S. 4</w:t>
      </w:r>
      <w:r w:rsidRPr="00C00255">
        <w:rPr>
          <w:szCs w:val="24"/>
        </w:rPr>
        <w:t xml:space="preserve"> įvykių naktį padarė viską, ką galėjo, kad būtų padaryta kuo mažesnė žala.</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Pirmosios instancijos teismo išvadą, kad tankas Nr. 502 prie TV bokšto šalino kariškių kolonai judėti trukdžiusias užtvaras ir kliūtis, patvirtina </w:t>
      </w:r>
      <w:r w:rsidRPr="00C00255">
        <w:rPr>
          <w:szCs w:val="24"/>
          <w:lang w:eastAsia="lt-LT"/>
        </w:rPr>
        <w:t xml:space="preserve">2014 m. birželio 10 d. specialisto išvada. Įvertinęs iš skirtingų įrodymų šaltinių gautus duomenis, specialistas konstatavo, kad „tankas T-72 b/n 502 (tanko vadas </w:t>
      </w:r>
      <w:r>
        <w:rPr>
          <w:szCs w:val="24"/>
          <w:lang w:eastAsia="lt-LT"/>
        </w:rPr>
        <w:t>N. A.</w:t>
      </w:r>
      <w:r w:rsidRPr="00C00255">
        <w:rPr>
          <w:szCs w:val="24"/>
          <w:lang w:eastAsia="lt-LT"/>
        </w:rPr>
        <w:t xml:space="preserve">) ir tankas T-72 b/n 513 (tanko vadas </w:t>
      </w:r>
      <w:r>
        <w:rPr>
          <w:szCs w:val="24"/>
          <w:lang w:eastAsia="lt-LT"/>
        </w:rPr>
        <w:t>S. V.</w:t>
      </w:r>
      <w:r w:rsidRPr="00C00255">
        <w:rPr>
          <w:szCs w:val="24"/>
          <w:lang w:eastAsia="lt-LT"/>
        </w:rPr>
        <w:t>) stumdė ir traiškė techniką, stovėjusią kolonos kelyje, sukeldami mirtiną pavojų civiliams prie TV bokšto“ (t. 480, b. l. 70). Apie tai, kad tankas Nr. 502 stumdė ir traiškė techniką prie TV bokšto, patvirtina ir 1991 m. sausio 16 d. daiktinių įrodymų apžiūros Vilniaus mieste protokolas (t. 427, b. l. 70–71; t. 114, b. l. 81–89). Jame nurodoma, kad apžiūrėjus objektą 184–1, borto Nr. 502, nustatyti: „</w:t>
      </w:r>
      <w:r w:rsidRPr="00C00255">
        <w:rPr>
          <w:iCs/>
          <w:szCs w:val="24"/>
          <w:lang w:eastAsia="lt-LT"/>
        </w:rPr>
        <w:t>sulenkti kairysis ir dešinysis šio objekto priekiniai posparniai, šie pažeidimai buvo padaryti tuo metu, kai buvo stumdomos mašinų sangrūdos prie televizijos bokšto. Taipogi sudaužytas bokšto žibintas</w:t>
      </w:r>
      <w:r w:rsidRPr="00C00255">
        <w:rPr>
          <w:szCs w:val="24"/>
          <w:lang w:eastAsia="lt-LT"/>
        </w:rPr>
        <w:t xml:space="preserve">“ (t. 427, b. l. 71). </w:t>
      </w:r>
    </w:p>
    <w:p w:rsidR="00DA38E9" w:rsidRPr="000E2C88" w:rsidRDefault="00DA38E9" w:rsidP="00DA38E9">
      <w:pPr>
        <w:pStyle w:val="ListParagraph"/>
        <w:numPr>
          <w:ilvl w:val="0"/>
          <w:numId w:val="6"/>
        </w:numPr>
        <w:spacing w:before="120" w:after="120"/>
        <w:ind w:left="992" w:hanging="992"/>
        <w:contextualSpacing w:val="0"/>
        <w:rPr>
          <w:szCs w:val="24"/>
          <w:lang w:eastAsia="lt-LT"/>
        </w:rPr>
      </w:pPr>
      <w:r w:rsidRPr="000E2C88">
        <w:rPr>
          <w:szCs w:val="24"/>
          <w:lang w:eastAsia="lt-LT"/>
        </w:rPr>
        <w:t xml:space="preserve">Tanko Nr. 502 veiksmus šalinant kliūtis patvirtina ir minėti nuteistojo N. A. paaiškinimai, pateikti dar iki pradedant jo baudžiamąjį persekiojimą. 1991 m. sausio 16 d. paaiškinime N. A. nurodė ir tai, kad jis turėjo nuvesti koloną maršrutu, likviduoti užtvaras maršrute, privažiuoti prie TV bokšto tankais iš abiejų pusių ir užtikrinti, kad desantas išsilaipins ir įeis į TV bokštą. Užduoties vykdymo metu jis aptiko vieną barjerą, sudarytą iš trijų krovininių ir kelių lengvųjų automobilių; įveikęs kliūtis, jis tęsė judėjimą į TV bokšto pusę, sustatė 4 tankus, kaip jam buvo įsakyta (t. 427, b. l. 26; t. 114, b. l. 22). Nuteistasis J. M. teisiamajame posėdyje parodė, kad jo tankas važiavo paskutinis iš keturių ir jam teko pervažiuoti jau kitų tankų pervažiuotą kelyje stovėjusį barstytuvą </w:t>
      </w:r>
      <w:r w:rsidRPr="000E2C88">
        <w:rPr>
          <w:szCs w:val="24"/>
        </w:rPr>
        <w:t>(t. 756, b. l. 57–69)</w:t>
      </w:r>
      <w:r w:rsidRPr="000E2C88">
        <w:rPr>
          <w:szCs w:val="24"/>
          <w:lang w:eastAsia="lt-LT"/>
        </w:rPr>
        <w:t xml:space="preserve">. Iš šių duomenų matyti, kad tankų kolonos priekyje važiavo N. A. vadovaujamas tankas Nr. 502, o paskutinis – nuteistojo J. M. vadovaujamas tankas Nr. 544. Tokia išvada teisėjų kolegijai nekelia abejonių, nes ji atitinka ir ikiteisminio tyrimo metu duotus kitų tankų įgulose buvusių kariškių parodymus. Liudytoju šioje byloje apklaustas tanko Nr. 541 vairuotojas V. P., kuriam jokie kaltinimai nebuvo reiškiami, nurodė, kad jų jungtinio būrio tankai važiavo tokia tvarka – priekyje tankas Nr. 502, paskui jį tankas Nr. 513, o vėliau sekė tankai Nr. 541 ir 544 (t. 440, b. l. 57–61, t. 127, b. l. 75–82; t. 760, b. l. 154). Iš tanko Nr. 513 vado S. V. parodymų matyti, kad jų tankas važiavo antras, t. y. paskui N. A. vadovaujamą tanką Nr. 502 (jų tankas visoje kariškių kolonoje buvo trečias, nes prieš tanką Nr. 502 kolonoje važiavo desantininkų kovinė mašina (BMD), paskui ją tankas Nr. 502, o už jo tankas Nr. 513) (t. 440, b. l. 62–65, t. 127, b. l. 83–91). Tokius pat parodymus apie tankų eiliškumą kolonoje davė ir tanko Nr. 502 taikytojas O. A. (t. 440, b. l. 41–46, t. 127, b. l. 46–45). Itin aiškiai tankų išsidėstymas matomas ir tanko Nr. 541 vado V. Š. 3 nupieštoje schemoje, kurioje numeriais pažymėti keturi tankai stovintys prieš pat iš automobilių sudarytą kliūtį (t. 127 b. l. 59). Šios aplinkybės itin svarbios vertinant kitus byloje surinktus įrodymus apie atskiriems tankams ir jų ekipažų nariams inkriminuotus veiksmus padarant sužalojimus atskiriems nukentėjusiesiems, todėl minėtos schemos dalį tikslinga pateikti ir šiame sprendime. </w:t>
      </w:r>
    </w:p>
    <w:p w:rsidR="00DA38E9" w:rsidRPr="00C00255" w:rsidRDefault="00DA38E9" w:rsidP="00DA38E9">
      <w:pPr>
        <w:pStyle w:val="ListParagraph"/>
        <w:spacing w:before="120" w:after="120"/>
        <w:ind w:left="992"/>
        <w:contextualSpacing w:val="0"/>
        <w:jc w:val="center"/>
        <w:rPr>
          <w:szCs w:val="24"/>
          <w:lang w:eastAsia="lt-LT" w:bidi="lt-LT"/>
        </w:rPr>
      </w:pPr>
      <w:r w:rsidRPr="00C00255">
        <w:rPr>
          <w:noProof/>
          <w:szCs w:val="24"/>
          <w:lang w:val="en-US"/>
        </w:rPr>
        <w:drawing>
          <wp:inline distT="0" distB="0" distL="0" distR="0">
            <wp:extent cx="1497330" cy="1466850"/>
            <wp:effectExtent l="0" t="0" r="762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7330" cy="1466850"/>
                    </a:xfrm>
                    <a:prstGeom prst="rect">
                      <a:avLst/>
                    </a:prstGeom>
                    <a:noFill/>
                    <a:ln>
                      <a:noFill/>
                    </a:ln>
                  </pic:spPr>
                </pic:pic>
              </a:graphicData>
            </a:graphic>
          </wp:inline>
        </w:drawing>
      </w:r>
    </w:p>
    <w:p w:rsidR="00DA38E9" w:rsidRPr="00C00255" w:rsidRDefault="00DA38E9" w:rsidP="00DA38E9">
      <w:pPr>
        <w:pStyle w:val="ListParagraph"/>
        <w:spacing w:before="120" w:after="120"/>
        <w:ind w:left="992"/>
        <w:contextualSpacing w:val="0"/>
        <w:jc w:val="center"/>
        <w:rPr>
          <w:szCs w:val="24"/>
          <w:lang w:eastAsia="lt-LT" w:bidi="lt-LT"/>
        </w:rPr>
      </w:pPr>
      <w:r w:rsidRPr="00C00255">
        <w:rPr>
          <w:szCs w:val="24"/>
          <w:lang w:eastAsia="lt-LT" w:bidi="lt-LT"/>
        </w:rPr>
        <w:t xml:space="preserve">(tankų kolonos išsidėstymas atvykstant prie TV bokšto </w:t>
      </w:r>
      <w:r w:rsidRPr="00C00255">
        <w:rPr>
          <w:szCs w:val="24"/>
          <w:lang w:eastAsia="lt-LT"/>
        </w:rPr>
        <w:t>(t. 127, b. l. 59</w:t>
      </w:r>
      <w:r w:rsidRPr="00C00255">
        <w:rPr>
          <w:szCs w:val="24"/>
          <w:lang w:eastAsia="lt-LT" w:bidi="lt-LT"/>
        </w:rPr>
        <w:t>))</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Apie šios iš automobilių sudarytos kliūties šalinimą, taip pat ir minėto barstytuvo pervažiavimą teismas dar plačiau pasisakys atskirai, analizuodamas nukentėjusiojo </w:t>
      </w:r>
      <w:r w:rsidRPr="00C00255">
        <w:rPr>
          <w:iCs/>
          <w:szCs w:val="24"/>
          <w:lang w:eastAsia="lt-LT"/>
        </w:rPr>
        <w:t>A. P. K</w:t>
      </w:r>
      <w:r>
        <w:rPr>
          <w:iCs/>
          <w:szCs w:val="24"/>
          <w:lang w:eastAsia="lt-LT"/>
        </w:rPr>
        <w:t>.</w:t>
      </w:r>
      <w:r w:rsidRPr="00C00255">
        <w:rPr>
          <w:iCs/>
          <w:szCs w:val="24"/>
          <w:lang w:eastAsia="lt-LT"/>
        </w:rPr>
        <w:t xml:space="preserve"> nužudymo aplinkybes, tačiau, nepaisant visų skundų argumentų apie atskirų tankų vaidmenį, šalinant atskiras kliūtis, mažesnį ar didesnį atskiro tanko žalojantį vaidmenį, byloje nustatyta ir tai, kad visi tankai veikė bendrai, turėdami bendrą užduotį atlaisvinti kelią kitų kariškių kolonai. Todėl nesvarbu, kuris iš tankų kokią kliūtį ir kaip įveikė – svarbu, kad jie visi veikė koordinuotai, siekdami to paties tikslo.</w:t>
      </w:r>
      <w:r w:rsidRPr="00C00255">
        <w:rPr>
          <w:szCs w:val="24"/>
          <w:lang w:eastAsia="lt-LT" w:bidi="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Iš nustatytos operacijos eigos ir byloje surinktų įrodymų matyti, kad tankai, įveikę kelyje link bokšto buvusias pirmąsias kliūtis iš transporto priemonių, privažiavę bokštą ir žinodami, kad į aptvertą bokšto teritoriją yra tik vienas įvažiavimas, per kurį visai kariškių kolonai patekti į bokšto teritoriją nebus galimybės dėl čia susirinkusių kelių tūkstančių civilių, išlaužė bokšto teritoriją juosiančią tvorą bent trijose skirtingose vietose, per kurias į TV bokšto teritoriją ir pateko TSRS kariškiai. Tokias kariškių veikimo taktines aplinkybes nurodė byloje išvadą pateikęs specialistas J. Andriškevičius</w:t>
      </w:r>
      <w:r w:rsidRPr="00C00255">
        <w:rPr>
          <w:rFonts w:eastAsia="Calibri"/>
          <w:szCs w:val="24"/>
        </w:rPr>
        <w:t xml:space="preserve"> (t.</w:t>
      </w:r>
      <w:r w:rsidRPr="00C00255">
        <w:rPr>
          <w:szCs w:val="24"/>
          <w:lang w:eastAsia="lt-LT"/>
        </w:rPr>
        <w:t xml:space="preserve"> 480, b. l. 71). Nuteistasis </w:t>
      </w:r>
      <w:r>
        <w:rPr>
          <w:szCs w:val="24"/>
          <w:lang w:eastAsia="lt-LT"/>
        </w:rPr>
        <w:t>J. M.</w:t>
      </w:r>
      <w:r w:rsidRPr="00C00255">
        <w:rPr>
          <w:szCs w:val="24"/>
          <w:lang w:eastAsia="lt-LT"/>
        </w:rPr>
        <w:t xml:space="preserve"> teisiamajame posėdyje taip pat nurodė, kad tankai buvo naudojami sulaužant TV bokštą juosiančią tvorą (</w:t>
      </w:r>
      <w:r w:rsidRPr="00C00255">
        <w:rPr>
          <w:szCs w:val="24"/>
        </w:rPr>
        <w:t xml:space="preserve">t. 756, b. l. 57–69). Šios aplinkybės matomos ir iš kompaktiniame diske „1A 1 dalis“ esančio antrojo vaizdo įrašo – jame matomi vaizdai, užfiksuoti prie TV bokšto 1991 m. sausio 13 d. šviesiu paros metu (laikas matyti iš vaizdo įraše esančio filmavimo laiko titro). Įraše matyti, kad TV bokštą iš visų pusių juosianti tvora ne vienoje vietoje išlaužta. Taip pat įraše matyti už tvoros aplink pastatą išsidėsčiusi karinė technika (t. 507, b. l. 46; žr. iki 2 min. 53 sek.). </w:t>
      </w:r>
      <w:r w:rsidRPr="00C00255">
        <w:rPr>
          <w:szCs w:val="24"/>
          <w:lang w:eastAsia="lt-LT"/>
        </w:rPr>
        <w:t xml:space="preserve">Pažymėtina, kad nuosprendžio išvados, jog tankas Nr. 502 buvo vienu iš tvorą šioje TV bokšto pusėje išlaužusių tankų, neginčija ir šio tanko įgulai priklausę nuteistieji, todėl teisėjų kolegija minėtas aplinkybes vertina kaip įrodytas.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rFonts w:eastAsia="Calibri"/>
        </w:rPr>
        <w:t>Teisėjų kolegijai taip pat nekyla abejonių, kad įvažiavęs į TV bokšto teritoriją, tankas Nr. 502, pavojingai manevruodamas civilių minioje, juos baugindamas ir terorizuodamas, ne mažiau kaip vieną kartą iššovė iš pabūklo tuščiu užtaisu ir korpusu išdaužė TV bokšto pastato pirmajame aukšte buvusios konferencijų salės langus.</w:t>
      </w:r>
      <w:r w:rsidRPr="000E2C88">
        <w:rPr>
          <w:rFonts w:eastAsia="Calibri"/>
          <w:szCs w:val="24"/>
        </w:rPr>
        <w:t xml:space="preserve"> </w:t>
      </w:r>
      <w:r w:rsidRPr="000E2C88">
        <w:rPr>
          <w:rFonts w:eastAsia="Calibri"/>
        </w:rPr>
        <w:t>Šių aplinkybių nuteistųjų V. S. 4 ir O. A. gynėjai taip pat neginčija, o pasisakydami apie tanko šūvį su šia aplinkybe iš esmės sutinka, tačiau teigia, kad šūvis buvo atliktas tanko vado N. A. įsakymu.</w:t>
      </w:r>
      <w:r w:rsidRPr="000E2C88">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rFonts w:eastAsia="Calibri"/>
          <w:szCs w:val="24"/>
        </w:rPr>
        <w:t xml:space="preserve">Šias aplinkybes, o kartu ir tanko veikimą itin pavojingai patvirtina </w:t>
      </w:r>
      <w:r w:rsidRPr="00C00255">
        <w:rPr>
          <w:szCs w:val="24"/>
        </w:rPr>
        <w:t xml:space="preserve">1991 m. sausio 16 d. tanko Nr. 502 vado </w:t>
      </w:r>
      <w:r>
        <w:rPr>
          <w:szCs w:val="24"/>
        </w:rPr>
        <w:t>N. A.</w:t>
      </w:r>
      <w:r w:rsidRPr="00C00255">
        <w:rPr>
          <w:szCs w:val="24"/>
        </w:rPr>
        <w:t xml:space="preserve"> pasirašytas paaiškinimas. Jame </w:t>
      </w:r>
      <w:r>
        <w:rPr>
          <w:szCs w:val="24"/>
        </w:rPr>
        <w:t>N. A.</w:t>
      </w:r>
      <w:r w:rsidRPr="00C00255">
        <w:rPr>
          <w:szCs w:val="24"/>
        </w:rPr>
        <w:t xml:space="preserve"> nurodė, kad operacijos vykdymo metu prie TV bokšto leido panaudoti išmušamąjį užtaisą, siekiant atbaidyti civilius nuo artinimosi prie mašinų (t. 427, b. l. 26, t. 114, b. l. 22). </w:t>
      </w:r>
      <w:r w:rsidRPr="00C00255">
        <w:rPr>
          <w:szCs w:val="24"/>
          <w:lang w:eastAsia="lt-LT"/>
        </w:rPr>
        <w:t xml:space="preserve">Tai, kad tankas Nr. 502 buvo vienu iš tuščiais užtaisais prie TV bokšto šaudžiusių tankų, patvirtina ir šio tanko apžiūra netrukus po įvykių. Jos metu šio tanko pabūklo vamzdžio kanale rasti nuodegų pėdsakai (t. 427, b. l. 71, t. 114, b. l. 81–89). </w:t>
      </w:r>
      <w:r w:rsidRPr="00C00255">
        <w:rPr>
          <w:szCs w:val="24"/>
        </w:rPr>
        <w:t>Kompaktiniame diske „4A 2 dalis“ esančiame pirmajame vaizdo įraše nuo 42 min. 50 sek. užfiksuoti pasikartojantys tankų šūviai iš pabūklo, po kurių laikinai sutrinka filmuojamas vaizdas (t. 507, b. l. 49). Daugybiniai tankų šūviai iš pabūklo prie TV bokšto matyti bei girdėti ir k</w:t>
      </w:r>
      <w:r w:rsidRPr="00C00255">
        <w:rPr>
          <w:szCs w:val="24"/>
          <w:lang w:eastAsia="lt-LT"/>
        </w:rPr>
        <w:t xml:space="preserve">ompaktiniame diske „Sausio 13-oji. </w:t>
      </w:r>
      <w:r w:rsidRPr="00C00255">
        <w:rPr>
          <w:i/>
          <w:szCs w:val="24"/>
          <w:lang w:eastAsia="lt-LT"/>
        </w:rPr>
        <w:t>In memoriam</w:t>
      </w:r>
      <w:r w:rsidRPr="00C00255">
        <w:rPr>
          <w:szCs w:val="24"/>
          <w:lang w:eastAsia="lt-LT"/>
        </w:rPr>
        <w:t>“, esančiame trečiajame vaizdo įraše nuo 8 min. 38 sek. (t. 493, b. l. 123). Teisiamajame posėdyje apklaustas nukentėjusysis A. L</w:t>
      </w:r>
      <w:r>
        <w:rPr>
          <w:szCs w:val="24"/>
          <w:lang w:eastAsia="lt-LT"/>
        </w:rPr>
        <w:t>.</w:t>
      </w:r>
      <w:r w:rsidRPr="00C00255">
        <w:rPr>
          <w:szCs w:val="24"/>
          <w:lang w:eastAsia="lt-LT"/>
        </w:rPr>
        <w:t xml:space="preserve"> nurodė, kad </w:t>
      </w:r>
      <w:r w:rsidRPr="00C00255">
        <w:rPr>
          <w:szCs w:val="24"/>
        </w:rPr>
        <w:t>vienas iš tankų privažiavo prie konferencijų salės pusės ir vamzdžiu išdaužė jos langą. Nukentėjusysis posėdyje kaip teisingus patvirtino ir tyrimo metu duotus parodymus, kuriuose nurodė, kad aplink bokštą pradėjus važiuoti tankams, po kurio laiko pasigirdo traškesys ir žmonių riksmai – bokšto pirmo aukšto viršutiniai langai pradėjo byrėti laukan (t. 759, b. l. 50–51; t. 80, b. l. 24–25).</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Analizuojant gynybos argumentus apie tanko Nr. 502 veiksmų pavojingumą, itin reikšmingi teisiamajame posėdyje apklausto liudytojo </w:t>
      </w:r>
      <w:r>
        <w:rPr>
          <w:szCs w:val="24"/>
        </w:rPr>
        <w:t>G. J.</w:t>
      </w:r>
      <w:r w:rsidRPr="00C00255">
        <w:rPr>
          <w:szCs w:val="24"/>
        </w:rPr>
        <w:t xml:space="preserve">, kuris yra ir karys profesionalas, parodymai. Šis liudytojas nurodė matęs, kaip technikos kolonos priekyje prie TV bokšto važiavęs tankas vedė visą technikos koloną (teisėjų kolegija jau minėjo, kad kolonos priekyje važiavo </w:t>
      </w:r>
      <w:r>
        <w:rPr>
          <w:szCs w:val="24"/>
        </w:rPr>
        <w:t>N. A.</w:t>
      </w:r>
      <w:r w:rsidRPr="00C00255">
        <w:rPr>
          <w:szCs w:val="24"/>
        </w:rPr>
        <w:t xml:space="preserve"> vadovaujamas tankas Nr. 502). Likus 100 m šis tankas pagreitėjo, atsiplėšė nuo pagrindinės kolonos ir tikslingai įvažiavo į žmones, kurie stovėjo prie TV bokšto. Tada tankas pasuko vamzdį ir pradėjo daužyti langus, po ko pradėjo kristi stiklai ir pasigirdo žmonių klyksmai. L</w:t>
      </w:r>
      <w:r w:rsidRPr="00C00255">
        <w:rPr>
          <w:color w:val="000000"/>
          <w:szCs w:val="24"/>
        </w:rPr>
        <w:t xml:space="preserve">iudytojas nurodė, kad šie manevrai buvo staigūs ir atlikti aplink esant labai daug žmonių. Stebėdamas tanko manevrus, liudytojas net pagalvojo, kad tankas sutraiškė visus toje vietoje buvusius žmones, nes atrodė, jog jis įlėkė į žmonių minią. Anot liudytojo, po šio manevro pasigirdo žmonių riksmas, cypimas, žmonės pradėjo bėgti iš tos vietos. </w:t>
      </w:r>
      <w:r w:rsidRPr="00C00255">
        <w:rPr>
          <w:szCs w:val="24"/>
        </w:rPr>
        <w:t>Be to, liudytojas G. J</w:t>
      </w:r>
      <w:r>
        <w:rPr>
          <w:szCs w:val="24"/>
        </w:rPr>
        <w:t>.</w:t>
      </w:r>
      <w:r w:rsidRPr="00C00255">
        <w:rPr>
          <w:szCs w:val="24"/>
        </w:rPr>
        <w:t xml:space="preserve"> kaip teisingus patvirtino ir tyrimo metu duotus parodymus apie tai, kad šis tankas išdaužė TV bokšto pirmojo aukšto langus (</w:t>
      </w:r>
      <w:r w:rsidRPr="00C00255">
        <w:rPr>
          <w:color w:val="000000"/>
          <w:szCs w:val="24"/>
        </w:rPr>
        <w:t xml:space="preserve">t. 760, b. l. 7–9; t. 470, b. l. 130–137).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2014 m. birželio 10 d. išvadoje karybos specialistas konstatavo, kad prie TV bokšto tankai šaudė iš pabūklų išmušamaisiais užtaisais, leido dūmines užsklandas, pavojingai manevravo, o panašūs veiksmai turėjo išgąsdinti, demoralizuoti, išsklaidyti civilius, susirinkusius prie TV bokšto. Išvadoje konstatuota ir tai, kad šarvuota technika TV bokšto teritorijoje grubiai manevravo (t. 480, b. l. 71). Atitinkamai ir teisiamajame posėdyje apklaustas nukentėjusysis R.</w:t>
      </w:r>
      <w:r>
        <w:rPr>
          <w:szCs w:val="24"/>
        </w:rPr>
        <w:t> </w:t>
      </w:r>
      <w:r w:rsidRPr="00C00255">
        <w:rPr>
          <w:szCs w:val="24"/>
        </w:rPr>
        <w:t>M</w:t>
      </w:r>
      <w:r>
        <w:rPr>
          <w:szCs w:val="24"/>
        </w:rPr>
        <w:t>.</w:t>
      </w:r>
      <w:r w:rsidRPr="00C00255">
        <w:rPr>
          <w:szCs w:val="24"/>
        </w:rPr>
        <w:t xml:space="preserve"> parodė apie staigius tankų manevrus prie TV bokšto aplink esant civilių (t. 759,</w:t>
      </w:r>
      <w:r>
        <w:rPr>
          <w:szCs w:val="24"/>
        </w:rPr>
        <w:t xml:space="preserve"> </w:t>
      </w:r>
      <w:r w:rsidRPr="00C00255">
        <w:rPr>
          <w:szCs w:val="24"/>
        </w:rPr>
        <w:t>b. l.</w:t>
      </w:r>
      <w:r>
        <w:rPr>
          <w:szCs w:val="24"/>
        </w:rPr>
        <w:t> </w:t>
      </w:r>
      <w:r w:rsidRPr="00C00255">
        <w:rPr>
          <w:szCs w:val="24"/>
        </w:rPr>
        <w:t xml:space="preserve">81–82). Šis liudytojas patvirtino ir tyrimo metu duotus parodymus, kuriuose nurodė, kad civilius kiek atstūmę nuo bokšto, kariškiai pradėjo juos vaikyti – tai darė važinėdami tankais, nušviesdami šviesomis; kur žmonės daugiau būriavosi, tankai važiavo į juos, užleisdavo dūmus (t. 80, b. l. 171–176).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color w:val="000000"/>
          <w:szCs w:val="24"/>
        </w:rPr>
        <w:t xml:space="preserve">Be to, išskirtinį tanko Nr. 502 veiksmų pavojingumą patvirtina ir teismo nustatytos faktinės net kelių prie TV bokšto buvusių nukentėjusiųjų sužalojimo ir </w:t>
      </w:r>
      <w:r w:rsidRPr="000E2C88">
        <w:rPr>
          <w:iCs/>
          <w:lang w:eastAsia="lt-LT"/>
        </w:rPr>
        <w:t>L. A. mirties aplinkybės, kurias tiesiogiai lėmė būtent šio tanko ir jo ekipažo narių veiksmai.</w:t>
      </w:r>
      <w:r w:rsidRPr="000E2C88">
        <w:rPr>
          <w:color w:val="000000"/>
          <w:szCs w:val="24"/>
        </w:rPr>
        <w:t xml:space="preserve"> </w:t>
      </w:r>
    </w:p>
    <w:p w:rsidR="00DA38E9" w:rsidRPr="006057FC" w:rsidRDefault="00DA38E9" w:rsidP="00DA38E9">
      <w:pPr>
        <w:pStyle w:val="Heading5"/>
        <w:ind w:left="992"/>
        <w:rPr>
          <w:rFonts w:ascii="Times New Roman" w:hAnsi="Times New Roman" w:cs="Times New Roman"/>
          <w:i/>
          <w:iCs/>
          <w:color w:val="auto"/>
        </w:rPr>
      </w:pPr>
      <w:bookmarkStart w:id="290" w:name="_Hlk67502911"/>
      <w:r w:rsidRPr="00C00255">
        <w:rPr>
          <w:rFonts w:ascii="Times New Roman" w:hAnsi="Times New Roman" w:cs="Times New Roman"/>
          <w:i/>
          <w:iCs/>
          <w:color w:val="auto"/>
        </w:rPr>
        <w:t>Dėl tanko Nr. 502 ir jo ekipažo narių veiksmais įvykdyto L. A</w:t>
      </w:r>
      <w:r>
        <w:rPr>
          <w:rFonts w:ascii="Times New Roman" w:hAnsi="Times New Roman" w:cs="Times New Roman"/>
          <w:i/>
          <w:iCs/>
          <w:color w:val="auto"/>
        </w:rPr>
        <w:t>.</w:t>
      </w:r>
      <w:r w:rsidRPr="00C00255">
        <w:rPr>
          <w:rFonts w:ascii="Times New Roman" w:hAnsi="Times New Roman" w:cs="Times New Roman"/>
          <w:i/>
          <w:iCs/>
          <w:color w:val="auto"/>
        </w:rPr>
        <w:t xml:space="preserve"> nužudymo</w:t>
      </w:r>
      <w:bookmarkEnd w:id="290"/>
      <w:r w:rsidRPr="00C00255">
        <w:rPr>
          <w:rFonts w:ascii="Times New Roman" w:hAnsi="Times New Roman" w:cs="Times New Roman"/>
          <w:i/>
          <w:iCs/>
          <w:color w:val="auto"/>
        </w:rPr>
        <w:t>, A</w:t>
      </w:r>
      <w:r w:rsidRPr="006057FC">
        <w:rPr>
          <w:rFonts w:ascii="Times New Roman" w:hAnsi="Times New Roman" w:cs="Times New Roman"/>
          <w:i/>
          <w:iCs/>
          <w:color w:val="auto"/>
        </w:rPr>
        <w:t xml:space="preserve">. M. P., </w:t>
      </w:r>
      <w:r w:rsidRPr="006057FC">
        <w:rPr>
          <w:rFonts w:ascii="Times New Roman" w:eastAsia="Calibri" w:hAnsi="Times New Roman" w:cs="Times New Roman"/>
          <w:i/>
          <w:iCs/>
          <w:color w:val="auto"/>
        </w:rPr>
        <w:t>L. T. (Š.)</w:t>
      </w:r>
      <w:r w:rsidRPr="006057FC">
        <w:rPr>
          <w:rFonts w:ascii="Times New Roman" w:hAnsi="Times New Roman" w:cs="Times New Roman"/>
          <w:i/>
          <w:iCs/>
          <w:color w:val="auto"/>
        </w:rPr>
        <w:t xml:space="preserve"> bei </w:t>
      </w:r>
      <w:r>
        <w:rPr>
          <w:rFonts w:ascii="Times New Roman" w:hAnsi="Times New Roman" w:cs="Times New Roman"/>
          <w:i/>
          <w:iCs/>
          <w:color w:val="auto"/>
        </w:rPr>
        <w:t>A. S.</w:t>
      </w:r>
      <w:r w:rsidRPr="006057FC">
        <w:rPr>
          <w:rFonts w:ascii="Times New Roman" w:hAnsi="Times New Roman" w:cs="Times New Roman"/>
          <w:i/>
          <w:iCs/>
          <w:color w:val="auto"/>
        </w:rPr>
        <w:t xml:space="preserve"> tyčinio sunkaus sveikatos sutrikdymo </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rPr>
          <w:lang w:eastAsia="lt-LT"/>
        </w:rPr>
        <w:t xml:space="preserve">Aplinkybės, kad nukentėjusieji </w:t>
      </w:r>
      <w:r w:rsidRPr="000E2C88">
        <w:rPr>
          <w:szCs w:val="24"/>
        </w:rPr>
        <w:t xml:space="preserve">L. A., </w:t>
      </w:r>
      <w:r w:rsidRPr="000E2C88">
        <w:rPr>
          <w:rFonts w:eastAsia="Calibri"/>
          <w:szCs w:val="24"/>
        </w:rPr>
        <w:t>A. M. P.</w:t>
      </w:r>
      <w:r w:rsidRPr="000E2C88">
        <w:rPr>
          <w:szCs w:val="24"/>
        </w:rPr>
        <w:t xml:space="preserve">, L. T. (dabar Š.) bei A. S. </w:t>
      </w:r>
      <w:r w:rsidRPr="000E2C88">
        <w:rPr>
          <w:lang w:eastAsia="lt-LT"/>
        </w:rPr>
        <w:t xml:space="preserve">buvo sužaloti tanku TV bokšto užėmimo metu nustatytos išnagrinėtoje </w:t>
      </w:r>
      <w:r w:rsidRPr="000E2C88">
        <w:rPr>
          <w:szCs w:val="24"/>
        </w:rPr>
        <w:t>M. B., J. K. ir kitų byloje.</w:t>
      </w:r>
      <w:r w:rsidRPr="000E2C88">
        <w:rPr>
          <w:lang w:eastAsia="lt-LT"/>
        </w:rPr>
        <w:t xml:space="preserve"> </w:t>
      </w:r>
      <w:r w:rsidRPr="000E2C88">
        <w:rPr>
          <w:szCs w:val="24"/>
          <w:lang w:eastAsia="lt-LT"/>
        </w:rPr>
        <w:t xml:space="preserve">Vilniaus apygardos teismo 1999 m. rugpjūčio 23 d. nuosprendžiu baudžiamojoje byloje Nr. 1-2/1999, be kita ko, nustatyta, kad </w:t>
      </w:r>
      <w:r w:rsidRPr="000E2C88">
        <w:rPr>
          <w:color w:val="000000"/>
          <w:szCs w:val="24"/>
          <w:lang w:eastAsia="lt-LT" w:bidi="lt-LT"/>
        </w:rPr>
        <w:t xml:space="preserve">a) „naktį iš sausio 12-os į 13-ąją d. TSRS kariškiai tyčia nužudė prie Televizijos bokšto: L. A. mirė ligoninėje nuo daugybinių sužalojimų, gautų sutraiškius tanko vikšrais.“ (t. 379, b. l. 7); b) „tyčiniai sunkūs kūno sužalojimai prie Televizijos bokšto buvo padaryti &lt;...&gt; A. S., A. P. ir L. T. tanko vikšrais sužalotos kojos.“ (t. 379, b. l. 8).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Skundžiamu Vilniaus apygardos teismo 2019 m. kovo 27 d. nuosprendžiu konstatuota, kad minėtus nukentėjusiuosius sužalojo TSRS GM 107-osios motorizuotų šaulių divizijos</w:t>
      </w:r>
      <w:r w:rsidRPr="00C00255">
        <w:rPr>
          <w:szCs w:val="24"/>
          <w:lang w:eastAsia="lt-LT"/>
        </w:rPr>
        <w:t xml:space="preserve"> 106-ojo tankų pulko tankas Nr. 502, kurio įgulos nariais buvo nuteistieji </w:t>
      </w:r>
      <w:r>
        <w:rPr>
          <w:szCs w:val="24"/>
          <w:lang w:eastAsia="lt-LT"/>
        </w:rPr>
        <w:t>N. A.</w:t>
      </w:r>
      <w:r w:rsidRPr="00C00255">
        <w:rPr>
          <w:szCs w:val="24"/>
          <w:lang w:eastAsia="lt-LT"/>
        </w:rPr>
        <w:t xml:space="preserve">, </w:t>
      </w:r>
      <w:r>
        <w:rPr>
          <w:szCs w:val="24"/>
          <w:lang w:eastAsia="lt-LT"/>
        </w:rPr>
        <w:t>O. A.</w:t>
      </w:r>
      <w:r w:rsidRPr="00C00255">
        <w:rPr>
          <w:szCs w:val="24"/>
          <w:lang w:eastAsia="lt-LT"/>
        </w:rPr>
        <w:t xml:space="preserve"> ir </w:t>
      </w:r>
      <w:r>
        <w:rPr>
          <w:szCs w:val="24"/>
        </w:rPr>
        <w:t>V. S. 4</w:t>
      </w:r>
      <w:r w:rsidRPr="00C00255">
        <w:rPr>
          <w:szCs w:val="24"/>
        </w:rPr>
        <w:t xml:space="preserve">. Nuteistojo </w:t>
      </w:r>
      <w:r>
        <w:rPr>
          <w:szCs w:val="24"/>
        </w:rPr>
        <w:t>V. S. 4</w:t>
      </w:r>
      <w:r w:rsidRPr="00C00255">
        <w:rPr>
          <w:szCs w:val="24"/>
        </w:rPr>
        <w:t xml:space="preserve"> </w:t>
      </w:r>
      <w:r w:rsidRPr="00C00255">
        <w:rPr>
          <w:szCs w:val="24"/>
          <w:lang w:eastAsia="lt-LT" w:bidi="lt-LT"/>
        </w:rPr>
        <w:t xml:space="preserve">gynėjas su tokiomis teismo išvadomis nesutinka ir teigia, kad byloje nėra nei tiesioginių, nei netiesioginių įrodymų, kurie patvirtintų, kad jo ginamasis, vairuodamas tanką Nr. 502, užvažiavo ant minėtų nukentėjusiųjų. Teisėjų kolegija tokius gynėjo argumentus atmeta kaip nepagrįstus, o pirmosios instancijos teismo išvadas, kad minėtus sužalojimus padarė ne kuris nors kitas, o tankas Nr. 502, vertina kaip teisingas ir pagrįstas byloje surinktais ir ištirtais įrodymais.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Iš teisėjų kolegijos aukščiau aptartų liudytojo </w:t>
      </w:r>
      <w:r>
        <w:rPr>
          <w:lang w:eastAsia="lt-LT"/>
        </w:rPr>
        <w:t>G. J.</w:t>
      </w:r>
      <w:r w:rsidRPr="00C00255">
        <w:rPr>
          <w:lang w:eastAsia="lt-LT"/>
        </w:rPr>
        <w:t xml:space="preserve"> parodymų matyti, kad tankų kolonos priekyje buvęs pirmasis tankas, t. y. tankas Nr. 502, </w:t>
      </w:r>
      <w:r w:rsidRPr="00C00255">
        <w:rPr>
          <w:color w:val="000000"/>
          <w:szCs w:val="24"/>
        </w:rPr>
        <w:t xml:space="preserve">įveikęs kliūtis, staiga padidino greitį, atsiplėšė nuo kolonos ir pajudėjo link TV bokšto, kur tuo metu buvo labai daug žmonių ir įlėkė į žmonių minią, po ko pasigirdo žmonių riksmas, cypimas, žmonės pradėjo bėgti iš tos vietos (t. 760, b. l. 7–9; t. 470, b. l. 133).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color w:val="000000"/>
          <w:szCs w:val="24"/>
        </w:rPr>
        <w:t xml:space="preserve">Tai, kad būtent šis </w:t>
      </w:r>
      <w:r w:rsidRPr="00C00255">
        <w:rPr>
          <w:szCs w:val="24"/>
          <w:lang w:eastAsia="lt-LT"/>
        </w:rPr>
        <w:t>tankas atliko tokius manevrus, seka ir iš nukentėjusiosios V. G</w:t>
      </w:r>
      <w:r>
        <w:rPr>
          <w:szCs w:val="24"/>
          <w:lang w:eastAsia="lt-LT"/>
        </w:rPr>
        <w:t>.</w:t>
      </w:r>
      <w:r w:rsidRPr="00C00255">
        <w:rPr>
          <w:szCs w:val="24"/>
          <w:lang w:eastAsia="lt-LT" w:bidi="lt-LT"/>
        </w:rPr>
        <w:t>, kuri mirusi, teisiamajame posėdyje perskaitytų</w:t>
      </w:r>
      <w:r w:rsidRPr="00C00255">
        <w:rPr>
          <w:szCs w:val="24"/>
        </w:rPr>
        <w:t xml:space="preserve"> parodymų</w:t>
      </w:r>
      <w:r w:rsidRPr="00C00255">
        <w:rPr>
          <w:szCs w:val="24"/>
          <w:lang w:eastAsia="lt-LT" w:bidi="lt-LT"/>
        </w:rPr>
        <w:t xml:space="preserve"> (</w:t>
      </w:r>
      <w:r w:rsidRPr="00C00255">
        <w:rPr>
          <w:szCs w:val="24"/>
        </w:rPr>
        <w:t>t. 759, b. l. 77, t. 76, b. l. 26–27; ši nukentėjusioji dėl aptariamų įvykių apklausta ir teisiamajame posėdyje kitoje baudžiamojoje byloje – t. 371, b. l. 173–174). Nukentėjusioji nurodė, kad tankas, važiuodamas link TV bokšto, sutraiškė ten stovėjusius automobilius, o toliau judėdamas link bokšto, važiavo tiesiai į žmonių minią ir sutraiškė mergaitę. Be to, anot nukentėjusiosios, šis tankas iššovė iš pabūklo dar neprivažiavęs prie bokšto (t. 76, b. l. 26). Taigi V. G</w:t>
      </w:r>
      <w:r>
        <w:rPr>
          <w:szCs w:val="24"/>
        </w:rPr>
        <w:t>.</w:t>
      </w:r>
      <w:r w:rsidRPr="00C00255">
        <w:rPr>
          <w:szCs w:val="24"/>
        </w:rPr>
        <w:t xml:space="preserve"> parodymai iš esmės atitinka liudytojo </w:t>
      </w:r>
      <w:r>
        <w:rPr>
          <w:szCs w:val="24"/>
        </w:rPr>
        <w:t>G. J.</w:t>
      </w:r>
      <w:r w:rsidRPr="00C00255">
        <w:rPr>
          <w:szCs w:val="24"/>
        </w:rPr>
        <w:t xml:space="preserve"> parodymus apie technikos kolonos priekyje važiavusio tanko veiksmus prie TV bokšto ir aplinkybę, kad jis įvažiavo į minią.</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Apie to paties tanko analogiškus veiksmus teisiamajame posėdyje parodė ir nukentėjusioji O. V. K</w:t>
      </w:r>
      <w:r>
        <w:rPr>
          <w:szCs w:val="24"/>
        </w:rPr>
        <w:t>.</w:t>
      </w:r>
      <w:r w:rsidRPr="00C00255">
        <w:rPr>
          <w:szCs w:val="24"/>
        </w:rPr>
        <w:t xml:space="preserve">. Pastaroji nurodė, kad tankas iššovė, buvo didelis garsas, nuo kurio nukrito daug žmonių. Tankas brovėsi per tvorą ir važiavo tiesiai į juos, prasidėjo riksmai, žmonės stūmė jį atgal. Būtent tuo metu </w:t>
      </w:r>
      <w:r>
        <w:rPr>
          <w:szCs w:val="24"/>
        </w:rPr>
        <w:t>L. A.</w:t>
      </w:r>
      <w:r w:rsidRPr="00C00255">
        <w:rPr>
          <w:szCs w:val="24"/>
        </w:rPr>
        <w:t xml:space="preserve"> pervažiavo tankas (t. 759, b. l. 30). </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rPr>
          <w:szCs w:val="24"/>
        </w:rPr>
        <w:t xml:space="preserve">Tai, kad būtent tankas Nr. 502 sužalojo L. A., patvirtina ir byloje esantys duomenys apie tanko Nr. 502 buvimo vietą prie TV bokšto bei L. A. sužalojimo vietą. Sugretinus byloje esančias tankų ekipažų nupieštas tankų išsidėstymo schemas (t. 127, b. l. 59, 82) ir, pavyzdžiui, liudytojo V. J. parodymų patikrinimo vietoje metu nurodytą schemą, taip pat įvertinant minėtų liudytojų ir nukentėjusiųjų parodymus apie atskirų tankų vaidmenį, matyti, kad L. A. sužalojo ne kuris kitas, o tankas, kurio Nr. 502 ir kurį vairavo nuteistasis V. S. 4. </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t xml:space="preserve">Pirmosios instancijos teismas teisingai nustatė ir aplinkybę, kad tankas Nr. 502 tuo pačiu metu ir toje pačioje vietoje sužalojo ne tik L. A., bet ir </w:t>
      </w:r>
      <w:r w:rsidRPr="000E2C88">
        <w:rPr>
          <w:rFonts w:eastAsia="Calibri"/>
        </w:rPr>
        <w:t>A. M. P.</w:t>
      </w:r>
      <w:r w:rsidRPr="000E2C88">
        <w:t xml:space="preserve">, </w:t>
      </w:r>
      <w:r w:rsidRPr="000E2C88">
        <w:rPr>
          <w:rFonts w:eastAsia="Calibri"/>
        </w:rPr>
        <w:t>L. T. (Š.)</w:t>
      </w:r>
      <w:r w:rsidRPr="000E2C88">
        <w:t xml:space="preserve"> bei A. S..</w:t>
      </w:r>
      <w:r w:rsidRPr="000E2C88">
        <w:rPr>
          <w:szCs w:val="24"/>
        </w:rPr>
        <w:t xml:space="preserve"> </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rPr>
          <w:szCs w:val="24"/>
        </w:rPr>
        <w:t xml:space="preserve">Nukentėjusioji L. T. (dabar Š.) teisiamajame posėdyje nurodė, kad ji prie TV bokšto atvyko su drauge L. A.. Nuo šūvių pradėjus byrėti bokšto stiklams, jos pradėjo trauktis nuo pastato. Kažkas šūktelėjo trauktis, nes važiuoja tankas, ir visa minia traukėsi atgal. Jos su L. ėjo atbulos, susikibusios rankomis. Jai susipynė kojos, ji griuvo, dar šaukė L., bet jos daugiau nematė. Ji negalėjo atsikelti ir priešais save pamatė tanko vikšrus bei pajuto siaubingą spaudimą. Matė šalia savęs gulintį žmogų, kaip vėliau paaiškėjo, tai buvo A. P. (t. 758, b. l. 144–145). Taigi iš minėtos nukentėjusiosios parodymų ne tik matyti, kad įvykių metu ji buvo kartu su L. A., tačiau ir tai, kad po tanko vikšrais kartu su ja atsidūrė ir kita nukentėjusioji </w:t>
      </w:r>
      <w:r w:rsidRPr="000E2C88">
        <w:rPr>
          <w:rFonts w:eastAsia="Calibri"/>
          <w:szCs w:val="24"/>
        </w:rPr>
        <w:t>A. M. P.</w:t>
      </w:r>
      <w:r w:rsidRPr="000E2C88">
        <w:rPr>
          <w:szCs w:val="24"/>
        </w:rPr>
        <w:t xml:space="preserve">. Išvadą, kad ant L. T., L. A. ir </w:t>
      </w:r>
      <w:r w:rsidRPr="000E2C88">
        <w:rPr>
          <w:rFonts w:eastAsia="Calibri"/>
          <w:szCs w:val="24"/>
        </w:rPr>
        <w:t>A. M. P.</w:t>
      </w:r>
      <w:r w:rsidRPr="000E2C88">
        <w:rPr>
          <w:szCs w:val="24"/>
        </w:rPr>
        <w:t xml:space="preserve"> užvažiavo tas pats tankas formuoja ir teisiamajame posėdyje perskaityti mirusio nukentėjusiojo V. M. tyrimo metu duoti parodymai (t. 83, b. l. 194-195, t. 758, b. l. 77), taip pat liudytojo V. J. parodymų patikrinimo vietoje metu nurodytos aplinkybės apie tai, kad tas pats tankas ir net tuo pačiu vikšru užvažiavo ir ant L. A., ir ant L. T.. Be to, šis tankas užvažiavo ir ant dar vienos moters (t. 100, b. l. 86-89). Panašius parodymus apie to paties tanko sužalotas tris moteris davė ir M. B., J. K. ir kt. byloje teisiamajame posėdyje apklaustas liudytojas V. K. (t. 374, b. l. 30, t. 88, b. l. 195-197).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Minėtoje </w:t>
      </w:r>
      <w:r>
        <w:rPr>
          <w:szCs w:val="24"/>
        </w:rPr>
        <w:t>M. B.</w:t>
      </w:r>
      <w:r w:rsidRPr="00C00255">
        <w:rPr>
          <w:szCs w:val="24"/>
        </w:rPr>
        <w:t xml:space="preserve">, </w:t>
      </w:r>
      <w:r>
        <w:rPr>
          <w:szCs w:val="24"/>
        </w:rPr>
        <w:t>J. K.</w:t>
      </w:r>
      <w:r w:rsidRPr="00C00255">
        <w:rPr>
          <w:szCs w:val="24"/>
        </w:rPr>
        <w:t xml:space="preserve"> ir kitų byloje teisme apklausti nukentėjusieji </w:t>
      </w:r>
      <w:r>
        <w:rPr>
          <w:rFonts w:eastAsia="Calibri"/>
          <w:szCs w:val="24"/>
        </w:rPr>
        <w:t>A. M. P.</w:t>
      </w:r>
      <w:r w:rsidRPr="00C00255">
        <w:rPr>
          <w:szCs w:val="24"/>
        </w:rPr>
        <w:t xml:space="preserve"> ir </w:t>
      </w:r>
      <w:r>
        <w:rPr>
          <w:szCs w:val="24"/>
        </w:rPr>
        <w:t>A. S.</w:t>
      </w:r>
      <w:r w:rsidRPr="00C00255">
        <w:rPr>
          <w:szCs w:val="24"/>
        </w:rPr>
        <w:t xml:space="preserve"> taip pat nurodė, kad juos sužalojo tas pats tankas, sužalojęs dar tris žmones. </w:t>
      </w:r>
    </w:p>
    <w:p w:rsidR="00DA38E9" w:rsidRPr="000E2C88" w:rsidRDefault="00DA38E9" w:rsidP="00DA38E9">
      <w:pPr>
        <w:pStyle w:val="ListParagraph"/>
        <w:numPr>
          <w:ilvl w:val="1"/>
          <w:numId w:val="6"/>
        </w:numPr>
        <w:spacing w:before="120" w:after="120"/>
        <w:ind w:left="993" w:hanging="993"/>
        <w:contextualSpacing w:val="0"/>
        <w:rPr>
          <w:lang w:eastAsia="lt-LT"/>
        </w:rPr>
      </w:pPr>
      <w:r w:rsidRPr="000E2C88">
        <w:rPr>
          <w:szCs w:val="24"/>
        </w:rPr>
        <w:t xml:space="preserve">Nukentėjusioji </w:t>
      </w:r>
      <w:r w:rsidRPr="000E2C88">
        <w:rPr>
          <w:rFonts w:eastAsia="Calibri"/>
          <w:szCs w:val="24"/>
        </w:rPr>
        <w:t>A. M. P.</w:t>
      </w:r>
      <w:r w:rsidRPr="000E2C88">
        <w:rPr>
          <w:szCs w:val="24"/>
        </w:rPr>
        <w:t xml:space="preserve"> nurodė, kad žmonėms apsupus TV bokštą staiga pabiro šio pastato langų stiklai, pasirodė tankas, kuris pradėjo sukinėtis. Ji pradėjo trauktis, jai buvo trenkta pabūklu ir ji krito. Jai ropojant koją prispaudė tanko vikšras. Įvykių metu L.  stovėjo prie jos; pirmiausia, žmonės iš po tanko ištraukė L., o vėliau ir ją pačią (t. 371, b. l. 131). </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szCs w:val="24"/>
        </w:rPr>
        <w:t xml:space="preserve">Nukentėjusysis </w:t>
      </w:r>
      <w:r>
        <w:rPr>
          <w:szCs w:val="24"/>
        </w:rPr>
        <w:t>A. S.</w:t>
      </w:r>
      <w:r w:rsidRPr="00C00255">
        <w:rPr>
          <w:szCs w:val="24"/>
        </w:rPr>
        <w:t xml:space="preserve"> nurodė, kad tankas iššovė, pabiro stiklai. Tankas važiavo į priekį, nors vyrai stūmė jį atgal. Nukentėjusysis pargriuvo ir ant jo abiejų kojų užvažiavo bei sustojo tankas. Anot </w:t>
      </w:r>
      <w:r>
        <w:rPr>
          <w:szCs w:val="24"/>
        </w:rPr>
        <w:t>A. S.</w:t>
      </w:r>
      <w:r w:rsidRPr="00C00255">
        <w:rPr>
          <w:szCs w:val="24"/>
        </w:rPr>
        <w:t xml:space="preserve">, šalia jo gulėjo moteris ir dar du žmonės. (t. 371, b. l. 131–132). Be to, nagrinėjamoje byloje buvo perskaityti ir nukentėjusiojo </w:t>
      </w:r>
      <w:r>
        <w:rPr>
          <w:szCs w:val="24"/>
        </w:rPr>
        <w:t>A. S.</w:t>
      </w:r>
      <w:r w:rsidRPr="00C00255">
        <w:rPr>
          <w:szCs w:val="24"/>
        </w:rPr>
        <w:t xml:space="preserve"> parodymai, duoti ikiteisminio tyrimo metu, nes bylos nagrinėjimo metu nukentėjusysis jau buvo miręs (t. 758, b. l. 152), kuriuos duodamas </w:t>
      </w:r>
      <w:r>
        <w:rPr>
          <w:szCs w:val="24"/>
        </w:rPr>
        <w:t>A. S.</w:t>
      </w:r>
      <w:r w:rsidRPr="00C00255">
        <w:rPr>
          <w:szCs w:val="24"/>
        </w:rPr>
        <w:t xml:space="preserve"> aiškiai nurodė, kad tas pats tankas užvažiavo ne tik ant jo, bet ir ant dar trijų moterų (t. 69, b. l. 54).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Visa tai rodo, kad pirmosios instancijos teismo išvados apie tai, kad tankas Nr. 502, kurio įgulą sudarė </w:t>
      </w:r>
      <w:r>
        <w:rPr>
          <w:szCs w:val="24"/>
        </w:rPr>
        <w:t>N. A.</w:t>
      </w:r>
      <w:r w:rsidRPr="00C00255">
        <w:rPr>
          <w:szCs w:val="24"/>
        </w:rPr>
        <w:t xml:space="preserve">, </w:t>
      </w:r>
      <w:r>
        <w:rPr>
          <w:szCs w:val="24"/>
        </w:rPr>
        <w:t>O. A.</w:t>
      </w:r>
      <w:r w:rsidRPr="00C00255">
        <w:rPr>
          <w:szCs w:val="24"/>
        </w:rPr>
        <w:t xml:space="preserve"> ir </w:t>
      </w:r>
      <w:r>
        <w:rPr>
          <w:szCs w:val="24"/>
        </w:rPr>
        <w:t>V. S. 4</w:t>
      </w:r>
      <w:r w:rsidRPr="00C00255">
        <w:rPr>
          <w:szCs w:val="24"/>
        </w:rPr>
        <w:t>, pavojingai manevruodamas užvažiavo ant nukentėjusiųjų L. A</w:t>
      </w:r>
      <w:r>
        <w:rPr>
          <w:szCs w:val="24"/>
        </w:rPr>
        <w:t>.</w:t>
      </w:r>
      <w:r w:rsidRPr="00C00255">
        <w:rPr>
          <w:szCs w:val="24"/>
        </w:rPr>
        <w:t xml:space="preserve">, </w:t>
      </w:r>
      <w:r>
        <w:rPr>
          <w:rFonts w:eastAsia="Calibri"/>
          <w:szCs w:val="24"/>
        </w:rPr>
        <w:t>A. M. P.</w:t>
      </w:r>
      <w:r w:rsidRPr="00C00255">
        <w:rPr>
          <w:szCs w:val="24"/>
        </w:rPr>
        <w:t xml:space="preserve">, </w:t>
      </w:r>
      <w:r w:rsidRPr="00C00255">
        <w:rPr>
          <w:rFonts w:eastAsia="Calibri"/>
          <w:szCs w:val="24"/>
        </w:rPr>
        <w:t>L</w:t>
      </w:r>
      <w:r>
        <w:rPr>
          <w:rFonts w:eastAsia="Calibri"/>
          <w:szCs w:val="24"/>
        </w:rPr>
        <w:t>. </w:t>
      </w:r>
      <w:r w:rsidRPr="00C00255">
        <w:rPr>
          <w:rFonts w:eastAsia="Calibri"/>
          <w:szCs w:val="24"/>
        </w:rPr>
        <w:t>T</w:t>
      </w:r>
      <w:r>
        <w:rPr>
          <w:rFonts w:eastAsia="Calibri"/>
          <w:szCs w:val="24"/>
        </w:rPr>
        <w:t>. </w:t>
      </w:r>
      <w:r w:rsidRPr="00C00255">
        <w:rPr>
          <w:rFonts w:eastAsia="Calibri"/>
          <w:szCs w:val="24"/>
        </w:rPr>
        <w:t>(Š</w:t>
      </w:r>
      <w:r>
        <w:rPr>
          <w:rFonts w:eastAsia="Calibri"/>
          <w:szCs w:val="24"/>
        </w:rPr>
        <w:t>.</w:t>
      </w:r>
      <w:r w:rsidRPr="00C00255">
        <w:rPr>
          <w:rFonts w:eastAsia="Calibri"/>
          <w:szCs w:val="24"/>
        </w:rPr>
        <w:t>)</w:t>
      </w:r>
      <w:r w:rsidRPr="00C00255">
        <w:rPr>
          <w:szCs w:val="24"/>
        </w:rPr>
        <w:t xml:space="preserve"> ir </w:t>
      </w:r>
      <w:r>
        <w:rPr>
          <w:szCs w:val="24"/>
        </w:rPr>
        <w:t>A. S.</w:t>
      </w:r>
      <w:r w:rsidRPr="00C00255">
        <w:rPr>
          <w:szCs w:val="24"/>
        </w:rPr>
        <w:t xml:space="preserve">, yra teisingos ir pagrįstos. Atsižvelgdama į tai, teisėjų kolegija kaip nepagrįstus atmeta ir nuteistojo </w:t>
      </w:r>
      <w:r>
        <w:rPr>
          <w:szCs w:val="24"/>
        </w:rPr>
        <w:t>V. S. 4</w:t>
      </w:r>
      <w:r w:rsidRPr="00C00255">
        <w:rPr>
          <w:szCs w:val="24"/>
        </w:rPr>
        <w:t xml:space="preserve">, buvusio šio tanko vairuotoju-mechaniku, gynėjo versiją, kad šis nuteistasis elgėsi atsargiai ir stengėsi išvengti žalos.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Šių išvadų kontekste teisėjų kolegija pasisako ir dėl nuteistojo </w:t>
      </w:r>
      <w:r>
        <w:rPr>
          <w:szCs w:val="24"/>
        </w:rPr>
        <w:t>V. U. 1</w:t>
      </w:r>
      <w:r w:rsidRPr="00C00255">
        <w:rPr>
          <w:szCs w:val="24"/>
        </w:rPr>
        <w:t xml:space="preserve"> gynėjo argumentų, susijusių su nagrinėjamu epizodu. Anot gynėjo, bylos duomenys įrodo, kad tankai ant žmonių nevažiavo ir tyčia nieko nenužudė. Visgi šioje teismo sprendimo dalyje nurodyti duomenys ir argumentai patvirtina, kad tanko Nr. 502 manevrai prie TV bokšto, kurio teritorijoje buvo daugybė civilių, buvo staigūs, kryptingi ir realiai pavojingi bei peržengė neatsargaus veikimo ribas. Kitų tankų pavojingas veikimas bus aptartas tolesnėse šio sprendimo dalyse.</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Nuteistojo </w:t>
      </w:r>
      <w:r>
        <w:rPr>
          <w:szCs w:val="24"/>
        </w:rPr>
        <w:t>V. U. 1</w:t>
      </w:r>
      <w:r w:rsidRPr="00C00255">
        <w:rPr>
          <w:szCs w:val="24"/>
        </w:rPr>
        <w:t xml:space="preserve"> gynėjas A. Asovskis apeliaciniame skunde, taip pat kelia versiją dėl galimai kitokių L.</w:t>
      </w:r>
      <w:r>
        <w:rPr>
          <w:szCs w:val="24"/>
        </w:rPr>
        <w:t> A.</w:t>
      </w:r>
      <w:r w:rsidRPr="00C00255">
        <w:rPr>
          <w:szCs w:val="24"/>
        </w:rPr>
        <w:t xml:space="preserve"> sužalojimo aplinkybių ir, remdamasis liudytojo H. V</w:t>
      </w:r>
      <w:r>
        <w:rPr>
          <w:szCs w:val="24"/>
        </w:rPr>
        <w:t>.</w:t>
      </w:r>
      <w:r w:rsidRPr="00C00255">
        <w:rPr>
          <w:szCs w:val="24"/>
        </w:rPr>
        <w:t xml:space="preserve"> parodymais, tvirtina, kad šis yra girdėjęs apie tai, jog </w:t>
      </w:r>
      <w:r>
        <w:rPr>
          <w:szCs w:val="24"/>
        </w:rPr>
        <w:t>L. A.</w:t>
      </w:r>
      <w:r w:rsidRPr="00C00255">
        <w:rPr>
          <w:szCs w:val="24"/>
        </w:rPr>
        <w:t xml:space="preserve"> po kovine mašina pastūmė keli vaikinai (t. 446, b. l. 20–21; t. 134, b. l. 14–15). Teisėjų kolegija tokius advokato teiginius atmeta, nes ši versija ikiteisminio tyrimo metu buvo nagrinėta, tačiau nepasitvirtino.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Liudytojas H. V</w:t>
      </w:r>
      <w:r>
        <w:rPr>
          <w:szCs w:val="24"/>
        </w:rPr>
        <w:t>.</w:t>
      </w:r>
      <w:r w:rsidRPr="00C00255">
        <w:rPr>
          <w:szCs w:val="24"/>
        </w:rPr>
        <w:t xml:space="preserve"> iš tiesų parodė, kad 1991 m. vasario pabaigoje, vairuodamas autobusą, kuriame buvo maždaug 10 žmonių, taip pat ir </w:t>
      </w:r>
      <w:r>
        <w:rPr>
          <w:szCs w:val="24"/>
        </w:rPr>
        <w:t>I. G.</w:t>
      </w:r>
      <w:r w:rsidRPr="00C00255">
        <w:rPr>
          <w:szCs w:val="24"/>
        </w:rPr>
        <w:t>, girdėjo kaip kažkas iš autobuse buvusių žmonių pasakojo, kad L.</w:t>
      </w:r>
      <w:r>
        <w:rPr>
          <w:szCs w:val="24"/>
        </w:rPr>
        <w:t> A.</w:t>
      </w:r>
      <w:r w:rsidRPr="00C00255">
        <w:rPr>
          <w:szCs w:val="24"/>
        </w:rPr>
        <w:t xml:space="preserve"> vežama į ligoninę nurodė, kad ją po šarvuočiu pastūmė ir kad ji žino tai padariusius žmones. Apie tai pasakojo greitosios pagalbos automobilio vairuotojas M</w:t>
      </w:r>
      <w:r>
        <w:rPr>
          <w:szCs w:val="24"/>
        </w:rPr>
        <w:t>.</w:t>
      </w:r>
      <w:r w:rsidRPr="00C00255">
        <w:rPr>
          <w:szCs w:val="24"/>
        </w:rPr>
        <w:t xml:space="preserve"> (t. 446, b. l. 20–21). Liudytojas </w:t>
      </w:r>
      <w:r>
        <w:rPr>
          <w:szCs w:val="24"/>
        </w:rPr>
        <w:t>I. G.</w:t>
      </w:r>
      <w:r w:rsidRPr="00C00255">
        <w:rPr>
          <w:szCs w:val="24"/>
        </w:rPr>
        <w:t xml:space="preserve"> tyrimo metu parodė, kad 1991 m. sausio viduryje kieme sutiko kaimyną R</w:t>
      </w:r>
      <w:r>
        <w:rPr>
          <w:szCs w:val="24"/>
        </w:rPr>
        <w:t>.</w:t>
      </w:r>
      <w:r w:rsidRPr="00C00255">
        <w:rPr>
          <w:szCs w:val="24"/>
        </w:rPr>
        <w:t> M</w:t>
      </w:r>
      <w:r>
        <w:rPr>
          <w:szCs w:val="24"/>
        </w:rPr>
        <w:t>.</w:t>
      </w:r>
      <w:r w:rsidRPr="00C00255">
        <w:rPr>
          <w:szCs w:val="24"/>
        </w:rPr>
        <w:t xml:space="preserve">, kuris jam papasakojo, kad vienas iš jo pažįstamų vežė greitosios pagalbos mašina </w:t>
      </w:r>
      <w:r>
        <w:rPr>
          <w:szCs w:val="24"/>
        </w:rPr>
        <w:t>L. A.</w:t>
      </w:r>
      <w:r w:rsidRPr="00C00255">
        <w:rPr>
          <w:szCs w:val="24"/>
        </w:rPr>
        <w:t>, o ši mergina sakiusi pažįstanti visus vaikinus, kurie nustūmė ją po tanku (t. 446, b. l. 18–19). Tyrimo metu buvo nustatytas bei apie šias aplinkybes apklaustas ir greitosios pagalbos automobilio vairuotoju dirbęs R</w:t>
      </w:r>
      <w:r>
        <w:rPr>
          <w:szCs w:val="24"/>
        </w:rPr>
        <w:t>.</w:t>
      </w:r>
      <w:r w:rsidRPr="00C00255">
        <w:rPr>
          <w:szCs w:val="24"/>
        </w:rPr>
        <w:t> M</w:t>
      </w:r>
      <w:r>
        <w:rPr>
          <w:szCs w:val="24"/>
        </w:rPr>
        <w:t>.</w:t>
      </w:r>
      <w:r w:rsidRPr="00C00255">
        <w:rPr>
          <w:szCs w:val="24"/>
        </w:rPr>
        <w:t>. Šis liudytojas nurodė, kad nieko nežino apie asmenis 1991 m. sausio 12–13 d. žuvusius prie TV bokšto ir LRT. Liudytojas teigė, kad neturi pažįstamų, kurie galėtų papasakoti apie L.</w:t>
      </w:r>
      <w:r>
        <w:rPr>
          <w:szCs w:val="24"/>
        </w:rPr>
        <w:t> A.</w:t>
      </w:r>
      <w:r w:rsidRPr="00C00255">
        <w:rPr>
          <w:szCs w:val="24"/>
        </w:rPr>
        <w:t xml:space="preserve"> žūties aplinkybes. G</w:t>
      </w:r>
      <w:r>
        <w:rPr>
          <w:szCs w:val="24"/>
        </w:rPr>
        <w:t>.</w:t>
      </w:r>
      <w:r w:rsidRPr="00C00255">
        <w:rPr>
          <w:szCs w:val="24"/>
        </w:rPr>
        <w:t xml:space="preserve"> pažįsta, jis jo kaimynas, tačiau jam niekada nieko nėra pasakojęs apie merginos L. A</w:t>
      </w:r>
      <w:r>
        <w:rPr>
          <w:szCs w:val="24"/>
        </w:rPr>
        <w:t>.</w:t>
      </w:r>
      <w:r w:rsidRPr="00C00255">
        <w:rPr>
          <w:szCs w:val="24"/>
        </w:rPr>
        <w:t xml:space="preserve"> žūties prie TV bokšto aplinkybes (t. 446, b. l. 27–28). Be to, gynybos keliamas versijas dėl kitokių nei nustatytos L. A</w:t>
      </w:r>
      <w:r>
        <w:rPr>
          <w:szCs w:val="24"/>
        </w:rPr>
        <w:t>.</w:t>
      </w:r>
      <w:r w:rsidRPr="00C00255">
        <w:rPr>
          <w:szCs w:val="24"/>
        </w:rPr>
        <w:t xml:space="preserve"> sužalojimo faktinių aplinkybių paneigia ir nukentėjusiosios L.</w:t>
      </w:r>
      <w:r>
        <w:rPr>
          <w:szCs w:val="24"/>
        </w:rPr>
        <w:t> G.</w:t>
      </w:r>
      <w:r w:rsidRPr="00C00255">
        <w:rPr>
          <w:szCs w:val="24"/>
        </w:rPr>
        <w:t xml:space="preserve"> parodymai (t. 758, b. l. 150–151). Ji nurodė, kad buvo greitosios pagalbos automobilyje, į kurį buvo atnešta L</w:t>
      </w:r>
      <w:r>
        <w:rPr>
          <w:szCs w:val="24"/>
        </w:rPr>
        <w:t>.</w:t>
      </w:r>
      <w:r w:rsidRPr="00C00255">
        <w:rPr>
          <w:szCs w:val="24"/>
        </w:rPr>
        <w:t> A</w:t>
      </w:r>
      <w:r>
        <w:rPr>
          <w:szCs w:val="24"/>
        </w:rPr>
        <w:t>.</w:t>
      </w:r>
      <w:r w:rsidRPr="00C00255">
        <w:rPr>
          <w:szCs w:val="24"/>
        </w:rPr>
        <w:t>. Mergina buvo pervažiuota tanko, nukentėjusioji su ja kalbėjo. L. A</w:t>
      </w:r>
      <w:r>
        <w:rPr>
          <w:szCs w:val="24"/>
        </w:rPr>
        <w:t>.</w:t>
      </w:r>
      <w:r w:rsidRPr="00C00255">
        <w:rPr>
          <w:szCs w:val="24"/>
        </w:rPr>
        <w:t xml:space="preserve"> tuomet pasakė, kad tankui važiuojant į žmones, ji paslydo ir pagriuvo, o tankas ant jos užvažiavo nesustodamas (t. 71, b.</w:t>
      </w:r>
      <w:r>
        <w:rPr>
          <w:szCs w:val="24"/>
        </w:rPr>
        <w:t> </w:t>
      </w:r>
      <w:r w:rsidRPr="00C00255">
        <w:rPr>
          <w:szCs w:val="24"/>
        </w:rPr>
        <w:t xml:space="preserve">l. 1–2).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Nagrinėjamoje byloje nuteistojo </w:t>
      </w:r>
      <w:r>
        <w:rPr>
          <w:lang w:eastAsia="lt-LT"/>
        </w:rPr>
        <w:t>O. A.</w:t>
      </w:r>
      <w:r w:rsidRPr="00C00255">
        <w:rPr>
          <w:lang w:eastAsia="lt-LT"/>
        </w:rPr>
        <w:t xml:space="preserve"> gynėjas </w:t>
      </w:r>
      <w:r w:rsidRPr="00C00255">
        <w:t>ginčijo ir kitų nuteistiesiems inkriminuotų aplinkybių, susijusių su tanko Nr. 502 veiksmais, pagrįstumą</w:t>
      </w:r>
      <w:r w:rsidRPr="00C00255">
        <w:rPr>
          <w:lang w:eastAsia="lt-LT"/>
        </w:rPr>
        <w:t xml:space="preserve">. Apelianto manymu, tarp </w:t>
      </w:r>
      <w:r>
        <w:rPr>
          <w:lang w:eastAsia="lt-LT"/>
        </w:rPr>
        <w:t>O. A.</w:t>
      </w:r>
      <w:r w:rsidRPr="00C00255">
        <w:rPr>
          <w:lang w:eastAsia="lt-LT"/>
        </w:rPr>
        <w:t xml:space="preserve">, kaip tanko Nr. 502 taikytojo, veiksmų ir prie TV bokšto kilusių neigiamų padarinių nėra priežastinio ryšio. Vertinant tokius gynėjo argumentus, nuteistojo </w:t>
      </w:r>
      <w:r>
        <w:rPr>
          <w:lang w:eastAsia="lt-LT"/>
        </w:rPr>
        <w:t>O. A.</w:t>
      </w:r>
      <w:r w:rsidRPr="00C00255">
        <w:rPr>
          <w:lang w:eastAsia="lt-LT"/>
        </w:rPr>
        <w:t>, taip pat ir kitų tankų ekipažų narių vaidmenį nagrinėjamuose įvykiuose, pažymėtina, kad tankų šūviai</w:t>
      </w:r>
      <w:r w:rsidRPr="00C00255">
        <w:rPr>
          <w:rFonts w:asciiTheme="minorHAnsi" w:eastAsiaTheme="minorHAnsi" w:hAnsiTheme="minorHAnsi" w:cstheme="minorBidi"/>
          <w:sz w:val="22"/>
          <w:szCs w:val="22"/>
          <w:lang w:eastAsia="lt-LT"/>
        </w:rPr>
        <w:t xml:space="preserve"> </w:t>
      </w:r>
      <w:r w:rsidRPr="00C00255">
        <w:rPr>
          <w:lang w:eastAsia="lt-LT"/>
        </w:rPr>
        <w:t xml:space="preserve">prie TV bokšto, nors ir tuščiais užtaisais, buvo itin pavojingi. Nuo tankų šūvių prie TV bokšto daugybė civilių patyrė akustines traumas, dėl šūvių garso bangos žmonės griuvo ant žemės, dužo langai ir pan. Apie tai parodymus davė daugelis byloje apklaustų liudytojų ir nukentėjusiųjų, todėl apeliacinės instancijos teismas paminės tik kai kuriuos iš jų.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Nukentėjusysis R.</w:t>
      </w:r>
      <w:r>
        <w:rPr>
          <w:szCs w:val="24"/>
          <w:lang w:eastAsia="lt-LT"/>
        </w:rPr>
        <w:t> A.</w:t>
      </w:r>
      <w:r w:rsidRPr="00C00255">
        <w:rPr>
          <w:szCs w:val="24"/>
          <w:lang w:eastAsia="lt-LT"/>
        </w:rPr>
        <w:t xml:space="preserve"> nurodė apie nuo tokio šūvio oro bangos nukentėjusį žmogų, kuriam iš ausų bėgo kraujas; taip pat nuo tankų šūvių paties patirtą akustinę traumą (t. 758, b.</w:t>
      </w:r>
      <w:r>
        <w:rPr>
          <w:szCs w:val="24"/>
          <w:lang w:eastAsia="lt-LT"/>
        </w:rPr>
        <w:t> </w:t>
      </w:r>
      <w:r w:rsidRPr="00C00255">
        <w:rPr>
          <w:szCs w:val="24"/>
          <w:lang w:eastAsia="lt-LT"/>
        </w:rPr>
        <w:t>l. 90–91). Nukentėjusysis A.</w:t>
      </w:r>
      <w:r>
        <w:rPr>
          <w:szCs w:val="24"/>
          <w:lang w:eastAsia="lt-LT"/>
        </w:rPr>
        <w:t> </w:t>
      </w:r>
      <w:r w:rsidRPr="00C00255">
        <w:rPr>
          <w:szCs w:val="24"/>
          <w:lang w:eastAsia="lt-LT"/>
        </w:rPr>
        <w:t>B</w:t>
      </w:r>
      <w:r>
        <w:rPr>
          <w:szCs w:val="24"/>
          <w:lang w:eastAsia="lt-LT"/>
        </w:rPr>
        <w:t>.</w:t>
      </w:r>
      <w:r w:rsidRPr="00C00255">
        <w:rPr>
          <w:szCs w:val="24"/>
          <w:lang w:eastAsia="lt-LT"/>
        </w:rPr>
        <w:t xml:space="preserve"> nurodė, kad tankui iššovus oro banga jį nubloškė keletą metrų, o taip pat jam trūko ausų būgneliai (t. 758, b. l. 100–101). Nukentėjusysis V.</w:t>
      </w:r>
      <w:r>
        <w:rPr>
          <w:szCs w:val="24"/>
          <w:lang w:eastAsia="lt-LT"/>
        </w:rPr>
        <w:t> </w:t>
      </w:r>
      <w:r w:rsidRPr="00C00255">
        <w:rPr>
          <w:szCs w:val="24"/>
          <w:lang w:eastAsia="lt-LT"/>
        </w:rPr>
        <w:t>K</w:t>
      </w:r>
      <w:r>
        <w:rPr>
          <w:szCs w:val="24"/>
          <w:lang w:eastAsia="lt-LT"/>
        </w:rPr>
        <w:t>.</w:t>
      </w:r>
      <w:r w:rsidRPr="00C00255">
        <w:rPr>
          <w:szCs w:val="24"/>
          <w:lang w:eastAsia="lt-LT"/>
        </w:rPr>
        <w:t xml:space="preserve"> nurodė, kad tankui iššovus, šūvio banga nuplėšė jo striukę, o moterys sukniubo; jam buvo nustatytas ne mažesnis kaip 30 proc. kurtumas (t. 759, b. l. 10). Nukentėjusioji A.</w:t>
      </w:r>
      <w:r>
        <w:rPr>
          <w:szCs w:val="24"/>
          <w:lang w:eastAsia="lt-LT"/>
        </w:rPr>
        <w:t> </w:t>
      </w:r>
      <w:r w:rsidRPr="00C00255">
        <w:rPr>
          <w:szCs w:val="24"/>
          <w:lang w:eastAsia="lt-LT"/>
        </w:rPr>
        <w:t>Č</w:t>
      </w:r>
      <w:r>
        <w:rPr>
          <w:szCs w:val="24"/>
          <w:lang w:eastAsia="lt-LT"/>
        </w:rPr>
        <w:t>.</w:t>
      </w:r>
      <w:r w:rsidRPr="00C00255">
        <w:rPr>
          <w:szCs w:val="24"/>
          <w:lang w:eastAsia="lt-LT"/>
        </w:rPr>
        <w:t xml:space="preserve"> (anksčiau G</w:t>
      </w:r>
      <w:r>
        <w:rPr>
          <w:szCs w:val="24"/>
          <w:lang w:eastAsia="lt-LT"/>
        </w:rPr>
        <w:t>.</w:t>
      </w:r>
      <w:r w:rsidRPr="00C00255">
        <w:rPr>
          <w:szCs w:val="24"/>
          <w:lang w:eastAsia="lt-LT"/>
        </w:rPr>
        <w:t>) nurodė, kad šaudančių tankų garsinis efektas griovė iš kojų, žmonės griuvo ir vėl kėlėsi, girdėjosi žmonių dejonės. Ji matė einančius, nešamus ir tempiamus žmones kruvinomis ausimis (t. 759, b. l. 16–17). Nukentėjusysis R. T</w:t>
      </w:r>
      <w:r>
        <w:rPr>
          <w:szCs w:val="24"/>
          <w:lang w:eastAsia="lt-LT"/>
        </w:rPr>
        <w:t>.</w:t>
      </w:r>
      <w:r w:rsidRPr="00C00255">
        <w:rPr>
          <w:szCs w:val="24"/>
          <w:lang w:eastAsia="lt-LT"/>
        </w:rPr>
        <w:t xml:space="preserve"> nurodė, kad vienas prie TV bokšto buvusių kariškių staiga pasakė kareiviams pasitaisyti šalmus, nes tuoj šaus tankas. Nukentėjusysis suprato, kad šūvis gali būti pavojingas, tad, pamatęs keliamą tanko vamzdį, spėjo užsidėti kapišoną ir išsižioti, bet dėl šio šūvio jis vis tiek iš dalies neteko klausos; matė, kaip žmogus, buvęs arčiau tanko, po šūvio nukrito ir jį tampė konvulsijos, jam iš ausų bėgo kraujas (t. 759, b. l. 174–175). Be to, prie TV bokšto civilių patirtas akustines traumas patvirtina daugybė byloje esančių specialistų išvadų, kuriomis nukentėjusiesiems konstatuoti tokio pobūdžio sužalojimai. </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rPr>
          <w:szCs w:val="24"/>
          <w:lang w:eastAsia="lt-LT"/>
        </w:rPr>
        <w:t>Iš tokių byloje surinktų įrodymų nekyla abejonių, kad TV bokšto užėmimo metu kariškiai suprato, ką daro, taip pat suprato, kad tankų šūviai, net ir tuščiais užtaisais, yra itin pavojingi, nes patys ėmėsi veiksmų saugodamiesi nuo galimų traumų po šūvių. Nuteistųjų parodymuose ir apeliantų skunduose akcentuojama aplinkybė apie šūvius, pakeliant tanko vamzdį maksimaliai galimu kampu, neturi reikšmės, nes, nepaisant vamzdžio pakėlimo, bet kokie šūviai, esant greta civiliams, buvo itin pavojingi ir bet kuris kariškis, juolab tanko ekipažo narys, tą puikiai suprato. Be to, iš bylos medžiagos matyti, kad bent dalis šūvių buvo atlikti pakankamai žema trajektorija. Apie tai liudija byloje užfiksuoti vaizdo įrašai (</w:t>
      </w:r>
      <w:r w:rsidRPr="000E2C88">
        <w:rPr>
          <w:szCs w:val="24"/>
        </w:rPr>
        <w:t>žr. kompaktiniame diske „4A 2 dalis“ esantį pirmąjį vaizdo įrašą (t. 507, b. l. 49) ir k</w:t>
      </w:r>
      <w:r w:rsidRPr="000E2C88">
        <w:rPr>
          <w:szCs w:val="24"/>
          <w:lang w:eastAsia="lt-LT"/>
        </w:rPr>
        <w:t xml:space="preserve">ompaktiniame diske „Sausio 13-oji. </w:t>
      </w:r>
      <w:r w:rsidRPr="000E2C88">
        <w:rPr>
          <w:i/>
          <w:szCs w:val="24"/>
          <w:lang w:eastAsia="lt-LT"/>
        </w:rPr>
        <w:t>In memoriam</w:t>
      </w:r>
      <w:r w:rsidRPr="000E2C88">
        <w:rPr>
          <w:szCs w:val="24"/>
          <w:lang w:eastAsia="lt-LT"/>
        </w:rPr>
        <w:t>“, esantį trečiąjį vaizdo įrašą (t. 493, b. l. 123). Taip pat apie tai nurodė ir teisiamajame posėdyje apklausti asmenys. Nukentėjusysis P. R. B. nurodė, kad kai buvo paleistas tanko šūvis, tanko pabūklas buvo tik vos, vos pakeltas (t. 758, b. l. 102–103). Atitinkamai nukentėjusysis A. S., praeityje tarnavęs tankų divizijoje, nurodė, kad tankas atsuko į civilius patranką ir iššovė; išlėkė degantis kartoninis kamštis. A. S. spėjo pasilenkti, bet gavo per galvą, jam apdegė plaukai (t. </w:t>
      </w:r>
      <w:r w:rsidRPr="000E2C88">
        <w:rPr>
          <w:szCs w:val="24"/>
        </w:rPr>
        <w:t>759, b. l. 137–138</w:t>
      </w:r>
      <w:r w:rsidRPr="000E2C88">
        <w:rPr>
          <w:szCs w:val="24"/>
          <w:lang w:eastAsia="lt-LT"/>
        </w:rPr>
        <w:t>). Atsižvelgiant į visa tai, gynybinė versija apie tariamai nepavojingus tankų šūvius tuščiais užtaisais maksimaliai pakeltu pabūklu, yra deklaratyvi ir nepagrįsta. Taip pat pažymėtina, kad ir pats tankų (itin galingos ir pavojingos karinės technikos) judėjimas teritorijoje, kurioje susirinkusi gausi civilių minia, kėlė sumaištį tarp prie TV bokšto buvusių žmonių, lėmė chaotišką civilių judėjimą ir taip pat turėjo įtakos šioje byloje nuteistiesiems inkriminuotų pasekmių kilimui.</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 xml:space="preserve">Nuteistųjų </w:t>
      </w:r>
      <w:r>
        <w:rPr>
          <w:szCs w:val="24"/>
          <w:lang w:eastAsia="lt-LT"/>
        </w:rPr>
        <w:t>O. A.</w:t>
      </w:r>
      <w:r w:rsidRPr="00C00255">
        <w:rPr>
          <w:szCs w:val="24"/>
          <w:lang w:eastAsia="lt-LT"/>
        </w:rPr>
        <w:t xml:space="preserve"> ir </w:t>
      </w:r>
      <w:r>
        <w:rPr>
          <w:szCs w:val="24"/>
          <w:lang w:eastAsia="lt-LT"/>
        </w:rPr>
        <w:t>V. S. 4</w:t>
      </w:r>
      <w:r w:rsidRPr="00C00255">
        <w:rPr>
          <w:szCs w:val="24"/>
          <w:lang w:eastAsia="lt-LT"/>
        </w:rPr>
        <w:t xml:space="preserve"> gynėjai skunduose akcentuoja tik savo ginamųjų atliktus individualius veiksmus, t. y. </w:t>
      </w:r>
      <w:r>
        <w:rPr>
          <w:szCs w:val="24"/>
          <w:lang w:eastAsia="lt-LT"/>
        </w:rPr>
        <w:t>O. A.</w:t>
      </w:r>
      <w:r w:rsidRPr="00C00255">
        <w:rPr>
          <w:szCs w:val="24"/>
          <w:lang w:eastAsia="lt-LT"/>
        </w:rPr>
        <w:t xml:space="preserve">, tik kaip tanko taikytojo, ir </w:t>
      </w:r>
      <w:r>
        <w:rPr>
          <w:szCs w:val="24"/>
          <w:lang w:eastAsia="lt-LT"/>
        </w:rPr>
        <w:t>V. S. 4</w:t>
      </w:r>
      <w:r w:rsidRPr="00C00255">
        <w:rPr>
          <w:szCs w:val="24"/>
          <w:lang w:eastAsia="lt-LT"/>
        </w:rPr>
        <w:t xml:space="preserve">, tik kaip tanko vairuotojo, atliktus veiksmus. </w:t>
      </w:r>
      <w:r w:rsidRPr="00C00255">
        <w:rPr>
          <w:lang w:eastAsia="lt-LT"/>
        </w:rPr>
        <w:t xml:space="preserve">Teisėjų kolegija, vertindama tokius gynėjų argumentus, pažymi, kad užimant TV bokštą, kaip ir prie Spaudos rūmų, tankai veikė bendrai, koordinuotai ir sudarė sąlygas kitų kariškių veiksmams. Tankų veiksmai šalinant kliūtis buvo koordinuoti, siekiant sudaryti galimybes į TV bokšto teritoriją patekti kitiems kariškiams, tankų šūviai taip pat nebuvo beprasmiai ar atsitiktiniai, jie buvo tikslingi ir, kaip nurodė byloje apklaustas ir išvadas pateikęs karybos specialistas J. Andriškevičius, tokiais veiksmais buvo siekta, demonstruojant jėgą ir ginkluotę, įbauginti aplink strategiškai svarbius objektus susirinkusius civilius. Atsižvelgiant į tai, </w:t>
      </w:r>
      <w:r w:rsidRPr="00C00255">
        <w:rPr>
          <w:szCs w:val="24"/>
          <w:lang w:eastAsia="lt-LT"/>
        </w:rPr>
        <w:t xml:space="preserve">kiekvieno iš tanko įgulos narių veiksmai negali būti vertinami atsietai nuo šio tanko, kitų tankų ir apskritai visų operacijoje dalyvavusių kariškių veiksmų.  </w:t>
      </w:r>
    </w:p>
    <w:p w:rsidR="00DA38E9" w:rsidRPr="00C00255" w:rsidRDefault="00DA38E9" w:rsidP="00DA38E9">
      <w:pPr>
        <w:pStyle w:val="Heading5"/>
        <w:spacing w:before="120" w:after="120"/>
        <w:ind w:left="992"/>
        <w:rPr>
          <w:rFonts w:ascii="Times New Roman" w:hAnsi="Times New Roman" w:cs="Times New Roman"/>
          <w:i/>
          <w:color w:val="auto"/>
        </w:rPr>
      </w:pPr>
      <w:r w:rsidRPr="00C00255">
        <w:rPr>
          <w:rFonts w:ascii="Times New Roman" w:hAnsi="Times New Roman" w:cs="Times New Roman"/>
          <w:i/>
          <w:color w:val="auto"/>
        </w:rPr>
        <w:t xml:space="preserve">Dėl tanko Nr. 513 ir jo ekipažo narių nuteistųjų </w:t>
      </w:r>
      <w:r>
        <w:rPr>
          <w:rFonts w:ascii="Times New Roman" w:hAnsi="Times New Roman" w:cs="Times New Roman"/>
          <w:i/>
          <w:color w:val="auto"/>
        </w:rPr>
        <w:t>S. V.</w:t>
      </w:r>
      <w:r w:rsidRPr="00C00255">
        <w:rPr>
          <w:rFonts w:ascii="Times New Roman" w:hAnsi="Times New Roman" w:cs="Times New Roman"/>
          <w:i/>
          <w:color w:val="auto"/>
        </w:rPr>
        <w:t xml:space="preserve"> ir </w:t>
      </w:r>
      <w:r>
        <w:rPr>
          <w:rFonts w:ascii="Times New Roman" w:hAnsi="Times New Roman" w:cs="Times New Roman"/>
          <w:i/>
          <w:color w:val="auto"/>
        </w:rPr>
        <w:t>A. K. 1</w:t>
      </w:r>
      <w:r w:rsidRPr="00C00255">
        <w:rPr>
          <w:rFonts w:ascii="Times New Roman" w:hAnsi="Times New Roman" w:cs="Times New Roman"/>
          <w:i/>
          <w:color w:val="auto"/>
        </w:rPr>
        <w:t xml:space="preserve"> dalyvavimo užimant TV bokštą</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t xml:space="preserve">Teisėjų kolegijos vertinimu, aplinkybę, kad tankas Nr. 513 buvo prie TV bokšto aptariamų įvykių metu, patvirtina iš skirtingų įrodymų šaltinių gautų duomenų visuma. Šiame kontekste pažymėtini įvairūs byloje esantys dokumentai, kurių objektyvumu teisėjų kolegija neturi pagrindo abejoti. Pirmiausia, 2014 m. birželio 10 d. specialisto išvadoje konstatuota, kad tankas Nr. 513 priklausė TV bokštą puolusiai operacinei grupei bei prie šio objekto stumdė ir traiškė techniką, stovėjusią kolonos kelyje (t. 480, b. l. 70–71). Byloje esančioje pažymoje-pranešime apie karinio dalinio Nr. 22238 technikos panaudojimą 1991 m. sausio 12–13 dienomis, nurodyta, kad incidento metu buvo panaudotas ir karinio dalinio Nr. 78018 tankas, kurio borto Nr. 513 (t. 191, b. l. 214; t. 191, b. l. 213). Minėto tanko dalyvavimui įvykiuose prie TV bokšto pagrįsti reikšmingas ir N. A. 1991 m. sausio mėnesį Vilniuje pasirašytų įsakymų turinys. Tankas Nr. 513 dar 1991 m. sausio 2 d. įsakymu nuolatos buvo kovinės parengties (t. 440, b. l. 19; t. 127, b. l. 12–13), o vėlesniu 1991 m. sausio 9 d. įsakymu Vilniuje buvo suformuota jo įgula (t. 440, b. l. 17–18; t. 127, b. l. 10–11). Taigi aptartų duomenų visuma rodo, kad jau 1991 m. sausio 9 d. tankas Nr. 513 buvo paruoštas kariniams veiksmams Vilniuje ir turėjo savo įgulą, kurią </w:t>
      </w:r>
      <w:r w:rsidRPr="000E2C88">
        <w:rPr>
          <w:rFonts w:eastAsia="Calibri"/>
        </w:rPr>
        <w:t>sudarė: tanko vadas – 106-ojo tankų pulko bataliono vado pavaduotojas kapitonas S. V., mechanikas-vairuotojas – pulko kuopos vadas leitenantas A. K. 1 ir taikytojas – vyresnysis leitenantas I. B. (jo atžvilgiu baudžiamasis procesas nutrauktas, jam mirus). Apie tokią šio tanko įgulą užimant TV bokštą liudija ir karinio dalinio Nr. 78018 štabo viršininko papulkininkio O. Ž. pasirašytas karinio personalo, dalyvavusio operacijoje iš 1991 m. sausio 12-osios į sausio 13-ąją, sąrašas, kuriame, be kitų kariškių, nurodyti ir kapitonas S. V. bei leitenantas A. K. 1 (t. 440, b. l. 7; t. 127, b. l. 4).</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rPr>
          <w:rFonts w:eastAsia="Calibri"/>
        </w:rPr>
        <w:t xml:space="preserve">Nuteistojo </w:t>
      </w:r>
      <w:r w:rsidRPr="000E2C88">
        <w:t>S. V. gynėjai apygardos teismo nuosprendžio apeliacine tvarka neskundė, o nuteistojo A. K. 1</w:t>
      </w:r>
      <w:r w:rsidRPr="000E2C88">
        <w:rPr>
          <w:rFonts w:eastAsia="Calibri"/>
        </w:rPr>
        <w:t xml:space="preserve"> gynėjai iš esmės nesutinka su A. K. 1 veiksmų teisiniu vertinimu, nurodydami, kad A. K. 1 vykdė</w:t>
      </w:r>
      <w:r w:rsidRPr="000E2C88">
        <w:t xml:space="preserve"> jam duotą užduotį važiuoti prie TV bokšto, siekiant užtikrinti laisvą priėjimą prie TV bokšto, tačiau civilių aukų nenorėjo ir stengėsi jų išvengti</w:t>
      </w:r>
      <w:r w:rsidRPr="00C00255">
        <w:rPr>
          <w:szCs w:val="24"/>
        </w:rPr>
        <w:t xml:space="preserve">. </w:t>
      </w:r>
    </w:p>
    <w:p w:rsidR="00DA38E9" w:rsidRPr="00B024B9" w:rsidRDefault="00DA38E9" w:rsidP="00DA38E9">
      <w:pPr>
        <w:pStyle w:val="ListParagraph"/>
        <w:numPr>
          <w:ilvl w:val="0"/>
          <w:numId w:val="6"/>
        </w:numPr>
        <w:spacing w:before="120" w:after="120"/>
        <w:ind w:left="992" w:hanging="992"/>
        <w:contextualSpacing w:val="0"/>
      </w:pPr>
      <w:r w:rsidRPr="000E2C88">
        <w:rPr>
          <w:rFonts w:eastAsia="Calibri"/>
        </w:rPr>
        <w:t>Tokių gynybos argumentų kontekste teisėjų kolegija pažymi, kad pagal pirmosios instancijos teismo nustatytas bylos aplinkybes tankas Nr. 513 kartu su tanku Nr. 502 šalino karinės technikos kolonai pravažiuoti iki TV bokšto trukdžiusias užtvaras iš transporto priemonių, pavojingai manevruodamas sukėlė pavojų civilių gyvybei ir sveikatai,</w:t>
      </w:r>
      <w:r w:rsidRPr="000E2C88">
        <w:t xml:space="preserve"> ne mažiau kaip du kartus iššovė iš pabūklo tuščiais užtaisais, leido dūmines užsklandas, karinės technikos šviesos prietaisais švietė į civilius ir šturmuojamą objektą bei aplink esančius pastatus, taip civilius baugindamas bei terorizuodamas</w:t>
      </w:r>
      <w:r w:rsidRPr="000E2C88">
        <w:rPr>
          <w:rFonts w:eastAsia="Calibri"/>
        </w:rPr>
        <w:t xml:space="preserve"> (skundžiamo nuosprendžio 213–214 l., t. 770). Be to, skundžiamame nuosprendyje nurodoma, kad tanko Nr. 513 ekipažo nariai A. K. 1 ir S. V., pavojingai manevruodami ir šalindami kliūtis, sužalojo A. P. K. (žr. nuosprendžio 875, 888 l.; </w:t>
      </w:r>
      <w:r w:rsidRPr="000E2C88">
        <w:t>t. 773, b. l. 75, 88)</w:t>
      </w:r>
      <w:r w:rsidRPr="00B024B9">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t xml:space="preserve">Aplinkybės, kad </w:t>
      </w:r>
      <w:r w:rsidRPr="000E2C88">
        <w:rPr>
          <w:rFonts w:eastAsia="Calibri"/>
        </w:rPr>
        <w:t>tankas Nr. 513 pavojingai manevravo, šalino kliūtis, sudarydamas galimybes karinės technikos kolonai pravažiuoti iki TV bokšto ir taip kėlė pavojų ten buvusių civilių gyvybei ir sveikatai, yra teisingos ir pagrįstos</w:t>
      </w:r>
      <w:r w:rsidRPr="000E2C88">
        <w:rPr>
          <w:rFonts w:eastAsia="Calibri"/>
          <w:szCs w:val="24"/>
        </w:rPr>
        <w:t xml:space="preserve">. </w:t>
      </w:r>
      <w:r w:rsidRPr="000E2C88">
        <w:rPr>
          <w:szCs w:val="24"/>
          <w:lang w:eastAsia="lt-LT" w:bidi="lt-LT"/>
        </w:rPr>
        <w:t>Tokie tanko Nr. 513 ir tuo pačiu jo įgulos narių S. V. ir A. K. 1 manevrai prie TV bokšto konstatuoti 2014 m. birželio 10 d. specialisto išvadoje. Joje nurodoma, kad „</w:t>
      </w:r>
      <w:r w:rsidRPr="000E2C88">
        <w:rPr>
          <w:szCs w:val="24"/>
          <w:lang w:eastAsia="lt-LT"/>
        </w:rPr>
        <w:t>tankas T-72 b/n 513 (tanko vadas S. V.) stumdė ir traiškė techniką, stovėjusią kolonos kelyje, sukeldami mirtiną pavojų civiliams prie TV bokšto“ (t. 480, b. l. 70). Tokius šio tanko veiksmus prie TV bokšto patvirtina ir 1991 m. sausio 16 d. daiktinių įrodymų apžiūros Vilniaus mieste protokolas (t. 427, b. l. 71; t. 114, b. l. 81–89). Apžiūrėjus tanką Nr. 513, nustatyta, kad „apgadintas priekinis dešinysis posparnis, dešinysis falšbortas aplankstytas, pažeistas vamzdžio korpuso terminis apvalkalas“. Protokole nurodoma, kad A. K. 1 apžiūros metu paaiškino, jog šie apgadinimai padaryti prie TV bokšto, valant kelią nuo sunkvežimių, kurie užstojo kelią iki šių objektų (t. 427, b. l. 70). Iš pačių nuteistųjų S. V. ir A. K. 1 1991 m. sausio 16 d. paaiškinimų, kurie pateikti dar iki juos apklausiant liudytojais, taip pat matyti, kad tokius veiksmus jų tankas atliko (t. 427, b. l. 22, 30; t. 127, b. l. 18, 26–27). Šios išvados patikimumui patikrinti svarbūs ir prie TV bokšto buvusio tanko Nr. 541 ekipažo nario liudytojo V. P. parodymai apie tai, kad du pirmieji tankai, t. y. Nr. 513 ir 502, aplink esant civilių, pervažiavo automobilius, kurie užtvėrė kelią technikos judėjimui iki TV bokšto (t. 440, b. l. 57–61; t. 127, b. l. 75–82; t. 760, b. l. 154</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Teisėjų kolegijai nekyla abejonių ir dėl to, kad</w:t>
      </w:r>
      <w:r w:rsidRPr="000E2C88">
        <w:rPr>
          <w:szCs w:val="24"/>
          <w:lang w:eastAsia="lt-LT" w:bidi="lt-LT"/>
        </w:rPr>
        <w:t xml:space="preserve"> po minėtų užtvarų pašalinimo </w:t>
      </w:r>
      <w:r w:rsidRPr="000E2C88">
        <w:rPr>
          <w:rFonts w:eastAsia="Calibri"/>
        </w:rPr>
        <w:t>tankai, taip pat ir Nr. 513, TV bokšto rytų pusėje išlaužė tvorą ir pavojingai manevruodami įvažiavo į jo teritoriją, kur buvo itin daug civilių. Teisėjų kolegija nekartoja duomenų, kurie šiuo aspektu jau buvo aptarti šio sprendimo dalyje</w:t>
      </w:r>
      <w:r w:rsidRPr="000E2C88">
        <w:rPr>
          <w:rFonts w:eastAsia="Calibri"/>
          <w:szCs w:val="24"/>
        </w:rPr>
        <w:t xml:space="preserve"> „</w:t>
      </w:r>
      <w:r w:rsidRPr="000E2C88">
        <w:rPr>
          <w:i/>
          <w:szCs w:val="24"/>
          <w:lang w:eastAsia="lt-LT"/>
        </w:rPr>
        <w:t>Dėl tanko Nr. 502 ir jo ekipažo narių nuteistųjų N. A., O. A. ir V. S. 4 dalyvavimo užimant TV bokštą</w:t>
      </w:r>
      <w:r w:rsidRPr="000E2C88">
        <w:rPr>
          <w:szCs w:val="24"/>
          <w:lang w:eastAsia="lt-LT"/>
        </w:rPr>
        <w:t>“, tačiau</w:t>
      </w:r>
      <w:r w:rsidRPr="000E2C88">
        <w:rPr>
          <w:i/>
          <w:szCs w:val="24"/>
          <w:lang w:eastAsia="lt-LT"/>
        </w:rPr>
        <w:t xml:space="preserve"> </w:t>
      </w:r>
      <w:r w:rsidRPr="000E2C88">
        <w:rPr>
          <w:szCs w:val="24"/>
          <w:lang w:eastAsia="lt-LT" w:bidi="lt-LT"/>
        </w:rPr>
        <w:t>pabrėžia, kad tokiais duomenimis yra: 2014 m. birželio 10 d. specialisto išvada, teisiamajame posėdyje apklausto nuteistojo J. M. parodymai ir aktualūs vaizdo įrašai</w:t>
      </w:r>
      <w:r w:rsidRPr="00C00255">
        <w:rPr>
          <w:szCs w:val="24"/>
          <w:lang w:eastAsia="lt-LT" w:bidi="lt-LT"/>
        </w:rPr>
        <w:t xml:space="preserve">.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t>Aplinkybes, kad šis tankas TV bokšto teritorijoje šaudė tuščiais užtaisais, leido dūmines užsklandas bei švietė karinės technikos šviesos priemonėmis, taip pat patvirtina objektyvūs įrodymai. Praėjus trims dienoms po įvykių prie TV bokšto, apžiūrėjus tanką Nr. 513, be kita ko, nustatyta, kad jo patrankos vamzdyje yra nuodegų pėdsakų (</w:t>
      </w:r>
      <w:r w:rsidRPr="000E2C88">
        <w:rPr>
          <w:szCs w:val="24"/>
          <w:lang w:eastAsia="lt-LT"/>
        </w:rPr>
        <w:t xml:space="preserve">t. 427, b. l. 70; t. 114, b. l. 81–89). Be to, šiuo aspektu svarbi ir </w:t>
      </w:r>
      <w:r w:rsidRPr="000E2C88">
        <w:rPr>
          <w:szCs w:val="24"/>
          <w:lang w:eastAsia="lt-LT" w:bidi="lt-LT"/>
        </w:rPr>
        <w:t>pažyma-pranešimas apie karinio dalinio Nr. 22238 technikos panaudojimą 1991 m. sausio 12–13 dienomis, kur taip pat nurodyta, kad incidento metu buvo panaudotas ir tankas Nr. 513, kurio įgula šaudė tuščiais tankų pabūklų sviediniais (t. 191, b. l. 214; t. 191, b. l. 213). Aplinkybę, kad tankai prie TV bokšto šaudė iš pabūklų išmušamaisiais užtaisais, įvertinęs byloje surinktų duomenų visumą, konstatavo ir specialistas 2014 m. birželio 10 d. išvadoje (</w:t>
      </w:r>
      <w:r w:rsidRPr="000E2C88">
        <w:rPr>
          <w:szCs w:val="24"/>
          <w:lang w:eastAsia="lt-LT"/>
        </w:rPr>
        <w:t xml:space="preserve">t. 480, b. l. 70). </w:t>
      </w:r>
      <w:r w:rsidRPr="000E2C88">
        <w:rPr>
          <w:szCs w:val="24"/>
        </w:rPr>
        <w:t xml:space="preserve">2014 m. birželio 10 d. išvadoje, įvertinęs bylos medžiagoje esančių duomenų visumą, karo specialistas konstatavo, kad prie TV bokšto tankai šaudė iš pabūklų išmušamaisiais užtaisais, leido dūmines užsklandas, pavojingai manevravo, o panašūs veiksmais turėjo išgąsdinti, demoralizuoti, išsklaidyti civilius, susirinkusius prie TV bokšto (t. 480, b. l. 71). Šiame kontekste aktualūs </w:t>
      </w:r>
      <w:r w:rsidRPr="000E2C88">
        <w:rPr>
          <w:rFonts w:eastAsia="Calibri"/>
          <w:szCs w:val="24"/>
        </w:rPr>
        <w:t>kompaktiniame diske užrašu „M. V. vaizdo įrašas „1991-01-13 TV bokštas“ „08 OK“ kopija“ esančiame vaizdo įraše užfiksuoti vaizdai. Vaizdo įraše nuo 1 val. 9 min. 56 sek. matyti, kaip karinė technika, o taip pat ir tankai, prie TV bokšto leidžia dūmines užsklandas, šviečia į asmenis ir kitus objektus prožektoriais (kompaktinis diskas – t. 733, b. l. 138; vaizdo įrašo apžiūros protokolas su išsamia aktualių vaizdo įrašų kadrų fotolentele – t. 733, b. l. 111–137).</w:t>
      </w:r>
    </w:p>
    <w:p w:rsidR="00DA38E9" w:rsidRPr="000E2C88" w:rsidRDefault="00DA38E9" w:rsidP="00DA38E9">
      <w:pPr>
        <w:pStyle w:val="ListParagraph"/>
        <w:numPr>
          <w:ilvl w:val="0"/>
          <w:numId w:val="6"/>
        </w:numPr>
        <w:spacing w:before="120" w:after="120"/>
        <w:ind w:left="992" w:hanging="992"/>
        <w:contextualSpacing w:val="0"/>
      </w:pPr>
      <w:r w:rsidRPr="000E2C88">
        <w:rPr>
          <w:rFonts w:eastAsia="Calibri"/>
        </w:rPr>
        <w:t>Minėtų duomenų visuma rodo, kad teismo išvados, vertinant jau minėtas nuteistiesiems inkriminuotas faktines aplinkybes, susijusias su tanko Nr. 513 ekipažo narių veiksmais, yra teisingos. Teisėjų kolegija, vertindama panašaus pobūdžio veiksmus, kuriuos atliko kito, t. y. Nr. 502, tanko ekipažo nariai, jau pasisakė, kodėl tokio pobūdžio veiksmai buvo itin pavojingi civiliams, taip pat nurodė, kad visi tankai ir kariškiai veikė kartu. Aptarti bylos duomenys ir minėtos aplinkybės, neleidžia abejoti, kad vykdydamas užduotį A. K. 1</w:t>
      </w:r>
      <w:r w:rsidRPr="000E2C88">
        <w:rPr>
          <w:rFonts w:eastAsia="Calibri"/>
          <w:szCs w:val="24"/>
        </w:rPr>
        <w:t xml:space="preserve"> </w:t>
      </w:r>
      <w:r w:rsidRPr="000E2C88">
        <w:rPr>
          <w:rFonts w:eastAsia="Calibri"/>
        </w:rPr>
        <w:t xml:space="preserve">puikiai suprato, jog veikia kartu su kitais kariškiais, kad savo veiksmais, vairuodamas tanką ir šalindamas atsiradusias kliūtis, siekė sudaryti galimybes veikti desantininkams, todėl nuteistojo A. K. 1 ir tanko Nr. 513 ekipažo narių veiksmai negali būti vertinami atsietai nuo kitų operacijoje veikusių kariškių veiksmų.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B024B9">
        <w:rPr>
          <w:rFonts w:eastAsia="Calibri"/>
        </w:rPr>
        <w:t>Vienas iš tokių kitų dalinių kariškių ir tankų veikimo kartu epizodų nustatytas jau pirminėje TV bokšto užėmimo operacijos stadijoje, kai puolančiosios grupės kolona TV bokšto prieigose</w:t>
      </w:r>
      <w:r w:rsidRPr="00C00255">
        <w:rPr>
          <w:rFonts w:eastAsia="Calibri"/>
          <w:szCs w:val="24"/>
        </w:rPr>
        <w:t xml:space="preserve"> </w:t>
      </w:r>
      <w:r w:rsidRPr="00B024B9">
        <w:rPr>
          <w:rFonts w:eastAsia="Calibri"/>
        </w:rPr>
        <w:t>sutiko iš transporto priemonių sudarytą kliūtį, o tankai, ją šalindami, mirtinai sužalojo A. P. K.</w:t>
      </w:r>
      <w:r w:rsidRPr="00C00255">
        <w:rPr>
          <w:rFonts w:eastAsia="Calibri"/>
          <w:szCs w:val="24"/>
        </w:rPr>
        <w:t xml:space="preserve">  </w:t>
      </w:r>
    </w:p>
    <w:p w:rsidR="00DA38E9" w:rsidRPr="00C00255" w:rsidRDefault="00DA38E9" w:rsidP="00DA38E9">
      <w:pPr>
        <w:pStyle w:val="Heading5"/>
        <w:ind w:left="992"/>
        <w:rPr>
          <w:rFonts w:ascii="Times New Roman" w:hAnsi="Times New Roman" w:cs="Times New Roman"/>
          <w:i/>
          <w:iCs/>
          <w:color w:val="auto"/>
        </w:rPr>
      </w:pPr>
      <w:r w:rsidRPr="00C00255">
        <w:rPr>
          <w:rFonts w:ascii="Times New Roman" w:hAnsi="Times New Roman" w:cs="Times New Roman"/>
          <w:i/>
          <w:iCs/>
          <w:color w:val="auto"/>
        </w:rPr>
        <w:t xml:space="preserve">Dėl </w:t>
      </w:r>
      <w:r>
        <w:rPr>
          <w:rFonts w:ascii="Times New Roman" w:hAnsi="Times New Roman" w:cs="Times New Roman"/>
          <w:i/>
          <w:iCs/>
          <w:color w:val="auto"/>
        </w:rPr>
        <w:t>A. P. K.</w:t>
      </w:r>
      <w:r w:rsidRPr="00C00255">
        <w:rPr>
          <w:rFonts w:ascii="Times New Roman" w:hAnsi="Times New Roman" w:cs="Times New Roman"/>
          <w:i/>
          <w:iCs/>
          <w:color w:val="auto"/>
        </w:rPr>
        <w:t xml:space="preserve"> nužudymo ir kitų veiksmų, kuriuos atliko tankai Nr. 502 ir </w:t>
      </w:r>
      <w:r>
        <w:rPr>
          <w:rFonts w:ascii="Times New Roman" w:hAnsi="Times New Roman" w:cs="Times New Roman"/>
          <w:i/>
          <w:iCs/>
          <w:color w:val="auto"/>
        </w:rPr>
        <w:t xml:space="preserve">Nr. </w:t>
      </w:r>
      <w:r w:rsidRPr="00C00255">
        <w:rPr>
          <w:rFonts w:ascii="Times New Roman" w:hAnsi="Times New Roman" w:cs="Times New Roman"/>
          <w:i/>
          <w:iCs/>
          <w:color w:val="auto"/>
        </w:rPr>
        <w:t xml:space="preserve">513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t>Skundžiamu nuosprendžiu konstatuota, kad „</w:t>
      </w:r>
      <w:r w:rsidRPr="000E2C88">
        <w:rPr>
          <w:rFonts w:eastAsia="Calibri"/>
          <w:i/>
        </w:rPr>
        <w:t xml:space="preserve">Kolonos vadas kaltinamasis V. S. 2, gavęs informaciją iš kolonos priekyje BMD 281 važiuojančio kaltinamojo V. D. apie tai, kad kolonos kelyje yra užtvarų iš transporto priemonių, tankų pulko vadui kaltinamajam N. A. nurodė jas pašalinti. </w:t>
      </w:r>
      <w:r w:rsidRPr="000E2C88">
        <w:rPr>
          <w:i/>
        </w:rPr>
        <w:t xml:space="preserve">Kaltinamojo N. A. nurodymu, jo vadovaujamas tankas, borto Nr. 502, kurio ekipaže buvo taikytojas kaltinamasis O. A. ir mechanikas-vairuotojas kaltinamasis V. S. 4, kartu su kaltinamojo S. V. vadovaujamo tanko, kurio borto Nr. 513, ekipažu: taikytojas I. B. (baudžiamoji byla nutraukta) ir mechanikas-vairuotojas kaltinamasis A. K. 1, šalino kliūtis ir sukėlė pavojų civilių gyvybei ir sveikatai. Vienas iš užtvaras šalinusių tankų, stumdamas nuo pravažiavimo smėlio barstytuvą ZIL-130 KDM, kurio </w:t>
      </w:r>
      <w:r w:rsidRPr="000E2C88">
        <w:rPr>
          <w:i/>
          <w:szCs w:val="24"/>
          <w:lang w:eastAsia="lt-LT"/>
        </w:rPr>
        <w:t>v/n</w:t>
      </w:r>
      <w:r w:rsidRPr="000E2C88">
        <w:rPr>
          <w:i/>
        </w:rPr>
        <w:t xml:space="preserve"> 29-04 LIČ (raidės rusiškos), prie jo prispaudė A. P. K., kuris dėl nuo visumos traumų galvoje, kūne ir galūnėse bei daugybės skeleto kaulų lūžių ir traumų sukelto šoko komplikacijos, galvos smegenų, plaučių pabrinkimo ir vidinės kraujosruvos mirė, t. y. nukentėjusįjį tyčia nužudė.</w:t>
      </w:r>
      <w:r w:rsidRPr="000E2C88">
        <w:t>“ (</w:t>
      </w:r>
      <w:r w:rsidRPr="000E2C88">
        <w:rPr>
          <w:rFonts w:eastAsia="Calibri"/>
        </w:rPr>
        <w:t>nuosprendžio 213 l., t. 770, b. l. 13)</w:t>
      </w:r>
      <w:r w:rsidRPr="000E2C88">
        <w:t>.</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color w:val="000000"/>
          <w:szCs w:val="24"/>
          <w:lang w:eastAsia="lt-LT" w:bidi="lt-LT"/>
        </w:rPr>
        <w:t xml:space="preserve">Nuteistojo </w:t>
      </w:r>
      <w:r>
        <w:rPr>
          <w:color w:val="000000"/>
          <w:szCs w:val="24"/>
          <w:lang w:eastAsia="lt-LT" w:bidi="lt-LT"/>
        </w:rPr>
        <w:t>V. U. 1</w:t>
      </w:r>
      <w:r w:rsidRPr="00C00255">
        <w:rPr>
          <w:color w:val="000000"/>
          <w:szCs w:val="24"/>
          <w:lang w:eastAsia="lt-LT" w:bidi="lt-LT"/>
        </w:rPr>
        <w:t xml:space="preserve"> gynėjas abejoja tokių pirmosios instancijos teismo išvadų pagrįstumu ir teigia, kad </w:t>
      </w:r>
      <w:r w:rsidRPr="00C00255">
        <w:rPr>
          <w:szCs w:val="24"/>
        </w:rPr>
        <w:t>byloje yra duomenų, rodančių, kad A. P.</w:t>
      </w:r>
      <w:r>
        <w:rPr>
          <w:szCs w:val="24"/>
        </w:rPr>
        <w:t> K.</w:t>
      </w:r>
      <w:r w:rsidRPr="00C00255">
        <w:rPr>
          <w:szCs w:val="24"/>
        </w:rPr>
        <w:t xml:space="preserve"> mirė sausio 4</w:t>
      </w:r>
      <w:r>
        <w:rPr>
          <w:szCs w:val="24"/>
        </w:rPr>
        <w:t> </w:t>
      </w:r>
      <w:r w:rsidRPr="00C00255">
        <w:rPr>
          <w:szCs w:val="24"/>
        </w:rPr>
        <w:t xml:space="preserve">d., o ne buvo nužudytas sausio 13 d., </w:t>
      </w:r>
      <w:r w:rsidRPr="00C00255">
        <w:t>ir pateikia nuorodą į 284-ojo bylos tomo 77-ąjį lapą</w:t>
      </w:r>
      <w:r w:rsidRPr="00C00255">
        <w:rPr>
          <w:szCs w:val="24"/>
        </w:rPr>
        <w:t xml:space="preserve"> . Pasak gynėjo, ekspertai, tyrę </w:t>
      </w:r>
      <w:bookmarkStart w:id="291" w:name="_Hlk68172970"/>
      <w:r w:rsidRPr="00C00255">
        <w:rPr>
          <w:szCs w:val="24"/>
        </w:rPr>
        <w:t>A. P. K</w:t>
      </w:r>
      <w:r>
        <w:rPr>
          <w:szCs w:val="24"/>
        </w:rPr>
        <w:t>.</w:t>
      </w:r>
      <w:bookmarkEnd w:id="291"/>
      <w:r w:rsidRPr="00C00255">
        <w:rPr>
          <w:szCs w:val="24"/>
        </w:rPr>
        <w:t xml:space="preserve"> kūną, padarė išvadą, kad jo sužalojimai panašesni į padarytus automobilio, o ne tanko, be to, jo kraujyje buvo rasta 2,52 promilės alkoholio (gynėjas pateikia nuorodą į </w:t>
      </w:r>
      <w:r w:rsidRPr="00C00255">
        <w:t>151-ojo bylos tomo 259-ąjį lapą</w:t>
      </w:r>
      <w:r w:rsidRPr="00C00255">
        <w:rPr>
          <w:szCs w:val="24"/>
        </w:rPr>
        <w:t xml:space="preserve">. Teisėjų kolegija </w:t>
      </w:r>
      <w:r>
        <w:rPr>
          <w:szCs w:val="24"/>
        </w:rPr>
        <w:t>V. U. 1</w:t>
      </w:r>
      <w:r w:rsidRPr="00C00255">
        <w:rPr>
          <w:szCs w:val="24"/>
        </w:rPr>
        <w:t xml:space="preserve"> gynėjo keliamas versijas atmeta kaip niekuo nepagrįstas ir prieštaraujančias byloje atliktiems ekspertiniams tyrimams.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Nukentėjusiojo </w:t>
      </w:r>
      <w:r>
        <w:rPr>
          <w:szCs w:val="24"/>
          <w:lang w:eastAsia="lt-LT" w:bidi="lt-LT"/>
        </w:rPr>
        <w:t>A. P. K.</w:t>
      </w:r>
      <w:r w:rsidRPr="00C00255">
        <w:rPr>
          <w:szCs w:val="24"/>
          <w:lang w:eastAsia="lt-LT" w:bidi="lt-LT"/>
        </w:rPr>
        <w:t xml:space="preserve"> mirties ir sužalojimų, kurie buvo padaryti tanku prie TV bokšto, faktas yra nustatytas įsiteisėjusiais sprendimais </w:t>
      </w:r>
      <w:r>
        <w:rPr>
          <w:szCs w:val="24"/>
        </w:rPr>
        <w:t>M. B.</w:t>
      </w:r>
      <w:r w:rsidRPr="00C00255">
        <w:rPr>
          <w:szCs w:val="24"/>
        </w:rPr>
        <w:t xml:space="preserve">, </w:t>
      </w:r>
      <w:r>
        <w:rPr>
          <w:szCs w:val="24"/>
        </w:rPr>
        <w:t>J. K.</w:t>
      </w:r>
      <w:r w:rsidRPr="00C00255">
        <w:rPr>
          <w:szCs w:val="24"/>
        </w:rPr>
        <w:t xml:space="preserve"> ir kitų byloje.</w:t>
      </w:r>
      <w:r w:rsidRPr="00C00255">
        <w:rPr>
          <w:szCs w:val="24"/>
          <w:lang w:eastAsia="lt-LT" w:bidi="lt-LT"/>
        </w:rPr>
        <w:t xml:space="preserve"> </w:t>
      </w:r>
      <w:r w:rsidRPr="00C00255">
        <w:rPr>
          <w:bCs/>
          <w:szCs w:val="24"/>
        </w:rPr>
        <w:t>Vilniaus apygardos teismo 1999 m. rugpjūčio 23 d. nuosprendžiu baudžiamojoje byloje</w:t>
      </w:r>
      <w:r w:rsidRPr="00C00255">
        <w:rPr>
          <w:szCs w:val="24"/>
          <w:lang w:eastAsia="lt-LT"/>
        </w:rPr>
        <w:t xml:space="preserve"> Nr. 1-2/1999 konstatuota, kad „</w:t>
      </w:r>
      <w:r w:rsidRPr="00C00255">
        <w:rPr>
          <w:color w:val="000000"/>
          <w:szCs w:val="24"/>
          <w:lang w:eastAsia="lt-LT" w:bidi="lt-LT"/>
        </w:rPr>
        <w:t>naktį iš sausio 12-os į 13-ąją d. TSRS kariškiai tyčia nužudė prie Televizijos bokšto: &lt;...&gt; A.</w:t>
      </w:r>
      <w:r>
        <w:rPr>
          <w:color w:val="000000"/>
          <w:szCs w:val="24"/>
          <w:lang w:eastAsia="lt-LT" w:bidi="lt-LT"/>
        </w:rPr>
        <w:t> K.</w:t>
      </w:r>
      <w:r w:rsidRPr="00C00255">
        <w:rPr>
          <w:color w:val="000000"/>
          <w:szCs w:val="24"/>
          <w:lang w:eastAsia="lt-LT" w:bidi="lt-LT"/>
        </w:rPr>
        <w:t xml:space="preserve"> mirė nuo daugybės sužalojimų, gautų, kai tankas jį prispaudė prie smėlio barstytuvo“ (t. 379, b l. 7). Taigi minėtoje byloje nustatytas ne tik </w:t>
      </w:r>
      <w:r w:rsidRPr="00C00255">
        <w:rPr>
          <w:szCs w:val="24"/>
        </w:rPr>
        <w:t>A. P. K</w:t>
      </w:r>
      <w:r>
        <w:rPr>
          <w:szCs w:val="24"/>
        </w:rPr>
        <w:t>.</w:t>
      </w:r>
      <w:r w:rsidRPr="00503BF8">
        <w:rPr>
          <w:color w:val="000000"/>
          <w:szCs w:val="24"/>
          <w:lang w:eastAsia="lt-LT" w:bidi="lt-LT"/>
        </w:rPr>
        <w:t xml:space="preserve"> </w:t>
      </w:r>
      <w:r w:rsidRPr="00C00255">
        <w:rPr>
          <w:color w:val="000000"/>
          <w:szCs w:val="24"/>
          <w:lang w:eastAsia="lt-LT" w:bidi="lt-LT"/>
        </w:rPr>
        <w:t xml:space="preserve">mirties laikas ir vieta, tačiau ir sužalojimų susidarymo mechanizmas.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color w:val="000000"/>
          <w:szCs w:val="24"/>
          <w:lang w:eastAsia="lt-LT" w:bidi="lt-LT"/>
        </w:rPr>
        <w:t xml:space="preserve">Aplinkybę, kad </w:t>
      </w:r>
      <w:r>
        <w:rPr>
          <w:color w:val="000000"/>
          <w:szCs w:val="24"/>
          <w:lang w:eastAsia="lt-LT" w:bidi="lt-LT"/>
        </w:rPr>
        <w:t>A. P. K.</w:t>
      </w:r>
      <w:r w:rsidRPr="00C00255">
        <w:rPr>
          <w:color w:val="000000"/>
          <w:szCs w:val="24"/>
          <w:lang w:eastAsia="lt-LT" w:bidi="lt-LT"/>
        </w:rPr>
        <w:t xml:space="preserve"> mirė TV bokšto užėmimo metu, patvirtina ir nagrinėjamoje byloje esantys rašytiniai dokumentai: 1991 m. sausio 13 d. greitosios medicinos pagalbos kvietimo kortelė (t. 94, b. l. 2), gydymo ligoninėje kortelė, lavono registracijos morge įrašai, </w:t>
      </w:r>
      <w:r w:rsidRPr="00C00255">
        <w:rPr>
          <w:szCs w:val="24"/>
        </w:rPr>
        <w:t>A. P. K</w:t>
      </w:r>
      <w:r>
        <w:rPr>
          <w:szCs w:val="24"/>
        </w:rPr>
        <w:t>.</w:t>
      </w:r>
      <w:r w:rsidRPr="00C00255">
        <w:rPr>
          <w:color w:val="000000"/>
          <w:szCs w:val="24"/>
          <w:lang w:eastAsia="lt-LT" w:bidi="lt-LT"/>
        </w:rPr>
        <w:t xml:space="preserve"> mirties liudijimas ir pan. (t. 505, b. l. 1–8; t. 447, b. l. 59). Nuteistojo </w:t>
      </w:r>
      <w:r>
        <w:rPr>
          <w:color w:val="000000"/>
          <w:szCs w:val="24"/>
          <w:lang w:eastAsia="lt-LT" w:bidi="lt-LT"/>
        </w:rPr>
        <w:t>V. U. 1</w:t>
      </w:r>
      <w:r w:rsidRPr="00C00255">
        <w:rPr>
          <w:color w:val="000000"/>
          <w:szCs w:val="24"/>
          <w:lang w:eastAsia="lt-LT" w:bidi="lt-LT"/>
        </w:rPr>
        <w:t xml:space="preserve"> gynėjo nurodytame bylos 284-o tomo 77-ame lape taip pat nėra pateikta informacijos apie kitokį </w:t>
      </w:r>
      <w:r w:rsidRPr="00C00255">
        <w:rPr>
          <w:szCs w:val="24"/>
        </w:rPr>
        <w:t>A. P. K</w:t>
      </w:r>
      <w:r>
        <w:rPr>
          <w:szCs w:val="24"/>
        </w:rPr>
        <w:t>.</w:t>
      </w:r>
      <w:r w:rsidRPr="00C00255">
        <w:rPr>
          <w:color w:val="000000"/>
          <w:szCs w:val="24"/>
          <w:lang w:eastAsia="lt-LT" w:bidi="lt-LT"/>
        </w:rPr>
        <w:t xml:space="preserve"> mirties laiką. Byl</w:t>
      </w:r>
      <w:r w:rsidRPr="00C00255">
        <w:rPr>
          <w:szCs w:val="24"/>
          <w:lang w:eastAsia="lt-LT"/>
        </w:rPr>
        <w:t xml:space="preserve">oje esančiame 1991 m. kovo 28 d. kompleksinės teismo medicinos ir kriminalistinės ekspertizės akte Nr. 11-257, 11-358, 11-361 konstatuota, kad </w:t>
      </w:r>
      <w:r w:rsidRPr="00C00255">
        <w:rPr>
          <w:szCs w:val="24"/>
        </w:rPr>
        <w:t>A. P. K</w:t>
      </w:r>
      <w:r>
        <w:rPr>
          <w:szCs w:val="24"/>
        </w:rPr>
        <w:t>.</w:t>
      </w:r>
      <w:r w:rsidRPr="00C00255">
        <w:rPr>
          <w:szCs w:val="24"/>
          <w:lang w:eastAsia="lt-LT"/>
        </w:rPr>
        <w:t xml:space="preserve"> kūno sužalojimai padaryti prispaudžiant jį didele jėga iš nugaros pusės prie nejudančio automobilio judančia palyginamai didelio svorio transporto priemone, kuria galėjo būti tankas arba tanketė. Be to, atlikus šį ekspertinį tyrimą, ant </w:t>
      </w:r>
      <w:r>
        <w:rPr>
          <w:szCs w:val="24"/>
          <w:lang w:eastAsia="lt-LT"/>
        </w:rPr>
        <w:t>A. P. K.</w:t>
      </w:r>
      <w:r w:rsidRPr="00C00255">
        <w:rPr>
          <w:szCs w:val="24"/>
          <w:lang w:eastAsia="lt-LT"/>
        </w:rPr>
        <w:t xml:space="preserve"> drabužių buvo rasti net kelių spalvų dažų</w:t>
      </w:r>
      <w:r w:rsidRPr="00C00255">
        <w:rPr>
          <w:iCs/>
        </w:rPr>
        <w:t xml:space="preserve"> pėdsakai</w:t>
      </w:r>
      <w:r w:rsidRPr="00C00255">
        <w:rPr>
          <w:szCs w:val="24"/>
          <w:lang w:eastAsia="lt-LT"/>
        </w:rPr>
        <w:t xml:space="preserve">, kuriais buvo nudažytas </w:t>
      </w:r>
      <w:r w:rsidRPr="00C00255">
        <w:rPr>
          <w:iCs/>
        </w:rPr>
        <w:t xml:space="preserve">smėlio barstytuvas ZIL-130 KDM, </w:t>
      </w:r>
      <w:r w:rsidRPr="00C00255">
        <w:rPr>
          <w:iCs/>
          <w:szCs w:val="24"/>
          <w:lang w:eastAsia="lt-LT"/>
        </w:rPr>
        <w:t xml:space="preserve">valst. Nr. </w:t>
      </w:r>
      <w:r w:rsidRPr="00C00255">
        <w:rPr>
          <w:iCs/>
        </w:rPr>
        <w:t xml:space="preserve">29-04 LIČ </w:t>
      </w:r>
      <w:r w:rsidRPr="00C00255">
        <w:rPr>
          <w:szCs w:val="24"/>
          <w:lang w:eastAsia="lt-LT"/>
        </w:rPr>
        <w:t xml:space="preserve">(t. 94, b. l. 69–70). Šis automobilis buvo apžiūrėtas netrukus po TV bokšto užėmimo pačioje įvykio vietoje, be to, prie jo buvo rasti batai, kuriuos tyrimo metu, kaip </w:t>
      </w:r>
      <w:r w:rsidRPr="00C00255">
        <w:rPr>
          <w:szCs w:val="24"/>
        </w:rPr>
        <w:t>A. P. K</w:t>
      </w:r>
      <w:r>
        <w:rPr>
          <w:szCs w:val="24"/>
        </w:rPr>
        <w:t>.</w:t>
      </w:r>
      <w:r w:rsidRPr="00C00255">
        <w:rPr>
          <w:szCs w:val="24"/>
          <w:lang w:eastAsia="lt-LT"/>
        </w:rPr>
        <w:t xml:space="preserve"> batus, atpažino jo sutuoktinė G</w:t>
      </w:r>
      <w:r>
        <w:rPr>
          <w:szCs w:val="24"/>
          <w:lang w:eastAsia="lt-LT"/>
        </w:rPr>
        <w:t>.</w:t>
      </w:r>
      <w:r w:rsidRPr="00C00255">
        <w:rPr>
          <w:szCs w:val="24"/>
          <w:lang w:eastAsia="lt-LT"/>
        </w:rPr>
        <w:t> K</w:t>
      </w:r>
      <w:r>
        <w:rPr>
          <w:szCs w:val="24"/>
          <w:lang w:eastAsia="lt-LT"/>
        </w:rPr>
        <w:t>.</w:t>
      </w:r>
      <w:r w:rsidRPr="00C00255">
        <w:rPr>
          <w:szCs w:val="24"/>
          <w:lang w:eastAsia="lt-LT"/>
        </w:rPr>
        <w:t xml:space="preserve"> (t. 94, b. l. 34–43). Visa tai aiškiai ir kategoriškai paneigia bet kokias </w:t>
      </w:r>
      <w:r>
        <w:rPr>
          <w:szCs w:val="24"/>
          <w:lang w:eastAsia="lt-LT"/>
        </w:rPr>
        <w:t>V. U. 1</w:t>
      </w:r>
      <w:r w:rsidRPr="00C00255">
        <w:rPr>
          <w:szCs w:val="24"/>
          <w:lang w:eastAsia="lt-LT"/>
        </w:rPr>
        <w:t xml:space="preserve"> gynėjo interpretacijas dėl nukentėjusiojo </w:t>
      </w:r>
      <w:r w:rsidRPr="00C00255">
        <w:rPr>
          <w:szCs w:val="24"/>
        </w:rPr>
        <w:t>A. P. K</w:t>
      </w:r>
      <w:r>
        <w:rPr>
          <w:szCs w:val="24"/>
        </w:rPr>
        <w:t>.</w:t>
      </w:r>
      <w:r w:rsidRPr="00C00255">
        <w:rPr>
          <w:szCs w:val="24"/>
          <w:lang w:eastAsia="lt-LT"/>
        </w:rPr>
        <w:t xml:space="preserve"> sužalojimo laiko ir pobūdžio.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Nuteistojo </w:t>
      </w:r>
      <w:r>
        <w:rPr>
          <w:szCs w:val="24"/>
          <w:lang w:eastAsia="lt-LT"/>
        </w:rPr>
        <w:t>V. U. 1</w:t>
      </w:r>
      <w:r w:rsidRPr="00C00255">
        <w:rPr>
          <w:szCs w:val="24"/>
          <w:lang w:eastAsia="lt-LT"/>
        </w:rPr>
        <w:t xml:space="preserve"> gynėjo A. Asovskio prielaidos apie nukentėjusiojo neblaivumą ne tik niekaip nereikšmingos, bet ir neteisingos, nes jos, kaip ir jau aptartu atveju keliant nepagrįstas versijas dėl nukentėjusiosios L.</w:t>
      </w:r>
      <w:r>
        <w:rPr>
          <w:szCs w:val="24"/>
          <w:lang w:eastAsia="lt-LT"/>
        </w:rPr>
        <w:t> A.</w:t>
      </w:r>
      <w:r w:rsidRPr="00C00255">
        <w:rPr>
          <w:szCs w:val="24"/>
          <w:lang w:eastAsia="lt-LT"/>
        </w:rPr>
        <w:t xml:space="preserve"> mirties aplinkybių, grindžiamos nepasirašyta ir jokiais tyrimais nepagrįsta TSRS pareigūnų pažyma (t. 151, b. l. 259). Nagrinėjamoje byloje yra 1991 m. sausio 28 d. eksperto išvada Nr. 57, iš kurios matyti, kad </w:t>
      </w:r>
      <w:r w:rsidRPr="00C00255">
        <w:rPr>
          <w:szCs w:val="24"/>
        </w:rPr>
        <w:t>A. P. K</w:t>
      </w:r>
      <w:r>
        <w:rPr>
          <w:szCs w:val="24"/>
        </w:rPr>
        <w:t>.</w:t>
      </w:r>
      <w:r w:rsidRPr="00C00255">
        <w:rPr>
          <w:szCs w:val="24"/>
          <w:lang w:eastAsia="lt-LT"/>
        </w:rPr>
        <w:t xml:space="preserve"> kūno tyrimą atlikusiam ekspertui buvo keliamas ir klausimas, ar nukentėjusysis vartojo alkoholinius gėrimus. Atlikęs tyrimą, teismo medicinos ekspertas konstatavo, kad </w:t>
      </w:r>
      <w:r w:rsidRPr="00C00255">
        <w:rPr>
          <w:szCs w:val="24"/>
        </w:rPr>
        <w:t>A. P. K</w:t>
      </w:r>
      <w:r>
        <w:rPr>
          <w:szCs w:val="24"/>
        </w:rPr>
        <w:t>.</w:t>
      </w:r>
      <w:r w:rsidRPr="00C00255">
        <w:rPr>
          <w:szCs w:val="24"/>
          <w:lang w:eastAsia="lt-LT"/>
        </w:rPr>
        <w:t xml:space="preserve"> organizme nebuvo rasta jokių nuodingųjų medžiagų, kad </w:t>
      </w:r>
      <w:r w:rsidRPr="00C00255">
        <w:rPr>
          <w:szCs w:val="24"/>
        </w:rPr>
        <w:t>A. P. K</w:t>
      </w:r>
      <w:r>
        <w:rPr>
          <w:szCs w:val="24"/>
        </w:rPr>
        <w:t>.</w:t>
      </w:r>
      <w:r w:rsidRPr="00C00255">
        <w:rPr>
          <w:szCs w:val="24"/>
          <w:lang w:eastAsia="lt-LT"/>
        </w:rPr>
        <w:t xml:space="preserve"> mirė prieš 3-6 valandas iki jo kūno tyrimo pradžios, t. y. iki </w:t>
      </w:r>
      <w:r>
        <w:rPr>
          <w:szCs w:val="24"/>
          <w:lang w:eastAsia="lt-LT"/>
        </w:rPr>
        <w:t>(duomenys neskelbtini)</w:t>
      </w:r>
      <w:r w:rsidRPr="00C00255">
        <w:rPr>
          <w:szCs w:val="24"/>
          <w:lang w:eastAsia="lt-LT"/>
        </w:rPr>
        <w:t xml:space="preserve"> (t. 94, b. l. 12–18). Taigi visi </w:t>
      </w:r>
      <w:r>
        <w:rPr>
          <w:szCs w:val="24"/>
          <w:lang w:eastAsia="lt-LT"/>
        </w:rPr>
        <w:t>V. U. 1</w:t>
      </w:r>
      <w:r w:rsidRPr="00C00255">
        <w:rPr>
          <w:szCs w:val="24"/>
          <w:lang w:eastAsia="lt-LT"/>
        </w:rPr>
        <w:t xml:space="preserve"> gynėjo apeliacinio skundo argumentai, susiję su galimai kitokiomis </w:t>
      </w:r>
      <w:r w:rsidRPr="00C00255">
        <w:rPr>
          <w:szCs w:val="24"/>
        </w:rPr>
        <w:t>A. P. K</w:t>
      </w:r>
      <w:r>
        <w:rPr>
          <w:szCs w:val="24"/>
        </w:rPr>
        <w:t>.</w:t>
      </w:r>
      <w:r w:rsidRPr="00C00255">
        <w:rPr>
          <w:szCs w:val="24"/>
          <w:lang w:eastAsia="lt-LT"/>
        </w:rPr>
        <w:t xml:space="preserve"> mirties aplinkybėmis, nei jos nustatytos skundžiamu teismo nuosprendžiu, atmestini kaip niekuo nepagrįsti.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Priešingai nei </w:t>
      </w:r>
      <w:r>
        <w:rPr>
          <w:szCs w:val="24"/>
          <w:lang w:eastAsia="lt-LT"/>
        </w:rPr>
        <w:t>V. U. 1</w:t>
      </w:r>
      <w:r w:rsidRPr="00C00255">
        <w:rPr>
          <w:szCs w:val="24"/>
          <w:lang w:eastAsia="lt-LT"/>
        </w:rPr>
        <w:t xml:space="preserve"> gynėjas, nuteistojo </w:t>
      </w:r>
      <w:r>
        <w:rPr>
          <w:szCs w:val="24"/>
          <w:lang w:eastAsia="lt-LT"/>
        </w:rPr>
        <w:t>A. K. 1</w:t>
      </w:r>
      <w:r w:rsidRPr="00C00255">
        <w:rPr>
          <w:szCs w:val="24"/>
          <w:lang w:eastAsia="lt-LT"/>
        </w:rPr>
        <w:t xml:space="preserve"> gynėja apeliaciniu skundu </w:t>
      </w:r>
      <w:r w:rsidRPr="00C00255">
        <w:rPr>
          <w:szCs w:val="24"/>
        </w:rPr>
        <w:t>neneigia teismo išvados, kad nukentėjusysis A. P. K</w:t>
      </w:r>
      <w:r>
        <w:rPr>
          <w:szCs w:val="24"/>
        </w:rPr>
        <w:t>.</w:t>
      </w:r>
      <w:r w:rsidRPr="00C00255">
        <w:rPr>
          <w:szCs w:val="24"/>
        </w:rPr>
        <w:t xml:space="preserve"> buvo sužalotas tanko, tačiau teigia, kad byloje neįrodyta, jog būtent </w:t>
      </w:r>
      <w:r>
        <w:rPr>
          <w:szCs w:val="24"/>
        </w:rPr>
        <w:t>A. K. 1</w:t>
      </w:r>
      <w:r w:rsidRPr="00C00255">
        <w:rPr>
          <w:szCs w:val="24"/>
        </w:rPr>
        <w:t xml:space="preserve"> vairuojamas tankas mirtinai sužalojo A. P. K</w:t>
      </w:r>
      <w:r>
        <w:rPr>
          <w:szCs w:val="24"/>
        </w:rPr>
        <w:t>.</w:t>
      </w:r>
      <w:r w:rsidRPr="00C00255">
        <w:rPr>
          <w:szCs w:val="24"/>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Tokie gynėjos argumentai iš dalies teisingi, nes</w:t>
      </w:r>
      <w:r w:rsidRPr="00C00255">
        <w:t xml:space="preserve"> apygardos teismas teismo nuosprendžio nustatomojoje dalyje, aprašydamas įrodytomis pripažintas aplinkybes, iš tiesų nenurodė, kuris konkretus tankas padarė byloje nustatytus nukentėjusiojo </w:t>
      </w:r>
      <w:r w:rsidRPr="00C00255">
        <w:rPr>
          <w:szCs w:val="24"/>
        </w:rPr>
        <w:t>A. P. K</w:t>
      </w:r>
      <w:r>
        <w:rPr>
          <w:szCs w:val="24"/>
        </w:rPr>
        <w:t>.</w:t>
      </w:r>
      <w:r w:rsidRPr="00C00255">
        <w:t xml:space="preserve"> sužalojimus. Teismas nuosprendžio nustatomojoje dalyje nurodė, kad tai padarė „vienas iš užtvaras šalinusių tankų“. Tokia teismo išvada padaryta, kalbant ne apie bet kokias užtvaras, o apie užtvaras iš transporto priemonių, kurias, kaip nustatė teismas, veikdami kartu šalino du tankai, t. y. tankai, kurių borto Nr. 502 ir 513 (nuosprendžio 213 l.). Nuosprendžio motyvuojamojoje dalyje pirmosios instancijos teismas padarė kiek kitokias išvadas, nes </w:t>
      </w:r>
      <w:r w:rsidRPr="00C00255">
        <w:rPr>
          <w:szCs w:val="24"/>
        </w:rPr>
        <w:t>A. P. K</w:t>
      </w:r>
      <w:r>
        <w:rPr>
          <w:szCs w:val="24"/>
        </w:rPr>
        <w:t>.</w:t>
      </w:r>
      <w:r w:rsidRPr="00C00255">
        <w:t xml:space="preserve"> padarytus sužalojimus priskyrė tik vieno iš tankų, t. y. tanko Nr. 513, ekipažo nariams </w:t>
      </w:r>
      <w:r>
        <w:t>S. V.</w:t>
      </w:r>
      <w:r w:rsidRPr="00C00255">
        <w:t xml:space="preserve"> ir </w:t>
      </w:r>
      <w:r>
        <w:t>A. K. 1</w:t>
      </w:r>
      <w:r w:rsidRPr="00C00255">
        <w:t xml:space="preserve"> (nuosprendžio 875 ir 888 l.).</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t>A</w:t>
      </w:r>
      <w:r w:rsidRPr="000E2C88">
        <w:rPr>
          <w:lang w:eastAsia="lt-LT"/>
        </w:rPr>
        <w:t>peliacinės instancijos teismui nekyla abejonių dėl to, kad A. P. K. traumas prie TV bokšto sukėlė kolonos priekyje važiavę tankai, kurių borto Nr. 502 ir 513. Apie puolančiosios kolonos sudėtyje važiavusių tankų eiliškumą teismas jau pasisakė šio sprendimo dalyje „</w:t>
      </w:r>
      <w:r w:rsidR="000E2C88">
        <w:rPr>
          <w:i/>
          <w:szCs w:val="24"/>
          <w:lang w:eastAsia="lt-LT"/>
        </w:rPr>
        <w:t>Dėl tanko Nr. </w:t>
      </w:r>
      <w:r w:rsidRPr="000E2C88">
        <w:rPr>
          <w:i/>
          <w:szCs w:val="24"/>
          <w:lang w:eastAsia="lt-LT"/>
        </w:rPr>
        <w:t>502 ir jo ekipažo narių nuteistųjų N. A., O. A. ir V. S. 4 dalyvavimo užimant TV bokštą</w:t>
      </w:r>
      <w:r w:rsidRPr="000E2C88">
        <w:rPr>
          <w:szCs w:val="24"/>
          <w:lang w:eastAsia="lt-LT"/>
        </w:rPr>
        <w:t xml:space="preserve">“, kur nurodė, kad </w:t>
      </w:r>
      <w:r w:rsidRPr="000E2C88">
        <w:rPr>
          <w:iCs/>
          <w:szCs w:val="24"/>
          <w:lang w:eastAsia="lt-LT"/>
        </w:rPr>
        <w:t>tankas</w:t>
      </w:r>
      <w:r w:rsidRPr="000E2C88">
        <w:rPr>
          <w:i/>
          <w:szCs w:val="24"/>
          <w:lang w:eastAsia="lt-LT"/>
        </w:rPr>
        <w:t xml:space="preserve"> </w:t>
      </w:r>
      <w:r w:rsidRPr="000E2C88">
        <w:rPr>
          <w:szCs w:val="24"/>
          <w:lang w:eastAsia="lt-LT"/>
        </w:rPr>
        <w:t xml:space="preserve">Nr. 513 važiavo kolonoje trečias, t. y. paskui kolonos priekyje važiavusią desantininkų kovos mašiną (BMD) ir po jos važiavusį tanką Nr. 502, o vėliau sekė tankai Nr. 541 ir 544 (šio sprendimo 348 pastraipa).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Apie tai, kad tankas Nr. 513, kaip ir tankas Nr. 502, šalino kelyje prie TV bokšto pasitaikiusias kliūtis, patvirtina ne tik specialisto J. Andriškevičiaus išvada, bet ir 1991 m. sausio 16 d. tankų apžiūros protokolas (t. 427, b. l. 70–71; t. 114, b. l. 81–89). Šiame protokole, be kita ko, buvo užfiksuoti vizualiai matomi tanko Nr. 513 apgadinimai dešinėje tanko pusėje, dešinio posparnio aplankstymas ir kt., be to, jame užfiksuoti ir šio tanko vairuotojo, nuteistojo </w:t>
      </w:r>
      <w:r>
        <w:rPr>
          <w:szCs w:val="24"/>
          <w:lang w:eastAsia="lt-LT"/>
        </w:rPr>
        <w:t>A. K. 1</w:t>
      </w:r>
      <w:r w:rsidRPr="00C00255">
        <w:rPr>
          <w:szCs w:val="24"/>
          <w:lang w:eastAsia="lt-LT"/>
        </w:rPr>
        <w:t xml:space="preserve"> paaiškinimai, kad minėti tanko apgadinimai padaryti </w:t>
      </w:r>
      <w:r w:rsidRPr="00C00255">
        <w:rPr>
          <w:szCs w:val="24"/>
        </w:rPr>
        <w:t xml:space="preserve">1991 m. sausio 13 d. apie 3 val. prie Vilniaus TV bokšto, kai tankas valė kelią nuo sunkvežimių, užstojusių kelią prie televizijos bokšto </w:t>
      </w:r>
      <w:r w:rsidRPr="00C00255">
        <w:rPr>
          <w:szCs w:val="24"/>
          <w:lang w:eastAsia="lt-LT"/>
        </w:rPr>
        <w:t xml:space="preserve">(t. 427, b. l. 70). Be to, ir teisiamajame posėdyje apklaustas liudytojas </w:t>
      </w:r>
      <w:r>
        <w:rPr>
          <w:szCs w:val="24"/>
          <w:lang w:eastAsia="lt-LT"/>
        </w:rPr>
        <w:t>A. Š.</w:t>
      </w:r>
      <w:r w:rsidRPr="00C00255">
        <w:rPr>
          <w:szCs w:val="24"/>
          <w:lang w:eastAsia="lt-LT"/>
        </w:rPr>
        <w:t xml:space="preserve"> </w:t>
      </w:r>
      <w:r w:rsidRPr="00C00255">
        <w:rPr>
          <w:szCs w:val="24"/>
        </w:rPr>
        <w:t xml:space="preserve">nurodė, kad operacijos prie TV bokšto metu girdėjo kariškių pokalbius radijo ryšiu, taip pat ir tai, jog kažkas pasakė „yra kliūtis iš mašinų“, o pulko vadas </w:t>
      </w:r>
      <w:r>
        <w:rPr>
          <w:szCs w:val="24"/>
        </w:rPr>
        <w:t>N. A.</w:t>
      </w:r>
      <w:r w:rsidRPr="00C00255">
        <w:rPr>
          <w:szCs w:val="24"/>
        </w:rPr>
        <w:t xml:space="preserve"> pasakė „traiškyk“ (t. 757, b. l. 145–149). Tokius žodžius </w:t>
      </w:r>
      <w:r>
        <w:rPr>
          <w:szCs w:val="24"/>
        </w:rPr>
        <w:t>N. A.</w:t>
      </w:r>
      <w:r w:rsidRPr="00C00255">
        <w:rPr>
          <w:szCs w:val="24"/>
        </w:rPr>
        <w:t xml:space="preserve">, pats būdamas tanke Nr. 502, galėjo sakyti tik kitam paskui važiavusiam tankui, kuriuo buvo tankas Nr. 513.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Teisėjų kolegijos vidinį įsitikinimą dėl tanko Nr. 513 veiksmų, šalinant bei traiškant užtvarą iš transporto priemonių TV bokšto prieigose, formuoja ir kito minėtuose įvykiuose dalyvavusio tanko – Nr. 541 vairuotojo liudytojo </w:t>
      </w:r>
      <w:r>
        <w:rPr>
          <w:szCs w:val="24"/>
          <w:lang w:eastAsia="lt-LT"/>
        </w:rPr>
        <w:t>V. P.</w:t>
      </w:r>
      <w:r w:rsidRPr="00C00255">
        <w:rPr>
          <w:szCs w:val="24"/>
          <w:lang w:eastAsia="lt-LT"/>
        </w:rPr>
        <w:t xml:space="preserve"> teisiamajame posėdyje perskaityti parodymai. Šis liudytojas ikiteisminio tyrimo metu nurodė ne tik apie tankų kolonos eiliškumą (priekyje tankas Nr. 502, paskui Nr. 513, 541 ir 544), bet ir tai, kad privažiavus prie TV bokšto jis eteryje išgirdo, kad priekyje yra sunkvežimių ir lengvųjų automobilių užtvara. Prieš juos važiuojantys du tankai jo akivaizdoje pervažiavo sulamdytą automobilį, kurį vėliau pervažiavo ir pats liudytojas. Važiuodamas paskui du priekyje judančius tankus pro užtvarą ant kelio, jis pamatė važiuojamoje dalyje sulamdytą smėlio barstymo automobilį (t. 440, b. l. 57–61, t. 127, b. l. 75–82; t. 760, b. l. 154). Tokias pat aplinkybes nurodė ir </w:t>
      </w:r>
      <w:r w:rsidRPr="00C00255">
        <w:rPr>
          <w:color w:val="000000"/>
          <w:szCs w:val="24"/>
        </w:rPr>
        <w:t xml:space="preserve">liudytojas </w:t>
      </w:r>
      <w:r>
        <w:rPr>
          <w:color w:val="000000"/>
          <w:szCs w:val="24"/>
        </w:rPr>
        <w:t>O. V.</w:t>
      </w:r>
      <w:r w:rsidRPr="00C00255">
        <w:rPr>
          <w:color w:val="000000"/>
          <w:szCs w:val="24"/>
        </w:rPr>
        <w:t xml:space="preserve">, kuris vairavo kolonos priekyje važiavusią desantininkų kovos mašiną (BMD) Nr. 281. Jis teigė, kad užtvaras iš automobilių stumdė ne vienas, o du tankai. Anot liudytojo, automobilis Nr. 281 važiavo karinės technikos kolonos priekyje, už jų važiavo du tankai. Jie praleido tankus į priekį, ir šie išstumdė kelią link TV bokšto užtvėrusius automobilius </w:t>
      </w:r>
      <w:r w:rsidRPr="00C00255">
        <w:rPr>
          <w:szCs w:val="24"/>
        </w:rPr>
        <w:t xml:space="preserve">(t. 431, b. l. 56–59; t. 118, b. l. 95–101; t. 758, b. l. 180).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t xml:space="preserve">Teisėjų kolegijos vertinimu, visi minėti duomenys leidžia sutikti su pirmosios instancijos teismo išvadomis, kad </w:t>
      </w:r>
      <w:r w:rsidRPr="000E2C88">
        <w:rPr>
          <w:rFonts w:eastAsia="Calibri"/>
        </w:rPr>
        <w:t xml:space="preserve">tankas, kurio borto Nr. 502, kartu su tanku, kurio borto Nr. 513, išties šalino puolančiosios kolonos kelyje buvusią užtvarą iš transporto priemonių, tarp kurių buvo ir jau minėtas smėlio barstytuvas </w:t>
      </w:r>
      <w:r w:rsidRPr="000E2C88">
        <w:t>ZIL-130 KDM, ir tokiais veiksmais sukėlė pavojų civilių gyvybei ir sveikatai. Tokios išvados byloje nagrinėjamo kaltinimo nuteistiesiems veikiant bendrai kontekste, t. y. visiems tankams ir operacijoje dalyvavusiems TSRS kariškiams veikiant bendrai ir koordinuotai, neeliminuoja nei vieno iš operacijoje dalyvavusių tankų ir jų ekipažų narių atsakomybės dėl A. P. K. sužalojimo, nes visi tankai veikė, siekdami to paties tikslo ir turėdami bendrą užduotį atlaisvinti kelią kitų kariškių kolonai. Šia prasme visiškai nesvarbu, kuris iš tankų kokią kliūtį ir kaip įveikė, svarbu, kad jie visi veikė koordinuotai, siekdami to paties tikslo. Visgi, nepaisant net ir tokių išvadų, pirmosios instancijos teismas, tiksliai nenustatęs, kuris iš minėtų dviejų tankų tiesiogiai sužalojo A. P. K., ir pats pripažindamas, kad tą padarė tik vienas iš minėtų dviejų tankų, negalėjo formuluoti priešingų išvadų, spręsdamas dėl skirtinos bausmės, t. y. teigti, jog nukentėjusiojo A. P. K. mirtį lėmusius sužalojimus padarė tik tanko Nr. 513 ekipažo nariai, nuteistieji S. V. ir A. K. 1. Tokių išvadų nepagrįstumą apeliacinės instancijos teismo posėdyje pripažino ir kaltinimą palaikantys prokurorai, todėl teisėjų kolegija iš skundžiamo nuosprendžio motyvuojamosios dalies šalina teismo išvadas apie konkretaus tanko, t. y. tanko Nr. 513, ir tik šio tanko ekipažo narių S. V. bei A. K. 1 veiksmais padarytus sužalojimus nukentėjusiajam A. P. K</w:t>
      </w:r>
      <w:r>
        <w:rPr>
          <w:szCs w:val="24"/>
        </w:rPr>
        <w:t>.</w:t>
      </w:r>
      <w:r w:rsidRPr="00C00255">
        <w:rPr>
          <w:szCs w:val="24"/>
          <w:lang w:eastAsia="lt-LT" w:bidi="lt-LT"/>
        </w:rPr>
        <w:t xml:space="preserve">. </w:t>
      </w:r>
    </w:p>
    <w:p w:rsidR="00DA38E9" w:rsidRPr="00B024B9" w:rsidRDefault="00DA38E9" w:rsidP="00DA38E9">
      <w:pPr>
        <w:pStyle w:val="ListParagraph"/>
        <w:numPr>
          <w:ilvl w:val="0"/>
          <w:numId w:val="6"/>
        </w:numPr>
        <w:spacing w:before="120" w:after="120"/>
        <w:ind w:left="992" w:hanging="992"/>
        <w:contextualSpacing w:val="0"/>
      </w:pPr>
      <w:r w:rsidRPr="000E2C88">
        <w:rPr>
          <w:rFonts w:eastAsia="Calibri"/>
        </w:rPr>
        <w:t xml:space="preserve">Atsižvelgdama į visa tai, teisėjų kolegija sutinka su nuteistojo A. K. 1 gynėjos argumentais, kad byloje nebuvo galima daryti kategoriškos išvados, kad būtent A. K. 1 vairuotas tankas Nr. 513 padarė mirtinus sužalojimus </w:t>
      </w:r>
      <w:r w:rsidRPr="000E2C88">
        <w:t>A. P. K.</w:t>
      </w:r>
      <w:r w:rsidRPr="000E2C88">
        <w:rPr>
          <w:rFonts w:eastAsia="Calibri"/>
        </w:rPr>
        <w:t xml:space="preserve">. Kita vertus, nėra jokio pagrindo abejoti, kad būtent tankų Nr. 502 ir 513 bei tuo pačiu jų ekipažų narių bendrais veiksmais prie TV bokšto, t. y. šalinant iš transporto priemonių sudarytas užtvaras, buvo sukeltas pavojus civilių sveikatai ir gyvybei bei padaryti A. P. K. mirtį lėmę sužalojimai. Nuteistojo A. K. 1 gynėjos teiginiai, kad nuteistasis vairavo tanką </w:t>
      </w:r>
      <w:r w:rsidRPr="000E2C88">
        <w:t>Nr. 513, stengdamasis išvengti aukų, yra deklaratyvūs ir prieštarauja objektyviems šio tanko manevrams greta civilių. Nuteistasis suprato, kad savo veiksmais siekė užtikrinti desantininkams praėjimą prie TV bokšto, ir juos atliko nepaisydamas to, kad savo veiksmais kėlė grėsmę civiliams</w:t>
      </w:r>
      <w:r w:rsidRPr="00B024B9">
        <w:t>.</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0E2C88">
        <w:rPr>
          <w:szCs w:val="24"/>
          <w:lang w:eastAsia="lt-LT" w:bidi="lt-LT"/>
        </w:rPr>
        <w:t xml:space="preserve">Turėdama omenyje tai, kas minėta, teisėjų kolegija konstatuoja, kad visos skundžiamu nuosprendžiu įrodytomis pripažintos, su tanko Nr. 513 ir tuo pačiu jos įgulos narių nuteistųjų </w:t>
      </w:r>
      <w:bookmarkStart w:id="292" w:name="_Hlk67517214"/>
      <w:bookmarkStart w:id="293" w:name="_Hlk67518888"/>
      <w:r w:rsidRPr="000E2C88">
        <w:rPr>
          <w:szCs w:val="24"/>
          <w:lang w:eastAsia="lt-LT" w:bidi="lt-LT"/>
        </w:rPr>
        <w:t xml:space="preserve">S. V. </w:t>
      </w:r>
      <w:bookmarkEnd w:id="292"/>
      <w:r w:rsidRPr="000E2C88">
        <w:rPr>
          <w:szCs w:val="24"/>
          <w:lang w:eastAsia="lt-LT" w:bidi="lt-LT"/>
        </w:rPr>
        <w:t xml:space="preserve">bei A. K. 1 </w:t>
      </w:r>
      <w:bookmarkEnd w:id="293"/>
      <w:r w:rsidRPr="000E2C88">
        <w:rPr>
          <w:szCs w:val="24"/>
          <w:lang w:eastAsia="lt-LT" w:bidi="lt-LT"/>
        </w:rPr>
        <w:t xml:space="preserve">veiksmais užimant TV bokštą, susijusios nuteistiesiems </w:t>
      </w:r>
      <w:r w:rsidRPr="000E2C88">
        <w:t xml:space="preserve">inkriminuotos faktinės aplinkybės (nuosprendžio 212–221 l.) pasitvirtino kaip pagrįstos ir teisingos. Visgi, aptariant apygardos teismo išvadas apie tanko Nr. 513 ekipažo narių faktiškai atliktus veiksmus, pažymėtina, kad skundžiamo nuosprendžio motyvuojamojoje dalyje, apibendrinant šio tanko vado S. V. ir mechaniko-vairuotojo A. K. 1 atliktus veiksmus, apygardos teismas nurodė ir tai, kad „&lt;...&gt; šalindamas kliūtis sužalojo A. K..“ </w:t>
      </w:r>
      <w:bookmarkStart w:id="294" w:name="_Hlk67518925"/>
      <w:r w:rsidRPr="000E2C88">
        <w:t>(žr. nuosprendžio 875 l.).</w:t>
      </w:r>
      <w:bookmarkEnd w:id="294"/>
      <w:r w:rsidRPr="000E2C88">
        <w:t xml:space="preserve"> Panašiai nurodyta ir šiems nuteistiesiems argumentuojant sprendimą dėl skiriamos bausmės, kad „&lt;...&gt; TV bokšto šturmo metu šalino užtvaras ir kliūtis, pavojingai manevruodamas sužalojo A. K. &lt;...&gt;“(žr. nuosprendžio 888 l.). Tokios pirmosios instancijos teismo nuosprendžio motyvuojamojoje dalyje nurodytos aplinkybės prieštarauja skundžiamo nuosprendžio nustatomojoje dalyje nurodytoms A. P. K. nužudymo faktinėms aplinkybėms, kur konstatuota, kad vienas iš užtvaras šalinusių tankų, stumdamas nuo pravažiavimo smėlio barstytuvą ZIL-130 KDM, kurio v/n 29-04 LIČ (raidės rusiškos), prie jo prispaudė </w:t>
      </w:r>
      <w:r w:rsidRPr="000E2C88">
        <w:rPr>
          <w:szCs w:val="24"/>
        </w:rPr>
        <w:t>A. P. K.</w:t>
      </w:r>
      <w:r w:rsidRPr="000E2C88">
        <w:t xml:space="preserve">, kuris dėl patirtų traumų mirė (žr. nuosprendžio 213 l.). Vertinant tokius tarpusavyje prieštaringus teismo teiginius viso teismo nuosprendžio kaip vientiso dokumento kontekste, akivaizdu, kad bylos nagrinėjimo metu tiksliai nenustatyta, kuris konkretus tankas TV bokšto šturmo metu sužalojo A. P. K., </w:t>
      </w:r>
      <w:bookmarkStart w:id="295" w:name="_Hlk67519763"/>
      <w:r w:rsidRPr="000E2C88">
        <w:t>todėl apeliacinės instancijos teismo teisėjų kolegija darydama išvadas dėl nuteistųjų S. V. ir A. K. veiksmų, šių nuosprendžio motyvuojamojoje dalyje netiksliai nurodytų aplinkybių nevertina kaip atliktų asmeniškai minėtų nuteistųjų</w:t>
      </w:r>
      <w:bookmarkEnd w:id="295"/>
      <w:r w:rsidRPr="000E2C88">
        <w:t xml:space="preserve"> ir jas iš nuosprendžio šalina</w:t>
      </w:r>
      <w:r w:rsidRPr="00B024B9">
        <w:t>.</w:t>
      </w:r>
      <w:r w:rsidRPr="00B024B9">
        <w:rPr>
          <w:szCs w:val="24"/>
          <w:lang w:eastAsia="lt-LT" w:bidi="lt-LT"/>
        </w:rPr>
        <w:t xml:space="preserve"> </w:t>
      </w:r>
    </w:p>
    <w:p w:rsidR="00DA38E9" w:rsidRPr="00C00255" w:rsidRDefault="00DA38E9" w:rsidP="00DA38E9">
      <w:pPr>
        <w:pStyle w:val="Heading5"/>
        <w:spacing w:before="120" w:after="120"/>
        <w:ind w:left="992"/>
        <w:rPr>
          <w:rFonts w:ascii="Times New Roman" w:hAnsi="Times New Roman" w:cs="Times New Roman"/>
          <w:i/>
          <w:iCs/>
          <w:color w:val="auto"/>
        </w:rPr>
      </w:pPr>
      <w:r w:rsidRPr="00C00255">
        <w:rPr>
          <w:rFonts w:ascii="Times New Roman" w:hAnsi="Times New Roman" w:cs="Times New Roman"/>
          <w:i/>
          <w:iCs/>
          <w:color w:val="auto"/>
        </w:rPr>
        <w:t xml:space="preserve">Dėl tanko Nr. 541 ir jo ekipažo narių nuteistųjų </w:t>
      </w:r>
      <w:r>
        <w:rPr>
          <w:rFonts w:ascii="Times New Roman" w:hAnsi="Times New Roman" w:cs="Times New Roman"/>
          <w:i/>
          <w:iCs/>
          <w:color w:val="auto"/>
        </w:rPr>
        <w:t>V. Š. 3</w:t>
      </w:r>
      <w:r w:rsidRPr="00C00255">
        <w:rPr>
          <w:rFonts w:ascii="Times New Roman" w:hAnsi="Times New Roman" w:cs="Times New Roman"/>
          <w:i/>
          <w:iCs/>
          <w:color w:val="auto"/>
        </w:rPr>
        <w:t xml:space="preserve"> ir </w:t>
      </w:r>
      <w:r>
        <w:rPr>
          <w:rFonts w:ascii="Times New Roman" w:hAnsi="Times New Roman" w:cs="Times New Roman"/>
          <w:i/>
          <w:iCs/>
          <w:color w:val="auto"/>
        </w:rPr>
        <w:t>A. G. 1</w:t>
      </w:r>
      <w:r w:rsidRPr="00C00255">
        <w:rPr>
          <w:rFonts w:ascii="Times New Roman" w:hAnsi="Times New Roman" w:cs="Times New Roman"/>
          <w:i/>
          <w:iCs/>
          <w:color w:val="auto"/>
        </w:rPr>
        <w:t xml:space="preserve"> dalyvavimo užimant TV bokštą</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 xml:space="preserve">Teisėjų kolegijos vertinimu, aplinkybę, kad tankas Nr. 541 buvo prie TV bokšto aptariamų įvykių metu, patvirtina iš skirtingų įrodymų šaltinių gautų duomenų visuma. Šiame kontekste pažymėtini įvairūs byloje esantys dokumentai, kurių objektyvumu teisėjų kolegija neturi pagrindo abejoti. Pirmiausia, </w:t>
      </w:r>
      <w:r w:rsidRPr="000E2C88">
        <w:rPr>
          <w:szCs w:val="24"/>
          <w:lang w:eastAsia="lt-LT" w:bidi="lt-LT"/>
        </w:rPr>
        <w:t>2014 m. birželio 10 d. specialisto išvadoje konstatuota, kad tankas Nr. 541 priklausė TV bokštą puolusiai operacinei grupei bei buvo vienu iš tankų, įvažiavusių į TV bokšto teritoriją iš rytų pusės (t. 480, b. l. 70–71). Atitinkamai, byloje esančioje pažymoje-pranešime apie karinio dalinio Nr. 22238 technikos panaudojimą 1991 m. sausio 12–13 dienomis, nurodyta, kad incidento metu buvo panaudotas ir karinio dalinio Nr. 78018 tankas, kurio borto Nr. 541 (t. 191, b. l. 214; t. 191, b. l. 213). Minėto tanko dalyvavimui įvykiuose prie TV bokšto pagrįsti reikšmingas ir N. A. 1991 m. sausio mėnesį Vilniuje pasirašytų įsakymų turinys. T</w:t>
      </w:r>
      <w:r w:rsidRPr="000E2C88">
        <w:rPr>
          <w:szCs w:val="24"/>
          <w:lang w:eastAsia="lt-LT"/>
        </w:rPr>
        <w:t xml:space="preserve">ankas Nr. 541 dar </w:t>
      </w:r>
      <w:r w:rsidRPr="000E2C88">
        <w:rPr>
          <w:szCs w:val="24"/>
          <w:lang w:eastAsia="lt-LT" w:bidi="lt-LT"/>
        </w:rPr>
        <w:t>1991 m. sausio 2 d. įsakymu nuolatos buvo kovinės parengties (t. 440, b. l. 19; t. 127, b. l. 12–13), o vėlesniu 1991 m. sausio 9 d. įsakymu – Vilniuje buvo suformuota jo įgula (</w:t>
      </w:r>
      <w:r w:rsidRPr="000E2C88">
        <w:rPr>
          <w:szCs w:val="24"/>
          <w:lang w:eastAsia="lt-LT"/>
        </w:rPr>
        <w:t xml:space="preserve">t. 440, b. l. 17–18; t. 127, b. l. 10–11). Teismo </w:t>
      </w:r>
      <w:r w:rsidRPr="000E2C88">
        <w:rPr>
          <w:szCs w:val="24"/>
          <w:lang w:eastAsia="lt-LT" w:bidi="lt-LT"/>
        </w:rPr>
        <w:t>vidinį įsitikinimą apie šio tanko dalyvavimą įvykiuose prie TV bokšto formuoja ir šio proceso baigtimi nesuinteresuoto minėtame tanke buvusio liudytojo V. P. teisiamajame posėdyje perskaityti parodymai, kad tankų kolonoje link TV bokšto judėjo ir tankas, kurio Nr. 541, vėliau manevravęs šio objekto teritorijoje (</w:t>
      </w:r>
      <w:r w:rsidRPr="000E2C88">
        <w:rPr>
          <w:szCs w:val="24"/>
          <w:lang w:eastAsia="lt-LT"/>
        </w:rPr>
        <w:t>t. 440, b. l. 57–61, t. 127, b. l. 75–82; t. 760, b. l. 154)</w:t>
      </w:r>
      <w:r w:rsidRPr="000E2C88">
        <w:rPr>
          <w:szCs w:val="24"/>
          <w:lang w:eastAsia="lt-LT" w:bidi="lt-LT"/>
        </w:rPr>
        <w:t xml:space="preserve">. Taigi aptartų duomenų visuma rodo, kad jau 1991 m. sausio 9 d. tankas Nr. 541 buvo paruoštas kariniams veiksmams Vilniuje ir turėjo savo įgulą, o sausio 12–13 d. atvyko ir prie TV bokšto bei dalyvavo jo užėmime.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rFonts w:eastAsia="Calibri"/>
        </w:rPr>
        <w:t>Apeliacinės instancijos teismui nekelia abejonių ir tai, kad tanko Nr. 541 įgulą sudarė skundžiamame nuosprendyje nurodyti nuteistieji, kurie tokiu būdu taip pat dalyvavo TV bokšto šturme. Teisėjų kolegija laiko, kad šio tanko įgulą prie TV bokšto sudarė: tanko vadas – 106-ojo tankų pulko bataliono vado pavaduotojas majoras V. Š. 3, taikytojas – pulko kuopos vadas vyresnysis leitenantas A. G. 1 ir mechanikas-vairuotojas – eilinis V. P. (jo atžvilgiu baudžiamasis procesas nevykdytas). Pažymėtina, kad skundžiamame nuosprendyje tanko Nr. 541 įgulos narių V. Š. 3 ir A. G. 1 dalyvavimas TV bokšto užėmime grįstas nuteistųjų ir liudytojų, kurie sudarė tankų įgulas prie TV bokšto, parodymais (</w:t>
      </w:r>
      <w:r w:rsidRPr="000E2C88">
        <w:t xml:space="preserve">žr. nuosprendžio 432–434 l., t. 771, b. l. 32–34). </w:t>
      </w:r>
      <w:r w:rsidRPr="000E2C88">
        <w:rPr>
          <w:rFonts w:eastAsia="Calibri"/>
        </w:rPr>
        <w:t>Teisėjų kolegijos įsitikinimu, minėtų nuteistųjų dalyvavimas šio objekto užėmime nėra pagrįstas vien nuteistųjų ar kitų tankų įgulos narių parodymais – tai patvirtina kiti bylos duomenys, kuriais abejoti apeliacinės instancijos teismas neturi pagrindo.</w:t>
      </w:r>
      <w:r w:rsidRPr="000E2C88">
        <w:rPr>
          <w:rFonts w:eastAsia="Calibri"/>
          <w:szCs w:val="24"/>
        </w:rPr>
        <w:t xml:space="preserve"> </w:t>
      </w:r>
    </w:p>
    <w:p w:rsidR="00DA38E9" w:rsidRPr="00B024B9" w:rsidRDefault="00DA38E9" w:rsidP="00DA38E9">
      <w:pPr>
        <w:pStyle w:val="ListParagraph"/>
        <w:numPr>
          <w:ilvl w:val="0"/>
          <w:numId w:val="6"/>
        </w:numPr>
        <w:spacing w:before="120" w:after="120"/>
        <w:ind w:left="992" w:hanging="992"/>
        <w:contextualSpacing w:val="0"/>
      </w:pPr>
      <w:r w:rsidRPr="000E2C88">
        <w:t xml:space="preserve">Iš jau minėto 1991 m. sausio 9 d. N. A. pasirašyto įsakymo, be kita ko, matyti, kad šią dieną buvo priimtas sprendimas suformuoti ir tanko Nr. 541 įgulą, į kurią be mechaniko-vairuotojo liudytojo eilinio V. P. įėjo: vadas majoras Š. 3 ir taikytojas vyr. leitenantas G. 1 (t. 440, b. l. 17–18, t. 127, b. l. 10–11). </w:t>
      </w:r>
      <w:r w:rsidRPr="000E2C88">
        <w:rPr>
          <w:rFonts w:eastAsia="Calibri"/>
        </w:rPr>
        <w:t>Byloje yra ir karinio dalinio Nr. 22238 karių, ginkluotės ir technikos, dalyvavusios sausio įvykiuose Vilniuje, sąrašas. Iš jo taip pat matyti, kad objekto Nr. 541 sudėtyje buvo nuteistieji V. Š. 3 ir A. G. 1 (t. 474, b. l. 122–123; t. 474, b. l. 119–121). Taip pat šiame kontekste aktualus ir karinio dalinio Nr. 78018 štabo viršininko papulkininkio O. Ž. pasirašytas karinio personalo, dalyvavusio operacijoje iš 1991 m. sausio 12-osios į sausio 13-ąją, sąrašas (t. 440, b. l. 7; t. 127, b. l. 4). Jame, be kitų kariškių, nurodyti ir majoras V. Š. 3 bei vyr. leitenantas A. G. 1. Be to, apie A. G. 1 dalyvavimą 1991 m. sausio 12–13 d. įvykiuose parodė ir teisiamajame posėdyje apklaustas liudytojas A. Š., 1991 m. sausio mėn. Šiaurės kariniame miestelyje, Vilniuje ėjęs tankų pulko ryšininko pareigas. Pasak šio liudytojo, A. G. 1 1991 m. sausio 12 d. vykusioje rikiuotėje pats pasisiūlė į tankų ekipažus, kurie turėjo vykti prie užimtinų objektų. Po operacijos A. G. 1 buvo įteiktas medalis, o taip pat, kaip ir kitiems karininkams, suteiktas aukštesnis rangas (t. 757, b. l. 145–149). Byloje yra ir kitų duomenų, kurie formuoja teisėjų kolegijos įsitikinimą, kad minėti nuteistieji, kaip tanko Nr. 541 įgulos nariai, dalyvavo šturmuojant TV bokšt</w:t>
      </w:r>
      <w:r w:rsidRPr="00B024B9">
        <w:rPr>
          <w:rFonts w:eastAsia="Calibri"/>
        </w:rPr>
        <w:t xml:space="preserve">ą. </w:t>
      </w:r>
    </w:p>
    <w:p w:rsidR="00DA38E9" w:rsidRPr="00B024B9" w:rsidRDefault="00DA38E9" w:rsidP="00DA38E9">
      <w:pPr>
        <w:pStyle w:val="ListParagraph"/>
        <w:numPr>
          <w:ilvl w:val="0"/>
          <w:numId w:val="6"/>
        </w:numPr>
        <w:spacing w:before="120" w:after="120"/>
        <w:ind w:left="992" w:hanging="992"/>
        <w:contextualSpacing w:val="0"/>
      </w:pPr>
      <w:r w:rsidRPr="000E2C88">
        <w:rPr>
          <w:rFonts w:eastAsia="Calibri"/>
        </w:rPr>
        <w:t>Pirmiausia, liudytojas V. P., prie TV bokšto buvęs tanko Nr. 541 vairuotoju, dar ikiteisminio tyrimo metu patvirtino, kad tanke be jo buvo V. Š. 3 ir A. G. 1 (</w:t>
      </w:r>
      <w:r w:rsidRPr="000E2C88">
        <w:t>t. 440, b. l. 57–61; t. 127, b. l. 75–82; t. 760, b. l. 154). Liudytojas V. M. (jo parodymai, duoti pas tyrimo pareigūną, teisiamajame posėdyje perskaityti jo prašymu, prašant leidimo neatvykti į posėdį) taip pat nurodė, kad po sausio įvykių teko šnekėti su A. G., kuris pasakojo buvęs prie TV bokšto įvykių metu (t. 475, b. l. 97; t. 757, b. l. 117). Taip pat svarbūs ir liudytojo A. G. tyrimo pareigūnui duoti parodymai, teisiamajame posėdyje perskaityti jo paties prašymu, jam procese nedalyvaujant (t. 757, b. l. 168; t. 475, b. l. 149–152). Šis liudytojas nurodė gerai pažinojęs karininką A. G.. Pastarasis liudytojui pasakojo</w:t>
      </w:r>
      <w:r w:rsidR="00902A3A">
        <w:t>, kad jam teko važiuoti prie TV </w:t>
      </w:r>
      <w:r w:rsidRPr="000E2C88">
        <w:t xml:space="preserve">bokšto, kur jis šovė iš tanko, nes norėjo pagąsdinti žmones, kurie šurmuliavo ar buvo neramūs (neprisimena, kaip A. G. 1 tiksliai išsireiškė). Šis liudytojas A. G. 1 atpažino ir iš jo nuotraukų (t. 475, b. l. 158–160). Taigi aptarti duomenys kartu su jau minėtais įrodymais neleidžia abejoti tuo, kad V. Š. 3 ir A. G. 1 dalyvavo TV bokšto užėmimo operacijoje. Be to, apeliantai </w:t>
      </w:r>
      <w:r w:rsidRPr="000E2C88">
        <w:rPr>
          <w:rFonts w:eastAsia="Calibri"/>
        </w:rPr>
        <w:t>neginčija šios aplinkybės, o taip pat tiesiogiai neneigia ir skundžiamu nuosprendžiu nustatytų aplinkybių, kad: tankai, taip pat ir tankas Nr. 541, TV bokšto rytų pusėje išlaužė tvorą ir pavojingai manevruodami įvažiavo į bokšto teritoriją, kurioje buvo puolamą objektą gynę civiliai</w:t>
      </w:r>
      <w:r w:rsidRPr="000E2C88">
        <w:t xml:space="preserve">; kad tanko Nr. 541 ekipažas ne mažiau kaip du kartus iššovė iš pabūklo tuščiais užtaisais, leido dūmines užsklandas, karinės technikos šviesos prietaisais švietė į civilius </w:t>
      </w:r>
      <w:r w:rsidRPr="000E2C88">
        <w:rPr>
          <w:rFonts w:eastAsia="Calibri"/>
        </w:rPr>
        <w:t>(nuosprendžio 213–214 l.; t. 770, b. l. 13–14</w:t>
      </w:r>
      <w:r w:rsidRPr="00B024B9">
        <w:rPr>
          <w:rFonts w:eastAsia="Calibri"/>
        </w:rPr>
        <w:t>).</w:t>
      </w:r>
      <w:r w:rsidRPr="00B024B9">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rPr>
          <w:rFonts w:eastAsia="Calibri"/>
        </w:rPr>
        <w:t xml:space="preserve">Teisėjų kolegijos įsitikinimu, šios pirmosios instancijos teismo išvados yra pagrįstos byloje surinktais duomenimis bei teisingos. Aplinkybes apie tai, kad tankai, taip pat ir tankas Nr. 541, rytų pusėje išlaužė tvorą ir pavojingai manevruodami įvažiavo į TV bokšto teritoriją, patvirtina </w:t>
      </w:r>
      <w:r w:rsidRPr="000E2C88">
        <w:t xml:space="preserve">2014 m. birželio 10 d. specialisto išvada, teisiamajame posėdyje apklausto nuteistojo J. M. parodymai, liudytojų parodymai ir kiti įrodymai, kuriuos teisėjų kolegija jau aptarė, analizuodama kitų tankų veiksmus, įsiveržiant į TV bokšto teritoriją (nuteistojo V. Š. 3 gynėja, neneigdama minėtos aplinkybės ir vadovaudamasi savo ginamojo parodymais, nurodo, kad jo vadovaujamas tankas išlaužė tvorą vykdydamas įsakymą). Aplinkybes, kad tankas Nr. 541 užimant TV bokštą ne mažiau kaip du kartus iššovė iš pabūklo tuščiais užtaisais, leido dūmines užsklandas, karinės technikos šviesos prietaisais švietė į civilius, šturmuojamą objektą bei aplink esančius pastatus, taip pat patvirtina byloje surinkti objektyvūs duomenys: tanko Nr. 541 apžiūros metu rasti šūvio pėdsakai (t. 427, b. l. 71; t. 114, b. l. 81–89); jau minėti dokumentai, kuriuose nurodyta, kad tankas Nr. 541 šaudė tuščiais tankų pabūklų sviediniais (t. 191, b. l. 214; t. 191, b. l. 213), 2014 m. birželio 10 d. specialisto J. Andriškevičiaus išvada (t. 480, b. l. 70) ir kt. Šiuos įrodymus visiškai atitinka bei patvirtina ir kiti teismo ištirti ikiteisminio tyrimo duomenys. Liudytojas A. G. nurodė, kad A. G. 1 jam pasakojo apie tai, kad prie TV bokšto šaudė siekdamas pagąsdinti civilius (t. 757, b. l. 168; t. 475, b. l. 149–152), o tanko Nr. 541 vairuotojas liudytojas V. P. nurodė apie du šūvius tuščiais užtaisais, civiliams artėjant prie tanko </w:t>
      </w:r>
      <w:r w:rsidRPr="000E2C88">
        <w:rPr>
          <w:rFonts w:eastAsia="Calibri"/>
        </w:rPr>
        <w:t>(</w:t>
      </w:r>
      <w:r w:rsidRPr="000E2C88">
        <w:t>t. 440, b. l. 57–61; t. 127, b. l. 75–82; t. 760, b. l. 154</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Nuteistojo </w:t>
      </w:r>
      <w:r>
        <w:rPr>
          <w:szCs w:val="24"/>
          <w:lang w:eastAsia="lt-LT"/>
        </w:rPr>
        <w:t>V. Š. 3</w:t>
      </w:r>
      <w:r w:rsidRPr="00C00255">
        <w:rPr>
          <w:szCs w:val="24"/>
          <w:lang w:eastAsia="lt-LT"/>
        </w:rPr>
        <w:t xml:space="preserve"> gynėja minėtų aplinkybių ne tik neginčija, bet ir nurodo, kad dėl šio tanko veiksmų civiliams galėjo kilti nežymūs sveikatos sutrikdymai ir </w:t>
      </w:r>
      <w:r>
        <w:rPr>
          <w:szCs w:val="24"/>
          <w:lang w:eastAsia="lt-LT"/>
        </w:rPr>
        <w:t>V. Š. 3</w:t>
      </w:r>
      <w:r w:rsidRPr="00C00255">
        <w:rPr>
          <w:szCs w:val="24"/>
          <w:lang w:eastAsia="lt-LT"/>
        </w:rPr>
        <w:t xml:space="preserve"> galėjo numatyti tokių padarinių kilimą (gynyba nesutinka, kad </w:t>
      </w:r>
      <w:r>
        <w:rPr>
          <w:szCs w:val="24"/>
          <w:lang w:eastAsia="lt-LT"/>
        </w:rPr>
        <w:t>V. Š. 3</w:t>
      </w:r>
      <w:r w:rsidRPr="00C00255">
        <w:rPr>
          <w:szCs w:val="24"/>
          <w:lang w:eastAsia="lt-LT"/>
        </w:rPr>
        <w:t xml:space="preserve"> galėjo būti inkriminuoti nusikaltimai žmoniškumui ir karo nusikaltimai, dėl ko teisėjų kolegija pasisakys atskiroje šio sprendimo dalyje), o nuteistasis </w:t>
      </w:r>
      <w:r>
        <w:rPr>
          <w:szCs w:val="24"/>
          <w:lang w:eastAsia="lt-LT"/>
        </w:rPr>
        <w:t>A. G. 1</w:t>
      </w:r>
      <w:r w:rsidRPr="00C00255">
        <w:rPr>
          <w:szCs w:val="24"/>
          <w:lang w:eastAsia="lt-LT"/>
        </w:rPr>
        <w:t xml:space="preserve"> ir jo gynėjas</w:t>
      </w:r>
      <w:r w:rsidRPr="00C00255">
        <w:rPr>
          <w:szCs w:val="24"/>
          <w:lang w:eastAsia="lt-LT" w:bidi="lt-LT"/>
        </w:rPr>
        <w:t xml:space="preserve"> teigia neįžvelgiantys priežastinio ryšio tarp konkrečių </w:t>
      </w:r>
      <w:r>
        <w:rPr>
          <w:szCs w:val="24"/>
          <w:lang w:eastAsia="lt-LT" w:bidi="lt-LT"/>
        </w:rPr>
        <w:t>A. G. 1</w:t>
      </w:r>
      <w:r w:rsidRPr="00C00255">
        <w:rPr>
          <w:szCs w:val="24"/>
          <w:lang w:eastAsia="lt-LT" w:bidi="lt-LT"/>
        </w:rPr>
        <w:t xml:space="preserve"> veiksmų bei nuosprendyje jam inkriminuojamų padarinių. Tokių gynybos argumentų kontekste teisėjų kolegija, sutikdama su pirmosios instancijos teismo išvadomis dėl byloje inkriminuotų tanko Nr. 541 veiksmų bei </w:t>
      </w:r>
      <w:bookmarkStart w:id="296" w:name="_Hlk62640518"/>
      <w:r w:rsidRPr="00C00255">
        <w:rPr>
          <w:szCs w:val="24"/>
          <w:lang w:eastAsia="lt-LT" w:bidi="lt-LT"/>
        </w:rPr>
        <w:t xml:space="preserve">vertindama nuteistojo </w:t>
      </w:r>
      <w:r>
        <w:rPr>
          <w:szCs w:val="24"/>
          <w:lang w:eastAsia="lt-LT" w:bidi="lt-LT"/>
        </w:rPr>
        <w:t>A. G. 1</w:t>
      </w:r>
      <w:r w:rsidRPr="00C00255">
        <w:rPr>
          <w:szCs w:val="24"/>
          <w:lang w:eastAsia="lt-LT" w:bidi="lt-LT"/>
        </w:rPr>
        <w:t xml:space="preserve"> ir jo gynėjo argumentus, dar kartą primena šiame sprendime jau aptartus įrodymus apie tankų manevravimą greta civilių, jų bauginimą ir tankų šūviais padarytus akustinius civilių sužalojimus (šio sprendimo 369–372 pastraipos) bei teismo išvadas, kad visi TSRS kariškiai operacijoje veikė koordinuotai ir bendrai, suvokdami, jog kiekvienas savo veiksmais prisidėjo prie bendro tikslo siekiant užimti strategiškai svarbų objektą. Tankų veiksmais, be kita ko, buvo siekiama įbauginti civilius ir atlaisvinti kelią kitiems operacijoje dalyvavusiems kariškiams, todėl individualūs </w:t>
      </w:r>
      <w:r>
        <w:rPr>
          <w:szCs w:val="24"/>
          <w:lang w:eastAsia="lt-LT" w:bidi="lt-LT"/>
        </w:rPr>
        <w:t>A. G. 1</w:t>
      </w:r>
      <w:r w:rsidRPr="00C00255">
        <w:rPr>
          <w:szCs w:val="24"/>
          <w:lang w:eastAsia="lt-LT" w:bidi="lt-LT"/>
        </w:rPr>
        <w:t xml:space="preserve"> veiksmai, negali būti vertinami atsietai nuo visų TSRS kariškių veiksmų ir jais sukeltų padarinių. </w:t>
      </w:r>
      <w:bookmarkEnd w:id="296"/>
      <w:r w:rsidRPr="00C00255">
        <w:rPr>
          <w:szCs w:val="24"/>
          <w:lang w:eastAsia="lt-LT"/>
        </w:rPr>
        <w:t xml:space="preserve">Taigi </w:t>
      </w:r>
      <w:r>
        <w:rPr>
          <w:szCs w:val="24"/>
          <w:lang w:eastAsia="lt-LT"/>
        </w:rPr>
        <w:t>A. G. 1</w:t>
      </w:r>
      <w:r w:rsidRPr="00C00255">
        <w:rPr>
          <w:szCs w:val="24"/>
          <w:lang w:eastAsia="lt-LT"/>
        </w:rPr>
        <w:t xml:space="preserve"> ir jo gynėjo teiginiai apie tai, kad byloje nenustatytas priežastinis ryšys tarp šio nuteistojo prie TV bokšto atliktų veiksmų ir čia kilusių padarinių, yra atmestini. Dėl nuteistųjų ir jų gynėjų argumentų, susijusių su tanko Nr. 541 ekipažo narių veiksmų teisiniu vertinimu ir veikų kvalifikavimu, teismas pasisakys atskiroje šio sprendimo dalyje.  </w:t>
      </w:r>
    </w:p>
    <w:p w:rsidR="00DA38E9" w:rsidRPr="00C00255" w:rsidRDefault="00DA38E9" w:rsidP="00DA38E9">
      <w:pPr>
        <w:pStyle w:val="Heading5"/>
        <w:spacing w:before="120" w:after="120"/>
        <w:ind w:left="992"/>
        <w:rPr>
          <w:rFonts w:ascii="Times New Roman" w:hAnsi="Times New Roman" w:cs="Times New Roman"/>
          <w:i/>
          <w:color w:val="auto"/>
        </w:rPr>
      </w:pPr>
      <w:r w:rsidRPr="00C00255">
        <w:rPr>
          <w:rFonts w:ascii="Times New Roman" w:hAnsi="Times New Roman" w:cs="Times New Roman"/>
          <w:i/>
          <w:color w:val="auto"/>
        </w:rPr>
        <w:t xml:space="preserve">Dėl tanko Nr. 544 ir jo ekipažo narių nuteistųjų </w:t>
      </w:r>
      <w:r>
        <w:rPr>
          <w:rFonts w:ascii="Times New Roman" w:hAnsi="Times New Roman" w:cs="Times New Roman"/>
          <w:i/>
          <w:color w:val="auto"/>
        </w:rPr>
        <w:t>J. M.</w:t>
      </w:r>
      <w:r w:rsidRPr="00C00255">
        <w:rPr>
          <w:rFonts w:ascii="Times New Roman" w:hAnsi="Times New Roman" w:cs="Times New Roman"/>
          <w:i/>
          <w:color w:val="auto"/>
        </w:rPr>
        <w:t xml:space="preserve"> ir </w:t>
      </w:r>
      <w:r>
        <w:rPr>
          <w:rFonts w:ascii="Times New Roman" w:hAnsi="Times New Roman" w:cs="Times New Roman"/>
          <w:i/>
          <w:color w:val="auto"/>
        </w:rPr>
        <w:t>D. B.</w:t>
      </w:r>
      <w:r w:rsidRPr="00C00255">
        <w:rPr>
          <w:rFonts w:ascii="Times New Roman" w:hAnsi="Times New Roman" w:cs="Times New Roman"/>
          <w:i/>
          <w:color w:val="auto"/>
        </w:rPr>
        <w:t xml:space="preserve"> dalyvavimo užimant TV bokštą</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rPr>
        <w:t>Aplinkybę, kad, kartu su ankstesnėse dalyse aptartais tankais Nr. 502, Nr. 513, Nr. 541, TV bokšto užėmimo operacijoje dalyvavo ir tankas Nr. 544, patvirtina byloje surinktų įrodymų visuma: dokumentai, liudytojų parodymai, specialisto išvada, nuteistojo J. M. parodymai ir kt.</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szCs w:val="24"/>
          <w:lang w:eastAsia="lt-LT" w:bidi="lt-LT"/>
        </w:rPr>
        <w:t xml:space="preserve">2014 m. birželio 10 d. specialisto išvadoje konstatuota, kad šis tankas priklausė TV bokštą puolusiai kariškių grupei (t. 480, b. l. 70–71). Byloje esančioje pažymoje-pranešime apie karinio dalinio Nr. 22238 technikos panaudojimą 1991 m. sausio 12–13 dienomis, nurodyta, kad incidento metu buvo panaudotas ir karinio dalinio Nr. 78018 tankas, kurio borto Nr. 544 (t. 191, b. l. 214; t. 191, b. l. 213). Iš byloje jau minėtų N. A. 1991 m. sausio mėnesį pasirašytų įsakymų, matyti, kad </w:t>
      </w:r>
      <w:r w:rsidRPr="000E2C88">
        <w:rPr>
          <w:szCs w:val="24"/>
          <w:lang w:eastAsia="lt-LT"/>
        </w:rPr>
        <w:t xml:space="preserve">tankas Nr. 544 dar </w:t>
      </w:r>
      <w:r w:rsidRPr="000E2C88">
        <w:rPr>
          <w:szCs w:val="24"/>
          <w:lang w:eastAsia="lt-LT" w:bidi="lt-LT"/>
        </w:rPr>
        <w:t xml:space="preserve">1991 m. sausio 2 d. įsakymu nuolatos buvo kovinės parengties, o vėlesniu 1991 m. sausio 9 d. įsakymu buvo suformuota jo įgula: </w:t>
      </w:r>
      <w:r w:rsidRPr="000E2C88">
        <w:rPr>
          <w:rFonts w:eastAsia="Calibri"/>
          <w:szCs w:val="24"/>
        </w:rPr>
        <w:t>tanko vadas – 106-ojo tankų pulko būrio vadas leitenantas J. M., taikytojas – pulko būrio vadas leitenantas D. B. ir mechanikas-vairuotojas – eilinis S. D. (jo atžvilgiu baudžiamasis procesas nevykdytas) (</w:t>
      </w:r>
      <w:r w:rsidRPr="000E2C88">
        <w:rPr>
          <w:szCs w:val="24"/>
          <w:lang w:eastAsia="lt-LT"/>
        </w:rPr>
        <w:t>t. 440, b. l. 17–19; t. 127, b. l. 10–13). Be to,</w:t>
      </w:r>
      <w:r w:rsidRPr="000E2C88">
        <w:rPr>
          <w:szCs w:val="24"/>
          <w:lang w:eastAsia="lt-LT" w:bidi="lt-LT"/>
        </w:rPr>
        <w:t xml:space="preserve"> apie tai, kad tankas Nr. 544 būtent su tokiu jo ekipažu dalyvavo užimant TV bokštą teisiamajame posėdyje patvirtino ir nuteistasis J. M. </w:t>
      </w:r>
      <w:r w:rsidRPr="000E2C88">
        <w:rPr>
          <w:szCs w:val="24"/>
        </w:rPr>
        <w:t>(t. 756, b.</w:t>
      </w:r>
      <w:r w:rsidRPr="000E2C88">
        <w:t> </w:t>
      </w:r>
      <w:r w:rsidRPr="000E2C88">
        <w:rPr>
          <w:szCs w:val="24"/>
        </w:rPr>
        <w:t>l. 57–69). Byloje dėl to ginčo nėra, todėl teisėjų kolegija plačiau šiuo klausimu nepasisako.</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t xml:space="preserve">Pirmosios instancijos teismas skundžiamu nuosprendžiu nustatė, kad nuteistojo J. M. vadovaujamas tankas Nr. 544 kartu su tankais </w:t>
      </w:r>
      <w:r w:rsidRPr="000E2C88">
        <w:rPr>
          <w:rFonts w:eastAsia="Calibri"/>
        </w:rPr>
        <w:t xml:space="preserve">Nr. 502, 513, 541 </w:t>
      </w:r>
      <w:r w:rsidRPr="000E2C88">
        <w:t>buvo puolančioje kariškių kolonoje. Pagal teismo nustatytas aplinkybes, „k</w:t>
      </w:r>
      <w:r w:rsidRPr="000E2C88">
        <w:rPr>
          <w:rFonts w:eastAsia="Calibri"/>
        </w:rPr>
        <w:t>eturi puolančiosios kolonos tankai su 12-a kariškių iš 106-o tankų pulko prie TV bokšto atvyko iš Sudervės g. pusės, šalino kelyje buvusias užtvaras, keliose vietose išgriovė TV bokšto teritoriją juosiančią tvorą ir padarė kelią iš paskos važiuojančiai karinės technikos kolonai, šaudė iš tankų pabūklų tuščiais užtaisais, skleidė dūmines užsklandas, apšvietė karinės technikos žibintais civilius, pavojingai manevruodami važinėjo TV bokšto teritorijoje šalino civilius iš teritorijos ir TV bokšto prieigų. &lt;...&gt; J. M. vadovaujamas tankas, borto Nr. 544, kurio ekipaže buvo taikytojas &lt;...&gt; D. B., mechanikas-vairuotojas S. D. (jo atžvilgiu baudžiamasis persekiojimas &lt;...&gt; nevykdomas), išlaužęs vakarų pusėje TV bokšto teritoriją juosiančią tvorą ir pavojingai manevruodamas tarp ten esančių civilių, įvažiavo į teritoriją, kur ne mažiau kaip tris kartus iššovė iš pabūklo tuščiais užtaisais, leido dūmines užsklandas (nuosprendžio 213–214 l.)</w:t>
      </w:r>
      <w:r w:rsidRPr="00B024B9">
        <w:rPr>
          <w:rFonts w:eastAsia="Calibri"/>
        </w:rPr>
        <w:t>.</w:t>
      </w:r>
      <w:r w:rsidRPr="00C00255">
        <w:rPr>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lang w:eastAsia="lt-LT"/>
        </w:rPr>
        <w:t xml:space="preserve">Teisėjų kolegija, įvertinusi nuteistojo </w:t>
      </w:r>
      <w:r>
        <w:rPr>
          <w:lang w:eastAsia="lt-LT"/>
        </w:rPr>
        <w:t>J. M.</w:t>
      </w:r>
      <w:r w:rsidRPr="00C00255">
        <w:rPr>
          <w:lang w:eastAsia="lt-LT"/>
        </w:rPr>
        <w:t xml:space="preserve"> bei jo gynėjų argumentus, byloje surinktus ir ištirtus įrodymus, konstatuoja, kad visos kaltinime ir nuosprendyje nurodytos esminės nuteistiesiems inkriminuojamos faktinės aplinkybės, susijusios su tanko Nr. 544 ir jo ekipažo narių veiksmais, yra įrodytos ir nustatytos teisingai.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Teisiamajame posėdyje nuteistasis </w:t>
      </w:r>
      <w:r>
        <w:rPr>
          <w:szCs w:val="24"/>
          <w:lang w:eastAsia="lt-LT"/>
        </w:rPr>
        <w:t>J. M.</w:t>
      </w:r>
      <w:r w:rsidRPr="00C00255">
        <w:rPr>
          <w:szCs w:val="24"/>
          <w:lang w:eastAsia="lt-LT"/>
        </w:rPr>
        <w:t xml:space="preserve"> iš esmės patvirtino kaltinime nurodytus tanko veiksmus, nurodydamas, kad jo vadovaujamas tankas, siekdamas užtikrinti desantininkų technikos judėjimą prie objekto, išvertė TV bokštą juosusią tvorą (t.</w:t>
      </w:r>
      <w:r w:rsidRPr="00C00255">
        <w:rPr>
          <w:szCs w:val="24"/>
        </w:rPr>
        <w:t> 756, b.</w:t>
      </w:r>
      <w:r w:rsidRPr="00C00255">
        <w:t> </w:t>
      </w:r>
      <w:r w:rsidRPr="00C00255">
        <w:rPr>
          <w:szCs w:val="24"/>
        </w:rPr>
        <w:t>l. 57–69). Šią aplinkybę nuteistasis buvo nurodęs ir ikiteisminio tyrimo metu netrukus po įvykių, t. y. 1991 m. sausio 31 d., taip pat nupiešdamas ir schemą bei nurodydamas jų tanko judėjimo kryptį nuo tuometinės Sudervės gatvės (dabar Sausio 13-osios) pietine kryptimi pro rytinę TV</w:t>
      </w:r>
      <w:r>
        <w:rPr>
          <w:szCs w:val="24"/>
        </w:rPr>
        <w:t> </w:t>
      </w:r>
      <w:r w:rsidRPr="00C00255">
        <w:rPr>
          <w:szCs w:val="24"/>
        </w:rPr>
        <w:t>bokšto pusę ir tvoros išlaužimą pietinėje TV bokšto pusėje, pro kur tankas įvažiavo į TV bokšto teritoriją ir sustojo greta bokšto iš vakarų pusės (t. 127, b. l. 107–113; t. 440, b. l. 79–82). Schemoje (t. 127, b. l. 113) TV bokšto teritorija atvaizduota ne pagal pasaulio kryptis, nes dabartinė Sausio 13-osios g. yra labiau šiaurinėje, o ne rytinėje TV bokšto pusėje. TV bokšto teritorijos schema pagal pasaulio kryptis nurodyta, pavyzdžiui, specialisto J. Andriškevičiaus išvados priede Nr. 13 (t. 480, b. l. 111).</w:t>
      </w:r>
      <w:r w:rsidRPr="00C00255">
        <w:rPr>
          <w:szCs w:val="24"/>
          <w:lang w:eastAsia="lt-LT" w:bidi="lt-LT"/>
        </w:rPr>
        <w:t xml:space="preserve"> </w:t>
      </w:r>
      <w:r w:rsidRPr="00C00255">
        <w:rPr>
          <w:szCs w:val="24"/>
        </w:rPr>
        <w:t xml:space="preserve">Vertinant tokių duomenų patikimumą reikšmingi ir tanko Nr. 544 vairuotojo liudytojo </w:t>
      </w:r>
      <w:r>
        <w:rPr>
          <w:szCs w:val="24"/>
        </w:rPr>
        <w:t>S. D.</w:t>
      </w:r>
      <w:r w:rsidRPr="00C00255">
        <w:rPr>
          <w:szCs w:val="24"/>
        </w:rPr>
        <w:t xml:space="preserve"> parodymai bei jo nupiešta schema, kuri tiek pagal tanko judėjimo kryptį, tiek pagal tanko išlaužtos tvoros vietą sutampa su prieš tai minėta </w:t>
      </w:r>
      <w:r>
        <w:rPr>
          <w:szCs w:val="24"/>
        </w:rPr>
        <w:t>J. M.</w:t>
      </w:r>
      <w:r w:rsidRPr="00C00255">
        <w:rPr>
          <w:szCs w:val="24"/>
        </w:rPr>
        <w:t xml:space="preserve"> nupiešta schema (</w:t>
      </w:r>
      <w:r w:rsidRPr="00C00255">
        <w:rPr>
          <w:szCs w:val="24"/>
          <w:lang w:eastAsia="lt-LT"/>
        </w:rPr>
        <w:t>t. 127, b. l. 127–132, t. 440, b.</w:t>
      </w:r>
      <w:r>
        <w:rPr>
          <w:szCs w:val="24"/>
          <w:lang w:eastAsia="lt-LT"/>
        </w:rPr>
        <w:t> </w:t>
      </w:r>
      <w:r w:rsidRPr="00C00255">
        <w:rPr>
          <w:szCs w:val="24"/>
          <w:lang w:eastAsia="lt-LT"/>
        </w:rPr>
        <w:t>l.</w:t>
      </w:r>
      <w:r>
        <w:rPr>
          <w:szCs w:val="24"/>
          <w:lang w:eastAsia="lt-LT"/>
        </w:rPr>
        <w:t> </w:t>
      </w:r>
      <w:r w:rsidRPr="00C00255">
        <w:rPr>
          <w:szCs w:val="24"/>
          <w:lang w:eastAsia="lt-LT"/>
        </w:rPr>
        <w:t xml:space="preserve">86–89). </w:t>
      </w:r>
      <w:r w:rsidRPr="00C00255">
        <w:rPr>
          <w:szCs w:val="24"/>
          <w:lang w:eastAsia="lt-LT" w:bidi="lt-LT"/>
        </w:rPr>
        <w:t xml:space="preserve">Analogiškai tanko judėjimo kryptį savo išvadoje nurodė ir specialistas J. Andriškevičius. Jo pateiktoje </w:t>
      </w:r>
      <w:r w:rsidRPr="00C00255">
        <w:rPr>
          <w:szCs w:val="24"/>
          <w:lang w:eastAsia="lt-LT"/>
        </w:rPr>
        <w:t xml:space="preserve">2014 m. birželio 10 d. išvadoje, remiantis ir jau minėtais nuteistojo </w:t>
      </w:r>
      <w:r>
        <w:rPr>
          <w:szCs w:val="24"/>
          <w:lang w:eastAsia="lt-LT"/>
        </w:rPr>
        <w:t>J. M.</w:t>
      </w:r>
      <w:r w:rsidRPr="00C00255">
        <w:rPr>
          <w:szCs w:val="24"/>
          <w:lang w:eastAsia="lt-LT"/>
        </w:rPr>
        <w:t xml:space="preserve"> parodymais, konstatuota, kad „Tankui, kurio b/n 544 (tanko vadas </w:t>
      </w:r>
      <w:r>
        <w:rPr>
          <w:szCs w:val="24"/>
          <w:lang w:eastAsia="lt-LT"/>
        </w:rPr>
        <w:t>J. M.</w:t>
      </w:r>
      <w:r w:rsidRPr="00C00255">
        <w:rPr>
          <w:szCs w:val="24"/>
          <w:lang w:eastAsia="lt-LT"/>
        </w:rPr>
        <w:t xml:space="preserve">), pralaužus tvorą iš pietų pusės, karinei technikai buvo padarytas dar vienas įvažiavimas į bokšto teritoriją“ (t. 480, b. l. 71). Vėlesnėje ikiteisminio tyrimo stadijoje, po nuteistojo </w:t>
      </w:r>
      <w:r>
        <w:rPr>
          <w:szCs w:val="24"/>
          <w:lang w:eastAsia="lt-LT"/>
        </w:rPr>
        <w:t>J. M.</w:t>
      </w:r>
      <w:r w:rsidRPr="00C00255">
        <w:rPr>
          <w:szCs w:val="24"/>
          <w:lang w:eastAsia="lt-LT"/>
        </w:rPr>
        <w:t xml:space="preserve"> sulaikymo, nuteistasis davė parodymus kaip įtariamasis, be to, jo parodymai buvo tikrinami vietoje ir nupiešta dar viena schema, kurioje tanko judėjimo kryptis buvo panaši, tačiau įvažiavimo į TV bokšto teritoriją išlaužiant tvorą vieta kiek pakito, nurodant šią vietą rytinėje TV bokšto pusėje (t. 562, b. l. 90). Šioje </w:t>
      </w:r>
      <w:r w:rsidRPr="00C00255">
        <w:rPr>
          <w:szCs w:val="24"/>
        </w:rPr>
        <w:t>schemoje TV bokšto teritorija atvaizduota ne pagal pasaulio kryptis, lygiai taip pat ši schema ne pagal pasaulio kryptis nurodyta ir kaltinamajame akte (t. 694, kaltinamojo akto 2934 l.)</w:t>
      </w:r>
      <w:r w:rsidRPr="00C00255">
        <w:rPr>
          <w:szCs w:val="24"/>
          <w:lang w:eastAsia="lt-LT"/>
        </w:rPr>
        <w:t xml:space="preserve">. Iš įvykio vietos apžiūros protokolo (t. 492, b. l. 2–5) ir sudarytos schemos, kurioje pažymėtos tvoros išlaužimo vietos (t. 492, b. l. 9) matyti, kad tvora TSRS kariškiams įsiveržiant į TV bokšto teritoriją buvo išlaužta trijose vietose: 1) rytinėje pusėje (žyma schemoje Nr. 4); 2) pietrytinėje pusėje (žyma schemoje Nr. 5) ir 3) pietinėje (žyma schemoje Nr. 6). Iš tokių duomenų akivaizdu, kad tiek kaltinime, tiek teismo nuosprendyje nurodyta tanko Nr. 544 tvoros išlaužimo vieta – vakarinėje – pusėje nėra tiksli, nes vakarinėje pusėje tvora apskritai nebuvo išlaužta, o tokia klaida galėjo būti padaryta dėl to, kad byloje esančios schemos daugeliu atveju atvaizduotos nenurodant pasaulio krypčių ir į bylą schemos įsiūtos ne pagal pasaulio kryptis. Vertinant nuteistojo </w:t>
      </w:r>
      <w:r>
        <w:rPr>
          <w:szCs w:val="24"/>
          <w:lang w:eastAsia="lt-LT"/>
        </w:rPr>
        <w:t>J. M.</w:t>
      </w:r>
      <w:r w:rsidRPr="00C00255">
        <w:rPr>
          <w:szCs w:val="24"/>
          <w:lang w:eastAsia="lt-LT"/>
        </w:rPr>
        <w:t xml:space="preserve"> parodymus, specialisto išvadą, įvykio vietos apžiūros protokolo duomenis, gretinant juos su ikiteisminio tyrimo metu </w:t>
      </w:r>
      <w:r>
        <w:rPr>
          <w:szCs w:val="24"/>
          <w:lang w:eastAsia="lt-LT"/>
        </w:rPr>
        <w:t>J. M.</w:t>
      </w:r>
      <w:r w:rsidRPr="00C00255">
        <w:rPr>
          <w:szCs w:val="24"/>
          <w:lang w:eastAsia="lt-LT"/>
        </w:rPr>
        <w:t xml:space="preserve"> ir tanką vairavusio liudytojo </w:t>
      </w:r>
      <w:r>
        <w:rPr>
          <w:szCs w:val="24"/>
          <w:lang w:eastAsia="lt-LT"/>
        </w:rPr>
        <w:t>S. D.</w:t>
      </w:r>
      <w:r w:rsidRPr="00C00255">
        <w:rPr>
          <w:szCs w:val="24"/>
          <w:lang w:eastAsia="lt-LT"/>
        </w:rPr>
        <w:t xml:space="preserve"> nurodyta tvoros išlaužimo vieta, galima manyti, kad tankas Nr. 544 išlaužė tvorą pietinėje pusėje. Kategoriškos išvados šiuo klausimu teismas daryti negali, todėl teisėjų kolegija šalina iš teismo nuosprendžio nustatomosios dalies žodžiais „&lt;...&gt; išlaužęs vakarų pusėje TV bokšto teritoriją juosiančią tvorą“ (nuosprendžio 214 l.) netiksliai nurodytą tvoros išlaužimo vietą (šalina žodžius „vakarų pusėje“), kuri kaltinimo kontekste nėra esminė ir jokios įtakos nuteistųjų teisinei padėčiai neturi.   </w:t>
      </w:r>
    </w:p>
    <w:p w:rsidR="00DA38E9" w:rsidRPr="000E2C88" w:rsidRDefault="00DA38E9" w:rsidP="00DA38E9">
      <w:pPr>
        <w:pStyle w:val="ListParagraph"/>
        <w:numPr>
          <w:ilvl w:val="0"/>
          <w:numId w:val="6"/>
        </w:numPr>
        <w:spacing w:before="120" w:after="120"/>
        <w:ind w:left="992" w:hanging="992"/>
        <w:contextualSpacing w:val="0"/>
        <w:rPr>
          <w:szCs w:val="24"/>
          <w:lang w:eastAsia="lt-LT" w:bidi="lt-LT"/>
        </w:rPr>
      </w:pPr>
      <w:r w:rsidRPr="000E2C88">
        <w:rPr>
          <w:rFonts w:eastAsia="Calibri"/>
        </w:rPr>
        <w:t>Nepaisant minėto netikslumo, teisėjų kolegijos įsitikinimu, visos esminės kaltinime nurodytos aplinkybės dėl tanko Nr. 544 pavojingo manevravimo greta civilių, ne mažiau kaip trijų atliktų šūvių ir kt. pasitvirtino. Nors nuteistasis J. M. pirmosios instancijos teisme teigė, kad jo vadovaujamam tankui įvažiavus į TV bokšto teritoriją, čia beveik nebuvo žmonių (jie pasirodė tik vėliau), o taip pat šioje teritorijoje tankas nevartė jokių užtvarų bei stovėjo vienoje vietoje, tokie jo parodymai nėra visiškai teisingi. Teismo vertinimu, jie duoti siekiant sušvelninti savo teisinę padėtį bei suformuoti įspūdį, kad jo vadovaujamas tankas inkriminuojamo pavojaus civiliams nekėlė ir pavojingai nemanevravo.</w:t>
      </w:r>
      <w:r w:rsidRPr="000E2C88">
        <w:rPr>
          <w:rFonts w:eastAsia="Calibri"/>
          <w:szCs w:val="24"/>
        </w:rPr>
        <w:t xml:space="preserve"> </w:t>
      </w:r>
    </w:p>
    <w:p w:rsidR="00DA38E9" w:rsidRPr="00B024B9" w:rsidRDefault="00DA38E9" w:rsidP="00DA38E9">
      <w:pPr>
        <w:pStyle w:val="ListParagraph"/>
        <w:numPr>
          <w:ilvl w:val="0"/>
          <w:numId w:val="6"/>
        </w:numPr>
        <w:spacing w:before="120" w:after="120"/>
        <w:ind w:left="992" w:hanging="992"/>
        <w:contextualSpacing w:val="0"/>
      </w:pPr>
      <w:r w:rsidRPr="000E2C88">
        <w:rPr>
          <w:rFonts w:eastAsia="Calibri"/>
        </w:rPr>
        <w:t xml:space="preserve">Teisėjų kolegija, šiame sprendime aptardama kitų tankų vaidmenį, jau minėjo byloje esančius vaizdo įrašus, iš kurių matyti, kad tiek karinės technikos kolonai judant prie TV bokšto, tiek jau manevruojant jo teritorijoje, techniką nuolat supo civiliai. </w:t>
      </w:r>
      <w:r w:rsidRPr="000E2C88">
        <w:t xml:space="preserve">Atitinkamai ir specialistas, įvertinęs byloje esančius ir iš skirtingų įrodymų šaltinių surinktus duomenis, 2014 m. birželio 10 d. išvadoje konstatavo pavojingą tankų manevravimą TV bokšto teritorijoje, po to, kai tankai įvažiavo į ją pro išlaužtą tvorą (t. 480, b. l. 71). </w:t>
      </w:r>
      <w:r w:rsidRPr="000E2C88">
        <w:rPr>
          <w:rFonts w:eastAsia="Calibri"/>
        </w:rPr>
        <w:t>Teisėjų kolegijos įsitikinimą apie tankų, tarp jų ir Nr. 544, manevravimą TV bokšto teritorijoje, aplink esant tikrai dideliam skaičiui civilių, formuoja bei tuo pačiu minėtų duomenų patikimumą patikrinti leidžia tanko Nr. 544 vairuotojo liudytojo S. D., kuris neturi suinteresuotumo šios bylos baigtimi, ikiteisminio tyrimo metu duoti parodymai. Liudytojas nurodė, kad jų tankui dar neprivažiavus prie TV bokšto, jie pradėjo sutikti dideles civilių minias, o prie pastato privažiuoti trukdė ir iš automobilių sudaryta užtvara. Vėliau išlaužęs metalinę tinklo tvorą, kuri juosė bokštą, S. D. įvažiavo į šalia TV bokšto esančią teritoriją. Įvažiavęs į teritoriją, liudytojas pamatė, kad čia yra minios žmonių. Jų tankas kelis sykius pakeitė stovėjimo vietą, o taip pat tris kartus šovė iš pabūklo išmušamaisiais užtaisais, kad atbaidytų žmones nuo tankų ir desantininkų (</w:t>
      </w:r>
      <w:r w:rsidRPr="000E2C88">
        <w:t>t. 760, b. l. 155; t. 440, b. l. 86–89; t. 127, b. l. 127–132). Taigi tanko Nr. 544 vairuotojo liudytojo S. D. parodymai atitinka minėtuose vaizdo įrašuose ir specialisto išvadoje užfiksuotus duomenis apie tai, kad tankams judant TV bokšto link, o vėliau jau manevruojant jo teritorijoje, aplink buvo tikrai daug civilių. Teisėjų kolegijos vertinimu, šių duomenų visuma paneigia J. M. gynybinę versiją, kad TV bokšto teritorijoje tankas Nr. 544 nemanevravo ir neveikė arti esant civiliams</w:t>
      </w:r>
      <w:r w:rsidRPr="00B024B9">
        <w:t>.</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Aplinkybę, kad tankas Nr. 544 TV bokšto teritorijoje ne tik pavojingai manevravo, bet ir greta esant civiliams ne mažiau kaip tris kartus iššovė tuščiais užtaisais, patvirtina tiek jau minėti tanko ekipažo narių parodymai, tiek kiti objektyvūs duomenys.</w:t>
      </w:r>
      <w:r w:rsidRPr="00C00255">
        <w:rPr>
          <w:rFonts w:eastAsia="Calibri"/>
          <w:szCs w:val="24"/>
        </w:rPr>
        <w:t xml:space="preserve"> N</w:t>
      </w:r>
      <w:r w:rsidRPr="00C00255">
        <w:rPr>
          <w:szCs w:val="24"/>
          <w:lang w:eastAsia="lt-LT"/>
        </w:rPr>
        <w:t xml:space="preserve">uteistasis </w:t>
      </w:r>
      <w:r>
        <w:rPr>
          <w:szCs w:val="24"/>
          <w:lang w:eastAsia="lt-LT"/>
        </w:rPr>
        <w:t>J. M.</w:t>
      </w:r>
      <w:r w:rsidRPr="00C00255">
        <w:rPr>
          <w:szCs w:val="24"/>
          <w:lang w:eastAsia="lt-LT"/>
        </w:rPr>
        <w:t xml:space="preserve"> teisiamajame posėdyje patvirtino, kad jo vadovaujamas tankas prie TV bokšto tris kartus iššovė išmušamaisiais užtaisais, o šiuos šūvius atliko tanko taikytojas nuteistasis </w:t>
      </w:r>
      <w:r>
        <w:rPr>
          <w:szCs w:val="24"/>
          <w:lang w:eastAsia="lt-LT"/>
        </w:rPr>
        <w:t>D. B.</w:t>
      </w:r>
      <w:r w:rsidRPr="00C00255">
        <w:rPr>
          <w:szCs w:val="24"/>
          <w:lang w:eastAsia="lt-LT"/>
        </w:rPr>
        <w:t xml:space="preserve"> (t.</w:t>
      </w:r>
      <w:r w:rsidRPr="00C00255">
        <w:rPr>
          <w:szCs w:val="24"/>
        </w:rPr>
        <w:t> 756, b.</w:t>
      </w:r>
      <w:r w:rsidRPr="00C00255">
        <w:t> </w:t>
      </w:r>
      <w:r w:rsidRPr="00C00255">
        <w:rPr>
          <w:szCs w:val="24"/>
        </w:rPr>
        <w:t>l. 57–69). P</w:t>
      </w:r>
      <w:r w:rsidRPr="00C00255">
        <w:t>raėjus trims dienoms nuo įvykių prie TV bokšto, apžiūrėjus tanką Nr. 544, be kita ko, nustatyta, kad tanko patrankos vamzdyje yra nuodegų pėdsakų (</w:t>
      </w:r>
      <w:r w:rsidRPr="00C00255">
        <w:rPr>
          <w:szCs w:val="24"/>
          <w:lang w:eastAsia="lt-LT"/>
        </w:rPr>
        <w:t xml:space="preserve">t. 427, b. l. 71; t. 114, b. l. 81–89). </w:t>
      </w:r>
      <w:r w:rsidRPr="00C00255">
        <w:rPr>
          <w:szCs w:val="24"/>
          <w:lang w:eastAsia="lt-LT" w:bidi="lt-LT"/>
        </w:rPr>
        <w:t>Pažymoje-pranešime apie karinio dalinio Nr. 22238 technikos panaudojimą 1991 m. sausio 12–13 dienomis, taip pat nurodoma, kad tankas Nr. 544 šaudė tuščiais tankų pabūklų sviediniais (t. 191, b. l. 214; t. 191, b. l. 213). Aplinkybę, kad tankai prie TV bokšto šaudė iš pabūklų išmušamaisiais užtaisais, įvertinęs byloje surinktų duomenų visumą, konstatavo ir specialistas 2014 m. birželio 10 d. išvadoje (</w:t>
      </w:r>
      <w:r w:rsidRPr="00C00255">
        <w:rPr>
          <w:szCs w:val="24"/>
          <w:lang w:eastAsia="lt-LT"/>
        </w:rPr>
        <w:t xml:space="preserve">t. 480, b. l. 70).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E2C88">
        <w:rPr>
          <w:rFonts w:eastAsia="Calibri"/>
        </w:rPr>
        <w:t>Atsižvelgdama į anksčiau nurodytus argumentus bei išanalizuotus duomenis, teisėjų kolegija konstatuoja, kad aptarti ir skundžiamu nuosprendžiu konstatuoti tanko Nr. 544 ir tuo pačiu jo ekipažo narių J. M. bei D. B. veiksmai prie TV bokšto, pasitvirtino. Šios aplinkybės paneigia ir J. M. gynėjos apeliacinio skundo teiginį, kad apkaltinamasis nuosprendis paremtas selektyviai atrinktais duomenimis, o ne jų visuma ir pan</w:t>
      </w:r>
      <w:r w:rsidRPr="00B024B9">
        <w:rPr>
          <w:rFonts w:eastAsia="Calibri"/>
        </w:rPr>
        <w:t>.</w:t>
      </w:r>
      <w:r w:rsidRPr="00C00255">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t xml:space="preserve">Nuteistojo gynėjos apeliaciniame skunde pažymima ir tai, kad operacijos metu buvo imtasi visų įmanomų atsargumo priemonių, kad būtų padaryta kuo mažiau žalos (pasirinktas nakties metas, kad objektuose nebūtų civilių asmenų, apie puolimą buvo perspėta garsiakalbiais, balsu, šaudant tuščiomis kulkomis ir užtaisais). Teisėjų kolegija su tokia gynybos pozicija nesutinka, nes </w:t>
      </w:r>
      <w:r w:rsidRPr="00C00255">
        <w:rPr>
          <w:szCs w:val="24"/>
        </w:rPr>
        <w:t>gynėjos įvardijamos atsargumo priemonės, kurių neva buvo imtasi siekiant kuo mažesnės žalos, nepaneigia jau ne kartą minėto daugeliui žmonių padarytų sužalojimų fakto ir negali būti vertinamos kaip pagrindžiančios atsargų ir teisėtą kariškių veikimą prie TV bokšto. Apeliacinės instancijos teismo motyvai šiuo klausimu pateikiami ir kitoje šio sprendimo dalyje dėl nusikalstamų veikų teisinio vertinimo.</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Iš daugybės byloje esančių duomenų ir ankstesnių įvykių užimant Spaudos rūmus akivaizdu, kad civilių prie užimamų objektų buvo tikimasi, o kariškiai buvo instruktuojami, kaip elgtis, siekiant pro juos prasibrauti iki pastato ir vėliau siekiant juos pašalinti iš objektų teritorijos. Dėl civiliams duoto perspėjimo per garsiakalbį teisėjų kolegija pažymi, kad LNGK vardu į civilius buvo kreiptasi jau po to, kai TV bokšto šturmas buvo pradėtas ir dalis tankų šūvių iššauti. Tokias aplinkybes nurodė tiek teisiamajame posėdyje apklausti nukentėjusieji V. Č. A</w:t>
      </w:r>
      <w:r>
        <w:rPr>
          <w:szCs w:val="24"/>
        </w:rPr>
        <w:t>.</w:t>
      </w:r>
      <w:r w:rsidRPr="00C00255">
        <w:rPr>
          <w:szCs w:val="24"/>
        </w:rPr>
        <w:t>, J. B</w:t>
      </w:r>
      <w:r>
        <w:rPr>
          <w:szCs w:val="24"/>
        </w:rPr>
        <w:t>.</w:t>
      </w:r>
      <w:r w:rsidRPr="00C00255">
        <w:rPr>
          <w:szCs w:val="24"/>
        </w:rPr>
        <w:t xml:space="preserve"> ir V. M</w:t>
      </w:r>
      <w:r>
        <w:rPr>
          <w:szCs w:val="24"/>
        </w:rPr>
        <w:t>.</w:t>
      </w:r>
      <w:r w:rsidRPr="00C00255">
        <w:rPr>
          <w:szCs w:val="24"/>
        </w:rPr>
        <w:t xml:space="preserve"> (t. 758, b. l. 73–75; t. 758, b. l. 131; t.</w:t>
      </w:r>
      <w:r w:rsidRPr="00C00255">
        <w:t> </w:t>
      </w:r>
      <w:r w:rsidRPr="00C00255">
        <w:rPr>
          <w:szCs w:val="24"/>
        </w:rPr>
        <w:t>759, b. l. 78–79), tiek suinteresuotumo bylos baigtimi neturintys liudytojai A. B</w:t>
      </w:r>
      <w:r>
        <w:rPr>
          <w:szCs w:val="24"/>
        </w:rPr>
        <w:t>.</w:t>
      </w:r>
      <w:r w:rsidRPr="00C00255">
        <w:rPr>
          <w:szCs w:val="24"/>
        </w:rPr>
        <w:t xml:space="preserve"> ir V. R</w:t>
      </w:r>
      <w:r>
        <w:rPr>
          <w:szCs w:val="24"/>
        </w:rPr>
        <w:t>.</w:t>
      </w:r>
      <w:r w:rsidRPr="00C00255">
        <w:rPr>
          <w:szCs w:val="24"/>
        </w:rPr>
        <w:t xml:space="preserve"> (t. 760, b. l. 9–10; t. 761, b. l. 15–19). Anot gynėjos, civiliai buvo perspėti ir, be kita ko, naudojant tuščius užtaisus. Teisėjų kolegija jau pasisakė apie tankų šūvių tuščiais užtaisais pavojingumą ir sukeltus padarinius civiliams (šio sprendimo 369–370 pastraipos) bei aiškų kariškių suvokimą apie galimą žalą, todėl tokius šūvius vertina ne kaip perspėjimus, o kaip puolimą, jėgos demonstravimą ir civilių bauginimą.</w:t>
      </w:r>
      <w:r w:rsidRPr="00C00255">
        <w:rPr>
          <w:lang w:eastAsia="lt-LT"/>
        </w:rPr>
        <w:t xml:space="preserve"> Atsižvelgdamas į visa tai, apeliacinės instancijos teismas kaip nepagrįstus atmeta teiginius apie kariškių prie TV bokšto taikytas atsargumo priemones siekiant išvengti žalos – tai tik subjektyvi ir gynybai palanki įvykių interpretacija.</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t>Teisėjų kolegija pabrėžia, kad dėl panašių gynybos argumentų jau yra pasisakiusi ir kitose šio sprendimo dalyse, analizuodama kitų tankų vaidmenį užimant TV bokštą. Teisėjų kolegija jau minėjo, kad visi tankai</w:t>
      </w:r>
      <w:r w:rsidRPr="00C00255">
        <w:rPr>
          <w:lang w:eastAsia="lt-LT"/>
        </w:rPr>
        <w:t xml:space="preserve"> veikė bendrai, koordinuotai ir sudarė sąlygas kitų kariškių veiksmams. Atsižvelgiant į tai, </w:t>
      </w:r>
      <w:r w:rsidRPr="00C00255">
        <w:rPr>
          <w:szCs w:val="24"/>
          <w:lang w:eastAsia="lt-LT"/>
        </w:rPr>
        <w:t>kiekvieno iš tanko įgulos narių veiksmai jokiu būdu negali būti vertinami atsietai nuo visų tankų ir apskritai visų operacijoje dalyvavusių kariškių veiksmų. Tankas Nr. 544 savo veiksmais šturmuojant bokštą padėjo kitiems operacijoje dalyvavusiems TSRS kariškiams patekti į TV bokšto teritoriją, išlaužė TV bokštą juosiančią tvorą, kartu su kitais tankais baugino ir žalojo civilius atlikdamas šūvius tuščiais užtaisais, todėl šio tanko veiksmai priežastiniu ryšiu yra tiesiogiai susiję su civilių patirtais sveikatos sutrikdymais prie TV</w:t>
      </w:r>
      <w:r>
        <w:rPr>
          <w:szCs w:val="24"/>
          <w:lang w:eastAsia="lt-LT"/>
        </w:rPr>
        <w:t> </w:t>
      </w:r>
      <w:r w:rsidRPr="00C00255">
        <w:rPr>
          <w:szCs w:val="24"/>
          <w:lang w:eastAsia="lt-LT"/>
        </w:rPr>
        <w:t xml:space="preserve">bokšto. </w:t>
      </w:r>
      <w:r w:rsidRPr="00C00255">
        <w:rPr>
          <w:szCs w:val="24"/>
          <w:lang w:eastAsia="lt-LT" w:bidi="lt-LT"/>
        </w:rPr>
        <w:t xml:space="preserve">Taigi teisėjų kolegija konstatuoja, kad visos esminės skundžiamu nuosprendžiu konstatuotos aplinkybės, susijusios su tanko Nr. 544 ir tuo pačiu jo įgulos narių nuteistųjų </w:t>
      </w:r>
      <w:r>
        <w:rPr>
          <w:szCs w:val="24"/>
          <w:lang w:eastAsia="lt-LT" w:bidi="lt-LT"/>
        </w:rPr>
        <w:t>J. M.</w:t>
      </w:r>
      <w:r w:rsidRPr="00C00255">
        <w:rPr>
          <w:szCs w:val="24"/>
          <w:lang w:eastAsia="lt-LT" w:bidi="lt-LT"/>
        </w:rPr>
        <w:t xml:space="preserve"> bei </w:t>
      </w:r>
      <w:r>
        <w:rPr>
          <w:szCs w:val="24"/>
          <w:lang w:eastAsia="lt-LT" w:bidi="lt-LT"/>
        </w:rPr>
        <w:t>D. B.</w:t>
      </w:r>
      <w:r w:rsidRPr="00C00255">
        <w:rPr>
          <w:szCs w:val="24"/>
          <w:lang w:eastAsia="lt-LT" w:bidi="lt-LT"/>
        </w:rPr>
        <w:t xml:space="preserve"> veiksmais </w:t>
      </w:r>
      <w:r w:rsidRPr="00C00255">
        <w:t>šturmuojant TV bokštą, pasitvirtino kaip pagrįstos ir teisingos, tačiau iš teismo nuosprendžio nustatomosios dalies šalintina pirmosios instancijos teismo išvada apie tanko Nr. 544 išlaužtos tvoros vietą TV bokšto vakarų pusėje.</w:t>
      </w:r>
    </w:p>
    <w:p w:rsidR="00DA38E9" w:rsidRPr="00C00255" w:rsidRDefault="00DA38E9" w:rsidP="00DA38E9">
      <w:pPr>
        <w:pStyle w:val="Heading5"/>
        <w:spacing w:before="120" w:after="120"/>
        <w:ind w:firstLine="992"/>
        <w:rPr>
          <w:rFonts w:ascii="Times New Roman" w:hAnsi="Times New Roman" w:cs="Times New Roman"/>
          <w:i/>
          <w:color w:val="auto"/>
        </w:rPr>
      </w:pPr>
      <w:r w:rsidRPr="00C00255">
        <w:rPr>
          <w:rFonts w:ascii="Times New Roman" w:hAnsi="Times New Roman" w:cs="Times New Roman"/>
          <w:i/>
          <w:color w:val="auto"/>
        </w:rPr>
        <w:t xml:space="preserve">Dėl nuteistojo </w:t>
      </w:r>
      <w:r>
        <w:rPr>
          <w:rFonts w:ascii="Times New Roman" w:hAnsi="Times New Roman" w:cs="Times New Roman"/>
          <w:i/>
          <w:color w:val="auto"/>
        </w:rPr>
        <w:t>V. U. 1</w:t>
      </w:r>
      <w:r w:rsidRPr="00C00255">
        <w:rPr>
          <w:rFonts w:ascii="Times New Roman" w:hAnsi="Times New Roman" w:cs="Times New Roman"/>
          <w:i/>
          <w:color w:val="auto"/>
        </w:rPr>
        <w:t xml:space="preserve"> </w:t>
      </w:r>
      <w:bookmarkStart w:id="297" w:name="_Hlk67482717"/>
      <w:r w:rsidRPr="00C00255">
        <w:rPr>
          <w:rFonts w:ascii="Times New Roman" w:hAnsi="Times New Roman" w:cs="Times New Roman"/>
          <w:i/>
          <w:color w:val="auto"/>
        </w:rPr>
        <w:t>dalyvavimo</w:t>
      </w:r>
      <w:bookmarkEnd w:id="297"/>
      <w:r w:rsidRPr="00C00255">
        <w:rPr>
          <w:rFonts w:ascii="Times New Roman" w:hAnsi="Times New Roman" w:cs="Times New Roman"/>
          <w:i/>
          <w:color w:val="auto"/>
        </w:rPr>
        <w:t xml:space="preserve"> užimant TV bokštą</w:t>
      </w:r>
    </w:p>
    <w:p w:rsidR="00DA38E9" w:rsidRPr="000E2C88" w:rsidRDefault="00DA38E9" w:rsidP="00DA38E9">
      <w:pPr>
        <w:pStyle w:val="ListParagraph"/>
        <w:numPr>
          <w:ilvl w:val="0"/>
          <w:numId w:val="6"/>
        </w:numPr>
        <w:spacing w:before="120" w:after="120"/>
        <w:ind w:left="992" w:hanging="992"/>
        <w:contextualSpacing w:val="0"/>
        <w:rPr>
          <w:lang w:eastAsia="lt-LT"/>
        </w:rPr>
      </w:pPr>
      <w:r w:rsidRPr="000E2C88">
        <w:rPr>
          <w:szCs w:val="24"/>
          <w:lang w:eastAsia="lt-LT"/>
        </w:rPr>
        <w:t xml:space="preserve">Pirmosios instancijos teismas skundžiamame nuosprendyje nurodė, kad nuteistasis V. U. 1, būdamas </w:t>
      </w:r>
      <w:r w:rsidRPr="000E2C88">
        <w:rPr>
          <w:rFonts w:eastAsia="Calibri"/>
          <w:szCs w:val="24"/>
        </w:rPr>
        <w:t xml:space="preserve">TSRS GM </w:t>
      </w:r>
      <w:r w:rsidRPr="000E2C88">
        <w:rPr>
          <w:lang w:eastAsia="lt-LT"/>
        </w:rPr>
        <w:t xml:space="preserve">Sausumos pajėgų </w:t>
      </w:r>
      <w:r w:rsidRPr="000E2C88">
        <w:rPr>
          <w:szCs w:val="24"/>
          <w:lang w:eastAsia="lt-LT"/>
        </w:rPr>
        <w:t xml:space="preserve">Pabaltijo karinės apygardos </w:t>
      </w:r>
      <w:r w:rsidRPr="000E2C88">
        <w:rPr>
          <w:rFonts w:eastAsia="Calibri"/>
          <w:szCs w:val="24"/>
        </w:rPr>
        <w:t>107-osios motorizuotų šaulių divizijos</w:t>
      </w:r>
      <w:r w:rsidRPr="000E2C88">
        <w:rPr>
          <w:szCs w:val="24"/>
          <w:lang w:eastAsia="lt-LT"/>
        </w:rPr>
        <w:t xml:space="preserve"> vadu ir karinės operacijos vadovavimo štabo nariu, veikdamas iš štabo, vadovavo ir koordinavo </w:t>
      </w:r>
      <w:r w:rsidRPr="000E2C88">
        <w:rPr>
          <w:rFonts w:eastAsia="Calibri"/>
          <w:szCs w:val="24"/>
        </w:rPr>
        <w:t>TSRS GM</w:t>
      </w:r>
      <w:r w:rsidRPr="000E2C88">
        <w:rPr>
          <w:szCs w:val="24"/>
          <w:lang w:eastAsia="lt-LT"/>
        </w:rPr>
        <w:t xml:space="preserve"> 107-osios motorizuotų šaulių divizijos kariškių veiksmus, jiems dalyvaujant TV bokšto užėmimo operacijoje. Nors apygardos teismo nuosprendžio dalyje „</w:t>
      </w:r>
      <w:r w:rsidRPr="000E2C88">
        <w:rPr>
          <w:i/>
          <w:szCs w:val="24"/>
          <w:lang w:eastAsia="lt-LT"/>
        </w:rPr>
        <w:t>Lietuvos radijo ir televizijos centro (TV bokšto) užgrobimas</w:t>
      </w:r>
      <w:r w:rsidRPr="000E2C88">
        <w:rPr>
          <w:szCs w:val="24"/>
          <w:lang w:eastAsia="lt-LT"/>
        </w:rPr>
        <w:t>“ įrodytomis pripažintose aplinkybėse jau minėti nuteistojo V. U. 1 veiksmai tiesiogiai nėra nurodomi ir daromos išvados tik apie kariškių veikimą pagal vadovavimo operacijai štabo užduotį ar šio štabo parengto plano vykdymą (nuosprendžio 212–221 l., t. 770), tačiau jau minėti V. U. 1 veiksmai nurodyti kitoje skundžiamo nuosprendžio nustatomojoje dalyje aprašant įrodytomis pripažintas aplinkybes „</w:t>
      </w:r>
      <w:r w:rsidRPr="000E2C88">
        <w:rPr>
          <w:i/>
          <w:szCs w:val="24"/>
          <w:lang w:eastAsia="lt-LT"/>
        </w:rPr>
        <w:t>Nusikalstamų veiksmų prieš Lietuvos valstybę rengimas, karinės operacijos planavimas</w:t>
      </w:r>
      <w:r w:rsidRPr="000E2C88">
        <w:rPr>
          <w:szCs w:val="24"/>
          <w:lang w:eastAsia="lt-LT"/>
        </w:rPr>
        <w:t xml:space="preserve">“ (nuosprendžio 10–15 l., t. 769). </w:t>
      </w:r>
      <w:r w:rsidRPr="000E2C88">
        <w:t>Š</w:t>
      </w:r>
      <w:r w:rsidRPr="000E2C88">
        <w:rPr>
          <w:rFonts w:eastAsia="Calibri"/>
        </w:rPr>
        <w:t>ioje dalyje teismas, be kita ko, konstatavo, kad „TV Centro (bokšto) ir LRT (Radijo ir televizijos komiteto) užėmimui paskirti &lt;...&gt; dvidešimt vienas TSRS GM 107-osios motorizuotų šaulių divizijos 106-ojo tankų pulko kariškis ir 77-ojo motorizuotų šaulių pulko tankų bataliono kariškiai, vadovaujami 107-osios motorizuotų šaulių divizijos vado kaltinamojo V. U. 1. &lt;...&gt; TSRS VSK specialios paskirties grupės „A“, 76-osios oro desanto divizijos, 107-osios motorizuotų šaulių divizijos ir 42-os divizijos kariškių, dalyvaujančių užimant objektus, bendrus veiksmus koordinavo &lt;...&gt;, 107-osios motorizuotų šaulių divizijos vadas kaltinamasis V. U. 1,&lt;...&gt;“</w:t>
      </w:r>
      <w:r w:rsidR="00B024B9" w:rsidRPr="000E2C88">
        <w:rPr>
          <w:rFonts w:eastAsia="Calibri"/>
        </w:rPr>
        <w:t xml:space="preserve"> (žr. nuosprendžio 14–15 l., t. </w:t>
      </w:r>
      <w:r w:rsidRPr="000E2C88">
        <w:rPr>
          <w:rFonts w:eastAsia="Calibri"/>
        </w:rPr>
        <w:t>769). Be to, tokios išvados nurodytos ir nuosprendžio motyvuojamojoje dalyje, t. y.</w:t>
      </w:r>
      <w:r w:rsidRPr="000E2C88">
        <w:t>, kad „V. U. 1</w:t>
      </w:r>
      <w:r w:rsidRPr="000E2C88">
        <w:rPr>
          <w:rFonts w:eastAsia="Calibri"/>
        </w:rPr>
        <w:t xml:space="preserve"> &lt;...&gt; davė nurodymus dėl tiesioginio dalyvavimo karinėje operacijoje, paskirstė kariškius į užimamus objektus, paskelbė kovinę parengtį divizijos daliniuose, koordinavo šturmo veiksmus objektuose, iš štabo vadovavo tankų bataliono kariškiams TV Bokšto &lt;...&gt; šturmo metu“ (</w:t>
      </w:r>
      <w:r w:rsidRPr="000E2C88">
        <w:t xml:space="preserve">nuosprendžio 874 l., t. 773, b. l. 74); „skiriant bausmę kaltinamajam V. U. 1, atsižvelgiama į &lt;...&gt; tai, kad jis </w:t>
      </w:r>
      <w:r w:rsidRPr="000E2C88">
        <w:rPr>
          <w:rFonts w:eastAsia="Calibri"/>
        </w:rPr>
        <w:t>&lt;...&gt; davė nurodymus dėl tiesioginio dalyvavimo karinėje operacijoje ir vadovavimo jai, koordinavo šturmo veiksmus, paskelbė kovinę parengtį divizijos daliniuose, vadovavo tankų bataliono kariškiams TV b</w:t>
      </w:r>
      <w:r w:rsidR="00B024B9" w:rsidRPr="000E2C88">
        <w:rPr>
          <w:rFonts w:eastAsia="Calibri"/>
        </w:rPr>
        <w:t>okšto“ (nuosprendžio 885 l., t. </w:t>
      </w:r>
      <w:r w:rsidRPr="000E2C88">
        <w:rPr>
          <w:rFonts w:eastAsia="Calibri"/>
        </w:rPr>
        <w:t xml:space="preserve">773, b. l. 85).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 xml:space="preserve">Teisėjų kolegijos įsitikinimu, </w:t>
      </w:r>
      <w:r>
        <w:rPr>
          <w:szCs w:val="24"/>
          <w:lang w:eastAsia="lt-LT"/>
        </w:rPr>
        <w:t>V. U. 1</w:t>
      </w:r>
      <w:r w:rsidRPr="00C00255">
        <w:rPr>
          <w:szCs w:val="24"/>
          <w:lang w:eastAsia="lt-LT"/>
        </w:rPr>
        <w:t xml:space="preserve"> vadovaujamą vaidmenį – vadovavimą tankų pulkų kariškiams ir jų veiksmų koordinavimą užimant TV bokštą – patvirtina byloje surinktų ir toliau analizuojamų duomenų visuma.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bCs/>
          <w:color w:val="000000"/>
          <w:lang w:eastAsia="ar-SA" w:bidi="lt-LT"/>
        </w:rPr>
        <w:t xml:space="preserve">Teisėjų kolegija, šiame sprendime analizuodama pirmosios instancijos teismo išvadas dėl nuteistojo </w:t>
      </w:r>
      <w:r>
        <w:rPr>
          <w:bCs/>
          <w:color w:val="000000"/>
          <w:lang w:eastAsia="ar-SA" w:bidi="lt-LT"/>
        </w:rPr>
        <w:t>V. U. 1</w:t>
      </w:r>
      <w:r w:rsidRPr="00C00255">
        <w:rPr>
          <w:bCs/>
          <w:color w:val="000000"/>
          <w:lang w:eastAsia="ar-SA" w:bidi="lt-LT"/>
        </w:rPr>
        <w:t xml:space="preserve"> dalyvavimo planuojant karinę operaciją, jau minėjo, kad </w:t>
      </w:r>
      <w:r>
        <w:rPr>
          <w:bCs/>
          <w:color w:val="000000"/>
          <w:lang w:eastAsia="ar-SA" w:bidi="lt-LT"/>
        </w:rPr>
        <w:t>V. U. 1</w:t>
      </w:r>
      <w:r w:rsidRPr="00C00255">
        <w:rPr>
          <w:bCs/>
          <w:color w:val="000000"/>
          <w:lang w:eastAsia="ar-SA" w:bidi="lt-LT"/>
        </w:rPr>
        <w:t xml:space="preserve"> buvo vadovavimo karinei operacijai štabo nariu, kuris planavo karinę operaciją, priėmė sprendimus dėl atskirų, strateginę svarbą turinčių objektų užėmimo, siekiant gražinti Lietuvą į TSRS sudėtį, parinko šiai operacijai reikalingus kariškius ir koordinavo jų veiksmus operacijos metu. Šioje dalyje teismas jau minėjo nuteistojo </w:t>
      </w:r>
      <w:r>
        <w:t>V. U. 1</w:t>
      </w:r>
      <w:r w:rsidRPr="00C00255">
        <w:t xml:space="preserve"> pasirašyto 1991 m. sausio 15 d. įsakymo Nr. 3 turinį, kuriame, be kita ko, nurodyta, kad Lietuvos nacionalinio gelbėjimo komitetas kreipėsi, prašydamas padėti darbininkų draugovėms perimti radijo ir televizijos kontrolę ir taip nutraukti jų provokacinę veiklą. Be to, minėtame įsakyme nurodoma, kad pats </w:t>
      </w:r>
      <w:r>
        <w:t>V. U. 1</w:t>
      </w:r>
      <w:r w:rsidRPr="00C00255">
        <w:t>, vadovaudamasis TSRS ginkluotųjų pajėgų vidaus tarnybos statuto 43 ir 52 straipsniais bei TSRS ginkluotųjų pajėgų įgulos tarnybos ir sargybų tarnybų statuto 19, 28 straipsniais, nusprendė išskirti įgulos padalinius darbininkų draugovėms tvarkai prie telecentro palaikyti (įsakyme nurodoma: „aš nutariau skirti kai kurių įgulos dalinių etatinius kariškius darbininkų draugovėms padėti įvesti tvarką &lt;...&gt;“)</w:t>
      </w:r>
      <w:r w:rsidRPr="00C00255">
        <w:rPr>
          <w:rFonts w:eastAsia="Calibri"/>
        </w:rPr>
        <w:t xml:space="preserve">. Įsakyme pasisakoma apie jo vadovautos įgulos dalinių veikimo Sausio 13-osios naktį, padedant darbininkų draugovėms, teisėtumą </w:t>
      </w:r>
      <w:r w:rsidRPr="00C00255">
        <w:t>(t. 203, b. l. 63–81)</w:t>
      </w:r>
      <w:r w:rsidRPr="00C00255">
        <w:rPr>
          <w:rFonts w:eastAsia="Calibri"/>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color w:val="000000"/>
        </w:rPr>
        <w:t xml:space="preserve">Byloje esančioje specialisto J. Andriškevičiaus išvadoje nurodoma, kad apžiūrint įvykio vietą prie TV bokšto buvo rasta TV bokšto užėmimo schema, kuri buvo parengta TSRS kariškių, remiantis TSRS sausumos pajėgose galiojusiais statutais ir sutartiniais ženklais (t. 480, b. l. 46; schema </w:t>
      </w:r>
      <w:r w:rsidRPr="00C00255">
        <w:rPr>
          <w:szCs w:val="24"/>
          <w:lang w:eastAsia="lt-LT"/>
        </w:rPr>
        <w:t>(t. 492, b. l. 7)</w:t>
      </w:r>
      <w:r w:rsidRPr="00C00255">
        <w:rPr>
          <w:color w:val="000000"/>
        </w:rPr>
        <w:t xml:space="preserve">. Be to, </w:t>
      </w:r>
      <w:r w:rsidRPr="00C00255">
        <w:t xml:space="preserve">apie pasirengimą TV bokšto užėmimo operacijai ir atitinkamų žemėlapių rengimą matyti ir iš teisiamajame posėdyje paskelbtų liudytojo </w:t>
      </w:r>
      <w:r>
        <w:t>M. P.</w:t>
      </w:r>
      <w:r w:rsidRPr="00C00255">
        <w:t xml:space="preserve">, </w:t>
      </w:r>
      <w:r w:rsidRPr="00B024B9">
        <w:rPr>
          <w:rFonts w:eastAsia="Calibri"/>
        </w:rPr>
        <w:t>1991 m. tarnavusio TSRS kariuomenės Pskovo pulke,</w:t>
      </w:r>
      <w:r w:rsidRPr="00B024B9">
        <w:t xml:space="preserve"> </w:t>
      </w:r>
      <w:r w:rsidRPr="00C00255">
        <w:t xml:space="preserve">parodymų, duotų teisiamajame posėdyje </w:t>
      </w:r>
      <w:r>
        <w:t>M. B.</w:t>
      </w:r>
      <w:r w:rsidRPr="00C00255">
        <w:t xml:space="preserve">, </w:t>
      </w:r>
      <w:r>
        <w:t>J. K.</w:t>
      </w:r>
      <w:r w:rsidRPr="00C00255">
        <w:t xml:space="preserve"> ir kt. byloje (t. 374, b. l. 62–64). </w:t>
      </w:r>
      <w:r w:rsidRPr="00C00255">
        <w:rPr>
          <w:color w:val="000000"/>
        </w:rPr>
        <w:t xml:space="preserve">Šis liudytojas, kaip karinių pajėgų ekspertas, būdamas Rusijos Federacijoje veikusios parlamentinės komisijos dėl valstybinio perversmo narys, susipažinęs su šios komisijos tyrimui pateiktais dokumentais, rado ir dokumentus apie 1991 m. Vilniaus įvykius. Tarp jų matė ir Vilniaus miesto žemėlapį, kuriame buvo pažymėti objektai: Aukščiausioji Taryba, LRT, TV bokštas, Sąjūdžio būstinė. Pagal karinės topografijos taisykles šie objektai buvo pažymėti mėlynai, kaip priešo objektai. Žemėlapis buvo sudarytas Vilniaus įgulos komendanto, t. y. </w:t>
      </w:r>
      <w:r>
        <w:rPr>
          <w:color w:val="000000"/>
        </w:rPr>
        <w:t>V. U. 1</w:t>
      </w:r>
      <w:r w:rsidRPr="00C00255">
        <w:rPr>
          <w:color w:val="000000"/>
        </w:rPr>
        <w:t xml:space="preserve">. Tai, kad šį žemėlapį sudarė Vilniaus įgulos komendantas, buvo aišku iš rekvizitų, kiek liudytojas pamena, buvo net ir antspaudas </w:t>
      </w:r>
      <w:r w:rsidRPr="00C00255">
        <w:t>(t. 374, b. l. 62–64).</w:t>
      </w:r>
    </w:p>
    <w:p w:rsidR="00DA38E9" w:rsidRPr="00B822BF" w:rsidRDefault="00DA38E9" w:rsidP="00DA38E9">
      <w:pPr>
        <w:pStyle w:val="ListParagraph"/>
        <w:numPr>
          <w:ilvl w:val="0"/>
          <w:numId w:val="6"/>
        </w:numPr>
        <w:spacing w:before="120" w:after="120"/>
        <w:ind w:left="992" w:hanging="992"/>
        <w:contextualSpacing w:val="0"/>
      </w:pPr>
      <w:r w:rsidRPr="000E2C88">
        <w:rPr>
          <w:rFonts w:eastAsia="Calibri"/>
        </w:rPr>
        <w:t>Šiame sprendime teismas jau pasisakė ir apie tai, kad 1991 m. sausio 11 d. vykusio Spaudos rūmų šturmo metu vadovavimo operacijai štabo nariai, net ir nebūdami prie Spaudos rūmų, nuolat palaikė ryšį su tiesiogiai operacijoje dalyvavusiais kariškiais, o tuo metu, kai operacijos eiga įstrigo, vadovavimo operacijai štabas operatyviai reagavo į situaciją ir pasiuntė kariškių pastiprinimą iš V. U. 1 vadovautai divizijai priklausiusio tankų pulko. Byloje surinkti įrodymai leidžia daryti abejonių nekeliančią išvadą, kad panašiai operacijai buvo vadovaujama ir kariškių bendri veiksmai koordinuojami iš Šiaurės miestelyje įsikūrusio štabo ir TV bokšto šturmo metu</w:t>
      </w:r>
      <w:r w:rsidRPr="00B822BF">
        <w:rPr>
          <w:rFonts w:eastAsia="Calibri"/>
        </w:rPr>
        <w:t>.</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Jau minėtoje specialisto išvadoje konstatuota, kad TSRS GM 107-osios motorizuotų šaulių divizijos veiksmus prie TV bokšto koordinavo bei užduotį užimti šį objektą ir maršrutą iki jo nurodė ne kas kitas, o būtent </w:t>
      </w:r>
      <w:r>
        <w:rPr>
          <w:lang w:eastAsia="lt-LT"/>
        </w:rPr>
        <w:t>V. U. 1</w:t>
      </w:r>
      <w:r w:rsidRPr="00C00255">
        <w:rPr>
          <w:lang w:eastAsia="lt-LT"/>
        </w:rPr>
        <w:t xml:space="preserve"> </w:t>
      </w:r>
      <w:r w:rsidRPr="00C00255">
        <w:rPr>
          <w:szCs w:val="24"/>
          <w:lang w:eastAsia="lt-LT"/>
        </w:rPr>
        <w:t>(t. 480, b. l. 64, 75). B</w:t>
      </w:r>
      <w:r w:rsidRPr="00C00255">
        <w:rPr>
          <w:lang w:eastAsia="lt-LT"/>
        </w:rPr>
        <w:t xml:space="preserve">yloje yra ir 1991 m. vasario 15 d. </w:t>
      </w:r>
      <w:r>
        <w:rPr>
          <w:lang w:eastAsia="lt-LT"/>
        </w:rPr>
        <w:t>I. K.</w:t>
      </w:r>
      <w:r w:rsidRPr="00C00255">
        <w:rPr>
          <w:lang w:eastAsia="lt-LT"/>
        </w:rPr>
        <w:t xml:space="preserve"> paaiškinimas, kuriame nurodoma, kad, remiantis generolų </w:t>
      </w:r>
      <w:r>
        <w:rPr>
          <w:lang w:eastAsia="lt-LT"/>
        </w:rPr>
        <w:t>V. U. 1</w:t>
      </w:r>
      <w:r w:rsidRPr="00C00255">
        <w:rPr>
          <w:lang w:eastAsia="lt-LT"/>
        </w:rPr>
        <w:t xml:space="preserve"> ir </w:t>
      </w:r>
      <w:r>
        <w:rPr>
          <w:lang w:eastAsia="lt-LT"/>
        </w:rPr>
        <w:t>V. O.</w:t>
      </w:r>
      <w:r w:rsidRPr="00C00255">
        <w:rPr>
          <w:lang w:eastAsia="lt-LT"/>
        </w:rPr>
        <w:t xml:space="preserve"> žodiniu įsakymu, dalinio štabas parengė dvi TV bokšto ir LRT apsaugos schemas, kurios buvo paliktos generolo </w:t>
      </w:r>
      <w:r>
        <w:rPr>
          <w:lang w:eastAsia="lt-LT"/>
        </w:rPr>
        <w:t>V. U. 1</w:t>
      </w:r>
      <w:r w:rsidRPr="00C00255">
        <w:rPr>
          <w:lang w:eastAsia="lt-LT"/>
        </w:rPr>
        <w:t xml:space="preserve"> operatyvinėje grupėje (t. 429, b. l. 115; t. 116, b. l. 150). Pažymėtina, kad tokias išvadas patvirtino ir teisiamajame posėdyje apklausti liudytojai. Tuometinis TSRS GM 107-osios motorizuotų šaulių divizijos vado pavaduotojas ginkluotei liudytojas </w:t>
      </w:r>
      <w:r>
        <w:rPr>
          <w:lang w:eastAsia="lt-LT"/>
        </w:rPr>
        <w:t>A. K.</w:t>
      </w:r>
      <w:r w:rsidRPr="00C00255">
        <w:rPr>
          <w:lang w:eastAsia="lt-LT"/>
        </w:rPr>
        <w:t>, be kita ko, patvirtino dar ikiteisminio tyrimo metu duotus parodymus apie tai, kad 199</w:t>
      </w:r>
      <w:r w:rsidRPr="00C00255">
        <w:rPr>
          <w:szCs w:val="24"/>
        </w:rPr>
        <w:t xml:space="preserve">1 m. sausio 12 d. galimai į diviziją Vilniuje atvyko aukšto rango pareigūnai. Įvyko taktinės klasės susirinkimas, į kurį buvo sukviesti visi divizijos štabo karininkai ir divizijos atskirų padalinių vadai. Po šio susitikimo </w:t>
      </w:r>
      <w:r>
        <w:rPr>
          <w:szCs w:val="24"/>
        </w:rPr>
        <w:t>A. K.</w:t>
      </w:r>
      <w:r w:rsidRPr="00C00255">
        <w:rPr>
          <w:szCs w:val="24"/>
        </w:rPr>
        <w:t xml:space="preserve"> gavo divizijos vado </w:t>
      </w:r>
      <w:r>
        <w:rPr>
          <w:szCs w:val="24"/>
        </w:rPr>
        <w:t>V. U. 1</w:t>
      </w:r>
      <w:r w:rsidRPr="00C00255">
        <w:rPr>
          <w:szCs w:val="24"/>
        </w:rPr>
        <w:t xml:space="preserve"> įsakymą užtikrinti, kad iš nuimtų iš konservavimo tankų T–72 būtų išimti koviniai užtaisai, o juose būtų palikti tušti (</w:t>
      </w:r>
      <w:r w:rsidRPr="00C00255">
        <w:rPr>
          <w:szCs w:val="24"/>
          <w:lang w:eastAsia="lt-LT"/>
        </w:rPr>
        <w:t>t. </w:t>
      </w:r>
      <w:r w:rsidRPr="00C00255">
        <w:rPr>
          <w:szCs w:val="24"/>
        </w:rPr>
        <w:t>757, b. l. 91–95; t. 474, b. l. 18</w:t>
      </w:r>
      <w:r w:rsidRPr="00C00255">
        <w:rPr>
          <w:lang w:eastAsia="lt-LT"/>
        </w:rPr>
        <w:t>0–181). Liudytojas V. V</w:t>
      </w:r>
      <w:r>
        <w:rPr>
          <w:lang w:eastAsia="lt-LT"/>
        </w:rPr>
        <w:t>.</w:t>
      </w:r>
      <w:r w:rsidRPr="00C00255">
        <w:rPr>
          <w:lang w:eastAsia="lt-LT"/>
        </w:rPr>
        <w:t xml:space="preserve"> teisme nurodė, kad </w:t>
      </w:r>
      <w:r>
        <w:rPr>
          <w:lang w:eastAsia="lt-LT"/>
        </w:rPr>
        <w:t>V. U. 1</w:t>
      </w:r>
      <w:r w:rsidRPr="00C00255">
        <w:rPr>
          <w:lang w:eastAsia="lt-LT"/>
        </w:rPr>
        <w:t xml:space="preserve"> davė įsakymą karinei technikai judėti prie objektų sausio 13-osios naktį, o pačiam </w:t>
      </w:r>
      <w:r>
        <w:rPr>
          <w:lang w:eastAsia="lt-LT"/>
        </w:rPr>
        <w:t>V. U. 1</w:t>
      </w:r>
      <w:r w:rsidRPr="00C00255">
        <w:rPr>
          <w:lang w:eastAsia="lt-LT"/>
        </w:rPr>
        <w:t xml:space="preserve"> toks įsakymas buvo duotas aukštesnių karininkų (apie atsakomybę už įsakymo vykdymą teisėjų kolegija dar pasisakys aptardama teismo išvadas dėl byloje nustatytų faktinių aplinkybių teisinio vertinimo). Pasak liudytojo V.</w:t>
      </w:r>
      <w:r>
        <w:rPr>
          <w:lang w:eastAsia="lt-LT"/>
        </w:rPr>
        <w:t> </w:t>
      </w:r>
      <w:r w:rsidRPr="00C00255">
        <w:rPr>
          <w:lang w:eastAsia="lt-LT"/>
        </w:rPr>
        <w:t>V</w:t>
      </w:r>
      <w:r>
        <w:rPr>
          <w:lang w:eastAsia="lt-LT"/>
        </w:rPr>
        <w:t>.</w:t>
      </w:r>
      <w:r w:rsidRPr="00C00255">
        <w:rPr>
          <w:lang w:eastAsia="lt-LT"/>
        </w:rPr>
        <w:t xml:space="preserve">, </w:t>
      </w:r>
      <w:r>
        <w:rPr>
          <w:lang w:eastAsia="lt-LT"/>
        </w:rPr>
        <w:t>V. U. 1</w:t>
      </w:r>
      <w:r w:rsidRPr="00C00255">
        <w:rPr>
          <w:lang w:eastAsia="lt-LT"/>
        </w:rPr>
        <w:t xml:space="preserve"> prisiėmė atsakomybę dėl vadovavimo kariškių veiksmams, o tai, kad tankuose nebuvo</w:t>
      </w:r>
      <w:r w:rsidRPr="00C00255">
        <w:rPr>
          <w:rFonts w:asciiTheme="minorHAnsi" w:eastAsiaTheme="minorHAnsi" w:hAnsiTheme="minorHAnsi" w:cstheme="minorBidi"/>
          <w:sz w:val="22"/>
          <w:szCs w:val="22"/>
          <w:lang w:eastAsia="lt-LT"/>
        </w:rPr>
        <w:t xml:space="preserve"> </w:t>
      </w:r>
      <w:r w:rsidRPr="00C00255">
        <w:rPr>
          <w:lang w:eastAsia="lt-LT"/>
        </w:rPr>
        <w:t xml:space="preserve">kovinės amunicijos, yra būtent </w:t>
      </w:r>
      <w:r>
        <w:rPr>
          <w:lang w:eastAsia="lt-LT"/>
        </w:rPr>
        <w:t>V. U. 1</w:t>
      </w:r>
      <w:r w:rsidRPr="00C00255">
        <w:rPr>
          <w:lang w:eastAsia="lt-LT"/>
        </w:rPr>
        <w:t xml:space="preserve"> nuopelnas (t. 757, b. l. 81–84).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Nuteistojo </w:t>
      </w:r>
      <w:r>
        <w:rPr>
          <w:lang w:eastAsia="lt-LT"/>
        </w:rPr>
        <w:t>V. U. 1</w:t>
      </w:r>
      <w:r w:rsidRPr="00C00255">
        <w:rPr>
          <w:lang w:eastAsia="lt-LT"/>
        </w:rPr>
        <w:t xml:space="preserve"> gynėjas neneigia, kad jo ginamasis davė atskirus įsakymus jo vadovaujamiems kariškiams dar prieš prasidedant operacijai, tačiau, jo įsitikinimu, </w:t>
      </w:r>
      <w:r w:rsidRPr="00C00255">
        <w:rPr>
          <w:rFonts w:eastAsia="Calibri"/>
          <w:szCs w:val="24"/>
        </w:rPr>
        <w:t>TSRS GM</w:t>
      </w:r>
      <w:r w:rsidRPr="00C00255">
        <w:rPr>
          <w:lang w:eastAsia="lt-LT"/>
        </w:rPr>
        <w:t xml:space="preserve"> 107-osios divizijos tankams išvažiavus iš karinio miestelio, tankų ekipažų nariai perėjo TSRS GM pavaduotojo ir TSRS GM Oro desanto pajėgų vado </w:t>
      </w:r>
      <w:r>
        <w:rPr>
          <w:lang w:eastAsia="lt-LT"/>
        </w:rPr>
        <w:t>V. A.</w:t>
      </w:r>
      <w:r w:rsidRPr="00C00255">
        <w:rPr>
          <w:lang w:eastAsia="lt-LT"/>
        </w:rPr>
        <w:t xml:space="preserve"> žinion ir pavaldumui. </w:t>
      </w:r>
    </w:p>
    <w:p w:rsidR="00DA38E9" w:rsidRPr="00B822BF" w:rsidRDefault="00DA38E9" w:rsidP="00DA38E9">
      <w:pPr>
        <w:pStyle w:val="ListParagraph"/>
        <w:numPr>
          <w:ilvl w:val="0"/>
          <w:numId w:val="6"/>
        </w:numPr>
        <w:spacing w:before="120" w:after="120"/>
        <w:ind w:left="992" w:hanging="992"/>
        <w:contextualSpacing w:val="0"/>
      </w:pPr>
      <w:r w:rsidRPr="000E2C88">
        <w:t>Tokių teiginių kontekste teisėjų kolegija pažymi, kad nepaisant byloje esančių duomenų apie aukštesnių karininkų nei V. U. 1 dalyvavimą karinės operacijos štabo veikloje, kurie kartu atstovavo ir aukščiausią TSRS politinę valdžią, bei kontroliavo karinę operaciją koordinuojančių kariškių veiksmus, skundžiamu nuosprendžiu pagrįstai konstatuota, kad „</w:t>
      </w:r>
      <w:r w:rsidRPr="000E2C88">
        <w:rPr>
          <w:rFonts w:eastAsia="Calibri"/>
        </w:rPr>
        <w:t>TSRS VSK specialios paskirties grupės „A“, 76-osios oro desanto divizijos, 107-osios motorizuotų šaulių divizijos ir 42-osios divizijos kariškių, dalyvaujančių užimant objektus, bendrus veiksmus koordinavo grupės vado pavaduotojas kaltinamasis M. G., 76-osios oro desanto divizijos vado pavaduotojas kaltinamasis V. K. 1, 107-osios motorizuotų šaulių divizijos vadas kaltinamasis V. U. 1, 42-osios divizijos vadas kaltinamasis A. Ž.“, o jų veiksmus kontroliavo kiti vadovavimo karinei operacijai štabo nariai (nuosprendžio 15 l.). Pažymėtina, kad karinė operacija nebuvo vykdoma stichiškai, ir dar jos parengimo metu buvo suplanuota, kas koordinuos bendrus visų skirtingų karinių dalinių kariškių veiksmus, greta štabe buvusių aukščiausių karininkų</w:t>
      </w:r>
      <w:r w:rsidRPr="00B822BF">
        <w:rPr>
          <w:rFonts w:eastAsia="Calibri"/>
        </w:rPr>
        <w:t>.</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Kaip minėta, apie </w:t>
      </w:r>
      <w:r>
        <w:rPr>
          <w:lang w:eastAsia="lt-LT"/>
        </w:rPr>
        <w:t>V. U. 1</w:t>
      </w:r>
      <w:r w:rsidRPr="00C00255">
        <w:rPr>
          <w:lang w:eastAsia="lt-LT"/>
        </w:rPr>
        <w:t xml:space="preserve"> koordinacinius veiksmus užimant TV bokštą nurodyta 2014 m. birželio 10 d. specialisto išvadoje. Be to, ir kiti bylos duomenys, besijungiantys į nuoseklią grandinę, rodo, kad </w:t>
      </w:r>
      <w:r>
        <w:rPr>
          <w:lang w:eastAsia="lt-LT"/>
        </w:rPr>
        <w:t>V. U. 1</w:t>
      </w:r>
      <w:r w:rsidRPr="00C00255">
        <w:rPr>
          <w:lang w:eastAsia="lt-LT"/>
        </w:rPr>
        <w:t xml:space="preserve"> savo divizijos kariškių veiksmus sausio 13-osios naktį koordinavo radijo ryšio pagalba.</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0E2C88">
        <w:rPr>
          <w:rFonts w:eastAsia="Calibri"/>
        </w:rPr>
        <w:t xml:space="preserve">Antai, teisiamajame posėdyje apklaustas </w:t>
      </w:r>
      <w:r w:rsidRPr="000E2C88">
        <w:t xml:space="preserve">liudytojas A. Š., analizuojamų įvykių metu buvęs Vilniuje dislokuotos TSRS GM 107-osios divizijos štabo kariškis ir </w:t>
      </w:r>
      <w:r w:rsidRPr="000E2C88">
        <w:rPr>
          <w:lang w:eastAsia="lt-LT"/>
        </w:rPr>
        <w:t xml:space="preserve">radioelektrikos inžinierius, nurodė, kad </w:t>
      </w:r>
      <w:r w:rsidRPr="000E2C88">
        <w:rPr>
          <w:szCs w:val="24"/>
          <w:lang w:eastAsia="lt-LT"/>
        </w:rPr>
        <w:t>tiek V. U. 1 kabinete, kurį jis perleido V. V. ir V. A., tiek divizijos štabo viršininko kabinete, į kurį V. U. 1 persikėlė minėtiems asmenims atvykus į Vilnių, buvo įrengtas radijo ryšys. Be to, šis liudytojas patvirtino, kad nepaisant minėtų aukšto rango pareigūnų atvykimo į diviziją, V. U. 1 toliau aktyviai ir betarpiškai vadovavo divizijai bei bendravo su kitų TV bokšto užėmime dalyvavusių kariškių grupių atstovais. Liudytojas nurodė, kad įvykių dieną ir naktį buvo dažnai skambinama ir teiraujamasi, ar V. U. 1 bei kiti kariškiai yra vietoje. Karininkai komandas gaudavo tiesiogiai iš V. U. 1, o jiems, kaip būdintiems, V. U. 1 duodavo nurodymą pakviesti reikiamą karininką, ką jie ir darydavo (</w:t>
      </w:r>
      <w:r w:rsidRPr="000E2C88">
        <w:rPr>
          <w:lang w:eastAsia="lt-LT"/>
        </w:rPr>
        <w:t xml:space="preserve">t. 757, b. l. 123–127; </w:t>
      </w:r>
      <w:r w:rsidRPr="000E2C88">
        <w:rPr>
          <w:szCs w:val="24"/>
          <w:lang w:eastAsia="lt-LT"/>
        </w:rPr>
        <w:t>t. 474, b. l. 198–208</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Teismas, analizuodamas Spaudos rūmų užėmimo aplinkybes, jau aptarė byloje surinktus įrodymus apie kariškių naudotus šaukinius ir tankų naudotus šaukinius „Bronia“ su skaičiumi, atitinkančiu tanko numerį. Teismas jau pasisakė ir apie tankų pulko vado naudotą šaukinį „Bronia-02“ bei </w:t>
      </w:r>
      <w:r>
        <w:rPr>
          <w:lang w:eastAsia="lt-LT"/>
        </w:rPr>
        <w:t>V. U. 1</w:t>
      </w:r>
      <w:r w:rsidRPr="00C00255">
        <w:rPr>
          <w:lang w:eastAsia="lt-LT"/>
        </w:rPr>
        <w:t xml:space="preserve"> naudotą šaukinį „Zenit-22“ (šio sprendimo 312 pastraipa). Lietuvos teismo ekspertizės centro (toliau – LTEC) specialistams dar ikiteisminio tyrimo metu buvo pateikti tirti 1991 m. sausio 12–13 d. naktį užfiksuoti TSRS kariškių pokalbiai radijo ryšiu. LTEC specialistai, atlikę jiems pateiktų garso įrašų ir kariškio, kuris naudojosi šaukiniu „Zenit-22“, balso tyrimą, pateikė 2012 m. liepos 27 d. išvadą Nr. 11–697(12), kurioje nurodė, kad tikėtina, kad garso įraše yra užfiksuotas </w:t>
      </w:r>
      <w:r>
        <w:rPr>
          <w:lang w:eastAsia="lt-LT"/>
        </w:rPr>
        <w:t>V. U. 1</w:t>
      </w:r>
      <w:r w:rsidRPr="00C00255">
        <w:rPr>
          <w:lang w:eastAsia="lt-LT"/>
        </w:rPr>
        <w:t xml:space="preserve"> balsas (t. 486, b. l. 67–79, 80–164). Iš tokios išvados ir jos priede esančių garso įrašų matyti, kad, priešingai nei teigia nuteistojo </w:t>
      </w:r>
      <w:r>
        <w:rPr>
          <w:lang w:eastAsia="lt-LT"/>
        </w:rPr>
        <w:t>V. U. 1</w:t>
      </w:r>
      <w:r w:rsidRPr="00C00255">
        <w:rPr>
          <w:lang w:eastAsia="lt-LT"/>
        </w:rPr>
        <w:t xml:space="preserve"> gynėjas, tankų pulko vadas </w:t>
      </w:r>
      <w:r>
        <w:rPr>
          <w:lang w:eastAsia="lt-LT"/>
        </w:rPr>
        <w:t>N. A.</w:t>
      </w:r>
      <w:r w:rsidRPr="00C00255">
        <w:rPr>
          <w:lang w:eastAsia="lt-LT"/>
        </w:rPr>
        <w:t xml:space="preserve"> ir išvykęs prie TV bokšto savo veiksmus derino su tiesioginiu savo vadu </w:t>
      </w:r>
      <w:r>
        <w:rPr>
          <w:lang w:eastAsia="lt-LT"/>
        </w:rPr>
        <w:t>V. U. 1</w:t>
      </w:r>
      <w:r w:rsidRPr="00C00255">
        <w:rPr>
          <w:lang w:eastAsia="lt-LT"/>
        </w:rPr>
        <w:t>, o pastarasis operacijos eigoje bendravo ir su kitais kariškiais (t. 486, b. l. 80–96; t. 486, b. l. 97–115).</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Minėti liudytojo A.</w:t>
      </w:r>
      <w:r>
        <w:rPr>
          <w:szCs w:val="24"/>
          <w:lang w:eastAsia="lt-LT"/>
        </w:rPr>
        <w:t> </w:t>
      </w:r>
      <w:r w:rsidRPr="00C00255">
        <w:rPr>
          <w:szCs w:val="24"/>
          <w:lang w:eastAsia="lt-LT"/>
        </w:rPr>
        <w:t>Š</w:t>
      </w:r>
      <w:r>
        <w:rPr>
          <w:szCs w:val="24"/>
          <w:lang w:eastAsia="lt-LT"/>
        </w:rPr>
        <w:t>.</w:t>
      </w:r>
      <w:r w:rsidRPr="00C00255">
        <w:rPr>
          <w:szCs w:val="24"/>
          <w:lang w:eastAsia="lt-LT"/>
        </w:rPr>
        <w:t xml:space="preserve"> parodymai, pokalbius tyrusių specialistų išvados, kariškių pokalbiai radijo ryšiu, vertinant ir kitus byloje surinktus duomenis apie kariškių pokalbius radijo ryšiu, specialisto J. Andriškevičiaus išvada apie operacijos eigą, ją planavusius ir koordinavusius asmenis ir kt. leidžia daryti abejonių nekeliančią išvadą, kad </w:t>
      </w:r>
      <w:r>
        <w:rPr>
          <w:szCs w:val="24"/>
          <w:lang w:eastAsia="lt-LT"/>
        </w:rPr>
        <w:t>V. U. 1</w:t>
      </w:r>
      <w:r w:rsidRPr="00C00255">
        <w:rPr>
          <w:szCs w:val="24"/>
          <w:lang w:eastAsia="lt-LT"/>
        </w:rPr>
        <w:t xml:space="preserve"> 1991 m. sausio 13-osios naktį, pasinaudodamas radijo ryšiu, vadovavo TSRS GM 107-osios motorizuotų šaulių divizijos karių veiksmams ir kartu su kitais vadovavimo štabo paskirtais kariškiais koordinavo bendrus TSRS kariškių veiksmus operacijos metu.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Tokios teismo išvados iš dalies patvirtina prokurorų apeliaciniame skunde nurodytus argumentus dėl pirmosios instancijos teismo nuosprendžio nustatomojoje dalyje, aprašant TV</w:t>
      </w:r>
      <w:r>
        <w:rPr>
          <w:szCs w:val="24"/>
          <w:lang w:eastAsia="lt-LT"/>
        </w:rPr>
        <w:t> </w:t>
      </w:r>
      <w:r w:rsidRPr="00C00255">
        <w:rPr>
          <w:szCs w:val="24"/>
          <w:lang w:eastAsia="lt-LT"/>
        </w:rPr>
        <w:t xml:space="preserve">bokšto užėmimo aplinkybes, nenurodytų aplinkybių, kad vadovavimo štabe esantys aukščiausio rango kariškiai, kurie buvo ir atskirų operacijoje dalyvaujančių dalinių vadai, net ir nebūdami tarp tiesiogiai TV bokštą užimančių ir jį šturmuojančių kariškių, pastariesiems buvo įsakę </w:t>
      </w:r>
      <w:r w:rsidRPr="00C00255">
        <w:rPr>
          <w:iCs/>
          <w:lang w:eastAsia="ar-SA" w:bidi="lt-LT"/>
        </w:rPr>
        <w:t>informuoti vadovavimo štabą apie karinės operacijos eigą ir rezultatus.</w:t>
      </w:r>
      <w:r w:rsidRPr="00C00255">
        <w:rPr>
          <w:szCs w:val="24"/>
          <w:lang w:eastAsia="lt-LT"/>
        </w:rPr>
        <w:t xml:space="preserve"> Iš kaltinamojo akto matyti, kad šios aplinkybės buvo inkriminuotos ir nurodytos kaip bendros tiek dėl TV bokšto, tiek dėl LRT užėmimo. Skundžiamame nuosprendyje nusikalstamos veikos aprašymą išdėstant atskirai dėl kiekvieno užimamo objekto ar atskirų nuteistųjų atliktų veiksmų, be to, sukeitus vietomis LRT ir TV bokšto užėmimo epizodus, tai buvo nurodyta tik nuosprendžio dalyje dėl LRT užėmimo (žr. nuosprendžio dalies „</w:t>
      </w:r>
      <w:r w:rsidRPr="00C00255">
        <w:rPr>
          <w:i/>
          <w:iCs/>
          <w:szCs w:val="24"/>
          <w:lang w:eastAsia="lt-LT"/>
        </w:rPr>
        <w:t>Radijo ir televizijos komiteto (LRT) užgrobimas</w:t>
      </w:r>
      <w:r w:rsidRPr="00C00255">
        <w:rPr>
          <w:szCs w:val="24"/>
          <w:lang w:eastAsia="lt-LT"/>
        </w:rPr>
        <w:t xml:space="preserve">“ pirmąją pastraipą (nuosprendžio 514 l.)). Skundžiamą nuosprendį vertinant kaip vientisą dokumentą, akivaizdu, kad prokurorų prašomos aplinkybės buvo nustatytos, tik jos išdėstytos ydingai, atsižvelgiant į tai nuosprendžio nustatomoji dalis tikslintina, nurodant, jog šie veiksmai buvo atlikti ir TV bokšto užėmimo metu.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Nuteistojo </w:t>
      </w:r>
      <w:r>
        <w:rPr>
          <w:color w:val="000000"/>
          <w:szCs w:val="24"/>
          <w:lang w:eastAsia="lt-LT" w:bidi="lt-LT"/>
        </w:rPr>
        <w:t>V. U. 1</w:t>
      </w:r>
      <w:r w:rsidRPr="00C00255">
        <w:rPr>
          <w:color w:val="000000"/>
          <w:szCs w:val="24"/>
          <w:lang w:eastAsia="lt-LT" w:bidi="lt-LT"/>
        </w:rPr>
        <w:t xml:space="preserve"> gynėjas apeliaciniame skunde, be kita ko, nurodo ir tai, kad operacijos metu jo ginamojo vadovaujama </w:t>
      </w:r>
      <w:r w:rsidRPr="00C00255">
        <w:rPr>
          <w:szCs w:val="24"/>
        </w:rPr>
        <w:t xml:space="preserve">divizija tik palaikė desantininkus, kurie turėjo užimti TV bokštą, kad </w:t>
      </w:r>
      <w:r>
        <w:rPr>
          <w:szCs w:val="24"/>
        </w:rPr>
        <w:t>V. U. 1</w:t>
      </w:r>
      <w:r w:rsidRPr="00C00255">
        <w:rPr>
          <w:szCs w:val="24"/>
        </w:rPr>
        <w:t xml:space="preserve"> padarė viską, kad nebūtų pralietas kraujas, ir nedavė įsakymų panaudoti ginklų, </w:t>
      </w:r>
      <w:r w:rsidRPr="00C00255">
        <w:rPr>
          <w:color w:val="000000"/>
          <w:szCs w:val="24"/>
          <w:lang w:eastAsia="lt-LT" w:bidi="lt-LT"/>
        </w:rPr>
        <w:t xml:space="preserve">tankai prie TV bokšto </w:t>
      </w:r>
      <w:r w:rsidRPr="00C00255">
        <w:rPr>
          <w:szCs w:val="24"/>
        </w:rPr>
        <w:t xml:space="preserve">ant žmonių nevažiavo ir tyčia nieko nenužudė, jie šaudė maksimaliai į viršų tuščiais šoviniais.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Teisėjų kolegija jau pasisakė apie tankų šūviais tuščiais užtaisais prie TV bokšto padarytas traumas daugybei žmonių ir jų pavojingumą nepaisant tankų pabūklų pakėlimo. Šie užtaisai, be kita ko, buvo panaudoti ir užimant Spaudos rūmus 1991 m. sausio 11 d., tad prie TV bokšto jie buvo panaudoti pakartotinai ir jų buvo daugiau, tad neabejotinai žinant apie jų pavojingumą civiliams. </w:t>
      </w:r>
      <w:r>
        <w:rPr>
          <w:color w:val="000000"/>
          <w:szCs w:val="24"/>
          <w:lang w:eastAsia="lt-LT" w:bidi="lt-LT"/>
        </w:rPr>
        <w:t>V. U. 1</w:t>
      </w:r>
      <w:r w:rsidRPr="00C00255">
        <w:rPr>
          <w:color w:val="000000"/>
          <w:szCs w:val="24"/>
          <w:lang w:eastAsia="lt-LT" w:bidi="lt-LT"/>
        </w:rPr>
        <w:t xml:space="preserve"> žinojo ir apie 1991 m. sausio 13 d. prie planuojamų užimti objektų, tarp jų ir prie TV bokšto, buvusių civilių daugiatūkstantinį skaičių (apie tokį skaičių kariškiai kalbėjo ir operacijos metu radijo ryšiu), nepaisant to, </w:t>
      </w:r>
      <w:r>
        <w:rPr>
          <w:color w:val="000000"/>
          <w:szCs w:val="24"/>
          <w:lang w:eastAsia="lt-LT" w:bidi="lt-LT"/>
        </w:rPr>
        <w:t>V. U. 1</w:t>
      </w:r>
      <w:r w:rsidRPr="00C00255">
        <w:rPr>
          <w:color w:val="000000"/>
          <w:szCs w:val="24"/>
          <w:lang w:eastAsia="lt-LT" w:bidi="lt-LT"/>
        </w:rPr>
        <w:t xml:space="preserve"> leido naudoti minėtus tankų užtaisus dar kariškiams išvykstant iš Šiaurės miestelio. Teismas jau pasisakė ir apie nukentėjusiesiems padarytus sužalojimus, patirtus dėl pavojingo tankų manevravimo, užvažiavimo ant civilių ir pan. Visi šie sužalojimai buvo padaryti bendroje kariškių operacijoje, kurioje </w:t>
      </w:r>
      <w:r>
        <w:rPr>
          <w:color w:val="000000"/>
          <w:szCs w:val="24"/>
          <w:lang w:eastAsia="lt-LT" w:bidi="lt-LT"/>
        </w:rPr>
        <w:t>V. U. 1</w:t>
      </w:r>
      <w:r w:rsidRPr="00C00255">
        <w:rPr>
          <w:color w:val="000000"/>
          <w:szCs w:val="24"/>
          <w:lang w:eastAsia="lt-LT" w:bidi="lt-LT"/>
        </w:rPr>
        <w:t xml:space="preserve"> iš štabo vadovaujamiems ir koordinuojamiems tankams buvo skirtas itin svarbus vaidmuo, be kita ko, ir atlaisvinti kelią kitiems operacijoje dalyvavusiems kariškiams, kurių veiksmai civilių atžvilgiu buvo ne mažiau brutalūs ir pavojingi.</w:t>
      </w:r>
      <w:r w:rsidRPr="00C00255">
        <w:rPr>
          <w:szCs w:val="24"/>
        </w:rPr>
        <w:t xml:space="preserve"> Atsižvelgiant į visa tai, teisėjų kolegija nuteistojo </w:t>
      </w:r>
      <w:r>
        <w:rPr>
          <w:szCs w:val="24"/>
        </w:rPr>
        <w:t>V. U. 1</w:t>
      </w:r>
      <w:r w:rsidRPr="00C00255">
        <w:rPr>
          <w:szCs w:val="24"/>
        </w:rPr>
        <w:t xml:space="preserve"> gynėjo argumentus vertina kaip siekį bet kokiu būdu, niekuo nepagrįstomis prielaidomis ir selektyviai atrinktais duomenimis, minimizuoti savo ginamojo veiksmus ir taip sušvelninti </w:t>
      </w:r>
      <w:r>
        <w:rPr>
          <w:szCs w:val="24"/>
        </w:rPr>
        <w:t>V. U. 1</w:t>
      </w:r>
      <w:r w:rsidRPr="00C00255">
        <w:rPr>
          <w:szCs w:val="24"/>
        </w:rPr>
        <w:t xml:space="preserve"> teisinę padėtį.</w:t>
      </w:r>
    </w:p>
    <w:p w:rsidR="00DA38E9" w:rsidRPr="00C00255" w:rsidRDefault="00DA38E9" w:rsidP="00DA38E9">
      <w:pPr>
        <w:pStyle w:val="Heading3"/>
        <w:spacing w:before="120" w:after="120"/>
        <w:ind w:left="992"/>
        <w:jc w:val="both"/>
        <w:rPr>
          <w:b w:val="0"/>
          <w:i/>
          <w:sz w:val="24"/>
          <w:szCs w:val="24"/>
          <w:lang w:val="lt-LT"/>
        </w:rPr>
      </w:pPr>
      <w:bookmarkStart w:id="298" w:name="_Toc67480780"/>
      <w:bookmarkStart w:id="299" w:name="_Toc67677392"/>
      <w:bookmarkStart w:id="300" w:name="_Toc67985520"/>
      <w:r w:rsidRPr="00C00255">
        <w:rPr>
          <w:b w:val="0"/>
          <w:i/>
          <w:sz w:val="24"/>
          <w:szCs w:val="24"/>
          <w:lang w:val="lt-LT"/>
        </w:rPr>
        <w:t>Dėl TSRS GM 76-osios oro desanto divizijos kariškių ir joje tarnavusių nuteistųjų dalyvavimo užimant TV bokštą</w:t>
      </w:r>
      <w:bookmarkEnd w:id="298"/>
      <w:bookmarkEnd w:id="299"/>
      <w:bookmarkEnd w:id="300"/>
      <w:r w:rsidRPr="00C00255">
        <w:rPr>
          <w:b w:val="0"/>
          <w:i/>
          <w:sz w:val="24"/>
          <w:szCs w:val="24"/>
          <w:lang w:val="lt-LT"/>
        </w:rPr>
        <w:t xml:space="preserve"> </w:t>
      </w:r>
    </w:p>
    <w:p w:rsidR="00DA38E9" w:rsidRPr="000E2C88" w:rsidRDefault="00DA38E9" w:rsidP="00DA38E9">
      <w:pPr>
        <w:pStyle w:val="ListParagraph"/>
        <w:numPr>
          <w:ilvl w:val="0"/>
          <w:numId w:val="6"/>
        </w:numPr>
        <w:spacing w:before="120" w:after="120"/>
        <w:ind w:left="993" w:hanging="993"/>
        <w:contextualSpacing w:val="0"/>
      </w:pPr>
      <w:r w:rsidRPr="000E2C88">
        <w:t xml:space="preserve">Pirmosios instancijos teismas, vadovaudamasis byloje surinktais įrodymais, be kita ko, konstatavo, kad užimant TV bokštą tiesiogiai šioje operacijoje dalyvavusiems </w:t>
      </w:r>
      <w:r w:rsidRPr="000E2C88">
        <w:rPr>
          <w:rFonts w:eastAsia="Calibri"/>
        </w:rPr>
        <w:t xml:space="preserve">kariniams daliniams vadovavo ir jų veiksmus </w:t>
      </w:r>
      <w:bookmarkStart w:id="301" w:name="_Hlk62723419"/>
      <w:r w:rsidRPr="000E2C88">
        <w:rPr>
          <w:rFonts w:eastAsia="Calibri"/>
        </w:rPr>
        <w:t xml:space="preserve">koordinavo </w:t>
      </w:r>
      <w:bookmarkStart w:id="302" w:name="_Hlk67523436"/>
      <w:r w:rsidRPr="000E2C88">
        <w:rPr>
          <w:rFonts w:eastAsia="Calibri"/>
        </w:rPr>
        <w:t xml:space="preserve">TSRS GM </w:t>
      </w:r>
      <w:bookmarkEnd w:id="302"/>
      <w:r w:rsidRPr="000E2C88">
        <w:rPr>
          <w:rFonts w:eastAsia="Calibri"/>
        </w:rPr>
        <w:t xml:space="preserve">76-osios oro desanto divizijos 234-ojo pulko 3-iojo bataliono vadas nuteistasis V. S. 2 kartu su šios divizijos 234-ojo pulko vadu I. K., kurio atžvilgiu ikiteisminis tyrimas buvo nutrauktas. </w:t>
      </w:r>
    </w:p>
    <w:bookmarkEnd w:id="301"/>
    <w:p w:rsidR="00DA38E9" w:rsidRPr="000E2C88" w:rsidRDefault="00DA38E9" w:rsidP="00DA38E9">
      <w:pPr>
        <w:pStyle w:val="ListParagraph"/>
        <w:numPr>
          <w:ilvl w:val="0"/>
          <w:numId w:val="6"/>
        </w:numPr>
        <w:spacing w:before="120" w:after="120"/>
        <w:ind w:left="993" w:hanging="993"/>
        <w:contextualSpacing w:val="0"/>
      </w:pPr>
      <w:r w:rsidRPr="000E2C88">
        <w:rPr>
          <w:rFonts w:eastAsia="Calibri"/>
        </w:rPr>
        <w:t xml:space="preserve">Kaip minėta, nuosprendžiu nustatyta ir tai, kad TSRS VSK specialios paskirties grupės „A“, TSRS GM </w:t>
      </w:r>
      <w:r w:rsidRPr="000E2C88">
        <w:t>Oro desanto pajėgų 76-osios oro desanto divizijos</w:t>
      </w:r>
      <w:r w:rsidRPr="000E2C88">
        <w:rPr>
          <w:rFonts w:eastAsia="Calibri"/>
        </w:rPr>
        <w:t xml:space="preserve">, TSRS GM Sausumos pajėgų Pabaltijo karinės apygardos 107-osios motorizuotų šaulių divizijos ir TSRS VRM </w:t>
      </w:r>
      <w:r w:rsidRPr="000E2C88">
        <w:t>Vidaus kariuomenės 42-osios divizijos</w:t>
      </w:r>
      <w:r w:rsidRPr="000E2C88">
        <w:rPr>
          <w:rFonts w:eastAsia="Calibri"/>
        </w:rPr>
        <w:t xml:space="preserve"> kariškių bendrus veiksmus, užimant visus byloje minimus objektus, bendrai koordinavo keturi kariškiai iš šių padalinių, t. y. nuteistasis M. G. (iš TSRS VSK specialios paskirties grupės „A“), nuteistasis V. K. 1 (iš TSRS GM </w:t>
      </w:r>
      <w:r w:rsidRPr="000E2C88">
        <w:t xml:space="preserve">76-osios oro desanto divizijos), </w:t>
      </w:r>
      <w:r w:rsidRPr="000E2C88">
        <w:rPr>
          <w:rFonts w:eastAsia="Calibri"/>
        </w:rPr>
        <w:t>V. U. 1 (iš TSRS GM 107-osios motorizuotų šaulių divizijos) ir nuteistasis A. Ž. (iš</w:t>
      </w:r>
      <w:r w:rsidRPr="000E2C88">
        <w:t xml:space="preserve"> TSRS VRM Vidaus kariuomenės 42-osios divizijos)</w:t>
      </w:r>
      <w:r w:rsidRPr="000E2C88">
        <w:rPr>
          <w:rFonts w:eastAsia="Calibri"/>
        </w:rPr>
        <w:t xml:space="preserve"> (nuosprendžio 14–15 l.).</w:t>
      </w:r>
    </w:p>
    <w:p w:rsidR="00DA38E9" w:rsidRPr="00C00255" w:rsidRDefault="00DA38E9" w:rsidP="00DA38E9">
      <w:pPr>
        <w:pStyle w:val="ListParagraph"/>
        <w:numPr>
          <w:ilvl w:val="0"/>
          <w:numId w:val="6"/>
        </w:numPr>
        <w:spacing w:before="120" w:after="120"/>
        <w:ind w:left="993" w:hanging="993"/>
        <w:contextualSpacing w:val="0"/>
      </w:pPr>
      <w:r w:rsidRPr="000E2C88">
        <w:rPr>
          <w:rFonts w:eastAsia="Calibri"/>
        </w:rPr>
        <w:t xml:space="preserve">Teismo nuosprendžio nustatomojoje dalyje aprašant įrodytomis pripažintas aplinkybes, be kita ko, nurodyti tokie </w:t>
      </w:r>
      <w:r w:rsidRPr="000E2C88">
        <w:t>TSRS GM Oro desanto pajėgų 76-osios oro desanto divizijos kariškių veiksmai užimant TV bokštą</w:t>
      </w:r>
      <w:r w:rsidRPr="00C00255">
        <w:rPr>
          <w:lang w:eastAsia="lt-LT"/>
        </w:rPr>
        <w:t>:</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„TSRS VSK (KGB) grupės „A“ ir 76-osios oro desanto divizijos kariškiai prie TV bokšto atvyko automobiliais ZIL-131, URAL bei BTR-D ir BMP. Karinė technika griovė užtvaras, pavojingai manevruodama važinėjo aplink TV bokštą, baugino civilius, siekiant juos nustumti nuo užimamo objekto, jų atžvilgiu naudojo sprogstamuosius įtaisus, specialiąsias ir imitacines priemones, pritaikytas priemones žmonėms žaloti, šaudyti garsiniais ir koviniais šoviniais, naudojo artimos kovos veiksmus. 76-osios oro desanto divizijos kariškiai, braudamiesi pro civilius link TV bokšto, darė taip vadinamą „koridorių“ grupės „A“ kariškiams, idant šie patektų į užimamo objekto vidų ir išjungtų radijo ir televizijos transliavimą užtikrinančius įrenginius. 76-osios oro desanto divizijos kariškiai šalino civilius iš TV bokšto pastato ir teritorijos, atjungė TV bokšto apsaugos sistemą ir saugojo užgrobtą objektą.</w:t>
      </w:r>
      <w:r w:rsidRPr="00C00255">
        <w:rPr>
          <w:rFonts w:eastAsia="Calibri"/>
          <w:szCs w:val="24"/>
        </w:rPr>
        <w:t xml:space="preserve"> &lt;...&gt;</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Tęsdami 107-osios motorizuotų šaulių divizijos 77-ojo motorizuotų šaulių pulko ir 106-ojo tankų pulko pradėtą tarptautinės humanitarinės teisės draudžiamą karo ataką, kariškiai iš 234-ojo pulko 2-ojo bataliono 4-osios ir 5-osios kuopų, 3-iojo bataliono 8-osios ir 9-osios kuopų bei 3-iojo savaeigės artilerijos diviziono 3-iosios savaeigės artilerijos baterijos, priklausantys 76-osios oro desanto divizijos jungtiniam kariniam vienetui, pasidalinę į dvi dalis šturmavo TV bokštą</w:t>
      </w:r>
      <w:r w:rsidRPr="00C00255">
        <w:rPr>
          <w:rFonts w:eastAsia="Calibri"/>
          <w:szCs w:val="24"/>
        </w:rPr>
        <w:t xml:space="preserve">: </w:t>
      </w:r>
    </w:p>
    <w:p w:rsidR="00DA38E9" w:rsidRPr="00C00255" w:rsidRDefault="00DA38E9" w:rsidP="00DA38E9">
      <w:pPr>
        <w:pStyle w:val="ListParagraph"/>
        <w:numPr>
          <w:ilvl w:val="2"/>
          <w:numId w:val="6"/>
        </w:numPr>
        <w:spacing w:before="120" w:after="120"/>
        <w:ind w:left="993" w:hanging="993"/>
        <w:contextualSpacing w:val="0"/>
      </w:pPr>
      <w:r w:rsidRPr="00C00255">
        <w:rPr>
          <w:rFonts w:eastAsia="Calibri"/>
          <w:szCs w:val="24"/>
        </w:rPr>
        <w:t xml:space="preserve">- </w:t>
      </w:r>
      <w:r w:rsidRPr="00B822BF">
        <w:rPr>
          <w:rFonts w:eastAsia="Calibri"/>
        </w:rPr>
        <w:t>aštuoniasdešimt penki kariškiai iš 234-ojo pulko 2-ojo bataliono 4-osios ir 5-osios kuopų bei 3-iojo savaeigės artilerijos diviziono 3-iosios savaeigės baterijos, vadovaujami kaltinamojo A. L. ir kitų kariškių, iki puolamo objekto brovėsi iš pietinės pusės ir kartu su TV bokšto teritorijoje pavojingai manevruojančia karine technika šalino civilius iš TV bokšto teritorijos</w:t>
      </w:r>
      <w:r w:rsidRPr="00C00255">
        <w:rPr>
          <w:rFonts w:eastAsia="Calibri"/>
          <w:szCs w:val="24"/>
        </w:rPr>
        <w:t>;</w:t>
      </w:r>
    </w:p>
    <w:p w:rsidR="00DA38E9" w:rsidRPr="00C00255" w:rsidRDefault="00DA38E9" w:rsidP="00DA38E9">
      <w:pPr>
        <w:pStyle w:val="ListParagraph"/>
        <w:numPr>
          <w:ilvl w:val="2"/>
          <w:numId w:val="6"/>
        </w:numPr>
        <w:spacing w:before="120" w:after="120"/>
        <w:ind w:left="993" w:hanging="993"/>
        <w:contextualSpacing w:val="0"/>
      </w:pPr>
      <w:r w:rsidRPr="00C00255">
        <w:rPr>
          <w:rFonts w:eastAsia="Calibri"/>
          <w:szCs w:val="24"/>
        </w:rPr>
        <w:t xml:space="preserve">- </w:t>
      </w:r>
      <w:r w:rsidRPr="00B822BF">
        <w:rPr>
          <w:rFonts w:eastAsia="Calibri"/>
        </w:rPr>
        <w:t>aštuoniasdešimt kariškių iš 234-ojo pulko 3-iojo bataliono 8-osios ir 9-osios kuopų, vadovaujami kaltinamųjų V. D., S. K., A. G., V. K. 2, E. M. ir kitų karininkų, iki puolamo objekto brovėsi iš šiaurinės pusės ir kartu su TV bokšto teritorijoje pavojingai manevruojančia karine technika šalino civilius iš TV bokšto teritorijos;</w:t>
      </w:r>
      <w:r w:rsidRPr="00C00255">
        <w:rPr>
          <w:rFonts w:eastAsia="Calibri"/>
          <w:szCs w:val="24"/>
        </w:rPr>
        <w:t xml:space="preserve"> </w:t>
      </w:r>
    </w:p>
    <w:p w:rsidR="00DA38E9" w:rsidRPr="00C00255" w:rsidRDefault="00DA38E9" w:rsidP="00DA38E9">
      <w:pPr>
        <w:pStyle w:val="ListParagraph"/>
        <w:numPr>
          <w:ilvl w:val="2"/>
          <w:numId w:val="6"/>
        </w:numPr>
        <w:spacing w:before="120" w:after="120"/>
        <w:ind w:left="993" w:hanging="993"/>
        <w:contextualSpacing w:val="0"/>
      </w:pPr>
      <w:r w:rsidRPr="00B822BF">
        <w:rPr>
          <w:rFonts w:eastAsia="Calibri"/>
        </w:rPr>
        <w:t>- septyniolika 8-osios kuopos kariškių, vadovaujami kaltinamojo E. M., užėmė puolamo objekto pirmą aukštą ir iš ten šalino civilius</w:t>
      </w:r>
      <w:r w:rsidRPr="00C00255">
        <w:rPr>
          <w:rFonts w:eastAsia="Calibri"/>
          <w:szCs w:val="24"/>
        </w:rPr>
        <w:t xml:space="preserve">, </w:t>
      </w:r>
    </w:p>
    <w:p w:rsidR="00DA38E9" w:rsidRPr="00C00255" w:rsidRDefault="00DA38E9" w:rsidP="00DA38E9">
      <w:pPr>
        <w:pStyle w:val="ListParagraph"/>
        <w:numPr>
          <w:ilvl w:val="2"/>
          <w:numId w:val="6"/>
        </w:numPr>
        <w:spacing w:before="120" w:after="120"/>
        <w:ind w:left="993" w:hanging="993"/>
        <w:contextualSpacing w:val="0"/>
      </w:pPr>
      <w:r w:rsidRPr="00B822BF">
        <w:rPr>
          <w:rFonts w:eastAsia="Calibri"/>
        </w:rPr>
        <w:t>- dešimt kariškių iš 9-osios kuopos ir minėtos baterijos, vadovaujami kaltinamojo V. K. 2, TV bokšto 20 aukšte vykdė užduotį atjungti buvusią gaisro gesinimo aparatūrą</w:t>
      </w:r>
      <w:r w:rsidRPr="00C00255">
        <w:rPr>
          <w:rFonts w:eastAsia="Calibri"/>
          <w:szCs w:val="24"/>
        </w:rPr>
        <w:t>.</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Kaltinamasis V. S. 2, kartu su kitais karininkais, vadovaujančiais operacijai (I. K., B. M.) prie TV bokšto šiaurinės dalies atvyko vadovavimo štabo mašina BMD KŠM, kurios borto Nr. 600 ir ryšio priemonėmis įgyvendino jiems pavestas vadovavimo operacijai funkcijas. Ryšių priemonių ir patikimo ryšio veikimą operacijos metu užtikrino kariškiai iš 234-ojo pulko ryšių kuopos</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&lt;...&gt; Tęsdami nusikalstamą veiką ir vykdydami operacijai vadovavusių aukštesniųjų vadų įsakymus, grupės „A“ kariškiai, kartu su kariškiais iš 234-ojo pulko 2-ojo bataliono 4-osios ir 5-osios kuopų, 3-iojo bataliono 8-osios ir 9-osios kuopų bei 3-iojo savaeigės artilerijos diviziono 3-iosios savaeigės baterijos, išsilaipinę TV bokšto teritorijoje, brovėsi į civilių ginamą objektą ir prieš jį gynusius civilius panaudojo ginklus, kovinius veiksmus</w:t>
      </w:r>
      <w:r w:rsidRPr="00C00255">
        <w:rPr>
          <w:rFonts w:eastAsia="Calibri"/>
          <w:szCs w:val="24"/>
        </w:rPr>
        <w:t>:</w:t>
      </w:r>
    </w:p>
    <w:p w:rsidR="00DA38E9" w:rsidRPr="00C00255" w:rsidRDefault="00DA38E9" w:rsidP="00DA38E9">
      <w:pPr>
        <w:pStyle w:val="ListParagraph"/>
        <w:numPr>
          <w:ilvl w:val="2"/>
          <w:numId w:val="6"/>
        </w:numPr>
        <w:spacing w:before="120" w:after="120"/>
        <w:ind w:left="993" w:hanging="993"/>
        <w:contextualSpacing w:val="0"/>
      </w:pPr>
      <w:r w:rsidRPr="00B822BF">
        <w:rPr>
          <w:rFonts w:eastAsia="Calibri"/>
        </w:rPr>
        <w:t>- grupės „A“ kariškiai prieš civilius naudojo granatsvaidžius RGS-50, šviesos ir garso granatas GSZ, specialiąsias priemones – specialius skysčio pistoletus PSŽ</w:t>
      </w:r>
      <w:r w:rsidRPr="00C00255">
        <w:rPr>
          <w:rFonts w:eastAsia="Calibri"/>
          <w:szCs w:val="24"/>
        </w:rPr>
        <w:t xml:space="preserve">; </w:t>
      </w:r>
    </w:p>
    <w:p w:rsidR="00DA38E9" w:rsidRPr="00C00255" w:rsidRDefault="00DA38E9" w:rsidP="00DA38E9">
      <w:pPr>
        <w:pStyle w:val="ListParagraph"/>
        <w:numPr>
          <w:ilvl w:val="2"/>
          <w:numId w:val="6"/>
        </w:numPr>
        <w:spacing w:before="120" w:after="120"/>
        <w:ind w:left="993" w:hanging="993"/>
        <w:contextualSpacing w:val="0"/>
      </w:pPr>
      <w:r w:rsidRPr="00C00255">
        <w:rPr>
          <w:rFonts w:eastAsia="Calibri"/>
          <w:szCs w:val="24"/>
        </w:rPr>
        <w:t xml:space="preserve">- </w:t>
      </w:r>
      <w:r w:rsidRPr="00B822BF">
        <w:rPr>
          <w:rFonts w:eastAsia="Calibri"/>
        </w:rPr>
        <w:t>76-osios oro desanto divizijos jungtinio karinio vieneto kariškiai prieš civilius naudojo imitacines priemones – dūminius užtaisus DM-II, dūmines granatas RDG-2x, šaudė 7,62 mm kalibro SVD šautuvai, o kartu su grupės „A“ kariškiais, šaudydami į civilius ir užimamą pastatą iš 5,45 mm kalibro automatinių ginklų, naudojo tarptautinių sutarčių uždraustas karo priemones – 5,45 mm kalibro šovinius su išcentruota kulka</w:t>
      </w:r>
      <w:r w:rsidRPr="00C00255">
        <w:rPr>
          <w:rFonts w:eastAsia="Calibri"/>
          <w:szCs w:val="24"/>
        </w:rPr>
        <w:t xml:space="preserve">; </w:t>
      </w:r>
    </w:p>
    <w:p w:rsidR="00DA38E9" w:rsidRPr="00C00255" w:rsidRDefault="00DA38E9" w:rsidP="00DA38E9">
      <w:pPr>
        <w:pStyle w:val="ListParagraph"/>
        <w:numPr>
          <w:ilvl w:val="2"/>
          <w:numId w:val="6"/>
        </w:numPr>
        <w:spacing w:before="120" w:after="120"/>
        <w:ind w:left="993" w:hanging="993"/>
        <w:contextualSpacing w:val="0"/>
      </w:pPr>
      <w:r w:rsidRPr="00B822BF">
        <w:rPr>
          <w:rFonts w:eastAsia="Calibri"/>
        </w:rPr>
        <w:t>- visi kariškiai prieš civilius naudojo tiek garsinius, tiek ir kovinius šaudmenis bei artimos kovos veiksmus – stumdydami, smūgiuodami kumščiais, spardydami kojomis ir suduodami nenustatytą skaičių smūgių civiliams ginklais ir kitomis kūno sužalojimams daryti jų pačių pritaikytomis priemonėmis į įvairias kūno dalis</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Grupės „A“ ir 76-osios oro desanto divizijos jungtinio karinio vieneto kariškiai, pasinaudodami bendrai veikusių 106-ojo tankų pulko kariškių tankų šūviais, tankų bei BMD pavojingu manevravimu, prasibrovė iki puolamo objekto, kur kiekvienas padalinys pradėjo įgyvendinti pavestas užduotis</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C00255">
        <w:rPr>
          <w:rFonts w:eastAsia="Calibri"/>
          <w:szCs w:val="24"/>
        </w:rPr>
        <w:t xml:space="preserve">&lt;...&gt; </w:t>
      </w:r>
      <w:r w:rsidRPr="00B822BF">
        <w:t>Apie dešimt (10) kariškių iš 234-ojo pulko 9-osios kuopos vadovaujami kaltinamojo V. K. 2, patekę į TV bokšto dvidešimtą aukštą, išstatydami sargybos postus, užtikrino ten buvusios gaisro gesinimo aparatūros apsaugą</w:t>
      </w:r>
      <w:r w:rsidRPr="00C00255">
        <w:t>.</w:t>
      </w:r>
    </w:p>
    <w:p w:rsidR="00DA38E9" w:rsidRPr="00C00255" w:rsidRDefault="00DA38E9" w:rsidP="00DA38E9">
      <w:pPr>
        <w:pStyle w:val="ListParagraph"/>
        <w:numPr>
          <w:ilvl w:val="1"/>
          <w:numId w:val="6"/>
        </w:numPr>
        <w:spacing w:before="120" w:after="120"/>
        <w:ind w:left="993" w:hanging="993"/>
        <w:contextualSpacing w:val="0"/>
      </w:pPr>
      <w:r w:rsidRPr="00B822BF">
        <w:t>Aštuoniasdešimt penki kariškiai iš 234-ojo pulko 2-ojo bataliono 4-osios ir 5-osios kuopų bei 3-iojo savaeigės artilerijos diviziono 3-iosios savaeigės baterijos, vadovaujami kaltinamųjų A. Z. ir A. L. ir kitų kariškių, iki puolamo objekto prasibrovė iš pietinės pusės ir veikdami kartu su pavojingai manevruojančiomis BMD, naudodami artimos kovos veiksmus ir mušdami žmones rankomis bei kojomis ir automatų buožėmis, šalino civilius iš TV bokšto teritorijos</w:t>
      </w:r>
      <w:r w:rsidRPr="00C00255">
        <w:t>.</w:t>
      </w:r>
    </w:p>
    <w:p w:rsidR="00DA38E9" w:rsidRPr="00C00255" w:rsidRDefault="00DA38E9" w:rsidP="00DA38E9">
      <w:pPr>
        <w:pStyle w:val="ListParagraph"/>
        <w:numPr>
          <w:ilvl w:val="1"/>
          <w:numId w:val="6"/>
        </w:numPr>
        <w:spacing w:before="120" w:after="120"/>
        <w:ind w:left="993" w:hanging="993"/>
        <w:contextualSpacing w:val="0"/>
      </w:pPr>
      <w:r w:rsidRPr="00C00255">
        <w:t xml:space="preserve">Tuo metu aštuoniasdešimt (80) kariškių iš 234-ojo pulko 3-iojo bataliono 8-osios ir 9-osios kuopų, vadovaujami kaltinamųjų </w:t>
      </w:r>
      <w:r>
        <w:t>V. D.</w:t>
      </w:r>
      <w:r w:rsidRPr="00C00255">
        <w:t xml:space="preserve">, </w:t>
      </w:r>
      <w:r>
        <w:t>S. K.</w:t>
      </w:r>
      <w:r w:rsidRPr="00C00255">
        <w:t xml:space="preserve">, </w:t>
      </w:r>
      <w:r>
        <w:t>A. G. 2</w:t>
      </w:r>
      <w:r w:rsidRPr="00C00255">
        <w:t xml:space="preserve"> ir kitų karininkų, iki puolamo objekto prasibrovė iš šiaurinės pusės, ir veikdami kartu su pavojingai manevruojančiomis BMD, naudodami artimos kovos veiksmus, mušdami žmones rankomis bei kojomis ir automatų buožėmis, stūmė civilius nuo TV bokšto ir iš jo teritorijos.</w:t>
      </w:r>
    </w:p>
    <w:p w:rsidR="00DA38E9" w:rsidRPr="00055544" w:rsidRDefault="00DA38E9" w:rsidP="00DA38E9">
      <w:pPr>
        <w:pStyle w:val="ListParagraph"/>
        <w:numPr>
          <w:ilvl w:val="1"/>
          <w:numId w:val="6"/>
        </w:numPr>
        <w:spacing w:before="120" w:after="120"/>
        <w:ind w:left="993" w:hanging="993"/>
        <w:contextualSpacing w:val="0"/>
      </w:pPr>
      <w:r w:rsidRPr="00055544">
        <w:rPr>
          <w:rFonts w:eastAsia="Calibri"/>
        </w:rPr>
        <w:t>Tarptautinės humanitarinės teisės draudžiamos karo atakos metu, puolančiajai tankų, BMD, BTR-D ir kitos karinės technikos kolonai bei kariškiams iš minėtų padalinių bei grupės „A“ šturmuojant TV bokštą, nukreipiančiosios karinės technikos kolonos tankai T-72, kurių borto Nr. 220, 221, 223, tiltu per buvusį Kosmonautų prospektą (dabar Laisvės pr.) privažiavo prie TV bokšto administracinio pastato, kur šaudė iš pabūklų tuščiais užtaisais, leido dūmines užsklandas, karinės technikos šviesos prožektoriais švietė į civilius, užimamą objektą ir aplink esančius gyvenamuosius namus, pavojingai manevruodami, važinėjo prie užimamo objekto administracinio pastato, taip baugindami ir terorizuodami civilius. Vienas iš minėtų tankų užtvėrė privažiavimą prie TV bokšto nuo minėto tilto pusės.</w:t>
      </w:r>
      <w:r w:rsidRPr="00055544">
        <w:rPr>
          <w:rFonts w:eastAsia="Calibri"/>
          <w:szCs w:val="24"/>
        </w:rPr>
        <w:t xml:space="preserve"> &lt;...&gt;“</w:t>
      </w:r>
    </w:p>
    <w:p w:rsidR="00DA38E9" w:rsidRPr="00055544" w:rsidRDefault="00DA38E9" w:rsidP="00DA38E9">
      <w:pPr>
        <w:pStyle w:val="ListParagraph"/>
        <w:numPr>
          <w:ilvl w:val="1"/>
          <w:numId w:val="6"/>
        </w:numPr>
        <w:spacing w:before="120" w:after="120"/>
        <w:ind w:left="993" w:hanging="993"/>
        <w:contextualSpacing w:val="0"/>
      </w:pPr>
      <w:r w:rsidRPr="00055544">
        <w:rPr>
          <w:rFonts w:eastAsia="Calibri"/>
        </w:rPr>
        <w:t>Be to, teismo nuosprendyje konstatuota, kad karo atakos prie TV bokšto metu 76-osios oro desanto divizijos ir kitų karinių struktūrų kariškiai, panaudoję šaunamuosius ginklus, specialiąsias priemones ir artimos kovos veiksmus, bendrais veiksmais tyčia nužudė V. D., D. G., R. J., V. M., T. M., A. J.  P., V. J. V., V. K., padarė tyčinius sunkius ir kitus sveikatos sutrikdymus dar kitiems pirmosios instancijos teismo nuosprendyje detaliai nurodytiems asmenims (nuosprendžio 213–221 l., t. 770, b. l. 213–221)</w:t>
      </w:r>
      <w:r w:rsidRPr="00055544">
        <w:rPr>
          <w:rFonts w:eastAsia="Calibri"/>
          <w:szCs w:val="24"/>
        </w:rPr>
        <w:t>.</w:t>
      </w:r>
    </w:p>
    <w:p w:rsidR="00DA38E9" w:rsidRPr="00C00255" w:rsidRDefault="00DA38E9" w:rsidP="00DA38E9">
      <w:pPr>
        <w:pStyle w:val="ListParagraph"/>
        <w:numPr>
          <w:ilvl w:val="0"/>
          <w:numId w:val="6"/>
        </w:numPr>
        <w:spacing w:before="120" w:after="120"/>
        <w:ind w:left="993" w:hanging="993"/>
        <w:contextualSpacing w:val="0"/>
      </w:pPr>
      <w:r w:rsidRPr="00B822BF">
        <w:rPr>
          <w:rFonts w:eastAsia="Calibri"/>
        </w:rPr>
        <w:t>Iš tokių pirmosios instancijos teismo nuosprendžiu nustatytų aplinkybių ir šiame sprendime jau analizuotų puolančiosios grupės tankų veiksmų matyti</w:t>
      </w:r>
      <w:r w:rsidRPr="00C00255">
        <w:rPr>
          <w:rFonts w:eastAsia="Calibri"/>
          <w:szCs w:val="24"/>
        </w:rPr>
        <w:t xml:space="preserve">, kad </w:t>
      </w:r>
      <w:r w:rsidRPr="00C00255">
        <w:rPr>
          <w:szCs w:val="24"/>
          <w:lang w:eastAsia="lt-LT"/>
        </w:rPr>
        <w:t xml:space="preserve">TSRS GM 76-osios oro desanto divizijos </w:t>
      </w:r>
      <w:r w:rsidRPr="00C00255">
        <w:rPr>
          <w:szCs w:val="24"/>
        </w:rPr>
        <w:t xml:space="preserve">234-ojo pulko kariškiai, dar byloje įvardijami ir kaip desantininkai ar oro desanto kariškiai, prie TV bokšto atvyko puolančiosios kolonos sudėtyje paskui keturis kolonos priekyje važiavusius tankus Nr. 502, 513, 541 ir 544 (prieš tankus važiavo tik viena desantininkų kovinė mažina (BMD) Nr. 281, kuri, sutikus pirmas kliūtis, užleido kelią tankams). Byloje iš esmės nėra ginčo ir teismas jau pasisakė dėl to, kad tankai savo veiksmais turėjo atverti kelią oro desanto kariškiams, o pastarieji, tankams įveikus TV bokšto prieigose sutiktas užtvaras ir pralaužus pravažiavimą prie TV bokšto, pasinaudodami šarvuotos technikos bei savo veiksmais, turėjo nustumti prie TV bokšto susirinkusius civilius ir taip atlaisvinti kelią TSRS VSK specialiosios paskirties grupės „A“ kariškiams. </w:t>
      </w:r>
      <w:r w:rsidRPr="00C00255">
        <w:t xml:space="preserve">Grupės ,,A“ kariškiai, kartu su oro desanto kariškiais, turėjo blokuoti visus įėjimus į TV bokštą ir administracinį pastatą, nutraukti televizijos transliavimo darbus, nušalinti TV bokšte dirbusius darbuotojus ir pašalinti civilius iš TV bokšto bei jo prieigų. </w:t>
      </w:r>
    </w:p>
    <w:p w:rsidR="00DA38E9" w:rsidRPr="00C00255" w:rsidRDefault="00DA38E9" w:rsidP="00DA38E9">
      <w:pPr>
        <w:pStyle w:val="ListParagraph"/>
        <w:numPr>
          <w:ilvl w:val="0"/>
          <w:numId w:val="6"/>
        </w:numPr>
        <w:spacing w:before="120" w:after="120"/>
        <w:ind w:left="993" w:hanging="993"/>
        <w:contextualSpacing w:val="0"/>
      </w:pPr>
      <w:r w:rsidRPr="00C00255">
        <w:t xml:space="preserve">Byloje surinkti įrodymai, įvykių prie TV bokšto vaizdo įrašai, kariškių pokalbių garso įrašai, liudytojų ir nukentėjusiųjų parodymai, įvykio vietos ir kitų daiktų apžiūrų duomenys, specialistų išvados, rašytiniai dokumentai, o taip pat ir </w:t>
      </w:r>
      <w:r>
        <w:t>M. B.</w:t>
      </w:r>
      <w:r w:rsidRPr="00C00255">
        <w:t xml:space="preserve">, </w:t>
      </w:r>
      <w:r>
        <w:t>J. K.</w:t>
      </w:r>
      <w:r w:rsidRPr="00C00255">
        <w:t xml:space="preserve"> ir kt. byloje įsiteisėjusiais teismų sprendimais nustatytos aplinkybės teisėjų kolegijai leidžia daryti jokių abejonių nekeliančią išvadą, kad tokia operacijos eiga ir TSRS GM </w:t>
      </w:r>
      <w:r w:rsidRPr="00C00255">
        <w:rPr>
          <w:szCs w:val="24"/>
          <w:lang w:eastAsia="lt-LT"/>
        </w:rPr>
        <w:t xml:space="preserve">76-osios oro desanto divizijos </w:t>
      </w:r>
      <w:r w:rsidRPr="00C00255">
        <w:rPr>
          <w:szCs w:val="24"/>
        </w:rPr>
        <w:t xml:space="preserve">kariškių vaidmuo užimant TV bokštą visiškai pasitvirtino ir yra įrodyti. </w:t>
      </w:r>
    </w:p>
    <w:p w:rsidR="00DA38E9" w:rsidRPr="00C00255" w:rsidRDefault="00DA38E9" w:rsidP="00DA38E9">
      <w:pPr>
        <w:pStyle w:val="ListParagraph"/>
        <w:numPr>
          <w:ilvl w:val="0"/>
          <w:numId w:val="6"/>
        </w:numPr>
        <w:spacing w:before="120" w:after="120"/>
        <w:ind w:left="993" w:hanging="993"/>
        <w:contextualSpacing w:val="0"/>
      </w:pPr>
      <w:r w:rsidRPr="00C00255">
        <w:rPr>
          <w:szCs w:val="24"/>
          <w:lang w:eastAsia="lt-LT"/>
        </w:rPr>
        <w:t xml:space="preserve">2014 m. birželio 10 d. specialisto išvadoje konstatuota, kad užimant TV bokštą dalyvavo </w:t>
      </w:r>
      <w:r w:rsidRPr="00C00255">
        <w:t xml:space="preserve">TSRS GM </w:t>
      </w:r>
      <w:r w:rsidRPr="00C00255">
        <w:rPr>
          <w:szCs w:val="24"/>
          <w:lang w:eastAsia="lt-LT"/>
        </w:rPr>
        <w:t xml:space="preserve">76-osios oro desanto divizijos </w:t>
      </w:r>
      <w:r w:rsidRPr="00C00255">
        <w:rPr>
          <w:szCs w:val="24"/>
        </w:rPr>
        <w:t xml:space="preserve">234-ojo pulko kariškiai, kurie taktiniais tikslais buvo paskirstyti į dvi TV bokšto šturmo operacines grupes: </w:t>
      </w:r>
    </w:p>
    <w:p w:rsidR="00DA38E9" w:rsidRPr="00C00255" w:rsidRDefault="00DA38E9" w:rsidP="00DA38E9">
      <w:pPr>
        <w:pStyle w:val="ListParagraph"/>
        <w:numPr>
          <w:ilvl w:val="1"/>
          <w:numId w:val="6"/>
        </w:numPr>
        <w:spacing w:before="120" w:after="120"/>
        <w:ind w:left="992" w:hanging="992"/>
        <w:contextualSpacing w:val="0"/>
      </w:pPr>
      <w:r w:rsidRPr="00C00255">
        <w:rPr>
          <w:szCs w:val="24"/>
        </w:rPr>
        <w:t>2-ojo bataliono 4-osios ir 5-osios kuopos su savaeigės artilerijos diviziono 3-iosios savaeigės artilerijos baterijos kariškiais (85 kariškiai), kurie kartu su puolančiosios grupės tankais turėjo prasibrauti į pietinę TV bokšto pusę ir iš ten pašalinti civilius;</w:t>
      </w:r>
    </w:p>
    <w:p w:rsidR="00DA38E9" w:rsidRPr="00C00255" w:rsidRDefault="00DA38E9" w:rsidP="00DA38E9">
      <w:pPr>
        <w:pStyle w:val="ListParagraph"/>
        <w:numPr>
          <w:ilvl w:val="1"/>
          <w:numId w:val="6"/>
        </w:numPr>
        <w:spacing w:before="120" w:after="120"/>
        <w:ind w:left="993" w:hanging="993"/>
        <w:contextualSpacing w:val="0"/>
      </w:pPr>
      <w:r w:rsidRPr="00C00255">
        <w:rPr>
          <w:szCs w:val="24"/>
        </w:rPr>
        <w:t>3-iojo bataliono 8-osios ir 9-osios kuopos kariškiai (80 kariškių), kurie kartu su puolančiosios grupės tankais, turėjo prasibrauti į šiaurinę TV bokšto pusę ir iš ten pašalinti civilius (ši grupė kariškių turėjo veikti pasidalinusi į dar tris grupes: pirmoji kariškių iš 8-osios kuopos grupė turėjo užimti 1-ąjį TV bokšto aukštą; antroji kariškių iš 9-osios kuopos grupė turėjo atjungti TV bokšto 20-ajame aukšte buvusią gaisro gesinimo aparatūrą; trečioji turėjo šalinti civilius iš šiaurinės TV bokšto pusės) (t. 480, b. l. 67).</w:t>
      </w:r>
    </w:p>
    <w:p w:rsidR="00DA38E9" w:rsidRPr="00C00255" w:rsidRDefault="00DA38E9" w:rsidP="00DA38E9">
      <w:pPr>
        <w:pStyle w:val="ListParagraph"/>
        <w:numPr>
          <w:ilvl w:val="0"/>
          <w:numId w:val="6"/>
        </w:numPr>
        <w:spacing w:before="120" w:after="120"/>
        <w:ind w:left="993" w:hanging="993"/>
        <w:contextualSpacing w:val="0"/>
      </w:pPr>
      <w:r w:rsidRPr="00C00255">
        <w:t>Teisėjų kolegija neturi jokio pagrindo abejoti tokiomis specialisto išvadomis ir iš esmės tokia operacijos eiga,</w:t>
      </w:r>
      <w:r w:rsidRPr="00C00255">
        <w:rPr>
          <w:szCs w:val="24"/>
        </w:rPr>
        <w:t xml:space="preserve"> nes tą byloje objektyviai</w:t>
      </w:r>
      <w:r w:rsidRPr="00C00255">
        <w:rPr>
          <w:rFonts w:asciiTheme="minorHAnsi" w:eastAsiaTheme="minorHAnsi" w:hAnsiTheme="minorHAnsi" w:cstheme="minorBidi"/>
          <w:sz w:val="22"/>
          <w:szCs w:val="24"/>
        </w:rPr>
        <w:t xml:space="preserve"> </w:t>
      </w:r>
      <w:r w:rsidRPr="00C00255">
        <w:rPr>
          <w:szCs w:val="24"/>
        </w:rPr>
        <w:t xml:space="preserve">patvirtina įvykio vietoje prie TV bokšto rasta operacijos schema </w:t>
      </w:r>
      <w:r w:rsidRPr="00C00255">
        <w:rPr>
          <w:szCs w:val="24"/>
          <w:lang w:eastAsia="lt-LT"/>
        </w:rPr>
        <w:t xml:space="preserve">(t. 492, b. l. 7), kuri, pasak ją analizavusio karybos specialisto, </w:t>
      </w:r>
      <w:r w:rsidRPr="00C00255">
        <w:rPr>
          <w:color w:val="000000"/>
        </w:rPr>
        <w:t>buvo parengta remiantis TSRS sausumos pajėgose galiojusiais statutais ir sutartiniais ženklais (t. 480, b. l. 460),</w:t>
      </w:r>
      <w:r w:rsidRPr="00C00255">
        <w:rPr>
          <w:szCs w:val="24"/>
        </w:rPr>
        <w:t xml:space="preserve"> vaizdo įrašai ir liudytojų bei nukentėjusiųjų parodymai apie kariškių veiksmus, rašytiniai dokumentai apie kariškių asmeninę sudėtį ir kt. Byloje pateiktas </w:t>
      </w:r>
      <w:r w:rsidRPr="00C00255">
        <w:rPr>
          <w:szCs w:val="24"/>
          <w:lang w:eastAsia="lt-LT"/>
        </w:rPr>
        <w:t>karinio dalinio Nr. 74268 karių sąrašas, kuriame nurodyti visi užimant TV bokštą dalyvavę šio dalinio kariškiai pagal jų priklausomybę atskiriems daliniams (t. 429, b. l. 103–106; t. 116, b. l. 138–141). Be to, teisėjų kolegija pažymi, kad byloje yra ir karinio dalinio Nr. 74268 karinės technikos, dalyvavusios užimant TV bokštą, sąrašai (t. 427, b. l. 150–151, t. 114, b. l. 184–186; t. 429, b. l. 107–108, t.</w:t>
      </w:r>
      <w:r w:rsidRPr="00C00255">
        <w:t> 116, b. l. 142–143</w:t>
      </w:r>
      <w:r w:rsidRPr="00C00255">
        <w:rPr>
          <w:szCs w:val="24"/>
          <w:lang w:eastAsia="lt-LT"/>
        </w:rPr>
        <w:t xml:space="preserve">). Iš šių sąrašų matyti, kad visa skundžiamame nuosprendyje nurodyta minėto dalinio karinė technika – sudaryta iš mašinų BMD, BMD KMŠ, URAL, ZIL-131, BTR-D – iš tiesų buvo panaudota užimant TV bokštą. Pažymėtina, kad tokios technikos panaudojimo aplinkybės byloje buvo vertinamos, analizuojant ir kitus byloje surinktus duomenis, o šios technikos panaudojimą pagrindžianti specialisto išvada pateikta nurodant tik tą techniką, kurios panaudojimą pagrindžia ne tik jau minėti sąrašai, bet ir kiti byloje surinkti faktiniai duomenys (t. 480, b. l. 70). Dėl minėtos technikos panaudojimo byloje nėra ginčo, todėl teisėjų kolegija, sutikdama su pirmosios instancijos teismo išvadomis, šių aplinkybių plačiau neanalizuoja. </w:t>
      </w:r>
    </w:p>
    <w:p w:rsidR="00DA38E9" w:rsidRPr="00C00255" w:rsidRDefault="00DA38E9" w:rsidP="00DA38E9">
      <w:pPr>
        <w:pStyle w:val="ListParagraph"/>
        <w:numPr>
          <w:ilvl w:val="0"/>
          <w:numId w:val="6"/>
        </w:numPr>
        <w:spacing w:before="120" w:after="120"/>
        <w:ind w:left="993" w:hanging="993"/>
        <w:contextualSpacing w:val="0"/>
      </w:pPr>
      <w:bookmarkStart w:id="303" w:name="_Hlk63081319"/>
      <w:r w:rsidRPr="00C00255">
        <w:rPr>
          <w:szCs w:val="24"/>
          <w:lang w:eastAsia="lt-LT"/>
        </w:rPr>
        <w:t xml:space="preserve">2014 m. birželio 10 d. specialisto išvadoje yra pateiktas pakankamai detalus TV bokšto užėmimo operacijos eigos aprašymas. Jame, be kita ko, chronologine seka nurodyti tokie </w:t>
      </w:r>
      <w:r w:rsidRPr="00C00255">
        <w:t xml:space="preserve">TSRS GM </w:t>
      </w:r>
      <w:r w:rsidRPr="00C00255">
        <w:rPr>
          <w:szCs w:val="24"/>
          <w:lang w:eastAsia="lt-LT"/>
        </w:rPr>
        <w:t xml:space="preserve">76-osios oro desanto divizijos </w:t>
      </w:r>
      <w:r w:rsidRPr="00C00255">
        <w:rPr>
          <w:szCs w:val="24"/>
        </w:rPr>
        <w:t>234-ojo pulko kariškių veiksmai:</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Puolančiajai kolonai privažiavus iki pirmųjų užtvarų iš transporto priemonių, jai vadovavęs V. S. 2 davė komandą 106-ojo tankų pulko vadui tankais pašalinti kliūtis ir pralaužti kelią kolonai. Po to, kai tankai pašalino buvusias užtvaras, pro tankų išlaužtas tvoros vietas į TV bokšto teritoriją įvažiavo ir išsiskleidė visa jau minėta kariškių technika</w:t>
      </w:r>
      <w:r w:rsidRPr="00C00255">
        <w:rPr>
          <w:rFonts w:eastAsia="Calibri"/>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Įgyvendindami operacijos planą, apie 165 desantininkai iš TSRS GM 76-osios Oro desanto divizijos 234-ojo pulko, braudamiesi prie TV bokšto pro jį tvirtu žiedu apsupusius civilius, naudojo pavojingai manevruojančią šarvuotą karinę techniką, artimojo mūšio veiksmus, specialiąsias priemones, šaudė į civilius iš automatinių ginklų, taip stengdamiesi išstumti juos už TV bokšto aptvertos teritorijos ribų ir padaryti praėjimą užduotis vykdantiems TSRS VSK „A“ kariškiams. Desantininkams prasibrovus pro civilius prie TV bokšto, dalis jų pateko į pastato vidų pro išdaužtus statinio stiklus</w:t>
      </w:r>
      <w:r w:rsidRPr="00C00255">
        <w:rPr>
          <w:rFonts w:eastAsia="Calibri"/>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t xml:space="preserve">TSRS GM 76-osios oro desanto divizijos </w:t>
      </w:r>
      <w:r w:rsidRPr="00B822BF">
        <w:rPr>
          <w:rFonts w:eastAsia="Calibri"/>
        </w:rPr>
        <w:t>234-ojo pulko</w:t>
      </w:r>
      <w:r w:rsidRPr="00B822BF">
        <w:t xml:space="preserve"> 3-iojo bataliono 8-osios kuopos api</w:t>
      </w:r>
      <w:r w:rsidRPr="00B822BF">
        <w:rPr>
          <w:rFonts w:eastAsia="Calibri"/>
        </w:rPr>
        <w:t>e 17 kariškių grupė, vadovaujama E. M., užėmė pirmąjį TV bokšto aukštą ir pašalino iš ten civilius. Apie 10 kariškių grupė iš 9-osios kuopos, vadovaujama V. K. 2, laiptais pakilo į TV bokšto dvidešimtą aukštą, kur užtikrino ten buvusios gaisro gesinimo aparatūros apsaugą. Nenustatytas skaičius kariškių iš 234-ojo pulko</w:t>
      </w:r>
      <w:r w:rsidRPr="00B822BF">
        <w:t xml:space="preserve"> 3-iojo bataliono</w:t>
      </w:r>
      <w:r w:rsidRPr="00B822BF">
        <w:rPr>
          <w:rFonts w:eastAsia="Calibri"/>
        </w:rPr>
        <w:t>, vadovaujamų V. D., prasibrovę į TV bokštą, kilo laiptais aukštyn, tačiau pasiekus aštuntą – dešimtą TV bokšto aukštus, V. S. 2 įsakymu, grįžo ir prisijungė prie kitų desantininkų, kurie vykdė civilių šalinimo iš objekto ir jo prieigų užduotį</w:t>
      </w:r>
      <w:r w:rsidRPr="00C00255">
        <w:rPr>
          <w:rFonts w:eastAsia="Calibri"/>
        </w:rPr>
        <w:t>.</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Be pavojingo karinės technikos manevravimo, padalinių vadai panaudojo karinę techniką kaip užtvarą nuo civilių, sustatydami „BMD“ ir tankus tankiu žiedu aplink jau užimtą TV</w:t>
      </w:r>
      <w:r w:rsidRPr="00C00255">
        <w:rPr>
          <w:rFonts w:eastAsia="Calibri"/>
        </w:rPr>
        <w:t> </w:t>
      </w:r>
      <w:r w:rsidRPr="00B822BF">
        <w:rPr>
          <w:rFonts w:eastAsia="Calibri"/>
        </w:rPr>
        <w:t>bokštą.</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VSK ,,A“ kariškiai, atvykę kariniu automobiliu „ZIL–131“, buvusiu karinės kolonos sudėtyje, naudodamiesi desantininkų aukščiau nurodytais veiksmais, karinės technikos manevravimu bei panaudodami turimus pistoletus „PSŽ“, automatinius ginklus, granatsvaidžius „RGS – 50“ ir granatas „GSZ“, artimojo mūšio veiksmus, kartu su desantininkais įsiveržė į TV bokštą</w:t>
      </w:r>
      <w:r w:rsidRPr="00C00255">
        <w:rPr>
          <w:rFonts w:eastAsia="Calibri"/>
        </w:rPr>
        <w:t xml:space="preserve">. </w:t>
      </w:r>
      <w:r w:rsidRPr="00B822BF">
        <w:rPr>
          <w:rFonts w:eastAsia="Calibri"/>
        </w:rPr>
        <w:t>Užėmę TV bokštą, TSRS kariškiai užėmė gynybines pozicijas aplink objektą</w:t>
      </w:r>
      <w:r w:rsidRPr="00C00255">
        <w:rPr>
          <w:rFonts w:eastAsia="Calibri"/>
        </w:rPr>
        <w:t>.</w:t>
      </w:r>
    </w:p>
    <w:p w:rsidR="00DA38E9" w:rsidRPr="00C00255" w:rsidRDefault="00DA38E9" w:rsidP="00DA38E9">
      <w:pPr>
        <w:pStyle w:val="ListParagraph"/>
        <w:numPr>
          <w:ilvl w:val="0"/>
          <w:numId w:val="6"/>
        </w:numPr>
        <w:spacing w:before="120" w:after="120"/>
        <w:ind w:left="993" w:hanging="993"/>
        <w:contextualSpacing w:val="0"/>
      </w:pPr>
      <w:r w:rsidRPr="00C00255">
        <w:rPr>
          <w:szCs w:val="24"/>
          <w:lang w:eastAsia="lt-LT"/>
        </w:rPr>
        <w:t xml:space="preserve">Byloje tokios TV bokšto užėmimo aplinkybės ir oro desanto kariškių veiksmai ginčijami iš esmės tiek, kiek tai susiję su atskirų operacijai vadovavusių ir šioje byloje nuteistų TSRS GM 76-osios oro desanto divizijos kariškių veiksmais, todėl teisėjų kolegija apie tai pasisakys, analizuodama atskiriems šios divizijos daliniams vadovavusių ir šioje byloje pirmosios instancijos teismo nuosprendžiu nuteistų asmenų veiksmus. </w:t>
      </w:r>
    </w:p>
    <w:p w:rsidR="00DA38E9" w:rsidRPr="00055544" w:rsidRDefault="00DA38E9" w:rsidP="00DA38E9">
      <w:pPr>
        <w:pStyle w:val="ListParagraph"/>
        <w:numPr>
          <w:ilvl w:val="0"/>
          <w:numId w:val="6"/>
        </w:numPr>
        <w:spacing w:before="120" w:after="120"/>
        <w:ind w:left="993" w:hanging="993"/>
        <w:contextualSpacing w:val="0"/>
      </w:pPr>
      <w:r w:rsidRPr="00055544">
        <w:rPr>
          <w:szCs w:val="24"/>
        </w:rPr>
        <w:t xml:space="preserve">Kaip minėta, pagal teismo nuosprendžiu nustatytas aplinkybes TV bokšto užėmimo metu </w:t>
      </w:r>
      <w:r w:rsidRPr="00055544">
        <w:rPr>
          <w:szCs w:val="24"/>
          <w:lang w:eastAsia="lt-LT"/>
        </w:rPr>
        <w:t xml:space="preserve">TSRS GM 76-osios oro desanto divizijos </w:t>
      </w:r>
      <w:r w:rsidRPr="00055544">
        <w:rPr>
          <w:rFonts w:eastAsia="Calibri"/>
        </w:rPr>
        <w:t>234-ojo pulko kariškiai buvo padalinti į dvi grupes:</w:t>
      </w:r>
      <w:r w:rsidRPr="00055544">
        <w:t xml:space="preserve"> pirmajai kariškių grupei iš 2-ojo bataliono 4-osios ir 5-osios kuopų ir savaeigės artilerijos diviziono vadovavo nuteistieji A. Z., A. L. ir kiti karininkai, kurių atsakomybės klausimas šioje byloje nebuvo sprendžiamas. Antrajai kariškių grupei iš 3-iojo bataliono 8-osios ir 9-osios kuopų vadovavo </w:t>
      </w:r>
      <w:r w:rsidRPr="00055544">
        <w:rPr>
          <w:rFonts w:eastAsia="Calibri"/>
        </w:rPr>
        <w:t xml:space="preserve">nuteistieji V. D., A. G. 2, V. K. 2, E. M., S. K. ir kiti karininkai, </w:t>
      </w:r>
      <w:r w:rsidRPr="00055544">
        <w:t xml:space="preserve">kurių atsakomybės klausimas šioje byloje nebuvo sprendžiamas. Visiems šiems kariškiams TV bokšto šturmo metu, pagal skundžiamą nuosprendį, </w:t>
      </w:r>
      <w:r w:rsidRPr="00055544">
        <w:rPr>
          <w:rFonts w:eastAsia="Calibri"/>
        </w:rPr>
        <w:t>vadovavo ir jų veiksmus koordinavo TSRS GM 76-osios oro desanto divizijos 234-ojo pulko 3-iojo bataliono vadas V. S. 2 kartu su šios divizijos 234-ojo pulko vadu I. K. (ikiteisminis tyrimas nutrauktas), o pastarasis savo veiksmus ryšio priemonėmis tiesiogiai derino su vadovavimo štabe buvusiu šios divizijos vado pavaduotoju V. K. 1 (nuosprendžio 212–216 l., t. 770, b. l. 12–16).</w:t>
      </w:r>
      <w:r w:rsidRPr="00055544">
        <w:rPr>
          <w:rFonts w:eastAsia="Calibri"/>
          <w:szCs w:val="24"/>
        </w:rPr>
        <w:t xml:space="preserve"> </w:t>
      </w:r>
      <w:r w:rsidRPr="00055544">
        <w:rPr>
          <w:szCs w:val="24"/>
        </w:rPr>
        <w:t xml:space="preserve"> </w:t>
      </w:r>
    </w:p>
    <w:p w:rsidR="00DA38E9" w:rsidRPr="00C00255" w:rsidRDefault="00DA38E9" w:rsidP="00DA38E9">
      <w:pPr>
        <w:pStyle w:val="Heading4"/>
        <w:spacing w:before="120" w:after="120"/>
        <w:ind w:firstLine="992"/>
        <w:rPr>
          <w:rFonts w:ascii="Times New Roman" w:hAnsi="Times New Roman"/>
          <w:b w:val="0"/>
          <w:i/>
          <w:sz w:val="24"/>
          <w:szCs w:val="24"/>
        </w:rPr>
      </w:pPr>
      <w:r w:rsidRPr="00C00255">
        <w:rPr>
          <w:rFonts w:ascii="Times New Roman" w:hAnsi="Times New Roman"/>
          <w:b w:val="0"/>
          <w:i/>
          <w:sz w:val="24"/>
          <w:szCs w:val="24"/>
        </w:rPr>
        <w:t xml:space="preserve">Dėl nuteistųjų </w:t>
      </w:r>
      <w:r>
        <w:rPr>
          <w:rFonts w:ascii="Times New Roman" w:hAnsi="Times New Roman"/>
          <w:b w:val="0"/>
          <w:i/>
          <w:sz w:val="24"/>
          <w:szCs w:val="24"/>
        </w:rPr>
        <w:t>V. K. 1</w:t>
      </w:r>
      <w:r w:rsidRPr="00C00255">
        <w:rPr>
          <w:rFonts w:ascii="Times New Roman" w:hAnsi="Times New Roman"/>
          <w:b w:val="0"/>
          <w:i/>
          <w:sz w:val="24"/>
          <w:szCs w:val="24"/>
        </w:rPr>
        <w:t xml:space="preserve"> ir </w:t>
      </w:r>
      <w:r>
        <w:rPr>
          <w:rFonts w:ascii="Times New Roman" w:hAnsi="Times New Roman"/>
          <w:b w:val="0"/>
          <w:i/>
          <w:sz w:val="24"/>
          <w:szCs w:val="24"/>
        </w:rPr>
        <w:t>V. S. 2</w:t>
      </w:r>
      <w:r w:rsidRPr="00C00255">
        <w:rPr>
          <w:rFonts w:ascii="Times New Roman" w:hAnsi="Times New Roman"/>
          <w:b w:val="0"/>
          <w:i/>
          <w:sz w:val="24"/>
          <w:szCs w:val="24"/>
        </w:rPr>
        <w:t xml:space="preserve"> dalyvavimo užimant TV bokštą</w:t>
      </w:r>
    </w:p>
    <w:bookmarkEnd w:id="303"/>
    <w:p w:rsidR="00DA38E9" w:rsidRPr="00055544" w:rsidRDefault="00DA38E9" w:rsidP="00DA38E9">
      <w:pPr>
        <w:pStyle w:val="ListParagraph"/>
        <w:numPr>
          <w:ilvl w:val="0"/>
          <w:numId w:val="6"/>
        </w:numPr>
        <w:spacing w:before="120" w:after="120"/>
        <w:ind w:left="993" w:hanging="993"/>
        <w:contextualSpacing w:val="0"/>
        <w:rPr>
          <w:lang w:eastAsia="lt-LT"/>
        </w:rPr>
      </w:pPr>
      <w:r w:rsidRPr="00055544">
        <w:t xml:space="preserve">Apeliacinės instancijos teismo teisėjų kolegija, įvertinusi bylos medžiagą ir byloje pateiktų apeliacinių skundų argumentus dėl TV bokšto užėmime dalyvavusių kariškių vadovaujančio vaidmens, iš esmės sutinka su teismo išvadomis nustatant vadovaujamą nuteistųjų </w:t>
      </w:r>
      <w:r w:rsidRPr="00055544">
        <w:rPr>
          <w:szCs w:val="24"/>
        </w:rPr>
        <w:t xml:space="preserve">V. S. 2 ir V. K. 1 vaidmenį, tačiau įžvelgia pagrindą šių išvadų aprašymą tikslinti, atsižvelgiant į prokurorų apeliacinio skundo prašymą </w:t>
      </w:r>
      <w:r w:rsidRPr="00055544">
        <w:rPr>
          <w:szCs w:val="24"/>
          <w:lang w:eastAsia="lt-LT"/>
        </w:rPr>
        <w:t xml:space="preserve">papildyti pirmosios instancijos teismo nuosprendžio nustatomąją dalį aplinkybėmis, parodančiomis, kad vadovavimo štabe esantys aukščiausio rango kariškiai, t. y. ne tik V. K. 1, net ir nebūdami tarp tiesiogiai TV bokštą užimančių ir jį šturmuojančių kariškių, buvo pastariesiems įsakę </w:t>
      </w:r>
      <w:r w:rsidRPr="00055544">
        <w:rPr>
          <w:iCs/>
          <w:lang w:eastAsia="ar-SA" w:bidi="lt-LT"/>
        </w:rPr>
        <w:t>informuoti vadovavimo štabą apie karinės operacijos eigą ir rezultatus ir tokiu būdu taip pat koordinavo bei kontroliavo operacijos eigą (tokias aplinkybes pirmosios instancijos teismas nustatė, tačiau jas nurodė kitoje teismo nuosprendžio dalyje, t. y. nustatomojoje dalyje aprašant karinės operacijos planavimą, bet ne nustatomojoje dalyje, aprašant TV bokšto puolimą).</w:t>
      </w:r>
      <w:r w:rsidRPr="00055544">
        <w:rPr>
          <w:szCs w:val="24"/>
          <w:lang w:eastAsia="lt-LT"/>
        </w:rPr>
        <w:t xml:space="preserve">  </w:t>
      </w:r>
    </w:p>
    <w:p w:rsidR="00DA38E9" w:rsidRPr="00055544" w:rsidRDefault="00DA38E9" w:rsidP="00DA38E9">
      <w:pPr>
        <w:pStyle w:val="ListParagraph"/>
        <w:numPr>
          <w:ilvl w:val="0"/>
          <w:numId w:val="6"/>
        </w:numPr>
        <w:spacing w:before="120" w:after="120"/>
        <w:ind w:left="993" w:hanging="993"/>
        <w:contextualSpacing w:val="0"/>
      </w:pPr>
      <w:r w:rsidRPr="00055544">
        <w:rPr>
          <w:rFonts w:eastAsia="Calibri"/>
        </w:rPr>
        <w:t xml:space="preserve">Iš byloje pateiktos </w:t>
      </w:r>
      <w:r w:rsidRPr="00055544">
        <w:t>2014 m. birželio 10 d. specialisto išvados matyti, kad karybos techniką, taktiką ir metodiką išmanantis specialistas J. Andriškevičius, įvertinęs byloje surinktus objektyvius duomenis, o vadovavimo aspektu ir ypač svarbius vaizdo įrašus apie kariškių veiksmus ir jų tarpusavio pokalbių garso įrašus, nustatė, kad k</w:t>
      </w:r>
      <w:r w:rsidRPr="00055544">
        <w:rPr>
          <w:rFonts w:eastAsia="Calibri"/>
        </w:rPr>
        <w:t xml:space="preserve">arinei operacijai užimant TV bokštą vadovavo majoras V. S. 2. Jo veiksmus kontroliavo pulkininkas I. K.. Veiksmus koordinavo divizijos operatyvinės grupės vadovas V. K. 1. Užimant TV bokštą, TSRS VSK specialiosios paskirties grupės ,,A“ kariškiams vadovavo ir tarpusavio sąveiką organizavo M. G., o TSRS VSK grupės „A“ kariškių operatyvinių grupių veiklą užimant patalpas koordinavo M. K.. TSRS GM 107-osios motorizuotų šaulių divizijos veiksmus koordinavo generolas majoras V. U. 1 (TSRS GM 107-osios motorizuotų šaulių divizijos 77-ajam motorizuotų šaulių pulkui vadovavo pulkininkas A. G., o 106-ajam tankų pulkui – papulkininkis N. A.). Operacijos eigoje TSRS kariškių veiksmai turėjo būti koordinuojami iš operacijos vadovavimo štabo kariniame Šiaurės miestelyje ir TSRS GM </w:t>
      </w:r>
      <w:r w:rsidRPr="00055544">
        <w:t xml:space="preserve">76-osios oro desanto divizijos operatyvinės grupės (t. 480, b. l. 68, 75). </w:t>
      </w:r>
    </w:p>
    <w:p w:rsidR="00DA38E9" w:rsidRPr="00B822BF" w:rsidRDefault="00DA38E9" w:rsidP="00DA38E9">
      <w:pPr>
        <w:pStyle w:val="ListParagraph"/>
        <w:numPr>
          <w:ilvl w:val="0"/>
          <w:numId w:val="6"/>
        </w:numPr>
        <w:spacing w:before="120" w:after="120"/>
        <w:ind w:left="992" w:hanging="992"/>
        <w:contextualSpacing w:val="0"/>
      </w:pPr>
      <w:r w:rsidRPr="00055544">
        <w:rPr>
          <w:szCs w:val="24"/>
          <w:lang w:eastAsia="lt-LT"/>
        </w:rPr>
        <w:t>Šiame sprendime teisėjų kolegija jau pasisakė dėl vadovavimo štabo nario nuteistojo V. U. 1 vadovaujančio vaidmens užimant TV bokštą. Apie šio, tiesiogiai skundžiamo nuosprendžio nustatomojoje dalyje „</w:t>
      </w:r>
      <w:r w:rsidRPr="00055544">
        <w:rPr>
          <w:i/>
          <w:szCs w:val="24"/>
          <w:lang w:eastAsia="lt-LT"/>
        </w:rPr>
        <w:t>Lietuvos radijo ir televizijos centro (TV bokšto) užgrobimas</w:t>
      </w:r>
      <w:r w:rsidRPr="00055544">
        <w:rPr>
          <w:szCs w:val="24"/>
          <w:lang w:eastAsia="lt-LT"/>
        </w:rPr>
        <w:t>“ nenurodyto, nuteistojo vadovaujamą vaidmenį užimant TV bokštą, teismas sprendė iš byloje surinktų objektyvių įrodymų (jo pasirašytų įsakymų, kariškių pokalbių radijo ryšiu ir kt.), kurie kartu patvirtina ne tik V. U. 1, bet ir kitų minėtų vadovavimo štabo narių vaidmenį užimant visus strategiškai svarbius objektus. Vadovavimo štabas ir buvo įkurtas vadovavimui bei koordinavimui, todėl jo narių vaidmuo visoje karinėje operacijoje buvo itin svarbus ir negali būti nutylimas arba nuosprendyje nurodomas, pasakant tik t</w:t>
      </w:r>
      <w:r w:rsidR="00055544">
        <w:rPr>
          <w:szCs w:val="24"/>
          <w:lang w:eastAsia="lt-LT"/>
        </w:rPr>
        <w:t>iek, kad kariškiai, užimdami TV </w:t>
      </w:r>
      <w:r w:rsidRPr="00055544">
        <w:rPr>
          <w:szCs w:val="24"/>
          <w:lang w:eastAsia="lt-LT"/>
        </w:rPr>
        <w:t xml:space="preserve">bokštą, vykdė vadovavimo štabo užduotį ar planą </w:t>
      </w:r>
      <w:r w:rsidRPr="00055544">
        <w:t>(„</w:t>
      </w:r>
      <w:r w:rsidRPr="00055544">
        <w:rPr>
          <w:rFonts w:eastAsia="Calibri"/>
        </w:rPr>
        <w:t xml:space="preserve">Pagal vadovavimo štabo užduotį“ (nuosprendžio 212 l.), „vykdydami vadovavimo štabo planą“ (nuosprendžio 217 l.)), bet nenurodant, kad vadovavimo štabo nariai ir operacijos eigoje nuolat palaikė ryšį su operaciją tiesiogiai vykdžiusiais kariškiais bei koordinavo ir kontroliavo jos eigą. Iš teismo nuosprendžio visumos ir įrodytomis pripažintų aplinkybių, susijusių su karinės operacijos planavimo dalimi, aprašymo akivaizdu, kad pirmosios instancijos teismas tokį vadovavimo štabo narių vaidmenį nustatė, tačiau atsižvelgiant į nuosprendžio dydį ir struktūrą, vadovavimo štabo narių vaidmens nenurodymas, tiesiogiai aprašant TV bokšto užėmimo aplinkybes, yra ydingas ir gali sudaryti klaidingą įspūdį, kad visų operacijoje dalyvavusių TSRS kariškių veiksmus, t. y. ne tik oro desanto pajėgų, bet ir sausumos bei VSK kariškių veiksmus, vadovavimo štabe koordinavo vienintelis nuteistasis, t. y. </w:t>
      </w:r>
      <w:r w:rsidRPr="00055544">
        <w:t>TSRS GM 76-osios oro desanto divizijos vado pavaduotojas pulkininkas V. K. 1</w:t>
      </w:r>
      <w:r w:rsidRPr="00B822BF">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Apeliacinės instancijos teismas sutinka su teismo išvada, kad </w:t>
      </w:r>
      <w:r>
        <w:rPr>
          <w:szCs w:val="24"/>
          <w:lang w:eastAsia="lt-LT"/>
        </w:rPr>
        <w:t>V. K. 1</w:t>
      </w:r>
      <w:r w:rsidRPr="00C00255">
        <w:rPr>
          <w:szCs w:val="24"/>
          <w:lang w:eastAsia="lt-LT"/>
        </w:rPr>
        <w:t xml:space="preserve"> vadovavo jam tiesiogiai pavaldaus karinio dalinio, t. y. TSRS GM 76-osios oro desanto divizijos, kariškiams ir kitiems operacijos metu vietoje vadovavusiems kariškiams, ir lygiai taip pat sutinka su išvada, kad bendrus visų kariškių veiksmus koordinavo ir kiti nuosprendyje nurodytų ir šioje operacijoje dalyvavusių karinių dalinių vadai.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Skundžiamame nuosprendyje išvada apie </w:t>
      </w:r>
      <w:r>
        <w:rPr>
          <w:szCs w:val="24"/>
          <w:lang w:eastAsia="lt-LT"/>
        </w:rPr>
        <w:t>V. K. 1</w:t>
      </w:r>
      <w:r w:rsidRPr="00C00255">
        <w:rPr>
          <w:szCs w:val="24"/>
          <w:lang w:eastAsia="lt-LT"/>
        </w:rPr>
        <w:t xml:space="preserve"> dalyvavimą TV bokšto šturme, iš vadovavimo štabo koordinuojant puolime dalyvavusių kariškių veiksmus, iš esmės grindžiama </w:t>
      </w:r>
      <w:r>
        <w:rPr>
          <w:szCs w:val="24"/>
          <w:lang w:eastAsia="lt-LT"/>
        </w:rPr>
        <w:t>I. K.</w:t>
      </w:r>
      <w:r w:rsidRPr="00C00255">
        <w:rPr>
          <w:szCs w:val="24"/>
          <w:lang w:eastAsia="lt-LT"/>
        </w:rPr>
        <w:t xml:space="preserve"> paaiškinimu Sausumos kariuomenės vyriausiojo vado pirmajam pavaduotojui ir liudytojo </w:t>
      </w:r>
      <w:r>
        <w:rPr>
          <w:szCs w:val="24"/>
          <w:lang w:eastAsia="lt-LT"/>
        </w:rPr>
        <w:t>K. M.</w:t>
      </w:r>
      <w:r w:rsidRPr="00C00255">
        <w:rPr>
          <w:szCs w:val="24"/>
          <w:lang w:eastAsia="lt-LT"/>
        </w:rPr>
        <w:t xml:space="preserve"> parodymais (žr. nuosprendžio 436–437 l.). Teisėjų kolegijos įsitikinimu, pirmosios instancijos teismo išvadas dėl </w:t>
      </w:r>
      <w:r>
        <w:rPr>
          <w:szCs w:val="24"/>
          <w:lang w:eastAsia="lt-LT"/>
        </w:rPr>
        <w:t>V. K. 1</w:t>
      </w:r>
      <w:r w:rsidRPr="00C00255">
        <w:rPr>
          <w:szCs w:val="24"/>
          <w:lang w:eastAsia="lt-LT"/>
        </w:rPr>
        <w:t xml:space="preserve"> vaidmens šturmuojant TV bokštą, patvirtina ne tik minėti duomenys, tačiau BPK 20 straipsnio reikalavimus atitinkančių įrodymų visuma.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Antai, specialistas J. Andriškevičius, </w:t>
      </w:r>
      <w:r w:rsidRPr="00C00255">
        <w:rPr>
          <w:color w:val="000000"/>
          <w:szCs w:val="24"/>
          <w:lang w:eastAsia="lt-LT" w:bidi="lt-LT"/>
        </w:rPr>
        <w:t xml:space="preserve">įvertinęs byloje surinktų aktualių duomenų visumą, </w:t>
      </w:r>
      <w:r w:rsidRPr="00C00255">
        <w:rPr>
          <w:szCs w:val="24"/>
          <w:lang w:eastAsia="lt-LT"/>
        </w:rPr>
        <w:t xml:space="preserve">2014 m. birželio 10 d. išvada konstatavo, kad „operacijai užimant TV bokštą vadovavo majoras </w:t>
      </w:r>
      <w:r>
        <w:rPr>
          <w:szCs w:val="24"/>
          <w:lang w:eastAsia="lt-LT"/>
        </w:rPr>
        <w:t>V. S. 2</w:t>
      </w:r>
      <w:r w:rsidRPr="00C00255">
        <w:rPr>
          <w:szCs w:val="24"/>
          <w:lang w:eastAsia="lt-LT"/>
        </w:rPr>
        <w:t xml:space="preserve"> &lt;...&gt;. Jo veiksmus kontroliavo pulkininkas </w:t>
      </w:r>
      <w:r>
        <w:rPr>
          <w:szCs w:val="24"/>
          <w:lang w:eastAsia="lt-LT"/>
        </w:rPr>
        <w:t>I. K.</w:t>
      </w:r>
      <w:r w:rsidRPr="00C00255">
        <w:rPr>
          <w:szCs w:val="24"/>
          <w:lang w:eastAsia="lt-LT"/>
        </w:rPr>
        <w:t xml:space="preserve"> &lt;...&gt;. Veiksmus koordinavo 76 odd operatyvinės grupės Vilniuje vadovas pulkininkas </w:t>
      </w:r>
      <w:r>
        <w:rPr>
          <w:szCs w:val="24"/>
          <w:lang w:eastAsia="lt-LT"/>
        </w:rPr>
        <w:t>V. K. 1</w:t>
      </w:r>
      <w:r w:rsidRPr="00C00255">
        <w:rPr>
          <w:szCs w:val="24"/>
          <w:lang w:eastAsia="lt-LT"/>
        </w:rPr>
        <w:t xml:space="preserve">“ (t. 480, b. l. 75). Be to, panašūs duomenys užfiksuoti ir </w:t>
      </w:r>
      <w:r>
        <w:rPr>
          <w:szCs w:val="24"/>
          <w:lang w:eastAsia="lt-LT"/>
        </w:rPr>
        <w:t>I. K.</w:t>
      </w:r>
      <w:r w:rsidRPr="00C00255">
        <w:rPr>
          <w:szCs w:val="24"/>
          <w:lang w:eastAsia="lt-LT"/>
        </w:rPr>
        <w:t xml:space="preserve"> pasirašytame paaiškinime. Jame </w:t>
      </w:r>
      <w:r>
        <w:rPr>
          <w:szCs w:val="24"/>
          <w:lang w:eastAsia="lt-LT"/>
        </w:rPr>
        <w:t>I. K.</w:t>
      </w:r>
      <w:r w:rsidRPr="00C00255">
        <w:rPr>
          <w:szCs w:val="24"/>
          <w:lang w:eastAsia="lt-LT"/>
        </w:rPr>
        <w:t xml:space="preserve">, be kita ko, nurodė, kad Lietuvoje jų vyresniuoju buvo paskirtas pulkininkas </w:t>
      </w:r>
      <w:r>
        <w:rPr>
          <w:szCs w:val="24"/>
          <w:lang w:eastAsia="lt-LT"/>
        </w:rPr>
        <w:t>V. K. 1</w:t>
      </w:r>
      <w:r w:rsidRPr="00C00255">
        <w:rPr>
          <w:szCs w:val="24"/>
          <w:lang w:eastAsia="lt-LT"/>
        </w:rPr>
        <w:t xml:space="preserve">, kuriam jis buvo pavaldus ir vykdė jo duodamus paliepimus. 1991 m. sausio 12-osios vakarą </w:t>
      </w:r>
      <w:r>
        <w:rPr>
          <w:szCs w:val="24"/>
          <w:lang w:eastAsia="lt-LT"/>
        </w:rPr>
        <w:t>V. K. 1</w:t>
      </w:r>
      <w:r w:rsidRPr="00C00255">
        <w:rPr>
          <w:szCs w:val="24"/>
          <w:lang w:eastAsia="lt-LT"/>
        </w:rPr>
        <w:t xml:space="preserve"> jam įsakė parengti dvi grupes žygiui – viena iš jų turėjo paimti saugoti TV bokštą, o 1-ą val. nakties </w:t>
      </w:r>
      <w:r>
        <w:rPr>
          <w:szCs w:val="24"/>
          <w:lang w:eastAsia="lt-LT"/>
        </w:rPr>
        <w:t>V. K. 1</w:t>
      </w:r>
      <w:r w:rsidRPr="00C00255">
        <w:rPr>
          <w:szCs w:val="24"/>
          <w:lang w:eastAsia="lt-LT"/>
        </w:rPr>
        <w:t xml:space="preserve"> jam žodžiu įsakė pradėti šią operaciją bei nurodė, kaip ir kada galima naudoti šovinius (t. 191, b. l. 148–149; t. 191, b. l. 146–147). Taigi vien jau šie duomenys patvirtina apie tai, kad operacijos prie TV bokšto metu veiksmai buvo derinami su </w:t>
      </w:r>
      <w:r>
        <w:rPr>
          <w:szCs w:val="24"/>
          <w:lang w:eastAsia="lt-LT"/>
        </w:rPr>
        <w:t>V. K. 1</w:t>
      </w:r>
      <w:r w:rsidRPr="00C00255">
        <w:rPr>
          <w:szCs w:val="24"/>
          <w:lang w:eastAsia="lt-LT"/>
        </w:rPr>
        <w:t xml:space="preserve">.  </w:t>
      </w:r>
    </w:p>
    <w:p w:rsidR="00DA38E9" w:rsidRPr="00055544" w:rsidRDefault="00DA38E9" w:rsidP="00DA38E9">
      <w:pPr>
        <w:pStyle w:val="ListParagraph"/>
        <w:numPr>
          <w:ilvl w:val="0"/>
          <w:numId w:val="6"/>
        </w:numPr>
        <w:spacing w:before="120" w:after="120"/>
        <w:ind w:left="992" w:hanging="992"/>
        <w:contextualSpacing w:val="0"/>
      </w:pPr>
      <w:r w:rsidRPr="00C00255">
        <w:rPr>
          <w:szCs w:val="24"/>
          <w:lang w:eastAsia="lt-LT"/>
        </w:rPr>
        <w:t xml:space="preserve">Tokias aplinkybes patvirtina ir liudytojo </w:t>
      </w:r>
      <w:r>
        <w:rPr>
          <w:szCs w:val="24"/>
          <w:lang w:eastAsia="lt-LT"/>
        </w:rPr>
        <w:t>M. P.</w:t>
      </w:r>
      <w:r w:rsidRPr="00C00255">
        <w:rPr>
          <w:szCs w:val="24"/>
          <w:lang w:eastAsia="lt-LT"/>
        </w:rPr>
        <w:t>, kuris</w:t>
      </w:r>
      <w:r w:rsidRPr="00C00255">
        <w:rPr>
          <w:szCs w:val="24"/>
        </w:rPr>
        <w:t xml:space="preserve"> apklaustas teisiamajame posėdyje jau ne kartą minėtoje </w:t>
      </w:r>
      <w:r>
        <w:rPr>
          <w:bCs/>
          <w:szCs w:val="24"/>
        </w:rPr>
        <w:t>M. B.</w:t>
      </w:r>
      <w:r w:rsidRPr="00C00255">
        <w:rPr>
          <w:bCs/>
          <w:szCs w:val="24"/>
        </w:rPr>
        <w:t xml:space="preserve">, </w:t>
      </w:r>
      <w:r>
        <w:rPr>
          <w:bCs/>
          <w:szCs w:val="24"/>
        </w:rPr>
        <w:t>J. K.</w:t>
      </w:r>
      <w:r w:rsidRPr="00C00255">
        <w:rPr>
          <w:bCs/>
          <w:szCs w:val="24"/>
        </w:rPr>
        <w:t xml:space="preserve"> ir kt. byloje</w:t>
      </w:r>
      <w:r w:rsidRPr="00C00255">
        <w:rPr>
          <w:szCs w:val="24"/>
          <w:lang w:eastAsia="lt-LT"/>
        </w:rPr>
        <w:t xml:space="preserve"> dėl tų pačių įvykių, parodymai. </w:t>
      </w:r>
      <w:r>
        <w:rPr>
          <w:szCs w:val="24"/>
          <w:lang w:eastAsia="lt-LT"/>
        </w:rPr>
        <w:t>M. P.</w:t>
      </w:r>
      <w:r w:rsidRPr="00C00255">
        <w:rPr>
          <w:szCs w:val="24"/>
          <w:lang w:eastAsia="lt-LT"/>
        </w:rPr>
        <w:t xml:space="preserve"> nurodė, kad jam teko apklausti </w:t>
      </w:r>
      <w:r>
        <w:rPr>
          <w:szCs w:val="24"/>
          <w:lang w:eastAsia="lt-LT"/>
        </w:rPr>
        <w:t>I. K.</w:t>
      </w:r>
      <w:r w:rsidRPr="00C00255">
        <w:rPr>
          <w:szCs w:val="24"/>
          <w:lang w:eastAsia="lt-LT"/>
        </w:rPr>
        <w:t xml:space="preserve">. Pastarasis nurodė, kad jis ir </w:t>
      </w:r>
      <w:r>
        <w:rPr>
          <w:szCs w:val="24"/>
          <w:lang w:eastAsia="lt-LT"/>
        </w:rPr>
        <w:t>V. K. 1</w:t>
      </w:r>
      <w:r w:rsidRPr="00C00255">
        <w:rPr>
          <w:szCs w:val="24"/>
          <w:lang w:eastAsia="lt-LT"/>
        </w:rPr>
        <w:t xml:space="preserve"> buvo vyresnieji karininkai, o Vilniuje </w:t>
      </w:r>
      <w:r>
        <w:rPr>
          <w:szCs w:val="24"/>
          <w:lang w:eastAsia="lt-LT"/>
        </w:rPr>
        <w:t>I. K.</w:t>
      </w:r>
      <w:r w:rsidRPr="00C00255">
        <w:rPr>
          <w:szCs w:val="24"/>
          <w:lang w:eastAsia="lt-LT"/>
        </w:rPr>
        <w:t xml:space="preserve"> vadovavo pulkininkas </w:t>
      </w:r>
      <w:r>
        <w:rPr>
          <w:szCs w:val="24"/>
          <w:lang w:eastAsia="lt-LT"/>
        </w:rPr>
        <w:t>V. K. 1</w:t>
      </w:r>
      <w:r w:rsidRPr="00C00255">
        <w:rPr>
          <w:szCs w:val="24"/>
          <w:lang w:eastAsia="lt-LT"/>
        </w:rPr>
        <w:t xml:space="preserve"> (t. 374, b. l. 62). Atitinkamai nagrinėjamoje baudžiamojoje byloje yra vaizdinė medžiaga, kurioje užfiksuota, kaip </w:t>
      </w:r>
      <w:r>
        <w:rPr>
          <w:szCs w:val="24"/>
          <w:lang w:eastAsia="lt-LT"/>
        </w:rPr>
        <w:t>M. P.</w:t>
      </w:r>
      <w:r w:rsidRPr="00C00255">
        <w:rPr>
          <w:szCs w:val="24"/>
          <w:lang w:eastAsia="lt-LT"/>
        </w:rPr>
        <w:t xml:space="preserve"> komentuoja jam rodomus vaizdo reportažus ir nuotraukas apie 1991 m. sausio 13 d. įvykius Vilniuje (žr. vaizdo įrašą, esantį kompaktiniame diske „3A kasetė 2 dalis“; t. 493, b. l. 52). Iš vaizdo įrašų apžiūros protokolo matyti, kad </w:t>
      </w:r>
      <w:r>
        <w:rPr>
          <w:szCs w:val="24"/>
          <w:lang w:eastAsia="lt-LT"/>
        </w:rPr>
        <w:t>M. P.</w:t>
      </w:r>
      <w:r w:rsidRPr="00C00255">
        <w:rPr>
          <w:szCs w:val="24"/>
          <w:lang w:eastAsia="lt-LT"/>
        </w:rPr>
        <w:t xml:space="preserve"> parodžius vieną iš nuotraukų, jis nurodė joje matąs pulkininką </w:t>
      </w:r>
      <w:r>
        <w:rPr>
          <w:szCs w:val="24"/>
          <w:lang w:eastAsia="lt-LT"/>
        </w:rPr>
        <w:t>V. K. 1</w:t>
      </w:r>
      <w:r w:rsidRPr="00C00255">
        <w:rPr>
          <w:szCs w:val="24"/>
          <w:lang w:eastAsia="lt-LT"/>
        </w:rPr>
        <w:t xml:space="preserve">, kuris aktyviai dalyvavo sausio 11 ir 13 d. įvykiuose Vilniuje ir ėjo vado pareigas. Rodant tolesnius vaizdo reportažus, šis asmuo parodė, kad </w:t>
      </w:r>
      <w:r>
        <w:rPr>
          <w:szCs w:val="24"/>
          <w:lang w:eastAsia="lt-LT"/>
        </w:rPr>
        <w:t>V. K. 1</w:t>
      </w:r>
      <w:r w:rsidRPr="00C00255">
        <w:rPr>
          <w:szCs w:val="24"/>
          <w:lang w:eastAsia="lt-LT"/>
        </w:rPr>
        <w:t xml:space="preserve"> ir dar keli vadai „UAZ“ mašina, valst. Nr. 19-81 A1, apvažiavo TV bokšto, LRT objektus (t. 493, b. l. 37; žr. vaizdo įrašą nuo 46 min. 46 sek. iki 49 min. 35 sek.). Taigi, teisėjų kolegijos vertinimu, ir šio liudytojo parodymai leidžia daryti išvadas apie </w:t>
      </w:r>
      <w:r>
        <w:rPr>
          <w:szCs w:val="24"/>
          <w:lang w:eastAsia="lt-LT"/>
        </w:rPr>
        <w:t>V. K. 1</w:t>
      </w:r>
      <w:r w:rsidRPr="00C00255">
        <w:rPr>
          <w:szCs w:val="24"/>
          <w:lang w:eastAsia="lt-LT"/>
        </w:rPr>
        <w:t xml:space="preserve"> bei tuo pačiu vadovavimo štabo vadovaujamą vaidmenį TSRS GM 76-osios oro desanto divizijos kariškiams ir </w:t>
      </w:r>
      <w:r w:rsidRPr="00B822BF">
        <w:rPr>
          <w:rFonts w:eastAsia="Calibri"/>
        </w:rPr>
        <w:t xml:space="preserve">234-ojo pulko vadui I. K., </w:t>
      </w:r>
      <w:r w:rsidRPr="00055544">
        <w:rPr>
          <w:rFonts w:eastAsia="Calibri"/>
        </w:rPr>
        <w:t xml:space="preserve">kurio atžvilgiu tyrimas buvo nutrauktas ir jo atsakomybės klausimas šioje byloje nėra sprendžiamas (dėl šios priežasties teisėjų kolegija šio asmens veiksmų ir atsakomybės nevertina, bet </w:t>
      </w:r>
      <w:r w:rsidRPr="00055544">
        <w:t xml:space="preserve">įvardija siekiant aiškiai atskleisti kariškių tarpusavio pavaldumo ryšius ir statusą, </w:t>
      </w:r>
      <w:r w:rsidRPr="00055544">
        <w:rPr>
          <w:rFonts w:eastAsia="Calibri"/>
        </w:rPr>
        <w:t xml:space="preserve">taigi nesprendžia ir prokurorų prašymo dėl jo veiksmų detalizavimo ir pan.).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Teisėjų kolegijos įsitikinimą apie </w:t>
      </w:r>
      <w:r>
        <w:rPr>
          <w:color w:val="000000"/>
          <w:szCs w:val="24"/>
          <w:lang w:eastAsia="lt-LT" w:bidi="lt-LT"/>
        </w:rPr>
        <w:t>V. K. 1</w:t>
      </w:r>
      <w:r w:rsidRPr="00C00255">
        <w:rPr>
          <w:color w:val="000000"/>
          <w:szCs w:val="24"/>
          <w:lang w:eastAsia="lt-LT" w:bidi="lt-LT"/>
        </w:rPr>
        <w:t xml:space="preserve"> vaidmenį, koordinuojant TV bokšto užėmimo operaciją, formuoja bei anksčiau minėtų įrodymų patikimumą leidžia patikrinti</w:t>
      </w:r>
      <w:r w:rsidRPr="00C00255">
        <w:rPr>
          <w:szCs w:val="24"/>
          <w:lang w:eastAsia="lt-LT" w:bidi="lt-LT"/>
        </w:rPr>
        <w:t xml:space="preserve"> 2017 m. kovo 24 d. </w:t>
      </w:r>
      <w:r w:rsidRPr="00C00255">
        <w:rPr>
          <w:szCs w:val="24"/>
          <w:lang w:eastAsia="lt-LT"/>
        </w:rPr>
        <w:t xml:space="preserve">teisiamajame posėdyje </w:t>
      </w:r>
      <w:r w:rsidRPr="00C00255">
        <w:rPr>
          <w:szCs w:val="24"/>
          <w:lang w:eastAsia="lt-LT" w:bidi="lt-LT"/>
        </w:rPr>
        <w:t xml:space="preserve">perskaityti ikiteisminio tyrimo pareigūno liudytojais apklaustų ir šio proceso baigtimi nesuinteresuotų kitų </w:t>
      </w:r>
      <w:r w:rsidRPr="00C00255">
        <w:rPr>
          <w:szCs w:val="24"/>
          <w:lang w:eastAsia="lt-LT"/>
        </w:rPr>
        <w:t xml:space="preserve">TV bokšto šturme dalyvavusių </w:t>
      </w:r>
      <w:r w:rsidRPr="00C00255">
        <w:rPr>
          <w:szCs w:val="24"/>
          <w:lang w:eastAsia="lt-LT" w:bidi="lt-LT"/>
        </w:rPr>
        <w:t>kariškių</w:t>
      </w:r>
      <w:r w:rsidRPr="00C00255">
        <w:rPr>
          <w:szCs w:val="24"/>
        </w:rPr>
        <w:t xml:space="preserve"> parodymai (t. 758, b. l. 180–181). Pirmiausia, pažymėtini tuometinio karinio dalinio Nr. 74268 ryšio kuopos vyr. mechaniko-vairuotojo </w:t>
      </w:r>
      <w:r>
        <w:rPr>
          <w:szCs w:val="24"/>
        </w:rPr>
        <w:t>K. M.</w:t>
      </w:r>
      <w:r w:rsidRPr="00C00255">
        <w:rPr>
          <w:szCs w:val="24"/>
        </w:rPr>
        <w:t xml:space="preserve"> parodymai. Pastarasis nurodė, kad jų kuopos užduotis buvo su korespondentais palaikyti nuolatinį radijo ryšį. Jis prie TV bokšto važiavo specialia ryšio mašina BMD, kurioje buvo S. M</w:t>
      </w:r>
      <w:r>
        <w:rPr>
          <w:szCs w:val="24"/>
        </w:rPr>
        <w:t>.</w:t>
      </w:r>
      <w:r w:rsidRPr="00C00255">
        <w:rPr>
          <w:szCs w:val="24"/>
        </w:rPr>
        <w:t>, A. K</w:t>
      </w:r>
      <w:r>
        <w:rPr>
          <w:szCs w:val="24"/>
        </w:rPr>
        <w:t>.</w:t>
      </w:r>
      <w:r w:rsidRPr="00C00255">
        <w:rPr>
          <w:szCs w:val="24"/>
        </w:rPr>
        <w:t xml:space="preserve">, pulko vadas </w:t>
      </w:r>
      <w:r>
        <w:rPr>
          <w:szCs w:val="24"/>
        </w:rPr>
        <w:t>I. K.</w:t>
      </w:r>
      <w:r w:rsidRPr="00C00255">
        <w:rPr>
          <w:szCs w:val="24"/>
        </w:rPr>
        <w:t xml:space="preserve"> ir dar du asmenys. Jų radijo ryšio šaukinys buvo „Parketas“, jie iš savo mašinos palaikė ryšį su kariniu miesteliu, kurio šaukinys buvo „Granitas“. Ryšį su jais iš karinio miestelio palaikė divizijos vado pavaduotojas pulkininkas </w:t>
      </w:r>
      <w:r>
        <w:rPr>
          <w:szCs w:val="24"/>
        </w:rPr>
        <w:t>V. K. 1</w:t>
      </w:r>
      <w:r w:rsidRPr="00C00255">
        <w:rPr>
          <w:szCs w:val="24"/>
        </w:rPr>
        <w:t xml:space="preserve">. Jiems būnant prie TV bokšto, visi sėdėjo mašinoje, o pulko vadas </w:t>
      </w:r>
      <w:r>
        <w:rPr>
          <w:szCs w:val="24"/>
        </w:rPr>
        <w:t>I. K.</w:t>
      </w:r>
      <w:r w:rsidRPr="00C00255">
        <w:rPr>
          <w:szCs w:val="24"/>
        </w:rPr>
        <w:t xml:space="preserve"> visą buvimo mašinoje laiką palaikė ryšį su karininkais, kurie dalyvavo operacijoje, domėjosi operacijos eiga. Iš mašinos išlipo tik operacijos pabaigoje (t. 433, b. l. 95–97, t. 120, b. l. 149–154). Tai, kad minėtame ekipaže mašinoje BMD KŠM, kurios borto Nr. 600, buvo liudytojai S. M</w:t>
      </w:r>
      <w:r>
        <w:rPr>
          <w:szCs w:val="24"/>
        </w:rPr>
        <w:t>.</w:t>
      </w:r>
      <w:r w:rsidRPr="00C00255">
        <w:rPr>
          <w:szCs w:val="24"/>
        </w:rPr>
        <w:t xml:space="preserve">, </w:t>
      </w:r>
      <w:r>
        <w:rPr>
          <w:szCs w:val="24"/>
        </w:rPr>
        <w:t>K. M.</w:t>
      </w:r>
      <w:r w:rsidRPr="00C00255">
        <w:rPr>
          <w:szCs w:val="24"/>
        </w:rPr>
        <w:t xml:space="preserve"> bei vadas </w:t>
      </w:r>
      <w:r>
        <w:rPr>
          <w:szCs w:val="24"/>
        </w:rPr>
        <w:t>I. K.</w:t>
      </w:r>
      <w:r w:rsidRPr="00C00255">
        <w:rPr>
          <w:szCs w:val="24"/>
        </w:rPr>
        <w:t>, parodė ir liudytojas A. K</w:t>
      </w:r>
      <w:r>
        <w:rPr>
          <w:szCs w:val="24"/>
        </w:rPr>
        <w:t>.</w:t>
      </w:r>
      <w:r w:rsidRPr="00C00255">
        <w:rPr>
          <w:szCs w:val="24"/>
        </w:rPr>
        <w:t xml:space="preserve"> (t.</w:t>
      </w:r>
      <w:r>
        <w:rPr>
          <w:szCs w:val="24"/>
        </w:rPr>
        <w:t> </w:t>
      </w:r>
      <w:r w:rsidRPr="00C00255">
        <w:rPr>
          <w:szCs w:val="24"/>
        </w:rPr>
        <w:t>433, b. l. 85–89, t. 120, b. l. 125–136). Liudytojas S. M</w:t>
      </w:r>
      <w:r>
        <w:rPr>
          <w:szCs w:val="24"/>
        </w:rPr>
        <w:t>.</w:t>
      </w:r>
      <w:r w:rsidRPr="00C00255">
        <w:rPr>
          <w:szCs w:val="24"/>
        </w:rPr>
        <w:t xml:space="preserve"> nurodė, kad toje pačioje mašinoje BMD KŠM, kurios borto Nr. 600, kartu su juo, </w:t>
      </w:r>
      <w:r>
        <w:rPr>
          <w:szCs w:val="24"/>
        </w:rPr>
        <w:t>K. M.</w:t>
      </w:r>
      <w:r w:rsidRPr="00C00255">
        <w:rPr>
          <w:szCs w:val="24"/>
        </w:rPr>
        <w:t xml:space="preserve"> ir A. K</w:t>
      </w:r>
      <w:r>
        <w:rPr>
          <w:szCs w:val="24"/>
        </w:rPr>
        <w:t>.</w:t>
      </w:r>
      <w:r w:rsidRPr="00C00255">
        <w:rPr>
          <w:szCs w:val="24"/>
        </w:rPr>
        <w:t xml:space="preserve"> važiavo ne tik </w:t>
      </w:r>
      <w:r>
        <w:rPr>
          <w:szCs w:val="24"/>
        </w:rPr>
        <w:t>I. K.</w:t>
      </w:r>
      <w:r w:rsidRPr="00C00255">
        <w:rPr>
          <w:szCs w:val="24"/>
        </w:rPr>
        <w:t xml:space="preserve">, bet ir 3-iojo bataliono vadas majoras </w:t>
      </w:r>
      <w:r>
        <w:rPr>
          <w:szCs w:val="24"/>
        </w:rPr>
        <w:t>V. S. 2</w:t>
      </w:r>
      <w:r w:rsidRPr="00C00255">
        <w:rPr>
          <w:szCs w:val="24"/>
        </w:rPr>
        <w:t xml:space="preserve"> (t. 433,</w:t>
      </w:r>
      <w:r>
        <w:rPr>
          <w:szCs w:val="24"/>
        </w:rPr>
        <w:t xml:space="preserve"> </w:t>
      </w:r>
      <w:r w:rsidRPr="00C00255">
        <w:rPr>
          <w:szCs w:val="24"/>
        </w:rPr>
        <w:t>b.</w:t>
      </w:r>
      <w:r>
        <w:rPr>
          <w:szCs w:val="24"/>
        </w:rPr>
        <w:t> </w:t>
      </w:r>
      <w:r w:rsidRPr="00C00255">
        <w:rPr>
          <w:szCs w:val="24"/>
        </w:rPr>
        <w:t>l.</w:t>
      </w:r>
      <w:r>
        <w:rPr>
          <w:szCs w:val="24"/>
        </w:rPr>
        <w:t> </w:t>
      </w:r>
      <w:r w:rsidRPr="00C00255">
        <w:rPr>
          <w:szCs w:val="24"/>
        </w:rPr>
        <w:t>90–94, t. 120, b. l. 137–148). Apie tai, kad užimant TV bokštą buvo panaudota speciali desantininkų kovinė mašina (BMD), kuri yra ir vadavietės ar vadovavimo štabo mašina (KŠM, bylos medžiagoje taip pat ir KŠ), borto Nr. 600, yra nurodyta ir byloje esančiame prie TV</w:t>
      </w:r>
      <w:r>
        <w:rPr>
          <w:szCs w:val="24"/>
        </w:rPr>
        <w:t> </w:t>
      </w:r>
      <w:r w:rsidRPr="00C00255">
        <w:rPr>
          <w:szCs w:val="24"/>
        </w:rPr>
        <w:t>bokšto panaudotos kovinės technikos sąraše (t. 429, b. l. 107, t. 116, b. l. 142).</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rPr>
        <w:t xml:space="preserve">Sprendžiant dėl nuteistojo </w:t>
      </w:r>
      <w:r>
        <w:rPr>
          <w:szCs w:val="24"/>
        </w:rPr>
        <w:t>V. K. 1</w:t>
      </w:r>
      <w:r w:rsidRPr="00C00255">
        <w:rPr>
          <w:szCs w:val="24"/>
        </w:rPr>
        <w:t xml:space="preserve"> ir vadovavimo štabo vaidmens TV bokšto užėmimo operacijoje, itin svarbios liudytojo </w:t>
      </w:r>
      <w:r>
        <w:rPr>
          <w:szCs w:val="24"/>
        </w:rPr>
        <w:t>K. M.</w:t>
      </w:r>
      <w:r w:rsidRPr="00C00255">
        <w:rPr>
          <w:szCs w:val="24"/>
        </w:rPr>
        <w:t xml:space="preserve"> nurodytos aplinkybės apie šios operacijos metu </w:t>
      </w:r>
      <w:r>
        <w:rPr>
          <w:szCs w:val="24"/>
        </w:rPr>
        <w:t>V. K. 1</w:t>
      </w:r>
      <w:r w:rsidRPr="00C00255">
        <w:rPr>
          <w:szCs w:val="24"/>
        </w:rPr>
        <w:t xml:space="preserve"> naudotą šaukinį. Liudytojas nurodė, kad karinio miestelio šaukinys radijo ryšiu buvo „Granitas“, o su jais iš miestelio ryšį palaikė būtent </w:t>
      </w:r>
      <w:r>
        <w:rPr>
          <w:szCs w:val="24"/>
        </w:rPr>
        <w:t>V. K. 1</w:t>
      </w:r>
      <w:r w:rsidRPr="00C00255">
        <w:rPr>
          <w:szCs w:val="24"/>
        </w:rPr>
        <w:t xml:space="preserve">. Iš byloje užfiksuotų kariškių pokalbių per radijo ryšį matyti, kad sausio 13-osios naktį vienas iš kariškių, kuris domėjosi operacijos eiga bei davė tam tikrus nurodymus, išties naudojo šaukinį „Granitas“ („Granit“ arba „Granit-82“(žr. pažymą apie eterio kontrolę sausio 13 d. (t. 298, b. l. 73–87; t. 298, b. l. 60–72).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rPr>
        <w:t xml:space="preserve">Taigi minėtų parodymų visuma leidžia daryti išvadą, kad specialioje desantininkų vadavietės kovinėje mašinoje (BMD KŠM), kurios borto Nr. 600, buvę ekipažo nariai, kartu ir aukščiausias pareigas prie TV bokšto užėmę TSRS GM 76-osios oro desanto divizijos 234-ojo pulko karininkai – </w:t>
      </w:r>
      <w:r>
        <w:rPr>
          <w:szCs w:val="24"/>
        </w:rPr>
        <w:t>V. S. 2</w:t>
      </w:r>
      <w:r w:rsidRPr="00C00255">
        <w:rPr>
          <w:szCs w:val="24"/>
        </w:rPr>
        <w:t xml:space="preserve"> ir </w:t>
      </w:r>
      <w:r>
        <w:rPr>
          <w:szCs w:val="24"/>
        </w:rPr>
        <w:t>I. K.</w:t>
      </w:r>
      <w:r w:rsidRPr="00C00255">
        <w:rPr>
          <w:szCs w:val="24"/>
        </w:rPr>
        <w:t xml:space="preserve">, palaikė ryšį su savo divizijos vado pavaduotoju pulkininku </w:t>
      </w:r>
      <w:r>
        <w:rPr>
          <w:szCs w:val="24"/>
        </w:rPr>
        <w:t>V. K. 1</w:t>
      </w:r>
      <w:r w:rsidRPr="00C00255">
        <w:rPr>
          <w:szCs w:val="24"/>
        </w:rPr>
        <w:t xml:space="preserve">. Teisėjų kolegijos įsitikinimu, šie tarpusavyje atitinkantys ir vieni kitus papildantys duomenys aiškiai rodo apie </w:t>
      </w:r>
      <w:r>
        <w:rPr>
          <w:szCs w:val="24"/>
        </w:rPr>
        <w:t>V. K. 1</w:t>
      </w:r>
      <w:r w:rsidRPr="00C00255">
        <w:rPr>
          <w:szCs w:val="24"/>
        </w:rPr>
        <w:t xml:space="preserve"> ir vadovavimo štabo vaidmenį operacijos metu ir leidžia daryti išvadą, kad operacijos metu tiesiogiai vietoje vadovavę kariškiai savo veiksmus derino būtent su vadovavimo štabu ir jame buvusiu </w:t>
      </w:r>
      <w:r w:rsidRPr="00C00255">
        <w:rPr>
          <w:rFonts w:eastAsia="Calibri"/>
          <w:szCs w:val="24"/>
        </w:rPr>
        <w:t xml:space="preserve">TSRS GM </w:t>
      </w:r>
      <w:r w:rsidRPr="00C00255">
        <w:rPr>
          <w:szCs w:val="24"/>
        </w:rPr>
        <w:t xml:space="preserve">76-osios oro desanto divizijos vado pavaduotoju pulkininku </w:t>
      </w:r>
      <w:r>
        <w:rPr>
          <w:szCs w:val="24"/>
        </w:rPr>
        <w:t>V. K. 1</w:t>
      </w:r>
      <w:r w:rsidRPr="00C00255">
        <w:rPr>
          <w:szCs w:val="24"/>
        </w:rPr>
        <w:t xml:space="preserve">. Visa tai, teisėjų kolegijai leidžia konstatuoti, kad skundžiamu nuosprendžiu nuteistajam </w:t>
      </w:r>
      <w:r>
        <w:rPr>
          <w:szCs w:val="24"/>
        </w:rPr>
        <w:t>V. K. 1</w:t>
      </w:r>
      <w:r w:rsidRPr="00C00255">
        <w:rPr>
          <w:szCs w:val="24"/>
        </w:rPr>
        <w:t xml:space="preserve"> inkriminuotos aplinkybės, susijusios su jo dalyvavimu užimant TV bokštą, koordinuojant kariškių veiksmus, pasitvirtino kaip pagrįstos ir teisingos.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Minėtų išvadų pagrįstumui ir teisėtumui neturi įtakos nuteistojo </w:t>
      </w:r>
      <w:r>
        <w:rPr>
          <w:szCs w:val="24"/>
          <w:lang w:eastAsia="lt-LT" w:bidi="lt-LT"/>
        </w:rPr>
        <w:t>V. K. 1</w:t>
      </w:r>
      <w:r w:rsidRPr="00C00255">
        <w:rPr>
          <w:szCs w:val="24"/>
          <w:lang w:eastAsia="lt-LT" w:bidi="lt-LT"/>
        </w:rPr>
        <w:t xml:space="preserve"> gynėjos argumentai apie tai, kad</w:t>
      </w:r>
      <w:r w:rsidRPr="00C00255">
        <w:rPr>
          <w:szCs w:val="24"/>
        </w:rPr>
        <w:t xml:space="preserve"> apklausti Pskovo oro desanto divizijos desantininkai teigė, kad puolimas nebuvo nukreiptas prieš civilius gyventojus, jie buvo įpareigoti nešaudyti į žmonių minią ir tik, esant būtinumui, siekdami atstumti žmones, galėjo panaudoti artimos kovos veiksmus.</w:t>
      </w:r>
      <w:r w:rsidRPr="00C00255">
        <w:rPr>
          <w:szCs w:val="24"/>
          <w:lang w:eastAsia="lt-LT" w:bidi="lt-LT"/>
        </w:rPr>
        <w:t xml:space="preserve"> Byloje surinktų įrodymų visuma, jau aptarti įrodymai apie keliomis dienomis anksčiau vykusį Spaudos rūmų užėmimą ir tiesioginį paties </w:t>
      </w:r>
      <w:r>
        <w:rPr>
          <w:szCs w:val="24"/>
          <w:lang w:eastAsia="lt-LT" w:bidi="lt-LT"/>
        </w:rPr>
        <w:t>V. K. 1</w:t>
      </w:r>
      <w:r w:rsidRPr="00C00255">
        <w:rPr>
          <w:szCs w:val="24"/>
          <w:lang w:eastAsia="lt-LT" w:bidi="lt-LT"/>
        </w:rPr>
        <w:t xml:space="preserve"> brutalų vaidmenį prie šio objekto, panaudojant šaunamąjį ginklą bei sužalojant </w:t>
      </w:r>
      <w:r>
        <w:rPr>
          <w:szCs w:val="24"/>
          <w:lang w:eastAsia="lt-LT" w:bidi="lt-LT"/>
        </w:rPr>
        <w:t>V. L.</w:t>
      </w:r>
      <w:r w:rsidRPr="00C00255">
        <w:rPr>
          <w:szCs w:val="24"/>
          <w:lang w:eastAsia="lt-LT" w:bidi="lt-LT"/>
        </w:rPr>
        <w:t>, dar didesnių karinių pajėgų pasiuntimas siekiant užimti TV bokštą, žinant apie didelį skaičių ten esančių civilių ir neabejotinas civilių aukas, pritarimas kariškių veiksmams vietoje, aiškiai rodo, kad tokie gynybos argumentai yra deklaratyvūs ir nepagrįsti.</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bidi="lt-LT"/>
        </w:rPr>
        <w:t xml:space="preserve">Nuteistojo </w:t>
      </w:r>
      <w:r>
        <w:rPr>
          <w:szCs w:val="24"/>
          <w:lang w:eastAsia="lt-LT" w:bidi="lt-LT"/>
        </w:rPr>
        <w:t>V. S. 2</w:t>
      </w:r>
      <w:r w:rsidRPr="00C00255">
        <w:rPr>
          <w:szCs w:val="24"/>
          <w:lang w:eastAsia="lt-LT" w:bidi="lt-LT"/>
        </w:rPr>
        <w:t xml:space="preserve"> gynėjas neneigia savo ginamojo dalyvavimo įvykiuose prie TV bokšto, tačiau nesutinka su jam inkriminuojama aplinkybe dėl vadovaujančio vaidmens bei teigia, kad toks </w:t>
      </w:r>
      <w:r>
        <w:rPr>
          <w:szCs w:val="24"/>
          <w:lang w:eastAsia="lt-LT" w:bidi="lt-LT"/>
        </w:rPr>
        <w:t>V. S. 2</w:t>
      </w:r>
      <w:r w:rsidRPr="00C00255">
        <w:rPr>
          <w:szCs w:val="24"/>
          <w:lang w:eastAsia="lt-LT" w:bidi="lt-LT"/>
        </w:rPr>
        <w:t xml:space="preserve"> vaidmuo neįrodytas, jo kaltė negalėjo būti grindžiama liudytojais apklaustų kitų nuteistųjų parodymais, įvykių metu jis vykdė aukštesnių karininkų įsakymą. Teisėjų kolegijos įsitikinimu, nagrinėjamoje byloje yra įrodyta ir abejonių nekelia aplinkybė, kad </w:t>
      </w:r>
      <w:r>
        <w:rPr>
          <w:szCs w:val="24"/>
          <w:lang w:eastAsia="lt-LT" w:bidi="lt-LT"/>
        </w:rPr>
        <w:t>V. S. 2</w:t>
      </w:r>
      <w:r w:rsidRPr="00C00255">
        <w:rPr>
          <w:szCs w:val="24"/>
          <w:lang w:eastAsia="lt-LT" w:bidi="lt-LT"/>
        </w:rPr>
        <w:t xml:space="preserve"> pats tiesiogiai dalyvavo TV bokšto užėmimo operacijoje ir iš tiesų vadovavo TV bokštą šturmuojantiems kariškiams.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bidi="lt-LT"/>
        </w:rPr>
        <w:t xml:space="preserve">Nuteistojo </w:t>
      </w:r>
      <w:r>
        <w:rPr>
          <w:szCs w:val="24"/>
          <w:lang w:eastAsia="lt-LT" w:bidi="lt-LT"/>
        </w:rPr>
        <w:t>V. S. 2</w:t>
      </w:r>
      <w:r w:rsidRPr="00C00255">
        <w:rPr>
          <w:szCs w:val="24"/>
          <w:lang w:eastAsia="lt-LT" w:bidi="lt-LT"/>
        </w:rPr>
        <w:t xml:space="preserve"> dalyvavimą TV bokšto užėmimo metu pagrindžia faktas, kad aptariamuose įvykiuose dalyvavo </w:t>
      </w:r>
      <w:r w:rsidRPr="00C00255">
        <w:rPr>
          <w:rFonts w:eastAsia="Calibri"/>
          <w:szCs w:val="24"/>
        </w:rPr>
        <w:t xml:space="preserve">TSRS GM </w:t>
      </w:r>
      <w:r w:rsidRPr="00C00255">
        <w:rPr>
          <w:szCs w:val="24"/>
          <w:lang w:eastAsia="lt-LT" w:bidi="lt-LT"/>
        </w:rPr>
        <w:t xml:space="preserve">76-osios oro desanto divizijos 234-ojo pulko 3-iojo bataliono 8-osios ir 9-osios kuopos kariškiai, o nuteistasis </w:t>
      </w:r>
      <w:r>
        <w:rPr>
          <w:szCs w:val="24"/>
          <w:lang w:eastAsia="lt-LT" w:bidi="lt-LT"/>
        </w:rPr>
        <w:t>V. S. 2</w:t>
      </w:r>
      <w:r w:rsidRPr="00C00255">
        <w:rPr>
          <w:szCs w:val="24"/>
          <w:lang w:eastAsia="lt-LT" w:bidi="lt-LT"/>
        </w:rPr>
        <w:t xml:space="preserve"> buvo </w:t>
      </w:r>
      <w:r w:rsidRPr="00C00255">
        <w:rPr>
          <w:szCs w:val="24"/>
          <w:lang w:eastAsia="lt-LT"/>
        </w:rPr>
        <w:t xml:space="preserve">TSRS GM 76-osios oro desanto divizijos 234-ojo pulko 3-iojo bataliono vadas, majoras. Minėtas dalinys dalyvavo užimant TV bokštą, o </w:t>
      </w:r>
      <w:r>
        <w:rPr>
          <w:szCs w:val="24"/>
          <w:lang w:eastAsia="lt-LT"/>
        </w:rPr>
        <w:t>V. S. 2</w:t>
      </w:r>
      <w:r w:rsidRPr="00C00255">
        <w:rPr>
          <w:szCs w:val="24"/>
          <w:lang w:eastAsia="lt-LT"/>
        </w:rPr>
        <w:t>, kaip minėta, buvo</w:t>
      </w:r>
      <w:r w:rsidRPr="00C00255">
        <w:rPr>
          <w:szCs w:val="24"/>
        </w:rPr>
        <w:t xml:space="preserve"> specialioje desantininkų vadavietės kovinėje mašinoje (BMD KŠM), kurios borto Nr. 600, ir kartu su </w:t>
      </w:r>
      <w:r>
        <w:rPr>
          <w:szCs w:val="24"/>
        </w:rPr>
        <w:t>I. K.</w:t>
      </w:r>
      <w:r w:rsidRPr="00C00255">
        <w:rPr>
          <w:szCs w:val="24"/>
        </w:rPr>
        <w:t xml:space="preserve"> buvo aukščiausias pareigas prie TV bokšto užimantys </w:t>
      </w:r>
      <w:r w:rsidRPr="00C00255">
        <w:rPr>
          <w:szCs w:val="24"/>
          <w:lang w:eastAsia="lt-LT"/>
        </w:rPr>
        <w:t xml:space="preserve">TSRS GM 76-osios oro desanto </w:t>
      </w:r>
      <w:r w:rsidRPr="00C00255">
        <w:rPr>
          <w:szCs w:val="24"/>
        </w:rPr>
        <w:t xml:space="preserve">divizijos 234-ojo pulko karininkai ir iš šioje vietoje specialioje mašinoje veikusios vadavietės palaikė ryšį su Šiaurės kariniame miestelyje įsikūrusiu vadovavimo operacijai štabu ir savo divizijos vado pavaduotoju pulkininku </w:t>
      </w:r>
      <w:r>
        <w:rPr>
          <w:szCs w:val="24"/>
        </w:rPr>
        <w:t>V. K. 1</w:t>
      </w:r>
      <w:r w:rsidRPr="00C00255">
        <w:rPr>
          <w:szCs w:val="24"/>
        </w:rPr>
        <w:t>.</w:t>
      </w:r>
      <w:r w:rsidRPr="00C00255">
        <w:rPr>
          <w:szCs w:val="24"/>
          <w:lang w:eastAsia="lt-LT" w:bidi="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Aplinkybę, kad būtent nuteistasis </w:t>
      </w:r>
      <w:r>
        <w:rPr>
          <w:szCs w:val="24"/>
          <w:lang w:eastAsia="lt-LT" w:bidi="lt-LT"/>
        </w:rPr>
        <w:t>V. S. 2</w:t>
      </w:r>
      <w:r w:rsidRPr="00C00255">
        <w:rPr>
          <w:szCs w:val="24"/>
          <w:lang w:eastAsia="lt-LT" w:bidi="lt-LT"/>
        </w:rPr>
        <w:t xml:space="preserve"> vadovavo ir koordinavo karinių dalinių – </w:t>
      </w:r>
      <w:r w:rsidRPr="00C00255">
        <w:rPr>
          <w:rFonts w:eastAsia="Calibri"/>
          <w:szCs w:val="24"/>
        </w:rPr>
        <w:t xml:space="preserve">TSRS GM </w:t>
      </w:r>
      <w:r w:rsidRPr="00C00255">
        <w:rPr>
          <w:szCs w:val="24"/>
          <w:lang w:eastAsia="lt-LT" w:bidi="lt-LT"/>
        </w:rPr>
        <w:t>76-osios oro desanto divizijos jungtinio vieneto, TSRS VSK grupės „A“ ir</w:t>
      </w:r>
      <w:r w:rsidRPr="00C00255">
        <w:rPr>
          <w:rFonts w:eastAsia="Calibri"/>
          <w:szCs w:val="24"/>
        </w:rPr>
        <w:t xml:space="preserve"> TSRS GM</w:t>
      </w:r>
      <w:r w:rsidRPr="00C00255">
        <w:rPr>
          <w:szCs w:val="24"/>
          <w:lang w:eastAsia="lt-LT" w:bidi="lt-LT"/>
        </w:rPr>
        <w:t xml:space="preserve"> 107-osios motorizuotų šaulių divizijos pulkų – veiksmus šturmuojant TV bokštą, patvirtina ir </w:t>
      </w:r>
      <w:r w:rsidRPr="00C00255">
        <w:rPr>
          <w:szCs w:val="24"/>
          <w:lang w:eastAsia="lt-LT"/>
        </w:rPr>
        <w:t>2014 m. birželio 10 d. specialisto išvada (t. 480, b. l. 68, 75). Visgi </w:t>
      </w:r>
      <w:r>
        <w:rPr>
          <w:szCs w:val="24"/>
          <w:lang w:eastAsia="lt-LT"/>
        </w:rPr>
        <w:t>V. S. 2</w:t>
      </w:r>
      <w:r w:rsidRPr="00C00255">
        <w:rPr>
          <w:szCs w:val="24"/>
          <w:lang w:eastAsia="lt-LT"/>
        </w:rPr>
        <w:t xml:space="preserve"> gynėjas su šia specialisto išvados dalimi nesutinka</w:t>
      </w:r>
      <w:r w:rsidRPr="00C00255">
        <w:rPr>
          <w:szCs w:val="24"/>
        </w:rPr>
        <w:t xml:space="preserve">. Pasak jo, išvada, kad karinės atakos prie TV bokšto metu vadovavo ir karių veiksmus koordinavo bataliono vadas </w:t>
      </w:r>
      <w:r>
        <w:rPr>
          <w:szCs w:val="24"/>
        </w:rPr>
        <w:t>V. S. 2</w:t>
      </w:r>
      <w:r w:rsidRPr="00C00255">
        <w:rPr>
          <w:szCs w:val="24"/>
        </w:rPr>
        <w:t xml:space="preserve"> su </w:t>
      </w:r>
      <w:r w:rsidRPr="00C00255">
        <w:rPr>
          <w:rFonts w:eastAsia="Calibri"/>
          <w:szCs w:val="24"/>
        </w:rPr>
        <w:t xml:space="preserve">TSRS GM </w:t>
      </w:r>
      <w:r w:rsidRPr="00C00255">
        <w:rPr>
          <w:szCs w:val="24"/>
        </w:rPr>
        <w:t xml:space="preserve">76-osios oro desanto divizijos 234-ojo pulko vadu </w:t>
      </w:r>
      <w:r>
        <w:rPr>
          <w:szCs w:val="24"/>
        </w:rPr>
        <w:t>I. K.</w:t>
      </w:r>
      <w:r w:rsidRPr="00C00255">
        <w:rPr>
          <w:szCs w:val="24"/>
        </w:rPr>
        <w:t xml:space="preserve"> (jo atžvilgiu procesas nutrauktas jam mirus), yra nepagrįsta ir prieštaringa. Gynybos teigimu, iš pačios specialisto išvados matyti, kad </w:t>
      </w:r>
      <w:r>
        <w:rPr>
          <w:szCs w:val="24"/>
        </w:rPr>
        <w:t>I. K.</w:t>
      </w:r>
      <w:r w:rsidRPr="00C00255">
        <w:rPr>
          <w:szCs w:val="24"/>
        </w:rPr>
        <w:t xml:space="preserve"> ėjo aukštesnes pareigas nei </w:t>
      </w:r>
      <w:r>
        <w:rPr>
          <w:szCs w:val="24"/>
        </w:rPr>
        <w:t>V. S. 2</w:t>
      </w:r>
      <w:r w:rsidRPr="00C00255">
        <w:rPr>
          <w:szCs w:val="24"/>
        </w:rPr>
        <w:t xml:space="preserve">, todėl, </w:t>
      </w:r>
      <w:r>
        <w:rPr>
          <w:szCs w:val="24"/>
        </w:rPr>
        <w:t>V. S. 2</w:t>
      </w:r>
      <w:r w:rsidRPr="00C00255">
        <w:rPr>
          <w:szCs w:val="24"/>
        </w:rPr>
        <w:t xml:space="preserve"> gynėjo teigimu, jo ginamasis negalėjo vadovauti kariškiams prie TV bokšto, nes pats buvo pavaldus aukštesnio rango kariškiams. Teisėjų kolegija atskiroje teismo sprendimo dalyje dar pasisakys apie daugelio gynėjų apeliaciniuose skunduose keliamus argumentus dėl aukštesnių karininkų įsakymo vykdymo, o vertindama nuteistojo </w:t>
      </w:r>
      <w:r>
        <w:rPr>
          <w:szCs w:val="24"/>
        </w:rPr>
        <w:t>V. S. 2</w:t>
      </w:r>
      <w:r w:rsidRPr="00C00255">
        <w:rPr>
          <w:szCs w:val="24"/>
        </w:rPr>
        <w:t xml:space="preserve"> veiksmus ir gynėjo argumentus kritikuojant specialisto išvadą, pabrėžia, kad </w:t>
      </w:r>
      <w:r w:rsidRPr="00C00255">
        <w:rPr>
          <w:szCs w:val="24"/>
          <w:lang w:eastAsia="lt-LT"/>
        </w:rPr>
        <w:t>nuteistojo gynėjas</w:t>
      </w:r>
      <w:r w:rsidRPr="00C00255">
        <w:rPr>
          <w:szCs w:val="24"/>
        </w:rPr>
        <w:t xml:space="preserve"> </w:t>
      </w:r>
      <w:r w:rsidRPr="00C00255">
        <w:rPr>
          <w:szCs w:val="24"/>
          <w:lang w:eastAsia="lt-LT"/>
        </w:rPr>
        <w:t>2014 m. birželio 10 d. specialisto išvada</w:t>
      </w:r>
      <w:r w:rsidRPr="00C00255">
        <w:rPr>
          <w:szCs w:val="24"/>
        </w:rPr>
        <w:t xml:space="preserve"> vadovaujasi neatskleisdamas viso jos turinio. Specialisto išvados 42 lape, be kita ko, nurodoma, kad „užimant TV bokštą vadovavo majoras </w:t>
      </w:r>
      <w:r>
        <w:rPr>
          <w:szCs w:val="24"/>
        </w:rPr>
        <w:t>V. S. 2</w:t>
      </w:r>
      <w:r w:rsidRPr="00C00255">
        <w:rPr>
          <w:szCs w:val="24"/>
        </w:rPr>
        <w:t xml:space="preserve"> &lt;...&gt;. Jo veiksmus kontroliavo pulkininkas </w:t>
      </w:r>
      <w:r>
        <w:rPr>
          <w:szCs w:val="24"/>
        </w:rPr>
        <w:t>I. K.</w:t>
      </w:r>
      <w:r w:rsidRPr="00C00255">
        <w:rPr>
          <w:szCs w:val="24"/>
        </w:rPr>
        <w:t xml:space="preserve">“ (t. 480, b. l. 75). Atitinkamai specialisto išvados dalyje „Bendros pastabos“ nurodyta, kad „užimant TV bokštą dalyvavo 234 pdp vadas pulkininkas </w:t>
      </w:r>
      <w:r>
        <w:rPr>
          <w:szCs w:val="24"/>
        </w:rPr>
        <w:t>I. K.</w:t>
      </w:r>
      <w:r w:rsidRPr="00C00255">
        <w:rPr>
          <w:szCs w:val="24"/>
        </w:rPr>
        <w:t xml:space="preserve">, bet operacijai vadovauti buvo paskirtas jo pavaldinys majoras </w:t>
      </w:r>
      <w:r>
        <w:rPr>
          <w:szCs w:val="24"/>
        </w:rPr>
        <w:t>V. S. 2</w:t>
      </w:r>
      <w:r w:rsidRPr="00C00255">
        <w:rPr>
          <w:szCs w:val="24"/>
        </w:rPr>
        <w:t xml:space="preserve">“. Be to, tokia specialisto išvada „Bendrose pastabose“ pateikta ir kaip pavyzdys, nurodant, kad „vyresnis pagal laipsnį ir aukštesnis pagal pareigas pareigūnas visada gali kontroliuoti pavaldinio veiksmus ir duoti jam komandas, tačiau atsakomybė už užduoties įvykdymą, kaip taisyklė gula ant operacijai vadovaujančio karininko. Pažymėtina ir tai, kad vadovaujantis šia taisykle, aukštesnis pagal pareigas karininkas visuomet atsako už savo pavaldinių veiksmus“ (t. 480, b. l. 78). Taigi gynėjas nutyli esmines specialisto išvados dalis, kuriose atskleidžiamas faktinis </w:t>
      </w:r>
      <w:r>
        <w:rPr>
          <w:szCs w:val="24"/>
        </w:rPr>
        <w:t>V. S. 2</w:t>
      </w:r>
      <w:r w:rsidRPr="00C00255">
        <w:rPr>
          <w:szCs w:val="24"/>
        </w:rPr>
        <w:t xml:space="preserve"> vaidmuo užimant TV</w:t>
      </w:r>
      <w:r>
        <w:rPr>
          <w:szCs w:val="24"/>
        </w:rPr>
        <w:t> </w:t>
      </w:r>
      <w:r w:rsidRPr="00C00255">
        <w:rPr>
          <w:szCs w:val="24"/>
        </w:rPr>
        <w:t xml:space="preserve">bokštą. Cituotose išvados dalyse specialistas kaip faktinį operacijos šturmuojant TV bokštą vadovą išskyrė ne aukštesnį pagal rangą </w:t>
      </w:r>
      <w:r>
        <w:rPr>
          <w:szCs w:val="24"/>
        </w:rPr>
        <w:t>I. K.</w:t>
      </w:r>
      <w:r w:rsidRPr="00C00255">
        <w:rPr>
          <w:szCs w:val="24"/>
        </w:rPr>
        <w:t xml:space="preserve">, tačiau būtent majorą </w:t>
      </w:r>
      <w:r>
        <w:rPr>
          <w:szCs w:val="24"/>
        </w:rPr>
        <w:t>V. S. 2</w:t>
      </w:r>
      <w:r w:rsidRPr="00C00255">
        <w:rPr>
          <w:szCs w:val="24"/>
        </w:rPr>
        <w:t xml:space="preserve">, kuris, pagal minėtą specialisto išvadą, ir buvo atsakingas už užduoties įvykdymą, o ne </w:t>
      </w:r>
      <w:r>
        <w:rPr>
          <w:szCs w:val="24"/>
        </w:rPr>
        <w:t>I. K.</w:t>
      </w:r>
      <w:r w:rsidRPr="00C00255">
        <w:rPr>
          <w:szCs w:val="24"/>
        </w:rPr>
        <w:t xml:space="preserve">, kaip apeliaciniame skunde nurodo ir nepagrįstai prašo patikslinti prokurorai, apibūdindami </w:t>
      </w:r>
      <w:r>
        <w:rPr>
          <w:szCs w:val="24"/>
        </w:rPr>
        <w:t>I. K.</w:t>
      </w:r>
      <w:r w:rsidRPr="00C00255">
        <w:rPr>
          <w:szCs w:val="24"/>
        </w:rPr>
        <w:t xml:space="preserve"> vaidmenį, kurio atsakomybės klausimas byloje apskritai nesprendžiamas, bet jis įvardijamas tik siekiant aiškiai atskleisti kariškių tarpusavio pavaldumo ryšius ir statusą. </w:t>
      </w:r>
      <w:r w:rsidRPr="00C00255">
        <w:rPr>
          <w:szCs w:val="24"/>
          <w:lang w:eastAsia="lt-LT"/>
        </w:rPr>
        <w:t xml:space="preserve">Todėl šiuo atveju, vien tam tikras aukštesnio pagal rangą karininko vaidmuo tuose pačiuose įvykiuose neeliminuoja nustatyto faktinio nuteistojo </w:t>
      </w:r>
      <w:r>
        <w:rPr>
          <w:szCs w:val="24"/>
          <w:lang w:eastAsia="lt-LT"/>
        </w:rPr>
        <w:t>V. S. 2</w:t>
      </w:r>
      <w:r w:rsidRPr="00C00255">
        <w:rPr>
          <w:szCs w:val="24"/>
          <w:lang w:eastAsia="lt-LT"/>
        </w:rPr>
        <w:t xml:space="preserve"> vadovaujamo vaidmens operacijoje. Toks </w:t>
      </w:r>
      <w:r>
        <w:rPr>
          <w:szCs w:val="24"/>
          <w:lang w:eastAsia="lt-LT"/>
        </w:rPr>
        <w:t>V. S. 2</w:t>
      </w:r>
      <w:r w:rsidRPr="00C00255">
        <w:rPr>
          <w:szCs w:val="24"/>
          <w:lang w:eastAsia="lt-LT"/>
        </w:rPr>
        <w:t xml:space="preserve"> vaidmuo atsiskleidžia ir specialisto išvadoje konstatuotais kitais jo vadovaujamo pobūdžio veiksmais prie TV bokšto: pavyzdžiui, nurodant 106-ajam tankų pulkui pašalinti kliūtis ir pralaužti kelią kolonai iki TV bokšto, kai iš puolančiosios kolonos priekyje važiavusios desantininkų kovinės mašinos Nr. 281 gavo pranešimą apie kolonos kelyje iš transporto priemonių padarytą užtvarą, bei vėlesnė užduotis šalinti civilius iš TV bokšto ir jo prieigų (t. 480, b. l. 64–81).</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Atsižvelgdama į visa tai, teisėjų kolegija kaip nepagrįstus atmeta gynybos argumentus apie specialisto išvados prieštaringumą. Viso šio dokumento turinio analizė rodo, kad </w:t>
      </w:r>
      <w:r>
        <w:rPr>
          <w:szCs w:val="24"/>
          <w:lang w:eastAsia="lt-LT"/>
        </w:rPr>
        <w:t>V. S. 2</w:t>
      </w:r>
      <w:r w:rsidRPr="00C00255">
        <w:rPr>
          <w:szCs w:val="24"/>
          <w:lang w:eastAsia="lt-LT"/>
        </w:rPr>
        <w:t xml:space="preserve"> vadovaujamas vaidmuo užimant TV bokštą buvo konstatuotas įvertinus ir aukštesnio pagal pareigas </w:t>
      </w:r>
      <w:r w:rsidRPr="00C00255">
        <w:rPr>
          <w:szCs w:val="24"/>
        </w:rPr>
        <w:t xml:space="preserve">TSRS GM 76-osios divizijos 234-ojo pulko vado vaidmenį </w:t>
      </w:r>
      <w:r w:rsidRPr="00C00255">
        <w:rPr>
          <w:szCs w:val="24"/>
          <w:lang w:eastAsia="lt-LT"/>
        </w:rPr>
        <w:t xml:space="preserve">šiuose įvykiuose.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Teisėjų kolegijos išvadą dėl nuteistojo </w:t>
      </w:r>
      <w:r>
        <w:rPr>
          <w:szCs w:val="24"/>
          <w:lang w:eastAsia="lt-LT"/>
        </w:rPr>
        <w:t>V. S. 2</w:t>
      </w:r>
      <w:r w:rsidRPr="00C00255">
        <w:rPr>
          <w:szCs w:val="24"/>
          <w:lang w:eastAsia="lt-LT"/>
        </w:rPr>
        <w:t xml:space="preserve"> vadovaujamo vaidmens šiuose įvykiuose pagrindžia ir byloje esantis karinio dalinio Nr. 74268 karių, dalyvavusių 1991 metų sau</w:t>
      </w:r>
      <w:r w:rsidR="00B822BF">
        <w:rPr>
          <w:szCs w:val="24"/>
          <w:lang w:eastAsia="lt-LT"/>
        </w:rPr>
        <w:t>sio 13 </w:t>
      </w:r>
      <w:r w:rsidRPr="00C00255">
        <w:rPr>
          <w:szCs w:val="24"/>
          <w:lang w:eastAsia="lt-LT"/>
        </w:rPr>
        <w:t xml:space="preserve">d. Vilniaus mieste užimant saugoti TV bokštą, sąrašas. Jame kaip pirmasis 3-iosios parašiutininkų desantininkų bataliono valdybos narys nurodomas būtent majoras </w:t>
      </w:r>
      <w:r>
        <w:rPr>
          <w:szCs w:val="24"/>
          <w:lang w:eastAsia="lt-LT"/>
        </w:rPr>
        <w:t>V. S. 2</w:t>
      </w:r>
      <w:r w:rsidRPr="00C00255">
        <w:rPr>
          <w:szCs w:val="24"/>
          <w:lang w:eastAsia="lt-LT"/>
        </w:rPr>
        <w:t xml:space="preserve"> (t. 429, b. l. 103–106; t. 116, b. l. 138–141). Nagrinėjamų aplinkybių kontekste r</w:t>
      </w:r>
      <w:r w:rsidRPr="00C00255">
        <w:rPr>
          <w:szCs w:val="24"/>
          <w:lang w:eastAsia="lt-LT" w:bidi="lt-LT"/>
        </w:rPr>
        <w:t xml:space="preserve">eikšmingi ir 2017 m. sausio 25 d. bei 2017 m. kovo 24 d. </w:t>
      </w:r>
      <w:r w:rsidRPr="00C00255">
        <w:rPr>
          <w:szCs w:val="24"/>
          <w:lang w:eastAsia="lt-LT"/>
        </w:rPr>
        <w:t xml:space="preserve">teismo posėdžiuose </w:t>
      </w:r>
      <w:r w:rsidRPr="00C00255">
        <w:rPr>
          <w:szCs w:val="24"/>
          <w:lang w:eastAsia="lt-LT" w:bidi="lt-LT"/>
        </w:rPr>
        <w:t xml:space="preserve">perskaityti ikiteisminio tyrimo metu liudytojais apklaustų ir šio proceso baigtimi nesuinteresuotų kitų </w:t>
      </w:r>
      <w:r w:rsidRPr="00C00255">
        <w:rPr>
          <w:szCs w:val="24"/>
          <w:lang w:eastAsia="lt-LT"/>
        </w:rPr>
        <w:t xml:space="preserve">TV bokšto šturme dalyvavusių </w:t>
      </w:r>
      <w:r w:rsidRPr="00C00255">
        <w:rPr>
          <w:szCs w:val="24"/>
          <w:lang w:eastAsia="lt-LT" w:bidi="lt-LT"/>
        </w:rPr>
        <w:t>kariškių</w:t>
      </w:r>
      <w:r w:rsidRPr="00C00255">
        <w:rPr>
          <w:szCs w:val="24"/>
        </w:rPr>
        <w:t xml:space="preserve"> parodymai, detalizuojantys </w:t>
      </w:r>
      <w:r>
        <w:rPr>
          <w:szCs w:val="24"/>
        </w:rPr>
        <w:t>V. S. 2</w:t>
      </w:r>
      <w:r w:rsidRPr="00C00255">
        <w:rPr>
          <w:szCs w:val="24"/>
        </w:rPr>
        <w:t xml:space="preserve"> vadovaujamą vaidmenį TV bokšto užėmimo operacijoje (t. 758, b. l. 49–50, 180).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Antai, liudytojas V. P</w:t>
      </w:r>
      <w:r>
        <w:rPr>
          <w:szCs w:val="24"/>
        </w:rPr>
        <w:t>.</w:t>
      </w:r>
      <w:r w:rsidRPr="00C00255">
        <w:rPr>
          <w:szCs w:val="24"/>
        </w:rPr>
        <w:t xml:space="preserve"> nurodė, kad dar prieš vykdant operaciją rikiuotėje majoras </w:t>
      </w:r>
      <w:r>
        <w:rPr>
          <w:szCs w:val="24"/>
        </w:rPr>
        <w:t>V. S. 2</w:t>
      </w:r>
      <w:r w:rsidRPr="00C00255">
        <w:rPr>
          <w:szCs w:val="24"/>
        </w:rPr>
        <w:t xml:space="preserve"> iškėlė užduotį, kad vienai bataliono kariškių grupei reikia užimti TV bokštą ir atjungti aparatūrą, o kita dalis kariškių turėjo sulaikyti minią prie įėjimo. Anot liudytojo, </w:t>
      </w:r>
      <w:r>
        <w:rPr>
          <w:szCs w:val="24"/>
        </w:rPr>
        <w:t>V. S. 2</w:t>
      </w:r>
      <w:r w:rsidRPr="00C00255">
        <w:rPr>
          <w:szCs w:val="24"/>
        </w:rPr>
        <w:t xml:space="preserve"> ne tik surengė instruktažą dėl ginklų naudojimo, bet ir paaiškino, kad operacijoje dalyvaus VRM padalinys, kurių šalmai skirsis nuo jų bei kurie naudos akinančias granatas, kurias panaudojus, jiems reikia užsimerkti (t. 431, b. l. 106–110; t. 118, b. l. 175–187). Teisėjų kolegijos vertinimu, šie parodymai patvirtina apie nuoseklų vadovaujamą </w:t>
      </w:r>
      <w:r>
        <w:rPr>
          <w:szCs w:val="24"/>
        </w:rPr>
        <w:t>V. S. 2</w:t>
      </w:r>
      <w:r w:rsidRPr="00C00255">
        <w:rPr>
          <w:szCs w:val="24"/>
        </w:rPr>
        <w:t xml:space="preserve"> vaidmenį visos minėtos operacijos metu, žinant apie smulkiausias jos detales. Atitinkamai minėto asmens parodymus papildo liudytojo M. C</w:t>
      </w:r>
      <w:r>
        <w:rPr>
          <w:szCs w:val="24"/>
        </w:rPr>
        <w:t>.</w:t>
      </w:r>
      <w:r w:rsidRPr="00C00255">
        <w:rPr>
          <w:szCs w:val="24"/>
        </w:rPr>
        <w:t xml:space="preserve"> nurodytos aplinkybės apie </w:t>
      </w:r>
      <w:r>
        <w:rPr>
          <w:szCs w:val="24"/>
        </w:rPr>
        <w:t>V. S. 2</w:t>
      </w:r>
      <w:r w:rsidRPr="00C00255">
        <w:rPr>
          <w:szCs w:val="24"/>
        </w:rPr>
        <w:t xml:space="preserve"> duotą užduotį perimti TV bokšto apsaugą, pravestą instruktažą apie ginklų naudojimą (t. 431, b. l. 69–72, t. 118, b. l. 108–116); liudytojo </w:t>
      </w:r>
      <w:r>
        <w:rPr>
          <w:szCs w:val="24"/>
        </w:rPr>
        <w:t>O. V.</w:t>
      </w:r>
      <w:r w:rsidRPr="00C00255">
        <w:rPr>
          <w:szCs w:val="24"/>
        </w:rPr>
        <w:t xml:space="preserve"> parodymai apie instruktažo metu </w:t>
      </w:r>
      <w:r>
        <w:rPr>
          <w:szCs w:val="24"/>
        </w:rPr>
        <w:t>V. S. 2</w:t>
      </w:r>
      <w:r w:rsidRPr="00C00255">
        <w:rPr>
          <w:szCs w:val="24"/>
        </w:rPr>
        <w:t xml:space="preserve"> iškeltą užduotį perimti bokšto apsaugą bei, kad, jo supratimu, būtent majoras </w:t>
      </w:r>
      <w:r>
        <w:rPr>
          <w:szCs w:val="24"/>
        </w:rPr>
        <w:t>V. S. 2</w:t>
      </w:r>
      <w:r w:rsidRPr="00C00255">
        <w:rPr>
          <w:szCs w:val="24"/>
        </w:rPr>
        <w:t xml:space="preserve"> vadovavo karinės technikos kolonai važiavusiai prie TV bokšto (t. 431, b. l. 56–59, t. 118, b. l. 95–101); liudytojo </w:t>
      </w:r>
      <w:r>
        <w:rPr>
          <w:szCs w:val="24"/>
        </w:rPr>
        <w:t>D. M.</w:t>
      </w:r>
      <w:r w:rsidRPr="00C00255">
        <w:rPr>
          <w:szCs w:val="24"/>
        </w:rPr>
        <w:t xml:space="preserve"> parodymai apie </w:t>
      </w:r>
      <w:r>
        <w:rPr>
          <w:szCs w:val="24"/>
        </w:rPr>
        <w:t>V. S. 2</w:t>
      </w:r>
      <w:r w:rsidRPr="00C00255">
        <w:rPr>
          <w:szCs w:val="24"/>
        </w:rPr>
        <w:t xml:space="preserve"> duotą užduotį apžiūrėti visas TV bokšto patalpas bei iš pastato išvesti žmones (t. 431, b. l. 49–52; t. 118, b. l. 71–85). Taigi šie parodymai iliustruoja vadovaujamą </w:t>
      </w:r>
      <w:r>
        <w:rPr>
          <w:szCs w:val="24"/>
        </w:rPr>
        <w:t>V. S. 2</w:t>
      </w:r>
      <w:r w:rsidRPr="00C00255">
        <w:rPr>
          <w:szCs w:val="24"/>
        </w:rPr>
        <w:t xml:space="preserve"> vaidmenį visos aptariamos operacijos eigoje. </w:t>
      </w:r>
      <w:r w:rsidRPr="00C00255">
        <w:rPr>
          <w:szCs w:val="24"/>
          <w:lang w:eastAsia="lt-LT" w:bidi="lt-LT"/>
        </w:rPr>
        <w:t xml:space="preserve">Pažymėtina, kad minėti parodymai atitinka ir papildo kitus jau minėtus objektyvius duomenis ir formuoja teismo vidinį įsitikinimą, kad būtent nuteistasis </w:t>
      </w:r>
      <w:r>
        <w:rPr>
          <w:szCs w:val="24"/>
          <w:lang w:eastAsia="lt-LT" w:bidi="lt-LT"/>
        </w:rPr>
        <w:t>V. S. 2</w:t>
      </w:r>
      <w:r w:rsidRPr="00C00255">
        <w:rPr>
          <w:szCs w:val="24"/>
          <w:lang w:eastAsia="lt-LT" w:bidi="lt-LT"/>
        </w:rPr>
        <w:t xml:space="preserve">, pats tiesiogiai būdamas įvykių vietoje vadovavo ir koordinavo karinių dalinių veiksmus užimant TV bokštą.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Nuteistojo </w:t>
      </w:r>
      <w:r>
        <w:rPr>
          <w:szCs w:val="24"/>
          <w:lang w:eastAsia="lt-LT" w:bidi="lt-LT"/>
        </w:rPr>
        <w:t>V. S. 2</w:t>
      </w:r>
      <w:r w:rsidRPr="00C00255">
        <w:rPr>
          <w:szCs w:val="24"/>
          <w:lang w:eastAsia="lt-LT" w:bidi="lt-LT"/>
        </w:rPr>
        <w:t xml:space="preserve"> gynėjo skunde nurodyti argumentai apie tai, kad nuo nuteistojo </w:t>
      </w:r>
      <w:r>
        <w:rPr>
          <w:szCs w:val="24"/>
          <w:lang w:eastAsia="lt-LT" w:bidi="lt-LT"/>
        </w:rPr>
        <w:t>V. S. 2</w:t>
      </w:r>
      <w:r w:rsidRPr="00C00255">
        <w:rPr>
          <w:szCs w:val="24"/>
          <w:lang w:eastAsia="lt-LT" w:bidi="lt-LT"/>
        </w:rPr>
        <w:t xml:space="preserve"> veiksmų prie TV bokšto niekas nenukentėjo, atmestini kaip deklaratyvūs, ir neturintys reikšmės teismo išvadoms apie šio nuteistojo vadovaujamą vaidmenį operacijos eigoje. Nuteistasis žinojo apie prie TV bokšto esančius civilius, apie galimas aukas, naudojant ginklus ir sprogmenis (antai, </w:t>
      </w:r>
      <w:r w:rsidRPr="00C00255">
        <w:rPr>
          <w:szCs w:val="24"/>
        </w:rPr>
        <w:t>liudytojas I. P</w:t>
      </w:r>
      <w:r>
        <w:rPr>
          <w:szCs w:val="24"/>
        </w:rPr>
        <w:t>.</w:t>
      </w:r>
      <w:r w:rsidRPr="00C00255">
        <w:rPr>
          <w:szCs w:val="24"/>
        </w:rPr>
        <w:t xml:space="preserve"> nurodė, kad dar prieš išvykstant prie TV</w:t>
      </w:r>
      <w:r>
        <w:rPr>
          <w:szCs w:val="24"/>
        </w:rPr>
        <w:t> </w:t>
      </w:r>
      <w:r w:rsidRPr="00C00255">
        <w:rPr>
          <w:szCs w:val="24"/>
        </w:rPr>
        <w:t>bokšto, per rikiuotę viso pulko vadas kariškius įspėjo, jog užimant pastatą ir siekiant išvaikyti civilių minią, bus mėtomi sprogstami paketai, todėl reikia saugoti kojas ir akis (t. 430, b. l. 14–16, t. 117, b. l. 23–30))</w:t>
      </w:r>
      <w:r w:rsidRPr="00C00255">
        <w:rPr>
          <w:szCs w:val="24"/>
          <w:lang w:eastAsia="lt-LT" w:bidi="lt-LT"/>
        </w:rPr>
        <w:t xml:space="preserve">, bei vadovavo kariškių veiksmams, kuriais nukentėjusiesiems buvo padaryta daugybė byloje nustatytų sužalojimų. Taigi visų šių dalinių kariškių atliktų veiksmų pasekmės yra tiesiogiai susijusios su </w:t>
      </w:r>
      <w:r>
        <w:rPr>
          <w:szCs w:val="24"/>
          <w:lang w:eastAsia="lt-LT" w:bidi="lt-LT"/>
        </w:rPr>
        <w:t>V. S. 2</w:t>
      </w:r>
      <w:r w:rsidRPr="00C00255">
        <w:rPr>
          <w:szCs w:val="24"/>
          <w:lang w:eastAsia="lt-LT" w:bidi="lt-LT"/>
        </w:rPr>
        <w:t xml:space="preserve"> veiksmais, nesvarbu, ar nuteistasis, kaip nurodo gynėjas, davė, ar nedavė įsakymo žudyti ar žaloti civilius. Šiame kontekste svarbu tai, kad kariškiai, naudodami jėgą veikė prieš civilius pagal vadovų komandas, buvo ginkluoti, naudojo ne tik tuščius, bet ir kovinius šovinius bei veikė kartu, siekdami to paties tikslo ir bendrai (apie naudotų šovinių pobūdį, taip pat kariškių veiksmų teisinį vertinimą bendrininkavimo formų kontekste teismas dar pasisakys atskirose šio sprendimo dalyse).</w:t>
      </w:r>
    </w:p>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rPr>
          <w:szCs w:val="24"/>
          <w:lang w:eastAsia="lt-LT" w:bidi="lt-LT"/>
        </w:rPr>
        <w:t xml:space="preserve">Atsižvelgdama į visa tai, teisėjų kolegija konstatuoja, kad pirmosios instancijos </w:t>
      </w:r>
      <w:r w:rsidRPr="00055544">
        <w:t xml:space="preserve">teismo išvados nustatant vadovaujamą nuteistųjų </w:t>
      </w:r>
      <w:r w:rsidRPr="00055544">
        <w:rPr>
          <w:szCs w:val="24"/>
        </w:rPr>
        <w:t>V. S. 2 ir V. K. 1 vaidmenį yra teisingos, tačiau siekiant atskleisti jį tiksliai, parodant, kad V. K. 1 nebuvo vienintelis karininkas, koordinavęs visų operacijoje dalyvavusių kariškių veiksmus, šio sprendimo 424 pastraipoje pasisakyta dėl skundžiamo nuosprendžio patikslinimo aplinkybėmis, jog v</w:t>
      </w:r>
      <w:r w:rsidRPr="00055544">
        <w:rPr>
          <w:iCs/>
          <w:lang w:eastAsia="ar-SA" w:bidi="lt-LT"/>
        </w:rPr>
        <w:t xml:space="preserve">adovavimo štabas dalyvaujančias karines pajėgas paskirstė į užimtinus objektus, nurodė užduotis, paskyrė kariniams veiksmams vadovaujančius ir už karinių veiksmų koordinavimą atsakingus asmenis, kuriems įsakė informuoti vadovavimo štabą apie karinių operacijų eigą ir rezultatus bei koordinavo ir kontroliavo bendrus kariškių veiksmus užimant TV bokštą. </w:t>
      </w:r>
      <w:bookmarkStart w:id="304" w:name="_Hlk67563472"/>
      <w:r w:rsidRPr="00055544">
        <w:rPr>
          <w:iCs/>
          <w:lang w:eastAsia="ar-SA" w:bidi="lt-LT"/>
        </w:rPr>
        <w:t xml:space="preserve">Nustatomosios dalies patikslinimas tokiomis pirmosios instancijos teismo nustatytomis aplinkybėmis, aiškiau </w:t>
      </w:r>
      <w:r w:rsidRPr="00055544">
        <w:rPr>
          <w:szCs w:val="24"/>
          <w:lang w:eastAsia="lt-LT"/>
        </w:rPr>
        <w:t xml:space="preserve">parodys, kad vadovavimo štabe esantys aukščiausio rango kariškiai, t. y. ne tik TSRS GM 76-osios oro desanto divizijos vado pavaduotojas V. K. 1, net ir nebūdami tarp tiesiogiai TV bokštą užimančių ir jį šturmuojančių kariškių, </w:t>
      </w:r>
      <w:r w:rsidRPr="00055544">
        <w:rPr>
          <w:iCs/>
          <w:lang w:eastAsia="ar-SA" w:bidi="lt-LT"/>
        </w:rPr>
        <w:t>koordinavo ir kontroliavo bendrus kariškių veiksmus.</w:t>
      </w:r>
      <w:r w:rsidRPr="00055544">
        <w:rPr>
          <w:szCs w:val="24"/>
          <w:lang w:eastAsia="lt-LT"/>
        </w:rPr>
        <w:t xml:space="preserve"> Prokurorų apeliacinio skundo prašymas patikslinti I. K. vaidmenį ir nuosprendyje nurodytų aplinkybių aprašymą aplinkybėmis, kad jis buvo atsakingas už TV bokšto užėmimo operaciją, netenkintinas, nes I. K. atsakomybės klausimas byloje nesprendžiamas, o jo vaidmuo nurodomas tik siekiant atskleisti kariškių tarpusavio ryšius ir statusą, be to, pagal jau minėtus bylos duomenis, už šios operacijos sklandų ir tikslų įgyvendinimą buvo atsakingas kitas asmuo. </w:t>
      </w:r>
    </w:p>
    <w:p w:rsidR="00DA38E9" w:rsidRPr="00C00255" w:rsidRDefault="00DA38E9" w:rsidP="00DA38E9">
      <w:pPr>
        <w:pStyle w:val="Heading4"/>
        <w:tabs>
          <w:tab w:val="left" w:pos="1134"/>
        </w:tabs>
        <w:spacing w:before="120" w:after="120"/>
        <w:ind w:left="992"/>
        <w:rPr>
          <w:rFonts w:ascii="Times New Roman" w:hAnsi="Times New Roman"/>
          <w:b w:val="0"/>
          <w:i/>
          <w:sz w:val="24"/>
          <w:szCs w:val="24"/>
        </w:rPr>
      </w:pPr>
      <w:r w:rsidRPr="00C00255">
        <w:rPr>
          <w:rFonts w:ascii="Times New Roman" w:hAnsi="Times New Roman"/>
          <w:b w:val="0"/>
          <w:i/>
          <w:sz w:val="24"/>
          <w:szCs w:val="24"/>
        </w:rPr>
        <w:t>Dėl 234-ojo pulko 3-iojo bataliono 8-ajai ir 9-ajai kuopoms vadovavusių kariškių</w:t>
      </w:r>
      <w:r w:rsidRPr="00C00255">
        <w:rPr>
          <w:rFonts w:ascii="Times New Roman" w:hAnsi="Times New Roman"/>
          <w:b w:val="0"/>
          <w:i/>
          <w:szCs w:val="24"/>
        </w:rPr>
        <w:t xml:space="preserve"> </w:t>
      </w:r>
      <w:r w:rsidRPr="00C00255">
        <w:rPr>
          <w:rFonts w:ascii="Times New Roman" w:hAnsi="Times New Roman"/>
          <w:b w:val="0"/>
          <w:i/>
          <w:sz w:val="24"/>
          <w:szCs w:val="24"/>
        </w:rPr>
        <w:t xml:space="preserve">dalyvavimo užimant TV bokštą </w:t>
      </w:r>
    </w:p>
    <w:p w:rsidR="00DA38E9" w:rsidRPr="00055544" w:rsidRDefault="00DA38E9" w:rsidP="00DA38E9">
      <w:pPr>
        <w:pStyle w:val="ListParagraph"/>
        <w:numPr>
          <w:ilvl w:val="0"/>
          <w:numId w:val="6"/>
        </w:numPr>
        <w:spacing w:before="120" w:after="120"/>
        <w:ind w:left="992" w:hanging="992"/>
        <w:contextualSpacing w:val="0"/>
      </w:pPr>
      <w:r w:rsidRPr="00055544">
        <w:rPr>
          <w:szCs w:val="24"/>
          <w:lang w:eastAsia="lt-LT"/>
        </w:rPr>
        <w:t xml:space="preserve">Kaip minėta, užimant TV bokštą visi TSRS GM 76-osios oro desanto divizijos 234-ojo pulko kariškiai taktiniais tikslais buvo padalinti į dvi grupes. </w:t>
      </w:r>
      <w:r w:rsidRPr="00055544">
        <w:t xml:space="preserve">Vieną iš šių grupių sudarė kariškiai iš </w:t>
      </w:r>
      <w:r w:rsidRPr="00055544">
        <w:rPr>
          <w:rFonts w:eastAsia="Calibri"/>
        </w:rPr>
        <w:t xml:space="preserve">TSRS GM 76-osios oro desanto divizijos 234-ojo pulko 8-osios ir 9-osios kuopų, kuriems pagal teismo nuosprendį vadovavo ne tik jau minėti </w:t>
      </w:r>
      <w:r w:rsidRPr="00055544">
        <w:t>TSRS GM 76-osios oro desanto divizijos vado pavaduotojas V. K. 1 (</w:t>
      </w:r>
      <w:r w:rsidRPr="00055544">
        <w:rPr>
          <w:rFonts w:eastAsia="Calibri"/>
        </w:rPr>
        <w:t>iš Šiaurės miestelyje įsikūrusio vadovavimo štabo)</w:t>
      </w:r>
      <w:r w:rsidRPr="00055544">
        <w:t xml:space="preserve">, šios divizijos 234-ojo pulko vadas I. K. ir šio pulko 3-iojo bataliono vadas V. S. 2 (iš </w:t>
      </w:r>
      <w:r w:rsidRPr="00055544">
        <w:rPr>
          <w:rFonts w:eastAsia="Calibri"/>
        </w:rPr>
        <w:t xml:space="preserve">vadavietės desantininkų kovinėje mašinoje Nr. 600), bet ir kiti TSRS GM 76-osios oro desanto divizijos 234-ojo pulko </w:t>
      </w:r>
      <w:r w:rsidRPr="00055544">
        <w:t xml:space="preserve">kariškiai, tarp jų ir nuteistieji </w:t>
      </w:r>
      <w:r w:rsidRPr="00055544">
        <w:rPr>
          <w:rFonts w:eastAsia="Calibri"/>
        </w:rPr>
        <w:t xml:space="preserve">V. D., A. G. 2, V. K. 2, E. M. bei S. K..  </w:t>
      </w:r>
    </w:p>
    <w:p w:rsidR="00DA38E9" w:rsidRPr="00C00255" w:rsidRDefault="00DA38E9" w:rsidP="00DA38E9">
      <w:pPr>
        <w:pStyle w:val="Heading5"/>
        <w:spacing w:before="120" w:after="120"/>
        <w:ind w:firstLine="992"/>
        <w:rPr>
          <w:rFonts w:ascii="Times New Roman" w:hAnsi="Times New Roman" w:cs="Times New Roman"/>
          <w:i/>
          <w:color w:val="auto"/>
        </w:rPr>
      </w:pPr>
      <w:r w:rsidRPr="00C00255">
        <w:rPr>
          <w:rFonts w:ascii="Times New Roman" w:hAnsi="Times New Roman" w:cs="Times New Roman"/>
          <w:i/>
          <w:iCs/>
          <w:color w:val="auto"/>
        </w:rPr>
        <w:t xml:space="preserve">Dėl nuteistojo </w:t>
      </w:r>
      <w:r>
        <w:rPr>
          <w:rFonts w:ascii="Times New Roman" w:hAnsi="Times New Roman" w:cs="Times New Roman"/>
          <w:i/>
          <w:iCs/>
          <w:color w:val="auto"/>
        </w:rPr>
        <w:t>V. D.</w:t>
      </w:r>
      <w:r w:rsidRPr="00C00255">
        <w:rPr>
          <w:rFonts w:ascii="Times New Roman" w:hAnsi="Times New Roman" w:cs="Times New Roman"/>
          <w:i/>
          <w:iCs/>
          <w:color w:val="auto"/>
        </w:rPr>
        <w:t xml:space="preserve"> </w:t>
      </w:r>
      <w:r w:rsidRPr="00C00255">
        <w:rPr>
          <w:rFonts w:ascii="Times New Roman" w:hAnsi="Times New Roman" w:cs="Times New Roman"/>
          <w:i/>
          <w:color w:val="auto"/>
        </w:rPr>
        <w:t>dalyvavimo užimant TV bokštą</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Teisėjų kolegijos įsitikinimu, pasitvirtino pirmosios instancijos teismo išvada, kad TSRS GM 76-osios oro desanto divizijos 234-ojo pulko 3-iojo bataliono štabo vadas majoras </w:t>
      </w:r>
      <w:r>
        <w:rPr>
          <w:szCs w:val="24"/>
          <w:lang w:eastAsia="lt-LT"/>
        </w:rPr>
        <w:t>V. D.</w:t>
      </w:r>
      <w:r w:rsidRPr="00C00255">
        <w:rPr>
          <w:szCs w:val="24"/>
          <w:lang w:eastAsia="lt-LT"/>
        </w:rPr>
        <w:t xml:space="preserve"> buvo vienu iš </w:t>
      </w:r>
      <w:r w:rsidRPr="00B822BF">
        <w:rPr>
          <w:rFonts w:eastAsia="Calibri"/>
        </w:rPr>
        <w:t xml:space="preserve">TSRS GM 76-osios Oro desanto divizijos 234-ojo pulko 8-osios ir 9-osios kuopų </w:t>
      </w:r>
      <w:r w:rsidRPr="00B822BF">
        <w:t>kariškiams prie TV bokšto vadovavusių karininkų.</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Nuteistojo </w:t>
      </w:r>
      <w:r>
        <w:rPr>
          <w:szCs w:val="24"/>
          <w:lang w:eastAsia="lt-LT"/>
        </w:rPr>
        <w:t>V. D.</w:t>
      </w:r>
      <w:r w:rsidRPr="00C00255">
        <w:rPr>
          <w:szCs w:val="24"/>
          <w:lang w:eastAsia="lt-LT"/>
        </w:rPr>
        <w:t xml:space="preserve"> gynėjo įsitikinimu, skundžiamo nuosprendžio išvados nėra pagrįstos įrodymais, tačiau gynėjas nepateikia jokių konkrečių argumentų, kuriais nesutiktų su nuosprendžiu nustatytomis faktinėmis aplinkybėmis dėl jo ginamajam inkriminuoto vadovaujančio vaidmens užimant TV bokštą. Nuteistojo gynėjas, vadovaudamasis paties </w:t>
      </w:r>
      <w:r>
        <w:rPr>
          <w:szCs w:val="24"/>
          <w:lang w:eastAsia="lt-LT"/>
        </w:rPr>
        <w:t>V. D.</w:t>
      </w:r>
      <w:r w:rsidRPr="00C00255">
        <w:rPr>
          <w:szCs w:val="24"/>
          <w:lang w:eastAsia="lt-LT"/>
        </w:rPr>
        <w:t xml:space="preserve"> parodymais ikiteisminio tyrimo metu, teigia, kad TV bokšto užėmimo operacijos metu vadovavo </w:t>
      </w:r>
      <w:r>
        <w:rPr>
          <w:szCs w:val="24"/>
          <w:lang w:eastAsia="lt-LT"/>
        </w:rPr>
        <w:t>V. S. 2</w:t>
      </w:r>
      <w:r w:rsidRPr="00C00255">
        <w:rPr>
          <w:szCs w:val="24"/>
          <w:lang w:eastAsia="lt-LT"/>
        </w:rPr>
        <w:t xml:space="preserve">, kad pastarasis paskyrė užduotį užimti TV bokštą, kad </w:t>
      </w:r>
      <w:r>
        <w:rPr>
          <w:szCs w:val="24"/>
          <w:lang w:eastAsia="lt-LT"/>
        </w:rPr>
        <w:t>V. D.</w:t>
      </w:r>
      <w:r w:rsidRPr="00C00255">
        <w:rPr>
          <w:szCs w:val="24"/>
          <w:lang w:eastAsia="lt-LT"/>
        </w:rPr>
        <w:t xml:space="preserve"> kartu su </w:t>
      </w:r>
      <w:r>
        <w:rPr>
          <w:szCs w:val="24"/>
          <w:lang w:eastAsia="lt-LT"/>
        </w:rPr>
        <w:t>V. S. 2</w:t>
      </w:r>
      <w:r w:rsidRPr="00C00255">
        <w:rPr>
          <w:szCs w:val="24"/>
          <w:lang w:eastAsia="lt-LT"/>
        </w:rPr>
        <w:t xml:space="preserve"> rengė operacijos planą ir judėjimo maršrutą, kad pats paskyrė užduotis atskiriems kariškiams, pavyzdžiui, </w:t>
      </w:r>
      <w:r w:rsidRPr="00B91F86">
        <w:rPr>
          <w:szCs w:val="24"/>
          <w:lang w:eastAsia="lt-LT"/>
        </w:rPr>
        <w:t>G.</w:t>
      </w:r>
      <w:r>
        <w:rPr>
          <w:szCs w:val="24"/>
          <w:lang w:eastAsia="lt-LT"/>
        </w:rPr>
        <w:t> </w:t>
      </w:r>
      <w:r w:rsidRPr="00B91F86">
        <w:rPr>
          <w:szCs w:val="24"/>
          <w:lang w:eastAsia="lt-LT"/>
        </w:rPr>
        <w:t>2</w:t>
      </w:r>
      <w:r w:rsidRPr="00C00255">
        <w:rPr>
          <w:szCs w:val="24"/>
          <w:lang w:eastAsia="lt-LT"/>
        </w:rPr>
        <w:t xml:space="preserve"> ir kt., kad </w:t>
      </w:r>
      <w:r>
        <w:rPr>
          <w:szCs w:val="24"/>
          <w:lang w:eastAsia="lt-LT"/>
        </w:rPr>
        <w:t>V. D.</w:t>
      </w:r>
      <w:r w:rsidRPr="00C00255">
        <w:rPr>
          <w:szCs w:val="24"/>
          <w:lang w:eastAsia="lt-LT"/>
        </w:rPr>
        <w:t xml:space="preserve"> važiavo kolonos priekyje buvusiame BMD kartu su 8-osios kuopos kariškiais, o atvykus prie TV bokšto, kariškiams pradėjus brautis pro civilius, ir keturiems civiliams bandant atimti iš jo automatą, gindamasis vienam iš civilių spyrė, o kitam sudavė automato buože. Esminiai nuteistojo gynėjo argumentai yra teisinio pobūdžio, o dėl </w:t>
      </w:r>
      <w:r>
        <w:rPr>
          <w:szCs w:val="24"/>
          <w:lang w:eastAsia="lt-LT"/>
        </w:rPr>
        <w:t>V. D.</w:t>
      </w:r>
      <w:r w:rsidRPr="00C00255">
        <w:rPr>
          <w:szCs w:val="24"/>
          <w:lang w:eastAsia="lt-LT"/>
        </w:rPr>
        <w:t xml:space="preserve"> veiksmų teisinio vertinimo ir pan. teismas pasisakys atskirai kitoje šio sprendimo dalyje.</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bidi="lt-LT"/>
        </w:rPr>
        <w:t xml:space="preserve">Teisėjų kolegija, įvertinusi teismo nuosprendžiu nustatytas aplinkybes ir jau minėtus gynėjo argumentus, konstatuoja, kad byloje nėra ginčo, </w:t>
      </w:r>
      <w:r w:rsidRPr="00C00255">
        <w:rPr>
          <w:szCs w:val="24"/>
          <w:lang w:eastAsia="lt-LT"/>
        </w:rPr>
        <w:t xml:space="preserve">kad įvykių metu majoras </w:t>
      </w:r>
      <w:r>
        <w:rPr>
          <w:szCs w:val="24"/>
          <w:lang w:eastAsia="lt-LT"/>
        </w:rPr>
        <w:t>V. D.</w:t>
      </w:r>
      <w:r w:rsidRPr="00C00255">
        <w:rPr>
          <w:szCs w:val="24"/>
          <w:lang w:eastAsia="lt-LT"/>
        </w:rPr>
        <w:t xml:space="preserve"> buvo 234-ojo pulko 3-iojo bataliono, kurio daliniai dalyvavo įvykiuose prie TV bokšto, štabo vadu ir pats dalyvavo TV bokšto užėmimo operacijoje. Majoro </w:t>
      </w:r>
      <w:r>
        <w:rPr>
          <w:szCs w:val="24"/>
          <w:lang w:eastAsia="lt-LT"/>
        </w:rPr>
        <w:t>V. D.</w:t>
      </w:r>
      <w:r w:rsidRPr="00C00255">
        <w:rPr>
          <w:szCs w:val="24"/>
          <w:lang w:eastAsia="lt-LT"/>
        </w:rPr>
        <w:t xml:space="preserve">, kaip vieno iš 3-iajam batalionui vadovavusių kariškių faktinis dalyvavimas užimant TV bokštą konstatuotas ir byloje esančiame sąraše, kuriame išskirti konkretūs karinio dalinio Nr. 74268 kariškiai, dalyvavę būtent šioje operacijoje (t. 429, b. l. 103–106; t. 116, b. l. 138–141). </w:t>
      </w:r>
    </w:p>
    <w:p w:rsidR="00DA38E9" w:rsidRPr="00C00255" w:rsidRDefault="00DA38E9" w:rsidP="00DA38E9">
      <w:pPr>
        <w:pStyle w:val="ListParagraph"/>
        <w:numPr>
          <w:ilvl w:val="0"/>
          <w:numId w:val="6"/>
        </w:numPr>
        <w:spacing w:before="120" w:after="120"/>
        <w:ind w:left="992" w:hanging="992"/>
        <w:contextualSpacing w:val="0"/>
      </w:pPr>
      <w:r w:rsidRPr="00C00255">
        <w:rPr>
          <w:szCs w:val="24"/>
          <w:lang w:eastAsia="lt-LT"/>
        </w:rPr>
        <w:t xml:space="preserve">Nuteistojo gynėjas, nepaisant deklaratyvaus ir nekonkretaus teiginio, kad byloje nėra </w:t>
      </w:r>
      <w:r>
        <w:rPr>
          <w:szCs w:val="24"/>
          <w:lang w:eastAsia="lt-LT"/>
        </w:rPr>
        <w:t>V. D.</w:t>
      </w:r>
      <w:r w:rsidRPr="00C00255">
        <w:rPr>
          <w:szCs w:val="24"/>
          <w:lang w:eastAsia="lt-LT"/>
        </w:rPr>
        <w:t xml:space="preserve"> kaltės įrodymų, pats nurodo, kad </w:t>
      </w:r>
      <w:r>
        <w:rPr>
          <w:szCs w:val="24"/>
          <w:lang w:eastAsia="lt-LT"/>
        </w:rPr>
        <w:t>V. D.</w:t>
      </w:r>
      <w:r w:rsidRPr="00C00255">
        <w:rPr>
          <w:szCs w:val="24"/>
          <w:lang w:eastAsia="lt-LT"/>
        </w:rPr>
        <w:t xml:space="preserve"> kartu su </w:t>
      </w:r>
      <w:r>
        <w:rPr>
          <w:szCs w:val="24"/>
          <w:lang w:eastAsia="lt-LT"/>
        </w:rPr>
        <w:t>V. S. 2</w:t>
      </w:r>
      <w:r w:rsidRPr="00C00255">
        <w:rPr>
          <w:szCs w:val="24"/>
          <w:lang w:eastAsia="lt-LT"/>
        </w:rPr>
        <w:t xml:space="preserve"> rengė TV bokšto užėmimo planą ir kariškių atvažiavimo prie TV bokšto maršrutą, davė atskirus nurodymus kitiems kariškiams. Tokios aplinkybės reiškia ne ką kitą, o aiškų vadovaujamą vaidmenį. Be to, </w:t>
      </w:r>
      <w:r>
        <w:rPr>
          <w:szCs w:val="24"/>
          <w:lang w:eastAsia="lt-LT"/>
        </w:rPr>
        <w:t>V. D.</w:t>
      </w:r>
      <w:r w:rsidRPr="00C00255">
        <w:rPr>
          <w:szCs w:val="24"/>
          <w:lang w:eastAsia="lt-LT"/>
        </w:rPr>
        <w:t xml:space="preserve"> išskirtinį statusą rodo ir jo buvimas puolančiosios kolonos priekyje važiavusios kovinės mašinos ekipaže, kuris tiesiogiai bendravo su vadavietės mašina ir joje buvusiu </w:t>
      </w:r>
      <w:r>
        <w:rPr>
          <w:szCs w:val="24"/>
          <w:lang w:eastAsia="lt-LT"/>
        </w:rPr>
        <w:t>V. S. 2</w:t>
      </w:r>
      <w:r w:rsidRPr="00C00255">
        <w:rPr>
          <w:szCs w:val="24"/>
          <w:lang w:eastAsia="lt-LT"/>
        </w:rPr>
        <w:t xml:space="preserve">. </w:t>
      </w:r>
      <w:r w:rsidRPr="00C00255">
        <w:t>Tokių gynybos argumentų kontekste svarbu paminėti ir 2017</w:t>
      </w:r>
      <w:r>
        <w:t> </w:t>
      </w:r>
      <w:r w:rsidRPr="00C00255">
        <w:t>m.</w:t>
      </w:r>
      <w:r>
        <w:t> </w:t>
      </w:r>
      <w:r w:rsidRPr="00C00255">
        <w:t xml:space="preserve">sausio 25 d. ir 2017 m. kovo 24 d. teisiamajame posėdyje perskaitytus ikiteisminio tyrimo metu liudytojais apklaustų ir šio proceso baigtimi nesuinteresuotų įvykiuose prie </w:t>
      </w:r>
      <w:r w:rsidRPr="00C00255">
        <w:rPr>
          <w:szCs w:val="24"/>
          <w:lang w:eastAsia="lt-LT"/>
        </w:rPr>
        <w:t xml:space="preserve">TV bokšto dalyvavusių </w:t>
      </w:r>
      <w:r w:rsidRPr="00C00255">
        <w:rPr>
          <w:szCs w:val="24"/>
          <w:lang w:eastAsia="lt-LT" w:bidi="lt-LT"/>
        </w:rPr>
        <w:t>kariškių</w:t>
      </w:r>
      <w:r w:rsidRPr="00C00255">
        <w:rPr>
          <w:szCs w:val="24"/>
        </w:rPr>
        <w:t xml:space="preserve"> parodymus (t. 758, b. l. 49–50, 180). </w:t>
      </w:r>
    </w:p>
    <w:p w:rsidR="00DA38E9" w:rsidRPr="00C00255" w:rsidRDefault="00DA38E9" w:rsidP="00DA38E9">
      <w:pPr>
        <w:pStyle w:val="ListParagraph"/>
        <w:numPr>
          <w:ilvl w:val="0"/>
          <w:numId w:val="6"/>
        </w:numPr>
        <w:spacing w:before="120" w:after="120"/>
        <w:ind w:left="992" w:hanging="992"/>
        <w:contextualSpacing w:val="0"/>
      </w:pPr>
      <w:r w:rsidRPr="00C00255">
        <w:t>Antai, tuometinis 3-iojo bataliono ryšių būrio skyriaus vadas liudytojas S. L</w:t>
      </w:r>
      <w:r>
        <w:t>.</w:t>
      </w:r>
      <w:r w:rsidRPr="00C00255">
        <w:t xml:space="preserve"> nurodė, kad jis 8-osios kuopos BMD mašina, kurioje vyresniuoju buvo bataliono štabo viršininkas majoras </w:t>
      </w:r>
      <w:r>
        <w:t>V. D.</w:t>
      </w:r>
      <w:r w:rsidRPr="00C00255">
        <w:t xml:space="preserve">, o vienu iš ekipažo narių – </w:t>
      </w:r>
      <w:r>
        <w:t>O. V.</w:t>
      </w:r>
      <w:r w:rsidRPr="00C00255">
        <w:t xml:space="preserve">, važiavo prie TV bokšto. Liudytojas turėjo radijo stotį ir buvo priskirtas majorui </w:t>
      </w:r>
      <w:r>
        <w:t>V. D.</w:t>
      </w:r>
      <w:r w:rsidRPr="00C00255">
        <w:t>, į jo pareigas įėjo palaikyti bataliono štabo viršininko (</w:t>
      </w:r>
      <w:r>
        <w:t>V. D.</w:t>
      </w:r>
      <w:r w:rsidRPr="00C00255">
        <w:t>) ryšį su bataliono vadu (</w:t>
      </w:r>
      <w:r>
        <w:t>V. S. 2</w:t>
      </w:r>
      <w:r w:rsidRPr="00C00255">
        <w:t xml:space="preserve">) bei kitų kuopų vadais. Žygyje karinės technikos kolonai vadovavo majoras </w:t>
      </w:r>
      <w:r>
        <w:t>V. D.</w:t>
      </w:r>
      <w:r w:rsidRPr="00C00255">
        <w:t xml:space="preserve">, kuris palaikė ryšį su bataliono vadu </w:t>
      </w:r>
      <w:r>
        <w:t>V. S. 2</w:t>
      </w:r>
      <w:r w:rsidRPr="00C00255">
        <w:t>, kuris kita technikos kolona važiavo kitu keliu. Prie TV bokšto kelias buvo užtvertas, todėl jų BMD praleido į priekį tankus. Šiems išstumdžius ant kelio stovėjusius automobilius, jie privažiavo prie TV bokšto ir išsilaipino. Anot liudytojo, po to, išsirikiavę pleištu jie prasiveržė pro minią, stovėjusią prie TV bokšto ir įėjo į pastatą. Vėliau lauke jie stūmė civilius iš teritorijos (</w:t>
      </w:r>
      <w:r w:rsidRPr="00C00255">
        <w:rPr>
          <w:color w:val="000000"/>
          <w:szCs w:val="24"/>
        </w:rPr>
        <w:t xml:space="preserve">t. 432, b. l. 114–116; t. 119, b. l. 192–201). Liudytojas </w:t>
      </w:r>
      <w:r>
        <w:rPr>
          <w:color w:val="000000"/>
          <w:szCs w:val="24"/>
        </w:rPr>
        <w:t>O. V.</w:t>
      </w:r>
      <w:r w:rsidRPr="00C00255">
        <w:rPr>
          <w:color w:val="000000"/>
          <w:szCs w:val="24"/>
        </w:rPr>
        <w:t xml:space="preserve"> nurodė, kad vairavo karinės technikos kolonos priekyje link TV</w:t>
      </w:r>
      <w:r>
        <w:rPr>
          <w:color w:val="000000"/>
          <w:szCs w:val="24"/>
        </w:rPr>
        <w:t> b</w:t>
      </w:r>
      <w:r w:rsidRPr="00C00255">
        <w:rPr>
          <w:color w:val="000000"/>
          <w:szCs w:val="24"/>
        </w:rPr>
        <w:t xml:space="preserve">okšto važiavusį automobilį BMD Nr. 281. Jų ekipaže buvo 5 žmonės, o šalia jo sėdėjo štabo viršininkas majoras </w:t>
      </w:r>
      <w:r>
        <w:rPr>
          <w:color w:val="000000"/>
          <w:szCs w:val="24"/>
        </w:rPr>
        <w:t>V. D.</w:t>
      </w:r>
      <w:r w:rsidRPr="00C00255">
        <w:rPr>
          <w:color w:val="000000"/>
          <w:szCs w:val="24"/>
        </w:rPr>
        <w:t xml:space="preserve">. Jie praleido tankus į priekį ir šie išstumdė kelią link TV bokšto užtvėrusius automobilius. Vėliau, pagal </w:t>
      </w:r>
      <w:r>
        <w:rPr>
          <w:color w:val="000000"/>
          <w:szCs w:val="24"/>
        </w:rPr>
        <w:t>V. D.</w:t>
      </w:r>
      <w:r w:rsidRPr="00C00255">
        <w:rPr>
          <w:color w:val="000000"/>
          <w:szCs w:val="24"/>
        </w:rPr>
        <w:t xml:space="preserve"> įsakymą, paskui tankus jis nuvairavo automobilį prie bokšto </w:t>
      </w:r>
      <w:r w:rsidRPr="00C00255">
        <w:rPr>
          <w:szCs w:val="24"/>
        </w:rPr>
        <w:t xml:space="preserve">(t. 431, b. l. 56–59, t. 118, b. l. 95–101). Iš esmės tokias pat aplinkybes nurodė ir liudytojas </w:t>
      </w:r>
      <w:r>
        <w:rPr>
          <w:szCs w:val="24"/>
        </w:rPr>
        <w:t>D. M.</w:t>
      </w:r>
      <w:r w:rsidRPr="00C00255">
        <w:rPr>
          <w:szCs w:val="24"/>
        </w:rPr>
        <w:t xml:space="preserve"> (t. 431, b. l. 49–52; t. 118, b. l. 71–85).</w:t>
      </w:r>
    </w:p>
    <w:p w:rsidR="00DA38E9" w:rsidRPr="00C00255" w:rsidRDefault="00DA38E9" w:rsidP="00DA38E9">
      <w:pPr>
        <w:pStyle w:val="ListParagraph"/>
        <w:numPr>
          <w:ilvl w:val="0"/>
          <w:numId w:val="6"/>
        </w:numPr>
        <w:spacing w:before="120" w:after="120"/>
        <w:ind w:left="992" w:hanging="992"/>
        <w:contextualSpacing w:val="0"/>
      </w:pPr>
      <w:r w:rsidRPr="00C00255">
        <w:rPr>
          <w:szCs w:val="24"/>
          <w:lang w:eastAsia="lt-LT" w:bidi="lt-LT"/>
        </w:rPr>
        <w:t xml:space="preserve">Teisėjų kolegijos įsitikinimu, minėti parodymai visiškai atitinka vieni kitus ir visumoje pateikia nuoseklų </w:t>
      </w:r>
      <w:r>
        <w:rPr>
          <w:szCs w:val="24"/>
          <w:lang w:eastAsia="lt-LT" w:bidi="lt-LT"/>
        </w:rPr>
        <w:t>V. D.</w:t>
      </w:r>
      <w:r w:rsidRPr="00C00255">
        <w:rPr>
          <w:rFonts w:asciiTheme="minorHAnsi" w:eastAsiaTheme="minorHAnsi" w:hAnsiTheme="minorHAnsi" w:cstheme="minorBidi"/>
          <w:sz w:val="22"/>
          <w:szCs w:val="24"/>
          <w:lang w:eastAsia="lt-LT" w:bidi="lt-LT"/>
        </w:rPr>
        <w:t xml:space="preserve"> </w:t>
      </w:r>
      <w:r w:rsidRPr="00C00255">
        <w:rPr>
          <w:szCs w:val="24"/>
          <w:lang w:eastAsia="lt-LT" w:bidi="lt-LT"/>
        </w:rPr>
        <w:t xml:space="preserve">prie TV bokšto atliktų veiksmų vaizdą. Be to, jie papildo ir kitus objektyvius bylos duomenis šiuo aspektu. Šių duomenų visuma pagrindžia majoro </w:t>
      </w:r>
      <w:r>
        <w:rPr>
          <w:szCs w:val="24"/>
          <w:lang w:eastAsia="lt-LT" w:bidi="lt-LT"/>
        </w:rPr>
        <w:t>V. D.</w:t>
      </w:r>
      <w:r w:rsidRPr="00C00255">
        <w:rPr>
          <w:szCs w:val="24"/>
          <w:lang w:eastAsia="lt-LT" w:bidi="lt-LT"/>
        </w:rPr>
        <w:t xml:space="preserve"> vaidmenį su bataliono vadu </w:t>
      </w:r>
      <w:r>
        <w:rPr>
          <w:szCs w:val="24"/>
          <w:lang w:eastAsia="lt-LT" w:bidi="lt-LT"/>
        </w:rPr>
        <w:t>V. S. 2</w:t>
      </w:r>
      <w:r w:rsidRPr="00C00255">
        <w:rPr>
          <w:szCs w:val="24"/>
          <w:lang w:eastAsia="lt-LT" w:bidi="lt-LT"/>
        </w:rPr>
        <w:t xml:space="preserve"> derinant prie TV bokšto privažiuoti trukdžiusių užtvarų pašalinimą bei patvirtina jo buvimą vienu iš 3-iojo bataliono kariškiams vadovavusių asmenų, kai pastarieji būdami ginkluoti veržėsi pro civilius iki TV bokšto, o vėliau juos stūmė iš teritorijos. Tokią išvadą leidžia daryti ir duomenys apie šio asmens kontaktus radijo ryšiu tiek su šturmui vadovavusiu </w:t>
      </w:r>
      <w:r>
        <w:rPr>
          <w:szCs w:val="24"/>
          <w:lang w:eastAsia="lt-LT" w:bidi="lt-LT"/>
        </w:rPr>
        <w:t>V. S. 2</w:t>
      </w:r>
      <w:r w:rsidRPr="00C00255">
        <w:rPr>
          <w:szCs w:val="24"/>
          <w:lang w:eastAsia="lt-LT" w:bidi="lt-LT"/>
        </w:rPr>
        <w:t xml:space="preserve">, tiek su kitų kuopų vadais ir aplinkybė, kad būtent </w:t>
      </w:r>
      <w:r>
        <w:rPr>
          <w:szCs w:val="24"/>
          <w:lang w:eastAsia="lt-LT" w:bidi="lt-LT"/>
        </w:rPr>
        <w:t>V. D.</w:t>
      </w:r>
      <w:r w:rsidRPr="00C00255">
        <w:rPr>
          <w:szCs w:val="24"/>
          <w:lang w:eastAsia="lt-LT" w:bidi="lt-LT"/>
        </w:rPr>
        <w:t xml:space="preserve"> buvo vyriausiuoju automobilyje Nr. 281, kuris vedė vieną iš karinės technikos kolonų prie TV bokšto, o vėliau vadovavo kariškiams besibraunant į TV</w:t>
      </w:r>
      <w:r>
        <w:rPr>
          <w:szCs w:val="24"/>
          <w:lang w:eastAsia="lt-LT" w:bidi="lt-LT"/>
        </w:rPr>
        <w:t> </w:t>
      </w:r>
      <w:r w:rsidRPr="00C00255">
        <w:rPr>
          <w:szCs w:val="24"/>
          <w:lang w:eastAsia="lt-LT" w:bidi="lt-LT"/>
        </w:rPr>
        <w:t xml:space="preserve">bokštą. </w:t>
      </w:r>
    </w:p>
    <w:p w:rsidR="00B822BF" w:rsidRDefault="00DA38E9" w:rsidP="00B822BF">
      <w:pPr>
        <w:pStyle w:val="ListParagraph"/>
        <w:numPr>
          <w:ilvl w:val="0"/>
          <w:numId w:val="6"/>
        </w:numPr>
        <w:spacing w:before="120" w:after="120"/>
        <w:ind w:left="992" w:hanging="992"/>
        <w:contextualSpacing w:val="0"/>
      </w:pPr>
      <w:r w:rsidRPr="00C00255">
        <w:rPr>
          <w:szCs w:val="24"/>
          <w:lang w:eastAsia="lt-LT" w:bidi="lt-LT"/>
        </w:rPr>
        <w:t xml:space="preserve">Teisėjų kolegija pastebi, kad apie vadovaujamą </w:t>
      </w:r>
      <w:r>
        <w:rPr>
          <w:szCs w:val="24"/>
          <w:lang w:eastAsia="lt-LT" w:bidi="lt-LT"/>
        </w:rPr>
        <w:t>V. D.</w:t>
      </w:r>
      <w:r w:rsidRPr="00C00255">
        <w:rPr>
          <w:szCs w:val="24"/>
          <w:lang w:eastAsia="lt-LT" w:bidi="lt-LT"/>
        </w:rPr>
        <w:t xml:space="preserve"> vaidmenį, iš esmės panašiai kaip nuteistojo </w:t>
      </w:r>
      <w:r>
        <w:rPr>
          <w:szCs w:val="24"/>
          <w:lang w:eastAsia="lt-LT" w:bidi="lt-LT"/>
        </w:rPr>
        <w:t>V. D.</w:t>
      </w:r>
      <w:r w:rsidRPr="00C00255">
        <w:rPr>
          <w:szCs w:val="24"/>
          <w:lang w:eastAsia="lt-LT" w:bidi="lt-LT"/>
        </w:rPr>
        <w:t xml:space="preserve"> gynėjas apeliaciniame skunde, nurodė ir ikiteisminio tyrimo metu apklausti nuteistieji </w:t>
      </w:r>
      <w:r>
        <w:rPr>
          <w:szCs w:val="24"/>
          <w:lang w:eastAsia="lt-LT" w:bidi="lt-LT"/>
        </w:rPr>
        <w:t>V. S. 2</w:t>
      </w:r>
      <w:r w:rsidRPr="00C00255">
        <w:rPr>
          <w:szCs w:val="24"/>
          <w:lang w:eastAsia="lt-LT" w:bidi="lt-LT"/>
        </w:rPr>
        <w:t xml:space="preserve"> bei </w:t>
      </w:r>
      <w:r>
        <w:rPr>
          <w:szCs w:val="24"/>
          <w:lang w:eastAsia="lt-LT" w:bidi="lt-LT"/>
        </w:rPr>
        <w:t>E. M.</w:t>
      </w:r>
      <w:r w:rsidRPr="00C00255">
        <w:rPr>
          <w:szCs w:val="24"/>
          <w:lang w:eastAsia="lt-LT" w:bidi="lt-LT"/>
        </w:rPr>
        <w:t xml:space="preserve">. Ikiteisminio tyrimo metu </w:t>
      </w:r>
      <w:r>
        <w:rPr>
          <w:szCs w:val="24"/>
          <w:lang w:eastAsia="lt-LT" w:bidi="lt-LT"/>
        </w:rPr>
        <w:t>V. S. 2</w:t>
      </w:r>
      <w:r w:rsidRPr="00C00255">
        <w:rPr>
          <w:szCs w:val="24"/>
          <w:lang w:eastAsia="lt-LT" w:bidi="lt-LT"/>
        </w:rPr>
        <w:t xml:space="preserve">, be kita ko, nurodė, kad </w:t>
      </w:r>
      <w:r>
        <w:rPr>
          <w:szCs w:val="24"/>
          <w:lang w:eastAsia="lt-LT" w:bidi="lt-LT"/>
        </w:rPr>
        <w:t>V. D.</w:t>
      </w:r>
      <w:r w:rsidRPr="00C00255">
        <w:rPr>
          <w:szCs w:val="24"/>
          <w:lang w:eastAsia="lt-LT" w:bidi="lt-LT"/>
        </w:rPr>
        <w:t xml:space="preserve"> važiavo kolonos priekyje ir pranešė apie sutiktą kliūtį, o po to, kai ji buvo įveikta ir kolona atvyko prie TV bokšto, jis buvo su 9-osios kuopos kariškiais, o </w:t>
      </w:r>
      <w:r>
        <w:rPr>
          <w:szCs w:val="24"/>
          <w:lang w:eastAsia="lt-LT" w:bidi="lt-LT"/>
        </w:rPr>
        <w:t>V. D.</w:t>
      </w:r>
      <w:r w:rsidRPr="00C00255">
        <w:rPr>
          <w:szCs w:val="24"/>
          <w:lang w:eastAsia="lt-LT" w:bidi="lt-LT"/>
        </w:rPr>
        <w:t xml:space="preserve"> su 8-osios kuopos kariškiais. </w:t>
      </w:r>
      <w:r>
        <w:rPr>
          <w:szCs w:val="24"/>
          <w:lang w:eastAsia="lt-LT" w:bidi="lt-LT"/>
        </w:rPr>
        <w:t>V. D.</w:t>
      </w:r>
      <w:r w:rsidRPr="00C00255">
        <w:rPr>
          <w:szCs w:val="24"/>
          <w:lang w:eastAsia="lt-LT" w:bidi="lt-LT"/>
        </w:rPr>
        <w:t xml:space="preserve"> su savo kariškiais į TV bokštą prasibrovė pirmasis ir pranešė apie tai radijo ryšiu (</w:t>
      </w:r>
      <w:r w:rsidRPr="00C00255">
        <w:t>t. 427, b. l. 78</w:t>
      </w:r>
      <w:r w:rsidRPr="00C00255">
        <w:rPr>
          <w:szCs w:val="24"/>
        </w:rPr>
        <w:t>–</w:t>
      </w:r>
      <w:r w:rsidRPr="00C00255">
        <w:t>80; t. 432, b. l. 102</w:t>
      </w:r>
      <w:r w:rsidRPr="00C00255">
        <w:rPr>
          <w:szCs w:val="24"/>
        </w:rPr>
        <w:t>–</w:t>
      </w:r>
      <w:r w:rsidRPr="00C00255">
        <w:t>105; t. 114, b. l. 94</w:t>
      </w:r>
      <w:r w:rsidRPr="00C00255">
        <w:rPr>
          <w:szCs w:val="24"/>
        </w:rPr>
        <w:t>–</w:t>
      </w:r>
      <w:r w:rsidRPr="00C00255">
        <w:t>98, t. 119, b. l. 168</w:t>
      </w:r>
      <w:r w:rsidRPr="00C00255">
        <w:rPr>
          <w:szCs w:val="24"/>
        </w:rPr>
        <w:t>–</w:t>
      </w:r>
      <w:r w:rsidRPr="00C00255">
        <w:t>173)</w:t>
      </w:r>
      <w:r w:rsidRPr="00C00255">
        <w:rPr>
          <w:szCs w:val="24"/>
          <w:lang w:eastAsia="lt-LT" w:bidi="lt-LT"/>
        </w:rPr>
        <w:t xml:space="preserve">. </w:t>
      </w:r>
      <w:r w:rsidRPr="00C00255">
        <w:rPr>
          <w:rFonts w:eastAsia="Calibri"/>
        </w:rPr>
        <w:t>TSRS GM 76-osios oro desanto divizijos 234-ojo pulko 8-osios kuopo</w:t>
      </w:r>
      <w:r w:rsidRPr="00C00255">
        <w:t>s 3-iojo būrio vadas</w:t>
      </w:r>
      <w:r w:rsidRPr="00C00255">
        <w:rPr>
          <w:szCs w:val="24"/>
          <w:lang w:eastAsia="lt-LT" w:bidi="lt-LT"/>
        </w:rPr>
        <w:t xml:space="preserve"> </w:t>
      </w:r>
      <w:r>
        <w:rPr>
          <w:szCs w:val="24"/>
          <w:lang w:eastAsia="lt-LT" w:bidi="lt-LT"/>
        </w:rPr>
        <w:t>E. M.</w:t>
      </w:r>
      <w:r w:rsidRPr="00C00255">
        <w:rPr>
          <w:szCs w:val="24"/>
          <w:lang w:eastAsia="lt-LT" w:bidi="lt-LT"/>
        </w:rPr>
        <w:t xml:space="preserve"> teigė, </w:t>
      </w:r>
      <w:r w:rsidRPr="00C00255">
        <w:t>kad 1991 m.</w:t>
      </w:r>
      <w:r>
        <w:t> </w:t>
      </w:r>
      <w:r w:rsidRPr="00C00255">
        <w:t xml:space="preserve">sausio 12 d. apie 18 val. 3-iojo bataliono štabo viršininkas </w:t>
      </w:r>
      <w:r>
        <w:t>V. D.</w:t>
      </w:r>
      <w:r w:rsidRPr="00C00255">
        <w:t xml:space="preserve"> nuvyko į žvalgybą prie objektų, o po to, buvo duota užduotis paimti objektus. Jo grupės, kurioje buvo apie 17 karių, užduotis buvo prasibrauti iki TV bokšto, įeiti į jį ir likti pirmame aukšte neleidžiant žmonių į vidų. Šią užduotį jam davė </w:t>
      </w:r>
      <w:r>
        <w:t>V. D.</w:t>
      </w:r>
      <w:r w:rsidRPr="00C00255">
        <w:t xml:space="preserve"> kartu su 8-osios kuopos vadu </w:t>
      </w:r>
      <w:r>
        <w:t>A. G. 2</w:t>
      </w:r>
      <w:r w:rsidRPr="00C00255">
        <w:t xml:space="preserve"> (t. 118, b. l. 6</w:t>
      </w:r>
      <w:r w:rsidRPr="00C00255">
        <w:rPr>
          <w:szCs w:val="24"/>
        </w:rPr>
        <w:t>–</w:t>
      </w:r>
      <w:r w:rsidRPr="00C00255">
        <w:t>10, t. 431, b. l. 7</w:t>
      </w:r>
      <w:r w:rsidRPr="00C00255">
        <w:rPr>
          <w:szCs w:val="24"/>
        </w:rPr>
        <w:t>–</w:t>
      </w:r>
      <w:r w:rsidRPr="00C00255">
        <w:t>11).</w:t>
      </w:r>
      <w:r w:rsidRPr="00C00255">
        <w:rPr>
          <w:rFonts w:eastAsia="Calibri"/>
        </w:rPr>
        <w:t xml:space="preserve"> Šių parodymų </w:t>
      </w:r>
      <w:r w:rsidRPr="00C00255">
        <w:rPr>
          <w:color w:val="000000"/>
          <w:shd w:val="clear" w:color="auto" w:fill="FFFFFF"/>
        </w:rPr>
        <w:t>perskaitymas teismo posėdyje, ką padarė pirmosios instancijos teismas 2016 m. kovo 1 d. posėdyje (</w:t>
      </w:r>
      <w:r w:rsidRPr="00C00255">
        <w:rPr>
          <w:szCs w:val="24"/>
        </w:rPr>
        <w:t>t. 756, b. l. 30–32)</w:t>
      </w:r>
      <w:r w:rsidRPr="00C00255">
        <w:rPr>
          <w:color w:val="000000"/>
          <w:shd w:val="clear" w:color="auto" w:fill="FFFFFF"/>
        </w:rPr>
        <w:t xml:space="preserve">, ir analizė bendrame bylos duomenų kontekste galėjo turėti reikšmės formuojantis teismo vidiniam įsitikinimui ir galutiniam įrodymų įvertinimui </w:t>
      </w:r>
      <w:r w:rsidRPr="00C00255">
        <w:t>(LAT nutartis baudžiamojoje byloje Nr. 2K-79-697/2020).</w:t>
      </w:r>
    </w:p>
    <w:p w:rsidR="00B822BF" w:rsidRPr="00055544" w:rsidRDefault="00DA38E9" w:rsidP="00B822BF">
      <w:pPr>
        <w:pStyle w:val="ListParagraph"/>
        <w:numPr>
          <w:ilvl w:val="0"/>
          <w:numId w:val="6"/>
        </w:numPr>
        <w:spacing w:before="120" w:after="120"/>
        <w:ind w:left="992" w:hanging="992"/>
        <w:contextualSpacing w:val="0"/>
      </w:pPr>
      <w:r w:rsidRPr="00055544">
        <w:t>Taigi pirmosios instancijos teismo išvados, susijusios su V. D. dalyvavimu ir jo vadovaujamu vaidmeniu užimant TV bokštą, pasitvirtino visa apimtimi ir teisėjų kolegijai abejonių nekelia. Nuteistojo V. D. gynėjo argumentai apie tariamą V. D. savigyną naudojant smurtą nukentėjusiųjų atžvilgiu teisinės reikšmės neturi, nes byloje yra įrodytas jo vadovaujamas vaidmuo bendroje visų kariškių karinėje operacijoje, kurios metu puolimą vykdė kariškiai, o ne civiliai (apie kariškių veiksmų teisinį vertinimą bendrininkavimo formų kontekste teismas dar pasisakys atskirose šio sprendimo dalyse</w:t>
      </w:r>
      <w:r w:rsidRPr="00055544">
        <w:rPr>
          <w:szCs w:val="24"/>
          <w:lang w:eastAsia="lt-LT" w:bidi="lt-LT"/>
        </w:rPr>
        <w:t>).</w:t>
      </w:r>
      <w:r w:rsidRPr="00055544">
        <w:rPr>
          <w:szCs w:val="24"/>
        </w:rPr>
        <w:t xml:space="preserve"> </w:t>
      </w:r>
    </w:p>
    <w:p w:rsidR="00DA38E9" w:rsidRPr="00C00255" w:rsidRDefault="00DA38E9" w:rsidP="00DA38E9">
      <w:pPr>
        <w:pStyle w:val="Heading5"/>
        <w:spacing w:before="120" w:after="120"/>
        <w:ind w:firstLine="992"/>
        <w:rPr>
          <w:rFonts w:ascii="Times New Roman" w:hAnsi="Times New Roman" w:cs="Times New Roman"/>
          <w:i/>
          <w:color w:val="auto"/>
        </w:rPr>
      </w:pPr>
      <w:r w:rsidRPr="00C00255">
        <w:rPr>
          <w:rFonts w:ascii="Times New Roman" w:hAnsi="Times New Roman" w:cs="Times New Roman"/>
          <w:i/>
          <w:color w:val="auto"/>
        </w:rPr>
        <w:t xml:space="preserve">Dėl nuteistojo </w:t>
      </w:r>
      <w:r>
        <w:rPr>
          <w:rFonts w:ascii="Times New Roman" w:hAnsi="Times New Roman" w:cs="Times New Roman"/>
          <w:i/>
          <w:color w:val="auto"/>
        </w:rPr>
        <w:t>A. G. 2</w:t>
      </w:r>
      <w:r w:rsidRPr="00C00255">
        <w:rPr>
          <w:rFonts w:ascii="Times New Roman" w:hAnsi="Times New Roman" w:cs="Times New Roman"/>
          <w:i/>
          <w:color w:val="auto"/>
        </w:rPr>
        <w:t xml:space="preserve"> </w:t>
      </w:r>
      <w:bookmarkStart w:id="305" w:name="_Hlk67482147"/>
      <w:r w:rsidRPr="00C00255">
        <w:rPr>
          <w:rFonts w:ascii="Times New Roman" w:hAnsi="Times New Roman" w:cs="Times New Roman"/>
          <w:i/>
          <w:color w:val="auto"/>
        </w:rPr>
        <w:t>dalyvavimo</w:t>
      </w:r>
      <w:bookmarkEnd w:id="305"/>
      <w:r w:rsidRPr="00C00255">
        <w:rPr>
          <w:rFonts w:ascii="Times New Roman" w:hAnsi="Times New Roman" w:cs="Times New Roman"/>
          <w:i/>
          <w:color w:val="auto"/>
        </w:rPr>
        <w:t xml:space="preserve"> užimant TV bokštą</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rPr>
          <w:szCs w:val="24"/>
          <w:lang w:eastAsia="lt-LT"/>
        </w:rPr>
        <w:t>Teisėjų kolegija sutinka ir su skundžiamo nuosprendžio išvada, kad TSRS GM 76-osios oro desanto divizijos 234-ojo pulko 3-iojo bataliono 8-osios ir 9-osios kuopų kariškiams, kurie prasibrovė iki TV bokšto iš šiaurinės pusės bei, naudodami artimos kovos veiksmus, stūmė civilius iš TV bokšto teritorijos, vienu iš vadovavusių asmenų buvo ir 234-ojo pulko 3-iojo bataliono 8-osios kuopos vadas vyr. leitenantas A. G. 2. Apeliacinės instancijos teismo teisėjų kolegijos įsitikinimu, tokias pirmosios instancijos teismo išvadas patvirtina byloje surinktų duomenų visuma</w:t>
      </w:r>
      <w:r w:rsidRPr="00C00255">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Pirmiausia, teismo išvadą dėl nuteistojo </w:t>
      </w:r>
      <w:r>
        <w:rPr>
          <w:szCs w:val="24"/>
          <w:lang w:eastAsia="lt-LT"/>
        </w:rPr>
        <w:t>A. G. 2</w:t>
      </w:r>
      <w:r w:rsidRPr="00C00255">
        <w:rPr>
          <w:szCs w:val="24"/>
          <w:lang w:eastAsia="lt-LT"/>
        </w:rPr>
        <w:t xml:space="preserve"> dalyvavimo ir vadovaujamo vaidmens užimant TV bokštą pagrindžia byloje esantis karinio dalinio Nr. 74268 karių, dalyvavusių užimant TV bokštą, sąrašas. Jame kaip pirmasis ir aukščiausio rango 8-osios parašiutininkų desantininkų kuopos narys nurodytas būtent vyr. leitenantas </w:t>
      </w:r>
      <w:r>
        <w:rPr>
          <w:szCs w:val="24"/>
          <w:lang w:eastAsia="lt-LT"/>
        </w:rPr>
        <w:t>A. G. 2</w:t>
      </w:r>
      <w:r w:rsidRPr="00C00255">
        <w:rPr>
          <w:szCs w:val="24"/>
          <w:lang w:eastAsia="lt-LT"/>
        </w:rPr>
        <w:t xml:space="preserve"> (t. 429, b. l. 103–106; t. 116, b. l. 138–141). Taigi šie duomenys patvirtina, kad </w:t>
      </w:r>
      <w:r>
        <w:rPr>
          <w:szCs w:val="24"/>
          <w:lang w:eastAsia="lt-LT"/>
        </w:rPr>
        <w:t>A. G. 2</w:t>
      </w:r>
      <w:r w:rsidRPr="00C00255">
        <w:rPr>
          <w:szCs w:val="24"/>
          <w:lang w:eastAsia="lt-LT"/>
        </w:rPr>
        <w:t xml:space="preserve"> dalyvavo įvykiuose prie TV bokšto ir buvo 8-osios kuopos, kuri priklausė šiuose įvykiuose dalyvavusio 3-iojo bataliono sudėčiai, vyriausiuoju kariškiu.</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Išvadą apie </w:t>
      </w:r>
      <w:r>
        <w:rPr>
          <w:szCs w:val="24"/>
          <w:lang w:eastAsia="lt-LT"/>
        </w:rPr>
        <w:t>A. G. 2</w:t>
      </w:r>
      <w:r w:rsidRPr="00C00255">
        <w:rPr>
          <w:szCs w:val="24"/>
          <w:lang w:eastAsia="lt-LT"/>
        </w:rPr>
        <w:t xml:space="preserve"> buvimą šios kuopos vadu įvykių metu patvirtina ir Ginklų ir šaudmenų išdavimo 8-ojoje kuopoje knygoje esantys įrašai. Iš jų matyti, kad 1991 m. sausio mėnesio pradžioje nuteistasis </w:t>
      </w:r>
      <w:r>
        <w:rPr>
          <w:szCs w:val="24"/>
          <w:lang w:eastAsia="lt-LT"/>
        </w:rPr>
        <w:t>A. G. 2</w:t>
      </w:r>
      <w:r w:rsidRPr="00C00255">
        <w:rPr>
          <w:szCs w:val="24"/>
          <w:lang w:eastAsia="lt-LT"/>
        </w:rPr>
        <w:t xml:space="preserve"> pasirašinėjo kaip asmuo, suteikiantis leidimą išduoti ginklus šios kuopos kariškiams (t. 476, b. l. 137–141).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Taip pat byloje yra ir </w:t>
      </w:r>
      <w:r>
        <w:rPr>
          <w:szCs w:val="24"/>
          <w:lang w:eastAsia="lt-LT"/>
        </w:rPr>
        <w:t>A. G. 2</w:t>
      </w:r>
      <w:r w:rsidRPr="00C00255">
        <w:rPr>
          <w:szCs w:val="24"/>
          <w:lang w:eastAsia="lt-LT"/>
        </w:rPr>
        <w:t xml:space="preserve">, kaip 8-osios kuopos vado, pasirašytų dokumentų: ginklų, priskirtų 8-ajai kuopai, žiniaraštis (t. 427, b. l. 44; t. 114, b. l. 44) ir 1991 m. sausio 13 d. datuojamas </w:t>
      </w:r>
      <w:r>
        <w:rPr>
          <w:szCs w:val="24"/>
          <w:lang w:eastAsia="lt-LT"/>
        </w:rPr>
        <w:t>A. G. 2</w:t>
      </w:r>
      <w:r w:rsidRPr="00C00255">
        <w:rPr>
          <w:szCs w:val="24"/>
          <w:lang w:eastAsia="lt-LT"/>
        </w:rPr>
        <w:t xml:space="preserve"> rankraštinis paaiškinimas (t. 427, b. l. 45; t. 114, b. l. 45). Šiame dokumente </w:t>
      </w:r>
      <w:r>
        <w:rPr>
          <w:szCs w:val="24"/>
          <w:lang w:eastAsia="lt-LT"/>
        </w:rPr>
        <w:t>A. G. 2</w:t>
      </w:r>
      <w:r w:rsidRPr="00C00255">
        <w:rPr>
          <w:szCs w:val="24"/>
          <w:lang w:eastAsia="lt-LT"/>
        </w:rPr>
        <w:t xml:space="preserve"> nurodė ir tai, kad 1991 m. sausio 13 d. vykdė bataliono vado įsakymą perimti TV bokšto saugojimą. Šio įsakymo pagrindu jis su savo kuopa kovinėmis mašinomis puolė kairiuoju flangu, o asmeninei kuopos sudėčiai išsilaipinus, perėjo į objekto puolimą; miniai žmonių buvo duota komanda išsiskirstyti, tačiau jie nepakluso, ir buvo įsivelta į kautynes – kariškiai naudojo kumščius ir automatus, bei galiausiai prasiveržė iki bokšto vestibiulio lango, o jį išdaužus, pradėta skverbtis į pastato vidų.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Taigi vien minėti įrodymai patvirtina, kad 3-iojo bataliono 8-osios kuopos vadas </w:t>
      </w:r>
      <w:r>
        <w:rPr>
          <w:szCs w:val="24"/>
          <w:lang w:eastAsia="lt-LT"/>
        </w:rPr>
        <w:t>A. G. 2</w:t>
      </w:r>
      <w:r w:rsidRPr="00C00255">
        <w:rPr>
          <w:szCs w:val="24"/>
          <w:lang w:eastAsia="lt-LT"/>
        </w:rPr>
        <w:t xml:space="preserve"> vadovavo pavaldiems šios kuopos kariškiams šturmuojant TV bokštą. Tokį teisėjų kolegijos vidinį įsitikinimą formuoja ir ikiteisminio tyrimo metu liudytojais apklaustų bei suinteresuotumo šios bylos baigtimi neturinčių 3-iojo bataliono kariškių parodymai, perskaityti teisiamajame posėdyje (</w:t>
      </w:r>
      <w:r w:rsidRPr="00C00255">
        <w:rPr>
          <w:szCs w:val="24"/>
        </w:rPr>
        <w:t>t. 758, b. l. 49–50, 180–181, 195)</w:t>
      </w:r>
      <w:r w:rsidRPr="00C00255">
        <w:rPr>
          <w:szCs w:val="24"/>
          <w:lang w:eastAsia="lt-LT"/>
        </w:rPr>
        <w:t xml:space="preserve">. Apeliacinės instancijos teismas pažymi, kad net keliolika kariškių parodė apie aktyvų ir svarbų </w:t>
      </w:r>
      <w:r>
        <w:rPr>
          <w:szCs w:val="24"/>
          <w:lang w:eastAsia="lt-LT"/>
        </w:rPr>
        <w:t>A. G. 2</w:t>
      </w:r>
      <w:r w:rsidRPr="00C00255">
        <w:rPr>
          <w:szCs w:val="24"/>
          <w:lang w:eastAsia="lt-LT"/>
        </w:rPr>
        <w:t xml:space="preserve"> vaidmenį aptariamuose įvykiuose, todėl toliau pažymėtini tik tų asmenų parodymai, kurie geriausiai tai iliustruoja bei papildo jau aptartus įrodymus.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 xml:space="preserve">Tuometinis 8-osios kuopos viršila liudytojas </w:t>
      </w:r>
      <w:r>
        <w:rPr>
          <w:szCs w:val="24"/>
        </w:rPr>
        <w:t>D. M.</w:t>
      </w:r>
      <w:r w:rsidRPr="00C00255">
        <w:rPr>
          <w:szCs w:val="24"/>
        </w:rPr>
        <w:t xml:space="preserve"> nurodė, kad dar 1991 m. sausio 11 d. apie 17 val. kuopos vadas vyresnysis leitenantas </w:t>
      </w:r>
      <w:r>
        <w:rPr>
          <w:szCs w:val="24"/>
        </w:rPr>
        <w:t>A. G. 2</w:t>
      </w:r>
      <w:r w:rsidRPr="00C00255">
        <w:rPr>
          <w:szCs w:val="24"/>
        </w:rPr>
        <w:t xml:space="preserve"> 8-ajai kuopai pranešė, jog reikia perimti TV bokšto apsaugą ir supažindino šios kuopos asmeninę sudėtį su veiksmų planu bokšto schemoje. 1991 m. sausio 12 d. vakare jie gavo ginklus ir šovinius, o </w:t>
      </w:r>
      <w:r>
        <w:rPr>
          <w:szCs w:val="24"/>
        </w:rPr>
        <w:t>A. G. 2</w:t>
      </w:r>
      <w:r w:rsidRPr="00C00255">
        <w:rPr>
          <w:szCs w:val="24"/>
        </w:rPr>
        <w:t xml:space="preserve"> davė užduotį perimti minėto pastato apsaugą bei išaiškino kada ir kaip galima naudoti ginklus. Liudytojas buvo paskirtas vyresniuoju grupės, kuriai buvo duota užduotis patekti į pastatą ir jo 2-ajame aukšte išjungti aparatūrą. </w:t>
      </w:r>
      <w:r>
        <w:rPr>
          <w:szCs w:val="24"/>
        </w:rPr>
        <w:t>A. G. 2</w:t>
      </w:r>
      <w:r w:rsidRPr="00C00255">
        <w:rPr>
          <w:szCs w:val="24"/>
        </w:rPr>
        <w:t xml:space="preserve"> schemoje liudytojui parodė judėjimo maršrutą ir aparatūros išsidėstymą pastate. Pasak </w:t>
      </w:r>
      <w:r>
        <w:rPr>
          <w:szCs w:val="24"/>
        </w:rPr>
        <w:t>D. M.</w:t>
      </w:r>
      <w:r w:rsidRPr="00C00255">
        <w:rPr>
          <w:szCs w:val="24"/>
        </w:rPr>
        <w:t xml:space="preserve">, jau atvykus prie TV bokšto, grupė, kurioje buvo ir </w:t>
      </w:r>
      <w:r>
        <w:rPr>
          <w:szCs w:val="24"/>
        </w:rPr>
        <w:t>A. G. 2</w:t>
      </w:r>
      <w:r w:rsidRPr="00C00255">
        <w:rPr>
          <w:szCs w:val="24"/>
        </w:rPr>
        <w:t xml:space="preserve">, prasiveržė pro minią atstumdami juos automatais (t. 431, b. l. 49–52; t. 118, b. l. 71–85).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Liudytojas I. M</w:t>
      </w:r>
      <w:r>
        <w:rPr>
          <w:szCs w:val="24"/>
        </w:rPr>
        <w:t>.</w:t>
      </w:r>
      <w:r w:rsidRPr="00C00255">
        <w:rPr>
          <w:szCs w:val="24"/>
        </w:rPr>
        <w:t xml:space="preserve"> nurodė apie tai, kad būtent vyresnysis leitenantas </w:t>
      </w:r>
      <w:r>
        <w:rPr>
          <w:szCs w:val="24"/>
        </w:rPr>
        <w:t>A. G. 2</w:t>
      </w:r>
      <w:r w:rsidRPr="00C00255">
        <w:rPr>
          <w:szCs w:val="24"/>
        </w:rPr>
        <w:t xml:space="preserve"> jiems pravedė instruktažą bei paaiškino, jog jie turės išvaikyti prie TV bokšto susirinkusių asmenų minią; kiekvienam asmeniškai išdalino po 60 tuščių ir tiek pat kovinių šovinių; paaiškino kada ir kaip naudotis ginklu ir kaip atsimušinėti nuo civilių (t. 431, b. l. 82–84; t. 118, b. l. 140–144).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 xml:space="preserve">Liudytojas </w:t>
      </w:r>
      <w:r>
        <w:rPr>
          <w:szCs w:val="24"/>
        </w:rPr>
        <w:t>S. J.</w:t>
      </w:r>
      <w:r w:rsidRPr="00C00255">
        <w:rPr>
          <w:szCs w:val="24"/>
        </w:rPr>
        <w:t xml:space="preserve">, be kita ko, nurodė ir apie nuteistojo </w:t>
      </w:r>
      <w:r>
        <w:rPr>
          <w:szCs w:val="24"/>
        </w:rPr>
        <w:t>A. G. 2</w:t>
      </w:r>
      <w:r w:rsidRPr="00C00255">
        <w:rPr>
          <w:szCs w:val="24"/>
        </w:rPr>
        <w:t xml:space="preserve"> bendravimą su kitų padalinių kariškiais prieš pat TV bokšto užėmimo operaciją. Liudytojas teigė matęs, kad prieš išvažiuojant prie TV bokšto </w:t>
      </w:r>
      <w:r>
        <w:rPr>
          <w:szCs w:val="24"/>
        </w:rPr>
        <w:t>A. G. 2</w:t>
      </w:r>
      <w:r w:rsidRPr="00C00255">
        <w:rPr>
          <w:szCs w:val="24"/>
        </w:rPr>
        <w:t xml:space="preserve"> kartu su dar keliais aukšto rango karininkais kalba su žmonėmis apsirengusiais apsaugine uniforma bei šalmais iš plastmasės su organinio stiklo antveidžiais, kuriuose įmontuota racija (t. 432, b. l. 106–109, t. 119, b. l. 174–182).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Apeliacinės instancijos teismo teisėjų kolegijos įsitikinimu, aptarti parodymai ne tik leidžia patikrinti jau šioje dalyje minėtus įrodymus, bylojančius apie </w:t>
      </w:r>
      <w:r>
        <w:rPr>
          <w:szCs w:val="24"/>
          <w:lang w:eastAsia="lt-LT"/>
        </w:rPr>
        <w:t>A. G. 2</w:t>
      </w:r>
      <w:r w:rsidRPr="00C00255">
        <w:rPr>
          <w:szCs w:val="24"/>
          <w:lang w:eastAsia="lt-LT"/>
        </w:rPr>
        <w:t xml:space="preserve"> vadovaujamą vaidmenį šturmuojant TV bokštą, bet ir juos nuosekliai papildo. </w:t>
      </w:r>
      <w:r w:rsidRPr="00C00255">
        <w:rPr>
          <w:szCs w:val="24"/>
        </w:rPr>
        <w:t xml:space="preserve">Aptarti liudytojų parodymai atitinka ir nuteistojo </w:t>
      </w:r>
      <w:r>
        <w:rPr>
          <w:szCs w:val="24"/>
        </w:rPr>
        <w:t>V. D.</w:t>
      </w:r>
      <w:r w:rsidRPr="00C00255">
        <w:rPr>
          <w:szCs w:val="24"/>
        </w:rPr>
        <w:t xml:space="preserve"> gynėjo aptartus nuteistojo </w:t>
      </w:r>
      <w:r>
        <w:rPr>
          <w:szCs w:val="24"/>
        </w:rPr>
        <w:t>V. D.</w:t>
      </w:r>
      <w:r w:rsidRPr="00C00255">
        <w:rPr>
          <w:szCs w:val="24"/>
        </w:rPr>
        <w:t xml:space="preserve"> parodymus apie jo duotus nurodymus kitiems kariškiams, taip pat ir </w:t>
      </w:r>
      <w:r>
        <w:rPr>
          <w:szCs w:val="24"/>
        </w:rPr>
        <w:t>A. G. 2</w:t>
      </w:r>
      <w:r w:rsidRPr="00C00255">
        <w:rPr>
          <w:szCs w:val="24"/>
        </w:rPr>
        <w:t xml:space="preserve">, prieš pradedant operaciją, bei iliustruoja, kad nuteistasis </w:t>
      </w:r>
      <w:r>
        <w:rPr>
          <w:szCs w:val="24"/>
        </w:rPr>
        <w:t>A. G. 2</w:t>
      </w:r>
      <w:r w:rsidRPr="00C00255">
        <w:rPr>
          <w:szCs w:val="24"/>
        </w:rPr>
        <w:t xml:space="preserve">, vykdydamas jam pavestą užduotį, vadovavo savo kariškiams, davė reikiamus nurodymus ir instruktavo dėl TV bokšto užėmimo, be kita ko, supažindino su operacijos esme, neabejotinai žinodamas apie ten susirinkusius civilius ir galimas jų aukas (apie tai liudija kariškių kiekis, ginkluotė, prieš kelias dienas vykusio Spaudos rūmų užėmimo aplinkybės, duomenys apie nuteistojo </w:t>
      </w:r>
      <w:r>
        <w:rPr>
          <w:szCs w:val="24"/>
        </w:rPr>
        <w:t>V. D.</w:t>
      </w:r>
      <w:r w:rsidRPr="00C00255">
        <w:rPr>
          <w:szCs w:val="24"/>
        </w:rPr>
        <w:t xml:space="preserve"> žvalgybinius veiksmus nuvykstant prie TV bokšto prieš operaciją ir kt.), instruktavo kada ir kaip naudoti ginklą bei gintis nuo civilių, išdalino šovinius, bendravo su kitų operacijoje dalyvavusių dalinių kariškiais, taip pat vadovavo kariškiams ir operacijos metu, jėga, panaudojant smurtą ir ginklus, braunantis pro civilius prie TV bokšto ir pan.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Visi minėti duomenys rodo, kad pirmosios instancijos teismo išvados apie nuteistojo </w:t>
      </w:r>
      <w:r>
        <w:rPr>
          <w:szCs w:val="24"/>
          <w:lang w:eastAsia="lt-LT"/>
        </w:rPr>
        <w:t>A. G. 2</w:t>
      </w:r>
      <w:r w:rsidRPr="00C00255">
        <w:rPr>
          <w:szCs w:val="24"/>
          <w:lang w:eastAsia="lt-LT"/>
        </w:rPr>
        <w:t xml:space="preserve"> vadovaujamą vaidmenį ir kitus jam inkriminuotus veiksmus užimant TV bokštą yra teisingos ir pagrįstos.</w:t>
      </w:r>
    </w:p>
    <w:p w:rsidR="00DA38E9" w:rsidRPr="00C00255" w:rsidRDefault="00DA38E9" w:rsidP="00DA38E9">
      <w:pPr>
        <w:pStyle w:val="Heading5"/>
        <w:spacing w:before="120" w:after="120"/>
        <w:ind w:firstLine="992"/>
        <w:rPr>
          <w:rFonts w:ascii="Times New Roman" w:hAnsi="Times New Roman" w:cs="Times New Roman"/>
          <w:i/>
          <w:color w:val="auto"/>
        </w:rPr>
      </w:pPr>
      <w:r w:rsidRPr="00C00255">
        <w:rPr>
          <w:rFonts w:ascii="Times New Roman" w:hAnsi="Times New Roman" w:cs="Times New Roman"/>
          <w:i/>
          <w:color w:val="auto"/>
        </w:rPr>
        <w:t xml:space="preserve">Dėl nuteistojo </w:t>
      </w:r>
      <w:r>
        <w:rPr>
          <w:rFonts w:ascii="Times New Roman" w:hAnsi="Times New Roman" w:cs="Times New Roman"/>
          <w:i/>
          <w:color w:val="auto"/>
        </w:rPr>
        <w:t>E. M.</w:t>
      </w:r>
      <w:r w:rsidRPr="00C00255">
        <w:rPr>
          <w:rFonts w:ascii="Times New Roman" w:hAnsi="Times New Roman" w:cs="Times New Roman"/>
          <w:i/>
          <w:color w:val="auto"/>
        </w:rPr>
        <w:t xml:space="preserve"> dalyvavimo užimant TV bokštą</w:t>
      </w:r>
    </w:p>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rPr>
          <w:szCs w:val="24"/>
          <w:lang w:eastAsia="lt-LT"/>
        </w:rPr>
        <w:t xml:space="preserve">Teisėjų kolegijos įsitikinimu, pirmosios instancijos teismas teisingai nustatė, kad TSRS GM </w:t>
      </w:r>
      <w:r w:rsidRPr="00055544">
        <w:t>76-osios oro desanto divizijos 234-ojo pulko 3-iojo bataliono 8-osios kuopos būrio vadas leitenantas E. M. buvo vienu iš 234-ojo pulko 3-iojo bataliono 8-osios ir 9-osios kuopos kariams vadovavusių kariškių, kad jo vadovaujami kariai prasibrovė iki TV bokšto iš šiaurinės pusės bei, naudodami artimos kovos veiksmus, stūmė civilius iš TV bokšto teritorijos, po ko, septyniolika jo vadovaujamų karių užėmė TV bokšto pirmąjį aukštą ir iš ten šalino civilius (</w:t>
      </w:r>
      <w:r w:rsidRPr="00055544">
        <w:rPr>
          <w:rFonts w:eastAsia="Calibri"/>
        </w:rPr>
        <w:t>nuosprendžio 215–216 l., t. 770, b. l. 15–16)</w:t>
      </w:r>
      <w:r w:rsidRPr="00055544">
        <w:rPr>
          <w:rFonts w:eastAsia="Calibri"/>
          <w:szCs w:val="24"/>
        </w:rPr>
        <w:t>.</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Nuteistojo gynėja apeliaciniame skunde teigia, kad </w:t>
      </w:r>
      <w:r>
        <w:rPr>
          <w:szCs w:val="24"/>
          <w:lang w:eastAsia="lt-LT"/>
        </w:rPr>
        <w:t>E. M.</w:t>
      </w:r>
      <w:r w:rsidRPr="00C00255">
        <w:rPr>
          <w:szCs w:val="24"/>
          <w:lang w:eastAsia="lt-LT"/>
        </w:rPr>
        <w:t xml:space="preserve"> kaltė grindžiama prielaidomis ir duomenimis, kurie pažeidžia nekaltumo prezumpciją – nuteistųjų, apklaustų liudytojais, parodymais ir šiais parodymais pagrįsta 2014 m.</w:t>
      </w:r>
      <w:r w:rsidRPr="00C00255">
        <w:t xml:space="preserve"> birželio 10 d. specialisto J. Andriškevičiaus išvada. Visgi teisėjų kolegija pažymi, kad byloje yra ir kitų duomenų, kurių pakanka konstatuoti, kad </w:t>
      </w:r>
      <w:r>
        <w:t>E. M.</w:t>
      </w:r>
      <w:r w:rsidRPr="00C00255">
        <w:t xml:space="preserve"> dalyvavo įvykiuose prie TV bokšto ir buvo vienu iš 234-ojo pulko 3-iojo bataliono 8-ajai ir 9-ajai kuopoms vadovavusių kariškių, šturmuojant TV</w:t>
      </w:r>
      <w:r>
        <w:t> </w:t>
      </w:r>
      <w:r w:rsidRPr="00C00255">
        <w:t xml:space="preserve">bokštą.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Pirmiausia, teisėjų kolegijos išvadą dėl </w:t>
      </w:r>
      <w:r>
        <w:rPr>
          <w:szCs w:val="24"/>
          <w:lang w:eastAsia="lt-LT"/>
        </w:rPr>
        <w:t>E. M.</w:t>
      </w:r>
      <w:r w:rsidRPr="00C00255">
        <w:rPr>
          <w:szCs w:val="24"/>
          <w:lang w:eastAsia="lt-LT"/>
        </w:rPr>
        <w:t xml:space="preserve"> dalyvavimo ir vadovaujamo vaidmens įvykiuose prie TV bokšto lemia byloje esantis karinio dalinio Nr. 74268 karių, kurie dalyvavo užimant TV bokštą, sąrašas. Jame 234-ojo pulko 8-osios kuopos vienu iš vyriausiųjų kariškių nurodomas leitenantas </w:t>
      </w:r>
      <w:r>
        <w:rPr>
          <w:szCs w:val="24"/>
          <w:lang w:eastAsia="lt-LT"/>
        </w:rPr>
        <w:t>E. M.</w:t>
      </w:r>
      <w:r w:rsidRPr="00C00255">
        <w:rPr>
          <w:szCs w:val="24"/>
          <w:lang w:eastAsia="lt-LT"/>
        </w:rPr>
        <w:t xml:space="preserve">, kuris savo laipsniu tarp visų nurodomų operacijoje dalyvavusių 39 kariškių nusileido tik kuopos vadui vyr. leitenantui </w:t>
      </w:r>
      <w:r>
        <w:rPr>
          <w:szCs w:val="24"/>
          <w:lang w:eastAsia="lt-LT"/>
        </w:rPr>
        <w:t>A. G. 2</w:t>
      </w:r>
      <w:r w:rsidRPr="00C00255">
        <w:rPr>
          <w:szCs w:val="24"/>
          <w:lang w:eastAsia="lt-LT"/>
        </w:rPr>
        <w:t xml:space="preserve"> (apie jį teismas jau pasisakė, pastarasis pagal pareigas vadovavo visai 8-ąjai kuopai, o </w:t>
      </w:r>
      <w:r>
        <w:rPr>
          <w:szCs w:val="24"/>
          <w:lang w:eastAsia="lt-LT"/>
        </w:rPr>
        <w:t>E. M.</w:t>
      </w:r>
      <w:r w:rsidRPr="00C00255">
        <w:rPr>
          <w:szCs w:val="24"/>
          <w:lang w:eastAsia="lt-LT"/>
        </w:rPr>
        <w:t xml:space="preserve"> smulkesniam kuopos dariniui – būriui) (t. 429, b. l. 103–106; t. 116, b. l. 138–141).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karių, veikusių prie TV bokšto, sąrašo matyti, kad </w:t>
      </w:r>
      <w:r>
        <w:rPr>
          <w:szCs w:val="24"/>
          <w:lang w:eastAsia="lt-LT"/>
        </w:rPr>
        <w:t>E. M.</w:t>
      </w:r>
      <w:r w:rsidRPr="00C00255">
        <w:rPr>
          <w:szCs w:val="24"/>
          <w:lang w:eastAsia="lt-LT"/>
        </w:rPr>
        <w:t xml:space="preserve"> buvo ir vieno iš karinių automobilių ekipažo vadas, o tai taip pat rodo, jo vadovaujančias pareigas kitiems operacijoje dalyvavusiems kariškiams (t. 427, b. l. 151; t. 114, b. l. 185).</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Aplinkybę, kad </w:t>
      </w:r>
      <w:r>
        <w:rPr>
          <w:szCs w:val="24"/>
          <w:lang w:eastAsia="lt-LT"/>
        </w:rPr>
        <w:t>E. M.</w:t>
      </w:r>
      <w:r w:rsidRPr="00C00255">
        <w:rPr>
          <w:szCs w:val="24"/>
          <w:lang w:eastAsia="lt-LT"/>
        </w:rPr>
        <w:t xml:space="preserve"> buvo vienu iš šios kuopos vadų patvirtina ir Ginklų ir šaudmenų išdavimo 8-ojoje kuopoje knygos įrašai apie tai, kad artimu įvykiams prie TV bokšto metu </w:t>
      </w:r>
      <w:r>
        <w:rPr>
          <w:szCs w:val="24"/>
          <w:lang w:eastAsia="lt-LT"/>
        </w:rPr>
        <w:t>E. M.</w:t>
      </w:r>
      <w:r w:rsidRPr="00C00255">
        <w:rPr>
          <w:szCs w:val="24"/>
          <w:lang w:eastAsia="lt-LT"/>
        </w:rPr>
        <w:t xml:space="preserve"> buvo išduotos net kelios dešimtys ginklų AKS-74, o šių ginklų išdavimą parašu patvirtino </w:t>
      </w:r>
      <w:r>
        <w:rPr>
          <w:szCs w:val="24"/>
          <w:lang w:eastAsia="lt-LT"/>
        </w:rPr>
        <w:t>A. G. 2</w:t>
      </w:r>
      <w:r w:rsidRPr="00C00255">
        <w:rPr>
          <w:szCs w:val="24"/>
          <w:lang w:eastAsia="lt-LT"/>
        </w:rPr>
        <w:t xml:space="preserve"> (t. 476, b. l. 138–141). Atitinkamai iš kitos tokio pobūdžio knygos, kurioje pasirašinėjo tik aukščiausio rango kariškiai, matyti, kad 1991 m. sausio pradžioje </w:t>
      </w:r>
      <w:r>
        <w:rPr>
          <w:szCs w:val="24"/>
          <w:lang w:eastAsia="lt-LT"/>
        </w:rPr>
        <w:t>E. M.</w:t>
      </w:r>
      <w:r w:rsidRPr="00C00255">
        <w:rPr>
          <w:szCs w:val="24"/>
          <w:lang w:eastAsia="lt-LT"/>
        </w:rPr>
        <w:t xml:space="preserve"> išduoti 5,45 mm (600 vnt.) ir 9 mm kalibro šoviniai (t. 476, b. l. 175). Teisėjų kolegijos įsitikinimu, šių duomenų visuma patvirtina ne tik apie </w:t>
      </w:r>
      <w:r>
        <w:rPr>
          <w:szCs w:val="24"/>
          <w:lang w:eastAsia="lt-LT"/>
        </w:rPr>
        <w:t>E. M.</w:t>
      </w:r>
      <w:r w:rsidRPr="00C00255">
        <w:rPr>
          <w:szCs w:val="24"/>
          <w:lang w:eastAsia="lt-LT"/>
        </w:rPr>
        <w:t xml:space="preserve"> dalyvavimą įvykiuose prie TV bokšto, bet ir pakankamai aukštą jo rangą (tai rodo galimybė dispozicijon įgyti pakankamai didelį kiekį ginklų ir šaudmenų) bei vadovaujančias pareigas šios operacijos metu.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Tokių duomenų apie </w:t>
      </w:r>
      <w:r>
        <w:rPr>
          <w:szCs w:val="24"/>
          <w:lang w:eastAsia="lt-LT"/>
        </w:rPr>
        <w:t>E. M.</w:t>
      </w:r>
      <w:r w:rsidRPr="00C00255">
        <w:rPr>
          <w:szCs w:val="24"/>
          <w:lang w:eastAsia="lt-LT"/>
        </w:rPr>
        <w:t xml:space="preserve"> vadovaujančias pareigas patikimumą leidžia patikrinti ir jais tikėti ikiteisminio tyrimo metu liudytojais apklaustų ir suinteresuotumo šios bylos baigtimi neturinčių 3-iojo bataliono kariškių, kurių nebuvo galimybės apklausti teismo posėdyje, parodymai perskaityti teisiamajame posėdyje (t. 758, b. l. 49–</w:t>
      </w:r>
      <w:r w:rsidRPr="00C00255">
        <w:rPr>
          <w:szCs w:val="24"/>
        </w:rPr>
        <w:t>52, 193</w:t>
      </w:r>
      <w:r w:rsidRPr="00C00255">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Nagrinėjamų aplinkybių kontekste itin aktualiais teismas laiko tuometinio 8-osios kuopos 3-iojo būrio šaulio liudytojo O.</w:t>
      </w:r>
      <w:r>
        <w:rPr>
          <w:szCs w:val="24"/>
          <w:lang w:eastAsia="lt-LT"/>
        </w:rPr>
        <w:t> </w:t>
      </w:r>
      <w:r w:rsidRPr="00C00255">
        <w:rPr>
          <w:szCs w:val="24"/>
          <w:lang w:eastAsia="lt-LT"/>
        </w:rPr>
        <w:t>G</w:t>
      </w:r>
      <w:r>
        <w:rPr>
          <w:szCs w:val="24"/>
          <w:lang w:eastAsia="lt-LT"/>
        </w:rPr>
        <w:t>.</w:t>
      </w:r>
      <w:r w:rsidRPr="00C00255">
        <w:rPr>
          <w:szCs w:val="24"/>
          <w:lang w:eastAsia="lt-LT"/>
        </w:rPr>
        <w:t xml:space="preserve"> parodymus. Pastarasis nurodė, kad kai jie prie TV bokšto išlipo iš mašinų, jiems vadovavo 8-osios kuopos 3-iojo būrio leitenantas </w:t>
      </w:r>
      <w:r>
        <w:rPr>
          <w:szCs w:val="24"/>
          <w:lang w:eastAsia="lt-LT"/>
        </w:rPr>
        <w:t>E. M.</w:t>
      </w:r>
      <w:r w:rsidRPr="00C00255">
        <w:rPr>
          <w:szCs w:val="24"/>
          <w:lang w:eastAsia="lt-LT"/>
        </w:rPr>
        <w:t xml:space="preserve">. Jam vadovaujant, jie – apie 10 desantininkų iš 8-osios kuopos – pradėjo bėgti pro minią. Kai prasiveržė, iš </w:t>
      </w:r>
      <w:r>
        <w:rPr>
          <w:szCs w:val="24"/>
          <w:lang w:eastAsia="lt-LT"/>
        </w:rPr>
        <w:t>E. M.</w:t>
      </w:r>
      <w:r w:rsidRPr="00C00255">
        <w:rPr>
          <w:szCs w:val="24"/>
          <w:lang w:eastAsia="lt-LT"/>
        </w:rPr>
        <w:t xml:space="preserve"> buvo gauta komanda išmušti apatinių bokšto langų stiklus ir įsigauti į pastato vidų. Pastato viduje jie išbuvo 5 minutes, po ko buvo gauta </w:t>
      </w:r>
      <w:r>
        <w:rPr>
          <w:szCs w:val="24"/>
          <w:lang w:eastAsia="lt-LT"/>
        </w:rPr>
        <w:t>E. M.</w:t>
      </w:r>
      <w:r w:rsidRPr="00C00255">
        <w:rPr>
          <w:szCs w:val="24"/>
          <w:lang w:eastAsia="lt-LT"/>
        </w:rPr>
        <w:t xml:space="preserve"> komanda išeiti į lauką ir nustumti minią nuo TV bokšto (t. 431, b. l. 153–157, t. 118, b. l. 256–260).</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Liudytojas O.</w:t>
      </w:r>
      <w:r>
        <w:rPr>
          <w:szCs w:val="24"/>
          <w:lang w:eastAsia="lt-LT"/>
        </w:rPr>
        <w:t> </w:t>
      </w:r>
      <w:r w:rsidRPr="00C00255">
        <w:rPr>
          <w:szCs w:val="24"/>
          <w:lang w:eastAsia="lt-LT"/>
        </w:rPr>
        <w:t>M</w:t>
      </w:r>
      <w:r>
        <w:rPr>
          <w:szCs w:val="24"/>
          <w:lang w:eastAsia="lt-LT"/>
        </w:rPr>
        <w:t>.</w:t>
      </w:r>
      <w:r w:rsidRPr="00C00255">
        <w:rPr>
          <w:szCs w:val="24"/>
          <w:lang w:eastAsia="lt-LT"/>
        </w:rPr>
        <w:t xml:space="preserve"> parodė, kad prie TV bokšto važiavo mašina BMD Nr. 289, kurioje vyriausiuoju buvo leitenantas </w:t>
      </w:r>
      <w:r>
        <w:rPr>
          <w:szCs w:val="24"/>
          <w:lang w:eastAsia="lt-LT"/>
        </w:rPr>
        <w:t>E. M.</w:t>
      </w:r>
      <w:r w:rsidRPr="00C00255">
        <w:rPr>
          <w:szCs w:val="24"/>
          <w:lang w:eastAsia="lt-LT"/>
        </w:rPr>
        <w:t xml:space="preserve">. Jų mašinai atvažiavus, jie praėjo iki TV bokšto ir pro vieną iš langų įėjo į pastatą. Šis liudytojas taip pat nurodė, kad į Lietuvą iš Pskovo atvykusi 8-oji kuopa Vilniuje buvo pilnos sudėties, o jai vadovavo vyr. leitenantas </w:t>
      </w:r>
      <w:r>
        <w:rPr>
          <w:szCs w:val="24"/>
          <w:lang w:eastAsia="lt-LT"/>
        </w:rPr>
        <w:t>A. G. 2</w:t>
      </w:r>
      <w:r w:rsidRPr="00C00255">
        <w:rPr>
          <w:szCs w:val="24"/>
          <w:lang w:eastAsia="lt-LT"/>
        </w:rPr>
        <w:t xml:space="preserve"> ir taip pat Vilniuje buvo kuopos 3-iojo būrio vadas leitenantas </w:t>
      </w:r>
      <w:r>
        <w:rPr>
          <w:szCs w:val="24"/>
          <w:lang w:eastAsia="lt-LT"/>
        </w:rPr>
        <w:t>E. M.</w:t>
      </w:r>
      <w:r w:rsidRPr="00C00255">
        <w:rPr>
          <w:szCs w:val="24"/>
          <w:lang w:eastAsia="lt-LT"/>
        </w:rPr>
        <w:t xml:space="preserve"> (t. 431, b. l. 46–48, t. 118, b. l. 64–70).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Be to, bent keletas kitų kariškių nurodė, kad 8-osios kuopos veiksmams vadovavo ne tik kuopos vadas vyr. leitenantas </w:t>
      </w:r>
      <w:r>
        <w:rPr>
          <w:szCs w:val="24"/>
          <w:lang w:eastAsia="lt-LT"/>
        </w:rPr>
        <w:t>A. G. 2</w:t>
      </w:r>
      <w:r w:rsidRPr="00C00255">
        <w:rPr>
          <w:szCs w:val="24"/>
          <w:lang w:eastAsia="lt-LT"/>
        </w:rPr>
        <w:t xml:space="preserve">, bet ir šios kuopos būrio vadas leitenantas </w:t>
      </w:r>
      <w:r>
        <w:rPr>
          <w:szCs w:val="24"/>
          <w:lang w:eastAsia="lt-LT"/>
        </w:rPr>
        <w:t>E. M.</w:t>
      </w:r>
      <w:r w:rsidRPr="00C00255">
        <w:rPr>
          <w:szCs w:val="24"/>
          <w:lang w:eastAsia="lt-LT"/>
        </w:rPr>
        <w:t>. Tai liudytojai N.</w:t>
      </w:r>
      <w:r>
        <w:rPr>
          <w:szCs w:val="24"/>
          <w:lang w:eastAsia="lt-LT"/>
        </w:rPr>
        <w:t> </w:t>
      </w:r>
      <w:r w:rsidRPr="00C00255">
        <w:rPr>
          <w:szCs w:val="24"/>
          <w:lang w:eastAsia="lt-LT"/>
        </w:rPr>
        <w:t>G</w:t>
      </w:r>
      <w:r>
        <w:rPr>
          <w:szCs w:val="24"/>
          <w:lang w:eastAsia="lt-LT"/>
        </w:rPr>
        <w:t>.</w:t>
      </w:r>
      <w:r w:rsidRPr="00C00255">
        <w:rPr>
          <w:szCs w:val="24"/>
          <w:lang w:eastAsia="lt-LT"/>
        </w:rPr>
        <w:t xml:space="preserve"> (t. 431, b. l. 60–68, t. 118, b. l. 102–107), A. S</w:t>
      </w:r>
      <w:r>
        <w:rPr>
          <w:szCs w:val="24"/>
          <w:lang w:eastAsia="lt-LT"/>
        </w:rPr>
        <w:t>.</w:t>
      </w:r>
      <w:r w:rsidRPr="00C00255">
        <w:rPr>
          <w:szCs w:val="24"/>
          <w:lang w:eastAsia="lt-LT"/>
        </w:rPr>
        <w:t xml:space="preserve"> (t. 431, 102–105, t. 118, b. l. 169–174) ir N. M</w:t>
      </w:r>
      <w:r>
        <w:rPr>
          <w:szCs w:val="24"/>
          <w:lang w:eastAsia="lt-LT"/>
        </w:rPr>
        <w:t>.</w:t>
      </w:r>
      <w:r w:rsidRPr="00C00255">
        <w:rPr>
          <w:szCs w:val="24"/>
          <w:lang w:eastAsia="lt-LT"/>
        </w:rPr>
        <w:t xml:space="preserve">, nurodę, kad iš karininkų kuopos sudėtyje prie TV bokšto buvo tik </w:t>
      </w:r>
      <w:r>
        <w:rPr>
          <w:szCs w:val="24"/>
          <w:lang w:eastAsia="lt-LT"/>
        </w:rPr>
        <w:t>A. G. 2</w:t>
      </w:r>
      <w:r w:rsidRPr="00C00255">
        <w:rPr>
          <w:szCs w:val="24"/>
          <w:lang w:eastAsia="lt-LT"/>
        </w:rPr>
        <w:t xml:space="preserve"> ir </w:t>
      </w:r>
      <w:r>
        <w:rPr>
          <w:szCs w:val="24"/>
          <w:lang w:eastAsia="lt-LT"/>
        </w:rPr>
        <w:t>E. M.</w:t>
      </w:r>
      <w:r w:rsidRPr="00C00255">
        <w:rPr>
          <w:szCs w:val="24"/>
          <w:lang w:eastAsia="lt-LT"/>
        </w:rPr>
        <w:t xml:space="preserve"> (t. 431, b. l. 16–19, t. 118, b. l. 16–23).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Iš aptartų duomenų visumos matyti, kad </w:t>
      </w:r>
      <w:r>
        <w:rPr>
          <w:szCs w:val="24"/>
          <w:lang w:eastAsia="lt-LT"/>
        </w:rPr>
        <w:t>E. M.</w:t>
      </w:r>
      <w:r w:rsidRPr="00C00255">
        <w:rPr>
          <w:szCs w:val="24"/>
          <w:lang w:eastAsia="lt-LT"/>
        </w:rPr>
        <w:t xml:space="preserve"> buvo vienu iš dviejų karininkų, kurie vadovavo kariškių skaičiumi pakankamai ženkliai 8-ajai kuopai (kaip minėta, šios kuopos sąraše buvo nurodyti 39 kariškiai). Teismo išvadų patikimumą patvirtinantys aptarti </w:t>
      </w:r>
      <w:r w:rsidRPr="00C00255">
        <w:rPr>
          <w:szCs w:val="24"/>
          <w:lang w:eastAsia="lt-LT" w:bidi="lt-LT"/>
        </w:rPr>
        <w:t xml:space="preserve">liudytojų parodymai paaiškina byloje surinktus rašytinius įrodymus bei detalizuoja, kuo pasireiškė </w:t>
      </w:r>
      <w:r>
        <w:rPr>
          <w:szCs w:val="24"/>
          <w:lang w:eastAsia="lt-LT" w:bidi="lt-LT"/>
        </w:rPr>
        <w:t>E. M.</w:t>
      </w:r>
      <w:r w:rsidRPr="00C00255">
        <w:rPr>
          <w:szCs w:val="24"/>
          <w:lang w:eastAsia="lt-LT" w:bidi="lt-LT"/>
        </w:rPr>
        <w:t xml:space="preserve"> vadovaujamo pobūdžio veiksmai prie TV bokšto. Antai, juose detalizuojamas šio nuteistojo išskirtinis vaidmuo vedant dalinį į pirmąjį TV bokšto aukštą, tolimesni jo duoti įsakymai po šio aukšto užėmimo ir pan. Todėl, teisėjų kolegijos įsitikinimu, visos skundžiamo nuosprendžio nustatomojoje dalyje padarytos išvados, susijusios su </w:t>
      </w:r>
      <w:r>
        <w:rPr>
          <w:szCs w:val="24"/>
          <w:lang w:eastAsia="lt-LT" w:bidi="lt-LT"/>
        </w:rPr>
        <w:t>E. M.</w:t>
      </w:r>
      <w:r w:rsidRPr="00C00255">
        <w:rPr>
          <w:szCs w:val="24"/>
          <w:lang w:eastAsia="lt-LT" w:bidi="lt-LT"/>
        </w:rPr>
        <w:t xml:space="preserve"> vadovaujamu vaidmeniu prie TV bokšto, yra patvirtintos logine grandine besijungiančių bylos duomenų visumos ir abejonių nekelia. </w:t>
      </w:r>
      <w:r w:rsidRPr="00C00255">
        <w:rPr>
          <w:szCs w:val="24"/>
        </w:rPr>
        <w:t xml:space="preserve">Jau aptarti duomenys teisėjų kolegijai leidžia konstatuoti, kad konkretūs nuteistojo </w:t>
      </w:r>
      <w:r>
        <w:rPr>
          <w:szCs w:val="24"/>
        </w:rPr>
        <w:t>E. M.</w:t>
      </w:r>
      <w:r w:rsidRPr="00C00255">
        <w:rPr>
          <w:szCs w:val="24"/>
        </w:rPr>
        <w:t xml:space="preserve"> veiksmai prie TV bokšto nuosprendyje yra atskleisti pakankamai, tiek, kiek tai atspindi bylos aplinkybės ir kiek tai svarbu aprašant inkriminuojamų veikų požymius, todėl detalesnis jų atskleidimas, skirtingai nei apeliaciniame skunde nurodė jo gynėja, nebuvo galimas ir būtinas.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Nuteistojo </w:t>
      </w:r>
      <w:r>
        <w:rPr>
          <w:szCs w:val="24"/>
        </w:rPr>
        <w:t>E. M.</w:t>
      </w:r>
      <w:r w:rsidRPr="00C00255">
        <w:rPr>
          <w:szCs w:val="24"/>
        </w:rPr>
        <w:t xml:space="preserve"> gynėjos teigimu, byloje nėra duomenų apie tai, kad </w:t>
      </w:r>
      <w:r>
        <w:rPr>
          <w:szCs w:val="24"/>
        </w:rPr>
        <w:t>E. M.</w:t>
      </w:r>
      <w:r w:rsidRPr="00C00255">
        <w:rPr>
          <w:szCs w:val="24"/>
        </w:rPr>
        <w:t xml:space="preserve"> ar jo būrys prie TV bokšto naudojo uždraustas kulkas ar kitus ginklus – dūminius užtaisus ir granatas, šaudė 7,62 mm kalibro SVD šautuvais, naudojo 5,45 mm kalibro išcentruotas kulkas bei nužudė </w:t>
      </w:r>
      <w:r>
        <w:rPr>
          <w:szCs w:val="24"/>
        </w:rPr>
        <w:t>I. Š.</w:t>
      </w:r>
      <w:r w:rsidRPr="00C00255">
        <w:rPr>
          <w:szCs w:val="24"/>
        </w:rPr>
        <w:t xml:space="preserve">. Teisėjų kolegija su tokia gynybos pozicija iš dalies sutinka, nes nukentėjusįjį </w:t>
      </w:r>
      <w:r>
        <w:rPr>
          <w:szCs w:val="24"/>
        </w:rPr>
        <w:t>I. Š.</w:t>
      </w:r>
      <w:r w:rsidRPr="00C00255">
        <w:rPr>
          <w:szCs w:val="24"/>
        </w:rPr>
        <w:t xml:space="preserve"> nušovė ne </w:t>
      </w:r>
      <w:r>
        <w:rPr>
          <w:szCs w:val="24"/>
        </w:rPr>
        <w:t>E. M.</w:t>
      </w:r>
      <w:r w:rsidRPr="00C00255">
        <w:rPr>
          <w:szCs w:val="24"/>
        </w:rPr>
        <w:t xml:space="preserve"> ir ne jo vadovaujami kariškiai, o nenustatytas TSRS VSK specialiosios paskirties grupės „A“ kariškis. Visgi byloje nustatyta, kad kariškiai veikė kartu, bendros operacijos metu, o </w:t>
      </w:r>
      <w:r>
        <w:rPr>
          <w:szCs w:val="24"/>
        </w:rPr>
        <w:t>E. M.</w:t>
      </w:r>
      <w:r w:rsidRPr="00C00255">
        <w:rPr>
          <w:szCs w:val="24"/>
        </w:rPr>
        <w:t xml:space="preserve"> vadovaujami kariškiai sudarė sąlygas ir padėjo veikti TSRS VSK grupės „A“ kariškiams.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Įvertinusi tokius gynybos argumentus, teisėjų kolegija pabrėžia, kad skundžiamo nuosprendžio motyvuojamojoje dalyje išties nurodyta, kad „</w:t>
      </w:r>
      <w:r w:rsidRPr="00F7525B">
        <w:rPr>
          <w:szCs w:val="24"/>
          <w:lang w:eastAsia="lt-LT" w:bidi="lt-LT"/>
        </w:rPr>
        <w:t>E. M.</w:t>
      </w:r>
      <w:r>
        <w:rPr>
          <w:szCs w:val="24"/>
          <w:lang w:eastAsia="lt-LT" w:bidi="lt-LT"/>
        </w:rPr>
        <w:t xml:space="preserve"> </w:t>
      </w:r>
      <w:r w:rsidRPr="00C00255">
        <w:rPr>
          <w:szCs w:val="24"/>
          <w:lang w:eastAsia="lt-LT" w:bidi="lt-LT"/>
        </w:rPr>
        <w:t xml:space="preserve">vadovavo oro desanto divizijos kariškių būriui šturmuojant &lt;...&gt; TV bokštą šiaurinėje pusėje, dalyvavo operacijose užgrobiant kitus objektus. Šalinant civilius nuo TV bokšto, kaltinamasis ir jo vadovaujami kariškiai naudojo dūminius užtaisus, dūmines granatas, šaudė 7,62 SVD šautuvais, naudojo 5,45 mm išcentruotas kulkas, šios atakos metu buvo nušautas </w:t>
      </w:r>
      <w:r>
        <w:rPr>
          <w:szCs w:val="24"/>
          <w:lang w:eastAsia="lt-LT" w:bidi="lt-LT"/>
        </w:rPr>
        <w:t>I. Š.</w:t>
      </w:r>
      <w:r w:rsidRPr="00C00255">
        <w:rPr>
          <w:szCs w:val="24"/>
          <w:lang w:eastAsia="lt-LT" w:bidi="lt-LT"/>
        </w:rPr>
        <w:t>“ (</w:t>
      </w:r>
      <w:r w:rsidRPr="00C00255">
        <w:rPr>
          <w:lang w:eastAsia="lt-LT"/>
        </w:rPr>
        <w:t>nuosprendžio 873 l., t. 773, b. l. 73).</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Tokių pirmosios instancijos teismo išvadų kontekste būtina pažymėti, kad nagrinėjamoje baudžiamojoje byloje nebuvo įrodinėjama, jog būtent </w:t>
      </w:r>
      <w:r>
        <w:rPr>
          <w:szCs w:val="24"/>
        </w:rPr>
        <w:t>E. M.</w:t>
      </w:r>
      <w:r w:rsidRPr="00C00255">
        <w:rPr>
          <w:szCs w:val="24"/>
        </w:rPr>
        <w:t xml:space="preserve"> ar jo būrio kariškiai nužudė </w:t>
      </w:r>
      <w:r>
        <w:rPr>
          <w:szCs w:val="24"/>
        </w:rPr>
        <w:t>I. Š.</w:t>
      </w:r>
      <w:r w:rsidRPr="00C00255">
        <w:rPr>
          <w:szCs w:val="24"/>
        </w:rPr>
        <w:t xml:space="preserve">. Be to, skundžiamo nuosprendžio nustatomojoje dalyje nurodyta, kad </w:t>
      </w:r>
      <w:r>
        <w:rPr>
          <w:szCs w:val="24"/>
        </w:rPr>
        <w:t>I. Š.</w:t>
      </w:r>
      <w:r w:rsidRPr="00C00255">
        <w:rPr>
          <w:szCs w:val="24"/>
        </w:rPr>
        <w:t xml:space="preserve"> nužudė ne </w:t>
      </w:r>
      <w:r w:rsidRPr="00C00255">
        <w:rPr>
          <w:szCs w:val="24"/>
          <w:lang w:eastAsia="lt-LT"/>
        </w:rPr>
        <w:t>TSRS GM 76-osios oro desanto divizijos, o TSRS VSK specialiosios paskirties grupės „A“ nenustatytas kariškis</w:t>
      </w:r>
      <w:r w:rsidRPr="00C00255">
        <w:rPr>
          <w:szCs w:val="24"/>
        </w:rPr>
        <w:t xml:space="preserve"> (žr. nuosprendžio 215 l.). Atsižvelgiant į tai, minėta teismo išvada, nurodyta teismo nuosprendžio motyvuojamojoje dalyje, nepasakant, kad </w:t>
      </w:r>
      <w:r>
        <w:rPr>
          <w:szCs w:val="24"/>
        </w:rPr>
        <w:t>I. Š.</w:t>
      </w:r>
      <w:r w:rsidRPr="00C00255">
        <w:rPr>
          <w:szCs w:val="24"/>
        </w:rPr>
        <w:t xml:space="preserve"> buvo nužudytas nenustatyto „A“ grupės kariškio ir iš esmės kalbant apie </w:t>
      </w:r>
      <w:r>
        <w:rPr>
          <w:szCs w:val="24"/>
        </w:rPr>
        <w:t>E. M.</w:t>
      </w:r>
      <w:r w:rsidRPr="00C00255">
        <w:rPr>
          <w:szCs w:val="24"/>
        </w:rPr>
        <w:t xml:space="preserve"> vadovaujamų kariškių ataką, yra neteisinga. D</w:t>
      </w:r>
      <w:r w:rsidRPr="00C00255">
        <w:rPr>
          <w:iCs/>
          <w:szCs w:val="24"/>
          <w:lang w:eastAsia="lt-LT"/>
        </w:rPr>
        <w:t xml:space="preserve">ėl minėtos neteisingos išvados, pastebėtina tik tai, kad tokia klaida, tikėtina, buvo padaryta dėl byloje esančių duomenų apie vieno iš TSRS VSK grupės „A“ kariškių, kurie įsiveržė į pirmąjį TV bokšto aukštą, pavardę, sutampančią su nuteistojo </w:t>
      </w:r>
      <w:r>
        <w:rPr>
          <w:iCs/>
          <w:szCs w:val="24"/>
          <w:lang w:eastAsia="lt-LT"/>
        </w:rPr>
        <w:t>E. M.</w:t>
      </w:r>
      <w:r w:rsidRPr="00C00255">
        <w:rPr>
          <w:iCs/>
          <w:szCs w:val="24"/>
          <w:lang w:eastAsia="lt-LT"/>
        </w:rPr>
        <w:t xml:space="preserve"> pavarde (žr. 2014 m. birželio 10 d. specialisto išvados 40–41 l., t. 480, b. l. 73–74).</w:t>
      </w:r>
      <w:r w:rsidRPr="00C00255">
        <w:rPr>
          <w:i/>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rPr>
          <w:rFonts w:eastAsia="Calibri"/>
        </w:rPr>
        <w:t>Prokurorai apeliacinės instancijos teisme pasisakydami dėl E. M. gynėjos skundo argumentų bei šio nuteistojo vaidmens 1991 m. sausio 13 d. įvykių metu, taip pat pripažino, kad nuosprendžio motyvuojamojoje dalyje nurodytas E. M. vaidmuo prie TV bokšto neatitinka tikrovės. Prokurorai palaikė gynybos poziciją, kad nuosprendžio motyvuojamojoje dalyje aprašyti nuteistojo E. M. ir jo vadovautų kariškių veiksmai, susiję I. Š. nužudymu TV bokšte, yra neteisingi (baigiamosios kalbos 59 l.; t. 796, b. l. 59), nes nukentėjusįjį I. Š. nužudė nenustatyti TSRS VSK grupės „A“ kariškiai</w:t>
      </w:r>
      <w:r w:rsidRPr="00B822BF">
        <w:rPr>
          <w:rFonts w:eastAsia="Calibri"/>
        </w:rPr>
        <w:t>.</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Teisėjų kolegija su tokia prokurorų pozicija sutinka </w:t>
      </w:r>
      <w:r w:rsidRPr="00C00255">
        <w:rPr>
          <w:color w:val="000000"/>
          <w:szCs w:val="24"/>
          <w:lang w:eastAsia="lt-LT" w:bidi="lt-LT"/>
        </w:rPr>
        <w:t xml:space="preserve">ir darydama išvadas dėl nuteistojo </w:t>
      </w:r>
      <w:r>
        <w:rPr>
          <w:color w:val="000000"/>
          <w:szCs w:val="24"/>
          <w:lang w:eastAsia="lt-LT" w:bidi="lt-LT"/>
        </w:rPr>
        <w:t>E. M.</w:t>
      </w:r>
      <w:r w:rsidRPr="00C00255">
        <w:rPr>
          <w:color w:val="000000"/>
          <w:szCs w:val="24"/>
          <w:lang w:eastAsia="lt-LT" w:bidi="lt-LT"/>
        </w:rPr>
        <w:t xml:space="preserve"> veiksmų, šių aplinkybių nevertina kaip atliktų nuteistojo </w:t>
      </w:r>
      <w:r>
        <w:rPr>
          <w:color w:val="000000"/>
          <w:szCs w:val="24"/>
          <w:lang w:eastAsia="lt-LT" w:bidi="lt-LT"/>
        </w:rPr>
        <w:t>E. M.</w:t>
      </w:r>
      <w:r w:rsidRPr="00C00255">
        <w:rPr>
          <w:color w:val="000000"/>
          <w:szCs w:val="24"/>
          <w:lang w:eastAsia="lt-LT" w:bidi="lt-LT"/>
        </w:rPr>
        <w:t xml:space="preserve"> vadovaujamų oro desanto kariškių atakos metu.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Gynybos įsitikinimu, byloje nėra ir duomenų, kad </w:t>
      </w:r>
      <w:r>
        <w:rPr>
          <w:szCs w:val="24"/>
        </w:rPr>
        <w:t>E. M.</w:t>
      </w:r>
      <w:r w:rsidRPr="00C00255">
        <w:rPr>
          <w:szCs w:val="24"/>
        </w:rPr>
        <w:t xml:space="preserve"> davė savo būriui įsakymus, susijusius su ginklų panaudojimu, ir buvo atsakingas už jų ginkluotę bei jos panaudojimą. Visgi šioje teismo sprendimo dalyje jau aptarti duomenys rodo, kad leitenantas </w:t>
      </w:r>
      <w:r>
        <w:rPr>
          <w:szCs w:val="24"/>
        </w:rPr>
        <w:t>E. M.</w:t>
      </w:r>
      <w:r w:rsidRPr="00C00255">
        <w:rPr>
          <w:szCs w:val="24"/>
        </w:rPr>
        <w:t xml:space="preserve"> pasirašinėjo atitinkamose ginklų knygose ir 1991 m. sausio mėnesio pradžioje jam buvo išduotos kelios dešimtys ginklų bei didelis kiekis 5,45 mm kalibro šovinių. Taigi nors 8-osios kuopos kariškius dėl ginklų panaudojimo instruktavo šios kuopos vadas nuteistasis </w:t>
      </w:r>
      <w:r>
        <w:rPr>
          <w:szCs w:val="24"/>
        </w:rPr>
        <w:t>A. G. 2</w:t>
      </w:r>
      <w:r w:rsidRPr="00C00255">
        <w:rPr>
          <w:szCs w:val="24"/>
        </w:rPr>
        <w:t xml:space="preserve">, akivaizdu, kad jam pavaldus leitenantas </w:t>
      </w:r>
      <w:r>
        <w:rPr>
          <w:szCs w:val="24"/>
        </w:rPr>
        <w:t>E. M.</w:t>
      </w:r>
      <w:r w:rsidRPr="00C00255">
        <w:rPr>
          <w:szCs w:val="24"/>
        </w:rPr>
        <w:t>, kaip kuopos būrio, t. y. dalies šio dalinio kariškių, vadas, taip pat turėjo galimybę tokiais ginklais bei šoviniais disponuoti bei juos perduoti sau pavaldiems kitiems kariškiams (plačiau apie kovinių šovinių panaudojimą ir kitus ginklus, kuriais TV bokšto užėmimo metu disponavo tiek oro desanto kariškiai, tiek kiti operacijoje dalyvę kariškiai ir tą pagrindžiančius įrodymus, teismas dar pasisakys).</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rPr>
          <w:rFonts w:eastAsia="Calibri"/>
        </w:rPr>
        <w:t xml:space="preserve">Teisėjų kolegija jau ne kartą minėjo, kad pagal byloje nustatytas aplinkybes visi TSRS kariškiai TV bokšto užėmimo metu veikė koordinuotai, kartu ir siekiant bendro tikslo. Visi kariškiai, naudojo itin pavojingus ginklus, šaudė iš tankų, automatų, visi bendrai smurtavo daugybės civilių atžvilgiu, todėl tokioje situacijoje atskirų kariškių veiksmus vertinti </w:t>
      </w:r>
      <w:r w:rsidRPr="00055544">
        <w:t>kaip vykdytojo ekscesą nėra jokio pagrindo.</w:t>
      </w:r>
      <w:r w:rsidRPr="00B822BF">
        <w:t xml:space="preserve"> </w:t>
      </w:r>
    </w:p>
    <w:p w:rsidR="00DA38E9" w:rsidRPr="00C00255" w:rsidRDefault="00DA38E9" w:rsidP="00DA38E9">
      <w:pPr>
        <w:pStyle w:val="Heading5"/>
        <w:spacing w:before="120" w:after="120"/>
        <w:ind w:firstLine="992"/>
        <w:rPr>
          <w:rFonts w:ascii="Times New Roman" w:hAnsi="Times New Roman" w:cs="Times New Roman"/>
          <w:i/>
          <w:color w:val="auto"/>
        </w:rPr>
      </w:pPr>
      <w:r w:rsidRPr="00C00255">
        <w:rPr>
          <w:rFonts w:ascii="Times New Roman" w:hAnsi="Times New Roman" w:cs="Times New Roman"/>
          <w:i/>
          <w:color w:val="auto"/>
        </w:rPr>
        <w:t xml:space="preserve">Dėl nuteistojo </w:t>
      </w:r>
      <w:r>
        <w:rPr>
          <w:rFonts w:ascii="Times New Roman" w:hAnsi="Times New Roman" w:cs="Times New Roman"/>
          <w:i/>
          <w:color w:val="auto"/>
        </w:rPr>
        <w:t>V. K. 2</w:t>
      </w:r>
      <w:r w:rsidRPr="00C00255">
        <w:rPr>
          <w:rFonts w:ascii="Times New Roman" w:hAnsi="Times New Roman" w:cs="Times New Roman"/>
          <w:i/>
          <w:color w:val="auto"/>
        </w:rPr>
        <w:t xml:space="preserve"> dalyvavimo užimant TV bokštą</w:t>
      </w:r>
    </w:p>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t>Skundžiamu nuosprendžiu pagrįstai konstatuota ir tai, kad TSRS GM 76-osios oro desanto divizijos 234-ojo pulko 3-iojo bataliono 9-osios kuopos būrio vadas vyr. leitenantas V. K. 2 buvo vienu iš oro desanto kariškiams vadovavusių karininkų (</w:t>
      </w:r>
      <w:r w:rsidRPr="00055544">
        <w:rPr>
          <w:rFonts w:eastAsia="Calibri"/>
        </w:rPr>
        <w:t>nuosprendžio 215–216 l., t. 770, b. l. 15–16</w:t>
      </w:r>
      <w:r w:rsidRPr="00055544">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rPr>
          <w:rFonts w:eastAsia="Calibri"/>
        </w:rPr>
        <w:t>Nuteistojo V. K. 2 gynėjai byloje apeliacinio skundo nepateikė, todėl teisėjų kolegija, sutikdama su apygardos teismo išvadomis, tik paminės pagrindinius įrodymų šaltinius, iš kurių galima daryti tvirtas išvadas apie vadovaujamą V. K. 2 vaidmenį užimant TV bokštą</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Pirmiausia, teisėjų kolegijos įsitikinimą dėl </w:t>
      </w:r>
      <w:r>
        <w:rPr>
          <w:szCs w:val="24"/>
          <w:lang w:eastAsia="lt-LT"/>
        </w:rPr>
        <w:t>V. K. 2</w:t>
      </w:r>
      <w:r w:rsidRPr="00C00255">
        <w:rPr>
          <w:szCs w:val="24"/>
          <w:lang w:eastAsia="lt-LT"/>
        </w:rPr>
        <w:t xml:space="preserve"> dalyvavimo ir vadovaujamo vaidmens įvykiuose prie TV bokšto formuoja</w:t>
      </w:r>
      <w:r w:rsidRPr="00C00255">
        <w:rPr>
          <w:szCs w:val="24"/>
          <w:lang w:eastAsia="lt-LT" w:bidi="lt-LT"/>
        </w:rPr>
        <w:t xml:space="preserve"> 2014 m. birželio 10 d. specialisto išvada, kurioje, be jau minėtų išvadų apie oro desanto kariškių jėgos veiksmus veržiantis į TV bokštą, nurodyta ir tai, kad 9-osios kuopos kariškių grupė, sudaryta iš maždaug dešimties kariškių, vadovaujama </w:t>
      </w:r>
      <w:r>
        <w:rPr>
          <w:szCs w:val="24"/>
          <w:lang w:eastAsia="lt-LT" w:bidi="lt-LT"/>
        </w:rPr>
        <w:t>V. K. 2</w:t>
      </w:r>
      <w:r w:rsidRPr="00C00255">
        <w:rPr>
          <w:szCs w:val="24"/>
          <w:lang w:eastAsia="lt-LT" w:bidi="lt-LT"/>
        </w:rPr>
        <w:t xml:space="preserve">, vykdydama jai numatytą užduotį, laiptais pakilo į TV bokšto 20-ąjį aukštą, kur užtikrino ten buvusios gaisro gesinimo aparatūros apsaugą (t. 480, b. l. 73).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Nuteistojo </w:t>
      </w:r>
      <w:r>
        <w:rPr>
          <w:szCs w:val="24"/>
          <w:lang w:eastAsia="lt-LT" w:bidi="lt-LT"/>
        </w:rPr>
        <w:t>V. K. 2</w:t>
      </w:r>
      <w:r w:rsidRPr="00C00255">
        <w:rPr>
          <w:szCs w:val="24"/>
          <w:lang w:eastAsia="lt-LT" w:bidi="lt-LT"/>
        </w:rPr>
        <w:t xml:space="preserve"> dalyvavimą ir užimtas vadovaujamo pobūdžio pareigas šturmuojant TV bokštą patvirtina ir rašytiniai dokumentai. Iš </w:t>
      </w:r>
      <w:r w:rsidRPr="00C00255">
        <w:rPr>
          <w:szCs w:val="24"/>
          <w:lang w:eastAsia="lt-LT"/>
        </w:rPr>
        <w:t xml:space="preserve">karinio dalinio Nr. 74268 karių, dalyvavusių užimant TV bokštą, sąrašo matyti, kad įvykių metu 234-ojo pulko 3-iojo bataliono 9-osios kuopos vienu iš aukščiausių pagal rangą kariškių buvo vyr. leitenantas </w:t>
      </w:r>
      <w:r>
        <w:rPr>
          <w:szCs w:val="24"/>
          <w:lang w:eastAsia="lt-LT"/>
        </w:rPr>
        <w:t>V. K. 2</w:t>
      </w:r>
      <w:r w:rsidRPr="00C00255">
        <w:rPr>
          <w:szCs w:val="24"/>
          <w:lang w:eastAsia="lt-LT"/>
        </w:rPr>
        <w:t xml:space="preserve"> (rangu nusileido tik kuopos vadui, kurio atsakomybės klausimas šioje byloje nėra sprendžiamas) (t. 429, b. l. 103–106; t. 116, b. l. 138–141).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Byloje yra ir kovinės technikos bei karių, veikusių prie TV bokšto, sąrašas, kuriame kaip karinio automobilio BMD Nr. 295 ekipažo vadas nurodomas taip pat </w:t>
      </w:r>
      <w:r>
        <w:rPr>
          <w:szCs w:val="24"/>
          <w:lang w:eastAsia="lt-LT"/>
        </w:rPr>
        <w:t>V. K. 2</w:t>
      </w:r>
      <w:r w:rsidRPr="00C00255">
        <w:rPr>
          <w:szCs w:val="24"/>
          <w:lang w:eastAsia="lt-LT"/>
        </w:rPr>
        <w:t xml:space="preserve"> (t. 427, b. l. 150; t. 114, b. l. 184).</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Aplinkybę, kad </w:t>
      </w:r>
      <w:r>
        <w:rPr>
          <w:szCs w:val="24"/>
          <w:lang w:eastAsia="lt-LT"/>
        </w:rPr>
        <w:t>V. K. 2</w:t>
      </w:r>
      <w:r w:rsidRPr="00C00255">
        <w:rPr>
          <w:szCs w:val="24"/>
          <w:lang w:eastAsia="lt-LT"/>
        </w:rPr>
        <w:t xml:space="preserve"> buvo vienu iš minėto bataliono vyriausiųjų kariškių patvirtina ir dalinio valdybos ginklų bei šaudmenų išdavimo knygos, kurioje pasirašinėjo tik aukščiausio rango kariškiai, įrašai apie tai, kad 1991 m. sausio pradžioje </w:t>
      </w:r>
      <w:r>
        <w:rPr>
          <w:szCs w:val="24"/>
          <w:lang w:eastAsia="lt-LT"/>
        </w:rPr>
        <w:t>V. K. 2</w:t>
      </w:r>
      <w:r w:rsidRPr="00C00255">
        <w:rPr>
          <w:szCs w:val="24"/>
          <w:lang w:eastAsia="lt-LT"/>
        </w:rPr>
        <w:t xml:space="preserve"> buvo išduotas pakankamai didelis šovinių skaičius, tarp kurių ir 960 vienetų 5,45 mm kalibro šovinių (t. 476, b. l. 175). </w:t>
      </w:r>
    </w:p>
    <w:p w:rsidR="00DA38E9" w:rsidRPr="00C00255" w:rsidRDefault="00DA38E9" w:rsidP="00DA38E9">
      <w:pPr>
        <w:pStyle w:val="ListParagraph"/>
        <w:numPr>
          <w:ilvl w:val="1"/>
          <w:numId w:val="6"/>
        </w:numPr>
        <w:spacing w:before="120" w:after="120"/>
        <w:ind w:left="993" w:hanging="993"/>
        <w:contextualSpacing w:val="0"/>
        <w:rPr>
          <w:szCs w:val="24"/>
          <w:lang w:eastAsia="lt-LT"/>
        </w:rPr>
      </w:pPr>
      <w:r w:rsidRPr="00C00255">
        <w:rPr>
          <w:szCs w:val="24"/>
          <w:lang w:eastAsia="lt-LT"/>
        </w:rPr>
        <w:t xml:space="preserve">Jau minėtus duomenis apie vadovaujamą nuteistojo </w:t>
      </w:r>
      <w:r>
        <w:rPr>
          <w:szCs w:val="24"/>
          <w:lang w:eastAsia="lt-LT"/>
        </w:rPr>
        <w:t>V. K. 2</w:t>
      </w:r>
      <w:r w:rsidRPr="00C00255">
        <w:rPr>
          <w:szCs w:val="24"/>
          <w:lang w:eastAsia="lt-LT"/>
        </w:rPr>
        <w:t xml:space="preserve"> vaidmenį užimant TV bokštą visiškai patvirtina ir ikiteisminio tyrimo metu apklausti kariškiai (pvz., liudytojai Š.</w:t>
      </w:r>
      <w:r>
        <w:rPr>
          <w:szCs w:val="24"/>
          <w:lang w:eastAsia="lt-LT"/>
        </w:rPr>
        <w:t> </w:t>
      </w:r>
      <w:r w:rsidRPr="00C00255">
        <w:rPr>
          <w:szCs w:val="24"/>
          <w:lang w:eastAsia="lt-LT"/>
        </w:rPr>
        <w:t>B</w:t>
      </w:r>
      <w:r>
        <w:rPr>
          <w:szCs w:val="24"/>
          <w:lang w:eastAsia="lt-LT"/>
        </w:rPr>
        <w:t>.</w:t>
      </w:r>
      <w:r w:rsidRPr="00C00255">
        <w:rPr>
          <w:szCs w:val="24"/>
          <w:lang w:eastAsia="lt-LT"/>
        </w:rPr>
        <w:t>, V. K</w:t>
      </w:r>
      <w:r>
        <w:rPr>
          <w:szCs w:val="24"/>
          <w:lang w:eastAsia="lt-LT"/>
        </w:rPr>
        <w:t>.</w:t>
      </w:r>
      <w:r w:rsidRPr="00C00255">
        <w:rPr>
          <w:szCs w:val="24"/>
          <w:lang w:eastAsia="lt-LT"/>
        </w:rPr>
        <w:t>, M.</w:t>
      </w:r>
      <w:r>
        <w:rPr>
          <w:szCs w:val="24"/>
          <w:lang w:eastAsia="lt-LT"/>
        </w:rPr>
        <w:t> </w:t>
      </w:r>
      <w:r w:rsidRPr="00C00255">
        <w:rPr>
          <w:szCs w:val="24"/>
          <w:lang w:eastAsia="lt-LT"/>
        </w:rPr>
        <w:t>G</w:t>
      </w:r>
      <w:r>
        <w:rPr>
          <w:szCs w:val="24"/>
          <w:lang w:eastAsia="lt-LT"/>
        </w:rPr>
        <w:t>.</w:t>
      </w:r>
      <w:r w:rsidRPr="00C00255">
        <w:rPr>
          <w:szCs w:val="24"/>
          <w:lang w:eastAsia="lt-LT"/>
        </w:rPr>
        <w:t>, A.</w:t>
      </w:r>
      <w:r>
        <w:rPr>
          <w:szCs w:val="24"/>
          <w:lang w:eastAsia="lt-LT"/>
        </w:rPr>
        <w:t> </w:t>
      </w:r>
      <w:r w:rsidRPr="00C00255">
        <w:rPr>
          <w:szCs w:val="24"/>
          <w:lang w:eastAsia="lt-LT"/>
        </w:rPr>
        <w:t>Š</w:t>
      </w:r>
      <w:r>
        <w:rPr>
          <w:szCs w:val="24"/>
          <w:lang w:eastAsia="lt-LT"/>
        </w:rPr>
        <w:t>.</w:t>
      </w:r>
      <w:r w:rsidRPr="00C00255">
        <w:rPr>
          <w:szCs w:val="24"/>
          <w:lang w:eastAsia="lt-LT"/>
        </w:rPr>
        <w:t>, V. M</w:t>
      </w:r>
      <w:r>
        <w:rPr>
          <w:szCs w:val="24"/>
          <w:lang w:eastAsia="lt-LT"/>
        </w:rPr>
        <w:t>.</w:t>
      </w:r>
      <w:r w:rsidRPr="00C00255">
        <w:rPr>
          <w:szCs w:val="24"/>
          <w:lang w:eastAsia="lt-LT"/>
        </w:rPr>
        <w:t>, A.</w:t>
      </w:r>
      <w:r w:rsidRPr="00C00255">
        <w:t> </w:t>
      </w:r>
      <w:r w:rsidRPr="00C00255">
        <w:rPr>
          <w:szCs w:val="24"/>
          <w:lang w:eastAsia="lt-LT"/>
        </w:rPr>
        <w:t>P</w:t>
      </w:r>
      <w:r>
        <w:rPr>
          <w:szCs w:val="24"/>
          <w:lang w:eastAsia="lt-LT"/>
        </w:rPr>
        <w:t>.</w:t>
      </w:r>
      <w:r w:rsidRPr="00C00255">
        <w:rPr>
          <w:szCs w:val="24"/>
          <w:lang w:eastAsia="lt-LT"/>
        </w:rPr>
        <w:t>, G. G</w:t>
      </w:r>
      <w:r>
        <w:rPr>
          <w:szCs w:val="24"/>
          <w:lang w:eastAsia="lt-LT"/>
        </w:rPr>
        <w:t>.</w:t>
      </w:r>
      <w:r w:rsidRPr="00C00255">
        <w:rPr>
          <w:szCs w:val="24"/>
          <w:lang w:eastAsia="lt-LT"/>
        </w:rPr>
        <w:t>, N. T</w:t>
      </w:r>
      <w:r>
        <w:rPr>
          <w:szCs w:val="24"/>
          <w:lang w:eastAsia="lt-LT"/>
        </w:rPr>
        <w:t>.</w:t>
      </w:r>
      <w:r w:rsidRPr="00C00255">
        <w:rPr>
          <w:szCs w:val="24"/>
          <w:lang w:eastAsia="lt-LT"/>
        </w:rPr>
        <w:t>, D.</w:t>
      </w:r>
      <w:r>
        <w:rPr>
          <w:szCs w:val="24"/>
          <w:lang w:eastAsia="lt-LT"/>
        </w:rPr>
        <w:t> </w:t>
      </w:r>
      <w:r w:rsidRPr="00C00255">
        <w:rPr>
          <w:szCs w:val="24"/>
          <w:lang w:eastAsia="lt-LT"/>
        </w:rPr>
        <w:t>D</w:t>
      </w:r>
      <w:r>
        <w:rPr>
          <w:szCs w:val="24"/>
          <w:lang w:eastAsia="lt-LT"/>
        </w:rPr>
        <w:t>.</w:t>
      </w:r>
      <w:r w:rsidRPr="00C00255">
        <w:rPr>
          <w:szCs w:val="24"/>
          <w:lang w:eastAsia="lt-LT"/>
        </w:rPr>
        <w:t xml:space="preserve">, </w:t>
      </w:r>
      <w:r>
        <w:rPr>
          <w:szCs w:val="24"/>
          <w:lang w:eastAsia="lt-LT"/>
        </w:rPr>
        <w:t>S. J.</w:t>
      </w:r>
      <w:r w:rsidRPr="00C00255">
        <w:rPr>
          <w:szCs w:val="24"/>
          <w:lang w:eastAsia="lt-LT"/>
        </w:rPr>
        <w:t>, I. R</w:t>
      </w:r>
      <w:r>
        <w:rPr>
          <w:szCs w:val="24"/>
          <w:lang w:eastAsia="lt-LT"/>
        </w:rPr>
        <w:t>.</w:t>
      </w:r>
      <w:r w:rsidRPr="00C00255">
        <w:rPr>
          <w:szCs w:val="24"/>
          <w:lang w:eastAsia="lt-LT"/>
        </w:rPr>
        <w:t xml:space="preserve"> ir V. R</w:t>
      </w:r>
      <w:r>
        <w:rPr>
          <w:szCs w:val="24"/>
          <w:lang w:eastAsia="lt-LT"/>
        </w:rPr>
        <w:t>.</w:t>
      </w:r>
      <w:r w:rsidRPr="00C00255">
        <w:rPr>
          <w:szCs w:val="24"/>
          <w:lang w:eastAsia="lt-LT"/>
        </w:rPr>
        <w:t>), kurių parodymai, buvo perskaityti teisiamajame posėdyje (</w:t>
      </w:r>
      <w:r w:rsidRPr="00C00255">
        <w:rPr>
          <w:szCs w:val="24"/>
        </w:rPr>
        <w:t>t. 758, b. l. 47</w:t>
      </w:r>
      <w:r w:rsidRPr="00C00255">
        <w:rPr>
          <w:szCs w:val="24"/>
          <w:lang w:eastAsia="lt-LT"/>
        </w:rPr>
        <w:t xml:space="preserve">, </w:t>
      </w:r>
      <w:r w:rsidRPr="00C00255">
        <w:rPr>
          <w:szCs w:val="24"/>
        </w:rPr>
        <w:t>180</w:t>
      </w:r>
      <w:r w:rsidRPr="00C00255">
        <w:rPr>
          <w:szCs w:val="24"/>
          <w:lang w:eastAsia="lt-LT"/>
        </w:rPr>
        <w:t>, t. 759, b. l. 6–11). Pavyzdžiui, liudytojas D. D</w:t>
      </w:r>
      <w:r>
        <w:rPr>
          <w:szCs w:val="24"/>
          <w:lang w:eastAsia="lt-LT"/>
        </w:rPr>
        <w:t>.</w:t>
      </w:r>
      <w:r w:rsidRPr="00C00255">
        <w:rPr>
          <w:szCs w:val="24"/>
          <w:lang w:eastAsia="lt-LT"/>
        </w:rPr>
        <w:t xml:space="preserve">, be kita ko, nurodė, kad </w:t>
      </w:r>
      <w:r>
        <w:rPr>
          <w:szCs w:val="24"/>
          <w:lang w:eastAsia="lt-LT"/>
        </w:rPr>
        <w:t>V. K. 2</w:t>
      </w:r>
      <w:r w:rsidRPr="00C00255">
        <w:rPr>
          <w:szCs w:val="24"/>
          <w:lang w:eastAsia="lt-LT"/>
        </w:rPr>
        <w:t xml:space="preserve"> buvo vienintelis vadovaujantis karininkas šioje grupėje (t. 432, b. l. 27–29, t. 119, b. l. 41–48) ir pan. Teisėjų kolegijos vertinimu, visų šių liudytojų parodymai, </w:t>
      </w:r>
      <w:r w:rsidRPr="00C00255">
        <w:rPr>
          <w:szCs w:val="24"/>
          <w:lang w:eastAsia="lt-LT" w:bidi="lt-LT"/>
        </w:rPr>
        <w:t xml:space="preserve">rodo itin aktyvų nuteistojo </w:t>
      </w:r>
      <w:r>
        <w:rPr>
          <w:szCs w:val="24"/>
          <w:lang w:eastAsia="lt-LT" w:bidi="lt-LT"/>
        </w:rPr>
        <w:t>V. K. 2</w:t>
      </w:r>
      <w:r w:rsidRPr="00C00255">
        <w:rPr>
          <w:szCs w:val="24"/>
          <w:lang w:eastAsia="lt-LT" w:bidi="lt-LT"/>
        </w:rPr>
        <w:t xml:space="preserve"> vadovaujamą vaidmenį šturmuojant TV bokštą bei detalizuoja, kuo pasireiškė iš kitų duomenų matomi </w:t>
      </w:r>
      <w:r>
        <w:rPr>
          <w:szCs w:val="24"/>
          <w:lang w:eastAsia="lt-LT" w:bidi="lt-LT"/>
        </w:rPr>
        <w:t>V. K. 2</w:t>
      </w:r>
      <w:r w:rsidRPr="00C00255">
        <w:rPr>
          <w:szCs w:val="24"/>
          <w:lang w:eastAsia="lt-LT" w:bidi="lt-LT"/>
        </w:rPr>
        <w:t xml:space="preserve"> vadovaujamo pobūdžio veiksmai prie TV bokšto. </w:t>
      </w:r>
    </w:p>
    <w:p w:rsidR="00DA38E9" w:rsidRPr="00C00255" w:rsidRDefault="00DA38E9" w:rsidP="00DA38E9">
      <w:pPr>
        <w:pStyle w:val="Heading5"/>
        <w:tabs>
          <w:tab w:val="left" w:pos="8385"/>
        </w:tabs>
        <w:spacing w:before="120" w:after="120"/>
        <w:ind w:firstLine="992"/>
        <w:rPr>
          <w:rFonts w:ascii="Times New Roman" w:hAnsi="Times New Roman" w:cs="Times New Roman"/>
          <w:i/>
          <w:color w:val="auto"/>
        </w:rPr>
      </w:pPr>
      <w:r w:rsidRPr="00C00255">
        <w:rPr>
          <w:rFonts w:ascii="Times New Roman" w:hAnsi="Times New Roman" w:cs="Times New Roman"/>
          <w:i/>
          <w:color w:val="auto"/>
        </w:rPr>
        <w:t xml:space="preserve">Dėl nuteistojo </w:t>
      </w:r>
      <w:r>
        <w:rPr>
          <w:rFonts w:ascii="Times New Roman" w:hAnsi="Times New Roman" w:cs="Times New Roman"/>
          <w:i/>
          <w:color w:val="auto"/>
        </w:rPr>
        <w:t>S. K.</w:t>
      </w:r>
      <w:r w:rsidRPr="00C00255">
        <w:rPr>
          <w:rFonts w:ascii="Times New Roman" w:hAnsi="Times New Roman" w:cs="Times New Roman"/>
          <w:i/>
          <w:color w:val="auto"/>
        </w:rPr>
        <w:t xml:space="preserve"> dalyvavimo užimant TV bokštą</w:t>
      </w:r>
    </w:p>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rPr>
          <w:szCs w:val="24"/>
          <w:lang w:eastAsia="lt-LT"/>
        </w:rPr>
        <w:t xml:space="preserve">Teisėjų kolegijos įsitikinimu, objektyvia laikytina ir pirmosios instancijos teismo išvada, kad TSRS GM 76-osios oro desanto divizijos 234-ojo pulko 3-iojo bataliono 8-osios ir 9-osios kuopų kariškiams, kurie naudodami jėgą, ginklus ir artimus kovos veiksmus civilių žmonių atžvilgiu, </w:t>
      </w:r>
      <w:r w:rsidRPr="00055544">
        <w:t xml:space="preserve">t. y. </w:t>
      </w:r>
      <w:r w:rsidRPr="00055544">
        <w:rPr>
          <w:rFonts w:eastAsia="Calibri"/>
        </w:rPr>
        <w:t xml:space="preserve">stumdydami, smūgiuodami kumščiais, spardydami kojomis ir suduodami ginklais ir kitomis priemonėmis, </w:t>
      </w:r>
      <w:r w:rsidRPr="00055544">
        <w:rPr>
          <w:szCs w:val="24"/>
          <w:lang w:eastAsia="lt-LT"/>
        </w:rPr>
        <w:t xml:space="preserve">brovėsi iki TV bokšto iš šiaurinės pusės bei šalino civilius iš TV bokšto teritorijos, vienu iš vadovavusių karininkų buvo TSRS GM 76-osios oro desanto divizijos 234-ojo pulko kuro tarnybos viršininkas kapitonas S. K..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Skundžiamame nuosprendyje išvada apie </w:t>
      </w:r>
      <w:r>
        <w:rPr>
          <w:szCs w:val="24"/>
          <w:lang w:eastAsia="lt-LT"/>
        </w:rPr>
        <w:t>S. K.</w:t>
      </w:r>
      <w:r w:rsidRPr="00C00255">
        <w:rPr>
          <w:szCs w:val="24"/>
          <w:lang w:eastAsia="lt-LT"/>
        </w:rPr>
        <w:t xml:space="preserve"> dalyvavimą TV bokšto šturme ir jo vadovavimą kariniams veiksmams šiaurinėje TV bokšto pusėje grindžiama liudytojų – kariškių, dalyvavusių įvykiuose prie TV bokšto, parodymais bei paties nuteistojo </w:t>
      </w:r>
      <w:r>
        <w:rPr>
          <w:szCs w:val="24"/>
          <w:lang w:eastAsia="lt-LT"/>
        </w:rPr>
        <w:t>S. K.</w:t>
      </w:r>
      <w:r w:rsidRPr="00C00255">
        <w:rPr>
          <w:szCs w:val="24"/>
          <w:lang w:eastAsia="lt-LT"/>
        </w:rPr>
        <w:t xml:space="preserve"> parodymais (žr. nuosprendžio 435–437 l., t. 771, b. l. 35–37). Anot </w:t>
      </w:r>
      <w:r>
        <w:rPr>
          <w:szCs w:val="24"/>
          <w:lang w:eastAsia="lt-LT"/>
        </w:rPr>
        <w:t>S. K.</w:t>
      </w:r>
      <w:r w:rsidRPr="00C00255">
        <w:rPr>
          <w:szCs w:val="24"/>
          <w:lang w:eastAsia="lt-LT"/>
        </w:rPr>
        <w:t xml:space="preserve"> gynėjo, pirmosios instancijos teismas nepagrįstai vadovavosi nuteistojo parodymais, nes jis juos davė neįspėtas apie teisę atsisakyti duoti parodymus prieš save, o be minėtų parodymų, gynėjo įsitikinimu, nėra jokių kitų duomenų, kurie įrodo </w:t>
      </w:r>
      <w:r>
        <w:rPr>
          <w:szCs w:val="24"/>
          <w:lang w:eastAsia="lt-LT"/>
        </w:rPr>
        <w:t>S. K.</w:t>
      </w:r>
      <w:r w:rsidRPr="00C00255">
        <w:rPr>
          <w:szCs w:val="24"/>
          <w:lang w:eastAsia="lt-LT"/>
        </w:rPr>
        <w:t xml:space="preserve"> dalyvavimą ir jo vadovaujamą vaidmenį operacijoje prie TV bokšto: </w:t>
      </w:r>
      <w:r>
        <w:rPr>
          <w:szCs w:val="24"/>
          <w:lang w:eastAsia="lt-LT"/>
        </w:rPr>
        <w:t>S. K.</w:t>
      </w:r>
      <w:r w:rsidRPr="00C00255">
        <w:rPr>
          <w:szCs w:val="24"/>
          <w:lang w:eastAsia="lt-LT"/>
        </w:rPr>
        <w:t xml:space="preserve"> pavardės nėra byloje esančiuose sąrašuose apie karinio dalinio Nr. 74268 sudėtį ir nei vienas iš byloje apklaustų asmenų neparodė apie </w:t>
      </w:r>
      <w:r>
        <w:rPr>
          <w:szCs w:val="24"/>
          <w:lang w:eastAsia="lt-LT"/>
        </w:rPr>
        <w:t>S. K.</w:t>
      </w:r>
      <w:r w:rsidRPr="00C00255">
        <w:rPr>
          <w:szCs w:val="24"/>
          <w:lang w:eastAsia="lt-LT"/>
        </w:rPr>
        <w:t xml:space="preserve"> dalyvavimą įvykiuose prie TV bokšto. Visgi, teisėjų kolegijos vertinimu, byloje yra BPK 20 straipsnyje numatytus reikalavimus atitinkančių duomenų, leidžiančių konstatuoti šio asmens vadovaujamą vaidmenį šturmuojant TV bokštą.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Teisėjų kolegija sutinka su </w:t>
      </w:r>
      <w:r>
        <w:rPr>
          <w:szCs w:val="24"/>
          <w:lang w:eastAsia="lt-LT"/>
        </w:rPr>
        <w:t>S. K.</w:t>
      </w:r>
      <w:r w:rsidRPr="00C00255">
        <w:rPr>
          <w:szCs w:val="24"/>
          <w:lang w:eastAsia="lt-LT"/>
        </w:rPr>
        <w:t xml:space="preserve"> gynėjo argumentu, kad skundžiamame nuosprendyje nurodytuose asmenų parodymuose apie TV bokšto užėmimo aplinkybes, </w:t>
      </w:r>
      <w:r>
        <w:rPr>
          <w:szCs w:val="24"/>
          <w:lang w:eastAsia="lt-LT"/>
        </w:rPr>
        <w:t>S. K.</w:t>
      </w:r>
      <w:r w:rsidRPr="00C00255">
        <w:rPr>
          <w:szCs w:val="24"/>
          <w:lang w:eastAsia="lt-LT"/>
        </w:rPr>
        <w:t xml:space="preserve"> pavardė išties neminima (žr. nuosprendžio 437 l.; t. 771, b. l. 37). Priešingai nei kitų desantininkams vadovavusių kariškių atveju (nuteistųjų </w:t>
      </w:r>
      <w:r>
        <w:rPr>
          <w:szCs w:val="24"/>
          <w:lang w:eastAsia="lt-LT"/>
        </w:rPr>
        <w:t>V. S. 2</w:t>
      </w:r>
      <w:r w:rsidRPr="00C00255">
        <w:rPr>
          <w:szCs w:val="24"/>
          <w:lang w:eastAsia="lt-LT"/>
        </w:rPr>
        <w:t xml:space="preserve">, </w:t>
      </w:r>
      <w:r>
        <w:rPr>
          <w:szCs w:val="24"/>
          <w:lang w:eastAsia="lt-LT"/>
        </w:rPr>
        <w:t>V. D.</w:t>
      </w:r>
      <w:r w:rsidRPr="00C00255">
        <w:rPr>
          <w:szCs w:val="24"/>
          <w:lang w:eastAsia="lt-LT"/>
        </w:rPr>
        <w:t xml:space="preserve">, </w:t>
      </w:r>
      <w:r>
        <w:rPr>
          <w:szCs w:val="24"/>
          <w:lang w:eastAsia="lt-LT"/>
        </w:rPr>
        <w:t>A. G. 2</w:t>
      </w:r>
      <w:r w:rsidRPr="00C00255">
        <w:rPr>
          <w:szCs w:val="24"/>
          <w:lang w:eastAsia="lt-LT"/>
        </w:rPr>
        <w:t xml:space="preserve">, </w:t>
      </w:r>
      <w:r>
        <w:rPr>
          <w:szCs w:val="24"/>
          <w:lang w:eastAsia="lt-LT"/>
        </w:rPr>
        <w:t>E. M.</w:t>
      </w:r>
      <w:r w:rsidRPr="00C00255">
        <w:rPr>
          <w:szCs w:val="24"/>
          <w:lang w:eastAsia="lt-LT"/>
        </w:rPr>
        <w:t xml:space="preserve">, </w:t>
      </w:r>
      <w:r>
        <w:rPr>
          <w:szCs w:val="24"/>
          <w:lang w:eastAsia="lt-LT"/>
        </w:rPr>
        <w:t>V. K. 2</w:t>
      </w:r>
      <w:r w:rsidRPr="00C00255">
        <w:rPr>
          <w:szCs w:val="24"/>
          <w:lang w:eastAsia="lt-LT"/>
        </w:rPr>
        <w:t xml:space="preserve">), </w:t>
      </w:r>
      <w:r>
        <w:rPr>
          <w:szCs w:val="24"/>
          <w:lang w:eastAsia="lt-LT"/>
        </w:rPr>
        <w:t>S. K.</w:t>
      </w:r>
      <w:r w:rsidRPr="00C00255">
        <w:rPr>
          <w:szCs w:val="24"/>
          <w:lang w:eastAsia="lt-LT"/>
        </w:rPr>
        <w:t xml:space="preserve"> nėra nurodytas ir jau ne kartą minėtame karinio dalinio Nr. 74268 kariškių sąraše, kuriame buvo nurodyti TV bokšto užėmime dalyvavę kariškiai.</w:t>
      </w:r>
      <w:r w:rsidRPr="00C00255">
        <w:rPr>
          <w:szCs w:val="24"/>
        </w:rPr>
        <w:t xml:space="preserve"> Tačiau </w:t>
      </w:r>
      <w:r>
        <w:rPr>
          <w:szCs w:val="24"/>
        </w:rPr>
        <w:t>S. K.</w:t>
      </w:r>
      <w:r w:rsidRPr="00C00255">
        <w:rPr>
          <w:szCs w:val="24"/>
        </w:rPr>
        <w:t xml:space="preserve"> gynėjo teiginys, kad byloje apskritai nėra jokių duomenų apie šio nuteistojo dalyvavimą užimant TV bokštą ir vadovavimą kitiems kariškiams (išskyrus nuteistojo parodymus, kuriais, anot gynėjo, nebuvo galima vadovautis), yra nepagrįstas.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Teisėjų kolegija pažymi, kad nepaisant nuteistojo pavardės nebuvimo jau minėtame kariškių sąraše, apie jo dalyvavimą užimant TV bokštą liudija kiti bylos dokumentai.</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Iš byloje esančios Ginklų ir šaudmenų išdavimo knygos, kurioje pasirašinėjo tik aukščiausio rango kariškiai, matyti, kad kapitonui </w:t>
      </w:r>
      <w:r>
        <w:rPr>
          <w:szCs w:val="24"/>
          <w:lang w:eastAsia="lt-LT"/>
        </w:rPr>
        <w:t>S. K.</w:t>
      </w:r>
      <w:r w:rsidRPr="00C00255">
        <w:rPr>
          <w:szCs w:val="24"/>
          <w:lang w:eastAsia="lt-LT"/>
        </w:rPr>
        <w:t xml:space="preserve"> buvo išduoti koviniai šoviniai (t. 476, b. l. 174–175).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Byloje yra ir 1991 m. sausio 15 d. kapitono </w:t>
      </w:r>
      <w:r>
        <w:rPr>
          <w:szCs w:val="24"/>
          <w:lang w:eastAsia="lt-LT" w:bidi="lt-LT"/>
        </w:rPr>
        <w:t>S. K.</w:t>
      </w:r>
      <w:r w:rsidRPr="00C00255">
        <w:rPr>
          <w:szCs w:val="24"/>
          <w:lang w:eastAsia="lt-LT" w:bidi="lt-LT"/>
        </w:rPr>
        <w:t xml:space="preserve"> pasirašytas raportas karinio dalinio Nr. 74268 vadui (t. 429, b. l. 165, t. 116, b. l. 203–204). Šis dokumentas buvo surašytas iškart po įvykių prie TV bokšto, be to, </w:t>
      </w:r>
      <w:r>
        <w:rPr>
          <w:szCs w:val="24"/>
          <w:lang w:eastAsia="lt-LT" w:bidi="lt-LT"/>
        </w:rPr>
        <w:t>S. K.</w:t>
      </w:r>
      <w:r w:rsidRPr="00C00255">
        <w:rPr>
          <w:szCs w:val="24"/>
          <w:lang w:eastAsia="lt-LT" w:bidi="lt-LT"/>
        </w:rPr>
        <w:t xml:space="preserve"> jį pasirašė kaip kariškis, siekiantis informuoti savo vadą apie pastebėtus pasipriešinimą kariškiams galimai organizavusius asmenis, taigi, nesant jokios grėsmės duoti parodymus prieš save ir pan. Šis </w:t>
      </w:r>
      <w:r>
        <w:rPr>
          <w:szCs w:val="24"/>
          <w:lang w:eastAsia="lt-LT" w:bidi="lt-LT"/>
        </w:rPr>
        <w:t>S. K.</w:t>
      </w:r>
      <w:r w:rsidRPr="00C00255">
        <w:rPr>
          <w:szCs w:val="24"/>
          <w:lang w:eastAsia="lt-LT" w:bidi="lt-LT"/>
        </w:rPr>
        <w:t xml:space="preserve"> raportas parašytas dar iki jį apklausiant liudytoju, bet jame nurodytos esminės aplinkybės dėl </w:t>
      </w:r>
      <w:r>
        <w:rPr>
          <w:szCs w:val="24"/>
          <w:lang w:eastAsia="lt-LT" w:bidi="lt-LT"/>
        </w:rPr>
        <w:t>S. K.</w:t>
      </w:r>
      <w:r w:rsidRPr="00C00255">
        <w:rPr>
          <w:szCs w:val="24"/>
          <w:lang w:eastAsia="lt-LT" w:bidi="lt-LT"/>
        </w:rPr>
        <w:t xml:space="preserve"> dalyvavimo užimant TV bokštą sutampa. Šiame raporte </w:t>
      </w:r>
      <w:r>
        <w:rPr>
          <w:szCs w:val="24"/>
          <w:lang w:eastAsia="lt-LT" w:bidi="lt-LT"/>
        </w:rPr>
        <w:t>S. K.</w:t>
      </w:r>
      <w:r w:rsidRPr="00C00255">
        <w:rPr>
          <w:szCs w:val="24"/>
          <w:lang w:eastAsia="lt-LT" w:bidi="lt-LT"/>
        </w:rPr>
        <w:t xml:space="preserve">, be kita ko, nurodė, kad sausio 13 d. vykdė užduotį paimti apsaugai TV bokštą; kad jis su bataliono asmenine sudėtimi būdamas šalia užtvaros priešais pagrindinį pastatą apsuptas civilių, pastariesiems sakė, kad jie išsivaikščiotų, nes kareiviai gavo įsakymą ir nesitrauks; kad vėliau teritorija nuo žmonių buvo išvalyta, nors pastarieji priešinosi.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Iš jau minėto raporto ir </w:t>
      </w:r>
      <w:r>
        <w:rPr>
          <w:szCs w:val="24"/>
          <w:lang w:eastAsia="lt-LT" w:bidi="lt-LT"/>
        </w:rPr>
        <w:t>S. K.</w:t>
      </w:r>
      <w:r w:rsidRPr="00C00255">
        <w:rPr>
          <w:szCs w:val="24"/>
          <w:lang w:eastAsia="lt-LT" w:bidi="lt-LT"/>
        </w:rPr>
        <w:t xml:space="preserve"> pasakojimo apie jo buvimą prie TV bokšto kartu su kitais kariškiais matyti, kad </w:t>
      </w:r>
      <w:r>
        <w:rPr>
          <w:szCs w:val="24"/>
          <w:lang w:eastAsia="lt-LT" w:bidi="lt-LT"/>
        </w:rPr>
        <w:t>S. K.</w:t>
      </w:r>
      <w:r w:rsidRPr="00C00255">
        <w:rPr>
          <w:szCs w:val="24"/>
          <w:lang w:eastAsia="lt-LT" w:bidi="lt-LT"/>
        </w:rPr>
        <w:t xml:space="preserve"> turėjo išskirtinį, vadovaujamą ir aukštesnio karininko statusą jų atžvilgiu, kad pastarieji jam kaip aukštesniam karininkui pranešė apie įtartinus asmenis ir pan. Tokios išvados logiškos ir dėl to, kad </w:t>
      </w:r>
      <w:r>
        <w:rPr>
          <w:szCs w:val="24"/>
          <w:lang w:eastAsia="lt-LT" w:bidi="lt-LT"/>
        </w:rPr>
        <w:t>S. K.</w:t>
      </w:r>
      <w:r w:rsidRPr="00C00255">
        <w:rPr>
          <w:szCs w:val="24"/>
          <w:lang w:eastAsia="lt-LT" w:bidi="lt-LT"/>
        </w:rPr>
        <w:t xml:space="preserve"> būdamas kapitonu, buvo aukštesnis karininkas nei kiti desantininkams vadovavę kuopų vadai (pvz., </w:t>
      </w:r>
      <w:r>
        <w:rPr>
          <w:szCs w:val="24"/>
          <w:lang w:eastAsia="lt-LT" w:bidi="lt-LT"/>
        </w:rPr>
        <w:t>A. G. 2</w:t>
      </w:r>
      <w:r w:rsidRPr="00C00255">
        <w:rPr>
          <w:szCs w:val="24"/>
          <w:lang w:eastAsia="lt-LT" w:bidi="lt-LT"/>
        </w:rPr>
        <w:t xml:space="preserve"> ir kt.) ar juo labiau kuopų būrių vadai (</w:t>
      </w:r>
      <w:r>
        <w:rPr>
          <w:szCs w:val="24"/>
          <w:lang w:eastAsia="lt-LT" w:bidi="lt-LT"/>
        </w:rPr>
        <w:t>E. M.</w:t>
      </w:r>
      <w:r w:rsidRPr="00C00255">
        <w:rPr>
          <w:szCs w:val="24"/>
          <w:lang w:eastAsia="lt-LT" w:bidi="lt-LT"/>
        </w:rPr>
        <w:t xml:space="preserve">, </w:t>
      </w:r>
      <w:r>
        <w:rPr>
          <w:szCs w:val="24"/>
          <w:lang w:eastAsia="lt-LT" w:bidi="lt-LT"/>
        </w:rPr>
        <w:t>V. K. 2</w:t>
      </w:r>
      <w:r w:rsidRPr="00C00255">
        <w:rPr>
          <w:szCs w:val="24"/>
          <w:lang w:eastAsia="lt-LT" w:bidi="lt-LT"/>
        </w:rPr>
        <w:t xml:space="preserve"> ir kt.). </w:t>
      </w:r>
      <w:r>
        <w:rPr>
          <w:szCs w:val="24"/>
          <w:lang w:eastAsia="lt-LT" w:bidi="lt-LT"/>
        </w:rPr>
        <w:t>S. K.</w:t>
      </w:r>
      <w:r w:rsidRPr="00C00255">
        <w:rPr>
          <w:szCs w:val="24"/>
          <w:lang w:eastAsia="lt-LT" w:bidi="lt-LT"/>
        </w:rPr>
        <w:t xml:space="preserve">, kaip kuro tarnybos viršininko, dalyvavimas TV bokšto puolime, neturint jokių vadovaujančių įgaliojimų kitų kariškių atžvilgiu, vien kaip eilinio kareivio, siekiant tik padidinti kareivių pajėgumus ar pan., apskritai būtų nelogiškas ir tokia versija atmestina.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Tokių išvadų patikimumą patvirtina ir teismo posėdyje paskelbti paties </w:t>
      </w:r>
      <w:r>
        <w:rPr>
          <w:szCs w:val="24"/>
          <w:lang w:eastAsia="lt-LT"/>
        </w:rPr>
        <w:t>S. K.</w:t>
      </w:r>
      <w:r w:rsidRPr="00C00255">
        <w:rPr>
          <w:szCs w:val="24"/>
          <w:lang w:eastAsia="lt-LT"/>
        </w:rPr>
        <w:t xml:space="preserve"> parodymai, iš kurių matyti, kad jis buvo atsakingas ne tik už kuro atsargas kovinei technikai operacijos metu, bet ir už maršrutą bei atvykimą prie TV bokšto. Kad jis vyko prie TV bokšto puolančiosios kolonos sudėtyje kartu su majoru </w:t>
      </w:r>
      <w:r>
        <w:rPr>
          <w:szCs w:val="24"/>
          <w:lang w:eastAsia="lt-LT"/>
        </w:rPr>
        <w:t>D. P.</w:t>
      </w:r>
      <w:r w:rsidRPr="00C00255">
        <w:rPr>
          <w:szCs w:val="24"/>
          <w:lang w:eastAsia="lt-LT"/>
        </w:rPr>
        <w:t xml:space="preserve"> (pastarasis pagal byloje esančius dokumentus buvo vienas iš kelių 234-ojo pulko 3-iojo bataliono vadų ir savo laipsniu prilygo visai operacijai vadovavusio </w:t>
      </w:r>
      <w:r>
        <w:rPr>
          <w:szCs w:val="24"/>
          <w:lang w:eastAsia="lt-LT"/>
        </w:rPr>
        <w:t>V. S. 2</w:t>
      </w:r>
      <w:r w:rsidRPr="00C00255">
        <w:rPr>
          <w:szCs w:val="24"/>
          <w:lang w:eastAsia="lt-LT"/>
        </w:rPr>
        <w:t xml:space="preserve"> laipsniui), kad išlipo iš kovinės mašinos, kai eiliniai kareiviai jau buvo nustūmę dalį civilių nuo bokšto, kad pats iššovė apie 20 kartų tuščiais šoviniais į viršų ir padėjo kareiviui nustumti civilį (</w:t>
      </w:r>
      <w:r w:rsidRPr="00C00255">
        <w:rPr>
          <w:szCs w:val="24"/>
          <w:lang w:eastAsia="lt-LT" w:bidi="lt-LT"/>
        </w:rPr>
        <w:t>t. 429, b. l. 166–167, t. 116, b. l. 205–209).</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Vertinant byloje nenustatytas aplinkybes apie konkrečius nuteistajam </w:t>
      </w:r>
      <w:r>
        <w:rPr>
          <w:szCs w:val="24"/>
          <w:lang w:eastAsia="lt-LT"/>
        </w:rPr>
        <w:t>S. K.</w:t>
      </w:r>
      <w:r w:rsidRPr="00C00255">
        <w:rPr>
          <w:szCs w:val="24"/>
          <w:lang w:eastAsia="lt-LT"/>
        </w:rPr>
        <w:t xml:space="preserve"> pavaldžius kariškius, pastebėtina labai svarbi specialisto išvada, kad nagrinėjamoje situacijoje, užimant TV bokštą, visa eilė karininkų, pagal etatų sąrašą neturėjo tiesiogiai pavaldžių kariškių, bet turėjo galimybę jiems vadovauti (t. 480, b. l. 78). Apie tiesioginį kariškių pavaldumą karininkams teisiamajame posėdyje nurodė ir apklausti nuteistieji </w:t>
      </w:r>
      <w:r>
        <w:rPr>
          <w:szCs w:val="24"/>
          <w:lang w:eastAsia="lt-LT"/>
        </w:rPr>
        <w:t>J. M.</w:t>
      </w:r>
      <w:r w:rsidRPr="00C00255">
        <w:rPr>
          <w:szCs w:val="24"/>
          <w:lang w:eastAsia="lt-LT"/>
        </w:rPr>
        <w:t xml:space="preserve"> ir G. I</w:t>
      </w:r>
      <w:r>
        <w:rPr>
          <w:szCs w:val="24"/>
          <w:lang w:eastAsia="lt-LT"/>
        </w:rPr>
        <w:t>.</w:t>
      </w:r>
      <w:r w:rsidRPr="00C00255">
        <w:rPr>
          <w:szCs w:val="24"/>
          <w:lang w:eastAsia="lt-LT"/>
        </w:rPr>
        <w:t xml:space="preserve"> (t. 756, b. l. 48, 68). Taigi, net ir nesant duomenų apie tiesiogiai </w:t>
      </w:r>
      <w:r>
        <w:rPr>
          <w:szCs w:val="24"/>
          <w:lang w:eastAsia="lt-LT"/>
        </w:rPr>
        <w:t>S. K.</w:t>
      </w:r>
      <w:r w:rsidRPr="00C00255">
        <w:rPr>
          <w:szCs w:val="24"/>
          <w:lang w:eastAsia="lt-LT"/>
        </w:rPr>
        <w:t xml:space="preserve"> pagal etatų sąrašą pavaldžius kariškius, aptarti duomenys leidžia atmesti </w:t>
      </w:r>
      <w:r>
        <w:rPr>
          <w:szCs w:val="24"/>
          <w:lang w:eastAsia="lt-LT"/>
        </w:rPr>
        <w:t>S. K.</w:t>
      </w:r>
      <w:r w:rsidRPr="00C00255">
        <w:rPr>
          <w:szCs w:val="24"/>
          <w:lang w:eastAsia="lt-LT"/>
        </w:rPr>
        <w:t xml:space="preserve"> gynėjo teiginius, kad </w:t>
      </w:r>
      <w:r>
        <w:rPr>
          <w:szCs w:val="24"/>
          <w:lang w:eastAsia="lt-LT"/>
        </w:rPr>
        <w:t>S. K.</w:t>
      </w:r>
      <w:r w:rsidRPr="00C00255">
        <w:rPr>
          <w:szCs w:val="24"/>
          <w:lang w:eastAsia="lt-LT"/>
        </w:rPr>
        <w:t xml:space="preserve"> niekaip negalėjo atsakyti už kitų kariškių veiksmus ar vadovauti sau nepavaldiems kariškiams. Iš bylos medžiagos matyti, kad aukštesnis pagal rangą karininkas, kokiu buvo ir kapitonas </w:t>
      </w:r>
      <w:r>
        <w:rPr>
          <w:szCs w:val="24"/>
          <w:lang w:eastAsia="lt-LT"/>
        </w:rPr>
        <w:t>S. K.</w:t>
      </w:r>
      <w:r w:rsidRPr="00C00255">
        <w:rPr>
          <w:szCs w:val="24"/>
          <w:lang w:eastAsia="lt-LT"/>
        </w:rPr>
        <w:t>, galėjo vadovauti ne tik eiliniams kareiviams, bet ir žemesniems pagal rangą karininkams, kurie, pagal byloje</w:t>
      </w:r>
      <w:r w:rsidRPr="00C00255" w:rsidDel="00B13FC9">
        <w:rPr>
          <w:szCs w:val="24"/>
          <w:lang w:eastAsia="lt-LT"/>
        </w:rPr>
        <w:t xml:space="preserve"> </w:t>
      </w:r>
      <w:r w:rsidRPr="00C00255">
        <w:rPr>
          <w:szCs w:val="24"/>
          <w:lang w:eastAsia="lt-LT"/>
        </w:rPr>
        <w:t xml:space="preserve">nustatytas aplinkybes, vadovavo eiliniams kareiviams. Visos šios aplinkybės visų kitų byloje surinktų įrodymų kontekste teisėjų kolegijai leidžia konstatuoti kapitono </w:t>
      </w:r>
      <w:r>
        <w:rPr>
          <w:szCs w:val="24"/>
          <w:lang w:eastAsia="lt-LT"/>
        </w:rPr>
        <w:t>S. K.</w:t>
      </w:r>
      <w:r w:rsidRPr="00C00255">
        <w:rPr>
          <w:szCs w:val="24"/>
          <w:lang w:eastAsia="lt-LT"/>
        </w:rPr>
        <w:t xml:space="preserve"> faktinę galimybę vadovauti žemesnio rango oro desanto kariškiams ir tai, kad pirmosios instancijos teismo išvados dėl </w:t>
      </w:r>
      <w:r>
        <w:rPr>
          <w:szCs w:val="24"/>
          <w:lang w:eastAsia="lt-LT"/>
        </w:rPr>
        <w:t>S. K.</w:t>
      </w:r>
      <w:r w:rsidRPr="00C00255">
        <w:rPr>
          <w:szCs w:val="24"/>
          <w:lang w:eastAsia="lt-LT"/>
        </w:rPr>
        <w:t xml:space="preserve"> vadovaujančio vaidmens užimant TV bokštą, yra teisingos. </w:t>
      </w:r>
    </w:p>
    <w:p w:rsidR="00DA38E9" w:rsidRPr="00C00255" w:rsidRDefault="00DA38E9" w:rsidP="00B822BF">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 xml:space="preserve">Dėl 234-ojo pulko 2-ojo bataliono 4-ajai ir 5-ajai kuopoms vadovavusių kariškių dalyvavimo užimant TV bokštą </w:t>
      </w:r>
    </w:p>
    <w:p w:rsidR="00DA38E9" w:rsidRPr="00055544" w:rsidRDefault="00DA38E9" w:rsidP="00DA38E9">
      <w:pPr>
        <w:pStyle w:val="ListParagraph"/>
        <w:numPr>
          <w:ilvl w:val="0"/>
          <w:numId w:val="6"/>
        </w:numPr>
        <w:spacing w:before="120" w:after="120"/>
        <w:ind w:left="992" w:hanging="992"/>
        <w:contextualSpacing w:val="0"/>
        <w:rPr>
          <w:szCs w:val="24"/>
          <w:lang w:eastAsia="lt-LT"/>
        </w:rPr>
      </w:pPr>
      <w:r w:rsidRPr="00055544">
        <w:rPr>
          <w:szCs w:val="24"/>
          <w:lang w:eastAsia="lt-LT"/>
        </w:rPr>
        <w:t xml:space="preserve">Kaip minėta, užimant TV bokštą, be jau aptartų oro desanto kariškių iš TSRS GM 76-osios oro desanto divizijos 234-ojo pulko 3-iojo bataliono 8-osios ir 9-osios kuopų, dalyvavo ir kiti kariai (viso 85) iš to paties pulko 2-ojo bataliono </w:t>
      </w:r>
      <w:r w:rsidRPr="00055544">
        <w:t>4-osios ir 5-osios kuopų bei 3-iosios savaeigės artilerijos diviziono 3-iosios savaeigės baterijos. Pagal teismo nuosprendžiu nustatytas aplinkybes pastariesiems, kartu su kitais kariškiais, kurių atsakomybės klausimas šioje byloje nesprendžiamas, vadovavo ir nuteistieji A. Z. (</w:t>
      </w:r>
      <w:r w:rsidRPr="00055544">
        <w:rPr>
          <w:szCs w:val="24"/>
          <w:lang w:eastAsia="lt-LT"/>
        </w:rPr>
        <w:t xml:space="preserve">minėtos 5-osios kuopos vado pavaduotojas, vyr. leitenantas) </w:t>
      </w:r>
      <w:r w:rsidRPr="00055544">
        <w:t xml:space="preserve">bei A. L. (minėtos </w:t>
      </w:r>
      <w:r w:rsidRPr="00055544">
        <w:rPr>
          <w:szCs w:val="24"/>
          <w:lang w:eastAsia="lt-LT"/>
        </w:rPr>
        <w:t xml:space="preserve">4-osios kuopos būrio vadas, leitenantas). Pagal teismo nuosprendžiu nustatytas aplinkybes, šių nuteistųjų vadovaujami oro desanto kariškiai, kaip ir jau minėti kiti oro desanto kariškiai, naudodami jėgą, ginklus ir artimus kovos veiksmus civilių žmonių atžvilgiu, t. y. </w:t>
      </w:r>
      <w:r w:rsidRPr="00055544">
        <w:rPr>
          <w:rFonts w:eastAsia="Calibri"/>
        </w:rPr>
        <w:t>stumdydami, smūgiuodami kumščiais, spardydami kojomis ir suduodami ginklais ir kitomis priemonėmis</w:t>
      </w:r>
      <w:r w:rsidRPr="00055544">
        <w:rPr>
          <w:rFonts w:eastAsia="Calibri"/>
          <w:szCs w:val="24"/>
        </w:rPr>
        <w:t xml:space="preserve">, </w:t>
      </w:r>
      <w:r w:rsidRPr="00055544">
        <w:rPr>
          <w:szCs w:val="24"/>
          <w:lang w:eastAsia="lt-LT"/>
        </w:rPr>
        <w:t xml:space="preserve">brovėsi iki TV bokšto, tačiau tą darė iš priešingos, nei 8-osios ir 9-osios kuopų kariškiai, pietų pusės ir šalino civilius iš TV bokšto teritorijos. </w:t>
      </w:r>
    </w:p>
    <w:p w:rsidR="00DA38E9" w:rsidRPr="00C00255" w:rsidRDefault="00DA38E9" w:rsidP="00DA38E9">
      <w:pPr>
        <w:pStyle w:val="Heading5"/>
        <w:ind w:firstLine="992"/>
        <w:rPr>
          <w:rFonts w:ascii="Times New Roman" w:hAnsi="Times New Roman" w:cs="Times New Roman"/>
          <w:i/>
          <w:color w:val="auto"/>
        </w:rPr>
      </w:pPr>
      <w:r w:rsidRPr="00C00255">
        <w:rPr>
          <w:rFonts w:ascii="Times New Roman" w:hAnsi="Times New Roman" w:cs="Times New Roman"/>
          <w:i/>
          <w:color w:val="auto"/>
        </w:rPr>
        <w:t xml:space="preserve">Dėl nuteistojo </w:t>
      </w:r>
      <w:r>
        <w:rPr>
          <w:rFonts w:ascii="Times New Roman" w:hAnsi="Times New Roman" w:cs="Times New Roman"/>
          <w:i/>
          <w:color w:val="auto"/>
        </w:rPr>
        <w:t>A. Z.</w:t>
      </w:r>
      <w:r w:rsidRPr="00C00255">
        <w:rPr>
          <w:rFonts w:ascii="Times New Roman" w:hAnsi="Times New Roman" w:cs="Times New Roman"/>
          <w:i/>
          <w:color w:val="auto"/>
        </w:rPr>
        <w:t xml:space="preserve"> dalyvavimo užimant TV bokštą </w:t>
      </w:r>
    </w:p>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rPr>
          <w:szCs w:val="24"/>
          <w:lang w:eastAsia="lt-LT"/>
        </w:rPr>
        <w:t>Nuteistojo A. Z.</w:t>
      </w:r>
      <w:r w:rsidRPr="00055544">
        <w:rPr>
          <w:szCs w:val="24"/>
          <w:lang w:eastAsia="lt-LT" w:bidi="lt-LT"/>
        </w:rPr>
        <w:t xml:space="preserve"> gynėjai neneigia pirmosios instancijos teismo išvadų apie jų ginamojo dalyvavimą užimant TV bokštą, tačiau tvirtina, kad pastarasis vykdė įsakymą, todėl negali atsakyti už tokius veiksmus. Teisėjų kolegija sutinka su gynėjų argumentu, kad nuteistasis A. Z. vykdė aukštesnių vadų įsakymus, tačiau lygiai taip pat, kaip ir aukštesnieji vadai, pats A. Z. davė įsakymus ir vadovavo sau pavaldiems kariškiams,</w:t>
      </w:r>
      <w:r w:rsidR="00055544">
        <w:rPr>
          <w:szCs w:val="24"/>
          <w:lang w:eastAsia="lt-LT" w:bidi="lt-LT"/>
        </w:rPr>
        <w:t xml:space="preserve"> kurie, veikdami visi kartu, TV </w:t>
      </w:r>
      <w:r w:rsidRPr="00055544">
        <w:rPr>
          <w:szCs w:val="24"/>
          <w:lang w:eastAsia="lt-LT" w:bidi="lt-LT"/>
        </w:rPr>
        <w:t>bokšto užėmimo metu naudojo jėgą, ginklus ir nuosprendyje nurodytus brutalius smurtinius veiksmus beginklių civilių atžvilgiu, kuriems buvo padaryti įvairaus pobūdžio sužalojimai. Tokias nustatytas aplinkybes</w:t>
      </w:r>
      <w:r w:rsidRPr="00055544">
        <w:rPr>
          <w:szCs w:val="24"/>
          <w:lang w:eastAsia="lt-LT"/>
        </w:rPr>
        <w:t xml:space="preserve"> patvirtina byloje surinkti įrodymai, todėl pirmosios instancijos teismo išvados dėl vadovaujančio A. Z. vaidmens yra teisingos.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bidi="lt-LT"/>
        </w:rPr>
        <w:t xml:space="preserve">Objektyvūs bylos duomenys patvirtina, kad </w:t>
      </w:r>
      <w:r>
        <w:rPr>
          <w:szCs w:val="24"/>
          <w:lang w:eastAsia="lt-LT" w:bidi="lt-LT"/>
        </w:rPr>
        <w:t>A. Z.</w:t>
      </w:r>
      <w:r w:rsidRPr="00C00255">
        <w:rPr>
          <w:szCs w:val="24"/>
          <w:lang w:eastAsia="lt-LT" w:bidi="lt-LT"/>
        </w:rPr>
        <w:t xml:space="preserve"> dalyvavo užimant TV bokštą ir ėjo vadovaujančias pareigas </w:t>
      </w:r>
      <w:r w:rsidRPr="00C00255">
        <w:rPr>
          <w:szCs w:val="24"/>
          <w:lang w:eastAsia="lt-LT"/>
        </w:rPr>
        <w:t>TSRS GM 76-osios oro desanto divizijos 234-ojo pulko 2-ojo bataliono 5-ojoje</w:t>
      </w:r>
      <w:r w:rsidRPr="00C00255">
        <w:t xml:space="preserve"> kuopoje, kurios karių, dalyvavusių užimant TV bokštą, skaičius buvo pakankamai ženklus.</w:t>
      </w:r>
      <w:r w:rsidRPr="00C00255">
        <w:rPr>
          <w:szCs w:val="24"/>
          <w:lang w:eastAsia="lt-LT" w:bidi="lt-LT"/>
        </w:rPr>
        <w:t xml:space="preserve"> I</w:t>
      </w:r>
      <w:r w:rsidRPr="00C00255">
        <w:rPr>
          <w:szCs w:val="24"/>
          <w:lang w:eastAsia="lt-LT"/>
        </w:rPr>
        <w:t xml:space="preserve">š byloje esančio karinio dalinio Nr. 74268 karių, kurie dalyvavo užimant TV bokštą, sąrašo matyti, kad šiuose įvykiuose dalyvavo dvidešimt 5-osios kuopos karių, tarp kurių pirmuoju nurodomas vyr. leitenantas </w:t>
      </w:r>
      <w:r>
        <w:rPr>
          <w:szCs w:val="24"/>
          <w:lang w:eastAsia="lt-LT"/>
        </w:rPr>
        <w:t>A. Z.</w:t>
      </w:r>
      <w:r w:rsidRPr="00C00255">
        <w:rPr>
          <w:szCs w:val="24"/>
          <w:lang w:eastAsia="lt-LT"/>
        </w:rPr>
        <w:t xml:space="preserve">, o aukštesnių pagal karinį laipsnį kariškių šiame sąraše nėra (panašiai, kaip ir jau aptartu atveju 3-iojo bataliono 8-ajai kuopai vadovavo nuteistasis taip pat vyr. leitenantas </w:t>
      </w:r>
      <w:r>
        <w:rPr>
          <w:szCs w:val="24"/>
          <w:lang w:eastAsia="lt-LT"/>
        </w:rPr>
        <w:t>A. G. 2</w:t>
      </w:r>
      <w:r w:rsidRPr="00C00255">
        <w:rPr>
          <w:szCs w:val="24"/>
          <w:lang w:eastAsia="lt-LT"/>
        </w:rPr>
        <w:t>; t. 429, b. l. 103–106; t. 116, b.</w:t>
      </w:r>
      <w:r>
        <w:rPr>
          <w:szCs w:val="24"/>
          <w:lang w:eastAsia="lt-LT"/>
        </w:rPr>
        <w:t> </w:t>
      </w:r>
      <w:r w:rsidRPr="00C00255">
        <w:rPr>
          <w:szCs w:val="24"/>
          <w:lang w:eastAsia="lt-LT"/>
        </w:rPr>
        <w:t xml:space="preserve">l. 138–141).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Teisėjų kolegija pažymi, kad vien jau minėtas kariškių, dalyvavusių užimant TV bokštą, sąrašas patvirtina apie įvykių metu </w:t>
      </w:r>
      <w:r>
        <w:rPr>
          <w:color w:val="000000"/>
          <w:szCs w:val="24"/>
          <w:lang w:eastAsia="lt-LT" w:bidi="lt-LT"/>
        </w:rPr>
        <w:t>A. Z.</w:t>
      </w:r>
      <w:r w:rsidRPr="00C00255">
        <w:rPr>
          <w:color w:val="000000"/>
          <w:szCs w:val="24"/>
          <w:lang w:eastAsia="lt-LT" w:bidi="lt-LT"/>
        </w:rPr>
        <w:t xml:space="preserve"> užimtas vadovaujamo pobūdžio pareigas. </w:t>
      </w:r>
      <w:r w:rsidRPr="00C00255">
        <w:rPr>
          <w:szCs w:val="24"/>
          <w:lang w:eastAsia="lt-LT"/>
        </w:rPr>
        <w:t xml:space="preserve">Be to, teisėjų kolegijos įsitikinimą apie </w:t>
      </w:r>
      <w:r>
        <w:rPr>
          <w:szCs w:val="24"/>
          <w:lang w:eastAsia="lt-LT"/>
        </w:rPr>
        <w:t>A. Z.</w:t>
      </w:r>
      <w:r w:rsidRPr="00C00255">
        <w:rPr>
          <w:szCs w:val="24"/>
          <w:lang w:eastAsia="lt-LT"/>
        </w:rPr>
        <w:t xml:space="preserve"> dalyvavimą ir jo vadovaujamą vaidmenį prie TV bokšto formuoja ir ikiteisminio tyrimo metu apklaustų bei liudytojų statusą šiame procese turinčių 2-ojo bataliono 4-osios ir 5-osios kuopų kariškių parodymai, perskaityti teisiamajame posėdyje, nes pastarųjų apklausti teisme dėl objektyvių priežasčių (užsienio šalies pilietybės, atsisakymo bendradarbiauti nagrinėjamoje byloje ir kt.) nebuvo galimybės (t.</w:t>
      </w:r>
      <w:r>
        <w:rPr>
          <w:szCs w:val="24"/>
          <w:lang w:eastAsia="lt-LT"/>
        </w:rPr>
        <w:t> </w:t>
      </w:r>
      <w:r w:rsidRPr="00C00255">
        <w:rPr>
          <w:szCs w:val="24"/>
          <w:lang w:eastAsia="lt-LT"/>
        </w:rPr>
        <w:t>759, b. l. 11, 20, 35). Liudytojais apklausti minėto bataliono kariškiai – S. G</w:t>
      </w:r>
      <w:r>
        <w:rPr>
          <w:szCs w:val="24"/>
          <w:lang w:eastAsia="lt-LT"/>
        </w:rPr>
        <w:t>.</w:t>
      </w:r>
      <w:r w:rsidRPr="00C00255">
        <w:rPr>
          <w:szCs w:val="24"/>
          <w:lang w:eastAsia="lt-LT"/>
        </w:rPr>
        <w:t>, J.</w:t>
      </w:r>
      <w:r>
        <w:rPr>
          <w:szCs w:val="24"/>
          <w:lang w:eastAsia="lt-LT"/>
        </w:rPr>
        <w:t> </w:t>
      </w:r>
      <w:r w:rsidRPr="00C00255">
        <w:rPr>
          <w:szCs w:val="24"/>
          <w:lang w:eastAsia="lt-LT"/>
        </w:rPr>
        <w:t>B</w:t>
      </w:r>
      <w:r>
        <w:rPr>
          <w:szCs w:val="24"/>
          <w:lang w:eastAsia="lt-LT"/>
        </w:rPr>
        <w:t>.</w:t>
      </w:r>
      <w:r w:rsidRPr="00C00255">
        <w:rPr>
          <w:szCs w:val="24"/>
          <w:lang w:eastAsia="lt-LT"/>
        </w:rPr>
        <w:t>, A. F</w:t>
      </w:r>
      <w:r>
        <w:rPr>
          <w:szCs w:val="24"/>
          <w:lang w:eastAsia="lt-LT"/>
        </w:rPr>
        <w:t>.</w:t>
      </w:r>
      <w:r w:rsidRPr="00C00255">
        <w:rPr>
          <w:szCs w:val="24"/>
          <w:lang w:eastAsia="lt-LT"/>
        </w:rPr>
        <w:t>, A. A</w:t>
      </w:r>
      <w:r>
        <w:rPr>
          <w:szCs w:val="24"/>
          <w:lang w:eastAsia="lt-LT"/>
        </w:rPr>
        <w:t>.</w:t>
      </w:r>
      <w:r w:rsidRPr="00C00255">
        <w:rPr>
          <w:szCs w:val="24"/>
          <w:lang w:eastAsia="lt-LT"/>
        </w:rPr>
        <w:t xml:space="preserve"> ir V.</w:t>
      </w:r>
      <w:r>
        <w:rPr>
          <w:szCs w:val="24"/>
          <w:lang w:eastAsia="lt-LT"/>
        </w:rPr>
        <w:t> </w:t>
      </w:r>
      <w:r w:rsidRPr="00C00255">
        <w:rPr>
          <w:szCs w:val="24"/>
          <w:lang w:eastAsia="lt-LT"/>
        </w:rPr>
        <w:t>N</w:t>
      </w:r>
      <w:r>
        <w:rPr>
          <w:szCs w:val="24"/>
          <w:lang w:eastAsia="lt-LT"/>
        </w:rPr>
        <w:t>.</w:t>
      </w:r>
      <w:r w:rsidRPr="00C00255">
        <w:rPr>
          <w:szCs w:val="24"/>
          <w:lang w:eastAsia="lt-LT"/>
        </w:rPr>
        <w:t xml:space="preserve"> – </w:t>
      </w:r>
      <w:r>
        <w:rPr>
          <w:szCs w:val="24"/>
          <w:lang w:eastAsia="lt-LT"/>
        </w:rPr>
        <w:t>A. Z.</w:t>
      </w:r>
      <w:r w:rsidRPr="00C00255">
        <w:rPr>
          <w:szCs w:val="24"/>
          <w:lang w:eastAsia="lt-LT"/>
        </w:rPr>
        <w:t xml:space="preserve"> įvardijo kaip asmenį, dalyvavusį užimant TV bokštą ir vadovavusį kitiems kariškiams.</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Antai liudytojas V.</w:t>
      </w:r>
      <w:r>
        <w:rPr>
          <w:szCs w:val="24"/>
          <w:lang w:eastAsia="lt-LT"/>
        </w:rPr>
        <w:t> </w:t>
      </w:r>
      <w:r w:rsidRPr="00C00255">
        <w:rPr>
          <w:szCs w:val="24"/>
          <w:lang w:eastAsia="lt-LT"/>
        </w:rPr>
        <w:t>N</w:t>
      </w:r>
      <w:r>
        <w:rPr>
          <w:szCs w:val="24"/>
          <w:lang w:eastAsia="lt-LT"/>
        </w:rPr>
        <w:t>.</w:t>
      </w:r>
      <w:r w:rsidRPr="00C00255">
        <w:rPr>
          <w:szCs w:val="24"/>
          <w:lang w:eastAsia="lt-LT"/>
        </w:rPr>
        <w:t xml:space="preserve"> nurodė, kad jiems išsilaipinus prie TV bokšto vado pavaduotojas </w:t>
      </w:r>
      <w:r>
        <w:rPr>
          <w:szCs w:val="24"/>
          <w:lang w:eastAsia="lt-LT"/>
        </w:rPr>
        <w:t>A. Z.</w:t>
      </w:r>
      <w:r w:rsidRPr="00C00255">
        <w:rPr>
          <w:szCs w:val="24"/>
          <w:lang w:eastAsia="lt-LT"/>
        </w:rPr>
        <w:t xml:space="preserve"> jo kuopai iškėlė užduotį nustumti žmones nuo TV bokšto. </w:t>
      </w:r>
      <w:r>
        <w:rPr>
          <w:szCs w:val="24"/>
          <w:lang w:eastAsia="lt-LT"/>
        </w:rPr>
        <w:t>A. Z.</w:t>
      </w:r>
      <w:r w:rsidRPr="00C00255">
        <w:rPr>
          <w:szCs w:val="24"/>
          <w:lang w:eastAsia="lt-LT"/>
        </w:rPr>
        <w:t xml:space="preserve"> ragino civilius išsivaikščioti, tačiau šie nepakluso. Jie vykdė </w:t>
      </w:r>
      <w:r>
        <w:rPr>
          <w:szCs w:val="24"/>
          <w:lang w:eastAsia="lt-LT"/>
        </w:rPr>
        <w:t>A. Z.</w:t>
      </w:r>
      <w:r w:rsidRPr="00C00255">
        <w:rPr>
          <w:szCs w:val="24"/>
          <w:lang w:eastAsia="lt-LT"/>
        </w:rPr>
        <w:t xml:space="preserve"> įsakymą ir stūmė žmones nuo objekto (t. 428, b. l. 30–31, t. 115, b. l. 31–33).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Liudytojas J.</w:t>
      </w:r>
      <w:r>
        <w:rPr>
          <w:szCs w:val="24"/>
          <w:lang w:eastAsia="lt-LT"/>
        </w:rPr>
        <w:t> </w:t>
      </w:r>
      <w:r w:rsidRPr="00C00255">
        <w:rPr>
          <w:szCs w:val="24"/>
          <w:lang w:eastAsia="lt-LT"/>
        </w:rPr>
        <w:t>B</w:t>
      </w:r>
      <w:r>
        <w:rPr>
          <w:szCs w:val="24"/>
          <w:lang w:eastAsia="lt-LT"/>
        </w:rPr>
        <w:t>.</w:t>
      </w:r>
      <w:r w:rsidRPr="00C00255">
        <w:rPr>
          <w:szCs w:val="24"/>
          <w:lang w:eastAsia="lt-LT"/>
        </w:rPr>
        <w:t xml:space="preserve"> nurodė, kad prie TV bokšto pagal 5-osios kuopos vyresniojo leitenanto </w:t>
      </w:r>
      <w:r>
        <w:rPr>
          <w:szCs w:val="24"/>
          <w:lang w:eastAsia="lt-LT"/>
        </w:rPr>
        <w:t>A. Z.</w:t>
      </w:r>
      <w:r w:rsidRPr="00C00255">
        <w:rPr>
          <w:szCs w:val="24"/>
          <w:lang w:eastAsia="lt-LT"/>
        </w:rPr>
        <w:t xml:space="preserve"> komandą jie užėmė ištuštėjusią erdvę ir ėmė stumti žmones (t. 430, b. l. 28–30, t. 117, b. l. 65–75).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Liudytojas A.</w:t>
      </w:r>
      <w:r>
        <w:rPr>
          <w:szCs w:val="24"/>
          <w:lang w:eastAsia="lt-LT"/>
        </w:rPr>
        <w:t> </w:t>
      </w:r>
      <w:r w:rsidRPr="00C00255">
        <w:rPr>
          <w:szCs w:val="24"/>
          <w:lang w:eastAsia="lt-LT"/>
        </w:rPr>
        <w:t>A</w:t>
      </w:r>
      <w:r>
        <w:rPr>
          <w:szCs w:val="24"/>
          <w:lang w:eastAsia="lt-LT"/>
        </w:rPr>
        <w:t>.</w:t>
      </w:r>
      <w:r w:rsidRPr="00C00255">
        <w:rPr>
          <w:szCs w:val="24"/>
          <w:lang w:eastAsia="lt-LT"/>
        </w:rPr>
        <w:t xml:space="preserve"> nurodė, kad iš pradžių į jo automatą buvo įdėta dėtuvė su tuščiais šoviniais, kuriais jis šaudė į viršų, norėdamas išgąsdinti puolančius civilius, tačiau kulkos lūžinėjo, ir šalia jo buvęs vyresnysis leitenantas </w:t>
      </w:r>
      <w:r>
        <w:rPr>
          <w:szCs w:val="24"/>
          <w:lang w:eastAsia="lt-LT"/>
        </w:rPr>
        <w:t>A. Z.</w:t>
      </w:r>
      <w:r w:rsidRPr="00C00255">
        <w:rPr>
          <w:szCs w:val="24"/>
          <w:lang w:eastAsia="lt-LT"/>
        </w:rPr>
        <w:t xml:space="preserve"> paėmė iš jo automatą ir prie jo prijungė dėtuvę su koviniais šoviniais, kuriais liudytojas tęsė šaudymą į viršų (t. 430, b. l. 82, t. 117, b. l. 177).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Šių kariškių parodymai ne tik atitinka vieni kitus, bet ir papildo jau šioje byloje aptartus įrodymus apie </w:t>
      </w:r>
      <w:r>
        <w:rPr>
          <w:szCs w:val="24"/>
          <w:lang w:eastAsia="lt-LT"/>
        </w:rPr>
        <w:t>A. Z.</w:t>
      </w:r>
      <w:r w:rsidRPr="00C00255">
        <w:rPr>
          <w:szCs w:val="24"/>
          <w:lang w:eastAsia="lt-LT"/>
        </w:rPr>
        <w:t xml:space="preserve"> vadovaujamą vaidmenį šturmuojant TV bokštą. Minėti duomenys atskleidžia, kad </w:t>
      </w:r>
      <w:r>
        <w:rPr>
          <w:szCs w:val="24"/>
          <w:lang w:eastAsia="lt-LT"/>
        </w:rPr>
        <w:t>A. Z.</w:t>
      </w:r>
      <w:r w:rsidRPr="00C00255">
        <w:rPr>
          <w:szCs w:val="24"/>
          <w:lang w:eastAsia="lt-LT"/>
        </w:rPr>
        <w:t xml:space="preserve"> ne tik davė nurodymus kariškiams nustumti civilius nuo TV bokšto, tačiau ir tai, jog jis veikė itin pavojingai bei savo veiksmais skatino kitus kariškius elgtis dar pavojingiau – veikdamas kaip vadas, vienam iš eilinių karių tuščius šovinius pakeitė koviniais. Visa tai rodo, kad pirmosios instancijos teismo išvados dėl vadovaujančio </w:t>
      </w:r>
      <w:r>
        <w:rPr>
          <w:szCs w:val="24"/>
          <w:lang w:eastAsia="lt-LT"/>
        </w:rPr>
        <w:t>A. Z.</w:t>
      </w:r>
      <w:r w:rsidRPr="00C00255">
        <w:rPr>
          <w:szCs w:val="24"/>
          <w:lang w:eastAsia="lt-LT"/>
        </w:rPr>
        <w:t xml:space="preserve"> vaidmens yra teisingos.</w:t>
      </w:r>
    </w:p>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rPr>
          <w:szCs w:val="24"/>
          <w:lang w:eastAsia="lt-LT" w:bidi="lt-LT"/>
        </w:rPr>
        <w:t>Minėtų išvadų pagrįstumui ir teisėtumui įtakos neturi nuteistojo A. Z. gynėjų skundo argumentai apie tai, kad toje TV bokšto vietoje, kur buvo nuteistasis, nebuvo sužeistųjų, o kariškiai naudojo tik tuščius šovinius. Kaip minėta, užimant TV bokštą ir stumiant nuo jo civilius visi kariškiai veikė koordinuotai, bendrai ir siekdami to paties tikslo, o nuteistasis atliko vadovaujamo pobūdžio veiksmus daliai bendroje operacijoje dalyvavusių kariškių, kurie vykdė jiems paskirtą užduotį bendroje operacijoje. V</w:t>
      </w:r>
      <w:r w:rsidRPr="00055544">
        <w:t xml:space="preserve">ien tai, kad skundžiamame nuosprendyje nebuvo nurodyta, kokie konkrečiai civiliai dėl A. Z. ar jo vadovaujamo dalinio veiksmų nukentėjo, nedaro šio teismo sprendimo nepagrįstu ir neteisėtu, nes byloje nustatyti šio kariškio veiksmai visumoje su kitų kariškių veiksmais lėmė itin pavojingus padarinius (civilių nužudymą ir sužalojimą). </w:t>
      </w:r>
    </w:p>
    <w:p w:rsidR="00DA38E9" w:rsidRPr="00C00255" w:rsidRDefault="00DA38E9" w:rsidP="00DA38E9">
      <w:pPr>
        <w:pStyle w:val="Heading5"/>
        <w:ind w:firstLine="992"/>
        <w:rPr>
          <w:rFonts w:ascii="Times New Roman" w:hAnsi="Times New Roman" w:cs="Times New Roman"/>
          <w:i/>
          <w:color w:val="auto"/>
        </w:rPr>
      </w:pPr>
      <w:r w:rsidRPr="00C00255">
        <w:rPr>
          <w:rFonts w:ascii="Times New Roman" w:hAnsi="Times New Roman" w:cs="Times New Roman"/>
          <w:i/>
          <w:color w:val="auto"/>
        </w:rPr>
        <w:t xml:space="preserve">Dėl nuteistojo </w:t>
      </w:r>
      <w:r>
        <w:rPr>
          <w:rFonts w:ascii="Times New Roman" w:hAnsi="Times New Roman" w:cs="Times New Roman"/>
          <w:i/>
          <w:color w:val="auto"/>
        </w:rPr>
        <w:t>A. L.</w:t>
      </w:r>
      <w:r w:rsidRPr="00C00255">
        <w:rPr>
          <w:rFonts w:ascii="Times New Roman" w:hAnsi="Times New Roman" w:cs="Times New Roman"/>
          <w:i/>
          <w:color w:val="auto"/>
        </w:rPr>
        <w:t xml:space="preserve"> dalyvavimo užimant TV bokštą </w:t>
      </w:r>
    </w:p>
    <w:p w:rsidR="00DA38E9" w:rsidRPr="00055544" w:rsidRDefault="00DA38E9" w:rsidP="00DA38E9">
      <w:pPr>
        <w:pStyle w:val="ListParagraph"/>
        <w:numPr>
          <w:ilvl w:val="0"/>
          <w:numId w:val="6"/>
        </w:numPr>
        <w:spacing w:before="120" w:after="120"/>
        <w:ind w:left="992" w:hanging="992"/>
        <w:contextualSpacing w:val="0"/>
        <w:rPr>
          <w:szCs w:val="24"/>
          <w:lang w:eastAsia="lt-LT"/>
        </w:rPr>
      </w:pPr>
      <w:r w:rsidRPr="00055544">
        <w:rPr>
          <w:szCs w:val="24"/>
          <w:lang w:eastAsia="lt-LT"/>
        </w:rPr>
        <w:t>Teisėjų kolegijos įsitikinimu, pasitvirtino ir pirmosios instancijos teismo išvada dėl nuteistojo TSRS GM 76-osios oro desanto divizijos 234-ojo pulko 2-ojo bataliono 4-osios kuopos būrio vado A. L. vadovaujančio vaidmens užimant TV bokštą.</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Skundžiamame nuosprendyje išvada apie </w:t>
      </w:r>
      <w:r>
        <w:rPr>
          <w:szCs w:val="24"/>
          <w:lang w:eastAsia="lt-LT"/>
        </w:rPr>
        <w:t>A. L.</w:t>
      </w:r>
      <w:r w:rsidRPr="00C00255">
        <w:rPr>
          <w:szCs w:val="24"/>
          <w:lang w:eastAsia="lt-LT"/>
        </w:rPr>
        <w:t xml:space="preserve"> dalyvavimą TV bokšto šturme ir jo vadovavimą vienam iš ten veikusių karinių dalinių, be kita ko, grindžiama liudytojų – kariškių, dalyvavusių įvykiuose prie TV bokšto – tarp jų ir </w:t>
      </w:r>
      <w:r>
        <w:rPr>
          <w:szCs w:val="24"/>
          <w:lang w:eastAsia="lt-LT"/>
        </w:rPr>
        <w:t>S. P.</w:t>
      </w:r>
      <w:r w:rsidRPr="00C00255">
        <w:rPr>
          <w:szCs w:val="24"/>
          <w:lang w:eastAsia="lt-LT"/>
        </w:rPr>
        <w:t xml:space="preserve"> bei </w:t>
      </w:r>
      <w:r>
        <w:rPr>
          <w:szCs w:val="24"/>
          <w:lang w:eastAsia="lt-LT"/>
        </w:rPr>
        <w:t>A. Z.</w:t>
      </w:r>
      <w:r w:rsidRPr="00C00255">
        <w:rPr>
          <w:szCs w:val="24"/>
          <w:lang w:eastAsia="lt-LT"/>
        </w:rPr>
        <w:t xml:space="preserve">, parodymais, tai pat paties </w:t>
      </w:r>
      <w:r>
        <w:rPr>
          <w:szCs w:val="24"/>
          <w:lang w:eastAsia="lt-LT"/>
        </w:rPr>
        <w:t>A. L.</w:t>
      </w:r>
      <w:r w:rsidRPr="00C00255">
        <w:rPr>
          <w:szCs w:val="24"/>
          <w:lang w:eastAsia="lt-LT"/>
        </w:rPr>
        <w:t xml:space="preserve"> parodymais. Visgi, </w:t>
      </w:r>
      <w:r>
        <w:rPr>
          <w:szCs w:val="24"/>
          <w:lang w:eastAsia="lt-LT"/>
        </w:rPr>
        <w:t>A. L.</w:t>
      </w:r>
      <w:r w:rsidRPr="00C00255">
        <w:rPr>
          <w:szCs w:val="24"/>
          <w:lang w:eastAsia="lt-LT"/>
        </w:rPr>
        <w:t xml:space="preserve"> gynėjų įsitikinimu, </w:t>
      </w:r>
      <w:r>
        <w:rPr>
          <w:szCs w:val="24"/>
          <w:lang w:eastAsia="lt-LT"/>
        </w:rPr>
        <w:t>A. Z.</w:t>
      </w:r>
      <w:r w:rsidRPr="00C00255">
        <w:rPr>
          <w:szCs w:val="24"/>
          <w:lang w:eastAsia="lt-LT"/>
        </w:rPr>
        <w:t xml:space="preserve"> ir </w:t>
      </w:r>
      <w:r>
        <w:rPr>
          <w:szCs w:val="24"/>
          <w:lang w:eastAsia="lt-LT"/>
        </w:rPr>
        <w:t>S. P.</w:t>
      </w:r>
      <w:r w:rsidRPr="00C00255">
        <w:rPr>
          <w:szCs w:val="24"/>
          <w:lang w:eastAsia="lt-LT"/>
        </w:rPr>
        <w:t xml:space="preserve"> parodymai prieštarauja nuosprendyje padarytoms išvadoms dėl </w:t>
      </w:r>
      <w:r>
        <w:rPr>
          <w:szCs w:val="24"/>
          <w:lang w:eastAsia="lt-LT"/>
        </w:rPr>
        <w:t>A. L.</w:t>
      </w:r>
      <w:r w:rsidRPr="00C00255">
        <w:rPr>
          <w:szCs w:val="24"/>
          <w:lang w:eastAsia="lt-LT"/>
        </w:rPr>
        <w:t xml:space="preserve"> vadovaujančių veiksmų. Teisėjų kolegija su tokia gynybos pozicija nesutinka bei pažymi, kad pirmosios instancijos teismo išvados dėl nuteistojo </w:t>
      </w:r>
      <w:r>
        <w:rPr>
          <w:szCs w:val="24"/>
          <w:lang w:eastAsia="lt-LT"/>
        </w:rPr>
        <w:t>A. L.</w:t>
      </w:r>
      <w:r w:rsidRPr="00C00255">
        <w:rPr>
          <w:szCs w:val="24"/>
          <w:lang w:eastAsia="lt-LT"/>
        </w:rPr>
        <w:t xml:space="preserve"> vaidmens užimant TV</w:t>
      </w:r>
      <w:r>
        <w:rPr>
          <w:szCs w:val="24"/>
          <w:lang w:eastAsia="lt-LT"/>
        </w:rPr>
        <w:t> </w:t>
      </w:r>
      <w:r w:rsidRPr="00C00255">
        <w:rPr>
          <w:szCs w:val="24"/>
          <w:lang w:eastAsia="lt-LT"/>
        </w:rPr>
        <w:t>bokštą yra patvirtintos BPK 20 straipsnio reikalavimus atitinkančių bylos duomenų visuma.</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Antai, iš byloje esančio karinio dalinio Nr. 74268 karių, kurie dalyvavo užimant TV bokštą, sąrašo matyti, kad šiuose įvykiuose dalyvavo šešiolika 4-osios kuopos karių, tarp kurių trečiuoju nurodomas leitenantas </w:t>
      </w:r>
      <w:r>
        <w:rPr>
          <w:szCs w:val="24"/>
          <w:lang w:eastAsia="lt-LT"/>
        </w:rPr>
        <w:t>A. L.</w:t>
      </w:r>
      <w:r w:rsidRPr="00C00255">
        <w:rPr>
          <w:szCs w:val="24"/>
          <w:lang w:eastAsia="lt-LT"/>
        </w:rPr>
        <w:t xml:space="preserve"> (t. 429, b. l. 103–106; t. 116, b. l. 138–141), tačiau byloje yra duomenų apie tai, kad šios kuopos vado kapitono S. S</w:t>
      </w:r>
      <w:r>
        <w:rPr>
          <w:szCs w:val="24"/>
          <w:lang w:eastAsia="lt-LT"/>
        </w:rPr>
        <w:t>.</w:t>
      </w:r>
      <w:r w:rsidRPr="00C00255">
        <w:rPr>
          <w:szCs w:val="24"/>
          <w:lang w:eastAsia="lt-LT"/>
        </w:rPr>
        <w:t>, kuris sąraše nurodytas pirmuoju, aptariamų įvykių metu Vilniuje apskritai nebuvo (teisiamajame posėdyje perskaityti šio proceso baigtimi nesuinteresuoto liudytojo O.</w:t>
      </w:r>
      <w:r>
        <w:rPr>
          <w:szCs w:val="24"/>
          <w:lang w:eastAsia="lt-LT"/>
        </w:rPr>
        <w:t> </w:t>
      </w:r>
      <w:r w:rsidRPr="00C00255">
        <w:rPr>
          <w:szCs w:val="24"/>
          <w:lang w:eastAsia="lt-LT"/>
        </w:rPr>
        <w:t>K</w:t>
      </w:r>
      <w:r>
        <w:rPr>
          <w:szCs w:val="24"/>
          <w:lang w:eastAsia="lt-LT"/>
        </w:rPr>
        <w:t>.</w:t>
      </w:r>
      <w:r w:rsidRPr="00C00255">
        <w:rPr>
          <w:szCs w:val="24"/>
          <w:lang w:eastAsia="lt-LT"/>
        </w:rPr>
        <w:t xml:space="preserve"> parodymai (t. 430,</w:t>
      </w:r>
      <w:r>
        <w:rPr>
          <w:szCs w:val="24"/>
          <w:lang w:eastAsia="lt-LT"/>
        </w:rPr>
        <w:t xml:space="preserve"> </w:t>
      </w:r>
      <w:r w:rsidRPr="00C00255">
        <w:rPr>
          <w:szCs w:val="24"/>
          <w:lang w:eastAsia="lt-LT"/>
        </w:rPr>
        <w:t>b. l.</w:t>
      </w:r>
      <w:r>
        <w:rPr>
          <w:szCs w:val="24"/>
          <w:lang w:eastAsia="lt-LT"/>
        </w:rPr>
        <w:t> </w:t>
      </w:r>
      <w:r w:rsidRPr="00C00255">
        <w:rPr>
          <w:szCs w:val="24"/>
          <w:lang w:eastAsia="lt-LT"/>
        </w:rPr>
        <w:t xml:space="preserve">35–36, t. 117, b. l. 80–86; t. 759, b. l. 11). Taigi </w:t>
      </w:r>
      <w:r>
        <w:rPr>
          <w:szCs w:val="24"/>
          <w:lang w:eastAsia="lt-LT"/>
        </w:rPr>
        <w:t>A. L.</w:t>
      </w:r>
      <w:r w:rsidRPr="00C00255">
        <w:rPr>
          <w:szCs w:val="24"/>
          <w:lang w:eastAsia="lt-LT"/>
        </w:rPr>
        <w:t xml:space="preserve"> ne tik dalyvavo TV bokšto užėmimo operacijoje, bet jos metu buvo vienu iš dviejų aukščiausias pareigas užėmusių 4-osios kuopos, kuri priklausė įvykiuose prie TV bokšto dalyvavusiam 2-ajam batalionui, kariškių ir vadovavo vienam iš šios kuopos būrių (panašiai kaip aptartais atvejais 3-iojo bataliono 8-osios kuopos būriui vadovavo nuteistasis </w:t>
      </w:r>
      <w:r>
        <w:rPr>
          <w:szCs w:val="24"/>
          <w:lang w:eastAsia="lt-LT"/>
        </w:rPr>
        <w:t>E. M.</w:t>
      </w:r>
      <w:r w:rsidRPr="00C00255">
        <w:rPr>
          <w:szCs w:val="24"/>
          <w:lang w:eastAsia="lt-LT"/>
        </w:rPr>
        <w:t xml:space="preserve">, ar 9-osios kuopos būriui – nuteistasis </w:t>
      </w:r>
      <w:r>
        <w:rPr>
          <w:szCs w:val="24"/>
          <w:lang w:eastAsia="lt-LT"/>
        </w:rPr>
        <w:t>V. K. 2</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Nuteistojo </w:t>
      </w:r>
      <w:r>
        <w:rPr>
          <w:szCs w:val="24"/>
          <w:lang w:eastAsia="lt-LT"/>
        </w:rPr>
        <w:t>A. L.</w:t>
      </w:r>
      <w:r w:rsidRPr="00C00255">
        <w:rPr>
          <w:szCs w:val="24"/>
          <w:lang w:eastAsia="lt-LT"/>
        </w:rPr>
        <w:t xml:space="preserve"> gynėjai apeliaciniame skunde nurodo, kad </w:t>
      </w:r>
      <w:r>
        <w:rPr>
          <w:szCs w:val="24"/>
          <w:lang w:eastAsia="lt-LT"/>
        </w:rPr>
        <w:t>A. L.</w:t>
      </w:r>
      <w:r w:rsidRPr="00C00255">
        <w:rPr>
          <w:szCs w:val="24"/>
          <w:lang w:eastAsia="lt-LT"/>
        </w:rPr>
        <w:t xml:space="preserve">, nors ir buvo minėtos kuopos būrio vadas, visgi, padėdamas atstumti minią nuo TV bokšto, tik vykdė aukštesnių karininkų įsakymą. Teisėjų kolegija su tuo sutinka tik iš dalies, nes nuteistasis, </w:t>
      </w:r>
      <w:r w:rsidRPr="00C00255">
        <w:rPr>
          <w:szCs w:val="24"/>
          <w:lang w:eastAsia="lt-LT" w:bidi="lt-LT"/>
        </w:rPr>
        <w:t>lygiai taip pat, kaip ir aukštesnieji karininkai, ir pats davė įsakymus bei vadovavo sau pavaldiems kariškiams, kurie, veikdami visi kartu, TV bokšto šturmo metu naudojo jėgą, ginklus ir nuosprendyje nurodytus brutalius smurtinius veiksmus beginklių civilių atžvilgiu, kuriems buvo padaryti įvairaus pobūdžio sužalojimai. Tą patvirtina ne tik jau minėti sąrašai ir nuteistojo eitų pareigų bei turėtų įgaliojimų faktas, bet ir kiti byloje surinkti duomenys.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Teisėjų kolegija nesutinka su gynybos teiginiais, kad </w:t>
      </w:r>
      <w:r>
        <w:rPr>
          <w:color w:val="000000"/>
          <w:szCs w:val="24"/>
          <w:lang w:eastAsia="lt-LT" w:bidi="lt-LT"/>
        </w:rPr>
        <w:t>A. L.</w:t>
      </w:r>
      <w:r w:rsidRPr="00C00255">
        <w:rPr>
          <w:color w:val="000000"/>
          <w:szCs w:val="24"/>
          <w:lang w:eastAsia="lt-LT" w:bidi="lt-LT"/>
        </w:rPr>
        <w:t xml:space="preserve"> vadovaujamą vaidmenį užimant TV bokštą paneigia teisiamajame posėdyje perskaityti liudytojų </w:t>
      </w:r>
      <w:r>
        <w:rPr>
          <w:color w:val="000000"/>
          <w:szCs w:val="24"/>
          <w:lang w:eastAsia="lt-LT" w:bidi="lt-LT"/>
        </w:rPr>
        <w:t>A. Z.</w:t>
      </w:r>
      <w:r w:rsidRPr="00C00255">
        <w:rPr>
          <w:color w:val="000000"/>
          <w:szCs w:val="24"/>
          <w:lang w:eastAsia="lt-LT" w:bidi="lt-LT"/>
        </w:rPr>
        <w:t xml:space="preserve"> ir </w:t>
      </w:r>
      <w:r>
        <w:rPr>
          <w:color w:val="000000"/>
          <w:szCs w:val="24"/>
          <w:lang w:eastAsia="lt-LT" w:bidi="lt-LT"/>
        </w:rPr>
        <w:t>S. P.</w:t>
      </w:r>
      <w:r w:rsidRPr="00C00255">
        <w:rPr>
          <w:color w:val="000000"/>
          <w:szCs w:val="24"/>
          <w:lang w:eastAsia="lt-LT" w:bidi="lt-LT"/>
        </w:rPr>
        <w:t xml:space="preserve"> parodymai. 4-osios kuopos vadas </w:t>
      </w:r>
      <w:r>
        <w:rPr>
          <w:color w:val="000000"/>
          <w:szCs w:val="24"/>
          <w:lang w:eastAsia="lt-LT" w:bidi="lt-LT"/>
        </w:rPr>
        <w:t>S. P.</w:t>
      </w:r>
      <w:r w:rsidRPr="00C00255">
        <w:rPr>
          <w:color w:val="000000"/>
          <w:szCs w:val="24"/>
          <w:lang w:eastAsia="lt-LT" w:bidi="lt-LT"/>
        </w:rPr>
        <w:t xml:space="preserve"> išskyrė save ir </w:t>
      </w:r>
      <w:r>
        <w:rPr>
          <w:color w:val="000000"/>
          <w:szCs w:val="24"/>
          <w:lang w:eastAsia="lt-LT" w:bidi="lt-LT"/>
        </w:rPr>
        <w:t>A. L.</w:t>
      </w:r>
      <w:r w:rsidRPr="00C00255">
        <w:rPr>
          <w:color w:val="000000"/>
          <w:szCs w:val="24"/>
          <w:lang w:eastAsia="lt-LT" w:bidi="lt-LT"/>
        </w:rPr>
        <w:t xml:space="preserve">, kaip vienintelius minėtos kuopos kariškius, kuriems prieš TV bokšto užėmimo operaciją buvo </w:t>
      </w:r>
      <w:r w:rsidRPr="00C00255">
        <w:rPr>
          <w:szCs w:val="24"/>
          <w:lang w:eastAsia="lt-LT" w:bidi="lt-LT"/>
        </w:rPr>
        <w:t>išduoti koviniai šoviniai</w:t>
      </w:r>
      <w:r w:rsidRPr="00C00255">
        <w:rPr>
          <w:color w:val="000000"/>
          <w:szCs w:val="24"/>
          <w:lang w:eastAsia="lt-LT" w:bidi="lt-LT"/>
        </w:rPr>
        <w:t xml:space="preserve"> </w:t>
      </w:r>
      <w:r w:rsidRPr="00C00255">
        <w:rPr>
          <w:szCs w:val="24"/>
          <w:lang w:eastAsia="lt-LT" w:bidi="lt-LT"/>
        </w:rPr>
        <w:t xml:space="preserve">(t. 428, b. l. 21–22, t. 115, b. l. 20–22; </w:t>
      </w:r>
      <w:r w:rsidRPr="00C00255">
        <w:rPr>
          <w:szCs w:val="24"/>
        </w:rPr>
        <w:t xml:space="preserve">t. 759, b. l. 184). Teisėjų kolegijos įsitikinimu, tai rodo, kad nuteistajam </w:t>
      </w:r>
      <w:r>
        <w:rPr>
          <w:szCs w:val="24"/>
        </w:rPr>
        <w:t>A. L.</w:t>
      </w:r>
      <w:r w:rsidRPr="00C00255">
        <w:rPr>
          <w:szCs w:val="24"/>
        </w:rPr>
        <w:t xml:space="preserve"> kaip atitinkamo dalinio vadui buvo patikėti koviniai šoviniai, kuriais jis galėjo disponuoti ir išskirdamas juos savo vadovaujamam būriui. Liudytojas </w:t>
      </w:r>
      <w:r>
        <w:rPr>
          <w:szCs w:val="24"/>
        </w:rPr>
        <w:t>A. Z.</w:t>
      </w:r>
      <w:r w:rsidRPr="00C00255">
        <w:rPr>
          <w:szCs w:val="24"/>
        </w:rPr>
        <w:t xml:space="preserve"> nurodė, kad leitenantas </w:t>
      </w:r>
      <w:r>
        <w:rPr>
          <w:szCs w:val="24"/>
        </w:rPr>
        <w:t>A. L.</w:t>
      </w:r>
      <w:r w:rsidRPr="00C00255">
        <w:rPr>
          <w:szCs w:val="24"/>
        </w:rPr>
        <w:t xml:space="preserve"> smūgiuodamas automatu, rankomis ir kojomis nuvijo vaikinus nuo kito karininko ir padėjo jam atsistoti ant kojų (t. 428, b. l. 26–29, t. 115, b</w:t>
      </w:r>
      <w:r w:rsidR="00B822BF">
        <w:rPr>
          <w:szCs w:val="24"/>
        </w:rPr>
        <w:t>. l. 31–33; t. 759, b. l. 184). </w:t>
      </w:r>
      <w:r w:rsidRPr="00C00255">
        <w:rPr>
          <w:szCs w:val="24"/>
        </w:rPr>
        <w:t xml:space="preserve">Apeliacinės instancijos teismo vertinimu, tokie parodymai, skirtingai nei teigia </w:t>
      </w:r>
      <w:r>
        <w:rPr>
          <w:szCs w:val="24"/>
        </w:rPr>
        <w:t>A. L.</w:t>
      </w:r>
      <w:r w:rsidRPr="00C00255">
        <w:rPr>
          <w:szCs w:val="24"/>
        </w:rPr>
        <w:t xml:space="preserve"> gynėjai, niekaip nepaneigia išvados apie vadovaujamą </w:t>
      </w:r>
      <w:r>
        <w:rPr>
          <w:szCs w:val="24"/>
        </w:rPr>
        <w:t>A. L.</w:t>
      </w:r>
      <w:r w:rsidRPr="00C00255">
        <w:rPr>
          <w:szCs w:val="24"/>
        </w:rPr>
        <w:t xml:space="preserve"> vaidmenį TV bokšto šturme. Priešingai – šie parodymai papildo ir visumoje atitinka nustatytą jo aktyvų ir jėga grindžiamą vadovaujamą vaidmenį užimant TV bokštą.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Gynybos teigimu, leitenantas </w:t>
      </w:r>
      <w:r>
        <w:rPr>
          <w:szCs w:val="24"/>
        </w:rPr>
        <w:t>A. L.</w:t>
      </w:r>
      <w:r w:rsidRPr="00C00255">
        <w:rPr>
          <w:szCs w:val="24"/>
        </w:rPr>
        <w:t xml:space="preserve"> neturėjo realios galimybės vadovauti kariškiams, nes jis buvo tik būrio vadas, kuris negalėjo vadovauti nei kuopai, nei stambesniam kariniam junginiui, esant jų vadams. Teisėjų kolegija tokius gynybos argumentus atmeta, vertindama visą bylos medžiagą, aiškiai rodančią apie operacijos eigą, kariškių dalinius, jų tarpusavio ryšius ir eiliniams kariams vadovavusių karininkų laipsnius. Teisėjų kolegija jau pasisakė apie analogiškas pareigas ėjusių kitų kuopų būrių vadų, nuteistųjų </w:t>
      </w:r>
      <w:r>
        <w:rPr>
          <w:szCs w:val="24"/>
          <w:lang w:eastAsia="lt-LT"/>
        </w:rPr>
        <w:t>V. K. 2</w:t>
      </w:r>
      <w:r w:rsidRPr="00C00255">
        <w:rPr>
          <w:szCs w:val="24"/>
          <w:lang w:eastAsia="lt-LT"/>
        </w:rPr>
        <w:t xml:space="preserve"> ir </w:t>
      </w:r>
      <w:r>
        <w:rPr>
          <w:szCs w:val="24"/>
          <w:lang w:eastAsia="lt-LT"/>
        </w:rPr>
        <w:t>E. M.</w:t>
      </w:r>
      <w:r w:rsidRPr="00C00255">
        <w:rPr>
          <w:szCs w:val="24"/>
          <w:lang w:eastAsia="lt-LT"/>
        </w:rPr>
        <w:t xml:space="preserve"> v</w:t>
      </w:r>
      <w:r w:rsidRPr="00C00255">
        <w:rPr>
          <w:szCs w:val="24"/>
        </w:rPr>
        <w:t>adovaujančius veiksmus. Be to, šiame teismo sprendime jau ne kartą minėta, kad vien aplinkybė, kad operacijoje dalyvavo ir aukštesnio rango karininkai,</w:t>
      </w:r>
      <w:r w:rsidRPr="00C00255">
        <w:rPr>
          <w:szCs w:val="24"/>
          <w:lang w:eastAsia="lt-LT"/>
        </w:rPr>
        <w:t xml:space="preserve"> neeliminuoja nustatyto faktinio konkretaus nuteistojo vadovaujamo vaidmens toje pačioje operacijoje. Teisėjų kolegija pažymi, kad </w:t>
      </w:r>
      <w:r>
        <w:rPr>
          <w:szCs w:val="24"/>
          <w:lang w:eastAsia="lt-LT"/>
        </w:rPr>
        <w:t>A. L.</w:t>
      </w:r>
      <w:r w:rsidRPr="00C00255">
        <w:rPr>
          <w:szCs w:val="24"/>
          <w:lang w:eastAsia="lt-LT"/>
        </w:rPr>
        <w:t xml:space="preserve"> buvo 4-osios kuopos būrio vadu – įvykių metu apskritai antru pagal rangą šios kuopos kariškiu, todėl, akivaizdu, jog jis turėjo įgalinimus ir galimybę vadovauti jam pavaldiems šios kuopos kariškiams. Be to, skundžiamame nuosprendyje nurodyta, kad </w:t>
      </w:r>
      <w:r>
        <w:rPr>
          <w:szCs w:val="24"/>
          <w:lang w:eastAsia="lt-LT"/>
        </w:rPr>
        <w:t>A. L.</w:t>
      </w:r>
      <w:r w:rsidRPr="00C00255">
        <w:rPr>
          <w:szCs w:val="24"/>
          <w:lang w:eastAsia="lt-LT"/>
        </w:rPr>
        <w:t xml:space="preserve"> </w:t>
      </w:r>
      <w:r w:rsidRPr="00C00255">
        <w:rPr>
          <w:rFonts w:eastAsia="Calibri"/>
          <w:szCs w:val="24"/>
        </w:rPr>
        <w:t xml:space="preserve">TSRS GM </w:t>
      </w:r>
      <w:r w:rsidRPr="00C00255">
        <w:rPr>
          <w:szCs w:val="24"/>
        </w:rPr>
        <w:t xml:space="preserve">76-osios oro desanto divizijos 234-ojo pulko 2-ojo bataliono 4-osios ir 5-osios kuopos ir savaeigės artilerijos diviziono 3-iosios savaeigės artilerijos baterijos kariškiams vadovavo ne vienas, bet su kitais kariškiais, t. y. su nuteistuoju 5-osios kuopos vado pavaduotoju vyr. leitenantu </w:t>
      </w:r>
      <w:r>
        <w:rPr>
          <w:szCs w:val="24"/>
        </w:rPr>
        <w:t>A. Z.</w:t>
      </w:r>
      <w:r w:rsidRPr="00C00255">
        <w:rPr>
          <w:szCs w:val="24"/>
        </w:rPr>
        <w:t xml:space="preserve"> ir kitais kariškiais (</w:t>
      </w:r>
      <w:r w:rsidRPr="00C00255">
        <w:rPr>
          <w:rFonts w:eastAsia="Calibri"/>
        </w:rPr>
        <w:t>nuosprendžio 215 l., t. 770, b. l. 15</w:t>
      </w:r>
      <w:r w:rsidRPr="00C00255">
        <w:rPr>
          <w:rFonts w:eastAsia="Calibri"/>
          <w:szCs w:val="24"/>
        </w:rPr>
        <w:t>)</w:t>
      </w:r>
      <w:r w:rsidRPr="00C00255">
        <w:rPr>
          <w:color w:val="000000"/>
          <w:szCs w:val="24"/>
          <w:lang w:eastAsia="lt-LT" w:bidi="lt-LT"/>
        </w:rPr>
        <w:t xml:space="preserve">. Kitaip tariant, konkretiems minėto bataliono kariškių daliniams vadovavo juose aukštas pareigas užėmę kariškiai, tarp jų ir </w:t>
      </w:r>
      <w:r>
        <w:rPr>
          <w:color w:val="000000"/>
          <w:szCs w:val="24"/>
          <w:lang w:eastAsia="lt-LT" w:bidi="lt-LT"/>
        </w:rPr>
        <w:t>A. L.</w:t>
      </w:r>
      <w:r w:rsidRPr="00C00255">
        <w:rPr>
          <w:color w:val="000000"/>
          <w:szCs w:val="24"/>
          <w:lang w:eastAsia="lt-LT" w:bidi="lt-LT"/>
        </w:rPr>
        <w:t xml:space="preserve">, įvykio vietoje turėjęs sau pavaldžių kariškių. </w:t>
      </w:r>
    </w:p>
    <w:p w:rsidR="00DA38E9" w:rsidRPr="00C00255" w:rsidRDefault="00DA38E9" w:rsidP="00DA38E9">
      <w:pPr>
        <w:pStyle w:val="ListParagraph"/>
        <w:numPr>
          <w:ilvl w:val="0"/>
          <w:numId w:val="6"/>
        </w:numPr>
        <w:spacing w:before="120" w:after="120"/>
        <w:ind w:left="992" w:hanging="992"/>
        <w:contextualSpacing w:val="0"/>
      </w:pPr>
      <w:r w:rsidRPr="00C00255">
        <w:rPr>
          <w:szCs w:val="24"/>
          <w:lang w:eastAsia="lt-LT" w:bidi="lt-LT"/>
        </w:rPr>
        <w:t xml:space="preserve">Nuteistojo </w:t>
      </w:r>
      <w:r>
        <w:rPr>
          <w:szCs w:val="24"/>
          <w:lang w:eastAsia="lt-LT" w:bidi="lt-LT"/>
        </w:rPr>
        <w:t>A. L.</w:t>
      </w:r>
      <w:r w:rsidRPr="00C00255">
        <w:rPr>
          <w:szCs w:val="24"/>
          <w:lang w:eastAsia="lt-LT" w:bidi="lt-LT"/>
        </w:rPr>
        <w:t xml:space="preserve"> gynėjų skunde nurodoma ir tai, kad nuo jų ginamojo veiksmų prie TV bokšto niekas nenukentėjo. Anot gynėjų, byloje nėra duomenų, kad jų ginamasis prie TV bokšto šaudė ar kitaip žalojo civilius arba davė įsakymus atlikti tokius veiksmus pavaldiems kareiviams. Tokių argumentų kontekste teisėjų kolegija, kaip atsakydama ir į kitų gynėjų panašius argumentus, pažymi, kad užimant TV bokštą ir stumiant nuo jo civilius visi kariškiai veikė koordinuotai, bendrai ir siekdami to paties tikslo, o nuteistasis atliko vadovaujamo pobūdžio veiksmus daliai bendroje operacijoje dalyvavusių kariškių, kurie vykdė jiems paskirtą užduotį. B</w:t>
      </w:r>
      <w:r w:rsidRPr="00C00255">
        <w:t xml:space="preserve">yloje nustatyti </w:t>
      </w:r>
      <w:r>
        <w:t>A. L.</w:t>
      </w:r>
      <w:r w:rsidRPr="00C00255">
        <w:t xml:space="preserve"> vadovaujantys veiksmai visumoje su kitų kariškių veiksmais lėmė itin pavojingus padarinius (civilių nužudymus ir sužalojimus).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Nuteistojo </w:t>
      </w:r>
      <w:r>
        <w:rPr>
          <w:szCs w:val="24"/>
          <w:lang w:eastAsia="lt-LT"/>
        </w:rPr>
        <w:t>A. L.</w:t>
      </w:r>
      <w:r w:rsidRPr="00C00255">
        <w:rPr>
          <w:szCs w:val="24"/>
          <w:lang w:eastAsia="lt-LT"/>
        </w:rPr>
        <w:t xml:space="preserve"> gynėjai teigia, kad skundžiamo nuosprendžio 215 ir 216</w:t>
      </w:r>
      <w:r w:rsidRPr="00C00255">
        <w:rPr>
          <w:color w:val="000000"/>
          <w:szCs w:val="24"/>
          <w:lang w:eastAsia="lt-LT" w:bidi="lt-LT"/>
        </w:rPr>
        <w:t xml:space="preserve"> </w:t>
      </w:r>
      <w:r w:rsidRPr="00C00255">
        <w:rPr>
          <w:szCs w:val="24"/>
          <w:lang w:eastAsia="lt-LT"/>
        </w:rPr>
        <w:t xml:space="preserve">lapuose aprašant TV bokšto užėmimo aplinkybes, be kita ko, du kartus skirtingai nurodytos </w:t>
      </w:r>
      <w:r>
        <w:rPr>
          <w:szCs w:val="24"/>
          <w:lang w:eastAsia="lt-LT"/>
        </w:rPr>
        <w:t>A. L.</w:t>
      </w:r>
      <w:r w:rsidRPr="00C00255">
        <w:rPr>
          <w:szCs w:val="24"/>
          <w:lang w:eastAsia="lt-LT"/>
        </w:rPr>
        <w:t xml:space="preserve"> vadovavimo prie TV bokšto aplinkybės (</w:t>
      </w:r>
      <w:r w:rsidRPr="00C00255">
        <w:rPr>
          <w:rFonts w:eastAsia="Calibri"/>
        </w:rPr>
        <w:t>t. 770, b. l. 15–16)</w:t>
      </w:r>
      <w:r w:rsidRPr="00C00255">
        <w:rPr>
          <w:szCs w:val="24"/>
          <w:lang w:eastAsia="lt-LT"/>
        </w:rPr>
        <w:t>. Tokių skundo argumentų kontekste teisėjų kolegija pažymi, kad nuosprendžio 215 lape, pirmiausia išvardijamos visos TV bokštą šturmavusios karinės pajėgos ir joms iškelti tikslai, o toliau nurodomi šių pajėgų dalinių faktiškai atlikti veiksmai šturmuojant TV bokštą. Teisėjų kolegija sutinka, kad toks nusikalstamų veiksmų aprašymas nėra vienintelis ir/ar tinkamiausias būdas nurodyti nusikalstamų veiksmų padarymo aplinkybes. Teismas taip aprašydamas įrodytais pripažintus nusikalstamus veiksmus rėmėsi byloje pareikštu kaltinimu, pagal kurį, be kita ko, pirmą kartą išvardijant karines pajėgas ir nurodant joms iškeltus tikslus buvo parašytas ir žodis „turėjo“:</w:t>
      </w:r>
    </w:p>
    <w:p w:rsidR="00DA38E9" w:rsidRPr="00C00255" w:rsidRDefault="00DA38E9" w:rsidP="00DA38E9">
      <w:pPr>
        <w:ind w:left="1276" w:firstLine="425"/>
        <w:rPr>
          <w:rFonts w:eastAsia="Calibri"/>
          <w:sz w:val="20"/>
          <w:szCs w:val="20"/>
        </w:rPr>
      </w:pPr>
      <w:r w:rsidRPr="00C00255">
        <w:rPr>
          <w:sz w:val="20"/>
          <w:szCs w:val="20"/>
        </w:rPr>
        <w:t>„</w:t>
      </w:r>
      <w:r w:rsidRPr="00C00255">
        <w:rPr>
          <w:rFonts w:eastAsia="Calibri"/>
          <w:sz w:val="20"/>
          <w:szCs w:val="20"/>
        </w:rPr>
        <w:t xml:space="preserve">Tęsiant 107-osios motorizuotų šaulių divizijos 77-ojo motorizuotų šaulių pulko ir 106-ojo tankų pulko pradėtą tarptautinės humanitarinės teisės draudžiamą karo ataką kariškiai iš 234-ojo pulko 2-ojo bataliono 4-osios ir 5-osios kuopų, 3-iojo bataliono 8-osios ir 9-osios kuopų bei 3-iojo savaeigės artilerijos diviziono 3-iosios savaeigės artilerijos baterijos, priklausantys 76-osios oro desanto divizijos jungtiniam kariniam vienetui, </w:t>
      </w:r>
      <w:r w:rsidRPr="00C00255">
        <w:rPr>
          <w:rFonts w:eastAsia="Calibri"/>
          <w:i/>
          <w:iCs/>
          <w:sz w:val="20"/>
          <w:szCs w:val="20"/>
        </w:rPr>
        <w:t xml:space="preserve">turėjo </w:t>
      </w:r>
      <w:r w:rsidRPr="00C00255">
        <w:rPr>
          <w:rFonts w:eastAsia="Calibri"/>
          <w:sz w:val="20"/>
          <w:szCs w:val="20"/>
        </w:rPr>
        <w:t>pasidalinti į dvi dalis: aštuoniasdešimt penki (85) kariškiai iš 234-ojo pulko 2-ojo bataliono 4-osios ir 5-osios kuopų bei 3-iojo savaeigės artilerijos diviziono 3-iosios savaeigės baterijos, vadovaujami V.</w:t>
      </w:r>
      <w:r>
        <w:rPr>
          <w:rFonts w:eastAsia="Calibri"/>
          <w:sz w:val="20"/>
          <w:szCs w:val="20"/>
        </w:rPr>
        <w:t> </w:t>
      </w:r>
      <w:r w:rsidRPr="00C00255">
        <w:rPr>
          <w:rFonts w:eastAsia="Calibri"/>
          <w:sz w:val="20"/>
          <w:szCs w:val="20"/>
        </w:rPr>
        <w:t>V</w:t>
      </w:r>
      <w:r>
        <w:rPr>
          <w:rFonts w:eastAsia="Calibri"/>
          <w:sz w:val="20"/>
          <w:szCs w:val="20"/>
        </w:rPr>
        <w:t>.</w:t>
      </w:r>
      <w:r w:rsidRPr="00C00255">
        <w:rPr>
          <w:rFonts w:eastAsia="Calibri"/>
          <w:sz w:val="20"/>
          <w:szCs w:val="20"/>
        </w:rPr>
        <w:t>, A.</w:t>
      </w:r>
      <w:r>
        <w:rPr>
          <w:rFonts w:eastAsia="Calibri"/>
          <w:sz w:val="20"/>
          <w:szCs w:val="20"/>
        </w:rPr>
        <w:t> </w:t>
      </w:r>
      <w:r w:rsidRPr="00C00255">
        <w:rPr>
          <w:rFonts w:eastAsia="Calibri"/>
          <w:sz w:val="20"/>
          <w:szCs w:val="20"/>
        </w:rPr>
        <w:t>S</w:t>
      </w:r>
      <w:r>
        <w:rPr>
          <w:rFonts w:eastAsia="Calibri"/>
          <w:sz w:val="20"/>
          <w:szCs w:val="20"/>
        </w:rPr>
        <w:t>.</w:t>
      </w:r>
      <w:r w:rsidRPr="00C00255">
        <w:rPr>
          <w:rFonts w:eastAsia="Calibri"/>
          <w:sz w:val="20"/>
          <w:szCs w:val="20"/>
        </w:rPr>
        <w:t>, S.</w:t>
      </w:r>
      <w:r>
        <w:rPr>
          <w:rFonts w:eastAsia="Calibri"/>
          <w:sz w:val="20"/>
          <w:szCs w:val="20"/>
        </w:rPr>
        <w:t> </w:t>
      </w:r>
      <w:r w:rsidRPr="00C00255">
        <w:rPr>
          <w:rFonts w:eastAsia="Calibri"/>
          <w:sz w:val="20"/>
          <w:szCs w:val="20"/>
        </w:rPr>
        <w:t>P</w:t>
      </w:r>
      <w:r>
        <w:rPr>
          <w:rFonts w:eastAsia="Calibri"/>
          <w:sz w:val="20"/>
          <w:szCs w:val="20"/>
        </w:rPr>
        <w:t>.</w:t>
      </w:r>
      <w:r w:rsidRPr="00C00255">
        <w:rPr>
          <w:rFonts w:eastAsia="Calibri"/>
          <w:sz w:val="20"/>
          <w:szCs w:val="20"/>
        </w:rPr>
        <w:t>, A.</w:t>
      </w:r>
      <w:r>
        <w:rPr>
          <w:rFonts w:eastAsia="Calibri"/>
          <w:sz w:val="20"/>
          <w:szCs w:val="20"/>
        </w:rPr>
        <w:t> </w:t>
      </w:r>
      <w:r w:rsidRPr="00C00255">
        <w:rPr>
          <w:rFonts w:eastAsia="Calibri"/>
          <w:sz w:val="20"/>
          <w:szCs w:val="20"/>
        </w:rPr>
        <w:t>Z</w:t>
      </w:r>
      <w:r>
        <w:rPr>
          <w:rFonts w:eastAsia="Calibri"/>
          <w:sz w:val="20"/>
          <w:szCs w:val="20"/>
        </w:rPr>
        <w:t>.</w:t>
      </w:r>
      <w:r w:rsidRPr="00C00255">
        <w:rPr>
          <w:rFonts w:eastAsia="Calibri"/>
          <w:sz w:val="20"/>
          <w:szCs w:val="20"/>
        </w:rPr>
        <w:t xml:space="preserve">, </w:t>
      </w:r>
      <w:r>
        <w:rPr>
          <w:rFonts w:eastAsia="Calibri"/>
          <w:sz w:val="20"/>
          <w:szCs w:val="20"/>
        </w:rPr>
        <w:t>A. Z.</w:t>
      </w:r>
      <w:r w:rsidRPr="00C00255">
        <w:rPr>
          <w:rFonts w:eastAsia="Calibri"/>
          <w:sz w:val="20"/>
          <w:szCs w:val="20"/>
        </w:rPr>
        <w:t>, A. P</w:t>
      </w:r>
      <w:r>
        <w:rPr>
          <w:rFonts w:eastAsia="Calibri"/>
          <w:sz w:val="20"/>
          <w:szCs w:val="20"/>
        </w:rPr>
        <w:t>.</w:t>
      </w:r>
      <w:r w:rsidRPr="00C00255">
        <w:rPr>
          <w:rFonts w:eastAsia="Calibri"/>
          <w:sz w:val="20"/>
          <w:szCs w:val="20"/>
        </w:rPr>
        <w:t>, V.</w:t>
      </w:r>
      <w:r>
        <w:rPr>
          <w:rFonts w:eastAsia="Calibri"/>
          <w:sz w:val="20"/>
          <w:szCs w:val="20"/>
        </w:rPr>
        <w:t> </w:t>
      </w:r>
      <w:r w:rsidRPr="00C00255">
        <w:rPr>
          <w:rFonts w:eastAsia="Calibri"/>
          <w:sz w:val="20"/>
          <w:szCs w:val="20"/>
        </w:rPr>
        <w:t>G</w:t>
      </w:r>
      <w:r>
        <w:rPr>
          <w:rFonts w:eastAsia="Calibri"/>
          <w:sz w:val="20"/>
          <w:szCs w:val="20"/>
        </w:rPr>
        <w:t>.</w:t>
      </w:r>
      <w:r w:rsidRPr="00C00255">
        <w:rPr>
          <w:rFonts w:eastAsia="Calibri"/>
          <w:sz w:val="20"/>
          <w:szCs w:val="20"/>
        </w:rPr>
        <w:t xml:space="preserve"> </w:t>
      </w:r>
      <w:r>
        <w:rPr>
          <w:rFonts w:eastAsia="Calibri"/>
          <w:sz w:val="20"/>
          <w:szCs w:val="20"/>
        </w:rPr>
        <w:t>A. L.</w:t>
      </w:r>
      <w:r w:rsidRPr="00C00255">
        <w:rPr>
          <w:rFonts w:eastAsia="Calibri"/>
          <w:i/>
          <w:sz w:val="20"/>
          <w:szCs w:val="20"/>
        </w:rPr>
        <w:t xml:space="preserve"> </w:t>
      </w:r>
      <w:r w:rsidRPr="00C00255">
        <w:rPr>
          <w:rFonts w:eastAsia="Calibri"/>
          <w:i/>
          <w:iCs/>
          <w:sz w:val="20"/>
          <w:szCs w:val="20"/>
        </w:rPr>
        <w:t>turėjo</w:t>
      </w:r>
      <w:r w:rsidRPr="00C00255">
        <w:rPr>
          <w:rFonts w:eastAsia="Calibri"/>
          <w:sz w:val="20"/>
          <w:szCs w:val="20"/>
        </w:rPr>
        <w:t xml:space="preserve"> iš pietinės pusės prasibrauti iki puolamo objekto ir kartu su TV bokšto teritorijoje pavojingai manevruojančia karine technika pašalinti civilius.</w:t>
      </w:r>
    </w:p>
    <w:p w:rsidR="00DA38E9" w:rsidRPr="00C00255" w:rsidRDefault="00DA38E9" w:rsidP="00DA38E9">
      <w:pPr>
        <w:ind w:left="1276" w:firstLine="425"/>
        <w:rPr>
          <w:rFonts w:eastAsia="Calibri"/>
          <w:sz w:val="20"/>
          <w:szCs w:val="20"/>
        </w:rPr>
      </w:pPr>
      <w:r w:rsidRPr="00C00255">
        <w:rPr>
          <w:rFonts w:eastAsia="Calibri"/>
          <w:sz w:val="20"/>
          <w:szCs w:val="20"/>
        </w:rPr>
        <w:t>Kita dalis – aštuoniasdešimt (80) kariškių iš 234-ojo pulko 3-iojo bataliono 8-osios ir 9-osios kuopų, vadovaujamų</w:t>
      </w:r>
      <w:r w:rsidRPr="00C00255">
        <w:rPr>
          <w:rFonts w:eastAsia="Calibri"/>
          <w:i/>
          <w:sz w:val="20"/>
          <w:szCs w:val="20"/>
        </w:rPr>
        <w:t xml:space="preserve"> </w:t>
      </w:r>
      <w:r>
        <w:rPr>
          <w:rFonts w:eastAsia="Calibri"/>
          <w:sz w:val="20"/>
          <w:szCs w:val="20"/>
        </w:rPr>
        <w:t>D. P.</w:t>
      </w:r>
      <w:r w:rsidRPr="00C00255">
        <w:rPr>
          <w:rFonts w:eastAsia="Calibri"/>
          <w:sz w:val="20"/>
          <w:szCs w:val="20"/>
        </w:rPr>
        <w:t xml:space="preserve">, </w:t>
      </w:r>
      <w:r>
        <w:rPr>
          <w:rFonts w:eastAsia="Calibri"/>
          <w:sz w:val="20"/>
          <w:szCs w:val="20"/>
        </w:rPr>
        <w:t>V. D.</w:t>
      </w:r>
      <w:r w:rsidRPr="00C00255">
        <w:rPr>
          <w:rFonts w:eastAsia="Calibri"/>
          <w:sz w:val="20"/>
          <w:szCs w:val="20"/>
        </w:rPr>
        <w:t xml:space="preserve">, </w:t>
      </w:r>
      <w:r>
        <w:rPr>
          <w:rFonts w:eastAsia="Calibri"/>
          <w:sz w:val="20"/>
          <w:szCs w:val="20"/>
        </w:rPr>
        <w:t>S. K.</w:t>
      </w:r>
      <w:r w:rsidRPr="00C00255">
        <w:rPr>
          <w:rFonts w:eastAsia="Calibri"/>
          <w:sz w:val="20"/>
          <w:szCs w:val="20"/>
        </w:rPr>
        <w:t>, V. V</w:t>
      </w:r>
      <w:r>
        <w:rPr>
          <w:rFonts w:eastAsia="Calibri"/>
          <w:sz w:val="20"/>
          <w:szCs w:val="20"/>
        </w:rPr>
        <w:t>.</w:t>
      </w:r>
      <w:r w:rsidRPr="00C00255">
        <w:rPr>
          <w:rFonts w:eastAsia="Calibri"/>
          <w:sz w:val="20"/>
          <w:szCs w:val="20"/>
        </w:rPr>
        <w:t>, A.</w:t>
      </w:r>
      <w:r>
        <w:rPr>
          <w:rFonts w:eastAsia="Calibri"/>
          <w:sz w:val="20"/>
          <w:szCs w:val="20"/>
        </w:rPr>
        <w:t> G.</w:t>
      </w:r>
      <w:r w:rsidRPr="00C00255">
        <w:rPr>
          <w:rFonts w:eastAsia="Calibri"/>
          <w:sz w:val="20"/>
          <w:szCs w:val="20"/>
        </w:rPr>
        <w:t xml:space="preserve">, </w:t>
      </w:r>
      <w:r w:rsidRPr="00EC7D26">
        <w:rPr>
          <w:rFonts w:eastAsia="Calibri"/>
          <w:sz w:val="20"/>
          <w:szCs w:val="20"/>
        </w:rPr>
        <w:t>V. K. 2</w:t>
      </w:r>
      <w:r w:rsidRPr="00C00255">
        <w:rPr>
          <w:rFonts w:eastAsia="Calibri"/>
          <w:sz w:val="20"/>
          <w:szCs w:val="20"/>
        </w:rPr>
        <w:t>, V. Ž</w:t>
      </w:r>
      <w:r>
        <w:rPr>
          <w:rFonts w:eastAsia="Calibri"/>
          <w:sz w:val="20"/>
          <w:szCs w:val="20"/>
        </w:rPr>
        <w:t>.</w:t>
      </w:r>
      <w:r w:rsidRPr="00C00255">
        <w:rPr>
          <w:rFonts w:eastAsia="Calibri"/>
          <w:sz w:val="20"/>
          <w:szCs w:val="20"/>
        </w:rPr>
        <w:t xml:space="preserve">, </w:t>
      </w:r>
      <w:r>
        <w:rPr>
          <w:rFonts w:eastAsia="Calibri"/>
          <w:sz w:val="20"/>
          <w:szCs w:val="20"/>
        </w:rPr>
        <w:t>E. M.</w:t>
      </w:r>
      <w:r w:rsidRPr="00C00255">
        <w:rPr>
          <w:rFonts w:eastAsia="Calibri"/>
          <w:sz w:val="20"/>
          <w:szCs w:val="20"/>
        </w:rPr>
        <w:t xml:space="preserve"> </w:t>
      </w:r>
      <w:r w:rsidRPr="00C00255">
        <w:rPr>
          <w:rFonts w:eastAsia="Calibri"/>
          <w:i/>
          <w:iCs/>
          <w:sz w:val="20"/>
          <w:szCs w:val="20"/>
        </w:rPr>
        <w:t>turėjo</w:t>
      </w:r>
      <w:r w:rsidRPr="00C00255">
        <w:rPr>
          <w:rFonts w:eastAsia="Calibri"/>
          <w:sz w:val="20"/>
          <w:szCs w:val="20"/>
        </w:rPr>
        <w:t xml:space="preserve"> iš šiaurinės pusės prasibrauti iki puolamo objekto ir kartu su TV bokšto teritorijoje pavojingai manevruojančia karine technika pašalinti civilius. Iš jų apie septyniolika (17) 8-osios kuopos kariškių, vadovaujamų </w:t>
      </w:r>
      <w:r>
        <w:rPr>
          <w:rFonts w:eastAsia="Calibri"/>
          <w:sz w:val="20"/>
          <w:szCs w:val="20"/>
        </w:rPr>
        <w:t>E. M.</w:t>
      </w:r>
      <w:r w:rsidRPr="00C00255">
        <w:rPr>
          <w:rFonts w:eastAsia="Calibri"/>
          <w:sz w:val="20"/>
          <w:szCs w:val="20"/>
        </w:rPr>
        <w:t xml:space="preserve">, turėjo užimti puolamo objekto pirmą aukštą ir pašalinti civilius, o apie dešimt (10) kariškių iš 9-osios kuopos ir minėtos baterijos, vadovaujami </w:t>
      </w:r>
      <w:r w:rsidRPr="00EC7D26">
        <w:rPr>
          <w:rFonts w:eastAsia="Calibri"/>
          <w:sz w:val="20"/>
          <w:szCs w:val="20"/>
        </w:rPr>
        <w:t>V. K. 2</w:t>
      </w:r>
      <w:r w:rsidRPr="00C00255">
        <w:rPr>
          <w:rFonts w:eastAsia="Calibri"/>
          <w:sz w:val="20"/>
          <w:szCs w:val="20"/>
        </w:rPr>
        <w:t>, turėjo atjungti 20 aukšte buvusią gaisro gesinimo aparatūrą.</w:t>
      </w:r>
    </w:p>
    <w:p w:rsidR="00DA38E9" w:rsidRPr="00C00255" w:rsidRDefault="00DA38E9" w:rsidP="00DA38E9">
      <w:pPr>
        <w:ind w:left="1276" w:firstLine="425"/>
        <w:rPr>
          <w:rFonts w:eastAsia="Calibri"/>
          <w:sz w:val="20"/>
          <w:szCs w:val="20"/>
        </w:rPr>
      </w:pPr>
      <w:r>
        <w:rPr>
          <w:rFonts w:eastAsia="Calibri"/>
          <w:sz w:val="20"/>
          <w:szCs w:val="20"/>
        </w:rPr>
        <w:t>I. K.</w:t>
      </w:r>
      <w:r w:rsidRPr="00C00255">
        <w:rPr>
          <w:rFonts w:eastAsia="Calibri"/>
          <w:sz w:val="20"/>
          <w:szCs w:val="20"/>
        </w:rPr>
        <w:t>, B.</w:t>
      </w:r>
      <w:r>
        <w:rPr>
          <w:rFonts w:eastAsia="Calibri"/>
          <w:sz w:val="20"/>
          <w:szCs w:val="20"/>
        </w:rPr>
        <w:t> </w:t>
      </w:r>
      <w:r w:rsidRPr="00C00255">
        <w:rPr>
          <w:rFonts w:eastAsia="Calibri"/>
          <w:sz w:val="20"/>
          <w:szCs w:val="20"/>
        </w:rPr>
        <w:t>M</w:t>
      </w:r>
      <w:r>
        <w:rPr>
          <w:rFonts w:eastAsia="Calibri"/>
          <w:sz w:val="20"/>
          <w:szCs w:val="20"/>
        </w:rPr>
        <w:t>.</w:t>
      </w:r>
      <w:r w:rsidRPr="00C00255">
        <w:rPr>
          <w:rFonts w:eastAsia="Calibri"/>
          <w:sz w:val="20"/>
          <w:szCs w:val="20"/>
        </w:rPr>
        <w:t xml:space="preserve"> ir </w:t>
      </w:r>
      <w:r>
        <w:rPr>
          <w:rFonts w:eastAsia="Calibri"/>
          <w:sz w:val="20"/>
          <w:szCs w:val="20"/>
        </w:rPr>
        <w:t>V. S. 2</w:t>
      </w:r>
      <w:r w:rsidRPr="00C00255">
        <w:rPr>
          <w:rFonts w:eastAsia="Calibri"/>
          <w:sz w:val="20"/>
          <w:szCs w:val="20"/>
        </w:rPr>
        <w:t xml:space="preserve"> </w:t>
      </w:r>
      <w:r w:rsidRPr="00C00255">
        <w:rPr>
          <w:rFonts w:eastAsia="Calibri"/>
          <w:i/>
          <w:iCs/>
          <w:sz w:val="20"/>
          <w:szCs w:val="20"/>
        </w:rPr>
        <w:t>turėjo</w:t>
      </w:r>
      <w:r w:rsidRPr="00C00255">
        <w:rPr>
          <w:rFonts w:eastAsia="Calibri"/>
          <w:sz w:val="20"/>
          <w:szCs w:val="20"/>
        </w:rPr>
        <w:t xml:space="preserve"> atvykti prie TV bokšto šiaurinės dalies vadovavimo štabo mašina BMD KŠM, kurios borto numeris 600, kur ryšio priemonėmis įgyvendinti jiems pavestas vadovavimo operacijai funkcijas. Ryšių priemonių ir patikimo ryšio veikimą operacijos metu turėjo užtikrinti 5 kariškiai iš 234-ojo pulko ryšių kuopos, vadovaujami A.</w:t>
      </w:r>
      <w:r>
        <w:rPr>
          <w:rFonts w:eastAsia="Calibri"/>
          <w:sz w:val="20"/>
          <w:szCs w:val="20"/>
        </w:rPr>
        <w:t> </w:t>
      </w:r>
      <w:r w:rsidRPr="00C00255">
        <w:rPr>
          <w:rFonts w:eastAsia="Calibri"/>
          <w:sz w:val="20"/>
          <w:szCs w:val="20"/>
        </w:rPr>
        <w:t>L</w:t>
      </w:r>
      <w:r>
        <w:rPr>
          <w:rFonts w:eastAsia="Calibri"/>
          <w:sz w:val="20"/>
          <w:szCs w:val="20"/>
        </w:rPr>
        <w:t>.</w:t>
      </w:r>
      <w:r w:rsidRPr="00C00255">
        <w:rPr>
          <w:rFonts w:eastAsia="Calibri"/>
          <w:sz w:val="20"/>
          <w:szCs w:val="20"/>
        </w:rPr>
        <w:t>.</w:t>
      </w:r>
    </w:p>
    <w:p w:rsidR="00DA38E9" w:rsidRPr="00C00255" w:rsidRDefault="00DA38E9" w:rsidP="00DA38E9">
      <w:pPr>
        <w:ind w:left="1276" w:firstLine="425"/>
        <w:rPr>
          <w:rFonts w:eastAsia="Calibri"/>
          <w:sz w:val="20"/>
          <w:szCs w:val="20"/>
        </w:rPr>
      </w:pPr>
      <w:r w:rsidRPr="00C00255">
        <w:rPr>
          <w:rFonts w:eastAsia="Calibri"/>
          <w:sz w:val="20"/>
          <w:szCs w:val="20"/>
        </w:rPr>
        <w:t xml:space="preserve">Grupės „A“ kariškiams vadovavusio ir jų veiksmus koordinavusio </w:t>
      </w:r>
      <w:r>
        <w:rPr>
          <w:rFonts w:eastAsia="Calibri"/>
          <w:sz w:val="20"/>
          <w:szCs w:val="20"/>
        </w:rPr>
        <w:t>M. G.</w:t>
      </w:r>
      <w:r w:rsidRPr="00C00255">
        <w:rPr>
          <w:rFonts w:eastAsia="Calibri"/>
          <w:sz w:val="20"/>
          <w:szCs w:val="20"/>
        </w:rPr>
        <w:t xml:space="preserve"> paskirtas atsakingas asmuo M.</w:t>
      </w:r>
      <w:r>
        <w:rPr>
          <w:rFonts w:eastAsia="Calibri"/>
          <w:sz w:val="20"/>
          <w:szCs w:val="20"/>
        </w:rPr>
        <w:t> </w:t>
      </w:r>
      <w:r w:rsidRPr="00C00255">
        <w:rPr>
          <w:rFonts w:eastAsia="Calibri"/>
          <w:sz w:val="20"/>
          <w:szCs w:val="20"/>
        </w:rPr>
        <w:t>K</w:t>
      </w:r>
      <w:r>
        <w:rPr>
          <w:rFonts w:eastAsia="Calibri"/>
          <w:sz w:val="20"/>
          <w:szCs w:val="20"/>
        </w:rPr>
        <w:t>.</w:t>
      </w:r>
      <w:r w:rsidRPr="00C00255">
        <w:rPr>
          <w:rFonts w:eastAsia="Calibri"/>
          <w:sz w:val="20"/>
          <w:szCs w:val="20"/>
        </w:rPr>
        <w:t xml:space="preserve"> grupės „A“ kariškius padalino į keturias dalis. Penki (5) grupės „A“ kariškiai - A. S</w:t>
      </w:r>
      <w:r>
        <w:rPr>
          <w:rFonts w:eastAsia="Calibri"/>
          <w:sz w:val="20"/>
          <w:szCs w:val="20"/>
        </w:rPr>
        <w:t>.</w:t>
      </w:r>
      <w:r w:rsidRPr="00C00255">
        <w:rPr>
          <w:rFonts w:eastAsia="Calibri"/>
          <w:sz w:val="20"/>
          <w:szCs w:val="20"/>
        </w:rPr>
        <w:t>, V.</w:t>
      </w:r>
      <w:r>
        <w:rPr>
          <w:rFonts w:eastAsia="Calibri"/>
          <w:sz w:val="20"/>
          <w:szCs w:val="20"/>
        </w:rPr>
        <w:t> </w:t>
      </w:r>
      <w:r w:rsidRPr="00C00255">
        <w:rPr>
          <w:rFonts w:eastAsia="Calibri"/>
          <w:sz w:val="20"/>
          <w:szCs w:val="20"/>
        </w:rPr>
        <w:t>S</w:t>
      </w:r>
      <w:r>
        <w:rPr>
          <w:rFonts w:eastAsia="Calibri"/>
          <w:sz w:val="20"/>
          <w:szCs w:val="20"/>
        </w:rPr>
        <w:t>.</w:t>
      </w:r>
      <w:r w:rsidRPr="00C00255">
        <w:rPr>
          <w:rFonts w:eastAsia="Calibri"/>
          <w:sz w:val="20"/>
          <w:szCs w:val="20"/>
        </w:rPr>
        <w:t>, V.</w:t>
      </w:r>
      <w:r>
        <w:rPr>
          <w:rFonts w:eastAsia="Calibri"/>
          <w:sz w:val="20"/>
          <w:szCs w:val="20"/>
        </w:rPr>
        <w:t> </w:t>
      </w:r>
      <w:r w:rsidRPr="00C00255">
        <w:rPr>
          <w:rFonts w:eastAsia="Calibri"/>
          <w:sz w:val="20"/>
          <w:szCs w:val="20"/>
        </w:rPr>
        <w:t>K</w:t>
      </w:r>
      <w:r>
        <w:rPr>
          <w:rFonts w:eastAsia="Calibri"/>
          <w:sz w:val="20"/>
          <w:szCs w:val="20"/>
        </w:rPr>
        <w:t>.</w:t>
      </w:r>
      <w:r w:rsidRPr="00C00255">
        <w:rPr>
          <w:rFonts w:eastAsia="Calibri"/>
          <w:sz w:val="20"/>
          <w:szCs w:val="20"/>
        </w:rPr>
        <w:t>, V.</w:t>
      </w:r>
      <w:r>
        <w:rPr>
          <w:rFonts w:eastAsia="Calibri"/>
          <w:sz w:val="20"/>
          <w:szCs w:val="20"/>
        </w:rPr>
        <w:t> </w:t>
      </w:r>
      <w:r w:rsidRPr="00C00255">
        <w:rPr>
          <w:rFonts w:eastAsia="Calibri"/>
          <w:sz w:val="20"/>
          <w:szCs w:val="20"/>
        </w:rPr>
        <w:t>S</w:t>
      </w:r>
      <w:r>
        <w:rPr>
          <w:rFonts w:eastAsia="Calibri"/>
          <w:sz w:val="20"/>
          <w:szCs w:val="20"/>
        </w:rPr>
        <w:t>.</w:t>
      </w:r>
      <w:r w:rsidRPr="00C00255">
        <w:rPr>
          <w:rFonts w:eastAsia="Calibri"/>
          <w:sz w:val="20"/>
          <w:szCs w:val="20"/>
        </w:rPr>
        <w:t>, S.</w:t>
      </w:r>
      <w:r>
        <w:rPr>
          <w:rFonts w:eastAsia="Calibri"/>
          <w:sz w:val="20"/>
          <w:szCs w:val="20"/>
        </w:rPr>
        <w:t> </w:t>
      </w:r>
      <w:r w:rsidRPr="00C00255">
        <w:rPr>
          <w:rFonts w:eastAsia="Calibri"/>
          <w:sz w:val="20"/>
          <w:szCs w:val="20"/>
        </w:rPr>
        <w:t>P</w:t>
      </w:r>
      <w:r>
        <w:rPr>
          <w:rFonts w:eastAsia="Calibri"/>
          <w:sz w:val="20"/>
          <w:szCs w:val="20"/>
        </w:rPr>
        <w:t>.</w:t>
      </w:r>
      <w:r w:rsidRPr="00C00255">
        <w:rPr>
          <w:rFonts w:eastAsia="Calibri"/>
          <w:sz w:val="20"/>
          <w:szCs w:val="20"/>
        </w:rPr>
        <w:t>, vadovaujami A. M</w:t>
      </w:r>
      <w:r>
        <w:rPr>
          <w:rFonts w:eastAsia="Calibri"/>
          <w:sz w:val="20"/>
          <w:szCs w:val="20"/>
        </w:rPr>
        <w:t>.</w:t>
      </w:r>
      <w:r w:rsidRPr="00C00255">
        <w:rPr>
          <w:rFonts w:eastAsia="Calibri"/>
          <w:sz w:val="20"/>
          <w:szCs w:val="20"/>
        </w:rPr>
        <w:t xml:space="preserve">, </w:t>
      </w:r>
      <w:r w:rsidRPr="00C00255">
        <w:rPr>
          <w:rFonts w:eastAsia="Calibri"/>
          <w:i/>
          <w:iCs/>
          <w:sz w:val="20"/>
          <w:szCs w:val="20"/>
        </w:rPr>
        <w:t>turėjo</w:t>
      </w:r>
      <w:r w:rsidRPr="00C00255">
        <w:rPr>
          <w:rFonts w:eastAsia="Calibri"/>
          <w:sz w:val="20"/>
          <w:szCs w:val="20"/>
        </w:rPr>
        <w:t xml:space="preserve"> užimti TV bokšto rūsį ir pirmą aukštą. Keturi (4) grupės „A“ kariškiai - V. K</w:t>
      </w:r>
      <w:r>
        <w:rPr>
          <w:rFonts w:eastAsia="Calibri"/>
          <w:sz w:val="20"/>
          <w:szCs w:val="20"/>
        </w:rPr>
        <w:t>.</w:t>
      </w:r>
      <w:r w:rsidRPr="00C00255">
        <w:rPr>
          <w:rFonts w:eastAsia="Calibri"/>
          <w:sz w:val="20"/>
          <w:szCs w:val="20"/>
        </w:rPr>
        <w:t>, V.</w:t>
      </w:r>
      <w:r>
        <w:rPr>
          <w:rFonts w:eastAsia="Calibri"/>
          <w:sz w:val="20"/>
          <w:szCs w:val="20"/>
        </w:rPr>
        <w:t> </w:t>
      </w:r>
      <w:r w:rsidRPr="00C00255">
        <w:rPr>
          <w:rFonts w:eastAsia="Calibri"/>
          <w:sz w:val="20"/>
          <w:szCs w:val="20"/>
        </w:rPr>
        <w:t>Š</w:t>
      </w:r>
      <w:r>
        <w:rPr>
          <w:rFonts w:eastAsia="Calibri"/>
          <w:sz w:val="20"/>
          <w:szCs w:val="20"/>
        </w:rPr>
        <w:t>.</w:t>
      </w:r>
      <w:r w:rsidRPr="00C00255">
        <w:rPr>
          <w:rFonts w:eastAsia="Calibri"/>
          <w:sz w:val="20"/>
          <w:szCs w:val="20"/>
        </w:rPr>
        <w:t>, M. A</w:t>
      </w:r>
      <w:r>
        <w:rPr>
          <w:rFonts w:eastAsia="Calibri"/>
          <w:sz w:val="20"/>
          <w:szCs w:val="20"/>
        </w:rPr>
        <w:t>.</w:t>
      </w:r>
      <w:r w:rsidRPr="00C00255">
        <w:rPr>
          <w:rFonts w:eastAsia="Calibri"/>
          <w:sz w:val="20"/>
          <w:szCs w:val="20"/>
        </w:rPr>
        <w:t>, A.</w:t>
      </w:r>
      <w:r>
        <w:rPr>
          <w:rFonts w:eastAsia="Calibri"/>
          <w:sz w:val="20"/>
          <w:szCs w:val="20"/>
        </w:rPr>
        <w:t> </w:t>
      </w:r>
      <w:r w:rsidRPr="00C00255">
        <w:rPr>
          <w:rFonts w:eastAsia="Calibri"/>
          <w:sz w:val="20"/>
          <w:szCs w:val="20"/>
        </w:rPr>
        <w:t>M</w:t>
      </w:r>
      <w:r>
        <w:rPr>
          <w:rFonts w:eastAsia="Calibri"/>
          <w:sz w:val="20"/>
          <w:szCs w:val="20"/>
        </w:rPr>
        <w:t>.</w:t>
      </w:r>
      <w:r w:rsidRPr="00C00255">
        <w:rPr>
          <w:rFonts w:eastAsia="Calibri"/>
          <w:sz w:val="20"/>
          <w:szCs w:val="20"/>
        </w:rPr>
        <w:t>, vadovaujami A.</w:t>
      </w:r>
      <w:r>
        <w:rPr>
          <w:rFonts w:eastAsia="Calibri"/>
          <w:sz w:val="20"/>
          <w:szCs w:val="20"/>
        </w:rPr>
        <w:t> </w:t>
      </w:r>
      <w:r w:rsidRPr="00C00255">
        <w:rPr>
          <w:rFonts w:eastAsia="Calibri"/>
          <w:sz w:val="20"/>
          <w:szCs w:val="20"/>
        </w:rPr>
        <w:t>J</w:t>
      </w:r>
      <w:r>
        <w:rPr>
          <w:rFonts w:eastAsia="Calibri"/>
          <w:sz w:val="20"/>
          <w:szCs w:val="20"/>
        </w:rPr>
        <w:t>.</w:t>
      </w:r>
      <w:r w:rsidRPr="00C00255">
        <w:rPr>
          <w:rFonts w:eastAsia="Calibri"/>
          <w:sz w:val="20"/>
          <w:szCs w:val="20"/>
        </w:rPr>
        <w:t xml:space="preserve">, </w:t>
      </w:r>
      <w:r w:rsidRPr="00C00255">
        <w:rPr>
          <w:rFonts w:eastAsia="Calibri"/>
          <w:i/>
          <w:iCs/>
          <w:sz w:val="20"/>
          <w:szCs w:val="20"/>
        </w:rPr>
        <w:t>turėjo</w:t>
      </w:r>
      <w:r w:rsidRPr="00C00255">
        <w:rPr>
          <w:rFonts w:eastAsia="Calibri"/>
          <w:sz w:val="20"/>
          <w:szCs w:val="20"/>
        </w:rPr>
        <w:t xml:space="preserve"> užimti TV bokšto antrą aukštą ir atjungti ryšių aparatinę. Aštuoni (8) grupės „A“ kariškiai - M.</w:t>
      </w:r>
      <w:r>
        <w:rPr>
          <w:rFonts w:eastAsia="Calibri"/>
          <w:sz w:val="20"/>
          <w:szCs w:val="20"/>
        </w:rPr>
        <w:t> </w:t>
      </w:r>
      <w:r w:rsidRPr="00C00255">
        <w:rPr>
          <w:rFonts w:eastAsia="Calibri"/>
          <w:sz w:val="20"/>
          <w:szCs w:val="20"/>
        </w:rPr>
        <w:t>K</w:t>
      </w:r>
      <w:r>
        <w:rPr>
          <w:rFonts w:eastAsia="Calibri"/>
          <w:sz w:val="20"/>
          <w:szCs w:val="20"/>
        </w:rPr>
        <w:t>.</w:t>
      </w:r>
      <w:r w:rsidRPr="00C00255">
        <w:rPr>
          <w:rFonts w:eastAsia="Calibri"/>
          <w:sz w:val="20"/>
          <w:szCs w:val="20"/>
        </w:rPr>
        <w:t>, N. J</w:t>
      </w:r>
      <w:r>
        <w:rPr>
          <w:rFonts w:eastAsia="Calibri"/>
          <w:sz w:val="20"/>
          <w:szCs w:val="20"/>
        </w:rPr>
        <w:t>.</w:t>
      </w:r>
      <w:r w:rsidRPr="00C00255">
        <w:rPr>
          <w:rFonts w:eastAsia="Calibri"/>
          <w:sz w:val="20"/>
          <w:szCs w:val="20"/>
        </w:rPr>
        <w:t>, V.</w:t>
      </w:r>
      <w:r>
        <w:rPr>
          <w:rFonts w:eastAsia="Calibri"/>
          <w:sz w:val="20"/>
          <w:szCs w:val="20"/>
        </w:rPr>
        <w:t> D.</w:t>
      </w:r>
      <w:r w:rsidRPr="00C00255">
        <w:rPr>
          <w:rFonts w:eastAsia="Calibri"/>
          <w:sz w:val="20"/>
          <w:szCs w:val="20"/>
        </w:rPr>
        <w:t>, A.</w:t>
      </w:r>
      <w:r>
        <w:rPr>
          <w:rFonts w:eastAsia="Calibri"/>
          <w:sz w:val="20"/>
          <w:szCs w:val="20"/>
        </w:rPr>
        <w:t> </w:t>
      </w:r>
      <w:r w:rsidRPr="00C00255">
        <w:rPr>
          <w:rFonts w:eastAsia="Calibri"/>
          <w:sz w:val="20"/>
          <w:szCs w:val="20"/>
        </w:rPr>
        <w:t>R</w:t>
      </w:r>
      <w:r>
        <w:rPr>
          <w:rFonts w:eastAsia="Calibri"/>
          <w:sz w:val="20"/>
          <w:szCs w:val="20"/>
        </w:rPr>
        <w:t>.</w:t>
      </w:r>
      <w:r w:rsidRPr="00C00255">
        <w:rPr>
          <w:rFonts w:eastAsia="Calibri"/>
          <w:sz w:val="20"/>
          <w:szCs w:val="20"/>
        </w:rPr>
        <w:t>, V. K</w:t>
      </w:r>
      <w:r>
        <w:rPr>
          <w:rFonts w:eastAsia="Calibri"/>
          <w:sz w:val="20"/>
          <w:szCs w:val="20"/>
        </w:rPr>
        <w:t>.</w:t>
      </w:r>
      <w:r w:rsidRPr="00C00255">
        <w:rPr>
          <w:rFonts w:eastAsia="Calibri"/>
          <w:sz w:val="20"/>
          <w:szCs w:val="20"/>
        </w:rPr>
        <w:t>, M.</w:t>
      </w:r>
      <w:r>
        <w:rPr>
          <w:rFonts w:eastAsia="Calibri"/>
          <w:sz w:val="20"/>
          <w:szCs w:val="20"/>
        </w:rPr>
        <w:t> </w:t>
      </w:r>
      <w:r w:rsidRPr="00C00255">
        <w:rPr>
          <w:rFonts w:eastAsia="Calibri"/>
          <w:sz w:val="20"/>
          <w:szCs w:val="20"/>
        </w:rPr>
        <w:t>A</w:t>
      </w:r>
      <w:r>
        <w:rPr>
          <w:rFonts w:eastAsia="Calibri"/>
          <w:sz w:val="20"/>
          <w:szCs w:val="20"/>
        </w:rPr>
        <w:t>.</w:t>
      </w:r>
      <w:r w:rsidRPr="00C00255">
        <w:rPr>
          <w:rFonts w:eastAsia="Calibri"/>
          <w:sz w:val="20"/>
          <w:szCs w:val="20"/>
        </w:rPr>
        <w:t>, V.</w:t>
      </w:r>
      <w:r>
        <w:rPr>
          <w:rFonts w:eastAsia="Calibri"/>
          <w:sz w:val="20"/>
          <w:szCs w:val="20"/>
        </w:rPr>
        <w:t> </w:t>
      </w:r>
      <w:r w:rsidRPr="00C00255">
        <w:rPr>
          <w:rFonts w:eastAsia="Calibri"/>
          <w:sz w:val="20"/>
          <w:szCs w:val="20"/>
        </w:rPr>
        <w:t>K</w:t>
      </w:r>
      <w:r>
        <w:rPr>
          <w:rFonts w:eastAsia="Calibri"/>
          <w:sz w:val="20"/>
          <w:szCs w:val="20"/>
        </w:rPr>
        <w:t>.</w:t>
      </w:r>
      <w:r w:rsidRPr="00C00255">
        <w:rPr>
          <w:rFonts w:eastAsia="Calibri"/>
          <w:sz w:val="20"/>
          <w:szCs w:val="20"/>
        </w:rPr>
        <w:t>, J.</w:t>
      </w:r>
      <w:r>
        <w:rPr>
          <w:rFonts w:eastAsia="Calibri"/>
          <w:sz w:val="20"/>
          <w:szCs w:val="20"/>
        </w:rPr>
        <w:t> </w:t>
      </w:r>
      <w:r w:rsidRPr="00C00255">
        <w:rPr>
          <w:rFonts w:eastAsia="Calibri"/>
          <w:sz w:val="20"/>
          <w:szCs w:val="20"/>
        </w:rPr>
        <w:t>J</w:t>
      </w:r>
      <w:r>
        <w:rPr>
          <w:rFonts w:eastAsia="Calibri"/>
          <w:sz w:val="20"/>
          <w:szCs w:val="20"/>
        </w:rPr>
        <w:t>.</w:t>
      </w:r>
      <w:r w:rsidRPr="00C00255">
        <w:rPr>
          <w:rFonts w:eastAsia="Calibri"/>
          <w:sz w:val="20"/>
          <w:szCs w:val="20"/>
        </w:rPr>
        <w:t>, vadovaujami J. D</w:t>
      </w:r>
      <w:r>
        <w:rPr>
          <w:rFonts w:eastAsia="Calibri"/>
          <w:sz w:val="20"/>
          <w:szCs w:val="20"/>
        </w:rPr>
        <w:t>.</w:t>
      </w:r>
      <w:r w:rsidRPr="00C00255">
        <w:rPr>
          <w:rFonts w:eastAsia="Calibri"/>
          <w:sz w:val="20"/>
          <w:szCs w:val="20"/>
        </w:rPr>
        <w:t>, padedant TV bokšto darbuotojui A.</w:t>
      </w:r>
      <w:r>
        <w:rPr>
          <w:rFonts w:eastAsia="Calibri"/>
          <w:sz w:val="20"/>
          <w:szCs w:val="20"/>
        </w:rPr>
        <w:t> </w:t>
      </w:r>
      <w:r w:rsidRPr="00C00255">
        <w:rPr>
          <w:rFonts w:eastAsia="Calibri"/>
          <w:sz w:val="20"/>
          <w:szCs w:val="20"/>
        </w:rPr>
        <w:t>S</w:t>
      </w:r>
      <w:r>
        <w:rPr>
          <w:rFonts w:eastAsia="Calibri"/>
          <w:sz w:val="20"/>
          <w:szCs w:val="20"/>
        </w:rPr>
        <w:t>.</w:t>
      </w:r>
      <w:r w:rsidRPr="00C00255">
        <w:rPr>
          <w:rFonts w:eastAsia="Calibri"/>
          <w:sz w:val="20"/>
          <w:szCs w:val="20"/>
        </w:rPr>
        <w:t xml:space="preserve">, </w:t>
      </w:r>
      <w:r w:rsidRPr="00C00255">
        <w:rPr>
          <w:rFonts w:eastAsia="Calibri"/>
          <w:i/>
          <w:iCs/>
          <w:sz w:val="20"/>
          <w:szCs w:val="20"/>
        </w:rPr>
        <w:t>turėjo</w:t>
      </w:r>
      <w:r w:rsidRPr="00C00255">
        <w:rPr>
          <w:rFonts w:eastAsia="Calibri"/>
          <w:sz w:val="20"/>
          <w:szCs w:val="20"/>
        </w:rPr>
        <w:t xml:space="preserve"> užimti trečią TV bokšto aukštą, atjungti siųstuvus, patikrinti TV bokšto patalpas iki 8 aukšto ir atjungti šeštame aukšte buvusią kilnojamos televizijos stoties aparatinę. Šeši (6) grupės „A“ kariškiai - A.</w:t>
      </w:r>
      <w:r>
        <w:rPr>
          <w:rFonts w:eastAsia="Calibri"/>
          <w:sz w:val="20"/>
          <w:szCs w:val="20"/>
        </w:rPr>
        <w:t> </w:t>
      </w:r>
      <w:r w:rsidRPr="00C00255">
        <w:rPr>
          <w:rFonts w:eastAsia="Calibri"/>
          <w:sz w:val="20"/>
          <w:szCs w:val="20"/>
        </w:rPr>
        <w:t>P</w:t>
      </w:r>
      <w:r>
        <w:rPr>
          <w:rFonts w:eastAsia="Calibri"/>
          <w:sz w:val="20"/>
          <w:szCs w:val="20"/>
        </w:rPr>
        <w:t>.</w:t>
      </w:r>
      <w:r w:rsidRPr="00C00255">
        <w:rPr>
          <w:rFonts w:eastAsia="Calibri"/>
          <w:sz w:val="20"/>
          <w:szCs w:val="20"/>
        </w:rPr>
        <w:t>, I.</w:t>
      </w:r>
      <w:r>
        <w:rPr>
          <w:rFonts w:eastAsia="Calibri"/>
          <w:sz w:val="20"/>
          <w:szCs w:val="20"/>
        </w:rPr>
        <w:t> </w:t>
      </w:r>
      <w:r w:rsidRPr="00C00255">
        <w:rPr>
          <w:rFonts w:eastAsia="Calibri"/>
          <w:sz w:val="20"/>
          <w:szCs w:val="20"/>
        </w:rPr>
        <w:t>O</w:t>
      </w:r>
      <w:r>
        <w:rPr>
          <w:rFonts w:eastAsia="Calibri"/>
          <w:sz w:val="20"/>
          <w:szCs w:val="20"/>
        </w:rPr>
        <w:t>.</w:t>
      </w:r>
      <w:r w:rsidRPr="00C00255">
        <w:rPr>
          <w:rFonts w:eastAsia="Calibri"/>
          <w:sz w:val="20"/>
          <w:szCs w:val="20"/>
        </w:rPr>
        <w:t>, A.</w:t>
      </w:r>
      <w:r>
        <w:rPr>
          <w:rFonts w:eastAsia="Calibri"/>
          <w:sz w:val="20"/>
          <w:szCs w:val="20"/>
        </w:rPr>
        <w:t> </w:t>
      </w:r>
      <w:r w:rsidRPr="00C00255">
        <w:rPr>
          <w:rFonts w:eastAsia="Calibri"/>
          <w:sz w:val="20"/>
          <w:szCs w:val="20"/>
        </w:rPr>
        <w:t>L</w:t>
      </w:r>
      <w:r>
        <w:rPr>
          <w:rFonts w:eastAsia="Calibri"/>
          <w:sz w:val="20"/>
          <w:szCs w:val="20"/>
        </w:rPr>
        <w:t>.</w:t>
      </w:r>
      <w:r w:rsidRPr="00C00255">
        <w:rPr>
          <w:rFonts w:eastAsia="Calibri"/>
          <w:sz w:val="20"/>
          <w:szCs w:val="20"/>
        </w:rPr>
        <w:t>, A. P</w:t>
      </w:r>
      <w:r>
        <w:rPr>
          <w:rFonts w:eastAsia="Calibri"/>
          <w:sz w:val="20"/>
          <w:szCs w:val="20"/>
        </w:rPr>
        <w:t>.</w:t>
      </w:r>
      <w:r w:rsidRPr="00C00255">
        <w:rPr>
          <w:rFonts w:eastAsia="Calibri"/>
          <w:sz w:val="20"/>
          <w:szCs w:val="20"/>
        </w:rPr>
        <w:t>, M.</w:t>
      </w:r>
      <w:r>
        <w:rPr>
          <w:rFonts w:eastAsia="Calibri"/>
          <w:sz w:val="20"/>
          <w:szCs w:val="20"/>
        </w:rPr>
        <w:t> </w:t>
      </w:r>
      <w:r w:rsidRPr="00C00255">
        <w:rPr>
          <w:rFonts w:eastAsia="Calibri"/>
          <w:sz w:val="20"/>
          <w:szCs w:val="20"/>
        </w:rPr>
        <w:t>M</w:t>
      </w:r>
      <w:r>
        <w:rPr>
          <w:rFonts w:eastAsia="Calibri"/>
          <w:sz w:val="20"/>
          <w:szCs w:val="20"/>
        </w:rPr>
        <w:t>.</w:t>
      </w:r>
      <w:r w:rsidRPr="00C00255">
        <w:rPr>
          <w:rFonts w:eastAsia="Calibri"/>
          <w:sz w:val="20"/>
          <w:szCs w:val="20"/>
        </w:rPr>
        <w:t>, N.</w:t>
      </w:r>
      <w:r>
        <w:rPr>
          <w:rFonts w:eastAsia="Calibri"/>
          <w:sz w:val="20"/>
          <w:szCs w:val="20"/>
        </w:rPr>
        <w:t> </w:t>
      </w:r>
      <w:r w:rsidRPr="00C00255">
        <w:rPr>
          <w:rFonts w:eastAsia="Calibri"/>
          <w:sz w:val="20"/>
          <w:szCs w:val="20"/>
        </w:rPr>
        <w:t>Č</w:t>
      </w:r>
      <w:r>
        <w:rPr>
          <w:rFonts w:eastAsia="Calibri"/>
          <w:sz w:val="20"/>
          <w:szCs w:val="20"/>
        </w:rPr>
        <w:t>.</w:t>
      </w:r>
      <w:r w:rsidRPr="00C00255">
        <w:rPr>
          <w:rFonts w:eastAsia="Calibri"/>
          <w:sz w:val="20"/>
          <w:szCs w:val="20"/>
        </w:rPr>
        <w:t>, vadovaujami V. L</w:t>
      </w:r>
      <w:r>
        <w:rPr>
          <w:rFonts w:eastAsia="Calibri"/>
          <w:sz w:val="20"/>
          <w:szCs w:val="20"/>
        </w:rPr>
        <w:t>.</w:t>
      </w:r>
      <w:r w:rsidRPr="00C00255">
        <w:rPr>
          <w:rFonts w:eastAsia="Calibri"/>
          <w:sz w:val="20"/>
          <w:szCs w:val="20"/>
        </w:rPr>
        <w:t xml:space="preserve">, </w:t>
      </w:r>
      <w:r w:rsidRPr="00C00255">
        <w:rPr>
          <w:rFonts w:eastAsia="Calibri"/>
          <w:i/>
          <w:sz w:val="20"/>
          <w:szCs w:val="20"/>
        </w:rPr>
        <w:t>turėjo</w:t>
      </w:r>
      <w:r w:rsidRPr="00C00255">
        <w:rPr>
          <w:rFonts w:eastAsia="Calibri"/>
          <w:sz w:val="20"/>
          <w:szCs w:val="20"/>
        </w:rPr>
        <w:t xml:space="preserve"> užimti TV</w:t>
      </w:r>
      <w:r>
        <w:rPr>
          <w:rFonts w:eastAsia="Calibri"/>
          <w:sz w:val="20"/>
          <w:szCs w:val="20"/>
        </w:rPr>
        <w:t> </w:t>
      </w:r>
      <w:r w:rsidRPr="00C00255">
        <w:rPr>
          <w:rFonts w:eastAsia="Calibri"/>
          <w:sz w:val="20"/>
          <w:szCs w:val="20"/>
        </w:rPr>
        <w:t>bokšto dvidešimt pirmą aukštą ir atjungti radijo relinės stoties aparatūrą.“ (kaltinamojo akto 28 l. (t. 683) ir kt.)</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Pirmosios instancijos teismas šią kaltinimo dalį koregavo pašalindamas iš nusikalstamų veiksmų aprašymo asmenis, kurių atsakomybės klausimas byloje nebuvo sprendžiamas ir kurių nurodymas siekiant išsamaus aplinkybių aprašymo nebuvo būtinas bei išbraukė kaltinime buvusius žodžius „turėjo“, tačiau dėl to kaltinimo aplinkybės iš esmės nepasikeitė, o vertinant visą nuosprendžio nustatomąją dalį tampa aišku, kad pirmiausia teismas išvardijo visas TV bokštą šturmavusias karines pajėgas ir joms iškeltus tikslus, o toliau nurodė šių pajėgų dalinių faktiškai atliktus veiksmus šturmuojant TV bokštą. Siekiant išvengti tokio dviprasmiškumo, teisėjų kolegija, atsižvelgdama į nuteistojo </w:t>
      </w:r>
      <w:r>
        <w:rPr>
          <w:szCs w:val="24"/>
          <w:lang w:eastAsia="lt-LT"/>
        </w:rPr>
        <w:t>A. L.</w:t>
      </w:r>
      <w:r w:rsidRPr="00C00255">
        <w:rPr>
          <w:szCs w:val="24"/>
          <w:lang w:eastAsia="lt-LT"/>
        </w:rPr>
        <w:t xml:space="preserve"> gynėjų argumentus, įžvelgia pagrindą tokį teismo </w:t>
      </w:r>
      <w:bookmarkStart w:id="306" w:name="_Hlk67515635"/>
      <w:r w:rsidRPr="00C00255">
        <w:rPr>
          <w:szCs w:val="24"/>
          <w:lang w:eastAsia="lt-LT"/>
        </w:rPr>
        <w:t>nuosprendyje esantį neaiškumą ištaisyti, nusikalstamų veiksmų aprašyme nurodant iš kaltinimo pašalintus žodžius „turėjo“</w:t>
      </w:r>
      <w:bookmarkEnd w:id="306"/>
      <w:r w:rsidRPr="00C00255">
        <w:rPr>
          <w:szCs w:val="24"/>
          <w:lang w:eastAsia="lt-LT" w:bidi="lt-LT"/>
        </w:rPr>
        <w:t xml:space="preserve"> ir išdėstant nustatytas aplinkybes pagal pirminį kaltinimą taip, kad būtų tiesiogiai nurodyta, kur yra </w:t>
      </w:r>
      <w:r w:rsidRPr="00C00255">
        <w:rPr>
          <w:szCs w:val="24"/>
          <w:lang w:eastAsia="lt-LT"/>
        </w:rPr>
        <w:t>išvardijamos TV bokštą šturmavusios karinės pajėgos ir joms iškelti tikslai, o kur – šių kariškių faktiškai atlikti veiksmai įvykio vietoje.</w:t>
      </w:r>
    </w:p>
    <w:p w:rsidR="00DA38E9" w:rsidRPr="00055544" w:rsidRDefault="00DA38E9" w:rsidP="00DA38E9">
      <w:pPr>
        <w:pStyle w:val="ListParagraph"/>
        <w:numPr>
          <w:ilvl w:val="0"/>
          <w:numId w:val="6"/>
        </w:numPr>
        <w:spacing w:before="120" w:after="120"/>
        <w:ind w:left="992" w:hanging="992"/>
        <w:contextualSpacing w:val="0"/>
        <w:rPr>
          <w:color w:val="000000"/>
          <w:szCs w:val="24"/>
          <w:lang w:eastAsia="lt-LT" w:bidi="lt-LT"/>
        </w:rPr>
      </w:pPr>
      <w:r w:rsidRPr="00055544">
        <w:t>Teisėjų kolegija sutinka su gynybos argumentais dėl nuosprendyje nepagrįstai nurodyto teiginio, kad nuteistasis A. L. dalyvavo užimant ir LRT pastatą (nuosprendžio 874 l.).</w:t>
      </w:r>
      <w:r w:rsidRPr="00055544">
        <w:rPr>
          <w:rFonts w:eastAsia="Calibri"/>
        </w:rPr>
        <w:t xml:space="preserve"> Teisėjų kolegija pritaria gynėjams, kad nuosprendyje šiuo aspektu padaryta klaida, nes A. L. negalėjo iš esmės labai panašiu metu dalyvauti įvykiuose keliose skirtingose vietose ir jam nebuvo inkriminuojamas dalyvavimas užimant LRT, todėl ši klaida ištaisytina, tačiau apie tai ir apie LRT pastato užėmimo aplinkybes teismas pasisakys atskirai. Tokių aplinkybių kontekste kolegija pabrėžia, kad </w:t>
      </w:r>
      <w:r w:rsidRPr="00055544">
        <w:t xml:space="preserve">skundžiamo nuosprendžio motyvuojamojoje dalyje, nurodant bausmės skyrimo motyvus, tokios klaidos nėra, nes šioje vietoje pagrįstai nurodoma, kad „Skiriant bausmę kaltinamajam A. L., atsižvelgiama &lt;...&gt; į tai, kad jis vadovavo desanto padaliniui šturmuojant TV bokštą ir braunantis pro civilių minią, &lt;...&gt; </w:t>
      </w:r>
      <w:r w:rsidRPr="00055544">
        <w:rPr>
          <w:rFonts w:eastAsia="Calibri"/>
        </w:rPr>
        <w:t>(nuosprendžio 884 l., t. 773, b. l. 84)</w:t>
      </w:r>
      <w:r w:rsidRPr="00055544">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pPr>
      <w:r w:rsidRPr="00C00255">
        <w:t xml:space="preserve">Atsižvelgdama į visa tai, teisėjų kolegija konstatuoja, kad pirmosios instancijos teismo išvados, susijusios su </w:t>
      </w:r>
      <w:r>
        <w:t>A. L.</w:t>
      </w:r>
      <w:r w:rsidRPr="00C00255">
        <w:t xml:space="preserve"> dalyvavimu ir jo vadovaujamu vaidmeniu įvykiuose prie TV bokšto, pasitvirtino ir yra teisingos. </w:t>
      </w:r>
    </w:p>
    <w:p w:rsidR="00DA38E9" w:rsidRPr="00C00255" w:rsidRDefault="00DA38E9" w:rsidP="00DA38E9">
      <w:pPr>
        <w:pStyle w:val="Heading3"/>
        <w:ind w:left="992"/>
        <w:jc w:val="both"/>
        <w:rPr>
          <w:lang w:val="lt-LT"/>
        </w:rPr>
      </w:pPr>
      <w:bookmarkStart w:id="307" w:name="_Toc67480781"/>
      <w:bookmarkStart w:id="308" w:name="_Toc67677393"/>
      <w:bookmarkStart w:id="309" w:name="_Toc67985521"/>
      <w:r w:rsidRPr="00C00255">
        <w:rPr>
          <w:b w:val="0"/>
          <w:bCs/>
          <w:i/>
          <w:iCs/>
          <w:sz w:val="24"/>
          <w:szCs w:val="24"/>
          <w:lang w:val="lt-LT"/>
        </w:rPr>
        <w:t>Dėl TSRS VSK specialiosios paskirties grupės „A“ kariškių dalyvavimo užimant TV bokštą</w:t>
      </w:r>
      <w:bookmarkEnd w:id="307"/>
      <w:bookmarkEnd w:id="308"/>
      <w:bookmarkEnd w:id="309"/>
    </w:p>
    <w:p w:rsidR="00DA38E9" w:rsidRPr="00C00255" w:rsidRDefault="00DA38E9" w:rsidP="00DA38E9">
      <w:pPr>
        <w:pStyle w:val="ListParagraph"/>
        <w:numPr>
          <w:ilvl w:val="0"/>
          <w:numId w:val="6"/>
        </w:numPr>
        <w:spacing w:before="120" w:after="120"/>
        <w:ind w:left="993" w:hanging="993"/>
        <w:contextualSpacing w:val="0"/>
      </w:pPr>
      <w:r w:rsidRPr="00B822BF">
        <w:rPr>
          <w:rFonts w:eastAsia="Calibri"/>
        </w:rPr>
        <w:t xml:space="preserve">Teismo nuosprendžio nustatomojoje dalyje aprašant įrodytomis pripažintas aplinkybes, be kita ko, pirmosios instancijos teismas nurodė tokius </w:t>
      </w:r>
      <w:r w:rsidRPr="00C00255">
        <w:rPr>
          <w:bCs/>
          <w:szCs w:val="24"/>
        </w:rPr>
        <w:t>TSRS VSK specialiosios paskirties grupės „A“ kariškių</w:t>
      </w:r>
      <w:r w:rsidRPr="00C00255">
        <w:rPr>
          <w:rFonts w:eastAsia="Calibri"/>
          <w:szCs w:val="24"/>
        </w:rPr>
        <w:t xml:space="preserve"> </w:t>
      </w:r>
      <w:r w:rsidRPr="00C00255">
        <w:rPr>
          <w:lang w:eastAsia="lt-LT"/>
        </w:rPr>
        <w:t>veiksmus užimant TV bokštą:</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„TSRS VSK (KGB) grupės „A“ ir 76-osios oro desanto divizijos kariškiai prie TV bokšto atvyko automobiliais ZIL-131, URAL bei BTR-D ir BMP. Karinė technika griovė užtvaras, pavojingai manevruodama važinėjo aplink TV bokštą, baugino civilius, siekiant juos nustumti nuo užimamo objekto, jų atžvilgiu naudojo sprogstamuosius įtaisus, specialiąsias ir imitacines priemones, pritaikytas priemones žmonėms žaloti, šaudyti garsiniais ir koviniais šoviniais, naudojo artimos kovos veiksmus. 76-osios oro desanto divizijos kariškiai, braudamiesi pro civilius link TV bokšto, darė taip vadinamą „koridorių“ grupės „A“ kariškiams, idant šie patektų į užimamo objekto vidų ir išjungtų radijo ir televizijos transliavimą užtikrinančius įrenginius. 76-osios oro desanto divizijos kariškiai šalino civilius iš TV bokšto pastato ir teritorijos, atjungė TV bokšto apsaugos sistemą ir saugojo užgrobtą objektą.</w:t>
      </w:r>
      <w:r w:rsidRPr="00C00255">
        <w:rPr>
          <w:rFonts w:eastAsia="Calibri"/>
          <w:szCs w:val="24"/>
        </w:rPr>
        <w:t xml:space="preserve"> </w:t>
      </w:r>
      <w:r w:rsidRPr="00B822BF">
        <w:rPr>
          <w:rFonts w:eastAsia="Calibri"/>
        </w:rPr>
        <w:t>&lt;...&gt;</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Grupės „A“ kariškiams vadovavusio ir jų veiksmus koordinavusio kaltinamojo M. G. paskirtas atsakingas asmuo grupės „A“ kariškius padalino į dalis ir paskyrė užduotis: užimti TV bokštą ir patikrinti patalpas, pašalinti ten esančius civilius, atjungti siųstuvus, atjungti kilnojamos televizijos stoties aparatinę, atjungti ryšių aparatinę; atjungti radijo relinės stoties aparatūrą ir užtikrinti atjungtos TV aparatūros ir gaisro gesinimo aparatūros apsaugą</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Tęsdami nusikalstamą veiką ir vykdydami operacijai vadovavusių aukštesniųjų vadų įsakymus, grupės „A“ kariškiai, kartu su kariškiais iš 234-ojo pulko 2-ojo bataliono 4-osios ir 5-osios kuopų, 3-iojo bataliono 8-osios ir 9-osios kuopų bei 3-iojo savaeigės artilerijos diviziono 3-iosios savaeigės baterijos, išsilaipinę TV bokšto teritorijoje, brovėsi į civilių ginamą objektą ir prieš jį gynusius civilius panaudojo ginklus, kovinius veiksmus</w:t>
      </w:r>
      <w:r w:rsidRPr="00C00255">
        <w:rPr>
          <w:rFonts w:eastAsia="Calibri"/>
          <w:szCs w:val="24"/>
        </w:rPr>
        <w:t>:</w:t>
      </w:r>
    </w:p>
    <w:p w:rsidR="00DA38E9" w:rsidRPr="00B822BF" w:rsidRDefault="00DA38E9" w:rsidP="00DA38E9">
      <w:pPr>
        <w:pStyle w:val="ListParagraph"/>
        <w:numPr>
          <w:ilvl w:val="1"/>
          <w:numId w:val="6"/>
        </w:numPr>
        <w:spacing w:before="120" w:after="120"/>
        <w:ind w:left="993" w:hanging="993"/>
        <w:contextualSpacing w:val="0"/>
      </w:pPr>
      <w:r w:rsidRPr="00C00255">
        <w:rPr>
          <w:rFonts w:eastAsia="Calibri"/>
          <w:szCs w:val="24"/>
        </w:rPr>
        <w:t xml:space="preserve">- </w:t>
      </w:r>
      <w:r w:rsidRPr="00B822BF">
        <w:rPr>
          <w:rFonts w:eastAsia="Calibri"/>
        </w:rPr>
        <w:t xml:space="preserve">grupės „A“ kariškiai prieš civilius naudojo granatsvaidžius RGS-50, šviesos ir garso granatas GSZ, specialiąsias priemones – specialius skysčio pistoletus PSŽ; </w:t>
      </w:r>
    </w:p>
    <w:p w:rsidR="00DA38E9" w:rsidRPr="00C00255" w:rsidRDefault="00DA38E9" w:rsidP="00DA38E9">
      <w:pPr>
        <w:pStyle w:val="ListParagraph"/>
        <w:numPr>
          <w:ilvl w:val="1"/>
          <w:numId w:val="6"/>
        </w:numPr>
        <w:spacing w:before="120" w:after="120"/>
        <w:ind w:left="993" w:hanging="993"/>
        <w:contextualSpacing w:val="0"/>
      </w:pPr>
      <w:r w:rsidRPr="00C00255">
        <w:rPr>
          <w:rFonts w:eastAsia="Calibri"/>
          <w:szCs w:val="24"/>
        </w:rPr>
        <w:t xml:space="preserve">- </w:t>
      </w:r>
      <w:r w:rsidRPr="00B822BF">
        <w:rPr>
          <w:rFonts w:eastAsia="Calibri"/>
        </w:rPr>
        <w:t>76-osios oro desanto divizijos jungtinio karinio vieneto kariškiai prieš civilius naudojo imitacines priemones – dūminius užtaisus DM-II, dūmines granatas RDG-2x, šaudė 7,62 mm kalibro SVD šautuvais, o kartu su grupės „A“ kariškiais, šaudydami į civilius ir užimamą pastatą iš 5,45 mm kalibro automatinių ginklų, naudojo tarptautinių sutarčių uždraustas karo priemones – 5,45 mm kalibro šovinius su išcentruota kulka;</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C00255">
        <w:rPr>
          <w:rFonts w:eastAsia="Calibri"/>
          <w:szCs w:val="24"/>
        </w:rPr>
        <w:t xml:space="preserve">- </w:t>
      </w:r>
      <w:r w:rsidRPr="00B822BF">
        <w:rPr>
          <w:rFonts w:eastAsia="Calibri"/>
        </w:rPr>
        <w:t>visi kariškiai prieš civilius naudojo tiek garsinius, tiek ir kovinius šaudmenis bei artimos kovos veiksmus – stumdydami, smūgiuodami kumščiais, spardydami kojomis ir suduodami nenustatytą skaičių smūgių civiliams ginklais ir kitomis kūno sužalojimams daryti jų pačių pritaikytomis priemonėmis į įvairias kūno dalis.</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Grupės „A“ ir 76-osios oro desanto divizijos jungtinio karinio vieneto kariškiai, pasinaudodami bendrai veikusių 106-ojo tankų pulko kariškių tankų šūviais, tankų bei BMD pavojingu manevravimu, prasibrovė iki puolamo objekto, kur kiekvienas padalinys pradėjo įgyvendinti pavestas užduotis</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Šturmo metu nenustatytas grupės „A“ kariškis, tyčia iš automatinio ginklo AKS-74 iššovė seriją šūvių į TV bokštą gynusį ir vandens srovę į puolančius kariškius nukreipusį, I. Š., o, šiam nugriuvus, automato buože sudavė smūgį į galvą, padarydamas nukentėjusiajam plėštinę žaizdą galvos pakaušio srityje kairėje pusėje, 7 įeinamąsias ir 7 išeinamąsias šautines žaizdas, kraujo išsiliejimą galvos minkštuose audiniuose, smilkinio srityje dešinėje pusėje ir momenėlio – smilkinio – pakaušio srityje kairėje pusėje, kaukolės pamato ir skliauto daugiaskeveldrinius lūžius, kietojo smegenų aptraukalo plyšimą ir kraujo išsiliejimą po juo, totalinį subarachnoidalinį kraujo išsiliejimą, galvos smegenų sumušimą, jų traumatišką sužalojimą ir dalinį pašalinimą, plonojo žarnyno kilpų sužalojimą, kraujo išsiliejimą į kairiojo inksto vartus ir už pilvaplėvės, kairiojo dilbio kaulo daugiaskeveldrinius lūžius, kraujosruvą viršutiniame voke dešinėje pusėje, dėl ko nuo kaukolės pamato ir skliauto daugiaskeveldrinio lūžio, pažeidžiant galvos smegenis, pilvo aklino kulkinio šautinio sužeidimo, pažeidžiant plonojo žarnyno kilpas, krūtinės, rankų ir kojų kiauryminių kulkinių sužeidimų, komplikuotais ūmiu kraujo nutekėjimu, I. Š. mirė, t. y. jį taip tyčia nužudė</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pPr>
      <w:r w:rsidRPr="00B822BF">
        <w:rPr>
          <w:rFonts w:eastAsia="Calibri"/>
        </w:rPr>
        <w:t>Grupės „A“ kariškiams braunantis laiptais vienas iš jų tyčia automato buože smūgiavo į galvą ir kitas kūno vietas nukentėjusiajam J. G., tuo padarydamas muštinę žaizdą kaktos dešinėje pusėje su galvos smegenų sumušimu ir kraujo išsiliejimu po jų voratinkliniu dangalu, dešinio inksto sumušimą, ūmų trauminį dešinės vidinės ausies uždegimą, plyšus būgneliui ir abipusį klausos nervų uždegimą, sukėlusius sunkią, gyvybei pavojingą šokinę būklę, dėl ko nukentėjusysis tapo II grupės invalidu, netekdamas 30 ir daugiau procentų bendro darbingumo.</w:t>
      </w:r>
      <w:r w:rsidRPr="00B822BF">
        <w:t>&lt;..</w:t>
      </w:r>
      <w:r w:rsidRPr="00C00255">
        <w:t>.&gt;</w:t>
      </w:r>
    </w:p>
    <w:p w:rsidR="00DA38E9" w:rsidRPr="00C00255" w:rsidRDefault="00DA38E9" w:rsidP="00DA38E9">
      <w:pPr>
        <w:pStyle w:val="ListParagraph"/>
        <w:numPr>
          <w:ilvl w:val="1"/>
          <w:numId w:val="6"/>
        </w:numPr>
        <w:spacing w:before="120" w:after="120"/>
        <w:ind w:left="993" w:hanging="993"/>
        <w:contextualSpacing w:val="0"/>
      </w:pPr>
      <w:r w:rsidRPr="00C00255">
        <w:t xml:space="preserve">Keturi grupės „A“ kariškiai, prasibrovę iki antrojo aukšto, atjungė ryšių aparatinę ir pašalino ten buvusius civilius.  </w:t>
      </w:r>
    </w:p>
    <w:p w:rsidR="00DA38E9" w:rsidRPr="00C00255" w:rsidRDefault="00DA38E9" w:rsidP="00DA38E9">
      <w:pPr>
        <w:pStyle w:val="ListParagraph"/>
        <w:numPr>
          <w:ilvl w:val="1"/>
          <w:numId w:val="6"/>
        </w:numPr>
        <w:spacing w:before="120" w:after="120"/>
        <w:ind w:left="993" w:hanging="993"/>
        <w:contextualSpacing w:val="0"/>
      </w:pPr>
      <w:r w:rsidRPr="00C00255">
        <w:t>Šeši grupės „A“ kariškiai, patekę į TV bokšto dvidešimt pirmą aukštą, pašalino du civilius ir išstatydami sargybos postus užtikrino apsaugą jau atjungtai radijo relinės stoties aparatūrai. &lt;...&gt;“</w:t>
      </w:r>
    </w:p>
    <w:p w:rsidR="00DA38E9" w:rsidRPr="00055544" w:rsidRDefault="00DA38E9" w:rsidP="00DA38E9">
      <w:pPr>
        <w:pStyle w:val="ListParagraph"/>
        <w:numPr>
          <w:ilvl w:val="1"/>
          <w:numId w:val="6"/>
        </w:numPr>
        <w:spacing w:before="120" w:after="120"/>
        <w:ind w:left="993" w:hanging="993"/>
        <w:contextualSpacing w:val="0"/>
      </w:pPr>
      <w:r w:rsidRPr="00055544">
        <w:rPr>
          <w:rFonts w:eastAsia="Calibri"/>
        </w:rPr>
        <w:t>Be to, teismo nuosprendyje konstatuota, kad karo atakos prie TV bokšto metu 76-osios oro desanto divizijos ir kitų karinių struktūrų kariškiai, panaudoję šaunamuosius ginklus, specialiąsias priemones ir artimos kovos veiksmus, bendrais veiksmais tyčia nužudė V. D., D. G., R. J., V. M., T. M., A. J.  P., V. J. V., V. K., padarė tyčinius sunkius ir kitus sveikatos sutrikdymus dar kitiems pirmosios instancijos teismo nuosprendyje detaliai nurodytiems asmenims (žr. nuosprendžio 213–221 l., b. l. 13–21</w:t>
      </w:r>
      <w:r w:rsidRPr="00055544">
        <w:rPr>
          <w:rFonts w:eastAsia="Calibri"/>
          <w:szCs w:val="24"/>
        </w:rPr>
        <w:t>).</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055544">
        <w:rPr>
          <w:szCs w:val="24"/>
          <w:lang w:eastAsia="lt-LT"/>
        </w:rPr>
        <w:t xml:space="preserve">Teisėjų kolegijai </w:t>
      </w:r>
      <w:r w:rsidRPr="00055544">
        <w:rPr>
          <w:rFonts w:eastAsia="Calibri"/>
          <w:szCs w:val="24"/>
        </w:rPr>
        <w:t xml:space="preserve">nekyla abejonių dėl pirmosios instancijos teismo išvados, kad užimant TV bokštą kartu su kitais jau aptartais TSRS GM sausumos ir oro desanto pajėgų kariškiais dalyvavo ir </w:t>
      </w:r>
      <w:r w:rsidRPr="00055544">
        <w:rPr>
          <w:szCs w:val="24"/>
        </w:rPr>
        <w:t xml:space="preserve">TSRS VSK specialiosios paskirties grupės „A“ kariškiai. Aplinkybes dėl šio karinio dalinio dalyvavimo minėtuose įvykiuose patvirtina jau minėta </w:t>
      </w:r>
      <w:r w:rsidRPr="00055544">
        <w:rPr>
          <w:szCs w:val="24"/>
          <w:lang w:eastAsia="lt-LT"/>
        </w:rPr>
        <w:t>2014 m. birželio 10 d. specialisto J. Andriškevičiaus išvada</w:t>
      </w:r>
      <w:r w:rsidRPr="00055544">
        <w:t>, vaizdo įrašai ir nuotraukos, liudytojų ir nukentėjusiųjų parodymai, kiti byloje surinkti įrodymai. Be to, byloje dėl to net nėra ginčo. Atsižvelgdama į tai, toliau teisėjų kolegija pasisakys tik dėl skunduose ginčijamo šių kariškių vaidmens prie TV bokšto</w:t>
      </w:r>
      <w:r w:rsidRPr="00C00255">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t xml:space="preserve">Nuteistojo </w:t>
      </w:r>
      <w:r>
        <w:t>M. G.</w:t>
      </w:r>
      <w:r w:rsidRPr="00C00255">
        <w:t xml:space="preserve"> gynėjo teigimu, šių įvykių metu grupė „A“ tik užėmė pastatą, o ne puolė civilius, ir nei vienas asmuo, kuris buvo pašalintas iš pastato, nebuvo nužudytas</w:t>
      </w:r>
      <w:r w:rsidRPr="00C00255">
        <w:rPr>
          <w:szCs w:val="24"/>
        </w:rPr>
        <w:t>, įkalintas, išprievartautas ar</w:t>
      </w:r>
      <w:r w:rsidRPr="00C00255">
        <w:t xml:space="preserve"> pan. (byloje nenustatytas ryšys tarp šios grupės kariškių atliktų veiksmų ir žalingų padarinių). Taigi </w:t>
      </w:r>
      <w:r>
        <w:t>M. G.</w:t>
      </w:r>
      <w:r w:rsidRPr="00C00255">
        <w:t xml:space="preserve"> gynėjas iš esmės siekia įrodyti, kad TSRS VSK grupės „A“ kariškių veiksmai prie TV bokšto nebuvo pavojingi civiliams ir nesukėlė neigiamų padarinių. Teisėjų kolegija su tokiais gynybos teiginiais nesutinka, nes TSRS VSK grupės „A“ kariškiai, šturmuodami TV bokštą bei vėliau iš jo šalindami asmenis, pastarųjų atžvilgiu naudojo jėgą, smurtą ir juos išties brutaliai žalojo.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Antai, įvertinęs iš skirtingų įrodymų šaltinių gautus duomenis, taip pat ir pakankamai gausią nagrinėjamų įvykių vaizdinę medžiagą, specialistas J. Andriškevičius konstatavo, kad TSRS VSK „A“ kariškiai, atvykę kariniu automobiliu ZIL-131, buvusiu karinės kolonos sudėtyje, naudodamiesi desantininkų, kurie ginklais ir smurtu vykdė civilių šalinimo nuo TV bokšto prieigų ir iš paties bokšto funkcijas, veiksmais, karinės technikos manevravimu bei panaudodami turimus pistoletus PSŽ, automatinius ginklus, granatsvaidžius RGS-50 ir granatas GSZ, artimojo mūšio veiksmus, kartu su desantininkais</w:t>
      </w:r>
      <w:r w:rsidR="00B822BF">
        <w:rPr>
          <w:color w:val="000000"/>
          <w:szCs w:val="24"/>
          <w:lang w:eastAsia="lt-LT" w:bidi="lt-LT"/>
        </w:rPr>
        <w:t xml:space="preserve"> įsiveržė į TV bokštą“ (t. 480, </w:t>
      </w:r>
      <w:r w:rsidRPr="00C00255">
        <w:rPr>
          <w:color w:val="000000"/>
          <w:szCs w:val="24"/>
          <w:lang w:eastAsia="lt-LT" w:bidi="lt-LT"/>
        </w:rPr>
        <w:t xml:space="preserve">b. l. 73). Taigi vien iš specialisto išvados, kuri, kaip minėta, padaryta įvertinus ir byloje esančią vaizdinę medžiagą, seka, kad siekdami patekti į TV bokšto patalpas, TSRS VSK grupės „A“ kariškiai prieš civilius naudojo ginklus, specialiąsias priemones bei artimojo mūšio veiksmus. Tokią išvadą formuoja ir teisiamajame posėdyje apklaustų nukentėjusiųjų parodymai apie šios grupės kariškių veiksmus prieš jiems įsiveržiant į TV bokštą.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color w:val="000000"/>
          <w:szCs w:val="24"/>
          <w:lang w:eastAsia="lt-LT" w:bidi="lt-LT"/>
        </w:rPr>
        <w:t>Nukentėjusioji J.</w:t>
      </w:r>
      <w:r>
        <w:rPr>
          <w:color w:val="000000"/>
          <w:szCs w:val="24"/>
          <w:lang w:eastAsia="lt-LT" w:bidi="lt-LT"/>
        </w:rPr>
        <w:t> </w:t>
      </w:r>
      <w:r w:rsidRPr="00C00255">
        <w:rPr>
          <w:color w:val="000000"/>
          <w:szCs w:val="24"/>
          <w:lang w:eastAsia="lt-LT" w:bidi="lt-LT"/>
        </w:rPr>
        <w:t>A</w:t>
      </w:r>
      <w:r>
        <w:rPr>
          <w:color w:val="000000"/>
          <w:szCs w:val="24"/>
          <w:lang w:eastAsia="lt-LT" w:bidi="lt-LT"/>
        </w:rPr>
        <w:t>.</w:t>
      </w:r>
      <w:r w:rsidRPr="00C00255">
        <w:rPr>
          <w:color w:val="000000"/>
          <w:szCs w:val="24"/>
          <w:lang w:eastAsia="lt-LT" w:bidi="lt-LT"/>
        </w:rPr>
        <w:t xml:space="preserve"> teisiamajame posėdyje nurodė, kad </w:t>
      </w:r>
      <w:r w:rsidRPr="00C00255">
        <w:rPr>
          <w:szCs w:val="24"/>
        </w:rPr>
        <w:t xml:space="preserve">iššokę iš karinio automobilio „Alfa“ grupės nariai labai greitai išsirikiavo. Mušė jie profesionaliai per rankas, kol jie laikėsi susikibę. Vaikinams jie iš karto per galvas mušė automatų buožėmis. Ji gavo per rankas automato buože, o vėliau ir smūgį į galvą. Šiaip ne taip laikėsi, bet labai greitai jų grandinė iširo. Šios grupės kariai labai greitai išdaužė TV bokšto langus ir sušoko į pastatą (t. 758, b. l. 78–80). Nukentėjusiosios patirti sužalojimai buvo konstatuoti ir specialisto (t. 482, b. l. 99).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t>Specialiosiose karinėse pajėgose tarnavęs nukentėjusysis</w:t>
      </w:r>
      <w:r w:rsidRPr="00C00255">
        <w:rPr>
          <w:szCs w:val="24"/>
        </w:rPr>
        <w:t xml:space="preserve"> R. Š</w:t>
      </w:r>
      <w:r>
        <w:rPr>
          <w:szCs w:val="24"/>
        </w:rPr>
        <w:t>.</w:t>
      </w:r>
      <w:r w:rsidRPr="00C00255">
        <w:rPr>
          <w:szCs w:val="24"/>
        </w:rPr>
        <w:t xml:space="preserve"> nurodė, kad prie TV bokšto </w:t>
      </w:r>
      <w:r w:rsidRPr="00C00255">
        <w:rPr>
          <w:color w:val="000000" w:themeColor="text1"/>
        </w:rPr>
        <w:t>atvažiavo autobusas su grupės „Alfa“ kariškiais. Ši grupė, mojuodama Kalašnikovų buožėmis, labai greitai prasiskynė sau kelią. Žino, kad tai buvo grupė „Alfa“, nes teko susidurti ir matyti, ką ir kaip jie daro</w:t>
      </w:r>
      <w:r w:rsidRPr="00C00255">
        <w:t>. Tai suprato iš jų veiksmų profesionalumo labai greitai braunantis pro civilius (</w:t>
      </w:r>
      <w:r w:rsidRPr="00C00255">
        <w:rPr>
          <w:szCs w:val="24"/>
        </w:rPr>
        <w:t xml:space="preserve">t. 759, b. l. 153–155).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 xml:space="preserve">Tokias ir panašias aplinkybes nurodė ir daugelis kitų byloje apklaustų nukentėjusiųjų, todėl vien minėtų duomenų, vertinant juos tiek visumoje su kitais bylos duomenimis, tiek su byloje esančia vaizdine medžiaga, pakanka konstatuoti, kad TSRS VSK grupės „A“ kariškiai dar iki patekimo į TV bokšto patalpas prieš civilius naudojo jėgą ir juos žalojo.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rPr>
        <w:t xml:space="preserve">Nuteistojo </w:t>
      </w:r>
      <w:r>
        <w:rPr>
          <w:szCs w:val="24"/>
        </w:rPr>
        <w:t>M. G.</w:t>
      </w:r>
      <w:r w:rsidRPr="00C00255">
        <w:rPr>
          <w:szCs w:val="24"/>
        </w:rPr>
        <w:t xml:space="preserve"> gynėjas teigia, kad nė vienas asmuo, kuris buvo pašalintas iš pastato, nebuvo nužudytas, įkalintas, išprievartautas ar prieš jį atlikta kitokia nusikalstama veika. Tokių argumentų kontekste būtina pažymėti, kad skundžiamu nuosprendžiu be bendrų visų kariškių jėgos veiksmų šturmuojant TV bokštą (specialių priemonių naudojimas, </w:t>
      </w:r>
      <w:r w:rsidRPr="00B822BF">
        <w:rPr>
          <w:rFonts w:eastAsia="Calibri"/>
        </w:rPr>
        <w:t>šaudymas tuščiais ir koviniais šoviniais, artimos kovos veiksmų naudojimas – stumdymas, smūgiai kumščiais, kojomis, ginklais ir kt. priemonėmis), konstatuota ir tai, jog būtent TSRS VSK</w:t>
      </w:r>
      <w:r w:rsidRPr="00C00255">
        <w:rPr>
          <w:rFonts w:eastAsia="Calibri"/>
          <w:szCs w:val="24"/>
        </w:rPr>
        <w:t xml:space="preserve"> </w:t>
      </w:r>
      <w:r w:rsidRPr="00C00255">
        <w:rPr>
          <w:szCs w:val="24"/>
        </w:rPr>
        <w:t xml:space="preserve">grupės „A“ kariškių veiksmais buvo nužudytas nukentėjusysis </w:t>
      </w:r>
      <w:r>
        <w:rPr>
          <w:szCs w:val="24"/>
        </w:rPr>
        <w:t>I. Š.</w:t>
      </w:r>
      <w:r w:rsidRPr="00C00255">
        <w:rPr>
          <w:szCs w:val="24"/>
        </w:rPr>
        <w:t xml:space="preserve"> bei sužalotas nukentėjusysis </w:t>
      </w:r>
      <w:r>
        <w:rPr>
          <w:szCs w:val="24"/>
        </w:rPr>
        <w:t>J. G.</w:t>
      </w:r>
      <w:r w:rsidRPr="00C00255">
        <w:rPr>
          <w:szCs w:val="24"/>
        </w:rPr>
        <w:t xml:space="preserve"> (</w:t>
      </w:r>
      <w:r w:rsidRPr="00C00255">
        <w:rPr>
          <w:rFonts w:eastAsia="Calibri"/>
        </w:rPr>
        <w:t>nuosprendžio 215–216 l., t. 770, b. l. 15–16</w:t>
      </w:r>
      <w:r w:rsidRPr="00C00255">
        <w:rPr>
          <w:rFonts w:eastAsia="Calibri"/>
          <w:szCs w:val="24"/>
        </w:rPr>
        <w:t xml:space="preserve">).  </w:t>
      </w:r>
    </w:p>
    <w:p w:rsidR="00DA38E9" w:rsidRPr="00C00255" w:rsidRDefault="00DA38E9" w:rsidP="00DA38E9">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 xml:space="preserve">Dėl nukentėjusiojo </w:t>
      </w:r>
      <w:r>
        <w:rPr>
          <w:rFonts w:ascii="Times New Roman" w:hAnsi="Times New Roman"/>
          <w:b w:val="0"/>
          <w:i/>
          <w:sz w:val="24"/>
          <w:szCs w:val="24"/>
        </w:rPr>
        <w:t>I. Š.</w:t>
      </w:r>
      <w:r w:rsidRPr="00C00255">
        <w:rPr>
          <w:rFonts w:ascii="Times New Roman" w:hAnsi="Times New Roman"/>
          <w:b w:val="0"/>
          <w:i/>
          <w:sz w:val="24"/>
          <w:szCs w:val="24"/>
        </w:rPr>
        <w:t xml:space="preserve"> nužudymo ir </w:t>
      </w:r>
      <w:r>
        <w:rPr>
          <w:rFonts w:ascii="Times New Roman" w:hAnsi="Times New Roman"/>
          <w:b w:val="0"/>
          <w:i/>
          <w:sz w:val="24"/>
          <w:szCs w:val="24"/>
        </w:rPr>
        <w:t>J. G.</w:t>
      </w:r>
      <w:r w:rsidRPr="00C00255">
        <w:rPr>
          <w:rFonts w:ascii="Times New Roman" w:hAnsi="Times New Roman"/>
          <w:b w:val="0"/>
          <w:i/>
          <w:sz w:val="24"/>
          <w:szCs w:val="24"/>
        </w:rPr>
        <w:t xml:space="preserve"> tyčinio sunkaus sveikatos sutrikdymo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Vertinant nukentėjusiojo </w:t>
      </w:r>
      <w:r>
        <w:rPr>
          <w:szCs w:val="24"/>
          <w:lang w:eastAsia="lt-LT" w:bidi="lt-LT"/>
        </w:rPr>
        <w:t>I. Š.</w:t>
      </w:r>
      <w:r w:rsidRPr="00C00255">
        <w:rPr>
          <w:szCs w:val="24"/>
          <w:lang w:eastAsia="lt-LT" w:bidi="lt-LT"/>
        </w:rPr>
        <w:t xml:space="preserve"> nužudymo aplinkybes, pažymėtina, kad jau minėtoje </w:t>
      </w:r>
      <w:r>
        <w:rPr>
          <w:szCs w:val="24"/>
          <w:lang w:eastAsia="lt-LT" w:bidi="lt-LT"/>
        </w:rPr>
        <w:t>M. B.</w:t>
      </w:r>
      <w:r w:rsidRPr="00C00255">
        <w:rPr>
          <w:szCs w:val="24"/>
          <w:lang w:eastAsia="lt-LT" w:bidi="lt-LT"/>
        </w:rPr>
        <w:t xml:space="preserve">, </w:t>
      </w:r>
      <w:r>
        <w:rPr>
          <w:szCs w:val="24"/>
          <w:lang w:eastAsia="lt-LT" w:bidi="lt-LT"/>
        </w:rPr>
        <w:t>J. K.</w:t>
      </w:r>
      <w:r w:rsidRPr="00C00255">
        <w:rPr>
          <w:szCs w:val="24"/>
          <w:lang w:eastAsia="lt-LT" w:bidi="lt-LT"/>
        </w:rPr>
        <w:t xml:space="preserve"> ir kt. byloje Vilniaus apygardos teismo 1999 m. rugpjūčio 23 d. nuosprendžiu buvo nustatyta, kad nukentėjusįjį </w:t>
      </w:r>
      <w:r>
        <w:rPr>
          <w:szCs w:val="24"/>
          <w:lang w:eastAsia="lt-LT" w:bidi="lt-LT"/>
        </w:rPr>
        <w:t>I. Š.</w:t>
      </w:r>
      <w:r w:rsidRPr="00C00255">
        <w:rPr>
          <w:szCs w:val="24"/>
          <w:lang w:eastAsia="lt-LT" w:bidi="lt-LT"/>
        </w:rPr>
        <w:t xml:space="preserve"> nužudė TSRS kariškiai, TV bokšto užėmimo metu </w:t>
      </w:r>
      <w:r w:rsidRPr="00C00255">
        <w:rPr>
          <w:color w:val="000000"/>
          <w:szCs w:val="24"/>
          <w:lang w:eastAsia="lt-LT" w:bidi="lt-LT"/>
        </w:rPr>
        <w:t>(t. 379, b. l. 7). Nagrinėjamoje byloje nustatyta, kad tai įvykdė vienas iš TSRS VSK grupės „A“ kariškių.</w:t>
      </w:r>
    </w:p>
    <w:p w:rsidR="00DA38E9" w:rsidRPr="00055544" w:rsidRDefault="00DA38E9" w:rsidP="00DA38E9">
      <w:pPr>
        <w:pStyle w:val="ListParagraph"/>
        <w:numPr>
          <w:ilvl w:val="0"/>
          <w:numId w:val="6"/>
        </w:numPr>
        <w:spacing w:before="120" w:after="120"/>
        <w:ind w:left="992" w:hanging="992"/>
        <w:contextualSpacing w:val="0"/>
      </w:pPr>
      <w:r w:rsidRPr="00055544">
        <w:rPr>
          <w:color w:val="000000"/>
          <w:szCs w:val="24"/>
          <w:lang w:eastAsia="lt-LT" w:bidi="lt-LT"/>
        </w:rPr>
        <w:t>Skundžiamame Vilniaus apygardos teismo 2019 m. kovo 27 d. nuosprendyje konstatuota, kad „</w:t>
      </w:r>
      <w:r w:rsidRPr="00055544">
        <w:rPr>
          <w:i/>
          <w:color w:val="000000"/>
          <w:szCs w:val="24"/>
          <w:lang w:eastAsia="lt-LT" w:bidi="lt-LT"/>
        </w:rPr>
        <w:t>Šturmo metu nenustatytas grupės „A“ kariškis, tyčia iš automatinio ginklo AKS-74 iššovė seriją šūvių į TV bokštą gynusį ir vandens srovę į puolančius kariškius nukreipusį, I. Š., o, šiam nugriuvus, automato buože sudavė smūgį į galvą, padarydamas nukentėjusiajam plėštinę žaizdą galvos pakaušio srityje kairėje pusėje, 7 įeinamąsias ir 7 išeinamąsias šautines žaizdas, kraujo išsiliejimą galvos minkštuose audiniuose, smilkinio srityje dešinėje pusėje ir momenėlio – smilkinio – pakaušio srityje kairėje pusėje, kaukolės pamato ir skliauto daugiaskeveldrinius lūžius, kietojo smegenų aptraukalo plyšimą ir kraujo išsiliejimą po juo, totalinį subarachnoidalinį kraujo išsiliejimą, galvos smegenų sumušimą, jų traumatišką sužalojimą ir dalinį pašalinimą, plonojo žarnyno kilpų sužalojimą, kraujo išsiliejimą į kairiojo inksto vartus ir už pilvaplėvės, kairiojo dilbio kaulo daugiaskeveldrinius lūžius, kraujosruvą viršutiniame voke dešinėje pusėje, dėl ko nuo kaukolės pamato ir skliauto daugiaskeveldrinio lūžio, pažeidžiant galvos smegenis, pilvo aklino kulkinio šautinio sužeidimo, pažeidžiant plonojo žarnyno kilpas, krūtinės, rankų ir kojų kiauryminių kulkinių sužeidimų, komplikuotais ūmiu kraujo nutekėjimu, I. Š. mirė, t. y. jį taip tyčia nužudė.</w:t>
      </w:r>
      <w:r w:rsidRPr="00055544">
        <w:rPr>
          <w:color w:val="000000"/>
          <w:szCs w:val="24"/>
          <w:lang w:eastAsia="lt-LT" w:bidi="lt-LT"/>
        </w:rPr>
        <w:t xml:space="preserve">“ </w:t>
      </w:r>
      <w:r w:rsidRPr="00055544">
        <w:t>(</w:t>
      </w:r>
      <w:r w:rsidRPr="00055544">
        <w:rPr>
          <w:rFonts w:eastAsia="Calibri"/>
        </w:rPr>
        <w:t xml:space="preserve">nuosprendžio 215–216 l., t. 770, b. l. 15–16). Teisėjų kolegija neabejoja, kad apygardos teismo nustatytos I. Š. nužudymo TV bokšte aplinkybės yra nustatytos teisingai ir yra pagrįstos byloje ištirtais įrodymais, leidžiančiais konstatuoti, jog inkriminuojamus veiksmus atliko vienas iš TSRS VSK grupės „A“ kariškių.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rPr>
          <w:rFonts w:eastAsia="Calibri"/>
        </w:rPr>
        <w:t>Teisiamajame posėdyje liudytojas Ž. K. nurodė, kad kartu su I. Š. saugojo įėjimą į TV bokštą bei tiesiogiai matė, kaip pastarasis buvo sužalotas į pastatą įsiveržusių kariškių. Ž. K. taip pat nurodė, kad prasidėjus atakai nuo tankų šūvių bangos pradėjo dužti stiklai ir į patalpą pasipylė dūmai. Kareiviai dar nebuvo viduje, bet artinosi prie stiklų. I. Š. užduotis buvo laikyti priešgaisrinę žarną, o jo paties – reikalui esant, ją perimti. Kai kareiviai įsiveržė į vidų, pasigirdo šūviai ir I. Š. nukrito kniūbsčias į vandens čiurkšlę, o liudytojas žarnos perimti nebespėjo bei kartu su kitais asmenimis atsitraukė. Ž. K. patvirtino ir tyrimo metu duotus parodymus bei juos posėdyje pakomentavo. Liudytojo teigimu, kareivis, kuris buvo su dideliu šalmu, automato buože trenkė jau kniūbsčiam gulinčiam I. Š. į galvos sritį. Kareivių apranga buvo kamufliažinė, jų šalmai dideli, su skydais ant veido (t. 760, b. l. 10–11). Svarbu pažymėti ir šio liudytojo dar tyrimo metu pateiktą išsamų į TV bokštą įsiveržusių kariškių apibūdinimą. Ž. K. nurodė, kad kareiviai turėjo Kalašnikovo tipo automatus su atlenkiamomis iš šono metalinėmis buožėmis ir, atrodo, trumpais vamzdžiais. Liudytojo įsitikinimu, į bokšto vidų įėję kareiviai skyrėsi nuo tų, kurie liko apačioje ir puolė TV bokštą lauke. Bėgantys į vidų kareiviai buvo apsirengę dėmėta uniforma, neperšaunamomis liemenėmis, turėjo automatus, atrodo, trumpavamzdžius, jų šalmai buvo su antveidžiais, didesni nei įprasti. Tų, kurie liko lauke, šalmai buvo paprasti blizgantys ir aiškiai skyrėsi nuo jo minėtų šalmų (t. 500, b. l. 3–6). Apeliacinės instancijos teismas atkreipia dėmesį ir į tai, kad Ž. K. parodymai apie I. Š. kariškio suduotą smūgį į galvos sritį byloje buvo vertinami ir apklausiant teismo medicinos specialistą R. Raudį, kuris iš esmės patvirtino liudytojo nurodytą nukentėjusiojo sužalojimų pobūdį, be kita ko, nurodydamas, kad I. Š. kairė galvos pusė – jos pakaušio-smilkinio-momens užpakalinės dalies sritis buvo traumuota kietu buku riboto, galimai stačiakampio formos, daiktu ar įrankiu, kuo galėjo būti ir šautuvo buožė, o dešinė galvos pusė suduoto smūgio metu ar iškart po jo, kontaktavo su kietu buku plokščiu neribotu paviršiumi, kuo galėjo būti grindys (t. 505, b. l. 10–12). Atsižvelgiant į tai, teisėjų kolegijai nekyla jokių abejonių dėl liudytojo Ž. K. parodymų patikimumo, juolab, kad juos, be jau minėtų teismo medicinos specialisto paaiškinimų, patvirtina ir kiti byloje ištirti įrodymai, leidžiantys teisėjų kolegijai daryti išvadas, kad į nukentėjusįjį I. Š. šaudė bei jam į galvos sritį automato buože sudavė nenustatytas TSRS VSK grupės „A“ kariškis.</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rPr>
          <w:rFonts w:eastAsia="Calibri"/>
        </w:rPr>
        <w:t xml:space="preserve">Nukentėjusysis N. J. K. teisiamajame posėdyje nurodė, kad vienam iš tankų išdaužus stiklines TV bokšto duris, žmonės prasiskyrė. Iškart po to jis labai gerai matė „Alfa“ būrį. Šie kariškiai labai skyrėsi nuo kitų kariškių, nes jų ekipuotė priminė kosmonautus – jų šalmai buvo sandarūs. Anot nukentėjusiojo, šie kariškiai lengvai subėgo į TV bokšto vidų. N. J. K. patvirtino ir tyrimo metu duotus parodymus apie tai, kad „Alfa“ būrys dėvėjo neperšaunamas liemenes, šalmus su stiklu, per kurį buvo matyti tik veido fragmentai; jų automatai buvo trumpi (t. 759, b. l. 31–32). Taigi asmenys, kuriuos N. J. K. įvardijo kaip TSRS VSK grupės „A“ kariškius, visiškai atitinka Ž. K. pateiktą kariškių, įsiveržusių į TV bokšto vidų ir nužudžiusių I. Š., aprašymą. </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rPr>
          <w:rFonts w:eastAsia="Calibri"/>
        </w:rPr>
        <w:t>Teisiamajame posėdyje apklaustas nukentėjusysis B. J. patvirtino tyrimo metu duotus parodymus, kuriuose identiškai apibūdino į TV bokštą, nepaisant iš jo pilamo vandens, besiveržusius kariškius (</w:t>
      </w:r>
      <w:r w:rsidRPr="00055544">
        <w:t>t. 759, b. l. 8–9).</w:t>
      </w:r>
      <w:r w:rsidRPr="00055544">
        <w:rPr>
          <w:szCs w:val="24"/>
        </w:rPr>
        <w:t xml:space="preserve"> Pastarasis nurodė, kad desantininkai buvo ginkluoti automatais, užsidėję neperšaunamas liemenes ir šalmus su organinio stiklo antveidžiais (t. 69, b. l. 147–152). </w:t>
      </w:r>
    </w:p>
    <w:p w:rsidR="00DA38E9" w:rsidRPr="00C00255" w:rsidRDefault="00DA38E9" w:rsidP="00DA38E9">
      <w:pPr>
        <w:pStyle w:val="ListParagraph"/>
        <w:numPr>
          <w:ilvl w:val="1"/>
          <w:numId w:val="6"/>
        </w:numPr>
        <w:spacing w:before="120" w:after="120"/>
        <w:ind w:left="993" w:hanging="993"/>
        <w:contextualSpacing w:val="0"/>
        <w:rPr>
          <w:lang w:eastAsia="lt-LT" w:bidi="lt-LT"/>
        </w:rPr>
      </w:pPr>
      <w:r w:rsidRPr="00C00255">
        <w:t>Tyrimo metu apklaustas suinteresuotumo šios bylos baigtimi neturintis specialistas A. Garla patvirtino, kad N.</w:t>
      </w:r>
      <w:r>
        <w:t> </w:t>
      </w:r>
      <w:r w:rsidRPr="00C00255">
        <w:t>J.</w:t>
      </w:r>
      <w:r>
        <w:t> K.</w:t>
      </w:r>
      <w:r w:rsidRPr="00C00255">
        <w:t xml:space="preserve"> įvardijamus „kosmonauto šalmus“ įvykių metu iš tiesų galėjo dėvėti </w:t>
      </w:r>
      <w:r w:rsidRPr="00C00255">
        <w:rPr>
          <w:rFonts w:eastAsia="Calibri"/>
          <w:szCs w:val="24"/>
        </w:rPr>
        <w:t xml:space="preserve">TSRS VSK </w:t>
      </w:r>
      <w:r w:rsidRPr="00C00255">
        <w:t xml:space="preserve">grupės „A“ kariškiai. Šio specialisto apklausos protokole užfiksuota, kad vizualiai į „kosmonauto“ panašų šalmą, pastarasis įvardija kaip „šalmą, kurį 1991 m. sausio 13 d. galėjo naudoti specialios paskirties būrys „Alfa“ (t. 481, b. l. 62; šalmo nuotraukos – t. 481, b. l. 83–84). </w:t>
      </w:r>
    </w:p>
    <w:p w:rsidR="00DA38E9" w:rsidRPr="00C00255" w:rsidRDefault="00DA38E9" w:rsidP="00DA38E9">
      <w:pPr>
        <w:pStyle w:val="ListParagraph"/>
        <w:numPr>
          <w:ilvl w:val="0"/>
          <w:numId w:val="6"/>
        </w:numPr>
        <w:spacing w:before="120" w:after="120"/>
        <w:ind w:left="993" w:hanging="993"/>
        <w:contextualSpacing w:val="0"/>
        <w:rPr>
          <w:lang w:eastAsia="lt-LT" w:bidi="lt-LT"/>
        </w:rPr>
      </w:pPr>
      <w:r w:rsidRPr="00C00255">
        <w:t xml:space="preserve">Iš jau minėtų specialisto A. Garlos paaiškinimų matyti, kad tokių šalmų, apie kokius nurodė liudytojas </w:t>
      </w:r>
      <w:r>
        <w:t>Ž. K.</w:t>
      </w:r>
      <w:r w:rsidRPr="00C00255">
        <w:t xml:space="preserve"> ir nukentėjusieji </w:t>
      </w:r>
      <w:r>
        <w:t>N. J. K.</w:t>
      </w:r>
      <w:r w:rsidRPr="00C00255">
        <w:t xml:space="preserve"> bei </w:t>
      </w:r>
      <w:r>
        <w:t>B. J.</w:t>
      </w:r>
      <w:r w:rsidRPr="00C00255">
        <w:t xml:space="preserve">, kitų dalinių kariškiai nenaudojo. Be to, ir 2014 m. birželio 10 d. specialisto išvadą pateikęs J. Andriškevičius išvadoje nurodė, kad „byloje yra medžiaga, patvirtinanti, jog </w:t>
      </w:r>
      <w:r>
        <w:t>I. Š.</w:t>
      </w:r>
      <w:r w:rsidRPr="00C00255">
        <w:t xml:space="preserve">, žuvęs TV bokšte, galimai buvo sužeistas VSK „A“ kariškių koviniais 5,45 mm šoviniais“ ir kad byloje esanti vaizdo ir foto medžiaga liudija, jog VSK „A“ kariškiai buvo ginkluoti 5,45 mm automatais AKS-74 (t. 480, b. l. 37–38). </w:t>
      </w:r>
      <w:r w:rsidRPr="00C00255">
        <w:rPr>
          <w:szCs w:val="24"/>
        </w:rPr>
        <w:t xml:space="preserve">Nukentėjusiojo </w:t>
      </w:r>
      <w:r w:rsidRPr="00DD41B0">
        <w:rPr>
          <w:szCs w:val="24"/>
        </w:rPr>
        <w:t>I. Š.</w:t>
      </w:r>
      <w:r w:rsidRPr="00C00255">
        <w:rPr>
          <w:szCs w:val="24"/>
        </w:rPr>
        <w:t xml:space="preserve"> mirties priežastis tyrę specialistai teismo medicininės ekspertizės akte, be kita ko, nurodė, kad visi septyni </w:t>
      </w:r>
      <w:r>
        <w:rPr>
          <w:szCs w:val="24"/>
        </w:rPr>
        <w:t>I. Š.</w:t>
      </w:r>
      <w:r w:rsidRPr="00C00255">
        <w:rPr>
          <w:szCs w:val="24"/>
        </w:rPr>
        <w:t xml:space="preserve"> kūne rasti šautiniai sužalojimai, padaryti apvalkalinėmis kulkomis, kurių diametras apie 5 mm (t. 91, b. l. 7–25). Taigi iš to galima spręsti, kad visos šautinės žaizdos </w:t>
      </w:r>
      <w:r>
        <w:rPr>
          <w:szCs w:val="24"/>
        </w:rPr>
        <w:t>I. Š.</w:t>
      </w:r>
      <w:r w:rsidRPr="00C00255">
        <w:rPr>
          <w:szCs w:val="24"/>
        </w:rPr>
        <w:t xml:space="preserve"> padarytos to paties kalibro – apie 5 mm diametro – kulkomis. Tokios išvados, vertinant jas visų kitų jau minėtų įrodymų kontekste tiek apie kariškių aprangą, tiek apie naudotus ginklus leidžia konstatuoti, kad šūvius į nukentėjusįjį atliko būtent TSRS VSK grupės „A“ kariškis. </w:t>
      </w:r>
    </w:p>
    <w:p w:rsidR="00DA38E9" w:rsidRPr="00C00255" w:rsidRDefault="00DA38E9" w:rsidP="00DA38E9">
      <w:pPr>
        <w:pStyle w:val="ListParagraph"/>
        <w:numPr>
          <w:ilvl w:val="0"/>
          <w:numId w:val="6"/>
        </w:numPr>
        <w:spacing w:before="120" w:after="120"/>
        <w:ind w:left="993" w:hanging="993"/>
        <w:contextualSpacing w:val="0"/>
        <w:rPr>
          <w:lang w:eastAsia="lt-LT" w:bidi="lt-LT"/>
        </w:rPr>
      </w:pPr>
      <w:r w:rsidRPr="00C00255">
        <w:rPr>
          <w:szCs w:val="24"/>
        </w:rPr>
        <w:t xml:space="preserve">Teisėjų kolegija, darydama tokias išvadas, atmeta ir </w:t>
      </w:r>
      <w:r w:rsidRPr="00C00255">
        <w:t xml:space="preserve">nuteistojo </w:t>
      </w:r>
      <w:r>
        <w:t>V. U. 1</w:t>
      </w:r>
      <w:r w:rsidRPr="00C00255">
        <w:t xml:space="preserve"> gynėjo apeliaciniu skundu keliamas abejones dėl </w:t>
      </w:r>
      <w:r>
        <w:t>I. Š.</w:t>
      </w:r>
      <w:r w:rsidRPr="00C00255">
        <w:t xml:space="preserve"> padarytų sužalojimų pobūdžio, nes gynėjas tokias abejones kelia, nevertindamas byloje pateiktų įrodymų visumos, pateiktų teismo medicinos ekspertinių tyrimų rezultatų, byloje esančio teismo medicinos ekspertizės akto ir teismo medicinos specialisto R. Raudžio paaiškinimų, tačiau remdamasis ne eksperto, o TSRS pareigūnų netrukus po nagrinėjamų įvykių surašyta, bet nepasirašyta pažyma, kurioje, kaip ir daugelyje kitų TSRS pareigūnų surašytų pažymų, buvo bandoma sumenkinti TSRS kariškių naudotos ginkluotės kiekį ir pan. Teisėjų kolegija apie tai jau yra pasisakiusi šio sprendimo 189.1–189.3 pastraipose ir šioje sprendimo dalyje nekartoja. Gynėjo nurodomoje pažymoje apie </w:t>
      </w:r>
      <w:r>
        <w:t>I. Š.</w:t>
      </w:r>
      <w:r w:rsidRPr="00C00255">
        <w:t xml:space="preserve"> sužalojimų pobūdį rašoma, kad „Ekspertas kriminalistas, teisės mokslų daktaras K</w:t>
      </w:r>
      <w:r>
        <w:t>.</w:t>
      </w:r>
      <w:r w:rsidRPr="00C00255">
        <w:t xml:space="preserve"> I., apžiūrėjęs nuotraukas padarė išvadas, kad daugiausia buvo šauta į jau mirusio asmens kūną“). Teisėjų kolegija nemato pagrindo plačiau analizuoti tokio deklaratyvaus pobūdžio pažymos, o gynybos argumentus remiantis tokiu dokumentu atmeta kaip neatsakingus ir deklaratyvius.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Lygiai taip pat teisėjų kolegija neturi pagrindo abejoti ir skundžiamo nuosprendžio išvada, kad vienas iš TSRS VSK grupės „A“ kariškių TV bokšte sunkiai sužalojo ir šį pastatą gynusį KAD darbuotojų būrio vadą </w:t>
      </w:r>
      <w:r>
        <w:rPr>
          <w:szCs w:val="24"/>
        </w:rPr>
        <w:t>J. G.</w:t>
      </w:r>
      <w:r w:rsidRPr="00C00255">
        <w:rPr>
          <w:szCs w:val="24"/>
        </w:rPr>
        <w:t xml:space="preserve">. </w:t>
      </w:r>
    </w:p>
    <w:p w:rsidR="00DA38E9" w:rsidRPr="00055544" w:rsidRDefault="00DA38E9" w:rsidP="00DA38E9">
      <w:pPr>
        <w:pStyle w:val="ListParagraph"/>
        <w:numPr>
          <w:ilvl w:val="0"/>
          <w:numId w:val="6"/>
        </w:numPr>
        <w:spacing w:before="120" w:after="120"/>
        <w:ind w:left="992" w:hanging="992"/>
        <w:contextualSpacing w:val="0"/>
      </w:pPr>
      <w:r w:rsidRPr="00055544">
        <w:rPr>
          <w:rFonts w:eastAsia="Calibri"/>
        </w:rPr>
        <w:t>Jau minėtas liudytojas Ž. K. teisiamajame posėdyje nurodė, kad J. G. vadovavo TV bokšto gynybai ir buvo šiose patalpose įvykių metu, kai TSRS VSK grupės „A“ ir kiti kariškiai šturmavo TV bokštą. Liudytojas patvirtino ir tyrimo metu duotus parodymus, kuriuose nurodė, kad J. G. buvo sudaręs gynybos planus bei instruktavęs, kaip jiems elgtis, jei kariškiai įsiveržtų į pastatą (t. 760, b. l. 10–11; t. 500, b. l. 3–6). Teisiamajame posėdyje apklaustas nukentėjusysis J. G. nurodė, kad kariškiams įsiveržus į TV bokštą, jam esant prie išėjimo, kur reikia nusileisti laiptais iš antro aukšto, jam trenkė kareivis (</w:t>
      </w:r>
      <w:r w:rsidRPr="00055544">
        <w:t>t. 758, b. l. 147–150)</w:t>
      </w:r>
      <w:r w:rsidRPr="00055544">
        <w:rPr>
          <w:rFonts w:eastAsia="Calibri"/>
        </w:rPr>
        <w:t xml:space="preserve">. Teismo posėdyje buvo perskaityti ir nukentėjusiojo parodymai, duoti ikiteisminio tyrimo metu, kuriuose J. G. ne tik nurodė, kad jam buvo suduota į veidą ir kitas kūno vietas, tačiau ir bendrais bruožais, iš esmės panašiai kaip liudytojas Ž. K. bei nukentėjusysis N. J. K., apibūdino, kaip atrodė į TV bokštą įsiveržę kariškiai (t. 69, b. l. 1–2).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rPr>
          <w:rFonts w:eastAsia="Calibri"/>
        </w:rPr>
        <w:t xml:space="preserve">Šios aplinkybės, vertinant jas visų kitų TV bokšte dalyvavusių TSRS VSK grupės „A“ kariškių veiksmų kontekste, leidžia daryti išvadą, kad nukentėjusysis J. G., gynęs TV bokštą jo viduje tuo pat metu kaip ir nukentėjusysis I. Š., taip pat patyrė traumą dėl TSRS VSK grupės „A“ kariškių veiksmų. </w:t>
      </w:r>
      <w:r w:rsidRPr="00055544">
        <w:rPr>
          <w:szCs w:val="24"/>
          <w:lang w:eastAsia="lt-LT" w:bidi="lt-LT"/>
        </w:rPr>
        <w:t>Atsižvelgiant į tai, nuteistojo M. G. gynėjo versija, kad TSRS VSK grupės „A“ kariškiai iš TV bokšto pastato šalindami asmenis jiems nesukėlė neigiamų padarinių, yra neobjektyvi ir paneigta</w:t>
      </w:r>
      <w:r w:rsidRPr="00C00255">
        <w:rPr>
          <w:szCs w:val="24"/>
          <w:lang w:eastAsia="lt-LT" w:bidi="lt-LT"/>
        </w:rPr>
        <w:t xml:space="preserve">. </w:t>
      </w:r>
    </w:p>
    <w:p w:rsidR="00DA38E9" w:rsidRPr="00C00255" w:rsidRDefault="00DA38E9" w:rsidP="00DA38E9">
      <w:pPr>
        <w:pStyle w:val="Heading4"/>
        <w:spacing w:before="120" w:after="120"/>
        <w:ind w:firstLine="992"/>
        <w:rPr>
          <w:rFonts w:ascii="Times New Roman" w:hAnsi="Times New Roman"/>
          <w:b w:val="0"/>
          <w:i/>
          <w:sz w:val="24"/>
          <w:szCs w:val="24"/>
        </w:rPr>
      </w:pPr>
      <w:r w:rsidRPr="00C00255">
        <w:rPr>
          <w:rFonts w:ascii="Times New Roman" w:hAnsi="Times New Roman"/>
          <w:b w:val="0"/>
          <w:i/>
          <w:sz w:val="24"/>
          <w:szCs w:val="24"/>
        </w:rPr>
        <w:t xml:space="preserve">Dėl nuteistojo </w:t>
      </w:r>
      <w:r>
        <w:rPr>
          <w:rFonts w:ascii="Times New Roman" w:hAnsi="Times New Roman"/>
          <w:b w:val="0"/>
          <w:i/>
          <w:sz w:val="24"/>
          <w:szCs w:val="24"/>
        </w:rPr>
        <w:t>M. G.</w:t>
      </w:r>
      <w:r w:rsidRPr="00C00255">
        <w:rPr>
          <w:rFonts w:ascii="Times New Roman" w:hAnsi="Times New Roman"/>
          <w:b w:val="0"/>
          <w:i/>
          <w:sz w:val="24"/>
          <w:szCs w:val="24"/>
        </w:rPr>
        <w:t xml:space="preserve"> dalyvavimo užimant TV bokštą</w:t>
      </w:r>
    </w:p>
    <w:p w:rsidR="00DA38E9" w:rsidRPr="00055544" w:rsidRDefault="00DA38E9" w:rsidP="00DA38E9">
      <w:pPr>
        <w:pStyle w:val="ListParagraph"/>
        <w:numPr>
          <w:ilvl w:val="0"/>
          <w:numId w:val="6"/>
        </w:numPr>
        <w:spacing w:before="120" w:after="120"/>
        <w:ind w:left="992" w:hanging="992"/>
        <w:contextualSpacing w:val="0"/>
      </w:pPr>
      <w:r w:rsidRPr="00055544">
        <w:rPr>
          <w:szCs w:val="24"/>
          <w:lang w:eastAsia="lt-LT"/>
        </w:rPr>
        <w:t xml:space="preserve">Teisėjų kolegija laiko įrodyta, kad TSRS VSK </w:t>
      </w:r>
      <w:r w:rsidRPr="00055544">
        <w:rPr>
          <w:rFonts w:eastAsia="Calibri"/>
          <w:szCs w:val="24"/>
        </w:rPr>
        <w:t xml:space="preserve">grupės </w:t>
      </w:r>
      <w:r w:rsidRPr="00055544">
        <w:rPr>
          <w:rFonts w:eastAsia="Calibri"/>
        </w:rPr>
        <w:t xml:space="preserve">„A“ kariškiams prie TV bokšto vadovavo ir jų veiksmus koordinavo TSRS VSK specialiosios paskirties grupės „A“ viršininko pavaduotojas papulkininkis M. G..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Apygardos teismas tokią išvadą grindė paties nuteistojo </w:t>
      </w:r>
      <w:r>
        <w:rPr>
          <w:szCs w:val="24"/>
          <w:lang w:eastAsia="lt-LT"/>
        </w:rPr>
        <w:t>M. G.</w:t>
      </w:r>
      <w:r w:rsidRPr="00C00255">
        <w:rPr>
          <w:szCs w:val="24"/>
          <w:lang w:eastAsia="lt-LT"/>
        </w:rPr>
        <w:t xml:space="preserve"> paaiškinimais, „Komandiruotės Vilniuje rezultatų pažyma“, kurioje nurodyta informacija apie </w:t>
      </w:r>
      <w:r w:rsidRPr="00C00255">
        <w:rPr>
          <w:rFonts w:eastAsia="Calibri"/>
          <w:szCs w:val="24"/>
        </w:rPr>
        <w:t xml:space="preserve">TSRS VSK </w:t>
      </w:r>
      <w:r w:rsidRPr="00C00255">
        <w:rPr>
          <w:szCs w:val="24"/>
          <w:lang w:eastAsia="lt-LT"/>
        </w:rPr>
        <w:t xml:space="preserve">grupės „A“ kariškių veiksmus prie TV bokšto, prokurorų </w:t>
      </w:r>
      <w:r>
        <w:rPr>
          <w:szCs w:val="24"/>
          <w:lang w:eastAsia="lt-LT"/>
        </w:rPr>
        <w:t>J. G.</w:t>
      </w:r>
      <w:r w:rsidRPr="00C00255">
        <w:rPr>
          <w:szCs w:val="24"/>
          <w:lang w:eastAsia="lt-LT"/>
        </w:rPr>
        <w:t xml:space="preserve"> ir </w:t>
      </w:r>
      <w:r>
        <w:rPr>
          <w:szCs w:val="24"/>
          <w:lang w:eastAsia="lt-LT"/>
        </w:rPr>
        <w:t>A. S.</w:t>
      </w:r>
      <w:r w:rsidRPr="00C00255">
        <w:rPr>
          <w:szCs w:val="24"/>
          <w:lang w:eastAsia="lt-LT"/>
        </w:rPr>
        <w:t xml:space="preserve"> paaiškinimais apie šios pažymos autentiškumą. Taip pat teismas vadovavosi </w:t>
      </w:r>
      <w:r>
        <w:rPr>
          <w:szCs w:val="24"/>
          <w:lang w:eastAsia="lt-LT"/>
        </w:rPr>
        <w:t>M. G.</w:t>
      </w:r>
      <w:r w:rsidRPr="00C00255">
        <w:rPr>
          <w:szCs w:val="24"/>
          <w:lang w:eastAsia="lt-LT"/>
        </w:rPr>
        <w:t xml:space="preserve"> 1991 m. spalio 21 d. pranešimu RSFSR prokuratūrai dėl </w:t>
      </w:r>
      <w:r w:rsidRPr="00C00255">
        <w:rPr>
          <w:rFonts w:eastAsia="Calibri"/>
          <w:szCs w:val="24"/>
        </w:rPr>
        <w:t xml:space="preserve">TSRS VSK </w:t>
      </w:r>
      <w:r w:rsidRPr="00C00255">
        <w:rPr>
          <w:szCs w:val="24"/>
          <w:lang w:eastAsia="lt-LT"/>
        </w:rPr>
        <w:t xml:space="preserve">grupės „A“ darbuotojų 1991 m. sausio 11–14 d. komandiruotės Vilniuje; šio asmens interviu, kuriame jis patvirtino buvęs prie TV bokšto ir pasakojo apie grupės kariškių veiksmus bei operacijos eigą (žr. nuosprendžio 431–432 l., t. 771, b. l. 31–32).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Pr>
          <w:szCs w:val="24"/>
          <w:lang w:eastAsia="lt-LT"/>
        </w:rPr>
        <w:t>M. G.</w:t>
      </w:r>
      <w:r w:rsidRPr="00C00255">
        <w:rPr>
          <w:szCs w:val="24"/>
          <w:lang w:eastAsia="lt-LT"/>
        </w:rPr>
        <w:t xml:space="preserve"> gynėjas apeliaciniame skunde teigia, kad apygardos teismas pažeidė BPK 20 straipsnio reikalavimus vertindamas įrodymus: a) </w:t>
      </w:r>
      <w:r>
        <w:rPr>
          <w:szCs w:val="24"/>
          <w:lang w:eastAsia="lt-LT"/>
        </w:rPr>
        <w:t>M. G.</w:t>
      </w:r>
      <w:r w:rsidRPr="00C00255">
        <w:rPr>
          <w:szCs w:val="24"/>
          <w:lang w:eastAsia="lt-LT"/>
        </w:rPr>
        <w:t xml:space="preserve"> tyrimo metu nedavė jokių parodymų; b) nepasirašytas anoniminis tekstas apie tai, kad prokuroras J. G</w:t>
      </w:r>
      <w:r>
        <w:rPr>
          <w:szCs w:val="24"/>
          <w:lang w:eastAsia="lt-LT"/>
        </w:rPr>
        <w:t>.</w:t>
      </w:r>
      <w:r w:rsidRPr="00C00255">
        <w:rPr>
          <w:szCs w:val="24"/>
          <w:lang w:eastAsia="lt-LT"/>
        </w:rPr>
        <w:t xml:space="preserve">, susitikęs su Maskvos pučo bylos tyrėjais, gavo nuteistojo parodymus dėl komandiruotės į Vilnių – melagingas </w:t>
      </w:r>
      <w:r w:rsidRPr="00C00255">
        <w:rPr>
          <w:szCs w:val="24"/>
        </w:rPr>
        <w:t>(t. 192, b. l. 206–211)</w:t>
      </w:r>
      <w:r w:rsidRPr="00C00255">
        <w:rPr>
          <w:szCs w:val="24"/>
          <w:lang w:eastAsia="lt-LT"/>
        </w:rPr>
        <w:t xml:space="preserve">; c) kiti </w:t>
      </w:r>
      <w:r>
        <w:rPr>
          <w:szCs w:val="24"/>
          <w:lang w:eastAsia="lt-LT"/>
        </w:rPr>
        <w:t>M. G.</w:t>
      </w:r>
      <w:r w:rsidRPr="00C00255">
        <w:rPr>
          <w:szCs w:val="24"/>
          <w:lang w:eastAsia="lt-LT"/>
        </w:rPr>
        <w:t xml:space="preserve"> paaiškinimai, kuriais vadovavosi teismas, neatspindi faktinių aplinkybių, kurias teismas turėjo įvertinti (t. 754, b. l. 113–130); d) netinkamai įvertinti V. K</w:t>
      </w:r>
      <w:r>
        <w:rPr>
          <w:szCs w:val="24"/>
          <w:lang w:eastAsia="lt-LT"/>
        </w:rPr>
        <w:t>.</w:t>
      </w:r>
      <w:r w:rsidRPr="00C00255">
        <w:rPr>
          <w:szCs w:val="24"/>
          <w:lang w:eastAsia="lt-LT"/>
        </w:rPr>
        <w:t>, V. K</w:t>
      </w:r>
      <w:r>
        <w:rPr>
          <w:szCs w:val="24"/>
          <w:lang w:eastAsia="lt-LT"/>
        </w:rPr>
        <w:t>.</w:t>
      </w:r>
      <w:r w:rsidRPr="00C00255">
        <w:rPr>
          <w:szCs w:val="24"/>
          <w:lang w:eastAsia="lt-LT"/>
        </w:rPr>
        <w:t xml:space="preserve"> ir S. C</w:t>
      </w:r>
      <w:r>
        <w:rPr>
          <w:szCs w:val="24"/>
          <w:lang w:eastAsia="lt-LT"/>
        </w:rPr>
        <w:t>.</w:t>
      </w:r>
      <w:r w:rsidRPr="00C00255">
        <w:rPr>
          <w:szCs w:val="24"/>
          <w:lang w:eastAsia="lt-LT"/>
        </w:rPr>
        <w:t xml:space="preserve"> parodymai bei </w:t>
      </w:r>
      <w:r>
        <w:rPr>
          <w:szCs w:val="24"/>
          <w:lang w:eastAsia="lt-LT"/>
        </w:rPr>
        <w:t>M. G.</w:t>
      </w:r>
      <w:r w:rsidRPr="00C00255">
        <w:rPr>
          <w:szCs w:val="24"/>
          <w:lang w:eastAsia="lt-LT"/>
        </w:rPr>
        <w:t xml:space="preserve"> interviu „Ria Novosti“ korespondentui – juose nėra duomenų apie galimai padarytas nusikalstamas veikas; e) </w:t>
      </w:r>
      <w:r w:rsidRPr="00C00255">
        <w:rPr>
          <w:szCs w:val="24"/>
        </w:rPr>
        <w:t>teismo išvada, kad pačių kaltinamųjų nurodytos faktinės aplinkybės visiškai patvirtina jų dalyvavimą karinėje operacijoje, yra deklaratyvi ir nepagrįsta</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Įvertinusi šiuos gynybos argumentus byloje surinktų duomenų kontekste, teisėjų kolegija neabejoja, kad pirmosios instancijos teismo išvada apie </w:t>
      </w:r>
      <w:r>
        <w:rPr>
          <w:szCs w:val="24"/>
          <w:lang w:eastAsia="lt-LT"/>
        </w:rPr>
        <w:t>M. G.</w:t>
      </w:r>
      <w:r w:rsidRPr="00C00255">
        <w:rPr>
          <w:szCs w:val="24"/>
          <w:lang w:eastAsia="lt-LT"/>
        </w:rPr>
        <w:t xml:space="preserve"> vadovaujamą vaidmenį TSRS VSK grupės „A“ kariškiams, yra pagrįsta ir teisinga. Tokią išvadą patvirtina iš skirtingų šaltinių gautų ir BPK 20 straipsnio reikalavimus atitinkančių duomenų visuma.</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Pirmiausia, pažymėtina, kad </w:t>
      </w:r>
      <w:r>
        <w:rPr>
          <w:szCs w:val="24"/>
          <w:lang w:eastAsia="lt-LT"/>
        </w:rPr>
        <w:t>M. G.</w:t>
      </w:r>
      <w:r w:rsidRPr="00C00255">
        <w:rPr>
          <w:szCs w:val="24"/>
          <w:lang w:eastAsia="lt-LT"/>
        </w:rPr>
        <w:t xml:space="preserve"> vaidmuo minėtuose įvykiuose yra pagrįstas ne tik jo gynėjo apeliaciniame skunde kvestionuojamais duomenimis, t. y. nuteistųjų ar kitų asmenų parodymais, paties </w:t>
      </w:r>
      <w:r>
        <w:rPr>
          <w:szCs w:val="24"/>
          <w:lang w:eastAsia="lt-LT"/>
        </w:rPr>
        <w:t>M. G.</w:t>
      </w:r>
      <w:r w:rsidRPr="00C00255">
        <w:rPr>
          <w:szCs w:val="24"/>
          <w:lang w:eastAsia="lt-LT"/>
        </w:rPr>
        <w:t xml:space="preserve"> parodymais, jo interviu bei pan.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Antai, specialistas J. Andriškevičius, </w:t>
      </w:r>
      <w:r w:rsidRPr="00C00255">
        <w:rPr>
          <w:color w:val="000000"/>
          <w:szCs w:val="24"/>
          <w:lang w:eastAsia="lt-LT" w:bidi="lt-LT"/>
        </w:rPr>
        <w:t xml:space="preserve">įvertinęs byloje surinktų aktualių duomenų visumą, </w:t>
      </w:r>
      <w:r w:rsidRPr="00C00255">
        <w:rPr>
          <w:szCs w:val="24"/>
          <w:lang w:eastAsia="lt-LT"/>
        </w:rPr>
        <w:t xml:space="preserve">konstatavo, kad „užimant TV bokštą, VSK „A“ kariškiams vadovavo ir tarpusavio sąveiką organizavo </w:t>
      </w:r>
      <w:r>
        <w:rPr>
          <w:szCs w:val="24"/>
          <w:lang w:eastAsia="lt-LT"/>
        </w:rPr>
        <w:t>M. G.</w:t>
      </w:r>
      <w:r w:rsidRPr="00C00255">
        <w:rPr>
          <w:szCs w:val="24"/>
          <w:lang w:eastAsia="lt-LT"/>
        </w:rPr>
        <w:t>“ (t. 480, b. l. 75). Taip pat svarbūs ir 2017 m. birželio 26 d. posėdyje perskaityti šio proceso baigtimi nesuinteresuoto liudytojo A.</w:t>
      </w:r>
      <w:r>
        <w:rPr>
          <w:szCs w:val="24"/>
          <w:lang w:eastAsia="lt-LT"/>
        </w:rPr>
        <w:t> </w:t>
      </w:r>
      <w:r w:rsidRPr="00C00255">
        <w:rPr>
          <w:szCs w:val="24"/>
          <w:lang w:eastAsia="lt-LT"/>
        </w:rPr>
        <w:t>R</w:t>
      </w:r>
      <w:r>
        <w:rPr>
          <w:szCs w:val="24"/>
          <w:lang w:eastAsia="lt-LT"/>
        </w:rPr>
        <w:t>.</w:t>
      </w:r>
      <w:r w:rsidRPr="00C00255">
        <w:rPr>
          <w:szCs w:val="24"/>
          <w:lang w:eastAsia="lt-LT"/>
        </w:rPr>
        <w:t>, kuris įvykių metu buvo TV bokšto pastate, parodymai (šis liudytojas dėl sveikatos būklės negalėjo atvykti į posėdį ir prašė vadovautis jo parodymais duotais tyrimo metu (t. 760, b. l. 12). Apklaustas 2012 m. kovo 26-27 d. A. R</w:t>
      </w:r>
      <w:r>
        <w:rPr>
          <w:szCs w:val="24"/>
          <w:lang w:eastAsia="lt-LT"/>
        </w:rPr>
        <w:t>.</w:t>
      </w:r>
      <w:r w:rsidRPr="00C00255">
        <w:rPr>
          <w:szCs w:val="24"/>
          <w:lang w:eastAsia="lt-LT"/>
        </w:rPr>
        <w:t xml:space="preserve"> nurodė, kad kariškiams užėmus TV bokštą, į patalpas, kuriose jie buvo, įėjo, kaip spėja, karininkas. Liudytojas suprato, kad būtent šis asmuo vadovavo operacijai, nes girdėjo, kaip jis per radijo stotelę pranešė, kad TV bokštas užimtas ir užduotis įvykdyta. A. R</w:t>
      </w:r>
      <w:r>
        <w:rPr>
          <w:szCs w:val="24"/>
          <w:lang w:eastAsia="lt-LT"/>
        </w:rPr>
        <w:t>.</w:t>
      </w:r>
      <w:r w:rsidRPr="00C00255">
        <w:rPr>
          <w:szCs w:val="24"/>
          <w:lang w:eastAsia="lt-LT"/>
        </w:rPr>
        <w:t xml:space="preserve"> matė kariškio veidą – jis buvo nusiėmęs antveidį ir šis veidas jam labai įsirėžė į atmintį. Po įvykių, kai praeitais metais Austrijoje buvo paleistas TSRS saugumo komiteto padalinio Alfa vadas </w:t>
      </w:r>
      <w:r>
        <w:rPr>
          <w:szCs w:val="24"/>
          <w:lang w:eastAsia="lt-LT"/>
        </w:rPr>
        <w:t>M. G.</w:t>
      </w:r>
      <w:r w:rsidRPr="00C00255">
        <w:rPr>
          <w:szCs w:val="24"/>
          <w:lang w:eastAsia="lt-LT"/>
        </w:rPr>
        <w:t>, liudytojas gali pasakyti, kad būtent jį ir matė tą naktį TV bokšte raportuojantį apie užduoties įvykdymą. Šią aplinkybę A. R</w:t>
      </w:r>
      <w:r>
        <w:rPr>
          <w:szCs w:val="24"/>
          <w:lang w:eastAsia="lt-LT"/>
        </w:rPr>
        <w:t>.</w:t>
      </w:r>
      <w:r w:rsidRPr="00C00255">
        <w:rPr>
          <w:szCs w:val="24"/>
          <w:lang w:eastAsia="lt-LT"/>
        </w:rPr>
        <w:t xml:space="preserve"> tvirtina kategoriškai – tą žmogų įsidėmėjo įvykio naktį, o vėliau iš per televiziją rodomų reportažų atpažino, kad tai būtent jis. Liudytojas taip pat nurodė, kad vėliau kariai klausė šio karininko, ką daryti su liudytoju ir kitais asmenimis. Juos nužiūrėjęs, karininkas trumpai pasakė, kad „šituos į mišką“, po ko kariškiai juos išvedė iš pastato (t. 470, b. l. 162–166).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Teisėjų kolegijos įsitikinimu, vien šių duomenų, turint omenyje, kad </w:t>
      </w:r>
      <w:r>
        <w:rPr>
          <w:szCs w:val="24"/>
          <w:lang w:eastAsia="lt-LT"/>
        </w:rPr>
        <w:t>M. G.</w:t>
      </w:r>
      <w:r w:rsidRPr="00C00255">
        <w:rPr>
          <w:szCs w:val="24"/>
          <w:lang w:eastAsia="lt-LT"/>
        </w:rPr>
        <w:t xml:space="preserve"> užimtų pareigų ir dalyvavimo užimant TV bokštą neginčija ir jo gynėjas (ginčai susiję su veiksmų kvalifikacija, tam tikrų veikos požymių inkriminavimu ir pan.), pakanka konstatuoti, kad būtent </w:t>
      </w:r>
      <w:r>
        <w:rPr>
          <w:szCs w:val="24"/>
          <w:lang w:eastAsia="lt-LT"/>
        </w:rPr>
        <w:t>M. G.</w:t>
      </w:r>
      <w:r w:rsidRPr="00C00255">
        <w:rPr>
          <w:szCs w:val="24"/>
          <w:lang w:eastAsia="lt-LT"/>
        </w:rPr>
        <w:t xml:space="preserve"> vadovavo TSRS VSK grupės „A“ kariškiams šturmuojant TV bokštą. Kaip minėta, tokią išvadą padarė ir suinteresuotumo proceso baigtimi neturintis specialistas J. Andriškevičius. </w:t>
      </w:r>
    </w:p>
    <w:p w:rsidR="00B822BF" w:rsidRPr="00B822BF" w:rsidRDefault="00DA38E9" w:rsidP="00B822BF">
      <w:pPr>
        <w:pStyle w:val="ListParagraph"/>
        <w:numPr>
          <w:ilvl w:val="0"/>
          <w:numId w:val="6"/>
        </w:numPr>
        <w:spacing w:before="120" w:after="120"/>
        <w:ind w:left="992" w:hanging="992"/>
        <w:contextualSpacing w:val="0"/>
        <w:rPr>
          <w:color w:val="000000"/>
          <w:szCs w:val="24"/>
          <w:lang w:eastAsia="lt-LT" w:bidi="lt-LT"/>
        </w:rPr>
      </w:pPr>
      <w:r w:rsidRPr="00055544">
        <w:rPr>
          <w:szCs w:val="24"/>
          <w:lang w:eastAsia="lt-LT"/>
        </w:rPr>
        <w:t>Šiame kontekste teisėjų kolegija taip pat neįžvelgia pagrindo neobjektyvia laikyti gynybos ginčijamą „Komandiruotės Vilniuje rezultatų pažymą“ apie TSRS VSK grupės „A“ kariškių veiksmus 1991 m. sausio mėn. įvykių metu (t. 192, b. l. 36–47). Teisėjų kolegija šio sprendimo dalyje „</w:t>
      </w:r>
      <w:r w:rsidRPr="00055544">
        <w:rPr>
          <w:rFonts w:eastAsia="Calibri"/>
          <w:i/>
          <w:iCs/>
        </w:rPr>
        <w:t xml:space="preserve">Dėl pirmosios instancijos teismo išvadų vertinant </w:t>
      </w:r>
      <w:r w:rsidRPr="00055544">
        <w:rPr>
          <w:i/>
          <w:iCs/>
        </w:rPr>
        <w:t>TSRS VSK ir jai pavaldžių dalinių bei nuteistojo M. G. veiksmus</w:t>
      </w:r>
      <w:r w:rsidRPr="00055544">
        <w:rPr>
          <w:rFonts w:eastAsia="Calibri"/>
          <w:i/>
          <w:iCs/>
        </w:rPr>
        <w:t xml:space="preserve"> planuojant karinę operaciją</w:t>
      </w:r>
      <w:r w:rsidRPr="00055544">
        <w:rPr>
          <w:rFonts w:eastAsia="Calibri"/>
        </w:rPr>
        <w:t>“ (šio sprendimo 189–190 pastraipos) jau pasisakė dėl minėtos pažymos vertinimo, todėl dar kartą minėtų argumentų nekartoja. Be to, d</w:t>
      </w:r>
      <w:r w:rsidRPr="00055544">
        <w:rPr>
          <w:szCs w:val="24"/>
          <w:lang w:eastAsia="lt-LT"/>
        </w:rPr>
        <w:t>ar pirmosios instancijos teismas skundžiamame nuosprendyje pateikė argumentus, kodėl, nepaisant to, kad ši pažyma nėra pasirašyta, ją laiko autentiška. Apygardos teismas pagrįstai pabrėžė prokurorų J. G. ir A. S. pateiktus paaiškinimus apie tai, kaip šie duomenys buvo surinkti, taip pat vėlesnius M. G. pasirašytus dokumentus apie 1991 m. sausio 11–14 d. įvykius Vilniuje (žr. nuosprendžio 431–432 l.). Teisėjų kolegija, dar kartą nekartodama šių argumentų ir neturėdama jokių abejonių dėl šios pažymos autentiškumo, ja vadovaujasi kaip rašytiniu įrodymu, kuris, be kita ko, liudija ir apie TSRS VSK grupės „A“ kariškių atliktus veiksmus užimant TV bokštą. Pažymėtina, kad šioje pažymoje nurodyta ne tik TSRS VSK grupės „A“ kariškių prie TV bokšto įvykdytų veiksmų visuma, naudotos priemonės (ginklai, specialiosios priemonės ir pan.), visos operacijos eiga, bet ir tai, jog operacijai bei suderintiems veiksmams objekte vadovavo būtent papulkininkis M. V.</w:t>
      </w:r>
      <w:r w:rsidRPr="00055544">
        <w:t> </w:t>
      </w:r>
      <w:r w:rsidRPr="00055544">
        <w:rPr>
          <w:szCs w:val="24"/>
          <w:lang w:eastAsia="lt-LT"/>
        </w:rPr>
        <w:t>G. (t. 192, b. l. 45)</w:t>
      </w:r>
      <w:r w:rsidRPr="00C00255">
        <w:rPr>
          <w:szCs w:val="24"/>
          <w:lang w:eastAsia="lt-LT"/>
        </w:rPr>
        <w:t xml:space="preserve">. </w:t>
      </w:r>
    </w:p>
    <w:p w:rsidR="00B822BF" w:rsidRPr="00055544" w:rsidRDefault="00DA38E9" w:rsidP="00B822BF">
      <w:pPr>
        <w:pStyle w:val="ListParagraph"/>
        <w:numPr>
          <w:ilvl w:val="0"/>
          <w:numId w:val="6"/>
        </w:numPr>
        <w:spacing w:before="120" w:after="120"/>
        <w:ind w:left="992" w:hanging="992"/>
        <w:contextualSpacing w:val="0"/>
        <w:rPr>
          <w:color w:val="000000"/>
          <w:szCs w:val="24"/>
          <w:lang w:eastAsia="lt-LT" w:bidi="lt-LT"/>
        </w:rPr>
      </w:pPr>
      <w:r w:rsidRPr="00055544">
        <w:t xml:space="preserve">Visa tai teismui leidžia konstatuoti, kad būtent M. G. </w:t>
      </w:r>
      <w:r w:rsidRPr="00055544">
        <w:rPr>
          <w:rFonts w:eastAsia="Calibri"/>
        </w:rPr>
        <w:t xml:space="preserve">vadovavo TSRS VSK grupės „A“ kariškiams ir koordinavo jų veiksmus pastariesiems užimant TV bokštą. Tokios išvados kontekste, turint omenyje visus jau aptartus tiek bendrus visų kariškių, tiek individualius TSRS VSK grupės „A“ kariškių veiksmus, panaudojant ginklus, specialias priemones ir kitus smurtinius veiksmus prieš civilius, kiti nuteistojo </w:t>
      </w:r>
      <w:r w:rsidRPr="00055544">
        <w:t>M. G. gynėjo teiginiai neturi esminės reikšmės. Kaip ne kartą minėta, užimantgrobiant TV bokštą visi kariškiai veikė koordinuotai, bendrai ir siekdami to paties vieno tikslo, o nuteistasis atliko vadovaujamo pobūdžio veiksmus daliai labai svarbų vaidmenį bendroje operacijoje atlikusių kariškių.</w:t>
      </w:r>
    </w:p>
    <w:p w:rsidR="00DA38E9" w:rsidRPr="00055544" w:rsidRDefault="00DA38E9" w:rsidP="00B822BF">
      <w:pPr>
        <w:pStyle w:val="ListParagraph"/>
        <w:numPr>
          <w:ilvl w:val="0"/>
          <w:numId w:val="6"/>
        </w:numPr>
        <w:spacing w:before="120" w:after="120"/>
        <w:ind w:left="992" w:hanging="992"/>
        <w:contextualSpacing w:val="0"/>
        <w:rPr>
          <w:color w:val="000000"/>
          <w:szCs w:val="24"/>
          <w:lang w:eastAsia="lt-LT" w:bidi="lt-LT"/>
        </w:rPr>
      </w:pPr>
      <w:r w:rsidRPr="00055544">
        <w:t xml:space="preserve">Atsižvelgdama į visa tai, teisėjų kolegija konstatuoja, kad pirmosios instancijos teismo išvados dėl byloje nustatytų faktinių aplinkybių, susijusių su M. G. ir jo vadovautos </w:t>
      </w:r>
      <w:r w:rsidRPr="00055544">
        <w:rPr>
          <w:rFonts w:eastAsia="Calibri"/>
        </w:rPr>
        <w:t xml:space="preserve">TSRS VSK </w:t>
      </w:r>
      <w:r w:rsidRPr="00055544">
        <w:t>grupės „A“ kariškių veiksmais užimant TV bokštą pasitvirtino ir yra teisingos.</w:t>
      </w:r>
      <w:r w:rsidRPr="00055544">
        <w:rPr>
          <w:szCs w:val="24"/>
        </w:rPr>
        <w:t xml:space="preserve"> </w:t>
      </w:r>
    </w:p>
    <w:p w:rsidR="00DA38E9" w:rsidRPr="00C00255" w:rsidRDefault="00DA38E9" w:rsidP="00DA38E9">
      <w:pPr>
        <w:pStyle w:val="Heading3"/>
        <w:spacing w:before="120" w:after="120"/>
        <w:ind w:firstLine="992"/>
        <w:jc w:val="both"/>
        <w:rPr>
          <w:b w:val="0"/>
          <w:i/>
          <w:sz w:val="24"/>
          <w:lang w:val="lt-LT"/>
        </w:rPr>
      </w:pPr>
      <w:bookmarkStart w:id="310" w:name="_Toc67480782"/>
      <w:bookmarkStart w:id="311" w:name="_Toc67677394"/>
      <w:bookmarkStart w:id="312" w:name="_Toc67985522"/>
      <w:r w:rsidRPr="00C00255">
        <w:rPr>
          <w:b w:val="0"/>
          <w:i/>
          <w:sz w:val="24"/>
          <w:lang w:val="lt-LT"/>
        </w:rPr>
        <w:t>Dėl kitų nuteistųjų dalyvavimo užimant TV bokštą</w:t>
      </w:r>
      <w:bookmarkEnd w:id="310"/>
      <w:bookmarkEnd w:id="311"/>
      <w:bookmarkEnd w:id="312"/>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iCs/>
        </w:rPr>
        <w:t xml:space="preserve">Iš jau minėtų ir nuosprendžiu nustatytų aplinkybių matyti, kad užimant TV bokštą be jau minėtų TSRS GM ir VSK kariškių dalyvavo ir kiti asmenys. Teismo nuosprendyje minimi nenustatyti TSRS kariškiai, taip pat draugovininkai. </w:t>
      </w:r>
      <w:r w:rsidRPr="00C00255">
        <w:rPr>
          <w:rFonts w:eastAsia="Calibri"/>
          <w:szCs w:val="24"/>
        </w:rPr>
        <w:t>Skundžiamu nuosprendžiu nustatyta, kad:</w:t>
      </w:r>
    </w:p>
    <w:p w:rsidR="00DA38E9" w:rsidRPr="00C00255" w:rsidRDefault="00DA38E9" w:rsidP="00DA38E9">
      <w:pPr>
        <w:pStyle w:val="ListParagraph"/>
        <w:numPr>
          <w:ilvl w:val="1"/>
          <w:numId w:val="6"/>
        </w:numPr>
        <w:ind w:left="993" w:hanging="993"/>
        <w:rPr>
          <w:rFonts w:eastAsia="Calibri"/>
          <w:szCs w:val="24"/>
        </w:rPr>
      </w:pPr>
      <w:r>
        <w:rPr>
          <w:rFonts w:eastAsia="Calibri"/>
          <w:szCs w:val="24"/>
        </w:rPr>
        <w:t>„</w:t>
      </w:r>
      <w:r w:rsidRPr="00055544">
        <w:rPr>
          <w:rFonts w:eastAsia="Calibri"/>
        </w:rPr>
        <w:t>Puolančiąją koloną be nuosprendyje detaliai nurodytų TSRS GM 107-osios motorizuotų šaulių divizijos keturių tankų ir 76-osios oro desanto divizijos jungtinio pulko septyniolikos desantininkų kovinių mašinų, kitų kovinių mašinų ir automobilių buvo ir nenustatytam kariniam daliniui priklausanti patruliavimo mašina – BRDM. Taip pat nuosprendyje nurodoma, kad vykdant teroro ir bauginimo veiksmus bei vykdant vadovavimo štabo planą, nenustatyti kariškiai per BRDM garsiakalbius leido garso įrašą, kuriame buvo įrašytas vieno iš LKP/TSKP CK vadovų (J. J.) kreipimasis rusų ir lietuvių kalbomis LNGK vardu, pranešant, kad visą valdžią Lietuvoje perima LNGK, kad bet koks pasipriešinimas yra beprasmiškas ir t. t.“ (nuosprendžio 213, 217 l.)</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lang w:eastAsia="lt-LT"/>
        </w:rPr>
        <w:t xml:space="preserve">„Pagal LKP/TSKP nurodymus, autobusu PAZ ir sunkvežimiu, kurių v/n nenustatyti, prie TSRS kariškių tarptautinės humanitarinės teisės draudžiamos karo atakos metu puolamo TV bokšto atvykęs draugovininkų būrys naudojo artimos kovos veiksmus – sudavė civiliams smūgius rankomis ir atsivežtomis priemonėmis, spardė kojomis, t. y. civilių atžvilgiu naudojo fizinį smurtą, pavojingą jų gyvybei. Draugovininkai, prasibrovę į TV bokštą, prisijungė prie TSRS karinių struktūrų vykdomos karo atakos ir kartu su kariškiais šalino iš patalpų civilius, užtikrino TV bokšto ir jo teritorijoje esančių pastatų apsaugą nuo civilių“ </w:t>
      </w:r>
      <w:r w:rsidRPr="00B822BF">
        <w:t>(</w:t>
      </w:r>
      <w:r w:rsidRPr="00B822BF">
        <w:rPr>
          <w:rFonts w:eastAsia="Calibri"/>
        </w:rPr>
        <w:t>žr. nuosprendžio 217 l., t. 770, b. l. 17)</w:t>
      </w:r>
      <w:r w:rsidRPr="00B822BF">
        <w:t xml:space="preserve">. </w:t>
      </w:r>
    </w:p>
    <w:p w:rsidR="00DA38E9" w:rsidRPr="00055544" w:rsidRDefault="00DA38E9" w:rsidP="00DA38E9">
      <w:pPr>
        <w:pStyle w:val="ListParagraph"/>
        <w:numPr>
          <w:ilvl w:val="0"/>
          <w:numId w:val="6"/>
        </w:numPr>
        <w:spacing w:before="120" w:after="120"/>
        <w:ind w:left="993" w:hanging="993"/>
        <w:contextualSpacing w:val="0"/>
        <w:rPr>
          <w:lang w:eastAsia="lt-LT"/>
        </w:rPr>
      </w:pPr>
      <w:r w:rsidRPr="00055544">
        <w:rPr>
          <w:rFonts w:eastAsia="Calibri"/>
        </w:rPr>
        <w:t xml:space="preserve">Šios pirmosios instancijos teismo išvados byloje nėra ginčijamos ir teisėjų kolegijai nekelia abejonių. Tokias aplinkybes patvirtino pakankamai daug liudytojų ir nukentėjusiųjų, be to, tai užfiksuota ir byloje esančiuose vaizdo įrašuose. Specialistas J. Andriškevičius, komentuodamas byloje jam parodytus vaizdo įrašus apie TV bokšto užėmimą, nurodė, kad </w:t>
      </w:r>
      <w:r w:rsidRPr="00055544">
        <w:t>kompaktiniame diske „1A 1 dalis“</w:t>
      </w:r>
      <w:r w:rsidRPr="00055544">
        <w:rPr>
          <w:rFonts w:eastAsia="Calibri"/>
        </w:rPr>
        <w:t xml:space="preserve"> </w:t>
      </w:r>
      <w:r w:rsidRPr="00055544">
        <w:t xml:space="preserve">(t. 507, b. l. 46) </w:t>
      </w:r>
      <w:r w:rsidRPr="00055544">
        <w:rPr>
          <w:rFonts w:eastAsia="Calibri"/>
        </w:rPr>
        <w:t>mato jau minėtą BRMD kovinę mašiną (t. 479, b. l. 146), o byloje esančiame k</w:t>
      </w:r>
      <w:r w:rsidRPr="00055544">
        <w:t>ompaktiniame diske „4A 2 dalis“ esančiame pirmajame vaizdo įraše nuo 42 min. 50 sek. užfiksuoti pasikartojantys tankų šūviai iš pabūklo, o tarp jų girdėti LNGK atstovo kalba (t. 479, b. l. 145, t. 507, b. l. 49). Jau minėtas LNGK kreipimasis iš BRMD nurodytas ir specialisto išvadoje (t. 480, b. l. 74)</w:t>
      </w:r>
      <w:r w:rsidRPr="00055544">
        <w:rPr>
          <w:rFonts w:eastAsia="Calibri"/>
        </w:rPr>
        <w:t xml:space="preserve">. Apie draugovininkų dalyvavimą užimant TV bokštą liudija byloje esantys dokumentai (pvz., jau minėtas nuteistojo V. U. 1 1991 m. sausio 15 d. įsakymas Nr. 3, kuriame, be kita ko, nurodoma, kad kariškiai palaikė draugovininkus 1991 m. sausio 13 d. naktį), teisiamajame posėdyje apklausti liudytojai (pvz., A. K., A. G., Ž. K. ir kt.), be to, </w:t>
      </w:r>
      <w:r w:rsidRPr="00055544">
        <w:t>draugovininkų dalyvavimas užimant TV bokštą ir jų pagalba TSRS kariškiams konstatuota ir įsiteisėjusiais teismų sprendimais jau ne kartą minėtoje M. B., J. K. ir kt. byloje. Vilniaus apygardos teismo 1999 m. rugpjūčio 23 d. nuosprendyje konstatuota, kad „M. B. tyčia bendrininkavo su TSRS vadovybe, kurstydamas panaudoti jau paruoštus karinius dalinius Radijo ir televizijos komiteto pastatų bei Televizijos bokšto užėmimui. Suprasdamas, kad esamoje situacijoje yra neišvengiamos sunkios pasekmės šiuos objektus saugantiems beginkliams žmonės, tame tarpe neišvengiamos žmonių aukos. Kariuomenei padėti pasiuntė draugovininkus.“ ir kad „TSRS kariškių, LKP/TSKP CK vadovų pasiųstų draugovininkų tyčiniais veiksmais prie Radijo ir televizijos komiteto ir Televizijos bokšto daugybė žmonių buvo sužaloti“ (t. 379, b. l. 7).</w:t>
      </w:r>
      <w:r w:rsidRPr="00055544">
        <w:rPr>
          <w:color w:val="000000"/>
          <w:szCs w:val="24"/>
          <w:lang w:eastAsia="lt-LT" w:bidi="lt-LT"/>
        </w:rPr>
        <w:t xml:space="preserve"> </w:t>
      </w:r>
    </w:p>
    <w:p w:rsidR="00DA38E9" w:rsidRPr="00B822BF" w:rsidRDefault="00DA38E9" w:rsidP="00DA38E9">
      <w:pPr>
        <w:pStyle w:val="ListParagraph"/>
        <w:numPr>
          <w:ilvl w:val="0"/>
          <w:numId w:val="6"/>
        </w:numPr>
        <w:spacing w:before="120" w:after="120"/>
        <w:ind w:left="992" w:hanging="992"/>
        <w:contextualSpacing w:val="0"/>
      </w:pPr>
      <w:r w:rsidRPr="00055544">
        <w:t>Taigi minėtos teismo išvados apie nenustatytus kariškius, leidusius LNGK garso įrašą, ir draugovininkų dalyvavimą užimant TV bokštą yra teisingos ir įrodytos. Visgi, teisėjų kolegija pastebi, kad skundžiamo nuosprendžio motyvuojamojoje dalyje nepagrįstai nurodyta, kad nuteistasis R. J. 1 vadovavo draugovininkams ir TV bokšto užėmimo metu, t. y. nurodyta, jog „</w:t>
      </w:r>
      <w:r w:rsidRPr="00055544">
        <w:rPr>
          <w:rFonts w:eastAsia="Calibri"/>
        </w:rPr>
        <w:t>Kaltinamojo R. J. 1 vadovavimą draugovininkams, vykstant į TSRS kariškių puolamus TV bokštą bei LRT ir padedant juos užimti, patvirtina vaizdo įrašuose užfiksuotos faktinės įvykių aplinkybės, liudytojų parodymai.“ (nuosprendžio 112–113 l.; t. 769, b. l. 112–113). Skundžiamo nuosprendžio dalyje dėl TV bokšto užėmimo nuteistasis R. J. 1 apskritai neminimas kaip asmuo dalyvavęs užimant TV bokštą ir tai visiškai suprantama, nes byloje jokie kaltinimai jam dėl dalyvavimo užimant TV bokštą nebuvo pateikti – jam inkriminuojamas tik dalyvavimas užimant LRT pastatą (šias aplinkybes teismas aptars atskiroje sprendimo dalyje). Teismo nuosprendžio nustatomojoje dalyje aprašant TV bokšto užėmimo aplinkybes tokios aplinkybės taip pat nenurodytos, todėl teisėjų kolegija minėtą teismo teiginį vertina kaip techninę klaidą ir vertindama nuteistojo R. J. 1 veiksmus ja nesivadovauja.</w:t>
      </w:r>
      <w:r w:rsidRPr="00B822BF">
        <w:rPr>
          <w:rFonts w:eastAsia="Calibri"/>
        </w:rPr>
        <w:t xml:space="preserve"> </w:t>
      </w:r>
    </w:p>
    <w:p w:rsidR="00DA38E9" w:rsidRPr="00C00255" w:rsidRDefault="00DA38E9" w:rsidP="00DA38E9">
      <w:pPr>
        <w:pStyle w:val="Heading3"/>
        <w:spacing w:before="120" w:after="120"/>
        <w:ind w:left="992"/>
        <w:jc w:val="both"/>
        <w:rPr>
          <w:bCs/>
          <w:i/>
          <w:iCs/>
          <w:sz w:val="24"/>
          <w:szCs w:val="24"/>
          <w:lang w:val="lt-LT"/>
        </w:rPr>
      </w:pPr>
      <w:bookmarkStart w:id="313" w:name="_Toc67480783"/>
      <w:bookmarkStart w:id="314" w:name="_Toc67677395"/>
      <w:bookmarkStart w:id="315" w:name="_Toc67985523"/>
      <w:r w:rsidRPr="00C00255">
        <w:rPr>
          <w:b w:val="0"/>
          <w:bCs/>
          <w:i/>
          <w:iCs/>
          <w:sz w:val="24"/>
          <w:szCs w:val="24"/>
          <w:lang w:val="lt-LT"/>
        </w:rPr>
        <w:t>Dėl kitų skundžiamu nuosprendžiu nustatytų faktinių aplinkybių, susijusių su TV bokšto užėmimu, pagrįstumo</w:t>
      </w:r>
      <w:bookmarkEnd w:id="313"/>
      <w:bookmarkEnd w:id="314"/>
      <w:bookmarkEnd w:id="315"/>
      <w:r w:rsidRPr="00C00255">
        <w:rPr>
          <w:b w:val="0"/>
          <w:bCs/>
          <w:i/>
          <w:iCs/>
          <w:sz w:val="24"/>
          <w:szCs w:val="24"/>
          <w:lang w:val="lt-LT"/>
        </w:rPr>
        <w:t xml:space="preserve"> </w:t>
      </w:r>
    </w:p>
    <w:p w:rsidR="00DA38E9" w:rsidRPr="00055544" w:rsidRDefault="00DA38E9" w:rsidP="00DA38E9">
      <w:pPr>
        <w:pStyle w:val="ListParagraph"/>
        <w:numPr>
          <w:ilvl w:val="0"/>
          <w:numId w:val="6"/>
        </w:numPr>
        <w:spacing w:before="120" w:after="120"/>
        <w:ind w:left="992" w:hanging="992"/>
        <w:contextualSpacing w:val="0"/>
        <w:rPr>
          <w:color w:val="000000"/>
          <w:szCs w:val="24"/>
          <w:lang w:eastAsia="lt-LT" w:bidi="lt-LT"/>
        </w:rPr>
      </w:pPr>
      <w:r w:rsidRPr="00055544">
        <w:rPr>
          <w:szCs w:val="24"/>
          <w:lang w:eastAsia="lt-LT"/>
        </w:rPr>
        <w:t xml:space="preserve">Nagrinėjamoje byloje apeliaciniais skundais ginčijamos ir pirmosios instancijos teismo nustatytos kitos faktinės aplinkybės, susijusios su TV bokšto užėmimu. Atskiruose apeliaciniuose skunduose keliamos abejonės dėl nukentėjusiųjų D. G. ir V. J. V. nužudymo ir mirties aplinkybių (kitų nukentėjusiųjų nužudymo ar sužalojimo aplinkybės jau aptartos arba nėra ginčijamos), dėl prie TV bokšto žuvusių asmenų skaičiaus, dėl TSRS kariškių panaudotų šovinių ir kulkų tipo bei atliktų šūvių pobūdžio, dėl civilių šaudymo į TSRS kariškius ir pan. </w:t>
      </w:r>
    </w:p>
    <w:p w:rsidR="00DA38E9" w:rsidRPr="00C00255" w:rsidRDefault="00DA38E9" w:rsidP="00DA38E9">
      <w:pPr>
        <w:pStyle w:val="Heading4"/>
        <w:spacing w:before="120" w:after="120"/>
        <w:ind w:firstLine="992"/>
        <w:rPr>
          <w:rFonts w:ascii="Times New Roman" w:hAnsi="Times New Roman"/>
          <w:b w:val="0"/>
          <w:i/>
          <w:sz w:val="24"/>
          <w:szCs w:val="24"/>
        </w:rPr>
      </w:pPr>
      <w:r w:rsidRPr="00C00255">
        <w:rPr>
          <w:rFonts w:ascii="Times New Roman" w:hAnsi="Times New Roman"/>
          <w:b w:val="0"/>
          <w:i/>
          <w:sz w:val="24"/>
          <w:szCs w:val="24"/>
        </w:rPr>
        <w:t xml:space="preserve">Dėl </w:t>
      </w:r>
      <w:r>
        <w:rPr>
          <w:rFonts w:ascii="Times New Roman" w:hAnsi="Times New Roman"/>
          <w:b w:val="0"/>
          <w:i/>
          <w:sz w:val="24"/>
          <w:szCs w:val="24"/>
        </w:rPr>
        <w:t>D. G.</w:t>
      </w:r>
      <w:r w:rsidRPr="00C00255">
        <w:rPr>
          <w:rFonts w:ascii="Times New Roman" w:hAnsi="Times New Roman"/>
          <w:b w:val="0"/>
          <w:i/>
          <w:sz w:val="24"/>
          <w:szCs w:val="24"/>
        </w:rPr>
        <w:t xml:space="preserve"> ir </w:t>
      </w:r>
      <w:r>
        <w:rPr>
          <w:rFonts w:ascii="Times New Roman" w:hAnsi="Times New Roman"/>
          <w:b w:val="0"/>
          <w:i/>
          <w:sz w:val="24"/>
          <w:szCs w:val="24"/>
        </w:rPr>
        <w:t>V. J. V.</w:t>
      </w:r>
      <w:r w:rsidRPr="00C00255">
        <w:rPr>
          <w:rFonts w:ascii="Times New Roman" w:hAnsi="Times New Roman"/>
          <w:b w:val="0"/>
          <w:i/>
          <w:sz w:val="24"/>
          <w:szCs w:val="24"/>
        </w:rPr>
        <w:t xml:space="preserve"> nužudymo</w:t>
      </w:r>
    </w:p>
    <w:p w:rsidR="00DA38E9" w:rsidRPr="00055544" w:rsidRDefault="00DA38E9" w:rsidP="00DA38E9">
      <w:pPr>
        <w:pStyle w:val="ListParagraph"/>
        <w:numPr>
          <w:ilvl w:val="0"/>
          <w:numId w:val="6"/>
        </w:numPr>
        <w:spacing w:before="120" w:after="120"/>
        <w:ind w:left="993" w:hanging="993"/>
        <w:contextualSpacing w:val="0"/>
        <w:rPr>
          <w:rFonts w:eastAsia="Calibri"/>
        </w:rPr>
      </w:pPr>
      <w:r w:rsidRPr="00055544">
        <w:rPr>
          <w:szCs w:val="24"/>
        </w:rPr>
        <w:t xml:space="preserve">Pirmosios instancijos teismas nuosprendžiu konstatavo, </w:t>
      </w:r>
      <w:r w:rsidRPr="00055544">
        <w:t>kad k</w:t>
      </w:r>
      <w:r w:rsidRPr="00055544">
        <w:rPr>
          <w:rFonts w:eastAsia="Calibri"/>
        </w:rPr>
        <w:t>aro atakos prie TV bokšto metu TSRS GM 76-osios oro desanto divizijos ir kitų karinių struktūrų kariškiai, panaudoję šaunamuosius ginklus, specialiąsias priemones ir artimos kovos veiksmus, bendrais veiksmais, be kitų nuosprendyje nurodytų asmenų, tyčia nužudė ir:</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B822BF">
        <w:rPr>
          <w:rFonts w:eastAsia="Calibri"/>
        </w:rPr>
        <w:t>D. G., kuris mirė nuo daugybinių šautinių kūno sužalojimų, pažeidusių jo plaučius, šlaunies arteriją ir veną bei dėl to kilus kraujosruvai</w:t>
      </w:r>
      <w:r w:rsidRPr="00C00255">
        <w:rPr>
          <w:rFonts w:eastAsia="Calibri"/>
          <w:szCs w:val="24"/>
        </w:rPr>
        <w:t xml:space="preserve">; </w:t>
      </w:r>
    </w:p>
    <w:p w:rsidR="00DA38E9" w:rsidRPr="00C00255" w:rsidRDefault="00DA38E9" w:rsidP="00DA38E9">
      <w:pPr>
        <w:pStyle w:val="ListParagraph"/>
        <w:numPr>
          <w:ilvl w:val="1"/>
          <w:numId w:val="6"/>
        </w:numPr>
        <w:spacing w:before="120" w:after="120"/>
        <w:ind w:left="993" w:hanging="993"/>
        <w:contextualSpacing w:val="0"/>
        <w:rPr>
          <w:rFonts w:eastAsia="Calibri"/>
          <w:szCs w:val="24"/>
        </w:rPr>
      </w:pPr>
      <w:r w:rsidRPr="00B822BF">
        <w:rPr>
          <w:rFonts w:eastAsia="Calibri"/>
        </w:rPr>
        <w:t>V. J. V., kuris mirė dėl to, kad po plaučių ir širdies keturių šautinių sužeidimų buvo ūmus nukraujavimas</w:t>
      </w:r>
      <w:r w:rsidRPr="00C00255">
        <w:rPr>
          <w:rFonts w:eastAsia="Calibri"/>
          <w:szCs w:val="24"/>
        </w:rPr>
        <w:t>.</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Nuteistojo </w:t>
      </w:r>
      <w:r>
        <w:rPr>
          <w:szCs w:val="24"/>
        </w:rPr>
        <w:t>V. U. 1</w:t>
      </w:r>
      <w:r w:rsidRPr="00C00255">
        <w:rPr>
          <w:szCs w:val="24"/>
        </w:rPr>
        <w:t xml:space="preserve"> gynėjas, panašiai kaip ir ginčydamas jau aptartas nukentėjusiųjų L. A</w:t>
      </w:r>
      <w:r>
        <w:rPr>
          <w:szCs w:val="24"/>
        </w:rPr>
        <w:t>.</w:t>
      </w:r>
      <w:r w:rsidRPr="00C00255">
        <w:rPr>
          <w:szCs w:val="24"/>
        </w:rPr>
        <w:t xml:space="preserve">, </w:t>
      </w:r>
      <w:r>
        <w:rPr>
          <w:szCs w:val="24"/>
        </w:rPr>
        <w:t>A. P. K.</w:t>
      </w:r>
      <w:r w:rsidRPr="00C00255">
        <w:rPr>
          <w:szCs w:val="24"/>
        </w:rPr>
        <w:t xml:space="preserve"> bei </w:t>
      </w:r>
      <w:r>
        <w:rPr>
          <w:szCs w:val="24"/>
        </w:rPr>
        <w:t>I. Š.</w:t>
      </w:r>
      <w:r w:rsidRPr="00C00255">
        <w:rPr>
          <w:szCs w:val="24"/>
        </w:rPr>
        <w:t xml:space="preserve"> nužudymo aplinkybes, teigia, kad ekspertams kilo abejonių ir dėl </w:t>
      </w:r>
      <w:r>
        <w:rPr>
          <w:szCs w:val="24"/>
        </w:rPr>
        <w:t>D. G.</w:t>
      </w:r>
      <w:r w:rsidRPr="00C00255">
        <w:rPr>
          <w:szCs w:val="24"/>
        </w:rPr>
        <w:t xml:space="preserve"> bei </w:t>
      </w:r>
      <w:r>
        <w:rPr>
          <w:szCs w:val="24"/>
        </w:rPr>
        <w:t>V. J. V.</w:t>
      </w:r>
      <w:r w:rsidRPr="00C00255">
        <w:rPr>
          <w:szCs w:val="24"/>
        </w:rPr>
        <w:t xml:space="preserve"> mirties priežasčių, nes ant abiejų nukentėjusiųjų kūnų rasta įvairių krypčių šautinių žaizdų, kas leidžia manyti apie galimą šaudymą iš įvairių vietų ir pan. Keldamas tokias abejones advokatas A. Asovskis vėlgi remiasi nepasirašyta TSRS pareigūnų pažyma, dėl kurios pobūdžio ir vertinimo teisėjų kolegija pasisakė šio sprendimo 385 ir 517 pastraipose, taip pat ir apie šioje pažymoje nurodytus nepagrįstus L. A</w:t>
      </w:r>
      <w:r>
        <w:rPr>
          <w:szCs w:val="24"/>
        </w:rPr>
        <w:t>.</w:t>
      </w:r>
      <w:r w:rsidRPr="00C00255">
        <w:rPr>
          <w:szCs w:val="24"/>
        </w:rPr>
        <w:t xml:space="preserve"> ir </w:t>
      </w:r>
      <w:r>
        <w:rPr>
          <w:szCs w:val="24"/>
        </w:rPr>
        <w:t>I. Š.</w:t>
      </w:r>
      <w:r w:rsidRPr="00C00255">
        <w:rPr>
          <w:szCs w:val="24"/>
        </w:rPr>
        <w:t xml:space="preserve"> sužalojimų vertinimus. Advokato minimoje pažymoje apie nukentėjusiojo </w:t>
      </w:r>
      <w:r>
        <w:rPr>
          <w:szCs w:val="24"/>
        </w:rPr>
        <w:t>D. G.</w:t>
      </w:r>
      <w:r w:rsidRPr="00C00255">
        <w:rPr>
          <w:szCs w:val="24"/>
        </w:rPr>
        <w:t xml:space="preserve"> ir </w:t>
      </w:r>
      <w:r>
        <w:rPr>
          <w:szCs w:val="24"/>
        </w:rPr>
        <w:t>V. J. V.</w:t>
      </w:r>
      <w:r w:rsidRPr="00C00255">
        <w:rPr>
          <w:szCs w:val="24"/>
        </w:rPr>
        <w:t xml:space="preserve"> nužudymo aplinkybes nurodoma, taip:</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„ant G</w:t>
      </w:r>
      <w:r>
        <w:rPr>
          <w:szCs w:val="24"/>
        </w:rPr>
        <w:t>.</w:t>
      </w:r>
      <w:r w:rsidRPr="00C00255">
        <w:rPr>
          <w:szCs w:val="24"/>
        </w:rPr>
        <w:t> D</w:t>
      </w:r>
      <w:r>
        <w:rPr>
          <w:szCs w:val="24"/>
        </w:rPr>
        <w:t>. </w:t>
      </w:r>
      <w:r w:rsidRPr="00C00255">
        <w:rPr>
          <w:szCs w:val="24"/>
        </w:rPr>
        <w:t>A</w:t>
      </w:r>
      <w:r>
        <w:rPr>
          <w:szCs w:val="24"/>
        </w:rPr>
        <w:t>.</w:t>
      </w:r>
      <w:r w:rsidRPr="00C00255">
        <w:rPr>
          <w:szCs w:val="24"/>
        </w:rPr>
        <w:t xml:space="preserve"> kūno yra penkios šautinės žaizdos, kurių ekspertizė rodo, kad šauta buvo ne vienu laiku ir iš skirtingų taškų“;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„didelių abejonių kelia V</w:t>
      </w:r>
      <w:r>
        <w:rPr>
          <w:szCs w:val="24"/>
        </w:rPr>
        <w:t>.</w:t>
      </w:r>
      <w:r w:rsidRPr="00C00255">
        <w:rPr>
          <w:szCs w:val="24"/>
        </w:rPr>
        <w:t xml:space="preserve"> mirties aplinkybės, ant kurio kūno matomos trys šautinės žaizdos, išsidėsčiusios taip, kad šauta galėjo būti iš skirtingų taškų. Be to, dvi žaizdos yra mirtinos kiekviena atskirai, o vienos žaizdos kanalo kryptis yra iš apačios į viršų, kitos iš viršaus į apačią. Remiantis mūsų turimais duomenimis, V</w:t>
      </w:r>
      <w:r>
        <w:rPr>
          <w:szCs w:val="24"/>
        </w:rPr>
        <w:t>.</w:t>
      </w:r>
      <w:r w:rsidRPr="00C00255">
        <w:rPr>
          <w:szCs w:val="24"/>
        </w:rPr>
        <w:t xml:space="preserve"> mirė nuo sušalimo vietoje, nesusijusioje su vykdyta operacija“ (t. 151, b. l. 258–261, t. 450, b. l. 226–227).</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Šioje nepasirašytoje pažymoje nenurodoma jokia konkreti ekspertizė, ar jokie kiti konkretūs duomenys, kuriais grindžiami joje nurodomi teiginiai, todėl teisėjų kolegija, įvertindama visą pažymos turinį, įvykių kontekstą ir byloje ne kartą konstatuotą TSRS pareigūnų siekį įvairiuose dokumentuose iškreipti faktus, siekiant sumenkinti TSRS kariškių veiksmus, tokią pažymą vertina kaip tendencingą ir niekuo nepagrįstą faktų interpretaciją.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Jau išnagrinėtoje </w:t>
      </w:r>
      <w:r>
        <w:rPr>
          <w:szCs w:val="24"/>
        </w:rPr>
        <w:t>M. B.</w:t>
      </w:r>
      <w:r w:rsidRPr="00C00255">
        <w:rPr>
          <w:szCs w:val="24"/>
        </w:rPr>
        <w:t xml:space="preserve"> </w:t>
      </w:r>
      <w:r>
        <w:rPr>
          <w:bCs/>
          <w:szCs w:val="24"/>
        </w:rPr>
        <w:t>J. K.</w:t>
      </w:r>
      <w:r w:rsidRPr="00C00255">
        <w:rPr>
          <w:bCs/>
          <w:szCs w:val="24"/>
        </w:rPr>
        <w:t xml:space="preserve"> ir kt. byloje </w:t>
      </w:r>
      <w:r w:rsidRPr="00C00255">
        <w:rPr>
          <w:szCs w:val="24"/>
          <w:lang w:eastAsia="lt-LT"/>
        </w:rPr>
        <w:t>Vilniaus apygardos teismo 1999 m. rugpjūčio 23 d. nuosprendžiu konstatuota</w:t>
      </w:r>
      <w:r w:rsidRPr="00C00255">
        <w:rPr>
          <w:color w:val="000000"/>
          <w:szCs w:val="24"/>
          <w:lang w:eastAsia="lt-LT" w:bidi="lt-LT"/>
        </w:rPr>
        <w:t xml:space="preserve">, kad „objektų šturmo metu, naktį iš sausio 12-os į 13-ąją d. TSRS kariškiai tyčia nužudė prie TV bokšto: &lt;...&gt; </w:t>
      </w:r>
      <w:r>
        <w:rPr>
          <w:color w:val="000000"/>
          <w:szCs w:val="24"/>
          <w:lang w:eastAsia="lt-LT" w:bidi="lt-LT"/>
        </w:rPr>
        <w:t>D. G.</w:t>
      </w:r>
      <w:r w:rsidRPr="00C00255">
        <w:rPr>
          <w:color w:val="000000"/>
          <w:szCs w:val="24"/>
          <w:lang w:eastAsia="lt-LT" w:bidi="lt-LT"/>
        </w:rPr>
        <w:t xml:space="preserve"> mirė nuo daugybinių šautinių kūno sužalojimų, pažeidusių jo plaučius, šlaunies arteriją ir veną“ &lt;...&gt; V.</w:t>
      </w:r>
      <w:r>
        <w:rPr>
          <w:color w:val="000000"/>
          <w:szCs w:val="24"/>
          <w:lang w:eastAsia="lt-LT" w:bidi="lt-LT"/>
        </w:rPr>
        <w:t> </w:t>
      </w:r>
      <w:r w:rsidRPr="00C00255">
        <w:rPr>
          <w:color w:val="000000"/>
          <w:szCs w:val="24"/>
          <w:lang w:eastAsia="lt-LT" w:bidi="lt-LT"/>
        </w:rPr>
        <w:t>V</w:t>
      </w:r>
      <w:r>
        <w:rPr>
          <w:color w:val="000000"/>
          <w:szCs w:val="24"/>
          <w:lang w:eastAsia="lt-LT" w:bidi="lt-LT"/>
        </w:rPr>
        <w:t>.</w:t>
      </w:r>
      <w:r w:rsidRPr="00C00255">
        <w:rPr>
          <w:color w:val="000000"/>
          <w:szCs w:val="24"/>
          <w:lang w:eastAsia="lt-LT" w:bidi="lt-LT"/>
        </w:rPr>
        <w:t xml:space="preserve"> mirė nuo keturių šautinių plaučių ir širdies sužalojimų“ (t. 379, b. l. 7). Taigi </w:t>
      </w:r>
      <w:r w:rsidRPr="00C00255">
        <w:rPr>
          <w:iCs/>
          <w:color w:val="000000"/>
          <w:szCs w:val="24"/>
          <w:lang w:eastAsia="lt-LT" w:bidi="lt-LT"/>
        </w:rPr>
        <w:t>minėtoje</w:t>
      </w:r>
      <w:r w:rsidRPr="00C00255">
        <w:rPr>
          <w:color w:val="000000"/>
          <w:szCs w:val="24"/>
          <w:lang w:eastAsia="lt-LT" w:bidi="lt-LT"/>
        </w:rPr>
        <w:t xml:space="preserve"> byloje nustatytas ne tik faktas, kad </w:t>
      </w:r>
      <w:r>
        <w:rPr>
          <w:color w:val="000000"/>
          <w:szCs w:val="24"/>
          <w:lang w:eastAsia="lt-LT" w:bidi="lt-LT"/>
        </w:rPr>
        <w:t>D. G.</w:t>
      </w:r>
      <w:r w:rsidRPr="00C00255">
        <w:rPr>
          <w:color w:val="000000"/>
          <w:szCs w:val="24"/>
          <w:lang w:eastAsia="lt-LT" w:bidi="lt-LT"/>
        </w:rPr>
        <w:t xml:space="preserve"> ir </w:t>
      </w:r>
      <w:r>
        <w:rPr>
          <w:szCs w:val="24"/>
        </w:rPr>
        <w:t>V. J. V.</w:t>
      </w:r>
      <w:r w:rsidRPr="00C00255">
        <w:rPr>
          <w:szCs w:val="24"/>
        </w:rPr>
        <w:t xml:space="preserve"> </w:t>
      </w:r>
      <w:r w:rsidRPr="00C00255">
        <w:rPr>
          <w:color w:val="000000"/>
          <w:szCs w:val="24"/>
          <w:lang w:eastAsia="lt-LT" w:bidi="lt-LT"/>
        </w:rPr>
        <w:t xml:space="preserve">nužudė TSRS kariškiai TV bokšto užėmimo metu, tačiau konstatuotos ir jų mirties priežastys – šautiniai sužalojimai.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color w:val="000000"/>
          <w:szCs w:val="24"/>
          <w:lang w:eastAsia="lt-LT" w:bidi="lt-LT"/>
        </w:rPr>
        <w:t xml:space="preserve">Advokato teiginiai apie skirtingu laiku atliktus šūvius į </w:t>
      </w:r>
      <w:r>
        <w:rPr>
          <w:color w:val="000000"/>
          <w:szCs w:val="24"/>
          <w:lang w:eastAsia="lt-LT" w:bidi="lt-LT"/>
        </w:rPr>
        <w:t>D. G.</w:t>
      </w:r>
      <w:r w:rsidRPr="00C00255">
        <w:rPr>
          <w:color w:val="000000"/>
          <w:szCs w:val="24"/>
          <w:lang w:eastAsia="lt-LT" w:bidi="lt-LT"/>
        </w:rPr>
        <w:t xml:space="preserve"> nagrinėjamoje byloje yra aiškiai paneigti ir ekspertinių tyrimų rezultatais. 1991 m. sausio 13 d. eksperto išvada Nr. 59 buvo nustatyta, kad visi ant </w:t>
      </w:r>
      <w:r>
        <w:rPr>
          <w:color w:val="000000"/>
          <w:szCs w:val="24"/>
          <w:lang w:eastAsia="lt-LT" w:bidi="lt-LT"/>
        </w:rPr>
        <w:t>D. G.</w:t>
      </w:r>
      <w:r w:rsidRPr="00C00255">
        <w:rPr>
          <w:color w:val="000000"/>
          <w:szCs w:val="24"/>
          <w:lang w:eastAsia="lt-LT" w:bidi="lt-LT"/>
        </w:rPr>
        <w:t xml:space="preserve"> kūno nustatyti šautiniai sužalojimai buvo padaryti kulkomis, kurių apytikris skersmuo 5 mm (t. 92, b. l. 98–113). Teisėjų kolegijos įsitikinimu, taip apibūdintas sužalojimų skersmuo leidžia daryti išvadą apie tai, kad sužalojimai buvo padaryti tuo pačiu ginklu ir tuo pačiu metu. Be to, tokią išvadą patvirtina ir teisiamajame posėdyje apklausto nukentėjusiojo A.</w:t>
      </w:r>
      <w:r>
        <w:rPr>
          <w:color w:val="000000"/>
          <w:szCs w:val="24"/>
          <w:lang w:eastAsia="lt-LT" w:bidi="lt-LT"/>
        </w:rPr>
        <w:t> </w:t>
      </w:r>
      <w:r w:rsidRPr="00C00255">
        <w:rPr>
          <w:color w:val="000000"/>
          <w:szCs w:val="24"/>
          <w:lang w:eastAsia="lt-LT" w:bidi="lt-LT"/>
        </w:rPr>
        <w:t>V</w:t>
      </w:r>
      <w:r>
        <w:rPr>
          <w:color w:val="000000"/>
          <w:szCs w:val="24"/>
          <w:lang w:eastAsia="lt-LT" w:bidi="lt-LT"/>
        </w:rPr>
        <w:t>.</w:t>
      </w:r>
      <w:r w:rsidRPr="00C00255">
        <w:rPr>
          <w:color w:val="000000"/>
          <w:szCs w:val="24"/>
          <w:lang w:eastAsia="lt-LT" w:bidi="lt-LT"/>
        </w:rPr>
        <w:t xml:space="preserve"> parodymai apie jo matytą karį, kuris nušovė nukentėjusįjį </w:t>
      </w:r>
      <w:r>
        <w:rPr>
          <w:color w:val="000000"/>
          <w:szCs w:val="24"/>
          <w:lang w:eastAsia="lt-LT" w:bidi="lt-LT"/>
        </w:rPr>
        <w:t>D. G.</w:t>
      </w:r>
      <w:r w:rsidRPr="00C00255">
        <w:rPr>
          <w:color w:val="000000"/>
          <w:szCs w:val="24"/>
          <w:lang w:eastAsia="lt-LT" w:bidi="lt-LT"/>
        </w:rPr>
        <w:t xml:space="preserve"> (t. </w:t>
      </w:r>
      <w:r w:rsidRPr="00C00255">
        <w:rPr>
          <w:szCs w:val="24"/>
        </w:rPr>
        <w:t xml:space="preserve">759, b. l. 189–190).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Teisėjų kolegijos vidinį įsitikinimą apie tai, kad </w:t>
      </w:r>
      <w:r>
        <w:rPr>
          <w:szCs w:val="24"/>
        </w:rPr>
        <w:t>D. G.</w:t>
      </w:r>
      <w:r w:rsidRPr="00C00255">
        <w:rPr>
          <w:szCs w:val="24"/>
        </w:rPr>
        <w:t xml:space="preserve"> nužudė vienas ir tas pats TSRS kariškis, atlikęs šūvių seriją į nukentėjusįjį, formuoja ir kiti duomenys. Byloje yra ikiteisminio tyrimo metu duoti ir teisiamojo posėdžio metu perskaityti mirusio liudytojo A. Š</w:t>
      </w:r>
      <w:r>
        <w:rPr>
          <w:szCs w:val="24"/>
        </w:rPr>
        <w:t>.</w:t>
      </w:r>
      <w:r w:rsidRPr="00C00255">
        <w:rPr>
          <w:szCs w:val="24"/>
        </w:rPr>
        <w:t xml:space="preserve"> parodymai, kuriuose, be kita ko, nurodoma, kad liudytojas matė, kaip </w:t>
      </w:r>
      <w:r>
        <w:rPr>
          <w:szCs w:val="24"/>
        </w:rPr>
        <w:t>D. G.</w:t>
      </w:r>
      <w:r w:rsidRPr="00C00255">
        <w:rPr>
          <w:szCs w:val="24"/>
        </w:rPr>
        <w:t xml:space="preserve"> bėgant nuo TV bokšto pusės, vienas iš kariškių šovė jam į koją. O po to, kai </w:t>
      </w:r>
      <w:r>
        <w:rPr>
          <w:szCs w:val="24"/>
        </w:rPr>
        <w:t>D. G.</w:t>
      </w:r>
      <w:r w:rsidRPr="00C00255">
        <w:rPr>
          <w:szCs w:val="24"/>
        </w:rPr>
        <w:t xml:space="preserve"> pradėjo šlubuodamas bėgti ir pribėgo tvorą bei ant jos užšoko, pasivijęs kariškis dar kartą paleido į jį seriją šūvių. Žmonės iš kitos tvoros pusės nukabino </w:t>
      </w:r>
      <w:r>
        <w:rPr>
          <w:szCs w:val="24"/>
        </w:rPr>
        <w:t>D. G.</w:t>
      </w:r>
      <w:r w:rsidRPr="00C00255">
        <w:rPr>
          <w:szCs w:val="24"/>
        </w:rPr>
        <w:t>, nes jis kabojo ant tvoros ir nunešė jį į greitosios pagalbos automobilį (t. 90,</w:t>
      </w:r>
      <w:r>
        <w:rPr>
          <w:szCs w:val="24"/>
        </w:rPr>
        <w:t xml:space="preserve"> </w:t>
      </w:r>
      <w:r w:rsidRPr="00C00255">
        <w:rPr>
          <w:szCs w:val="24"/>
        </w:rPr>
        <w:t>b.</w:t>
      </w:r>
      <w:r>
        <w:rPr>
          <w:szCs w:val="24"/>
        </w:rPr>
        <w:t> </w:t>
      </w:r>
      <w:r w:rsidRPr="00C00255">
        <w:rPr>
          <w:szCs w:val="24"/>
        </w:rPr>
        <w:t>l.</w:t>
      </w:r>
      <w:r>
        <w:rPr>
          <w:szCs w:val="24"/>
        </w:rPr>
        <w:t> </w:t>
      </w:r>
      <w:r w:rsidRPr="00C00255">
        <w:rPr>
          <w:szCs w:val="24"/>
        </w:rPr>
        <w:t xml:space="preserve">66–67).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Teisėjų kolegija, atmesdama nuteistojo </w:t>
      </w:r>
      <w:r>
        <w:rPr>
          <w:szCs w:val="24"/>
          <w:lang w:eastAsia="lt-LT" w:bidi="lt-LT"/>
        </w:rPr>
        <w:t>V. U. 1</w:t>
      </w:r>
      <w:r w:rsidRPr="00C00255">
        <w:rPr>
          <w:szCs w:val="24"/>
          <w:lang w:eastAsia="lt-LT" w:bidi="lt-LT"/>
        </w:rPr>
        <w:t xml:space="preserve"> gynėjo prielaidas apie galimai neteisingai nustatytas nukentėjusiojo </w:t>
      </w:r>
      <w:r>
        <w:rPr>
          <w:color w:val="000000"/>
          <w:szCs w:val="24"/>
          <w:lang w:eastAsia="lt-LT" w:bidi="lt-LT"/>
        </w:rPr>
        <w:t>V. J. V.</w:t>
      </w:r>
      <w:r w:rsidRPr="00C00255">
        <w:rPr>
          <w:color w:val="000000"/>
          <w:szCs w:val="24"/>
          <w:lang w:eastAsia="lt-LT" w:bidi="lt-LT"/>
        </w:rPr>
        <w:t xml:space="preserve"> mirties aplinkybes, remiasi 1991 m. sausio 13 d. ekspertizės aktu Nr. 54 (t. 96, b. l. 7–19). Jame nurodytos mirties priežastys yra tokios, kokios yra nustatytos tiek jau išnagrinėtoje</w:t>
      </w:r>
      <w:r w:rsidRPr="00C00255">
        <w:rPr>
          <w:szCs w:val="24"/>
        </w:rPr>
        <w:t xml:space="preserve"> </w:t>
      </w:r>
      <w:r>
        <w:rPr>
          <w:szCs w:val="24"/>
        </w:rPr>
        <w:t>M. B.,</w:t>
      </w:r>
      <w:r w:rsidRPr="00C00255">
        <w:rPr>
          <w:szCs w:val="24"/>
        </w:rPr>
        <w:t xml:space="preserve"> </w:t>
      </w:r>
      <w:r>
        <w:rPr>
          <w:bCs/>
          <w:szCs w:val="24"/>
        </w:rPr>
        <w:t>J. K.</w:t>
      </w:r>
      <w:r w:rsidRPr="00C00255">
        <w:rPr>
          <w:bCs/>
          <w:szCs w:val="24"/>
        </w:rPr>
        <w:t xml:space="preserve"> ir kt. byloje,</w:t>
      </w:r>
      <w:r w:rsidRPr="00C00255">
        <w:rPr>
          <w:color w:val="000000"/>
          <w:szCs w:val="24"/>
          <w:lang w:eastAsia="lt-LT" w:bidi="lt-LT"/>
        </w:rPr>
        <w:t xml:space="preserve"> tiek skundžiamu teismo nuosprendžiu. Tokias aplinkybes taip pat patvirtina teisiamajame posėdyje apklausto nukentėjusiojo </w:t>
      </w:r>
      <w:r>
        <w:rPr>
          <w:color w:val="000000"/>
          <w:szCs w:val="24"/>
          <w:lang w:eastAsia="lt-LT" w:bidi="lt-LT"/>
        </w:rPr>
        <w:t>J. K.</w:t>
      </w:r>
      <w:r w:rsidRPr="00C00255">
        <w:rPr>
          <w:color w:val="000000"/>
          <w:szCs w:val="24"/>
          <w:lang w:eastAsia="lt-LT" w:bidi="lt-LT"/>
        </w:rPr>
        <w:t xml:space="preserve"> parodymai, apie greta jo prie TV</w:t>
      </w:r>
      <w:r>
        <w:rPr>
          <w:color w:val="000000"/>
          <w:szCs w:val="24"/>
          <w:lang w:eastAsia="lt-LT" w:bidi="lt-LT"/>
        </w:rPr>
        <w:t> </w:t>
      </w:r>
      <w:r w:rsidRPr="00C00255">
        <w:rPr>
          <w:color w:val="000000"/>
          <w:szCs w:val="24"/>
          <w:lang w:eastAsia="lt-LT" w:bidi="lt-LT"/>
        </w:rPr>
        <w:t xml:space="preserve">bokšto buvusį ir TSRS kariškių nušautą vyrą, kurį vėliau kartu su kitais žmonėmis nunešė į greitosios </w:t>
      </w:r>
      <w:r w:rsidR="00902A3A">
        <w:rPr>
          <w:color w:val="000000"/>
          <w:szCs w:val="24"/>
          <w:lang w:eastAsia="lt-LT" w:bidi="lt-LT"/>
        </w:rPr>
        <w:t>pagalbos automobilį (t. 759, b. </w:t>
      </w:r>
      <w:r w:rsidRPr="00C00255">
        <w:rPr>
          <w:color w:val="000000"/>
          <w:szCs w:val="24"/>
          <w:lang w:eastAsia="lt-LT" w:bidi="lt-LT"/>
        </w:rPr>
        <w:t>l.</w:t>
      </w:r>
      <w:r w:rsidR="00902A3A">
        <w:rPr>
          <w:color w:val="000000"/>
          <w:szCs w:val="24"/>
          <w:lang w:eastAsia="lt-LT" w:bidi="lt-LT"/>
        </w:rPr>
        <w:t> </w:t>
      </w:r>
      <w:r w:rsidRPr="00C00255">
        <w:rPr>
          <w:color w:val="000000"/>
          <w:szCs w:val="24"/>
          <w:lang w:eastAsia="lt-LT" w:bidi="lt-LT"/>
        </w:rPr>
        <w:t xml:space="preserve">18, teisiamajame posėdyje nukentėjusysis </w:t>
      </w:r>
      <w:r>
        <w:rPr>
          <w:szCs w:val="24"/>
        </w:rPr>
        <w:t>J. K.</w:t>
      </w:r>
      <w:r w:rsidRPr="00C00255">
        <w:rPr>
          <w:szCs w:val="24"/>
        </w:rPr>
        <w:t xml:space="preserve"> patvirtino ir ikiteisminio tyrimo metu duotus dar detalesnius parodymus, apie tai, kad į minėtą apie 50 metų vyrą šovė ne vienas kariškis, kad šis vyras buvo sužeistas krūtinės srityje, kad kariškiams šaudant suklupo dar trys vyrai, o po to, kai nunešė minėtą vyrą prie greitosios pagalbos automobilio, ten gulėjo dar vienas sužeistas jaunesnis vaikinas, su ruda odine striuke (t. 78, b. l. 54–56)). Iš šio nukentėjusiojo parodymų matyti, kad nurodytą TSRS kariškių sužalotą vyrą jis apibūdino požymiais, kurie atitinka nukentėjusiojo </w:t>
      </w:r>
      <w:r>
        <w:rPr>
          <w:szCs w:val="24"/>
        </w:rPr>
        <w:t>V. J. V.</w:t>
      </w:r>
      <w:r w:rsidRPr="00C00255">
        <w:rPr>
          <w:szCs w:val="24"/>
        </w:rPr>
        <w:t xml:space="preserve"> požymius tiek pagal amžių (47 m.), tiek pagal padarytų sužalojimų lokalizaciją (t. 96, b. l. 7–19). Be to, kad tai buvo būtent </w:t>
      </w:r>
      <w:r>
        <w:rPr>
          <w:szCs w:val="24"/>
        </w:rPr>
        <w:t>V. J. V.</w:t>
      </w:r>
      <w:r w:rsidRPr="00C00255">
        <w:rPr>
          <w:szCs w:val="24"/>
        </w:rPr>
        <w:t xml:space="preserve"> matyti ir iš liudytojos E. K</w:t>
      </w:r>
      <w:r>
        <w:rPr>
          <w:szCs w:val="24"/>
        </w:rPr>
        <w:t>.</w:t>
      </w:r>
      <w:r w:rsidRPr="00C00255">
        <w:rPr>
          <w:szCs w:val="24"/>
        </w:rPr>
        <w:t xml:space="preserve"> parodymų, kuri nurodė, kad jai būnant medikų automobilyje buvo atneštas sužalotas </w:t>
      </w:r>
      <w:r>
        <w:rPr>
          <w:szCs w:val="24"/>
        </w:rPr>
        <w:t>D. G.</w:t>
      </w:r>
      <w:r w:rsidRPr="00C00255">
        <w:rPr>
          <w:szCs w:val="24"/>
        </w:rPr>
        <w:t xml:space="preserve"> (dėvėjo odinę striukę), o po to </w:t>
      </w:r>
      <w:r>
        <w:rPr>
          <w:szCs w:val="24"/>
        </w:rPr>
        <w:t>V. J. V.</w:t>
      </w:r>
      <w:r w:rsidRPr="00C00255">
        <w:rPr>
          <w:szCs w:val="24"/>
        </w:rPr>
        <w:t xml:space="preserve"> (t. 88, b. l. 147–149). Šie vieni kitus atitinkantys bei papildantys duomenys paneigia galimybę, kad </w:t>
      </w:r>
      <w:r>
        <w:rPr>
          <w:szCs w:val="24"/>
        </w:rPr>
        <w:t>V. J. V.</w:t>
      </w:r>
      <w:r w:rsidRPr="00C00255">
        <w:rPr>
          <w:szCs w:val="24"/>
        </w:rPr>
        <w:t xml:space="preserve"> šautinius sužalojimus galėjo patirti kitoje vietoje ir kitomis aplinkybėmis. Nukentėjusiojo </w:t>
      </w:r>
      <w:r>
        <w:rPr>
          <w:szCs w:val="24"/>
        </w:rPr>
        <w:t>J. K.</w:t>
      </w:r>
      <w:r w:rsidRPr="00C00255">
        <w:rPr>
          <w:szCs w:val="24"/>
        </w:rPr>
        <w:t xml:space="preserve"> nurodytos aplinkybės apie kelių kariškių šūvius paaiškina nukentėjusiojo </w:t>
      </w:r>
      <w:r>
        <w:rPr>
          <w:szCs w:val="24"/>
        </w:rPr>
        <w:t>V. J. V.</w:t>
      </w:r>
      <w:r w:rsidRPr="00C00255">
        <w:rPr>
          <w:szCs w:val="24"/>
        </w:rPr>
        <w:t xml:space="preserve"> kūne rastų sužalojimų pobūdį ir besiskiriančias sužeidimų kryptis, nurodytas byloje esančiame ekspertizės akte.</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rPr>
        <w:t xml:space="preserve">Visi šie duomenys paneigia nuteistojo </w:t>
      </w:r>
      <w:r>
        <w:rPr>
          <w:szCs w:val="24"/>
        </w:rPr>
        <w:t>V. U. 1</w:t>
      </w:r>
      <w:r w:rsidRPr="00C00255">
        <w:rPr>
          <w:szCs w:val="24"/>
        </w:rPr>
        <w:t xml:space="preserve"> gynėjo keliamas abejones ir patvirtina, kad teismo nuosprendyje nurodytos </w:t>
      </w:r>
      <w:r>
        <w:rPr>
          <w:szCs w:val="24"/>
        </w:rPr>
        <w:t>D. G.</w:t>
      </w:r>
      <w:r w:rsidRPr="00C00255">
        <w:rPr>
          <w:szCs w:val="24"/>
        </w:rPr>
        <w:t xml:space="preserve"> ir </w:t>
      </w:r>
      <w:r>
        <w:rPr>
          <w:szCs w:val="24"/>
        </w:rPr>
        <w:t>V. J. V.</w:t>
      </w:r>
      <w:r w:rsidRPr="00C00255">
        <w:rPr>
          <w:szCs w:val="24"/>
        </w:rPr>
        <w:t xml:space="preserve"> nužudymo aplinkybės yra nustatytos teisingai. </w:t>
      </w:r>
    </w:p>
    <w:p w:rsidR="00DA38E9" w:rsidRPr="00C00255" w:rsidRDefault="00DA38E9" w:rsidP="00DA38E9">
      <w:pPr>
        <w:pStyle w:val="4lygis"/>
      </w:pPr>
      <w:r w:rsidRPr="00C00255">
        <w:t xml:space="preserve">Dėl TV bokšto užėmimo metu civiliams padarytų sužalojimų ir žuvusiųjų skaičiaus  </w:t>
      </w:r>
    </w:p>
    <w:p w:rsidR="00DA38E9" w:rsidRPr="00055544" w:rsidRDefault="00DA38E9" w:rsidP="00DA38E9">
      <w:pPr>
        <w:pStyle w:val="ListParagraph"/>
        <w:numPr>
          <w:ilvl w:val="0"/>
          <w:numId w:val="6"/>
        </w:numPr>
        <w:spacing w:before="120" w:after="120"/>
        <w:ind w:left="992" w:hanging="992"/>
        <w:contextualSpacing w:val="0"/>
        <w:rPr>
          <w:color w:val="000000"/>
          <w:szCs w:val="24"/>
          <w:lang w:eastAsia="lt-LT" w:bidi="lt-LT"/>
        </w:rPr>
      </w:pPr>
      <w:r w:rsidRPr="00055544">
        <w:rPr>
          <w:lang w:eastAsia="lt-LT"/>
        </w:rPr>
        <w:t xml:space="preserve">Skundžiamu nuosprendžiu konstatuota, kad TV bokšto užėmimo metu TSRS kariškiai nužudė 12, tyčia sunkiai sužalojo – 23, nesunkiai sužalojo – 288 ir nežymiai sužalojo – 250 asmenų.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Nuteistojo </w:t>
      </w:r>
      <w:r>
        <w:rPr>
          <w:lang w:eastAsia="lt-LT"/>
        </w:rPr>
        <w:t>V. U. 1</w:t>
      </w:r>
      <w:r w:rsidRPr="00C00255">
        <w:rPr>
          <w:lang w:eastAsia="lt-LT"/>
        </w:rPr>
        <w:t xml:space="preserve"> </w:t>
      </w:r>
      <w:r w:rsidRPr="00C00255">
        <w:rPr>
          <w:szCs w:val="24"/>
          <w:lang w:eastAsia="lt-LT"/>
        </w:rPr>
        <w:t>gynėjo teigimu, n</w:t>
      </w:r>
      <w:r w:rsidRPr="00C00255">
        <w:rPr>
          <w:lang w:eastAsia="lt-LT"/>
        </w:rPr>
        <w:t>uteistiesiems šioje byloje</w:t>
      </w:r>
      <w:r w:rsidRPr="00C00255">
        <w:rPr>
          <w:szCs w:val="24"/>
          <w:lang w:eastAsia="lt-LT"/>
        </w:rPr>
        <w:t xml:space="preserve"> buvo nepagrįstai pareikšti kaltinimai dėl 13-os žmonių nužudymo. Tokias abejones gynėjas kelia remdamasis teismo medicinos specialisto A. Garmaus apklausos protokole užfiksuotais duomenimis apie 1991 m. sausio 13 d. į morgą pristatytą mažesnį negyvų asmenų kūnų skaičių (t. 284, b. l. 49–53), liudytojo greitosios pagalbos vairuotojo </w:t>
      </w:r>
      <w:r>
        <w:rPr>
          <w:szCs w:val="24"/>
          <w:lang w:eastAsia="lt-LT"/>
        </w:rPr>
        <w:t>I. V.</w:t>
      </w:r>
      <w:r w:rsidRPr="00C00255">
        <w:rPr>
          <w:szCs w:val="24"/>
          <w:lang w:eastAsia="lt-LT"/>
        </w:rPr>
        <w:t xml:space="preserve"> paaiškinimu apie realybėje mažesnį sužalotų asmenų skaičių nei buvo teigiama (t. 134, b. l. 51–52), taip pat jau minėtais ir paneigtais argumentais apie ankstesnę (iki sausio 13-osios įvykių) </w:t>
      </w:r>
      <w:r>
        <w:rPr>
          <w:szCs w:val="24"/>
          <w:lang w:eastAsia="lt-LT"/>
        </w:rPr>
        <w:t>A. P. K.</w:t>
      </w:r>
      <w:r w:rsidRPr="00C00255">
        <w:rPr>
          <w:szCs w:val="24"/>
          <w:lang w:eastAsia="lt-LT"/>
        </w:rPr>
        <w:t xml:space="preserve"> mirtį.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 xml:space="preserve">Teisėjų kolegija tokius nuteistojo </w:t>
      </w:r>
      <w:r>
        <w:rPr>
          <w:szCs w:val="24"/>
          <w:lang w:eastAsia="lt-LT"/>
        </w:rPr>
        <w:t>V. U. 1</w:t>
      </w:r>
      <w:r w:rsidRPr="00C00255">
        <w:rPr>
          <w:szCs w:val="24"/>
          <w:lang w:eastAsia="lt-LT"/>
        </w:rPr>
        <w:t xml:space="preserve"> gynėjo apeliacinio skundo argumentus atmeta ir pabrėžia, kad dėl TSRS kariškių veiksmų 1991 m. sausio 13 d. naktį žuvusių asmenų skaičius yra nustatytas įsiteisėjusiais teismų sprendimais kitoje byloje – Vilniaus apygardos teismo 1999 m. rugpjūčio 23 d. nuosprendžiu baudžiamojoje byloje Nr. 1-2/1999 konstatuota</w:t>
      </w:r>
      <w:r w:rsidRPr="00C00255">
        <w:rPr>
          <w:color w:val="000000"/>
          <w:szCs w:val="24"/>
          <w:lang w:eastAsia="lt-LT" w:bidi="lt-LT"/>
        </w:rPr>
        <w:t xml:space="preserve">, jog objektų šturmo metu, naktį iš sausio 12-os į 13-ąją d. TSRS kariškiai tyčia prie TV bokšto nužudė 12 asmenų – </w:t>
      </w:r>
      <w:r>
        <w:rPr>
          <w:color w:val="000000"/>
          <w:szCs w:val="24"/>
          <w:lang w:eastAsia="lt-LT" w:bidi="lt-LT"/>
        </w:rPr>
        <w:t>L. A.</w:t>
      </w:r>
      <w:r w:rsidRPr="00C00255">
        <w:rPr>
          <w:color w:val="000000"/>
          <w:szCs w:val="24"/>
          <w:lang w:eastAsia="lt-LT" w:bidi="lt-LT"/>
        </w:rPr>
        <w:t xml:space="preserve">, </w:t>
      </w:r>
      <w:r>
        <w:rPr>
          <w:color w:val="000000"/>
          <w:szCs w:val="24"/>
          <w:lang w:eastAsia="lt-LT" w:bidi="lt-LT"/>
        </w:rPr>
        <w:t>V. D.</w:t>
      </w:r>
      <w:r w:rsidRPr="00C00255">
        <w:rPr>
          <w:color w:val="000000"/>
          <w:szCs w:val="24"/>
          <w:lang w:eastAsia="lt-LT" w:bidi="lt-LT"/>
        </w:rPr>
        <w:t xml:space="preserve">, </w:t>
      </w:r>
      <w:r>
        <w:rPr>
          <w:color w:val="000000"/>
          <w:szCs w:val="24"/>
          <w:lang w:eastAsia="lt-LT" w:bidi="lt-LT"/>
        </w:rPr>
        <w:t>D. G.</w:t>
      </w:r>
      <w:r w:rsidRPr="00C00255">
        <w:rPr>
          <w:color w:val="000000"/>
          <w:szCs w:val="24"/>
          <w:lang w:eastAsia="lt-LT" w:bidi="lt-LT"/>
        </w:rPr>
        <w:t>, R.</w:t>
      </w:r>
      <w:r>
        <w:rPr>
          <w:color w:val="000000"/>
          <w:szCs w:val="24"/>
          <w:lang w:eastAsia="lt-LT" w:bidi="lt-LT"/>
        </w:rPr>
        <w:t> J.</w:t>
      </w:r>
      <w:r w:rsidRPr="00C00255">
        <w:rPr>
          <w:color w:val="000000"/>
          <w:szCs w:val="24"/>
          <w:lang w:eastAsia="lt-LT" w:bidi="lt-LT"/>
        </w:rPr>
        <w:t xml:space="preserve">, </w:t>
      </w:r>
      <w:r>
        <w:rPr>
          <w:color w:val="000000"/>
          <w:szCs w:val="24"/>
          <w:lang w:eastAsia="lt-LT" w:bidi="lt-LT"/>
        </w:rPr>
        <w:t>R. J.</w:t>
      </w:r>
      <w:r w:rsidRPr="00C00255">
        <w:rPr>
          <w:color w:val="000000"/>
          <w:szCs w:val="24"/>
          <w:lang w:eastAsia="lt-LT" w:bidi="lt-LT"/>
        </w:rPr>
        <w:t xml:space="preserve">, </w:t>
      </w:r>
      <w:r>
        <w:rPr>
          <w:color w:val="000000"/>
          <w:szCs w:val="24"/>
          <w:lang w:eastAsia="lt-LT" w:bidi="lt-LT"/>
        </w:rPr>
        <w:t>A. K.</w:t>
      </w:r>
      <w:r w:rsidRPr="00C00255">
        <w:rPr>
          <w:color w:val="000000"/>
          <w:szCs w:val="24"/>
          <w:lang w:eastAsia="lt-LT" w:bidi="lt-LT"/>
        </w:rPr>
        <w:t xml:space="preserve">, </w:t>
      </w:r>
      <w:r>
        <w:rPr>
          <w:color w:val="000000"/>
          <w:szCs w:val="24"/>
          <w:lang w:eastAsia="lt-LT" w:bidi="lt-LT"/>
        </w:rPr>
        <w:t>V. K.</w:t>
      </w:r>
      <w:r w:rsidRPr="00C00255">
        <w:rPr>
          <w:color w:val="000000"/>
          <w:szCs w:val="24"/>
          <w:lang w:eastAsia="lt-LT" w:bidi="lt-LT"/>
        </w:rPr>
        <w:t xml:space="preserve">, </w:t>
      </w:r>
      <w:r>
        <w:rPr>
          <w:color w:val="000000"/>
          <w:szCs w:val="24"/>
          <w:lang w:eastAsia="lt-LT" w:bidi="lt-LT"/>
        </w:rPr>
        <w:t>V. M.</w:t>
      </w:r>
      <w:r w:rsidRPr="00C00255">
        <w:rPr>
          <w:color w:val="000000"/>
          <w:szCs w:val="24"/>
          <w:lang w:eastAsia="lt-LT" w:bidi="lt-LT"/>
        </w:rPr>
        <w:t xml:space="preserve">, </w:t>
      </w:r>
      <w:r>
        <w:rPr>
          <w:color w:val="000000"/>
          <w:szCs w:val="24"/>
          <w:lang w:eastAsia="lt-LT" w:bidi="lt-LT"/>
        </w:rPr>
        <w:t>T. M.</w:t>
      </w:r>
      <w:r w:rsidRPr="00C00255">
        <w:rPr>
          <w:color w:val="000000"/>
          <w:szCs w:val="24"/>
          <w:lang w:eastAsia="lt-LT" w:bidi="lt-LT"/>
        </w:rPr>
        <w:t>, A. P</w:t>
      </w:r>
      <w:r>
        <w:rPr>
          <w:color w:val="000000"/>
          <w:szCs w:val="24"/>
          <w:lang w:eastAsia="lt-LT" w:bidi="lt-LT"/>
        </w:rPr>
        <w:t>.</w:t>
      </w:r>
      <w:r w:rsidRPr="00C00255">
        <w:rPr>
          <w:color w:val="000000"/>
          <w:szCs w:val="24"/>
          <w:lang w:eastAsia="lt-LT" w:bidi="lt-LT"/>
        </w:rPr>
        <w:t xml:space="preserve">, </w:t>
      </w:r>
      <w:r>
        <w:rPr>
          <w:color w:val="000000"/>
          <w:szCs w:val="24"/>
          <w:lang w:eastAsia="lt-LT" w:bidi="lt-LT"/>
        </w:rPr>
        <w:t>I. Š.</w:t>
      </w:r>
      <w:r w:rsidRPr="00C00255">
        <w:rPr>
          <w:color w:val="000000"/>
          <w:szCs w:val="24"/>
          <w:lang w:eastAsia="lt-LT" w:bidi="lt-LT"/>
        </w:rPr>
        <w:t xml:space="preserve"> ir V. V</w:t>
      </w:r>
      <w:r>
        <w:rPr>
          <w:color w:val="000000"/>
          <w:szCs w:val="24"/>
          <w:lang w:eastAsia="lt-LT" w:bidi="lt-LT"/>
        </w:rPr>
        <w:t>.</w:t>
      </w:r>
      <w:r w:rsidRPr="00C00255">
        <w:rPr>
          <w:color w:val="000000"/>
          <w:szCs w:val="24"/>
          <w:lang w:eastAsia="lt-LT" w:bidi="lt-LT"/>
        </w:rPr>
        <w:t xml:space="preserve">, o prie Radijo ir televizijos komiteto (LRT – </w:t>
      </w:r>
      <w:r w:rsidRPr="00C00255">
        <w:rPr>
          <w:i/>
          <w:color w:val="000000"/>
          <w:szCs w:val="24"/>
          <w:lang w:eastAsia="lt-LT" w:bidi="lt-LT"/>
        </w:rPr>
        <w:t>kolegijos pastaba</w:t>
      </w:r>
      <w:r w:rsidRPr="00C00255">
        <w:rPr>
          <w:color w:val="000000"/>
          <w:szCs w:val="24"/>
          <w:lang w:eastAsia="lt-LT" w:bidi="lt-LT"/>
        </w:rPr>
        <w:t xml:space="preserve">) – </w:t>
      </w:r>
      <w:r>
        <w:rPr>
          <w:color w:val="000000"/>
          <w:szCs w:val="24"/>
          <w:lang w:eastAsia="lt-LT" w:bidi="lt-LT"/>
        </w:rPr>
        <w:t>A. K.</w:t>
      </w:r>
      <w:r w:rsidRPr="00C00255">
        <w:rPr>
          <w:color w:val="000000"/>
          <w:szCs w:val="24"/>
          <w:lang w:eastAsia="lt-LT" w:bidi="lt-LT"/>
        </w:rPr>
        <w:t xml:space="preserve"> (t. 379, b. l. 7). Taigi įsiteisėjusiu teismo nuosprendžiu kitoje baudžiamojoje byloje yra nustatyta, kad dėl TSRS kariškių veiksmų, atliktų 1991 m. sausio 13-ąją Vilniuje, žuvo 13 asmenų ir vien tai paneigia visas keliamas nuteistojo </w:t>
      </w:r>
      <w:r>
        <w:rPr>
          <w:color w:val="000000"/>
          <w:szCs w:val="24"/>
          <w:lang w:eastAsia="lt-LT" w:bidi="lt-LT"/>
        </w:rPr>
        <w:t>V. U. 1</w:t>
      </w:r>
      <w:r w:rsidRPr="00C00255">
        <w:rPr>
          <w:color w:val="000000"/>
          <w:szCs w:val="24"/>
          <w:lang w:eastAsia="lt-LT" w:bidi="lt-LT"/>
        </w:rPr>
        <w:t xml:space="preserve"> gynėjo versijas, kurios keliamos iš esmės ignoruojant įsiteisėjusį teismo sprendimą.</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 xml:space="preserve">Keliamų abejonių kontekste teisėjų kolegija pabrėžia, kad 1991 m. sausio 13 d. į Vilniaus morgą nebuvo atvežti visų 13 nukentėjusiųjų kūnai. Iš Valstybinės teismo medicinos tarnybos prie Lietuvos Respublikos teisingumo ministerijos Vilniaus skyriaus pateikto Mirusių asmenų tyrimo registracijos 1991 m. žurnalo įrašų matyti, kad sausio 13 d. į morgą Vilniuje buvo atvežti tik 9 iš 13 minėtų asmenų lavonai: </w:t>
      </w:r>
      <w:r>
        <w:rPr>
          <w:szCs w:val="24"/>
          <w:lang w:eastAsia="lt-LT"/>
        </w:rPr>
        <w:t>A. K.</w:t>
      </w:r>
      <w:r w:rsidRPr="00C00255">
        <w:rPr>
          <w:szCs w:val="24"/>
          <w:lang w:eastAsia="lt-LT"/>
        </w:rPr>
        <w:t>, V. V</w:t>
      </w:r>
      <w:r>
        <w:rPr>
          <w:szCs w:val="24"/>
          <w:lang w:eastAsia="lt-LT"/>
        </w:rPr>
        <w:t>.</w:t>
      </w:r>
      <w:r w:rsidRPr="00C00255">
        <w:rPr>
          <w:szCs w:val="24"/>
          <w:lang w:eastAsia="lt-LT"/>
        </w:rPr>
        <w:t xml:space="preserve">, </w:t>
      </w:r>
      <w:r>
        <w:rPr>
          <w:szCs w:val="24"/>
          <w:lang w:eastAsia="lt-LT"/>
        </w:rPr>
        <w:t>V. M.</w:t>
      </w:r>
      <w:r w:rsidRPr="00C00255">
        <w:rPr>
          <w:szCs w:val="24"/>
          <w:lang w:eastAsia="lt-LT"/>
        </w:rPr>
        <w:t xml:space="preserve">, </w:t>
      </w:r>
      <w:r>
        <w:rPr>
          <w:szCs w:val="24"/>
          <w:lang w:eastAsia="lt-LT"/>
        </w:rPr>
        <w:t>A. P. K.</w:t>
      </w:r>
      <w:r w:rsidRPr="00C00255">
        <w:rPr>
          <w:szCs w:val="24"/>
          <w:lang w:eastAsia="lt-LT"/>
        </w:rPr>
        <w:t xml:space="preserve">, </w:t>
      </w:r>
      <w:r>
        <w:rPr>
          <w:szCs w:val="24"/>
          <w:lang w:eastAsia="lt-LT"/>
        </w:rPr>
        <w:t>I. Š.</w:t>
      </w:r>
      <w:r w:rsidRPr="00C00255">
        <w:rPr>
          <w:szCs w:val="24"/>
          <w:lang w:eastAsia="lt-LT"/>
        </w:rPr>
        <w:t xml:space="preserve">, </w:t>
      </w:r>
      <w:r>
        <w:rPr>
          <w:szCs w:val="24"/>
          <w:lang w:eastAsia="lt-LT"/>
        </w:rPr>
        <w:t>D. G.</w:t>
      </w:r>
      <w:r w:rsidRPr="00C00255">
        <w:rPr>
          <w:szCs w:val="24"/>
          <w:lang w:eastAsia="lt-LT"/>
        </w:rPr>
        <w:t xml:space="preserve">, </w:t>
      </w:r>
      <w:r>
        <w:rPr>
          <w:szCs w:val="24"/>
          <w:lang w:eastAsia="lt-LT"/>
        </w:rPr>
        <w:t>V. D.</w:t>
      </w:r>
      <w:r w:rsidRPr="00C00255">
        <w:rPr>
          <w:szCs w:val="24"/>
          <w:lang w:eastAsia="lt-LT"/>
        </w:rPr>
        <w:t xml:space="preserve">, </w:t>
      </w:r>
      <w:r>
        <w:rPr>
          <w:szCs w:val="24"/>
          <w:lang w:eastAsia="lt-LT"/>
        </w:rPr>
        <w:t>A. J.  P.</w:t>
      </w:r>
      <w:r w:rsidRPr="00C00255">
        <w:rPr>
          <w:szCs w:val="24"/>
          <w:lang w:eastAsia="lt-LT"/>
        </w:rPr>
        <w:t xml:space="preserve"> ir </w:t>
      </w:r>
      <w:r w:rsidRPr="00C00255">
        <w:rPr>
          <w:color w:val="000000"/>
          <w:szCs w:val="24"/>
          <w:lang w:eastAsia="lt-LT" w:bidi="lt-LT"/>
        </w:rPr>
        <w:t>R.</w:t>
      </w:r>
      <w:r>
        <w:rPr>
          <w:color w:val="000000"/>
          <w:szCs w:val="24"/>
          <w:lang w:eastAsia="lt-LT" w:bidi="lt-LT"/>
        </w:rPr>
        <w:t> J.</w:t>
      </w:r>
      <w:r w:rsidRPr="00C00255">
        <w:rPr>
          <w:szCs w:val="24"/>
          <w:lang w:eastAsia="lt-LT"/>
        </w:rPr>
        <w:t xml:space="preserve"> (t. 505, b. l. 3</w:t>
      </w:r>
      <w:bookmarkStart w:id="316" w:name="_Hlk67478886"/>
      <w:r w:rsidRPr="00C00255">
        <w:rPr>
          <w:szCs w:val="24"/>
          <w:lang w:eastAsia="lt-LT"/>
        </w:rPr>
        <w:t>–</w:t>
      </w:r>
      <w:bookmarkEnd w:id="316"/>
      <w:r w:rsidRPr="00C00255">
        <w:rPr>
          <w:szCs w:val="24"/>
          <w:lang w:eastAsia="lt-LT"/>
        </w:rPr>
        <w:t xml:space="preserve">8). Gynyba nutyli tai, kad likę keturi nukentėjusieji po įvykių prie TV bokšto buvo pristatyti į kitas įstaigas, todėl jų kūnai objektyviai ir negalėjo atsidurti morge. </w:t>
      </w:r>
      <w:r w:rsidRPr="00503BF8">
        <w:rPr>
          <w:szCs w:val="24"/>
          <w:lang w:eastAsia="lt-LT"/>
        </w:rPr>
        <w:t>R. J.</w:t>
      </w:r>
      <w:r w:rsidRPr="00C00255">
        <w:rPr>
          <w:szCs w:val="24"/>
          <w:lang w:eastAsia="lt-LT"/>
        </w:rPr>
        <w:t xml:space="preserve"> buvo pristatytas ir gydomas Respublikinėje Vilniaus klinikinėje ligoninėje, kurioje vėliau mirė (t. 505, b. l. 18–50); </w:t>
      </w:r>
      <w:r>
        <w:rPr>
          <w:szCs w:val="24"/>
          <w:lang w:eastAsia="lt-LT"/>
        </w:rPr>
        <w:t>T. M.</w:t>
      </w:r>
      <w:r w:rsidRPr="00C00255">
        <w:rPr>
          <w:szCs w:val="24"/>
          <w:lang w:eastAsia="lt-LT"/>
        </w:rPr>
        <w:t xml:space="preserve"> iš TV bokšto buvo išgabentas greitosios medicinos pagalbos automobiliu, o jo kūnas 1991 m. sausio 13 d. rytą buvo apžiūrimas Respublikinio patologijos-anatomijos biuro šaldymo patalpose (t. 93, b. l. 53, 55–56); </w:t>
      </w:r>
      <w:r>
        <w:rPr>
          <w:szCs w:val="24"/>
          <w:lang w:eastAsia="lt-LT"/>
        </w:rPr>
        <w:t>V. K.</w:t>
      </w:r>
      <w:r w:rsidRPr="00C00255">
        <w:rPr>
          <w:szCs w:val="24"/>
          <w:lang w:eastAsia="lt-LT"/>
        </w:rPr>
        <w:t xml:space="preserve"> taip pat buvo pristatytas ir hospitalizuotas Respublikinėje Vilniaus klinikinėje ligoninėje, kurioje vėliau mirė (t. 550, b. l. 139–163). Atitinkamai byloje yra duomenų – taip pat ir vaizdo įrašų – iš kurių matyti, kad L. A</w:t>
      </w:r>
      <w:r>
        <w:rPr>
          <w:szCs w:val="24"/>
          <w:lang w:eastAsia="lt-LT"/>
        </w:rPr>
        <w:t>.</w:t>
      </w:r>
      <w:r w:rsidRPr="00C00255">
        <w:rPr>
          <w:szCs w:val="24"/>
          <w:lang w:eastAsia="lt-LT"/>
        </w:rPr>
        <w:t xml:space="preserve"> po jai padarytų sužalojimų tanku dar gyva pirmiausia buvo nugabenta į ligoninę. Be to, jau ne kartą minėtame Vilniaus apygardos teismo 1999 m. rugpjūčio 23 d. nuosprendyje taip pat nurodyta, kad nukentėjusieji </w:t>
      </w:r>
      <w:r>
        <w:rPr>
          <w:szCs w:val="24"/>
          <w:lang w:eastAsia="lt-LT"/>
        </w:rPr>
        <w:t>V. K.</w:t>
      </w:r>
      <w:r w:rsidRPr="00C00255">
        <w:rPr>
          <w:szCs w:val="24"/>
          <w:lang w:eastAsia="lt-LT"/>
        </w:rPr>
        <w:t xml:space="preserve">, </w:t>
      </w:r>
      <w:r w:rsidRPr="00503BF8">
        <w:rPr>
          <w:szCs w:val="24"/>
          <w:lang w:eastAsia="lt-LT"/>
        </w:rPr>
        <w:t>R. J.</w:t>
      </w:r>
      <w:r w:rsidRPr="00C00255">
        <w:rPr>
          <w:szCs w:val="24"/>
          <w:lang w:eastAsia="lt-LT"/>
        </w:rPr>
        <w:t xml:space="preserve"> ir L. A</w:t>
      </w:r>
      <w:r>
        <w:rPr>
          <w:szCs w:val="24"/>
          <w:lang w:eastAsia="lt-LT"/>
        </w:rPr>
        <w:t>.</w:t>
      </w:r>
      <w:r w:rsidRPr="00C00255">
        <w:rPr>
          <w:szCs w:val="24"/>
          <w:lang w:eastAsia="lt-LT"/>
        </w:rPr>
        <w:t xml:space="preserve"> mirė ligoninėje (t. 379, b. l. 7). Taigi akivaizdu, kad kitų 4 nukentėjusiųjų kūnai 1991 m. sausio 13 d. morge neatsidūrė dėl objektyvių priežasčių – iškart po įvykių buvo nuvežti į kitas įstaigas – kurių gynyba tinkamai neįvertino.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 xml:space="preserve">Iš nuteistojo </w:t>
      </w:r>
      <w:r>
        <w:rPr>
          <w:szCs w:val="24"/>
          <w:lang w:eastAsia="lt-LT"/>
        </w:rPr>
        <w:t>V. U. 1</w:t>
      </w:r>
      <w:r w:rsidRPr="00C00255">
        <w:rPr>
          <w:szCs w:val="24"/>
          <w:lang w:eastAsia="lt-LT"/>
        </w:rPr>
        <w:t xml:space="preserve"> gynėjo minimų </w:t>
      </w:r>
      <w:r>
        <w:rPr>
          <w:szCs w:val="24"/>
          <w:lang w:eastAsia="lt-LT"/>
        </w:rPr>
        <w:t>I. V.</w:t>
      </w:r>
      <w:r w:rsidRPr="00C00255">
        <w:rPr>
          <w:szCs w:val="24"/>
          <w:lang w:eastAsia="lt-LT"/>
        </w:rPr>
        <w:t xml:space="preserve"> parodymų matyti, kad pastarasis apskritai nežinojo, kiek asmenų minėtą dieną atsidūrė morge bei nurodė, tik manantis, kad tiek daug lavonų, kiek buvo pranešama visuomenės informavimo priemonėse, į morgą ir ligoninę nebuvo išvežta (t. 445, b. l. 48–50; t. 133, b. l. 66–67). Taigi tokie asmens parodymai apskritai nesuteikia jokios apibrėžtos informacijos ir yra tik subjektyvi nuomonė. Versiją dėl kitokios </w:t>
      </w:r>
      <w:r>
        <w:rPr>
          <w:szCs w:val="24"/>
          <w:lang w:eastAsia="lt-LT"/>
        </w:rPr>
        <w:t>A. P. K.</w:t>
      </w:r>
      <w:r w:rsidRPr="00C00255">
        <w:rPr>
          <w:szCs w:val="24"/>
          <w:lang w:eastAsia="lt-LT"/>
        </w:rPr>
        <w:t xml:space="preserve"> mirties datos teisėjų kolegija jau atmetė kaip aiškiai nepagrįstą.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 xml:space="preserve">Atsižvelgiant į visa tai, teisėjų kolegija nuteistojo </w:t>
      </w:r>
      <w:r>
        <w:rPr>
          <w:szCs w:val="24"/>
          <w:lang w:eastAsia="lt-LT"/>
        </w:rPr>
        <w:t>V. U. 1</w:t>
      </w:r>
      <w:r w:rsidRPr="00C00255">
        <w:rPr>
          <w:szCs w:val="24"/>
          <w:lang w:eastAsia="lt-LT"/>
        </w:rPr>
        <w:t xml:space="preserve"> argumentus vertina kaip nepagrįstus ir tendencingus.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lang w:eastAsia="lt-LT"/>
        </w:rPr>
        <w:t xml:space="preserve">Teisėjų kolegija, atsižvelgdama į byloje pateiktus apeliacinius skundus, išnagrinėjo, aptarė ir atmetė apeliantų nurodomus argumentus bei abejones dėl pirmosios instancijos teismo išvadų, susijusių su galimai neteisingai nustatytais nukentėjusiųjų sužalojimais, patirtais TV bokšto užėmimo metu. Kitiems atskiriems nukentėjusiesiems padarytų sužalojimų faktinės aplinkybės byloje nėra ginčijamos, be to, jos nustatytos ir </w:t>
      </w:r>
      <w:r w:rsidRPr="00C00255">
        <w:rPr>
          <w:color w:val="000000"/>
          <w:szCs w:val="24"/>
          <w:lang w:eastAsia="lt-LT" w:bidi="lt-LT"/>
        </w:rPr>
        <w:t>jau išnagrinėtoje</w:t>
      </w:r>
      <w:r w:rsidRPr="00C00255">
        <w:rPr>
          <w:szCs w:val="24"/>
        </w:rPr>
        <w:t xml:space="preserve"> </w:t>
      </w:r>
      <w:r>
        <w:rPr>
          <w:szCs w:val="24"/>
        </w:rPr>
        <w:t>M. B.</w:t>
      </w:r>
      <w:r w:rsidRPr="00C00255">
        <w:rPr>
          <w:szCs w:val="24"/>
        </w:rPr>
        <w:t xml:space="preserve">, </w:t>
      </w:r>
      <w:r>
        <w:rPr>
          <w:bCs/>
          <w:szCs w:val="24"/>
        </w:rPr>
        <w:t>J. K.</w:t>
      </w:r>
      <w:r w:rsidRPr="00C00255">
        <w:rPr>
          <w:bCs/>
          <w:szCs w:val="24"/>
        </w:rPr>
        <w:t xml:space="preserve"> ir kt. byloje</w:t>
      </w:r>
      <w:r w:rsidRPr="00C00255">
        <w:rPr>
          <w:lang w:eastAsia="lt-LT"/>
        </w:rPr>
        <w:t xml:space="preserve">, todėl teisėjų kolegija, nesant dėl to apeliacinių skundų ir nenustačiusi jokių esminių baudžiamojo proceso teisės pažeidimų, plačiau dėl kitiems nukentėjusiesiems padarytų sužalojimų nepasisako. </w:t>
      </w:r>
    </w:p>
    <w:p w:rsidR="00DA38E9" w:rsidRPr="00C00255" w:rsidRDefault="00DA38E9" w:rsidP="00DA38E9">
      <w:pPr>
        <w:pStyle w:val="4lygis"/>
        <w:rPr>
          <w:rStyle w:val="4lygisDiagrama"/>
          <w:i/>
        </w:rPr>
      </w:pPr>
      <w:r w:rsidRPr="00C00255">
        <w:rPr>
          <w:rStyle w:val="4lygisDiagrama"/>
          <w:i/>
        </w:rPr>
        <w:t xml:space="preserve">Dėl TSRS kariškių prie TV bokšto panaudotų ginklų, šovinių tipo ir pan. </w:t>
      </w:r>
    </w:p>
    <w:p w:rsidR="00DA38E9" w:rsidRPr="00055544" w:rsidRDefault="00DA38E9" w:rsidP="00DA38E9">
      <w:pPr>
        <w:pStyle w:val="ListParagraph"/>
        <w:numPr>
          <w:ilvl w:val="0"/>
          <w:numId w:val="6"/>
        </w:numPr>
        <w:spacing w:before="120" w:after="120"/>
        <w:ind w:left="992" w:hanging="992"/>
        <w:contextualSpacing w:val="0"/>
        <w:rPr>
          <w:lang w:eastAsia="lt-LT"/>
        </w:rPr>
      </w:pPr>
      <w:r w:rsidRPr="00055544">
        <w:t xml:space="preserve">Byloje nustatytos civilių asmenų sužalojimų aplinkybės, taip pat byloje surinkti objektyvūs įrodymai – vaizdo įrašai, įvykio vietos, daiktinių įrodymų apžiūrų protokolai ir kiti duomenys – teisėjų kolegijai leidžia konstatuoti ir tai, kad byloje teisingai nustatytos ir </w:t>
      </w:r>
      <w:r w:rsidRPr="00055544">
        <w:rPr>
          <w:rFonts w:eastAsia="Calibri"/>
        </w:rPr>
        <w:t>jau aptartos aplinkybės apie tai, jog šturmuojant TV bokštą nuosprendyje nurodyti kariškiai brovėsi pro minią, naudojo įvairaus pobūdžio ginklus ir šaudė iš jų, sprogdino nuosprendyje nurodytas šviesos, garso ir dūmines granatas, naudojo tiesioginį fizinį smurtą prieš civilius, juos stumdydami, spardydami, smūgiuodami kumščiais, automatų buožėmis ir pan.</w:t>
      </w:r>
      <w:r w:rsidRPr="00055544">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B822BF">
        <w:rPr>
          <w:rFonts w:eastAsia="Calibri"/>
        </w:rPr>
        <w:t>Visgi ne vienas apeliantas byloje teigia, kad kariškiai tik atstūmė civilius nuo bokšto ir prieš juos naudojo tik jiems nepavojingas priemones, kad tokios priemonės nebuvo skirtos žmonėms</w:t>
      </w:r>
      <w:r w:rsidRPr="00C00255">
        <w:rPr>
          <w:rFonts w:eastAsia="Calibri"/>
          <w:szCs w:val="24"/>
        </w:rPr>
        <w:t xml:space="preserve"> </w:t>
      </w:r>
      <w:r w:rsidRPr="00B822BF">
        <w:rPr>
          <w:rFonts w:eastAsia="Calibri"/>
        </w:rPr>
        <w:t>žaloti</w:t>
      </w:r>
      <w:r w:rsidRPr="00B822BF">
        <w:t>, buvo ne letalinio pobūdžio, nenukreiptos į žmonių naikinimą, o skirtos atgrasyti. Iš atskirų gynėjų apeliacinių skundų turinio ir pasisakymų apeliacinės instancijos teisme matyti, kad tokiais argumentais siekiama nepagrįstai sumenkinti byloje nustatytą kariškių naudotos jėgos pobūdį ir apskritai yra neigiamas civilių bauginimo faktas. Su tokiais ir panašiais gynybos argumentais teisėjų kolegija nesutinka ir konstatuoja, kad nuosprendyje nurodyti kariškių veiksmai bei naudotos priemonės užimant TV bokštą nustatytos teisingai ir objektyviai, remiantis byloje pateiktais specialistų vertinimais ir kitais įrodymais, o toks jų pobūdis, nesvarbu kokia atskirų priemonių paskirtis, turėjo aiškų bauginamąjį ir žalojamąjį poveikį civiliams.</w:t>
      </w:r>
    </w:p>
    <w:p w:rsidR="00DA38E9" w:rsidRPr="00B822BF" w:rsidRDefault="00DA38E9" w:rsidP="00DA38E9">
      <w:pPr>
        <w:pStyle w:val="ListParagraph"/>
        <w:numPr>
          <w:ilvl w:val="0"/>
          <w:numId w:val="6"/>
        </w:numPr>
        <w:spacing w:before="120" w:after="120"/>
        <w:ind w:left="992" w:hanging="992"/>
        <w:contextualSpacing w:val="0"/>
      </w:pPr>
      <w:r w:rsidRPr="00C00255">
        <w:rPr>
          <w:szCs w:val="24"/>
        </w:rPr>
        <w:t xml:space="preserve">Teisėjų kolegija, analizuodama atskirų TSRS karinių dalinių ir atskirų kariškių veiksmus, jau pasisakė apie daugybei civilių padarytas akustines traumas, karinės technikos ir tankų manevravimu padarytus sužalojimus, šaudymą koviniais, taip pat ir 5,45 mm kalibro, šoviniais, bei jais padarytus sužalojimus, tiesioginius smurtinius veiksmus civilius mušant automatų buožėmis ir kt. Teisėjų kolegija taip pat neabejoja, kad TV bokšto užėmimo metu kariškiai prieš civilius panaudojo ir kitas skundžiamame nuosprendyje nurodytas priemones. </w:t>
      </w:r>
      <w:r w:rsidRPr="00C00255">
        <w:rPr>
          <w:rFonts w:eastAsia="Calibri"/>
          <w:szCs w:val="24"/>
        </w:rPr>
        <w:t>TSRS VSK g</w:t>
      </w:r>
      <w:r w:rsidRPr="00C00255">
        <w:rPr>
          <w:szCs w:val="24"/>
        </w:rPr>
        <w:t xml:space="preserve">rupės „A“ kariškiai naudojo ir granatsvaidžius RGS-50, šviesos ir garso granatas GSZ, specialiąsias priemones – specialius skysčio pistoletus PSŽ, o </w:t>
      </w:r>
      <w:r w:rsidRPr="00C00255">
        <w:rPr>
          <w:rFonts w:eastAsia="Calibri"/>
          <w:szCs w:val="24"/>
        </w:rPr>
        <w:t xml:space="preserve">TSRS GM </w:t>
      </w:r>
      <w:r w:rsidRPr="00C00255">
        <w:rPr>
          <w:szCs w:val="24"/>
        </w:rPr>
        <w:t xml:space="preserve">76-osios oro desanto divizijos jungtinio karinio vieneto kariškiai – dūminius užtaisus DM-11, dūmines granatas RDG-2x, šaudė ir 7,62 mm kalibro SVD šautuvais </w:t>
      </w:r>
      <w:r w:rsidRPr="00B822BF">
        <w:t>(</w:t>
      </w:r>
      <w:r w:rsidRPr="00B822BF">
        <w:rPr>
          <w:rFonts w:eastAsia="Calibri"/>
        </w:rPr>
        <w:t>nuosprendžio 213, 215 l., t. 770, b. l. 13, 15)</w:t>
      </w:r>
      <w:r w:rsidRPr="00B822BF">
        <w:t>.</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lang w:eastAsia="lt-LT"/>
        </w:rPr>
        <w:t xml:space="preserve">Apie TSRS VSK grupės „A“ kariškių prie TV bokšto naudotas priemones ir ginklus patvirtina šiame teismo sprendime minėta „Komandiruotės Vilniuje rezultatų pažyma“. Iš jos matyti, kad </w:t>
      </w:r>
      <w:r w:rsidRPr="00C00255">
        <w:rPr>
          <w:rFonts w:eastAsia="Calibri"/>
          <w:szCs w:val="24"/>
        </w:rPr>
        <w:t xml:space="preserve">TSRS VSK </w:t>
      </w:r>
      <w:r w:rsidRPr="00C00255">
        <w:rPr>
          <w:szCs w:val="24"/>
          <w:lang w:eastAsia="lt-LT"/>
        </w:rPr>
        <w:t xml:space="preserve">grupės „A“ kariškiams TV bokšto ir LRT pastatų užėmimo operacijos metu buvo nurodyta naudoti granatas GCZ, granatsvaidį RG-50, priemones PSŽ. Pažymoje taip pat nurodoma, kad prie TV bokšto </w:t>
      </w:r>
      <w:r w:rsidRPr="00C00255">
        <w:rPr>
          <w:rFonts w:eastAsia="Calibri"/>
          <w:szCs w:val="24"/>
        </w:rPr>
        <w:t xml:space="preserve">TSRS VSK </w:t>
      </w:r>
      <w:r w:rsidRPr="00C00255">
        <w:rPr>
          <w:szCs w:val="24"/>
          <w:lang w:eastAsia="lt-LT"/>
        </w:rPr>
        <w:t xml:space="preserve">grupės „A“ kariškiams reikėjo skverbtis pro žmonių minią apie 100 m, o šios grupės darbuotojai naudojo granatas GCZ, priemonę PSŽ, šaudė ir grūmėsi (t. 192, b. l. 42–44; t. 192, b. l. 36–40). Specialistas J. Andriškevičius 2014 m. birželio 10 d. išvadoje konstatavo, kad „VSK „A“ kariškiai &lt;...&gt; panaudodami turimus pistoletus PSŽ, automatinius ginklus, granatsvaidžius RGS-50 ir granatas GSZ, artimojo mūšio veiksmus, kartu su desantininkais įsiveržė į TV bokštą“ (t. 480, b. l. 73). Be to, specialistas, apklausiamas apie vaizdo įrašuose matomus TV bokšto užėmimo įvykius, nurodė konkrečius vaizdo įrašuose užfiksuotus atvejus, kai tokios priemonės buvo naudojamos (t. 479, b. l. 143–150), bei pateikė ir minėtų ginklų RGS, PSŽ aprašymus bei jų daromą poveikį žmogui (t. 480, b. l. 89–105). Teisėjų kolegijos vertinimu, aptarti duomenys rodo, kad </w:t>
      </w:r>
      <w:r w:rsidRPr="00C00255">
        <w:rPr>
          <w:rFonts w:eastAsia="Calibri"/>
          <w:szCs w:val="24"/>
        </w:rPr>
        <w:t xml:space="preserve">TSRS VSK </w:t>
      </w:r>
      <w:r w:rsidRPr="00C00255">
        <w:rPr>
          <w:szCs w:val="24"/>
          <w:lang w:eastAsia="lt-LT"/>
        </w:rPr>
        <w:t xml:space="preserve">grupės „A“ kariškiai, verždamiesi į TV bokštą, prieš civilius išties panaudojo minėtas priemones, o jos, kartu su jau aptartais kariškių panaudotais koviniais ginklais ir kulkomis, net tik baugino civilius, bet ir juos žalojo.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lang w:eastAsia="lt-LT"/>
        </w:rPr>
        <w:t xml:space="preserve">Taip pat teisėjų kolegijai abejonių nekelia aplinkybės, kad TSRS GM 76-osios oro desanto divizijos kariškiai prieš civilius prie TV bokšto panaudojo ir šiame sprendime plačiau dar neaptartus </w:t>
      </w:r>
      <w:r w:rsidRPr="00C00255">
        <w:rPr>
          <w:szCs w:val="24"/>
        </w:rPr>
        <w:t xml:space="preserve">dūminius užtaisus DM-11, dūmines granatas RDG-2x bei šaudė ir 7,62 mm kalibro SVD šautuvais. Apie įvykių metu Vilniuje šio karinio dalinio disponuotas dūmadėžes DM-11 ir granatas RDG-2x nurodė ir karinio dalinio Nr. 74268 vadovybė (žr. </w:t>
      </w:r>
      <w:r>
        <w:rPr>
          <w:szCs w:val="24"/>
        </w:rPr>
        <w:t>I. K.</w:t>
      </w:r>
      <w:r w:rsidRPr="00C00255">
        <w:rPr>
          <w:szCs w:val="24"/>
        </w:rPr>
        <w:t xml:space="preserve"> raštą (t. 429, b. l. 125; t. 116, b. l. 161)). Aplinkybę, kad minėto dalinio kariškiai prie TV bokšto panaudojo šias priemones, konstatavo ir specialistas. 2014 m. birželio 10 d. išvadoje konstatuota, kad „užimant TV bokštą TSRS kariškiai išeikvojo: 83 vnt. 5,45 mm šovinių, 425</w:t>
      </w:r>
      <w:r>
        <w:rPr>
          <w:szCs w:val="24"/>
        </w:rPr>
        <w:t> </w:t>
      </w:r>
      <w:r w:rsidRPr="00C00255">
        <w:rPr>
          <w:szCs w:val="24"/>
        </w:rPr>
        <w:t xml:space="preserve">vnt. imitacinių šovinių &lt;...&gt; 1 vnt. 7,62 mm MOSIN &lt;...&gt; nenustatytą skaičių granatų DM–11, nenustatytą skaičių granatų RGD-2x“ (t. 480, b. l. 76). Teisėjų kolegija pastebi, kad nuosprendžio nustatomojoje dalyje, kaip ir kaltinamajame akte ar atskiruose byloje esančiuose rusų kalba parašytuose dokumentuose, specialisto nurodytų granatų „DM-11“ pavadinimas nurodomas naudojant arabiškus skaičius, t. y. kaip „DM-II“, nors tiek pagal viešus šaltinius, tiek pagal specialisto išvadą ir jos Priedą Nr. 5, šios priemonės pavadinime yra ne romėniškas skaičius „II“, o arabiškas skaičius „11“. Be to, pagal specialisto pateiktą šios priemonės aprašymą ant pačios priemonės yra vienuolika angų dūmų išėjimui (t. 480 b. l. 98–99), taigi tikslus šios priemonės pavadinimas yra DM-11. Atsižvelgdama į tai, teisėjų kolegija netikslų šios priemonės pavadinimą nuosprendžio nustatomoje dalyje vertina tik kaip taisytiną redakcinio pobūdžio klaidą.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t>Byloje keliami gynybos argumentai apie naudotus tik garsinius šovinius ar šaudymą tik į viršų, ar tik į kojas (turima omenyje – į žemę šalia kojų, nesužalojant asmens) ir pan., kurie atsižvelgiant į civilių patirtus sužalojimus ir jų kūnuose rastas kulkas ar jų skeveldras, apskritai yra nelogiški, be jau minėtų įrodymų, paneigia ir kiti bylos duomenys, kurie, be kita ko, taip pat liudija ir apie konkrečius teismo nuosprendyje teisingai nurodytus šovinių tipus:</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t xml:space="preserve">1991 m. sausio 16 d. įvykio vietos apžiūros protokole užfiksuota, kad prie TV bokšto buvo rasta ne tik skirtingų kalibrų šovinių tūtelių, taip pat ir vienas 5,45 mm kalibro kovinis šovinys (t. 100, b. l. 4–19). </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t>1991 m. liepos 30 d. papildomos įvykio vietos apžiūros protokole užfiksuota, kad TV bokšto pastato karnize yra netaisyklingos formos įdubimų, iš kurių apžiūros metu buvo išimti kulkų apvalkalai (t. 100, b. l. 59–71). Be to, 1991 m. rugpjūčio 30 d. eksperto išvada Nr. 2002 konstatuota, kad minėti TV bokšto karnizo pažeidimai yra šautiniai, padaryti apvalkalinėmis kulkomis, kurių sudėtyje yra vario (t. 100, b. l. 72–85).</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color w:val="000000"/>
          <w:szCs w:val="24"/>
          <w:lang w:eastAsia="lt-LT"/>
        </w:rPr>
        <w:t xml:space="preserve">Nukentėjusysis </w:t>
      </w:r>
      <w:r>
        <w:rPr>
          <w:color w:val="000000"/>
          <w:szCs w:val="24"/>
          <w:lang w:eastAsia="lt-LT"/>
        </w:rPr>
        <w:t>B. J.</w:t>
      </w:r>
      <w:r w:rsidRPr="00C00255">
        <w:rPr>
          <w:color w:val="000000"/>
          <w:szCs w:val="24"/>
          <w:lang w:eastAsia="lt-LT"/>
        </w:rPr>
        <w:t xml:space="preserve"> teisiamajame posėdyje nurodė, kad būdamas prie TV bokšto patyrė šautinę traumą, o </w:t>
      </w:r>
      <w:r w:rsidRPr="00C00255">
        <w:rPr>
          <w:szCs w:val="24"/>
          <w:lang w:eastAsia="lt-LT"/>
        </w:rPr>
        <w:t xml:space="preserve">ligoninėje jam buvo išoperuota petyje įstrigusi kulka – ją matė rentgeno nuotraukoje (t. </w:t>
      </w:r>
      <w:r w:rsidRPr="00C00255">
        <w:rPr>
          <w:szCs w:val="24"/>
        </w:rPr>
        <w:t xml:space="preserve">759, b. l. 8–9). </w:t>
      </w:r>
      <w:r>
        <w:rPr>
          <w:szCs w:val="24"/>
        </w:rPr>
        <w:t>B. J.</w:t>
      </w:r>
      <w:r w:rsidRPr="00C00255">
        <w:rPr>
          <w:szCs w:val="24"/>
        </w:rPr>
        <w:t xml:space="preserve"> posėdyje patvirtino ir tyrimo metu duotus parodymus, kuriuose nurodė matęs, kaip į jį šovė vienas iš grupėje stovėjusių kariškių (t. 69, b. l. 147–150). 1991 m. sausio 26 d. teismo medicinos ekspertizės akte Nr. 474 konstatuota, kad </w:t>
      </w:r>
      <w:r>
        <w:rPr>
          <w:szCs w:val="24"/>
        </w:rPr>
        <w:t>B. J.</w:t>
      </w:r>
      <w:r w:rsidRPr="00C00255">
        <w:rPr>
          <w:szCs w:val="24"/>
        </w:rPr>
        <w:t xml:space="preserve"> 1991 m. sausio 13 d. naktį buvo padaryta šautinė dešinės pusės žaizda su sviedinio kulkos įstrigimu dešiniajame žaste (t. 69, b. l. 158–159). Be to, byloje yra ir daikto poėmio ir jo apžiūros protokolai, kuriuose užfiksuota iš </w:t>
      </w:r>
      <w:r>
        <w:rPr>
          <w:szCs w:val="24"/>
        </w:rPr>
        <w:t>B. J.</w:t>
      </w:r>
      <w:r w:rsidRPr="00C00255">
        <w:rPr>
          <w:szCs w:val="24"/>
        </w:rPr>
        <w:t xml:space="preserve"> kūno išimta skeveldra (t. 102, b. l. 160</w:t>
      </w:r>
      <w:bookmarkStart w:id="317" w:name="_Hlk67476318"/>
      <w:r w:rsidRPr="00C00255">
        <w:rPr>
          <w:szCs w:val="24"/>
        </w:rPr>
        <w:t>–</w:t>
      </w:r>
      <w:bookmarkEnd w:id="317"/>
      <w:r w:rsidRPr="00C00255">
        <w:rPr>
          <w:szCs w:val="24"/>
        </w:rPr>
        <w:t>165).</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szCs w:val="24"/>
        </w:rPr>
        <w:t>Nukentėjusysis R.</w:t>
      </w:r>
      <w:r>
        <w:rPr>
          <w:szCs w:val="24"/>
        </w:rPr>
        <w:t> </w:t>
      </w:r>
      <w:r w:rsidRPr="00C00255">
        <w:rPr>
          <w:szCs w:val="24"/>
        </w:rPr>
        <w:t>G</w:t>
      </w:r>
      <w:r>
        <w:rPr>
          <w:szCs w:val="24"/>
        </w:rPr>
        <w:t>.</w:t>
      </w:r>
      <w:r w:rsidRPr="00C00255">
        <w:rPr>
          <w:szCs w:val="24"/>
        </w:rPr>
        <w:t xml:space="preserve"> teisiamajame posėdyje nurodė, kad</w:t>
      </w:r>
      <w:r w:rsidRPr="00C00255">
        <w:rPr>
          <w:rFonts w:asciiTheme="minorHAnsi" w:eastAsiaTheme="minorHAnsi" w:hAnsiTheme="minorHAnsi" w:cstheme="minorBidi"/>
          <w:sz w:val="22"/>
          <w:szCs w:val="24"/>
        </w:rPr>
        <w:t xml:space="preserve"> </w:t>
      </w:r>
      <w:r w:rsidRPr="00C00255">
        <w:rPr>
          <w:szCs w:val="24"/>
        </w:rPr>
        <w:t>jis buvo sužeistas kariškių prie TV bokšto. Viena kulka jam buvo peršauta koja, kita įstrigo ties dubens kaulu. Nukentėjusiajam sakė, kad iš jo kūno buvo išimta Kalašnikovo kulka (t. 758, b.</w:t>
      </w:r>
      <w:r w:rsidRPr="00C00255">
        <w:t> </w:t>
      </w:r>
      <w:r w:rsidRPr="00C00255">
        <w:rPr>
          <w:szCs w:val="24"/>
        </w:rPr>
        <w:t xml:space="preserve">l. 151–152). Tokias nukentėjusiojo nurodytas aplinkybes patvirtina ir </w:t>
      </w:r>
      <w:r w:rsidRPr="00C00255">
        <w:rPr>
          <w:lang w:eastAsia="lt-LT"/>
        </w:rPr>
        <w:t>1991 m. kovo 12 d. kriminalistinės ekspertizės akto Nr. 11-341 išvados. Jame nustatyta, kad pateikta tyrimui kulka, kuria buvo sužeistas R.</w:t>
      </w:r>
      <w:r>
        <w:rPr>
          <w:lang w:eastAsia="lt-LT"/>
        </w:rPr>
        <w:t> </w:t>
      </w:r>
      <w:r w:rsidRPr="00C00255">
        <w:rPr>
          <w:lang w:eastAsia="lt-LT"/>
        </w:rPr>
        <w:t>G</w:t>
      </w:r>
      <w:r>
        <w:rPr>
          <w:lang w:eastAsia="lt-LT"/>
        </w:rPr>
        <w:t>.</w:t>
      </w:r>
      <w:r w:rsidRPr="00C00255">
        <w:rPr>
          <w:lang w:eastAsia="lt-LT"/>
        </w:rPr>
        <w:t>, yra 5,45 mm kalibro šovinio, skirto šaudyti iš Kalašnikovo sistemos automatų (AK-74) ir kulkosvaidžių (RPK-74), kulka. Pateikta tyrimui kulka yra iššauta iš 5,45</w:t>
      </w:r>
      <w:r>
        <w:rPr>
          <w:lang w:eastAsia="lt-LT"/>
        </w:rPr>
        <w:t> </w:t>
      </w:r>
      <w:r w:rsidRPr="00C00255">
        <w:rPr>
          <w:lang w:eastAsia="lt-LT"/>
        </w:rPr>
        <w:t xml:space="preserve">mm kalibro Kalašnikovo sistemos automato AK-74 (t. 101, b. l. 52–58).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Nukentėjusysis V.</w:t>
      </w:r>
      <w:r>
        <w:rPr>
          <w:lang w:eastAsia="lt-LT"/>
        </w:rPr>
        <w:t> </w:t>
      </w:r>
      <w:r w:rsidRPr="00C00255">
        <w:rPr>
          <w:lang w:eastAsia="lt-LT"/>
        </w:rPr>
        <w:t>Š</w:t>
      </w:r>
      <w:r>
        <w:rPr>
          <w:lang w:eastAsia="lt-LT"/>
        </w:rPr>
        <w:t>.</w:t>
      </w:r>
      <w:r w:rsidRPr="00C00255">
        <w:rPr>
          <w:lang w:eastAsia="lt-LT"/>
        </w:rPr>
        <w:t xml:space="preserve">, apklaustas teisiamajame posėdyje jau minėtoje </w:t>
      </w:r>
      <w:r>
        <w:rPr>
          <w:lang w:eastAsia="lt-LT"/>
        </w:rPr>
        <w:t>M. B.</w:t>
      </w:r>
      <w:r w:rsidRPr="00C00255">
        <w:rPr>
          <w:lang w:eastAsia="lt-LT"/>
        </w:rPr>
        <w:t xml:space="preserve">, </w:t>
      </w:r>
      <w:r>
        <w:rPr>
          <w:lang w:eastAsia="lt-LT"/>
        </w:rPr>
        <w:t>J. K.</w:t>
      </w:r>
      <w:r w:rsidRPr="00C00255">
        <w:rPr>
          <w:lang w:eastAsia="lt-LT"/>
        </w:rPr>
        <w:t xml:space="preserve"> ir kt. byloje, nurodė, kad jis buvo sužeistas dviem kulkomis – viena kovine, kita plastmasine (t. 371, b. l. 125). 1991 m. sausio 22 d. teismo medicinos ekspertizės aktu Nr. 419 konstatuota, kad V.</w:t>
      </w:r>
      <w:r>
        <w:rPr>
          <w:lang w:eastAsia="lt-LT"/>
        </w:rPr>
        <w:t> </w:t>
      </w:r>
      <w:r w:rsidRPr="00C00255">
        <w:rPr>
          <w:lang w:eastAsia="lt-LT"/>
        </w:rPr>
        <w:t>Š</w:t>
      </w:r>
      <w:r>
        <w:rPr>
          <w:lang w:eastAsia="lt-LT"/>
        </w:rPr>
        <w:t xml:space="preserve">. </w:t>
      </w:r>
      <w:r w:rsidRPr="00C00255">
        <w:rPr>
          <w:lang w:eastAsia="lt-LT"/>
        </w:rPr>
        <w:t>nustatytas šautinis burnos sužalojimas su kiaurine žaizda viršutinės lūpos dešinėje pusėje, skeveldrinių dešinio viršutinio žandikaulio vainikinio krašto lūžiu ir 2, 3, 4, 5, 6 ir 7 dantų išmušimu, plėštinėmis žaizdomis, burnos prieangio gleivinėje ir liežuvyje ir kulkos liežuvyje įstrigimu; poodine kraujosruva dešiniajame paakyje. Akte nurodoma, kad sužalojimas – šautinis, apie ką rodo sužalojimo pobūdis ir liežuvyje įstrigusi kulka (t. 69, b. l. 95–96). 1991 m. kovo 8 d. ekspertizės akte Nr. 11-339 konstatuota, kad pateikta tyrimui kulka, kuria buvo sužeistas V. Š</w:t>
      </w:r>
      <w:r>
        <w:rPr>
          <w:lang w:eastAsia="lt-LT"/>
        </w:rPr>
        <w:t>.</w:t>
      </w:r>
      <w:r w:rsidRPr="00C00255">
        <w:rPr>
          <w:lang w:eastAsia="lt-LT"/>
        </w:rPr>
        <w:t>, yra 5,45 mm kalibro šovinio, skirto šaudyti iš Kalašnikovo sistemos automatų (AK-74) ir kulkosvaidžių (RPK-74). Pateikta tyrimui kulka yra iššauta iš 5,45 mm kalibro Kalašnikovo sistemos automato (AK-74) (t. 101, b. l. 97–101). Be to, iš bylos duomenų matyti, kad ši kulka apžiūrėta, nufotografuota bei saugoma LNM (t. 101, b. l. 90–93, t. 508, b. l. 148–212, 213–214).</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t xml:space="preserve">Byloje ištyrus TV bokšto teritorijoje rastas šovinių tūteles konstatuota, kad 1) 5 šautos tūtelės yra 7,62 mm kalibro šovinių, skirtų šaudyti iš 7,62 mm kalibro </w:t>
      </w:r>
      <w:r w:rsidRPr="00C00255">
        <w:rPr>
          <w:iCs/>
        </w:rPr>
        <w:t>Mosin</w:t>
      </w:r>
      <w:r w:rsidRPr="00C00255">
        <w:rPr>
          <w:i/>
        </w:rPr>
        <w:t xml:space="preserve"> </w:t>
      </w:r>
      <w:r w:rsidRPr="00C00255">
        <w:t>1891/30, karabinų ir kulkosvaidžių (TSRS), dalys (šios tūtelės yra kovinių šovinių dalis); 2) 4 tūtelės su nesugadintomis kapsulėmis yra 5,45 mm kalibro šovinių, skirtų šaudyti iš 5,45 mm kalibro automatų AK-74 ir kulkosvaidžių RPK-74, dalys; 3) 24 šautos tūtelės yra 5,45 mm kalibro šovinių, skirtų šaudyti iš 5,45 mm kalibro automatų AK-74 ir kulkosvaidžių RPK-74, dalys: 16 tūtelių su markiravimo ženklais „3, 75“ ir „17, 75“ yra kovinių šovinių dalys, o likusios 8 tūtelės – tuščiųjų šovinių dalys (1991 m. kovo 26 d. eksperto išvada Nr. 645, (t. 442, b. l. 6–8, t. 129, b. l. 2–5). Pastebėtina, kad karinio dalinio Nr. 74268 vado pasirašytoje 1991 m. balandžio 22 d. pažymoje taip pat nurodyta, kad prie TV bokšto oro desanto kariškiai išnaudojo 83 vnt. 5,45 mm kalibro šovinių su kulka „PS“ (markiruotė: gamykla 17, metai 75) (t. 429, b. l. 118, t. 116, b. l. 153).</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t>Byloje užfiksuotuose vaizdo įrašuose specialistas J. Andriškevičius aiškiai matė, kad oro desanto kariškiai, be kita ko, buvo ginkluoti automatais AKS-74, AKS-74U, taip pat specialistas nurodė, kad</w:t>
      </w:r>
      <w:r w:rsidRPr="00055544">
        <w:rPr>
          <w:rFonts w:eastAsiaTheme="minorHAnsi"/>
        </w:rPr>
        <w:t xml:space="preserve"> </w:t>
      </w:r>
      <w:r w:rsidRPr="00055544">
        <w:t>keliose nuotraukose mato oro desanto karius, „ginkluotus 5.45 mm ginklais“ (t. 479, b. l. 36-40). Tokių duomenų apie oro desanto kariškių turėtą ir naudotą ginkluotę kontekste pažymėtina ir tai, kad Spaudos rūmų užėmimo metu TSRS GM 76-osios oro desanto divizijos vado pavaduotojas</w:t>
      </w:r>
      <w:r w:rsidRPr="00055544">
        <w:rPr>
          <w:szCs w:val="24"/>
          <w:lang w:eastAsia="lt-LT"/>
        </w:rPr>
        <w:t xml:space="preserve"> </w:t>
      </w:r>
      <w:r w:rsidRPr="00055544">
        <w:rPr>
          <w:rFonts w:eastAsia="Calibri"/>
        </w:rPr>
        <w:t>V. K. 1 taip pat šaudė į nukentėjusįjį V. L. ir jį sužalojo automatiniu ginklu AKS-74, naudodamas 5,45 mm kalibro šovinius</w:t>
      </w:r>
      <w:r w:rsidRPr="00B822BF">
        <w:rPr>
          <w:rFonts w:eastAsia="Calibri"/>
        </w:rPr>
        <w:t>.</w:t>
      </w:r>
      <w:r w:rsidRPr="00C00255">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Atsižvelgdama į visa tai ir</w:t>
      </w:r>
      <w:r w:rsidRPr="00C00255">
        <w:t xml:space="preserve"> turėdama omenyje ir daugybės asmenų parodymus apie kovinius šovinius, teisėjų kolegija atmeta ne tik gynybos teiginius, kad prie TV bokšto kariškiai naudojo tik garsinius šovinius, šaudydami tik viršų ir pan., bet ir argumentus apie tai, jog byloje nepatikrinta, ar kariškiai išties panaudojo 5,45 mm kalibro šovinius (apie šio tipo šovinių </w:t>
      </w:r>
      <w:r w:rsidRPr="00C00255">
        <w:rPr>
          <w:color w:val="000000"/>
        </w:rPr>
        <w:t xml:space="preserve">panaudojimo draudžiamumą tarptautinėje teisėje ir to teisinį vertinimą teisėjų kolegija pasisakys atskiroje dalyje). Tokių išvadų kontekste </w:t>
      </w:r>
      <w:r w:rsidRPr="00C00255">
        <w:t>teisėjų kolegija taip pat pažymi, kad TV</w:t>
      </w:r>
      <w:r>
        <w:t> </w:t>
      </w:r>
      <w:r w:rsidRPr="00C00255">
        <w:t xml:space="preserve">bokšto užėmimo operacija buvo koordinuota, visi kariškiai veikė bendrai ir siekdami bendro tikslo, todėl teismo išvados apie bendrai visų kariškių naudotus tiek garsinius, tiek kovinius šovinius yra visiškai pagrįstos ir teisingos. Aptariant konkrečių asmenų sužalojimus, tiek, kiek tai leido nustatyti byloje surinkti įrodymai, pirmosios instancijos teismas nurodė konkretų karinį dalinį, o atskirais atvejais – ir konkrečius kariškius, kurie panaudojo kovinius šovinius. Toks nusikalstamų veiksmų aplinkybių aprašymas yra tinkamas ir pagrįstas. </w:t>
      </w:r>
    </w:p>
    <w:p w:rsidR="00DA38E9" w:rsidRPr="00C00255" w:rsidRDefault="00DA38E9" w:rsidP="00DA38E9">
      <w:pPr>
        <w:pStyle w:val="Heading4"/>
        <w:spacing w:before="120" w:after="120"/>
        <w:ind w:firstLine="992"/>
        <w:rPr>
          <w:rFonts w:ascii="Times New Roman" w:hAnsi="Times New Roman"/>
          <w:b w:val="0"/>
          <w:i/>
          <w:sz w:val="24"/>
          <w:szCs w:val="24"/>
        </w:rPr>
      </w:pPr>
      <w:r w:rsidRPr="00C00255">
        <w:rPr>
          <w:rFonts w:ascii="Times New Roman" w:hAnsi="Times New Roman"/>
          <w:b w:val="0"/>
          <w:i/>
          <w:sz w:val="24"/>
          <w:szCs w:val="24"/>
        </w:rPr>
        <w:t xml:space="preserve">Dėl teiginių apie šaudymą į TSRS kariškius ir pas civilius rastus ginklus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055544">
        <w:rPr>
          <w:szCs w:val="24"/>
        </w:rPr>
        <w:t xml:space="preserve">Nemaža dalis nuteistųjų ir (ar) jų gynėjų apeliaciniuose skunduose teigia, kad TV bokšto užėmimo metu buvo šaudoma į kariškius, kad pas civilius buvo rasta šaunamųjų ginklų ir pan. Nuteistojo V. S. 2 gynėjas teigia, kad jo ginamasis matė, kaip kulkos skriejo į kariškius iš gyvenamųjų namų, o daugelis kariškių patyrė įvairius sužalojimus. </w:t>
      </w:r>
      <w:r w:rsidRPr="00055544">
        <w:rPr>
          <w:color w:val="000000"/>
          <w:lang w:bidi="lt-LT"/>
        </w:rPr>
        <w:t>Nuteistojo M. G. gynėjas teigia, kad t</w:t>
      </w:r>
      <w:r w:rsidRPr="00055544">
        <w:rPr>
          <w:szCs w:val="24"/>
        </w:rPr>
        <w:t xml:space="preserve">eismas nenustatė konkrečių šaunamųjų ginklų, iš kurių buvo sužaloti žmonės, o M. G. teigė, kad prie TV bokšto buvo šaudoma iš įvairių pusių, kad iš gynėjų buvo paimti šaunamieji ginklai. Nuteistųjų J. M. ir A. G. 1 gynėjai teigia, kad pirmosios instancijos </w:t>
      </w:r>
      <w:r w:rsidRPr="00055544">
        <w:rPr>
          <w:color w:val="000000"/>
          <w:lang w:bidi="lt-LT"/>
        </w:rPr>
        <w:t xml:space="preserve">teismas nepagrįstai atmetė kariškių teiginius apie tai, kad į TSRS kariškius buvo šaudoma nuo aplinkinių namų stogų, netenkino prašymo pridėti prie bylos tai liudijančių parodymų, duotų A. P. baudžiamojoje byloje Nr. </w:t>
      </w:r>
      <w:r w:rsidRPr="00055544">
        <w:rPr>
          <w:color w:val="000000"/>
          <w:lang w:eastAsia="ru-RU" w:bidi="ru-RU"/>
        </w:rPr>
        <w:t>1-410-88/2011</w:t>
      </w:r>
      <w:r w:rsidRPr="00055544">
        <w:t xml:space="preserve">. Nuteistojo V. U. 1 gynėjas teigia, kad </w:t>
      </w:r>
      <w:r w:rsidRPr="00055544">
        <w:rPr>
          <w:szCs w:val="24"/>
        </w:rPr>
        <w:t>prie TV bokšto buvo rasti šoviniai tokių ginklų, kurių neturėjo sovietų kariai</w:t>
      </w:r>
      <w:r w:rsidRPr="00C00255">
        <w:rPr>
          <w:szCs w:val="24"/>
        </w:rPr>
        <w:t>.</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Teisėjų kolegijos vertinimu</w:t>
      </w:r>
      <w:r w:rsidRPr="00C00255">
        <w:rPr>
          <w:i/>
          <w:lang w:eastAsia="lt-LT"/>
        </w:rPr>
        <w:t>,</w:t>
      </w:r>
      <w:r w:rsidRPr="00C00255">
        <w:rPr>
          <w:lang w:eastAsia="lt-LT"/>
        </w:rPr>
        <w:t xml:space="preserve"> tokios apeliantų versijos yra deklaratyvios ir jomis siekiama nepagrįstai sušvelninti nuteistųjų teisinę padėtį. Panašios versijos jau buvo vertintos ne vienoje byloje ir atmestos įsiteisėjusiais teismų sprendimais.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lang w:eastAsia="lt-LT"/>
        </w:rPr>
        <w:t xml:space="preserve">Antai, </w:t>
      </w:r>
      <w:r>
        <w:rPr>
          <w:bCs/>
          <w:szCs w:val="24"/>
        </w:rPr>
        <w:t>M. B.</w:t>
      </w:r>
      <w:r w:rsidRPr="00C00255">
        <w:rPr>
          <w:bCs/>
          <w:szCs w:val="24"/>
        </w:rPr>
        <w:t xml:space="preserve">, </w:t>
      </w:r>
      <w:r>
        <w:rPr>
          <w:bCs/>
          <w:szCs w:val="24"/>
        </w:rPr>
        <w:t>J. K.</w:t>
      </w:r>
      <w:r w:rsidRPr="00C00255">
        <w:rPr>
          <w:bCs/>
          <w:szCs w:val="24"/>
        </w:rPr>
        <w:t xml:space="preserve"> ir kt. baudžiamojoje byloje priimtame Vilniaus apygardos teismo 1999 m. rugpjūčio 23 d. nuosprendyje buvo nurodyta, kad TSRS kariuomenės bei karinių padalinių vadai, dalyvavę 1991 m. sausio mėn. įvykiuose Vilniuje, aiškino, kad kariškiai neturėjo šovinių su trasuojančiomis kulkomis, o tokiais šoviniais buvo ginkluoti Lietuvos „smogikai“, kurie šaudė į kariškius. Nuteistieji M. B</w:t>
      </w:r>
      <w:r>
        <w:rPr>
          <w:bCs/>
          <w:szCs w:val="24"/>
        </w:rPr>
        <w:t>.</w:t>
      </w:r>
      <w:r w:rsidRPr="00C00255">
        <w:rPr>
          <w:bCs/>
          <w:szCs w:val="24"/>
        </w:rPr>
        <w:t xml:space="preserve"> ir J.</w:t>
      </w:r>
      <w:r>
        <w:rPr>
          <w:bCs/>
          <w:szCs w:val="24"/>
        </w:rPr>
        <w:t> </w:t>
      </w:r>
      <w:r w:rsidRPr="00C00255">
        <w:rPr>
          <w:bCs/>
          <w:szCs w:val="24"/>
        </w:rPr>
        <w:t>J</w:t>
      </w:r>
      <w:r>
        <w:rPr>
          <w:bCs/>
          <w:szCs w:val="24"/>
        </w:rPr>
        <w:t>.</w:t>
      </w:r>
      <w:r w:rsidRPr="00C00255">
        <w:rPr>
          <w:bCs/>
          <w:szCs w:val="24"/>
        </w:rPr>
        <w:t xml:space="preserve"> teigė, kad kariškiai šaunamuosius ginklus panaudojo tik dėl to, kad į juos iš gyvenamųjų namų ir minios šaudė civiliai, apsirengę kaip Krašto apsaugos pareigūnai (t. 379, b. l. 214–215). Visgi Vilniaus apygardos teismas minėtoje byloje tokius teiginius atmetė, nurodydamas, kad juos paneigia byloje surinktų duomenų visuma. Teismas konstatavo, kad versija dėl šaudymo į kariškius tėra priemonė pateisinti savo ir kitų kariškių veiksmus prieš beginklius žmones. Be to, teismas įžvelgė ir prieštaravimus tarp atskirų kariškių parodymų; pabrėžė dalies nukentėjusiųjų ir liudytojų nurodytas aplinkybes apie TSRS prokuratūros sufalsifikuotus jų parodymus; taip pat nurodė įvykio vietoje surinktus duomenis ir objektus, kurie, pasak teismo, paneigė propagandinius teiginius, kad iš gyvenamųjų namų buvo šaudoma į kariškius. Vilniaus apygardos teismas taip pat konstatavo, kad nepagrįsti ir kariškių teiginiai, jog prie TV bokšto žmonės buvo sužaloti ne dėl jų kaltės, o dėl to, kad šaudė ir besiginančioji pusė (t. 379, b. l. 214–218). </w:t>
      </w:r>
    </w:p>
    <w:p w:rsidR="00DA38E9" w:rsidRPr="00C00255" w:rsidRDefault="00DA38E9" w:rsidP="00DA38E9">
      <w:pPr>
        <w:pStyle w:val="ListParagraph"/>
        <w:numPr>
          <w:ilvl w:val="0"/>
          <w:numId w:val="6"/>
        </w:numPr>
        <w:spacing w:after="120"/>
        <w:ind w:left="992" w:hanging="992"/>
        <w:contextualSpacing w:val="0"/>
        <w:rPr>
          <w:color w:val="000000"/>
          <w:szCs w:val="24"/>
          <w:lang w:eastAsia="lt-LT" w:bidi="lt-LT"/>
        </w:rPr>
      </w:pPr>
      <w:r w:rsidRPr="00C00255">
        <w:rPr>
          <w:bCs/>
          <w:szCs w:val="24"/>
        </w:rPr>
        <w:t xml:space="preserve">Visa tai rodo, kad apeliantai kartoja jau kitoje baudžiamojoje byloje dėl tų pačių įvykių keltas analogiškas versijas, todėl teisėjų kolegija, vien turėdama omenyje tokius detalius ir išsamius Vilniaus apygardos teismo 1999 m. rugpjūčio 23 d. nuosprendyje baudžiamojoje byloje Nr. 1-2/1999 nurodytus argumentus, kurie, beje, nebuvo paneigti ir peržiūrint bylą apeliacine bei kasacine tvarka, nesant nustatytų jokių naujų aplinkybių, iš esmės neturi jokio pagrindo šiais klausimais daryti kitokių išvadų. </w:t>
      </w:r>
    </w:p>
    <w:p w:rsidR="00DA38E9" w:rsidRPr="00C00255" w:rsidRDefault="00DA38E9" w:rsidP="00DA38E9">
      <w:pPr>
        <w:pStyle w:val="ListParagraph"/>
        <w:numPr>
          <w:ilvl w:val="0"/>
          <w:numId w:val="6"/>
        </w:numPr>
        <w:spacing w:after="120"/>
        <w:ind w:left="992" w:hanging="992"/>
        <w:contextualSpacing w:val="0"/>
        <w:rPr>
          <w:color w:val="000000"/>
          <w:szCs w:val="24"/>
          <w:lang w:eastAsia="lt-LT" w:bidi="lt-LT"/>
        </w:rPr>
      </w:pPr>
      <w:r w:rsidRPr="00C00255">
        <w:rPr>
          <w:color w:val="000000"/>
          <w:szCs w:val="24"/>
          <w:lang w:eastAsia="lt-LT" w:bidi="lt-LT"/>
        </w:rPr>
        <w:t xml:space="preserve">Be to, ir nagrinėjamoje byloje esančiame 1991 m. sausio 22 d. įvykio vietos apžiūros protokole matyti, kad pareigūnų buvo apžiūrėta teritorija aplink TV bokštą bei netoli bokšto tuometinėje Sudervės g. buvę gyvenamieji namai Nr. 27, 33 ir 37. Iš minėto protokolo matyti, kad vykdyta įvykio vietos apžiūra buvo detali: apžiūrėta ne tik teritorija aplink minėtus objektus, tačiau ir minėtų namų korpusas, langai ir pan. Apžiūrą vykdę pareigūnai nenustatė, kad minėti namai ar aplink juos esanti teritorija tam tikru aspektu būtų pažeisti. Protokole taip pat nurodyta, kad </w:t>
      </w:r>
      <w:r w:rsidRPr="00C00255">
        <w:t xml:space="preserve">teritorijoje aplinkui namus ir TV bokšto aptvarą šūvių pėdsakų nerasta. </w:t>
      </w:r>
      <w:r w:rsidRPr="00C00255">
        <w:rPr>
          <w:color w:val="000000"/>
          <w:szCs w:val="24"/>
          <w:lang w:eastAsia="lt-LT" w:bidi="lt-LT"/>
        </w:rPr>
        <w:t>Be to, buvo apžiūrėti ir minėtų namų stogai bei nustatyta,</w:t>
      </w:r>
      <w:r w:rsidRPr="00C00255">
        <w:t xml:space="preserve"> kad ant jų esanti sniego danga nepažeista, o, persijojus sniegą, šaudymo pėdsakų ir tūtelių nerasta (t. 100, b. l. 38–44). </w:t>
      </w:r>
    </w:p>
    <w:p w:rsidR="00DA38E9" w:rsidRPr="00C00255" w:rsidRDefault="00DA38E9" w:rsidP="00DA38E9">
      <w:pPr>
        <w:pStyle w:val="ListParagraph"/>
        <w:numPr>
          <w:ilvl w:val="0"/>
          <w:numId w:val="6"/>
        </w:numPr>
        <w:spacing w:after="120"/>
        <w:ind w:left="992" w:hanging="992"/>
        <w:contextualSpacing w:val="0"/>
        <w:rPr>
          <w:szCs w:val="24"/>
          <w:lang w:eastAsia="lt-LT" w:bidi="lt-LT"/>
        </w:rPr>
      </w:pPr>
      <w:r w:rsidRPr="00C00255">
        <w:t xml:space="preserve">Daugelis byloje apklaustų liudytojų ir nukentėjusiųjų taip pat paneigė bet kokias ginklų panaudojimo iš civilių pusės galimybes. Teisiamajame posėdyje kaip liudytojas apklaustas tuometinis Lietuvos Respublikos vidaus reikalų ministras </w:t>
      </w:r>
      <w:r>
        <w:t>M. M.</w:t>
      </w:r>
      <w:r w:rsidRPr="00C00255">
        <w:t>, be kita ko, nurodė, kad p</w:t>
      </w:r>
      <w:r w:rsidRPr="00C00255">
        <w:rPr>
          <w:color w:val="000000"/>
        </w:rPr>
        <w:t xml:space="preserve">rieš byloje nagrinėjamus įvykius buvo analizuojami panašūs TSRS jėgos panaudojimo atvejai Kaukaze, Tbilisyje, todėl net Lietuvos vidaus reikalų pareigūnai neturėjo jokių ginklų, kad buvo siekiama užkirsti kelią ginkluoto konflikto išprovokavimui ir žmonių aukoms </w:t>
      </w:r>
      <w:r w:rsidRPr="00C00255">
        <w:t>(t. 756, b. l. 113–121). Šiuo aspektu svarbūs ir</w:t>
      </w:r>
      <w:r w:rsidRPr="00C00255">
        <w:rPr>
          <w:szCs w:val="24"/>
        </w:rPr>
        <w:t xml:space="preserve"> liudytojo </w:t>
      </w:r>
      <w:r>
        <w:rPr>
          <w:szCs w:val="24"/>
        </w:rPr>
        <w:t>G. J.</w:t>
      </w:r>
      <w:r w:rsidRPr="00C00255">
        <w:rPr>
          <w:szCs w:val="24"/>
        </w:rPr>
        <w:t xml:space="preserve">, Lietuvos kariuomenės karininko majoro, teisiamajame posėdyje duoti parodymai apie šaudymą į TSRS kariškius iš gretimų namų. Šis, suinteresuotumo bylos baigtimi neturintis kariškis profesionalas, nurodė, kad iš gretimų namų tiesiog fiziškai nebuvo galimybių šaudyti, nes buvo tamsi naktis. Jis tiksliai matė, kas prie TV bokšto šaudė. Anot liudytojo, visi kiti šaudymo variantai yra net faktiškai negalimi, nes atstumas tarp objektų buvo didelis – juos skyrė daugiau negu penki šimtai metrų (t. 760, b. l. 7–9). </w:t>
      </w:r>
      <w:r w:rsidRPr="00C00255">
        <w:rPr>
          <w:color w:val="000000"/>
        </w:rPr>
        <w:t>Iš byloje surinktų įrodymų ir nukentėjusiesiems padarytų sužalojimų aiškiai matyti, kad ne civiliai, o kariškiai naudojo jėgą ir puolė civilius, todėl tokie gynybos teiginiai dėl civilių šaudymo į kariškius nepagrįsti ir atmestini</w:t>
      </w:r>
      <w:r w:rsidRPr="00C00255">
        <w:t xml:space="preserve">. </w:t>
      </w:r>
    </w:p>
    <w:p w:rsidR="00DA38E9" w:rsidRPr="00C00255" w:rsidRDefault="00DA38E9" w:rsidP="00DA38E9">
      <w:pPr>
        <w:pStyle w:val="Heading3"/>
        <w:spacing w:before="120" w:after="120"/>
        <w:ind w:left="992"/>
        <w:jc w:val="left"/>
        <w:rPr>
          <w:rStyle w:val="Heading3Char"/>
          <w:rFonts w:eastAsiaTheme="majorEastAsia"/>
          <w:i/>
          <w:sz w:val="24"/>
          <w:szCs w:val="24"/>
          <w:lang w:val="lt-LT" w:bidi="lt-LT"/>
        </w:rPr>
      </w:pPr>
      <w:bookmarkStart w:id="318" w:name="_Toc67480784"/>
      <w:bookmarkStart w:id="319" w:name="_Toc67677396"/>
      <w:bookmarkStart w:id="320" w:name="_Toc67985524"/>
      <w:r w:rsidRPr="00C00255">
        <w:rPr>
          <w:rStyle w:val="Heading3Char"/>
          <w:rFonts w:eastAsiaTheme="majorEastAsia"/>
          <w:bCs/>
          <w:i/>
          <w:sz w:val="24"/>
          <w:szCs w:val="24"/>
          <w:lang w:val="lt-LT"/>
        </w:rPr>
        <w:t>Apibendrinančios išvados dėl faktinių aplinkybių, susijusių su TV bokšto užėmimu</w:t>
      </w:r>
      <w:bookmarkEnd w:id="318"/>
      <w:bookmarkEnd w:id="319"/>
      <w:bookmarkEnd w:id="320"/>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bookmarkStart w:id="321" w:name="_Hlk67506009"/>
      <w:r w:rsidRPr="00C00255">
        <w:rPr>
          <w:color w:val="000000"/>
          <w:szCs w:val="24"/>
          <w:lang w:eastAsia="lt-LT" w:bidi="lt-LT"/>
        </w:rPr>
        <w:t>Teisėjų kolegija, apibendrindama nurodytus motyvus, konstatuoja, kad</w:t>
      </w:r>
      <w:bookmarkEnd w:id="321"/>
      <w:r w:rsidRPr="00C00255">
        <w:rPr>
          <w:color w:val="000000"/>
          <w:szCs w:val="24"/>
          <w:lang w:eastAsia="lt-LT" w:bidi="lt-LT"/>
        </w:rPr>
        <w:t xml:space="preserve"> visos esminės Vilniaus apygardos teismo 2019 m. kovo 27 d. nuosprendžiu konstatuotos faktinės aplinkybės dėl TV bokšto užėmimo pasitvirtino ir yra teisingos. Visgi teisėjų kolegija nustatė šiuos pirmosios instancijos teismo nuosprendžio TV bokšto užėmimo nustatomojoje dalyje, esančius ir taisytinus netikslumus bei prieštaravimus: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skundžiamo nuosprendžio nustatomoji dalis tikslintina nurodant, kad vadovavimo štabas paskirstė karines pajėgas į užimtinus objektus, nurodė užduotis, paskyrė kariniams veiksmams vadovaujančius ir už karinių veiksmų koordinavimą atsakingus asmenis, kuriems įsakė informuoti vadovavimo štabą apie karinių operacijų eigą ir rezultatus bei koordinavo ir kontroliavo bendrus kariškių veiksmus taip pat užimant ir TV bokštą </w:t>
      </w:r>
      <w:r w:rsidRPr="00C00255">
        <w:rPr>
          <w:iCs/>
          <w:lang w:eastAsia="ar-SA" w:bidi="lt-LT"/>
        </w:rPr>
        <w:t>(</w:t>
      </w:r>
      <w:r w:rsidRPr="00C00255">
        <w:rPr>
          <w:szCs w:val="24"/>
          <w:lang w:eastAsia="lt-LT"/>
        </w:rPr>
        <w:t>šio sprendimo 424, 455 pastraipos);</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skundžiamame nuosprendyje patikslinti nurodytų aplinkybių aprašymą nekeičiant teismo išvadų, bet jį išdėstant pagal pirminį kaltinimą taip, kad būtų tiesiogiai nurodyta, kur yra </w:t>
      </w:r>
      <w:r w:rsidRPr="00C00255">
        <w:rPr>
          <w:szCs w:val="24"/>
          <w:lang w:eastAsia="lt-LT"/>
        </w:rPr>
        <w:t>išvardijamos TV bokštą šturmavusios karinės pajėgos ir joms iškelti tikslai, taip pat įrašant ir iš kaltinimo pašalintus žodžius „turėjo“, o kur – šių kariškių faktiškai atlikti veiksmai įvykio vietoje (šio sprendimo 504</w:t>
      </w:r>
      <w:r w:rsidRPr="00C00255">
        <w:rPr>
          <w:color w:val="000000"/>
          <w:szCs w:val="24"/>
          <w:lang w:eastAsia="lt-LT" w:bidi="lt-LT"/>
        </w:rPr>
        <w:t>–</w:t>
      </w:r>
      <w:r w:rsidRPr="00C00255">
        <w:rPr>
          <w:szCs w:val="24"/>
          <w:lang w:eastAsia="lt-LT"/>
        </w:rPr>
        <w:t>505 pastraipos);</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t xml:space="preserve">skundžiamo nuosprendžio nustatomojoje dalyje nurodyti, kad </w:t>
      </w:r>
      <w:r w:rsidRPr="00C00255">
        <w:rPr>
          <w:iCs/>
          <w:lang w:bidi="lt-LT"/>
        </w:rPr>
        <w:t>77-ojo motorizuotų šaulių pulko kariškiai atvyko ne mažiau kaip trimis tankais T-72, kurių borto numeriai 220, 221 ir 223, ir ne mažiau kaip viena priešlėktuvinės gynybos sistema ŠILKA (ZSU 23-4) (šio sprendimo 336 pastraipa);</w:t>
      </w:r>
    </w:p>
    <w:p w:rsidR="00DA38E9" w:rsidRPr="00C00255" w:rsidRDefault="00DA38E9" w:rsidP="00DA38E9">
      <w:pPr>
        <w:pStyle w:val="ListParagraph"/>
        <w:numPr>
          <w:ilvl w:val="1"/>
          <w:numId w:val="6"/>
        </w:numPr>
        <w:ind w:left="993" w:hanging="993"/>
        <w:rPr>
          <w:szCs w:val="24"/>
          <w:lang w:eastAsia="lt-LT" w:bidi="lt-LT"/>
        </w:rPr>
      </w:pPr>
      <w:r w:rsidRPr="00C00255">
        <w:rPr>
          <w:szCs w:val="24"/>
          <w:lang w:eastAsia="lt-LT" w:bidi="lt-LT"/>
        </w:rPr>
        <w:t xml:space="preserve">iš skundžiamo nuosprendžio nustatomosios dalies, kurioje aprašytos tanko Nr. 544 įvykdyto TV bokštą juosusios tvoros išlaužimo aplinkybės, (nuosprendžio 214 l.) šalinami žodžiai „vakarų pusėje“ (šio sprendimo 404 pastraipa). </w:t>
      </w:r>
    </w:p>
    <w:p w:rsidR="00DA38E9" w:rsidRPr="00C00255" w:rsidRDefault="00DA38E9" w:rsidP="00DA38E9">
      <w:pPr>
        <w:pStyle w:val="ListParagraph"/>
        <w:numPr>
          <w:ilvl w:val="0"/>
          <w:numId w:val="6"/>
        </w:numPr>
        <w:spacing w:before="120" w:after="120"/>
        <w:ind w:left="993" w:hanging="993"/>
        <w:contextualSpacing w:val="0"/>
      </w:pPr>
      <w:bookmarkStart w:id="322" w:name="_Hlk67512288"/>
      <w:r w:rsidRPr="00C00255">
        <w:t>Kaip minėta, teisėjų kolegija įžvelgė ir nuosprendžio nustatomajai daliai prieštaraujančias ar neteisingas pirmosios instancijos teismo išvadas skundžiamo nuosprendžio motyvuojamoje dalyje (nuosprendžio 873 l., 875 l.):</w:t>
      </w:r>
    </w:p>
    <w:bookmarkEnd w:id="322"/>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t xml:space="preserve">skundžiamo nuosprendžio motyvuojamoje nepagrįstai nurodyta, kad tik </w:t>
      </w:r>
      <w:r w:rsidRPr="00C00255">
        <w:rPr>
          <w:szCs w:val="24"/>
          <w:lang w:eastAsia="lt-LT" w:bidi="lt-LT"/>
        </w:rPr>
        <w:t xml:space="preserve">tanko Nr. 513 ir jo ekipažo narių </w:t>
      </w:r>
      <w:r>
        <w:rPr>
          <w:szCs w:val="24"/>
          <w:lang w:eastAsia="lt-LT" w:bidi="lt-LT"/>
        </w:rPr>
        <w:t>S. V.</w:t>
      </w:r>
      <w:r w:rsidRPr="00C00255">
        <w:rPr>
          <w:szCs w:val="24"/>
          <w:lang w:eastAsia="lt-LT" w:bidi="lt-LT"/>
        </w:rPr>
        <w:t xml:space="preserve"> bei </w:t>
      </w:r>
      <w:r>
        <w:rPr>
          <w:szCs w:val="24"/>
          <w:lang w:eastAsia="lt-LT" w:bidi="lt-LT"/>
        </w:rPr>
        <w:t>A. K. 1</w:t>
      </w:r>
      <w:r w:rsidRPr="00C00255">
        <w:rPr>
          <w:szCs w:val="24"/>
          <w:lang w:eastAsia="lt-LT" w:bidi="lt-LT"/>
        </w:rPr>
        <w:t xml:space="preserve"> veiksmais buvo padaryti sužalojimai nukentėjusiajam A. P. K</w:t>
      </w:r>
      <w:r>
        <w:rPr>
          <w:szCs w:val="24"/>
          <w:lang w:eastAsia="lt-LT" w:bidi="lt-LT"/>
        </w:rPr>
        <w:t>.</w:t>
      </w:r>
      <w:r w:rsidRPr="00C00255">
        <w:rPr>
          <w:szCs w:val="24"/>
          <w:lang w:eastAsia="lt-LT" w:bidi="lt-LT"/>
        </w:rPr>
        <w:t xml:space="preserve"> (</w:t>
      </w:r>
      <w:r w:rsidRPr="00C00255">
        <w:rPr>
          <w:szCs w:val="24"/>
          <w:lang w:eastAsia="lt-LT"/>
        </w:rPr>
        <w:t>šio sprendimo 381</w:t>
      </w:r>
      <w:r w:rsidRPr="00C00255">
        <w:rPr>
          <w:color w:val="000000"/>
          <w:szCs w:val="24"/>
          <w:lang w:eastAsia="lt-LT" w:bidi="lt-LT"/>
        </w:rPr>
        <w:t>–</w:t>
      </w:r>
      <w:r w:rsidRPr="00C00255">
        <w:rPr>
          <w:szCs w:val="24"/>
          <w:lang w:eastAsia="lt-LT"/>
        </w:rPr>
        <w:t>393 pastraipos);</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rPr>
          <w:rFonts w:eastAsia="Calibri"/>
        </w:rPr>
        <w:t xml:space="preserve">skundžiamo nuosprendžio motyvuojamojoje dalyje nepagrįstai nurodyta, kad nukentėjusysis </w:t>
      </w:r>
      <w:r w:rsidRPr="00055544">
        <w:t>I. Š. buvo nužudytas nuteistojo E. M. vadovaujamų oro desanto kariškių atakos metu (šio sprendimo 473–477 pastraipos</w:t>
      </w:r>
      <w:r w:rsidRPr="00055544">
        <w:rPr>
          <w:szCs w:val="24"/>
          <w:lang w:eastAsia="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color w:val="000000"/>
          <w:szCs w:val="24"/>
          <w:lang w:eastAsia="lt-LT" w:bidi="lt-LT"/>
        </w:rPr>
        <w:t xml:space="preserve">skundžiamo nuosprendžio motyvuojamojoje dalyje nepagrįstai nurodyta, kad nuteistasis </w:t>
      </w:r>
      <w:r>
        <w:rPr>
          <w:color w:val="000000"/>
          <w:szCs w:val="24"/>
          <w:lang w:eastAsia="lt-LT" w:bidi="lt-LT"/>
        </w:rPr>
        <w:t>R. J. 1</w:t>
      </w:r>
      <w:r w:rsidRPr="00C00255">
        <w:rPr>
          <w:color w:val="000000"/>
          <w:szCs w:val="24"/>
          <w:lang w:eastAsia="lt-LT" w:bidi="lt-LT"/>
        </w:rPr>
        <w:t xml:space="preserve"> vadovavo draugovininkams užimant ir TV bokštą (</w:t>
      </w:r>
      <w:r w:rsidRPr="00C00255">
        <w:rPr>
          <w:szCs w:val="24"/>
          <w:lang w:eastAsia="lt-LT"/>
        </w:rPr>
        <w:t>šio sprendimo 533 pastraipa).</w:t>
      </w:r>
      <w:r w:rsidRPr="00C00255">
        <w:rPr>
          <w:color w:val="000000"/>
          <w:szCs w:val="24"/>
          <w:lang w:eastAsia="lt-LT" w:bidi="lt-LT"/>
        </w:rPr>
        <w:t xml:space="preserve"> </w:t>
      </w:r>
    </w:p>
    <w:p w:rsidR="00DA38E9" w:rsidRPr="00C00255" w:rsidRDefault="00DA38E9" w:rsidP="00DA38E9">
      <w:pPr>
        <w:pStyle w:val="Heading2"/>
        <w:spacing w:after="120"/>
        <w:ind w:firstLine="992"/>
        <w:jc w:val="center"/>
        <w:rPr>
          <w:rFonts w:ascii="Times New Roman" w:hAnsi="Times New Roman" w:cs="Times New Roman"/>
          <w:sz w:val="24"/>
        </w:rPr>
      </w:pPr>
      <w:bookmarkStart w:id="323" w:name="_Toc66697265"/>
      <w:bookmarkStart w:id="324" w:name="_Toc67480785"/>
      <w:bookmarkStart w:id="325" w:name="_Toc67677397"/>
      <w:bookmarkStart w:id="326" w:name="_Toc67985525"/>
      <w:r w:rsidRPr="00C00255">
        <w:rPr>
          <w:rFonts w:ascii="Times New Roman" w:hAnsi="Times New Roman" w:cs="Times New Roman"/>
          <w:sz w:val="24"/>
        </w:rPr>
        <w:t>E. DĖL RADIJO IR TELEVIZIJOS KOMITETO (LRT) UŽĖMIMO</w:t>
      </w:r>
      <w:bookmarkEnd w:id="323"/>
      <w:bookmarkEnd w:id="324"/>
      <w:bookmarkEnd w:id="325"/>
      <w:bookmarkEnd w:id="326"/>
    </w:p>
    <w:p w:rsidR="00DA38E9" w:rsidRPr="00055544" w:rsidRDefault="00DA38E9" w:rsidP="00DA38E9">
      <w:pPr>
        <w:pStyle w:val="ListParagraph"/>
        <w:numPr>
          <w:ilvl w:val="0"/>
          <w:numId w:val="6"/>
        </w:numPr>
        <w:spacing w:before="120" w:after="120"/>
        <w:ind w:left="992" w:hanging="992"/>
        <w:contextualSpacing w:val="0"/>
      </w:pPr>
      <w:r w:rsidRPr="00055544">
        <w:t xml:space="preserve">Vilniaus apygardos teismo 2019 m. kovo 27 d. nuosprendžio dalyje </w:t>
      </w:r>
      <w:bookmarkStart w:id="327" w:name="_Hlk67563819"/>
      <w:r w:rsidRPr="00055544">
        <w:t>„</w:t>
      </w:r>
      <w:r w:rsidRPr="00055544">
        <w:rPr>
          <w:i/>
        </w:rPr>
        <w:t>R</w:t>
      </w:r>
      <w:r w:rsidRPr="00055544">
        <w:rPr>
          <w:rFonts w:eastAsia="Calibri"/>
          <w:i/>
        </w:rPr>
        <w:t>adijo ir televizijos komiteto (LRT) užgrobimas</w:t>
      </w:r>
      <w:r w:rsidRPr="00055544">
        <w:t xml:space="preserve">“ </w:t>
      </w:r>
      <w:bookmarkEnd w:id="327"/>
      <w:r w:rsidRPr="00055544">
        <w:t xml:space="preserve">konstatuota, kad įgyvendinant operacijos planavimo grupės ir vadovavimo štabo parengtą planą, TSRS karinės operacijos metu 1991 m. sausio 12–13 d. naktį buvo užgrobtas Radijo ir televizijos komitetas, o šios operacijos metu buvo nužudytas 1 civilis bei itin didelis skaičius civilių – iš viso 210 – patyrė kitokius sveikatos sužalojimus </w:t>
      </w:r>
      <w:bookmarkStart w:id="328" w:name="_Hlk65231331"/>
      <w:r w:rsidRPr="00055544">
        <w:t>(</w:t>
      </w:r>
      <w:bookmarkStart w:id="329" w:name="_Hlk63805440"/>
      <w:r w:rsidRPr="00055544">
        <w:rPr>
          <w:rFonts w:eastAsia="Calibri"/>
        </w:rPr>
        <w:t>nuosprendžio 514–520 l., t. 771, b. l. 114–120</w:t>
      </w:r>
      <w:bookmarkEnd w:id="329"/>
      <w:r w:rsidRPr="00055544">
        <w:rPr>
          <w:rFonts w:eastAsia="Calibri"/>
        </w:rPr>
        <w:t>)</w:t>
      </w:r>
      <w:bookmarkEnd w:id="328"/>
      <w:r w:rsidRPr="00055544">
        <w:t xml:space="preserve">. </w:t>
      </w:r>
      <w:bookmarkStart w:id="330" w:name="_Hlk65796051"/>
    </w:p>
    <w:bookmarkEnd w:id="330"/>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Dalis byloje nagrinėjamų LRT užėmimo faktinių aplinkybių jau yra nustatytos teismų sprendimais, priimtais jau minėtoje </w:t>
      </w:r>
      <w:r>
        <w:rPr>
          <w:szCs w:val="24"/>
        </w:rPr>
        <w:t>M. B.</w:t>
      </w:r>
      <w:r w:rsidRPr="00C00255">
        <w:rPr>
          <w:szCs w:val="24"/>
        </w:rPr>
        <w:t xml:space="preserve">, </w:t>
      </w:r>
      <w:r>
        <w:rPr>
          <w:szCs w:val="24"/>
        </w:rPr>
        <w:t>J. K.</w:t>
      </w:r>
      <w:r w:rsidRPr="00C00255">
        <w:rPr>
          <w:szCs w:val="24"/>
        </w:rPr>
        <w:t xml:space="preserve"> ir kt. byloje (t. 386, b. l. 115–171; t. 387, b. l. 328–379). </w:t>
      </w:r>
      <w:r w:rsidRPr="00C00255">
        <w:rPr>
          <w:szCs w:val="24"/>
          <w:lang w:eastAsia="lt-LT"/>
        </w:rPr>
        <w:t>Vilniaus apygardos teismo 1999 m. rugpjūčio 23 d. nuosprendžiu baudžiamojoje byloje Nr. 1-2/1999 nustatyta</w:t>
      </w:r>
      <w:r w:rsidRPr="00C00255">
        <w:rPr>
          <w:szCs w:val="24"/>
          <w:lang w:eastAsia="lt-LT" w:bidi="lt-LT"/>
        </w:rPr>
        <w:t xml:space="preserve">, kad būtent TSRS kariškiai aptariamu laiku užgrobė LRT bei prie šio objekto nužudė </w:t>
      </w:r>
      <w:r>
        <w:rPr>
          <w:szCs w:val="24"/>
          <w:lang w:eastAsia="lt-LT" w:bidi="lt-LT"/>
        </w:rPr>
        <w:t>A. K.</w:t>
      </w:r>
      <w:r w:rsidRPr="00C00255">
        <w:rPr>
          <w:szCs w:val="24"/>
          <w:lang w:eastAsia="lt-LT" w:bidi="lt-LT"/>
        </w:rPr>
        <w:t xml:space="preserve"> ir kartu su draugovininkais kitaip sužalojo itin didelį skaičių civilių. Pažymėtina, kad minėtu nuosprendžiu taip pat pagal padarytų sužalojimų rūšis ir pobūdį, išskirtos kitokias traumas patyrusių civilių grupės: </w:t>
      </w:r>
      <w:r w:rsidRPr="00C00255">
        <w:rPr>
          <w:szCs w:val="24"/>
          <w:lang w:bidi="lt-LT"/>
        </w:rPr>
        <w:t xml:space="preserve">tyčinius apysunkius kūno sužalojimus (šautines žaizdas, skeveldrines, muštines bei akustines, </w:t>
      </w:r>
      <w:r w:rsidRPr="00C00255">
        <w:rPr>
          <w:szCs w:val="24"/>
          <w:lang w:eastAsia="lt-LT" w:bidi="lt-LT"/>
        </w:rPr>
        <w:t>taip pat ir nuo tankų šūvių, patirtas traumas</w:t>
      </w:r>
      <w:r w:rsidRPr="00C00255">
        <w:rPr>
          <w:szCs w:val="24"/>
          <w:lang w:bidi="lt-LT"/>
        </w:rPr>
        <w:t xml:space="preserve">), tyčinius lengvus kūno sužalojimus (šautines žaizdas, skeveldrines, muštines ir akustines, </w:t>
      </w:r>
      <w:r w:rsidRPr="00C00255">
        <w:rPr>
          <w:szCs w:val="24"/>
          <w:lang w:eastAsia="lt-LT" w:bidi="lt-LT"/>
        </w:rPr>
        <w:t>taip pat ir nuo tankų šūvių, patirtas traumas</w:t>
      </w:r>
      <w:r w:rsidRPr="00C00255">
        <w:rPr>
          <w:szCs w:val="24"/>
          <w:lang w:bidi="lt-LT"/>
        </w:rPr>
        <w:t xml:space="preserve">), </w:t>
      </w:r>
      <w:r w:rsidRPr="00C00255">
        <w:rPr>
          <w:szCs w:val="24"/>
        </w:rPr>
        <w:t>(t. 379, b. l. 7–12)</w:t>
      </w:r>
      <w:r w:rsidRPr="00C00255">
        <w:rPr>
          <w:szCs w:val="24"/>
          <w:lang w:bidi="lt-LT"/>
        </w:rPr>
        <w:t xml:space="preserve">. Taigi, civilių sveikatos sutrikdymo ir civilio nužudymo faktas prie LRT yra nustatytas </w:t>
      </w:r>
      <w:r w:rsidRPr="00C00255">
        <w:rPr>
          <w:szCs w:val="24"/>
        </w:rPr>
        <w:t xml:space="preserve">įsiteisėjusiu ir </w:t>
      </w:r>
      <w:r w:rsidRPr="00C00255">
        <w:rPr>
          <w:i/>
          <w:szCs w:val="24"/>
        </w:rPr>
        <w:t xml:space="preserve">res judicata </w:t>
      </w:r>
      <w:r w:rsidRPr="00C00255">
        <w:rPr>
          <w:szCs w:val="24"/>
        </w:rPr>
        <w:t>galią turinčiu teismo sprendimu kitoje byloje. Dėl šios priežasties teisėjų kolegijai nekelia abejonių asmenų sužalojimo ir vieno asmens nužudymo</w:t>
      </w:r>
      <w:r w:rsidRPr="00C00255" w:rsidDel="00457755">
        <w:rPr>
          <w:szCs w:val="24"/>
        </w:rPr>
        <w:t xml:space="preserve"> </w:t>
      </w:r>
      <w:r w:rsidRPr="00C00255">
        <w:rPr>
          <w:szCs w:val="24"/>
        </w:rPr>
        <w:t>prie LRT faktas, juolab, kad daugelis šių nustatytų aplinkybių apeliacine tvarka nėra ginčijamos.</w:t>
      </w:r>
    </w:p>
    <w:p w:rsidR="00DA38E9" w:rsidRPr="00055544" w:rsidRDefault="00DA38E9" w:rsidP="00DA38E9">
      <w:pPr>
        <w:pStyle w:val="ListParagraph"/>
        <w:numPr>
          <w:ilvl w:val="0"/>
          <w:numId w:val="6"/>
        </w:numPr>
        <w:spacing w:before="120" w:after="120"/>
        <w:ind w:left="992" w:hanging="992"/>
        <w:contextualSpacing w:val="0"/>
      </w:pPr>
      <w:r w:rsidRPr="00055544">
        <w:t>Visgi, minėtame Vilniaus apygardos teismo nuosprendyje</w:t>
      </w:r>
      <w:r w:rsidRPr="00055544">
        <w:rPr>
          <w:szCs w:val="24"/>
          <w:lang w:eastAsia="lt-LT"/>
        </w:rPr>
        <w:t xml:space="preserve"> </w:t>
      </w:r>
      <w:r w:rsidRPr="00055544">
        <w:rPr>
          <w:rFonts w:eastAsia="Calibri"/>
        </w:rPr>
        <w:t xml:space="preserve">nebuvo išskirti konkretūs LRT šturme dalyvavę TSRS kariškiai. Minėtame nuosprendyje, be kita ko, konstatuota, kad operaciją prie LRT vykdė TSRS kariškiai, kuriems padėjo draugovininkai, o taip pat, jog asmenys prie LRT dėl tankų šūvių patyrė akustines traumas, kas patvirtina, kad operacijoje prie LRT taip pat dalyvavo ir tankai (t. 379, b. l. 7–12). Taigi, teismas minėtoje byloje tiesiogiai neįvardijo konkrečių TSRS karinių dalinių ar tuo labiau konkrečių kariškių, kurie dalyvavo užimant LRT. </w:t>
      </w:r>
    </w:p>
    <w:p w:rsidR="00DA38E9" w:rsidRPr="00B822BF" w:rsidRDefault="00DA38E9" w:rsidP="00DA38E9">
      <w:pPr>
        <w:pStyle w:val="ListParagraph"/>
        <w:numPr>
          <w:ilvl w:val="0"/>
          <w:numId w:val="6"/>
        </w:numPr>
        <w:spacing w:before="120" w:after="120"/>
        <w:ind w:left="992" w:hanging="992"/>
        <w:contextualSpacing w:val="0"/>
      </w:pPr>
      <w:r w:rsidRPr="00055544">
        <w:rPr>
          <w:rFonts w:eastAsia="Calibri"/>
        </w:rPr>
        <w:t>Nagrinėjamoje byloje sprendžiamas konkrečių TSRS kariškių ir kelių LKP/TSKP narių atsakomybės klausimas, todėl skundžiamame Vilniaus apygardos teismo 2019 m. kovo 27 d. nuosprendyje buvo išskirti ne tik konkretūs kariniai daliniai, bet ir konkretūs kariškiai ir</w:t>
      </w:r>
      <w:r w:rsidRPr="00055544">
        <w:t xml:space="preserve"> </w:t>
      </w:r>
      <w:r w:rsidRPr="00055544">
        <w:rPr>
          <w:rFonts w:eastAsia="Calibri"/>
        </w:rPr>
        <w:t xml:space="preserve">LKP/TSKP nariai, kurie dalyvavo šioje byloje nagrinėjamuose įvykiuose. </w:t>
      </w:r>
      <w:r w:rsidRPr="00055544">
        <w:t xml:space="preserve">Pagal byloje nustatytas aplinkybes užimant LRT dalyvavo </w:t>
      </w:r>
      <w:r w:rsidRPr="00055544">
        <w:rPr>
          <w:rFonts w:eastAsia="Calibri"/>
        </w:rPr>
        <w:t xml:space="preserve">TSRS GM, VRM ir VSK kariškiai, taip pat nenustatyti kariškiai ir draugovininkai. Taigi, priešingai nei užimant Spaudos rūmus ir TV bokštą, be TSRS GM Oro desanto ir Sausumos pajėgų, TSRS VSK kariškių bei draugovininkų, LRT užėmime dalyvavo ir TSRS VRM kariškiai. </w:t>
      </w:r>
    </w:p>
    <w:p w:rsidR="00DA38E9" w:rsidRPr="00055544" w:rsidRDefault="00DA38E9" w:rsidP="00DA38E9">
      <w:pPr>
        <w:pStyle w:val="ListParagraph"/>
        <w:numPr>
          <w:ilvl w:val="1"/>
          <w:numId w:val="6"/>
        </w:numPr>
        <w:spacing w:before="120" w:after="120"/>
        <w:ind w:left="992" w:hanging="992"/>
        <w:contextualSpacing w:val="0"/>
        <w:rPr>
          <w:szCs w:val="24"/>
          <w:lang w:eastAsia="lt-LT" w:bidi="lt-LT"/>
        </w:rPr>
      </w:pPr>
      <w:r w:rsidRPr="00055544">
        <w:rPr>
          <w:rFonts w:eastAsia="Calibri"/>
        </w:rPr>
        <w:t>Skundžiamame pirmosios instancijos teismo nuosprendyje nustatyta, kad užimant LRT</w:t>
      </w:r>
      <w:r w:rsidRPr="00055544">
        <w:t xml:space="preserve"> dalyvavo: maždaug 138</w:t>
      </w:r>
      <w:r w:rsidRPr="00055544">
        <w:rPr>
          <w:rFonts w:eastAsia="Calibri"/>
        </w:rPr>
        <w:t xml:space="preserve"> kariškiai iš </w:t>
      </w:r>
      <w:bookmarkStart w:id="331" w:name="_Hlk63854728"/>
      <w:r w:rsidRPr="00055544">
        <w:rPr>
          <w:rFonts w:eastAsia="Calibri"/>
        </w:rPr>
        <w:t>TSRS GM Oro desanto pajėgų 76</w:t>
      </w:r>
      <w:bookmarkStart w:id="332" w:name="_Hlk63805386"/>
      <w:r w:rsidRPr="00055544">
        <w:rPr>
          <w:rFonts w:eastAsia="Calibri"/>
        </w:rPr>
        <w:t>-osios oro desanto divizijos</w:t>
      </w:r>
      <w:bookmarkEnd w:id="331"/>
      <w:bookmarkEnd w:id="332"/>
      <w:r w:rsidRPr="00055544">
        <w:rPr>
          <w:rFonts w:eastAsia="Calibri"/>
        </w:rPr>
        <w:t xml:space="preserve">; 25 kariškiai iš TSRS VSK grupės „A“; 9 kariškiai iš TSRS GM </w:t>
      </w:r>
      <w:r w:rsidRPr="00055544">
        <w:t xml:space="preserve">Sausumos pajėgų Pabaltijo karinės apygardos </w:t>
      </w:r>
      <w:r w:rsidRPr="00055544">
        <w:rPr>
          <w:rFonts w:eastAsia="Calibri"/>
        </w:rPr>
        <w:t xml:space="preserve">107-osios motorizuotų šaulių divizijos 106-ojo tankų pulko; 63 kariškiai iš TSRS VRM Vidaus kariuomenės 42-osios divizijos konvojaus pulko mokomosios specialiosios paskirties kuopos; apie 100 </w:t>
      </w:r>
      <w:r w:rsidRPr="00055544">
        <w:t>draugovininkų, vadovaujamų LKP/TSKP CK Politinio – teisinio skyriaus konsultanto pulkininko R. J. 1 (</w:t>
      </w:r>
      <w:r w:rsidRPr="00055544">
        <w:rPr>
          <w:rFonts w:eastAsia="Calibri"/>
        </w:rPr>
        <w:t>žr. nuosprendžio 514–520 l., t. 771, b. l. 115–120)</w:t>
      </w:r>
      <w:r w:rsidRPr="00055544">
        <w:t>.</w:t>
      </w:r>
    </w:p>
    <w:p w:rsidR="00DA38E9" w:rsidRPr="00B822BF" w:rsidRDefault="00DA38E9" w:rsidP="00DA38E9">
      <w:pPr>
        <w:pStyle w:val="ListParagraph"/>
        <w:numPr>
          <w:ilvl w:val="1"/>
          <w:numId w:val="6"/>
        </w:numPr>
        <w:spacing w:before="120" w:after="120"/>
        <w:ind w:left="992" w:hanging="992"/>
        <w:contextualSpacing w:val="0"/>
      </w:pPr>
      <w:bookmarkStart w:id="333" w:name="_Hlk64287719"/>
      <w:r w:rsidRPr="00055544">
        <w:rPr>
          <w:rFonts w:eastAsia="Calibri"/>
        </w:rPr>
        <w:t xml:space="preserve">Kaip minėta anksčiau šiame sprendime, skundžiamame nuosprendyje nustatyta, kad TSRS VSK specialiosios paskirties grupės „A“, TSRS GM </w:t>
      </w:r>
      <w:r w:rsidRPr="00055544">
        <w:t>Oro desanto pajėgų 76-osios oro desanto divizijos</w:t>
      </w:r>
      <w:r w:rsidRPr="00055544">
        <w:rPr>
          <w:rFonts w:eastAsia="Calibri"/>
        </w:rPr>
        <w:t xml:space="preserve">, TSRS GM Sausumos pajėgų Pabaltijo karinės apygardos 107-osios motorizuotų šaulių divizijos ir TSRS VRM </w:t>
      </w:r>
      <w:r w:rsidRPr="00055544">
        <w:t>Vidaus kariuomenės 42-osios divizijos</w:t>
      </w:r>
      <w:r w:rsidRPr="00055544">
        <w:rPr>
          <w:rFonts w:eastAsia="Calibri"/>
        </w:rPr>
        <w:t xml:space="preserve"> kariškių bendrus veiksmus, užimant visus byloje minimus objektus, koordinavo kiti </w:t>
      </w:r>
      <w:bookmarkStart w:id="334" w:name="_Hlk65249169"/>
      <w:r w:rsidRPr="00055544">
        <w:rPr>
          <w:rFonts w:eastAsia="Calibri"/>
        </w:rPr>
        <w:t>vadovavimo karinei operacijai štabo nariai</w:t>
      </w:r>
      <w:bookmarkEnd w:id="334"/>
      <w:r w:rsidRPr="00055544">
        <w:rPr>
          <w:rFonts w:eastAsia="Calibri"/>
        </w:rPr>
        <w:t xml:space="preserve">, t. y. nuteistasis M. G. (iš TSRS VSK specialiosios paskirties grupės „A“), nuteistasis V. K. 1 (iš TSRS GM </w:t>
      </w:r>
      <w:r w:rsidRPr="00055544">
        <w:t xml:space="preserve">76-osios oro desanto divizijos), </w:t>
      </w:r>
      <w:bookmarkStart w:id="335" w:name="_Hlk65519240"/>
      <w:r w:rsidRPr="00055544">
        <w:rPr>
          <w:rFonts w:eastAsia="Calibri"/>
        </w:rPr>
        <w:t>V. U. 1 (iš TSRS GM 107-osios motorizuotų šaulių divizijos) ir nuteistasis A. Ž. (iš</w:t>
      </w:r>
      <w:r w:rsidRPr="00055544">
        <w:t xml:space="preserve"> TSRS VRM Vidaus kariuomenės 42-osios divizijos)</w:t>
      </w:r>
      <w:bookmarkEnd w:id="335"/>
      <w:r w:rsidRPr="00055544">
        <w:rPr>
          <w:rFonts w:eastAsia="Calibri"/>
        </w:rPr>
        <w:t xml:space="preserve"> (žr. nuosprendžio 14–15 l., t. 769, b. l. 14–15).</w:t>
      </w:r>
    </w:p>
    <w:p w:rsidR="00DA38E9" w:rsidRPr="00C00255" w:rsidRDefault="00DA38E9" w:rsidP="00DA38E9">
      <w:pPr>
        <w:pStyle w:val="ListParagraph"/>
        <w:numPr>
          <w:ilvl w:val="1"/>
          <w:numId w:val="6"/>
        </w:numPr>
        <w:spacing w:before="120" w:after="120"/>
        <w:ind w:left="992" w:hanging="992"/>
        <w:contextualSpacing w:val="0"/>
        <w:rPr>
          <w:szCs w:val="24"/>
          <w:lang w:eastAsia="lt-LT" w:bidi="lt-LT"/>
        </w:rPr>
      </w:pPr>
      <w:r w:rsidRPr="00B822BF">
        <w:t xml:space="preserve">Pirmosios instancijos teismas nustatė, kad </w:t>
      </w:r>
      <w:r w:rsidRPr="00B822BF">
        <w:rPr>
          <w:rFonts w:eastAsia="Calibri"/>
        </w:rPr>
        <w:t>karinės atakos prie LRT metu kariškiams vadovavo ir jų veiksmus koordinavo TSRS GM 76-osios oro desanto divizijos 234-ojo pulko žvalgybos viršininkas S. P., kuris savo veiksmus ryšio priemonėmis tiesiogiai derino su vadovavimo štabe buvusiu TSRS GM 76-osios oro desanto divizijos vado pavaduotoju V. K. 1.</w:t>
      </w:r>
      <w:r w:rsidRPr="00C00255">
        <w:rPr>
          <w:rFonts w:eastAsia="Calibri"/>
        </w:rPr>
        <w:t xml:space="preserve"> </w:t>
      </w:r>
      <w:r w:rsidRPr="00C00255">
        <w:t xml:space="preserve">Atsakingu už šios operacijos įvykdymą buvo paskirtas </w:t>
      </w:r>
      <w:r w:rsidRPr="00C00255">
        <w:rPr>
          <w:rFonts w:eastAsia="Calibri"/>
          <w:szCs w:val="24"/>
        </w:rPr>
        <w:t xml:space="preserve">TSRS GM </w:t>
      </w:r>
      <w:r w:rsidRPr="00C00255">
        <w:t xml:space="preserve">76-osios oro desanto divizijos 234-ojo pulko štabo viršininkas </w:t>
      </w:r>
      <w:r>
        <w:t>G. G.</w:t>
      </w:r>
      <w:r w:rsidRPr="00C00255">
        <w:t>.</w:t>
      </w:r>
    </w:p>
    <w:p w:rsidR="00DA38E9" w:rsidRPr="00C00255" w:rsidRDefault="00DA38E9" w:rsidP="00DA38E9">
      <w:pPr>
        <w:pStyle w:val="ListParagraph"/>
        <w:numPr>
          <w:ilvl w:val="1"/>
          <w:numId w:val="6"/>
        </w:numPr>
        <w:spacing w:before="120" w:after="120"/>
        <w:ind w:left="992" w:hanging="992"/>
        <w:contextualSpacing w:val="0"/>
        <w:rPr>
          <w:szCs w:val="24"/>
          <w:lang w:eastAsia="lt-LT" w:bidi="lt-LT"/>
        </w:rPr>
      </w:pPr>
      <w:r w:rsidRPr="00B822BF">
        <w:rPr>
          <w:rFonts w:eastAsia="Calibri"/>
        </w:rPr>
        <w:t xml:space="preserve">Skundžiamo </w:t>
      </w:r>
      <w:r w:rsidRPr="00B822BF">
        <w:t xml:space="preserve">nuosprendžio nustatomojoje dalyje kaip užimant LRT vadovavę kariškiai nurodyti šie nuteistieji: </w:t>
      </w:r>
      <w:r w:rsidRPr="00B822BF">
        <w:rPr>
          <w:rFonts w:eastAsia="Calibri"/>
        </w:rPr>
        <w:t xml:space="preserve">S. P., </w:t>
      </w:r>
      <w:r w:rsidRPr="00B822BF">
        <w:t xml:space="preserve">V. K. 1, </w:t>
      </w:r>
      <w:r w:rsidRPr="00B822BF">
        <w:rPr>
          <w:rFonts w:eastAsia="Calibri"/>
        </w:rPr>
        <w:t>G. G., J. G., I. Š., A. F. 1, K. U., A. F. 2, J. J., A. I., S. M., V. S. 3, A. N. 2 , A. S., A. C., B. S., S. G., V. G., R. J. 2</w:t>
      </w:r>
      <w:r w:rsidRPr="00B822BF">
        <w:t xml:space="preserve"> (</w:t>
      </w:r>
      <w:bookmarkStart w:id="336" w:name="_Hlk64020637"/>
      <w:r w:rsidRPr="00B822BF">
        <w:rPr>
          <w:rFonts w:eastAsia="Calibri"/>
        </w:rPr>
        <w:t xml:space="preserve">TSRS GM Oro desanto pajėgų </w:t>
      </w:r>
      <w:bookmarkEnd w:id="336"/>
      <w:r w:rsidRPr="00B822BF">
        <w:rPr>
          <w:rFonts w:eastAsia="Calibri"/>
        </w:rPr>
        <w:t xml:space="preserve">76-osios divizijos kariškiai), V. P., N. O., A. U., J. O., D. F., E. R., A. K. 2, N. S. </w:t>
      </w:r>
      <w:r w:rsidRPr="00B822BF">
        <w:t>(</w:t>
      </w:r>
      <w:r w:rsidRPr="00B822BF">
        <w:rPr>
          <w:rFonts w:eastAsia="Calibri"/>
        </w:rPr>
        <w:t xml:space="preserve">TSRS GM </w:t>
      </w:r>
      <w:r w:rsidRPr="00B822BF">
        <w:t xml:space="preserve">Sausumos pajėgų Pabaltijo karinės apygardos </w:t>
      </w:r>
      <w:r w:rsidRPr="00B822BF">
        <w:rPr>
          <w:rFonts w:eastAsia="Calibri"/>
        </w:rPr>
        <w:t xml:space="preserve">107-osios motorizuotų šaulių divizijos 106-ojo tankų pulko kariškiai), </w:t>
      </w:r>
      <w:r w:rsidRPr="00B822BF">
        <w:t xml:space="preserve">M. G., J. Č. (TSRS VSK grupės „A“ kariškiai), </w:t>
      </w:r>
      <w:r w:rsidRPr="00B822BF">
        <w:rPr>
          <w:rFonts w:eastAsia="Calibri"/>
        </w:rPr>
        <w:t xml:space="preserve">A. Ž., V. S. 1, S. F., O. M., V. M., M. C., J. S., V. Š. 2, V. R., G. P. (TSRS VRM </w:t>
      </w:r>
      <w:r w:rsidRPr="00B822BF">
        <w:t xml:space="preserve">Vidaus kariuomenės </w:t>
      </w:r>
      <w:r w:rsidRPr="00B822BF">
        <w:rPr>
          <w:rFonts w:eastAsia="Calibri"/>
        </w:rPr>
        <w:t xml:space="preserve">42-osios divizijos kariškiai) ir </w:t>
      </w:r>
      <w:r w:rsidRPr="00B822BF">
        <w:t xml:space="preserve">R. J. 1 (LKP/TSKP CK Politinio </w:t>
      </w:r>
      <w:r w:rsidRPr="00B822BF">
        <w:rPr>
          <w:rFonts w:eastAsia="Calibri"/>
        </w:rPr>
        <w:t>–</w:t>
      </w:r>
      <w:r w:rsidRPr="00B822BF">
        <w:t xml:space="preserve"> teisinio skyriaus konsultantas pulkininkas)</w:t>
      </w:r>
      <w:r w:rsidRPr="00B822BF">
        <w:rPr>
          <w:rFonts w:eastAsia="Calibri"/>
        </w:rPr>
        <w:t xml:space="preserve"> (žr. nuosprendžio 514–520 l., t. 771, b. l. 114</w:t>
      </w:r>
      <w:bookmarkStart w:id="337" w:name="_Hlk64285391"/>
      <w:r w:rsidRPr="00B822BF">
        <w:rPr>
          <w:rFonts w:eastAsia="Calibri"/>
        </w:rPr>
        <w:t>–</w:t>
      </w:r>
      <w:bookmarkEnd w:id="337"/>
      <w:r w:rsidRPr="00B822BF">
        <w:rPr>
          <w:rFonts w:eastAsia="Calibri"/>
        </w:rPr>
        <w:t>120).</w:t>
      </w:r>
      <w:r w:rsidRPr="00C00255">
        <w:rPr>
          <w:szCs w:val="24"/>
          <w:lang w:eastAsia="lt-LT"/>
        </w:rPr>
        <w:t xml:space="preserve"> </w:t>
      </w:r>
    </w:p>
    <w:p w:rsidR="00DA38E9" w:rsidRPr="00C00255" w:rsidRDefault="00DA38E9" w:rsidP="00DA38E9">
      <w:pPr>
        <w:pStyle w:val="ListParagraph"/>
        <w:numPr>
          <w:ilvl w:val="1"/>
          <w:numId w:val="6"/>
        </w:numPr>
        <w:spacing w:before="120" w:after="120"/>
        <w:ind w:left="992" w:hanging="992"/>
        <w:contextualSpacing w:val="0"/>
        <w:rPr>
          <w:color w:val="000000"/>
          <w:szCs w:val="24"/>
          <w:lang w:eastAsia="lt-LT" w:bidi="lt-LT"/>
        </w:rPr>
      </w:pPr>
      <w:r w:rsidRPr="00C00255">
        <w:rPr>
          <w:szCs w:val="24"/>
          <w:lang w:eastAsia="lt-LT"/>
        </w:rPr>
        <w:t xml:space="preserve">Atskirose Vilniaus apygardos teismo 2019 m. kovo 27 d. nuosprendžio dalyse konstatuota, kad LRT užėmime dalyvavo ir kiti nuteistieji: </w:t>
      </w:r>
      <w:r>
        <w:rPr>
          <w:szCs w:val="24"/>
          <w:lang w:eastAsia="lt-LT"/>
        </w:rPr>
        <w:t>N. A.</w:t>
      </w:r>
      <w:r w:rsidRPr="00C00255">
        <w:rPr>
          <w:szCs w:val="24"/>
          <w:lang w:eastAsia="lt-LT"/>
        </w:rPr>
        <w:t xml:space="preserve">, </w:t>
      </w:r>
      <w:r>
        <w:rPr>
          <w:szCs w:val="24"/>
          <w:lang w:eastAsia="lt-LT"/>
        </w:rPr>
        <w:t>V. U. 1</w:t>
      </w:r>
      <w:r w:rsidRPr="00C00255">
        <w:rPr>
          <w:szCs w:val="24"/>
          <w:lang w:eastAsia="lt-LT"/>
        </w:rPr>
        <w:t xml:space="preserve"> (</w:t>
      </w:r>
      <w:r w:rsidRPr="00C00255">
        <w:rPr>
          <w:szCs w:val="24"/>
        </w:rPr>
        <w:t>TSRS GM </w:t>
      </w:r>
      <w:r w:rsidRPr="00C00255">
        <w:rPr>
          <w:lang w:eastAsia="lt-LT"/>
        </w:rPr>
        <w:t xml:space="preserve">Sausumos pajėgų </w:t>
      </w:r>
      <w:r w:rsidRPr="00C00255">
        <w:rPr>
          <w:szCs w:val="24"/>
          <w:lang w:eastAsia="lt-LT"/>
        </w:rPr>
        <w:t>Pabaltijo karinės apygardos</w:t>
      </w:r>
      <w:r w:rsidRPr="00C00255">
        <w:rPr>
          <w:szCs w:val="24"/>
        </w:rPr>
        <w:t xml:space="preserve"> 107-osios motorizuotų šaulių divizijos kariškiai (</w:t>
      </w:r>
      <w:r w:rsidRPr="00C00255">
        <w:rPr>
          <w:szCs w:val="24"/>
          <w:lang w:eastAsia="lt-LT"/>
        </w:rPr>
        <w:t xml:space="preserve">žr. nuosprendžio 10–15 l., 874, 885–886 l.; </w:t>
      </w:r>
      <w:r w:rsidRPr="00C00255">
        <w:rPr>
          <w:rFonts w:eastAsia="Calibri"/>
          <w:szCs w:val="24"/>
        </w:rPr>
        <w:t>t. 769, b. l. 10–15,</w:t>
      </w:r>
      <w:r w:rsidRPr="00C00255">
        <w:rPr>
          <w:szCs w:val="24"/>
          <w:lang w:eastAsia="lt-LT"/>
        </w:rPr>
        <w:t xml:space="preserve"> t.</w:t>
      </w:r>
      <w:r w:rsidRPr="00C00255">
        <w:t> 773, b. l. 74, 85–86)</w:t>
      </w:r>
      <w:r w:rsidRPr="00C00255">
        <w:rPr>
          <w:szCs w:val="24"/>
        </w:rPr>
        <w:t>)</w:t>
      </w:r>
      <w:r w:rsidRPr="00C00255">
        <w:t xml:space="preserve"> ir </w:t>
      </w:r>
      <w:r w:rsidRPr="00B822BF">
        <w:t>A. L. (</w:t>
      </w:r>
      <w:r w:rsidRPr="00B822BF">
        <w:rPr>
          <w:rFonts w:eastAsia="Calibri"/>
        </w:rPr>
        <w:t>TSRS GM Oro desanto pajėgų 76-osios divizijos kariškis</w:t>
      </w:r>
      <w:r w:rsidRPr="00B822BF" w:rsidDel="004327F5">
        <w:rPr>
          <w:rFonts w:eastAsia="Calibri"/>
        </w:rPr>
        <w:t xml:space="preserve"> </w:t>
      </w:r>
      <w:r w:rsidRPr="00B822BF">
        <w:rPr>
          <w:rFonts w:eastAsia="Calibri"/>
        </w:rPr>
        <w:t>(žr.</w:t>
      </w:r>
      <w:r w:rsidRPr="00B822BF">
        <w:t xml:space="preserve"> nuosprendžio 874 l.; </w:t>
      </w:r>
      <w:r w:rsidRPr="00B822BF">
        <w:rPr>
          <w:rFonts w:eastAsia="Calibri"/>
        </w:rPr>
        <w:t>t. 773, b. l. 74))</w:t>
      </w:r>
      <w:r w:rsidRPr="00B822BF">
        <w:t>. Tokių teismo išvadų kontekste pažymėtina, kad nuteistajam A. L. tiesioginis dalyvavimas užimant LRT nebuvo inkriminuojamas.</w:t>
      </w:r>
    </w:p>
    <w:bookmarkEnd w:id="333"/>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rPr>
          <w:rFonts w:eastAsia="Calibri"/>
        </w:rPr>
        <w:t>Atsižvelgdama į visa tai bei į byloje pateiktų apeliacinių skundų argumentus, teisėjų kolegija įvertins ir pasisakys dėl visų nagrinėjamuose įvykiuose užimant LRT dalyvavusių TSRS karinių dalinių ir jiems priklausiusių kariškių, taip pat kitų byloje kaltintų asmenų vaidmenį užimant LRT. Šioje dalyje teisėjų kolegija taip pat pasisakys dėl konkrečių apeliaciniais skundais ginčijamų faktinių LRT užėmimo aplinkybių, susijusių su asmens nužudymu, kitų asmenų sveikatos sutrikdymu ir pan.</w:t>
      </w:r>
      <w:r w:rsidRPr="00055544">
        <w:rPr>
          <w:rFonts w:eastAsia="Calibri"/>
          <w:szCs w:val="24"/>
        </w:rPr>
        <w:t xml:space="preserve"> </w:t>
      </w:r>
    </w:p>
    <w:p w:rsidR="00DA38E9" w:rsidRPr="00C00255" w:rsidRDefault="00DA38E9" w:rsidP="00DA38E9">
      <w:pPr>
        <w:pStyle w:val="ListParagraph"/>
        <w:numPr>
          <w:ilvl w:val="0"/>
          <w:numId w:val="6"/>
        </w:numPr>
        <w:spacing w:before="120" w:after="120"/>
        <w:ind w:left="992" w:hanging="992"/>
        <w:contextualSpacing w:val="0"/>
        <w:rPr>
          <w:szCs w:val="24"/>
        </w:rPr>
      </w:pPr>
      <w:r w:rsidRPr="00055544">
        <w:rPr>
          <w:rFonts w:eastAsia="Calibri"/>
        </w:rPr>
        <w:t xml:space="preserve">Šiame kontekste teisėjų kolegija pažymi, kad iš 2012 m. kovo 29 d. įvykio vietos (LRT teritorijos ir patalpų, esančių Konarskio g. 49, Vilniuje) apžiūros protokolo matyti, kad LRT sudarė: </w:t>
      </w:r>
      <w:bookmarkStart w:id="338" w:name="_Hlk64284577"/>
      <w:r w:rsidRPr="00055544">
        <w:rPr>
          <w:rFonts w:eastAsia="Calibri"/>
        </w:rPr>
        <w:t>1) LRT Radijo pastatas,</w:t>
      </w:r>
      <w:bookmarkEnd w:id="338"/>
      <w:r w:rsidRPr="00055544">
        <w:rPr>
          <w:rFonts w:eastAsia="Calibri"/>
        </w:rPr>
        <w:t xml:space="preserve"> tai 4 aukštų pastatas esantis arčiausiai Konarskio g.; 2) LRT Televizijos pastatas, tai 9 aukštų pastatas, lyginant su LRT Radijo pastatu, labiau nutolęs nuo Konarskio g., į kurį buvo galima patekti pro LRT Radijo pastato rūsyje esantį koridorių bei pro pastato centrinį įėjimą; 3) LRT televizijos aparatinių ir studijų kompleksas (toliau – LRT TASK), tai trijų aukštų pastatas, į kurį buvo galima patekti pro tunelį iš LRT Radijo pastato ir iš LRT Televizijos pastato pirmo aukšto (apžiūros protokole taip pat užfiksuota, kad šio pastato cokoliniame aukšte buvo durys į LRT kiemą); 4) LRT Techninis pastatas, tai dviejų aukštų pastatas kairėje LRT Radijo pastato pusėje, žiūrint iš Konarskio g. ir kt. pastatai, kurie nėra aktualūs nagrinėjamoje byloje (t. 492, b. l. 84–91, pastatų išdėstymo schema – t. 498, b. l. 99–100).</w:t>
      </w:r>
    </w:p>
    <w:p w:rsidR="00DA38E9" w:rsidRPr="00C00255" w:rsidRDefault="00DA38E9" w:rsidP="00DA38E9">
      <w:pPr>
        <w:pStyle w:val="ListParagraph"/>
        <w:numPr>
          <w:ilvl w:val="0"/>
          <w:numId w:val="6"/>
        </w:numPr>
        <w:spacing w:before="120" w:after="120"/>
        <w:ind w:left="992" w:hanging="992"/>
        <w:contextualSpacing w:val="0"/>
        <w:rPr>
          <w:szCs w:val="24"/>
        </w:rPr>
      </w:pPr>
      <w:r w:rsidRPr="00055544">
        <w:rPr>
          <w:rFonts w:eastAsia="Calibri"/>
        </w:rPr>
        <w:t xml:space="preserve">Prieš aptariant atskirų karinių dalinių vaidmenį ir byloje nuteistiesiems inkriminuotas aplinkybes, teisėjų kolegija pažymi, kad pagal bylos medžiagą, byloje pateiktą specialisto J. Andriškevičiaus išvadą ir apygardos teismo nustatytas aplinkybes visa LRT užėmimo operacija buvo suplanuota taip: operacijoje dalyvaujantiems kariniams vienetams buvo paskirstyti atskiri vaidmenys (iš esmės buvo sudarytos 4 pagrindinės operacinės grupės). Tankai turėjo užtikrinti </w:t>
      </w:r>
      <w:bookmarkStart w:id="339" w:name="_Hlk63846859"/>
      <w:r w:rsidRPr="00055544">
        <w:rPr>
          <w:rFonts w:eastAsia="Calibri"/>
        </w:rPr>
        <w:t xml:space="preserve">oro desanto </w:t>
      </w:r>
      <w:bookmarkEnd w:id="339"/>
      <w:r w:rsidRPr="00055544">
        <w:rPr>
          <w:rFonts w:eastAsia="Calibri"/>
        </w:rPr>
        <w:t xml:space="preserve">ir </w:t>
      </w:r>
      <w:bookmarkStart w:id="340" w:name="_Hlk63846102"/>
      <w:r w:rsidRPr="00055544">
        <w:rPr>
          <w:rFonts w:eastAsia="Calibri"/>
        </w:rPr>
        <w:t xml:space="preserve">VRM padalinių </w:t>
      </w:r>
      <w:bookmarkEnd w:id="340"/>
      <w:r w:rsidRPr="00055544">
        <w:rPr>
          <w:rFonts w:eastAsia="Calibri"/>
        </w:rPr>
        <w:t xml:space="preserve">kolonų pravažiavimą iki užimtinų objektų, šalinant mechanines užtvaras bei išsklaidant susirinkusius civilius. Desantininkai kartu su VRM kariškiais turėjo nustumti nuo pastatų civilius žmones ir padaryti praėjimą TSRS VSK grupės „A“ kariškiams į objektus. TSRS VSK grupės „A“ kariškiai turėjo neutralizuoti patalpose esančius Lietuvos milicijos pareigūnus ir LRT darbuotojus bei nutraukti radijo ir televizijos veiklą. TSRS VSK grupės „A“ kariškiams turėjo talkinti žinantys pastatų vidaus išsidėstymą vietiniai VSK darbuotojai. Tačiau LRT užėmimo operacija pradžioje vyko ne pagal planą, nes pakeliui į LRT jėgos struktūrų kolona pasidalino ir prie objekto atvyko nesuplanuota tvarka. </w:t>
      </w:r>
      <w:bookmarkStart w:id="341" w:name="_Hlk64917196"/>
      <w:r w:rsidRPr="00055544">
        <w:rPr>
          <w:rFonts w:eastAsia="Calibri"/>
        </w:rPr>
        <w:t xml:space="preserve">Pirmieji prie LRT užimamų objektų atvažiavo </w:t>
      </w:r>
      <w:bookmarkStart w:id="342" w:name="_Hlk63846863"/>
      <w:r w:rsidRPr="00055544">
        <w:rPr>
          <w:rFonts w:eastAsia="Calibri"/>
        </w:rPr>
        <w:t xml:space="preserve">VRM padalinio, </w:t>
      </w:r>
      <w:bookmarkStart w:id="343" w:name="_Hlk64033006"/>
      <w:bookmarkStart w:id="344" w:name="_Hlk64288589"/>
      <w:r w:rsidRPr="00055544">
        <w:rPr>
          <w:rFonts w:eastAsia="Calibri"/>
        </w:rPr>
        <w:t>dalis TSRS GM Oro desanto (apie 31 kariškis iš 237-ojo pulko) ir TSRS VSK grupės „A“ kariškiai</w:t>
      </w:r>
      <w:bookmarkEnd w:id="342"/>
      <w:bookmarkEnd w:id="343"/>
      <w:r w:rsidRPr="00055544">
        <w:rPr>
          <w:rFonts w:eastAsia="Calibri"/>
        </w:rPr>
        <w:t xml:space="preserve"> (kurie buvo padalinti į dvi grupes)</w:t>
      </w:r>
      <w:bookmarkEnd w:id="344"/>
      <w:r w:rsidRPr="00055544">
        <w:rPr>
          <w:rFonts w:eastAsia="Calibri"/>
        </w:rPr>
        <w:t xml:space="preserve">. VRM padalinio, TSRS GM Oro desanto ir 5 TSRS VSK grupės „A“ kariškiai vykdė LRT Radijo (4 aukštų) pastato užėmimą, o 20 TSRS VSK grupės „A“ kariškių veržėsi prie LRT Televizijos (9 aukštų) pastato įėjimo. Kiek pavėlavę prie LRT atvažiavo TSRS GM </w:t>
      </w:r>
      <w:r w:rsidRPr="00055544">
        <w:t xml:space="preserve">Sausumos pajėgų kariškiai iš 107-osios motorizuotų šaulių divizijos ir likusi dalis </w:t>
      </w:r>
      <w:bookmarkStart w:id="345" w:name="_Hlk64019215"/>
      <w:r w:rsidRPr="00055544">
        <w:rPr>
          <w:rFonts w:eastAsia="Calibri"/>
        </w:rPr>
        <w:t xml:space="preserve">TSRS GM Oro </w:t>
      </w:r>
      <w:bookmarkEnd w:id="345"/>
      <w:r w:rsidRPr="00055544">
        <w:rPr>
          <w:rFonts w:eastAsia="Calibri"/>
        </w:rPr>
        <w:t xml:space="preserve">desanto pajėgų kariškių (234-ojo pulko padaliniai), kurie, pasidalinę į tris grupes, vykdė kitų LRT dalių – Televizijos (9 aukštų), TASK (3 aukštų) ir Techninio (2 aukštų) pastatų </w:t>
      </w:r>
      <w:bookmarkStart w:id="346" w:name="_Hlk64027951"/>
      <w:r w:rsidRPr="00055544">
        <w:rPr>
          <w:rFonts w:eastAsia="Calibri"/>
        </w:rPr>
        <w:t>–</w:t>
      </w:r>
      <w:bookmarkEnd w:id="346"/>
      <w:r w:rsidRPr="00055544">
        <w:rPr>
          <w:rFonts w:eastAsia="Calibri"/>
        </w:rPr>
        <w:t xml:space="preserve"> užėmimo veiksmus. Apie 2.00 val. prie LRT papildomai atvažiavo nenustatytas skaičius grupės „A” kariškių ir prisijungė prie kitų prie LRT jau buvusių TSRS VSK grupės „A“ kariškių. Apie 2.15 val. prie LRT atvažiavo apie 100 draugovininkų, kurie prisijungė prie TSRS kariškių.</w:t>
      </w:r>
    </w:p>
    <w:p w:rsidR="00DA38E9" w:rsidRPr="00C00255" w:rsidRDefault="00DA38E9" w:rsidP="00DA38E9">
      <w:pPr>
        <w:pStyle w:val="Heading3"/>
        <w:spacing w:before="120" w:after="120"/>
        <w:ind w:left="992"/>
        <w:jc w:val="both"/>
        <w:rPr>
          <w:b w:val="0"/>
          <w:i/>
          <w:sz w:val="24"/>
          <w:szCs w:val="24"/>
          <w:lang w:val="lt-LT"/>
        </w:rPr>
      </w:pPr>
      <w:bookmarkStart w:id="347" w:name="_Toc66697266"/>
      <w:bookmarkStart w:id="348" w:name="_Toc67480786"/>
      <w:bookmarkStart w:id="349" w:name="_Toc67677398"/>
      <w:bookmarkStart w:id="350" w:name="_Toc67985526"/>
      <w:bookmarkStart w:id="351" w:name="_Hlk64164900"/>
      <w:bookmarkEnd w:id="341"/>
      <w:r w:rsidRPr="00C00255">
        <w:rPr>
          <w:b w:val="0"/>
          <w:i/>
          <w:sz w:val="24"/>
          <w:szCs w:val="24"/>
          <w:lang w:val="lt-LT"/>
        </w:rPr>
        <w:t>Dėl TSRS VRM Vidaus kariuomenės 42-osios divizijos kariškių ir joje tarnavusių nuteistųjų dalyvavimo užimant LRT</w:t>
      </w:r>
      <w:bookmarkEnd w:id="347"/>
      <w:bookmarkEnd w:id="348"/>
      <w:bookmarkEnd w:id="349"/>
      <w:bookmarkEnd w:id="350"/>
      <w:r w:rsidRPr="00C00255">
        <w:rPr>
          <w:b w:val="0"/>
          <w:i/>
          <w:sz w:val="24"/>
          <w:szCs w:val="24"/>
          <w:lang w:val="lt-LT"/>
        </w:rPr>
        <w:t xml:space="preserve"> </w:t>
      </w:r>
    </w:p>
    <w:bookmarkEnd w:id="351"/>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lang w:eastAsia="lt-LT"/>
        </w:rPr>
        <w:t xml:space="preserve">Pirmosios instancijos teismas, išnagrinėjęs baudžiamąją bylą, konstatavo tokius </w:t>
      </w:r>
      <w:r w:rsidRPr="00C00255">
        <w:rPr>
          <w:szCs w:val="24"/>
        </w:rPr>
        <w:t xml:space="preserve">TSRS VRM Vidaus kariuomenės 42-ajai </w:t>
      </w:r>
      <w:r w:rsidRPr="00C00255">
        <w:t>divizijai priklausiusių kariškių veiksmus užimant LRT Radijo pastatą</w:t>
      </w:r>
      <w:r w:rsidRPr="00C00255">
        <w:rPr>
          <w:lang w:eastAsia="lt-LT"/>
        </w:rPr>
        <w:t>:</w:t>
      </w:r>
    </w:p>
    <w:p w:rsidR="00DA38E9" w:rsidRPr="00C00255" w:rsidRDefault="00DA38E9" w:rsidP="00DA38E9">
      <w:pPr>
        <w:pStyle w:val="ListParagraph"/>
        <w:numPr>
          <w:ilvl w:val="1"/>
          <w:numId w:val="6"/>
        </w:numPr>
        <w:spacing w:after="120"/>
        <w:ind w:left="992" w:hanging="992"/>
        <w:contextualSpacing w:val="0"/>
      </w:pPr>
      <w:r w:rsidRPr="00C00255">
        <w:t>„</w:t>
      </w:r>
      <w:bookmarkStart w:id="352" w:name="_Hlk65245012"/>
      <w:r w:rsidRPr="00C00255">
        <w:t>&lt;...&gt;</w:t>
      </w:r>
      <w:bookmarkEnd w:id="352"/>
      <w:r w:rsidRPr="00C00255">
        <w:t xml:space="preserve"> Įgyvendinant pavestas užduotis, sausio 13 d., apie 2 val., prie LRT, esančios Konarskio g. 49, Vilniuje, pirmi atvyko &lt;...&gt; 63-ys 42-osios divizijos kariškiai, vadovaujami </w:t>
      </w:r>
      <w:bookmarkStart w:id="353" w:name="_Hlk65680818"/>
      <w:r w:rsidRPr="00C00255">
        <w:t>kaltinamojo</w:t>
      </w:r>
      <w:bookmarkEnd w:id="353"/>
      <w:r w:rsidRPr="00C00255">
        <w:t xml:space="preserve"> </w:t>
      </w:r>
      <w:r>
        <w:t>A. Ž.</w:t>
      </w:r>
      <w:r w:rsidRPr="00C00255">
        <w:t xml:space="preserve"> paskirtų atsakingų asmenų – divizijos vado pavaduotojo ir konvojaus pulko vado kaltinamojo </w:t>
      </w:r>
      <w:r>
        <w:t>S. F.</w:t>
      </w:r>
      <w:r w:rsidRPr="00C00255">
        <w:t xml:space="preserve">, &lt;...&gt;. </w:t>
      </w:r>
    </w:p>
    <w:p w:rsidR="00DA38E9" w:rsidRPr="00C00255" w:rsidRDefault="00DA38E9" w:rsidP="00DA38E9">
      <w:pPr>
        <w:pStyle w:val="ListParagraph"/>
        <w:numPr>
          <w:ilvl w:val="1"/>
          <w:numId w:val="6"/>
        </w:numPr>
        <w:spacing w:after="120"/>
        <w:ind w:left="992" w:hanging="992"/>
        <w:contextualSpacing w:val="0"/>
      </w:pPr>
      <w:r w:rsidRPr="00C00255">
        <w:t>&lt;...&gt; 42-osios divizijos kariškiai atvyko vadavietės mašina (toliau – KŠM) GAZ-66, k/n 72-23 KI (rusiškos raidės), šešiais šarvuotais transporteriais (BTR), kurių borto Nr. 225, 243, 239, 604, 602 ir 237, bei kovine žvalgybos ir patruliavimo mašina (BRDM) borto numeris 250. Atvykę kariškiai karinę techniką KŠM, BTR ir BRDM, kaip bauginimo ir teroro priemones prieš civilius ir kaip užtvarą puolamam objektui atskirti nuo civilių, išrikiavo priešais keturių aukštų LRT Radijo pastatą.</w:t>
      </w:r>
    </w:p>
    <w:p w:rsidR="00DA38E9" w:rsidRPr="00C00255" w:rsidRDefault="00DA38E9" w:rsidP="00DA38E9">
      <w:pPr>
        <w:pStyle w:val="ListParagraph"/>
        <w:numPr>
          <w:ilvl w:val="1"/>
          <w:numId w:val="6"/>
        </w:numPr>
        <w:spacing w:after="120"/>
        <w:ind w:left="992" w:hanging="992"/>
        <w:contextualSpacing w:val="0"/>
      </w:pPr>
      <w:r w:rsidRPr="00C00255">
        <w:t xml:space="preserve">&lt;...&gt; kartu su penkiasdešimt dviem 42-osios divizijos mokomosios specialios paskirties kuopos kariškiais, vadovaujamais konvojaus pulko vado kaltinamojo </w:t>
      </w:r>
      <w:r>
        <w:t>S. F.</w:t>
      </w:r>
      <w:r w:rsidRPr="00C00255">
        <w:t xml:space="preserve">, mokomosios specialios paskirties kuopos vado </w:t>
      </w:r>
      <w:r>
        <w:t>O. M.</w:t>
      </w:r>
      <w:r w:rsidRPr="00C00255">
        <w:t xml:space="preserve">, pavaduotojo </w:t>
      </w:r>
      <w:r>
        <w:t>V. M.</w:t>
      </w:r>
      <w:r w:rsidRPr="00C00255">
        <w:t xml:space="preserve">, būrių vadų </w:t>
      </w:r>
      <w:r>
        <w:t>M. C.</w:t>
      </w:r>
      <w:r w:rsidRPr="00C00255">
        <w:t xml:space="preserve"> ir kt. instruktoriaus </w:t>
      </w:r>
      <w:r>
        <w:t>J. S.</w:t>
      </w:r>
      <w:r w:rsidRPr="00C00255">
        <w:t xml:space="preserve"> bei už jų veiksmus atsakingu kariškiu &lt;....&gt;.</w:t>
      </w:r>
    </w:p>
    <w:p w:rsidR="00DA38E9" w:rsidRPr="00C00255" w:rsidRDefault="00DA38E9" w:rsidP="00DA38E9">
      <w:pPr>
        <w:pStyle w:val="ListParagraph"/>
        <w:numPr>
          <w:ilvl w:val="1"/>
          <w:numId w:val="6"/>
        </w:numPr>
        <w:spacing w:after="120"/>
        <w:ind w:left="992" w:hanging="992"/>
        <w:contextualSpacing w:val="0"/>
      </w:pPr>
      <w:r w:rsidRPr="00C00255">
        <w:t xml:space="preserve">Tarptautinės humanitarinės teisės draudžiamos karo atakos metu vienas iš nenustatytų kariškių, būdamas KŠM, koordinavo ir prižiūrėjo 42-osios divizijos kariškių veiksmus prie LRT, ir ryšio priemonėmis veiksmus derino su operacijai vadovavusiais kaltinamaisiais &lt;...&gt; ir TSRS VRM Šiaurės vakarų Pabaltijo vidaus kariuomenės valdybos viršininku kaltinamuoju </w:t>
      </w:r>
      <w:r>
        <w:t>V. S. 1</w:t>
      </w:r>
      <w:r w:rsidRPr="00C00255">
        <w:t xml:space="preserve">. Ryšių priemonių ir patikimo ryšio veikimą operacijos metu užtikrino ne mažiau kaip keturi kariškiai iš konvojaus pulko ryšių kuopos, vadovaujami 42-osios divizijos konvojaus pulko ryšių tarnybos viršininko kaltinamojo </w:t>
      </w:r>
      <w:r>
        <w:t>V. Š. 2</w:t>
      </w:r>
      <w:r w:rsidRPr="00C00255">
        <w:t xml:space="preserve">. </w:t>
      </w:r>
    </w:p>
    <w:p w:rsidR="00DA38E9" w:rsidRPr="00C00255" w:rsidRDefault="00DA38E9" w:rsidP="00DA38E9">
      <w:pPr>
        <w:pStyle w:val="ListParagraph"/>
        <w:numPr>
          <w:ilvl w:val="1"/>
          <w:numId w:val="6"/>
        </w:numPr>
        <w:spacing w:after="120"/>
        <w:ind w:left="992" w:hanging="992"/>
        <w:contextualSpacing w:val="0"/>
      </w:pPr>
      <w:r w:rsidRPr="00C00255">
        <w:t>&lt;...&gt; Vykdydami gautą užduotį – užimti LRT (radijo) pastatą ir patekus į studijas, išjungti radijo transliavimą užtikrinančius įrenginius, nutraukti objekte ruošiamas ir transliuojamas radijo laidas bei pašalinti civilius, kariškiai prieš juos panaudojo artimos kovos veiksmus – stumdė, mušė kumščiais, spardė kojomis bei turimais ginklais ir kitomis kūno sužalojimams daryti pritaikytomis priemonėmis, sudavė nenustatytą skaičių smūgių, naudojo garsinius ir kovinius šaudmenis.</w:t>
      </w:r>
    </w:p>
    <w:p w:rsidR="00DA38E9" w:rsidRPr="00C00255" w:rsidRDefault="00DA38E9" w:rsidP="00DA38E9">
      <w:pPr>
        <w:pStyle w:val="ListParagraph"/>
        <w:numPr>
          <w:ilvl w:val="1"/>
          <w:numId w:val="6"/>
        </w:numPr>
        <w:spacing w:after="120"/>
        <w:ind w:left="992" w:hanging="992"/>
        <w:contextualSpacing w:val="0"/>
      </w:pPr>
      <w:r w:rsidRPr="00C00255">
        <w:t xml:space="preserve">&lt;...&gt; 42-osios divizijos mokomosios specialios paskirties kuopos kariškiai prieš civilius naudojo šviesos ir garso granatas „Zaria“, specialiąsias priemones „Čeriomucha“, gumines lazdas PR-73, imitacines priemones – imitacinius sprogstamuosius įtaisus, dūminius užtaisus DM-II; &lt;...&gt;. Be to, 42-osios divizijos mokomosios specialios paskirties kuopos kariškiai į civilius šaudė iš 7,62 mm kalibro SVD šautuvų ir automatinių ginklų AKMS, &lt;...&gt;. </w:t>
      </w:r>
    </w:p>
    <w:p w:rsidR="00DA38E9" w:rsidRPr="00C00255" w:rsidRDefault="00DA38E9" w:rsidP="00DA38E9">
      <w:pPr>
        <w:pStyle w:val="ListParagraph"/>
        <w:numPr>
          <w:ilvl w:val="1"/>
          <w:numId w:val="6"/>
        </w:numPr>
        <w:spacing w:after="120"/>
        <w:ind w:left="992" w:hanging="992"/>
        <w:contextualSpacing w:val="0"/>
      </w:pPr>
      <w:r w:rsidRPr="00C00255">
        <w:t xml:space="preserve">Tęsdami teroro ir bauginimo veiksmus, 42-osios divizijos karininkai kaltinamieji </w:t>
      </w:r>
      <w:r>
        <w:t>V. R.</w:t>
      </w:r>
      <w:r w:rsidRPr="00C00255">
        <w:t xml:space="preserve"> ir </w:t>
      </w:r>
      <w:r>
        <w:t>G. P.</w:t>
      </w:r>
      <w:r w:rsidRPr="00C00255">
        <w:t xml:space="preserve"> po antrojo tanko šūvio iš BRDM leido garso įrašą, kuriame buvo įrašytas kreipimasis rusų ir lietuvių kalbomis LNGK vardu, kad visą valdžią Lietuvoje perima LNGK, bet koks pasipriešinimas yra beprasmiškas ir nuves prie brolžudiško karo, civiliams buvo liepiama skirstytis. </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bookmarkStart w:id="354" w:name="_Hlk65529256"/>
      <w:r w:rsidRPr="00C00255">
        <w:t xml:space="preserve">&lt;...&gt; Grupės „A“ ir mokomosios specialios paskirties kuopos kariškiai, panaudoję šviesos ir garso sprogstamąjį įtaisą, prie LRT radijo pastato: nužudė </w:t>
      </w:r>
      <w:r w:rsidRPr="00284B72">
        <w:t>A. K.</w:t>
      </w:r>
      <w:r w:rsidRPr="00C00255">
        <w:t xml:space="preserve">, &lt;...&gt;; sunkiai sutrikdė </w:t>
      </w:r>
      <w:r>
        <w:t>K. B.</w:t>
      </w:r>
      <w:r w:rsidRPr="00C00255">
        <w:t xml:space="preserve"> ir </w:t>
      </w:r>
      <w:r>
        <w:t>A. V.</w:t>
      </w:r>
      <w:r w:rsidRPr="00C00255">
        <w:t xml:space="preserve"> sveikatą. &lt;...&gt; Karo atakos metu visų karinių struktūrų kariškiai &lt;...&gt; </w:t>
      </w:r>
      <w:bookmarkStart w:id="355" w:name="_Hlk65680696"/>
      <w:r w:rsidRPr="00C00255">
        <w:t xml:space="preserve">sunkiai sutrikdė </w:t>
      </w:r>
      <w:bookmarkEnd w:id="355"/>
      <w:r>
        <w:t>P. L.</w:t>
      </w:r>
      <w:r w:rsidRPr="00C00255">
        <w:t xml:space="preserve"> ir </w:t>
      </w:r>
      <w:r>
        <w:t>V. B.</w:t>
      </w:r>
      <w:r w:rsidRPr="00C00255">
        <w:t xml:space="preserve"> sveikatą. &lt;...&gt; sunkiai sutrikdė </w:t>
      </w:r>
      <w:r>
        <w:t>V. B.</w:t>
      </w:r>
      <w:r w:rsidRPr="00C00255">
        <w:t xml:space="preserve"> sveikatą. &lt;...&gt; sunkiai sutrikdė </w:t>
      </w:r>
      <w:r>
        <w:t>K. Č.</w:t>
      </w:r>
      <w:r w:rsidRPr="00C00255">
        <w:t xml:space="preserve"> sveikatą. &lt;...&gt; Karo atakos prie LRT metu dalyvavę visi karinių struktūrų kariškiai bendrais veiksmais užgrobė LRT pastatus, o juos gynusiems civiliams padarė tyčinius nesunkius sveikatos sutrikdymus šimtui aštuoniems civiliams &lt;...&gt;. LRT pastatus gynusiems civiliams padarė tyčinius nežymius sveikatos sutrikdymus devyniasdešimt penkiems civiliams &lt;...&gt;.“ (</w:t>
      </w:r>
      <w:r w:rsidRPr="00C00255">
        <w:rPr>
          <w:szCs w:val="24"/>
          <w:lang w:eastAsia="lt-LT"/>
        </w:rPr>
        <w:t>žr. </w:t>
      </w:r>
      <w:r w:rsidRPr="00C00255">
        <w:t>nuosprendžio 514–520 l.,</w:t>
      </w:r>
      <w:r w:rsidRPr="00C00255">
        <w:rPr>
          <w:rFonts w:eastAsia="Calibri"/>
        </w:rPr>
        <w:t xml:space="preserve"> t. 771, b. l. 115–120</w:t>
      </w:r>
      <w:r w:rsidRPr="00C00255">
        <w:t>).</w:t>
      </w:r>
    </w:p>
    <w:bookmarkEnd w:id="354"/>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rFonts w:eastAsia="Calibri"/>
          <w:color w:val="000000" w:themeColor="text1"/>
          <w:szCs w:val="24"/>
        </w:rPr>
        <w:t xml:space="preserve">Byloje tokios LRT užėmimo aplinkybės dėl </w:t>
      </w:r>
      <w:r w:rsidRPr="00C00255">
        <w:t xml:space="preserve">TSRS VRM </w:t>
      </w:r>
      <w:r w:rsidRPr="00C00255">
        <w:rPr>
          <w:szCs w:val="24"/>
        </w:rPr>
        <w:t xml:space="preserve">Vidaus kariuomenės </w:t>
      </w:r>
      <w:r w:rsidRPr="00C00255">
        <w:t xml:space="preserve">42-osios divizijos kariškių veiksmų daugelyje apeliacinių skundų ginčijamos, teigiant, </w:t>
      </w:r>
      <w:r w:rsidRPr="00C00255">
        <w:rPr>
          <w:szCs w:val="24"/>
          <w:lang w:bidi="lt-LT"/>
        </w:rPr>
        <w:t xml:space="preserve">kad </w:t>
      </w:r>
      <w:r w:rsidRPr="00C00255">
        <w:rPr>
          <w:szCs w:val="24"/>
        </w:rPr>
        <w:t xml:space="preserve">TSRS VRM Vidaus kariuomenės 42-osios divizijos kariškiai prie LRT atvyko kitiems kariniams daliniams jau užėmus pastatus ir jie tik vykdė apsaugos ir viešosios tvarkos palaikymo funkciją, neužėmė pastato ir neatliko jokių aktyvių veiksmų, kuriais būtų nužudytas </w:t>
      </w:r>
      <w:r>
        <w:rPr>
          <w:szCs w:val="24"/>
        </w:rPr>
        <w:t>A. K.</w:t>
      </w:r>
      <w:r w:rsidRPr="00C00255">
        <w:rPr>
          <w:szCs w:val="24"/>
        </w:rPr>
        <w:t xml:space="preserve"> ar sužaloti civiliai.</w:t>
      </w:r>
    </w:p>
    <w:p w:rsidR="00DA38E9" w:rsidRPr="00C00255" w:rsidRDefault="00DA38E9" w:rsidP="00DA38E9">
      <w:pPr>
        <w:pStyle w:val="ListParagraph"/>
        <w:numPr>
          <w:ilvl w:val="0"/>
          <w:numId w:val="6"/>
        </w:numPr>
        <w:spacing w:before="120" w:after="120"/>
        <w:ind w:left="993" w:hanging="993"/>
        <w:contextualSpacing w:val="0"/>
      </w:pPr>
      <w:r w:rsidRPr="00C00255">
        <w:rPr>
          <w:szCs w:val="24"/>
        </w:rPr>
        <w:t xml:space="preserve">Teisėjų kolegija </w:t>
      </w:r>
      <w:r w:rsidRPr="00C00255">
        <w:rPr>
          <w:lang w:eastAsia="lt-LT"/>
        </w:rPr>
        <w:t>atmeta tokius gynėjų argumentus kaip nepagrįstus, nes</w:t>
      </w:r>
      <w:r w:rsidRPr="00C00255">
        <w:rPr>
          <w:szCs w:val="24"/>
        </w:rPr>
        <w:t xml:space="preserve"> b</w:t>
      </w:r>
      <w:r w:rsidRPr="00C00255">
        <w:rPr>
          <w:color w:val="000000"/>
          <w:lang w:eastAsia="lt-LT" w:bidi="lt-LT"/>
        </w:rPr>
        <w:t xml:space="preserve">yloje surinkta ir ištirta įrodymų visuma – įvykių </w:t>
      </w:r>
      <w:r w:rsidRPr="00C00255">
        <w:t xml:space="preserve">prie LRT vaizdo įrašai, liudytojų ir nukentėjusiųjų parodymai, įvykio vietos ir kitų daiktų apžiūrų duomenys, specialistų išvados, rašytiniai dokumentai, o taip pat ir </w:t>
      </w:r>
      <w:r>
        <w:t>M. B.</w:t>
      </w:r>
      <w:r w:rsidRPr="00C00255">
        <w:t xml:space="preserve">, </w:t>
      </w:r>
      <w:r>
        <w:t>J. K.</w:t>
      </w:r>
      <w:r w:rsidRPr="00C00255">
        <w:t xml:space="preserve"> ir kt. byloje įsiteisėjusiais teismų sprendimais nustatytos aplinkybės, teisėjų kolegijai leidžia daryti abejonių nekeliančią išvadą, kad skundžiamame nuosprendyje konstatuota LRT </w:t>
      </w:r>
      <w:r w:rsidRPr="00C00255">
        <w:rPr>
          <w:szCs w:val="24"/>
        </w:rPr>
        <w:t>užėmimo</w:t>
      </w:r>
      <w:r w:rsidRPr="00C00255">
        <w:t xml:space="preserve"> operacijos eiga ir TSRS VRM </w:t>
      </w:r>
      <w:r w:rsidRPr="00C00255">
        <w:rPr>
          <w:szCs w:val="24"/>
        </w:rPr>
        <w:t xml:space="preserve">Vidaus kariuomenės </w:t>
      </w:r>
      <w:r w:rsidRPr="00C00255">
        <w:t xml:space="preserve">42-osios divizijos </w:t>
      </w:r>
      <w:r w:rsidRPr="00C00255">
        <w:rPr>
          <w:szCs w:val="24"/>
        </w:rPr>
        <w:t xml:space="preserve">kariškių vaidmuo visiškai pasitvirtino ir yra įrodyti. </w:t>
      </w:r>
    </w:p>
    <w:p w:rsidR="00DA38E9" w:rsidRPr="00055544" w:rsidRDefault="00DA38E9" w:rsidP="00DA38E9">
      <w:pPr>
        <w:pStyle w:val="ListParagraph"/>
        <w:numPr>
          <w:ilvl w:val="0"/>
          <w:numId w:val="6"/>
        </w:numPr>
        <w:spacing w:before="120" w:after="120"/>
        <w:ind w:left="993" w:hanging="993"/>
        <w:contextualSpacing w:val="0"/>
      </w:pPr>
      <w:r w:rsidRPr="00055544">
        <w:t xml:space="preserve">Tai, kad operacija prie LRT vyko ne pagal planą ir pirma prie LRT atvyko TSRS VRM Vidaus kariuomenės 42-osios divizijos kariškių grupė su </w:t>
      </w:r>
      <w:r w:rsidRPr="00055544">
        <w:rPr>
          <w:rFonts w:eastAsia="Calibri"/>
        </w:rPr>
        <w:t>dalimi TSRS GM Oro desanto kariškių (apie 31 kariškis iš 237-ojo pulko) ir TSRS VSK grupės „A“ kariškiais bei pradėjo vykdyti LRT Radijo pastato užėmimą, konstatuota 2014 m. birželio 10 d. specialisto išvadoje, nurodant, kad:</w:t>
      </w:r>
    </w:p>
    <w:p w:rsidR="00DA38E9" w:rsidRPr="00C00255" w:rsidRDefault="00DA38E9" w:rsidP="00DA38E9">
      <w:pPr>
        <w:pStyle w:val="ListParagraph"/>
        <w:numPr>
          <w:ilvl w:val="1"/>
          <w:numId w:val="6"/>
        </w:numPr>
        <w:tabs>
          <w:tab w:val="left" w:pos="426"/>
        </w:tabs>
        <w:spacing w:before="120" w:after="120"/>
        <w:ind w:left="993" w:hanging="993"/>
        <w:contextualSpacing w:val="0"/>
        <w:rPr>
          <w:szCs w:val="24"/>
          <w:lang w:eastAsia="lt-LT" w:bidi="lt-LT"/>
        </w:rPr>
      </w:pPr>
      <w:r w:rsidRPr="00C00255">
        <w:rPr>
          <w:szCs w:val="24"/>
          <w:lang w:eastAsia="lt-LT" w:bidi="lt-LT"/>
        </w:rPr>
        <w:t xml:space="preserve">prie LRT pirmoji atvyko VRM kolona su 63 kariškiais, vadovaujama pulko vado </w:t>
      </w:r>
      <w:r>
        <w:rPr>
          <w:szCs w:val="24"/>
          <w:lang w:eastAsia="lt-LT" w:bidi="lt-LT"/>
        </w:rPr>
        <w:t>S. F.</w:t>
      </w:r>
      <w:r w:rsidRPr="00C00255">
        <w:rPr>
          <w:szCs w:val="24"/>
          <w:lang w:eastAsia="lt-LT" w:bidi="lt-LT"/>
        </w:rPr>
        <w:t xml:space="preserve">, </w:t>
      </w:r>
      <w:r w:rsidRPr="00C00255">
        <w:t xml:space="preserve">nuo V. Pietario g. pusės įvažiavusi į S. Konarskio gatvę ir pravažiavusi LRT 4 aukštų pastatą, sustojo apie 150 m nuo nurodyto objekto ir apsigręžusi grįžo prie LRT 4 aukštų pastato, kur išsidėstė tokia tvarka – </w:t>
      </w:r>
      <w:bookmarkStart w:id="356" w:name="_Hlk64033761"/>
      <w:bookmarkStart w:id="357" w:name="_Hlk64034982"/>
      <w:r w:rsidRPr="00C00255">
        <w:t>BTR Nr.</w:t>
      </w:r>
      <w:bookmarkEnd w:id="356"/>
      <w:r w:rsidRPr="00C00255">
        <w:t xml:space="preserve"> 602, 604, 243, 225, 237, 239,</w:t>
      </w:r>
      <w:bookmarkEnd w:id="357"/>
      <w:r w:rsidRPr="00C00255">
        <w:t xml:space="preserve"> kovinė žvalgybos ir patruliavimo mašina BRDM, kurios borto Nr. 250 ir KŠM GAZ-66, k/n 72-23 KI (rusiškos raidės). Taip pat su jais kartu atvažiavo </w:t>
      </w:r>
      <w:r w:rsidRPr="00C00255">
        <w:rPr>
          <w:rFonts w:eastAsia="Calibri"/>
          <w:szCs w:val="24"/>
        </w:rPr>
        <w:t xml:space="preserve">TSRS GM </w:t>
      </w:r>
      <w:r w:rsidRPr="00C00255">
        <w:t xml:space="preserve">76-osios oro desanto divizijos jungtinio karinio vieneto (31 kariškis) ir 5 </w:t>
      </w:r>
      <w:r w:rsidRPr="00C00255">
        <w:rPr>
          <w:rFonts w:eastAsia="Calibri"/>
          <w:szCs w:val="24"/>
        </w:rPr>
        <w:t xml:space="preserve">TSRS VSK </w:t>
      </w:r>
      <w:r w:rsidRPr="00C00255">
        <w:t xml:space="preserve">grupės „A“ kariškiai su URAL automobiliu, k/n 00-65 EF (rusiškos raidės) ir 20 </w:t>
      </w:r>
      <w:r w:rsidRPr="00C00255">
        <w:rPr>
          <w:rFonts w:eastAsia="Calibri"/>
          <w:szCs w:val="24"/>
        </w:rPr>
        <w:t xml:space="preserve">TSRS VSK </w:t>
      </w:r>
      <w:r w:rsidRPr="00C00255">
        <w:t>grupės „A“ kariškių su automobiliu ZIL-131.</w:t>
      </w:r>
    </w:p>
    <w:p w:rsidR="00DA38E9" w:rsidRPr="00C00255" w:rsidRDefault="00DA38E9" w:rsidP="00DA38E9">
      <w:pPr>
        <w:pStyle w:val="ListParagraph"/>
        <w:numPr>
          <w:ilvl w:val="1"/>
          <w:numId w:val="6"/>
        </w:numPr>
        <w:tabs>
          <w:tab w:val="left" w:pos="426"/>
        </w:tabs>
        <w:spacing w:before="120" w:after="120"/>
        <w:ind w:left="993" w:hanging="993"/>
        <w:contextualSpacing w:val="0"/>
        <w:rPr>
          <w:szCs w:val="24"/>
          <w:lang w:eastAsia="lt-LT" w:bidi="lt-LT"/>
        </w:rPr>
      </w:pPr>
      <w:bookmarkStart w:id="358" w:name="_Hlk64039034"/>
      <w:r w:rsidRPr="00C00255">
        <w:t xml:space="preserve">TSRS VRM </w:t>
      </w:r>
      <w:r w:rsidRPr="00C00255">
        <w:rPr>
          <w:szCs w:val="24"/>
        </w:rPr>
        <w:t xml:space="preserve">Vidaus kariuomenės </w:t>
      </w:r>
      <w:r w:rsidRPr="00C00255">
        <w:t xml:space="preserve">42-osios divizijos kariškiai </w:t>
      </w:r>
      <w:bookmarkEnd w:id="358"/>
      <w:r w:rsidRPr="00C00255">
        <w:t xml:space="preserve">prisijungę prie TSRS GM 76-osios oro desanto divizijos 237-ojo parašiutinio desanto pulko 1-ojo bataliono 1-osios ir 2-osios kuopų kariškių, kartu su </w:t>
      </w:r>
      <w:r w:rsidRPr="00C00255">
        <w:rPr>
          <w:szCs w:val="24"/>
        </w:rPr>
        <w:t xml:space="preserve">TSRS VSK specialiosios paskirties </w:t>
      </w:r>
      <w:r w:rsidRPr="00C00255">
        <w:t>grupės ,,A“ 5 kariškiais, šaudydami, naudodami sprogstamąsias specialiąsias priemones, mušdami civilius, vykdė LRT</w:t>
      </w:r>
      <w:r>
        <w:t> </w:t>
      </w:r>
      <w:r w:rsidRPr="00C00255">
        <w:t>4 aukštų pastato užėmimą (t. 480, b. l. 52</w:t>
      </w:r>
      <w:bookmarkStart w:id="359" w:name="_Hlk63350189"/>
      <w:r w:rsidRPr="00C00255">
        <w:t>–</w:t>
      </w:r>
      <w:bookmarkEnd w:id="359"/>
      <w:r w:rsidRPr="00C00255">
        <w:t>64).</w:t>
      </w:r>
      <w:r w:rsidRPr="00C00255">
        <w:rPr>
          <w:rFonts w:eastAsia="Calibri"/>
          <w:color w:val="000000" w:themeColor="text1"/>
          <w:szCs w:val="24"/>
        </w:rPr>
        <w:t xml:space="preserve"> </w:t>
      </w:r>
      <w:bookmarkStart w:id="360" w:name="_Hlk62240357"/>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Teisėjų kolegija neturi pagrindo abejoti tokiomis specialisto išvadomis dėl nustatytos operacijos eigos ir </w:t>
      </w:r>
      <w:r w:rsidRPr="00C00255">
        <w:t xml:space="preserve">TSRS VRM </w:t>
      </w:r>
      <w:r w:rsidRPr="00C00255">
        <w:rPr>
          <w:szCs w:val="24"/>
        </w:rPr>
        <w:t xml:space="preserve">Vidaus kariuomenės </w:t>
      </w:r>
      <w:r w:rsidRPr="00C00255">
        <w:t xml:space="preserve">42-osios divizijos kariškių </w:t>
      </w:r>
      <w:r w:rsidRPr="00C00255">
        <w:rPr>
          <w:rFonts w:eastAsia="Calibri"/>
          <w:color w:val="000000" w:themeColor="text1"/>
          <w:szCs w:val="24"/>
        </w:rPr>
        <w:t>veiksmų.</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B822BF">
        <w:rPr>
          <w:rFonts w:eastAsia="Calibri"/>
        </w:rPr>
        <w:t>Aplinkybę, kad operacijoje prie LRT dalyvavo specialisto išvadoje nurodytas</w:t>
      </w:r>
      <w:r w:rsidRPr="00C00255">
        <w:rPr>
          <w:rFonts w:eastAsia="Calibri"/>
          <w:color w:val="000000" w:themeColor="text1"/>
          <w:szCs w:val="24"/>
        </w:rPr>
        <w:t xml:space="preserve"> </w:t>
      </w:r>
      <w:r w:rsidRPr="00C00255">
        <w:t xml:space="preserve">TSRS VRM </w:t>
      </w:r>
      <w:r w:rsidRPr="00C00255">
        <w:rPr>
          <w:szCs w:val="24"/>
        </w:rPr>
        <w:t xml:space="preserve">Vidaus kariuomenės </w:t>
      </w:r>
      <w:r w:rsidRPr="00C00255">
        <w:t xml:space="preserve">42-osios divizijos kariškių skaičius, iš esmės patvirtina byloje esantis „Karinio dalinio 7574, dalyvavusio 1991 metų iš sausio 12 dienos į sausio 13 d. Vilniuje užtikrinant visuomeninę tvarką, sudėties sąrašas“ (toliau ir – VRM </w:t>
      </w:r>
      <w:r w:rsidRPr="00C00255">
        <w:rPr>
          <w:szCs w:val="24"/>
        </w:rPr>
        <w:t>Vidaus kariuomenės</w:t>
      </w:r>
      <w:r w:rsidRPr="00C00255">
        <w:t xml:space="preserve"> kariškių dalyvavusių prie LRT sąrašas), </w:t>
      </w:r>
      <w:r w:rsidRPr="00C00255">
        <w:rPr>
          <w:szCs w:val="24"/>
        </w:rPr>
        <w:t xml:space="preserve">kuriame nurodytas kariškių skaičius iš esmės atitinka nuosprendyje konstatuotą prie LRT dalyvavusių </w:t>
      </w:r>
      <w:r w:rsidRPr="00C00255">
        <w:t xml:space="preserve">TSRS VRM </w:t>
      </w:r>
      <w:r w:rsidRPr="00C00255">
        <w:rPr>
          <w:szCs w:val="24"/>
        </w:rPr>
        <w:t xml:space="preserve">Vidaus kariuomenės </w:t>
      </w:r>
      <w:r w:rsidRPr="00C00255">
        <w:t>42-osios divizijos kariškių skaičių</w:t>
      </w:r>
      <w:r w:rsidRPr="00C00255">
        <w:rPr>
          <w:szCs w:val="24"/>
        </w:rPr>
        <w:t xml:space="preserve"> (</w:t>
      </w:r>
      <w:bookmarkStart w:id="361" w:name="_Hlk61893174"/>
      <w:r w:rsidRPr="00C00255">
        <w:rPr>
          <w:szCs w:val="24"/>
        </w:rPr>
        <w:t>t. 438, b. l. 4–5; t. 125, b. l. 2–3</w:t>
      </w:r>
      <w:bookmarkEnd w:id="361"/>
      <w:r w:rsidRPr="00C00255">
        <w:rPr>
          <w:szCs w:val="24"/>
        </w:rPr>
        <w:t>).</w:t>
      </w:r>
      <w:r w:rsidRPr="00C00255">
        <w:rPr>
          <w:szCs w:val="24"/>
          <w:lang w:eastAsia="lt-LT"/>
        </w:rPr>
        <w:t xml:space="preserve"> </w:t>
      </w:r>
      <w:r w:rsidRPr="00C00255">
        <w:rPr>
          <w:rFonts w:eastAsia="Calibri"/>
          <w:color w:val="000000" w:themeColor="text1"/>
          <w:szCs w:val="24"/>
        </w:rPr>
        <w:t xml:space="preserve">Tai, kad </w:t>
      </w:r>
      <w:r w:rsidRPr="00C00255">
        <w:t>TSRS VRM Vidaus kariuomenės 42-osios divizijos konvojaus pulko mokomosios specialiosios paskirties kuopos kariškiai (nurodoma 71 asmuo) dalyvavo operacijoje prie LRT nurodyta ir TSRS VRM vidaus kariuomenės vado J.</w:t>
      </w:r>
      <w:r>
        <w:t> </w:t>
      </w:r>
      <w:r w:rsidRPr="00C00255">
        <w:t>Š</w:t>
      </w:r>
      <w:r>
        <w:t>.</w:t>
      </w:r>
      <w:r w:rsidRPr="00C00255">
        <w:t xml:space="preserve"> 1991 m. vasario 14 d. pasirašytose išvadose „Dėl vidaus kariuomenės padalinių dalyvavimo užtikrinant viešąją tvarką Vilniaus mieste 1991</w:t>
      </w:r>
      <w:r>
        <w:t> </w:t>
      </w:r>
      <w:r w:rsidRPr="00C00255">
        <w:t>m.</w:t>
      </w:r>
      <w:r>
        <w:t> </w:t>
      </w:r>
      <w:r w:rsidRPr="00C00255">
        <w:t>sausio</w:t>
      </w:r>
      <w:r>
        <w:t> </w:t>
      </w:r>
      <w:r w:rsidRPr="00C00255">
        <w:t xml:space="preserve">13 d.“ (t. 428, b. l. 255–258; t. 115, b. l. 297–300). </w:t>
      </w:r>
      <w:bookmarkStart w:id="362" w:name="_Hlk63417790"/>
      <w:bookmarkEnd w:id="360"/>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bidi="lt-LT"/>
        </w:rPr>
        <w:t>Aplinkybę,</w:t>
      </w:r>
      <w:r w:rsidRPr="00B822BF">
        <w:t xml:space="preserve"> kad TSRS VRM Vidaus kariuomenės 42-osios divizijos kariškiai prie LRT atvažiavo nurodyta karine technika ir ją išrikiavo eile priešais LRT Radijo pastatą, patvirtina baudžiamojoje byloje pateikti vaizdo įrašai ir fotonuotraukų vaizdai prie LRT, jose matyti šarvuoti transporteriai BTR, kurių borto Nr. 602 (t. 112, b. l. 4, 97), Nr. 237 (t. 112, b. l. 93, 95), Nr. 604 (t. 112, b. l. 94), Nr. 239 (t. 112, b. l. 94), Nr. 243 (t. 112, b. l. 96, 100), Nr. 225 (t. 112, b. l. 96), išrikiuoti eile prieš LRT Radijo (4 aukštų) pastatą. Būtent, kad aptartose fotonuotraukose nurodytais numeriais yra užfiksuoti šarvuoti transporteriai BTR, tyrimo metu nurodė specialistas J. Andriškevičius (t. 479, b. l. 29–36). Atitinkamai A. B. pateiktos vaizdo kasetės VHS PAL SECAM, ADACHI, E-180 HIGH GRADE apžiūros protokole nurodyta, kad kompaktiniame diske ,,A. B. 3-dalis“ esančiame vaizdo įraše nuo 5 min. 39 sek. iki 6 min. 51 sek. matoma LRT teritorija dienos metu po 1991 m. sausio 13 nakties įvykių. Rodoma prie LRT 4 aukštų pastato stovinti karinė technika – galimai BTR, kurių matomi borto numeriai 239, 243, 664 (t. 494, b. l. 70). Minėtų duomenų patikimumu leidžia įsitikinti ir ikiteisminio tyrimo metu apklaustų bei liudytojų statusą šiame procese turinčių </w:t>
      </w:r>
      <w:r w:rsidRPr="00B822BF">
        <w:rPr>
          <w:rFonts w:eastAsia="Calibri"/>
        </w:rPr>
        <w:t>kariškių BTR mechanikų-vairuotojų</w:t>
      </w:r>
      <w:r w:rsidRPr="00B822BF">
        <w:t xml:space="preserve"> parodymai, perskaityti teisiamajame posėdyje (t. 760, b. l. 149</w:t>
      </w:r>
      <w:bookmarkStart w:id="363" w:name="_Hlk65683863"/>
      <w:r w:rsidRPr="00B822BF">
        <w:t>–</w:t>
      </w:r>
      <w:bookmarkEnd w:id="363"/>
      <w:r w:rsidRPr="00B822BF">
        <w:t xml:space="preserve">150, 153–154). </w:t>
      </w:r>
      <w:r w:rsidRPr="00B822BF">
        <w:rPr>
          <w:rFonts w:eastAsia="Calibri"/>
        </w:rPr>
        <w:t>Liudytojai V</w:t>
      </w:r>
      <w:r w:rsidRPr="00B822BF">
        <w:t xml:space="preserve">. P. </w:t>
      </w:r>
      <w:bookmarkStart w:id="364" w:name="_Hlk61947961"/>
      <w:r w:rsidRPr="00B822BF">
        <w:rPr>
          <w:rFonts w:eastAsia="Calibri"/>
        </w:rPr>
        <w:t>(t. 439, b. l. </w:t>
      </w:r>
      <w:r w:rsidRPr="00B822BF">
        <w:t>10–13;</w:t>
      </w:r>
      <w:r w:rsidRPr="00B822BF">
        <w:rPr>
          <w:rFonts w:eastAsia="Calibri"/>
        </w:rPr>
        <w:t xml:space="preserve"> t. 126, b. l. </w:t>
      </w:r>
      <w:r w:rsidRPr="00B822BF">
        <w:t>12–18</w:t>
      </w:r>
      <w:r w:rsidRPr="00B822BF">
        <w:rPr>
          <w:rFonts w:eastAsia="Calibri"/>
        </w:rPr>
        <w:t>)</w:t>
      </w:r>
      <w:bookmarkEnd w:id="364"/>
      <w:r w:rsidRPr="00B822BF">
        <w:rPr>
          <w:rFonts w:eastAsia="Calibri"/>
        </w:rPr>
        <w:t xml:space="preserve"> nurodė, kad jo </w:t>
      </w:r>
      <w:r w:rsidRPr="00B822BF">
        <w:t xml:space="preserve">BTR </w:t>
      </w:r>
      <w:bookmarkStart w:id="365" w:name="_Hlk61948127"/>
      <w:r w:rsidRPr="00B822BF">
        <w:t xml:space="preserve">borto numeris </w:t>
      </w:r>
      <w:bookmarkEnd w:id="365"/>
      <w:r w:rsidRPr="00B822BF">
        <w:t xml:space="preserve">buvo 237, J. D. </w:t>
      </w:r>
      <w:r w:rsidRPr="00B822BF">
        <w:rPr>
          <w:rFonts w:eastAsia="Calibri"/>
        </w:rPr>
        <w:t xml:space="preserve">(t. 439, b. l. </w:t>
      </w:r>
      <w:r w:rsidRPr="00B822BF">
        <w:t>17–20;</w:t>
      </w:r>
      <w:r w:rsidRPr="00B822BF">
        <w:rPr>
          <w:rFonts w:eastAsia="Calibri"/>
        </w:rPr>
        <w:t xml:space="preserve"> t. 126, b. l. </w:t>
      </w:r>
      <w:r w:rsidRPr="00B822BF">
        <w:t>22–29</w:t>
      </w:r>
      <w:r w:rsidRPr="00B822BF">
        <w:rPr>
          <w:rFonts w:eastAsia="Calibri"/>
        </w:rPr>
        <w:t xml:space="preserve">) – jo </w:t>
      </w:r>
      <w:r w:rsidRPr="00B822BF">
        <w:t xml:space="preserve">BTR borto numeris – 243, A. O. </w:t>
      </w:r>
      <w:r w:rsidRPr="00B822BF">
        <w:rPr>
          <w:rFonts w:eastAsia="Calibri"/>
        </w:rPr>
        <w:t xml:space="preserve">(t. 439, b. l. </w:t>
      </w:r>
      <w:r w:rsidRPr="00B822BF">
        <w:t>21–23;</w:t>
      </w:r>
      <w:r w:rsidRPr="00B822BF">
        <w:rPr>
          <w:rFonts w:eastAsia="Calibri"/>
        </w:rPr>
        <w:t xml:space="preserve"> t. 126, b. l. </w:t>
      </w:r>
      <w:r w:rsidRPr="00B822BF">
        <w:t>30–34</w:t>
      </w:r>
      <w:r w:rsidRPr="00B822BF">
        <w:rPr>
          <w:rFonts w:eastAsia="Calibri"/>
        </w:rPr>
        <w:t xml:space="preserve">) – jo </w:t>
      </w:r>
      <w:r w:rsidRPr="00B822BF">
        <w:t xml:space="preserve">BTR borto numeris – 602, M. T. </w:t>
      </w:r>
      <w:r w:rsidRPr="00B822BF">
        <w:rPr>
          <w:rFonts w:eastAsia="Calibri"/>
        </w:rPr>
        <w:t xml:space="preserve">(t. 439, b. l. </w:t>
      </w:r>
      <w:r w:rsidRPr="00B822BF">
        <w:t>27–30;</w:t>
      </w:r>
      <w:r w:rsidRPr="00B822BF">
        <w:rPr>
          <w:rFonts w:eastAsia="Calibri"/>
        </w:rPr>
        <w:t xml:space="preserve"> t. 126, b. l. </w:t>
      </w:r>
      <w:r w:rsidRPr="00B822BF">
        <w:t>38–43</w:t>
      </w:r>
      <w:r w:rsidRPr="00B822BF">
        <w:rPr>
          <w:rFonts w:eastAsia="Calibri"/>
        </w:rPr>
        <w:t xml:space="preserve">) – jo </w:t>
      </w:r>
      <w:r w:rsidRPr="00B822BF">
        <w:t xml:space="preserve">BTR borto numeris – 239, A. K. </w:t>
      </w:r>
      <w:r w:rsidRPr="00B822BF">
        <w:rPr>
          <w:rFonts w:eastAsia="Calibri"/>
        </w:rPr>
        <w:t xml:space="preserve">(t. 439, b. l. </w:t>
      </w:r>
      <w:r w:rsidRPr="00B822BF">
        <w:t>158–160;</w:t>
      </w:r>
      <w:r w:rsidRPr="00B822BF">
        <w:rPr>
          <w:rFonts w:eastAsia="Calibri"/>
        </w:rPr>
        <w:t xml:space="preserve"> t. 126, b. l. </w:t>
      </w:r>
      <w:r w:rsidRPr="00B822BF">
        <w:t>272–275</w:t>
      </w:r>
      <w:r w:rsidRPr="00B822BF">
        <w:rPr>
          <w:rFonts w:eastAsia="Calibri"/>
        </w:rPr>
        <w:t xml:space="preserve">) – jo </w:t>
      </w:r>
      <w:r w:rsidRPr="00B822BF">
        <w:t xml:space="preserve">BTR borto numeris </w:t>
      </w:r>
      <w:bookmarkStart w:id="366" w:name="_Hlk62068543"/>
      <w:r w:rsidRPr="00B822BF">
        <w:t>–</w:t>
      </w:r>
      <w:bookmarkEnd w:id="366"/>
      <w:r w:rsidRPr="00B822BF">
        <w:t xml:space="preserve"> 225, A. L. </w:t>
      </w:r>
      <w:r w:rsidRPr="00B822BF">
        <w:rPr>
          <w:rFonts w:eastAsia="Calibri"/>
        </w:rPr>
        <w:t xml:space="preserve">(t. 439, b. l. </w:t>
      </w:r>
      <w:r w:rsidRPr="00B822BF">
        <w:t>149–151;</w:t>
      </w:r>
      <w:r w:rsidRPr="00B822BF">
        <w:rPr>
          <w:rFonts w:eastAsia="Calibri"/>
        </w:rPr>
        <w:t xml:space="preserve"> t. 126, b. l. </w:t>
      </w:r>
      <w:r w:rsidRPr="00B822BF">
        <w:t>223–233</w:t>
      </w:r>
      <w:r w:rsidRPr="00B822BF">
        <w:rPr>
          <w:rFonts w:eastAsia="Calibri"/>
        </w:rPr>
        <w:t xml:space="preserve">) – jo </w:t>
      </w:r>
      <w:r w:rsidRPr="00B822BF">
        <w:t xml:space="preserve">BTR borto numeris – 604 ir jie važiavo karinės technikos kolonoje prie LRT. Atitinkamai iš </w:t>
      </w:r>
      <w:bookmarkStart w:id="367" w:name="_Hlk62142731"/>
      <w:r w:rsidRPr="00B822BF">
        <w:t>vairuotojų, išvykusių iš k/d 7574 autoparko 1991 m. sausio 12 ir 13 d., sąrašo ir karinės technikos kelionės lapų matyti, kad būtent pirmiau nurodyti liudytojai buvo iš k/d 7574 autoparko išvykusių BTR vairuotojai (t. 438, b. l. 36</w:t>
      </w:r>
      <w:bookmarkStart w:id="368" w:name="_Hlk65413465"/>
      <w:r w:rsidRPr="00B822BF">
        <w:t>–</w:t>
      </w:r>
      <w:bookmarkEnd w:id="368"/>
      <w:r w:rsidRPr="00B822BF">
        <w:t>37, 66</w:t>
      </w:r>
      <w:bookmarkStart w:id="369" w:name="_Hlk62069027"/>
      <w:r w:rsidRPr="00B822BF">
        <w:t>–</w:t>
      </w:r>
      <w:bookmarkEnd w:id="369"/>
      <w:r w:rsidRPr="00B822BF">
        <w:t>71; t. 125, b. l. 35–36, 68–73).</w:t>
      </w:r>
      <w:bookmarkEnd w:id="367"/>
      <w:r w:rsidRPr="00B822BF">
        <w:t xml:space="preserve"> </w:t>
      </w:r>
      <w:bookmarkStart w:id="370" w:name="_Hlk64066381"/>
      <w:r w:rsidRPr="00B822BF">
        <w:t xml:space="preserve">Kad nurodyta karinė technika buvo panaudota užimant LRT patvirtina ir </w:t>
      </w:r>
      <w:r w:rsidRPr="00B822BF">
        <w:rPr>
          <w:rFonts w:eastAsia="Calibri"/>
        </w:rPr>
        <w:t>byloje pateiktas</w:t>
      </w:r>
      <w:r w:rsidRPr="00B822BF">
        <w:t xml:space="preserve"> prie LRT panaudotos karinės technikos sąrašas, kuriame nurodyta, kad prie LRT buvo panaudota: 6 BTR, 1 štabo vadų mašina, 1 sanitarinė mašina, (t. 438, b. l. 18; t. 125, b. l. 36, 17).</w:t>
      </w:r>
    </w:p>
    <w:bookmarkEnd w:id="370"/>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055544">
        <w:rPr>
          <w:szCs w:val="24"/>
          <w:lang w:bidi="lt-LT"/>
        </w:rPr>
        <w:t xml:space="preserve">Aplinkybę, kad </w:t>
      </w:r>
      <w:bookmarkStart w:id="371" w:name="_Hlk64036254"/>
      <w:r w:rsidRPr="00055544">
        <w:rPr>
          <w:szCs w:val="24"/>
        </w:rPr>
        <w:t xml:space="preserve">TSRS VRM Vidaus kariuomenės 42-osios divizijos kariškiai </w:t>
      </w:r>
      <w:bookmarkEnd w:id="371"/>
      <w:r w:rsidRPr="00055544">
        <w:t xml:space="preserve">aktyviais veiksmais dalyvavo LRT Radijo pastato užėmime, patvirtina </w:t>
      </w:r>
      <w:r w:rsidRPr="00055544">
        <w:rPr>
          <w:szCs w:val="24"/>
        </w:rPr>
        <w:t xml:space="preserve">baudžiamojoje byloje pateikti ir teismo ištirti vaizdo įrašai. </w:t>
      </w:r>
      <w:bookmarkStart w:id="372" w:name="_Hlk64036020"/>
      <w:bookmarkStart w:id="373" w:name="_Hlk64035245"/>
      <w:r w:rsidRPr="00055544">
        <w:rPr>
          <w:szCs w:val="24"/>
          <w:lang w:eastAsia="lt-LT"/>
        </w:rPr>
        <w:t xml:space="preserve">Specialistas J. Andriškevičius </w:t>
      </w:r>
      <w:bookmarkEnd w:id="372"/>
      <w:r w:rsidRPr="00055544">
        <w:rPr>
          <w:szCs w:val="24"/>
          <w:lang w:eastAsia="lt-LT"/>
        </w:rPr>
        <w:t xml:space="preserve">dar tyrimo metu susipažinęs su byloje pateikta vaizdine medžiaga – </w:t>
      </w:r>
      <w:r w:rsidRPr="00055544">
        <w:rPr>
          <w:lang w:eastAsia="lt-LT"/>
        </w:rPr>
        <w:t xml:space="preserve">jokių abejonių teisėjų kolegijai nekeliančiomis </w:t>
      </w:r>
      <w:r w:rsidRPr="00055544">
        <w:rPr>
          <w:szCs w:val="24"/>
          <w:lang w:eastAsia="lt-LT"/>
        </w:rPr>
        <w:t>fotonuotraukomis ir vaizdo įrašais</w:t>
      </w:r>
      <w:r w:rsidRPr="00055544">
        <w:rPr>
          <w:lang w:eastAsia="lt-LT"/>
        </w:rPr>
        <w:t xml:space="preserve">, </w:t>
      </w:r>
      <w:r w:rsidRPr="00055544">
        <w:rPr>
          <w:szCs w:val="24"/>
          <w:lang w:eastAsia="lt-LT"/>
        </w:rPr>
        <w:t xml:space="preserve">nurodė, kad </w:t>
      </w:r>
      <w:bookmarkEnd w:id="373"/>
      <w:r w:rsidRPr="00055544">
        <w:rPr>
          <w:szCs w:val="24"/>
          <w:lang w:eastAsia="lt-LT"/>
        </w:rPr>
        <w:t xml:space="preserve">fotonuotraukose užfiksuoti </w:t>
      </w:r>
      <w:r w:rsidRPr="00055544">
        <w:t>TSRS VRM Vidaus kariuomenės kariai kamufliažine uniforma ir specialiais šalmais „sfera“, ginkluoti 7,62 mm kalibro automatais, guminėmis lazdomis (t. 112, b. l. 92, 94, 97, 101 ir kt.).</w:t>
      </w:r>
      <w:r w:rsidRPr="00055544">
        <w:rPr>
          <w:szCs w:val="24"/>
        </w:rPr>
        <w:t xml:space="preserve"> </w:t>
      </w:r>
      <w:bookmarkStart w:id="374" w:name="_Hlk64205902"/>
      <w:r w:rsidRPr="00055544">
        <w:rPr>
          <w:szCs w:val="24"/>
        </w:rPr>
        <w:t xml:space="preserve">Iš specialisto paaiškinimų matyti, kad šiame kontekste aktualūs </w:t>
      </w:r>
      <w:r w:rsidRPr="00055544">
        <w:t xml:space="preserve">vaizdo įraše pavadinimu </w:t>
      </w:r>
      <w:bookmarkEnd w:id="374"/>
      <w:r w:rsidRPr="00055544">
        <w:t xml:space="preserve">„Sausio 13. </w:t>
      </w:r>
      <w:r w:rsidRPr="00055544">
        <w:rPr>
          <w:i/>
          <w:iCs/>
        </w:rPr>
        <w:t>In memoriam</w:t>
      </w:r>
      <w:r w:rsidRPr="00055544">
        <w:t xml:space="preserve">” antroje dalyje </w:t>
      </w:r>
      <w:r w:rsidRPr="00055544">
        <w:rPr>
          <w:rFonts w:eastAsia="Calibri"/>
        </w:rPr>
        <w:t>užfiksuoti vaizdai prie LRT. Šiame vaizdo įraše nuo 14 min. 44 sek. iki 16 min. 39 sek. matyti ant važiuojamosios Konarskio gatvės kelio dalies stovinti karinės technikos (BTR) kolona su įjungtomis šviesomis. Išlipę kariai rikiuojasi išilgai kairiojo BTR borto, girdimos komandos rusų kalba &lt;...&gt; pagal matomus siluetus kariai taikosi ir galimai šaudo žmonių lygyje bei eina užimamų objektų link &lt;...&gt; matyti, kaip ginkluoti kariai persigrupuoja ir juda užimamų objektų link. N</w:t>
      </w:r>
      <w:r w:rsidRPr="00055544">
        <w:t xml:space="preserve">uo 29 min. 50 sek. iki 30 min. 20 sek. matyti </w:t>
      </w:r>
      <w:bookmarkStart w:id="375" w:name="_Hlk64047555"/>
      <w:r w:rsidRPr="00055544">
        <w:t xml:space="preserve">TSRS VRM Vidaus kariuomenės kariai </w:t>
      </w:r>
      <w:bookmarkEnd w:id="375"/>
      <w:r w:rsidRPr="00055544">
        <w:t xml:space="preserve">laikantys automatinius ginklus, paruoštus naudojimui </w:t>
      </w:r>
      <w:r w:rsidR="00B822BF" w:rsidRPr="00055544">
        <w:t>(t. 479, </w:t>
      </w:r>
      <w:r w:rsidRPr="00055544">
        <w:t>b. l. 138–140; kariškių kadrai</w:t>
      </w:r>
      <w:bookmarkStart w:id="376" w:name="_Hlk64049364"/>
      <w:r w:rsidRPr="00055544">
        <w:t xml:space="preserve"> – </w:t>
      </w:r>
      <w:bookmarkEnd w:id="376"/>
      <w:r w:rsidRPr="00055544">
        <w:t xml:space="preserve">t. 479, b. l. 264). Vaizdo įraše pavadinimu „Sausio 13. </w:t>
      </w:r>
      <w:r w:rsidRPr="00055544">
        <w:rPr>
          <w:i/>
          <w:iCs/>
        </w:rPr>
        <w:t>In memoriam</w:t>
      </w:r>
      <w:r w:rsidRPr="00055544">
        <w:t xml:space="preserve">” trečioje dalyje nuo 1 min. 14 sek. iki 2 min. 2 sek. matyti TSRS VSK grupės „A“ kariai einantys TSRS VRM Vidaus kariuomenės karių ir BTR padarytu koridoriumi (t. 479, b. l. 141). DVD pavadinimu „LRS Kanceliarija vaizdo įrašai“ 4 filme nuo 19 min. 42 sek. iki 20 min. 1 sek. iš aprangos (šalmo „sfera“) matyti prie šarvuočių grandine stovintys </w:t>
      </w:r>
      <w:bookmarkStart w:id="377" w:name="_Hlk64047862"/>
      <w:r w:rsidRPr="00055544">
        <w:t>TSRS VRM Vidaus kariuomenės kariai</w:t>
      </w:r>
      <w:bookmarkEnd w:id="377"/>
      <w:r w:rsidRPr="00055544">
        <w:t xml:space="preserve"> (t. 479, b. l. 133). </w:t>
      </w:r>
      <w:bookmarkStart w:id="378" w:name="_Hlk64206122"/>
      <w:bookmarkStart w:id="379" w:name="_Hlk65792920"/>
      <w:r w:rsidRPr="00055544">
        <w:t>DVD pavadinimu „Atgimimo kronika“, vaizdo įraše nuo 1 val. 15 min. 13 sek. iki 1 val. 15 min. 40 sek. matyti</w:t>
      </w:r>
      <w:bookmarkEnd w:id="378"/>
      <w:r w:rsidRPr="00055544">
        <w:t xml:space="preserve"> prie LRT Radijo (4 aukštų) pastato stovintys TSRS VRM Vidaus kariuomenės kariai ir šalia jų stovintis BRDM su specialia įgarsinimo įranga. Nuo 1 val. 16 min. 21 sek. iki 1 val. 16 min. 30 sek. matyti vaizdas aikštelėje prie LRT Radijo pastato, kuriame matyti trys stovintys BTR, šalia jų grupelė karių, bandančių atstumti civilius žmones toliau nuo karinės technikos ir LRT Radijo pastato. Matyti sprogimo, galimai sprogstamojo paketo, blyksnis (t. 479, b. l. 136). </w:t>
      </w:r>
      <w:bookmarkStart w:id="380" w:name="_Hlk65793269"/>
      <w:bookmarkEnd w:id="379"/>
      <w:r w:rsidRPr="00055544">
        <w:t xml:space="preserve">DVD pavadinimu „Sausio 13-oji“ vaizdo įraše nuo 19 min. 58 sek. iki 20 min. 10 sek. matyti LRT Radijo pastato viduje patalpose TSRS VRM Vidaus kariuomenės karys, einantis apšviesta patalpa, galimai jas tikrinantis. Jo ginklas paruoštas naudojimui (pirštas laikomas ant nuleistuko) </w:t>
      </w:r>
      <w:r w:rsidRPr="00055544">
        <w:rPr>
          <w:szCs w:val="24"/>
          <w:lang w:eastAsia="lt-LT"/>
        </w:rPr>
        <w:t>(t. 479, b. l. 138</w:t>
      </w:r>
      <w:r w:rsidRPr="00055544">
        <w:t xml:space="preserve">; kariškio kadrai </w:t>
      </w:r>
      <w:r w:rsidRPr="00055544">
        <w:rPr>
          <w:szCs w:val="24"/>
          <w:lang w:bidi="lt-LT"/>
        </w:rPr>
        <w:t xml:space="preserve">– </w:t>
      </w:r>
      <w:r w:rsidRPr="00055544">
        <w:t>t. 479, b. l. 252</w:t>
      </w:r>
      <w:r w:rsidRPr="00055544">
        <w:rPr>
          <w:szCs w:val="24"/>
          <w:lang w:bidi="lt-LT"/>
        </w:rPr>
        <w:t>–</w:t>
      </w:r>
      <w:r w:rsidRPr="00055544">
        <w:t xml:space="preserve">257). </w:t>
      </w:r>
      <w:bookmarkEnd w:id="380"/>
      <w:r w:rsidRPr="00055544">
        <w:t xml:space="preserve">Be to, pirmosios instancijos teismo konstatuotas aplinkybes dėl </w:t>
      </w:r>
      <w:r w:rsidRPr="00055544">
        <w:rPr>
          <w:szCs w:val="24"/>
        </w:rPr>
        <w:t>kariškių, tarp jų ir dėl TSRS VRM Vidaus kariuomenės 42-osios divizijos kariškių, aktyvių (smurtinių) veiksmų prie LRT taip pat nurodė ne vienas teisiamajame posėdyje apklaustas liudytojas ir nukentėjusysis</w:t>
      </w:r>
      <w:r w:rsidRPr="00C00255">
        <w:rPr>
          <w:szCs w:val="24"/>
        </w:rPr>
        <w:t xml:space="preserve">. </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t xml:space="preserve">Teisėjų kolegijos įsitikinimu, aptarti duomenys patvirtina, kad TSRS VRM Vidaus kariuomenės 42-osios divizijos konvojaus pulko mokomosios specialiosios paskirties kuopos kariškiai </w:t>
      </w:r>
      <w:r w:rsidRPr="00055544">
        <w:rPr>
          <w:rFonts w:eastAsia="Calibri"/>
        </w:rPr>
        <w:t xml:space="preserve">(skundžiamame nuosprendyje taip pat įvardijami kaip 7574 konvojaus pulko ar mokomosios specialiosios paskirties kuopos kariškiai), </w:t>
      </w:r>
      <w:r w:rsidRPr="00055544">
        <w:t>šešiais BTR ir kita karine technika prie LRT pastatų atvyko ne tik siekdami užtikrinti viešosios apsaugos funkciją, kaip teigiama ne viename apeliaciniame skunde, bet veikdami bendrai ir koordinuotai, pagal iš anksto parengtą operacijos planą, kartu su kitų karinių dalinių kariškiais, siekdami prasibrauti bei užimti LRT Radijo (4 aukštų) pastatą, atlikdami aktyvius smurtinius veiksmus bei panaudodami turimą ginkluotę, nužudė A. K. ir sužalojo didelį skaičių civilių</w:t>
      </w:r>
      <w:r w:rsidRPr="00055544">
        <w:rPr>
          <w:szCs w:val="24"/>
        </w:rPr>
        <w:t xml:space="preserve">. </w:t>
      </w:r>
    </w:p>
    <w:bookmarkEnd w:id="362"/>
    <w:p w:rsidR="00DA38E9" w:rsidRPr="00B822BF" w:rsidRDefault="00DA38E9" w:rsidP="00DA38E9">
      <w:pPr>
        <w:pStyle w:val="ListParagraph"/>
        <w:numPr>
          <w:ilvl w:val="0"/>
          <w:numId w:val="6"/>
        </w:numPr>
        <w:spacing w:before="120" w:after="120"/>
        <w:ind w:left="993" w:hanging="993"/>
        <w:contextualSpacing w:val="0"/>
      </w:pPr>
      <w:r w:rsidRPr="00055544">
        <w:t xml:space="preserve">Pagal skundžiamame nuosprendyje nustatytas aplinkybes, įvykiuose, susijusiuose su LRT Radijo pastato užėmimu, tiesiogiai </w:t>
      </w:r>
      <w:r w:rsidRPr="00055544">
        <w:rPr>
          <w:rFonts w:eastAsia="Calibri"/>
        </w:rPr>
        <w:t>dalyvavo</w:t>
      </w:r>
      <w:r w:rsidRPr="00055544">
        <w:t xml:space="preserve"> kariškiai iš </w:t>
      </w:r>
      <w:bookmarkStart w:id="381" w:name="_Hlk64052385"/>
      <w:r w:rsidRPr="00055544">
        <w:rPr>
          <w:rFonts w:eastAsia="Calibri"/>
        </w:rPr>
        <w:t xml:space="preserve">TSRS VRM </w:t>
      </w:r>
      <w:r w:rsidRPr="00055544">
        <w:t xml:space="preserve">Vidaus kariuomenės </w:t>
      </w:r>
      <w:r w:rsidRPr="00055544">
        <w:rPr>
          <w:rFonts w:eastAsia="Calibri"/>
        </w:rPr>
        <w:t>42-osios divizijos</w:t>
      </w:r>
      <w:bookmarkEnd w:id="381"/>
      <w:r w:rsidRPr="00055544">
        <w:rPr>
          <w:rFonts w:eastAsia="Calibri"/>
        </w:rPr>
        <w:t xml:space="preserve">: S. F., O. M., V. M., M. C., J. S., V. Š. 2, V. R., G. P. ir kiti karininkai, kurių atsakomybės klausimas nagrinėjamoje byloje nebuvo sprendžiamas. Pagal skundžiamą nuosprendį, visiems šiems karininkams operacijos eigoje vadovavo TSRS VRM </w:t>
      </w:r>
      <w:r w:rsidRPr="00055544">
        <w:t xml:space="preserve">Vidaus kariuomenės 42-osios divizijos vado A. Ž., kuris </w:t>
      </w:r>
      <w:r w:rsidRPr="00055544">
        <w:rPr>
          <w:rFonts w:eastAsia="Calibri"/>
        </w:rPr>
        <w:t>šioje operacijoje iš štabo būstinės koordinavo</w:t>
      </w:r>
      <w:r w:rsidRPr="00055544">
        <w:t xml:space="preserve"> kariškių veiksmus, paskirtas </w:t>
      </w:r>
      <w:r w:rsidRPr="00055544">
        <w:rPr>
          <w:rFonts w:eastAsia="Calibri"/>
        </w:rPr>
        <w:t xml:space="preserve">TSRS VRM </w:t>
      </w:r>
      <w:r w:rsidRPr="00055544">
        <w:t xml:space="preserve">Vidaus kariuomenės </w:t>
      </w:r>
      <w:r w:rsidRPr="00055544">
        <w:rPr>
          <w:rFonts w:eastAsia="Calibri"/>
        </w:rPr>
        <w:t>42-osios divizijos konvojaus pulko</w:t>
      </w:r>
      <w:r w:rsidRPr="00055544">
        <w:t xml:space="preserve"> vadas </w:t>
      </w:r>
      <w:r w:rsidRPr="00055544">
        <w:rPr>
          <w:rFonts w:eastAsia="Calibri"/>
        </w:rPr>
        <w:t>S. F.. Be to, p</w:t>
      </w:r>
      <w:r w:rsidRPr="00055544">
        <w:t xml:space="preserve">irmosios instancijos teismas, vadovaudamasis byloje surinktais įrodymais, be kita ko, konstatavo, kad užimant LRT, </w:t>
      </w:r>
      <w:bookmarkStart w:id="382" w:name="_Hlk65685116"/>
      <w:r w:rsidRPr="00055544">
        <w:t xml:space="preserve">šioje operacijoje dalyvavusių kariškių veiksmai tiesiogiai buvo derinami ir su TSRS VRM Šiaurės vakarų Pabaltijo vidaus kariuomenės valdybos viršininku V. S. 1 </w:t>
      </w:r>
      <w:bookmarkEnd w:id="382"/>
      <w:r w:rsidRPr="00055544">
        <w:rPr>
          <w:rFonts w:eastAsia="Calibri"/>
        </w:rPr>
        <w:t>(</w:t>
      </w:r>
      <w:r w:rsidRPr="00055544">
        <w:t>žr. </w:t>
      </w:r>
      <w:r w:rsidRPr="00055544">
        <w:rPr>
          <w:rFonts w:eastAsia="Calibri"/>
        </w:rPr>
        <w:t>nuosprendžio 514–520 l.; t. 771, b. l. 115–120).</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Apeliacinės instancijos teismas, susipažinęs su bylos medžiaga bei įvertinęs aktualius apeliacinių skundų argumentus, konstatuoja, kad minėtų nuteistųjų dalyvavimą ir vadovaujamą vaidmenį užimant </w:t>
      </w:r>
      <w:r w:rsidRPr="00C00255">
        <w:t>LRT Radijo pastatą</w:t>
      </w:r>
      <w:r w:rsidRPr="00C00255">
        <w:rPr>
          <w:szCs w:val="24"/>
        </w:rPr>
        <w:t xml:space="preserve"> patvirtina pirmosios instancijos teismo </w:t>
      </w:r>
      <w:r w:rsidRPr="00C00255">
        <w:rPr>
          <w:rStyle w:val="Emphasis"/>
          <w:szCs w:val="24"/>
          <w:shd w:val="clear" w:color="auto" w:fill="FFFFFF"/>
        </w:rPr>
        <w:t>ištirtų įrodymų visuma</w:t>
      </w:r>
      <w:r w:rsidRPr="00C00255">
        <w:rPr>
          <w:szCs w:val="24"/>
        </w:rPr>
        <w:t xml:space="preserve"> – liudytojų, nukentėjusiųjų parodymai, specialistų išvados bei ekspertizės aktai, vaizdo įrašai ir fotonuotraukos, kariškių bei karinės technikos sąrašai bei kt. Atsižvelgdama į tai, teisėjų kolegija pasisakys dėl kiekvieno iš šioje dalyje minėtų nuteistųjų vaidmens užimant LRT ir su tuo susijusių ginčijamų faktinių aplinkybių. </w:t>
      </w:r>
    </w:p>
    <w:p w:rsidR="00DA38E9" w:rsidRPr="00C00255" w:rsidRDefault="00DA38E9" w:rsidP="00DA38E9">
      <w:pPr>
        <w:pStyle w:val="Heading4"/>
        <w:spacing w:before="120" w:after="120"/>
        <w:ind w:firstLine="992"/>
        <w:rPr>
          <w:rFonts w:ascii="Times New Roman" w:hAnsi="Times New Roman"/>
          <w:b w:val="0"/>
          <w:i/>
          <w:sz w:val="24"/>
          <w:szCs w:val="24"/>
        </w:rPr>
      </w:pPr>
      <w:bookmarkStart w:id="383" w:name="_Toc66697267"/>
      <w:r w:rsidRPr="00C00255">
        <w:rPr>
          <w:rFonts w:ascii="Times New Roman" w:hAnsi="Times New Roman"/>
          <w:b w:val="0"/>
          <w:i/>
          <w:sz w:val="24"/>
          <w:szCs w:val="24"/>
        </w:rPr>
        <w:t xml:space="preserve">Dėl nuteistojo </w:t>
      </w:r>
      <w:r>
        <w:rPr>
          <w:rFonts w:ascii="Times New Roman" w:hAnsi="Times New Roman"/>
          <w:b w:val="0"/>
          <w:i/>
          <w:sz w:val="24"/>
          <w:szCs w:val="24"/>
        </w:rPr>
        <w:t>V. S. 1</w:t>
      </w:r>
      <w:r w:rsidRPr="00C00255">
        <w:rPr>
          <w:rFonts w:ascii="Times New Roman" w:hAnsi="Times New Roman"/>
          <w:b w:val="0"/>
          <w:i/>
          <w:sz w:val="24"/>
          <w:szCs w:val="24"/>
        </w:rPr>
        <w:t xml:space="preserve"> dalyvavimo užimant LRT</w:t>
      </w:r>
      <w:bookmarkEnd w:id="383"/>
      <w:r w:rsidRPr="00C00255">
        <w:rPr>
          <w:rFonts w:ascii="Times New Roman" w:hAnsi="Times New Roman"/>
          <w:b w:val="0"/>
          <w:i/>
          <w:sz w:val="24"/>
          <w:szCs w:val="24"/>
        </w:rPr>
        <w:t xml:space="preserve"> </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lang w:eastAsia="lt-LT"/>
        </w:rPr>
        <w:t xml:space="preserve">Teisėjų kolegija sutinka su pirmosios instancijos teismo išvada, kad </w:t>
      </w:r>
      <w:bookmarkStart w:id="384" w:name="_Hlk63361581"/>
      <w:bookmarkStart w:id="385" w:name="_Hlk63334758"/>
      <w:r w:rsidRPr="00C00255">
        <w:rPr>
          <w:szCs w:val="24"/>
          <w:lang w:eastAsia="lt-LT"/>
        </w:rPr>
        <w:t xml:space="preserve">TSRS VRM </w:t>
      </w:r>
      <w:r w:rsidRPr="00C00255">
        <w:rPr>
          <w:bCs/>
          <w:iCs/>
          <w:szCs w:val="24"/>
        </w:rPr>
        <w:t>Šiaurės vakarų ir Pabaltijo vidaus kariuomenės valdybos viršininkas generolas</w:t>
      </w:r>
      <w:bookmarkEnd w:id="384"/>
      <w:r w:rsidRPr="00C00255">
        <w:rPr>
          <w:bCs/>
          <w:iCs/>
          <w:szCs w:val="24"/>
        </w:rPr>
        <w:t xml:space="preserve"> </w:t>
      </w:r>
      <w:bookmarkEnd w:id="385"/>
      <w:r>
        <w:rPr>
          <w:szCs w:val="24"/>
        </w:rPr>
        <w:t>V. S. 1</w:t>
      </w:r>
      <w:r w:rsidRPr="00C00255">
        <w:rPr>
          <w:szCs w:val="24"/>
          <w:lang w:eastAsia="lt-LT"/>
        </w:rPr>
        <w:t xml:space="preserve"> vadovavo </w:t>
      </w:r>
      <w:bookmarkStart w:id="386" w:name="_Hlk64070346"/>
      <w:r w:rsidRPr="00C00255">
        <w:rPr>
          <w:szCs w:val="24"/>
          <w:lang w:eastAsia="lt-LT"/>
        </w:rPr>
        <w:t xml:space="preserve">TSRS VRM Vidaus kariuomenės 42-osios divizijos kariškiams </w:t>
      </w:r>
      <w:bookmarkEnd w:id="386"/>
      <w:r w:rsidRPr="00C00255">
        <w:rPr>
          <w:szCs w:val="24"/>
          <w:lang w:eastAsia="lt-LT"/>
        </w:rPr>
        <w:t xml:space="preserve">operacijos prie LRT metu </w:t>
      </w:r>
      <w:r w:rsidRPr="00C00255">
        <w:rPr>
          <w:lang w:eastAsia="lt-LT"/>
        </w:rPr>
        <w:t>(žr. </w:t>
      </w:r>
      <w:r w:rsidRPr="00C00255">
        <w:t>nuosprendžio 514–520 l.;</w:t>
      </w:r>
      <w:r w:rsidRPr="00C00255">
        <w:rPr>
          <w:rFonts w:eastAsia="Calibri"/>
        </w:rPr>
        <w:t xml:space="preserve"> t. 771, b. l. 11</w:t>
      </w:r>
      <w:bookmarkStart w:id="387" w:name="_Hlk64291501"/>
      <w:r w:rsidRPr="00C00255">
        <w:rPr>
          <w:rFonts w:eastAsia="Calibri"/>
        </w:rPr>
        <w:t>4</w:t>
      </w:r>
      <w:bookmarkEnd w:id="387"/>
      <w:r w:rsidRPr="00C00255">
        <w:rPr>
          <w:rFonts w:eastAsia="Calibri"/>
        </w:rPr>
        <w:t>–120</w:t>
      </w:r>
      <w:r w:rsidRPr="00C00255">
        <w:t>)</w:t>
      </w:r>
      <w:r w:rsidRPr="00C00255">
        <w:rPr>
          <w:rFonts w:eastAsia="Calibri"/>
          <w:szCs w:val="24"/>
        </w:rPr>
        <w:t>.</w:t>
      </w:r>
      <w:r w:rsidRPr="00C00255">
        <w:rPr>
          <w:szCs w:val="24"/>
          <w:lang w:eastAsia="lt-LT"/>
        </w:rPr>
        <w:t xml:space="preserve"> </w:t>
      </w:r>
    </w:p>
    <w:p w:rsidR="00DA38E9" w:rsidRPr="00C00255" w:rsidRDefault="00DA38E9" w:rsidP="00DA38E9">
      <w:pPr>
        <w:pStyle w:val="ListParagraph"/>
        <w:numPr>
          <w:ilvl w:val="1"/>
          <w:numId w:val="6"/>
        </w:numPr>
        <w:spacing w:before="120" w:after="120"/>
        <w:ind w:left="992" w:hanging="992"/>
        <w:contextualSpacing w:val="0"/>
        <w:rPr>
          <w:szCs w:val="24"/>
        </w:rPr>
      </w:pPr>
      <w:r w:rsidRPr="00C00255">
        <w:rPr>
          <w:szCs w:val="24"/>
          <w:lang w:eastAsia="lt-LT"/>
        </w:rPr>
        <w:t xml:space="preserve">Nuteistojo </w:t>
      </w:r>
      <w:r>
        <w:rPr>
          <w:szCs w:val="24"/>
          <w:lang w:eastAsia="lt-LT"/>
        </w:rPr>
        <w:t>V. S. 1</w:t>
      </w:r>
      <w:r w:rsidRPr="00C00255">
        <w:rPr>
          <w:szCs w:val="24"/>
          <w:lang w:eastAsia="lt-LT"/>
        </w:rPr>
        <w:t xml:space="preserve"> gynėjo teigimu, byloje nėra neginčijamų įrodymų apie </w:t>
      </w:r>
      <w:r>
        <w:rPr>
          <w:szCs w:val="24"/>
          <w:lang w:eastAsia="lt-LT"/>
        </w:rPr>
        <w:t>V. S. 1</w:t>
      </w:r>
      <w:r w:rsidRPr="00C00255">
        <w:rPr>
          <w:szCs w:val="24"/>
          <w:lang w:eastAsia="lt-LT"/>
        </w:rPr>
        <w:t xml:space="preserve"> dalyvavimą užimant pastatus, tačiau gynėjas nepateikia jokių konkrečių argumentų, kuriais nesutiktų su skundžiamame nuosprendyje nustatytomis faktinėmis aplinkybėmis dėl jo ginamajam inkriminuoto vadovaujančio vaidmens užimant LRT. Nuteistojo gynėjas, cituodamas paties </w:t>
      </w:r>
      <w:r>
        <w:rPr>
          <w:szCs w:val="24"/>
          <w:lang w:eastAsia="lt-LT"/>
        </w:rPr>
        <w:t>V. S. 1</w:t>
      </w:r>
      <w:r w:rsidRPr="00C00255">
        <w:rPr>
          <w:szCs w:val="24"/>
          <w:lang w:eastAsia="lt-LT"/>
        </w:rPr>
        <w:t xml:space="preserve"> parodymus, duotus ikiteisminio tyrimo metu, nurodo, kad pagal </w:t>
      </w:r>
      <w:r>
        <w:rPr>
          <w:szCs w:val="24"/>
          <w:lang w:eastAsia="lt-LT"/>
        </w:rPr>
        <w:t>V. S. 1</w:t>
      </w:r>
      <w:r w:rsidRPr="00C00255">
        <w:rPr>
          <w:szCs w:val="24"/>
          <w:lang w:eastAsia="lt-LT"/>
        </w:rPr>
        <w:t xml:space="preserve"> parodymus, jis 1991 m. </w:t>
      </w:r>
      <w:r w:rsidRPr="00C00255">
        <w:rPr>
          <w:szCs w:val="24"/>
        </w:rPr>
        <w:t>sausio 12 d. vakare buvo šalia TSRS Vidaus reikalų ministro pavaduotojo N. D</w:t>
      </w:r>
      <w:r>
        <w:rPr>
          <w:szCs w:val="24"/>
        </w:rPr>
        <w:t>.</w:t>
      </w:r>
      <w:r w:rsidRPr="00C00255">
        <w:rPr>
          <w:szCs w:val="24"/>
        </w:rPr>
        <w:t>, kai šis skambino ministrui B. P</w:t>
      </w:r>
      <w:r>
        <w:rPr>
          <w:szCs w:val="24"/>
        </w:rPr>
        <w:t>.</w:t>
      </w:r>
      <w:r w:rsidRPr="00C00255">
        <w:rPr>
          <w:szCs w:val="24"/>
        </w:rPr>
        <w:t xml:space="preserve"> ir iš jų pokalbio suprato tik tiek, kad apsaugai reikės paimti tam tikrus objektus. Po šio pokalbio N. D</w:t>
      </w:r>
      <w:r>
        <w:rPr>
          <w:szCs w:val="24"/>
        </w:rPr>
        <w:t>.</w:t>
      </w:r>
      <w:r w:rsidRPr="00C00255">
        <w:rPr>
          <w:szCs w:val="24"/>
        </w:rPr>
        <w:t xml:space="preserve"> jam (</w:t>
      </w:r>
      <w:r>
        <w:rPr>
          <w:szCs w:val="24"/>
        </w:rPr>
        <w:t>V. S. 1</w:t>
      </w:r>
      <w:r w:rsidRPr="00C00255">
        <w:rPr>
          <w:szCs w:val="24"/>
        </w:rPr>
        <w:t xml:space="preserve">) ir </w:t>
      </w:r>
      <w:r>
        <w:rPr>
          <w:szCs w:val="24"/>
        </w:rPr>
        <w:t>A. Ž.</w:t>
      </w:r>
      <w:r w:rsidRPr="00C00255">
        <w:rPr>
          <w:szCs w:val="24"/>
        </w:rPr>
        <w:t xml:space="preserve"> pasakė, kad, kai bus užimtas LRT, reikės perimti jo apsaugą. </w:t>
      </w:r>
      <w:r>
        <w:rPr>
          <w:szCs w:val="24"/>
        </w:rPr>
        <w:t>V. S. 1</w:t>
      </w:r>
      <w:r w:rsidRPr="00C00255">
        <w:rPr>
          <w:szCs w:val="24"/>
        </w:rPr>
        <w:t xml:space="preserve"> ir </w:t>
      </w:r>
      <w:r>
        <w:rPr>
          <w:szCs w:val="24"/>
        </w:rPr>
        <w:t>A. Ž.</w:t>
      </w:r>
      <w:r w:rsidRPr="00C00255">
        <w:rPr>
          <w:szCs w:val="24"/>
        </w:rPr>
        <w:t xml:space="preserve"> nusprendė, kad priimti objektą gali konvojaus pulko mokomoji kuopa. </w:t>
      </w:r>
      <w:r>
        <w:rPr>
          <w:szCs w:val="24"/>
        </w:rPr>
        <w:t>A. Ž.</w:t>
      </w:r>
      <w:r w:rsidRPr="00C00255">
        <w:rPr>
          <w:szCs w:val="24"/>
        </w:rPr>
        <w:t xml:space="preserve"> tokį nurodymą perdavė pulko vadui </w:t>
      </w:r>
      <w:r>
        <w:rPr>
          <w:szCs w:val="24"/>
        </w:rPr>
        <w:t>S. F.</w:t>
      </w:r>
      <w:r w:rsidRPr="00C00255">
        <w:rPr>
          <w:szCs w:val="24"/>
        </w:rPr>
        <w:t>, kuris susitiko su kariškiais ir aptarė detales.</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bidi="lt-LT"/>
        </w:rPr>
        <w:t xml:space="preserve">Teisėjų kolegija, įvertinusi pirmosios instancijos teismo nuosprendyje nustatytas aplinkybes ir jau minėtus gynėjo argumentus, konstatuoja, kad byloje nėra ginčo, </w:t>
      </w:r>
      <w:r w:rsidRPr="00C00255">
        <w:rPr>
          <w:szCs w:val="24"/>
          <w:lang w:eastAsia="lt-LT"/>
        </w:rPr>
        <w:t xml:space="preserve">kad įvykių metu </w:t>
      </w:r>
      <w:r>
        <w:rPr>
          <w:szCs w:val="24"/>
        </w:rPr>
        <w:t>V. S. 1</w:t>
      </w:r>
      <w:r w:rsidRPr="00C00255">
        <w:rPr>
          <w:szCs w:val="24"/>
        </w:rPr>
        <w:t xml:space="preserve"> buvo TSRS VRM </w:t>
      </w:r>
      <w:r w:rsidRPr="00C00255">
        <w:rPr>
          <w:bCs/>
          <w:iCs/>
          <w:szCs w:val="24"/>
        </w:rPr>
        <w:t xml:space="preserve">Šiaurės vakarų ir Pabaltijo vidaus kariuomenės valdybos viršininkas, t. y. buvo vienas iš aukščiausių vadovų, vadovavusių </w:t>
      </w:r>
      <w:r w:rsidRPr="00C00255">
        <w:rPr>
          <w:szCs w:val="24"/>
          <w:lang w:eastAsia="lt-LT"/>
        </w:rPr>
        <w:t>TSRS VRM Vidaus kariuomenės 42-osios divizijos kariškiams dalyvaujant LRT užėmimo operacijoje.</w:t>
      </w:r>
      <w:r w:rsidRPr="00C00255">
        <w:rPr>
          <w:szCs w:val="24"/>
        </w:rPr>
        <w:t xml:space="preserve"> Tai patvirtino teisiamajame posėdyje apklausti liudytojai tuometinis Lietuvos Respublikos vidaus reikalų ministras </w:t>
      </w:r>
      <w:r>
        <w:rPr>
          <w:szCs w:val="24"/>
        </w:rPr>
        <w:t>M. M.</w:t>
      </w:r>
      <w:r w:rsidRPr="00C00255">
        <w:rPr>
          <w:szCs w:val="24"/>
        </w:rPr>
        <w:t xml:space="preserve">, TSRS VRM Vidaus kariuomenės 42-osios divizijos artilerinės ginkluotės tarnybos viršininkas </w:t>
      </w:r>
      <w:r>
        <w:rPr>
          <w:szCs w:val="24"/>
        </w:rPr>
        <w:t>R. M.</w:t>
      </w:r>
      <w:r w:rsidRPr="00C00255">
        <w:rPr>
          <w:szCs w:val="24"/>
        </w:rPr>
        <w:t xml:space="preserve">, TSRS VRM Vidaus kariuomenės 42-osios divizijos milicijos pulko vadas </w:t>
      </w:r>
      <w:r>
        <w:rPr>
          <w:szCs w:val="24"/>
        </w:rPr>
        <w:t>S. S.</w:t>
      </w:r>
      <w:r w:rsidRPr="00C00255">
        <w:rPr>
          <w:szCs w:val="24"/>
        </w:rPr>
        <w:t xml:space="preserve"> (t. 756, b. l. 113–121, 141–142, 143–144). </w:t>
      </w:r>
      <w:bookmarkStart w:id="388" w:name="_Hlk65506413"/>
      <w:r>
        <w:rPr>
          <w:szCs w:val="24"/>
          <w:lang w:eastAsia="lt-LT"/>
        </w:rPr>
        <w:t>V. S. 1</w:t>
      </w:r>
      <w:r w:rsidRPr="00C00255">
        <w:rPr>
          <w:szCs w:val="24"/>
          <w:lang w:eastAsia="lt-LT"/>
        </w:rPr>
        <w:t xml:space="preserve">, kaip buvusį TSRS VRM </w:t>
      </w:r>
      <w:r w:rsidRPr="00C00255">
        <w:rPr>
          <w:bCs/>
          <w:iCs/>
          <w:szCs w:val="24"/>
        </w:rPr>
        <w:t>Šiaurės vakarų ir Pabaltijo vidaus kariuomenės valdybos viršininką</w:t>
      </w:r>
      <w:r w:rsidRPr="00C00255">
        <w:rPr>
          <w:szCs w:val="24"/>
          <w:lang w:eastAsia="lt-LT"/>
        </w:rPr>
        <w:t xml:space="preserve">, atpažino ir įvardijo liudytojas </w:t>
      </w:r>
      <w:r>
        <w:t>A. L.</w:t>
      </w:r>
      <w:r w:rsidRPr="00C00255">
        <w:t xml:space="preserve"> </w:t>
      </w:r>
      <w:r w:rsidRPr="00C00255">
        <w:rPr>
          <w:szCs w:val="24"/>
          <w:lang w:eastAsia="lt-LT"/>
        </w:rPr>
        <w:t>(</w:t>
      </w:r>
      <w:r w:rsidRPr="00C00255">
        <w:t>t. 477, b. l. 184</w:t>
      </w:r>
      <w:r w:rsidRPr="00C00255">
        <w:rPr>
          <w:szCs w:val="24"/>
          <w:lang w:eastAsia="lt-LT"/>
        </w:rPr>
        <w:t>–</w:t>
      </w:r>
      <w:r w:rsidRPr="00C00255">
        <w:t>188</w:t>
      </w:r>
      <w:r w:rsidRPr="00C00255">
        <w:rPr>
          <w:szCs w:val="24"/>
          <w:lang w:eastAsia="lt-LT"/>
        </w:rPr>
        <w:t xml:space="preserve">). </w:t>
      </w:r>
    </w:p>
    <w:bookmarkEnd w:id="388"/>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lang w:eastAsia="lt-LT"/>
        </w:rPr>
        <w:t xml:space="preserve">Apie </w:t>
      </w:r>
      <w:r>
        <w:rPr>
          <w:szCs w:val="24"/>
          <w:lang w:eastAsia="lt-LT"/>
        </w:rPr>
        <w:t>V. S. 1</w:t>
      </w:r>
      <w:r w:rsidRPr="00C00255">
        <w:rPr>
          <w:szCs w:val="24"/>
          <w:lang w:eastAsia="lt-LT"/>
        </w:rPr>
        <w:t xml:space="preserve"> dalyvavimą bei jo vadovaujamą vaidmenį </w:t>
      </w:r>
      <w:r w:rsidRPr="00B822BF">
        <w:rPr>
          <w:rFonts w:eastAsia="Calibri"/>
        </w:rPr>
        <w:t>planuojant ir koordinuojant karinę operaciją, pirmiausia patvirtina šio teismo sprendimo dalyje</w:t>
      </w:r>
      <w:r w:rsidRPr="00C00255">
        <w:rPr>
          <w:rFonts w:eastAsia="Calibri"/>
          <w:i/>
          <w:iCs/>
          <w:szCs w:val="24"/>
        </w:rPr>
        <w:t xml:space="preserve"> „Dėl pirmosios instancijos teismo išvadų vertinant </w:t>
      </w:r>
      <w:r w:rsidRPr="00C00255">
        <w:rPr>
          <w:i/>
          <w:iCs/>
          <w:szCs w:val="24"/>
        </w:rPr>
        <w:t xml:space="preserve">TSRS </w:t>
      </w:r>
      <w:r w:rsidRPr="00C00255">
        <w:rPr>
          <w:i/>
          <w:szCs w:val="24"/>
        </w:rPr>
        <w:t>VRM ir jai pavaldžių dalinių bei nuteistųjų N. D</w:t>
      </w:r>
      <w:r>
        <w:rPr>
          <w:i/>
          <w:szCs w:val="24"/>
        </w:rPr>
        <w:t>.</w:t>
      </w:r>
      <w:r w:rsidRPr="00C00255">
        <w:rPr>
          <w:i/>
          <w:szCs w:val="24"/>
        </w:rPr>
        <w:t xml:space="preserve">, </w:t>
      </w:r>
      <w:r>
        <w:rPr>
          <w:i/>
          <w:szCs w:val="24"/>
        </w:rPr>
        <w:t>V. S. 1</w:t>
      </w:r>
      <w:r w:rsidRPr="00C00255">
        <w:rPr>
          <w:i/>
          <w:szCs w:val="24"/>
        </w:rPr>
        <w:t xml:space="preserve"> ir </w:t>
      </w:r>
      <w:r>
        <w:rPr>
          <w:i/>
          <w:szCs w:val="24"/>
        </w:rPr>
        <w:t>A. Ž.</w:t>
      </w:r>
      <w:r w:rsidRPr="00C00255">
        <w:rPr>
          <w:i/>
          <w:szCs w:val="24"/>
        </w:rPr>
        <w:t xml:space="preserve"> </w:t>
      </w:r>
      <w:r w:rsidRPr="00C00255">
        <w:rPr>
          <w:rFonts w:eastAsia="Calibri"/>
          <w:i/>
          <w:iCs/>
          <w:szCs w:val="24"/>
        </w:rPr>
        <w:t>veiksmus</w:t>
      </w:r>
      <w:r w:rsidRPr="00C00255">
        <w:t xml:space="preserve"> </w:t>
      </w:r>
      <w:r w:rsidRPr="00C00255">
        <w:rPr>
          <w:rFonts w:eastAsia="Calibri"/>
          <w:i/>
          <w:iCs/>
          <w:szCs w:val="24"/>
        </w:rPr>
        <w:t xml:space="preserve">planuojant karinę operaciją“ </w:t>
      </w:r>
      <w:r w:rsidRPr="00B822BF">
        <w:rPr>
          <w:rFonts w:eastAsia="Calibri"/>
        </w:rPr>
        <w:t xml:space="preserve">aptarta įrodymų visuma, t. y. šioje sprendimo dalyje konstatuota, kad </w:t>
      </w:r>
      <w:bookmarkStart w:id="389" w:name="_Hlk63359251"/>
      <w:r w:rsidRPr="00B822BF">
        <w:rPr>
          <w:rFonts w:eastAsia="Calibri"/>
        </w:rPr>
        <w:t>TSRS VRM</w:t>
      </w:r>
      <w:r w:rsidRPr="00C00255">
        <w:rPr>
          <w:rFonts w:eastAsia="Calibri"/>
          <w:szCs w:val="24"/>
        </w:rPr>
        <w:t xml:space="preserve"> </w:t>
      </w:r>
      <w:r w:rsidRPr="00C00255">
        <w:rPr>
          <w:bCs/>
          <w:iCs/>
          <w:szCs w:val="24"/>
        </w:rPr>
        <w:t>Šiaurės vakarų ir Pabaltijo vidaus kariuomenės valdybos viršininkas</w:t>
      </w:r>
      <w:r w:rsidRPr="00C00255">
        <w:rPr>
          <w:szCs w:val="24"/>
        </w:rPr>
        <w:t xml:space="preserve"> </w:t>
      </w:r>
      <w:r>
        <w:rPr>
          <w:szCs w:val="24"/>
        </w:rPr>
        <w:t>V. S. 1</w:t>
      </w:r>
      <w:bookmarkEnd w:id="389"/>
      <w:r w:rsidRPr="00C00255">
        <w:rPr>
          <w:szCs w:val="24"/>
        </w:rPr>
        <w:t xml:space="preserve">, kartu su TSRS VRM Vidaus kariuomenės 42-osios divizijos vadu </w:t>
      </w:r>
      <w:r>
        <w:rPr>
          <w:szCs w:val="24"/>
        </w:rPr>
        <w:t>A. Ž.</w:t>
      </w:r>
      <w:r w:rsidRPr="00C00255">
        <w:rPr>
          <w:szCs w:val="24"/>
        </w:rPr>
        <w:t xml:space="preserve">, davė nurodymus jam pavaldžiam karininkui </w:t>
      </w:r>
      <w:r>
        <w:rPr>
          <w:szCs w:val="24"/>
        </w:rPr>
        <w:t>S. F.</w:t>
      </w:r>
      <w:r w:rsidRPr="00C00255">
        <w:rPr>
          <w:szCs w:val="24"/>
        </w:rPr>
        <w:t xml:space="preserve"> dėl tiesioginio dalyvavimo operacijoje bei konkrečių veiksmų atlikimo. </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rPr>
        <w:t xml:space="preserve">Šiame kontekste teisėjų kolegija pažymi, kad 2014 m. birželio 10 d. </w:t>
      </w:r>
      <w:r w:rsidRPr="00C00255">
        <w:t>s</w:t>
      </w:r>
      <w:r w:rsidRPr="00C00255">
        <w:rPr>
          <w:szCs w:val="24"/>
        </w:rPr>
        <w:t xml:space="preserve">pecialisto išvadoje nurodyta, kad šturmuojant </w:t>
      </w:r>
      <w:r w:rsidRPr="00C00255">
        <w:t>LRT Radijo pastatą</w:t>
      </w:r>
      <w:r w:rsidRPr="00C00255">
        <w:rPr>
          <w:szCs w:val="24"/>
        </w:rPr>
        <w:t xml:space="preserve">, operacijos įgyvendinimui įvykio vietoje vadovavo TSRS VRM Vidaus kariuomenės 42-osios divizijos konvojaus pulko vadas papulkininkis </w:t>
      </w:r>
      <w:r>
        <w:rPr>
          <w:szCs w:val="24"/>
        </w:rPr>
        <w:t>S. F.</w:t>
      </w:r>
      <w:r w:rsidRPr="00C00255">
        <w:rPr>
          <w:szCs w:val="24"/>
        </w:rPr>
        <w:t xml:space="preserve"> bei TSRS VRM Vidaus kariuomenės 42-osios divizijos konvojaus pulko </w:t>
      </w:r>
      <w:r w:rsidRPr="00C00255">
        <w:t>mokomosios specialiosios paskirties kuopos</w:t>
      </w:r>
      <w:r w:rsidRPr="00C00255">
        <w:rPr>
          <w:szCs w:val="24"/>
        </w:rPr>
        <w:t xml:space="preserve"> vadas vyresnysis leitenantas </w:t>
      </w:r>
      <w:r>
        <w:rPr>
          <w:szCs w:val="24"/>
        </w:rPr>
        <w:t>O. M.</w:t>
      </w:r>
      <w:r w:rsidRPr="00C00255">
        <w:rPr>
          <w:szCs w:val="24"/>
        </w:rPr>
        <w:t xml:space="preserve"> </w:t>
      </w:r>
      <w:r w:rsidRPr="00C00255">
        <w:t>(t. 480, b. l. 43</w:t>
      </w:r>
      <w:bookmarkStart w:id="390" w:name="_Hlk63364208"/>
      <w:r w:rsidRPr="00C00255">
        <w:rPr>
          <w:szCs w:val="24"/>
        </w:rPr>
        <w:t>–</w:t>
      </w:r>
      <w:bookmarkEnd w:id="390"/>
      <w:r w:rsidRPr="00C00255">
        <w:t xml:space="preserve">45), kuriems, kaip nustatyta, nurodymus davė ir jie buvo pavaldūs taip pat ir TSRS VRM </w:t>
      </w:r>
      <w:r w:rsidRPr="00C00255">
        <w:rPr>
          <w:bCs/>
          <w:iCs/>
          <w:szCs w:val="24"/>
        </w:rPr>
        <w:t>Šiaurės vakarų ir Pabaltijo vidaus kariuomenės valdybos viršininkui</w:t>
      </w:r>
      <w:r w:rsidRPr="00C00255">
        <w:rPr>
          <w:szCs w:val="24"/>
        </w:rPr>
        <w:t xml:space="preserve"> </w:t>
      </w:r>
      <w:r>
        <w:rPr>
          <w:szCs w:val="24"/>
        </w:rPr>
        <w:t>V. S. 1</w:t>
      </w:r>
      <w:r w:rsidRPr="00C00255">
        <w:rPr>
          <w:szCs w:val="24"/>
        </w:rPr>
        <w:t xml:space="preserve">. Taigi, akivaizdu, kad </w:t>
      </w:r>
      <w:r>
        <w:rPr>
          <w:szCs w:val="24"/>
        </w:rPr>
        <w:t>S. F.</w:t>
      </w:r>
      <w:r w:rsidRPr="00C00255">
        <w:rPr>
          <w:szCs w:val="24"/>
        </w:rPr>
        <w:t xml:space="preserve"> ir </w:t>
      </w:r>
      <w:r>
        <w:rPr>
          <w:szCs w:val="24"/>
        </w:rPr>
        <w:t>O. M.</w:t>
      </w:r>
      <w:r w:rsidRPr="00C00255">
        <w:rPr>
          <w:szCs w:val="24"/>
        </w:rPr>
        <w:t xml:space="preserve"> </w:t>
      </w:r>
      <w:bookmarkStart w:id="391" w:name="_Hlk64218664"/>
      <w:r w:rsidRPr="00C00255">
        <w:rPr>
          <w:szCs w:val="24"/>
        </w:rPr>
        <w:t>be aukštesniųjų karininkų įsakymų ir nurodymų, operacijai, panaudojant gausią ginkluotę ir jiems pavaldžius kariškius, nebūtų galėję vadovauti. 2014 m. birželio 10 d. specialisto išvadoje taip pat nurodyta, kad operacijos planavimas ir vykdymas buvo koordinuojamas ir derinamas nuo vadovavimo piramidės viršūnės iki smulkiausių padalinių (t. 480, b. l. 36).</w:t>
      </w:r>
      <w:bookmarkEnd w:id="391"/>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rPr>
        <w:t>T</w:t>
      </w:r>
      <w:r w:rsidRPr="00C00255">
        <w:t xml:space="preserve">eisiamajame posėdyje apklaustas </w:t>
      </w:r>
      <w:r w:rsidRPr="00C00255">
        <w:rPr>
          <w:rFonts w:eastAsia="Calibri"/>
          <w:bCs/>
          <w:szCs w:val="24"/>
        </w:rPr>
        <w:t xml:space="preserve">liudytojas TSRS VRM </w:t>
      </w:r>
      <w:r w:rsidRPr="00B822BF">
        <w:rPr>
          <w:rFonts w:eastAsia="Calibri"/>
        </w:rPr>
        <w:t xml:space="preserve">Vidaus kariuomenės 42-osios divizijos milicijos pulko vadas S. S. nurodė, kad į karinį Šiaurės miestelį buvo atvykęs </w:t>
      </w:r>
      <w:r w:rsidRPr="00B822BF">
        <w:t>Šiaurės vakarų ir Pabaltijo vidaus kariuomenės valdybos</w:t>
      </w:r>
      <w:r w:rsidRPr="00C00255">
        <w:rPr>
          <w:bCs/>
          <w:iCs/>
          <w:szCs w:val="24"/>
        </w:rPr>
        <w:t xml:space="preserve"> viršininkas generolas</w:t>
      </w:r>
      <w:r w:rsidRPr="00C00255">
        <w:rPr>
          <w:rFonts w:eastAsia="Calibri"/>
          <w:bCs/>
          <w:szCs w:val="24"/>
        </w:rPr>
        <w:t xml:space="preserve"> </w:t>
      </w:r>
      <w:r w:rsidRPr="00B822BF">
        <w:rPr>
          <w:rFonts w:eastAsia="Calibri"/>
        </w:rPr>
        <w:t>V. S. 1, kurio divizija įėjo į valdybą. V. S. 1 taip pat dalyvavo ir sausio įvykiuose (t. 760, b. l. 143</w:t>
      </w:r>
      <w:r w:rsidRPr="00B822BF">
        <w:t>–</w:t>
      </w:r>
      <w:r w:rsidRPr="00B822BF">
        <w:rPr>
          <w:rFonts w:eastAsia="Calibri"/>
        </w:rPr>
        <w:t>144)</w:t>
      </w:r>
      <w:r w:rsidRPr="00C00255">
        <w:rPr>
          <w:rFonts w:eastAsia="Calibri"/>
          <w:szCs w:val="24"/>
        </w:rPr>
        <w:t xml:space="preserve">. </w:t>
      </w:r>
      <w:r w:rsidRPr="00B822BF">
        <w:rPr>
          <w:rFonts w:eastAsia="Calibri"/>
        </w:rPr>
        <w:t>T</w:t>
      </w:r>
      <w:r w:rsidRPr="00B822BF">
        <w:t xml:space="preserve">uometis </w:t>
      </w:r>
      <w:r w:rsidRPr="00C00255">
        <w:rPr>
          <w:bCs/>
          <w:szCs w:val="24"/>
        </w:rPr>
        <w:t xml:space="preserve">Lietuvos Respublikos vidaus reikalų ministras </w:t>
      </w:r>
      <w:r>
        <w:rPr>
          <w:bCs/>
          <w:szCs w:val="24"/>
        </w:rPr>
        <w:t>M. M.</w:t>
      </w:r>
      <w:r w:rsidRPr="00C00255">
        <w:rPr>
          <w:bCs/>
          <w:szCs w:val="24"/>
        </w:rPr>
        <w:t xml:space="preserve"> taip pat nurodė, kad </w:t>
      </w:r>
      <w:r w:rsidRPr="00C00255">
        <w:rPr>
          <w:szCs w:val="24"/>
        </w:rPr>
        <w:t>1990 m. pabaigoje, 1991 m. pradžioje situacija Lietuvoje, Vidaus reikalų ministerijos požiūriu, buvo įtempta. Su aukščiausiais vadovybės ir karinių struktūrų vadovais tiek iki strateginių objektų užėmimo, tiek po jų užėmimo vyko įvairūs pasitarimai</w:t>
      </w:r>
      <w:r w:rsidRPr="00C00255">
        <w:rPr>
          <w:bCs/>
          <w:szCs w:val="24"/>
        </w:rPr>
        <w:t xml:space="preserve"> dėl esamos situacijos Lietuvos Respublikoje ir tuo metu iškylančių problemų</w:t>
      </w:r>
      <w:r w:rsidRPr="00C00255">
        <w:rPr>
          <w:szCs w:val="24"/>
        </w:rPr>
        <w:t xml:space="preserve">. </w:t>
      </w:r>
      <w:r>
        <w:rPr>
          <w:szCs w:val="24"/>
        </w:rPr>
        <w:t>V. S. 1</w:t>
      </w:r>
      <w:r w:rsidRPr="00C00255">
        <w:rPr>
          <w:szCs w:val="24"/>
        </w:rPr>
        <w:t xml:space="preserve"> tuo metu buvo Šiaurės vakarų apygardos vadas, kuriai priklausė Vidaus tarnybos divizija, dislokuota Vilniuje, o N.</w:t>
      </w:r>
      <w:r>
        <w:rPr>
          <w:szCs w:val="24"/>
        </w:rPr>
        <w:t> D.</w:t>
      </w:r>
      <w:r w:rsidRPr="00C00255">
        <w:rPr>
          <w:szCs w:val="24"/>
        </w:rPr>
        <w:t xml:space="preserve">, atstovaujančiam TSRS vidaus reikalų ministeriją, buvo pavaldi visa Vidaus tarnybos sistema. </w:t>
      </w:r>
      <w:r>
        <w:rPr>
          <w:bCs/>
          <w:szCs w:val="24"/>
        </w:rPr>
        <w:t>V. S. 1</w:t>
      </w:r>
      <w:r w:rsidRPr="00C00255">
        <w:rPr>
          <w:bCs/>
          <w:szCs w:val="24"/>
        </w:rPr>
        <w:t xml:space="preserve"> taip pat dalyvavo viename iš pasitarimų su kariškiais, kaip vidaus kariuomenės vadas (t. 756, b. l. 113</w:t>
      </w:r>
      <w:r w:rsidRPr="00C00255">
        <w:rPr>
          <w:szCs w:val="24"/>
        </w:rPr>
        <w:t>–</w:t>
      </w:r>
      <w:r w:rsidRPr="00C00255">
        <w:rPr>
          <w:bCs/>
          <w:szCs w:val="24"/>
        </w:rPr>
        <w:t xml:space="preserve">121).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055544">
        <w:t xml:space="preserve">2014 m. birželio 10 d. specialisto išvadoje nurodyta, kad Vilniuje kariniame Šiaurės miestelyje detalių operacijos vykdymo klausimų sprendimui buvo sukurtas operacijos vadovavimo štabas, kurio sudėtyje buvo ir VRM Šiaurės Vakarų ir Pabaltijo vidaus kariuomenės valdybos Vilniuje dislokuotų dalinių vadovai ir jų atstovai (t. 480, b. l. 36). Ne vienas apklaustas kaip liudytojas iš LRT šturme dalyvavusių kariškių (pvz., </w:t>
      </w:r>
      <w:r w:rsidRPr="00055544">
        <w:rPr>
          <w:rFonts w:eastAsia="Calibri"/>
        </w:rPr>
        <w:t>skyriaus vadas seržantas A. A. (t. </w:t>
      </w:r>
      <w:r w:rsidR="00B822BF" w:rsidRPr="00055544">
        <w:rPr>
          <w:rFonts w:eastAsia="Calibri"/>
        </w:rPr>
        <w:t>439, b. </w:t>
      </w:r>
      <w:r w:rsidRPr="00055544">
        <w:rPr>
          <w:rFonts w:eastAsia="Calibri"/>
        </w:rPr>
        <w:t>l. 124</w:t>
      </w:r>
      <w:r w:rsidRPr="00055544">
        <w:t>–</w:t>
      </w:r>
      <w:r w:rsidRPr="00055544">
        <w:rPr>
          <w:rFonts w:eastAsia="Calibri"/>
        </w:rPr>
        <w:t>127; t. 126, b. l. 201</w:t>
      </w:r>
      <w:bookmarkStart w:id="392" w:name="_Hlk63364503"/>
      <w:r w:rsidRPr="00055544">
        <w:t>–</w:t>
      </w:r>
      <w:bookmarkEnd w:id="392"/>
      <w:r w:rsidRPr="00055544">
        <w:rPr>
          <w:rFonts w:eastAsia="Calibri"/>
        </w:rPr>
        <w:t>209), eilinis D. K. (t. 439, b. l. 38</w:t>
      </w:r>
      <w:r w:rsidRPr="00055544">
        <w:t>–</w:t>
      </w:r>
      <w:r w:rsidRPr="00055544">
        <w:rPr>
          <w:rFonts w:eastAsia="Calibri"/>
        </w:rPr>
        <w:t>43, t. 126, b. l. 53</w:t>
      </w:r>
      <w:r w:rsidRPr="00055544">
        <w:t>–</w:t>
      </w:r>
      <w:r w:rsidRPr="00055544">
        <w:rPr>
          <w:rFonts w:eastAsia="Calibri"/>
        </w:rPr>
        <w:t>57), eilinis A. O. (t. 439, b. l. 21</w:t>
      </w:r>
      <w:r w:rsidRPr="00055544">
        <w:t>–</w:t>
      </w:r>
      <w:r w:rsidRPr="00055544">
        <w:rPr>
          <w:rFonts w:eastAsia="Calibri"/>
        </w:rPr>
        <w:t>23, t. 126, b. l. 30</w:t>
      </w:r>
      <w:r w:rsidRPr="00055544">
        <w:t>–</w:t>
      </w:r>
      <w:r w:rsidRPr="00055544">
        <w:rPr>
          <w:rFonts w:eastAsia="Calibri"/>
        </w:rPr>
        <w:t>34), būrio vado pavaduotojas viršila A. K. (t. 438, b. l. 127</w:t>
      </w:r>
      <w:r w:rsidRPr="00055544">
        <w:t>–</w:t>
      </w:r>
      <w:r w:rsidRPr="00055544">
        <w:rPr>
          <w:rFonts w:eastAsia="Calibri"/>
        </w:rPr>
        <w:t>130, t. 125, b. l. 146</w:t>
      </w:r>
      <w:r w:rsidRPr="00055544">
        <w:t>–</w:t>
      </w:r>
      <w:r w:rsidRPr="00055544">
        <w:rPr>
          <w:rFonts w:eastAsia="Calibri"/>
        </w:rPr>
        <w:t>149))</w:t>
      </w:r>
      <w:r w:rsidRPr="00055544">
        <w:t>, kurių parodymai perskaityti teisiamajame posėdyje (t. 760, b. l. 153–154, 149–150), nurodė, kad TSRS VRM Vidaus kariuomenės 42-osios divizijos konvojaus pulko mokomosios specialiosios paskirties kuopos kariškių, karinės technikos kolona, prieš važiuojant į užimamus objektus, pirmiausia važiavo į Vilniaus karinį Šiaurės miestelį, kur iš transporto priemonių buvo išlipę tik operacijoje dalyvavę vadai. Šiame kontekste teisėjų kolegija pažymi, kad būtent šioje vietoje buvo įsikūręs štabas, kur buvo organizuojami ir koordinuojami operacijos veiksmai bei, kaip nustatyta, buvo susirinkę tiesiogiai operacijose nedalyvavę aukščiausi vadovai, tarp jų ir V. S. 1, kuriam buvo pavaldūs ir TSRS VRM Vidaus kariuomenės 42-osios divizijos kariškiai.</w:t>
      </w:r>
      <w:r w:rsidRPr="00C00255">
        <w:rPr>
          <w:rFonts w:eastAsia="Calibri"/>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bidi="lt-LT"/>
        </w:rPr>
        <w:t xml:space="preserve">Teisėjų kolegija pažymi, kad apie </w:t>
      </w:r>
      <w:r>
        <w:rPr>
          <w:szCs w:val="24"/>
          <w:lang w:bidi="lt-LT"/>
        </w:rPr>
        <w:t>V. S. 1</w:t>
      </w:r>
      <w:r w:rsidRPr="00C00255">
        <w:rPr>
          <w:szCs w:val="24"/>
          <w:lang w:bidi="lt-LT"/>
        </w:rPr>
        <w:t xml:space="preserve"> vadovaujamą vaidmenį, kaip iš esmės nurodė ir nuteistojo gynėjas apeliaciniame skunde, cituodamas </w:t>
      </w:r>
      <w:r>
        <w:rPr>
          <w:szCs w:val="24"/>
          <w:lang w:bidi="lt-LT"/>
        </w:rPr>
        <w:t>V. S. 1</w:t>
      </w:r>
      <w:r w:rsidRPr="00C00255">
        <w:rPr>
          <w:szCs w:val="24"/>
          <w:lang w:bidi="lt-LT"/>
        </w:rPr>
        <w:t xml:space="preserve"> parodymus, teigė ir ikiteisminio tyrimo metu apklausti nuteistieji </w:t>
      </w:r>
      <w:r>
        <w:rPr>
          <w:szCs w:val="24"/>
        </w:rPr>
        <w:t>V. R.</w:t>
      </w:r>
      <w:r w:rsidRPr="00C00255">
        <w:rPr>
          <w:szCs w:val="24"/>
        </w:rPr>
        <w:t xml:space="preserve"> ir </w:t>
      </w:r>
      <w:r>
        <w:rPr>
          <w:szCs w:val="24"/>
        </w:rPr>
        <w:t>V. Š. 2</w:t>
      </w:r>
      <w:r w:rsidRPr="00C00255">
        <w:rPr>
          <w:szCs w:val="24"/>
          <w:lang w:bidi="lt-LT"/>
        </w:rPr>
        <w:t xml:space="preserve">. Ikiteisminio tyrimo metu </w:t>
      </w:r>
      <w:r w:rsidRPr="00C00255">
        <w:rPr>
          <w:szCs w:val="24"/>
        </w:rPr>
        <w:t>TSRS VRM Vidaus kariuomenės 42-osios divizijos milicijos pulko vado pavaduotojas</w:t>
      </w:r>
      <w:r w:rsidRPr="00C00255">
        <w:rPr>
          <w:rFonts w:eastAsia="Calibri"/>
          <w:szCs w:val="24"/>
        </w:rPr>
        <w:t xml:space="preserve"> </w:t>
      </w:r>
      <w:r>
        <w:rPr>
          <w:szCs w:val="24"/>
        </w:rPr>
        <w:t>V. R.</w:t>
      </w:r>
      <w:r w:rsidRPr="00C00255">
        <w:rPr>
          <w:szCs w:val="24"/>
        </w:rPr>
        <w:t xml:space="preserve">, </w:t>
      </w:r>
      <w:r w:rsidRPr="00C00255">
        <w:rPr>
          <w:szCs w:val="24"/>
          <w:lang w:bidi="lt-LT"/>
        </w:rPr>
        <w:t xml:space="preserve">be kita ko, nurodė, kad </w:t>
      </w:r>
      <w:r w:rsidRPr="00C00255">
        <w:rPr>
          <w:szCs w:val="24"/>
        </w:rPr>
        <w:t>1991 m. sausio 12 d., apie 20.00</w:t>
      </w:r>
      <w:r>
        <w:rPr>
          <w:szCs w:val="24"/>
        </w:rPr>
        <w:t> </w:t>
      </w:r>
      <w:r w:rsidRPr="00C00255">
        <w:rPr>
          <w:szCs w:val="24"/>
        </w:rPr>
        <w:t xml:space="preserve">val. buvo iškviestas karinės apygardos vado generolo leitenanto </w:t>
      </w:r>
      <w:r>
        <w:rPr>
          <w:szCs w:val="24"/>
        </w:rPr>
        <w:t>V. S. 1</w:t>
      </w:r>
      <w:r w:rsidRPr="00C00255">
        <w:rPr>
          <w:szCs w:val="24"/>
        </w:rPr>
        <w:t xml:space="preserve">, kuris davė užduotį paruošti radiofoninį įrenginį ir atvykti su juo į Šiaurės karinį miestelį, o po to įvykdyti visus įsakymus, kuriuos duos generolas </w:t>
      </w:r>
      <w:r>
        <w:rPr>
          <w:szCs w:val="24"/>
        </w:rPr>
        <w:t>V. U. 1</w:t>
      </w:r>
      <w:r w:rsidRPr="00C00255">
        <w:rPr>
          <w:szCs w:val="24"/>
        </w:rPr>
        <w:t xml:space="preserve"> (t. 651, b. l. 54–62; t. 126, b. l. 276–278). TSRS VRM Vidaus kariuomenės 42-osios divizijos konvojaus pulko ryšių tarnybos viršininkas </w:t>
      </w:r>
      <w:r>
        <w:rPr>
          <w:szCs w:val="24"/>
        </w:rPr>
        <w:t>V. Š. 2</w:t>
      </w:r>
      <w:r w:rsidRPr="00C00255">
        <w:rPr>
          <w:szCs w:val="24"/>
        </w:rPr>
        <w:t xml:space="preserve"> nurodė, kad dalyvaujant įvykiuose prie LRT, iki ryto buvo mašinoje, palaikė ryšį su kariuomenės vadu generolu leitenantu </w:t>
      </w:r>
      <w:r>
        <w:rPr>
          <w:szCs w:val="24"/>
        </w:rPr>
        <w:t>V. S. 1</w:t>
      </w:r>
      <w:r w:rsidRPr="00C00255">
        <w:rPr>
          <w:szCs w:val="24"/>
        </w:rPr>
        <w:t xml:space="preserve"> (t. 640, b. l. 89–98; t. 126, b.</w:t>
      </w:r>
      <w:r>
        <w:rPr>
          <w:szCs w:val="24"/>
        </w:rPr>
        <w:t> </w:t>
      </w:r>
      <w:r w:rsidRPr="00C00255">
        <w:rPr>
          <w:szCs w:val="24"/>
        </w:rPr>
        <w:t>l.</w:t>
      </w:r>
      <w:r>
        <w:rPr>
          <w:szCs w:val="24"/>
        </w:rPr>
        <w:t> </w:t>
      </w:r>
      <w:r w:rsidRPr="00C00255">
        <w:rPr>
          <w:szCs w:val="24"/>
        </w:rPr>
        <w:t>268–270).</w:t>
      </w:r>
      <w:r w:rsidRPr="00C00255">
        <w:rPr>
          <w:rFonts w:eastAsia="Calibri"/>
        </w:rPr>
        <w:t xml:space="preserve"> Šių parodymų </w:t>
      </w:r>
      <w:r w:rsidRPr="00C00255">
        <w:rPr>
          <w:color w:val="000000"/>
          <w:shd w:val="clear" w:color="auto" w:fill="FFFFFF"/>
        </w:rPr>
        <w:t xml:space="preserve">perskaitymas </w:t>
      </w:r>
      <w:r w:rsidRPr="00C00255">
        <w:rPr>
          <w:szCs w:val="24"/>
        </w:rPr>
        <w:t>2016 m. kovo 3 d.</w:t>
      </w:r>
      <w:r w:rsidRPr="00C00255">
        <w:rPr>
          <w:color w:val="000000"/>
          <w:shd w:val="clear" w:color="auto" w:fill="FFFFFF"/>
        </w:rPr>
        <w:t xml:space="preserve"> vykusiame teisiamajame posėdyje (</w:t>
      </w:r>
      <w:r w:rsidRPr="00C00255">
        <w:rPr>
          <w:szCs w:val="24"/>
        </w:rPr>
        <w:t>t. 756, b. l. 33–35)</w:t>
      </w:r>
      <w:r w:rsidRPr="00C00255">
        <w:rPr>
          <w:color w:val="000000"/>
          <w:shd w:val="clear" w:color="auto" w:fill="FFFFFF"/>
        </w:rPr>
        <w:t xml:space="preserve"> ir analizė, bendrame bylos duomenų kontekste, galėjo turėti reikšmės formuojantis teismo vidiniam įsitikinimui ir galutiniam įrodymų įvertinimui </w:t>
      </w:r>
      <w:r w:rsidRPr="00C00255">
        <w:t>(LAT</w:t>
      </w:r>
      <w:r>
        <w:t> </w:t>
      </w:r>
      <w:r w:rsidRPr="00C00255">
        <w:t>nutartis baudžiamojoje byloje Nr. 2K-79-697/2020).</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lang w:eastAsia="lt-LT"/>
        </w:rPr>
        <w:t xml:space="preserve">Visų šių aplinkybių kontekste, turint omenyje ir faktus </w:t>
      </w:r>
      <w:r w:rsidRPr="00C00255">
        <w:rPr>
          <w:rFonts w:eastAsia="Calibri"/>
          <w:szCs w:val="24"/>
        </w:rPr>
        <w:t xml:space="preserve">apie </w:t>
      </w:r>
      <w:r>
        <w:rPr>
          <w:rFonts w:eastAsia="Calibri"/>
          <w:szCs w:val="24"/>
        </w:rPr>
        <w:t>V. S. 1</w:t>
      </w:r>
      <w:r w:rsidRPr="00C00255">
        <w:rPr>
          <w:rFonts w:eastAsia="Calibri"/>
          <w:szCs w:val="24"/>
        </w:rPr>
        <w:t xml:space="preserve"> dalyvavimą </w:t>
      </w:r>
      <w:r w:rsidRPr="00C00255">
        <w:rPr>
          <w:color w:val="000000"/>
          <w:szCs w:val="24"/>
        </w:rPr>
        <w:t>planuojant ir koordinuojant karinę operaciją</w:t>
      </w:r>
      <w:r w:rsidRPr="00C00255">
        <w:rPr>
          <w:rFonts w:eastAsia="Calibri"/>
          <w:szCs w:val="24"/>
        </w:rPr>
        <w:t xml:space="preserve">, užimtas aukštas jo pareigos, taip pat </w:t>
      </w:r>
      <w:r w:rsidRPr="00C00255">
        <w:rPr>
          <w:color w:val="000000"/>
        </w:rPr>
        <w:t>užduočių skirstymą pavaldumo tvarka paklūstantiems kariškiams</w:t>
      </w:r>
      <w:r w:rsidRPr="00C00255">
        <w:rPr>
          <w:rFonts w:eastAsia="Calibri"/>
        </w:rPr>
        <w:t xml:space="preserve">, apygardos teismo išvada apie </w:t>
      </w:r>
      <w:r>
        <w:rPr>
          <w:rFonts w:eastAsia="Calibri"/>
        </w:rPr>
        <w:t>V. S. 1</w:t>
      </w:r>
      <w:r w:rsidRPr="00C00255">
        <w:rPr>
          <w:rFonts w:eastAsia="Calibri"/>
        </w:rPr>
        <w:t xml:space="preserve"> </w:t>
      </w:r>
      <w:r w:rsidRPr="00C00255">
        <w:t>vadovaujamą vaidmenį, užimant LRT, pasitvirtino visa apimtimi ir teisėjų kolegijai abejonių nekelia.</w:t>
      </w:r>
    </w:p>
    <w:p w:rsidR="00DA38E9" w:rsidRPr="00C00255" w:rsidRDefault="00DA38E9" w:rsidP="00DA38E9">
      <w:pPr>
        <w:pStyle w:val="Heading4"/>
        <w:spacing w:before="120" w:after="120"/>
        <w:ind w:firstLine="992"/>
        <w:rPr>
          <w:rFonts w:ascii="Times New Roman" w:hAnsi="Times New Roman"/>
          <w:b w:val="0"/>
          <w:i/>
          <w:color w:val="000000"/>
          <w:sz w:val="24"/>
          <w:szCs w:val="24"/>
        </w:rPr>
      </w:pPr>
      <w:bookmarkStart w:id="393" w:name="_Toc66697268"/>
      <w:r w:rsidRPr="00C00255">
        <w:rPr>
          <w:rFonts w:ascii="Times New Roman" w:hAnsi="Times New Roman"/>
          <w:b w:val="0"/>
          <w:i/>
          <w:color w:val="000000"/>
          <w:sz w:val="24"/>
          <w:szCs w:val="24"/>
        </w:rPr>
        <w:t xml:space="preserve">Dėl nuteistojo </w:t>
      </w:r>
      <w:r>
        <w:rPr>
          <w:rFonts w:ascii="Times New Roman" w:hAnsi="Times New Roman"/>
          <w:b w:val="0"/>
          <w:i/>
          <w:color w:val="000000"/>
          <w:sz w:val="24"/>
          <w:szCs w:val="24"/>
        </w:rPr>
        <w:t>A. Ž.</w:t>
      </w:r>
      <w:r w:rsidRPr="00C00255">
        <w:rPr>
          <w:rFonts w:ascii="Times New Roman" w:hAnsi="Times New Roman"/>
          <w:b w:val="0"/>
          <w:i/>
          <w:color w:val="000000"/>
          <w:sz w:val="24"/>
          <w:szCs w:val="24"/>
        </w:rPr>
        <w:t xml:space="preserve"> </w:t>
      </w:r>
      <w:r w:rsidRPr="00C00255">
        <w:rPr>
          <w:rFonts w:ascii="Times New Roman" w:hAnsi="Times New Roman"/>
          <w:b w:val="0"/>
          <w:i/>
          <w:sz w:val="24"/>
          <w:szCs w:val="24"/>
        </w:rPr>
        <w:t xml:space="preserve">dalyvavimo </w:t>
      </w:r>
      <w:r w:rsidRPr="00C00255">
        <w:rPr>
          <w:rFonts w:ascii="Times New Roman" w:hAnsi="Times New Roman"/>
          <w:b w:val="0"/>
          <w:i/>
          <w:color w:val="000000"/>
          <w:sz w:val="24"/>
          <w:szCs w:val="24"/>
        </w:rPr>
        <w:t>užimant LRT</w:t>
      </w:r>
      <w:bookmarkEnd w:id="393"/>
      <w:r w:rsidRPr="00C00255">
        <w:rPr>
          <w:rFonts w:ascii="Times New Roman" w:hAnsi="Times New Roman"/>
          <w:b w:val="0"/>
          <w:i/>
          <w:color w:val="000000"/>
          <w:sz w:val="24"/>
          <w:szCs w:val="24"/>
        </w:rPr>
        <w:t xml:space="preserve"> </w:t>
      </w:r>
    </w:p>
    <w:p w:rsidR="00DA38E9" w:rsidRPr="00055544" w:rsidRDefault="00DA38E9" w:rsidP="00DA38E9">
      <w:pPr>
        <w:pStyle w:val="ListParagraph"/>
        <w:numPr>
          <w:ilvl w:val="0"/>
          <w:numId w:val="6"/>
        </w:numPr>
        <w:spacing w:before="120" w:after="120"/>
        <w:ind w:left="993" w:hanging="993"/>
        <w:contextualSpacing w:val="0"/>
        <w:rPr>
          <w:szCs w:val="24"/>
          <w:lang w:eastAsia="lt-LT" w:bidi="lt-LT"/>
        </w:rPr>
      </w:pPr>
      <w:bookmarkStart w:id="394" w:name="_Hlk61877606"/>
      <w:r w:rsidRPr="00055544">
        <w:rPr>
          <w:szCs w:val="24"/>
          <w:lang w:eastAsia="lt-LT"/>
        </w:rPr>
        <w:t xml:space="preserve">Teisėjų kolegija sutinka su pirmosios instancijos teismo išvada, kad TSRS VRM Vidaus kariuomenės 42-osios divizijos </w:t>
      </w:r>
      <w:bookmarkStart w:id="395" w:name="_Hlk65574433"/>
      <w:r w:rsidRPr="00055544">
        <w:rPr>
          <w:szCs w:val="24"/>
        </w:rPr>
        <w:t>(dokumentuose taip pat nurodoma ir kaip 3404 divizija)</w:t>
      </w:r>
      <w:bookmarkEnd w:id="395"/>
      <w:r w:rsidRPr="00055544">
        <w:rPr>
          <w:szCs w:val="24"/>
        </w:rPr>
        <w:t xml:space="preserve"> vadas generolas majoras A. Ž.</w:t>
      </w:r>
      <w:r w:rsidRPr="00055544">
        <w:rPr>
          <w:szCs w:val="24"/>
          <w:lang w:eastAsia="lt-LT"/>
        </w:rPr>
        <w:t xml:space="preserve"> vadovavo ir </w:t>
      </w:r>
      <w:bookmarkStart w:id="396" w:name="_Hlk65427553"/>
      <w:r w:rsidRPr="00055544">
        <w:rPr>
          <w:szCs w:val="24"/>
          <w:lang w:eastAsia="lt-LT"/>
        </w:rPr>
        <w:t xml:space="preserve">kartu su keliais kitais vadovavimo karinei operacijai štabo nariais koordinavo </w:t>
      </w:r>
      <w:bookmarkStart w:id="397" w:name="_Hlk63104500"/>
      <w:r w:rsidRPr="00055544">
        <w:rPr>
          <w:szCs w:val="24"/>
          <w:lang w:eastAsia="lt-LT"/>
        </w:rPr>
        <w:t xml:space="preserve">bendrus kariškių </w:t>
      </w:r>
      <w:bookmarkEnd w:id="396"/>
      <w:r w:rsidRPr="00055544">
        <w:rPr>
          <w:szCs w:val="24"/>
          <w:lang w:eastAsia="lt-LT"/>
        </w:rPr>
        <w:t xml:space="preserve">veiksmus </w:t>
      </w:r>
      <w:bookmarkEnd w:id="397"/>
      <w:r w:rsidRPr="00055544">
        <w:rPr>
          <w:szCs w:val="24"/>
          <w:lang w:eastAsia="lt-LT"/>
        </w:rPr>
        <w:t xml:space="preserve">operacijos prie LRT metu </w:t>
      </w:r>
      <w:r w:rsidRPr="00055544">
        <w:rPr>
          <w:lang w:eastAsia="lt-LT"/>
        </w:rPr>
        <w:t>(žr. </w:t>
      </w:r>
      <w:r w:rsidRPr="00055544">
        <w:t>nuosprendžio 15; 514–520 l.)</w:t>
      </w:r>
      <w:r w:rsidRPr="00055544">
        <w:rPr>
          <w:rFonts w:eastAsia="Calibri"/>
          <w:szCs w:val="24"/>
        </w:rPr>
        <w:t>.</w:t>
      </w:r>
      <w:r w:rsidRPr="00055544">
        <w:rPr>
          <w:szCs w:val="24"/>
          <w:lang w:eastAsia="lt-LT"/>
        </w:rPr>
        <w:t xml:space="preserve"> </w:t>
      </w:r>
      <w:r w:rsidRPr="00055544">
        <w:rPr>
          <w:bCs/>
          <w:szCs w:val="24"/>
        </w:rPr>
        <w:t xml:space="preserve">Gynėjo teigimu, byloje nepateikta jokių A. Ž. kaltę pagrindžiančių įrodymų, o </w:t>
      </w:r>
      <w:r w:rsidRPr="00055544">
        <w:rPr>
          <w:szCs w:val="24"/>
          <w:lang w:eastAsia="lt-LT" w:bidi="lt-LT"/>
        </w:rPr>
        <w:t xml:space="preserve">nuosprendis negalėjo būti grindžiamas </w:t>
      </w:r>
      <w:r w:rsidRPr="00055544">
        <w:t>kaltinamųjų parodymais, nes nei vienas iš A. Ž. pavaldžių nuteistųjų teisiamajame posėdyje apklaustas nebuvo.</w:t>
      </w:r>
      <w:r w:rsidRPr="00055544">
        <w:rPr>
          <w:szCs w:val="24"/>
        </w:rPr>
        <w:t xml:space="preserve"> Kaip matyti, skundžiamame nuosprendyje išvada </w:t>
      </w:r>
      <w:r w:rsidRPr="00055544">
        <w:rPr>
          <w:szCs w:val="24"/>
          <w:lang w:bidi="lt-LT"/>
        </w:rPr>
        <w:t xml:space="preserve">dėl A. Ž. vadovaujančio vaidmens LRT užėmimo metu, iš esmės </w:t>
      </w:r>
      <w:r w:rsidRPr="00055544">
        <w:rPr>
          <w:szCs w:val="24"/>
        </w:rPr>
        <w:t xml:space="preserve">grįsta liudytojų – kariškių </w:t>
      </w:r>
      <w:r w:rsidRPr="00055544">
        <w:t xml:space="preserve">R. M., H. N., S. S., A. L. </w:t>
      </w:r>
      <w:r w:rsidRPr="00055544">
        <w:rPr>
          <w:szCs w:val="24"/>
        </w:rPr>
        <w:t xml:space="preserve">parodymais ir rašytine bylos medžiaga (žr. nuosprendžio 773–780 l., t. 772, b. l. 173–180). </w:t>
      </w:r>
      <w:r w:rsidRPr="00055544">
        <w:rPr>
          <w:szCs w:val="24"/>
          <w:lang w:bidi="lt-LT"/>
        </w:rPr>
        <w:t>Šių apeliacinio skundo argumentų kontekste, teisėjų kolegija, įvertinusi byloje pateiktus duomenis, konstatuoja, kad apygardos teismo išvados yra pagrįstos ir teisingos bei, priešingai nei teigia nuteistojo A. Ž. gynėjas, jas patvirtina abejonių savo objektyvumu nekeliančių įrodymų visuma.</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rPr>
        <w:t xml:space="preserve">Teisėjų kolegijai nekyla abejonių, kad įvykių metu </w:t>
      </w:r>
      <w:r>
        <w:rPr>
          <w:szCs w:val="24"/>
        </w:rPr>
        <w:t>A. Ž.</w:t>
      </w:r>
      <w:r w:rsidRPr="00C00255">
        <w:rPr>
          <w:szCs w:val="24"/>
        </w:rPr>
        <w:t xml:space="preserve"> buvo </w:t>
      </w:r>
      <w:bookmarkStart w:id="398" w:name="_Hlk62477575"/>
      <w:bookmarkStart w:id="399" w:name="_Hlk62477537"/>
      <w:r w:rsidRPr="00C00255">
        <w:rPr>
          <w:szCs w:val="24"/>
        </w:rPr>
        <w:t xml:space="preserve">TSRS VRM Vidaus kariuomenės 42-osios </w:t>
      </w:r>
      <w:bookmarkStart w:id="400" w:name="_Hlk62477834"/>
      <w:r w:rsidRPr="00C00255">
        <w:rPr>
          <w:szCs w:val="24"/>
        </w:rPr>
        <w:t>divizijos</w:t>
      </w:r>
      <w:bookmarkEnd w:id="398"/>
      <w:r w:rsidRPr="00C00255">
        <w:rPr>
          <w:szCs w:val="24"/>
        </w:rPr>
        <w:t xml:space="preserve"> </w:t>
      </w:r>
      <w:bookmarkEnd w:id="399"/>
      <w:bookmarkEnd w:id="400"/>
      <w:r w:rsidRPr="00C00255">
        <w:rPr>
          <w:szCs w:val="24"/>
        </w:rPr>
        <w:t xml:space="preserve">vadas. Tai konstatuota tiek 2014 m. birželio 10 d. specialisto išvadoje (t. 480, b. l. 43), tiek teisiamajame posėdyje apklaustų liudytojų </w:t>
      </w:r>
      <w:bookmarkStart w:id="401" w:name="_Hlk61891296"/>
      <w:r w:rsidRPr="00C00255">
        <w:rPr>
          <w:szCs w:val="24"/>
        </w:rPr>
        <w:t>–</w:t>
      </w:r>
      <w:bookmarkEnd w:id="401"/>
      <w:r w:rsidRPr="00C00255">
        <w:rPr>
          <w:szCs w:val="24"/>
        </w:rPr>
        <w:t xml:space="preserve"> TSRS VRM Vidaus kariuomenės 42-osios divizijos ginklų sandėlio viršininko </w:t>
      </w:r>
      <w:r>
        <w:rPr>
          <w:szCs w:val="24"/>
        </w:rPr>
        <w:t>H. N.</w:t>
      </w:r>
      <w:r w:rsidRPr="00C00255">
        <w:rPr>
          <w:szCs w:val="24"/>
        </w:rPr>
        <w:t xml:space="preserve">, TSRS VRM Vidaus kariuomenės 42-osios divizijos artilerinės ginkluotės tarnybos viršininko </w:t>
      </w:r>
      <w:r>
        <w:rPr>
          <w:szCs w:val="24"/>
        </w:rPr>
        <w:t>R. M.</w:t>
      </w:r>
      <w:r w:rsidRPr="00C00255">
        <w:rPr>
          <w:szCs w:val="24"/>
        </w:rPr>
        <w:t xml:space="preserve"> parodymais </w:t>
      </w:r>
      <w:bookmarkStart w:id="402" w:name="_Hlk62494893"/>
      <w:r w:rsidRPr="00C00255">
        <w:rPr>
          <w:szCs w:val="24"/>
        </w:rPr>
        <w:t>(t. 760, b. l. 140</w:t>
      </w:r>
      <w:bookmarkStart w:id="403" w:name="_Hlk62332668"/>
      <w:r w:rsidRPr="00C00255">
        <w:rPr>
          <w:szCs w:val="24"/>
        </w:rPr>
        <w:t>–</w:t>
      </w:r>
      <w:bookmarkEnd w:id="403"/>
      <w:r w:rsidRPr="00C00255">
        <w:rPr>
          <w:szCs w:val="24"/>
        </w:rPr>
        <w:t xml:space="preserve">141, 141–142). </w:t>
      </w:r>
      <w:bookmarkEnd w:id="402"/>
      <w:r>
        <w:rPr>
          <w:szCs w:val="24"/>
          <w:lang w:eastAsia="lt-LT"/>
        </w:rPr>
        <w:t>A. Ž.</w:t>
      </w:r>
      <w:r w:rsidRPr="00C00255">
        <w:rPr>
          <w:szCs w:val="24"/>
          <w:lang w:eastAsia="lt-LT"/>
        </w:rPr>
        <w:t xml:space="preserve">, kaip buvusį </w:t>
      </w:r>
      <w:r w:rsidRPr="00C00255">
        <w:rPr>
          <w:szCs w:val="24"/>
        </w:rPr>
        <w:t xml:space="preserve">TSRS VRM Vidaus kariuomenės 42-osios divizijos </w:t>
      </w:r>
      <w:r w:rsidRPr="00C00255">
        <w:rPr>
          <w:szCs w:val="24"/>
          <w:lang w:eastAsia="lt-LT"/>
        </w:rPr>
        <w:t xml:space="preserve">vadą, atpažino ir įvardijo liudytojai </w:t>
      </w:r>
      <w:r>
        <w:t>A. L.</w:t>
      </w:r>
      <w:r w:rsidRPr="00C00255">
        <w:t xml:space="preserve"> </w:t>
      </w:r>
      <w:r w:rsidRPr="00C00255">
        <w:rPr>
          <w:szCs w:val="24"/>
          <w:lang w:eastAsia="lt-LT"/>
        </w:rPr>
        <w:t>(</w:t>
      </w:r>
      <w:r w:rsidRPr="00C00255">
        <w:t>t. 477, b.</w:t>
      </w:r>
      <w:r>
        <w:t> </w:t>
      </w:r>
      <w:r w:rsidRPr="00C00255">
        <w:t>l.</w:t>
      </w:r>
      <w:r>
        <w:t> </w:t>
      </w:r>
      <w:r w:rsidRPr="00C00255">
        <w:t>179</w:t>
      </w:r>
      <w:bookmarkStart w:id="404" w:name="_Hlk62474058"/>
      <w:r w:rsidRPr="00C00255">
        <w:rPr>
          <w:szCs w:val="24"/>
          <w:lang w:eastAsia="lt-LT"/>
        </w:rPr>
        <w:t>–</w:t>
      </w:r>
      <w:bookmarkEnd w:id="404"/>
      <w:r w:rsidRPr="00C00255">
        <w:t>183</w:t>
      </w:r>
      <w:r w:rsidRPr="00C00255">
        <w:rPr>
          <w:szCs w:val="24"/>
          <w:lang w:eastAsia="lt-LT"/>
        </w:rPr>
        <w:t xml:space="preserve">) bei </w:t>
      </w:r>
      <w:r>
        <w:t>S. S.</w:t>
      </w:r>
      <w:r w:rsidR="00B822BF">
        <w:t xml:space="preserve"> (t. 477, b. l. </w:t>
      </w:r>
      <w:r w:rsidRPr="00C00255">
        <w:t>230</w:t>
      </w:r>
      <w:r w:rsidRPr="00C00255">
        <w:rPr>
          <w:szCs w:val="24"/>
          <w:lang w:eastAsia="lt-LT"/>
        </w:rPr>
        <w:t>–</w:t>
      </w:r>
      <w:r w:rsidRPr="00C00255">
        <w:t>234)</w:t>
      </w:r>
      <w:r w:rsidRPr="00C00255">
        <w:rPr>
          <w:szCs w:val="24"/>
          <w:lang w:eastAsia="lt-LT"/>
        </w:rPr>
        <w:t xml:space="preserve">. Be to, </w:t>
      </w:r>
      <w:r>
        <w:rPr>
          <w:szCs w:val="24"/>
        </w:rPr>
        <w:t>A. Ž.</w:t>
      </w:r>
      <w:r w:rsidRPr="00C00255">
        <w:rPr>
          <w:szCs w:val="24"/>
        </w:rPr>
        <w:t xml:space="preserve"> užimtų pareigų 1991</w:t>
      </w:r>
      <w:r>
        <w:rPr>
          <w:szCs w:val="24"/>
        </w:rPr>
        <w:t> </w:t>
      </w:r>
      <w:r w:rsidRPr="00C00255">
        <w:rPr>
          <w:szCs w:val="24"/>
        </w:rPr>
        <w:t>m.</w:t>
      </w:r>
      <w:r>
        <w:rPr>
          <w:szCs w:val="24"/>
        </w:rPr>
        <w:t> </w:t>
      </w:r>
      <w:r w:rsidRPr="00C00255">
        <w:rPr>
          <w:szCs w:val="24"/>
        </w:rPr>
        <w:t xml:space="preserve">sausio įvykių metu neginčija ir jo gynėjas. </w:t>
      </w:r>
    </w:p>
    <w:p w:rsidR="00DA38E9" w:rsidRPr="00B822BF" w:rsidRDefault="00DA38E9" w:rsidP="00DA38E9">
      <w:pPr>
        <w:pStyle w:val="ListParagraph"/>
        <w:numPr>
          <w:ilvl w:val="0"/>
          <w:numId w:val="6"/>
        </w:numPr>
        <w:spacing w:before="120" w:after="120"/>
        <w:ind w:left="993" w:hanging="993"/>
        <w:contextualSpacing w:val="0"/>
      </w:pPr>
      <w:r w:rsidRPr="00C00255">
        <w:rPr>
          <w:szCs w:val="24"/>
          <w:lang w:eastAsia="lt-LT"/>
        </w:rPr>
        <w:t xml:space="preserve">Apie </w:t>
      </w:r>
      <w:r>
        <w:rPr>
          <w:szCs w:val="24"/>
          <w:lang w:eastAsia="lt-LT"/>
        </w:rPr>
        <w:t>A. Ž.</w:t>
      </w:r>
      <w:r w:rsidRPr="00C00255">
        <w:rPr>
          <w:szCs w:val="24"/>
          <w:lang w:eastAsia="lt-LT"/>
        </w:rPr>
        <w:t xml:space="preserve"> dalyvavimą bei jo veiksmus </w:t>
      </w:r>
      <w:r w:rsidRPr="00B822BF">
        <w:rPr>
          <w:rFonts w:eastAsia="Calibri"/>
        </w:rPr>
        <w:t>planuojant ir koordinuojant karinę operaciją, pirmiausia patvirtina šio teismo sprendimo dalyje</w:t>
      </w:r>
      <w:r w:rsidRPr="00C00255">
        <w:rPr>
          <w:rFonts w:eastAsia="Calibri"/>
          <w:i/>
          <w:iCs/>
          <w:szCs w:val="24"/>
        </w:rPr>
        <w:t xml:space="preserve"> „Dėl pirmosios instancijos teismo išvadų vertinant </w:t>
      </w:r>
      <w:r w:rsidRPr="00C00255">
        <w:rPr>
          <w:i/>
          <w:iCs/>
          <w:szCs w:val="24"/>
        </w:rPr>
        <w:t xml:space="preserve">TSRS </w:t>
      </w:r>
      <w:r w:rsidRPr="00C00255">
        <w:rPr>
          <w:i/>
          <w:szCs w:val="24"/>
        </w:rPr>
        <w:t>VRM ir jai pavaldžių dalinių bei nuteistųjų N.</w:t>
      </w:r>
      <w:r>
        <w:rPr>
          <w:i/>
          <w:szCs w:val="24"/>
        </w:rPr>
        <w:t> D.</w:t>
      </w:r>
      <w:r w:rsidRPr="00C00255">
        <w:rPr>
          <w:i/>
          <w:szCs w:val="24"/>
        </w:rPr>
        <w:t xml:space="preserve">, </w:t>
      </w:r>
      <w:r>
        <w:rPr>
          <w:i/>
          <w:szCs w:val="24"/>
        </w:rPr>
        <w:t>V. S. 1</w:t>
      </w:r>
      <w:r w:rsidRPr="00C00255">
        <w:rPr>
          <w:i/>
          <w:szCs w:val="24"/>
        </w:rPr>
        <w:t xml:space="preserve"> ir </w:t>
      </w:r>
      <w:r>
        <w:rPr>
          <w:i/>
          <w:szCs w:val="24"/>
        </w:rPr>
        <w:t>A. Ž.</w:t>
      </w:r>
      <w:r w:rsidRPr="00C00255">
        <w:rPr>
          <w:i/>
          <w:szCs w:val="24"/>
        </w:rPr>
        <w:t xml:space="preserve"> </w:t>
      </w:r>
      <w:r w:rsidRPr="00C00255">
        <w:rPr>
          <w:rFonts w:eastAsia="Calibri"/>
          <w:i/>
          <w:iCs/>
          <w:szCs w:val="24"/>
        </w:rPr>
        <w:t>veiksmus</w:t>
      </w:r>
      <w:r w:rsidRPr="00C00255">
        <w:t xml:space="preserve"> </w:t>
      </w:r>
      <w:r w:rsidRPr="00C00255">
        <w:rPr>
          <w:rFonts w:eastAsia="Calibri"/>
          <w:i/>
          <w:iCs/>
          <w:szCs w:val="24"/>
        </w:rPr>
        <w:t xml:space="preserve">planuojant karinę operaciją“ </w:t>
      </w:r>
      <w:r w:rsidRPr="00B822BF">
        <w:rPr>
          <w:rFonts w:eastAsia="Calibri"/>
        </w:rPr>
        <w:t xml:space="preserve">aptarta įrodymų visuma, t. y. šioje sprendimo dalyje konstatuota, kad </w:t>
      </w:r>
      <w:r w:rsidRPr="00B822BF">
        <w:t xml:space="preserve">TSRS VRM Vidaus kariuomenės 42-osios divizijos vadas A. Ž. davė nurodymus jam pavaldžiam karininkui S. F. dėl tiesioginio dalyvavimo operacijoje bei konkrečių veiksmų atlikimo. </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t xml:space="preserve">Šiame kontekste, teisėjų kolegija pažymi, kad nagrinėjamoje baudžiamojoje byloje neginčijamai nustatyta (apeliacinis skundas dėl </w:t>
      </w:r>
      <w:r>
        <w:t>S. F.</w:t>
      </w:r>
      <w:r w:rsidRPr="00C00255">
        <w:t xml:space="preserve"> veiksmų nepaduotas), kad </w:t>
      </w:r>
      <w:r w:rsidRPr="00C00255">
        <w:rPr>
          <w:szCs w:val="24"/>
        </w:rPr>
        <w:t xml:space="preserve">VRM padaliniams operacijoje prie LRT vadovavo būtent TSRS VRM Vidaus kariuomenės 42-osios divizijos konvojaus pulko vadas papulkininkis </w:t>
      </w:r>
      <w:r>
        <w:rPr>
          <w:szCs w:val="24"/>
        </w:rPr>
        <w:t>S. F.</w:t>
      </w:r>
      <w:r w:rsidRPr="00C00255">
        <w:rPr>
          <w:szCs w:val="24"/>
        </w:rPr>
        <w:t xml:space="preserve">, kurį vadovauti operacijai paskyrė </w:t>
      </w:r>
      <w:r>
        <w:rPr>
          <w:szCs w:val="24"/>
        </w:rPr>
        <w:t>A. Ž.</w:t>
      </w:r>
      <w:r w:rsidRPr="00C00255">
        <w:rPr>
          <w:szCs w:val="24"/>
        </w:rPr>
        <w:t>. 2014 m. birželio 10 d. specialisto išvadoje karybos techniką, taktiką ir metodiką išmanantis specialistas J. Andriškevičius, įvertinęs byloje surinktus duomenis, taip pat konstatavo, kad Vilniaus kariniame Šiaurės miestelyje detalių operacijos klausimų sprendimui buvo sukurtas vadovavimo štabas. Operacijos planavimas ir vykdymas buvo koordinuojamas ir derinamas nuo vadovavimo piramidės viršūnės iki smulkiausių padalinių. Įgyvendinant karinių veiksmų bendrą sumanymą pagal svarbių objektų užėmimo planus 1991</w:t>
      </w:r>
      <w:r>
        <w:rPr>
          <w:szCs w:val="24"/>
        </w:rPr>
        <w:t> </w:t>
      </w:r>
      <w:r w:rsidRPr="00C00255">
        <w:rPr>
          <w:szCs w:val="24"/>
        </w:rPr>
        <w:t xml:space="preserve">m. sausio 13 d. naktį kariniame Šiaurės miestelyje buvo sutelkti kariniai daliniai, dalyvaujantys taip pat ir LRT užėmime, kur atvyko ir VRM padalinys, vadovaujamas </w:t>
      </w:r>
      <w:r>
        <w:rPr>
          <w:szCs w:val="24"/>
        </w:rPr>
        <w:t>S. F.</w:t>
      </w:r>
      <w:r w:rsidRPr="00C00255">
        <w:rPr>
          <w:szCs w:val="24"/>
        </w:rPr>
        <w:t xml:space="preserve">. Specialisto išvadoje taip pat nurodyta, kad </w:t>
      </w:r>
      <w:bookmarkStart w:id="405" w:name="_Hlk64063188"/>
      <w:r w:rsidRPr="00C00255">
        <w:rPr>
          <w:szCs w:val="24"/>
        </w:rPr>
        <w:t xml:space="preserve">VRM padaliniams operacijoje vadovavo </w:t>
      </w:r>
      <w:bookmarkStart w:id="406" w:name="_Hlk64067477"/>
      <w:bookmarkStart w:id="407" w:name="_Hlk61888728"/>
      <w:r w:rsidRPr="00C00255">
        <w:rPr>
          <w:szCs w:val="24"/>
        </w:rPr>
        <w:t xml:space="preserve">TSRS VRM Vidaus kariuomenės 42-osios divizijos </w:t>
      </w:r>
      <w:bookmarkEnd w:id="406"/>
      <w:r w:rsidRPr="00C00255">
        <w:rPr>
          <w:szCs w:val="24"/>
        </w:rPr>
        <w:t>konvojaus pulko vadas papulkininkis</w:t>
      </w:r>
      <w:bookmarkEnd w:id="407"/>
      <w:r w:rsidRPr="00C00255">
        <w:rPr>
          <w:szCs w:val="24"/>
        </w:rPr>
        <w:t xml:space="preserve"> </w:t>
      </w:r>
      <w:r>
        <w:rPr>
          <w:szCs w:val="24"/>
        </w:rPr>
        <w:t>S. F.</w:t>
      </w:r>
      <w:r w:rsidRPr="00C00255">
        <w:rPr>
          <w:szCs w:val="24"/>
        </w:rPr>
        <w:t xml:space="preserve"> </w:t>
      </w:r>
      <w:bookmarkEnd w:id="405"/>
      <w:r w:rsidRPr="00C00255">
        <w:rPr>
          <w:szCs w:val="24"/>
        </w:rPr>
        <w:t xml:space="preserve">bei </w:t>
      </w:r>
      <w:bookmarkStart w:id="408" w:name="_Hlk62473836"/>
      <w:r w:rsidRPr="00C00255">
        <w:rPr>
          <w:szCs w:val="24"/>
        </w:rPr>
        <w:t xml:space="preserve">TSRS VRM Vidaus kariuomenės 42-osios divizijos </w:t>
      </w:r>
      <w:bookmarkEnd w:id="408"/>
      <w:r w:rsidRPr="00C00255">
        <w:rPr>
          <w:szCs w:val="24"/>
        </w:rPr>
        <w:t xml:space="preserve">konvojaus pulko </w:t>
      </w:r>
      <w:r w:rsidRPr="00C00255">
        <w:t>mokomosios specialiosios paskirties kuopos</w:t>
      </w:r>
      <w:r w:rsidRPr="00C00255">
        <w:rPr>
          <w:szCs w:val="24"/>
        </w:rPr>
        <w:t xml:space="preserve"> vadas vyresnysis leitenantas </w:t>
      </w:r>
      <w:r>
        <w:rPr>
          <w:szCs w:val="24"/>
        </w:rPr>
        <w:t>O. M.</w:t>
      </w:r>
      <w:r w:rsidRPr="00C00255">
        <w:rPr>
          <w:szCs w:val="24"/>
        </w:rPr>
        <w:t xml:space="preserve"> </w:t>
      </w:r>
      <w:r w:rsidRPr="00C00255">
        <w:t>(t. 480, b. l. 43</w:t>
      </w:r>
      <w:r w:rsidRPr="00C00255">
        <w:rPr>
          <w:szCs w:val="24"/>
        </w:rPr>
        <w:t>–</w:t>
      </w:r>
      <w:r w:rsidRPr="00C00255">
        <w:t xml:space="preserve">45, 52). </w:t>
      </w:r>
    </w:p>
    <w:p w:rsidR="00DA38E9" w:rsidRPr="00B822BF" w:rsidRDefault="00DA38E9" w:rsidP="00DA38E9">
      <w:pPr>
        <w:pStyle w:val="ListParagraph"/>
        <w:numPr>
          <w:ilvl w:val="0"/>
          <w:numId w:val="6"/>
        </w:numPr>
        <w:spacing w:before="120" w:after="120"/>
        <w:ind w:left="993" w:hanging="993"/>
        <w:contextualSpacing w:val="0"/>
      </w:pPr>
      <w:r w:rsidRPr="00055544">
        <w:t xml:space="preserve">Išvadą, kad tiriamų įvykių metu A. Ž. vadovavo ir kartu su vadovavimo karinei operacijai štabo nariais koordinavo bendrus kariškių veiksmus prie LRT bei jam buvo žinomos šios operacijos vykdymo aplinkybės, patvirtina teisiamajame posėdyje apklausto </w:t>
      </w:r>
      <w:bookmarkStart w:id="409" w:name="_Hlk61893490"/>
      <w:r w:rsidRPr="00055544">
        <w:rPr>
          <w:rFonts w:eastAsia="Calibri"/>
        </w:rPr>
        <w:t xml:space="preserve">TSRS VRM Vidaus kariuomenės 42-osios divizijos artilerinės ginkluotės tarnybos viršininko </w:t>
      </w:r>
      <w:bookmarkEnd w:id="409"/>
      <w:r w:rsidRPr="00055544">
        <w:rPr>
          <w:rFonts w:eastAsia="Calibri"/>
        </w:rPr>
        <w:t xml:space="preserve">R. M. parodymai, kuriuose jis nurodė, kad 1991 m. sausio 13 d. naktį jį buvo iškvietęs A. Ž. ir jam (R. M.) liepė nuvykti į vietą, kur veikia „jų“ padalinys ir patikrinti situaciją, nes kilo problemų su ryšiu, todėl nėra galimybės jam sužinoti, kokia situacija yra įvykio vietoje. Taip pat A. Ž. jam liepė, paėmus iš sandėlio, S. F. nuvežti tuščių šovinių dėžę ir galimai spec. priemonių. Liudytojo teigimu, jis kartu su kitais kariškiais važiavo greitosios pagalbos automobiliu RAF. Atvykus prie </w:t>
      </w:r>
      <w:r w:rsidRPr="00055544">
        <w:t>LRT,</w:t>
      </w:r>
      <w:r w:rsidRPr="00055544">
        <w:rPr>
          <w:rFonts w:eastAsia="Calibri"/>
        </w:rPr>
        <w:t xml:space="preserve"> prie jo priėjo kuopos vadas O. M., kuriam jis pasakė, kad šoviniai mašinoje. Prie objekto matė ir S. F. (</w:t>
      </w:r>
      <w:r w:rsidRPr="00055544">
        <w:t>t. 760, b. l. 141–142; t. 477, b. l. 7–15; t. 46, b. l. 264</w:t>
      </w:r>
      <w:bookmarkStart w:id="410" w:name="_Hlk62495565"/>
      <w:r w:rsidRPr="00055544">
        <w:t>–</w:t>
      </w:r>
      <w:bookmarkEnd w:id="410"/>
      <w:r w:rsidRPr="00055544">
        <w:t>265).</w:t>
      </w:r>
      <w:r w:rsidRPr="00055544">
        <w:rPr>
          <w:rFonts w:eastAsia="Calibri"/>
        </w:rPr>
        <w:t xml:space="preserve"> Tai, kad 1991 m. sausio 13 d. papildomai iš sandėlio buvo prašoma šovinių ir jų atvyko paimti R. M., </w:t>
      </w:r>
      <w:bookmarkStart w:id="411" w:name="_Hlk65657348"/>
      <w:r w:rsidRPr="00055544">
        <w:rPr>
          <w:rFonts w:eastAsia="Calibri"/>
        </w:rPr>
        <w:t>teisiamojo posėdžio metu nurodė liudytojas TSRS VRM Vidaus kariuomenės 42-osios divizijos ginklų sandėlio viršininkas H. N.</w:t>
      </w:r>
      <w:bookmarkEnd w:id="411"/>
      <w:r w:rsidRPr="00055544">
        <w:rPr>
          <w:rFonts w:eastAsia="Calibri"/>
        </w:rPr>
        <w:t xml:space="preserve"> </w:t>
      </w:r>
      <w:r w:rsidRPr="00055544">
        <w:t xml:space="preserve">(t. 760, b. l. 140–141). Liudytojas </w:t>
      </w:r>
      <w:r w:rsidRPr="00055544">
        <w:rPr>
          <w:rFonts w:eastAsia="Calibri"/>
        </w:rPr>
        <w:t>TSRS VRM Vidaus kariuomenės 42-osios milicijos pulko vadas S. S. teisiamajame posėdyje taip pat nurodė, kad jo pavaduotojas autotechnikai V. R. 1991 m. sausio 13 d. naktį buvo prie LRT, ten vykti nurodymą gavo iš A. Ž. (t. 760, b. l. 143</w:t>
      </w:r>
      <w:r w:rsidRPr="00055544">
        <w:t>–</w:t>
      </w:r>
      <w:r w:rsidRPr="00055544">
        <w:rPr>
          <w:rFonts w:eastAsia="Calibri"/>
        </w:rPr>
        <w:t>144).</w:t>
      </w:r>
      <w:r w:rsidRPr="00B822BF">
        <w:rPr>
          <w:rFonts w:eastAsia="Calibri"/>
        </w:rPr>
        <w:t xml:space="preserve"> </w:t>
      </w:r>
    </w:p>
    <w:p w:rsidR="00DA38E9" w:rsidRPr="003711C2" w:rsidRDefault="00DA38E9" w:rsidP="00DA38E9">
      <w:pPr>
        <w:pStyle w:val="ListParagraph"/>
        <w:numPr>
          <w:ilvl w:val="0"/>
          <w:numId w:val="6"/>
        </w:numPr>
        <w:spacing w:before="120" w:after="120"/>
        <w:ind w:left="993" w:hanging="993"/>
        <w:contextualSpacing w:val="0"/>
      </w:pPr>
      <w:r w:rsidRPr="00055544">
        <w:t xml:space="preserve">Teisėjų kolegijos įsitikinimą apie tai, kad A. Ž. </w:t>
      </w:r>
      <w:bookmarkStart w:id="412" w:name="_Hlk64073122"/>
      <w:r w:rsidRPr="00055544">
        <w:t xml:space="preserve">buvo žinoma tiriamų įvykių metu prie LRT buvusi situacija, formuoja bei jau minėtų įrodymų patikimumą patikrinti leidžia 2017 m. gruodžio 5 d. teisiamajame posėdyje perskaityti ikiteisminio tyrimo metu liudytojais apklaustų kitų LRT užėmime dalyvavusių kariškių parodymai (t. 760, b. l. 153–154). </w:t>
      </w:r>
      <w:bookmarkEnd w:id="412"/>
      <w:r w:rsidRPr="00055544">
        <w:rPr>
          <w:rFonts w:eastAsia="Calibri"/>
        </w:rPr>
        <w:t>Liudytojas vyresnysis telefonistas jefreitorius V. S. nurodė, kad prie LRT važiavo specialiai įrengtu ryšio KŠM. Važiuojant buvo įjungtos visos KŠM radijo stotys. Su radijo stotimi važiavo seržantas V. V., kuris užtikrino KŠM radijo ryšį su jų pulku, su kolona ir Šiaurės miesteliu (t. 439, b. l. 142</w:t>
      </w:r>
      <w:r w:rsidRPr="00055544">
        <w:t>–</w:t>
      </w:r>
      <w:r w:rsidRPr="00055544">
        <w:rPr>
          <w:rFonts w:eastAsia="Calibri"/>
        </w:rPr>
        <w:t>145; t. 126, b. l. 240</w:t>
      </w:r>
      <w:r w:rsidRPr="00055544">
        <w:t>–</w:t>
      </w:r>
      <w:r w:rsidRPr="00055544">
        <w:rPr>
          <w:rFonts w:eastAsia="Calibri"/>
        </w:rPr>
        <w:t>248).</w:t>
      </w:r>
      <w:r w:rsidRPr="00055544">
        <w:t xml:space="preserve"> </w:t>
      </w:r>
      <w:r w:rsidRPr="00055544">
        <w:rPr>
          <w:rFonts w:eastAsia="Calibri"/>
        </w:rPr>
        <w:t xml:space="preserve">Liudytojas KŠM vadas seržantas V. V. nurodė, kad jam buvo priskirta komandinė štabo mašina KŠM, įrengta automobilio GAZ-66 pagrindu, valstybinis numeris Nr. 72-23 KI. 1991 m. sausio 13 d. naktį važiuojant sėdėjo dengtame kėbule </w:t>
      </w:r>
      <w:bookmarkStart w:id="413" w:name="_Hlk64066269"/>
      <w:r w:rsidRPr="00055544">
        <w:rPr>
          <w:rFonts w:eastAsia="Calibri"/>
        </w:rPr>
        <w:t>–</w:t>
      </w:r>
      <w:bookmarkEnd w:id="413"/>
      <w:r w:rsidRPr="00055544">
        <w:rPr>
          <w:rFonts w:eastAsia="Calibri"/>
        </w:rPr>
        <w:t xml:space="preserve"> radisto būdelėje ir užtikrino ryšį su jų pulku. Jų mašina nuvažiavo į Šiaurės miestelį, po to, nuvažiavo prie LRT. Jis palaikė ryšį su jų pulko KŠM, kuri stovėjo kariniame Šiaurės miestelyje (t. 439, b. l. 133–135; t. 126, b. l. 218–222). Apie tai, kad užimant LRT buvo panaudota </w:t>
      </w:r>
      <w:r w:rsidRPr="00055544">
        <w:t xml:space="preserve">štabo vadų mašina (KŠM), nurodyta LRT panaudotos karinės technikos sąraše (t. 438, b. l. 18; t. 125, b. l. 17). </w:t>
      </w:r>
      <w:bookmarkStart w:id="414" w:name="_Hlk64152672"/>
      <w:r w:rsidRPr="00055544">
        <w:t>Teisėjų kolegijos įsitikinimu, aptarti liudytojų parodymai ir rašytiniai bylos įrodymai, atitinka vieni kitus ir atskleidžia nuoseklų A. Ž. atliktų vadovaujamų ir koordinuojamų veiksmų vaizdą</w:t>
      </w:r>
      <w:r w:rsidRPr="00055544">
        <w:rPr>
          <w:rFonts w:eastAsia="Calibri"/>
        </w:rPr>
        <w:t>.</w:t>
      </w:r>
      <w:bookmarkEnd w:id="414"/>
    </w:p>
    <w:p w:rsidR="00DA38E9" w:rsidRPr="003711C2" w:rsidRDefault="00DA38E9" w:rsidP="00DA38E9">
      <w:pPr>
        <w:pStyle w:val="ListParagraph"/>
        <w:numPr>
          <w:ilvl w:val="0"/>
          <w:numId w:val="6"/>
        </w:numPr>
        <w:spacing w:before="120" w:after="120"/>
        <w:ind w:left="993" w:hanging="993"/>
        <w:contextualSpacing w:val="0"/>
      </w:pPr>
      <w:r w:rsidRPr="00055544">
        <w:t xml:space="preserve">Visų šių aplinkybių kontekste, turint omenyje ir faktus </w:t>
      </w:r>
      <w:r w:rsidRPr="00055544">
        <w:rPr>
          <w:rFonts w:eastAsia="Calibri"/>
        </w:rPr>
        <w:t xml:space="preserve">apie A. Ž. dalyvavimą </w:t>
      </w:r>
      <w:r w:rsidRPr="00055544">
        <w:t>planuojant ir koordinuojant karinę operaciją</w:t>
      </w:r>
      <w:r w:rsidRPr="00055544">
        <w:rPr>
          <w:rFonts w:eastAsia="Calibri"/>
        </w:rPr>
        <w:t>, turimą jo karinį laipsnį bei užimtas aukštas pareigas</w:t>
      </w:r>
      <w:r w:rsidRPr="00055544">
        <w:t xml:space="preserve"> TSRS VRM Vidaus kariuomenės 42-ojoje divizijoje</w:t>
      </w:r>
      <w:r w:rsidRPr="00055544">
        <w:rPr>
          <w:rFonts w:eastAsia="Calibri"/>
        </w:rPr>
        <w:t xml:space="preserve">, taip pat </w:t>
      </w:r>
      <w:r w:rsidRPr="00055544">
        <w:t>užduočių skirstymą pavaldumo tvarka paklūstantiems kariškiams</w:t>
      </w:r>
      <w:r w:rsidRPr="00055544">
        <w:rPr>
          <w:rFonts w:eastAsia="Calibri"/>
        </w:rPr>
        <w:t>, teisėjų kolegija sutinka su apygardos teismo išvada apie A. Ž. vadovavimą ir koordinavimą</w:t>
      </w:r>
      <w:r w:rsidRPr="003711C2">
        <w:rPr>
          <w:rFonts w:eastAsia="Calibri"/>
        </w:rPr>
        <w:t xml:space="preserve"> </w:t>
      </w:r>
      <w:r w:rsidRPr="00055544">
        <w:rPr>
          <w:rFonts w:eastAsia="Calibri"/>
        </w:rPr>
        <w:t xml:space="preserve">(palaikant nuolatinį ryšį su tiesiogiai operacijoje dalyvavusiais kariškiais) kariškiams </w:t>
      </w:r>
      <w:r w:rsidRPr="00055544">
        <w:t xml:space="preserve">LRT </w:t>
      </w:r>
      <w:r w:rsidRPr="00055544">
        <w:rPr>
          <w:rFonts w:eastAsia="Calibri"/>
        </w:rPr>
        <w:t>šturmo metu. Nustatytos aplinkybės paneigia gynėjo teiginius apie tai, kad operacijos prie LRT metu A. Ž. vadovaujami kariškiai buvo perduoti kito vadovo žinion.</w:t>
      </w:r>
      <w:r w:rsidRPr="003711C2">
        <w:rPr>
          <w:rFonts w:eastAsia="Calibri"/>
        </w:rPr>
        <w:t xml:space="preserve"> </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3711C2">
        <w:rPr>
          <w:rFonts w:eastAsia="Calibri"/>
        </w:rPr>
        <w:t xml:space="preserve">Teisėjų kolegija, </w:t>
      </w:r>
      <w:r w:rsidRPr="00C00255">
        <w:rPr>
          <w:szCs w:val="24"/>
          <w:lang w:bidi="lt-LT"/>
        </w:rPr>
        <w:t xml:space="preserve">vertindama nuteistojo </w:t>
      </w:r>
      <w:r>
        <w:rPr>
          <w:szCs w:val="24"/>
          <w:lang w:bidi="lt-LT"/>
        </w:rPr>
        <w:t>A. Ž.</w:t>
      </w:r>
      <w:r w:rsidRPr="00C00255">
        <w:rPr>
          <w:szCs w:val="24"/>
          <w:lang w:bidi="lt-LT"/>
        </w:rPr>
        <w:t xml:space="preserve"> gynėjo argumentus dėl nuteistojo veiksmų individualizavimo (nenurodyti nuteistųjų konkretūs veiksmai) ir dėl civilių sužalojimo (nenustatyta, kad VRM kariškiai atliko veiksmus, kuriais buvo nužudytas </w:t>
      </w:r>
      <w:r>
        <w:rPr>
          <w:szCs w:val="24"/>
          <w:lang w:bidi="lt-LT"/>
        </w:rPr>
        <w:t>A. K.</w:t>
      </w:r>
      <w:r w:rsidRPr="00C00255">
        <w:rPr>
          <w:szCs w:val="24"/>
          <w:lang w:bidi="lt-LT"/>
        </w:rPr>
        <w:t xml:space="preserve"> ar sužaloti civiliai), pažymi, kad visi TSRS kariškiai operacijoje veikė koordinuotai ir bendrai, suvokdami, kad kiekvienas savo veiksmais prisidėjo prie bendro tikslo, siekiant užimti strategiškai svarbius objektus. Todėl individualūs </w:t>
      </w:r>
      <w:r>
        <w:rPr>
          <w:szCs w:val="24"/>
          <w:lang w:bidi="lt-LT"/>
        </w:rPr>
        <w:t>A. Ž.</w:t>
      </w:r>
      <w:r w:rsidRPr="00C00255">
        <w:rPr>
          <w:szCs w:val="24"/>
          <w:lang w:bidi="lt-LT"/>
        </w:rPr>
        <w:t xml:space="preserve"> veiksmai negali būti vertinami atsietai nuo visų TSRS kariškių veiksmų ir jais sukeltų padarinių. </w:t>
      </w:r>
    </w:p>
    <w:p w:rsidR="00DA38E9" w:rsidRPr="00C00255" w:rsidRDefault="00DA38E9" w:rsidP="00DA38E9">
      <w:pPr>
        <w:pStyle w:val="Heading4"/>
        <w:spacing w:before="120" w:after="120"/>
        <w:ind w:firstLine="992"/>
        <w:rPr>
          <w:rFonts w:ascii="Times New Roman" w:hAnsi="Times New Roman"/>
          <w:b w:val="0"/>
          <w:i/>
          <w:color w:val="000000"/>
          <w:sz w:val="24"/>
          <w:szCs w:val="24"/>
        </w:rPr>
      </w:pPr>
      <w:bookmarkStart w:id="415" w:name="_Toc66697269"/>
      <w:bookmarkEnd w:id="394"/>
      <w:r w:rsidRPr="00C00255">
        <w:rPr>
          <w:rFonts w:ascii="Times New Roman" w:hAnsi="Times New Roman"/>
          <w:b w:val="0"/>
          <w:i/>
          <w:color w:val="000000"/>
          <w:sz w:val="24"/>
          <w:szCs w:val="24"/>
        </w:rPr>
        <w:t xml:space="preserve">Dėl nuteistojo </w:t>
      </w:r>
      <w:r>
        <w:rPr>
          <w:rFonts w:ascii="Times New Roman" w:hAnsi="Times New Roman"/>
          <w:b w:val="0"/>
          <w:i/>
          <w:color w:val="000000"/>
          <w:sz w:val="24"/>
          <w:szCs w:val="24"/>
        </w:rPr>
        <w:t>S. F.</w:t>
      </w:r>
      <w:r w:rsidRPr="00C00255">
        <w:rPr>
          <w:rFonts w:ascii="Times New Roman" w:hAnsi="Times New Roman"/>
          <w:b w:val="0"/>
          <w:i/>
          <w:color w:val="000000"/>
          <w:sz w:val="24"/>
          <w:szCs w:val="24"/>
        </w:rPr>
        <w:t xml:space="preserve"> </w:t>
      </w:r>
      <w:bookmarkStart w:id="416" w:name="_Hlk64106787"/>
      <w:r w:rsidRPr="00C00255">
        <w:rPr>
          <w:rFonts w:ascii="Times New Roman" w:hAnsi="Times New Roman"/>
          <w:b w:val="0"/>
          <w:i/>
          <w:sz w:val="24"/>
          <w:szCs w:val="24"/>
        </w:rPr>
        <w:t xml:space="preserve">dalyvavimo </w:t>
      </w:r>
      <w:r w:rsidRPr="00C00255">
        <w:rPr>
          <w:rFonts w:ascii="Times New Roman" w:hAnsi="Times New Roman"/>
          <w:b w:val="0"/>
          <w:i/>
          <w:color w:val="000000"/>
          <w:sz w:val="24"/>
          <w:szCs w:val="24"/>
        </w:rPr>
        <w:t>užimant LRT Radijo pastatą</w:t>
      </w:r>
      <w:bookmarkEnd w:id="415"/>
    </w:p>
    <w:p w:rsidR="003711C2" w:rsidRPr="003711C2" w:rsidRDefault="00DA38E9" w:rsidP="003711C2">
      <w:pPr>
        <w:pStyle w:val="ListParagraph"/>
        <w:numPr>
          <w:ilvl w:val="0"/>
          <w:numId w:val="6"/>
        </w:numPr>
        <w:spacing w:before="120" w:after="120"/>
        <w:ind w:left="993" w:hanging="993"/>
        <w:contextualSpacing w:val="0"/>
        <w:rPr>
          <w:rFonts w:eastAsia="Calibri"/>
          <w:color w:val="000000" w:themeColor="text1"/>
          <w:szCs w:val="24"/>
        </w:rPr>
      </w:pPr>
      <w:bookmarkStart w:id="417" w:name="_Hlk62681792"/>
      <w:bookmarkEnd w:id="416"/>
      <w:r w:rsidRPr="00C00255">
        <w:rPr>
          <w:szCs w:val="24"/>
          <w:lang w:eastAsia="lt-LT"/>
        </w:rPr>
        <w:t xml:space="preserve">Teisėjų kolegijos įsitikinimu, pasitvirtino ir pirmosios instancijos teismo išvada, kad TSRS VRM Vidaus </w:t>
      </w:r>
      <w:bookmarkStart w:id="418" w:name="_Hlk61945812"/>
      <w:r w:rsidRPr="00C00255">
        <w:rPr>
          <w:szCs w:val="24"/>
          <w:lang w:eastAsia="lt-LT"/>
        </w:rPr>
        <w:t xml:space="preserve">kariuomenės 42-osios divizijos </w:t>
      </w:r>
      <w:bookmarkEnd w:id="418"/>
      <w:r w:rsidRPr="00C00255">
        <w:rPr>
          <w:szCs w:val="24"/>
          <w:lang w:eastAsia="lt-LT"/>
        </w:rPr>
        <w:t xml:space="preserve">konvojaus pulko vadas papulkininkis </w:t>
      </w:r>
      <w:r>
        <w:rPr>
          <w:rFonts w:eastAsia="Calibri"/>
          <w:szCs w:val="24"/>
        </w:rPr>
        <w:t>S. F.</w:t>
      </w:r>
      <w:r w:rsidRPr="00C00255">
        <w:rPr>
          <w:szCs w:val="24"/>
          <w:lang w:eastAsia="lt-LT"/>
        </w:rPr>
        <w:t xml:space="preserve"> buvo vienu iš šio karinių dalinių kariškiams užimant </w:t>
      </w:r>
      <w:r w:rsidRPr="00C00255">
        <w:t>LRT Radijo pastatą</w:t>
      </w:r>
      <w:r w:rsidRPr="00C00255">
        <w:rPr>
          <w:szCs w:val="24"/>
          <w:lang w:eastAsia="lt-LT"/>
        </w:rPr>
        <w:t xml:space="preserve"> vadovavusių kariškių</w:t>
      </w:r>
      <w:r w:rsidRPr="00C00255">
        <w:t xml:space="preserve">, </w:t>
      </w:r>
      <w:r w:rsidRPr="003711C2">
        <w:t xml:space="preserve">koordinavusių jų veiksmus </w:t>
      </w:r>
      <w:r w:rsidRPr="003711C2">
        <w:rPr>
          <w:rFonts w:eastAsia="Calibri"/>
        </w:rPr>
        <w:t xml:space="preserve">ir pats tiesiogiai dalyvavęs šioje operacijoje </w:t>
      </w:r>
      <w:r w:rsidRPr="003711C2">
        <w:t>(žr. nuosprendžio 514–520 l.;</w:t>
      </w:r>
      <w:r w:rsidRPr="003711C2">
        <w:rPr>
          <w:rFonts w:eastAsia="Calibri"/>
        </w:rPr>
        <w:t xml:space="preserve"> t. 771, b. l. 114–120</w:t>
      </w:r>
      <w:r w:rsidRPr="003711C2">
        <w:t>)</w:t>
      </w:r>
      <w:r w:rsidRPr="003711C2">
        <w:rPr>
          <w:rFonts w:eastAsia="Calibri"/>
        </w:rPr>
        <w:t>.</w:t>
      </w:r>
      <w:r w:rsidRPr="00C00255">
        <w:rPr>
          <w:rFonts w:eastAsia="Calibri"/>
          <w:szCs w:val="24"/>
        </w:rPr>
        <w:t xml:space="preserve"> </w:t>
      </w:r>
    </w:p>
    <w:p w:rsidR="00DA38E9" w:rsidRPr="00055544" w:rsidRDefault="00DA38E9" w:rsidP="003711C2">
      <w:pPr>
        <w:pStyle w:val="ListParagraph"/>
        <w:numPr>
          <w:ilvl w:val="0"/>
          <w:numId w:val="6"/>
        </w:numPr>
        <w:spacing w:before="120" w:after="120"/>
        <w:ind w:left="993" w:hanging="993"/>
        <w:contextualSpacing w:val="0"/>
        <w:rPr>
          <w:rFonts w:eastAsia="Calibri"/>
          <w:color w:val="000000" w:themeColor="text1"/>
          <w:szCs w:val="24"/>
        </w:rPr>
      </w:pPr>
      <w:r w:rsidRPr="00055544">
        <w:rPr>
          <w:rFonts w:eastAsia="Calibri"/>
          <w:szCs w:val="24"/>
        </w:rPr>
        <w:t xml:space="preserve">Nuteistojo S. F. gynėjai byloje apeliacinio skundo nepateikė, todėl teisėjų kolegija, sutikdama su apygardos teismo išvadomis, tik paminės pagrindinius įrodymų šaltinius, iš kurių galima daryti tvirtas išvadas apie S. F. vaidmenį užimant LRT Radijo pastatą. </w:t>
      </w:r>
    </w:p>
    <w:p w:rsidR="003711C2" w:rsidRPr="003711C2" w:rsidRDefault="00DA38E9" w:rsidP="003711C2">
      <w:pPr>
        <w:pStyle w:val="ListParagraph"/>
        <w:numPr>
          <w:ilvl w:val="0"/>
          <w:numId w:val="6"/>
        </w:numPr>
        <w:spacing w:before="120" w:after="120"/>
        <w:ind w:left="993" w:hanging="993"/>
        <w:contextualSpacing w:val="0"/>
        <w:rPr>
          <w:rFonts w:eastAsia="Calibri"/>
          <w:color w:val="000000" w:themeColor="text1"/>
          <w:szCs w:val="24"/>
        </w:rPr>
      </w:pPr>
      <w:r w:rsidRPr="00C00255">
        <w:rPr>
          <w:szCs w:val="24"/>
        </w:rPr>
        <w:t xml:space="preserve">Tai, kad </w:t>
      </w:r>
      <w:r>
        <w:rPr>
          <w:szCs w:val="24"/>
        </w:rPr>
        <w:t>S. F.</w:t>
      </w:r>
      <w:r w:rsidRPr="00C00255">
        <w:rPr>
          <w:szCs w:val="24"/>
        </w:rPr>
        <w:t xml:space="preserve"> tiriamų įvykių m</w:t>
      </w:r>
      <w:bookmarkStart w:id="419" w:name="_Hlk65428801"/>
      <w:r w:rsidRPr="00C00255">
        <w:rPr>
          <w:szCs w:val="24"/>
        </w:rPr>
        <w:t xml:space="preserve">etu buvo TSRS VRM Vidaus kariuomenės 42-osios </w:t>
      </w:r>
      <w:bookmarkEnd w:id="419"/>
      <w:r w:rsidRPr="00C00255">
        <w:rPr>
          <w:szCs w:val="24"/>
        </w:rPr>
        <w:t xml:space="preserve">divizijos konvojaus pulko vadas ir vadovavo </w:t>
      </w:r>
      <w:bookmarkStart w:id="420" w:name="_Hlk64109823"/>
      <w:r w:rsidRPr="00C00255">
        <w:rPr>
          <w:szCs w:val="24"/>
        </w:rPr>
        <w:t xml:space="preserve">TSRS VRM Vidaus kariuomenės 42-osios divizijos </w:t>
      </w:r>
      <w:bookmarkEnd w:id="420"/>
      <w:r w:rsidRPr="00C00255">
        <w:rPr>
          <w:szCs w:val="24"/>
        </w:rPr>
        <w:t xml:space="preserve">padaliniams LRT Radijo pastato užėmimo metu, konstatuota 2014 m. birželio 10 d. specialisto išvadoje (t. 480, b. l. 45), kuri paremta iš skirtingų šaltinių gauta duomenų analize. </w:t>
      </w:r>
    </w:p>
    <w:p w:rsidR="003711C2" w:rsidRPr="00055544" w:rsidRDefault="003711C2" w:rsidP="003711C2">
      <w:pPr>
        <w:pStyle w:val="ListParagraph"/>
        <w:numPr>
          <w:ilvl w:val="1"/>
          <w:numId w:val="6"/>
        </w:numPr>
        <w:spacing w:before="120" w:after="120"/>
        <w:ind w:left="992" w:hanging="992"/>
        <w:contextualSpacing w:val="0"/>
        <w:rPr>
          <w:rFonts w:eastAsia="Calibri"/>
          <w:color w:val="000000" w:themeColor="text1"/>
          <w:szCs w:val="24"/>
        </w:rPr>
      </w:pPr>
      <w:r w:rsidRPr="00055544">
        <w:rPr>
          <w:rFonts w:eastAsia="Calibri"/>
        </w:rPr>
        <w:t>Teisėjų kolegijos išvadą dėl nuteistojo S. F. vadovaujamo vaidmens LRT Radijo pastato užėmimo metu, pagrindžia ir byloje pateiktas VRM Vidaus kariuomenės kariškių dalyvavusių prie LRT sąrašas, kurį pasirašė pats S. F.. Minėtame sąraše S. F. įvardijamas kaip vienas iš šio karinio dalinio vadovų. Be to, S. F. turėjo aukščiausią karinį laipsnį iš operacijoje dalyvavusių TSRS VRM Vidaus kariuomenės 42-osios divizijos karininkų (t. 438, b. l. 3–5; t. 458, b. l. 129–130; t. 125, b. l. 2–3).</w:t>
      </w:r>
    </w:p>
    <w:p w:rsidR="00DA38E9" w:rsidRPr="00C00255" w:rsidRDefault="00DA38E9" w:rsidP="00DA38E9">
      <w:pPr>
        <w:pStyle w:val="ListParagraph"/>
        <w:numPr>
          <w:ilvl w:val="1"/>
          <w:numId w:val="6"/>
        </w:numPr>
        <w:spacing w:before="120" w:after="120"/>
        <w:ind w:left="993" w:hanging="993"/>
        <w:contextualSpacing w:val="0"/>
        <w:rPr>
          <w:rFonts w:eastAsia="Calibri"/>
          <w:color w:val="000000" w:themeColor="text1"/>
          <w:szCs w:val="24"/>
        </w:rPr>
      </w:pPr>
      <w:r w:rsidRPr="00C00255">
        <w:rPr>
          <w:szCs w:val="24"/>
        </w:rPr>
        <w:t>Taip pat byloje pateiktuose</w:t>
      </w:r>
      <w:r w:rsidRPr="00C00255">
        <w:t xml:space="preserve"> k/d 7574 iš autoparko išvykusios 1991 m. sausio 12 ir 13 d. karinės technikos kelionės lapuose, </w:t>
      </w:r>
      <w:r w:rsidRPr="00C00255">
        <w:rPr>
          <w:szCs w:val="24"/>
        </w:rPr>
        <w:t xml:space="preserve">kaip vieno iš karinių automobilių ekipažo vadas, nurodytas </w:t>
      </w:r>
      <w:r>
        <w:rPr>
          <w:szCs w:val="24"/>
        </w:rPr>
        <w:t>S. F.</w:t>
      </w:r>
      <w:r w:rsidRPr="00C00255">
        <w:rPr>
          <w:szCs w:val="24"/>
        </w:rPr>
        <w:t xml:space="preserve"> (t. 438, b. l. 36, 48; t. 125, b. l. 35, 47). </w:t>
      </w:r>
      <w:bookmarkStart w:id="421" w:name="_Hlk65518760"/>
      <w:r w:rsidRPr="00C00255">
        <w:rPr>
          <w:szCs w:val="24"/>
        </w:rPr>
        <w:t xml:space="preserve">Tai, kad </w:t>
      </w:r>
      <w:r>
        <w:rPr>
          <w:szCs w:val="24"/>
        </w:rPr>
        <w:t>S. F.</w:t>
      </w:r>
      <w:r w:rsidRPr="00C00255">
        <w:rPr>
          <w:szCs w:val="24"/>
        </w:rPr>
        <w:t xml:space="preserve"> į įvykio vietą vyko KŠM ir ryšio priemonėmis koordinavo operacijos veiksmus, patvirtina ir l. e. k/d 3404 štabo viršininko pavaduotojo papulkininkio </w:t>
      </w:r>
      <w:r>
        <w:rPr>
          <w:szCs w:val="24"/>
        </w:rPr>
        <w:t>V. D.</w:t>
      </w:r>
      <w:r w:rsidRPr="00C00255">
        <w:rPr>
          <w:szCs w:val="24"/>
        </w:rPr>
        <w:t xml:space="preserve"> rašte nurodyti duomenys apie atskirų kariškių, buvusių KŠM šaukinius, tarp kurių nurodytas ir </w:t>
      </w:r>
      <w:r>
        <w:rPr>
          <w:szCs w:val="24"/>
        </w:rPr>
        <w:t>S. F.</w:t>
      </w:r>
      <w:r w:rsidRPr="00C00255">
        <w:rPr>
          <w:szCs w:val="24"/>
        </w:rPr>
        <w:t xml:space="preserve"> šaukinys (t. 438, b.</w:t>
      </w:r>
      <w:r>
        <w:rPr>
          <w:szCs w:val="24"/>
        </w:rPr>
        <w:t> </w:t>
      </w:r>
      <w:r w:rsidRPr="00C00255">
        <w:rPr>
          <w:szCs w:val="24"/>
        </w:rPr>
        <w:t>l.</w:t>
      </w:r>
      <w:r>
        <w:rPr>
          <w:szCs w:val="24"/>
        </w:rPr>
        <w:t> </w:t>
      </w:r>
      <w:r w:rsidRPr="00C00255">
        <w:rPr>
          <w:szCs w:val="24"/>
        </w:rPr>
        <w:t xml:space="preserve">28, t. 125, b. l. 27), tokie patys KŠM šaukiniai nurodyti ir k/d 3404 štabo viršininko pulkininko </w:t>
      </w:r>
      <w:r>
        <w:rPr>
          <w:szCs w:val="24"/>
        </w:rPr>
        <w:t>N. M.</w:t>
      </w:r>
      <w:r w:rsidRPr="00C00255">
        <w:rPr>
          <w:szCs w:val="24"/>
        </w:rPr>
        <w:t xml:space="preserve"> rašte (t. 438, b. l. 21; t. 125, b. l. 20).</w:t>
      </w:r>
    </w:p>
    <w:bookmarkEnd w:id="421"/>
    <w:p w:rsidR="003711C2" w:rsidRPr="003711C2" w:rsidRDefault="00DA38E9" w:rsidP="003711C2">
      <w:pPr>
        <w:pStyle w:val="ListParagraph"/>
        <w:numPr>
          <w:ilvl w:val="1"/>
          <w:numId w:val="6"/>
        </w:numPr>
        <w:spacing w:before="120" w:after="120"/>
        <w:ind w:left="993" w:hanging="993"/>
        <w:contextualSpacing w:val="0"/>
        <w:rPr>
          <w:rFonts w:eastAsia="Calibri"/>
          <w:color w:val="000000" w:themeColor="text1"/>
          <w:szCs w:val="24"/>
        </w:rPr>
      </w:pPr>
      <w:r w:rsidRPr="00C00255">
        <w:rPr>
          <w:szCs w:val="24"/>
          <w:lang w:eastAsia="lt-LT"/>
        </w:rPr>
        <w:t xml:space="preserve">Taigi, nurodytos aplinkybės patvirtina, kad </w:t>
      </w:r>
      <w:r>
        <w:rPr>
          <w:szCs w:val="24"/>
          <w:lang w:eastAsia="lt-LT"/>
        </w:rPr>
        <w:t>S. F.</w:t>
      </w:r>
      <w:r w:rsidRPr="00C00255">
        <w:rPr>
          <w:szCs w:val="24"/>
          <w:lang w:eastAsia="lt-LT"/>
        </w:rPr>
        <w:t xml:space="preserve"> dalyvavo įvykiuose prie LRT ir buvo konvojaus pulko, kuris priklausė </w:t>
      </w:r>
      <w:r w:rsidRPr="00C00255">
        <w:rPr>
          <w:szCs w:val="24"/>
        </w:rPr>
        <w:t xml:space="preserve">TSRS VRM Vidaus kariuomenės 42-osios divizijos </w:t>
      </w:r>
      <w:r w:rsidRPr="00C00255">
        <w:rPr>
          <w:szCs w:val="24"/>
          <w:lang w:eastAsia="lt-LT"/>
        </w:rPr>
        <w:t>s</w:t>
      </w:r>
      <w:r w:rsidR="003711C2">
        <w:rPr>
          <w:szCs w:val="24"/>
          <w:lang w:eastAsia="lt-LT"/>
        </w:rPr>
        <w:t>udėčiai, vyriausiuoju pareigūnu.</w:t>
      </w:r>
    </w:p>
    <w:p w:rsidR="003711C2" w:rsidRPr="00055544" w:rsidRDefault="00DA38E9" w:rsidP="003711C2">
      <w:pPr>
        <w:pStyle w:val="ListParagraph"/>
        <w:numPr>
          <w:ilvl w:val="0"/>
          <w:numId w:val="6"/>
        </w:numPr>
        <w:spacing w:before="120" w:after="120"/>
        <w:ind w:left="992" w:hanging="992"/>
        <w:contextualSpacing w:val="0"/>
        <w:rPr>
          <w:rFonts w:eastAsia="Calibri"/>
          <w:color w:val="000000" w:themeColor="text1"/>
          <w:szCs w:val="24"/>
        </w:rPr>
      </w:pPr>
      <w:r w:rsidRPr="00055544">
        <w:t xml:space="preserve">Apie S. F. tiesioginį dalyvavimą 1991 m. sausio 13 d. įvykiuose prie LRT ir jo vadovaujamą vaidmenį patvirtina ir teisiamajame posėdyje apklaustų liudytojų TSRS VRM Vidaus kariuomenės 42-osios divizijos ginklų sandėlio viršininko H. N. </w:t>
      </w:r>
      <w:r w:rsidRPr="00055544">
        <w:rPr>
          <w:rFonts w:eastAsia="Calibri"/>
        </w:rPr>
        <w:t xml:space="preserve">ir TSRS VRM Vidaus kariuomenės 42-osios divizijos artilerinės ginkluotės tarnybos viršininko R. M. </w:t>
      </w:r>
      <w:r w:rsidRPr="00055544">
        <w:t xml:space="preserve">parodymai. Liudytojas H. N. patvirtino ikiteisminio tyrimo metu duotus parodymus ir teisiamojo posėdžio metu nurodė, kad 1991 m. sausio 13 d. naktį su juo susisiekė budintis asmuo ir pasakė, jog pulko vadas S. F. liepė atvežti tuščių šovinių </w:t>
      </w:r>
      <w:r w:rsidRPr="00055544">
        <w:rPr>
          <w:rFonts w:eastAsia="Calibri"/>
        </w:rPr>
        <w:t>(t. 760, b. l. 143</w:t>
      </w:r>
      <w:r w:rsidRPr="00055544">
        <w:t>–</w:t>
      </w:r>
      <w:r w:rsidRPr="00055544">
        <w:rPr>
          <w:rFonts w:eastAsia="Calibri"/>
        </w:rPr>
        <w:t xml:space="preserve">144; </w:t>
      </w:r>
      <w:r w:rsidRPr="00055544">
        <w:t>t. 477, b. l. 66–72, 74–81; t. 126, b. l. 282–283</w:t>
      </w:r>
      <w:r w:rsidRPr="00055544">
        <w:rPr>
          <w:rFonts w:eastAsia="Calibri"/>
        </w:rPr>
        <w:t>).</w:t>
      </w:r>
      <w:r w:rsidRPr="00055544">
        <w:t xml:space="preserve"> Liudytojas R. M. teisiamajame posėdyje patvirtino ikiteisminio tyrimo metu duotus parodymus apie tai, kad pagrindinio pulko vadas buvo S. F.. Jis vykdydamas perduotą divizijos vado A. Ž. įsakymą dėl ryšio patikrinimo, 1991 m. sausio 13 d. naktį, apie 3.00 val. vyko į </w:t>
      </w:r>
      <w:r w:rsidRPr="00055544">
        <w:rPr>
          <w:rFonts w:eastAsia="Calibri"/>
        </w:rPr>
        <w:t xml:space="preserve">Konarskio gatvę, kur matė papulkininkį S. F. ir </w:t>
      </w:r>
      <w:r w:rsidRPr="00055544">
        <w:t>mokomosios specialiosios paskirties</w:t>
      </w:r>
      <w:r w:rsidRPr="00055544">
        <w:rPr>
          <w:rFonts w:eastAsia="Calibri"/>
        </w:rPr>
        <w:t xml:space="preserve"> kuopos vadą O. M. bei jiems perdavė atvežtas šovinių dėžes</w:t>
      </w:r>
      <w:r w:rsidRPr="00055544">
        <w:t xml:space="preserve"> (t. 760, b. l. 141–142; t. 477, b. l. 7–15; t. 46, b. l. 264–265).</w:t>
      </w:r>
      <w:bookmarkStart w:id="422" w:name="_Hlk65705871"/>
    </w:p>
    <w:p w:rsidR="003711C2" w:rsidRPr="00055544" w:rsidRDefault="00DA38E9" w:rsidP="003711C2">
      <w:pPr>
        <w:pStyle w:val="ListParagraph"/>
        <w:numPr>
          <w:ilvl w:val="0"/>
          <w:numId w:val="6"/>
        </w:numPr>
        <w:spacing w:before="120" w:after="120"/>
        <w:ind w:left="992" w:hanging="992"/>
        <w:contextualSpacing w:val="0"/>
        <w:rPr>
          <w:rFonts w:eastAsia="Calibri"/>
          <w:color w:val="000000" w:themeColor="text1"/>
          <w:szCs w:val="24"/>
        </w:rPr>
      </w:pPr>
      <w:r w:rsidRPr="00055544">
        <w:t xml:space="preserve">Taigi, vien minėti įrodymai patvirtina, kad konvojaus pulko vadas S. F. vadovavo VRM padaliniams užimant LRT Radijo pastatą. Teisėjų kolegija pažymi, kad teismo vidinį įsitikinimą apie S. F. dalyvavimą ir jo vadovaujamą vaidmenį LRT Radijo pastato užėmimo metu formuoja ir teisiamajame posėdyje perskaityti ikiteisminio tyrimo metu liudytojais apklaustų kitų </w:t>
      </w:r>
      <w:r w:rsidRPr="00055544">
        <w:rPr>
          <w:rFonts w:eastAsia="Calibri"/>
        </w:rPr>
        <w:t xml:space="preserve">TSRS VRM Vidaus kariuomenės 42-osios divizijos </w:t>
      </w:r>
      <w:r w:rsidRPr="00055544">
        <w:t xml:space="preserve">konvojaus pulko ir mokomosios specialiosios paskirties kuopos kariškių parodymai (t. 760, b. l. 147–148, 151–152, 153–154). Nemažas skaičius liudytojais apklaustų kariškių – J. S., S. M., A. A., V. V., V. P., V. S., A. Z., L. K. – kaip asmenį vadovavusį ir tiesiogiai dalyvavusį įvykiuose prie LRT įvardijo ir S. F.. </w:t>
      </w:r>
      <w:bookmarkEnd w:id="422"/>
    </w:p>
    <w:p w:rsidR="003711C2" w:rsidRPr="00055544" w:rsidRDefault="00DA38E9" w:rsidP="003711C2">
      <w:pPr>
        <w:pStyle w:val="ListParagraph"/>
        <w:numPr>
          <w:ilvl w:val="1"/>
          <w:numId w:val="6"/>
        </w:numPr>
        <w:spacing w:before="120" w:after="120"/>
        <w:ind w:left="992" w:hanging="992"/>
        <w:contextualSpacing w:val="0"/>
        <w:rPr>
          <w:rFonts w:eastAsia="Calibri"/>
          <w:color w:val="000000" w:themeColor="text1"/>
          <w:szCs w:val="24"/>
        </w:rPr>
      </w:pPr>
      <w:r w:rsidRPr="00055544">
        <w:rPr>
          <w:rFonts w:eastAsia="Calibri"/>
        </w:rPr>
        <w:t>Liudytojas šaulys eilinis J. S. nurodė, kad</w:t>
      </w:r>
      <w:r w:rsidRPr="00055544">
        <w:rPr>
          <w:rFonts w:eastAsia="Calibri"/>
          <w:bCs/>
        </w:rPr>
        <w:t xml:space="preserve"> </w:t>
      </w:r>
      <w:r w:rsidRPr="00055544">
        <w:rPr>
          <w:rFonts w:eastAsia="Calibri"/>
        </w:rPr>
        <w:t>1991 m. sausio 13 d. po vidurnakčio, prieš išvykstant iš dalinio, vadas S. F. instruktavo kariškius apie ginklo panaudojimo tvarką bei elgesio su ginklu saugumo priemones (t. 438, b. l. 183</w:t>
      </w:r>
      <w:r w:rsidRPr="00055544">
        <w:t>–</w:t>
      </w:r>
      <w:r w:rsidRPr="00055544">
        <w:rPr>
          <w:rFonts w:eastAsia="Calibri"/>
        </w:rPr>
        <w:t>187; t. 125, b. l. 226</w:t>
      </w:r>
      <w:r w:rsidRPr="00055544">
        <w:t>–</w:t>
      </w:r>
      <w:r w:rsidRPr="00055544">
        <w:rPr>
          <w:rFonts w:eastAsia="Calibri"/>
        </w:rPr>
        <w:t xml:space="preserve">231). </w:t>
      </w:r>
    </w:p>
    <w:p w:rsidR="003711C2" w:rsidRPr="00055544" w:rsidRDefault="00DA38E9" w:rsidP="003711C2">
      <w:pPr>
        <w:pStyle w:val="ListParagraph"/>
        <w:numPr>
          <w:ilvl w:val="1"/>
          <w:numId w:val="6"/>
        </w:numPr>
        <w:spacing w:before="120" w:after="120"/>
        <w:ind w:left="992" w:hanging="992"/>
        <w:contextualSpacing w:val="0"/>
        <w:rPr>
          <w:rFonts w:eastAsia="Calibri"/>
          <w:color w:val="000000" w:themeColor="text1"/>
          <w:szCs w:val="24"/>
        </w:rPr>
      </w:pPr>
      <w:r w:rsidRPr="00055544">
        <w:rPr>
          <w:rFonts w:eastAsia="Calibri"/>
        </w:rPr>
        <w:t>Liudytojas KŠM vairuotojas eilinis V. P. nurodė, kad 1991 m. sausio 13 d. naktį jų karinio dalinio karių grupė važiavo prie LRT pastato. Jis vairavo komandinę štabo mašiną KŠM, kurios valstybinis numeris 72-23 KI. Jis važiavo BTR kolonos priekyje. Su juo kartu mašinos kabinoje važiavo vadas papulkininkis S. F. ir jam rodė važiavimo maršrutą (t. 439, b. l. 152</w:t>
      </w:r>
      <w:r w:rsidRPr="00055544">
        <w:t>–</w:t>
      </w:r>
      <w:r w:rsidRPr="00055544">
        <w:rPr>
          <w:rFonts w:eastAsia="Calibri"/>
        </w:rPr>
        <w:t>154; t. 126, b. l. 263</w:t>
      </w:r>
      <w:r w:rsidRPr="00055544">
        <w:t>–</w:t>
      </w:r>
      <w:r w:rsidRPr="00055544">
        <w:rPr>
          <w:rFonts w:eastAsia="Calibri"/>
        </w:rPr>
        <w:t xml:space="preserve">267). </w:t>
      </w:r>
    </w:p>
    <w:p w:rsidR="003711C2" w:rsidRPr="00055544" w:rsidRDefault="00DA38E9" w:rsidP="003711C2">
      <w:pPr>
        <w:pStyle w:val="ListParagraph"/>
        <w:numPr>
          <w:ilvl w:val="1"/>
          <w:numId w:val="6"/>
        </w:numPr>
        <w:spacing w:before="120" w:after="120"/>
        <w:ind w:left="992" w:hanging="992"/>
        <w:contextualSpacing w:val="0"/>
        <w:rPr>
          <w:rFonts w:eastAsia="Calibri"/>
          <w:color w:val="000000" w:themeColor="text1"/>
          <w:szCs w:val="24"/>
        </w:rPr>
      </w:pPr>
      <w:r w:rsidRPr="00055544">
        <w:rPr>
          <w:rFonts w:eastAsia="Calibri"/>
        </w:rPr>
        <w:t xml:space="preserve">Liudytojas </w:t>
      </w:r>
      <w:bookmarkStart w:id="423" w:name="_Hlk65703777"/>
      <w:r w:rsidRPr="00055544">
        <w:rPr>
          <w:rFonts w:eastAsia="Calibri"/>
        </w:rPr>
        <w:t xml:space="preserve">KŠM vadas seržantas </w:t>
      </w:r>
      <w:bookmarkEnd w:id="423"/>
      <w:r w:rsidRPr="00055544">
        <w:rPr>
          <w:rFonts w:eastAsia="Calibri"/>
        </w:rPr>
        <w:t xml:space="preserve">V. V. nurodė, kad </w:t>
      </w:r>
      <w:r w:rsidRPr="00055544">
        <w:t xml:space="preserve">jis 1991 m. sausio 13 d. naktį važiavo </w:t>
      </w:r>
      <w:r w:rsidRPr="00055544">
        <w:rPr>
          <w:rFonts w:eastAsia="Calibri"/>
        </w:rPr>
        <w:t>KŠM kabinoje kartu su V. P. bei S. F.. Jis užtikrino ryšį su jų pulku (t. 439, b. l. 133</w:t>
      </w:r>
      <w:r w:rsidRPr="00055544">
        <w:t>–</w:t>
      </w:r>
      <w:r w:rsidRPr="00055544">
        <w:rPr>
          <w:rFonts w:eastAsia="Calibri"/>
        </w:rPr>
        <w:t>135; t. 126, b. l. 218</w:t>
      </w:r>
      <w:r w:rsidRPr="00055544">
        <w:t>–</w:t>
      </w:r>
      <w:r w:rsidRPr="00055544">
        <w:rPr>
          <w:rFonts w:eastAsia="Calibri"/>
        </w:rPr>
        <w:t xml:space="preserve">222). </w:t>
      </w:r>
    </w:p>
    <w:p w:rsidR="003711C2" w:rsidRPr="00055544" w:rsidRDefault="00DA38E9" w:rsidP="003711C2">
      <w:pPr>
        <w:pStyle w:val="ListParagraph"/>
        <w:numPr>
          <w:ilvl w:val="1"/>
          <w:numId w:val="6"/>
        </w:numPr>
        <w:spacing w:before="120" w:after="120"/>
        <w:ind w:left="992" w:hanging="992"/>
        <w:contextualSpacing w:val="0"/>
        <w:rPr>
          <w:rFonts w:eastAsia="Calibri"/>
          <w:color w:val="000000" w:themeColor="text1"/>
          <w:szCs w:val="24"/>
        </w:rPr>
      </w:pPr>
      <w:r w:rsidRPr="00055544">
        <w:rPr>
          <w:rFonts w:eastAsia="Calibri"/>
        </w:rPr>
        <w:t>Liudytojas skyriaus vadas seržantas A. A. nurodė, kad 1991 m. sausio 13 d. naktį vyko prie LRT ir buvo asmeninis pulko vado papulkininkio S. F. radistas, kuris jam įsakė neatsitraukiant būti prie jo. Atvykus prie LRT, jis kartu su pulko vadu nuėjo į r</w:t>
      </w:r>
      <w:r w:rsidR="003711C2" w:rsidRPr="00055544">
        <w:rPr>
          <w:rFonts w:eastAsia="Calibri"/>
        </w:rPr>
        <w:t>adijo komiteto pastatą (t. 439, </w:t>
      </w:r>
      <w:r w:rsidRPr="00055544">
        <w:rPr>
          <w:rFonts w:eastAsia="Calibri"/>
        </w:rPr>
        <w:t>b. l. 124</w:t>
      </w:r>
      <w:r w:rsidRPr="00055544">
        <w:t>–</w:t>
      </w:r>
      <w:r w:rsidRPr="00055544">
        <w:rPr>
          <w:rFonts w:eastAsia="Calibri"/>
        </w:rPr>
        <w:t>127; t. 126, b. l. 201</w:t>
      </w:r>
      <w:r w:rsidRPr="00055544">
        <w:t>–</w:t>
      </w:r>
      <w:r w:rsidRPr="00055544">
        <w:rPr>
          <w:rFonts w:eastAsia="Calibri"/>
        </w:rPr>
        <w:t xml:space="preserve">209). </w:t>
      </w:r>
    </w:p>
    <w:p w:rsidR="003711C2" w:rsidRPr="003711C2" w:rsidRDefault="00DA38E9" w:rsidP="003711C2">
      <w:pPr>
        <w:pStyle w:val="ListParagraph"/>
        <w:numPr>
          <w:ilvl w:val="1"/>
          <w:numId w:val="6"/>
        </w:numPr>
        <w:spacing w:before="120" w:after="120"/>
        <w:ind w:left="992" w:hanging="992"/>
        <w:contextualSpacing w:val="0"/>
        <w:rPr>
          <w:rFonts w:eastAsia="Calibri"/>
          <w:color w:val="000000" w:themeColor="text1"/>
          <w:szCs w:val="24"/>
        </w:rPr>
      </w:pPr>
      <w:r w:rsidRPr="00055544">
        <w:t xml:space="preserve">Aptarti liudytojų V. P., A. A. ir </w:t>
      </w:r>
      <w:r w:rsidRPr="00055544">
        <w:rPr>
          <w:rFonts w:eastAsia="Calibri"/>
        </w:rPr>
        <w:t xml:space="preserve">V. V. </w:t>
      </w:r>
      <w:r w:rsidRPr="00055544">
        <w:t>parodymai sutapo tarpusavyje, taip pat sutapo su liudytojo vyresniojo telefonisto jefreitoriaus</w:t>
      </w:r>
      <w:r w:rsidRPr="00055544">
        <w:rPr>
          <w:rFonts w:eastAsia="Calibri"/>
        </w:rPr>
        <w:t xml:space="preserve"> V. S. </w:t>
      </w:r>
      <w:r w:rsidRPr="00055544">
        <w:t xml:space="preserve">parodymais, kuris </w:t>
      </w:r>
      <w:r w:rsidRPr="00055544">
        <w:rPr>
          <w:rFonts w:eastAsia="Calibri"/>
        </w:rPr>
        <w:t xml:space="preserve">nurodė, kad </w:t>
      </w:r>
      <w:r w:rsidR="003711C2" w:rsidRPr="00055544">
        <w:t>jis 1991 m. </w:t>
      </w:r>
      <w:r w:rsidRPr="00055544">
        <w:t xml:space="preserve">sausio 13 d. </w:t>
      </w:r>
      <w:r w:rsidRPr="00055544">
        <w:rPr>
          <w:rFonts w:eastAsia="Calibri"/>
        </w:rPr>
        <w:t>kartu su majoru V. Š. 2, seržantais V. V. ir A. A., eiliniais V. P.</w:t>
      </w:r>
      <w:r w:rsidRPr="00055544">
        <w:t xml:space="preserve"> ir</w:t>
      </w:r>
      <w:r w:rsidRPr="00055544">
        <w:rPr>
          <w:rFonts w:eastAsia="Calibri"/>
        </w:rPr>
        <w:t xml:space="preserve"> A. C. atvažiavo prie LRT. Važiuojant buvo įjungtos visos KŠM radijo stotys. Su radijo stotimi važiavo seržantas V. V., kuris užtikrino KŠM radijo ryšį su jų pulku, kolona ir Šiaurės miesteliu. Mašinai sustojus, jis ir A. C. išlipo saugoti KŠM, šalia kurio pamatė stovintį pulko vadą papulkininkį S. F. ir kuris su seržantu A. A. ir kita jų dalinio kariškių grupe kažkur nuėjo (t. 439, b. l. 142</w:t>
      </w:r>
      <w:r w:rsidRPr="00055544">
        <w:t>–</w:t>
      </w:r>
      <w:r w:rsidRPr="00055544">
        <w:rPr>
          <w:rFonts w:eastAsia="Calibri"/>
        </w:rPr>
        <w:t>145; t. 126, b. l. 240</w:t>
      </w:r>
      <w:r w:rsidRPr="00055544">
        <w:t>–</w:t>
      </w:r>
      <w:r w:rsidRPr="00055544">
        <w:rPr>
          <w:rFonts w:eastAsia="Calibri"/>
        </w:rPr>
        <w:t>248).</w:t>
      </w:r>
      <w:r w:rsidRPr="003711C2">
        <w:rPr>
          <w:rFonts w:eastAsia="Calibri"/>
          <w:color w:val="000000" w:themeColor="text1"/>
        </w:rPr>
        <w:t xml:space="preserve"> </w:t>
      </w:r>
    </w:p>
    <w:p w:rsidR="00DA38E9" w:rsidRPr="003711C2" w:rsidRDefault="00DA38E9" w:rsidP="003711C2">
      <w:pPr>
        <w:pStyle w:val="ListParagraph"/>
        <w:numPr>
          <w:ilvl w:val="1"/>
          <w:numId w:val="6"/>
        </w:numPr>
        <w:spacing w:before="120" w:after="120"/>
        <w:ind w:left="992" w:hanging="992"/>
        <w:contextualSpacing w:val="0"/>
        <w:rPr>
          <w:rFonts w:eastAsia="Calibri"/>
          <w:color w:val="000000" w:themeColor="text1"/>
          <w:szCs w:val="24"/>
        </w:rPr>
      </w:pPr>
      <w:r w:rsidRPr="00055544">
        <w:t xml:space="preserve">Be to, keletas kitų kariškių, pavyzdžiui, </w:t>
      </w:r>
      <w:bookmarkStart w:id="424" w:name="_Hlk65704301"/>
      <w:r w:rsidRPr="00055544">
        <w:t xml:space="preserve">mokomosios specialiosios paskirties kuopos 3-ojo būrio vado pavaduotojas vyresnysis seržantas </w:t>
      </w:r>
      <w:bookmarkEnd w:id="424"/>
      <w:r w:rsidRPr="00055544">
        <w:t xml:space="preserve">S. M. </w:t>
      </w:r>
      <w:r w:rsidRPr="00055544">
        <w:rPr>
          <w:rFonts w:eastAsia="Calibri"/>
        </w:rPr>
        <w:t>(t. 439, b. l. 107</w:t>
      </w:r>
      <w:r w:rsidRPr="00055544">
        <w:t>–</w:t>
      </w:r>
      <w:r w:rsidRPr="00055544">
        <w:rPr>
          <w:rFonts w:eastAsia="Calibri"/>
        </w:rPr>
        <w:t>109; t. 126, b. l. 166</w:t>
      </w:r>
      <w:r w:rsidRPr="00055544">
        <w:t>–</w:t>
      </w:r>
      <w:r w:rsidRPr="00055544">
        <w:rPr>
          <w:rFonts w:eastAsia="Calibri"/>
        </w:rPr>
        <w:t>172), mokomosios specialiosios paskirties kuopos kursantas eilinis A. Z. (t. 439, b. l. 63</w:t>
      </w:r>
      <w:r w:rsidRPr="00055544">
        <w:t>–</w:t>
      </w:r>
      <w:r w:rsidRPr="00055544">
        <w:rPr>
          <w:rFonts w:eastAsia="Calibri"/>
        </w:rPr>
        <w:t>65; t. 126, b. l. 93</w:t>
      </w:r>
      <w:r w:rsidRPr="00055544">
        <w:t>–</w:t>
      </w:r>
      <w:r w:rsidRPr="00055544">
        <w:rPr>
          <w:rFonts w:eastAsia="Calibri"/>
        </w:rPr>
        <w:t>96) ir vidaus kariuomenės eilinis A. K. (t. 439, b. l. 89</w:t>
      </w:r>
      <w:r w:rsidRPr="00055544">
        <w:t>–</w:t>
      </w:r>
      <w:r w:rsidRPr="00055544">
        <w:rPr>
          <w:rFonts w:eastAsia="Calibri"/>
        </w:rPr>
        <w:t>91; t. 126, b. l. 141</w:t>
      </w:r>
      <w:r w:rsidRPr="00055544">
        <w:t>–</w:t>
      </w:r>
      <w:r w:rsidRPr="00055544">
        <w:rPr>
          <w:rFonts w:eastAsia="Calibri"/>
        </w:rPr>
        <w:t>142) taip pat nurodė, kad būnant prie LRT, jų užduotis buvo saugoti pulko vadą – papulkininkį S. F.. Jie kartu su pulko vadu S. F. ėjo prie LRT pastato, o vėliau įėjo ir į jo vidų</w:t>
      </w:r>
      <w:r w:rsidRPr="003711C2">
        <w:rPr>
          <w:rFonts w:eastAsia="Calibri"/>
          <w:color w:val="000000" w:themeColor="text1"/>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Apeliacinės instancijos teismo teisėjų kolegijos įsitikinimu, aptarti liudytojų parodymai ne tik leidžia patikrinti jau šioje dalyje minėtus įrodymus, patvirtinančius apie </w:t>
      </w:r>
      <w:r>
        <w:rPr>
          <w:szCs w:val="24"/>
          <w:lang w:eastAsia="lt-LT"/>
        </w:rPr>
        <w:t>S. F.</w:t>
      </w:r>
      <w:r w:rsidRPr="00C00255">
        <w:rPr>
          <w:szCs w:val="24"/>
          <w:lang w:eastAsia="lt-LT"/>
        </w:rPr>
        <w:t xml:space="preserve"> vadovaujamą vaidmenį šturmuojant LRT Radijo pastatą, bet ir juos nuosekliai papildo. Taip pat atskleidžia išskirtinį </w:t>
      </w:r>
      <w:r>
        <w:rPr>
          <w:szCs w:val="24"/>
          <w:lang w:eastAsia="lt-LT"/>
        </w:rPr>
        <w:t>S. F.</w:t>
      </w:r>
      <w:r w:rsidRPr="00C00255">
        <w:rPr>
          <w:szCs w:val="24"/>
          <w:lang w:eastAsia="lt-LT"/>
        </w:rPr>
        <w:t xml:space="preserve"> vaidmenį LRT Radijo pastato šturmo metu, nes, kaip matyti, jis vadovavo ir rodė maršrutą karinės technikos kolonai važiuojančiai prie LRT, jam buvo užtikrinama nuolatinė apsauga bei ryšio užtikrinimo funkcija, kas neabejotinai patvirtina išskirtinį </w:t>
      </w:r>
      <w:r>
        <w:rPr>
          <w:szCs w:val="24"/>
          <w:lang w:eastAsia="lt-LT"/>
        </w:rPr>
        <w:t>S. F.</w:t>
      </w:r>
      <w:r w:rsidRPr="00C00255">
        <w:rPr>
          <w:szCs w:val="24"/>
          <w:lang w:eastAsia="lt-LT"/>
        </w:rPr>
        <w:t xml:space="preserve">, kaip vadovo, statusą ir vaidmenį šios operacijos metu. </w:t>
      </w:r>
      <w:r w:rsidRPr="00C00255">
        <w:rPr>
          <w:szCs w:val="24"/>
        </w:rPr>
        <w:t xml:space="preserve">Be to, nustatytos aplinkybės dėl </w:t>
      </w:r>
      <w:r>
        <w:rPr>
          <w:szCs w:val="24"/>
        </w:rPr>
        <w:t>S. F.</w:t>
      </w:r>
      <w:r w:rsidRPr="00C00255">
        <w:rPr>
          <w:szCs w:val="24"/>
        </w:rPr>
        <w:t xml:space="preserve"> vadovaujamo vaidmens taip pat atitinka ir jau šiame sprendime nustatytą </w:t>
      </w:r>
      <w:r>
        <w:rPr>
          <w:szCs w:val="24"/>
        </w:rPr>
        <w:t>S. F.</w:t>
      </w:r>
      <w:r w:rsidRPr="00C00255">
        <w:rPr>
          <w:szCs w:val="24"/>
        </w:rPr>
        <w:t xml:space="preserve"> vado </w:t>
      </w:r>
      <w:r>
        <w:rPr>
          <w:szCs w:val="24"/>
        </w:rPr>
        <w:t>A. Ž.</w:t>
      </w:r>
      <w:r w:rsidRPr="00C00255">
        <w:rPr>
          <w:szCs w:val="24"/>
        </w:rPr>
        <w:t xml:space="preserve"> vadovaujamą vaidmenį, kad būtent jis paskyrė </w:t>
      </w:r>
      <w:r>
        <w:rPr>
          <w:szCs w:val="24"/>
        </w:rPr>
        <w:t>S. F.</w:t>
      </w:r>
      <w:r w:rsidRPr="00C00255">
        <w:rPr>
          <w:szCs w:val="24"/>
        </w:rPr>
        <w:t xml:space="preserve"> tiesiogiai dalyvauti, vadovauti ir koordinuoti jiems pavaldžių kariškių veiksmus LRT Radijo pastato užėmimo metu, ką iš esmės </w:t>
      </w:r>
      <w:r>
        <w:rPr>
          <w:szCs w:val="24"/>
        </w:rPr>
        <w:t>S. F.</w:t>
      </w:r>
      <w:r w:rsidRPr="00C00255">
        <w:rPr>
          <w:szCs w:val="24"/>
        </w:rPr>
        <w:t xml:space="preserve"> ir įgyvendino. Visi minėti duomenys rodo, kad pirmosios instancijos teismo išvados apie nuteistojo </w:t>
      </w:r>
      <w:r>
        <w:rPr>
          <w:szCs w:val="24"/>
        </w:rPr>
        <w:t>S. F.</w:t>
      </w:r>
      <w:r w:rsidRPr="00C00255">
        <w:rPr>
          <w:szCs w:val="24"/>
        </w:rPr>
        <w:t xml:space="preserve"> vadovaujamą vaidmenį ir kitus jam inkriminuotus veiksmus užimant LRT Radijo pastatą yra teisingos ir pagrįstos.</w:t>
      </w:r>
    </w:p>
    <w:p w:rsidR="00DA38E9" w:rsidRPr="00C00255" w:rsidRDefault="00DA38E9" w:rsidP="00DA38E9">
      <w:pPr>
        <w:pStyle w:val="Heading4"/>
        <w:spacing w:before="120" w:after="120"/>
        <w:ind w:firstLine="992"/>
        <w:rPr>
          <w:rFonts w:ascii="Times New Roman" w:hAnsi="Times New Roman"/>
          <w:b w:val="0"/>
          <w:i/>
          <w:color w:val="000000"/>
          <w:sz w:val="24"/>
          <w:szCs w:val="24"/>
        </w:rPr>
      </w:pPr>
      <w:bookmarkStart w:id="425" w:name="_Toc66697270"/>
      <w:bookmarkEnd w:id="417"/>
      <w:r w:rsidRPr="00C00255">
        <w:rPr>
          <w:rFonts w:ascii="Times New Roman" w:hAnsi="Times New Roman"/>
          <w:b w:val="0"/>
          <w:i/>
          <w:color w:val="000000"/>
          <w:sz w:val="24"/>
          <w:szCs w:val="24"/>
        </w:rPr>
        <w:t xml:space="preserve">Dėl nuteistojo </w:t>
      </w:r>
      <w:r>
        <w:rPr>
          <w:rFonts w:ascii="Times New Roman" w:hAnsi="Times New Roman"/>
          <w:b w:val="0"/>
          <w:i/>
          <w:color w:val="000000"/>
          <w:sz w:val="24"/>
          <w:szCs w:val="24"/>
        </w:rPr>
        <w:t>O. M.</w:t>
      </w:r>
      <w:r w:rsidRPr="00C00255">
        <w:rPr>
          <w:rFonts w:ascii="Times New Roman" w:hAnsi="Times New Roman"/>
          <w:b w:val="0"/>
          <w:i/>
          <w:color w:val="000000"/>
          <w:sz w:val="24"/>
          <w:szCs w:val="24"/>
        </w:rPr>
        <w:t xml:space="preserve"> </w:t>
      </w:r>
      <w:r w:rsidRPr="00C00255">
        <w:rPr>
          <w:rFonts w:ascii="Times New Roman" w:hAnsi="Times New Roman"/>
          <w:b w:val="0"/>
          <w:i/>
          <w:sz w:val="24"/>
          <w:szCs w:val="24"/>
        </w:rPr>
        <w:t>dalyvavimo</w:t>
      </w:r>
      <w:r w:rsidRPr="00C00255">
        <w:rPr>
          <w:rFonts w:ascii="Times New Roman" w:hAnsi="Times New Roman"/>
          <w:b w:val="0"/>
          <w:i/>
          <w:color w:val="000000"/>
          <w:sz w:val="24"/>
          <w:szCs w:val="24"/>
        </w:rPr>
        <w:t xml:space="preserve"> užimant LRT Radijo pastatą</w:t>
      </w:r>
      <w:bookmarkEnd w:id="425"/>
    </w:p>
    <w:p w:rsidR="00DA38E9" w:rsidRPr="00055544" w:rsidRDefault="00DA38E9" w:rsidP="00DA38E9">
      <w:pPr>
        <w:pStyle w:val="ListParagraph"/>
        <w:numPr>
          <w:ilvl w:val="0"/>
          <w:numId w:val="6"/>
        </w:numPr>
        <w:spacing w:before="120" w:after="120"/>
        <w:ind w:left="993" w:hanging="993"/>
        <w:contextualSpacing w:val="0"/>
      </w:pPr>
      <w:bookmarkStart w:id="426" w:name="_Hlk62072052"/>
      <w:r w:rsidRPr="00055544">
        <w:t xml:space="preserve">Nustatyta, kad įtariamuoju buvo pripažintas būtent </w:t>
      </w:r>
      <w:bookmarkStart w:id="427" w:name="_Hlk61897833"/>
      <w:r w:rsidRPr="00055544">
        <w:t xml:space="preserve">TSRS VRM Vidaus kariuomenės 42-osios divizijos konvojaus pulko mokomosios specialiosios paskirties kuopos vadas </w:t>
      </w:r>
      <w:bookmarkEnd w:id="427"/>
      <w:r w:rsidRPr="00055544">
        <w:t xml:space="preserve">vyresnysis leitenantas O. M. (O. M.), o ne, </w:t>
      </w:r>
      <w:bookmarkStart w:id="428" w:name="_Hlk61895292"/>
      <w:r w:rsidRPr="00055544">
        <w:t xml:space="preserve">kaip teigiama apeliaciniame skunde, Oro desanto divizijos </w:t>
      </w:r>
      <w:bookmarkEnd w:id="428"/>
      <w:r w:rsidRPr="00055544">
        <w:t xml:space="preserve">kariškis – O. M.. Skundžiamu nuosprendžiu pripažintas kaltu ir nuteistas O. M., gimęs </w:t>
      </w:r>
      <w:r w:rsidR="003711C2" w:rsidRPr="00055544">
        <w:t>(duomenys neskelbtini)</w:t>
      </w:r>
      <w:r w:rsidRPr="00055544">
        <w:t xml:space="preserve">, TSRS VRM Vidaus kariuomenės 42-osios divizijos konvojaus pulko specialiosios paskirties mokomosios kuopos vadas. Teisėjų kolegija atkreipia dėmesį į tai, kad ikiteisminio tyrimo metu vykusios apklausos protokole, kuris buvo perskaitytas 2016 m. kovo 3 d. teisiamajame posėdyje, nurodyti O. M. anketiniai duomenys: gim. </w:t>
      </w:r>
      <w:r w:rsidR="003711C2" w:rsidRPr="00055544">
        <w:t>(duomenys neskelbtini)</w:t>
      </w:r>
      <w:r w:rsidRPr="00055544">
        <w:t xml:space="preserve">, tarnavo k/d 7574, gyvenamoji vieta </w:t>
      </w:r>
      <w:r w:rsidR="003711C2" w:rsidRPr="00055544">
        <w:t>(duomenys neskelbtini)</w:t>
      </w:r>
      <w:r w:rsidRPr="00055544">
        <w:t xml:space="preserve"> (</w:t>
      </w:r>
      <w:r w:rsidRPr="00055544">
        <w:rPr>
          <w:rFonts w:eastAsia="Calibri"/>
        </w:rPr>
        <w:t>t</w:t>
      </w:r>
      <w:r w:rsidRPr="00055544">
        <w:t>. 756, b. l. 33–35; t. 438, b. l. 144–150;</w:t>
      </w:r>
      <w:r w:rsidRPr="00055544">
        <w:rPr>
          <w:rFonts w:eastAsia="Calibri"/>
        </w:rPr>
        <w:t xml:space="preserve"> t. 125, b. l. 169</w:t>
      </w:r>
      <w:bookmarkStart w:id="429" w:name="_Hlk61953812"/>
      <w:r w:rsidRPr="00055544">
        <w:t>–</w:t>
      </w:r>
      <w:bookmarkEnd w:id="429"/>
      <w:r w:rsidRPr="00055544">
        <w:rPr>
          <w:rFonts w:eastAsia="Calibri"/>
        </w:rPr>
        <w:t>177</w:t>
      </w:r>
      <w:r w:rsidRPr="00055544">
        <w:t xml:space="preserve">). Tokie patys O. M. anketiniai duomenys nurodyti ir kituose rašytiniuose dokumentuose – Vilniaus apskrities Vyriausiojo policijos komisariato migracijos tarnybos administracijos 2011 m. lapkričio 5 d., 2011 m. lapkričio 21 d. raštuose, buto Vilniuje ir įregistravimo kortelėse (t. 646, b. l. 29–36). Tokie patys O. M. anketiniai duomenys </w:t>
      </w:r>
      <w:r w:rsidRPr="00055544">
        <w:rPr>
          <w:rFonts w:eastAsia="Calibri"/>
        </w:rPr>
        <w:t>nurodyti ir Lietuvos Respublikos generalinės prokuratūros 2013 m. birželio 17 d. prašyme Nr. 17.2-12193 „Pripažinti užsienio valstybės pilietį O. M. įtariamuoju dėl nusikaltimų, už kuriuos numatyta atsakomybė Lietuvos Respublikos tarptautinių sutarčių ir baudžiamojo kodekso 7 straipsnio pagrindais“ (t. 646, b. l. 107</w:t>
      </w:r>
      <w:bookmarkStart w:id="430" w:name="_Hlk64113806"/>
      <w:r w:rsidRPr="00055544">
        <w:t>–</w:t>
      </w:r>
      <w:bookmarkEnd w:id="430"/>
      <w:r w:rsidRPr="00055544">
        <w:rPr>
          <w:rFonts w:eastAsia="Calibri"/>
        </w:rPr>
        <w:t>142) bei Vilniaus miesto apylinkės teismo 2013 m. liepos 11 d. nutarties įžanginėje i</w:t>
      </w:r>
      <w:r w:rsidR="003711C2" w:rsidRPr="00055544">
        <w:rPr>
          <w:rFonts w:eastAsia="Calibri"/>
        </w:rPr>
        <w:t>r rezoliucinėje dalyse (t. 646, </w:t>
      </w:r>
      <w:r w:rsidRPr="00055544">
        <w:rPr>
          <w:rFonts w:eastAsia="Calibri"/>
        </w:rPr>
        <w:t>b. l. 143</w:t>
      </w:r>
      <w:r w:rsidRPr="00055544">
        <w:t>–</w:t>
      </w:r>
      <w:r w:rsidRPr="00055544">
        <w:rPr>
          <w:rFonts w:eastAsia="Calibri"/>
        </w:rPr>
        <w:t xml:space="preserve">173). Atsižvelgiant į išdėstytas aplinkybes, tai, kad minėtos Vilniaus miesto apylinkės teismo nutarties nustatomojoje dalyje įvardijamas ne tas karinis dalinys, kuriame tarnavo nuteistasis O. M., neleidžia teigti, kad įtarimai buvo pareikšti ne nuteistajam O. M., </w:t>
      </w:r>
      <w:r w:rsidRPr="00055544">
        <w:t xml:space="preserve">gim. </w:t>
      </w:r>
      <w:r w:rsidR="003711C2" w:rsidRPr="00055544">
        <w:t>(duomenys neskelbtini)</w:t>
      </w:r>
      <w:r w:rsidRPr="00055544">
        <w:t xml:space="preserve"> ir tarnavusiam TSRS VRM Vidaus kariuomenės 42-ojoje divizijoje</w:t>
      </w:r>
      <w:r w:rsidRPr="00055544">
        <w:rPr>
          <w:rFonts w:eastAsia="Calibri"/>
        </w:rPr>
        <w:t xml:space="preserve">, o neva kitam kariškiui tokiu pačiu vardu ir pavarde, tarnavusiam </w:t>
      </w:r>
      <w:bookmarkStart w:id="431" w:name="_Hlk64114545"/>
      <w:r w:rsidRPr="00055544">
        <w:t>Oro desanto divizijoje</w:t>
      </w:r>
      <w:bookmarkEnd w:id="431"/>
      <w:r w:rsidRPr="00055544">
        <w:rPr>
          <w:rFonts w:eastAsia="Calibri"/>
        </w:rPr>
        <w:t xml:space="preserve">.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3711C2">
        <w:t xml:space="preserve">Teisėjų kolegijos įsitikinimu, pirmosios instancijos teismas teisingai nustatė, kad </w:t>
      </w:r>
      <w:bookmarkStart w:id="432" w:name="_Hlk64126127"/>
      <w:r w:rsidRPr="003711C2">
        <w:t xml:space="preserve">TSRS VRM Vidaus kariuomenės 42-osios divizijos </w:t>
      </w:r>
      <w:bookmarkStart w:id="433" w:name="_Hlk64115441"/>
      <w:bookmarkEnd w:id="432"/>
      <w:r w:rsidRPr="003711C2">
        <w:t xml:space="preserve">konvojaus pulko mokomosios specialiosios paskirties kuopos </w:t>
      </w:r>
      <w:bookmarkEnd w:id="433"/>
      <w:r w:rsidRPr="003711C2">
        <w:t>vadas vyresnysis leitenantas</w:t>
      </w:r>
      <w:r w:rsidRPr="00C00255">
        <w:rPr>
          <w:szCs w:val="24"/>
          <w:lang w:eastAsia="lt-LT"/>
        </w:rPr>
        <w:t xml:space="preserve"> </w:t>
      </w:r>
      <w:r w:rsidRPr="003711C2">
        <w:t>O. M.</w:t>
      </w:r>
      <w:r w:rsidRPr="003711C2">
        <w:rPr>
          <w:rFonts w:eastAsia="Calibri"/>
        </w:rPr>
        <w:t xml:space="preserve"> pats tiesiogiai dalyvavo LRT Radijo pastato užėmime ir </w:t>
      </w:r>
      <w:r w:rsidRPr="003711C2">
        <w:t>buvo vienu iš konvojaus pulko mokomosios specialiosios paskirties kuopos kariškiams vadovavusių karininkų, kurie operacijos metu buvo ginkluoti šautuvais SVD su LPS kulkomis, guminėmis lazdomis, specialiosiomis priemonėmis „Čeriomucha“ (žr. nuosprendžio 514–520 l.;</w:t>
      </w:r>
      <w:r w:rsidRPr="003711C2">
        <w:rPr>
          <w:rFonts w:eastAsia="Calibri"/>
        </w:rPr>
        <w:t xml:space="preserve"> t. 771, b. l. 114–120</w:t>
      </w:r>
      <w:r w:rsidRPr="003711C2">
        <w:t>).</w:t>
      </w:r>
      <w:bookmarkStart w:id="434" w:name="_Hlk62317864"/>
      <w:r w:rsidRPr="00C00255">
        <w:rPr>
          <w:szCs w:val="24"/>
        </w:rPr>
        <w:t xml:space="preserve"> </w:t>
      </w:r>
      <w:bookmarkEnd w:id="434"/>
    </w:p>
    <w:p w:rsidR="003711C2" w:rsidRPr="00055544" w:rsidRDefault="00DA38E9" w:rsidP="003711C2">
      <w:pPr>
        <w:pStyle w:val="ListParagraph"/>
        <w:numPr>
          <w:ilvl w:val="0"/>
          <w:numId w:val="6"/>
        </w:numPr>
        <w:spacing w:after="120"/>
        <w:ind w:left="992" w:hanging="992"/>
        <w:contextualSpacing w:val="0"/>
      </w:pPr>
      <w:bookmarkStart w:id="435" w:name="_Hlk64146345"/>
      <w:bookmarkEnd w:id="426"/>
      <w:r w:rsidRPr="00055544">
        <w:t>Gynyba apeliaciniame skunde iš esmės neginčija, kad O. M. 1991 m. sausio 13 d. naktį dalyvavo įvykiuose prie LRT Radijo pastato bei tuo metu buvo mokomosios specialiosios paskirties kuopos vadas, tačiau</w:t>
      </w:r>
      <w:r w:rsidRPr="00055544">
        <w:rPr>
          <w:rFonts w:eastAsia="Calibri"/>
        </w:rPr>
        <w:t xml:space="preserve"> O. M. </w:t>
      </w:r>
      <w:r w:rsidRPr="00055544">
        <w:t xml:space="preserve">gynėjas </w:t>
      </w:r>
      <w:r w:rsidRPr="00055544">
        <w:rPr>
          <w:rFonts w:eastAsia="Calibri"/>
        </w:rPr>
        <w:t xml:space="preserve">apeliaciniame skunde teigia, kad priimant jo ginamajam apkaltinamąjį nuosprendį, apygardos teismas </w:t>
      </w:r>
      <w:r w:rsidRPr="00055544">
        <w:t xml:space="preserve">neatsižvelgė į ginamojo statusą kariuomenėje bei į tai, kad jis nedalyvavo planuojant ir organizuojant Sausio 13-osios dienos įvykius. Pasak gynėjo, nei O. M., nei jo karinis dalinys neatliko jokių neteisėtų veiksmų ir jie nėra susiję su nustatytais padariniais. Be to, įvykių metu O. M. tik vykdė aukštesnių karininkų įsakymą. </w:t>
      </w:r>
      <w:bookmarkStart w:id="436" w:name="_Hlk64219598"/>
      <w:r w:rsidRPr="00055544">
        <w:t xml:space="preserve">Taip pat nemaža dalis O. M. gynėjo apeliacinio skundo argumentų yra teisinio vertinimo dalykas, o ne fakto klausimai, todėl apie tai teisėjų kolegija pasisakys atskirai kitoje sprendimo dalyje. </w:t>
      </w:r>
      <w:bookmarkStart w:id="437" w:name="_Hlk62565082"/>
      <w:bookmarkEnd w:id="435"/>
      <w:bookmarkEnd w:id="436"/>
    </w:p>
    <w:p w:rsidR="00DA38E9" w:rsidRPr="003711C2" w:rsidRDefault="003711C2" w:rsidP="003711C2">
      <w:pPr>
        <w:pStyle w:val="ListParagraph"/>
        <w:numPr>
          <w:ilvl w:val="1"/>
          <w:numId w:val="6"/>
        </w:numPr>
        <w:spacing w:before="120" w:after="120"/>
        <w:ind w:left="992" w:hanging="992"/>
        <w:contextualSpacing w:val="0"/>
      </w:pPr>
      <w:r w:rsidRPr="003711C2">
        <w:rPr>
          <w:szCs w:val="24"/>
          <w:lang w:eastAsia="lt-LT"/>
        </w:rPr>
        <w:t> </w:t>
      </w:r>
      <w:r w:rsidR="00DA38E9" w:rsidRPr="003711C2">
        <w:rPr>
          <w:szCs w:val="24"/>
          <w:lang w:eastAsia="lt-LT"/>
        </w:rPr>
        <w:t xml:space="preserve">Pirmiausia, dėl </w:t>
      </w:r>
      <w:r w:rsidR="00DA38E9" w:rsidRPr="003711C2">
        <w:rPr>
          <w:szCs w:val="24"/>
          <w:lang w:bidi="lt-LT"/>
        </w:rPr>
        <w:t xml:space="preserve">O. M. dalyvavimo ir vadovavimo </w:t>
      </w:r>
      <w:r w:rsidR="00DA38E9" w:rsidRPr="003711C2">
        <w:rPr>
          <w:szCs w:val="24"/>
        </w:rPr>
        <w:t xml:space="preserve">TSRS VRM Vidaus kariuomenės 42-osios divizijos konvojaus pulko mokomosios specialiosios paskirties kuopos </w:t>
      </w:r>
      <w:r w:rsidR="00DA38E9" w:rsidRPr="003711C2">
        <w:rPr>
          <w:szCs w:val="24"/>
          <w:lang w:bidi="lt-LT"/>
        </w:rPr>
        <w:t xml:space="preserve">kariškiams užimant LRT Radijo pastatą, </w:t>
      </w:r>
      <w:r w:rsidR="00DA38E9" w:rsidRPr="003711C2">
        <w:rPr>
          <w:szCs w:val="24"/>
        </w:rPr>
        <w:t>konstatuota</w:t>
      </w:r>
      <w:r w:rsidR="00DA38E9" w:rsidRPr="003711C2">
        <w:rPr>
          <w:szCs w:val="24"/>
          <w:lang w:bidi="lt-LT"/>
        </w:rPr>
        <w:t xml:space="preserve"> 2014 m. birželio 10 d. specialisto išvadoje (t</w:t>
      </w:r>
      <w:r w:rsidR="00DA38E9" w:rsidRPr="003711C2">
        <w:rPr>
          <w:szCs w:val="24"/>
        </w:rPr>
        <w:t>. 480, b. l. 45</w:t>
      </w:r>
      <w:r w:rsidR="00DA38E9" w:rsidRPr="003711C2">
        <w:rPr>
          <w:szCs w:val="24"/>
          <w:lang w:bidi="lt-LT"/>
        </w:rPr>
        <w:t xml:space="preserve">), </w:t>
      </w:r>
      <w:r w:rsidR="00DA38E9" w:rsidRPr="003711C2">
        <w:rPr>
          <w:szCs w:val="24"/>
        </w:rPr>
        <w:t>kuri paremta iš skirtingų šaltinių gauta duomenų analize. Minėtoje specialisto išvadoje taip pat konstatuota, kad TSRS VRM padaliniai operacijos metu buvo ginkluoti šautuvais 7,62 mm AKM, AKMS, RPK, pistoletais PM ir PSM, lazdomis PR-73, šautuvais SVD su LPS kulkomis, specialiosiomis priemonėmis „Zaria“ ir „Čeriomucha“ (t. 480, b. l. 43–44).</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Teisėjų kolegijos išvadą dėl </w:t>
      </w:r>
      <w:r>
        <w:rPr>
          <w:szCs w:val="24"/>
          <w:lang w:eastAsia="lt-LT"/>
        </w:rPr>
        <w:t>O. M.</w:t>
      </w:r>
      <w:r w:rsidRPr="00C00255">
        <w:rPr>
          <w:szCs w:val="24"/>
          <w:lang w:eastAsia="lt-LT"/>
        </w:rPr>
        <w:t xml:space="preserve"> dalyvavimo ir vadovaujamo vaidmens įvykiuose prie LRT Radijo pastato patvirtina ir byloje esantis </w:t>
      </w:r>
      <w:bookmarkStart w:id="438" w:name="_Hlk65668784"/>
      <w:r w:rsidRPr="00C00255">
        <w:t xml:space="preserve">VRM </w:t>
      </w:r>
      <w:r w:rsidRPr="00C00255">
        <w:rPr>
          <w:szCs w:val="24"/>
        </w:rPr>
        <w:t>Vidaus kariuomenės</w:t>
      </w:r>
      <w:r w:rsidRPr="00C00255">
        <w:t xml:space="preserve"> kariškių </w:t>
      </w:r>
      <w:r w:rsidRPr="00C00255">
        <w:rPr>
          <w:szCs w:val="24"/>
          <w:lang w:eastAsia="lt-LT"/>
        </w:rPr>
        <w:t xml:space="preserve">dalyvavusių prie LRT sąrašas, </w:t>
      </w:r>
      <w:bookmarkStart w:id="439" w:name="_Hlk65707783"/>
      <w:bookmarkEnd w:id="438"/>
      <w:r w:rsidRPr="00C00255">
        <w:rPr>
          <w:szCs w:val="24"/>
        </w:rPr>
        <w:t xml:space="preserve">kurį savo parašu patvirtino kuopos vadas </w:t>
      </w:r>
      <w:r>
        <w:rPr>
          <w:szCs w:val="24"/>
        </w:rPr>
        <w:t>S. F.</w:t>
      </w:r>
      <w:r w:rsidRPr="00C00255">
        <w:rPr>
          <w:szCs w:val="24"/>
        </w:rPr>
        <w:t xml:space="preserve">. Iš jo matyti, kad </w:t>
      </w:r>
      <w:r>
        <w:rPr>
          <w:szCs w:val="24"/>
        </w:rPr>
        <w:t>O. M.</w:t>
      </w:r>
      <w:r w:rsidRPr="00C00255">
        <w:rPr>
          <w:szCs w:val="24"/>
        </w:rPr>
        <w:t xml:space="preserve"> karinis laipsnis buvo vyresnysis leitenantas</w:t>
      </w:r>
      <w:r w:rsidRPr="00C00255">
        <w:t xml:space="preserve">, t. y. </w:t>
      </w:r>
      <w:r w:rsidRPr="00C00255">
        <w:rPr>
          <w:szCs w:val="24"/>
        </w:rPr>
        <w:t xml:space="preserve">pagal turimą karinį laipsnį </w:t>
      </w:r>
      <w:r>
        <w:t>O. M.</w:t>
      </w:r>
      <w:r w:rsidRPr="00C00255">
        <w:t xml:space="preserve"> </w:t>
      </w:r>
      <w:r w:rsidRPr="00C00255">
        <w:rPr>
          <w:szCs w:val="24"/>
        </w:rPr>
        <w:t xml:space="preserve">buvo ketvirtas asmuo iš viso konvojaus pulko, bet jis buvo mokomosios specialiosios paskirties kuopos vadas </w:t>
      </w:r>
      <w:bookmarkEnd w:id="439"/>
      <w:r w:rsidRPr="00C00255">
        <w:rPr>
          <w:szCs w:val="24"/>
        </w:rPr>
        <w:t xml:space="preserve">(t. 438, b. l. 3–5; t. 125, b. l. 2–3). </w:t>
      </w:r>
      <w:bookmarkStart w:id="440" w:name="_Hlk64148353"/>
      <w:r w:rsidRPr="00C00255">
        <w:rPr>
          <w:szCs w:val="24"/>
          <w:lang w:bidi="lt-LT"/>
        </w:rPr>
        <w:t>Tai, kad, kaip teigiama apeliaciniame skunde, n</w:t>
      </w:r>
      <w:r w:rsidRPr="00C00255">
        <w:t xml:space="preserve">uteistasis </w:t>
      </w:r>
      <w:r>
        <w:t>O. M.</w:t>
      </w:r>
      <w:r w:rsidRPr="00C00255">
        <w:t xml:space="preserve"> turėjo tik vyresniojo leitenanto karinį laipsnį ir buvo tik kuopos vadas bei </w:t>
      </w:r>
      <w:bookmarkStart w:id="441" w:name="_Hlk63456844"/>
      <w:r w:rsidRPr="00C00255">
        <w:t xml:space="preserve">nedalyvavo operacijos prie LRT planavimo </w:t>
      </w:r>
      <w:bookmarkEnd w:id="441"/>
      <w:r w:rsidRPr="00C00255">
        <w:t>štabe, nepaneigia ir nesumenkina jo nustatyto vadovaujamo vaidmens užimant LRT Radijo pastatą.</w:t>
      </w:r>
      <w:r w:rsidRPr="00C00255">
        <w:rPr>
          <w:szCs w:val="24"/>
        </w:rPr>
        <w:t xml:space="preserve"> Teisėjų kolegija tokius gynybos argumentus atmeta, vertindama visą bylos medžiagą, aiškiai rodančią apie operacijos eigą, kariškių dalinius, jų tarpusavio ryšius ir eiliniams kariams vadovavusių karininkų laipsnius. Juo labiau, kad ir apeliaciniame skunde neginčijama, jog </w:t>
      </w:r>
      <w:r>
        <w:rPr>
          <w:szCs w:val="24"/>
        </w:rPr>
        <w:t>O. M.</w:t>
      </w:r>
      <w:r w:rsidRPr="00C00255">
        <w:rPr>
          <w:szCs w:val="24"/>
        </w:rPr>
        <w:t xml:space="preserve"> buvo vieno iš pagrindinio VRM karinio dalinio (mokomosios specialiosios paskirties kuopos), dalyvavusio LRT Radijo pastato užėmime, vadas. </w:t>
      </w:r>
      <w:bookmarkStart w:id="442" w:name="_Hlk64142005"/>
      <w:bookmarkEnd w:id="440"/>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bidi="lt-LT"/>
        </w:rPr>
        <w:t xml:space="preserve">Nuteistojo </w:t>
      </w:r>
      <w:r>
        <w:rPr>
          <w:szCs w:val="24"/>
          <w:lang w:bidi="lt-LT"/>
        </w:rPr>
        <w:t>O. M.</w:t>
      </w:r>
      <w:r w:rsidRPr="00C00255">
        <w:rPr>
          <w:szCs w:val="24"/>
          <w:lang w:bidi="lt-LT"/>
        </w:rPr>
        <w:t xml:space="preserve"> užimtas vadovaujamo pobūdžio pareigas LRT Radijo pastato šturmo metu </w:t>
      </w:r>
      <w:r w:rsidRPr="00C00255">
        <w:rPr>
          <w:szCs w:val="24"/>
        </w:rPr>
        <w:t xml:space="preserve">patvirtina ir Šaudmenų rūšiavimo punkto išdavimo ir perdavimo žiniaraščio įrašai apie šaudymo grupei išduotus ir panaudotus šaudmenis 1991 m. sausio 13 d., kurių išdavimą ir panaudojimą parašu patvirtino </w:t>
      </w:r>
      <w:r>
        <w:rPr>
          <w:szCs w:val="24"/>
        </w:rPr>
        <w:t>O. M.</w:t>
      </w:r>
      <w:r w:rsidRPr="00C00255">
        <w:rPr>
          <w:szCs w:val="24"/>
        </w:rPr>
        <w:t xml:space="preserve"> (t. 438, b. l. 15–16). Taip pat iš pažymos</w:t>
      </w:r>
      <w:r w:rsidRPr="00C00255">
        <w:t xml:space="preserve"> „Dėl ginklų, kuriuos turėjo </w:t>
      </w:r>
      <w:r w:rsidRPr="00C00255">
        <w:rPr>
          <w:szCs w:val="24"/>
        </w:rPr>
        <w:t xml:space="preserve">specialios paskirties kuopos k/d 7574 karininkai bei praporščikai“ matyti, kad tarp visų išvardintų karininkų ir praporščikų įvardijamas ir vyresnysis leitenantas </w:t>
      </w:r>
      <w:r>
        <w:rPr>
          <w:szCs w:val="24"/>
        </w:rPr>
        <w:t>O. M.</w:t>
      </w:r>
      <w:r w:rsidRPr="00C00255">
        <w:rPr>
          <w:szCs w:val="24"/>
        </w:rPr>
        <w:t xml:space="preserve"> (t. 438, b. l. 6, 105–107, t. 125, b. l. 4, 106–108). </w:t>
      </w:r>
    </w:p>
    <w:bookmarkEnd w:id="442"/>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 xml:space="preserve">Šiame kontekste teisėjų kolegija pažymi, kad liudytojas </w:t>
      </w:r>
      <w:r w:rsidRPr="003711C2">
        <w:rPr>
          <w:rFonts w:eastAsia="Calibri"/>
        </w:rPr>
        <w:t>TSRS VRM Vidaus kariuomenės 42-osios divizijos artilerinės ginkluotės tarnybos viršininkas</w:t>
      </w:r>
      <w:r w:rsidRPr="00C00255">
        <w:rPr>
          <w:rFonts w:eastAsia="Calibri"/>
          <w:bCs/>
          <w:szCs w:val="24"/>
        </w:rPr>
        <w:t xml:space="preserve"> </w:t>
      </w:r>
      <w:r>
        <w:rPr>
          <w:szCs w:val="24"/>
        </w:rPr>
        <w:t>R. M.</w:t>
      </w:r>
      <w:r w:rsidRPr="00C00255">
        <w:rPr>
          <w:szCs w:val="24"/>
        </w:rPr>
        <w:t xml:space="preserve"> teisiamajame posėdyje patvirtino ikiteisminio tyrimo metu duotus parodymus ir nurodė, kad 1991 m. sausio 13 d. naktį buvo nuvykęs prie LRT pastato. Apsuptoje teritorijoje prie LRT matė krovininius ir ryšio automobilius bei vaikštančius kariškius. LRT </w:t>
      </w:r>
      <w:r w:rsidRPr="00C00255">
        <w:rPr>
          <w:color w:val="000000"/>
          <w:szCs w:val="24"/>
        </w:rPr>
        <w:t xml:space="preserve">pastato kontrolė buvo perimta ten buvusių kariškių, taip pat ir specialiosios paskirties kuopos kariškių. Prie LRT jis matė </w:t>
      </w:r>
      <w:r>
        <w:rPr>
          <w:color w:val="000000"/>
          <w:szCs w:val="24"/>
        </w:rPr>
        <w:t>S. F.</w:t>
      </w:r>
      <w:r w:rsidRPr="00C00255">
        <w:rPr>
          <w:color w:val="000000"/>
          <w:szCs w:val="24"/>
        </w:rPr>
        <w:t xml:space="preserve"> ir </w:t>
      </w:r>
      <w:r>
        <w:rPr>
          <w:color w:val="000000"/>
          <w:szCs w:val="24"/>
        </w:rPr>
        <w:t>O. M.</w:t>
      </w:r>
      <w:r w:rsidRPr="00C00255">
        <w:rPr>
          <w:color w:val="000000"/>
          <w:szCs w:val="24"/>
        </w:rPr>
        <w:t xml:space="preserve">. Be to, prie jo priėjęs </w:t>
      </w:r>
      <w:r>
        <w:rPr>
          <w:color w:val="000000"/>
          <w:szCs w:val="24"/>
        </w:rPr>
        <w:t>O. M.</w:t>
      </w:r>
      <w:r w:rsidRPr="00C00255">
        <w:rPr>
          <w:color w:val="000000"/>
          <w:szCs w:val="24"/>
        </w:rPr>
        <w:t xml:space="preserve"> paklausė, kur yra atvežti tušti šoviniai, jam nurodžius, kur yra atvežti tušti šoviniai, </w:t>
      </w:r>
      <w:r w:rsidRPr="00C00255">
        <w:rPr>
          <w:szCs w:val="24"/>
        </w:rPr>
        <w:t xml:space="preserve">kartu su </w:t>
      </w:r>
      <w:r>
        <w:rPr>
          <w:szCs w:val="24"/>
        </w:rPr>
        <w:t>O. M.</w:t>
      </w:r>
      <w:r w:rsidRPr="00C00255">
        <w:rPr>
          <w:szCs w:val="24"/>
        </w:rPr>
        <w:t xml:space="preserve"> ir kitais kariškiais juos iškrovė (t. 760, b. l. 141–142; </w:t>
      </w:r>
      <w:r w:rsidRPr="00C00255">
        <w:rPr>
          <w:color w:val="000000"/>
          <w:szCs w:val="24"/>
        </w:rPr>
        <w:t xml:space="preserve">t. 477, b. l. 7–15; </w:t>
      </w:r>
      <w:r w:rsidRPr="00C00255">
        <w:t>t. 46, b. l. 264</w:t>
      </w:r>
      <w:r w:rsidRPr="00C00255">
        <w:rPr>
          <w:color w:val="000000"/>
          <w:szCs w:val="24"/>
        </w:rPr>
        <w:t>–</w:t>
      </w:r>
      <w:r w:rsidRPr="00C00255">
        <w:t>265</w:t>
      </w:r>
      <w:r w:rsidRPr="00C00255">
        <w:rPr>
          <w:szCs w:val="24"/>
        </w:rPr>
        <w:t xml:space="preserve">). Tai, kad šiai kuopai 1991 m. sausio 13 d. įvykių metu vadovavo </w:t>
      </w:r>
      <w:r>
        <w:rPr>
          <w:szCs w:val="24"/>
        </w:rPr>
        <w:t>O. M.</w:t>
      </w:r>
      <w:r w:rsidRPr="00C00255">
        <w:rPr>
          <w:szCs w:val="24"/>
        </w:rPr>
        <w:t xml:space="preserve"> teisiamajame posėdyje nurodė ir liudytojas TSRS VRM Vidaus kariuomenės 42-osios divizijos ginklų sandėlio viršininkas </w:t>
      </w:r>
      <w:r>
        <w:rPr>
          <w:szCs w:val="24"/>
        </w:rPr>
        <w:t>H. N.</w:t>
      </w:r>
      <w:r w:rsidRPr="00C00255">
        <w:rPr>
          <w:szCs w:val="24"/>
        </w:rPr>
        <w:t xml:space="preserve"> (t. 760, b. l. 140–145).</w:t>
      </w:r>
      <w:r w:rsidRPr="00C00255">
        <w:rPr>
          <w:szCs w:val="24"/>
          <w:lang w:eastAsia="lt-LT"/>
        </w:rPr>
        <w:t xml:space="preserve"> Teisėjų kolegijos įsitikinimu, šių duomenų visuma leidžia daryti išvadą ne tik apie </w:t>
      </w:r>
      <w:r>
        <w:rPr>
          <w:szCs w:val="24"/>
          <w:lang w:eastAsia="lt-LT"/>
        </w:rPr>
        <w:t>O. M.</w:t>
      </w:r>
      <w:r w:rsidRPr="00C00255">
        <w:rPr>
          <w:szCs w:val="24"/>
          <w:lang w:eastAsia="lt-LT"/>
        </w:rPr>
        <w:t xml:space="preserve"> dalyvavimą įvykiuose prie LRT, bet ir apie pakankamai aukštą jo rangą bei vadovaujamą vaidmenį šios operacijos metu.</w:t>
      </w:r>
    </w:p>
    <w:p w:rsidR="00DA38E9" w:rsidRPr="00C00255" w:rsidRDefault="00DA38E9" w:rsidP="00DA38E9">
      <w:pPr>
        <w:pStyle w:val="ListParagraph"/>
        <w:numPr>
          <w:ilvl w:val="0"/>
          <w:numId w:val="6"/>
        </w:numPr>
        <w:ind w:left="993" w:hanging="993"/>
        <w:rPr>
          <w:color w:val="000000"/>
          <w:szCs w:val="24"/>
          <w:lang w:eastAsia="lt-LT" w:bidi="lt-LT"/>
        </w:rPr>
      </w:pPr>
      <w:r w:rsidRPr="00C00255">
        <w:rPr>
          <w:szCs w:val="24"/>
          <w:lang w:eastAsia="lt-LT"/>
        </w:rPr>
        <w:t xml:space="preserve">Taigi, vien minėti įrodymai patvirtina, kad </w:t>
      </w:r>
      <w:bookmarkStart w:id="443" w:name="_Hlk67523106"/>
      <w:r w:rsidRPr="003711C2">
        <w:rPr>
          <w:rFonts w:eastAsia="Calibri"/>
        </w:rPr>
        <w:t xml:space="preserve">TSRS VRM Vidaus kariuomenės 42-osios divizijos konvojaus pulko </w:t>
      </w:r>
      <w:bookmarkEnd w:id="443"/>
      <w:r w:rsidRPr="003711C2">
        <w:t>mokomosios specialiosios paskirties kuopos vadas O. M. vadovavo šios kuopos kariškiams užimant LRT Radijo pastatą. Teisėjų kolegija pažymi, kad vidinį įsitikinimą apie O. M. dalyvavimą ir jo vadovaujamą vaidmenį LRT Radijo pastato užėmimo metu formuoja i</w:t>
      </w:r>
      <w:r w:rsidRPr="00C00255">
        <w:rPr>
          <w:szCs w:val="24"/>
          <w:lang w:eastAsia="lt-LT"/>
        </w:rPr>
        <w:t>r teisiamajame posėdyje perskaityti ikiteisminio tyrimo metu liudytojais apklaustų kitų TSRS VRM Vidaus kariuomenės 42-osios divizijos konvojaus pulko ir mokomosios specialiosios paskirties kuopos kariškių parodymai (</w:t>
      </w:r>
      <w:r w:rsidRPr="00C00255">
        <w:rPr>
          <w:szCs w:val="24"/>
        </w:rPr>
        <w:t>t. 760, b. l. 146, 147–148, 151–152</w:t>
      </w:r>
      <w:r w:rsidRPr="00C00255">
        <w:rPr>
          <w:szCs w:val="24"/>
          <w:lang w:eastAsia="lt-LT"/>
        </w:rPr>
        <w:t xml:space="preserve">). </w:t>
      </w:r>
    </w:p>
    <w:bookmarkEnd w:id="437"/>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E67B7E">
        <w:t>L</w:t>
      </w:r>
      <w:r w:rsidRPr="00E67B7E">
        <w:rPr>
          <w:rFonts w:eastAsia="Calibri"/>
        </w:rPr>
        <w:t>iudytoju apklaustas mokomosios specialiosios paskirties kuopos seržantas M. V. nurodė, kad 1991 m. sausio 13 d. naktį su kitais kariškiais BTR šarvuotais transporteriais vyko prie LRT. Atvykus prie LRT, jis su kitais kariškiais įėjo į LRT pastatą, kur j</w:t>
      </w:r>
      <w:r w:rsidRPr="00E67B7E">
        <w:t>ų kuopos vadas – vyresnysis leitenantas O. M., įsakė jam ir jo pavaldiniams būti pastate ir laukti papildomų nurodymų.</w:t>
      </w:r>
      <w:r w:rsidRPr="00E67B7E">
        <w:rPr>
          <w:rFonts w:eastAsia="Calibri"/>
        </w:rPr>
        <w:t xml:space="preserve"> </w:t>
      </w:r>
      <w:r w:rsidRPr="00E67B7E">
        <w:t>Po pusvalandžio gavo komandą išeiti į gatvę ir stoti į kareivių grandinę, siekiant sulaikyti žmonių minią. Stovėjo tarp žmonių minios ir jų BTR kolonos važiuojamoje kelio dalyje, veidu į minią</w:t>
      </w:r>
      <w:r w:rsidRPr="00C00255">
        <w:rPr>
          <w:bCs/>
          <w:color w:val="000000"/>
        </w:rPr>
        <w:t xml:space="preserve"> </w:t>
      </w:r>
      <w:r w:rsidRPr="00E67B7E">
        <w:rPr>
          <w:rFonts w:eastAsia="Calibri"/>
        </w:rPr>
        <w:t>(t. 439, b. l. 70</w:t>
      </w:r>
      <w:r w:rsidRPr="00E67B7E">
        <w:t>–</w:t>
      </w:r>
      <w:r w:rsidRPr="00E67B7E">
        <w:rPr>
          <w:rFonts w:eastAsia="Calibri"/>
        </w:rPr>
        <w:t>73; t. 126, b. l. 101</w:t>
      </w:r>
      <w:r w:rsidRPr="00E67B7E">
        <w:t>–</w:t>
      </w:r>
      <w:r w:rsidRPr="00E67B7E">
        <w:rPr>
          <w:rFonts w:eastAsia="Calibri"/>
        </w:rPr>
        <w:t>105).</w:t>
      </w:r>
      <w:r w:rsidRPr="00C00255">
        <w:rPr>
          <w:rFonts w:eastAsia="Calibri"/>
          <w:color w:val="000000" w:themeColor="text1"/>
        </w:rPr>
        <w:t xml:space="preserve"> </w:t>
      </w:r>
    </w:p>
    <w:p w:rsidR="00DA38E9" w:rsidRPr="00055544" w:rsidRDefault="00DA38E9" w:rsidP="00DA38E9">
      <w:pPr>
        <w:pStyle w:val="ListParagraph"/>
        <w:numPr>
          <w:ilvl w:val="1"/>
          <w:numId w:val="6"/>
        </w:numPr>
        <w:spacing w:before="120" w:after="120"/>
        <w:ind w:left="993" w:hanging="993"/>
        <w:contextualSpacing w:val="0"/>
      </w:pPr>
      <w:r w:rsidRPr="00055544">
        <w:rPr>
          <w:rFonts w:eastAsia="Calibri"/>
        </w:rPr>
        <w:t>Liudytojas būrio vado pavaduotojas viršila A. K. nurodė, kad jis 1991 m. sausio 13 d. dalyvavo įvykiuose prie LRT, kur atvažiavo BTR šarvuotu transporteriu kartu su kuopos vadu vyresniuoju leitenantu O. M., kuris buvo BTR vyresnysis.</w:t>
      </w:r>
      <w:r w:rsidRPr="00055544">
        <w:rPr>
          <w:rFonts w:eastAsia="Calibri"/>
          <w:color w:val="000000" w:themeColor="text1"/>
        </w:rPr>
        <w:t xml:space="preserve"> </w:t>
      </w:r>
      <w:r w:rsidRPr="00055544">
        <w:rPr>
          <w:rFonts w:eastAsia="Calibri"/>
        </w:rPr>
        <w:t>Atvykę prie LRT, padėjo desantininkams nustumti žmones nuo pastato. Kartu su desantininkais įveikė žmonių pasipriešinimą (t. 438, b. l. 127</w:t>
      </w:r>
      <w:r w:rsidRPr="00055544">
        <w:t>–</w:t>
      </w:r>
      <w:r w:rsidRPr="00055544">
        <w:rPr>
          <w:rFonts w:eastAsia="Calibri"/>
        </w:rPr>
        <w:t>130; t. 125, b. l. 146</w:t>
      </w:r>
      <w:r w:rsidRPr="00055544">
        <w:t>–</w:t>
      </w:r>
      <w:r w:rsidRPr="00055544">
        <w:rPr>
          <w:rFonts w:eastAsia="Calibri"/>
        </w:rPr>
        <w:t>149).</w:t>
      </w:r>
    </w:p>
    <w:p w:rsidR="00DA38E9" w:rsidRPr="00055544" w:rsidRDefault="00DA38E9" w:rsidP="00DA38E9">
      <w:pPr>
        <w:pStyle w:val="ListParagraph"/>
        <w:numPr>
          <w:ilvl w:val="1"/>
          <w:numId w:val="6"/>
        </w:numPr>
        <w:spacing w:before="120" w:after="120"/>
        <w:ind w:left="993" w:hanging="993"/>
        <w:contextualSpacing w:val="0"/>
      </w:pPr>
      <w:r w:rsidRPr="00055544">
        <w:rPr>
          <w:rFonts w:eastAsia="Calibri"/>
        </w:rPr>
        <w:t xml:space="preserve">Liudytojas </w:t>
      </w:r>
      <w:r w:rsidRPr="00055544">
        <w:t xml:space="preserve">skyriaus vadas seržantas </w:t>
      </w:r>
      <w:r w:rsidRPr="00055544">
        <w:rPr>
          <w:rFonts w:eastAsia="Calibri"/>
        </w:rPr>
        <w:t>K. G. nurodė, kad 1991 m. sausio 13 d., apie 1.00 val. jų specialiosios paskirties mokomąją kuopą pakėlė kuopos vadas vyresnysis leitenantas O. M. bei įsakė gauti ginklus ir šaudmenis. Kuopos vadas, išrikiavęs juos kareivinėse, įsakė sėstis į BTR. Minėtu transportu jie atvyko prie LRT. Jo skyrius saugojo BTR koloną. Maždaug po 5 min. nuo jų atvykimo prie pastato desantininkai ir jų kariai privertė minią pasitraukti nuo LRT pastato (t. 438, b. l. 114</w:t>
      </w:r>
      <w:r w:rsidRPr="00055544">
        <w:t>–</w:t>
      </w:r>
      <w:r w:rsidRPr="00055544">
        <w:rPr>
          <w:rFonts w:eastAsia="Calibri"/>
        </w:rPr>
        <w:t>117; t. 125, b. l. 124</w:t>
      </w:r>
      <w:r w:rsidRPr="00055544">
        <w:t>–</w:t>
      </w:r>
      <w:r w:rsidRPr="00055544">
        <w:rPr>
          <w:rFonts w:eastAsia="Calibri"/>
        </w:rPr>
        <w:t xml:space="preserve">127). </w:t>
      </w:r>
    </w:p>
    <w:p w:rsidR="00DA38E9" w:rsidRPr="00055544" w:rsidRDefault="00DA38E9" w:rsidP="00DA38E9">
      <w:pPr>
        <w:pStyle w:val="ListParagraph"/>
        <w:numPr>
          <w:ilvl w:val="1"/>
          <w:numId w:val="6"/>
        </w:numPr>
        <w:spacing w:before="120" w:after="120"/>
        <w:ind w:left="993" w:hanging="993"/>
        <w:contextualSpacing w:val="0"/>
        <w:rPr>
          <w:color w:val="000000"/>
          <w:szCs w:val="24"/>
          <w:lang w:eastAsia="lt-LT" w:bidi="lt-LT"/>
        </w:rPr>
      </w:pPr>
      <w:r w:rsidRPr="00055544">
        <w:rPr>
          <w:rFonts w:eastAsia="Calibri"/>
        </w:rPr>
        <w:t>Liudytojas šaulys eilinis M. G. nurodė, kad jo kuopos vadas buvo vyresnysis leitenantas O. M..</w:t>
      </w:r>
      <w:r w:rsidRPr="00055544">
        <w:t xml:space="preserve"> </w:t>
      </w:r>
      <w:r w:rsidRPr="00055544">
        <w:rPr>
          <w:rFonts w:eastAsia="Calibri"/>
        </w:rPr>
        <w:t xml:space="preserve">1991 m. sausio 13 d. naktį jų kuopa buvo pakelta pagal signalą „rinktis“. Apsirengus </w:t>
      </w:r>
      <w:bookmarkStart w:id="444" w:name="_Hlk62550146"/>
      <w:r w:rsidRPr="00055544">
        <w:rPr>
          <w:rFonts w:eastAsia="Calibri"/>
        </w:rPr>
        <w:t>ir apsiginklavus</w:t>
      </w:r>
      <w:bookmarkEnd w:id="444"/>
      <w:r w:rsidRPr="00055544">
        <w:rPr>
          <w:rFonts w:eastAsia="Calibri"/>
        </w:rPr>
        <w:t>, kuopos vadas patikrino visų ginkluotę ir davė komandą vykti prie šarvuotųjų transporterių BTR. Po ginklų patikrinimo kuopos vadas nustatė ginklų naudojimo tvarką. Kuopos vadui įsakius, įlipo į BTR, po to nuvažiavo prie LRT pastato (t. 439, b</w:t>
      </w:r>
      <w:r w:rsidR="00E67B7E" w:rsidRPr="00055544">
        <w:rPr>
          <w:rFonts w:eastAsia="Calibri"/>
        </w:rPr>
        <w:t>. l. 57–59; t. 126, </w:t>
      </w:r>
      <w:r w:rsidRPr="00055544">
        <w:rPr>
          <w:rFonts w:eastAsia="Calibri"/>
        </w:rPr>
        <w:t xml:space="preserve">b. l. 77–84). </w:t>
      </w:r>
    </w:p>
    <w:p w:rsidR="00DA38E9" w:rsidRPr="00055544" w:rsidRDefault="00DA38E9" w:rsidP="00DA38E9">
      <w:pPr>
        <w:pStyle w:val="ListParagraph"/>
        <w:numPr>
          <w:ilvl w:val="1"/>
          <w:numId w:val="6"/>
        </w:numPr>
        <w:spacing w:before="120" w:after="120"/>
        <w:ind w:left="993" w:hanging="993"/>
        <w:contextualSpacing w:val="0"/>
        <w:rPr>
          <w:color w:val="000000"/>
          <w:szCs w:val="24"/>
          <w:lang w:eastAsia="lt-LT" w:bidi="lt-LT"/>
        </w:rPr>
      </w:pPr>
      <w:r w:rsidRPr="00055544">
        <w:rPr>
          <w:rFonts w:eastAsia="Calibri"/>
        </w:rPr>
        <w:t xml:space="preserve">Be to, ne vienas liudytoju apklaustas kariškis, pavyzdžiui, </w:t>
      </w:r>
      <w:bookmarkStart w:id="445" w:name="_Hlk65706650"/>
      <w:bookmarkStart w:id="446" w:name="_Hlk65709876"/>
      <w:r w:rsidRPr="00055544">
        <w:rPr>
          <w:rFonts w:eastAsia="Calibri"/>
        </w:rPr>
        <w:t>vyresnysis šaulys–granatsvaidininkas eilinis</w:t>
      </w:r>
      <w:bookmarkEnd w:id="445"/>
      <w:r w:rsidRPr="00055544">
        <w:rPr>
          <w:rFonts w:eastAsia="Calibri"/>
        </w:rPr>
        <w:t xml:space="preserve"> </w:t>
      </w:r>
      <w:bookmarkEnd w:id="446"/>
      <w:r w:rsidRPr="00055544">
        <w:rPr>
          <w:rFonts w:eastAsia="Calibri"/>
        </w:rPr>
        <w:t>D. K. (t. 438, b. l. 138</w:t>
      </w:r>
      <w:r w:rsidRPr="00055544">
        <w:t>–</w:t>
      </w:r>
      <w:r w:rsidRPr="00055544">
        <w:rPr>
          <w:rFonts w:eastAsia="Calibri"/>
        </w:rPr>
        <w:t>140; t. 125, b. l. 158</w:t>
      </w:r>
      <w:r w:rsidRPr="00055544">
        <w:t>–</w:t>
      </w:r>
      <w:r w:rsidRPr="00055544">
        <w:rPr>
          <w:rFonts w:eastAsia="Calibri"/>
        </w:rPr>
        <w:t>163), šaulys eilinis V. J. (t. 438, b. l. 151</w:t>
      </w:r>
      <w:r w:rsidRPr="00055544">
        <w:t>–</w:t>
      </w:r>
      <w:r w:rsidRPr="00055544">
        <w:rPr>
          <w:rFonts w:eastAsia="Calibri"/>
        </w:rPr>
        <w:t>153; t. 125, b. l. 178</w:t>
      </w:r>
      <w:r w:rsidRPr="00055544">
        <w:t>–</w:t>
      </w:r>
      <w:r w:rsidRPr="00055544">
        <w:rPr>
          <w:rFonts w:eastAsia="Calibri"/>
        </w:rPr>
        <w:t>183), šaulys eilinis A. K. (t. 438, b. l. 174</w:t>
      </w:r>
      <w:r w:rsidRPr="00055544">
        <w:t>–</w:t>
      </w:r>
      <w:r w:rsidRPr="00055544">
        <w:rPr>
          <w:rFonts w:eastAsia="Calibri"/>
        </w:rPr>
        <w:t>176; t. 125, b. l. 207</w:t>
      </w:r>
      <w:r w:rsidRPr="00055544">
        <w:t>–</w:t>
      </w:r>
      <w:r w:rsidRPr="00055544">
        <w:rPr>
          <w:rFonts w:eastAsia="Calibri"/>
        </w:rPr>
        <w:t xml:space="preserve">211), </w:t>
      </w:r>
      <w:bookmarkStart w:id="447" w:name="_Hlk65706621"/>
      <w:r w:rsidRPr="00055544">
        <w:rPr>
          <w:rFonts w:eastAsia="Calibri"/>
        </w:rPr>
        <w:t xml:space="preserve">vyresnysis šaulys–granatsvaidininkas eilinis </w:t>
      </w:r>
      <w:bookmarkEnd w:id="447"/>
      <w:r w:rsidRPr="00055544">
        <w:rPr>
          <w:rFonts w:eastAsia="Calibri"/>
        </w:rPr>
        <w:t>B. Z. (t. 439, b. l. 47</w:t>
      </w:r>
      <w:r w:rsidRPr="00055544">
        <w:t>–</w:t>
      </w:r>
      <w:r w:rsidRPr="00055544">
        <w:rPr>
          <w:rFonts w:eastAsia="Calibri"/>
        </w:rPr>
        <w:t>50; t. 126, b. l. 62</w:t>
      </w:r>
      <w:r w:rsidRPr="00055544">
        <w:t>–</w:t>
      </w:r>
      <w:r w:rsidRPr="00055544">
        <w:rPr>
          <w:rFonts w:eastAsia="Calibri"/>
        </w:rPr>
        <w:t>65), mokomosios specialiosios paskirties kuopos 3-iojo būrio vado pavaduotojas vyresnysis seržantas S. M. (t. 439, b. l. 107</w:t>
      </w:r>
      <w:r w:rsidRPr="00055544">
        <w:t>–</w:t>
      </w:r>
      <w:r w:rsidRPr="00055544">
        <w:rPr>
          <w:rFonts w:eastAsia="Calibri"/>
        </w:rPr>
        <w:t>109; t. 126, b. l. 166</w:t>
      </w:r>
      <w:r w:rsidRPr="00055544">
        <w:t>–</w:t>
      </w:r>
      <w:r w:rsidRPr="00055544">
        <w:rPr>
          <w:rFonts w:eastAsia="Calibri"/>
        </w:rPr>
        <w:t>172), šaulys eilinis J. T. (t. 438, b. l. 123</w:t>
      </w:r>
      <w:r w:rsidRPr="00055544">
        <w:t>–</w:t>
      </w:r>
      <w:r w:rsidRPr="00055544">
        <w:rPr>
          <w:rFonts w:eastAsia="Calibri"/>
        </w:rPr>
        <w:t>126; t. 439, b. l. 79</w:t>
      </w:r>
      <w:r w:rsidRPr="00055544">
        <w:t>–</w:t>
      </w:r>
      <w:r w:rsidRPr="00055544">
        <w:rPr>
          <w:rFonts w:eastAsia="Calibri"/>
        </w:rPr>
        <w:t>80; t. 125, b. l. 138</w:t>
      </w:r>
      <w:r w:rsidRPr="00055544">
        <w:t>–</w:t>
      </w:r>
      <w:r w:rsidRPr="00055544">
        <w:rPr>
          <w:rFonts w:eastAsia="Calibri"/>
        </w:rPr>
        <w:t>145; t. 126, b. l. 115</w:t>
      </w:r>
      <w:r w:rsidRPr="00055544">
        <w:t>–</w:t>
      </w:r>
      <w:r w:rsidRPr="00055544">
        <w:rPr>
          <w:rFonts w:eastAsia="Calibri"/>
        </w:rPr>
        <w:t>117) nurodė, kad tarnavo mokomojoje kuopoje, kurios vadas buvo vyresnysis leitenantas O. M..</w:t>
      </w:r>
      <w:r w:rsidRPr="00055544">
        <w:rPr>
          <w:rFonts w:eastAsia="Calibri"/>
          <w:color w:val="000000" w:themeColor="text1"/>
        </w:rPr>
        <w:t xml:space="preserve"> </w:t>
      </w:r>
      <w:r w:rsidRPr="00055544">
        <w:rPr>
          <w:rFonts w:eastAsia="Calibri"/>
        </w:rPr>
        <w:t>1991 m. sausio 13 d., apie 00.30 val. jų kuopa buvo pakviesta susirinkti pagal komandą „pasiruošti“. Apsirengus maskuojančia uniforma (neperšaunama liemene ir metaliniu šalmu „sfera“) ir apsiginklavus (Kalašnikovo automatais (AKMS) 7,62 mm kalibro su viena arba dviem dėtuve (-ėmis) po 10 tuščių šovinių ir guminėmis lazdomis PR-73), iš dalinio išvažiavo BTR. Pirmiausia karine technika nuvažiavo į Šiaurės miestelį, o po to, nuvažiavę prie LRT pastato ir išlipę iš BTR, kartu su kitais kariais atsistojo į grandinę ir vykdė užduotį neleisti minios prie LRT pastato.</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bidi="lt-LT"/>
        </w:rPr>
        <w:t>Teisėjų kolegija pažymi, kad aptarti liudytojų parodymai tiek dėl vykimo maršruto (iš dalinio vyko į Šiaurės miestelį, o iš jo prie LRT), tiek dėl transporto priemonių (BTR šarvuotų transporterių), tiek dėl aprangos (</w:t>
      </w:r>
      <w:r w:rsidRPr="00C00255">
        <w:rPr>
          <w:rFonts w:eastAsia="Calibri"/>
          <w:color w:val="000000" w:themeColor="text1"/>
        </w:rPr>
        <w:t xml:space="preserve">dėvėjo maskuojančią formą, neperšaunamas liemenes ir buvo užsidėję metalinius šalmus „sfera“) </w:t>
      </w:r>
      <w:r w:rsidRPr="00C00255">
        <w:rPr>
          <w:szCs w:val="24"/>
        </w:rPr>
        <w:t xml:space="preserve">sutapo tarpusavyje, taip pat sutapo ir su 2014 m. birželio 10 d. specialisto išvadoje nurodytomis aplinkybėmis bei pateiktomis išvadomis. </w:t>
      </w:r>
      <w:r w:rsidRPr="00C00255">
        <w:t>Kaip matyti, t</w:t>
      </w:r>
      <w:r w:rsidRPr="00C00255">
        <w:rPr>
          <w:szCs w:val="24"/>
          <w:lang w:eastAsia="lt-LT"/>
        </w:rPr>
        <w:t xml:space="preserve">eismo išvadų patikimumą patvirtinantys aptarti </w:t>
      </w:r>
      <w:r w:rsidRPr="00C00255">
        <w:rPr>
          <w:szCs w:val="24"/>
          <w:lang w:eastAsia="lt-LT" w:bidi="lt-LT"/>
        </w:rPr>
        <w:t xml:space="preserve">liudytojų parodymai paaiškina teisiamajame posėdyje apklaustų liudytojų parodymus ir byloje surinktus rašytinius įrodymus bei detalizuoja, kuo pasireiškė </w:t>
      </w:r>
      <w:r>
        <w:rPr>
          <w:szCs w:val="24"/>
          <w:lang w:eastAsia="lt-LT" w:bidi="lt-LT"/>
        </w:rPr>
        <w:t>O. M.</w:t>
      </w:r>
      <w:r w:rsidRPr="00C00255">
        <w:rPr>
          <w:szCs w:val="24"/>
          <w:lang w:eastAsia="lt-LT" w:bidi="lt-LT"/>
        </w:rPr>
        <w:t xml:space="preserve"> vadovaujamo pobūdžio veiksmai prie LRT Radijo pastato. Aptartuose liudytojų parodymuose detalizuojamas šio nuteistojo išskirtinis vaidmuo TSRS VRM Vidaus kariuomenės 42-osios divizijos konvojaus pulko mokomosios specialiosios paskirties kuopos kariškiams vykstant ir jau atvykus prie LRT Radijo pastato. </w:t>
      </w:r>
    </w:p>
    <w:p w:rsidR="00DA38E9" w:rsidRPr="00E67B7E" w:rsidRDefault="00DA38E9" w:rsidP="00DA38E9">
      <w:pPr>
        <w:pStyle w:val="ListParagraph"/>
        <w:numPr>
          <w:ilvl w:val="0"/>
          <w:numId w:val="6"/>
        </w:numPr>
        <w:spacing w:before="120" w:after="120"/>
        <w:ind w:left="993" w:hanging="993"/>
        <w:contextualSpacing w:val="0"/>
      </w:pPr>
      <w:bookmarkStart w:id="448" w:name="_Hlk62577295"/>
      <w:r w:rsidRPr="00C00255">
        <w:t xml:space="preserve">Teisėjų kolegijos įsitikinimu, pirmiau aptarti rašytiniai bylos įrodymai, liudytojų parodymai bei chronologinė įvykių seka rodo, kad </w:t>
      </w:r>
      <w:bookmarkStart w:id="449" w:name="_Hlk62553753"/>
      <w:r w:rsidRPr="00C00255">
        <w:t xml:space="preserve">TSRS VRM Vidaus kariuomenės 42-osios divizijos </w:t>
      </w:r>
      <w:r w:rsidRPr="00C00255">
        <w:rPr>
          <w:rFonts w:eastAsia="Calibri"/>
        </w:rPr>
        <w:t xml:space="preserve">konvojaus pulko </w:t>
      </w:r>
      <w:r w:rsidRPr="00C00255">
        <w:t xml:space="preserve">mokomosios specialiosios paskirties </w:t>
      </w:r>
      <w:r w:rsidRPr="00E67B7E">
        <w:rPr>
          <w:rFonts w:eastAsia="Calibri"/>
        </w:rPr>
        <w:t>kuopos kariškiai</w:t>
      </w:r>
      <w:bookmarkEnd w:id="449"/>
      <w:r w:rsidRPr="00E67B7E">
        <w:rPr>
          <w:rFonts w:eastAsia="Calibri"/>
        </w:rPr>
        <w:t xml:space="preserve">, vadovaujami vyresniojo leitenanto O. M., ne tik BTR šarvuotais transporteriais </w:t>
      </w:r>
      <w:r w:rsidRPr="00E67B7E">
        <w:t>atvyko prie LRT užtikrinti viešąją tvarką ir perimti pastatų apsaugą</w:t>
      </w:r>
      <w:r w:rsidRPr="00E67B7E">
        <w:rPr>
          <w:rFonts w:eastAsia="Calibri"/>
        </w:rPr>
        <w:t xml:space="preserve">, kaip teigiama apeliaciniame skunde, tačiau pagal kuopos vado paskirstytas užduotis atliko aktyvius veiksmus, siekdami prasibrauti ir užimti (padėti užimti) </w:t>
      </w:r>
      <w:r w:rsidRPr="00E67B7E">
        <w:t>LRT Radijo pastatą</w:t>
      </w:r>
      <w:r w:rsidRPr="00E67B7E">
        <w:rPr>
          <w:rFonts w:eastAsia="Calibri"/>
        </w:rPr>
        <w:t xml:space="preserve">. </w:t>
      </w:r>
      <w:r w:rsidRPr="00E67B7E">
        <w:t xml:space="preserve">Šiame kontekste nepagrįstai apeliaciniame skunde teigiama, kad atvykus TSRS VRM Vidaus kariuomenės 42-osios divizijos </w:t>
      </w:r>
      <w:r w:rsidRPr="00E67B7E">
        <w:rPr>
          <w:rFonts w:eastAsia="Calibri"/>
        </w:rPr>
        <w:t xml:space="preserve">konvojaus pulko </w:t>
      </w:r>
      <w:r w:rsidRPr="00E67B7E">
        <w:t xml:space="preserve">mokomosios specialiosios paskirties </w:t>
      </w:r>
      <w:r w:rsidRPr="00E67B7E">
        <w:rPr>
          <w:rFonts w:eastAsia="Calibri"/>
        </w:rPr>
        <w:t xml:space="preserve">kuopos kariškiams, Oro desanto divizijos kariškiai jau buvo užėmę LRT Radijo pastatą. Priešingai nei teigiama apeliaciniame skunde, tokia išvada nepateikta ir </w:t>
      </w:r>
      <w:r w:rsidRPr="00E67B7E">
        <w:t xml:space="preserve">2014 m. birželio 10 d. specialisto išvadoje, joje konstatuota, kad VRM kariškiai prisijungė prie desantininkų grupės, vadovaujamos kapitono J. G., atvykusios paskui VRM koloną kariniu automobiliu URAL, ir kartu su VSK ,,A“ 5 kariškių grupe vykdė LRT 4 aukšto pastato užėmimą (t. 480, b. l. 57) bei, kaip šioje sprendimo dalyje (šio sprendimo 579.3. pastraipa) aptartais įrodymais nustatyta, aktyviais veiksmais siekė prasibrauti ir užimti LRT Radijo pastatą. </w:t>
      </w:r>
    </w:p>
    <w:p w:rsidR="00DA38E9" w:rsidRPr="00E67B7E" w:rsidRDefault="00DA38E9" w:rsidP="00DA38E9">
      <w:pPr>
        <w:pStyle w:val="ListParagraph"/>
        <w:numPr>
          <w:ilvl w:val="0"/>
          <w:numId w:val="6"/>
        </w:numPr>
        <w:spacing w:after="120"/>
        <w:ind w:left="992" w:hanging="992"/>
        <w:contextualSpacing w:val="0"/>
      </w:pPr>
      <w:r w:rsidRPr="00C00255">
        <w:rPr>
          <w:szCs w:val="24"/>
          <w:lang w:bidi="lt-LT"/>
        </w:rPr>
        <w:t xml:space="preserve">Taigi, </w:t>
      </w:r>
      <w:r w:rsidRPr="00C00255">
        <w:rPr>
          <w:szCs w:val="24"/>
        </w:rPr>
        <w:t xml:space="preserve">teisėjų kolegijai nekyla jokių abejonių, kad tiriamų įvykių metu </w:t>
      </w:r>
      <w:r>
        <w:rPr>
          <w:szCs w:val="24"/>
        </w:rPr>
        <w:t>O. M.</w:t>
      </w:r>
      <w:r w:rsidRPr="00C00255">
        <w:rPr>
          <w:szCs w:val="24"/>
        </w:rPr>
        <w:t xml:space="preserve"> ėjo vadovaujamo pobūdžio pareigas TSRS VRM Vidaus kariuomenės 42-osios divizijos konvojaus pulko mokomosios specialiosios paskirties kuopoje ir pagal užimamas pareigas, užduočių skirstymą pavaldumo tvarka paklūstantiems kariškiams davė nurodymus – </w:t>
      </w:r>
      <w:r w:rsidRPr="00E67B7E">
        <w:t>susirinkti</w:t>
      </w:r>
      <w:r w:rsidRPr="00E67B7E">
        <w:rPr>
          <w:rFonts w:eastAsia="Calibri"/>
        </w:rPr>
        <w:t xml:space="preserve">, apsiginkluoti, susėsti į BTR ir kartu su mokomosios specialiosios paskirties kuopos kariškiais būnant prie LRT pastato, jam pavaldiems kariškiams paskirdamas ir pavesdamas tam tikras užduotis – panaudojant jėgą bei turimus ginklus šturmuoti ar dalyvauti užimant LRT Radijo pastatą, atliko vadovaujamą vaidmenį užimant </w:t>
      </w:r>
      <w:r w:rsidRPr="00E67B7E">
        <w:t>LRT Radijo pastatą</w:t>
      </w:r>
      <w:r w:rsidRPr="00E67B7E">
        <w:rPr>
          <w:rFonts w:eastAsia="Calibri"/>
        </w:rPr>
        <w:t>.</w:t>
      </w:r>
      <w:r w:rsidRPr="00E67B7E">
        <w:t xml:space="preserve"> </w:t>
      </w:r>
      <w:bookmarkStart w:id="450" w:name="_Hlk64152841"/>
      <w:r w:rsidRPr="00E67B7E">
        <w:t xml:space="preserve">Todėl, teisėjų kolegijos įsitikinimu, visos skundžiamo nuosprendžio nustatomojoje dalyje padarytos išvados, kiek tai susiję su O. M. dalyvavimu ir vadovaujamu vaidmeniu prie LRT Radijo pastato, yra patvirtintos logine grandine besijungiančių bylos įrodymų visumos ir abejonių nekelia. </w:t>
      </w:r>
    </w:p>
    <w:p w:rsidR="00E67B7E" w:rsidRDefault="00DA38E9" w:rsidP="00E67B7E">
      <w:pPr>
        <w:pStyle w:val="ListParagraph"/>
        <w:numPr>
          <w:ilvl w:val="0"/>
          <w:numId w:val="6"/>
        </w:numPr>
        <w:spacing w:after="120"/>
        <w:ind w:left="992" w:hanging="992"/>
        <w:contextualSpacing w:val="0"/>
      </w:pPr>
      <w:bookmarkStart w:id="451" w:name="_Hlk65618824"/>
      <w:r w:rsidRPr="00C00255">
        <w:t xml:space="preserve">Visgi, vertinant apygardos teismo išvadas apie </w:t>
      </w:r>
      <w:r>
        <w:t>O. M.</w:t>
      </w:r>
      <w:r w:rsidRPr="00C00255">
        <w:t xml:space="preserve"> faktiškai atliktus veiksmus, pažymėtina, kad atskirose nuosprendžio dalyse apibendrinant </w:t>
      </w:r>
      <w:r>
        <w:t>O. M.</w:t>
      </w:r>
      <w:r w:rsidRPr="00C00255">
        <w:t xml:space="preserve"> atliktus veiksmus, apygardos teismas nurodė, kad nuteistasis </w:t>
      </w:r>
      <w:r>
        <w:t>O. M.</w:t>
      </w:r>
      <w:r w:rsidRPr="00C00255">
        <w:t xml:space="preserve"> „&lt;...&gt; šaudė nustūminėjant žmones nuo pastato“ (</w:t>
      </w:r>
      <w:bookmarkStart w:id="452" w:name="_Hlk65432642"/>
      <w:r w:rsidRPr="00C00255">
        <w:t xml:space="preserve">žr. nuosprendžio </w:t>
      </w:r>
      <w:bookmarkEnd w:id="452"/>
      <w:r w:rsidRPr="00C00255">
        <w:t xml:space="preserve">876 l., t. 773, b. l. 76), argumentuojant bausmės paskyrimo aplinkybes, be kita ko, nurodė ir tai, jog nuteistasis </w:t>
      </w:r>
      <w:r>
        <w:t>O. M.</w:t>
      </w:r>
      <w:r w:rsidRPr="00C00255">
        <w:t xml:space="preserve"> „&lt;...&gt; šaudė LPS kulkomis, šturmo metu naudojo gumines lazdas, spec. priemones „Čeriomucha“ (žr. nuosprendžio 890 l., t. 773, b. l. 90.). Tokie nuosprendyje esantys labai lakoniški teiginiai nėra visiškai tikslūs, nes iš teismo nuosprendžio kaip vientiso dokumento ir nuosprendžio nustatomojoje dalyje įrodytomis pripažintų aplinkybių akivaizdu, kad pirmosios instancijos teismas pripažino įrodytomis tik aplinkybes, jog LRT Radijo pastato šturmo metu TSRS VRM Vidaus kariuomenės 42-osios divizijos konvojaus pulko mokomosios specialiosios paskirties kuopos kariškiai, kuriems vadovavo </w:t>
      </w:r>
      <w:r>
        <w:t>O. M.</w:t>
      </w:r>
      <w:r w:rsidRPr="00C00255">
        <w:t xml:space="preserve">, o ne konkrečiai pats nuteistasis </w:t>
      </w:r>
      <w:r>
        <w:t>O. M.</w:t>
      </w:r>
      <w:r w:rsidRPr="00C00255">
        <w:t xml:space="preserve"> šaudė, naudojo gumines lazdas ir mėtė spec. priemones „Čeriomucha“, taip pat naudojo kitas spec. priemones. Taigi minėti visi veiksmai – šaudymas, guminių lazdų naudojimas, spec. priemonių mėtymas – negali būti suprantami, kaip asmeniškai </w:t>
      </w:r>
      <w:r>
        <w:t>O. M.</w:t>
      </w:r>
      <w:r w:rsidRPr="00C00255">
        <w:t xml:space="preserve"> atlikti veiksmai.</w:t>
      </w:r>
      <w:bookmarkStart w:id="453" w:name="_Hlk63795604"/>
      <w:bookmarkEnd w:id="450"/>
      <w:bookmarkEnd w:id="451"/>
    </w:p>
    <w:p w:rsidR="00DA38E9" w:rsidRPr="00055544" w:rsidRDefault="00E67B7E" w:rsidP="00E67B7E">
      <w:pPr>
        <w:pStyle w:val="ListParagraph"/>
        <w:numPr>
          <w:ilvl w:val="0"/>
          <w:numId w:val="6"/>
        </w:numPr>
        <w:spacing w:after="120"/>
        <w:ind w:left="992" w:hanging="992"/>
        <w:contextualSpacing w:val="0"/>
      </w:pPr>
      <w:r w:rsidRPr="00055544">
        <w:t> </w:t>
      </w:r>
      <w:r w:rsidR="00DA38E9" w:rsidRPr="00055544">
        <w:t>Apeliaciniame skunde nuteistojo gynėjas, be kita ko, nurodė ir tai, kad O. M.</w:t>
      </w:r>
      <w:bookmarkEnd w:id="453"/>
      <w:r w:rsidRPr="00055544">
        <w:t> </w:t>
      </w:r>
      <w:r w:rsidR="00DA38E9" w:rsidRPr="00055544">
        <w:t>vadovaujama kuopa prie LRT dalyvavo ne kaip savarankiškas vienetas, o kaip karinis junginys, kuriam vadovavo S. F., kuris buvo tiesioginis jo vadovas ir tiriamų įvykių metu jokio įsakymo O. M. jis nedavė. Teisėjų kolegija sutinka, kad užimant LRT Radijo pastatą S. F. buvo vyriausiuoju pagal rangą konvojaus pulko pareigūnu, tačiau tai neeliminuoja nustatyto O. M. vadovaujamo vaidmens toje pačioje operacijoje jam pavaldiems kariškiams. V</w:t>
      </w:r>
      <w:r w:rsidR="00DA38E9" w:rsidRPr="00055544">
        <w:rPr>
          <w:rFonts w:eastAsia="Calibri"/>
        </w:rPr>
        <w:t xml:space="preserve">ien tai, kad operacijos metu O. M. buvo pavaldus aukštesnio rango kariškiams (tarp jų ir S. F.) ir neabejotinai vykdė jų įsakymus, nes </w:t>
      </w:r>
      <w:r w:rsidR="00DA38E9" w:rsidRPr="00055544">
        <w:t>be aukštesniųjų karininkų įsakymo ir nurodymų, operacijai, panaudojant gausią ginkluotę ir jiems pavaldžius kariškius, nebūtų galėjęs vadovauti, nepaneigia apygardos teismo išvados dėl O. M. vadovavimo jam pavaldiems kariškiams tiriamo įvykio metu. 2014 </w:t>
      </w:r>
      <w:r w:rsidRPr="00055544">
        <w:t>m. </w:t>
      </w:r>
      <w:r w:rsidR="00DA38E9" w:rsidRPr="00055544">
        <w:t xml:space="preserve">birželio 10 d. specialisto išvadoje taip pat nurodyta, kad </w:t>
      </w:r>
      <w:bookmarkStart w:id="454" w:name="_Hlk62558793"/>
      <w:r w:rsidR="00DA38E9" w:rsidRPr="00055544">
        <w:t xml:space="preserve">konvojaus pulko mokomajai specialiosios paskirties kuopai </w:t>
      </w:r>
      <w:bookmarkEnd w:id="454"/>
      <w:r w:rsidR="00DA38E9" w:rsidRPr="00055544">
        <w:t xml:space="preserve">operacijoje vadovavo vyresnysis leitenantas O. M. </w:t>
      </w:r>
      <w:r w:rsidRPr="00055544">
        <w:t>(t. 480, b. l. </w:t>
      </w:r>
      <w:r w:rsidR="00DA38E9" w:rsidRPr="00055544">
        <w:t xml:space="preserve">45). Taigi, specialistas išskyrė, kad O. M. vadovavo ne visiems operacijoje prie </w:t>
      </w:r>
      <w:r w:rsidR="00DA38E9" w:rsidRPr="00055544">
        <w:rPr>
          <w:rFonts w:eastAsia="Calibri"/>
        </w:rPr>
        <w:t xml:space="preserve">LRT Radijo pastato </w:t>
      </w:r>
      <w:r w:rsidR="00DA38E9" w:rsidRPr="00055544">
        <w:t>dalyvavusiems VRM kariškiams, o vienam iš padalinių, t. y. konvojaus pulko mokomajai specialiosios paskirties kuopai ir, kaip nustatyta, lygiai taip pat, kaip ir aukštesnieji karininkai, ir pats LRT Radijo pastato šturmo metu davė įsakymus bei vadovavo sau pavaldiems kariškiams, kurie kartu su kitais kariniais daliniais, naudodami jėgą, ginklus civilių atžvilgiu, veikė koordinuotai, bendrai ir siekdami to paties vieno tikslo. Taigi, byloje nustatyti O. M. vadovaujantys veiksmai visumoje su kitų kariškių veiksmais lėmė itin pavojingus padarinius ir daugybės civilių sužalojimus.</w:t>
      </w:r>
    </w:p>
    <w:p w:rsidR="00DA38E9" w:rsidRPr="00C00255" w:rsidRDefault="00DA38E9" w:rsidP="00DA38E9">
      <w:pPr>
        <w:pStyle w:val="Heading4"/>
        <w:spacing w:before="120" w:after="120"/>
        <w:ind w:firstLine="992"/>
        <w:rPr>
          <w:b w:val="0"/>
          <w:i/>
        </w:rPr>
      </w:pPr>
      <w:bookmarkStart w:id="455" w:name="_Toc66697271"/>
      <w:bookmarkEnd w:id="448"/>
      <w:r w:rsidRPr="00C00255">
        <w:rPr>
          <w:rFonts w:ascii="Times New Roman" w:hAnsi="Times New Roman"/>
          <w:b w:val="0"/>
          <w:i/>
          <w:color w:val="000000"/>
          <w:sz w:val="24"/>
          <w:szCs w:val="24"/>
        </w:rPr>
        <w:t xml:space="preserve">Dėl nuteistojo </w:t>
      </w:r>
      <w:r>
        <w:rPr>
          <w:rFonts w:ascii="Times New Roman" w:hAnsi="Times New Roman"/>
          <w:b w:val="0"/>
          <w:i/>
          <w:color w:val="000000"/>
          <w:sz w:val="24"/>
          <w:szCs w:val="24"/>
        </w:rPr>
        <w:t>V. M.</w:t>
      </w:r>
      <w:r w:rsidRPr="00C00255">
        <w:rPr>
          <w:rFonts w:ascii="Times New Roman" w:hAnsi="Times New Roman"/>
          <w:b w:val="0"/>
          <w:i/>
          <w:color w:val="000000"/>
          <w:sz w:val="24"/>
          <w:szCs w:val="24"/>
        </w:rPr>
        <w:t xml:space="preserve"> </w:t>
      </w:r>
      <w:r w:rsidRPr="00C00255">
        <w:rPr>
          <w:rFonts w:ascii="Times New Roman" w:hAnsi="Times New Roman"/>
          <w:b w:val="0"/>
          <w:i/>
          <w:sz w:val="24"/>
          <w:szCs w:val="24"/>
        </w:rPr>
        <w:t>dalyvavimo</w:t>
      </w:r>
      <w:r w:rsidRPr="00C00255">
        <w:rPr>
          <w:rFonts w:ascii="Times New Roman" w:hAnsi="Times New Roman"/>
          <w:b w:val="0"/>
          <w:i/>
          <w:color w:val="000000"/>
          <w:sz w:val="24"/>
          <w:szCs w:val="24"/>
        </w:rPr>
        <w:t xml:space="preserve"> užimant LRT Radijo pastatą</w:t>
      </w:r>
      <w:bookmarkEnd w:id="455"/>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rPr>
        <w:t>Teisėjų kolegija sutinka su pirmosios instancijos teismo nuosprendžio nustatomojoje dalyje padaryta išvada, kad</w:t>
      </w:r>
      <w:r w:rsidRPr="00C00255">
        <w:rPr>
          <w:lang w:eastAsia="lt-LT"/>
        </w:rPr>
        <w:t xml:space="preserve"> </w:t>
      </w:r>
      <w:bookmarkStart w:id="456" w:name="_Hlk64140611"/>
      <w:bookmarkStart w:id="457" w:name="_Hlk61987293"/>
      <w:r w:rsidRPr="00C00255">
        <w:rPr>
          <w:szCs w:val="24"/>
        </w:rPr>
        <w:t xml:space="preserve">TSRS VRM Vidaus kariuomenės 42-osios divizijos </w:t>
      </w:r>
      <w:bookmarkStart w:id="458" w:name="_Hlk65668810"/>
      <w:bookmarkEnd w:id="456"/>
      <w:r w:rsidRPr="00C00255">
        <w:rPr>
          <w:szCs w:val="24"/>
        </w:rPr>
        <w:t xml:space="preserve">konvojaus pulko </w:t>
      </w:r>
      <w:r w:rsidRPr="00C00255">
        <w:t xml:space="preserve">mokomosios specialiosios paskirties </w:t>
      </w:r>
      <w:r w:rsidRPr="00C00255">
        <w:rPr>
          <w:szCs w:val="24"/>
        </w:rPr>
        <w:t xml:space="preserve">kuopos </w:t>
      </w:r>
      <w:bookmarkEnd w:id="457"/>
      <w:bookmarkEnd w:id="458"/>
      <w:r w:rsidRPr="00C00255">
        <w:rPr>
          <w:szCs w:val="24"/>
        </w:rPr>
        <w:t xml:space="preserve">vado pavaduotojas </w:t>
      </w:r>
      <w:r>
        <w:rPr>
          <w:szCs w:val="24"/>
        </w:rPr>
        <w:t>V. M.</w:t>
      </w:r>
      <w:r w:rsidRPr="00C00255">
        <w:rPr>
          <w:szCs w:val="24"/>
        </w:rPr>
        <w:t xml:space="preserve"> </w:t>
      </w:r>
      <w:bookmarkStart w:id="459" w:name="_Hlk64144712"/>
      <w:r w:rsidRPr="00C00255">
        <w:rPr>
          <w:rFonts w:eastAsia="Calibri"/>
          <w:szCs w:val="24"/>
        </w:rPr>
        <w:t>tiesiogiai dalyvavo šioje operacijoje</w:t>
      </w:r>
      <w:r w:rsidRPr="00C00255">
        <w:rPr>
          <w:szCs w:val="24"/>
          <w:lang w:eastAsia="lt-LT"/>
        </w:rPr>
        <w:t xml:space="preserve"> ir buvo vienu iš šio karinio dalinio kariškiams vadovavusių asmenų, </w:t>
      </w:r>
      <w:r w:rsidRPr="00C00255">
        <w:rPr>
          <w:szCs w:val="24"/>
        </w:rPr>
        <w:t xml:space="preserve">užimant </w:t>
      </w:r>
      <w:r w:rsidRPr="00C00255">
        <w:t xml:space="preserve">LRT Radijo </w:t>
      </w:r>
      <w:bookmarkEnd w:id="459"/>
      <w:r w:rsidRPr="00C00255">
        <w:t>pastatą</w:t>
      </w:r>
      <w:bookmarkStart w:id="460" w:name="_Hlk62074047"/>
      <w:r w:rsidRPr="00C00255">
        <w:t xml:space="preserve"> </w:t>
      </w:r>
      <w:r w:rsidRPr="00C00255">
        <w:rPr>
          <w:szCs w:val="24"/>
          <w:lang w:eastAsia="lt-LT"/>
        </w:rPr>
        <w:t>(žr. </w:t>
      </w:r>
      <w:r w:rsidRPr="00C00255">
        <w:t>nuosprendžio 514–520 l.;</w:t>
      </w:r>
      <w:r w:rsidRPr="00C00255">
        <w:rPr>
          <w:rFonts w:eastAsia="Calibri"/>
        </w:rPr>
        <w:t xml:space="preserve"> t. 771, b. l. 114–120</w:t>
      </w:r>
      <w:r w:rsidRPr="00C00255">
        <w:t>)</w:t>
      </w:r>
      <w:bookmarkEnd w:id="460"/>
      <w:r w:rsidRPr="00C00255">
        <w:t xml:space="preserve">. </w:t>
      </w:r>
      <w:bookmarkStart w:id="461" w:name="_Hlk62511274"/>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 xml:space="preserve">Nuteistojo gynėjas apeliaciniame skunde neginčija, kad </w:t>
      </w:r>
      <w:r>
        <w:t>V. M.</w:t>
      </w:r>
      <w:r w:rsidRPr="00C00255">
        <w:t xml:space="preserve"> dalyvavo LRT Radijo pastato užėmimo metu, tačiau teigia, kad apygardos teismas nenurodė, kokius konkrečius nusikalstamus veiksmus </w:t>
      </w:r>
      <w:r>
        <w:t>V. M.</w:t>
      </w:r>
      <w:r w:rsidRPr="00C00255">
        <w:t xml:space="preserve"> atliko, nes byloje nėra jokių duomenų, kad jis būtų ką nors nužudęs, bauginęs, kankinęs ar prieš ką nors fiziškai smurtavęs. Apygardos teismas priimdamas skundžiamą nuosprendį neatsižvelgė į tai, kad </w:t>
      </w:r>
      <w:r>
        <w:t>V. M.</w:t>
      </w:r>
      <w:r w:rsidRPr="00C00255">
        <w:t>, būdamas žemesnio rango karininku, tik vykdė įsakymą ir prie LRT pastato buvo atvežtas jau po to, kai civiliai buvo atstumti.</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bookmarkStart w:id="462" w:name="_Hlk64146186"/>
      <w:r w:rsidRPr="00C00255">
        <w:rPr>
          <w:szCs w:val="24"/>
          <w:lang w:eastAsia="lt-LT"/>
        </w:rPr>
        <w:t xml:space="preserve">Įvertinusi šiuos gynybos argumentus byloje ištirtų įrodymų kontekste, teisėjų kolegija neabejoja, kad pirmosios instancijos teismo išvada apie </w:t>
      </w:r>
      <w:r>
        <w:rPr>
          <w:szCs w:val="24"/>
          <w:lang w:eastAsia="lt-LT"/>
        </w:rPr>
        <w:t>V. M.</w:t>
      </w:r>
      <w:r w:rsidRPr="00C00255">
        <w:rPr>
          <w:szCs w:val="24"/>
          <w:lang w:eastAsia="lt-LT"/>
        </w:rPr>
        <w:t xml:space="preserve"> vadovaujamą vaidmenį </w:t>
      </w:r>
      <w:r w:rsidRPr="00C00255">
        <w:rPr>
          <w:szCs w:val="24"/>
        </w:rPr>
        <w:t>TSRS VRM Vidaus kariuomenės 42-osios divizijos</w:t>
      </w:r>
      <w:r w:rsidRPr="00C00255">
        <w:rPr>
          <w:szCs w:val="24"/>
          <w:lang w:eastAsia="lt-LT"/>
        </w:rPr>
        <w:t xml:space="preserve"> konvojaus pulko mokomosios specialiosios paskirties kuopos kariškiams, yra pagrįsta ir teisinga. </w:t>
      </w:r>
      <w:bookmarkStart w:id="463" w:name="_Hlk65793474"/>
      <w:r w:rsidRPr="00C00255">
        <w:rPr>
          <w:szCs w:val="24"/>
          <w:lang w:eastAsia="lt-LT"/>
        </w:rPr>
        <w:t>Tokią išvadą patvirtina iš skirtingų šaltinių gautų ir BPK 20 straipsnio reikalavimus atitinkančių įrodymų visuma.</w:t>
      </w:r>
    </w:p>
    <w:bookmarkEnd w:id="462"/>
    <w:bookmarkEnd w:id="463"/>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Išvadą dėl </w:t>
      </w:r>
      <w:r>
        <w:rPr>
          <w:szCs w:val="24"/>
        </w:rPr>
        <w:t>V. M.</w:t>
      </w:r>
      <w:r w:rsidRPr="00C00255">
        <w:rPr>
          <w:szCs w:val="24"/>
        </w:rPr>
        <w:t xml:space="preserve"> užimtų vadovaujamo pobūdžio pareigų LRT Radijo pastato šturme TSRS VRM Vidaus kariuomenės 42-osios divizijos</w:t>
      </w:r>
      <w:r w:rsidRPr="00C00255">
        <w:rPr>
          <w:szCs w:val="24"/>
          <w:lang w:eastAsia="lt-LT"/>
        </w:rPr>
        <w:t xml:space="preserve"> konvojaus pulko mokomosios specialiosios paskirties kuopos kariškiams</w:t>
      </w:r>
      <w:r w:rsidRPr="00C00255">
        <w:rPr>
          <w:szCs w:val="24"/>
        </w:rPr>
        <w:t xml:space="preserve"> pagrindžia byloje pateiktas </w:t>
      </w:r>
      <w:bookmarkStart w:id="464" w:name="_Hlk65668858"/>
      <w:r w:rsidRPr="00C00255">
        <w:t xml:space="preserve">VRM </w:t>
      </w:r>
      <w:r w:rsidRPr="00C00255">
        <w:rPr>
          <w:szCs w:val="24"/>
        </w:rPr>
        <w:t>Vidaus kariuomenės</w:t>
      </w:r>
      <w:r w:rsidRPr="00C00255">
        <w:t xml:space="preserve"> kariškių dalyvavusių prie LRT sąrašas,</w:t>
      </w:r>
      <w:bookmarkEnd w:id="464"/>
      <w:r w:rsidRPr="00C00255">
        <w:rPr>
          <w:szCs w:val="24"/>
        </w:rPr>
        <w:t xml:space="preserve"> kurį savo parašu patvirtino kuopos vadas </w:t>
      </w:r>
      <w:r>
        <w:rPr>
          <w:szCs w:val="24"/>
        </w:rPr>
        <w:t>S. F.</w:t>
      </w:r>
      <w:r w:rsidRPr="00C00255">
        <w:rPr>
          <w:szCs w:val="24"/>
        </w:rPr>
        <w:t xml:space="preserve">. Be to, priešingai nei teigiama apeliaciniame skunde, vienu iš aukščiausių pagal rangą VRM kariškių, dalyvavusių LRT šturme, buvo </w:t>
      </w:r>
      <w:bookmarkStart w:id="465" w:name="_Hlk64142085"/>
      <w:r w:rsidRPr="00C00255">
        <w:rPr>
          <w:szCs w:val="24"/>
        </w:rPr>
        <w:t xml:space="preserve">kapitonas </w:t>
      </w:r>
      <w:bookmarkStart w:id="466" w:name="_Hlk64142025"/>
      <w:r>
        <w:rPr>
          <w:szCs w:val="24"/>
        </w:rPr>
        <w:t>V. M.</w:t>
      </w:r>
      <w:r w:rsidRPr="00C00255">
        <w:rPr>
          <w:szCs w:val="24"/>
        </w:rPr>
        <w:t xml:space="preserve"> </w:t>
      </w:r>
      <w:bookmarkEnd w:id="465"/>
      <w:bookmarkEnd w:id="466"/>
      <w:r w:rsidRPr="00C00255">
        <w:rPr>
          <w:szCs w:val="24"/>
        </w:rPr>
        <w:t xml:space="preserve">(jo karinis laipsnis buvo aukštesnis net už jo paties kuopos vado </w:t>
      </w:r>
      <w:r>
        <w:rPr>
          <w:szCs w:val="24"/>
        </w:rPr>
        <w:t>O. M.</w:t>
      </w:r>
      <w:r w:rsidRPr="00C00255">
        <w:rPr>
          <w:szCs w:val="24"/>
        </w:rPr>
        <w:t xml:space="preserve">, kuris buvo vyresnysis leitenantas) (t. 438, b. l. 3–5; t. 125, b. l. 2–3).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bookmarkStart w:id="467" w:name="_Hlk64148264"/>
      <w:bookmarkStart w:id="468" w:name="_Hlk64296090"/>
      <w:r w:rsidRPr="00C00255">
        <w:rPr>
          <w:szCs w:val="24"/>
          <w:lang w:eastAsia="lt-LT" w:bidi="lt-LT"/>
        </w:rPr>
        <w:t xml:space="preserve">Apie nuteistojo </w:t>
      </w:r>
      <w:r>
        <w:rPr>
          <w:szCs w:val="24"/>
        </w:rPr>
        <w:t>V. M.</w:t>
      </w:r>
      <w:r w:rsidRPr="00C00255">
        <w:rPr>
          <w:szCs w:val="24"/>
        </w:rPr>
        <w:t xml:space="preserve"> </w:t>
      </w:r>
      <w:r w:rsidRPr="00C00255">
        <w:rPr>
          <w:szCs w:val="24"/>
          <w:lang w:eastAsia="lt-LT" w:bidi="lt-LT"/>
        </w:rPr>
        <w:t xml:space="preserve">užimtas vadovaujamo pobūdžio pareigas šturmuojant LRT Radijo pastatą patvirtina ir </w:t>
      </w:r>
      <w:bookmarkEnd w:id="467"/>
      <w:r w:rsidRPr="00C00255">
        <w:rPr>
          <w:szCs w:val="24"/>
        </w:rPr>
        <w:t xml:space="preserve">pažymoje </w:t>
      </w:r>
      <w:r w:rsidRPr="00C00255">
        <w:t xml:space="preserve">„Dėl ginklų, kuriuos turėjo </w:t>
      </w:r>
      <w:r w:rsidRPr="00C00255">
        <w:rPr>
          <w:szCs w:val="24"/>
        </w:rPr>
        <w:t xml:space="preserve">specialios paskirties kuopos k/d 7574 karininkai bei praporščikai“ nurodytos aplinkybės, kur tarp visų išvardintų karininkų ir praporščikų įvardijamas ir kapitonas </w:t>
      </w:r>
      <w:r>
        <w:rPr>
          <w:szCs w:val="24"/>
        </w:rPr>
        <w:t>V. M.</w:t>
      </w:r>
      <w:r w:rsidRPr="00C00255">
        <w:rPr>
          <w:szCs w:val="24"/>
        </w:rPr>
        <w:t xml:space="preserve"> (t. 438, b. l. 6, 105–107, t. 125, b. l. 4, 106–108). </w:t>
      </w:r>
    </w:p>
    <w:bookmarkEnd w:id="468"/>
    <w:p w:rsidR="00DA38E9" w:rsidRPr="00E67B7E" w:rsidRDefault="00DA38E9" w:rsidP="00DA38E9">
      <w:pPr>
        <w:pStyle w:val="ListParagraph"/>
        <w:numPr>
          <w:ilvl w:val="1"/>
          <w:numId w:val="6"/>
        </w:numPr>
        <w:spacing w:before="120" w:after="120"/>
        <w:ind w:left="993" w:hanging="993"/>
        <w:contextualSpacing w:val="0"/>
      </w:pPr>
      <w:r w:rsidRPr="00C00255">
        <w:rPr>
          <w:color w:val="000000"/>
          <w:szCs w:val="24"/>
          <w:lang w:eastAsia="lt-LT" w:bidi="lt-LT"/>
        </w:rPr>
        <w:t xml:space="preserve">Teisėjų kolegija pažymi, kad vien jau minėti kariškių sąrašai patvirtina apie įvykių metu </w:t>
      </w:r>
      <w:r>
        <w:rPr>
          <w:color w:val="000000"/>
          <w:szCs w:val="24"/>
          <w:lang w:eastAsia="lt-LT" w:bidi="lt-LT"/>
        </w:rPr>
        <w:t>V. M.</w:t>
      </w:r>
      <w:r w:rsidRPr="00C00255">
        <w:rPr>
          <w:color w:val="000000"/>
          <w:szCs w:val="24"/>
          <w:lang w:eastAsia="lt-LT" w:bidi="lt-LT"/>
        </w:rPr>
        <w:t xml:space="preserve"> užimtas vadovaujamo pobūdžio pareigas. Be to, t</w:t>
      </w:r>
      <w:r w:rsidRPr="00C00255">
        <w:t xml:space="preserve">eisiamajame posėdyje apklaustas </w:t>
      </w:r>
      <w:r w:rsidRPr="00E67B7E">
        <w:rPr>
          <w:rFonts w:eastAsia="Calibri"/>
        </w:rPr>
        <w:t xml:space="preserve">liudytojas TSRS VRM Vidaus kariuomenės 42-osios divizijos artilerinės ginkluotės tarnybos viršininkas R. M., be kita ko, nurodė ir apie nuteistojo </w:t>
      </w:r>
      <w:r w:rsidRPr="00E67B7E">
        <w:t>V. M.</w:t>
      </w:r>
      <w:r w:rsidRPr="00E67B7E">
        <w:rPr>
          <w:rFonts w:eastAsia="Calibri"/>
        </w:rPr>
        <w:t xml:space="preserve"> buvimą prieš operaciją </w:t>
      </w:r>
      <w:r w:rsidRPr="00E67B7E">
        <w:t xml:space="preserve">aikštėje, kur buvo išrikiuoti </w:t>
      </w:r>
      <w:r w:rsidRPr="00E67B7E">
        <w:rPr>
          <w:rFonts w:eastAsia="Calibri"/>
        </w:rPr>
        <w:t xml:space="preserve">TSRS VRM Vidaus kariuomenės 42-osios divizijos konvojaus pulko </w:t>
      </w:r>
      <w:r w:rsidRPr="00E67B7E">
        <w:t xml:space="preserve">mokomosios specialiosios paskirties kuopos BTR, BRDM ir automatais AKMS ginkluoti kariškiai, kartu ten matė ir S. F., O. M., M. C. bei J. S. </w:t>
      </w:r>
      <w:r w:rsidRPr="00E67B7E">
        <w:rPr>
          <w:rFonts w:eastAsia="Calibri"/>
        </w:rPr>
        <w:t>(</w:t>
      </w:r>
      <w:r w:rsidRPr="00E67B7E">
        <w:t xml:space="preserve">t. 760, b. l. 141–142; t. 477, b. l. 7–15; t. 46, b. l. 264–265). </w:t>
      </w:r>
    </w:p>
    <w:bookmarkEnd w:id="461"/>
    <w:p w:rsidR="00DA38E9" w:rsidRPr="00055544" w:rsidRDefault="00DA38E9" w:rsidP="00DA38E9">
      <w:pPr>
        <w:pStyle w:val="ListParagraph"/>
        <w:numPr>
          <w:ilvl w:val="0"/>
          <w:numId w:val="6"/>
        </w:numPr>
        <w:spacing w:before="120" w:after="120"/>
        <w:ind w:left="992" w:hanging="992"/>
        <w:contextualSpacing w:val="0"/>
        <w:rPr>
          <w:color w:val="000000"/>
          <w:szCs w:val="24"/>
          <w:lang w:eastAsia="lt-LT" w:bidi="lt-LT"/>
        </w:rPr>
      </w:pPr>
      <w:r w:rsidRPr="00055544">
        <w:t xml:space="preserve">Be to, teisėjų kolegijos įsitikinimą apie V. M. dalyvavimą ir jo vadovaujamą vaidmenį LRT Radijo pastato užėmimo metu formuoja ir ikiteisminio tyrimo metu apklausto liudytojo statusą šiame procese turinčio TSRS VRM Vidaus kariuomenės 42-osios divizijos </w:t>
      </w:r>
      <w:r w:rsidRPr="00055544">
        <w:rPr>
          <w:rFonts w:eastAsia="Calibri"/>
        </w:rPr>
        <w:t>operatyviniame motorizuotųjų šaulių pulke</w:t>
      </w:r>
      <w:r w:rsidRPr="00055544">
        <w:t xml:space="preserve"> tarnavusio </w:t>
      </w:r>
      <w:bookmarkStart w:id="469" w:name="_Hlk65708084"/>
      <w:r w:rsidRPr="00055544">
        <w:rPr>
          <w:rFonts w:eastAsia="Calibri"/>
        </w:rPr>
        <w:t>V. J.</w:t>
      </w:r>
      <w:bookmarkEnd w:id="469"/>
      <w:r w:rsidRPr="00055544">
        <w:t xml:space="preserve"> parodymai, perskaityti 2017 m. gruodžio 5 d. teisiamajame posėdyje (t. 760, b. l. 153–154). Liudytojas V. J. nurodė, kad </w:t>
      </w:r>
      <w:r w:rsidRPr="00055544">
        <w:rPr>
          <w:rFonts w:eastAsia="Calibri"/>
        </w:rPr>
        <w:t>1991 m. sausio 12–13 d. naktį juos pakėlė pagal pavojaus signalą. Jis gavo jam priskirtą automatą AKMS, dvi dėtuves su tuščiais šoviniais, kiekvienoje dėtuvėje po 10 šovinių. Kapitonas V. M. išrikiavo kariškius aikštelėje ir pagal komandą nuvedė prie šarvuotųjų transporterių BTR. Kartu su kitais kariškiais įlipo į vieną iš BTR. Nuvykus prie LRT, buvo iškelta užduotis – saugoti karinius objektus nuo civilių asmenų puolimo (t. 439, b. l. 122</w:t>
      </w:r>
      <w:r w:rsidRPr="00055544">
        <w:t>–</w:t>
      </w:r>
      <w:r w:rsidRPr="00055544">
        <w:rPr>
          <w:rFonts w:eastAsia="Calibri"/>
        </w:rPr>
        <w:t>123; t. 126, b. l. 198</w:t>
      </w:r>
      <w:r w:rsidRPr="00055544">
        <w:t>–</w:t>
      </w:r>
      <w:r w:rsidRPr="00055544">
        <w:rPr>
          <w:rFonts w:eastAsia="Calibri"/>
        </w:rPr>
        <w:t>200).</w:t>
      </w:r>
      <w:r w:rsidRPr="00055544">
        <w:rPr>
          <w:rFonts w:eastAsia="Calibri"/>
          <w:color w:val="000000" w:themeColor="text1"/>
        </w:rPr>
        <w:t xml:space="preserve"> </w:t>
      </w:r>
      <w:bookmarkStart w:id="470" w:name="_Hlk62576385"/>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 xml:space="preserve">Aptarti duomenys patvirtina aukštą </w:t>
      </w:r>
      <w:r>
        <w:rPr>
          <w:szCs w:val="24"/>
        </w:rPr>
        <w:t>V. M.</w:t>
      </w:r>
      <w:r w:rsidRPr="00C00255">
        <w:rPr>
          <w:szCs w:val="24"/>
        </w:rPr>
        <w:t xml:space="preserve"> rangą, o pagal specialisto J. Andriškevičiaus paaiškinimus, karinėse struktūrose egzistavusį subordinacijos principą (t. 761, b. l. 58–67), tai reiškia tarnybinį pavaldumą aukštesniojo rango karininkui. Minėti duomenys apie </w:t>
      </w:r>
      <w:r>
        <w:rPr>
          <w:szCs w:val="24"/>
        </w:rPr>
        <w:t>V. M.</w:t>
      </w:r>
      <w:r w:rsidRPr="00C00255">
        <w:rPr>
          <w:szCs w:val="24"/>
        </w:rPr>
        <w:t xml:space="preserve">, kaip aukštesniojo karininko, įgaliojimus ir byloje neginčijamą faktą apie jo dalyvavimą užimant </w:t>
      </w:r>
      <w:bookmarkStart w:id="471" w:name="_Hlk62566048"/>
      <w:r w:rsidRPr="00C00255">
        <w:rPr>
          <w:szCs w:val="24"/>
        </w:rPr>
        <w:t xml:space="preserve">LRT Radijo </w:t>
      </w:r>
      <w:bookmarkEnd w:id="471"/>
      <w:r w:rsidRPr="00C00255">
        <w:rPr>
          <w:szCs w:val="24"/>
        </w:rPr>
        <w:t xml:space="preserve">pastatą leidžia daryti išvadas apie </w:t>
      </w:r>
      <w:r>
        <w:rPr>
          <w:szCs w:val="24"/>
        </w:rPr>
        <w:t>V. M.</w:t>
      </w:r>
      <w:r w:rsidRPr="00C00255">
        <w:rPr>
          <w:szCs w:val="24"/>
        </w:rPr>
        <w:t xml:space="preserve"> vadovaujamą vaidmenį vieno iš karinio dalinio kariškiams LRT Radijo pastato šturmo metu. Šių aplinkybių kontekste, nuteistojo gynėjo argumentai apie tai, kad </w:t>
      </w:r>
      <w:r>
        <w:rPr>
          <w:szCs w:val="24"/>
        </w:rPr>
        <w:t>V. M.</w:t>
      </w:r>
      <w:r w:rsidRPr="00C00255">
        <w:rPr>
          <w:szCs w:val="24"/>
        </w:rPr>
        <w:t xml:space="preserve"> tik vykdė įsakymą ir </w:t>
      </w:r>
      <w:r w:rsidRPr="00C00255">
        <w:t xml:space="preserve">prie LRT pastato buvo atvežtas jau po to, kai civiliai buvo atstumti ir įsakymas saugoti pastatą nebuvo akivaizdžiai neteisėtas ir to </w:t>
      </w:r>
      <w:r>
        <w:t>V. M.</w:t>
      </w:r>
      <w:r w:rsidRPr="00C00255">
        <w:t xml:space="preserve"> negalėjo numatyti</w:t>
      </w:r>
      <w:r w:rsidRPr="00C00255">
        <w:rPr>
          <w:szCs w:val="24"/>
        </w:rPr>
        <w:t xml:space="preserve">, nepagrįsti, nes nagrinėjamu atveju nustatyta, kad TSRS VRM Vidaus kariuomenės 42-osios divizijos konvojaus pulko </w:t>
      </w:r>
      <w:r w:rsidRPr="00C00255">
        <w:t xml:space="preserve">mokomosios specialiosios paskirties </w:t>
      </w:r>
      <w:r w:rsidRPr="00C00255">
        <w:rPr>
          <w:szCs w:val="24"/>
        </w:rPr>
        <w:t xml:space="preserve">kuopos kariškiai, kuriems kaip nustatyta vadovavo ir </w:t>
      </w:r>
      <w:r>
        <w:rPr>
          <w:szCs w:val="24"/>
        </w:rPr>
        <w:t>V. M.</w:t>
      </w:r>
      <w:r w:rsidRPr="00C00255">
        <w:rPr>
          <w:szCs w:val="24"/>
        </w:rPr>
        <w:t xml:space="preserve">, atvykę prie LRT, prisijungė prie Oro desanto divizijos kariškių, visi kartu naudodami jėgą ir ginklus, nustūmė civilius asmenis nuo pastato, taip atlaisvindami kelią prie </w:t>
      </w:r>
      <w:r w:rsidRPr="00C00255">
        <w:t xml:space="preserve">LRT Radijo </w:t>
      </w:r>
      <w:r w:rsidRPr="00C00255">
        <w:rPr>
          <w:szCs w:val="24"/>
        </w:rPr>
        <w:t xml:space="preserve">pastato, bei įėjo ir kitų dalinių kariškiams padėjo įeiti į </w:t>
      </w:r>
      <w:r w:rsidRPr="00C00255">
        <w:t>LRT Radijo pastatą, siekiant nutraukti radijo transliavimą</w:t>
      </w:r>
      <w:r w:rsidRPr="00C00255">
        <w:rPr>
          <w:szCs w:val="24"/>
        </w:rPr>
        <w:t xml:space="preserve">. </w:t>
      </w:r>
      <w:r w:rsidRPr="00C00255">
        <w:rPr>
          <w:szCs w:val="24"/>
          <w:lang w:bidi="lt-LT"/>
        </w:rPr>
        <w:t xml:space="preserve">Teisėjų kolegija sutinka su gynėjo argumentu, kad nuteistasis </w:t>
      </w:r>
      <w:r>
        <w:rPr>
          <w:szCs w:val="24"/>
          <w:lang w:bidi="lt-LT"/>
        </w:rPr>
        <w:t>V. M.</w:t>
      </w:r>
      <w:r w:rsidRPr="00C00255">
        <w:rPr>
          <w:szCs w:val="24"/>
          <w:lang w:bidi="lt-LT"/>
        </w:rPr>
        <w:t xml:space="preserve"> vykdė aukštesnių vadų įsakymus, tačiau lygiai taip pat, kaip ir aukštesnieji vadai, pats </w:t>
      </w:r>
      <w:r>
        <w:rPr>
          <w:szCs w:val="24"/>
          <w:lang w:bidi="lt-LT"/>
        </w:rPr>
        <w:t>V. M.</w:t>
      </w:r>
      <w:r w:rsidRPr="00C00255">
        <w:rPr>
          <w:szCs w:val="24"/>
          <w:lang w:bidi="lt-LT"/>
        </w:rPr>
        <w:t xml:space="preserve"> taip pat davė įsakymus ir vadovavo jam pavaldiems kariškiams, kurie, veikdami visi kartu, LRT Radijo pastato užėmimo metu, naudojo jėgą, ginklus ir nuosprendyje nurodytus brutalius smurtinius veiksmus beginklių civilių atžvilgiu, kuriems buvo padaryti įvairaus pobūdžio sužalojimai. Specialistas 2014 m. birželio 10 d. specialisto išvadoje taip pat nurodė, kad pagrindinės operacijos grupės užduotims vykdyti buvo dalinamos į mažesnes grupes, atskiri vadai kariškius buvo padalinę veikti po tris (t. 480, b. l. 55). Šiame kontekste teisėjų kolegija pažymi, kad </w:t>
      </w:r>
      <w:r w:rsidRPr="00C00255">
        <w:t xml:space="preserve">apklaustas pirmosios instancijos teisme specialistas J. Andriškevičius dėl aukštesnio karinio laipsnio karininkų įsakymų davimo nurodė, kad karinėse struktūrose įsakymai gali būti dokumentiniai ir žodiniai („tiesiog galima pasakyti, kad asmuo darytų tai, kas liepiama, ir tai jau bus įsakymas“). Specialistas taip pat nurodė, kad galima ir kita įsakymo forma, kai viršininkas ir pavaldinys (abu) prideda ranką prie kepurės, vienas sako „Aš jums įsakau“, kitas atsako „Klausau“ (t. 761, b. l. 65). Aptarti duomenys patvirtina, kad vadovų įsakymai, kuriuos kariškiai privalo vykdyti, galėjo būti duodami ir operacijos eigoje, nepriklausomai nuo vadovo dalyvavimo operacijos planavime ir nepriklausomai nuo operacijoje dalyvavusių kariškių skaičiaus. </w:t>
      </w:r>
    </w:p>
    <w:p w:rsidR="00DA38E9" w:rsidRPr="00C00255" w:rsidRDefault="00DA38E9" w:rsidP="00DA38E9">
      <w:pPr>
        <w:pStyle w:val="ListParagraph"/>
        <w:numPr>
          <w:ilvl w:val="0"/>
          <w:numId w:val="6"/>
        </w:numPr>
        <w:spacing w:after="120"/>
        <w:ind w:left="992" w:hanging="993"/>
        <w:contextualSpacing w:val="0"/>
        <w:rPr>
          <w:szCs w:val="24"/>
          <w:lang w:eastAsia="lt-LT" w:bidi="lt-LT"/>
        </w:rPr>
      </w:pPr>
      <w:r w:rsidRPr="00C00255">
        <w:rPr>
          <w:szCs w:val="24"/>
        </w:rPr>
        <w:t>Taigi pirmosios instancijos teismo išvados dėl nuteistojo V.</w:t>
      </w:r>
      <w:r>
        <w:rPr>
          <w:szCs w:val="24"/>
        </w:rPr>
        <w:t> </w:t>
      </w:r>
      <w:r w:rsidRPr="00C00255">
        <w:rPr>
          <w:szCs w:val="24"/>
        </w:rPr>
        <w:t>M</w:t>
      </w:r>
      <w:r>
        <w:rPr>
          <w:szCs w:val="24"/>
        </w:rPr>
        <w:t>.</w:t>
      </w:r>
      <w:r w:rsidRPr="00C00255">
        <w:rPr>
          <w:szCs w:val="24"/>
        </w:rPr>
        <w:t xml:space="preserve"> vaidmens užimant LRT pastatą yra teisingos. </w:t>
      </w:r>
      <w:bookmarkStart w:id="472" w:name="_Hlk63796077"/>
      <w:r w:rsidRPr="00C00255">
        <w:rPr>
          <w:szCs w:val="24"/>
        </w:rPr>
        <w:t xml:space="preserve">Skirtingai nei apeliaciniame skunde nurodė jo gynėjas, anksčiau aptarti duomenys teisėjų kolegijai leidžia konstatuoti, kad nuteistojo </w:t>
      </w:r>
      <w:r>
        <w:rPr>
          <w:szCs w:val="24"/>
        </w:rPr>
        <w:t>V. M.</w:t>
      </w:r>
      <w:r w:rsidRPr="00C00255">
        <w:rPr>
          <w:szCs w:val="24"/>
        </w:rPr>
        <w:t xml:space="preserve"> veiksmai (vaidmuo) prie LRT Radijo pastato skundžiamame nuosprendyje atskleisti tinkamai. </w:t>
      </w:r>
    </w:p>
    <w:p w:rsidR="00DA38E9" w:rsidRPr="00C00255" w:rsidRDefault="00DA38E9" w:rsidP="00DA38E9">
      <w:pPr>
        <w:pStyle w:val="Heading4"/>
        <w:spacing w:before="120" w:after="120"/>
        <w:ind w:firstLine="992"/>
        <w:rPr>
          <w:rFonts w:ascii="Times New Roman" w:hAnsi="Times New Roman"/>
          <w:b w:val="0"/>
          <w:i/>
          <w:color w:val="000000"/>
          <w:sz w:val="24"/>
          <w:szCs w:val="24"/>
        </w:rPr>
      </w:pPr>
      <w:bookmarkStart w:id="473" w:name="_Toc66697272"/>
      <w:r w:rsidRPr="00C00255">
        <w:rPr>
          <w:rFonts w:ascii="Times New Roman" w:hAnsi="Times New Roman"/>
          <w:b w:val="0"/>
          <w:i/>
          <w:color w:val="000000"/>
          <w:sz w:val="24"/>
          <w:szCs w:val="24"/>
        </w:rPr>
        <w:t xml:space="preserve">Dėl nuteistojo </w:t>
      </w:r>
      <w:r>
        <w:rPr>
          <w:rFonts w:ascii="Times New Roman" w:hAnsi="Times New Roman"/>
          <w:b w:val="0"/>
          <w:i/>
          <w:color w:val="000000"/>
          <w:sz w:val="24"/>
          <w:szCs w:val="24"/>
        </w:rPr>
        <w:t>M. C.</w:t>
      </w:r>
      <w:r w:rsidRPr="00C00255">
        <w:rPr>
          <w:rFonts w:ascii="Times New Roman" w:hAnsi="Times New Roman"/>
          <w:b w:val="0"/>
          <w:i/>
          <w:color w:val="000000"/>
          <w:sz w:val="24"/>
          <w:szCs w:val="24"/>
        </w:rPr>
        <w:t xml:space="preserve"> </w:t>
      </w:r>
      <w:r w:rsidRPr="00C00255">
        <w:rPr>
          <w:rFonts w:ascii="Times New Roman" w:hAnsi="Times New Roman"/>
          <w:b w:val="0"/>
          <w:i/>
          <w:sz w:val="24"/>
          <w:szCs w:val="24"/>
        </w:rPr>
        <w:t>dalyvavimo</w:t>
      </w:r>
      <w:r w:rsidRPr="00C00255">
        <w:rPr>
          <w:rFonts w:ascii="Times New Roman" w:hAnsi="Times New Roman"/>
          <w:b w:val="0"/>
          <w:i/>
          <w:color w:val="000000"/>
          <w:sz w:val="24"/>
          <w:szCs w:val="24"/>
        </w:rPr>
        <w:t xml:space="preserve"> užimant LRT Radijo pastatą</w:t>
      </w:r>
      <w:bookmarkEnd w:id="473"/>
    </w:p>
    <w:p w:rsidR="00DA38E9" w:rsidRPr="00055544" w:rsidRDefault="00DA38E9" w:rsidP="00DA38E9">
      <w:pPr>
        <w:pStyle w:val="Standard"/>
        <w:numPr>
          <w:ilvl w:val="0"/>
          <w:numId w:val="6"/>
        </w:numPr>
        <w:tabs>
          <w:tab w:val="left" w:pos="8245"/>
        </w:tabs>
        <w:spacing w:before="120" w:after="120"/>
        <w:ind w:left="992" w:hanging="992"/>
        <w:jc w:val="both"/>
        <w:rPr>
          <w:rFonts w:cs="Times New Roman"/>
          <w:lang w:eastAsia="lt-LT" w:bidi="lt-LT"/>
        </w:rPr>
      </w:pPr>
      <w:r w:rsidRPr="00055544">
        <w:t>Teisėjų kolegija sutinka su pirmosios instancijos teismo nuosprendžio nustatomojoje dalyje padaryta išvada, kad TSRS VRM Vidaus kariuomenės</w:t>
      </w:r>
      <w:r w:rsidRPr="00055544">
        <w:rPr>
          <w:rFonts w:cs="Times New Roman"/>
        </w:rPr>
        <w:t xml:space="preserve"> </w:t>
      </w:r>
      <w:r w:rsidRPr="00055544">
        <w:t xml:space="preserve">42-osios divizijos konvojaus pulko mokomosios specialiosios paskirties kuopos būrio vadas M. C. tiesiogiai dalyvavo šioje operacijoje ir buvo vienu iš šio karinio dalinio kariškiams vadovavusių asmenų užimant LRT Radijo pastatą (žr. nuosprendžio 514–520 l.; t. 771, b. l. 114–120). </w:t>
      </w:r>
    </w:p>
    <w:p w:rsidR="00DA38E9" w:rsidRPr="00C00255" w:rsidRDefault="00DA38E9" w:rsidP="00DA38E9">
      <w:pPr>
        <w:pStyle w:val="ListParagraph"/>
        <w:numPr>
          <w:ilvl w:val="0"/>
          <w:numId w:val="6"/>
        </w:numPr>
        <w:spacing w:before="120" w:after="120"/>
        <w:ind w:left="992" w:hanging="992"/>
        <w:contextualSpacing w:val="0"/>
        <w:rPr>
          <w:rStyle w:val="CharStyle151"/>
          <w:sz w:val="24"/>
          <w:szCs w:val="24"/>
          <w:lang w:eastAsia="lt-LT" w:bidi="lt-LT"/>
        </w:rPr>
      </w:pPr>
      <w:bookmarkStart w:id="474" w:name="_Hlk62682051"/>
      <w:r w:rsidRPr="00C00255">
        <w:rPr>
          <w:szCs w:val="24"/>
        </w:rPr>
        <w:t xml:space="preserve">Gynėja apeliaciniame skunde iš esmės neginčija </w:t>
      </w:r>
      <w:r>
        <w:rPr>
          <w:szCs w:val="24"/>
        </w:rPr>
        <w:t>M. C.</w:t>
      </w:r>
      <w:r w:rsidRPr="00C00255">
        <w:rPr>
          <w:szCs w:val="24"/>
        </w:rPr>
        <w:t xml:space="preserve"> vadovaujamo vaidmens užimant LRT Radijo pastatą, tačiau tuo pačiu teigia, kad </w:t>
      </w:r>
      <w:r w:rsidRPr="00C00255">
        <w:rPr>
          <w:szCs w:val="24"/>
          <w:lang w:eastAsia="lt-LT"/>
        </w:rPr>
        <w:t xml:space="preserve">byloje nėra </w:t>
      </w:r>
      <w:r>
        <w:rPr>
          <w:szCs w:val="24"/>
          <w:lang w:eastAsia="lt-LT"/>
        </w:rPr>
        <w:t>M. C.</w:t>
      </w:r>
      <w:r w:rsidRPr="00C00255">
        <w:rPr>
          <w:szCs w:val="24"/>
          <w:lang w:eastAsia="lt-LT"/>
        </w:rPr>
        <w:t xml:space="preserve"> kaltės įrodymų. Pasak gynėjos, taip pat </w:t>
      </w:r>
      <w:r w:rsidRPr="00C00255">
        <w:rPr>
          <w:szCs w:val="24"/>
        </w:rPr>
        <w:t>nenustatyta</w:t>
      </w:r>
      <w:r w:rsidRPr="00C00255">
        <w:rPr>
          <w:rStyle w:val="CharStyle151"/>
          <w:rFonts w:eastAsiaTheme="majorEastAsia"/>
          <w:color w:val="000000"/>
          <w:sz w:val="24"/>
          <w:szCs w:val="24"/>
          <w:lang w:eastAsia="lt-LT"/>
        </w:rPr>
        <w:t xml:space="preserve">, jog dėl </w:t>
      </w:r>
      <w:r>
        <w:rPr>
          <w:rStyle w:val="CharStyle151"/>
          <w:rFonts w:eastAsiaTheme="majorEastAsia"/>
          <w:color w:val="000000"/>
          <w:sz w:val="24"/>
          <w:szCs w:val="24"/>
          <w:lang w:eastAsia="lt-LT"/>
        </w:rPr>
        <w:t>M. C.</w:t>
      </w:r>
      <w:r w:rsidRPr="00C00255">
        <w:rPr>
          <w:rStyle w:val="CharStyle151"/>
          <w:rFonts w:eastAsiaTheme="majorEastAsia"/>
          <w:color w:val="000000"/>
          <w:sz w:val="24"/>
          <w:szCs w:val="24"/>
          <w:lang w:eastAsia="lt-LT"/>
        </w:rPr>
        <w:t xml:space="preserve"> ar jo vadovaujamo būrio karių veiksmų buvo sužaloti ar sužeisti konkretūs civiliai asmenys ar jiems padaryta turtinė ir neturtinė žala. Gynėjos teigimu, specialisto J. Andriškevičiaus išvada bei jo paaiškinimai teisme patvirtina, kad TSRS VRM 42-oji divizija kariniuose veiksmuose nedalyvavo, nes jos funkcija buvo viešosios tvarkos palaikymas.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bookmarkStart w:id="475" w:name="_Hlk64157913"/>
      <w:r w:rsidRPr="00C00255">
        <w:rPr>
          <w:szCs w:val="24"/>
        </w:rPr>
        <w:t xml:space="preserve">Įvertinusi šiuos gynybos argumentus, byloje surinktų ir teisiamajame posėdyje ištirtų įrodymų kontekste, teisėjų kolegija neabejoja, kad pirmosios instancijos teismo išvada apie </w:t>
      </w:r>
      <w:r>
        <w:rPr>
          <w:szCs w:val="24"/>
        </w:rPr>
        <w:t>M. C.</w:t>
      </w:r>
      <w:r w:rsidRPr="00C00255">
        <w:rPr>
          <w:szCs w:val="24"/>
        </w:rPr>
        <w:t xml:space="preserve"> vadovaujamą vaidmenį </w:t>
      </w:r>
      <w:bookmarkStart w:id="476" w:name="_Hlk64146517"/>
      <w:r w:rsidRPr="00C00255">
        <w:rPr>
          <w:szCs w:val="24"/>
        </w:rPr>
        <w:t xml:space="preserve">jam pavaldiems TSRS VRM Vidaus kariuomenės 42-osios divizijos konvojaus pulko mokomosios specialiosios paskirties kuopos </w:t>
      </w:r>
      <w:bookmarkEnd w:id="476"/>
      <w:r w:rsidRPr="00C00255">
        <w:rPr>
          <w:szCs w:val="24"/>
        </w:rPr>
        <w:t>kariškiams, yra pagrįsta ir teisinga. Tokią išvadą patvirtina iš skirtingų šaltinių gautų ir BPK 20 straipsnio reikalavimus atitinkančių įrodymų visuma.</w:t>
      </w:r>
    </w:p>
    <w:p w:rsidR="00DA38E9" w:rsidRPr="00C00255" w:rsidRDefault="00DA38E9" w:rsidP="00DA38E9">
      <w:pPr>
        <w:pStyle w:val="ListParagraph"/>
        <w:numPr>
          <w:ilvl w:val="1"/>
          <w:numId w:val="6"/>
        </w:numPr>
        <w:spacing w:before="120" w:after="120"/>
        <w:ind w:left="992" w:hanging="992"/>
        <w:contextualSpacing w:val="0"/>
        <w:rPr>
          <w:color w:val="000000"/>
          <w:szCs w:val="24"/>
          <w:lang w:eastAsia="lt-LT" w:bidi="lt-LT"/>
        </w:rPr>
      </w:pPr>
      <w:bookmarkStart w:id="477" w:name="_Hlk64157880"/>
      <w:bookmarkEnd w:id="475"/>
      <w:r w:rsidRPr="00C00255">
        <w:rPr>
          <w:szCs w:val="24"/>
        </w:rPr>
        <w:t xml:space="preserve">Teisėjų kolegijos išvadą apie </w:t>
      </w:r>
      <w:r w:rsidRPr="00C00255">
        <w:rPr>
          <w:rFonts w:eastAsia="Calibri"/>
          <w:szCs w:val="24"/>
        </w:rPr>
        <w:t xml:space="preserve">TSRS VRM Vidaus kariuomenės 42-osios divizijos konvojaus pulko </w:t>
      </w:r>
      <w:r w:rsidRPr="00C00255">
        <w:rPr>
          <w:szCs w:val="24"/>
        </w:rPr>
        <w:t xml:space="preserve">mokomosios specialiosios paskirties kuopos būrio vado </w:t>
      </w:r>
      <w:r>
        <w:rPr>
          <w:szCs w:val="24"/>
        </w:rPr>
        <w:t>M. C.</w:t>
      </w:r>
      <w:r w:rsidRPr="00C00255">
        <w:rPr>
          <w:szCs w:val="24"/>
          <w:lang w:bidi="lt-LT"/>
        </w:rPr>
        <w:t xml:space="preserve"> dalyvavimą ir vadovavimą </w:t>
      </w:r>
      <w:r w:rsidRPr="00C00255">
        <w:rPr>
          <w:szCs w:val="24"/>
        </w:rPr>
        <w:t xml:space="preserve">TSRS VRM Vidaus kariuomenės 42-osios divizijos konvojaus pulko mokomosios specialiosios paskirties kuopos </w:t>
      </w:r>
      <w:r w:rsidRPr="00C00255">
        <w:rPr>
          <w:szCs w:val="24"/>
          <w:lang w:bidi="lt-LT"/>
        </w:rPr>
        <w:t xml:space="preserve">kariškiams patvirtina </w:t>
      </w:r>
      <w:r w:rsidRPr="00C00255">
        <w:rPr>
          <w:szCs w:val="24"/>
        </w:rPr>
        <w:t xml:space="preserve">byloje pateiktas VRM Vidaus kariuomenės kariškių dalyvavusių prie LRT sąrašas. Iš šio sąrašo matyti, kad </w:t>
      </w:r>
      <w:r>
        <w:rPr>
          <w:szCs w:val="24"/>
        </w:rPr>
        <w:t>M. C.</w:t>
      </w:r>
      <w:r w:rsidRPr="00C00255">
        <w:rPr>
          <w:szCs w:val="24"/>
        </w:rPr>
        <w:t xml:space="preserve"> buvo vyresnysis leitenantas, kaip ir šios kuopos vadas </w:t>
      </w:r>
      <w:r>
        <w:rPr>
          <w:szCs w:val="24"/>
        </w:rPr>
        <w:t>O. M.</w:t>
      </w:r>
      <w:r w:rsidRPr="00C00255">
        <w:rPr>
          <w:szCs w:val="24"/>
        </w:rPr>
        <w:t xml:space="preserve">. </w:t>
      </w:r>
      <w:r>
        <w:rPr>
          <w:szCs w:val="24"/>
        </w:rPr>
        <w:t>M. C.</w:t>
      </w:r>
      <w:r w:rsidRPr="00C00255">
        <w:rPr>
          <w:szCs w:val="24"/>
        </w:rPr>
        <w:t xml:space="preserve"> </w:t>
      </w:r>
      <w:r w:rsidRPr="00C00255">
        <w:rPr>
          <w:szCs w:val="24"/>
          <w:lang w:eastAsia="lt-LT"/>
        </w:rPr>
        <w:t xml:space="preserve">pagal rangą </w:t>
      </w:r>
      <w:r w:rsidRPr="00C00255">
        <w:rPr>
          <w:szCs w:val="24"/>
        </w:rPr>
        <w:t xml:space="preserve">buvo </w:t>
      </w:r>
      <w:r w:rsidRPr="00C00255">
        <w:rPr>
          <w:szCs w:val="24"/>
          <w:lang w:eastAsia="lt-LT"/>
        </w:rPr>
        <w:t xml:space="preserve">ketvirtas kariškis iš viso konvojaus pulko </w:t>
      </w:r>
      <w:r w:rsidRPr="00C00255">
        <w:rPr>
          <w:szCs w:val="24"/>
        </w:rPr>
        <w:t>(t. 438, b. l. 3–5; t. 125, b. l. 2–3).</w:t>
      </w:r>
      <w:bookmarkStart w:id="478" w:name="_Hlk64129464"/>
      <w:r w:rsidRPr="00C00255">
        <w:rPr>
          <w:szCs w:val="24"/>
          <w:lang w:bidi="lt-LT"/>
        </w:rPr>
        <w:t xml:space="preserve"> </w:t>
      </w:r>
      <w:bookmarkEnd w:id="477"/>
      <w:r w:rsidRPr="00C00255">
        <w:rPr>
          <w:szCs w:val="24"/>
          <w:lang w:bidi="lt-LT"/>
        </w:rPr>
        <w:t>N</w:t>
      </w:r>
      <w:r w:rsidRPr="00C00255">
        <w:rPr>
          <w:rStyle w:val="CharStyle151"/>
          <w:rFonts w:eastAsiaTheme="majorEastAsia"/>
          <w:color w:val="000000"/>
          <w:sz w:val="24"/>
          <w:szCs w:val="24"/>
          <w:lang w:eastAsia="lt-LT"/>
        </w:rPr>
        <w:t>uteistojo gynėja apeliaciniame skunde, be kita ko, nurodo</w:t>
      </w:r>
      <w:r w:rsidRPr="00C00255">
        <w:rPr>
          <w:szCs w:val="24"/>
          <w:lang w:eastAsia="lt-LT" w:bidi="lt-LT"/>
        </w:rPr>
        <w:t xml:space="preserve">, kad </w:t>
      </w:r>
      <w:r>
        <w:rPr>
          <w:szCs w:val="24"/>
          <w:lang w:eastAsia="lt-LT" w:bidi="lt-LT"/>
        </w:rPr>
        <w:t>M. C.</w:t>
      </w:r>
      <w:r w:rsidRPr="00C00255">
        <w:rPr>
          <w:szCs w:val="24"/>
          <w:lang w:eastAsia="lt-LT" w:bidi="lt-LT"/>
        </w:rPr>
        <w:t xml:space="preserve"> atžvilgiu priimant apkaltinamąjį nuosprendį, neatsižvelgta į jo turimą </w:t>
      </w:r>
      <w:r w:rsidRPr="00C00255">
        <w:rPr>
          <w:szCs w:val="24"/>
        </w:rPr>
        <w:t xml:space="preserve">karinį laipsnį ir einamas pareigas, nes būdamas </w:t>
      </w:r>
      <w:r w:rsidRPr="00C00255">
        <w:rPr>
          <w:rStyle w:val="CharStyle151"/>
          <w:rFonts w:eastAsiaTheme="majorEastAsia"/>
          <w:sz w:val="24"/>
          <w:szCs w:val="24"/>
        </w:rPr>
        <w:t xml:space="preserve">vyriausiasis leitenantas jis privalėjo vykdyti jam duodamus įsakymus bei užduotis, o divizijos vadas buvo </w:t>
      </w:r>
      <w:r>
        <w:rPr>
          <w:rStyle w:val="CharStyle151"/>
          <w:rFonts w:eastAsiaTheme="majorEastAsia"/>
          <w:sz w:val="24"/>
          <w:szCs w:val="24"/>
        </w:rPr>
        <w:t>A. Ž.</w:t>
      </w:r>
      <w:r w:rsidRPr="00C00255">
        <w:rPr>
          <w:rStyle w:val="CharStyle151"/>
          <w:rFonts w:eastAsiaTheme="majorEastAsia"/>
          <w:sz w:val="24"/>
          <w:szCs w:val="24"/>
        </w:rPr>
        <w:t xml:space="preserve">. Šių apeliacinio skundo argumentų kontekste, teisėjų kolegija, kaip ir atsakydama į kitų gynėjų panašius argumentus, pažymi, </w:t>
      </w:r>
      <w:r w:rsidRPr="00C00255">
        <w:rPr>
          <w:szCs w:val="24"/>
        </w:rPr>
        <w:t xml:space="preserve">kad vien aplinkybė, </w:t>
      </w:r>
      <w:r w:rsidRPr="00C00255">
        <w:rPr>
          <w:szCs w:val="24"/>
          <w:lang w:bidi="lt-LT"/>
        </w:rPr>
        <w:t>jog</w:t>
      </w:r>
      <w:r w:rsidRPr="00C00255">
        <w:rPr>
          <w:szCs w:val="24"/>
        </w:rPr>
        <w:t xml:space="preserve"> operacijoje dalyvavo ir aukštesnio rango pareigūnai,</w:t>
      </w:r>
      <w:r w:rsidRPr="00C00255">
        <w:rPr>
          <w:szCs w:val="24"/>
          <w:lang w:eastAsia="lt-LT"/>
        </w:rPr>
        <w:t xml:space="preserve"> neeliminuoja nustatyto faktinio konkretaus nuteistojo vadovaujamo vaidmens toje pačioje operacijoje. </w:t>
      </w:r>
      <w:r w:rsidRPr="00C00255">
        <w:rPr>
          <w:szCs w:val="24"/>
          <w:lang w:bidi="lt-LT"/>
        </w:rPr>
        <w:t>Tai, kad n</w:t>
      </w:r>
      <w:r w:rsidRPr="00C00255">
        <w:rPr>
          <w:szCs w:val="24"/>
        </w:rPr>
        <w:t xml:space="preserve">uteistasis </w:t>
      </w:r>
      <w:r>
        <w:rPr>
          <w:szCs w:val="24"/>
        </w:rPr>
        <w:t>M. C.</w:t>
      </w:r>
      <w:r w:rsidRPr="00C00255">
        <w:rPr>
          <w:szCs w:val="24"/>
        </w:rPr>
        <w:t xml:space="preserve"> turėjo tik vyresniojo leitenanto karinį laipsnį ir buvo tik būrio vadas bei nedalyvavo operacijos prie LRT planavimo štabo veikloje, taip pat nepaneigia ir nesumenkina nustatyto jo vadovaujamo vaidmens užimant LRT Radijo pastatą. </w:t>
      </w:r>
    </w:p>
    <w:p w:rsidR="00DA38E9" w:rsidRPr="00055544" w:rsidRDefault="00DA38E9" w:rsidP="00DA38E9">
      <w:pPr>
        <w:pStyle w:val="ListParagraph"/>
        <w:numPr>
          <w:ilvl w:val="1"/>
          <w:numId w:val="6"/>
        </w:numPr>
        <w:spacing w:before="120" w:after="120"/>
        <w:ind w:left="992" w:hanging="992"/>
        <w:contextualSpacing w:val="0"/>
      </w:pPr>
      <w:r w:rsidRPr="00055544">
        <w:rPr>
          <w:szCs w:val="24"/>
          <w:lang w:eastAsia="lt-LT" w:bidi="lt-LT"/>
        </w:rPr>
        <w:t xml:space="preserve">Apie nuteistojo </w:t>
      </w:r>
      <w:r w:rsidRPr="00055544">
        <w:rPr>
          <w:szCs w:val="24"/>
        </w:rPr>
        <w:t xml:space="preserve">M. C. </w:t>
      </w:r>
      <w:r w:rsidRPr="00055544">
        <w:rPr>
          <w:szCs w:val="24"/>
          <w:lang w:eastAsia="lt-LT" w:bidi="lt-LT"/>
        </w:rPr>
        <w:t xml:space="preserve">užimtas vadovaujamo pobūdžio pareigas šturmuojant LRT Radijo pastatą, patvirtina ir </w:t>
      </w:r>
      <w:r w:rsidRPr="00055544">
        <w:rPr>
          <w:szCs w:val="24"/>
        </w:rPr>
        <w:t>pažymoje „Dėl ginklų, kuriuos turėjo specialios paskirties kuopos k/d 7574 karininkai bei praporščikai“ nurodytos aplinkybės, kur tarp visų išvardintų karininkų ir praporščikų įvardijamas ir vyresnysis leitenantas M. C. (t. 438, b. l. 6, 105</w:t>
      </w:r>
      <w:bookmarkStart w:id="479" w:name="_Hlk62593009"/>
      <w:r w:rsidRPr="00055544">
        <w:rPr>
          <w:szCs w:val="24"/>
        </w:rPr>
        <w:t>–</w:t>
      </w:r>
      <w:bookmarkEnd w:id="479"/>
      <w:r w:rsidRPr="00055544">
        <w:rPr>
          <w:szCs w:val="24"/>
        </w:rPr>
        <w:t xml:space="preserve">107, t. 125, b. l. 4, 106–108). </w:t>
      </w:r>
      <w:bookmarkStart w:id="480" w:name="_Hlk64158480"/>
      <w:bookmarkEnd w:id="478"/>
      <w:r w:rsidRPr="00055544">
        <w:rPr>
          <w:szCs w:val="24"/>
        </w:rPr>
        <w:t xml:space="preserve">Šiame kontekste teisėjų kolegija pažymi, kad teisiamajame posėdyje apklaustas </w:t>
      </w:r>
      <w:r w:rsidRPr="00055544">
        <w:rPr>
          <w:rFonts w:eastAsia="Calibri"/>
        </w:rPr>
        <w:t xml:space="preserve">TSRS VRM Vidaus kariuomenės 42-osios divizijos artilerinės ginkluotės tarnybos viršininkas R. M. patvirtino ikiteisminio tyrimo metu duotus parodymus ir nurodė, kad prieš operaciją prie išrikiuotų </w:t>
      </w:r>
      <w:r w:rsidRPr="00055544">
        <w:t xml:space="preserve">mokomosios specialiosios paskirties kuopos BTR, BRDM ir automatais AKMS ginkluotų kariškių matė minėtame sąraše nurodytus karininkus ir praporščikus, t. y. S. F., O. M., V. M., M. C., J. S. </w:t>
      </w:r>
      <w:r w:rsidRPr="00055544">
        <w:rPr>
          <w:rFonts w:eastAsia="Calibri"/>
        </w:rPr>
        <w:t>(</w:t>
      </w:r>
      <w:r w:rsidRPr="00055544">
        <w:t>t. 760, b. l. 141–142; t. 477, b. l. 7–15; t. 46, b. l. 264</w:t>
      </w:r>
      <w:bookmarkStart w:id="481" w:name="_Hlk62215029"/>
      <w:r w:rsidRPr="00055544">
        <w:t>–</w:t>
      </w:r>
      <w:bookmarkEnd w:id="481"/>
      <w:r w:rsidRPr="00055544">
        <w:t>265).</w:t>
      </w:r>
    </w:p>
    <w:bookmarkEnd w:id="474"/>
    <w:bookmarkEnd w:id="480"/>
    <w:p w:rsidR="00DA38E9" w:rsidRPr="00055544" w:rsidRDefault="00DA38E9" w:rsidP="00DA38E9">
      <w:pPr>
        <w:pStyle w:val="ListParagraph"/>
        <w:numPr>
          <w:ilvl w:val="0"/>
          <w:numId w:val="6"/>
        </w:numPr>
        <w:spacing w:before="120" w:after="120"/>
        <w:ind w:left="992" w:hanging="992"/>
        <w:contextualSpacing w:val="0"/>
        <w:rPr>
          <w:szCs w:val="24"/>
          <w:lang w:eastAsia="lt-LT" w:bidi="lt-LT"/>
        </w:rPr>
      </w:pPr>
      <w:r w:rsidRPr="00055544">
        <w:t>Teisėjų kolegijos vidinį įsitikinimą apie M. C. dalyvavimą ir jo vadovaujamą vaidmenį LRT Radijo pastato užėmimo metu formuoja ir ikiteisminio tyrimo metu apklaustų bei liudytojų statusą šiame procese turinčių TSRS VRM Vidaus kariuomenės 42-osios divizijos konvojaus pulko ir mokomosios specialiosios paskirties kuopos kariškių parodymai, perskaityti teisiamajame posėdyje (t. 760, b. l. 147–152</w:t>
      </w:r>
      <w:r w:rsidRPr="00055544">
        <w:rPr>
          <w:szCs w:val="24"/>
          <w:lang w:eastAsia="lt-LT"/>
        </w:rPr>
        <w:t>).</w:t>
      </w:r>
    </w:p>
    <w:p w:rsidR="00DA38E9" w:rsidRPr="00C00255" w:rsidRDefault="00DA38E9" w:rsidP="00DA38E9">
      <w:pPr>
        <w:pStyle w:val="ListParagraph"/>
        <w:numPr>
          <w:ilvl w:val="1"/>
          <w:numId w:val="6"/>
        </w:numPr>
        <w:spacing w:before="120" w:after="120"/>
        <w:ind w:left="992" w:hanging="992"/>
        <w:contextualSpacing w:val="0"/>
        <w:rPr>
          <w:szCs w:val="24"/>
          <w:lang w:eastAsia="lt-LT" w:bidi="lt-LT"/>
        </w:rPr>
      </w:pPr>
      <w:r w:rsidRPr="00055544">
        <w:t xml:space="preserve">Ne vienas liudytojas kariškis nurodė, kad 1991 m. sausio pradžioje vienam iš mokomosios specialiosios paskirties kuopos būrių vadovavo M. C. (pvz., šaulys eilinis A. K. (t. 438, b. l. 174–176; t. 125, b. l. 207–211), </w:t>
      </w:r>
      <w:bookmarkStart w:id="482" w:name="_Hlk65709692"/>
      <w:r w:rsidRPr="00055544">
        <w:t xml:space="preserve">šaulys eilinis </w:t>
      </w:r>
      <w:bookmarkEnd w:id="482"/>
      <w:r w:rsidRPr="00055544">
        <w:t>T. G. (t. 438, b. l. 154</w:t>
      </w:r>
      <w:r w:rsidRPr="00055544">
        <w:rPr>
          <w:rFonts w:eastAsia="Calibri"/>
        </w:rPr>
        <w:t>–</w:t>
      </w:r>
      <w:r w:rsidRPr="00055544">
        <w:t>157; t. 125, b. l. 184</w:t>
      </w:r>
      <w:r w:rsidRPr="00055544">
        <w:rPr>
          <w:rFonts w:eastAsia="Calibri"/>
        </w:rPr>
        <w:t>–</w:t>
      </w:r>
      <w:r w:rsidRPr="00055544">
        <w:t>190), vyresnysis išminuotojas eilinis G. K. (t. 438, b. l. 161</w:t>
      </w:r>
      <w:r w:rsidRPr="00055544">
        <w:rPr>
          <w:rFonts w:eastAsia="Calibri"/>
        </w:rPr>
        <w:t>–</w:t>
      </w:r>
      <w:r w:rsidRPr="00055544">
        <w:t>163; t. 125, b. l. 194</w:t>
      </w:r>
      <w:r w:rsidRPr="00055544">
        <w:rPr>
          <w:rFonts w:eastAsia="Calibri"/>
        </w:rPr>
        <w:t>–</w:t>
      </w:r>
      <w:r w:rsidRPr="00055544">
        <w:t>196) ir kt.).</w:t>
      </w:r>
    </w:p>
    <w:p w:rsidR="00DA38E9" w:rsidRPr="00E67B7E" w:rsidRDefault="00DA38E9" w:rsidP="00DA38E9">
      <w:pPr>
        <w:pStyle w:val="ListParagraph"/>
        <w:numPr>
          <w:ilvl w:val="1"/>
          <w:numId w:val="6"/>
        </w:numPr>
        <w:spacing w:before="120" w:after="120"/>
        <w:ind w:left="992" w:hanging="992"/>
        <w:contextualSpacing w:val="0"/>
      </w:pPr>
      <w:r w:rsidRPr="00C00255">
        <w:rPr>
          <w:szCs w:val="24"/>
          <w:lang w:eastAsia="lt-LT"/>
        </w:rPr>
        <w:t xml:space="preserve">Liudytojai mokomosios specialiosios paskirties kuopos kariškiai – šaulys eilinis </w:t>
      </w:r>
      <w:r w:rsidRPr="00E67B7E">
        <w:rPr>
          <w:rFonts w:eastAsia="Calibri"/>
        </w:rPr>
        <w:t xml:space="preserve">J. T. </w:t>
      </w:r>
      <w:r w:rsidR="00E67B7E">
        <w:rPr>
          <w:rFonts w:eastAsia="Calibri"/>
        </w:rPr>
        <w:t>(t. 438, b. </w:t>
      </w:r>
      <w:r w:rsidRPr="00E67B7E">
        <w:rPr>
          <w:rFonts w:eastAsia="Calibri"/>
        </w:rPr>
        <w:t>l. 123</w:t>
      </w:r>
      <w:r w:rsidRPr="00E67B7E">
        <w:t>–</w:t>
      </w:r>
      <w:r w:rsidRPr="00E67B7E">
        <w:rPr>
          <w:rFonts w:eastAsia="Calibri"/>
        </w:rPr>
        <w:t>126, t. 439, b. l. 79</w:t>
      </w:r>
      <w:r w:rsidRPr="00E67B7E">
        <w:t>–</w:t>
      </w:r>
      <w:r w:rsidRPr="00E67B7E">
        <w:rPr>
          <w:rFonts w:eastAsia="Calibri"/>
        </w:rPr>
        <w:t>80; t. 125, b. l. 138</w:t>
      </w:r>
      <w:bookmarkStart w:id="483" w:name="_Hlk64152045"/>
      <w:r w:rsidRPr="00E67B7E">
        <w:t>–</w:t>
      </w:r>
      <w:bookmarkEnd w:id="483"/>
      <w:r w:rsidRPr="00E67B7E">
        <w:rPr>
          <w:rFonts w:eastAsia="Calibri"/>
        </w:rPr>
        <w:t>145, t. 126, b. l. 115</w:t>
      </w:r>
      <w:bookmarkStart w:id="484" w:name="_Hlk62213132"/>
      <w:r w:rsidRPr="00E67B7E">
        <w:t>–</w:t>
      </w:r>
      <w:bookmarkEnd w:id="484"/>
      <w:r w:rsidRPr="00E67B7E">
        <w:rPr>
          <w:rFonts w:eastAsia="Calibri"/>
        </w:rPr>
        <w:t>117) ir šaulys eilinis J. V. (t. 438, b. l. 141</w:t>
      </w:r>
      <w:r w:rsidRPr="00E67B7E">
        <w:t>–</w:t>
      </w:r>
      <w:r w:rsidRPr="00E67B7E">
        <w:rPr>
          <w:rFonts w:eastAsia="Calibri"/>
        </w:rPr>
        <w:t>143; t. 125, b. l. 164</w:t>
      </w:r>
      <w:r w:rsidRPr="00E67B7E">
        <w:t>–</w:t>
      </w:r>
      <w:r w:rsidRPr="00E67B7E">
        <w:rPr>
          <w:rFonts w:eastAsia="Calibri"/>
        </w:rPr>
        <w:t xml:space="preserve">168) nurodė, </w:t>
      </w:r>
      <w:r w:rsidRPr="00E67B7E">
        <w:t xml:space="preserve">kad </w:t>
      </w:r>
      <w:r w:rsidRPr="00E67B7E">
        <w:rPr>
          <w:rFonts w:eastAsia="Calibri"/>
        </w:rPr>
        <w:t xml:space="preserve">atvykus prie LRT ir išlipus iš BTR, su tarnybos draugais buvo </w:t>
      </w:r>
      <w:bookmarkStart w:id="485" w:name="_Hlk62578462"/>
      <w:r w:rsidRPr="00E67B7E">
        <w:rPr>
          <w:rFonts w:eastAsia="Calibri"/>
        </w:rPr>
        <w:t xml:space="preserve">išrikiuoti vorele 2–3 metrų intervalu. Būnant vorelėje, būrio vadas </w:t>
      </w:r>
      <w:bookmarkStart w:id="486" w:name="_Hlk64152367"/>
      <w:r w:rsidRPr="00E67B7E">
        <w:rPr>
          <w:rFonts w:eastAsia="Calibri"/>
        </w:rPr>
        <w:t>(parodymuose nurodė, kad būrio vadas buvo vyresnysis leitenantas M. C.)</w:t>
      </w:r>
      <w:bookmarkEnd w:id="486"/>
      <w:r w:rsidRPr="00E67B7E">
        <w:rPr>
          <w:rFonts w:eastAsia="Calibri"/>
        </w:rPr>
        <w:t xml:space="preserve"> davė užduotį nieko neleisti prie televizijos ir radijo komiteto pastato</w:t>
      </w:r>
      <w:bookmarkEnd w:id="485"/>
      <w:r w:rsidRPr="00E67B7E">
        <w:rPr>
          <w:rFonts w:eastAsia="Calibri"/>
        </w:rPr>
        <w:t>.</w:t>
      </w:r>
    </w:p>
    <w:p w:rsidR="00DA38E9" w:rsidRPr="00E67B7E" w:rsidRDefault="00DA38E9" w:rsidP="00DA38E9">
      <w:pPr>
        <w:pStyle w:val="ListParagraph"/>
        <w:numPr>
          <w:ilvl w:val="1"/>
          <w:numId w:val="6"/>
        </w:numPr>
        <w:spacing w:before="120" w:after="120"/>
        <w:ind w:left="992" w:hanging="992"/>
        <w:contextualSpacing w:val="0"/>
      </w:pPr>
      <w:r w:rsidRPr="00055544">
        <w:t xml:space="preserve">Atitinkamai liudytojai kariškiai – šaulys eilinis </w:t>
      </w:r>
      <w:r w:rsidRPr="00055544">
        <w:rPr>
          <w:rFonts w:eastAsia="Calibri"/>
        </w:rPr>
        <w:t xml:space="preserve">V. Š. </w:t>
      </w:r>
      <w:r w:rsidRPr="00055544">
        <w:t>(</w:t>
      </w:r>
      <w:r w:rsidRPr="00055544">
        <w:rPr>
          <w:rFonts w:eastAsia="Calibri"/>
        </w:rPr>
        <w:t>t. 439, b. l. 34</w:t>
      </w:r>
      <w:r w:rsidRPr="00055544">
        <w:t>–</w:t>
      </w:r>
      <w:r w:rsidRPr="00055544">
        <w:rPr>
          <w:rFonts w:eastAsia="Calibri"/>
        </w:rPr>
        <w:t>36; t. 126, b. l. 48</w:t>
      </w:r>
      <w:r w:rsidRPr="00055544">
        <w:t>–</w:t>
      </w:r>
      <w:r w:rsidRPr="00055544">
        <w:rPr>
          <w:rFonts w:eastAsia="Calibri"/>
        </w:rPr>
        <w:t>51</w:t>
      </w:r>
      <w:r w:rsidRPr="00055544">
        <w:t>),</w:t>
      </w:r>
      <w:r w:rsidRPr="00055544">
        <w:rPr>
          <w:rFonts w:eastAsia="Calibri"/>
        </w:rPr>
        <w:t xml:space="preserve"> vyresnysis šaulys–granatsvaidininkas eilinis D. K.</w:t>
      </w:r>
      <w:r w:rsidRPr="00055544">
        <w:t xml:space="preserve"> </w:t>
      </w:r>
      <w:r w:rsidRPr="00055544">
        <w:rPr>
          <w:rFonts w:eastAsia="Calibri"/>
        </w:rPr>
        <w:t>(t. 438, b. l. 138</w:t>
      </w:r>
      <w:r w:rsidRPr="00055544">
        <w:t>–</w:t>
      </w:r>
      <w:r w:rsidRPr="00055544">
        <w:rPr>
          <w:rFonts w:eastAsia="Calibri"/>
        </w:rPr>
        <w:t>140; t. 125, b. l. 158</w:t>
      </w:r>
      <w:r w:rsidRPr="00055544">
        <w:t>–</w:t>
      </w:r>
      <w:r w:rsidRPr="00055544">
        <w:rPr>
          <w:rFonts w:eastAsia="Calibri"/>
        </w:rPr>
        <w:t>163), šaulys eilinis D. U. (t. 438, b. l. 170</w:t>
      </w:r>
      <w:r w:rsidRPr="00055544">
        <w:t>–</w:t>
      </w:r>
      <w:r w:rsidRPr="00055544">
        <w:rPr>
          <w:rFonts w:eastAsia="Calibri"/>
        </w:rPr>
        <w:t>173; t. 125, b. l. 203</w:t>
      </w:r>
      <w:r w:rsidRPr="00055544">
        <w:t>–</w:t>
      </w:r>
      <w:r w:rsidRPr="00055544">
        <w:rPr>
          <w:rFonts w:eastAsia="Calibri"/>
        </w:rPr>
        <w:t xml:space="preserve">206), šaulys eilinis M. G. </w:t>
      </w:r>
      <w:r w:rsidR="00E67B7E" w:rsidRPr="00055544">
        <w:rPr>
          <w:rFonts w:eastAsia="Calibri"/>
        </w:rPr>
        <w:t>(t. 439, b. l. </w:t>
      </w:r>
      <w:r w:rsidRPr="00055544">
        <w:rPr>
          <w:rFonts w:eastAsia="Calibri"/>
        </w:rPr>
        <w:t>57</w:t>
      </w:r>
      <w:r w:rsidRPr="00055544">
        <w:t>–</w:t>
      </w:r>
      <w:r w:rsidRPr="00055544">
        <w:rPr>
          <w:rFonts w:eastAsia="Calibri"/>
        </w:rPr>
        <w:t>59; t. 126, b. l. 77</w:t>
      </w:r>
      <w:r w:rsidRPr="00055544">
        <w:t>–</w:t>
      </w:r>
      <w:r w:rsidRPr="00055544">
        <w:rPr>
          <w:rFonts w:eastAsia="Calibri"/>
        </w:rPr>
        <w:t>84) ir šaulys eilinis A. P. (t. 439, b. l. 66</w:t>
      </w:r>
      <w:r w:rsidRPr="00055544">
        <w:t>–</w:t>
      </w:r>
      <w:r w:rsidR="00E67B7E" w:rsidRPr="00055544">
        <w:rPr>
          <w:rFonts w:eastAsia="Calibri"/>
        </w:rPr>
        <w:t>69; t. 126, b. l. </w:t>
      </w:r>
      <w:r w:rsidRPr="00055544">
        <w:rPr>
          <w:rFonts w:eastAsia="Calibri"/>
        </w:rPr>
        <w:t>97</w:t>
      </w:r>
      <w:bookmarkStart w:id="487" w:name="_Hlk64152311"/>
      <w:r w:rsidRPr="00055544">
        <w:t>–</w:t>
      </w:r>
      <w:bookmarkEnd w:id="487"/>
      <w:r w:rsidRPr="00055544">
        <w:rPr>
          <w:rFonts w:eastAsia="Calibri"/>
        </w:rPr>
        <w:t xml:space="preserve">100) </w:t>
      </w:r>
      <w:r w:rsidRPr="00055544">
        <w:t>nurodė, kad</w:t>
      </w:r>
      <w:r w:rsidRPr="00055544">
        <w:rPr>
          <w:rFonts w:eastAsia="Calibri"/>
        </w:rPr>
        <w:t xml:space="preserve"> viename</w:t>
      </w:r>
      <w:r w:rsidRPr="00E67B7E">
        <w:rPr>
          <w:rFonts w:eastAsia="Calibri"/>
        </w:rPr>
        <w:t xml:space="preserve"> </w:t>
      </w:r>
      <w:r w:rsidRPr="00055544">
        <w:rPr>
          <w:rFonts w:eastAsia="Calibri"/>
        </w:rPr>
        <w:t>iš BTR prie LRT vyko būrio vadas – vyresnysis leitenantas M. C., kuris buvo vyriausiasis to BTR kariškis. Atvykus prie LRT, pagal komandą išlipo iš BTR ir stojo į kariškių grandinę 1,5–2 metrų intervalu, atitolusiu apie 10 metrų nuo minios, veidu į minią, tarp BTR.</w:t>
      </w:r>
    </w:p>
    <w:p w:rsidR="00DA38E9" w:rsidRPr="00055544" w:rsidRDefault="00DA38E9" w:rsidP="00DA38E9">
      <w:pPr>
        <w:pStyle w:val="ListParagraph"/>
        <w:numPr>
          <w:ilvl w:val="1"/>
          <w:numId w:val="6"/>
        </w:numPr>
        <w:spacing w:before="120" w:after="120"/>
        <w:ind w:left="992" w:hanging="992"/>
        <w:contextualSpacing w:val="0"/>
        <w:rPr>
          <w:szCs w:val="24"/>
          <w:lang w:eastAsia="lt-LT" w:bidi="lt-LT"/>
        </w:rPr>
      </w:pPr>
      <w:r w:rsidRPr="00055544">
        <w:rPr>
          <w:rFonts w:eastAsia="Calibri"/>
        </w:rPr>
        <w:t xml:space="preserve">Liudytojas šaulys eilinis T. G. nurodė, kad nuvykus prie LRT ir išlipus iš BTR, būrio vadui (parodymuose nurodė, kad būrio vadas buvo vyresnysis leitenantas M. C.) davus komandą, jis su tarnybos draugais, spausdami savo kūnais, nustūmė minią nuo šarvuočių. Prieš besipriešinančius panaudojo guminę lazdą PR-73, tačiau per galvas nemušė. Po to, pagal komandą su tarnybos draugais atsistojo į grandinę tarp „1“ ir „2“ BTR, tarp kurių buvo 10 metrų atstumas. Stovėjo turėdami užduotį saugoti techniką ir nepraleisti minios prie radijo komiteto. </w:t>
      </w:r>
      <w:r w:rsidRPr="00055544">
        <w:t xml:space="preserve">Teisėjų kolegijos įsitikinimu, aptarti liudytojų parodymai atitinka vieni kitus ir leidžia atskleisti nuoseklų M. C. atliktų vadovaujamų veiksmų pobūdį </w:t>
      </w:r>
      <w:r w:rsidRPr="00055544">
        <w:rPr>
          <w:rFonts w:eastAsia="Calibri"/>
        </w:rPr>
        <w:t>(t. 438, b. l. 154</w:t>
      </w:r>
      <w:r w:rsidRPr="00055544">
        <w:t>–</w:t>
      </w:r>
      <w:r w:rsidRPr="00055544">
        <w:rPr>
          <w:rFonts w:eastAsia="Calibri"/>
        </w:rPr>
        <w:t>157; t. 125, b. l. 184</w:t>
      </w:r>
      <w:r w:rsidRPr="00055544">
        <w:t>–</w:t>
      </w:r>
      <w:r w:rsidRPr="00055544">
        <w:rPr>
          <w:rFonts w:eastAsia="Calibri"/>
        </w:rPr>
        <w:t>190).</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t xml:space="preserve">Pirmiau aptarti rašytiniai bylos įrodymai, liudytojų parodymai bei chronologinė įvykių seka rodo, kad TSRS VRM Vidaus kariuomenės 42-osios divizijos </w:t>
      </w:r>
      <w:r w:rsidRPr="00055544">
        <w:rPr>
          <w:rFonts w:eastAsia="Calibri"/>
        </w:rPr>
        <w:t xml:space="preserve">konvojaus pulko </w:t>
      </w:r>
      <w:r w:rsidRPr="00055544">
        <w:t xml:space="preserve">mokomosios specialiosios paskirties </w:t>
      </w:r>
      <w:r w:rsidRPr="00055544">
        <w:rPr>
          <w:rFonts w:eastAsia="Calibri"/>
        </w:rPr>
        <w:t xml:space="preserve">kuopos kariškiai, kurių daliai vadovavo vyresnysis leitenantas M. C., ne tik BTR šarvuotais transporteriais </w:t>
      </w:r>
      <w:r w:rsidRPr="00055544">
        <w:t>atvyko prie LRT užtikrinti viešąją tvarką</w:t>
      </w:r>
      <w:r w:rsidRPr="00055544">
        <w:rPr>
          <w:rFonts w:eastAsia="Calibri"/>
        </w:rPr>
        <w:t xml:space="preserve">, tačiau pagal būrio vado paskirstytas užduotis atliko aktyvius veiksmus, siekdami prasibrauti ir užimti (padėti užimti) </w:t>
      </w:r>
      <w:r w:rsidRPr="00055544">
        <w:t>LRT Radijo pastatą</w:t>
      </w:r>
      <w:r w:rsidRPr="00055544">
        <w:rPr>
          <w:rFonts w:eastAsia="Calibri"/>
        </w:rPr>
        <w:t>. T</w:t>
      </w:r>
      <w:r w:rsidRPr="00055544">
        <w:t>eisėjų kolegijai nekyla jokių abejonių, kad tiriamų įvykių metu M. C. ėjo vadovaujamo pobūdžio pareigas TSRS VRM Vidaus kariuomenės 42-osios divizijos konvojaus pulko mokomosios specialiosios paskirties kuopos viename iš būrių ir, priešingai nei teigiama apeliaciniame skunde, pagal užimamas pareigas, užduočių skirstymą pavaldumo tvarka paklūstantiems kariškiams, galėjo ir davė nurodymus – susirinkti,</w:t>
      </w:r>
      <w:r w:rsidRPr="00055544">
        <w:rPr>
          <w:rFonts w:eastAsia="Calibri"/>
        </w:rPr>
        <w:t xml:space="preserve"> bei būnant prie LRT pastato, vieno iš karinio dalinio kariškiams, paskirdamas ir pavesdamas tam tikras užduotis (išrikiuoti, nieko neleisti prie LRT pastato, nustumti susirinkusius asmenis nuo karinės technikos), atliko vadovaujamą vaidmenį užimant </w:t>
      </w:r>
      <w:r w:rsidRPr="00055544">
        <w:t>LRT Radijo pastatą</w:t>
      </w:r>
      <w:r w:rsidRPr="00055544">
        <w:rPr>
          <w:rFonts w:eastAsia="Calibri"/>
        </w:rPr>
        <w:t>.</w:t>
      </w:r>
      <w:r w:rsidRPr="00055544">
        <w:t xml:space="preserve"> Todėl, teisėjų kolegijos įsitikinimu, visos skundžiamame nuosprendyje padarytos išvados, kiek tai susiję su M. C. vadovaujamu vaidmeniu LRT Radijo pastato užėmimo metu, yra patvirtintos logine grandine besijungiančių bylos įrodymų visumos ir abejonių nekelia.</w:t>
      </w:r>
      <w:r w:rsidRPr="00E67B7E">
        <w:t xml:space="preserve"> </w:t>
      </w:r>
    </w:p>
    <w:p w:rsidR="00DA38E9" w:rsidRPr="00C00255" w:rsidRDefault="00DA38E9" w:rsidP="00DA38E9">
      <w:pPr>
        <w:pStyle w:val="ListParagraph"/>
        <w:numPr>
          <w:ilvl w:val="0"/>
          <w:numId w:val="6"/>
        </w:numPr>
        <w:spacing w:before="120" w:after="120"/>
        <w:ind w:left="992" w:hanging="992"/>
        <w:contextualSpacing w:val="0"/>
        <w:rPr>
          <w:szCs w:val="24"/>
        </w:rPr>
      </w:pPr>
      <w:bookmarkStart w:id="488" w:name="_Hlk64159258"/>
      <w:bookmarkStart w:id="489" w:name="_Hlk64271074"/>
      <w:r w:rsidRPr="00C00255">
        <w:rPr>
          <w:szCs w:val="24"/>
        </w:rPr>
        <w:t xml:space="preserve">Visgi, vertinant apygardos teismo išvadas apie </w:t>
      </w:r>
      <w:r>
        <w:rPr>
          <w:szCs w:val="24"/>
        </w:rPr>
        <w:t>M. C.</w:t>
      </w:r>
      <w:r w:rsidRPr="00C00255">
        <w:rPr>
          <w:szCs w:val="24"/>
        </w:rPr>
        <w:t xml:space="preserve"> faktiškai atliktus veiksmus, pažymėtina, kad motyvuojamojoje nuosprendžio dalyje apibendrinant </w:t>
      </w:r>
      <w:r>
        <w:rPr>
          <w:szCs w:val="24"/>
        </w:rPr>
        <w:t>M. C.</w:t>
      </w:r>
      <w:r w:rsidRPr="00C00255">
        <w:rPr>
          <w:szCs w:val="24"/>
        </w:rPr>
        <w:t xml:space="preserve"> atliktus veiksmus, apygardos teismas nurodė, kad nuteistasis </w:t>
      </w:r>
      <w:r>
        <w:rPr>
          <w:szCs w:val="24"/>
        </w:rPr>
        <w:t>M. C.</w:t>
      </w:r>
      <w:r w:rsidRPr="00C00255">
        <w:rPr>
          <w:szCs w:val="24"/>
        </w:rPr>
        <w:t xml:space="preserve"> „&lt;...&gt; saugojo gatvėje išrikiuotus šarvuočius, šaudė trumpomis automatų serijomis“ (žr. nuosprendžio 876 l. t. 773, b. l. 76; panašiai ir 890 l</w:t>
      </w:r>
      <w:r w:rsidR="00E67B7E">
        <w:rPr>
          <w:szCs w:val="24"/>
        </w:rPr>
        <w:t>., t. </w:t>
      </w:r>
      <w:r w:rsidRPr="00C00255">
        <w:rPr>
          <w:szCs w:val="24"/>
        </w:rPr>
        <w:t xml:space="preserve">773, b. l. 90). Vertinant tokį lakonišką teiginį viso teismo nuosprendžio kaip vientiso dokumento kontekste akivaizdu, kad pirmosios instancijos teismas pripažino įrodytomis tik aplinkybes, jog LRT Radijo pastato šturmo metu, TSRS VRM Vidaus kariuomenės 42-osios divizijos kariškiai, kurių vienu iš vadovaujančių buvo </w:t>
      </w:r>
      <w:r>
        <w:rPr>
          <w:szCs w:val="24"/>
        </w:rPr>
        <w:t>M. C.</w:t>
      </w:r>
      <w:r w:rsidRPr="00C00255">
        <w:rPr>
          <w:szCs w:val="24"/>
        </w:rPr>
        <w:t xml:space="preserve">, o ne konkrečiai pats nuteistasis </w:t>
      </w:r>
      <w:r>
        <w:rPr>
          <w:szCs w:val="24"/>
        </w:rPr>
        <w:t>M. C.</w:t>
      </w:r>
      <w:r w:rsidRPr="00C00255">
        <w:rPr>
          <w:szCs w:val="24"/>
        </w:rPr>
        <w:t xml:space="preserve"> saugojo gatvėje išrikiuotus šarvuočius ir šaudė, taip pat naudojo fizinę jėgą ir kitas spec. priemones, todėl minėti visi veiksmai – šarvuočių saugojimas ir šaudymas – negali būti suprantami, kaip asmeniškai nuteistojo </w:t>
      </w:r>
      <w:r>
        <w:rPr>
          <w:szCs w:val="24"/>
        </w:rPr>
        <w:t>M. C.</w:t>
      </w:r>
      <w:r w:rsidRPr="00C00255">
        <w:rPr>
          <w:szCs w:val="24"/>
        </w:rPr>
        <w:t xml:space="preserve"> atlikti veiksmai. </w:t>
      </w:r>
    </w:p>
    <w:bookmarkEnd w:id="488"/>
    <w:bookmarkEnd w:id="489"/>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Teisėjų kolegija kaip nepagrįstus atmeta nuteistojo </w:t>
      </w:r>
      <w:r>
        <w:rPr>
          <w:szCs w:val="24"/>
        </w:rPr>
        <w:t>M. C.</w:t>
      </w:r>
      <w:r w:rsidRPr="00C00255">
        <w:rPr>
          <w:szCs w:val="24"/>
        </w:rPr>
        <w:t xml:space="preserve"> gynėjos apeliacinio skundo argumentus dėl VRM karinio dalinio funkcijų ir pažymi, kad 2014 m. birželio 10 d. specialisto išvadoje yra konstatuota, jog operacijos eigoje VRM kariškiams kartu su jų operacijos grupei priskirtais kariškiais buvo aiškiai suformuota užduotis „užimti 4 aukštų LRT pastatą, blokuoti visus įėjimus, nutraukti darbą, sustabdyti administracijos veiklą ir pašalinti civilius iš pastato bei jo prieigų“ (t. 480, b. l. 55). Be to, iš byloje aptartų (šio sprendimo 579.3 pastraipa) TSRS VRM Vidaus kariuomenės 42-osios divizijos konvojaus pulko mokomosios specialiosios paskirties kuopos kariškių veiksmų LRT Radijo pastato užėmimo metu matyti, kad, atvykę į įvykio vietą, minėti kariškiai, priešingai nei teigiama apeliaciniame skunde, būtent aktyviais veiksmais siekė įgyvendinti jiems iškeltą užduotį. </w:t>
      </w:r>
    </w:p>
    <w:p w:rsidR="00DA38E9" w:rsidRPr="00C00255" w:rsidRDefault="00DA38E9" w:rsidP="00DA38E9">
      <w:pPr>
        <w:pStyle w:val="ListParagraph"/>
        <w:numPr>
          <w:ilvl w:val="0"/>
          <w:numId w:val="6"/>
        </w:numPr>
        <w:spacing w:before="120" w:after="120"/>
        <w:ind w:left="992" w:hanging="992"/>
        <w:contextualSpacing w:val="0"/>
        <w:rPr>
          <w:szCs w:val="24"/>
        </w:rPr>
      </w:pPr>
      <w:r w:rsidRPr="00E67B7E">
        <w:t>Nuteistojo M. C. gynėjos skunde nurodyti argumentai apie tai, kad nuo nuteistojo M. C. ir jo vadovaujamų kariškių veiksmų užimant LRT Radijo pastatą niekas nenukentėjo, taip pat atmestini kaip nepagrįsti, nes t</w:t>
      </w:r>
      <w:r w:rsidRPr="00E67B7E">
        <w:rPr>
          <w:rFonts w:eastAsia="Calibri"/>
        </w:rPr>
        <w:t xml:space="preserve">eisėjų kolegija šiame sprendime jau ne kartą minėjo, kad pagal byloje nustatytas aplinkybes visi TSRS kariškiai LRT Radijo pastato užėmimo metu veikė koordinuotai, kartu ir siekdami bendro tikslo. Visi kariškiai, veikdami bendrai, naudojo itin pavojingus ginklus, šaudė iš tankų, automatų, visi bendrai smurtavo daugybės civilių atžvilgiu, </w:t>
      </w:r>
      <w:r w:rsidRPr="00E67B7E">
        <w:t>o nuteistasis atliko vadovaujamo pobūdžio veiksmus daliai bendroje operacijoje dalyvavusių kariškių, kurie vykdė jiems paskirtą užduotį.</w:t>
      </w:r>
      <w:r w:rsidRPr="00C00255">
        <w:rPr>
          <w:szCs w:val="24"/>
          <w:lang w:eastAsia="lt-LT" w:bidi="lt-LT"/>
        </w:rPr>
        <w:t xml:space="preserve"> </w:t>
      </w:r>
      <w:r w:rsidRPr="00E67B7E">
        <w:t>Byloje nustatyti M. C. vadovaujantys veiksmai visumoje su kitų kariškių veiksmais lėmė daugybės civilių sužalojimus.</w:t>
      </w:r>
    </w:p>
    <w:p w:rsidR="00DA38E9" w:rsidRPr="00C00255" w:rsidRDefault="00DA38E9" w:rsidP="00DA38E9">
      <w:pPr>
        <w:pStyle w:val="Heading4"/>
        <w:spacing w:before="120" w:after="120"/>
        <w:ind w:firstLine="992"/>
        <w:rPr>
          <w:rFonts w:ascii="Times New Roman" w:hAnsi="Times New Roman"/>
          <w:b w:val="0"/>
          <w:i/>
          <w:color w:val="000000"/>
          <w:sz w:val="24"/>
          <w:szCs w:val="24"/>
        </w:rPr>
      </w:pPr>
      <w:bookmarkStart w:id="490" w:name="_Toc66697273"/>
      <w:r w:rsidRPr="00C00255">
        <w:rPr>
          <w:rFonts w:ascii="Times New Roman" w:hAnsi="Times New Roman"/>
          <w:b w:val="0"/>
          <w:i/>
          <w:sz w:val="24"/>
          <w:szCs w:val="24"/>
        </w:rPr>
        <w:t xml:space="preserve">Dėl nuteistojo </w:t>
      </w:r>
      <w:r>
        <w:rPr>
          <w:rFonts w:ascii="Times New Roman" w:hAnsi="Times New Roman"/>
          <w:b w:val="0"/>
          <w:i/>
          <w:sz w:val="24"/>
          <w:szCs w:val="24"/>
        </w:rPr>
        <w:t>J. S.</w:t>
      </w:r>
      <w:r w:rsidRPr="00C00255">
        <w:rPr>
          <w:rFonts w:ascii="Times New Roman" w:hAnsi="Times New Roman"/>
          <w:b w:val="0"/>
          <w:i/>
          <w:sz w:val="24"/>
          <w:szCs w:val="24"/>
        </w:rPr>
        <w:t xml:space="preserve"> dalyvavimo užimant LRT Radijo </w:t>
      </w:r>
      <w:r w:rsidRPr="00C00255">
        <w:rPr>
          <w:rFonts w:ascii="Times New Roman" w:hAnsi="Times New Roman"/>
          <w:b w:val="0"/>
          <w:i/>
          <w:color w:val="000000"/>
          <w:sz w:val="24"/>
          <w:szCs w:val="24"/>
        </w:rPr>
        <w:t>pastatą</w:t>
      </w:r>
      <w:bookmarkEnd w:id="490"/>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bookmarkStart w:id="491" w:name="_Hlk62762891"/>
      <w:r w:rsidRPr="00C00255">
        <w:rPr>
          <w:szCs w:val="24"/>
          <w:lang w:eastAsia="lt-LT"/>
        </w:rPr>
        <w:t>Teisėjų kolegija sutinka su pirmosios instancijos teismo nuosprendžio nustatomojoje dalyje padaryta išvada, kad</w:t>
      </w:r>
      <w:r w:rsidRPr="00C00255">
        <w:rPr>
          <w:lang w:eastAsia="lt-LT"/>
        </w:rPr>
        <w:t xml:space="preserve"> </w:t>
      </w:r>
      <w:bookmarkStart w:id="492" w:name="_Hlk63325902"/>
      <w:r w:rsidRPr="00C00255">
        <w:t xml:space="preserve">TSRS VRM Vidaus kariuomenės </w:t>
      </w:r>
      <w:bookmarkEnd w:id="492"/>
      <w:r w:rsidRPr="00C00255">
        <w:t xml:space="preserve">42-osios divizijos konvojaus pulko mokomosios specialiosios paskirties kuopos instruktorius metodistas </w:t>
      </w:r>
      <w:r>
        <w:t>J. S.</w:t>
      </w:r>
      <w:r w:rsidRPr="00C00255">
        <w:t xml:space="preserve"> </w:t>
      </w:r>
      <w:r w:rsidRPr="00C00255">
        <w:rPr>
          <w:rFonts w:eastAsia="Calibri"/>
        </w:rPr>
        <w:t>tiesiogiai dalyvavo</w:t>
      </w:r>
      <w:r w:rsidRPr="00C00255">
        <w:rPr>
          <w:lang w:eastAsia="lt-LT"/>
        </w:rPr>
        <w:t xml:space="preserve"> </w:t>
      </w:r>
      <w:bookmarkStart w:id="493" w:name="_Hlk65747404"/>
      <w:r w:rsidRPr="00C00255">
        <w:rPr>
          <w:lang w:eastAsia="lt-LT"/>
        </w:rPr>
        <w:t xml:space="preserve">ir vadovavo jam pavaldiems šio karinio dalinio kariškiams užimant </w:t>
      </w:r>
      <w:r w:rsidRPr="00C00255">
        <w:t>LRT Radijo pastatą</w:t>
      </w:r>
      <w:r w:rsidRPr="00C00255">
        <w:rPr>
          <w:lang w:eastAsia="lt-LT"/>
        </w:rPr>
        <w:t xml:space="preserve"> </w:t>
      </w:r>
      <w:bookmarkEnd w:id="493"/>
      <w:r w:rsidRPr="00C00255">
        <w:rPr>
          <w:lang w:eastAsia="lt-LT"/>
        </w:rPr>
        <w:t>(žr. </w:t>
      </w:r>
      <w:r w:rsidRPr="00C00255">
        <w:t>nuosprendžio 514–520 l.;</w:t>
      </w:r>
      <w:r w:rsidRPr="00C00255">
        <w:rPr>
          <w:rFonts w:eastAsia="Calibri"/>
        </w:rPr>
        <w:t xml:space="preserve"> t. 771, b. l. 114–120</w:t>
      </w:r>
      <w:r w:rsidRPr="00C00255">
        <w:t xml:space="preserve">). </w:t>
      </w:r>
      <w:bookmarkStart w:id="494" w:name="_Hlk63455237"/>
      <w:bookmarkEnd w:id="491"/>
      <w:r w:rsidRPr="00C00255">
        <w:rPr>
          <w:szCs w:val="24"/>
        </w:rPr>
        <w:t xml:space="preserve">Nuteistojo gynėjas apeliaciniame skunde nurodo, kad apkaltinamasis nuosprendis negali būti grindžiamas prielaidomis, teismo išvados turi būti pagrįstos įrodymais, neginčijamai patvirtinančiais asmens kaltę, padarius jam inkriminuotą nusikalstamą veiką. Pasak gynėjo, nesant neginčijamų kaltinamojo kaltę pagrindžiančių įrodymų, visos abejonės turi būti aiškinamos kaltinamojo naudai. </w:t>
      </w:r>
      <w:r w:rsidRPr="00C00255">
        <w:rPr>
          <w:color w:val="000000"/>
        </w:rPr>
        <w:t xml:space="preserve">Nors nuteistojo gynėjas nesutinka su pirmosios instancijos teismo nustatytomis faktinėmis bylos aplinkybėmis ir padarytomis išvadomis, tačiau teisėjų kolegija pažymi, kad įrodymų vertinimas ir jais pagrįstų išvadų byloje sprendžiamais klausimais darymas yra teismo, priimančio baigiamąjį aktą, prerogatyva. Pirmosios instancijos teismo posėdžių protokolų ir skundžiamo sprendimo turinys bei kita bylos medžiaga patvirtina, kad visos esminės bylos aplinkybės buvo išsamiai ištirtos teismo posėdžiuose ir aptartos skundžiamame nuosprendyje, todėl atmestinas gynėjo teiginys, kad nuteistojo </w:t>
      </w:r>
      <w:r>
        <w:rPr>
          <w:color w:val="000000"/>
        </w:rPr>
        <w:t>J. S.</w:t>
      </w:r>
      <w:r w:rsidRPr="00C00255">
        <w:rPr>
          <w:color w:val="000000"/>
        </w:rPr>
        <w:t xml:space="preserve"> kaltė skundžiamame nuosprendyje grįsta prielaidomis, kad teismo išvados dėl jo kaltės nepagrįstos išsamiais įrodymais, o abejonės nebuvo aiškinamos kaltinamojo naudai. Kaip matyti iš skundžiamo nuosprendžio, a</w:t>
      </w:r>
      <w:r w:rsidRPr="00C00255">
        <w:t xml:space="preserve">pygardos teismas </w:t>
      </w:r>
      <w:r>
        <w:t>J. S.</w:t>
      </w:r>
      <w:r w:rsidRPr="00C00255">
        <w:t xml:space="preserve"> dalyvavimą įvykiuose prie LRT Radijo pastato ir jo vadovaujamą vaidmenį grindė kitų konvojaus pulko kariškių – liudytojų </w:t>
      </w:r>
      <w:r>
        <w:t>R. M.</w:t>
      </w:r>
      <w:r w:rsidRPr="00C00255">
        <w:t xml:space="preserve"> ir K. N</w:t>
      </w:r>
      <w:r>
        <w:t>.</w:t>
      </w:r>
      <w:r w:rsidRPr="00C00255">
        <w:t xml:space="preserve"> parodymais bei rašytine bylos medžiaga </w:t>
      </w:r>
      <w:r w:rsidRPr="00C00255">
        <w:rPr>
          <w:szCs w:val="24"/>
        </w:rPr>
        <w:t xml:space="preserve">(žr. nuosprendžio 773–780 l., t. 772, b. l. 173–180). </w:t>
      </w:r>
      <w:r w:rsidRPr="00C00255">
        <w:rPr>
          <w:szCs w:val="24"/>
          <w:lang w:bidi="lt-LT"/>
        </w:rPr>
        <w:t>Šių skundo argumentų kontekste, teisėjų kolegija</w:t>
      </w:r>
      <w:r w:rsidRPr="00C00255">
        <w:rPr>
          <w:color w:val="000000"/>
          <w:szCs w:val="24"/>
          <w:shd w:val="clear" w:color="auto" w:fill="FFFFFF"/>
        </w:rPr>
        <w:t xml:space="preserve"> atsižvelgdama į surinktų ir teisiamajame posėdyje ištirtų įrodymų visumą,</w:t>
      </w:r>
      <w:r w:rsidRPr="00C00255">
        <w:rPr>
          <w:szCs w:val="24"/>
          <w:lang w:bidi="lt-LT"/>
        </w:rPr>
        <w:t xml:space="preserve"> konstatuoja, kad apygardos teismo išvados yra pagrįstos ir teisingos bei, priešingai nei teigia nuteistojo </w:t>
      </w:r>
      <w:r>
        <w:rPr>
          <w:szCs w:val="24"/>
          <w:lang w:bidi="lt-LT"/>
        </w:rPr>
        <w:t>J. S.</w:t>
      </w:r>
      <w:r w:rsidRPr="00C00255">
        <w:rPr>
          <w:szCs w:val="24"/>
          <w:lang w:bidi="lt-LT"/>
        </w:rPr>
        <w:t xml:space="preserve"> gynėjas, jas patvirtina abejonių savo objektyvumu nekeliančių įrodymų visuma.</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rPr>
        <w:t xml:space="preserve">Pažymėtina, kad apeliaciniame skunde neginčijama, kad </w:t>
      </w:r>
      <w:r>
        <w:rPr>
          <w:szCs w:val="24"/>
        </w:rPr>
        <w:t>J. S.</w:t>
      </w:r>
      <w:r w:rsidRPr="00C00255">
        <w:rPr>
          <w:szCs w:val="24"/>
        </w:rPr>
        <w:t xml:space="preserve"> dalyvavo įvykiuose prie LRT ir kad jis kartu su kitais</w:t>
      </w:r>
      <w:r w:rsidRPr="00C00255">
        <w:t xml:space="preserve"> </w:t>
      </w:r>
      <w:r w:rsidRPr="00C00255">
        <w:rPr>
          <w:szCs w:val="24"/>
        </w:rPr>
        <w:t xml:space="preserve">TSRS VRM Vidaus kariuomenės 42-osios divizijos konvojaus pulko mokomosios specialiosios paskirties kuopos kariškiais nustūmė civilius nuo pastato ir priėmė pastato apsaugą, tačiau teigiama, kad operacijos metu </w:t>
      </w:r>
      <w:r>
        <w:rPr>
          <w:szCs w:val="24"/>
        </w:rPr>
        <w:t>J. S.</w:t>
      </w:r>
      <w:r w:rsidRPr="00C00255">
        <w:rPr>
          <w:szCs w:val="24"/>
        </w:rPr>
        <w:t xml:space="preserve"> nevadovavo ir jokių įsakymų operacijoje dalyvavusiems kariškiams nedavė, juo labiau nedavė įsakymo žudyti civilius, todėl negali atsakyti už kitų kariškių padarytus nusikaltimus.</w:t>
      </w:r>
      <w:r w:rsidRPr="00C00255">
        <w:rPr>
          <w:szCs w:val="24"/>
          <w:lang w:eastAsia="lt-LT" w:bidi="lt-LT"/>
        </w:rPr>
        <w:t xml:space="preserve"> </w:t>
      </w:r>
      <w:bookmarkStart w:id="495" w:name="_Hlk65531158"/>
      <w:bookmarkStart w:id="496" w:name="_Hlk64164718"/>
      <w:r w:rsidRPr="00C00255">
        <w:rPr>
          <w:szCs w:val="24"/>
          <w:lang w:eastAsia="lt-LT" w:bidi="lt-LT"/>
        </w:rPr>
        <w:t xml:space="preserve">Šiame kontekste teisėjų kolegija pažymi, kad nemaža dalis </w:t>
      </w:r>
      <w:r>
        <w:rPr>
          <w:szCs w:val="24"/>
          <w:lang w:eastAsia="lt-LT" w:bidi="lt-LT"/>
        </w:rPr>
        <w:t>J. S.</w:t>
      </w:r>
      <w:r w:rsidRPr="00C00255">
        <w:rPr>
          <w:szCs w:val="24"/>
          <w:lang w:eastAsia="lt-LT" w:bidi="lt-LT"/>
        </w:rPr>
        <w:t xml:space="preserve"> gynėjo skundo </w:t>
      </w:r>
      <w:r w:rsidRPr="00C00255">
        <w:t>argumentų yra teisinio vertinimo dalykas, o ne fakto klausimai, todėl apie tai teisėjų kolegija pasisakys atskirai kitoje šio sprendimo dalyje.</w:t>
      </w:r>
      <w:bookmarkEnd w:id="495"/>
    </w:p>
    <w:bookmarkEnd w:id="496"/>
    <w:p w:rsidR="00E67B7E" w:rsidRDefault="00DA38E9" w:rsidP="00E67B7E">
      <w:pPr>
        <w:pStyle w:val="ListParagraph"/>
        <w:numPr>
          <w:ilvl w:val="0"/>
          <w:numId w:val="6"/>
        </w:numPr>
        <w:spacing w:before="120" w:after="120"/>
        <w:ind w:left="993" w:hanging="993"/>
        <w:contextualSpacing w:val="0"/>
        <w:rPr>
          <w:szCs w:val="24"/>
          <w:lang w:eastAsia="lt-LT" w:bidi="lt-LT"/>
        </w:rPr>
      </w:pPr>
      <w:r w:rsidRPr="00C00255">
        <w:rPr>
          <w:szCs w:val="24"/>
          <w:lang w:eastAsia="lt-LT"/>
        </w:rPr>
        <w:t xml:space="preserve">Aplinkybę, kad </w:t>
      </w:r>
      <w:bookmarkStart w:id="497" w:name="_Hlk64158059"/>
      <w:r>
        <w:rPr>
          <w:szCs w:val="24"/>
          <w:lang w:eastAsia="lt-LT"/>
        </w:rPr>
        <w:t>J. S.</w:t>
      </w:r>
      <w:r w:rsidRPr="00C00255">
        <w:rPr>
          <w:szCs w:val="24"/>
          <w:lang w:eastAsia="lt-LT"/>
        </w:rPr>
        <w:t xml:space="preserve"> </w:t>
      </w:r>
      <w:bookmarkEnd w:id="497"/>
      <w:r w:rsidRPr="00C00255">
        <w:rPr>
          <w:szCs w:val="24"/>
          <w:lang w:eastAsia="lt-LT"/>
        </w:rPr>
        <w:t xml:space="preserve">įvykių metu buvo </w:t>
      </w:r>
      <w:r w:rsidRPr="00E67B7E">
        <w:rPr>
          <w:rFonts w:eastAsia="Calibri"/>
        </w:rPr>
        <w:t>TSRS VRM Vidaus kariuomenės 42-osios divizijos konvojaus pulko</w:t>
      </w:r>
      <w:r w:rsidRPr="00C00255">
        <w:rPr>
          <w:rFonts w:eastAsia="Calibri"/>
          <w:szCs w:val="24"/>
        </w:rPr>
        <w:t xml:space="preserve"> </w:t>
      </w:r>
      <w:r w:rsidRPr="00C00255">
        <w:rPr>
          <w:szCs w:val="24"/>
          <w:lang w:eastAsia="lt-LT"/>
        </w:rPr>
        <w:t xml:space="preserve">mokomosios specialiosios paskirties kuopos sudėtyje ir aptariamo įvykio metu užėmė vadovaujančio pobūdžio pareigas, patvirtina duomenys gauti iš nevienarūšių įrodymų šaltinių. </w:t>
      </w:r>
    </w:p>
    <w:p w:rsidR="00E67B7E" w:rsidRDefault="00DA38E9" w:rsidP="00E67B7E">
      <w:pPr>
        <w:pStyle w:val="ListParagraph"/>
        <w:numPr>
          <w:ilvl w:val="1"/>
          <w:numId w:val="6"/>
        </w:numPr>
        <w:spacing w:before="120" w:after="120"/>
        <w:ind w:left="992" w:hanging="992"/>
        <w:contextualSpacing w:val="0"/>
        <w:rPr>
          <w:szCs w:val="24"/>
          <w:lang w:eastAsia="lt-LT" w:bidi="lt-LT"/>
        </w:rPr>
      </w:pPr>
      <w:r w:rsidRPr="00055544">
        <w:t>Pirmiausia, byloje pateiktas VRM Vidaus kariuomenės kariškių dalyvavusių prie LRT sąrašas</w:t>
      </w:r>
      <w:r w:rsidRPr="00055544" w:rsidDel="00A42561">
        <w:t xml:space="preserve"> </w:t>
      </w:r>
      <w:r w:rsidRPr="00055544">
        <w:t>(</w:t>
      </w:r>
      <w:r w:rsidRPr="00055544">
        <w:rPr>
          <w:rFonts w:eastAsia="Calibri"/>
        </w:rPr>
        <w:t>J. S. sąraše įvardijamas kaip J. N. S., tačiau jo rangas, vardo ir tėvavardžio pirmosios raidės atitinka jo asmens duomenis ir neleidžia abejoti, kad tai nuteistasis J. S.)</w:t>
      </w:r>
      <w:r w:rsidRPr="00055544">
        <w:t>.</w:t>
      </w:r>
      <w:bookmarkEnd w:id="494"/>
      <w:r w:rsidR="00E67B7E" w:rsidRPr="00055544">
        <w:t> Be </w:t>
      </w:r>
      <w:r w:rsidRPr="00055544">
        <w:t>to, priešingai nei teigiama apeliaciniame skunde, iš minėto sąrašo matyti, kad šio karinio dalinio vienu iš aukščiausiųjų kariškių užimant LRT Radijo pastatą buvo praporščikas J. S. (t. 438, b. l. 3–5; t. 125, b. l. 2–3).</w:t>
      </w:r>
    </w:p>
    <w:p w:rsidR="00E67B7E" w:rsidRDefault="00DA38E9" w:rsidP="00E67B7E">
      <w:pPr>
        <w:pStyle w:val="ListParagraph"/>
        <w:numPr>
          <w:ilvl w:val="1"/>
          <w:numId w:val="6"/>
        </w:numPr>
        <w:spacing w:before="120" w:after="120"/>
        <w:ind w:left="992" w:hanging="992"/>
        <w:contextualSpacing w:val="0"/>
        <w:rPr>
          <w:szCs w:val="24"/>
          <w:lang w:eastAsia="lt-LT" w:bidi="lt-LT"/>
        </w:rPr>
      </w:pPr>
      <w:r w:rsidRPr="00E67B7E">
        <w:rPr>
          <w:szCs w:val="24"/>
        </w:rPr>
        <w:t xml:space="preserve">Atitinkamai </w:t>
      </w:r>
      <w:r w:rsidRPr="00E67B7E">
        <w:rPr>
          <w:szCs w:val="24"/>
          <w:lang w:eastAsia="lt-LT" w:bidi="lt-LT"/>
        </w:rPr>
        <w:t xml:space="preserve">apie nuteistojo </w:t>
      </w:r>
      <w:r w:rsidRPr="00E67B7E">
        <w:rPr>
          <w:szCs w:val="24"/>
        </w:rPr>
        <w:t xml:space="preserve">J. S. </w:t>
      </w:r>
      <w:r w:rsidRPr="00E67B7E">
        <w:rPr>
          <w:szCs w:val="24"/>
          <w:lang w:eastAsia="lt-LT" w:bidi="lt-LT"/>
        </w:rPr>
        <w:t xml:space="preserve">užimtas vadovaujamo pobūdžio pareigas šturmuojant LRT Radijo pastatą patvirtina ir </w:t>
      </w:r>
      <w:r w:rsidRPr="00E67B7E">
        <w:rPr>
          <w:szCs w:val="24"/>
        </w:rPr>
        <w:t xml:space="preserve">pažymoje </w:t>
      </w:r>
      <w:r w:rsidRPr="00C00255">
        <w:t xml:space="preserve">„Dėl ginklų, kuriuos turėjo </w:t>
      </w:r>
      <w:r w:rsidRPr="00E67B7E">
        <w:rPr>
          <w:szCs w:val="24"/>
        </w:rPr>
        <w:t xml:space="preserve">specialios paskirties kuopos k/d 7574 karininkai bei praporščikai“ nurodytos aplinkybės, kur tarp visų išvardintų karininkų ir praporščikų įvardijamas ir J. S. (t. 438, b. l. 6, 105–107, t. 125, b. l. 4, 106–108). </w:t>
      </w:r>
      <w:bookmarkStart w:id="498" w:name="_Hlk62666617"/>
    </w:p>
    <w:p w:rsidR="00DA38E9" w:rsidRPr="00055544" w:rsidRDefault="00DA38E9" w:rsidP="00E67B7E">
      <w:pPr>
        <w:pStyle w:val="ListParagraph"/>
        <w:numPr>
          <w:ilvl w:val="1"/>
          <w:numId w:val="6"/>
        </w:numPr>
        <w:spacing w:before="120" w:after="120"/>
        <w:ind w:left="992" w:hanging="992"/>
        <w:contextualSpacing w:val="0"/>
      </w:pPr>
      <w:r w:rsidRPr="00055544">
        <w:t xml:space="preserve">Šiame kontekste teisėjų kolegija pažymi, kad teisiamajame posėdyje apklaustas </w:t>
      </w:r>
      <w:r w:rsidRPr="00055544">
        <w:rPr>
          <w:rFonts w:eastAsia="Calibri"/>
        </w:rPr>
        <w:t>TSRS VRM Vidaus kariuomenės</w:t>
      </w:r>
      <w:r w:rsidRPr="00055544">
        <w:rPr>
          <w:rFonts w:eastAsia="Calibri"/>
          <w:bCs/>
          <w:szCs w:val="24"/>
        </w:rPr>
        <w:t xml:space="preserve"> </w:t>
      </w:r>
      <w:r w:rsidRPr="00055544">
        <w:rPr>
          <w:rFonts w:eastAsia="Calibri"/>
        </w:rPr>
        <w:t xml:space="preserve">42-osios divizijos artilerinės ginkluotės tarnybos viršininkas R. M. patvirtino ikiteisminio tyrimo metu duotus parodymus ir nurodė, kad prieš operaciją prie išrikiuotų </w:t>
      </w:r>
      <w:r w:rsidRPr="00055544">
        <w:t xml:space="preserve">mokomosios specialiosios paskirties kuopos BTR, BRDM ir automatais AKMS ginkluotų kariškių matė minėtame sąraše nurodytus karininkus ir praporščikus, t. y. S. F., O. M., V. M., M. C., J. S. </w:t>
      </w:r>
      <w:r w:rsidRPr="00055544">
        <w:rPr>
          <w:rFonts w:eastAsia="Calibri"/>
        </w:rPr>
        <w:t>(</w:t>
      </w:r>
      <w:r w:rsidRPr="00055544">
        <w:t xml:space="preserve">t. 760, b. l. 141–142; t. 477, b. l. 7–15; t. 46, b. l. 264–265). Tokias aplinkybes apie </w:t>
      </w:r>
      <w:r w:rsidRPr="00055544">
        <w:rPr>
          <w:rFonts w:eastAsia="Calibri"/>
        </w:rPr>
        <w:t xml:space="preserve">kariškių rikiuotėje matytus O. M., V. M., J. S., M. C. </w:t>
      </w:r>
      <w:r w:rsidRPr="00055544">
        <w:t>taip pat nurodė ir</w:t>
      </w:r>
      <w:bookmarkEnd w:id="498"/>
      <w:r w:rsidR="00E67B7E" w:rsidRPr="00055544">
        <w:t> </w:t>
      </w:r>
      <w:r w:rsidRPr="00055544">
        <w:t xml:space="preserve">teisiamajame posėdyje apklaustas </w:t>
      </w:r>
      <w:r w:rsidRPr="00055544">
        <w:rPr>
          <w:rFonts w:eastAsia="Calibri"/>
        </w:rPr>
        <w:t xml:space="preserve">TSRS VRM Vidaus kariuomenės 42-osios divizijos konvojaus pulko mokomosios specialiosios paskirties kuopos viršila </w:t>
      </w:r>
      <w:r w:rsidRPr="00055544">
        <w:t xml:space="preserve">K. N. </w:t>
      </w:r>
      <w:r w:rsidRPr="00055544">
        <w:rPr>
          <w:rFonts w:eastAsia="Calibri"/>
        </w:rPr>
        <w:t>(t. 760, b. l. 142</w:t>
      </w:r>
      <w:r w:rsidRPr="00055544">
        <w:t>–</w:t>
      </w:r>
      <w:r w:rsidRPr="00055544">
        <w:rPr>
          <w:rFonts w:eastAsia="Calibri"/>
        </w:rPr>
        <w:t>143; t. 439, b. l. 175</w:t>
      </w:r>
      <w:bookmarkStart w:id="499" w:name="_Hlk62671212"/>
      <w:r w:rsidRPr="00055544">
        <w:t>–</w:t>
      </w:r>
      <w:bookmarkEnd w:id="499"/>
      <w:r w:rsidRPr="00055544">
        <w:rPr>
          <w:rFonts w:eastAsia="Calibri"/>
        </w:rPr>
        <w:t>176; t. 478, b. l. 1</w:t>
      </w:r>
      <w:r w:rsidRPr="00055544">
        <w:t>–</w:t>
      </w:r>
      <w:r w:rsidRPr="00055544">
        <w:rPr>
          <w:rFonts w:eastAsia="Calibri"/>
        </w:rPr>
        <w:t>8; t. 126, b. l. 292</w:t>
      </w:r>
      <w:bookmarkStart w:id="500" w:name="_Hlk62667623"/>
      <w:r w:rsidRPr="00055544">
        <w:t>–</w:t>
      </w:r>
      <w:bookmarkEnd w:id="500"/>
      <w:r w:rsidRPr="00055544">
        <w:rPr>
          <w:rFonts w:eastAsia="Calibri"/>
        </w:rPr>
        <w:t>294).</w:t>
      </w:r>
      <w:r w:rsidRPr="00055544">
        <w:t xml:space="preserve"> Teisėjų kolegijos įsitikinimu, šių duomenų visum</w:t>
      </w:r>
      <w:bookmarkStart w:id="501" w:name="_Hlk64158707"/>
      <w:r w:rsidRPr="00055544">
        <w:t xml:space="preserve">a patvirtina ne tik išvadą apie J. S. </w:t>
      </w:r>
      <w:bookmarkEnd w:id="501"/>
      <w:r w:rsidRPr="00055544">
        <w:t>dalyvavimą įvykiuose užimant LRT Radijo pastatą, bet ir jo vadovaujančias pareigas vieno iš karinio dalinio kariškiams šios operacijos metu. Tokios išvados niekaip nekeičia ir byloje pabrėžiamas žemesnis J. S. karinis praporščiko laipsnis, nes, nepaisant tokio karinio laipsnio, jam buvo pavesta vadovauti kariškių grupei ir jis tai vykdė.</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Teisėjų kolegijos vidinį įsitikinimą apie </w:t>
      </w:r>
      <w:r>
        <w:rPr>
          <w:szCs w:val="24"/>
        </w:rPr>
        <w:t>J. S.</w:t>
      </w:r>
      <w:r w:rsidRPr="00C00255">
        <w:rPr>
          <w:szCs w:val="24"/>
        </w:rPr>
        <w:t xml:space="preserve"> vadovaujamą vaidmenį LRT Radijo pastato užėmimo metu formuoja ir ikiteisminio tyrimo metu apklaustų liudytojų statusą šiame procese turinčių TSRS VRM Vidaus kariuomenės 42-osios divizijos konvojaus pulko ir </w:t>
      </w:r>
      <w:r w:rsidRPr="00C00255">
        <w:t xml:space="preserve">mokomosios specialiosios paskirties </w:t>
      </w:r>
      <w:r w:rsidRPr="00C00255">
        <w:rPr>
          <w:szCs w:val="24"/>
        </w:rPr>
        <w:t xml:space="preserve">kuopos kariškių, </w:t>
      </w:r>
      <w:bookmarkStart w:id="502" w:name="_Hlk64161528"/>
      <w:r w:rsidRPr="00C00255">
        <w:rPr>
          <w:szCs w:val="24"/>
          <w:lang w:eastAsia="lt-LT"/>
        </w:rPr>
        <w:t xml:space="preserve">kurių nebuvo galimybės apklausti teismo posėdyje, </w:t>
      </w:r>
      <w:bookmarkEnd w:id="502"/>
      <w:r w:rsidRPr="00C00255">
        <w:rPr>
          <w:szCs w:val="24"/>
          <w:lang w:eastAsia="lt-LT"/>
        </w:rPr>
        <w:t>parodymai,</w:t>
      </w:r>
      <w:r w:rsidRPr="00C00255">
        <w:rPr>
          <w:szCs w:val="24"/>
        </w:rPr>
        <w:t xml:space="preserve"> perskaityti </w:t>
      </w:r>
      <w:r w:rsidRPr="00C00255">
        <w:rPr>
          <w:rFonts w:eastAsia="Calibri"/>
          <w:color w:val="000000" w:themeColor="text1"/>
          <w:szCs w:val="24"/>
        </w:rPr>
        <w:t xml:space="preserve">2017 m. lapkričio 8 d. </w:t>
      </w:r>
      <w:r w:rsidRPr="00C00255">
        <w:rPr>
          <w:szCs w:val="24"/>
        </w:rPr>
        <w:t xml:space="preserve">teisiamajame posėdyje (t. 760, b. l. 146). </w:t>
      </w:r>
    </w:p>
    <w:p w:rsidR="00DA38E9" w:rsidRPr="00055544" w:rsidRDefault="00DA38E9" w:rsidP="00DA38E9">
      <w:pPr>
        <w:pStyle w:val="ListParagraph"/>
        <w:numPr>
          <w:ilvl w:val="1"/>
          <w:numId w:val="6"/>
        </w:numPr>
        <w:spacing w:before="120" w:after="120"/>
        <w:ind w:left="993" w:hanging="993"/>
        <w:contextualSpacing w:val="0"/>
      </w:pPr>
      <w:r w:rsidRPr="00055544">
        <w:rPr>
          <w:szCs w:val="24"/>
        </w:rPr>
        <w:t>Teisėjų</w:t>
      </w:r>
      <w:r w:rsidRPr="00055544">
        <w:t xml:space="preserve"> kolegija pažymi, kad l</w:t>
      </w:r>
      <w:r w:rsidRPr="00055544">
        <w:rPr>
          <w:rFonts w:eastAsia="Calibri"/>
        </w:rPr>
        <w:t>iudytojas šaulys eilinis S. R. nurodė, kad 1991 m. sausio 12 d., apie 24.00 val. kartu su kuopa buvo pakeltas pagal „rinkimosi“ signalą. Apsirengus ir apsiginklavus, kartu su tarnybos draugais buvo pasodinti į BTR. BTR sėdėjo kartu su praporščiku J. S., eiliniu A. B., kitų karių pavardžių neprisimena. Išlipus iš BTR, būrio vadas (apklausos metu nurodė, kad J. S. buvo būrio vadas) davė komandą stoti vorele iš abiejų BTR pusių, 2–3 metrų intervalu. Jie stovėjo vorele veidu į minią, turėdami užduotį nieko neprileisti prie radijo komiteto pastato. Žmonės nuo BTR buvo apie 10 metrų atstumu (t. 438, b. l. 118</w:t>
      </w:r>
      <w:bookmarkStart w:id="503" w:name="_Hlk62680103"/>
      <w:r w:rsidRPr="00055544">
        <w:t>–</w:t>
      </w:r>
      <w:bookmarkEnd w:id="503"/>
      <w:r w:rsidRPr="00055544">
        <w:rPr>
          <w:rFonts w:eastAsia="Calibri"/>
        </w:rPr>
        <w:t>120; t. 125, b. l. 128</w:t>
      </w:r>
      <w:r w:rsidRPr="00055544">
        <w:t>–</w:t>
      </w:r>
      <w:r w:rsidRPr="00055544">
        <w:rPr>
          <w:rFonts w:eastAsia="Calibri"/>
        </w:rPr>
        <w:t>131).</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rPr>
          <w:rFonts w:eastAsia="Calibri"/>
        </w:rPr>
        <w:t>Liudytojas vyresnysis išminuotojas eilinis G. K. nurodė, kad jis tarnavo mokomosios specialiosios paskirties kuopoje. 1991 m. sausio 13 d. naktį juos prikėlė, išdavė ginklus. Po to, jie susėdo į šarvuočius BTR ir išvažiavo. Važiavo du jų kuopos būriai. Iš karininkų važiavo jų būrio vadas, laikinai einantis pareigas, praporščikas J. S.. BTR sustojus, kartu su kitais kariais išlipo ir pamatė, kaip jų kariškiai stoja į grandinę tarp BTR ir žmonių minios (t. 438, b. l. 161</w:t>
      </w:r>
      <w:r w:rsidRPr="00055544">
        <w:t>–</w:t>
      </w:r>
      <w:r w:rsidRPr="00055544">
        <w:rPr>
          <w:rFonts w:eastAsia="Calibri"/>
        </w:rPr>
        <w:t>163; t. 125, b. l. 194</w:t>
      </w:r>
      <w:bookmarkStart w:id="504" w:name="_Hlk62681414"/>
      <w:r w:rsidRPr="00055544">
        <w:t>–</w:t>
      </w:r>
      <w:bookmarkEnd w:id="504"/>
      <w:r w:rsidRPr="00055544">
        <w:rPr>
          <w:rFonts w:eastAsia="Calibri"/>
        </w:rPr>
        <w:t>196).</w:t>
      </w:r>
      <w:r w:rsidRPr="00055544">
        <w:t xml:space="preserve"> Teisėjų kolegijos įsitikinimu, minėti parodymai yra aktualūs tikrinant šioje dalyje jau aptartus įrodymus apie J. S. vaidmenį </w:t>
      </w:r>
      <w:bookmarkStart w:id="505" w:name="_Hlk62681061"/>
      <w:bookmarkStart w:id="506" w:name="_Hlk62681252"/>
      <w:r w:rsidRPr="00055544">
        <w:t xml:space="preserve">LRT Radijo </w:t>
      </w:r>
      <w:bookmarkEnd w:id="505"/>
      <w:r w:rsidRPr="00055544">
        <w:t>pastato</w:t>
      </w:r>
      <w:bookmarkEnd w:id="506"/>
      <w:r w:rsidRPr="00055544">
        <w:t xml:space="preserve"> užėmimo metu. Pažymėtina, kad šie parodymai atitinka ir papildo kitus jau minėtus objektyvius duomenis ir taip pat formuoja teismo vidinį įsitikinimą, jog J. S. ne tik dalyvavo šturmuojant LRT Radijo pastatą, bet ir šioje operacijoje atliko vadovaujamo pobūdžio vaidmenį.</w:t>
      </w:r>
    </w:p>
    <w:p w:rsidR="00E67B7E" w:rsidRPr="00E67B7E" w:rsidRDefault="00DA38E9" w:rsidP="00E67B7E">
      <w:pPr>
        <w:pStyle w:val="ListParagraph"/>
        <w:numPr>
          <w:ilvl w:val="0"/>
          <w:numId w:val="6"/>
        </w:numPr>
        <w:spacing w:before="120" w:after="120"/>
        <w:ind w:left="993" w:hanging="993"/>
        <w:contextualSpacing w:val="0"/>
        <w:rPr>
          <w:szCs w:val="24"/>
          <w:lang w:eastAsia="lt-LT" w:bidi="lt-LT"/>
        </w:rPr>
      </w:pPr>
      <w:r w:rsidRPr="00E67B7E">
        <w:t xml:space="preserve">Taigi, nuosprendžiu padarytos išvados, susijusios su J. S. dalyvavimu ir vadovavimu daliai TSRS VRM Vidaus kariuomenės 42-osios divizijos konvojaus pulko mokomosios specialiosios paskirties kuopos kariškių, pasitvirtino. </w:t>
      </w:r>
      <w:r w:rsidRPr="00E67B7E">
        <w:rPr>
          <w:rFonts w:eastAsia="Calibri"/>
        </w:rPr>
        <w:t xml:space="preserve">Tokios išvados kontekste, turint omenyje visus jau aptartus tiek bendrus visų kariškių, tiek individualius TSRS VRM Vidaus kariuomenės 42-osios divizijos </w:t>
      </w:r>
      <w:r w:rsidRPr="00E67B7E">
        <w:t xml:space="preserve">konvojaus pulko mokomosios specialiosios paskirties kuopos </w:t>
      </w:r>
      <w:r w:rsidRPr="00E67B7E">
        <w:rPr>
          <w:rFonts w:eastAsia="Calibri"/>
        </w:rPr>
        <w:t xml:space="preserve">kariškių veiksmus, panaudojant ginklus, specialias priemones ir kitus smurtinius veiksmus prieš civilius, kiti nuteistojo </w:t>
      </w:r>
      <w:r w:rsidRPr="00E67B7E">
        <w:t>J. S. gynėjo teiginiai neturi esminės reikšmės.</w:t>
      </w:r>
      <w:r w:rsidRPr="00C00255">
        <w:rPr>
          <w:color w:val="000000"/>
          <w:szCs w:val="24"/>
        </w:rPr>
        <w:t xml:space="preserve"> </w:t>
      </w:r>
      <w:r w:rsidRPr="00E67B7E">
        <w:t>Kaip ne kartą buvo nurodyta šiame sprendime, užimant LRT pastatus kariškiai veikė koordinuotai, bendrai ir siekdami to paties vieno tikslo, kaip nustatyta, pagal iš anksto parengtą veiksmų planą, o nuteistasis atliko vadovaujamo pobūdžio veiksmus daliai bendroje operacijoje dalyvavusių kariškių</w:t>
      </w:r>
      <w:r w:rsidRPr="00E67B7E">
        <w:rPr>
          <w:rFonts w:eastAsia="Calibri"/>
        </w:rPr>
        <w:t xml:space="preserve">, todėl ir J. S. </w:t>
      </w:r>
      <w:r w:rsidRPr="00E67B7E">
        <w:t xml:space="preserve">veiksmai negali būti vertinami atsietai nuo visų TSRS kariškių veiksmų ir jais sukeltų padarinių. Tai, kad kaip teigiama apeliaciniame skunde, nuteistasis J. S. nedalyvavo planuojant karinę operaciją prie LRT </w:t>
      </w:r>
      <w:bookmarkStart w:id="507" w:name="_Hlk63460815"/>
      <w:r w:rsidRPr="00E67B7E">
        <w:t xml:space="preserve">ir galėjo nežinoti apie aukštų pareigūnų veiksmus, nepaneigia ir nesumenkina jo nustatyto vadovaujamo vaidmens operacijoje prie LRT Radijo pastato. </w:t>
      </w:r>
      <w:bookmarkStart w:id="508" w:name="_Hlk65748877"/>
      <w:r w:rsidRPr="00E67B7E">
        <w:t>Šiame kontekste teisėjų kolegija pažymi, kad 2014 m. birželio 10 d. specialisto išvadoje nurodyta, jog pagal egzistavusią pavaldumo tvarką TSRS ginkluotosiose pajėgose, visa eilė karininkų, dalyvavusių užimant strateginius objektus (taip pat ir LRT), pagal etatų sąrašą neturėjo tiesiogiai pavaldžių kariškių, bet turėjo galimybę jiems vadovauti. Vyresnis pagal karinį laipsnį ir aukštesnis pagal pareigas pareigūnas, visada gali kontroliuoti pavaldinio veiksmus ir duoti jam komandas, ką šiuo atveju atliko ir nuteistasis J. S.</w:t>
      </w:r>
      <w:r w:rsidR="00E67B7E" w:rsidRPr="00E67B7E">
        <w:t xml:space="preserve"> (t. 480, b. l. </w:t>
      </w:r>
      <w:r w:rsidRPr="00E67B7E">
        <w:t>78).</w:t>
      </w:r>
      <w:bookmarkStart w:id="509" w:name="_Hlk65749815"/>
      <w:bookmarkStart w:id="510" w:name="_Hlk64271261"/>
      <w:bookmarkEnd w:id="508"/>
    </w:p>
    <w:p w:rsidR="00DA38E9" w:rsidRPr="00E67B7E" w:rsidRDefault="00DA38E9" w:rsidP="00E67B7E">
      <w:pPr>
        <w:pStyle w:val="ListParagraph"/>
        <w:numPr>
          <w:ilvl w:val="0"/>
          <w:numId w:val="6"/>
        </w:numPr>
        <w:spacing w:before="120" w:after="120"/>
        <w:ind w:left="993" w:hanging="993"/>
        <w:contextualSpacing w:val="0"/>
        <w:rPr>
          <w:lang w:eastAsia="lt-LT" w:bidi="lt-LT"/>
        </w:rPr>
      </w:pPr>
      <w:r w:rsidRPr="00E67B7E">
        <w:t>Visgi, aptariant apygardos teismo išvadas apie J. S. faktiškai atliktus veiksmus, pažymėtina, kad motyvuojamojoje nuosprendžio dalyje apibendrinant J. S. atliktus veiksmus, apygardos teismas nurodė, jog nuteistasis J. S.</w:t>
      </w:r>
      <w:bookmarkEnd w:id="509"/>
      <w:r w:rsidR="00E67B7E" w:rsidRPr="00E67B7E">
        <w:t> </w:t>
      </w:r>
      <w:r w:rsidRPr="00E67B7E">
        <w:t>„&lt;...&gt; kartu su desantininkais, veržiantis pro žmonių minią naudojo guminę lazdą“ (žr. nuosprendžio 876 l. t. 773, b. l. 76; pa</w:t>
      </w:r>
      <w:r w:rsidR="00E67B7E" w:rsidRPr="00E67B7E">
        <w:t>našiai ir 890 l., t. 773, b. l. </w:t>
      </w:r>
      <w:r w:rsidRPr="00E67B7E">
        <w:t xml:space="preserve">90). Vertinant tokį lakonišką teiginį viso teismo nuosprendžio kaip vientiso dokumento kontekste akivaizdu, kad pirmosios instancijos teismas pripažino įrodytomis tik aplinkybes, jog LRT Radijo pastato šturmo metu TSRS VRM Vidaus kariuomenės 42-osios divizijos kariškiai, o ne konkrečiai pats nuteistasis J. S., veržiantis pro žmonių minią, be kitos turimos ginkluotės taip pat naudojo ir guminę lazdą bei fizinę jėgą, todėl minėti veiksmai – guminės lazdos naudojimas – negali būti suprantamas, kaip asmeniškai nuteistojo J. S. atlikti veiksmai. </w:t>
      </w:r>
    </w:p>
    <w:bookmarkEnd w:id="507"/>
    <w:bookmarkEnd w:id="510"/>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lang w:eastAsia="lt-LT"/>
        </w:rPr>
        <w:t xml:space="preserve">Nuteistojo </w:t>
      </w:r>
      <w:r>
        <w:rPr>
          <w:lang w:eastAsia="lt-LT"/>
        </w:rPr>
        <w:t>J. S.</w:t>
      </w:r>
      <w:r w:rsidRPr="00C00255">
        <w:rPr>
          <w:lang w:eastAsia="lt-LT"/>
        </w:rPr>
        <w:t xml:space="preserve"> </w:t>
      </w:r>
      <w:r w:rsidRPr="00C00255">
        <w:rPr>
          <w:szCs w:val="24"/>
          <w:lang w:eastAsia="lt-LT"/>
        </w:rPr>
        <w:t xml:space="preserve">gynėjas apeliaciniame skunde taip pat nurodo, kad tik nedidelė dalis iš operacijose dalyvavusių kariškių buvo patraukti baudžiamojon atsakomybėn, kiti apklausti kaip liudytojai, o dėl kitų atsakomybėn nepatrauktų kariškių apygardos teismas skundžiamame nuosprendyje nepasisakė. </w:t>
      </w:r>
      <w:r w:rsidRPr="00C00255">
        <w:rPr>
          <w:szCs w:val="22"/>
        </w:rPr>
        <w:t>Pagal Konstitucijos 118 straipsnio 1 dalį ne teismas, o prokuroras organizuoja ikiteisminį tyrimą ir jam vadovauja.</w:t>
      </w:r>
      <w:r w:rsidRPr="00C00255">
        <w:rPr>
          <w:color w:val="000000"/>
          <w:szCs w:val="24"/>
          <w:shd w:val="clear" w:color="auto" w:fill="FFFFFF"/>
        </w:rPr>
        <w:t xml:space="preserve"> Šiame kontekste pažymėtina, kad pagal </w:t>
      </w:r>
      <w:r w:rsidRPr="00C00255">
        <w:rPr>
          <w:szCs w:val="24"/>
          <w:lang w:eastAsia="lt-LT"/>
        </w:rPr>
        <w:t xml:space="preserve">BPK 255 straipsnio 1 dalį </w:t>
      </w:r>
      <w:r w:rsidRPr="00C00255">
        <w:rPr>
          <w:color w:val="000000"/>
          <w:szCs w:val="24"/>
          <w:shd w:val="clear" w:color="auto" w:fill="FFFFFF"/>
        </w:rPr>
        <w:t xml:space="preserve">byla teisme nagrinėjama tik dėl tų kaltinamųjų ir tik dėl tų nusikalstamų veikų, dėl kurių ji perduota nagrinėti teisiamajame posėdyje. Šio straipsnio nuostatos įsakmiai teismui nurodo, kad byla teisme nagrinėjama tik dėl tų kaltinamųjų ir tik dėl tų nusikalstamų veikų, dėl kurių yra perduota nagrinėti teisiamajame posėdyje. Nagrinėjamoje byloje dėl visiems kaltinamiesiems pareikštų kaltinimų apygardos teismas pasisakė. Taip pat teisėjų kolegija, atsakydama į apeliacinio skundo argumentus dėl kaltinamajame akte ir nuosprendyje nurodyto skirtingo kaltinamųjų skaičiaus, pažymi, kad iš baudžiamojoje byloje surašyto kaltinamojo akto turinio matyti, jog daliai asmenų, kaltinamajame akte nurodytų kaip dalyvavusių organizuota grupe padarant tiriamas nusikalstamas veikas, </w:t>
      </w:r>
      <w:r w:rsidRPr="00C00255">
        <w:rPr>
          <w:rFonts w:eastAsia="Calibri"/>
          <w:szCs w:val="24"/>
        </w:rPr>
        <w:t>ikiteisminis tyrimas yra išskirtas į atskirą tyrimą</w:t>
      </w:r>
      <w:r w:rsidRPr="00C00255">
        <w:rPr>
          <w:color w:val="000000"/>
          <w:szCs w:val="24"/>
          <w:shd w:val="clear" w:color="auto" w:fill="FFFFFF"/>
        </w:rPr>
        <w:t>, todėl šiuo atveju skiriasi kaltinamajame akte nurodytas organizuotos grupės dalyvių skaičius nuo skundžiamu nuosprendžiu nuteistų asmenų skaičiaus. Taigi, šiuo atveju, pirmosios instancijos teismas išnagrinėjo baudžiamąją bylą, nepažeisdamas baudžiamojo proceso reikalavimų.</w:t>
      </w:r>
    </w:p>
    <w:p w:rsidR="00DA38E9" w:rsidRPr="00C00255" w:rsidRDefault="00DA38E9" w:rsidP="00DA38E9">
      <w:pPr>
        <w:pStyle w:val="Heading4"/>
        <w:spacing w:before="120" w:after="120"/>
        <w:ind w:firstLine="992"/>
        <w:rPr>
          <w:rFonts w:ascii="Times New Roman" w:hAnsi="Times New Roman"/>
          <w:b w:val="0"/>
          <w:i/>
          <w:color w:val="000000"/>
          <w:sz w:val="24"/>
          <w:szCs w:val="24"/>
        </w:rPr>
      </w:pPr>
      <w:bookmarkStart w:id="511" w:name="_Toc66697274"/>
      <w:r w:rsidRPr="00C00255">
        <w:rPr>
          <w:rFonts w:ascii="Times New Roman" w:hAnsi="Times New Roman"/>
          <w:b w:val="0"/>
          <w:i/>
          <w:color w:val="000000"/>
          <w:sz w:val="24"/>
          <w:szCs w:val="24"/>
        </w:rPr>
        <w:t xml:space="preserve">Dėl nuteistojo </w:t>
      </w:r>
      <w:r>
        <w:rPr>
          <w:rFonts w:ascii="Times New Roman" w:hAnsi="Times New Roman"/>
          <w:b w:val="0"/>
          <w:i/>
          <w:color w:val="000000"/>
          <w:sz w:val="24"/>
          <w:szCs w:val="24"/>
        </w:rPr>
        <w:t>V. Š. 2</w:t>
      </w:r>
      <w:r w:rsidRPr="00C00255">
        <w:rPr>
          <w:rFonts w:ascii="Times New Roman" w:hAnsi="Times New Roman"/>
          <w:b w:val="0"/>
          <w:i/>
          <w:color w:val="000000"/>
          <w:sz w:val="24"/>
          <w:szCs w:val="24"/>
        </w:rPr>
        <w:t xml:space="preserve"> </w:t>
      </w:r>
      <w:r w:rsidRPr="00C00255">
        <w:rPr>
          <w:rFonts w:ascii="Times New Roman" w:hAnsi="Times New Roman"/>
          <w:b w:val="0"/>
          <w:i/>
          <w:sz w:val="24"/>
          <w:szCs w:val="24"/>
        </w:rPr>
        <w:t>dalyvavimo</w:t>
      </w:r>
      <w:r w:rsidRPr="00C00255">
        <w:rPr>
          <w:rFonts w:ascii="Times New Roman" w:hAnsi="Times New Roman"/>
          <w:b w:val="0"/>
          <w:i/>
          <w:color w:val="000000"/>
          <w:sz w:val="24"/>
          <w:szCs w:val="24"/>
        </w:rPr>
        <w:t xml:space="preserve"> užimant LRT Radijo pastatą</w:t>
      </w:r>
      <w:bookmarkEnd w:id="511"/>
    </w:p>
    <w:p w:rsidR="00DA38E9" w:rsidRPr="00055544" w:rsidRDefault="00DA38E9" w:rsidP="00DA38E9">
      <w:pPr>
        <w:pStyle w:val="ListParagraph"/>
        <w:numPr>
          <w:ilvl w:val="0"/>
          <w:numId w:val="6"/>
        </w:numPr>
        <w:spacing w:before="120" w:after="120"/>
        <w:ind w:left="993" w:hanging="993"/>
        <w:contextualSpacing w:val="0"/>
      </w:pPr>
      <w:bookmarkStart w:id="512" w:name="_Hlk62764841"/>
      <w:r w:rsidRPr="00055544">
        <w:t xml:space="preserve">Teisėjų kolegija sutinka su pirmosios instancijos teismo padaryta išvada, kad </w:t>
      </w:r>
      <w:bookmarkStart w:id="513" w:name="_Hlk64161154"/>
      <w:r w:rsidRPr="00055544">
        <w:t>TSRS VRM Vidaus kariuomenės 42-osios divizijos konvojaus pulko ryšių tarnybos viršininkas</w:t>
      </w:r>
      <w:bookmarkEnd w:id="513"/>
      <w:r w:rsidRPr="00055544">
        <w:t xml:space="preserve"> majoras</w:t>
      </w:r>
      <w:r w:rsidRPr="00055544">
        <w:rPr>
          <w:rFonts w:eastAsia="Calibri"/>
          <w:szCs w:val="24"/>
        </w:rPr>
        <w:t xml:space="preserve"> </w:t>
      </w:r>
      <w:r w:rsidRPr="00055544">
        <w:rPr>
          <w:rFonts w:eastAsia="Calibri"/>
        </w:rPr>
        <w:t xml:space="preserve">V. Š. 2 </w:t>
      </w:r>
      <w:bookmarkStart w:id="514" w:name="_Hlk62763345"/>
      <w:r w:rsidRPr="00055544">
        <w:rPr>
          <w:rFonts w:eastAsia="Calibri"/>
        </w:rPr>
        <w:t xml:space="preserve">dalyvavo ir vadovavo jam pavaldiems šio karinio dalinio kariškiams užimant LRT Radijo pastatą, taip pat šios operacijos metu </w:t>
      </w:r>
      <w:r w:rsidRPr="00055544">
        <w:t>užtikrino ryšio priemonių ir patikimo ryšio veikimą</w:t>
      </w:r>
      <w:bookmarkEnd w:id="514"/>
      <w:r w:rsidRPr="00055544">
        <w:t xml:space="preserve">. </w:t>
      </w:r>
      <w:bookmarkStart w:id="515" w:name="_Hlk62815738"/>
      <w:bookmarkEnd w:id="512"/>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rPr>
        <w:t xml:space="preserve">Apeliaciniame skunde nurodoma, kad </w:t>
      </w:r>
      <w:r>
        <w:rPr>
          <w:szCs w:val="24"/>
        </w:rPr>
        <w:t>V. Š. 2</w:t>
      </w:r>
      <w:r w:rsidRPr="00C00255">
        <w:rPr>
          <w:szCs w:val="24"/>
        </w:rPr>
        <w:t xml:space="preserve"> vykdydamas įsakymą buvo operacijos vietoje ir užtikrino ryšio priemonių bei patikimo ryšio veikimą, tačiau skundžiamame nuosprendyje nenustatyta, kad jis būtų davęs kokius įsakymus, kursčius ar organizavus žmonių žudymą, juo labiau, kad pagal pareigas neturėjo net įgaliojimų duoti tokius įsakymus.</w:t>
      </w:r>
      <w:r w:rsidRPr="00C00255">
        <w:rPr>
          <w:szCs w:val="24"/>
          <w:lang w:eastAsia="lt-LT" w:bidi="lt-LT"/>
        </w:rPr>
        <w:t xml:space="preserve"> </w:t>
      </w:r>
      <w:r w:rsidRPr="00C00255">
        <w:rPr>
          <w:szCs w:val="24"/>
        </w:rPr>
        <w:t xml:space="preserve">Dėl nuteistojo gynėjo argumentų, susijusių su </w:t>
      </w:r>
      <w:r>
        <w:rPr>
          <w:szCs w:val="24"/>
        </w:rPr>
        <w:t>V. Š. 2</w:t>
      </w:r>
      <w:r w:rsidRPr="00C00255">
        <w:rPr>
          <w:szCs w:val="24"/>
        </w:rPr>
        <w:t xml:space="preserve"> veiksmų teisiniu vertinimu ir veikų kvalifikavimu, teismas pasisakys atskiroje šio sprendimo dalyje.</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Įvertinusi šiuos gynybos argumentus byloje surinktų duomenų kontekste, teisėjų kolegija neabejoja, kad pirmosios instancijos teismo išvada apie </w:t>
      </w:r>
      <w:r>
        <w:rPr>
          <w:szCs w:val="24"/>
          <w:lang w:eastAsia="lt-LT"/>
        </w:rPr>
        <w:t>V. Š. 2</w:t>
      </w:r>
      <w:r w:rsidRPr="00C00255">
        <w:rPr>
          <w:szCs w:val="24"/>
          <w:lang w:eastAsia="lt-LT"/>
        </w:rPr>
        <w:t xml:space="preserve"> vadovaujamą vaidmenį </w:t>
      </w:r>
      <w:r w:rsidRPr="00C00255">
        <w:rPr>
          <w:szCs w:val="24"/>
        </w:rPr>
        <w:t xml:space="preserve">TSRS VRM Vidaus kariuomenės 42-osios divizijos konvojaus pulko </w:t>
      </w:r>
      <w:r w:rsidRPr="00C00255">
        <w:rPr>
          <w:szCs w:val="24"/>
          <w:lang w:eastAsia="lt-LT"/>
        </w:rPr>
        <w:t xml:space="preserve">kariškiams ir ryšio priemonių bei patikimo ryšio veikimo užtikrinimą yra pagrįsta ir teisinga. </w:t>
      </w:r>
      <w:bookmarkStart w:id="516" w:name="_Hlk65752130"/>
      <w:r w:rsidRPr="00C00255">
        <w:rPr>
          <w:szCs w:val="24"/>
          <w:lang w:eastAsia="lt-LT"/>
        </w:rPr>
        <w:t>Tokią išvadą patvirtina iš skirtingų šaltinių gautų ir BPK 20 straipsnio reikalavimus atitinkančių įrodymų visuma.</w:t>
      </w:r>
    </w:p>
    <w:bookmarkEnd w:id="516"/>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Išvadą dėl tokių </w:t>
      </w:r>
      <w:r>
        <w:rPr>
          <w:szCs w:val="24"/>
        </w:rPr>
        <w:t>V. Š. 2</w:t>
      </w:r>
      <w:r w:rsidRPr="00C00255">
        <w:rPr>
          <w:szCs w:val="24"/>
        </w:rPr>
        <w:t xml:space="preserve"> užimtų pareigų ir jo vadovaujamo vaidmens LRT Radijo pastato šturme pagrindžia byloje pateiktas </w:t>
      </w:r>
      <w:r w:rsidRPr="00C00255">
        <w:t xml:space="preserve">VRM </w:t>
      </w:r>
      <w:r w:rsidRPr="00C00255">
        <w:rPr>
          <w:szCs w:val="24"/>
        </w:rPr>
        <w:t>Vidaus kariuomenės</w:t>
      </w:r>
      <w:r w:rsidRPr="00C00255">
        <w:t xml:space="preserve"> kariškių dalyvavusių prie LRT sąrašas</w:t>
      </w:r>
      <w:r w:rsidRPr="00C00255">
        <w:rPr>
          <w:szCs w:val="24"/>
        </w:rPr>
        <w:t xml:space="preserve">. Minėtame sąraše majoras </w:t>
      </w:r>
      <w:r>
        <w:rPr>
          <w:szCs w:val="24"/>
        </w:rPr>
        <w:t>V. Š. 2</w:t>
      </w:r>
      <w:r w:rsidRPr="00C00255">
        <w:rPr>
          <w:szCs w:val="24"/>
        </w:rPr>
        <w:t xml:space="preserve"> įvardijamas kaip vienas iš šio karinio dalinio vadovų. </w:t>
      </w:r>
      <w:r>
        <w:rPr>
          <w:szCs w:val="24"/>
          <w:lang w:bidi="lt-LT"/>
        </w:rPr>
        <w:t>V. Š. 2</w:t>
      </w:r>
      <w:r w:rsidRPr="00C00255">
        <w:rPr>
          <w:szCs w:val="24"/>
          <w:lang w:bidi="lt-LT"/>
        </w:rPr>
        <w:t xml:space="preserve"> buvo antras pagal šiame kariniame dalinyje turimą aukščiausią karinį laipsnį karininkas, t. y. jis buvo vienas iš aukščiausių tarp minėtą karinį dalinį sudariusių kariškių. Iš 60 kariniam daliniui priskirtų kariškių </w:t>
      </w:r>
      <w:bookmarkStart w:id="517" w:name="_Hlk65521294"/>
      <w:r w:rsidRPr="00C00255">
        <w:rPr>
          <w:szCs w:val="24"/>
          <w:lang w:bidi="lt-LT"/>
        </w:rPr>
        <w:t xml:space="preserve">tik papulkininkis </w:t>
      </w:r>
      <w:r>
        <w:rPr>
          <w:szCs w:val="24"/>
          <w:lang w:bidi="lt-LT"/>
        </w:rPr>
        <w:t>S. F.</w:t>
      </w:r>
      <w:r w:rsidRPr="00C00255">
        <w:rPr>
          <w:szCs w:val="24"/>
          <w:lang w:bidi="lt-LT"/>
        </w:rPr>
        <w:t xml:space="preserve"> turėjo aukštesnį karinį laipsnį nei </w:t>
      </w:r>
      <w:r>
        <w:rPr>
          <w:szCs w:val="24"/>
          <w:lang w:bidi="lt-LT"/>
        </w:rPr>
        <w:t>V. Š. 2</w:t>
      </w:r>
      <w:bookmarkEnd w:id="517"/>
      <w:r w:rsidRPr="00C00255">
        <w:rPr>
          <w:szCs w:val="24"/>
          <w:lang w:bidi="lt-LT"/>
        </w:rPr>
        <w:t xml:space="preserve"> </w:t>
      </w:r>
      <w:r w:rsidRPr="00C00255">
        <w:rPr>
          <w:szCs w:val="24"/>
        </w:rPr>
        <w:t xml:space="preserve">(t. 438, b. l. 3–5; t. 458, b. l. 129–130; t. 125, b. l. 2–3).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Apie nuteistojo </w:t>
      </w:r>
      <w:r>
        <w:rPr>
          <w:szCs w:val="24"/>
        </w:rPr>
        <w:t>V. Š. 2</w:t>
      </w:r>
      <w:r w:rsidRPr="00C00255">
        <w:rPr>
          <w:szCs w:val="24"/>
        </w:rPr>
        <w:t xml:space="preserve"> </w:t>
      </w:r>
      <w:r w:rsidRPr="00C00255">
        <w:rPr>
          <w:szCs w:val="24"/>
          <w:lang w:eastAsia="lt-LT" w:bidi="lt-LT"/>
        </w:rPr>
        <w:t xml:space="preserve">užimtas vadovaujamo pobūdžio pareigas šturmuojant LRT Radijo pastatą patvirtina ir </w:t>
      </w:r>
      <w:r w:rsidRPr="00C00255">
        <w:rPr>
          <w:szCs w:val="24"/>
        </w:rPr>
        <w:t xml:space="preserve">pažymoje </w:t>
      </w:r>
      <w:r w:rsidRPr="00C00255">
        <w:t xml:space="preserve">„Dėl ginklų, kuriuos turėjo </w:t>
      </w:r>
      <w:r w:rsidRPr="00C00255">
        <w:rPr>
          <w:szCs w:val="24"/>
        </w:rPr>
        <w:t xml:space="preserve">specialios paskirties kuopos k/d 7574 karininkai bei praporščikai“ nurodytos aplinkybės, kur tarp visų išvardintų karininkų ir praporščikų įvardijamas ir majoras </w:t>
      </w:r>
      <w:r>
        <w:rPr>
          <w:szCs w:val="24"/>
        </w:rPr>
        <w:t>V. Š. 2</w:t>
      </w:r>
      <w:r w:rsidRPr="00C00255">
        <w:rPr>
          <w:szCs w:val="24"/>
        </w:rPr>
        <w:t xml:space="preserve"> (t. 438, b. l. 6, 105–107, t. 125, b. l. 4, 106–108).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bookmarkStart w:id="518" w:name="_Hlk64192782"/>
      <w:r w:rsidRPr="00C00255">
        <w:rPr>
          <w:szCs w:val="24"/>
        </w:rPr>
        <w:t xml:space="preserve">Iš baudžiamojoje byloje pateiktų rašytinių dokumentų – k/d 3404 štabo viršininko pulkininko </w:t>
      </w:r>
      <w:r>
        <w:rPr>
          <w:szCs w:val="24"/>
        </w:rPr>
        <w:t>N. M.</w:t>
      </w:r>
      <w:r w:rsidRPr="00C00255">
        <w:rPr>
          <w:szCs w:val="24"/>
        </w:rPr>
        <w:t xml:space="preserve"> rašto dėl KŠM šaukinių (t. 438, b. l. 21; t. 125, b. l. 20); l. e. k/d 3404 štabo viršininko pavaduotojo papulkininkio </w:t>
      </w:r>
      <w:r>
        <w:rPr>
          <w:szCs w:val="24"/>
        </w:rPr>
        <w:t>V. D.</w:t>
      </w:r>
      <w:r w:rsidRPr="00C00255">
        <w:rPr>
          <w:szCs w:val="24"/>
        </w:rPr>
        <w:t xml:space="preserve"> rašto, kuriame nurodyti KŠM šaukiniai, tarp jų nurodytas ir </w:t>
      </w:r>
      <w:r>
        <w:rPr>
          <w:szCs w:val="24"/>
        </w:rPr>
        <w:t>V. Š. 2</w:t>
      </w:r>
      <w:r w:rsidRPr="00C00255">
        <w:rPr>
          <w:szCs w:val="24"/>
        </w:rPr>
        <w:t xml:space="preserve"> šaukinys (t. 438, b. l. 28, t. 125, b. l. 27); vairuotojų, išvykstančių iš autoparko nuo 1991 m. sausio 12 d. iki 1991 m. sausio 13 d., sąrašo, kuriame nurodyti išvykusio transporto šaukiniai, tarp jų nurodyti ir konvojaus pulko BTR šaukiniai (</w:t>
      </w:r>
      <w:r>
        <w:rPr>
          <w:szCs w:val="24"/>
        </w:rPr>
        <w:t xml:space="preserve">t. </w:t>
      </w:r>
      <w:r w:rsidRPr="00C00255">
        <w:rPr>
          <w:szCs w:val="24"/>
        </w:rPr>
        <w:t>438, b.</w:t>
      </w:r>
      <w:r>
        <w:rPr>
          <w:szCs w:val="24"/>
        </w:rPr>
        <w:t> </w:t>
      </w:r>
      <w:r w:rsidRPr="00C00255">
        <w:rPr>
          <w:szCs w:val="24"/>
        </w:rPr>
        <w:t>l.</w:t>
      </w:r>
      <w:r>
        <w:rPr>
          <w:szCs w:val="24"/>
        </w:rPr>
        <w:t> </w:t>
      </w:r>
      <w:r w:rsidRPr="00C00255">
        <w:rPr>
          <w:szCs w:val="24"/>
        </w:rPr>
        <w:t xml:space="preserve">37; t. 125, b. l. 36), neabejotinai galima teigti, kad operacijos metu </w:t>
      </w:r>
      <w:r w:rsidRPr="00C00255">
        <w:t xml:space="preserve">veiksmai buvo koordinuojami ryšio priemonėmis, kadangi tiek operacijos štabe, tiek įvykio vietoje dalyvavę karininkai ir atitinkamai karinės technikos ryšininkai arba vairuotojai turėjo atskirus savo šaukinius. </w:t>
      </w:r>
    </w:p>
    <w:bookmarkEnd w:id="518"/>
    <w:p w:rsidR="00E67B7E" w:rsidRDefault="00DA38E9" w:rsidP="00E67B7E">
      <w:pPr>
        <w:pStyle w:val="ListParagraph"/>
        <w:numPr>
          <w:ilvl w:val="1"/>
          <w:numId w:val="6"/>
        </w:numPr>
        <w:spacing w:before="120" w:after="120"/>
        <w:ind w:left="993" w:hanging="993"/>
        <w:contextualSpacing w:val="0"/>
      </w:pPr>
      <w:r w:rsidRPr="00E67B7E">
        <w:t xml:space="preserve">Šiame kontekste svarbūs ir teisiamajame posėdyje apklausto </w:t>
      </w:r>
      <w:r w:rsidRPr="00E67B7E">
        <w:rPr>
          <w:rFonts w:eastAsia="Calibri"/>
        </w:rPr>
        <w:t>TSRS VRM Vidaus kariuomenės 42-osios divizijos artilerinės ginkluotės tarnybos viršininko R. M. parodymai apie tai, kad 1991 m. sausio 13 d. naktį jį buvo iškvietęs A. Ž. ir jam liepė nuvykti į vietą, kur veikia „jų“ padalinys ir patikrinti situaciją, nes kilo problemų su ryšiu, todėl nėra galimybės jam sužinoti, kokia situacija yra įvykio vietoje (</w:t>
      </w:r>
      <w:r w:rsidRPr="00E67B7E">
        <w:t>t. 760, b. l. 141–142; t. 477, b. l. 7–15; t. 46, b. l. 264–265).</w:t>
      </w:r>
      <w:r w:rsidRPr="00C00255">
        <w:rPr>
          <w:szCs w:val="24"/>
          <w:lang w:eastAsia="lt-LT"/>
        </w:rPr>
        <w:t xml:space="preserve"> </w:t>
      </w:r>
      <w:r w:rsidRPr="00E67B7E">
        <w:t>Taigi, nurodytos aplinkybės patvirtina, kad operacijos prie LRT pastatų metu buvo užtikrinamas tinkamas ryšio ir ryšio priemonių veikimas, o V. Š. 2 buvo šio karinio dalinio ryšio tarnybos viršininkas ir pats tiesiogiai dalyvavo užimant LRT Radijo pastatą.</w:t>
      </w:r>
      <w:bookmarkEnd w:id="515"/>
    </w:p>
    <w:p w:rsidR="00E67B7E" w:rsidRPr="00055544" w:rsidRDefault="00E67B7E" w:rsidP="00E67B7E">
      <w:pPr>
        <w:pStyle w:val="ListParagraph"/>
        <w:numPr>
          <w:ilvl w:val="0"/>
          <w:numId w:val="6"/>
        </w:numPr>
        <w:spacing w:before="120" w:after="120"/>
        <w:ind w:left="992" w:hanging="992"/>
        <w:contextualSpacing w:val="0"/>
      </w:pPr>
      <w:r w:rsidRPr="00055544">
        <w:rPr>
          <w:rFonts w:eastAsia="Calibri"/>
          <w:szCs w:val="24"/>
        </w:rPr>
        <w:t xml:space="preserve">Teisėjų kolegija pažymi, kad vidinį įsitikinimą apie V. Š. 2 dalyvavimą ir jo vadovaujamą vaidmenį dėl tinkamo ryšio užtikrinimo LRT Radijo pastato užėmimo metu formuoja ir teisiamajame posėdyje perskaityti ikiteisminio tyrimo metu liudytojais apklaustų kitų TSRS VRM Vidaus kariuomenės 42-osios divizijos konvojaus pulko kariškių, kurių nebuvo galimybės apklausti teismo posėdyje, parodymai (t. 757, b. l. 111; t. 760, b. l. 147–148, 151–152, 153–154). </w:t>
      </w:r>
    </w:p>
    <w:p w:rsidR="00E67B7E" w:rsidRPr="00E67B7E" w:rsidRDefault="00E67B7E" w:rsidP="00E67B7E">
      <w:pPr>
        <w:pStyle w:val="ListParagraph"/>
        <w:numPr>
          <w:ilvl w:val="1"/>
          <w:numId w:val="6"/>
        </w:numPr>
        <w:spacing w:before="120" w:after="120"/>
        <w:ind w:left="992" w:hanging="992"/>
        <w:contextualSpacing w:val="0"/>
      </w:pPr>
      <w:r w:rsidRPr="00E67B7E">
        <w:rPr>
          <w:rFonts w:eastAsia="Calibri"/>
          <w:szCs w:val="24"/>
        </w:rPr>
        <w:t xml:space="preserve">Liudytojai radijo telegrafininkas eilinis A. C. (t. 439, b. l. 130–132; t. 126, b. l. 212–217), KŠM vadas seržantas V. V. (t. 439, b. l. 133–135; t. 126, b. l. 218–222), vyresnysis telefonistas jefreitorius V. S. (t. 439, b. l. 142–145; t. 126, b. l. 240–248) nurodė, kad 1991 m. sausio 12 d. vakare, prieš komandą „gulti“ buvo įsakyta atlikti ryšio patikrinimą komandinėje štabo mašinoje KŠM, įrengtoje automobilio GAZ-66 pagrindu. Vėliau atėjęs pulko ryšių viršininkas majoras V. Š. 2 įsakė paimti radijo stotį ir ruoštis, bet kur ir kodėl, nepasakė. Netrukus jie išvažiavo iš karinio dalinio BTR kolonos priekyje. Kartu su juo mašinos dengtame kėbule važiavo ir V. Š. 2. Važiuojant buvo įjungtos visos KŠM radijo stotys. Atvykus prie LRT, iš pradžių jų KŠM buvo sustojusi ant kelio, o vėliau pervažiavo į naują stovėjimo vietą arčiau televizijos centro pastato kairiojo kampo. Vėliau jų mašina sugedo. Kaip matyti, aptarti kariškių parodymai, atitinka pirmiau aptartus teisiamajame </w:t>
      </w:r>
      <w:r>
        <w:rPr>
          <w:rFonts w:eastAsia="Calibri"/>
          <w:szCs w:val="24"/>
        </w:rPr>
        <w:t>posėdyje apklausto liudytojo R. </w:t>
      </w:r>
      <w:r w:rsidRPr="00E67B7E">
        <w:rPr>
          <w:rFonts w:eastAsia="Calibri"/>
          <w:szCs w:val="24"/>
        </w:rPr>
        <w:t>M. parodymus dėl įvykio vietoje sugedusio ryšio.</w:t>
      </w:r>
    </w:p>
    <w:p w:rsidR="00DA38E9" w:rsidRPr="00055544" w:rsidRDefault="00DA38E9" w:rsidP="00DA38E9">
      <w:pPr>
        <w:pStyle w:val="ListParagraph"/>
        <w:numPr>
          <w:ilvl w:val="0"/>
          <w:numId w:val="6"/>
        </w:numPr>
        <w:ind w:left="993" w:hanging="993"/>
        <w:rPr>
          <w:szCs w:val="24"/>
          <w:lang w:eastAsia="lt-LT"/>
        </w:rPr>
      </w:pPr>
      <w:bookmarkStart w:id="519" w:name="_Hlk65524394"/>
      <w:r w:rsidRPr="00055544">
        <w:rPr>
          <w:rFonts w:eastAsia="Calibri"/>
        </w:rPr>
        <w:t>Įvertinusi pirmiau aptartas aplinkybes, teisėjų kolegija pažymi, kad akivaizdu, jog iš operacijos vietos prie LRT ryšys buvo palaikomas radijo ryšiu, priskirtais šaukiniais tiek tarpusavyje, tiek ir su karinio dalinio štabu (įvykio vietoje sugedus KŠM, štabe esančiam vadui A. Ž. tai buvo žinoma ir jis išsiuntė kariškius pašalinti šį gedimą), kurių tinkamą veikimą įvykio vietoje užtikrino ryšio tarnybos viršininkas V. Š. 2. Šiame kontekste, teisėjų kolegija atsakydama į apeliacinio skundo argumentus dėl V. Š. 2 vaidmens ir įsakymų davimo, pa</w:t>
      </w:r>
      <w:r w:rsidRPr="00055544">
        <w:t xml:space="preserve">žymi, kad V. Š. 2 buvo TSRS VRM Vidaus kariuomenės 42-osios divizijos konvojaus pulko ryšių tarnybos viršininkas ir buvo antras pagal turimą aukščiausią karinį laipsnį iš įvykiuose dalyvavusių konvojaus pulko kariškių, todėl, akivaizdu, jog pastarasis turėjo įgalinimus ir galimybę vadovauti jam pavaldiems kariškiams, ką iš esmės operacijos metu ir atliko (pavaldiems kariškiams įsakė užtikrinti tinkamą ryšio veikimą KŠM), be to, jo paties vaidmuo operacijos metu buvo išskirtinis, nes jis užtikrino </w:t>
      </w:r>
      <w:bookmarkStart w:id="520" w:name="_Hlk64298955"/>
      <w:r w:rsidRPr="00055544">
        <w:t>ryšio priemonių ir patikimo ryšio veikimą</w:t>
      </w:r>
      <w:bookmarkEnd w:id="520"/>
      <w:r w:rsidRPr="00055544">
        <w:t>, kuris, kaip nustatyta, buvo užtikrinamas ir su vadovavimo operacijai štabu, iš kurio buvo koordinuojamas visos operacijos veiksmų planas. Šiame kontekste teisėjų kolegija pažymi, kad 2014 m. birželio 10 d. specialisto išvadoje nurodyta, jog vyresnis pagal karinį laipsnį ir aukštesnis pagal pareigas pareigūnas visada gali kontroliuoti pavaldinio veiksmus ir duoti jam komandas, ką šiuo atveju atliko ir nuteistasis V. Š. 2 (t. 480, b. l. 78).</w:t>
      </w:r>
    </w:p>
    <w:bookmarkEnd w:id="519"/>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Įvertinus pirmiau išdėstytas aplinkybes</w:t>
      </w:r>
      <w:r w:rsidRPr="00C00255">
        <w:rPr>
          <w:szCs w:val="24"/>
          <w:lang w:bidi="lt-LT"/>
        </w:rPr>
        <w:t xml:space="preserve">, teisėjų kolegijos įsitikinimu, visos skundžiamo nuosprendžio nustatomojoje dalyje padarytos išvados, susijusios su </w:t>
      </w:r>
      <w:r>
        <w:rPr>
          <w:szCs w:val="24"/>
          <w:lang w:bidi="lt-LT"/>
        </w:rPr>
        <w:t>V. Š. 2</w:t>
      </w:r>
      <w:r w:rsidRPr="00C00255">
        <w:rPr>
          <w:szCs w:val="24"/>
          <w:lang w:bidi="lt-LT"/>
        </w:rPr>
        <w:t xml:space="preserve"> vadovaujamu vaidmeniu LRT Radijo pastato užėmimo metu dėl </w:t>
      </w:r>
      <w:r w:rsidRPr="00C00255">
        <w:t>ryšio priemonių ir</w:t>
      </w:r>
      <w:r w:rsidRPr="00C00255">
        <w:rPr>
          <w:szCs w:val="24"/>
          <w:lang w:eastAsia="lt-LT"/>
        </w:rPr>
        <w:t xml:space="preserve"> patikimo ryšio veikimo</w:t>
      </w:r>
      <w:r w:rsidRPr="00C00255">
        <w:rPr>
          <w:szCs w:val="24"/>
          <w:lang w:bidi="lt-LT"/>
        </w:rPr>
        <w:t xml:space="preserve"> yra patvirtintos logine grandine besijungiančių bylos įrodymų visumos ir abejonių nekelia.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bidi="lt-LT"/>
        </w:rPr>
        <w:t xml:space="preserve">Nuteistojo </w:t>
      </w:r>
      <w:r>
        <w:rPr>
          <w:szCs w:val="24"/>
          <w:lang w:bidi="lt-LT"/>
        </w:rPr>
        <w:t>V. Š. 2</w:t>
      </w:r>
      <w:r w:rsidRPr="00C00255">
        <w:rPr>
          <w:szCs w:val="24"/>
          <w:lang w:bidi="lt-LT"/>
        </w:rPr>
        <w:t xml:space="preserve"> gynėjas, kaip ir daugelis kitų nuteistųjų gynėjų, teigė, kad dėl jo ginamojo veiksmų LRT Radijo pastato užėmimo metu niekas nenukentėjo. </w:t>
      </w:r>
      <w:r w:rsidRPr="00E67B7E">
        <w:t>T</w:t>
      </w:r>
      <w:r w:rsidRPr="00E67B7E">
        <w:rPr>
          <w:rFonts w:eastAsia="Calibri"/>
        </w:rPr>
        <w:t>eisėjų kolegija šiame sprendime jau ne kartą minėjo, kad pagal byloje nustatytas aplinkybes visi TSRS kariškiai LRT Radijo pastato užėmimo metu veikė koordinuotai, kartu ir siekdami bendro tikslo. Visi kariškiai naudojo itin pavojingus ginklus, šaudė iš tankų, automatų, visi bendrai smurtavo daugybės civilių atžvilgiu</w:t>
      </w:r>
      <w:r w:rsidRPr="00E67B7E">
        <w:t>. Byloje nustatyti V. Š. 2 tiek vadovaujantys, tiek jo paties atlikti veiksmai,visumoje su kitų kariškių veiksmais lėmė daugybės civilių sužalojimus.</w:t>
      </w:r>
      <w:r w:rsidRPr="00C00255">
        <w:t xml:space="preserve"> </w:t>
      </w:r>
    </w:p>
    <w:p w:rsidR="00DA38E9" w:rsidRPr="00C00255" w:rsidRDefault="00DA38E9" w:rsidP="00DA38E9">
      <w:pPr>
        <w:pStyle w:val="Heading4"/>
        <w:spacing w:before="120" w:after="120"/>
        <w:ind w:left="992"/>
        <w:rPr>
          <w:rFonts w:ascii="Times New Roman" w:hAnsi="Times New Roman"/>
          <w:b w:val="0"/>
          <w:i/>
          <w:color w:val="000000"/>
          <w:sz w:val="24"/>
          <w:szCs w:val="24"/>
        </w:rPr>
      </w:pPr>
      <w:bookmarkStart w:id="521" w:name="_Toc66697275"/>
      <w:bookmarkStart w:id="522" w:name="_Hlk65668209"/>
      <w:r w:rsidRPr="00C00255">
        <w:rPr>
          <w:rFonts w:ascii="Times New Roman" w:hAnsi="Times New Roman"/>
          <w:b w:val="0"/>
          <w:i/>
          <w:sz w:val="24"/>
          <w:szCs w:val="24"/>
        </w:rPr>
        <w:t xml:space="preserve">Dėl BRDM Nr. 250 ir jo ekipažo narių nuteistųjų </w:t>
      </w:r>
      <w:bookmarkStart w:id="523" w:name="_Hlk62831603"/>
      <w:r>
        <w:rPr>
          <w:rFonts w:ascii="Times New Roman" w:hAnsi="Times New Roman"/>
          <w:b w:val="0"/>
          <w:i/>
          <w:color w:val="000000"/>
          <w:sz w:val="24"/>
          <w:szCs w:val="24"/>
        </w:rPr>
        <w:t>V. R.</w:t>
      </w:r>
      <w:r w:rsidRPr="00C00255">
        <w:rPr>
          <w:rFonts w:ascii="Times New Roman" w:hAnsi="Times New Roman"/>
          <w:b w:val="0"/>
          <w:i/>
          <w:color w:val="000000"/>
          <w:sz w:val="24"/>
          <w:szCs w:val="24"/>
        </w:rPr>
        <w:t xml:space="preserve"> </w:t>
      </w:r>
      <w:bookmarkEnd w:id="523"/>
      <w:r w:rsidRPr="00C00255">
        <w:rPr>
          <w:rFonts w:ascii="Times New Roman" w:hAnsi="Times New Roman"/>
          <w:b w:val="0"/>
          <w:i/>
          <w:color w:val="000000"/>
          <w:sz w:val="24"/>
          <w:szCs w:val="24"/>
        </w:rPr>
        <w:t xml:space="preserve">ir </w:t>
      </w:r>
      <w:r>
        <w:rPr>
          <w:rFonts w:ascii="Times New Roman" w:hAnsi="Times New Roman"/>
          <w:b w:val="0"/>
          <w:i/>
          <w:color w:val="000000"/>
          <w:sz w:val="24"/>
          <w:szCs w:val="24"/>
        </w:rPr>
        <w:t>G. P.</w:t>
      </w:r>
      <w:r w:rsidRPr="00C00255">
        <w:rPr>
          <w:rFonts w:ascii="Times New Roman" w:hAnsi="Times New Roman"/>
          <w:b w:val="0"/>
          <w:i/>
          <w:color w:val="000000"/>
          <w:sz w:val="24"/>
          <w:szCs w:val="24"/>
        </w:rPr>
        <w:t xml:space="preserve"> </w:t>
      </w:r>
      <w:r w:rsidRPr="00C00255">
        <w:rPr>
          <w:rFonts w:ascii="Times New Roman" w:hAnsi="Times New Roman"/>
          <w:b w:val="0"/>
          <w:i/>
          <w:sz w:val="24"/>
          <w:szCs w:val="24"/>
        </w:rPr>
        <w:t>dalyvavimo</w:t>
      </w:r>
      <w:r w:rsidRPr="00C00255">
        <w:rPr>
          <w:rFonts w:ascii="Times New Roman" w:hAnsi="Times New Roman"/>
          <w:b w:val="0"/>
          <w:i/>
          <w:color w:val="000000"/>
          <w:sz w:val="24"/>
          <w:szCs w:val="24"/>
        </w:rPr>
        <w:t xml:space="preserve"> užimant LRT</w:t>
      </w:r>
      <w:bookmarkEnd w:id="521"/>
      <w:r w:rsidRPr="00C00255">
        <w:rPr>
          <w:rFonts w:ascii="Times New Roman" w:hAnsi="Times New Roman"/>
          <w:b w:val="0"/>
          <w:i/>
          <w:color w:val="000000"/>
          <w:sz w:val="24"/>
          <w:szCs w:val="24"/>
        </w:rPr>
        <w:t xml:space="preserve">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bookmarkStart w:id="524" w:name="_Hlk64271664"/>
      <w:r w:rsidRPr="00C00255">
        <w:rPr>
          <w:bCs/>
          <w:szCs w:val="24"/>
        </w:rPr>
        <w:t>Skundžiamame nuosprendyje nurodyta, kad V</w:t>
      </w:r>
      <w:r>
        <w:rPr>
          <w:bCs/>
          <w:szCs w:val="24"/>
        </w:rPr>
        <w:t>.</w:t>
      </w:r>
      <w:r w:rsidRPr="00C00255">
        <w:rPr>
          <w:bCs/>
          <w:szCs w:val="24"/>
        </w:rPr>
        <w:t xml:space="preserve"> R</w:t>
      </w:r>
      <w:r>
        <w:rPr>
          <w:bCs/>
          <w:szCs w:val="24"/>
        </w:rPr>
        <w:t>.</w:t>
      </w:r>
      <w:r w:rsidRPr="00C00255">
        <w:rPr>
          <w:bCs/>
          <w:szCs w:val="24"/>
        </w:rPr>
        <w:t xml:space="preserve"> buvo TSRS VRM Vidaus kariuomenės 42-osios divizijos konvojaus pulko vado pavaduotojas (pvz., nuosprendžio 8 l., t. 769, b. l. 8). Kaltinamajame akte nevienodai įvardijamas karinis dalinys, kuriame tarnavo </w:t>
      </w:r>
      <w:r>
        <w:rPr>
          <w:bCs/>
          <w:szCs w:val="24"/>
        </w:rPr>
        <w:t>V. R.</w:t>
      </w:r>
      <w:r w:rsidRPr="00C00255">
        <w:rPr>
          <w:bCs/>
          <w:szCs w:val="24"/>
        </w:rPr>
        <w:t xml:space="preserve">, vienur nurodoma – TSRS VRM Vidaus kariuomenės 42-osios divizijos konvojaus pulko vado pavaduotojas (pvz., kaltinamojo akto 2200 l.), kitur – k/d 5458 milicijos pulko vado pavaduotojas (pvz., kaltinamojo akto 2695 l., 2777 l.). Teisėjų kolegija pažymi, kad iš byloje pateiktų rašytinių įrodymų matyti, jog užimant LRT dalyvavo k/d 5458 papulkininkis </w:t>
      </w:r>
      <w:r>
        <w:rPr>
          <w:bCs/>
          <w:szCs w:val="24"/>
        </w:rPr>
        <w:t>V. R.</w:t>
      </w:r>
      <w:r w:rsidRPr="00C00255">
        <w:rPr>
          <w:bCs/>
          <w:szCs w:val="24"/>
        </w:rPr>
        <w:t xml:space="preserve"> (t. 438, b. l. 28) ir, kad to paties karinio dalinio vadas buvo </w:t>
      </w:r>
      <w:r>
        <w:rPr>
          <w:bCs/>
          <w:szCs w:val="24"/>
        </w:rPr>
        <w:t>S. S.</w:t>
      </w:r>
      <w:r w:rsidRPr="00C00255">
        <w:rPr>
          <w:bCs/>
          <w:szCs w:val="24"/>
        </w:rPr>
        <w:t xml:space="preserve"> (t. 458, b. l. 130). Liudytojas TSRS VRM Vidaus kariuomenės 42-osios divizijos milicijos pulko vadas </w:t>
      </w:r>
      <w:r>
        <w:rPr>
          <w:bCs/>
          <w:szCs w:val="24"/>
        </w:rPr>
        <w:t>S. S.</w:t>
      </w:r>
      <w:r w:rsidRPr="00C00255">
        <w:rPr>
          <w:bCs/>
          <w:szCs w:val="24"/>
        </w:rPr>
        <w:t xml:space="preserve"> nurodė, kad jo pavaduotojas technikai buvo </w:t>
      </w:r>
      <w:r>
        <w:rPr>
          <w:bCs/>
          <w:szCs w:val="24"/>
        </w:rPr>
        <w:t>V. R.</w:t>
      </w:r>
      <w:r w:rsidRPr="00C00255">
        <w:rPr>
          <w:bCs/>
          <w:szCs w:val="24"/>
        </w:rPr>
        <w:t xml:space="preserve">, kad vėliau šis dalinys buvo prijungtas prie TSRS VRM Vidaus kariuomenės 42-osios divizijos konvojaus pulko (t. 760, b. l. 140–145). Nuteistasis </w:t>
      </w:r>
      <w:r>
        <w:rPr>
          <w:bCs/>
          <w:szCs w:val="24"/>
        </w:rPr>
        <w:t>V. R.</w:t>
      </w:r>
      <w:r w:rsidRPr="00C00255">
        <w:rPr>
          <w:bCs/>
          <w:szCs w:val="24"/>
        </w:rPr>
        <w:t xml:space="preserve"> tyrimo metu taip pat nurodė, kad tiriamų įvykių metu, t. y. 1991 m. sausio mėn., jis tarnavo k/d 5458 ir buvo pavaduotojas technikos reikalams, o vėliau jo dalinys priklausė Konvojaus pulkui (t. 651, b. l. 54–62; t. 439, b. l. 161–163; t. 126, b. l. 276–278). Šis nuosprendyje esantis dviprasmiškumas, nurodant nuteistojo </w:t>
      </w:r>
      <w:r>
        <w:rPr>
          <w:bCs/>
          <w:szCs w:val="24"/>
        </w:rPr>
        <w:t>V. R.</w:t>
      </w:r>
      <w:r w:rsidRPr="00C00255">
        <w:rPr>
          <w:bCs/>
          <w:szCs w:val="24"/>
        </w:rPr>
        <w:t xml:space="preserve"> eitas pareigas įvykių metu, nekeičia pirmosios instancijos teismo išvadų dėl nustatytų </w:t>
      </w:r>
      <w:r>
        <w:rPr>
          <w:bCs/>
          <w:szCs w:val="24"/>
        </w:rPr>
        <w:t>V. R.</w:t>
      </w:r>
      <w:r w:rsidRPr="00C00255">
        <w:rPr>
          <w:bCs/>
          <w:szCs w:val="24"/>
        </w:rPr>
        <w:t xml:space="preserve"> eitų vadovaujamo pobūdžio pareigų, turint omenyje byloje esančius duomenis apie minėto dalinio struktūrinius pokyčius ir teisingai nustatytas aplinkybes apie </w:t>
      </w:r>
      <w:r>
        <w:rPr>
          <w:bCs/>
          <w:szCs w:val="24"/>
        </w:rPr>
        <w:t>V. R.</w:t>
      </w:r>
      <w:r w:rsidRPr="00C00255">
        <w:rPr>
          <w:bCs/>
          <w:szCs w:val="24"/>
        </w:rPr>
        <w:t xml:space="preserve"> tarnybą TSRS VRM Vidaus kariuomenėje, neturi jokios reikšmės, nes įvykių metu jis iš tiesų ėjo TSRS VRM Vidaus kariuomenės 42-osios divizijos k/d 5458 milicijos pulko vado pavaduotojo, o vėliau, kaip teisingai nuosprendyje nurodyta, TSRS VRM Vidaus kariuomenės 42-osios divizijos konvojaus pulko vado pavaduotojo pareigas.</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Teisėjų kolegija sutinka su pirmosios instancijos teismo išvada, kad </w:t>
      </w:r>
      <w:r>
        <w:rPr>
          <w:bCs/>
          <w:szCs w:val="24"/>
        </w:rPr>
        <w:t>V. R.</w:t>
      </w:r>
      <w:r w:rsidRPr="00C00255">
        <w:rPr>
          <w:bCs/>
          <w:szCs w:val="24"/>
        </w:rPr>
        <w:t xml:space="preserve"> ir </w:t>
      </w:r>
      <w:r>
        <w:rPr>
          <w:bCs/>
          <w:szCs w:val="24"/>
        </w:rPr>
        <w:t>G. P.</w:t>
      </w:r>
      <w:r w:rsidRPr="00C00255">
        <w:rPr>
          <w:bCs/>
          <w:szCs w:val="24"/>
        </w:rPr>
        <w:t xml:space="preserve">, prie LRT atvažiavę VRM jungtinės grupės sudėtyje kovinės žvalgybos ir patruliavimo mašina BRDM, kurios borto Nr. 250, po antrojo tanko šūvio iš BRDM leido garso įrašą, kuriame buvo įrašytas kreipimasis rusų ir lietuvių kalbomis LNGK vardu, kuriame buvo teigiama, kad visą valdžią Lietuvoje perima LNGK, bet koks pasipriešinimas yra beprasmiškas ir nuves prie brolžudiško karo, civiliams buvo liepiama skirstytis (žr. nuosprendžio 514–520 l.; t. 771, b. l. 114–120).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Tai, kad prie LRT iš kovinės žvalgybos desanto mašinos BRDM, kurios borto Nr. 250, buvo leidžiamas garso įrašas, liepiantis civiliams asmenims skirstytis, konstatuota 2014 m. birželio 10 d. specialisto išvadoje (t. 480, b. l. 58), kuri paremta iš skirtingų šaltinių gauta duomenų analize. Be to, tai užfiksuota ir trijų vaizdo įrašų „</w:t>
      </w:r>
      <w:r w:rsidRPr="00C00255">
        <w:rPr>
          <w:bCs/>
          <w:i/>
          <w:iCs/>
          <w:szCs w:val="24"/>
        </w:rPr>
        <w:t>In memoriam</w:t>
      </w:r>
      <w:r w:rsidRPr="00C00255">
        <w:rPr>
          <w:bCs/>
          <w:szCs w:val="24"/>
        </w:rPr>
        <w:t xml:space="preserve">“, esančių internetiniame tinklapyje http://www.youtube.com/, apžiūros protokole, kuriame nurodyta, kad vaizdo įraše, kurio pavadinimas „Sausio 13. </w:t>
      </w:r>
      <w:r w:rsidRPr="00C00255">
        <w:rPr>
          <w:bCs/>
          <w:i/>
          <w:iCs/>
          <w:szCs w:val="24"/>
        </w:rPr>
        <w:t>In memoriam</w:t>
      </w:r>
      <w:r w:rsidRPr="00C00255">
        <w:rPr>
          <w:bCs/>
          <w:szCs w:val="24"/>
        </w:rPr>
        <w:t xml:space="preserve"> {2_5}“ nuo 30 min. 8 sek. girdima pro garsiakalbį transliuojama vyriškio kalba (ar jos įrašas). Vaizdo įraše, kurio pavadinimas ,,Sausio 13. </w:t>
      </w:r>
      <w:r w:rsidRPr="00C00255">
        <w:rPr>
          <w:bCs/>
          <w:i/>
          <w:iCs/>
          <w:szCs w:val="24"/>
        </w:rPr>
        <w:t>In memoriam</w:t>
      </w:r>
      <w:r w:rsidRPr="00C00255">
        <w:rPr>
          <w:bCs/>
          <w:szCs w:val="24"/>
        </w:rPr>
        <w:t xml:space="preserve"> {3_5}“ nuo įrašo pradžios iki 4 min. 9 sek. rodomi įvykiai prie LRT ir girdima garsiakalbiu transliuojama vyriškio kalba (ar jos garso įrašas). Šios įrašo dalies metu kalbama rusų ir lietuvių kalbomis (t. 493, b. l. 118–122). 2012 m. gruodžio</w:t>
      </w:r>
      <w:r>
        <w:rPr>
          <w:bCs/>
          <w:szCs w:val="24"/>
        </w:rPr>
        <w:t> </w:t>
      </w:r>
      <w:r w:rsidR="00E67B7E">
        <w:rPr>
          <w:bCs/>
          <w:szCs w:val="24"/>
        </w:rPr>
        <w:t>21 </w:t>
      </w:r>
      <w:r w:rsidRPr="00C00255">
        <w:rPr>
          <w:bCs/>
          <w:szCs w:val="24"/>
        </w:rPr>
        <w:t>d. septynių videokasečių E-180, trijų videokasečių apžiūros protokole nurodyta, kad videokasetėje, kurios pavadinimas „2A kasete 2 dalis“ vaizdo įraše nuo pradžios iki 16 min. 19 sek. girdimas LNGK kreipimasis (t. 493, b. l. 18). Tai, kad operacijos metu prie LRT buvo transliuojamas garso įrašas apie valdžią ir raginimą skirstytis, nurodė teisiamajame posėdyje apklausti nukentėjusieji R. K</w:t>
      </w:r>
      <w:r>
        <w:rPr>
          <w:bCs/>
          <w:szCs w:val="24"/>
        </w:rPr>
        <w:t>.</w:t>
      </w:r>
      <w:r w:rsidRPr="00C00255">
        <w:rPr>
          <w:bCs/>
          <w:szCs w:val="24"/>
        </w:rPr>
        <w:t xml:space="preserve"> (t. 760, b. l. 61) bei K. D</w:t>
      </w:r>
      <w:r>
        <w:rPr>
          <w:bCs/>
          <w:szCs w:val="24"/>
        </w:rPr>
        <w:t>.</w:t>
      </w:r>
      <w:r w:rsidRPr="00C00255">
        <w:rPr>
          <w:bCs/>
          <w:szCs w:val="24"/>
        </w:rPr>
        <w:t xml:space="preserve"> (t. 760, b.</w:t>
      </w:r>
      <w:r>
        <w:rPr>
          <w:bCs/>
          <w:szCs w:val="24"/>
        </w:rPr>
        <w:t> </w:t>
      </w:r>
      <w:r w:rsidRPr="00C00255">
        <w:rPr>
          <w:bCs/>
          <w:szCs w:val="24"/>
        </w:rPr>
        <w:t>l.</w:t>
      </w:r>
      <w:r>
        <w:rPr>
          <w:bCs/>
          <w:szCs w:val="24"/>
        </w:rPr>
        <w:t> </w:t>
      </w:r>
      <w:r w:rsidRPr="00C00255">
        <w:rPr>
          <w:bCs/>
          <w:szCs w:val="24"/>
        </w:rPr>
        <w:t>41–42). Tokias pačias aplinkybes, kad 1991 m. sausio 13 d. naktį, būnant prie LRT, buvo leidžiamas garso įrašas (LNGK kreipimasis), kuriame buvo raginama visiems skirstytis, tyrimo metu nurodė nukentėjusieji N. K</w:t>
      </w:r>
      <w:r>
        <w:rPr>
          <w:bCs/>
          <w:szCs w:val="24"/>
        </w:rPr>
        <w:t>.</w:t>
      </w:r>
      <w:r w:rsidRPr="00C00255">
        <w:rPr>
          <w:bCs/>
          <w:szCs w:val="24"/>
        </w:rPr>
        <w:t xml:space="preserve"> (t. 61, b. l. 141–147) ir S. Š</w:t>
      </w:r>
      <w:r>
        <w:rPr>
          <w:bCs/>
          <w:szCs w:val="24"/>
        </w:rPr>
        <w:t>.</w:t>
      </w:r>
      <w:r w:rsidRPr="00C00255">
        <w:rPr>
          <w:bCs/>
          <w:szCs w:val="24"/>
        </w:rPr>
        <w:t xml:space="preserve"> (t. 63, b. l. 230–234), kurių parodymai perskaityti teisiamajame posėdyje (t. 760, b. l. 76, 92).</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Nuteistojo </w:t>
      </w:r>
      <w:r>
        <w:rPr>
          <w:bCs/>
          <w:szCs w:val="24"/>
        </w:rPr>
        <w:t>G. P.</w:t>
      </w:r>
      <w:r w:rsidRPr="00C00255">
        <w:rPr>
          <w:bCs/>
          <w:szCs w:val="24"/>
        </w:rPr>
        <w:t xml:space="preserve"> gynėjai byloje apeliacinio skundo nepateikė, todėl teisėjų kolegija, sutikdama su apygardos teismo išvadomis, dėl jo faktiškai atliktų veiksmų, tik paminės pagrindinius įrodymų šaltinius, iš kurių galima daryti išvadas apie </w:t>
      </w:r>
      <w:r>
        <w:rPr>
          <w:bCs/>
          <w:szCs w:val="24"/>
        </w:rPr>
        <w:t>G. P.</w:t>
      </w:r>
      <w:r w:rsidRPr="00C00255">
        <w:rPr>
          <w:bCs/>
          <w:szCs w:val="24"/>
        </w:rPr>
        <w:t xml:space="preserve"> vaidmenį užimant LRT Radijo pastatą.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Nuteistojo </w:t>
      </w:r>
      <w:r>
        <w:rPr>
          <w:bCs/>
          <w:szCs w:val="24"/>
        </w:rPr>
        <w:t>V. R.</w:t>
      </w:r>
      <w:r w:rsidRPr="00C00255">
        <w:rPr>
          <w:bCs/>
          <w:szCs w:val="24"/>
        </w:rPr>
        <w:t xml:space="preserve"> gynėjas, aptardamas </w:t>
      </w:r>
      <w:r>
        <w:rPr>
          <w:bCs/>
          <w:szCs w:val="24"/>
        </w:rPr>
        <w:t>V. R.</w:t>
      </w:r>
      <w:r w:rsidRPr="00C00255">
        <w:rPr>
          <w:bCs/>
          <w:szCs w:val="24"/>
        </w:rPr>
        <w:t xml:space="preserve"> tyrimo metu duotus parodymus, nurodo, kad išskyrus užduotį jungtinės grupės sudėtyje nuvažiuoti prie LRT ir po antro šūvio iš tanko tuščiu užtaisu įjungti radiofoninį įrenginį, kitokių įsakymų, kuriuos būtų privalėjęs vykdyti, </w:t>
      </w:r>
      <w:r>
        <w:rPr>
          <w:bCs/>
          <w:szCs w:val="24"/>
        </w:rPr>
        <w:t>V. R.</w:t>
      </w:r>
      <w:r w:rsidRPr="00C00255">
        <w:rPr>
          <w:bCs/>
          <w:szCs w:val="24"/>
        </w:rPr>
        <w:t xml:space="preserve"> nebuvo gavęs. Pasak gynėjo, vykdydamas jam duotą įsakymą, </w:t>
      </w:r>
      <w:r>
        <w:rPr>
          <w:bCs/>
          <w:szCs w:val="24"/>
        </w:rPr>
        <w:t>V. R.</w:t>
      </w:r>
      <w:r w:rsidRPr="00C00255">
        <w:rPr>
          <w:bCs/>
          <w:szCs w:val="24"/>
        </w:rPr>
        <w:t xml:space="preserve"> negalėjo žinoti, kad gali kilti inkriminuotuose BK straipsniuose nustatyti padariniai. Be to, gynėjo teigimu, apklausti </w:t>
      </w:r>
      <w:r>
        <w:rPr>
          <w:bCs/>
          <w:szCs w:val="24"/>
        </w:rPr>
        <w:t>G. P.</w:t>
      </w:r>
      <w:r w:rsidRPr="00C00255">
        <w:rPr>
          <w:bCs/>
          <w:szCs w:val="24"/>
        </w:rPr>
        <w:t xml:space="preserve">, </w:t>
      </w:r>
      <w:r>
        <w:rPr>
          <w:bCs/>
          <w:szCs w:val="24"/>
        </w:rPr>
        <w:t>A. M.</w:t>
      </w:r>
      <w:r w:rsidRPr="00C00255">
        <w:rPr>
          <w:bCs/>
          <w:szCs w:val="24"/>
        </w:rPr>
        <w:t xml:space="preserve">, </w:t>
      </w:r>
      <w:r>
        <w:rPr>
          <w:bCs/>
          <w:szCs w:val="24"/>
        </w:rPr>
        <w:t>S. S.</w:t>
      </w:r>
      <w:r w:rsidRPr="00C00255">
        <w:rPr>
          <w:bCs/>
          <w:szCs w:val="24"/>
        </w:rPr>
        <w:t xml:space="preserve"> nurodė, kad </w:t>
      </w:r>
      <w:r>
        <w:rPr>
          <w:bCs/>
          <w:szCs w:val="24"/>
        </w:rPr>
        <w:t>V. R.</w:t>
      </w:r>
      <w:r w:rsidRPr="00C00255">
        <w:rPr>
          <w:bCs/>
          <w:szCs w:val="24"/>
        </w:rPr>
        <w:t xml:space="preserve"> niekam įsakymų nedavė, juo labiau įsakymo žudyti. Gynėjo teigimu, byloje neįrodyta aplinkybė, kad </w:t>
      </w:r>
      <w:r>
        <w:rPr>
          <w:bCs/>
          <w:szCs w:val="24"/>
        </w:rPr>
        <w:t>V. R.</w:t>
      </w:r>
      <w:r w:rsidRPr="00C00255">
        <w:rPr>
          <w:bCs/>
          <w:szCs w:val="24"/>
        </w:rPr>
        <w:t xml:space="preserve"> vadovavo LRT pastate dirbusių ir pastatą gynusių civilių puolimui. Šiame kontekste teisėjų kolegija pažymi, </w:t>
      </w:r>
      <w:bookmarkStart w:id="525" w:name="_Hlk65704823"/>
      <w:r w:rsidRPr="00C00255">
        <w:rPr>
          <w:bCs/>
          <w:szCs w:val="24"/>
        </w:rPr>
        <w:t xml:space="preserve">kad nemaža dalis </w:t>
      </w:r>
      <w:r>
        <w:rPr>
          <w:bCs/>
          <w:szCs w:val="24"/>
        </w:rPr>
        <w:t>V. R.</w:t>
      </w:r>
      <w:r w:rsidRPr="00C00255">
        <w:rPr>
          <w:bCs/>
          <w:szCs w:val="24"/>
        </w:rPr>
        <w:t xml:space="preserve"> gynėjo skundo argumentų yra teisinio vertinimo dalykas, o ne fakto klausimai, todėl apie tai teisėjų kolegija pasisakys atskirai kitoje sprendimo dalyje.</w:t>
      </w:r>
    </w:p>
    <w:bookmarkEnd w:id="525"/>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Teisėjų kolegija pažymi, kad pirmiausia apie TSRS VRM Vidaus kariuomenės 42-osios divizijos kariškių dalyvavimą LRT Radijo pastato šturme patvirtina aptarti duomenys, nurodyti šio sprendimo dalyje „</w:t>
      </w:r>
      <w:r w:rsidRPr="00C00255">
        <w:rPr>
          <w:bCs/>
          <w:i/>
          <w:iCs/>
          <w:szCs w:val="24"/>
        </w:rPr>
        <w:t>Dėl TSRS VRM Vidaus kariuomenės 42-osios divizijos kariškių ir joje tarnavusių nuteistųjų dalyvavimo užimant LRT</w:t>
      </w:r>
      <w:r w:rsidRPr="00C00255">
        <w:rPr>
          <w:bCs/>
          <w:szCs w:val="24"/>
        </w:rPr>
        <w:t xml:space="preserve">“, t. y., kad apie 63 TSRS VRM Vidaus kariuomenės 42-osios divizijos kariškiai prie LRT atvažiavo 6 BTR, KŠM GAZ-66, k/n 72-23 KI (rusiškos raidės). Byloje pateikti rašytiniai duomenys patvirtina, kad kartu su šiuo VRM kariniu junginiu prie LRT, kovinės žvalgybos desanto mašina BRDM, kurios borto Nr. 250, atvažiavo k/d 5458 papulkininkis </w:t>
      </w:r>
      <w:r>
        <w:rPr>
          <w:bCs/>
          <w:szCs w:val="24"/>
        </w:rPr>
        <w:t>V. R.</w:t>
      </w:r>
      <w:r w:rsidRPr="00C00255">
        <w:rPr>
          <w:bCs/>
          <w:szCs w:val="24"/>
        </w:rPr>
        <w:t xml:space="preserve"> ir k/d 3404 ryšių grandies viršininko pavaduotojas kapitonas </w:t>
      </w:r>
      <w:r>
        <w:rPr>
          <w:bCs/>
          <w:szCs w:val="24"/>
        </w:rPr>
        <w:t>G. P.</w:t>
      </w:r>
      <w:r w:rsidRPr="00C00255">
        <w:rPr>
          <w:bCs/>
          <w:szCs w:val="24"/>
        </w:rPr>
        <w:t xml:space="preserve"> (t. 438, b. l. 28, 29, t. 125, b. l. 27, 28). Teisiamajame posėdyje apklaustas liudytojas TSRS VRM Vidaus kariuomenės 42-osios divizijos milicijos pulko vadas </w:t>
      </w:r>
      <w:r>
        <w:rPr>
          <w:bCs/>
          <w:szCs w:val="24"/>
        </w:rPr>
        <w:t>S. S.</w:t>
      </w:r>
      <w:r w:rsidRPr="00C00255">
        <w:rPr>
          <w:bCs/>
          <w:szCs w:val="24"/>
        </w:rPr>
        <w:t xml:space="preserve"> nurodė, kad jam žinoma, jog jo pavaduotojas autotechnikai </w:t>
      </w:r>
      <w:r>
        <w:rPr>
          <w:bCs/>
          <w:szCs w:val="24"/>
        </w:rPr>
        <w:t>V. R.</w:t>
      </w:r>
      <w:r w:rsidRPr="00C00255">
        <w:rPr>
          <w:bCs/>
          <w:szCs w:val="24"/>
        </w:rPr>
        <w:t xml:space="preserve"> 1991 m. sausio 13 d. naktį buvo prie LRT. Pasak liudytojo, nurodymą vykti prie LRT </w:t>
      </w:r>
      <w:r>
        <w:rPr>
          <w:bCs/>
          <w:szCs w:val="24"/>
        </w:rPr>
        <w:t>V. R.</w:t>
      </w:r>
      <w:r w:rsidRPr="00C00255">
        <w:rPr>
          <w:bCs/>
          <w:szCs w:val="24"/>
        </w:rPr>
        <w:t xml:space="preserve"> gavo iš divizijos vado </w:t>
      </w:r>
      <w:r>
        <w:rPr>
          <w:bCs/>
          <w:szCs w:val="24"/>
        </w:rPr>
        <w:t>A. Ž.</w:t>
      </w:r>
      <w:r w:rsidRPr="00C00255">
        <w:rPr>
          <w:bCs/>
          <w:szCs w:val="24"/>
        </w:rPr>
        <w:t xml:space="preserve"> (t. 760, b. l. 143–144).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Teisėjų kolegija pažymi, kad įsitikinimą apie </w:t>
      </w:r>
      <w:r>
        <w:rPr>
          <w:bCs/>
          <w:szCs w:val="24"/>
        </w:rPr>
        <w:t>V. R.</w:t>
      </w:r>
      <w:r w:rsidRPr="00C00255">
        <w:rPr>
          <w:bCs/>
          <w:szCs w:val="24"/>
        </w:rPr>
        <w:t xml:space="preserve"> dalyvavimą ir jo vaidmenį operacijos eigoje, taip pat formuoja ir ikiteisminio tyrimo metu liudytoju apklausto pulko vado pavaduotojo politinei daliai </w:t>
      </w:r>
      <w:r>
        <w:rPr>
          <w:bCs/>
          <w:szCs w:val="24"/>
        </w:rPr>
        <w:t>A. M.</w:t>
      </w:r>
      <w:r w:rsidRPr="00C00255">
        <w:rPr>
          <w:bCs/>
          <w:szCs w:val="24"/>
        </w:rPr>
        <w:t xml:space="preserve">, kurio nebuvo galimybės apklausti teismo posėdyje, parodymai, perskaityti 2016 m. gegužės 10 d. teisiamajame posėdyje (t. 757, b. l. 111). Liudytojas </w:t>
      </w:r>
      <w:r>
        <w:rPr>
          <w:bCs/>
          <w:szCs w:val="24"/>
        </w:rPr>
        <w:t>A. M.</w:t>
      </w:r>
      <w:r w:rsidRPr="00C00255">
        <w:rPr>
          <w:bCs/>
          <w:szCs w:val="24"/>
        </w:rPr>
        <w:t xml:space="preserve"> nurodė, kad jis 1991 m. sausio 11 d. ar 12 d. į magnetofono juostelę įrašė kreipimąsi į Lietuvos gyventojus. Kreipimosi esmė buvo tokia: kvietimas nusiraminti, išsiskirstyti po namus, išlaikyti sveiką nuovoką, nepasiduoti provokacijoms, klausimus spręsti politiniu būdu, o ne stichiniais pasipriešinimo mitingais ir pan. Kreipimasis buvo įrašytas lietuvių ir rusų kalbomis. 1991 m. sausio 12–13 naktį tą įrašą transliavo iš garsiakalbio ant karinės žvalgybinės desanto mašinos BRDM prie LRT. Tuo klausimu užsiėmė </w:t>
      </w:r>
      <w:r>
        <w:rPr>
          <w:bCs/>
          <w:szCs w:val="24"/>
        </w:rPr>
        <w:t>V. R.</w:t>
      </w:r>
      <w:r w:rsidRPr="00C00255">
        <w:rPr>
          <w:bCs/>
          <w:szCs w:val="24"/>
        </w:rPr>
        <w:t>, kuris BRDM kartu su specialiosios kuopos padaliniu buvo prie LRT (t.</w:t>
      </w:r>
      <w:r w:rsidR="00E67B7E">
        <w:rPr>
          <w:bCs/>
          <w:szCs w:val="24"/>
        </w:rPr>
        <w:t xml:space="preserve"> 439, b. l. 177–178; t. 126, b. </w:t>
      </w:r>
      <w:r w:rsidRPr="00C00255">
        <w:rPr>
          <w:bCs/>
          <w:szCs w:val="24"/>
        </w:rPr>
        <w:t xml:space="preserve">l. 295–296).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bookmarkStart w:id="526" w:name="_Hlk65791486"/>
      <w:r w:rsidRPr="00C00255">
        <w:rPr>
          <w:bCs/>
          <w:szCs w:val="24"/>
        </w:rPr>
        <w:t xml:space="preserve">Teisėjų kolegijos vidinį įsitikinimą dėl skundžiamame nuosprendyje konstatuoto </w:t>
      </w:r>
      <w:r>
        <w:rPr>
          <w:bCs/>
          <w:szCs w:val="24"/>
        </w:rPr>
        <w:t>V. R.</w:t>
      </w:r>
      <w:r w:rsidRPr="00C00255">
        <w:rPr>
          <w:bCs/>
          <w:szCs w:val="24"/>
        </w:rPr>
        <w:t xml:space="preserve"> ir </w:t>
      </w:r>
      <w:r>
        <w:rPr>
          <w:bCs/>
          <w:szCs w:val="24"/>
        </w:rPr>
        <w:t>G. P.</w:t>
      </w:r>
      <w:r w:rsidRPr="00C00255">
        <w:rPr>
          <w:bCs/>
          <w:szCs w:val="24"/>
        </w:rPr>
        <w:t xml:space="preserve"> vaidmens LRT Radijo pastato užėmimo metu formuoja ir 2018 m. kovo 21 d. teisiamajame posėdyje (t. 761, b. l. 39–41) BPK 271–292 straipsniuose nustatyta tvarka ištirti liudytojo konvojaus pulko ryšio mazgo viršilos praporščiko </w:t>
      </w:r>
      <w:r>
        <w:rPr>
          <w:bCs/>
          <w:szCs w:val="24"/>
        </w:rPr>
        <w:t>U. D.</w:t>
      </w:r>
      <w:r w:rsidRPr="00C00255">
        <w:rPr>
          <w:bCs/>
          <w:szCs w:val="24"/>
        </w:rPr>
        <w:t xml:space="preserve"> parodymai. </w:t>
      </w:r>
      <w:bookmarkEnd w:id="526"/>
      <w:r w:rsidRPr="00C00255">
        <w:rPr>
          <w:bCs/>
          <w:szCs w:val="24"/>
        </w:rPr>
        <w:t xml:space="preserve">Liudytojas </w:t>
      </w:r>
      <w:r>
        <w:rPr>
          <w:bCs/>
          <w:szCs w:val="24"/>
        </w:rPr>
        <w:t>U. D.</w:t>
      </w:r>
      <w:r w:rsidRPr="00C00255">
        <w:rPr>
          <w:bCs/>
          <w:szCs w:val="24"/>
        </w:rPr>
        <w:t xml:space="preserve"> nurodė, kad ryšių mazge iš pradžių buvo trys būriai. Vienam iš jų – ryšio priėmimo būriui, kuris buvo 3404 divizijoje, vadovavo kapitonas </w:t>
      </w:r>
      <w:r>
        <w:rPr>
          <w:bCs/>
          <w:szCs w:val="24"/>
        </w:rPr>
        <w:t>G. P.</w:t>
      </w:r>
      <w:r w:rsidRPr="00C00255">
        <w:rPr>
          <w:bCs/>
          <w:szCs w:val="24"/>
        </w:rPr>
        <w:t>. Liudytojo teigimu, 1991 m. sausio 12 d. vakare viršininko D. G</w:t>
      </w:r>
      <w:r>
        <w:rPr>
          <w:bCs/>
          <w:szCs w:val="24"/>
        </w:rPr>
        <w:t xml:space="preserve">. </w:t>
      </w:r>
      <w:r w:rsidRPr="00C00255">
        <w:rPr>
          <w:bCs/>
          <w:szCs w:val="24"/>
        </w:rPr>
        <w:t xml:space="preserve">įsakymu kartu su </w:t>
      </w:r>
      <w:r>
        <w:rPr>
          <w:bCs/>
          <w:szCs w:val="24"/>
        </w:rPr>
        <w:t>G. P.</w:t>
      </w:r>
      <w:r w:rsidRPr="00C00255">
        <w:rPr>
          <w:bCs/>
          <w:szCs w:val="24"/>
        </w:rPr>
        <w:t xml:space="preserve"> vyko užtikrinti apsaugą jų ryšio mašinai KŠM GAZ 66 R-142. Atvykus į Šiaurės karinį miestelį, </w:t>
      </w:r>
      <w:r>
        <w:rPr>
          <w:bCs/>
          <w:szCs w:val="24"/>
        </w:rPr>
        <w:t>G. P.</w:t>
      </w:r>
      <w:r w:rsidRPr="00C00255">
        <w:rPr>
          <w:bCs/>
          <w:szCs w:val="24"/>
        </w:rPr>
        <w:t xml:space="preserve"> išlipo iš mašinos ir nuėjo gauti nurodymų, po ko jų mašina buvo išsiųsta atgal į karinį dalinį, o jie pasodinti į BRDM. Minėtoje mašinoje buvo vairuotojas ir, jo manymu, papulkininkio karinį laipsnį turintis kariškis (</w:t>
      </w:r>
      <w:r>
        <w:rPr>
          <w:bCs/>
          <w:szCs w:val="24"/>
        </w:rPr>
        <w:t>V. R.</w:t>
      </w:r>
      <w:r w:rsidRPr="00C00255">
        <w:rPr>
          <w:bCs/>
          <w:szCs w:val="24"/>
        </w:rPr>
        <w:t xml:space="preserve"> turėjo būtent papulkininkio karinį laipsnį – </w:t>
      </w:r>
      <w:r w:rsidRPr="00C00255">
        <w:rPr>
          <w:bCs/>
          <w:i/>
          <w:szCs w:val="24"/>
        </w:rPr>
        <w:t>kolegijos pastaba</w:t>
      </w:r>
      <w:r w:rsidRPr="00C00255">
        <w:rPr>
          <w:bCs/>
          <w:szCs w:val="24"/>
        </w:rPr>
        <w:t xml:space="preserve">), kuris sėdėjo šalia vairuotojo, o prie ryšio aparatūros sėdėjo </w:t>
      </w:r>
      <w:r>
        <w:rPr>
          <w:bCs/>
          <w:szCs w:val="24"/>
        </w:rPr>
        <w:t>G. P.</w:t>
      </w:r>
      <w:r w:rsidRPr="00C00255">
        <w:rPr>
          <w:bCs/>
          <w:szCs w:val="24"/>
        </w:rPr>
        <w:t xml:space="preserve">. Jie karinės technikos kolonoje važiavo už BTR. Karinės technikos kolona, atvažiavusi prie LRT, sustojo prie 4 aukštų pastato. Jiems atvykus, kai prasidėjo šaudymas, už kokių penkių minučių iš jų BRDM buvo transliuojamas įrašas, kuriame buvo kreipiamasi į Lietuvos žmones rusų ir lietuvių kalbomis. Liudytojo manymu, įrašą leido </w:t>
      </w:r>
      <w:r>
        <w:rPr>
          <w:bCs/>
          <w:szCs w:val="24"/>
        </w:rPr>
        <w:t>G. P.</w:t>
      </w:r>
      <w:r w:rsidRPr="00C00255">
        <w:rPr>
          <w:bCs/>
          <w:szCs w:val="24"/>
        </w:rPr>
        <w:t>, nes niekas kitas iš buvusių BRDM tuo užsiimti negalėjo – jis (</w:t>
      </w:r>
      <w:r>
        <w:rPr>
          <w:bCs/>
          <w:szCs w:val="24"/>
        </w:rPr>
        <w:t>U. D.</w:t>
      </w:r>
      <w:r w:rsidRPr="00C00255">
        <w:rPr>
          <w:bCs/>
          <w:szCs w:val="24"/>
        </w:rPr>
        <w:t xml:space="preserve">) sėdėjo gale, papulkininkis sėdėjo priekyje, o </w:t>
      </w:r>
      <w:r>
        <w:rPr>
          <w:bCs/>
          <w:szCs w:val="24"/>
        </w:rPr>
        <w:t>G. P.</w:t>
      </w:r>
      <w:r w:rsidRPr="00C00255">
        <w:rPr>
          <w:bCs/>
          <w:szCs w:val="24"/>
        </w:rPr>
        <w:t xml:space="preserve"> sėdėjo prie aparatūros. Liudytojo teigimu, kol jis buvo prie LRT (iš ten išvyko apie 3.00 val.), </w:t>
      </w:r>
      <w:r>
        <w:rPr>
          <w:bCs/>
          <w:szCs w:val="24"/>
        </w:rPr>
        <w:t>G. P.</w:t>
      </w:r>
      <w:r w:rsidRPr="00C00255">
        <w:rPr>
          <w:bCs/>
          <w:szCs w:val="24"/>
        </w:rPr>
        <w:t xml:space="preserve"> visą laiką buvo BRDM (t. 478, b. l. 82–86). Liudytojas </w:t>
      </w:r>
      <w:r>
        <w:rPr>
          <w:bCs/>
          <w:szCs w:val="24"/>
        </w:rPr>
        <w:t>U. D.</w:t>
      </w:r>
      <w:r w:rsidRPr="00C00255">
        <w:rPr>
          <w:bCs/>
          <w:szCs w:val="24"/>
        </w:rPr>
        <w:t xml:space="preserve"> atpažino ir įvardijo </w:t>
      </w:r>
      <w:r>
        <w:rPr>
          <w:bCs/>
          <w:szCs w:val="24"/>
        </w:rPr>
        <w:t>G. P.</w:t>
      </w:r>
      <w:r w:rsidRPr="00C00255">
        <w:rPr>
          <w:bCs/>
          <w:szCs w:val="24"/>
        </w:rPr>
        <w:t xml:space="preserve"> kaip kartu su liudytoju (</w:t>
      </w:r>
      <w:r>
        <w:rPr>
          <w:bCs/>
          <w:szCs w:val="24"/>
        </w:rPr>
        <w:t>U. D.</w:t>
      </w:r>
      <w:r w:rsidRPr="00C00255">
        <w:rPr>
          <w:bCs/>
          <w:szCs w:val="24"/>
        </w:rPr>
        <w:t xml:space="preserve">) 1991 m. sausio 13 d. naktį BRDM vykusį prie LRT (t. 478, b. l. 87–91). </w:t>
      </w:r>
    </w:p>
    <w:p w:rsidR="00DA38E9" w:rsidRPr="00C00255" w:rsidRDefault="00DA38E9" w:rsidP="00DA38E9">
      <w:pPr>
        <w:pStyle w:val="ListParagraph"/>
        <w:numPr>
          <w:ilvl w:val="0"/>
          <w:numId w:val="6"/>
        </w:numPr>
        <w:tabs>
          <w:tab w:val="left" w:pos="8245"/>
        </w:tabs>
        <w:spacing w:before="120" w:after="120"/>
        <w:ind w:left="992" w:hanging="992"/>
        <w:contextualSpacing w:val="0"/>
        <w:rPr>
          <w:bCs/>
          <w:szCs w:val="24"/>
        </w:rPr>
      </w:pPr>
      <w:r w:rsidRPr="00C00255">
        <w:rPr>
          <w:bCs/>
          <w:szCs w:val="24"/>
        </w:rPr>
        <w:t xml:space="preserve">Šiame kontekste teisėjų kolegija pažymi, kad iš teisiamajame posėdyje paskelbtų nuteistojo TSRS VRM Vidaus kariuomenės 42-osios divizijos milicijos pulko vado pavaduotojo technikos reikalams papulkininkio </w:t>
      </w:r>
      <w:r>
        <w:rPr>
          <w:bCs/>
          <w:szCs w:val="24"/>
        </w:rPr>
        <w:t>V. R.</w:t>
      </w:r>
      <w:r w:rsidRPr="00C00255">
        <w:rPr>
          <w:bCs/>
          <w:szCs w:val="24"/>
        </w:rPr>
        <w:t xml:space="preserve"> parodymų, duotų tyrimo metu, matyti, kad 1991 m. sausio 12 d. 20.00 val. jį iškvietė generolas leitenantas </w:t>
      </w:r>
      <w:r>
        <w:rPr>
          <w:bCs/>
          <w:szCs w:val="24"/>
        </w:rPr>
        <w:t>V. S. 1</w:t>
      </w:r>
      <w:r w:rsidRPr="00C00255">
        <w:rPr>
          <w:bCs/>
          <w:szCs w:val="24"/>
        </w:rPr>
        <w:t xml:space="preserve"> ir įsakė paruošti veikti radiofoninį įrenginį, atvykti su juo į Šiaurės karinį miestelį ir vykdyti visus generolo </w:t>
      </w:r>
      <w:r>
        <w:rPr>
          <w:bCs/>
          <w:szCs w:val="24"/>
        </w:rPr>
        <w:t>V. U. 1</w:t>
      </w:r>
      <w:r w:rsidRPr="00C00255">
        <w:rPr>
          <w:bCs/>
          <w:szCs w:val="24"/>
        </w:rPr>
        <w:t xml:space="preserve"> įsakymus. Kartu su juo ekipaže buvo vairuotojas, operatorius ir ryšių viršininkas kapitonas </w:t>
      </w:r>
      <w:r>
        <w:rPr>
          <w:bCs/>
          <w:szCs w:val="24"/>
        </w:rPr>
        <w:t>G. P.</w:t>
      </w:r>
      <w:r w:rsidRPr="00C00255">
        <w:rPr>
          <w:bCs/>
          <w:szCs w:val="24"/>
        </w:rPr>
        <w:t xml:space="preserve">. Šiaurės kariniame miestelyje papulkininkis iš politinio skyriaus davė magnetofono kasetę, kurioje buvo Nacionalinio gelbėjimo komiteto kreipimosi tekstas. Jam buvo nurodyta nuvažiuoti jungtinės grupės sudėtyje prie LRT ir po antro šūvio iš tanko tuščiu užtaisu įjungti radiofoninį įrenginį su minėtu garso įrašu. Karinės kolonos sudėtyje nuvažiavus prie LRT, pasuko radiofoninį įrenginį į namų pusę ir ėmė laukti signalo – antro šūvio iš tanko tuščiu užtaisu, po kurio įjungė gautą įrašą (t. 439, b. l. 161–163; t. 126, b. l. 276–279). Tokie </w:t>
      </w:r>
      <w:r>
        <w:rPr>
          <w:bCs/>
          <w:szCs w:val="24"/>
        </w:rPr>
        <w:t>V. R.</w:t>
      </w:r>
      <w:r w:rsidRPr="00C00255">
        <w:rPr>
          <w:bCs/>
          <w:szCs w:val="24"/>
        </w:rPr>
        <w:t xml:space="preserve"> parodymai sutampa ir su </w:t>
      </w:r>
      <w:r>
        <w:rPr>
          <w:bCs/>
          <w:szCs w:val="24"/>
        </w:rPr>
        <w:t>G. P.</w:t>
      </w:r>
      <w:r w:rsidRPr="00C00255">
        <w:rPr>
          <w:bCs/>
          <w:szCs w:val="24"/>
        </w:rPr>
        <w:t xml:space="preserve"> parodymais, duotais tyrimo metu ir 1997 m. rugpjūčio 14 d. teismo posėdyje Vilniaus apygardos teisme </w:t>
      </w:r>
      <w:r>
        <w:rPr>
          <w:bCs/>
          <w:szCs w:val="24"/>
        </w:rPr>
        <w:t>M. B.</w:t>
      </w:r>
      <w:r w:rsidRPr="00C00255">
        <w:rPr>
          <w:bCs/>
          <w:szCs w:val="24"/>
        </w:rPr>
        <w:t xml:space="preserve">, </w:t>
      </w:r>
      <w:r>
        <w:rPr>
          <w:bCs/>
          <w:szCs w:val="24"/>
        </w:rPr>
        <w:t>J. K.</w:t>
      </w:r>
      <w:r w:rsidRPr="00C00255">
        <w:rPr>
          <w:bCs/>
          <w:szCs w:val="24"/>
        </w:rPr>
        <w:t xml:space="preserve"> ir kt. byloje, iš kurių matyti, kad jo tiesioginis vadovas buvo </w:t>
      </w:r>
      <w:r>
        <w:rPr>
          <w:bCs/>
          <w:szCs w:val="24"/>
        </w:rPr>
        <w:t>A. Ž.</w:t>
      </w:r>
      <w:r w:rsidRPr="00C00255">
        <w:rPr>
          <w:bCs/>
          <w:szCs w:val="24"/>
        </w:rPr>
        <w:t xml:space="preserve">. 1991 m. sausio 12 d. vakare jį išsikvietė ryšių skyriaus vadas ir davė užduotį su desanto kovinės žvalgybos mašina, kurioje buvo sumontuotas garsiakalbis, važiuoti į Šiaurės karinį miestelį. Jam buvo iškelta užduotis – užtikrinti garsiakalbio inžinerinį ir techninį aptarnavimą. Desanto kovinės žvalgybos įgulą sudarė trys nariai – papulkininkis </w:t>
      </w:r>
      <w:r>
        <w:rPr>
          <w:bCs/>
          <w:szCs w:val="24"/>
        </w:rPr>
        <w:t>V. R.</w:t>
      </w:r>
      <w:r w:rsidRPr="00C00255">
        <w:rPr>
          <w:bCs/>
          <w:szCs w:val="24"/>
        </w:rPr>
        <w:t xml:space="preserve"> ir du privalomosios karinės tarnybos kariai. </w:t>
      </w:r>
      <w:r>
        <w:rPr>
          <w:bCs/>
          <w:szCs w:val="24"/>
        </w:rPr>
        <w:t>V. R.</w:t>
      </w:r>
      <w:r w:rsidRPr="00C00255">
        <w:rPr>
          <w:bCs/>
          <w:szCs w:val="24"/>
        </w:rPr>
        <w:t xml:space="preserve"> buvo perduota juosta, kurioje buvo Nacionalinio gelbėjimo komiteto kreipimasis į Lietuvos žmones, kuris buvo įrašytas lietuvių ir rusų kalbomis. Mašinos vyresnysis buvo </w:t>
      </w:r>
      <w:r>
        <w:rPr>
          <w:bCs/>
          <w:szCs w:val="24"/>
        </w:rPr>
        <w:t>V. R.</w:t>
      </w:r>
      <w:r w:rsidRPr="00C00255">
        <w:rPr>
          <w:bCs/>
          <w:szCs w:val="24"/>
        </w:rPr>
        <w:t xml:space="preserve">, kuris vadovavo ir vykstant į Šiaurės karinį miestelį, palaikė išorinį ryšį. Atvykus į Šiaurės karinį miestelį, mašinų vyresnieji gavo užduotį. Atvažiavus prie LRT, </w:t>
      </w:r>
      <w:r>
        <w:rPr>
          <w:bCs/>
          <w:szCs w:val="24"/>
        </w:rPr>
        <w:t>V. R.</w:t>
      </w:r>
      <w:r w:rsidRPr="00C00255">
        <w:rPr>
          <w:bCs/>
          <w:szCs w:val="24"/>
        </w:rPr>
        <w:t xml:space="preserve"> jam (</w:t>
      </w:r>
      <w:r>
        <w:rPr>
          <w:bCs/>
          <w:szCs w:val="24"/>
        </w:rPr>
        <w:t>G. P.</w:t>
      </w:r>
      <w:r w:rsidRPr="00C00255">
        <w:rPr>
          <w:bCs/>
          <w:szCs w:val="24"/>
        </w:rPr>
        <w:t>) nurodė įjungti magnetofoną su minėtu įrašu. Gavęs komandą, jis tą ir padarė. Įrašas buvo leidžiamas nuolat. Įrašui pasibaigus, jis persukdavo juostą ir vėl ją įjungdavo, kol sugedo magnetofonas (t. 439, b. l. 182–185; t. 373, b. l. 102; t. 126, b. l. 300–303).</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Tai, kad </w:t>
      </w:r>
      <w:r>
        <w:rPr>
          <w:bCs/>
          <w:szCs w:val="24"/>
        </w:rPr>
        <w:t>V. R.</w:t>
      </w:r>
      <w:r w:rsidRPr="00C00255">
        <w:rPr>
          <w:bCs/>
          <w:szCs w:val="24"/>
        </w:rPr>
        <w:t xml:space="preserve"> į įvykio vietą vyko BRDM, kurio borto Nr. 250, ir ryšio priemonėmis koordinavo operacijos veiksmus, patvirtina l. e. k/d 3404 štabo viršininko pavaduotojo papulkininkio </w:t>
      </w:r>
      <w:r>
        <w:rPr>
          <w:bCs/>
          <w:szCs w:val="24"/>
        </w:rPr>
        <w:t>V. D.</w:t>
      </w:r>
      <w:r w:rsidRPr="00C00255">
        <w:rPr>
          <w:bCs/>
          <w:szCs w:val="24"/>
        </w:rPr>
        <w:t xml:space="preserve"> rašte nurodyti duomenys apie atskirą </w:t>
      </w:r>
      <w:r>
        <w:rPr>
          <w:bCs/>
          <w:szCs w:val="24"/>
        </w:rPr>
        <w:t>V. R.</w:t>
      </w:r>
      <w:r w:rsidR="00E67B7E">
        <w:rPr>
          <w:bCs/>
          <w:szCs w:val="24"/>
        </w:rPr>
        <w:t>, buvusio BRDM, šaukinį (t. </w:t>
      </w:r>
      <w:r w:rsidRPr="00C00255">
        <w:rPr>
          <w:bCs/>
          <w:szCs w:val="24"/>
        </w:rPr>
        <w:t xml:space="preserve">438, b. l. 28, t. 125, b. l. 27), toks pats BRDM šaukinys nurodytas ir k/d 3404 štabo viršininko pulkininko </w:t>
      </w:r>
      <w:r>
        <w:rPr>
          <w:bCs/>
          <w:szCs w:val="24"/>
        </w:rPr>
        <w:t>N. M.</w:t>
      </w:r>
      <w:r w:rsidRPr="00C00255">
        <w:rPr>
          <w:bCs/>
          <w:szCs w:val="24"/>
        </w:rPr>
        <w:t xml:space="preserve"> rašte (t. 438, b. l. 21; t. 125, b. l. 20).</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Šiame kontekste teisėjų kolegija pažymi, kad iš aptartų duomenų matyti, jog dar prieš kelias dienas iki tiriamų įvykių, t. y. iš anksto, detaliai buvo rengiami ir planuojami veiksmai dėl prie užimamų strateginių objektų, taip pat ir prie LRT, LNGK garso įrašo transliavimo, kuriame buvo įrašytas vieno iš LKP/TSKP vadovų kreipimasis rusų ir lietuvių kalbomis LNGK vardu, kad visą valdžią Lietuvoje perima LNGK, – į magnetofono juostelę buvo įrašytas kreipimasis į Lietuvos gyventojus, užtikrintas specialios mašinos veikimas, paskirti atsakingi asmenys už tinkamą garso įrašo leidimą. Kaip nustatyta, tiek </w:t>
      </w:r>
      <w:r>
        <w:rPr>
          <w:bCs/>
          <w:szCs w:val="24"/>
        </w:rPr>
        <w:t>V. R.</w:t>
      </w:r>
      <w:r w:rsidRPr="00C00255">
        <w:rPr>
          <w:bCs/>
          <w:szCs w:val="24"/>
        </w:rPr>
        <w:t xml:space="preserve">, tiek </w:t>
      </w:r>
      <w:r>
        <w:rPr>
          <w:bCs/>
          <w:szCs w:val="24"/>
        </w:rPr>
        <w:t>G. P.</w:t>
      </w:r>
      <w:r w:rsidRPr="00C00255">
        <w:rPr>
          <w:bCs/>
          <w:szCs w:val="24"/>
        </w:rPr>
        <w:t xml:space="preserve"> prieš vykstant prie LRT buvo žinoma jiems iškelta užduotis, t. y. kad jie turės leisti būtent LNGK įrašą. Be to, jiems iš anksto buvo žinoma, kad prie LRT vyks karinėje kolonoje kartu su kitomis karinėmis mašinomis ir kad įrašą turės pradėti leisti po antro tanko šūvio, t. y. jiems buvo žinoma, kad įvykių metu mažų mažiausiai bus šaudoma tuščiais šoviniais iš tankų.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Vertindama nuteistųjų </w:t>
      </w:r>
      <w:r>
        <w:rPr>
          <w:bCs/>
          <w:szCs w:val="24"/>
        </w:rPr>
        <w:t>V. R.</w:t>
      </w:r>
      <w:r w:rsidRPr="00C00255">
        <w:rPr>
          <w:bCs/>
          <w:szCs w:val="24"/>
        </w:rPr>
        <w:t xml:space="preserve"> ir </w:t>
      </w:r>
      <w:r>
        <w:rPr>
          <w:bCs/>
          <w:szCs w:val="24"/>
        </w:rPr>
        <w:t>G. P.</w:t>
      </w:r>
      <w:r w:rsidRPr="00C00255">
        <w:rPr>
          <w:bCs/>
          <w:szCs w:val="24"/>
        </w:rPr>
        <w:t xml:space="preserve"> atliktus veiksmus LRT užėmimo metu, teisėjų kolegija pažymi, kad abu minėti nuteistieji veikė pagal aukščiausių šioje karinėje operacijoje dalyvavusių vadovų, t. y. Šiaurės vakarų ir Pabaltijo vidaus kariuomenės valdybos viršininko generolo </w:t>
      </w:r>
      <w:r>
        <w:rPr>
          <w:bCs/>
          <w:szCs w:val="24"/>
        </w:rPr>
        <w:t>V. S. 1</w:t>
      </w:r>
      <w:r w:rsidRPr="00C00255">
        <w:rPr>
          <w:bCs/>
          <w:szCs w:val="24"/>
        </w:rPr>
        <w:t xml:space="preserve"> ir TSRS VRM Vidaus kariuomenės 42-osios divizijos vado </w:t>
      </w:r>
      <w:r>
        <w:rPr>
          <w:bCs/>
          <w:szCs w:val="24"/>
        </w:rPr>
        <w:t>A. Ž.</w:t>
      </w:r>
      <w:r w:rsidRPr="00C00255">
        <w:rPr>
          <w:bCs/>
          <w:szCs w:val="24"/>
        </w:rPr>
        <w:t xml:space="preserve"> (</w:t>
      </w:r>
      <w:r w:rsidRPr="00E67B7E">
        <w:t xml:space="preserve">V. R. teigimu, ir pagal </w:t>
      </w:r>
      <w:r w:rsidRPr="00E67B7E">
        <w:rPr>
          <w:rFonts w:eastAsia="Calibri"/>
        </w:rPr>
        <w:t>TSRS GM</w:t>
      </w:r>
      <w:r w:rsidRPr="00E67B7E">
        <w:t xml:space="preserve"> 107-osios motorizuotų </w:t>
      </w:r>
      <w:r w:rsidRPr="00C00255">
        <w:rPr>
          <w:bCs/>
          <w:szCs w:val="24"/>
        </w:rPr>
        <w:t xml:space="preserve">šaulių divizijos vado </w:t>
      </w:r>
      <w:r>
        <w:rPr>
          <w:bCs/>
          <w:szCs w:val="24"/>
        </w:rPr>
        <w:t>V. U. 1</w:t>
      </w:r>
      <w:r w:rsidRPr="00C00255">
        <w:rPr>
          <w:bCs/>
          <w:szCs w:val="24"/>
        </w:rPr>
        <w:t xml:space="preserve">) nurodymus, kurie, kaip nustatyta šio sprendimo dalyse </w:t>
      </w:r>
      <w:r w:rsidRPr="00C00255">
        <w:rPr>
          <w:bCs/>
          <w:i/>
          <w:szCs w:val="24"/>
        </w:rPr>
        <w:t xml:space="preserve">„Dėl pirmosios instancijos teismo išvadų vertinant TSRS </w:t>
      </w:r>
      <w:r>
        <w:rPr>
          <w:bCs/>
          <w:i/>
          <w:szCs w:val="24"/>
        </w:rPr>
        <w:t>GM</w:t>
      </w:r>
      <w:r w:rsidRPr="00C00255">
        <w:rPr>
          <w:bCs/>
          <w:i/>
          <w:szCs w:val="24"/>
        </w:rPr>
        <w:t xml:space="preserve"> ir jai pavaldžių dalinių bei nuteistųjų </w:t>
      </w:r>
      <w:r>
        <w:rPr>
          <w:bCs/>
          <w:i/>
          <w:szCs w:val="24"/>
        </w:rPr>
        <w:t>D. J.</w:t>
      </w:r>
      <w:r w:rsidRPr="00C00255">
        <w:rPr>
          <w:bCs/>
          <w:i/>
          <w:szCs w:val="24"/>
        </w:rPr>
        <w:t xml:space="preserve">, </w:t>
      </w:r>
      <w:r>
        <w:rPr>
          <w:bCs/>
          <w:i/>
          <w:szCs w:val="24"/>
        </w:rPr>
        <w:t>V. K. 1</w:t>
      </w:r>
      <w:r w:rsidRPr="00C00255">
        <w:rPr>
          <w:bCs/>
          <w:i/>
          <w:szCs w:val="24"/>
        </w:rPr>
        <w:t xml:space="preserve">, </w:t>
      </w:r>
      <w:r>
        <w:rPr>
          <w:bCs/>
          <w:i/>
          <w:szCs w:val="24"/>
        </w:rPr>
        <w:t>V. U. 1</w:t>
      </w:r>
      <w:r w:rsidRPr="00C00255">
        <w:rPr>
          <w:bCs/>
          <w:i/>
          <w:szCs w:val="24"/>
        </w:rPr>
        <w:t xml:space="preserve"> ir </w:t>
      </w:r>
      <w:r>
        <w:rPr>
          <w:bCs/>
          <w:i/>
          <w:szCs w:val="24"/>
        </w:rPr>
        <w:t>N. A.</w:t>
      </w:r>
      <w:r w:rsidRPr="00C00255">
        <w:rPr>
          <w:bCs/>
          <w:i/>
          <w:szCs w:val="24"/>
        </w:rPr>
        <w:t xml:space="preserve"> veiksmus planuojant karinę operaciją“</w:t>
      </w:r>
      <w:r w:rsidRPr="00C00255">
        <w:rPr>
          <w:bCs/>
          <w:szCs w:val="24"/>
        </w:rPr>
        <w:t xml:space="preserve"> ir „</w:t>
      </w:r>
      <w:r w:rsidRPr="00C00255">
        <w:rPr>
          <w:bCs/>
          <w:i/>
          <w:iCs/>
          <w:szCs w:val="24"/>
        </w:rPr>
        <w:t>Dėl pirmosios instancijos teismo išvadų vertinant TSRS VRM ir jai pavaldžių dalinių bei nuteistųjų N.</w:t>
      </w:r>
      <w:r>
        <w:rPr>
          <w:bCs/>
          <w:i/>
          <w:iCs/>
          <w:szCs w:val="24"/>
        </w:rPr>
        <w:t> </w:t>
      </w:r>
      <w:r w:rsidRPr="00C00255">
        <w:rPr>
          <w:bCs/>
          <w:i/>
          <w:iCs/>
          <w:szCs w:val="24"/>
        </w:rPr>
        <w:t>D</w:t>
      </w:r>
      <w:r>
        <w:rPr>
          <w:bCs/>
          <w:i/>
          <w:iCs/>
          <w:szCs w:val="24"/>
        </w:rPr>
        <w:t>.</w:t>
      </w:r>
      <w:r w:rsidRPr="00C00255">
        <w:rPr>
          <w:bCs/>
          <w:i/>
          <w:iCs/>
          <w:szCs w:val="24"/>
        </w:rPr>
        <w:t xml:space="preserve">, </w:t>
      </w:r>
      <w:r>
        <w:rPr>
          <w:bCs/>
          <w:i/>
          <w:iCs/>
          <w:szCs w:val="24"/>
        </w:rPr>
        <w:t>V. S. 1</w:t>
      </w:r>
      <w:r w:rsidRPr="00C00255">
        <w:rPr>
          <w:bCs/>
          <w:i/>
          <w:iCs/>
          <w:szCs w:val="24"/>
        </w:rPr>
        <w:t xml:space="preserve"> ir </w:t>
      </w:r>
      <w:r>
        <w:rPr>
          <w:bCs/>
          <w:i/>
          <w:iCs/>
          <w:szCs w:val="24"/>
        </w:rPr>
        <w:t>A. Ž.</w:t>
      </w:r>
      <w:r w:rsidRPr="00C00255">
        <w:rPr>
          <w:bCs/>
          <w:i/>
          <w:iCs/>
          <w:szCs w:val="24"/>
        </w:rPr>
        <w:t xml:space="preserve"> veiksmus planuojant karinę operaciją</w:t>
      </w:r>
      <w:r w:rsidRPr="00C00255">
        <w:rPr>
          <w:bCs/>
          <w:szCs w:val="24"/>
        </w:rPr>
        <w:t xml:space="preserve">“, sprendė pasirengimo karinei operacijai klausimus, koordinavo kariškių veiksmus, davė nurodymus kariškiams dėl konkrečių užduočių.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Apeliacinės instancijos teismo teisėjų kolegijos įsitikinimu, pirmiau aptarti liudytojų ir nuteistųjų parodymai, kurie sutampa tarpusavyje (dėl pasirengimo užduoties vykdymui; užduočių paskirstymo; vykimo maršruto; BRDM įgulos narių skaičiaus ir jų atliktų veiksmų) ne tik leidžia patikrinti jau šioje dalyje minėtus įrodymus, patvirtinančius apie </w:t>
      </w:r>
      <w:r>
        <w:rPr>
          <w:bCs/>
          <w:szCs w:val="24"/>
        </w:rPr>
        <w:t>V. R.</w:t>
      </w:r>
      <w:r w:rsidRPr="00C00255">
        <w:rPr>
          <w:bCs/>
          <w:szCs w:val="24"/>
        </w:rPr>
        <w:t xml:space="preserve"> ir </w:t>
      </w:r>
      <w:r>
        <w:rPr>
          <w:bCs/>
          <w:szCs w:val="24"/>
        </w:rPr>
        <w:t>G. P.</w:t>
      </w:r>
      <w:r w:rsidRPr="00C00255">
        <w:rPr>
          <w:bCs/>
          <w:szCs w:val="24"/>
        </w:rPr>
        <w:t xml:space="preserve"> vaidmenį šturmuojant LRT Radijo pastatą, bet ir juos nuosekliai papildo bei leidžia daryti išvadą, kad aukšto rango karininkai – papulkininkis </w:t>
      </w:r>
      <w:r>
        <w:rPr>
          <w:bCs/>
          <w:szCs w:val="24"/>
        </w:rPr>
        <w:t>V. R.</w:t>
      </w:r>
      <w:r w:rsidRPr="00C00255">
        <w:rPr>
          <w:bCs/>
          <w:szCs w:val="24"/>
        </w:rPr>
        <w:t xml:space="preserve"> ir kapitonas </w:t>
      </w:r>
      <w:r>
        <w:rPr>
          <w:bCs/>
          <w:szCs w:val="24"/>
        </w:rPr>
        <w:t>G. P.</w:t>
      </w:r>
      <w:r w:rsidRPr="00C00255">
        <w:rPr>
          <w:bCs/>
          <w:szCs w:val="24"/>
        </w:rPr>
        <w:t xml:space="preserve"> ne tik dalyvavo užimant LRT Radijo pastatą, bet ir užėmė vadovaujančio pobūdžio pareigas ir pagal užimamą rangą įvykių metu turėjo pavaldžių VRM divizijos kariškių. Kaip nustatyta, </w:t>
      </w:r>
      <w:r>
        <w:rPr>
          <w:bCs/>
          <w:szCs w:val="24"/>
        </w:rPr>
        <w:t>V. R.</w:t>
      </w:r>
      <w:r w:rsidRPr="00C00255">
        <w:rPr>
          <w:bCs/>
          <w:szCs w:val="24"/>
        </w:rPr>
        <w:t xml:space="preserve"> pagal karinį laipsnį buvo vienas iš aukščiausių TSRS VRM Vidaus kariuomenės 42-osios divizijos kariškių, dalyvavusių šioje operacijoje, t. y. jo karinis laipsnis buvo toks pats kaip ir konvojaus pulko vado </w:t>
      </w:r>
      <w:r>
        <w:rPr>
          <w:bCs/>
          <w:szCs w:val="24"/>
        </w:rPr>
        <w:t>S. F.</w:t>
      </w:r>
      <w:r w:rsidRPr="00C00255">
        <w:rPr>
          <w:bCs/>
          <w:szCs w:val="24"/>
        </w:rPr>
        <w:t xml:space="preserve">, o </w:t>
      </w:r>
      <w:r>
        <w:rPr>
          <w:bCs/>
          <w:szCs w:val="24"/>
        </w:rPr>
        <w:t>G. P.</w:t>
      </w:r>
      <w:r w:rsidRPr="00C00255">
        <w:rPr>
          <w:bCs/>
          <w:szCs w:val="24"/>
        </w:rPr>
        <w:t xml:space="preserve"> buvo trečias pagal turimą aukščiausią karinį laipsnį karininkas – tik majoras </w:t>
      </w:r>
      <w:r>
        <w:rPr>
          <w:bCs/>
          <w:szCs w:val="24"/>
        </w:rPr>
        <w:t>V. Š. 2</w:t>
      </w:r>
      <w:r w:rsidRPr="00C00255">
        <w:rPr>
          <w:bCs/>
          <w:szCs w:val="24"/>
        </w:rPr>
        <w:t xml:space="preserve"> ir papulkininkiai </w:t>
      </w:r>
      <w:r>
        <w:rPr>
          <w:bCs/>
          <w:szCs w:val="24"/>
        </w:rPr>
        <w:t>S. F.</w:t>
      </w:r>
      <w:r w:rsidRPr="00C00255">
        <w:rPr>
          <w:bCs/>
          <w:szCs w:val="24"/>
        </w:rPr>
        <w:t xml:space="preserve"> bei </w:t>
      </w:r>
      <w:r>
        <w:rPr>
          <w:bCs/>
          <w:szCs w:val="24"/>
        </w:rPr>
        <w:t>V. R.</w:t>
      </w:r>
      <w:r w:rsidRPr="00C00255">
        <w:rPr>
          <w:bCs/>
          <w:szCs w:val="24"/>
        </w:rPr>
        <w:t xml:space="preserve"> turėjo aukštesnį karinį laipsnį nei </w:t>
      </w:r>
      <w:r>
        <w:rPr>
          <w:bCs/>
          <w:szCs w:val="24"/>
        </w:rPr>
        <w:t>G. P.</w:t>
      </w:r>
      <w:r w:rsidRPr="00C00255">
        <w:rPr>
          <w:bCs/>
          <w:szCs w:val="24"/>
        </w:rPr>
        <w:t xml:space="preserve">.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Aptarti duomenys taip pat atskleidžia </w:t>
      </w:r>
      <w:r>
        <w:rPr>
          <w:bCs/>
          <w:szCs w:val="24"/>
        </w:rPr>
        <w:t>V. R.</w:t>
      </w:r>
      <w:r w:rsidRPr="00C00255">
        <w:rPr>
          <w:bCs/>
          <w:szCs w:val="24"/>
        </w:rPr>
        <w:t xml:space="preserve"> atliktus veiksmus LRT Radijo pastato šturmo metu. Kaip nustatyta, jis ne tik dalyvavo ir leido garso įrašą LRT užėmimo metu. Kaip aukščiausias BRDM įgulos karininkas, duodamas nurodymus likusiems įgulos kariškiams, jis užtikrino tinkamą užduoties – garso įrašo transliavimo – įgyvendinimą, taip pat, kaip BRDM vyriausiasis, važiuodamas palaikė išorinį ryšį, kas neabejotinai patvirtina išskirtinį </w:t>
      </w:r>
      <w:r>
        <w:rPr>
          <w:bCs/>
          <w:szCs w:val="24"/>
        </w:rPr>
        <w:t>V. R.</w:t>
      </w:r>
      <w:r w:rsidRPr="00C00255">
        <w:rPr>
          <w:bCs/>
          <w:szCs w:val="24"/>
        </w:rPr>
        <w:t xml:space="preserve"> vadovaujamą vaidmenį operacijos metu. Be to, ir </w:t>
      </w:r>
      <w:r>
        <w:rPr>
          <w:bCs/>
          <w:szCs w:val="24"/>
        </w:rPr>
        <w:t>G. P.</w:t>
      </w:r>
      <w:r w:rsidRPr="00C00255">
        <w:rPr>
          <w:bCs/>
          <w:szCs w:val="24"/>
        </w:rPr>
        <w:t xml:space="preserve"> tyrimo metu nurodė, kad atvykus prie LRT, jis vykdė </w:t>
      </w:r>
      <w:r>
        <w:rPr>
          <w:bCs/>
          <w:szCs w:val="24"/>
        </w:rPr>
        <w:t>V. R.</w:t>
      </w:r>
      <w:r w:rsidRPr="00C00255">
        <w:rPr>
          <w:bCs/>
          <w:szCs w:val="24"/>
        </w:rPr>
        <w:t xml:space="preserve"> nurodymą. Taigi, akivaizdu, kad </w:t>
      </w:r>
      <w:r>
        <w:rPr>
          <w:bCs/>
          <w:szCs w:val="24"/>
        </w:rPr>
        <w:t>V. R.</w:t>
      </w:r>
      <w:r w:rsidRPr="00C00255">
        <w:rPr>
          <w:bCs/>
          <w:szCs w:val="24"/>
        </w:rPr>
        <w:t xml:space="preserve"> jam aukščiausių vadų duotą įsakymą vykdė ne pats tiesiogiai, o pavedė jį atlikti žemesnės grandies pavaldiems kariškiams. </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Įvertinusi pirmiau aptartas aplinkybes, teisėjų kolegija pažymi, kad akivaizdu, jog operacijos vietoje prie LRT iš BRDM buvo leidžiamas LNGK garso įrašas, kuriame skelbiama, kad bet koks pasipriešinimas yra beprasmiškas ir nuves prie brolžudiško karo, civiliams buvo liepiama skirstytis, kurio transliavimą įvykio vietoje užtikrino ryšio grandies viršininko pavaduotojas kapitonas </w:t>
      </w:r>
      <w:r>
        <w:rPr>
          <w:bCs/>
          <w:szCs w:val="24"/>
        </w:rPr>
        <w:t>G. P.</w:t>
      </w:r>
      <w:r w:rsidRPr="00C00255">
        <w:rPr>
          <w:bCs/>
          <w:szCs w:val="24"/>
        </w:rPr>
        <w:t xml:space="preserve">. Akivaizdu, kad toks </w:t>
      </w:r>
      <w:r>
        <w:rPr>
          <w:bCs/>
          <w:szCs w:val="24"/>
        </w:rPr>
        <w:t>G. P.</w:t>
      </w:r>
      <w:r w:rsidRPr="00C00255">
        <w:rPr>
          <w:bCs/>
          <w:szCs w:val="24"/>
        </w:rPr>
        <w:t xml:space="preserve"> vaidmuo, leidžiant LNGK garso įrašą, įvertinant visos operacijos planą, iškeltas užduotis ir kaip nustatyta šio sprendimo dalyje „</w:t>
      </w:r>
      <w:r w:rsidRPr="00C00255">
        <w:rPr>
          <w:bCs/>
          <w:i/>
          <w:iCs/>
          <w:szCs w:val="24"/>
        </w:rPr>
        <w:t xml:space="preserve">Dėl pirmosios instancijos teismo išvadų vertinant LKP/TSKP narių </w:t>
      </w:r>
      <w:r>
        <w:rPr>
          <w:bCs/>
          <w:i/>
          <w:iCs/>
          <w:szCs w:val="24"/>
        </w:rPr>
        <w:t>V. Š. 1</w:t>
      </w:r>
      <w:r w:rsidRPr="00C00255">
        <w:rPr>
          <w:bCs/>
          <w:i/>
          <w:iCs/>
          <w:szCs w:val="24"/>
        </w:rPr>
        <w:t xml:space="preserve">, </w:t>
      </w:r>
      <w:r w:rsidR="00E67B7E">
        <w:rPr>
          <w:bCs/>
          <w:i/>
          <w:iCs/>
          <w:szCs w:val="24"/>
        </w:rPr>
        <w:t>A. N. 1</w:t>
      </w:r>
      <w:r w:rsidRPr="00C00255">
        <w:rPr>
          <w:bCs/>
          <w:i/>
          <w:iCs/>
          <w:szCs w:val="24"/>
        </w:rPr>
        <w:t xml:space="preserve"> ir </w:t>
      </w:r>
      <w:r>
        <w:rPr>
          <w:bCs/>
          <w:i/>
          <w:iCs/>
          <w:szCs w:val="24"/>
        </w:rPr>
        <w:t>R. J. 1</w:t>
      </w:r>
      <w:r w:rsidRPr="00C00255">
        <w:rPr>
          <w:bCs/>
          <w:i/>
          <w:iCs/>
          <w:szCs w:val="24"/>
        </w:rPr>
        <w:t xml:space="preserve"> veiksmus planuojant karinę operaciją</w:t>
      </w:r>
      <w:r w:rsidRPr="00C00255">
        <w:rPr>
          <w:bCs/>
          <w:szCs w:val="24"/>
        </w:rPr>
        <w:t>“ siekiamus tikslus – nuversti teisėtą Lietuvos valdžią, įvesti prezidentinį valdymą, nuginkluoti sukarintas formuotes, jėga įvesti tarybinę tvarką Lietuvoje, buvo išskirtinis, nes būtent jis užtikrino šio garso įrašo tinkamą ir nepertraukiamą transliavimą.</w:t>
      </w:r>
    </w:p>
    <w:p w:rsidR="00DA38E9" w:rsidRPr="00C00255" w:rsidRDefault="00DA38E9" w:rsidP="00DA38E9">
      <w:pPr>
        <w:pStyle w:val="ListParagraph"/>
        <w:numPr>
          <w:ilvl w:val="0"/>
          <w:numId w:val="6"/>
        </w:numPr>
        <w:tabs>
          <w:tab w:val="left" w:pos="8245"/>
        </w:tabs>
        <w:spacing w:after="120"/>
        <w:ind w:left="992" w:hanging="992"/>
        <w:contextualSpacing w:val="0"/>
        <w:rPr>
          <w:bCs/>
          <w:szCs w:val="24"/>
        </w:rPr>
      </w:pPr>
      <w:r w:rsidRPr="00C00255">
        <w:rPr>
          <w:bCs/>
          <w:szCs w:val="24"/>
        </w:rPr>
        <w:t xml:space="preserve">Atsižvelgdama į visa tai, teisėjų kolegija konstatuoja, kad pirmosios instancijos teismo išvados dėl </w:t>
      </w:r>
      <w:r>
        <w:rPr>
          <w:bCs/>
          <w:szCs w:val="24"/>
        </w:rPr>
        <w:t>V. R.</w:t>
      </w:r>
      <w:r w:rsidRPr="00C00255">
        <w:rPr>
          <w:bCs/>
          <w:szCs w:val="24"/>
        </w:rPr>
        <w:t xml:space="preserve"> ir </w:t>
      </w:r>
      <w:r>
        <w:rPr>
          <w:bCs/>
          <w:szCs w:val="24"/>
        </w:rPr>
        <w:t>G. P.</w:t>
      </w:r>
      <w:r w:rsidRPr="00C00255">
        <w:rPr>
          <w:bCs/>
          <w:szCs w:val="24"/>
        </w:rPr>
        <w:t xml:space="preserve"> vaidmens prie LRT yra pagrįstos byloje ištirtais įrodymais ir yra teisingos. </w:t>
      </w:r>
    </w:p>
    <w:bookmarkEnd w:id="522"/>
    <w:p w:rsidR="00DA38E9" w:rsidRPr="00C00255" w:rsidRDefault="00DA38E9" w:rsidP="00DA38E9">
      <w:pPr>
        <w:pStyle w:val="ListParagraph"/>
        <w:numPr>
          <w:ilvl w:val="0"/>
          <w:numId w:val="6"/>
        </w:numPr>
        <w:spacing w:after="120"/>
        <w:ind w:left="993" w:hanging="993"/>
        <w:contextualSpacing w:val="0"/>
        <w:rPr>
          <w:bCs/>
          <w:szCs w:val="24"/>
        </w:rPr>
      </w:pPr>
      <w:r w:rsidRPr="00C00255">
        <w:rPr>
          <w:bCs/>
          <w:szCs w:val="24"/>
        </w:rPr>
        <w:t xml:space="preserve">Be kita ko, teisėjų kolegija pažymi, kad skundžiamo nuosprendžio motyvuojamojoje dalyje nurodyta ir tai, kad </w:t>
      </w:r>
      <w:r>
        <w:rPr>
          <w:bCs/>
          <w:szCs w:val="24"/>
        </w:rPr>
        <w:t>V. R.</w:t>
      </w:r>
      <w:r w:rsidRPr="00C00255">
        <w:rPr>
          <w:bCs/>
          <w:szCs w:val="24"/>
        </w:rPr>
        <w:t xml:space="preserve"> „&lt;...&gt; užtikrino žvalgybinį ryšį“ (žr. nuosprendžio 876 l.; t. 773, b. l. 76; panašiai ir 889 l.; t. 773, b. l. 89). Išnagrinėjusi baudžiamąją bylą apeliacine tvarka, teisėjų kolegija nenustatė neginčijamų įrodymų, patvirtinančių šią pirmosios instancijos teismo motyvuojamojoje dalyje nurodytą aplinkybę. Be to, tokios skundžiamame nuosprendyje nurodytos aplinkybės taip pat nepagrįstos išsamiu bylos įrodymų vertinimu. Konstitucinis Teismas yra ne kartą nurodęs, kad reikalavimo užtikrinti žmogaus teises ir laisves kontekste pažymėtina, kad teisingumo vykdymas lemia ir tai, kad teismo nuosprendis (kitas baigiamasis teismo aktas) yra vientisas teisės aktas, kuriame nutariamoji dalis yra grindžiama motyvuojamojoje dalyje išdėstytais argumentais (Konstitucinio Teismo 2006 m. sausio 16 d. ir 2006 m. rugsėjo 21 d. nutarimai). </w:t>
      </w:r>
      <w:bookmarkStart w:id="527" w:name="_Hlk65782057"/>
      <w:r w:rsidRPr="00C00255">
        <w:rPr>
          <w:bCs/>
          <w:szCs w:val="24"/>
        </w:rPr>
        <w:t xml:space="preserve">Atsižvelgdama į išdėstytas aplinkybes ir į tai, kad skundžiamo nuosprendžio nustatomojoje dalyje tokie </w:t>
      </w:r>
      <w:r>
        <w:rPr>
          <w:bCs/>
          <w:szCs w:val="24"/>
        </w:rPr>
        <w:t>V. R.</w:t>
      </w:r>
      <w:r w:rsidRPr="00C00255">
        <w:rPr>
          <w:bCs/>
          <w:szCs w:val="24"/>
        </w:rPr>
        <w:t xml:space="preserve"> atlikti veiksmai dėl žvalgybinio ryšio užtikrinimo nenurodyti, pirmosios instancijos teismo išvados dėl nuteistojo </w:t>
      </w:r>
      <w:r>
        <w:rPr>
          <w:bCs/>
          <w:szCs w:val="24"/>
        </w:rPr>
        <w:t>V. R.</w:t>
      </w:r>
      <w:r w:rsidRPr="00C00255">
        <w:rPr>
          <w:bCs/>
          <w:szCs w:val="24"/>
        </w:rPr>
        <w:t xml:space="preserve"> atliktų veiksmų ir vaidmens LRT Radijo pastato užėmimo metu yra teisingos, o aplinkybė apie tariamai užtikrintą žvalgybinį ryšį byloje neįrodyta, todėl teismas darydamas išvadas dėl </w:t>
      </w:r>
      <w:r>
        <w:rPr>
          <w:bCs/>
          <w:szCs w:val="24"/>
        </w:rPr>
        <w:t>V. R.</w:t>
      </w:r>
      <w:r w:rsidRPr="00C00255">
        <w:rPr>
          <w:bCs/>
          <w:szCs w:val="24"/>
        </w:rPr>
        <w:t xml:space="preserve"> veiksmų jos nevertina.</w:t>
      </w:r>
    </w:p>
    <w:p w:rsidR="00DA38E9" w:rsidRPr="00C00255" w:rsidRDefault="00DA38E9" w:rsidP="00DA38E9">
      <w:pPr>
        <w:pStyle w:val="Heading3"/>
        <w:spacing w:before="120" w:after="120"/>
        <w:ind w:left="992"/>
        <w:jc w:val="both"/>
        <w:rPr>
          <w:b w:val="0"/>
          <w:i/>
          <w:sz w:val="24"/>
          <w:szCs w:val="24"/>
          <w:lang w:val="lt-LT"/>
        </w:rPr>
      </w:pPr>
      <w:bookmarkStart w:id="528" w:name="_Toc66697276"/>
      <w:bookmarkStart w:id="529" w:name="_Toc67480787"/>
      <w:bookmarkStart w:id="530" w:name="_Toc67677399"/>
      <w:bookmarkStart w:id="531" w:name="_Toc67985527"/>
      <w:bookmarkEnd w:id="524"/>
      <w:bookmarkEnd w:id="527"/>
      <w:r w:rsidRPr="00C00255">
        <w:rPr>
          <w:b w:val="0"/>
          <w:i/>
          <w:sz w:val="24"/>
          <w:szCs w:val="24"/>
          <w:lang w:val="lt-LT"/>
        </w:rPr>
        <w:t xml:space="preserve">Dėl </w:t>
      </w:r>
      <w:bookmarkStart w:id="532" w:name="_Hlk63281893"/>
      <w:r w:rsidRPr="00C00255">
        <w:rPr>
          <w:b w:val="0"/>
          <w:i/>
          <w:sz w:val="24"/>
          <w:szCs w:val="24"/>
          <w:lang w:val="lt-LT"/>
        </w:rPr>
        <w:t xml:space="preserve">TSRS VSK specialiosios paskirties grupės „A“ </w:t>
      </w:r>
      <w:bookmarkEnd w:id="532"/>
      <w:r w:rsidRPr="00C00255">
        <w:rPr>
          <w:b w:val="0"/>
          <w:i/>
          <w:sz w:val="24"/>
          <w:szCs w:val="24"/>
          <w:lang w:val="lt-LT"/>
        </w:rPr>
        <w:t>kariškių ir joje tarnavusių nuteistųjų dalyvavimo užimant LRT</w:t>
      </w:r>
      <w:bookmarkEnd w:id="528"/>
      <w:bookmarkEnd w:id="529"/>
      <w:bookmarkEnd w:id="530"/>
      <w:bookmarkEnd w:id="531"/>
      <w:r w:rsidRPr="00C00255">
        <w:rPr>
          <w:b w:val="0"/>
          <w:i/>
          <w:sz w:val="24"/>
          <w:szCs w:val="24"/>
          <w:lang w:val="lt-LT"/>
        </w:rPr>
        <w:t xml:space="preserve"> </w:t>
      </w:r>
    </w:p>
    <w:p w:rsidR="00DA38E9" w:rsidRPr="00055544" w:rsidRDefault="00DA38E9" w:rsidP="00E67B7E">
      <w:pPr>
        <w:pStyle w:val="ListParagraph"/>
        <w:numPr>
          <w:ilvl w:val="0"/>
          <w:numId w:val="6"/>
        </w:numPr>
        <w:spacing w:before="120" w:after="120"/>
        <w:ind w:left="992" w:hanging="992"/>
        <w:contextualSpacing w:val="0"/>
        <w:rPr>
          <w:szCs w:val="24"/>
          <w:lang w:eastAsia="lt-LT" w:bidi="lt-LT"/>
        </w:rPr>
      </w:pPr>
      <w:r w:rsidRPr="00055544">
        <w:rPr>
          <w:lang w:eastAsia="lt-LT"/>
        </w:rPr>
        <w:t xml:space="preserve">Pirmosios instancijos teismas, išnagrinėjęs baudžiamąją bylą, konstatavo tokias su </w:t>
      </w:r>
      <w:r w:rsidRPr="00055544">
        <w:rPr>
          <w:szCs w:val="24"/>
        </w:rPr>
        <w:t xml:space="preserve">TSRS VSK specialiosios paskirties grupei „A“ </w:t>
      </w:r>
      <w:r w:rsidRPr="00055544">
        <w:t>priklausiusių kariškių dalyvavimu užimant LRT Radijo, LRT Televizijos ir LRT TASK pastatus susijusias aplinkybes</w:t>
      </w:r>
      <w:r w:rsidRPr="00055544">
        <w:rPr>
          <w:lang w:eastAsia="lt-LT"/>
        </w:rPr>
        <w:t>:</w:t>
      </w:r>
    </w:p>
    <w:p w:rsidR="00DA38E9" w:rsidRPr="00C00255" w:rsidRDefault="00DA38E9" w:rsidP="00DA38E9">
      <w:pPr>
        <w:pStyle w:val="ListParagraph"/>
        <w:numPr>
          <w:ilvl w:val="1"/>
          <w:numId w:val="6"/>
        </w:numPr>
        <w:spacing w:after="120"/>
        <w:ind w:left="993" w:hanging="993"/>
        <w:contextualSpacing w:val="0"/>
      </w:pPr>
      <w:r w:rsidRPr="00C00255">
        <w:t xml:space="preserve">„Įgyvendinant pavestas užduotis, sausio 13 d., apie 2 val., prie LRT, esančios Konarskio g. 49, Vilniuje, pirmi atvyko 25-i grupės „A“ kariškiai, vadovaujami kaltinamojo </w:t>
      </w:r>
      <w:r>
        <w:t>M. G.</w:t>
      </w:r>
      <w:r w:rsidRPr="00C00255">
        <w:t xml:space="preserve"> paskirto atsakingo asmens – kaltinamojo </w:t>
      </w:r>
      <w:r>
        <w:t>J. Č.</w:t>
      </w:r>
      <w:r w:rsidRPr="00C00255">
        <w:t xml:space="preserve"> &lt;...&gt;. </w:t>
      </w:r>
    </w:p>
    <w:p w:rsidR="00DA38E9" w:rsidRPr="00C00255" w:rsidRDefault="00DA38E9" w:rsidP="00DA38E9">
      <w:pPr>
        <w:pStyle w:val="ListParagraph"/>
        <w:numPr>
          <w:ilvl w:val="1"/>
          <w:numId w:val="6"/>
        </w:numPr>
        <w:spacing w:after="120"/>
        <w:ind w:left="993" w:hanging="993"/>
        <w:contextualSpacing w:val="0"/>
      </w:pPr>
      <w:r w:rsidRPr="00C00255">
        <w:t>Dvidešimt grupės „A“ kariškių atvyko automobiliu ZIL-131, penki grupės „A“ kariškiai atvyko kartu su trisdešimt vienu 76-osios oro desanto divizijos jungtinio karinio vieneto kariškiais URAL automobiliu, k/n 00-65 EF (rusiškos raidės) &lt;...&gt;.</w:t>
      </w:r>
    </w:p>
    <w:p w:rsidR="00DA38E9" w:rsidRPr="00C00255" w:rsidRDefault="00DA38E9" w:rsidP="00DA38E9">
      <w:pPr>
        <w:pStyle w:val="ListParagraph"/>
        <w:numPr>
          <w:ilvl w:val="1"/>
          <w:numId w:val="6"/>
        </w:numPr>
        <w:spacing w:after="120"/>
        <w:ind w:left="993" w:hanging="993"/>
        <w:contextualSpacing w:val="0"/>
      </w:pPr>
      <w:r w:rsidRPr="00C00255">
        <w:t>Kaltinamasis J</w:t>
      </w:r>
      <w:r>
        <w:t>. </w:t>
      </w:r>
      <w:r w:rsidRPr="00C00255">
        <w:t>Č</w:t>
      </w:r>
      <w:r>
        <w:t>.</w:t>
      </w:r>
      <w:r w:rsidRPr="00C00255">
        <w:t xml:space="preserve"> grupės „A“ kariškius padalino į dvi dalis: penki grupės „A“ kariškiai, vadovaujami kaltinamojo paskirto atsakingo asmens, kartu su &lt;...&gt;, pradėjo LRT Radijo pastate dirbusių ir pastatą gynusių civilių puolimą.</w:t>
      </w:r>
    </w:p>
    <w:p w:rsidR="00DA38E9" w:rsidRPr="00C00255" w:rsidRDefault="00DA38E9" w:rsidP="00DA38E9">
      <w:pPr>
        <w:pStyle w:val="ListParagraph"/>
        <w:numPr>
          <w:ilvl w:val="1"/>
          <w:numId w:val="6"/>
        </w:numPr>
        <w:spacing w:after="120"/>
        <w:ind w:left="993" w:hanging="993"/>
        <w:contextualSpacing w:val="0"/>
      </w:pPr>
      <w:r w:rsidRPr="00C00255">
        <w:t>&lt;...&gt; Vykdydami gautą užduotį – užimti LRT (radijo) pastatą ir patekus į studijas, išjungti radijo transliavimą užtikrinančius įrenginius, nutraukti objekte ruošiamas ir transliuojamas radijo laidas, bei pašalinti civilius, kariškiai prieš juos panaudojo artimos kovos veiksmus – stumdė, mušė kumščiais, spardė kojomis bei turimais ginklais ir kitomis kūno sužalojimams daryti pritaikytomis priemonėmis, sudavė nenustatytą skaičių smūgių, naudojo garsinius ir kovinius šaudmenis.</w:t>
      </w:r>
    </w:p>
    <w:p w:rsidR="00DA38E9" w:rsidRPr="00C00255" w:rsidRDefault="00DA38E9" w:rsidP="00DA38E9">
      <w:pPr>
        <w:pStyle w:val="ListParagraph"/>
        <w:numPr>
          <w:ilvl w:val="1"/>
          <w:numId w:val="6"/>
        </w:numPr>
        <w:spacing w:after="120"/>
        <w:ind w:left="993" w:hanging="993"/>
        <w:contextualSpacing w:val="0"/>
      </w:pPr>
      <w:r w:rsidRPr="00C00255">
        <w:t xml:space="preserve">Grupės „A“ kariškiai prieš civilius, susirinkusius prie LRT (radijo) pastato ir pastate, naudojo granatsvaidžius RGS-50, šviesos ir garso granatas GSZ, specialiąsias priemones – specialius skysčio pistoletus PSŽ; &lt;...&gt; 76-osios oro desanto divizijos jungtinio pulko kariškiai į civilius šaudė iš 7,62 mm kalibro SVD šautuvų, o kartu su grupės „A“ kariškiais, šaudydami į civilius ir užimamą pastatą iš 5,45 mm kalibro automatinių ginklų, naudojo tarptautinių sutarčių uždraustas karo priemones – 5,45 mm kalibro šovinius su išcentruota kulka. </w:t>
      </w:r>
    </w:p>
    <w:p w:rsidR="00DA38E9" w:rsidRPr="00C00255" w:rsidRDefault="00DA38E9" w:rsidP="00DA38E9">
      <w:pPr>
        <w:pStyle w:val="ListParagraph"/>
        <w:numPr>
          <w:ilvl w:val="1"/>
          <w:numId w:val="6"/>
        </w:numPr>
        <w:spacing w:after="120"/>
        <w:ind w:left="993" w:hanging="993"/>
        <w:contextualSpacing w:val="0"/>
      </w:pPr>
      <w:r w:rsidRPr="00C00255">
        <w:t xml:space="preserve">Kita, maždaug dvidešimt grupės „A“ kariškių dalis, vadovaujama kaltinamojo </w:t>
      </w:r>
      <w:r>
        <w:t>J. Č.</w:t>
      </w:r>
      <w:r w:rsidRPr="00C00255">
        <w:t xml:space="preserve"> ir kt., pradėjo civilių, susirinkusių prie 9 aukštų LRT (televizijos) pastato ir jame dirbusių, puolimą. Atakos prieš civilius metu, naudojo granatsvaidžius RGS-50, šviesos ir garso granatas GSZ, specialiąsias priemones – specialius skysčio pistoletus PSŽ, o šaudydami į civilius, užimamą pastatą ir jo viduje iš 5,45 mm kalibro automatinių ginklų, naudojo tarptautinių sutarčių uždraustas karo priemones – 5,45 mm kalibro šovinius su išcentruota kulka. Prieš civilius kariškiai taip pat naudojo garsinius ir kovinius šaudmenis, artimos kovos veiksmus – stumdė, smūgiavo kumščiais, spardė kojomis, ginklais ir kitomis turimomis priemonėmis sudavė civiliams nenustatytą skaičių smūgių į įvairias kūno dalis. Baugindami bei terorizuodami pastatą gynusius civilius, kariškiai brovėsi į 9 aukštų LRT pastatą, kad, patekus iki studijų, esančių LRT televizijos aparatinių ir studijų komplekse, išjungti televizijos transliavimą užtikrinančius įrenginius, nutraukti objekte ruošiamas ir transliuojamas televizijos laidas bei iš minėtų pastatų pašalinti civilius.</w:t>
      </w:r>
    </w:p>
    <w:p w:rsidR="00DA38E9" w:rsidRPr="00C00255" w:rsidRDefault="00DA38E9" w:rsidP="00DA38E9">
      <w:pPr>
        <w:pStyle w:val="ListParagraph"/>
        <w:numPr>
          <w:ilvl w:val="1"/>
          <w:numId w:val="6"/>
        </w:numPr>
        <w:spacing w:after="120"/>
        <w:ind w:left="993" w:hanging="993"/>
        <w:contextualSpacing w:val="0"/>
      </w:pPr>
      <w:r w:rsidRPr="00C00255">
        <w:t>LRT (televizijos) pastate kariškiai pasidalino į dvi dalis: viena kariškių dalis liko 9 aukštų pastate ir pradėjo civilių puolimą, o kita dalis, lydima nenustatyto Lietuvos VSK darbuotojo, prasibrovė į LRT TASK ir patekę į studiją, aparatinėje išjungė prietaisus, pašalino iš patalpų civilius ir nutraukė TV laidų ruošimą bei transliavimą.</w:t>
      </w:r>
    </w:p>
    <w:p w:rsidR="00DA38E9" w:rsidRPr="00C00255" w:rsidRDefault="00DA38E9" w:rsidP="00DA38E9">
      <w:pPr>
        <w:pStyle w:val="ListParagraph"/>
        <w:numPr>
          <w:ilvl w:val="1"/>
          <w:numId w:val="6"/>
        </w:numPr>
        <w:spacing w:after="120"/>
        <w:ind w:left="993" w:hanging="993"/>
        <w:contextualSpacing w:val="0"/>
      </w:pPr>
      <w:r w:rsidRPr="00C00255">
        <w:t xml:space="preserve">&lt;...&gt; Karinėmis desanto mašinomis (BMD) kurių borto Nr. 271, 274, 273, 276 ir 277, ir kariniu automobiliu URAL, k/n 23-00 OF, atvyko trisdešimt devyni kariškiai iš 234-ojo pulko 3-iojo bataliono 7-os kuopos, vadovaujami kaltinamųjų </w:t>
      </w:r>
      <w:r>
        <w:t>S. M.</w:t>
      </w:r>
      <w:r w:rsidRPr="00C00255">
        <w:t xml:space="preserve">, </w:t>
      </w:r>
      <w:r>
        <w:t>V. S. 3</w:t>
      </w:r>
      <w:r w:rsidRPr="00C00255">
        <w:t xml:space="preserve">, </w:t>
      </w:r>
      <w:r w:rsidR="00902A3A">
        <w:t>A. N. 2</w:t>
      </w:r>
      <w:r w:rsidRPr="00C00255">
        <w:t xml:space="preserve">, </w:t>
      </w:r>
      <w:r>
        <w:t>A. S.</w:t>
      </w:r>
      <w:r w:rsidRPr="00C00255">
        <w:t xml:space="preserve">, </w:t>
      </w:r>
      <w:r>
        <w:t>A. C.</w:t>
      </w:r>
      <w:r w:rsidRPr="00C00255">
        <w:t xml:space="preserve">, &lt;...&gt; išsilaipinę prisijungė prie grupės „A“ pradėtos tarptautinės humanitarinės teisės draudžiamos karo atakos. &lt;...&gt; kariškiai įsibrovė į civilių ginamą 9 aukštų LRT televizijos pastatą, kuriame buvo grupės „A“ kariškiai. </w:t>
      </w:r>
    </w:p>
    <w:p w:rsidR="00DA38E9" w:rsidRPr="00C00255" w:rsidRDefault="00DA38E9" w:rsidP="00DA38E9">
      <w:pPr>
        <w:pStyle w:val="ListParagraph"/>
        <w:numPr>
          <w:ilvl w:val="1"/>
          <w:numId w:val="6"/>
        </w:numPr>
        <w:spacing w:after="120"/>
        <w:ind w:left="993" w:hanging="993"/>
        <w:contextualSpacing w:val="0"/>
      </w:pPr>
      <w:r w:rsidRPr="00C00255">
        <w:t>Ikiteisminio tyrimo metu nenustatyta kariškių grupė brovėsi į 9 aukštų LRT televizijos pastatą, kuriame, naudodami artimos kovos priemones ir būdus, tikrino patalpas, šalino iš jų civilius. Kita kariškių dalis, pagal VSK grupės „A“ kariškio (asmenybė nenustatyta) nurodymą, liko prie įėjimo į pastatą kur, šaudydami aukščiau nurodytais garsiniais ir koviniais šoviniais, naudodami artimos kovos būdus ir priemones stūmė nuo pastato civilius, taip pat apšaudė gyvenamuosius namus ir juose esančius civilius.</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t xml:space="preserve">&lt;...&gt; </w:t>
      </w:r>
      <w:bookmarkStart w:id="533" w:name="_Hlk65766357"/>
      <w:r w:rsidRPr="00C00255">
        <w:t xml:space="preserve">1991 m. sausio 13 d., apie 1.30 val., grupės „A“ ir ikiteisminio tyrimo metu nenustatyti 76-osios oro desanto divizijos jungtinio karinio vieneto kariškiai, po Lietuvos radijo ir televizijos centro radijofonijos cecho, esančio Vilniuje, Tujų g. 2, užgrobimo, apie 2 val., pagal grupės „A“ veiksmus koordinavusio ir jiems vadovavusio </w:t>
      </w:r>
      <w:r>
        <w:t>M. G.</w:t>
      </w:r>
      <w:r w:rsidRPr="00C00255">
        <w:t xml:space="preserve"> nurodymą, atvyko prie LRT ir prisijungė prie kitų </w:t>
      </w:r>
      <w:r>
        <w:t>J. Č.</w:t>
      </w:r>
      <w:r w:rsidRPr="00C00255">
        <w:t xml:space="preserve"> vadovaujamų grupės „A“ kariškių ir kartu prieš civilius asmenis naudojo tas pačias bauginimo ir teroro bei tarptautinių sutarčių uždraustas karo priemones</w:t>
      </w:r>
      <w:bookmarkEnd w:id="533"/>
      <w:r w:rsidRPr="00C00255">
        <w:t>.</w:t>
      </w:r>
    </w:p>
    <w:p w:rsidR="00DA38E9" w:rsidRPr="00C00255" w:rsidRDefault="00DA38E9" w:rsidP="00DA38E9">
      <w:pPr>
        <w:pStyle w:val="ListParagraph"/>
        <w:numPr>
          <w:ilvl w:val="1"/>
          <w:numId w:val="6"/>
        </w:numPr>
        <w:spacing w:after="120"/>
        <w:ind w:left="993" w:hanging="993"/>
        <w:contextualSpacing w:val="0"/>
        <w:rPr>
          <w:szCs w:val="24"/>
        </w:rPr>
      </w:pPr>
      <w:r w:rsidRPr="00C00255">
        <w:rPr>
          <w:szCs w:val="24"/>
        </w:rPr>
        <w:t xml:space="preserve">&lt;...&gt; Grupės „A“ ir mokomosios specialios paskirties kuopos kariškiai, panaudoję šviesos ir garso sprogstamąjį įtaisą, prie LRT radijo pastato: nužudė </w:t>
      </w:r>
      <w:r w:rsidRPr="00284B72">
        <w:rPr>
          <w:szCs w:val="24"/>
        </w:rPr>
        <w:t>A. K.</w:t>
      </w:r>
      <w:r w:rsidRPr="00C00255">
        <w:rPr>
          <w:szCs w:val="24"/>
        </w:rPr>
        <w:t xml:space="preserve">, &lt;...&gt;; sunkiai sutrikdė </w:t>
      </w:r>
      <w:r>
        <w:rPr>
          <w:szCs w:val="24"/>
        </w:rPr>
        <w:t>K. B.</w:t>
      </w:r>
      <w:r w:rsidRPr="00C00255">
        <w:rPr>
          <w:szCs w:val="24"/>
        </w:rPr>
        <w:t xml:space="preserve"> ir </w:t>
      </w:r>
      <w:r>
        <w:rPr>
          <w:szCs w:val="24"/>
        </w:rPr>
        <w:t>A. V.</w:t>
      </w:r>
      <w:r w:rsidRPr="00C00255">
        <w:rPr>
          <w:szCs w:val="24"/>
        </w:rPr>
        <w:t xml:space="preserve"> sveikatą. &lt;...&gt; Karo atakos metu visų karinių struktūrų kariškiai &lt;...&gt; sunkiai sutrikdė </w:t>
      </w:r>
      <w:r>
        <w:rPr>
          <w:szCs w:val="24"/>
        </w:rPr>
        <w:t>P. L.</w:t>
      </w:r>
      <w:r w:rsidRPr="00C00255">
        <w:rPr>
          <w:szCs w:val="24"/>
        </w:rPr>
        <w:t xml:space="preserve"> ir </w:t>
      </w:r>
      <w:r>
        <w:rPr>
          <w:szCs w:val="24"/>
        </w:rPr>
        <w:t>V. B.</w:t>
      </w:r>
      <w:r w:rsidRPr="00C00255">
        <w:rPr>
          <w:szCs w:val="24"/>
        </w:rPr>
        <w:t xml:space="preserve"> sveikatą. &lt;...&gt; sunkiai sutrikdė </w:t>
      </w:r>
      <w:r>
        <w:rPr>
          <w:szCs w:val="24"/>
        </w:rPr>
        <w:t>V. B.</w:t>
      </w:r>
      <w:r w:rsidRPr="00C00255">
        <w:rPr>
          <w:szCs w:val="24"/>
        </w:rPr>
        <w:t xml:space="preserve"> sveikatą. &lt;...&gt; sunkiai sutrikdė </w:t>
      </w:r>
      <w:r>
        <w:rPr>
          <w:szCs w:val="24"/>
        </w:rPr>
        <w:t>K. Č.</w:t>
      </w:r>
      <w:r w:rsidRPr="00C00255">
        <w:rPr>
          <w:szCs w:val="24"/>
        </w:rPr>
        <w:t xml:space="preserve"> sveikatą. &lt;...&gt; Karo atakos prie LRT metu dalyvavę visi karinių struktūrų kariškiai bendrais veiksmais užgrobė LRT pastatus, o juos gynusiems civiliams padarė tyčinius nesunkius sveikatos sutrikdymus šimtui aštuoniems civiliams &lt;...&gt;. LRT pastatus gynusiems civiliams padarė tyčinius nežymius sveikatos sutrikdymus devyniasdešimt penkiems civiliams &lt;...&gt;.“ (žr. nuosprendžio 514–520 l., t. 771, b. l. 115–120).</w:t>
      </w:r>
    </w:p>
    <w:p w:rsidR="00DA38E9" w:rsidRPr="00055544" w:rsidRDefault="00DA38E9" w:rsidP="00DA38E9">
      <w:pPr>
        <w:pStyle w:val="ListParagraph"/>
        <w:numPr>
          <w:ilvl w:val="0"/>
          <w:numId w:val="6"/>
        </w:numPr>
        <w:spacing w:after="120"/>
        <w:ind w:left="992" w:hanging="992"/>
        <w:contextualSpacing w:val="0"/>
        <w:rPr>
          <w:color w:val="000000"/>
          <w:szCs w:val="24"/>
          <w:lang w:eastAsia="lt-LT" w:bidi="lt-LT"/>
        </w:rPr>
      </w:pPr>
      <w:bookmarkStart w:id="534" w:name="_Hlk63590835"/>
      <w:r w:rsidRPr="00055544">
        <w:t xml:space="preserve">Teisėjų kolegija neturi pagrindo abejoti </w:t>
      </w:r>
      <w:r w:rsidRPr="00055544">
        <w:rPr>
          <w:rFonts w:eastAsia="Calibri"/>
        </w:rPr>
        <w:t>pirmosios instancijos teismo</w:t>
      </w:r>
      <w:r w:rsidRPr="00055544">
        <w:t xml:space="preserve"> išvada, kad 1991 m. sausio 13 d. apie 2.00 val. 25 TSRS VSK specialiosios paskirties grupės „A“ kariškiai, vadovaujami M. G. paskirto atsakingo asmens – J. Č., prie LRT atvyko automobiliais ZIL-131 ir URAL automobiliu, k/n 00-65 EF (rusiškos raidės) ir dalyvavo užgrobiant LRT Radijo, LRT Televizijos ir LRT TASK pastatus. Taip pat dar viena dalis </w:t>
      </w:r>
      <w:r w:rsidRPr="00055544">
        <w:rPr>
          <w:rFonts w:eastAsia="Calibri"/>
        </w:rPr>
        <w:t xml:space="preserve">TSRS VSK </w:t>
      </w:r>
      <w:r w:rsidRPr="00055544">
        <w:t xml:space="preserve">grupės „A“ kariškių po Lietuvos radijo ir televizijos centro radijofonijos cecho, esančio Vilniuje, Tujų g. 2, užgrobimo apie 2.00 val. pagal </w:t>
      </w:r>
      <w:r w:rsidRPr="00055544">
        <w:rPr>
          <w:rFonts w:eastAsia="Calibri"/>
        </w:rPr>
        <w:t xml:space="preserve">TSRS VSK </w:t>
      </w:r>
      <w:r w:rsidRPr="00055544">
        <w:t xml:space="preserve">grupės „A“ veiksmus koordinavusio ir jiems vadovavusio M. G. nurodymą atvyko prie LRT ir prisijungė prie kitų J. Č. vadovaujamų </w:t>
      </w:r>
      <w:r w:rsidRPr="00055544">
        <w:rPr>
          <w:rFonts w:eastAsia="Calibri"/>
        </w:rPr>
        <w:t xml:space="preserve">TSRS VSK </w:t>
      </w:r>
      <w:r w:rsidRPr="00055544">
        <w:t xml:space="preserve">grupės „A“ kariškių. Šios kariškių atvykimo ir dalyvavimo LRT pastatų užėmimo metu aplinkybės yra įrodytos objektyviais byloje surinktais įrodymais, t. y. jau minėta </w:t>
      </w:r>
      <w:r w:rsidR="00E67B7E" w:rsidRPr="00055544">
        <w:t>2014 m. </w:t>
      </w:r>
      <w:r w:rsidRPr="00055544">
        <w:t xml:space="preserve">birželio 10 d. specialisto J. Andriškevičiaus išvada, vaizdo įrašais ir nuotraukomis, liudytojų ir nukentėjusiųjų parodymais, kitais byloje surinktais įrodymais. Be to, byloje dėl to net nėra ginčo. </w:t>
      </w:r>
    </w:p>
    <w:p w:rsidR="00DA38E9" w:rsidRPr="00055544" w:rsidRDefault="00DA38E9" w:rsidP="00DA38E9">
      <w:pPr>
        <w:pStyle w:val="ListParagraph"/>
        <w:numPr>
          <w:ilvl w:val="0"/>
          <w:numId w:val="6"/>
        </w:numPr>
        <w:spacing w:after="120"/>
        <w:ind w:left="993" w:hanging="993"/>
        <w:contextualSpacing w:val="0"/>
      </w:pPr>
      <w:r w:rsidRPr="00055544">
        <w:t xml:space="preserve">Šiame kontekste, teisėjų kolegija pažymi, kad skundžiamo nuosprendžio nustatomojoje dalyje nurodyta ir tai, kad 1991 m. sausio 13 d., apie 2.00 val. su atvykusia papildoma </w:t>
      </w:r>
      <w:r w:rsidRPr="00055544">
        <w:rPr>
          <w:rFonts w:eastAsia="Calibri"/>
        </w:rPr>
        <w:t xml:space="preserve">TSRS VSK </w:t>
      </w:r>
      <w:r w:rsidRPr="00055544">
        <w:t xml:space="preserve">grupės „A“ kariškių dalimi prie LRT atvažiavo ir ikiteisminio tyrimo metu nenustatyti </w:t>
      </w:r>
      <w:r w:rsidRPr="00055544">
        <w:rPr>
          <w:rFonts w:eastAsia="Calibri"/>
        </w:rPr>
        <w:t xml:space="preserve">TSRS GM </w:t>
      </w:r>
      <w:r w:rsidRPr="00055544">
        <w:t xml:space="preserve">76-osios oro desanto divizijos jungtinio karinio vieneto kariškiai (žr. nuosprendžio 518 l.; t. 771, b. l. 118). Visgi, įvertinusi byloje surinktus duomenis, teisėjų kolegija negali pripažinti įrodyta aplinkybės, kad operacijos eigoje prie LRT buvusių karinių pajėgų, be </w:t>
      </w:r>
      <w:r w:rsidRPr="00055544">
        <w:rPr>
          <w:rFonts w:eastAsia="Calibri"/>
        </w:rPr>
        <w:t xml:space="preserve">TSRS VSK </w:t>
      </w:r>
      <w:r w:rsidRPr="00055544">
        <w:t xml:space="preserve">grupės „A“ kariškių, prisijungė ir kitus nurodytus veiksmus atliko ikiteisminio tyrimo metu nenustatyti būtent oro desanto divizijos kariškiai. Pirmosios instancijos teismas tokios savo išvados nemotyvavo ir skundžiamame nuosprendyje nenurodyta jokių įrodymų bei argumentų, kurie jas pagrįstų. Apeliacinės instancijos teismas taip pat nenustatė šias pirmosios instancijos teismo išvadas pagrindžiančių įrodymų. Taigi, neturėdama pagrindo pripažinti įrodytais tokių </w:t>
      </w:r>
      <w:r w:rsidRPr="00055544">
        <w:rPr>
          <w:rFonts w:eastAsia="Calibri"/>
        </w:rPr>
        <w:t xml:space="preserve">TSRS GM </w:t>
      </w:r>
      <w:r w:rsidRPr="00055544">
        <w:t xml:space="preserve">76-osios oro desanto divizijos kariškių veiksmų, teisėjų kolegija iš skundžiamo teismo nuosprendžio nustatomosios dalies šalina nurodytą aplinkybę, kad ikiteisminio tyrimo metu nenustatyti „76-osios oro desanto divizijos jungtinio karinio vieneto kariškiai prisijungė prie LRT vykusios operacijos“. </w:t>
      </w:r>
    </w:p>
    <w:p w:rsidR="00DA38E9" w:rsidRPr="00C00255" w:rsidRDefault="00DA38E9" w:rsidP="00DA38E9">
      <w:pPr>
        <w:pStyle w:val="ListParagraph"/>
        <w:numPr>
          <w:ilvl w:val="0"/>
          <w:numId w:val="6"/>
        </w:numPr>
        <w:spacing w:after="120"/>
        <w:ind w:left="992" w:hanging="992"/>
        <w:contextualSpacing w:val="0"/>
        <w:rPr>
          <w:color w:val="000000"/>
          <w:szCs w:val="24"/>
          <w:lang w:eastAsia="lt-LT" w:bidi="lt-LT"/>
        </w:rPr>
      </w:pPr>
      <w:r w:rsidRPr="00C00255">
        <w:t xml:space="preserve">Nuteistojo </w:t>
      </w:r>
      <w:r>
        <w:t>M. G.</w:t>
      </w:r>
      <w:r w:rsidRPr="00C00255">
        <w:t xml:space="preserve"> gynėjo teigimu, tiriamų įvykių metu </w:t>
      </w:r>
      <w:r w:rsidRPr="00C00255">
        <w:rPr>
          <w:rFonts w:eastAsia="Calibri"/>
          <w:szCs w:val="24"/>
        </w:rPr>
        <w:t xml:space="preserve">TSRS VSK </w:t>
      </w:r>
      <w:r w:rsidRPr="00C00255">
        <w:t>grupės „A“ kariškiai tik užėmė pastatą, nei vienas asmuo, kuris buvo pašalintas iš pastato, nebuvo nužudytas</w:t>
      </w:r>
      <w:r w:rsidRPr="00C00255">
        <w:rPr>
          <w:szCs w:val="24"/>
        </w:rPr>
        <w:t>, įkalintas, išprievartautas ar</w:t>
      </w:r>
      <w:r w:rsidRPr="00C00255">
        <w:t xml:space="preserve"> pan., t. y. </w:t>
      </w:r>
      <w:r w:rsidRPr="00C00255">
        <w:rPr>
          <w:rFonts w:eastAsia="Calibri"/>
          <w:szCs w:val="24"/>
        </w:rPr>
        <w:t xml:space="preserve">TSRS VSK </w:t>
      </w:r>
      <w:r w:rsidRPr="00C00255">
        <w:t xml:space="preserve">grupės „A“ kariškių veiksmai prieš civilius nebuvo pavojingi ir nesukėlė jiems neigiamų padarinių. Teisėjų kolegija su tokiais gynybos teiginiais nesutinka, nes iš byloje ištirtų įrodymų visumos nustatyta, kad </w:t>
      </w:r>
      <w:r w:rsidRPr="00C00255">
        <w:rPr>
          <w:rFonts w:eastAsia="Calibri"/>
          <w:szCs w:val="24"/>
        </w:rPr>
        <w:t xml:space="preserve">TSRS VSK </w:t>
      </w:r>
      <w:r w:rsidRPr="00C00255">
        <w:t xml:space="preserve">grupės „A“ kariškiai, šturmuodami LRT pastatus bei vėliau iš jų šalindami asmenis, pastarųjų atžvilgiu naudojo jėgą, smurtą ir juos iš tiesų žalojo. </w:t>
      </w:r>
    </w:p>
    <w:p w:rsidR="00DA38E9" w:rsidRPr="00055544" w:rsidRDefault="00DA38E9" w:rsidP="00DA38E9">
      <w:pPr>
        <w:pStyle w:val="ListParagraph"/>
        <w:numPr>
          <w:ilvl w:val="1"/>
          <w:numId w:val="6"/>
        </w:numPr>
        <w:ind w:left="993" w:hanging="993"/>
        <w:rPr>
          <w:color w:val="000000"/>
          <w:szCs w:val="24"/>
          <w:lang w:eastAsia="lt-LT" w:bidi="lt-LT"/>
        </w:rPr>
      </w:pPr>
      <w:r w:rsidRPr="00055544">
        <w:rPr>
          <w:color w:val="000000"/>
          <w:szCs w:val="24"/>
          <w:lang w:bidi="lt-LT"/>
        </w:rPr>
        <w:t>Įvertinus iš skirtingų įrodymų šaltinių gautus duomenis, taip pat ir pakankamai gausią nagrinėjamų įvykių vaizdinę medžiagą</w:t>
      </w:r>
      <w:bookmarkStart w:id="535" w:name="_Hlk63418363"/>
      <w:r w:rsidRPr="00055544">
        <w:rPr>
          <w:color w:val="000000"/>
          <w:szCs w:val="24"/>
          <w:lang w:bidi="lt-LT"/>
        </w:rPr>
        <w:t xml:space="preserve">, </w:t>
      </w:r>
      <w:r w:rsidRPr="00055544">
        <w:rPr>
          <w:lang w:bidi="lt-LT"/>
        </w:rPr>
        <w:t>2014 m. birželio 10 d. specialisto išvadoje</w:t>
      </w:r>
      <w:bookmarkEnd w:id="535"/>
      <w:r w:rsidRPr="00055544">
        <w:rPr>
          <w:lang w:bidi="lt-LT"/>
        </w:rPr>
        <w:t xml:space="preserve"> konstatuota, kad 1991 m. </w:t>
      </w:r>
      <w:r w:rsidRPr="00055544">
        <w:t xml:space="preserve">sausio 13 d., apie 2.00 val. </w:t>
      </w:r>
      <w:r w:rsidRPr="00055544">
        <w:rPr>
          <w:lang w:bidi="lt-LT"/>
        </w:rPr>
        <w:t xml:space="preserve">kariškiai iš </w:t>
      </w:r>
      <w:r w:rsidRPr="00055544">
        <w:t xml:space="preserve">TSRS VSK </w:t>
      </w:r>
      <w:bookmarkStart w:id="536" w:name="_Hlk63433949"/>
      <w:r w:rsidRPr="00055544">
        <w:t xml:space="preserve">specialiosios paskirties grupės </w:t>
      </w:r>
      <w:bookmarkEnd w:id="536"/>
      <w:r w:rsidRPr="00055544">
        <w:t>„A“</w:t>
      </w:r>
      <w:r w:rsidRPr="00055544">
        <w:rPr>
          <w:lang w:bidi="lt-LT"/>
        </w:rPr>
        <w:t xml:space="preserve"> atvažiavo </w:t>
      </w:r>
      <w:r w:rsidRPr="00055544">
        <w:t>ZIL-131 ir URAL automobiliu, k/n 00-65 EF (rusiškos raidės). P</w:t>
      </w:r>
      <w:r w:rsidRPr="00055544">
        <w:rPr>
          <w:lang w:bidi="lt-LT"/>
        </w:rPr>
        <w:t xml:space="preserve">enki </w:t>
      </w:r>
      <w:bookmarkStart w:id="537" w:name="_Hlk63433990"/>
      <w:r w:rsidRPr="00055544">
        <w:t xml:space="preserve">TSRS VSK specialiosios paskirties grupės „A“ kariškiai dalyvavo </w:t>
      </w:r>
      <w:bookmarkEnd w:id="537"/>
      <w:r w:rsidRPr="00055544">
        <w:t>LRT Radijo (4 aukštų) pastato puolime ir dvidešimt TSRS VSK specialiosios paskirties grupės „A“ kariškių dalyvavo LRT Televizijos (9 aukštų) pastato ir LRT TASK puolime</w:t>
      </w:r>
      <w:r w:rsidRPr="00055544">
        <w:rPr>
          <w:lang w:bidi="lt-LT"/>
        </w:rPr>
        <w:t xml:space="preserve">, vadovaujami </w:t>
      </w:r>
      <w:r w:rsidRPr="00055544">
        <w:t xml:space="preserve">TSRS VSK specialiosios paskirties grupės „A“ 3-iojo poskyrio viršininko J. Č.. Vykdydami užduotis, paskirstyti į atskiras grupes, </w:t>
      </w:r>
      <w:r w:rsidRPr="00055544">
        <w:rPr>
          <w:rFonts w:eastAsia="Calibri"/>
          <w:szCs w:val="24"/>
        </w:rPr>
        <w:t xml:space="preserve">TSRS VSK </w:t>
      </w:r>
      <w:r w:rsidRPr="00055544">
        <w:t>grupės „A“ kariškiai, panaudodami turimus šaunamuosius ginklus, taip pat ir 5,45 mm automatus AKS-74,</w:t>
      </w:r>
      <w:r w:rsidRPr="00055544">
        <w:rPr>
          <w:szCs w:val="24"/>
        </w:rPr>
        <w:t xml:space="preserve"> granatas GSZ, granatsvaidžius RGS-50, pistoletus PSŽ, artimos kovos veiksmus, </w:t>
      </w:r>
      <w:r w:rsidRPr="00055544">
        <w:t>blokavo LRT Radijo (4 aukštų) ir LRT Televizijos (9 aukštų) pastatų įėjimus, nutraukė radijo ir televizijos darbą, sustabdė administracijos veiklą ir pašalino civilius iš pastatų bei jų prieigų</w:t>
      </w:r>
      <w:r w:rsidRPr="00055544">
        <w:rPr>
          <w:lang w:bidi="lt-LT"/>
        </w:rPr>
        <w:t xml:space="preserve"> (t. 480, b. l. </w:t>
      </w:r>
      <w:r w:rsidRPr="00055544">
        <w:t xml:space="preserve">37–38, </w:t>
      </w:r>
      <w:r w:rsidRPr="00055544">
        <w:rPr>
          <w:lang w:bidi="lt-LT"/>
        </w:rPr>
        <w:t>53–54, 57–59).</w:t>
      </w:r>
      <w:r w:rsidRPr="00055544">
        <w:rPr>
          <w:color w:val="000000"/>
          <w:szCs w:val="24"/>
          <w:lang w:bidi="lt-LT"/>
        </w:rPr>
        <w:t xml:space="preserve"> Taigi, vien iš specialisto išvados, kuri, kaip minėta, pateikta įvertinus ir byloje esančią vaizdinę medžiagą, galima daryti išvadą, kad, siekdami patekti į LRT pastatus, </w:t>
      </w:r>
      <w:r w:rsidRPr="00055544">
        <w:rPr>
          <w:rFonts w:eastAsia="Calibri"/>
          <w:szCs w:val="24"/>
        </w:rPr>
        <w:t xml:space="preserve">TSRS VSK </w:t>
      </w:r>
      <w:r w:rsidRPr="00055544">
        <w:rPr>
          <w:color w:val="000000"/>
          <w:szCs w:val="24"/>
          <w:lang w:bidi="lt-LT"/>
        </w:rPr>
        <w:t>grupės „A“ kariškiai prieš civilius naudojo ginklus, specialiąsias priemones bei artimos kovos veiksmus.</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lang w:bidi="lt-LT"/>
        </w:rPr>
        <w:t>Šiame kontekste teisėjų kolegija pažymi ir tai, kad 2014 m. birželio 10 d. specialisto išvadoje nurodyta, kad nuo kitų kariškių, dalyvavusių operacijoje Vilniuje, TSRS VSK grupės „A“ kariškiai skyrėsi specifine apranga – plieno spalvos neperšaunamos liemenės, titano šalmai su antveidžiais, specifine ginkluote – granatsvaidžiai, PSŽ ir kt. (t. 480, b. l. 58).</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t>Proceso metu specialistas A. Garla taip pat nurodė, kad 1991 m. sausio 13 d. kariškiai naudojo titaninius šalmus (apklausos protokolo priedai – Fotolentelė Nr. 21, Nr. 22) ir juos galėjo naudoti specialios paskirties būrys ,,Alfa“ (t. 481, b. l. 60</w:t>
      </w:r>
      <w:r w:rsidRPr="00C00255">
        <w:rPr>
          <w:lang w:bidi="lt-LT"/>
        </w:rPr>
        <w:t>–</w:t>
      </w:r>
      <w:r w:rsidRPr="00C00255">
        <w:t xml:space="preserve">91).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lang w:bidi="lt-LT"/>
        </w:rPr>
        <w:t xml:space="preserve">Specialistas J. Andriškevičius, tyrimo metu susipažinęs su byloje pateikta vaizdine medžiaga – fotonuotraukomis ir vaizdo įrašais, nurodė, kad juose matyti </w:t>
      </w:r>
      <w:r w:rsidRPr="00C00255">
        <w:t>ZIL-131 ir URAL kariniai automobiliai prie LRT</w:t>
      </w:r>
      <w:r w:rsidRPr="00C00255">
        <w:rPr>
          <w:lang w:bidi="lt-LT"/>
        </w:rPr>
        <w:t xml:space="preserve"> bei </w:t>
      </w:r>
      <w:r w:rsidRPr="00C00255">
        <w:t xml:space="preserve">TSRS VSK specialiosios paskirties grupės „A“ </w:t>
      </w:r>
      <w:r w:rsidRPr="00C00255">
        <w:rPr>
          <w:lang w:bidi="lt-LT"/>
        </w:rPr>
        <w:t>kariškiai, kamufliažinės spalvos lauko uniforma, neperšaunamomis liemenėmis, titano šalmais su antveidžiais (t. 112, b. l. 4, 93, 97 ir kt.).</w:t>
      </w:r>
      <w:r w:rsidRPr="00C00255">
        <w:rPr>
          <w:szCs w:val="24"/>
        </w:rPr>
        <w:t xml:space="preserve"> </w:t>
      </w:r>
    </w:p>
    <w:p w:rsidR="00DA38E9" w:rsidRPr="00C00255" w:rsidRDefault="00DA38E9" w:rsidP="00DA38E9">
      <w:pPr>
        <w:pStyle w:val="ListParagraph"/>
        <w:numPr>
          <w:ilvl w:val="2"/>
          <w:numId w:val="6"/>
        </w:numPr>
        <w:spacing w:before="120" w:after="120"/>
        <w:ind w:left="993" w:hanging="993"/>
        <w:contextualSpacing w:val="0"/>
        <w:rPr>
          <w:szCs w:val="24"/>
          <w:lang w:eastAsia="lt-LT" w:bidi="lt-LT"/>
        </w:rPr>
      </w:pPr>
      <w:bookmarkStart w:id="538" w:name="_Hlk65792431"/>
      <w:r w:rsidRPr="00C00255">
        <w:rPr>
          <w:szCs w:val="24"/>
        </w:rPr>
        <w:t xml:space="preserve">Iš specialisto paaiškinimų matyti, kad šiame kontekste aktualūs </w:t>
      </w:r>
      <w:r w:rsidRPr="00C00255">
        <w:rPr>
          <w:lang w:bidi="lt-LT"/>
        </w:rPr>
        <w:t xml:space="preserve">DVD pavadinimu „LRS Kanceliarija vaizdo įrašai“ 4 filme užfiksuoti vaizdai prie LRT, kuriuose nuo 19 min. 42 sek. iki 20 min. 11 sek. matyti, kad eina grupės „A“ kariai, kurių skaičius šiame vaizdo įraše yra apie 25, &lt;...&gt; grupės „A“ kariai eina koridoriumi tarp karinės technikos ir vidaus kariuomenės karių, &lt;...&gt; matosi koridoriumi vaikščiojantys, sprendžiant iš aprangos, tie patys grupės „A“ kariai. Jų skaičius galimai 5-6. Matyti, kaip kariai, vaikščiodami koridoriumi, tikrina duris, bandydami jas atidaryti (t. 479, b. l. 133, </w:t>
      </w:r>
      <w:bookmarkStart w:id="539" w:name="_Hlk64207753"/>
      <w:r w:rsidRPr="00C00255">
        <w:rPr>
          <w:szCs w:val="24"/>
          <w:lang w:bidi="lt-LT"/>
        </w:rPr>
        <w:t>kariškių kadrai – t. 479, b. l. 218</w:t>
      </w:r>
      <w:bookmarkEnd w:id="539"/>
      <w:r w:rsidRPr="00C00255">
        <w:rPr>
          <w:lang w:bidi="lt-LT"/>
        </w:rPr>
        <w:t>).</w:t>
      </w:r>
    </w:p>
    <w:bookmarkEnd w:id="538"/>
    <w:p w:rsidR="00DA38E9" w:rsidRPr="00C00255" w:rsidRDefault="00DA38E9" w:rsidP="00DA38E9">
      <w:pPr>
        <w:pStyle w:val="ListParagraph"/>
        <w:numPr>
          <w:ilvl w:val="2"/>
          <w:numId w:val="6"/>
        </w:numPr>
        <w:spacing w:before="120" w:after="120"/>
        <w:ind w:left="993" w:hanging="993"/>
        <w:contextualSpacing w:val="0"/>
        <w:rPr>
          <w:szCs w:val="24"/>
          <w:lang w:eastAsia="lt-LT" w:bidi="lt-LT"/>
        </w:rPr>
      </w:pPr>
      <w:r w:rsidRPr="00C00255">
        <w:t xml:space="preserve">DVD pavadinimu „Atgimimo kronika“ vaizdo įraše nuo </w:t>
      </w:r>
      <w:r w:rsidRPr="00C00255">
        <w:rPr>
          <w:lang w:bidi="lt-LT"/>
        </w:rPr>
        <w:t>1 val. 4 min. 43 sek. iki 1 val. 15 min. 13 sek.</w:t>
      </w:r>
      <w:r w:rsidRPr="00C00255">
        <w:t xml:space="preserve"> matyti</w:t>
      </w:r>
      <w:r w:rsidRPr="00C00255">
        <w:rPr>
          <w:lang w:bidi="lt-LT"/>
        </w:rPr>
        <w:t xml:space="preserve"> prie LRT Televizijos (9 aukštų) pastato šoninio įėjimo grupės „A“ 3-4 kariai saugantys įėjimą į pastatą nuo civilių asmenų, kurių gausu aplink įėjimą. Taip pat matyti, kaip grupės „A“ karys pro išdaužtą langą šaudo iš automatinio ginklo (matyti kulkų traseriai). Nuo 1 val. 15 min. 13 sek. iki 1 val. 21 min. 53 sek. matyti į koridorių įeinantys grupės „A“ kariai, blokuojantys stovinčius galimai Lietuvos policijos pareigūnus (t. 479, b. l. 136–137). </w:t>
      </w:r>
    </w:p>
    <w:p w:rsidR="00DA38E9" w:rsidRPr="00C00255" w:rsidRDefault="00DA38E9" w:rsidP="00DA38E9">
      <w:pPr>
        <w:pStyle w:val="ListParagraph"/>
        <w:numPr>
          <w:ilvl w:val="2"/>
          <w:numId w:val="6"/>
        </w:numPr>
        <w:spacing w:before="120" w:after="120"/>
        <w:ind w:left="993" w:hanging="993"/>
        <w:contextualSpacing w:val="0"/>
        <w:rPr>
          <w:szCs w:val="24"/>
          <w:lang w:eastAsia="lt-LT" w:bidi="lt-LT"/>
        </w:rPr>
      </w:pPr>
      <w:r w:rsidRPr="00C00255">
        <w:rPr>
          <w:lang w:bidi="lt-LT"/>
        </w:rPr>
        <w:t xml:space="preserve">Vaizdo įraše pavadinimu „Sausio 13-oji“ nuo 20 min. 10 sek. iki 21 min. 55 sek. matyti koridoriuje vaikštantys grupės „A“ kariai su 5,45 mm kalibro AKS-74, bent du iš jų duodantys komandas sutartiniais ženklais (t. 479, b. l. 138). </w:t>
      </w:r>
    </w:p>
    <w:p w:rsidR="00DA38E9" w:rsidRPr="00C00255" w:rsidRDefault="00DA38E9" w:rsidP="00DA38E9">
      <w:pPr>
        <w:pStyle w:val="ListParagraph"/>
        <w:numPr>
          <w:ilvl w:val="2"/>
          <w:numId w:val="6"/>
        </w:numPr>
        <w:spacing w:before="120" w:after="120"/>
        <w:ind w:left="993" w:hanging="993"/>
        <w:contextualSpacing w:val="0"/>
        <w:rPr>
          <w:szCs w:val="24"/>
          <w:lang w:eastAsia="lt-LT" w:bidi="lt-LT"/>
        </w:rPr>
      </w:pPr>
      <w:r w:rsidRPr="00C00255">
        <w:rPr>
          <w:lang w:bidi="lt-LT"/>
        </w:rPr>
        <w:t xml:space="preserve">Vaizdo įraše pavadinimu „WAR-7 [1991 Lithuania]” nuo 00 min. 29 sek. matyti, kaip vienas iš grupės „A“ karių, pasiruošęs ginklą šaudyti, eina šoninio tarpo tarp kolonų link ir pradeda šaudyti (t. 479, b. l. 142, </w:t>
      </w:r>
      <w:r w:rsidRPr="00C00255">
        <w:rPr>
          <w:szCs w:val="24"/>
          <w:lang w:bidi="lt-LT"/>
        </w:rPr>
        <w:t>kariškio kadrai – t. 479, b. l. 247, šaunamo ginklo ugnies pliūpsnis – t. 479, b. l. 248).</w:t>
      </w:r>
    </w:p>
    <w:p w:rsidR="00DA38E9" w:rsidRPr="00C00255" w:rsidRDefault="00DA38E9" w:rsidP="00DA38E9">
      <w:pPr>
        <w:pStyle w:val="ListParagraph"/>
        <w:numPr>
          <w:ilvl w:val="2"/>
          <w:numId w:val="6"/>
        </w:numPr>
        <w:spacing w:before="120" w:after="120"/>
        <w:ind w:left="993" w:hanging="993"/>
        <w:contextualSpacing w:val="0"/>
        <w:rPr>
          <w:szCs w:val="24"/>
          <w:lang w:eastAsia="lt-LT" w:bidi="lt-LT"/>
        </w:rPr>
      </w:pPr>
      <w:r w:rsidRPr="00C00255">
        <w:rPr>
          <w:lang w:bidi="lt-LT"/>
        </w:rPr>
        <w:t>DVD „1991.01.16 2 dalis“ nuo 51 min. 5 sek. iki 51 min. 39 sek. LRT koridoriuje matyti ne mažiau kaip šeši grupės „A“ kariškiai, vedami neginkluoto asmens. &lt;...&gt; Sprendžiant iš užfiksuotų grupės „A“ karių veiksmų, LRT koridoriuje vaikščiojantiems milicijos pareigūnams buvo duotas nurodymas stovėti koridoriaus gale. Tuo metu grupės „A“ kariai, eidami paskui vedlį, tikrino koridoriuje esančių, matomai užrakintų kabinetų duris. Akivaizdžiai matyti ryžtingi karių veiksmai patekti į jiems matomai nurodytą patalpą (t. 480, b. l. 1</w:t>
      </w:r>
      <w:bookmarkStart w:id="540" w:name="_Hlk64206535"/>
      <w:r w:rsidRPr="00C00255">
        <w:rPr>
          <w:lang w:bidi="lt-LT"/>
        </w:rPr>
        <w:t>–</w:t>
      </w:r>
      <w:bookmarkEnd w:id="540"/>
      <w:r w:rsidRPr="00C00255">
        <w:rPr>
          <w:lang w:bidi="lt-LT"/>
        </w:rPr>
        <w:t>2).</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lang w:bidi="lt-LT"/>
        </w:rPr>
        <w:t xml:space="preserve">Atitinkamai, aplinkybes apie </w:t>
      </w:r>
      <w:r w:rsidRPr="00C00255">
        <w:t xml:space="preserve">TSRS VSK specialiosios paskirties grupės „A“ </w:t>
      </w:r>
      <w:r w:rsidRPr="00C00255">
        <w:rPr>
          <w:lang w:bidi="lt-LT"/>
        </w:rPr>
        <w:t>kariškių smurtinius veiksmus ir ginklų naudojimą tiek prie LRT pastatų, tiek jų viduje nurodė apygardos teisme apklausti liudytojai N.</w:t>
      </w:r>
      <w:r>
        <w:rPr>
          <w:lang w:bidi="lt-LT"/>
        </w:rPr>
        <w:t> </w:t>
      </w:r>
      <w:r w:rsidRPr="00C00255">
        <w:rPr>
          <w:lang w:bidi="lt-LT"/>
        </w:rPr>
        <w:t>S</w:t>
      </w:r>
      <w:r>
        <w:rPr>
          <w:lang w:bidi="lt-LT"/>
        </w:rPr>
        <w:t>.</w:t>
      </w:r>
      <w:r w:rsidRPr="00C00255">
        <w:rPr>
          <w:lang w:bidi="lt-LT"/>
        </w:rPr>
        <w:t>, B.</w:t>
      </w:r>
      <w:r>
        <w:rPr>
          <w:lang w:bidi="lt-LT"/>
        </w:rPr>
        <w:t> </w:t>
      </w:r>
      <w:r w:rsidRPr="00C00255">
        <w:rPr>
          <w:lang w:bidi="lt-LT"/>
        </w:rPr>
        <w:t>S</w:t>
      </w:r>
      <w:r>
        <w:rPr>
          <w:lang w:bidi="lt-LT"/>
        </w:rPr>
        <w:t>.,</w:t>
      </w:r>
      <w:r w:rsidRPr="00C00255">
        <w:rPr>
          <w:lang w:bidi="lt-LT"/>
        </w:rPr>
        <w:t xml:space="preserve"> J. B</w:t>
      </w:r>
      <w:r>
        <w:rPr>
          <w:lang w:bidi="lt-LT"/>
        </w:rPr>
        <w:t>.</w:t>
      </w:r>
      <w:r w:rsidRPr="00C00255">
        <w:rPr>
          <w:lang w:bidi="lt-LT"/>
        </w:rPr>
        <w:t xml:space="preserve"> ir nukentėjusieji E.</w:t>
      </w:r>
      <w:r>
        <w:rPr>
          <w:lang w:bidi="lt-LT"/>
        </w:rPr>
        <w:t> </w:t>
      </w:r>
      <w:r w:rsidRPr="00C00255">
        <w:rPr>
          <w:lang w:bidi="lt-LT"/>
        </w:rPr>
        <w:t>S</w:t>
      </w:r>
      <w:r>
        <w:rPr>
          <w:lang w:bidi="lt-LT"/>
        </w:rPr>
        <w:t>.</w:t>
      </w:r>
      <w:r w:rsidRPr="00C00255">
        <w:rPr>
          <w:lang w:bidi="lt-LT"/>
        </w:rPr>
        <w:t>,</w:t>
      </w:r>
      <w:r w:rsidRPr="00C00255">
        <w:t xml:space="preserve"> </w:t>
      </w:r>
      <w:r w:rsidRPr="00C00255">
        <w:rPr>
          <w:lang w:bidi="lt-LT"/>
        </w:rPr>
        <w:t>V.</w:t>
      </w:r>
      <w:r>
        <w:rPr>
          <w:lang w:bidi="lt-LT"/>
        </w:rPr>
        <w:t> </w:t>
      </w:r>
      <w:r w:rsidRPr="00C00255">
        <w:rPr>
          <w:lang w:bidi="lt-LT"/>
        </w:rPr>
        <w:t>K</w:t>
      </w:r>
      <w:r>
        <w:rPr>
          <w:lang w:bidi="lt-LT"/>
        </w:rPr>
        <w:t>.</w:t>
      </w:r>
      <w:r w:rsidRPr="00C00255">
        <w:rPr>
          <w:lang w:bidi="lt-LT"/>
        </w:rPr>
        <w:t>, R.</w:t>
      </w:r>
      <w:r>
        <w:rPr>
          <w:lang w:bidi="lt-LT"/>
        </w:rPr>
        <w:t> </w:t>
      </w:r>
      <w:r w:rsidRPr="00C00255">
        <w:rPr>
          <w:lang w:bidi="lt-LT"/>
        </w:rPr>
        <w:t>O</w:t>
      </w:r>
      <w:r>
        <w:rPr>
          <w:lang w:bidi="lt-LT"/>
        </w:rPr>
        <w:t>.</w:t>
      </w:r>
      <w:r w:rsidRPr="00C00255">
        <w:rPr>
          <w:lang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lang w:bidi="lt-LT"/>
        </w:rPr>
        <w:t xml:space="preserve">Liudytoja </w:t>
      </w:r>
      <w:bookmarkStart w:id="541" w:name="_Hlk65752981"/>
      <w:r w:rsidRPr="00C00255">
        <w:rPr>
          <w:lang w:bidi="lt-LT"/>
        </w:rPr>
        <w:t>N.</w:t>
      </w:r>
      <w:r>
        <w:rPr>
          <w:lang w:bidi="lt-LT"/>
        </w:rPr>
        <w:t> </w:t>
      </w:r>
      <w:r w:rsidRPr="00C00255">
        <w:rPr>
          <w:lang w:bidi="lt-LT"/>
        </w:rPr>
        <w:t>S</w:t>
      </w:r>
      <w:r>
        <w:rPr>
          <w:lang w:bidi="lt-LT"/>
        </w:rPr>
        <w:t>.</w:t>
      </w:r>
      <w:r w:rsidRPr="00C00255">
        <w:rPr>
          <w:lang w:bidi="lt-LT"/>
        </w:rPr>
        <w:t xml:space="preserve"> </w:t>
      </w:r>
      <w:bookmarkEnd w:id="541"/>
      <w:r w:rsidRPr="00C00255">
        <w:rPr>
          <w:lang w:bidi="lt-LT"/>
        </w:rPr>
        <w:t>teigė, kad ji tiriamo įvykio naktį dirbo LRT komitete, budinčia reportere. 1991 m. sausio 13 d., apie 1.30 val. pasirodė karinė technika. Vėliau jos kabinete pasirodė „Alfa“ būrio karininkas, kuris turėjo automatą, jis buvo su neperšaunama liemene. Karininkas norėjo juos įbauginti psichologiškai, rėkė ant jų. Juos visus išvedė (buvo apie dešimt žmonių) ir sutupdė, po to staiga pradėjo pūsti dūmus, pasigirdo sprogimai, šaudymai. Buvo daug dūmų. Išvedant matė negyvą kareivį, jos manymu, tai buvo „Alfa“ kareivis</w:t>
      </w:r>
      <w:r w:rsidRPr="00C00255">
        <w:rPr>
          <w:szCs w:val="24"/>
        </w:rPr>
        <w:t xml:space="preserve"> </w:t>
      </w:r>
      <w:bookmarkStart w:id="542" w:name="_Hlk63435973"/>
      <w:r w:rsidRPr="00C00255">
        <w:rPr>
          <w:szCs w:val="24"/>
        </w:rPr>
        <w:t>(t. 760, b. l. 132–133)</w:t>
      </w:r>
      <w:bookmarkEnd w:id="542"/>
      <w:r w:rsidRPr="00C00255">
        <w:rPr>
          <w:szCs w:val="24"/>
        </w:rPr>
        <w:t>.</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t xml:space="preserve">Liudytoja B. S. nurodė, kad ji </w:t>
      </w:r>
      <w:r w:rsidRPr="00055544">
        <w:rPr>
          <w:rFonts w:eastAsia="Calibri"/>
        </w:rPr>
        <w:t xml:space="preserve">1991 m. sausio 13 d. dirbo LRT radijo diktore. Naktį budėjo programoje. Kai pasigirdo šūviai ir dūžtantys langai, ji su kolega užsirakino studijoje. Labai greitai koridoriuje pasigirdo triukšmas, lakstymas, daužymasis. Pagal smūgių garsą, jos manymu, automatais daužė duris. Kareiviai bandė išspirti jų studijos duris. Nežino, kas ten vyko, bet kolegė jiems pasakė išeiti, nes šaudys. Kiti kolegos jau buvo suvaryti į vieną vietą. Išėjus iš studijos, matė kareivius, kurie buvo su kamufliažine apranga, užvožtais šalmais ir automatais, jie lakstė po visus kabinetus, agresyviai elgėsi. Kai buvo diktorių kambaryje, pajuto labai aštrų kvapą. Vyrai pasakė, kad tai „Čeriomucha“ paleido. Išeinant, vyrai buvo apspardyti </w:t>
      </w:r>
      <w:r w:rsidRPr="00055544">
        <w:t>(t. 760, b. l. 133)</w:t>
      </w:r>
      <w:r w:rsidRPr="00055544">
        <w:rPr>
          <w:rFonts w:eastAsia="Calibri"/>
        </w:rPr>
        <w:t>.</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rPr>
          <w:rFonts w:eastAsia="Calibri"/>
        </w:rPr>
        <w:t xml:space="preserve">Liudytojas </w:t>
      </w:r>
      <w:bookmarkStart w:id="543" w:name="_Hlk65752999"/>
      <w:r w:rsidRPr="00055544">
        <w:rPr>
          <w:rFonts w:eastAsia="Calibri"/>
        </w:rPr>
        <w:t xml:space="preserve">J. B. </w:t>
      </w:r>
      <w:bookmarkEnd w:id="543"/>
      <w:r w:rsidRPr="00055544">
        <w:rPr>
          <w:rFonts w:eastAsia="Calibri"/>
        </w:rPr>
        <w:t>nurodė, kad jis tarnavo padalinyje, kuris vykdė televizijos pastato apsaugą. Kai prasidėjo pastato šturmas, įsiveržė kariškiai, paguldė ant žemės, atėmė ginklus, įrėmė automatus ir dviese juos saugojo. Tai buvo „Alfa“ padalinys (t. 760, b. l. 136)</w:t>
      </w:r>
      <w:r w:rsidRPr="00055544">
        <w:rPr>
          <w:rFonts w:eastAsia="Calibri"/>
          <w:color w:val="000000" w:themeColor="text1"/>
          <w:szCs w:val="24"/>
        </w:rPr>
        <w:t>.</w:t>
      </w:r>
    </w:p>
    <w:p w:rsidR="00DA38E9" w:rsidRPr="00055544" w:rsidRDefault="00DA38E9" w:rsidP="00DA38E9">
      <w:pPr>
        <w:pStyle w:val="ListParagraph"/>
        <w:numPr>
          <w:ilvl w:val="1"/>
          <w:numId w:val="6"/>
        </w:numPr>
        <w:spacing w:before="120" w:after="120"/>
        <w:ind w:left="993" w:hanging="993"/>
        <w:contextualSpacing w:val="0"/>
        <w:rPr>
          <w:szCs w:val="24"/>
          <w:lang w:eastAsia="lt-LT" w:bidi="lt-LT"/>
        </w:rPr>
      </w:pPr>
      <w:r w:rsidRPr="00055544">
        <w:rPr>
          <w:rFonts w:eastAsia="Calibri"/>
        </w:rPr>
        <w:t>Nukentėjusysis E. S. nurodė, kad 1991 m. sausio 13 d. naktį jis buvo prie LRT. Jis stovėjo prie priestato, kur pamatė atbėgančius „Alfa“ būrio kariškius. Jie prabėgo pro juos, kad patektų į pastato vidų, pro pastato šoninį įėjimą. Tie žmonės, kurie stovėjo arti įėjimo, buvo apdaužyti automatų buožėmis. Keli jo kursiokai su buožėmis gavo į veidą. Tam tikra dalis šturme dalyvavusių asmenų buvo „Alfa“ kariškiai. Kai jie užėmė priestatą, tam tikrais momentais šaudė į dangų trasuojančiomis kulkomis. Jie dėvėjo neperšaunamas liemenes, šalmus. Jie aiškiai skyrėsi nuo kareivių, kurie vėliau saugojo pastatą (</w:t>
      </w:r>
      <w:r w:rsidRPr="00055544">
        <w:t>t. 760, b. l. 99–100)</w:t>
      </w:r>
      <w:r w:rsidRPr="00055544">
        <w:rPr>
          <w:szCs w:val="24"/>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E67B7E">
        <w:rPr>
          <w:rFonts w:eastAsia="Calibri"/>
        </w:rPr>
        <w:t xml:space="preserve">Nukentėjusysis V. K. nurodė, kad 1991 m. sausio 12 d., būdamas policijos pareigūnu, buvo iškviestas į Radijo komitetą. Naktį prasidėjus LRT pastatų šturmui, vienas iš kareivių, kuris buvo su šalmu, užšoko ant palangės ir pradėjo šaudyti virš jų galvų. Pirmieji į pastatą įsiveržė kariškiai su šalmais su antveidžiu. Įsiveržę kariškiai juos mušė kumščiais, paguldė ir tikrino, ar turi ginklų. Juos smarkiau pradėjo mušti, kai pasakė, kad ką tik žuvo vienas iš jų pareigūnų </w:t>
      </w:r>
      <w:bookmarkStart w:id="544" w:name="_Hlk63443825"/>
      <w:r w:rsidRPr="00E67B7E">
        <w:rPr>
          <w:rFonts w:eastAsia="Calibri"/>
        </w:rPr>
        <w:t>(</w:t>
      </w:r>
      <w:r w:rsidRPr="00E67B7E">
        <w:t>t. 760, b. l. 60–61)</w:t>
      </w:r>
      <w:r w:rsidRPr="00C00255">
        <w:rPr>
          <w:szCs w:val="24"/>
        </w:rPr>
        <w:t>.</w:t>
      </w:r>
      <w:bookmarkEnd w:id="544"/>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E67B7E">
        <w:rPr>
          <w:rFonts w:eastAsia="Calibri"/>
        </w:rPr>
        <w:t xml:space="preserve">Nukentėjusysis </w:t>
      </w:r>
      <w:bookmarkStart w:id="545" w:name="_Hlk65753053"/>
      <w:r w:rsidRPr="00E67B7E">
        <w:rPr>
          <w:rFonts w:eastAsia="Calibri"/>
        </w:rPr>
        <w:t>R. O.</w:t>
      </w:r>
      <w:bookmarkEnd w:id="545"/>
      <w:r w:rsidRPr="00E67B7E">
        <w:rPr>
          <w:rFonts w:eastAsia="Calibri"/>
        </w:rPr>
        <w:t xml:space="preserve"> nurodė, kad jis buvo prie senojo Radijo ir televizijos pastato durų. Atvažiavus karinei technikai, pradinė kariškių grupė į pastatą įsiveržė pro greta esantį langą. Kariškiai buvo su šalmais. Šalmai buvo su apsaugom, uždari, panašūs į motociklininkų, pilnai apsaugantys galvą. Vienas iš kariškių pasiliko stovėti prie lango, jis turėjo Kalašnikovo automatą ir pradėjo iš jo šaudyti. Po automato apačia buvo prijungtas granatsvaidis. Jis šaudė į viršų, į minią, o po to šovė į nukentėjusįjį (</w:t>
      </w:r>
      <w:r w:rsidRPr="00E67B7E">
        <w:t>t. 760, b. l. 90)</w:t>
      </w:r>
      <w:r w:rsidRPr="00C00255">
        <w:rPr>
          <w:szCs w:val="24"/>
        </w:rPr>
        <w:t>.</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lang w:eastAsia="lt-LT" w:bidi="lt-LT"/>
        </w:rPr>
        <w:t xml:space="preserve">Taigi, iš aptartų aplinkybių, t. y. </w:t>
      </w:r>
      <w:r w:rsidRPr="00C00255">
        <w:rPr>
          <w:szCs w:val="24"/>
        </w:rPr>
        <w:t xml:space="preserve">byloje esančios vaizdinės medžiagos, liudytojų ir nukentėjusiųjų parodymų visumos </w:t>
      </w:r>
      <w:r w:rsidRPr="00C00255">
        <w:rPr>
          <w:szCs w:val="24"/>
          <w:lang w:eastAsia="lt-LT" w:bidi="lt-LT"/>
        </w:rPr>
        <w:t xml:space="preserve">nustatyta, kad </w:t>
      </w:r>
      <w:bookmarkStart w:id="546" w:name="_Hlk63453241"/>
      <w:r w:rsidRPr="00C00255">
        <w:rPr>
          <w:szCs w:val="24"/>
        </w:rPr>
        <w:t>TSRS VSK specialiosios paskirties grupės „A“</w:t>
      </w:r>
      <w:bookmarkEnd w:id="546"/>
      <w:r w:rsidRPr="00C00255">
        <w:rPr>
          <w:szCs w:val="24"/>
        </w:rPr>
        <w:t xml:space="preserve"> kariškiai, priešingai nei teigiama apeliaciniame skunde, vykdydami užduotis, tiek iki patekdami į nurodytus pastatus, tiek būdami jų viduje, naudojo jėgą, </w:t>
      </w:r>
      <w:r w:rsidRPr="00C00255">
        <w:rPr>
          <w:szCs w:val="24"/>
          <w:lang w:eastAsia="lt-LT" w:bidi="lt-LT"/>
        </w:rPr>
        <w:t xml:space="preserve">ginklus bei specialiąsias priemones prieš civilius asmenis, sukeldami nukentėjusiesiems baudžiamojoje byloje nustatytus įvairaus sunkumo sužalojimus. </w:t>
      </w:r>
    </w:p>
    <w:p w:rsidR="00DA38E9" w:rsidRPr="00055544" w:rsidRDefault="00DA38E9" w:rsidP="00DA38E9">
      <w:pPr>
        <w:pStyle w:val="ListParagraph"/>
        <w:numPr>
          <w:ilvl w:val="0"/>
          <w:numId w:val="6"/>
        </w:numPr>
        <w:spacing w:before="120" w:after="120"/>
        <w:ind w:left="993" w:hanging="993"/>
        <w:contextualSpacing w:val="0"/>
        <w:rPr>
          <w:szCs w:val="24"/>
          <w:lang w:eastAsia="lt-LT" w:bidi="lt-LT"/>
        </w:rPr>
      </w:pPr>
      <w:r w:rsidRPr="00055544">
        <w:rPr>
          <w:szCs w:val="24"/>
          <w:lang w:eastAsia="lt-LT"/>
        </w:rPr>
        <w:t xml:space="preserve">Skundžiamame nuosprendyje nustatyta, kad įvykiuose, susijusiuose su </w:t>
      </w:r>
      <w:r w:rsidRPr="00055544">
        <w:t xml:space="preserve">LRT pastatų </w:t>
      </w:r>
      <w:r w:rsidRPr="00055544">
        <w:rPr>
          <w:szCs w:val="24"/>
          <w:lang w:eastAsia="lt-LT"/>
        </w:rPr>
        <w:t xml:space="preserve">užėmimu, </w:t>
      </w:r>
      <w:r w:rsidRPr="00055544">
        <w:rPr>
          <w:color w:val="000000"/>
        </w:rPr>
        <w:t xml:space="preserve">iš </w:t>
      </w:r>
      <w:bookmarkStart w:id="547" w:name="_Hlk63369937"/>
      <w:bookmarkStart w:id="548" w:name="_Hlk63281991"/>
      <w:r w:rsidRPr="00055544">
        <w:rPr>
          <w:szCs w:val="24"/>
        </w:rPr>
        <w:t xml:space="preserve">TSRS VSK specialiosios paskirties </w:t>
      </w:r>
      <w:bookmarkEnd w:id="547"/>
      <w:r w:rsidRPr="00055544">
        <w:rPr>
          <w:szCs w:val="24"/>
        </w:rPr>
        <w:t>grupės „A“</w:t>
      </w:r>
      <w:bookmarkEnd w:id="548"/>
      <w:r w:rsidRPr="00055544">
        <w:rPr>
          <w:szCs w:val="24"/>
        </w:rPr>
        <w:t xml:space="preserve"> </w:t>
      </w:r>
      <w:r w:rsidRPr="00055544">
        <w:rPr>
          <w:rFonts w:eastAsia="Calibri"/>
          <w:szCs w:val="22"/>
        </w:rPr>
        <w:t>dalyvavo</w:t>
      </w:r>
      <w:r w:rsidRPr="00055544">
        <w:rPr>
          <w:color w:val="000000"/>
        </w:rPr>
        <w:t xml:space="preserve"> karininkai</w:t>
      </w:r>
      <w:r w:rsidRPr="00055544">
        <w:rPr>
          <w:rFonts w:eastAsia="Calibri"/>
          <w:szCs w:val="22"/>
        </w:rPr>
        <w:t xml:space="preserve">: nuteistieji M. G. ir J. Č. </w:t>
      </w:r>
      <w:r w:rsidRPr="00055544">
        <w:rPr>
          <w:rFonts w:eastAsia="Calibri"/>
        </w:rPr>
        <w:t>(</w:t>
      </w:r>
      <w:r w:rsidRPr="00055544">
        <w:t>žr. </w:t>
      </w:r>
      <w:r w:rsidRPr="00055544">
        <w:rPr>
          <w:rFonts w:eastAsia="Calibri"/>
        </w:rPr>
        <w:t>nuosprendžio 514–520 l.; t. 771, b. l. 114–120).</w:t>
      </w:r>
      <w:r w:rsidRPr="00055544">
        <w:rPr>
          <w:szCs w:val="24"/>
        </w:rPr>
        <w:t xml:space="preserve"> Apeliacinės instancijos teismas, susipažinęs su bylos medžiaga bei įvertinęs aktualius apeliacinių skundų argumentus, konstatuoja, kad minėtų nuteistųjų vadovavimą, užimant </w:t>
      </w:r>
      <w:r w:rsidRPr="00055544">
        <w:t>LRT Radijo, LRT Televizijos ir LRT TASK pastatus,</w:t>
      </w:r>
      <w:r w:rsidRPr="00055544">
        <w:rPr>
          <w:szCs w:val="24"/>
        </w:rPr>
        <w:t xml:space="preserve"> patvirtina byloje surinkti duomenys – liudytojų, nukentėjusiųjų parodymai, specialistų išvados bei ekspertizės aktai, vaizdo įrašai ir fotonuotraukos bei kt. Atsižvelgdama į tai, teisėjų kolegija pasisakys dėl kiekvieno iš šioje dalyje minėtų nuteistųjų vaidmens užimant LRT </w:t>
      </w:r>
      <w:r w:rsidRPr="00055544">
        <w:t>pastatus</w:t>
      </w:r>
      <w:r w:rsidRPr="00055544">
        <w:rPr>
          <w:szCs w:val="24"/>
        </w:rPr>
        <w:t xml:space="preserve"> ir dėl su tuo susijusių ginčijamų faktinių aplinkybių.</w:t>
      </w:r>
    </w:p>
    <w:p w:rsidR="00DA38E9" w:rsidRPr="00C00255" w:rsidRDefault="00DA38E9" w:rsidP="00DA38E9">
      <w:pPr>
        <w:pStyle w:val="Heading4"/>
        <w:spacing w:before="120" w:after="120"/>
        <w:ind w:firstLine="992"/>
        <w:rPr>
          <w:rFonts w:ascii="Times New Roman" w:hAnsi="Times New Roman"/>
          <w:b w:val="0"/>
          <w:i/>
          <w:sz w:val="24"/>
          <w:szCs w:val="24"/>
        </w:rPr>
      </w:pPr>
      <w:bookmarkStart w:id="549" w:name="_Toc66697277"/>
      <w:bookmarkEnd w:id="534"/>
      <w:r w:rsidRPr="00C00255">
        <w:rPr>
          <w:rFonts w:ascii="Times New Roman" w:hAnsi="Times New Roman"/>
          <w:b w:val="0"/>
          <w:i/>
          <w:sz w:val="24"/>
          <w:szCs w:val="24"/>
        </w:rPr>
        <w:t xml:space="preserve">Dėl nuteistojo </w:t>
      </w:r>
      <w:r>
        <w:rPr>
          <w:rFonts w:ascii="Times New Roman" w:hAnsi="Times New Roman"/>
          <w:b w:val="0"/>
          <w:i/>
          <w:sz w:val="24"/>
          <w:szCs w:val="24"/>
        </w:rPr>
        <w:t>M. G.</w:t>
      </w:r>
      <w:r w:rsidRPr="00C00255">
        <w:rPr>
          <w:rFonts w:ascii="Times New Roman" w:hAnsi="Times New Roman"/>
          <w:b w:val="0"/>
          <w:i/>
          <w:sz w:val="24"/>
          <w:szCs w:val="24"/>
        </w:rPr>
        <w:t xml:space="preserve"> dalyvavimo užimant LRT</w:t>
      </w:r>
      <w:bookmarkEnd w:id="549"/>
      <w:r w:rsidRPr="00C00255">
        <w:rPr>
          <w:rFonts w:ascii="Times New Roman" w:hAnsi="Times New Roman"/>
          <w:b w:val="0"/>
          <w:i/>
          <w:sz w:val="24"/>
          <w:szCs w:val="24"/>
        </w:rPr>
        <w:t xml:space="preserve"> </w:t>
      </w:r>
    </w:p>
    <w:p w:rsidR="00DA38E9" w:rsidRPr="00055544" w:rsidRDefault="00DA38E9" w:rsidP="00DA38E9">
      <w:pPr>
        <w:pStyle w:val="ListParagraph"/>
        <w:numPr>
          <w:ilvl w:val="0"/>
          <w:numId w:val="6"/>
        </w:numPr>
        <w:spacing w:before="120" w:after="120"/>
        <w:ind w:left="993" w:hanging="993"/>
        <w:contextualSpacing w:val="0"/>
        <w:rPr>
          <w:szCs w:val="24"/>
          <w:lang w:eastAsia="lt-LT" w:bidi="lt-LT"/>
        </w:rPr>
      </w:pPr>
      <w:r w:rsidRPr="00055544">
        <w:rPr>
          <w:szCs w:val="24"/>
          <w:lang w:eastAsia="lt-LT"/>
        </w:rPr>
        <w:t xml:space="preserve">Teisėjų kolegija sutinka su pirmosios instancijos teismo išvada, kad </w:t>
      </w:r>
      <w:bookmarkStart w:id="550" w:name="_Hlk63449451"/>
      <w:bookmarkStart w:id="551" w:name="_Hlk63414310"/>
      <w:r w:rsidRPr="00055544">
        <w:rPr>
          <w:szCs w:val="24"/>
        </w:rPr>
        <w:t>TSRS VSK specialiosios paskirties grupės „A“</w:t>
      </w:r>
      <w:bookmarkEnd w:id="550"/>
      <w:r w:rsidRPr="00055544">
        <w:rPr>
          <w:szCs w:val="24"/>
        </w:rPr>
        <w:t xml:space="preserve"> viršininko pavaduotojas </w:t>
      </w:r>
      <w:bookmarkEnd w:id="551"/>
      <w:r w:rsidRPr="00055544">
        <w:rPr>
          <w:szCs w:val="24"/>
        </w:rPr>
        <w:t>M. G.</w:t>
      </w:r>
      <w:r w:rsidRPr="00055544">
        <w:rPr>
          <w:szCs w:val="24"/>
          <w:lang w:eastAsia="lt-LT"/>
        </w:rPr>
        <w:t xml:space="preserve"> LRT užėmimo metu </w:t>
      </w:r>
      <w:bookmarkStart w:id="552" w:name="_Hlk63374060"/>
      <w:r w:rsidRPr="00055544">
        <w:rPr>
          <w:szCs w:val="24"/>
        </w:rPr>
        <w:t xml:space="preserve">TSRS VSK specialiosios paskirties </w:t>
      </w:r>
      <w:r w:rsidRPr="00055544">
        <w:t xml:space="preserve">grupės </w:t>
      </w:r>
      <w:bookmarkEnd w:id="552"/>
      <w:r w:rsidRPr="00055544">
        <w:t xml:space="preserve">„A“ </w:t>
      </w:r>
      <w:r w:rsidRPr="00055544">
        <w:rPr>
          <w:szCs w:val="24"/>
          <w:lang w:eastAsia="lt-LT"/>
        </w:rPr>
        <w:t>kariškiams vadovauti paskyrė J. Č., taip pat pats, nors ir tiesiogiai nebūdamas prie LRT, vadovavo ir koordinavo šios grupės kariškių veiksmus LRT pastatų užėmimo</w:t>
      </w:r>
      <w:r w:rsidRPr="00055544">
        <w:rPr>
          <w:rFonts w:eastAsia="Calibri"/>
          <w:szCs w:val="24"/>
        </w:rPr>
        <w:t xml:space="preserve"> metu </w:t>
      </w:r>
      <w:r w:rsidRPr="00055544">
        <w:rPr>
          <w:rFonts w:eastAsia="Calibri"/>
        </w:rPr>
        <w:t>(žr. nuosprendžio 514–520 l., t. 771, b. l. 114–120).</w:t>
      </w:r>
      <w:r w:rsidRPr="00055544">
        <w:rPr>
          <w:szCs w:val="24"/>
          <w:lang w:eastAsia="lt-LT"/>
        </w:rPr>
        <w:t xml:space="preserve"> Kaip matyti, a</w:t>
      </w:r>
      <w:r w:rsidRPr="00055544">
        <w:rPr>
          <w:szCs w:val="24"/>
        </w:rPr>
        <w:t>pygardos teismas tokią išvadą grindė paties nuteistojo M. G. paaiškinimais, „Komandiruotės Vilniuje rezultatų pažyma“ (žr. nuosprendžio 780–781 l., t. 772, b. l. 180–181). Tačiau M. G. gynėjas apeliaciniame skunde nesutinka su apygardos teismo atliktu įrodymų vertinimu, teigdamas, kad M. G. tyrimo metu nedavė jokių parodymų, be to, taip pat neaišku, kokiu pagrindu byloje atsirado nepasirašytas anoniminis tekstas, pridėtas pagal prokuratūros darbuotojo J. G. pažymą. Gynėjo teigimu, taip pat netinkamai įvertinti liudytojų parodymai bei M. G. interviu „Ria Novosti“ korespondentui.</w:t>
      </w:r>
      <w:r w:rsidRPr="00055544">
        <w:rPr>
          <w:szCs w:val="24"/>
          <w:lang w:eastAsia="lt-LT" w:bidi="lt-LT"/>
        </w:rPr>
        <w:t xml:space="preserve"> </w:t>
      </w:r>
      <w:r w:rsidRPr="00055544">
        <w:t>Šiame kontekste teisėjų kolegija pažymi, kad nemaža dalis M. G. gynėjo skundo argumentų yra teisinio vertinimo dalykas, o ne fakto klausimai, todėl apie tai teisėjų kolegija pasisakys atskirai.</w:t>
      </w:r>
    </w:p>
    <w:p w:rsidR="00DA38E9" w:rsidRPr="00055544" w:rsidRDefault="00DA38E9" w:rsidP="00DA38E9">
      <w:pPr>
        <w:pStyle w:val="ListParagraph"/>
        <w:numPr>
          <w:ilvl w:val="0"/>
          <w:numId w:val="6"/>
        </w:numPr>
        <w:spacing w:before="120" w:after="120"/>
        <w:ind w:left="993" w:hanging="993"/>
        <w:contextualSpacing w:val="0"/>
      </w:pPr>
      <w:r w:rsidRPr="00055544">
        <w:rPr>
          <w:szCs w:val="24"/>
        </w:rPr>
        <w:t xml:space="preserve">Teisėjų kolegija, atsakydama į gynėjo apeliacinio skundo argumentus dėl gynybos ginčijamos </w:t>
      </w:r>
      <w:bookmarkStart w:id="553" w:name="_Hlk64213163"/>
      <w:r w:rsidRPr="00055544">
        <w:rPr>
          <w:szCs w:val="24"/>
        </w:rPr>
        <w:t xml:space="preserve">„Komandiruotės Vilniuje rezultatų pažymos“ apie </w:t>
      </w:r>
      <w:r w:rsidRPr="00055544">
        <w:rPr>
          <w:rFonts w:eastAsia="Calibri"/>
          <w:szCs w:val="24"/>
        </w:rPr>
        <w:t xml:space="preserve">TSRS VSK </w:t>
      </w:r>
      <w:r w:rsidRPr="00055544">
        <w:rPr>
          <w:szCs w:val="24"/>
        </w:rPr>
        <w:t>grupės „A“ kariškių veiksmus įvykių metu 1991 m. sausio mėn. (t. 192, b. l. 36–47)</w:t>
      </w:r>
      <w:bookmarkEnd w:id="553"/>
      <w:r w:rsidRPr="00055544">
        <w:rPr>
          <w:szCs w:val="24"/>
        </w:rPr>
        <w:t xml:space="preserve"> pripažinimo tinkamu ir leistinu įrodymu, nekartoja šio sprendimo dalyse „</w:t>
      </w:r>
      <w:r w:rsidRPr="00055544">
        <w:rPr>
          <w:rFonts w:eastAsia="Calibri"/>
          <w:i/>
          <w:iCs/>
        </w:rPr>
        <w:t xml:space="preserve">Dėl pirmosios instancijos teismo išvadų vertinant </w:t>
      </w:r>
      <w:r w:rsidRPr="00055544">
        <w:rPr>
          <w:i/>
          <w:iCs/>
        </w:rPr>
        <w:t>TSRS VSK ir jai pavaldžių dalinių bei nuteistojo M. G. veiksmus</w:t>
      </w:r>
      <w:r w:rsidRPr="00055544">
        <w:rPr>
          <w:rFonts w:eastAsia="Calibri"/>
          <w:i/>
          <w:iCs/>
        </w:rPr>
        <w:t xml:space="preserve"> planuojant karinę operaciją</w:t>
      </w:r>
      <w:r w:rsidRPr="00055544">
        <w:rPr>
          <w:rFonts w:eastAsia="Calibri"/>
        </w:rPr>
        <w:t>“ (šio sprendimo 189–190 pastraipos) ir „</w:t>
      </w:r>
      <w:r w:rsidRPr="00055544">
        <w:rPr>
          <w:rFonts w:eastAsia="Calibri"/>
          <w:i/>
          <w:iCs/>
        </w:rPr>
        <w:t>Dėl nuteistojo M. G. dalyvavimo užimant TV bokštą</w:t>
      </w:r>
      <w:r w:rsidRPr="00055544">
        <w:rPr>
          <w:rFonts w:eastAsia="Calibri"/>
        </w:rPr>
        <w:t xml:space="preserve">“ (šio sprendimo 528 pastraipa), pateikto minėtos pažymos vertinimo, </w:t>
      </w:r>
      <w:r w:rsidRPr="00055544">
        <w:t xml:space="preserve">ja vadovaujasi kaip rašytiniu įrodymu, kuris, be kita ko, atitinka aukščiau šioje sprendimo dalyje nustatytą prie LRT vykusios operacijos eigą, karinių struktūrų atvykimo aplinkybes, panaudotą ginkluotę ir pan.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Įvertinusi šiuos gynybos argumentus byloje surinktų duomenų kontekste, teisėjų kolegija neabejoja, kad pirmosios instancijos teismo išvada apie </w:t>
      </w:r>
      <w:r>
        <w:rPr>
          <w:szCs w:val="24"/>
          <w:lang w:eastAsia="lt-LT"/>
        </w:rPr>
        <w:t>M. G.</w:t>
      </w:r>
      <w:r w:rsidRPr="00C00255">
        <w:rPr>
          <w:szCs w:val="24"/>
          <w:lang w:eastAsia="lt-LT"/>
        </w:rPr>
        <w:t xml:space="preserve"> kaip vieno iš vadovų ir koordinatoriaus </w:t>
      </w:r>
      <w:r w:rsidRPr="00C00255">
        <w:rPr>
          <w:rFonts w:eastAsia="Calibri"/>
          <w:szCs w:val="24"/>
        </w:rPr>
        <w:t xml:space="preserve">TSRS VSK </w:t>
      </w:r>
      <w:r w:rsidRPr="00C00255">
        <w:rPr>
          <w:szCs w:val="24"/>
          <w:lang w:eastAsia="lt-LT"/>
        </w:rPr>
        <w:t>grupės „A“ kariškiams vaidmenį LRT pastatų šturmo metu yra pagrįsta ir teisinga. Tokią išvadą patvirtina iš skirtingų šaltinių gautų ir BPK 20 straipsnio reikalavimus atitinkančių įrodymų visuma.</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Tai, kad </w:t>
      </w:r>
      <w:r>
        <w:rPr>
          <w:szCs w:val="24"/>
        </w:rPr>
        <w:t>M. G.</w:t>
      </w:r>
      <w:r w:rsidRPr="00C00255">
        <w:rPr>
          <w:szCs w:val="24"/>
        </w:rPr>
        <w:t xml:space="preserve"> buvo TSRS VSK specialiosios paskirties grupės „A“ viršininko pavaduotojas ir vadovavo </w:t>
      </w:r>
      <w:r w:rsidRPr="00C00255">
        <w:rPr>
          <w:rFonts w:eastAsia="Calibri"/>
          <w:szCs w:val="24"/>
        </w:rPr>
        <w:t xml:space="preserve">TSRS VSK </w:t>
      </w:r>
      <w:r w:rsidRPr="00C00255">
        <w:rPr>
          <w:szCs w:val="24"/>
        </w:rPr>
        <w:t>grupės „A“ kariškiams Vilniuje, įvardijama įvairiuose baudžiamojoje byloje pateiktuose rašytiniuose įrodymuose – pranešime RSFSR prokuratūrai dėl „A“ grupės darbuotojų komandiruotės Vilniuje (1991 m. sausio 11–14 d.) (t. 192, b. l. 206</w:t>
      </w:r>
      <w:bookmarkStart w:id="554" w:name="_Hlk63448830"/>
      <w:r w:rsidRPr="00C00255">
        <w:rPr>
          <w:szCs w:val="24"/>
        </w:rPr>
        <w:t>–</w:t>
      </w:r>
      <w:bookmarkEnd w:id="554"/>
      <w:r w:rsidRPr="00C00255">
        <w:rPr>
          <w:szCs w:val="24"/>
        </w:rPr>
        <w:t xml:space="preserve">211); paaiškinamajame rašte RTFSR prokuratūrai dėl „A“ grupės darbuotojų komandiravimo į Vilniaus m. (1991 m. sausio 11–14 d.), kurį beje pasirašė pats </w:t>
      </w:r>
      <w:r>
        <w:rPr>
          <w:szCs w:val="24"/>
        </w:rPr>
        <w:t>M. G.</w:t>
      </w:r>
      <w:r w:rsidRPr="00C00255">
        <w:rPr>
          <w:szCs w:val="24"/>
        </w:rPr>
        <w:t xml:space="preserve"> (t. 451, b. l. 249–250). Be to, „Komandiruotės Vilniuje rezultatų pažymoje“ apie </w:t>
      </w:r>
      <w:r w:rsidRPr="00C00255">
        <w:rPr>
          <w:rFonts w:eastAsia="Calibri"/>
          <w:szCs w:val="24"/>
        </w:rPr>
        <w:t xml:space="preserve">TSRS VSK </w:t>
      </w:r>
      <w:r w:rsidRPr="00C00255">
        <w:rPr>
          <w:szCs w:val="24"/>
        </w:rPr>
        <w:t>grupės „A“ kariškių veiksmus 1991 m. sausio mėn. įvykių metu nurodyta ir tai, kad Vilniuje darbuotojų grupei vadovavo „A“ grupės viršininko pavaduotojas papulkininkis M. V.</w:t>
      </w:r>
      <w:r w:rsidRPr="00C00255">
        <w:t> </w:t>
      </w:r>
      <w:r w:rsidRPr="00C00255">
        <w:rPr>
          <w:szCs w:val="24"/>
        </w:rPr>
        <w:t>G</w:t>
      </w:r>
      <w:r>
        <w:rPr>
          <w:szCs w:val="24"/>
        </w:rPr>
        <w:t>.</w:t>
      </w:r>
      <w:r w:rsidRPr="00C00255">
        <w:rPr>
          <w:szCs w:val="24"/>
        </w:rPr>
        <w:t>, kuris 1991 m. sausio 12 d., 13.00 val. grupės narius informavo apie operatyvinę padėtį Respublikoje ir pranešė kokie numatomi „A“ grupės veiksmai. Taip pat 23.00 val. „A“ grupės darbuotojams nurodė, kaip turi būti pasiskirstytos pajėgos ir priemonės, kaip suderinti veiksmus su kitais kariškiais, kaip užmegzti ir palaikyti ryšį (t. 192, b. l. 41).</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Antai, </w:t>
      </w:r>
      <w:r w:rsidRPr="00C00255">
        <w:rPr>
          <w:szCs w:val="24"/>
          <w:lang w:bidi="lt-LT"/>
        </w:rPr>
        <w:t xml:space="preserve">įvertinus byloje surinktų aktualių duomenų visumą, </w:t>
      </w:r>
      <w:r w:rsidRPr="00C00255">
        <w:rPr>
          <w:szCs w:val="24"/>
        </w:rPr>
        <w:t xml:space="preserve">2014 m. birželio 10 d. specialisto išvados dalyje „Jėgos struktūrų formavimas ir apžvalga“ taip pat konstatuota, kad „užduotims Vilniuje vykdyti buvo paskirti apie 66 kariškiai iš VSK „A“ padalinio, vadovaujami TSRS VSK grupės „A“ viršininko pavaduotojo papulkininkio </w:t>
      </w:r>
      <w:r>
        <w:rPr>
          <w:szCs w:val="24"/>
        </w:rPr>
        <w:t>M. G.</w:t>
      </w:r>
      <w:r w:rsidRPr="00C00255">
        <w:rPr>
          <w:szCs w:val="24"/>
        </w:rPr>
        <w:t xml:space="preserve">“ (t. 480, b. l. 37).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bCs/>
          <w:szCs w:val="24"/>
        </w:rPr>
        <w:t>Taip pat liudytojas Z.</w:t>
      </w:r>
      <w:r>
        <w:rPr>
          <w:bCs/>
          <w:szCs w:val="24"/>
        </w:rPr>
        <w:t> </w:t>
      </w:r>
      <w:r w:rsidRPr="00C00255">
        <w:rPr>
          <w:bCs/>
          <w:szCs w:val="24"/>
        </w:rPr>
        <w:t>V</w:t>
      </w:r>
      <w:r>
        <w:rPr>
          <w:bCs/>
          <w:szCs w:val="24"/>
        </w:rPr>
        <w:t>.</w:t>
      </w:r>
      <w:r w:rsidRPr="00C00255">
        <w:rPr>
          <w:bCs/>
          <w:szCs w:val="24"/>
        </w:rPr>
        <w:t xml:space="preserve"> </w:t>
      </w:r>
      <w:r w:rsidRPr="00C00255">
        <w:rPr>
          <w:szCs w:val="24"/>
        </w:rPr>
        <w:t xml:space="preserve">teisiamojo posėdžio metu nurodė, kad jis tiriamų įvykių metu buvo Lietuvos Respublikos Aukščiausiosios Tarybos deputatu, Krašto apsaugos ir vidaus reikalų komisijos pirmininku. Ruoštis ypatingajai padėčiai, karinėms operacijoms Vilniuje, 1991 m. sausio 11 d. į Vilniaus oro uostą buvo permesta grupė „A“, vadovaujama </w:t>
      </w:r>
      <w:r>
        <w:rPr>
          <w:szCs w:val="24"/>
        </w:rPr>
        <w:t>M. G.</w:t>
      </w:r>
      <w:r w:rsidRPr="00C00255">
        <w:rPr>
          <w:szCs w:val="24"/>
        </w:rPr>
        <w:t xml:space="preserve">, kuris pagal rangą tuo metu buvo TSRS Valstybės saugumo komiteto septintos valdybos viršininko pavaduotojas. Pasak liudytojo, tai rodo išskirtinę svarbą ir rimtą pasiruošimą šiai operacijai (t. 757, b. l. 51–55).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rPr>
        <w:t xml:space="preserve">Teisėjų kolegijos įsitikinimu, vien šių duomenų, turint omenyje </w:t>
      </w:r>
      <w:r>
        <w:rPr>
          <w:szCs w:val="24"/>
        </w:rPr>
        <w:t>M. G.</w:t>
      </w:r>
      <w:r w:rsidRPr="00C00255">
        <w:rPr>
          <w:szCs w:val="24"/>
        </w:rPr>
        <w:t xml:space="preserve"> užimtas pareigas, kurių neginčija ir jo gynėjas, pakanka konstatuoti, kad būtent </w:t>
      </w:r>
      <w:r>
        <w:rPr>
          <w:szCs w:val="24"/>
        </w:rPr>
        <w:t>M. G.</w:t>
      </w:r>
      <w:r w:rsidRPr="00C00255">
        <w:rPr>
          <w:szCs w:val="24"/>
        </w:rPr>
        <w:t xml:space="preserve"> vadovavo</w:t>
      </w:r>
      <w:r w:rsidRPr="00C00255">
        <w:t xml:space="preserve"> </w:t>
      </w:r>
      <w:r w:rsidRPr="00C00255">
        <w:rPr>
          <w:szCs w:val="24"/>
        </w:rPr>
        <w:t xml:space="preserve">TSRS VSK grupės „A“ kariškiams bei koordinavo jų veiksmus šturmuojant LRT pastatus. Kaip minėta, tokią išvadą padarė ir suinteresuotumo proceso baigtimi neturintis specialistas J. Andriškevičius. </w:t>
      </w:r>
    </w:p>
    <w:p w:rsidR="00DA38E9" w:rsidRPr="00E67B7E" w:rsidRDefault="00DA38E9" w:rsidP="00DA38E9">
      <w:pPr>
        <w:pStyle w:val="ListParagraph"/>
        <w:numPr>
          <w:ilvl w:val="0"/>
          <w:numId w:val="6"/>
        </w:numPr>
        <w:spacing w:before="120" w:after="120"/>
        <w:ind w:left="993" w:hanging="993"/>
        <w:contextualSpacing w:val="0"/>
      </w:pPr>
      <w:r w:rsidRPr="00C00255">
        <w:rPr>
          <w:szCs w:val="24"/>
        </w:rPr>
        <w:t xml:space="preserve">Šiame kontekste teisėjų kolegija pažymi, kad neabejotina, kad </w:t>
      </w:r>
      <w:r>
        <w:rPr>
          <w:szCs w:val="24"/>
        </w:rPr>
        <w:t>M. G.</w:t>
      </w:r>
      <w:r w:rsidRPr="00C00255">
        <w:rPr>
          <w:szCs w:val="24"/>
        </w:rPr>
        <w:t xml:space="preserve">, kaip nustatyta, būdamas visos Vilniuje dislokuotos TSRS VSK grupės „A“ vadovas, </w:t>
      </w:r>
      <w:r w:rsidRPr="00C00255">
        <w:rPr>
          <w:rFonts w:eastAsia="Calibri"/>
          <w:szCs w:val="24"/>
        </w:rPr>
        <w:t>šių</w:t>
      </w:r>
      <w:r w:rsidRPr="00C00255">
        <w:rPr>
          <w:szCs w:val="24"/>
        </w:rPr>
        <w:t xml:space="preserve"> veiksmus prie LRT koordinavo ir vykusios operacijos eigoje, nes iš specialisto išvados matyti, kad „operacijos prie LRT metu prie VSK „A“ kariškių prisijungė dar viena operatyvinė grupė iš VSK „A“ kariškių. Galimai tai buvo &lt;...&gt; grupė, kuri buvo atlikusi užduotį užimant Radijo perdavimo centrą“ (t. 480, b. l. 59). </w:t>
      </w:r>
      <w:r w:rsidRPr="00E67B7E">
        <w:rPr>
          <w:rFonts w:eastAsia="Calibri"/>
        </w:rPr>
        <w:t xml:space="preserve">Tokias aplinkybes nurodė ir specialistas J. Andriškevičius, komentuodamas byloje jam parodytus vaizdo įrašus apie LRT užėmimą. Specialistas teigė, kad vaizdo įraše, pavadinimu „Sausio 13. </w:t>
      </w:r>
      <w:r w:rsidRPr="00055544">
        <w:rPr>
          <w:rFonts w:eastAsia="Calibri"/>
          <w:i/>
        </w:rPr>
        <w:t>In memoriam</w:t>
      </w:r>
      <w:r w:rsidRPr="00E67B7E">
        <w:rPr>
          <w:rFonts w:eastAsia="Calibri"/>
        </w:rPr>
        <w:t xml:space="preserve">“ antroje dalyje, nuo 31 min. 50 sek. matyti pro stovinčius autobusus bėgantys TSRS VSK grupės „A“ kariškiai (ne mažiau 10). Jie juda medžių fone galimai link įėjimo į 9 aukštų pastatą (t. 479, b. l. 140). </w:t>
      </w:r>
      <w:bookmarkStart w:id="555" w:name="_Hlk65522559"/>
      <w:r w:rsidRPr="00E67B7E">
        <w:rPr>
          <w:rFonts w:eastAsia="Calibri"/>
        </w:rPr>
        <w:t xml:space="preserve">Be to, aplinkybė, kad papildoma TSRS VSK grupės „A“ kariškių dalis prisijungė prie LRT pastatų užėmimą vykdžiusios TSRS VSK grupės „A“ kariškių, nurodyta ir </w:t>
      </w:r>
      <w:r w:rsidRPr="00E67B7E">
        <w:t xml:space="preserve">„Komandiruotės Vilniuje rezultatų pažymoje“ apie TSRS VSK grupės „A“ kariškių veiksmus 1991 m. sausio mėn. įvykių metu (t. 192, b. l. 46). Akivaizdu, kad be aukštesniųjų karininkų įsakymų (TSRS VSK grupės „A“ aukščiausias karininkas buvo M. G.) ir nurodymų operacijos eigoje prie LRT pastatų veikusios </w:t>
      </w:r>
      <w:r w:rsidRPr="00E67B7E">
        <w:rPr>
          <w:rFonts w:eastAsia="Calibri"/>
        </w:rPr>
        <w:t xml:space="preserve">TSRS VSK </w:t>
      </w:r>
      <w:r w:rsidRPr="00E67B7E">
        <w:t xml:space="preserve">grupės „A“ kariškių nebūtų prisijungusi kitoje operacijoje dalyvavusi </w:t>
      </w:r>
      <w:r w:rsidRPr="00E67B7E">
        <w:rPr>
          <w:rFonts w:eastAsia="Calibri"/>
        </w:rPr>
        <w:t xml:space="preserve">TSRS VSK </w:t>
      </w:r>
      <w:r w:rsidRPr="00E67B7E">
        <w:t>grupės „A“ kariškių dalis. Šiame kontekste pažymėtina, kad minėtoje specialisto išvadoje taip pat nurodyta, kad operacijos planavimas ir vykdymas buvo koordinuojamas ir derinamas nuo vadovavimo piramidės viršūnės iki smulkiausių padalinių (t. 480, b. l. 36).</w:t>
      </w:r>
      <w:bookmarkEnd w:id="555"/>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055544">
        <w:t xml:space="preserve">Visų šių aplinkybių kontekste, turint omenyje ir faktus </w:t>
      </w:r>
      <w:r w:rsidRPr="00055544">
        <w:rPr>
          <w:rFonts w:eastAsia="Calibri"/>
        </w:rPr>
        <w:t>apie M. G. aukštas pareigas</w:t>
      </w:r>
      <w:r w:rsidRPr="00055544">
        <w:t xml:space="preserve"> TSRS VSK specialiosios paskirties grupėje „A“,</w:t>
      </w:r>
      <w:r w:rsidRPr="00055544">
        <w:rPr>
          <w:rFonts w:eastAsia="Calibri"/>
        </w:rPr>
        <w:t xml:space="preserve"> taip pat </w:t>
      </w:r>
      <w:r w:rsidRPr="00055544">
        <w:t>užduočių skirstymą pavaldumo tvarka paklūstantiems kariškiams</w:t>
      </w:r>
      <w:r w:rsidRPr="00055544">
        <w:rPr>
          <w:rFonts w:eastAsia="Calibri"/>
        </w:rPr>
        <w:t xml:space="preserve">, apygardos teismo išvada apie M. G. vadovavimą šio karinio dalinio kariškiams ir jų veiksmų koordinavimą </w:t>
      </w:r>
      <w:r w:rsidRPr="00055544">
        <w:t>LRT Radijo, LRT Televizijos ir LRT TASK pastatų</w:t>
      </w:r>
      <w:r w:rsidRPr="00055544">
        <w:rPr>
          <w:rFonts w:eastAsia="Calibri"/>
        </w:rPr>
        <w:t xml:space="preserve"> šturmo metu, laikytina teisinga ir pagrįsta.</w:t>
      </w:r>
      <w:r w:rsidRPr="00055544" w:rsidDel="000748A2">
        <w:rPr>
          <w:rFonts w:eastAsia="Calibri"/>
        </w:rPr>
        <w:t xml:space="preserve"> </w:t>
      </w:r>
      <w:r w:rsidRPr="00055544">
        <w:rPr>
          <w:rFonts w:eastAsia="Calibri"/>
        </w:rPr>
        <w:t xml:space="preserve">Tokios išvados kontekste, turint omenyje visus jau aptartus tiek bendrus visų kariškių, tiek individualius TSRS VSK grupės „A“ kariškių veiksmus, panaudojant ginklus, specialias priemones ir kitus smurtinius veiksmus prieš civilius, kiti nuteistojo </w:t>
      </w:r>
      <w:r w:rsidRPr="00055544">
        <w:t>M. G. gynėjo teiginiai neturi esminės reikšmės. Kaip ne kartą minėta, užimant LRT pastatus, visi kariškiai veikė koordinuotai, bendrai ir siekdami to paties vieno tikslo, o nuteistasis atliko vadovaujamo pobūdžio veiksmus daliai labai svarbų vaidmenį bendroje operacijoje atlikusių kariškių.</w:t>
      </w:r>
    </w:p>
    <w:p w:rsidR="00DA38E9" w:rsidRPr="00C00255" w:rsidRDefault="00DA38E9" w:rsidP="00DA38E9">
      <w:pPr>
        <w:pStyle w:val="Heading4"/>
        <w:spacing w:before="120" w:after="120"/>
        <w:ind w:firstLine="992"/>
        <w:rPr>
          <w:rFonts w:ascii="Times New Roman" w:hAnsi="Times New Roman"/>
          <w:b w:val="0"/>
          <w:i/>
          <w:sz w:val="24"/>
          <w:szCs w:val="24"/>
        </w:rPr>
      </w:pPr>
      <w:bookmarkStart w:id="556" w:name="_Toc66697278"/>
      <w:r w:rsidRPr="00C00255">
        <w:rPr>
          <w:rFonts w:ascii="Times New Roman" w:hAnsi="Times New Roman"/>
          <w:b w:val="0"/>
          <w:i/>
          <w:sz w:val="24"/>
          <w:szCs w:val="24"/>
        </w:rPr>
        <w:t xml:space="preserve">Dėl nuteistojo </w:t>
      </w:r>
      <w:r>
        <w:rPr>
          <w:rFonts w:ascii="Times New Roman" w:hAnsi="Times New Roman"/>
          <w:b w:val="0"/>
          <w:i/>
          <w:sz w:val="24"/>
          <w:szCs w:val="24"/>
        </w:rPr>
        <w:t>J. Č.</w:t>
      </w:r>
      <w:r w:rsidRPr="00C00255">
        <w:rPr>
          <w:rFonts w:ascii="Times New Roman" w:hAnsi="Times New Roman"/>
          <w:b w:val="0"/>
          <w:i/>
          <w:sz w:val="24"/>
          <w:szCs w:val="24"/>
        </w:rPr>
        <w:t xml:space="preserve"> dalyvavimo užimant LRT</w:t>
      </w:r>
      <w:bookmarkEnd w:id="556"/>
      <w:r w:rsidRPr="00C00255">
        <w:rPr>
          <w:rFonts w:ascii="Times New Roman" w:hAnsi="Times New Roman"/>
          <w:b w:val="0"/>
          <w:i/>
          <w:sz w:val="24"/>
          <w:szCs w:val="24"/>
        </w:rPr>
        <w:t xml:space="preserve"> </w:t>
      </w:r>
    </w:p>
    <w:p w:rsidR="00DA38E9" w:rsidRPr="00C00255" w:rsidRDefault="00DA38E9" w:rsidP="00DA38E9">
      <w:pPr>
        <w:pStyle w:val="ListParagraph"/>
        <w:numPr>
          <w:ilvl w:val="0"/>
          <w:numId w:val="6"/>
        </w:numPr>
        <w:spacing w:after="120"/>
        <w:ind w:left="993" w:hanging="993"/>
        <w:contextualSpacing w:val="0"/>
      </w:pPr>
      <w:bookmarkStart w:id="557" w:name="_Hlk63617727"/>
      <w:r w:rsidRPr="00C00255">
        <w:rPr>
          <w:szCs w:val="24"/>
          <w:lang w:eastAsia="lt-LT"/>
        </w:rPr>
        <w:t xml:space="preserve">Teisėjų kolegija sutinka su pirmosios instancijos teismo išvada, kad </w:t>
      </w:r>
      <w:bookmarkStart w:id="558" w:name="_Hlk64237597"/>
      <w:bookmarkStart w:id="559" w:name="_Hlk63455277"/>
      <w:r w:rsidRPr="00C00255">
        <w:rPr>
          <w:szCs w:val="24"/>
        </w:rPr>
        <w:t>TSRS VSK specialiosios paskirties grupės „A“</w:t>
      </w:r>
      <w:bookmarkEnd w:id="558"/>
      <w:r w:rsidRPr="00C00255">
        <w:rPr>
          <w:szCs w:val="24"/>
        </w:rPr>
        <w:t xml:space="preserve"> </w:t>
      </w:r>
      <w:bookmarkEnd w:id="559"/>
      <w:r w:rsidRPr="00C00255">
        <w:rPr>
          <w:szCs w:val="24"/>
        </w:rPr>
        <w:t xml:space="preserve">3-iojo poskyrio viršininkas </w:t>
      </w:r>
      <w:r>
        <w:rPr>
          <w:szCs w:val="24"/>
        </w:rPr>
        <w:t>J. Č.</w:t>
      </w:r>
      <w:r w:rsidRPr="00C00255">
        <w:rPr>
          <w:szCs w:val="24"/>
        </w:rPr>
        <w:t xml:space="preserve"> (kai kur skundžiamame nuosprendyje nurodyta J.</w:t>
      </w:r>
      <w:r>
        <w:rPr>
          <w:szCs w:val="24"/>
        </w:rPr>
        <w:t> </w:t>
      </w:r>
      <w:r w:rsidRPr="00C00255">
        <w:rPr>
          <w:szCs w:val="24"/>
        </w:rPr>
        <w:t>Č</w:t>
      </w:r>
      <w:r>
        <w:rPr>
          <w:szCs w:val="24"/>
        </w:rPr>
        <w:t>.</w:t>
      </w:r>
      <w:r w:rsidRPr="00C00255">
        <w:rPr>
          <w:szCs w:val="24"/>
        </w:rPr>
        <w:t>, bet neabejotina, kad kalbama apie tą patį asmenį)</w:t>
      </w:r>
      <w:r w:rsidRPr="00C00255">
        <w:rPr>
          <w:szCs w:val="24"/>
          <w:lang w:eastAsia="lt-LT"/>
        </w:rPr>
        <w:t xml:space="preserve"> vadovavo </w:t>
      </w:r>
      <w:r w:rsidRPr="00C00255">
        <w:rPr>
          <w:szCs w:val="24"/>
        </w:rPr>
        <w:t xml:space="preserve">TSRS VSK specialiosios paskirties </w:t>
      </w:r>
      <w:r w:rsidRPr="00C00255">
        <w:t xml:space="preserve">grupės „A“ </w:t>
      </w:r>
      <w:r w:rsidRPr="00C00255">
        <w:rPr>
          <w:szCs w:val="24"/>
          <w:lang w:eastAsia="lt-LT"/>
        </w:rPr>
        <w:t>kariškiams operacijos LRT pastatų užėmimo metu</w:t>
      </w:r>
      <w:r w:rsidRPr="00C00255">
        <w:rPr>
          <w:rFonts w:eastAsia="Calibri"/>
          <w:szCs w:val="24"/>
        </w:rPr>
        <w:t>.</w:t>
      </w:r>
      <w:r w:rsidRPr="00C00255">
        <w:rPr>
          <w:szCs w:val="24"/>
          <w:lang w:eastAsia="lt-LT"/>
        </w:rPr>
        <w:t xml:space="preserve"> </w:t>
      </w:r>
      <w:bookmarkEnd w:id="557"/>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rPr>
        <w:t xml:space="preserve">Nuteistojo gynėja </w:t>
      </w:r>
      <w:r w:rsidRPr="00C00255">
        <w:rPr>
          <w:szCs w:val="24"/>
        </w:rPr>
        <w:t xml:space="preserve">apeliaciniame skunde neginčija </w:t>
      </w:r>
      <w:r>
        <w:rPr>
          <w:szCs w:val="24"/>
        </w:rPr>
        <w:t>J. Č.</w:t>
      </w:r>
      <w:r w:rsidRPr="00C00255">
        <w:rPr>
          <w:szCs w:val="24"/>
        </w:rPr>
        <w:t xml:space="preserve"> dalyvavimo operacijoje prie LRT, tačiau teigia, kad </w:t>
      </w:r>
      <w:r>
        <w:t>J. Č.</w:t>
      </w:r>
      <w:r w:rsidRPr="00C00255">
        <w:t xml:space="preserve">, būdamas pavaldus aukštesniajam vadovui, privalėjo vykdyti jo įsakymus, jis neturėjo tikslo žudyti žmonių ar sutrikdyti jų sveikatą. Be to, </w:t>
      </w:r>
      <w:r>
        <w:t>J. Č.</w:t>
      </w:r>
      <w:r w:rsidRPr="00C00255">
        <w:t xml:space="preserve"> pagal užimtas pareigas nedalyvavo planuojant operacijos eigą ir negalėjo apie ją žinoti. Nemaža dalis </w:t>
      </w:r>
      <w:r>
        <w:t>J. Č.</w:t>
      </w:r>
      <w:r w:rsidRPr="00C00255">
        <w:t xml:space="preserve"> gynėjos skundo argumentų yra teisinio vertinimo dalykas, o ne fakto klausimai, todėl apie tai teisėjų kolegija pasisakys atskirai.</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Teisėjų kolegija sutinka su gynėjos argumentu, kad nuteistasis </w:t>
      </w:r>
      <w:r>
        <w:rPr>
          <w:szCs w:val="24"/>
          <w:lang w:eastAsia="lt-LT" w:bidi="lt-LT"/>
        </w:rPr>
        <w:t>J. Č.</w:t>
      </w:r>
      <w:r w:rsidRPr="00C00255">
        <w:rPr>
          <w:szCs w:val="24"/>
          <w:lang w:eastAsia="lt-LT" w:bidi="lt-LT"/>
        </w:rPr>
        <w:t xml:space="preserve"> vykdė aukštesnių vadų įsakymus, tačiau lygiai taip pat, kaip ir aukštesnieji vadai, pats </w:t>
      </w:r>
      <w:r>
        <w:rPr>
          <w:szCs w:val="24"/>
          <w:lang w:eastAsia="lt-LT" w:bidi="lt-LT"/>
        </w:rPr>
        <w:t>J. Č.</w:t>
      </w:r>
      <w:r w:rsidRPr="00C00255">
        <w:rPr>
          <w:szCs w:val="24"/>
          <w:lang w:eastAsia="lt-LT" w:bidi="lt-LT"/>
        </w:rPr>
        <w:t xml:space="preserve"> davė įsakymus ir vadovavo sau pavaldiems kariškiams, kurie, veikdami visi kartu, LRT pastatų užėmimo metu, naudojo jėgą, ginklus ir nuosprendyje nurodytus brutalius smurtinius veiksmus beginklių civilių atžvilgiu, kuriems buvo padaryti įvairaus pobūdžio sužalojimai. </w:t>
      </w:r>
      <w:r w:rsidRPr="00C00255">
        <w:rPr>
          <w:szCs w:val="24"/>
          <w:lang w:eastAsia="lt-LT"/>
        </w:rPr>
        <w:t xml:space="preserve">Teisėjų kolegijai </w:t>
      </w:r>
      <w:r w:rsidRPr="00C00255">
        <w:rPr>
          <w:rFonts w:eastAsia="Calibri"/>
          <w:szCs w:val="24"/>
        </w:rPr>
        <w:t>nekyla abejonių</w:t>
      </w:r>
      <w:r w:rsidRPr="00C00255">
        <w:rPr>
          <w:szCs w:val="24"/>
          <w:lang w:eastAsia="lt-LT" w:bidi="lt-LT"/>
        </w:rPr>
        <w:t xml:space="preserve">, kad </w:t>
      </w:r>
      <w:r>
        <w:rPr>
          <w:szCs w:val="24"/>
          <w:lang w:eastAsia="lt-LT" w:bidi="lt-LT"/>
        </w:rPr>
        <w:t>J. Č.</w:t>
      </w:r>
      <w:r w:rsidRPr="00C00255">
        <w:rPr>
          <w:szCs w:val="24"/>
          <w:lang w:eastAsia="lt-LT" w:bidi="lt-LT"/>
        </w:rPr>
        <w:t xml:space="preserve"> dalyvavo užimant LRT pastatus ir </w:t>
      </w:r>
      <w:r w:rsidRPr="00C00255">
        <w:rPr>
          <w:szCs w:val="24"/>
        </w:rPr>
        <w:t xml:space="preserve">TSRS VSK specialiosios paskirties grupės „A“ dalinyje buvo 3-iojo poskyrio viršininkas. Taigi, operacijos metu </w:t>
      </w:r>
      <w:r>
        <w:rPr>
          <w:szCs w:val="24"/>
        </w:rPr>
        <w:t>J. Č.</w:t>
      </w:r>
      <w:r w:rsidRPr="00C00255">
        <w:rPr>
          <w:szCs w:val="24"/>
        </w:rPr>
        <w:t xml:space="preserve"> ėjo vadovaujančio pobūdžio pareigas ir vadovavo jam pavaldiems kariškiams, kurie pagal specialisto išvadoje nurodytas aplinkybes buvo pasitelkiami pagrindinėms trumpalaikėms operacijos užduotims vykdyti (t. 480, b. l. 36).</w:t>
      </w:r>
      <w:r w:rsidRPr="00C00255">
        <w:rPr>
          <w:szCs w:val="24"/>
          <w:lang w:eastAsia="lt-LT" w:bidi="lt-LT"/>
        </w:rPr>
        <w:t xml:space="preserve"> Tokias nustatytas aplinkybes</w:t>
      </w:r>
      <w:r w:rsidRPr="00C00255">
        <w:rPr>
          <w:szCs w:val="24"/>
          <w:lang w:eastAsia="lt-LT"/>
        </w:rPr>
        <w:t xml:space="preserve"> patvirtina byloje surinkti įrodymai, todėl pirmosios instancijos teismo išvados dėl vadovaujančio </w:t>
      </w:r>
      <w:r>
        <w:rPr>
          <w:szCs w:val="24"/>
          <w:lang w:eastAsia="lt-LT"/>
        </w:rPr>
        <w:t>J. Č.</w:t>
      </w:r>
      <w:r w:rsidRPr="00C00255">
        <w:rPr>
          <w:szCs w:val="24"/>
          <w:lang w:eastAsia="lt-LT"/>
        </w:rPr>
        <w:t xml:space="preserve"> vaidmens yra teisingos.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 xml:space="preserve">Aplinkybė, kad </w:t>
      </w:r>
      <w:r>
        <w:rPr>
          <w:szCs w:val="24"/>
        </w:rPr>
        <w:t>J. Č.</w:t>
      </w:r>
      <w:r w:rsidRPr="00C00255">
        <w:rPr>
          <w:szCs w:val="24"/>
        </w:rPr>
        <w:t xml:space="preserve"> įvykių metu buvo TSRS VSK specialiosios paskirties grupės „A“ dalinio sudėtyje ir dalyvavo bei vadovavo </w:t>
      </w:r>
      <w:bookmarkStart w:id="560" w:name="_Hlk63461939"/>
      <w:r w:rsidRPr="00C00255">
        <w:rPr>
          <w:szCs w:val="24"/>
        </w:rPr>
        <w:t xml:space="preserve">TSRS VSK specialiosios paskirties grupės „A“ </w:t>
      </w:r>
      <w:bookmarkEnd w:id="560"/>
      <w:r w:rsidRPr="00C00255">
        <w:rPr>
          <w:szCs w:val="24"/>
        </w:rPr>
        <w:t xml:space="preserve">kariškiams LRT pastatų šturmo metu, nurodyta „Komandiruotės Vilniuje rezultatų pažymoje“ apie </w:t>
      </w:r>
      <w:r w:rsidRPr="00C00255">
        <w:rPr>
          <w:rFonts w:eastAsia="Calibri"/>
          <w:szCs w:val="24"/>
        </w:rPr>
        <w:t xml:space="preserve">TSRS VSK </w:t>
      </w:r>
      <w:r w:rsidRPr="00C00255">
        <w:rPr>
          <w:szCs w:val="24"/>
        </w:rPr>
        <w:t xml:space="preserve">grupės „A“ kariškių veiksmus 1991 m. sausio mėn. įvykių metu. Iš minėtos pažymos matyti, kad 1991 m. sausio 11 d. 3-iojo poskyrio viršininko pavaduotojo </w:t>
      </w:r>
      <w:r>
        <w:rPr>
          <w:szCs w:val="24"/>
        </w:rPr>
        <w:t>J. Č.</w:t>
      </w:r>
      <w:r w:rsidRPr="00C00255">
        <w:rPr>
          <w:szCs w:val="24"/>
        </w:rPr>
        <w:t xml:space="preserve"> vadovaujami darbuotojai atskrido į Vilnių. Vilniuje </w:t>
      </w:r>
      <w:r w:rsidRPr="00C00255">
        <w:rPr>
          <w:rFonts w:eastAsia="Calibri"/>
          <w:szCs w:val="24"/>
        </w:rPr>
        <w:t xml:space="preserve">TSRS VSK </w:t>
      </w:r>
      <w:r w:rsidRPr="00C00255">
        <w:rPr>
          <w:szCs w:val="24"/>
        </w:rPr>
        <w:t xml:space="preserve">grupės „A“ darbuotojams vadovavo viršininko pavaduotojas papulkininkis </w:t>
      </w:r>
      <w:r>
        <w:rPr>
          <w:szCs w:val="24"/>
        </w:rPr>
        <w:t>M. G.</w:t>
      </w:r>
      <w:r w:rsidRPr="00C00255">
        <w:rPr>
          <w:szCs w:val="24"/>
        </w:rPr>
        <w:t xml:space="preserve">. TVR Komiteto (LRT) užduoties (užimti objektus, nutraukti TV bei radijo laidų transliavimą ir perduoti šiuos objektus saugoti) įvykdymui buvo paskirti dvidešimt penki </w:t>
      </w:r>
      <w:r w:rsidRPr="00C00255">
        <w:rPr>
          <w:rFonts w:eastAsia="Calibri"/>
          <w:szCs w:val="24"/>
        </w:rPr>
        <w:t xml:space="preserve">TSRS VSK </w:t>
      </w:r>
      <w:r w:rsidRPr="00C00255">
        <w:rPr>
          <w:szCs w:val="24"/>
        </w:rPr>
        <w:t xml:space="preserve">grupės „A“ darbuotojai, kurių vyresnysis buvo 3-iojo poskyrio viršininko pavaduotojas </w:t>
      </w:r>
      <w:r>
        <w:rPr>
          <w:szCs w:val="24"/>
        </w:rPr>
        <w:t>J. Č.</w:t>
      </w:r>
      <w:r w:rsidRPr="00C00255">
        <w:rPr>
          <w:szCs w:val="24"/>
        </w:rPr>
        <w:t xml:space="preserve"> ir kurie įvykdė jiems suformuotas užduotis (t. 192, b. l. 36</w:t>
      </w:r>
      <w:bookmarkStart w:id="561" w:name="_Hlk63461976"/>
      <w:r w:rsidRPr="00C00255">
        <w:rPr>
          <w:color w:val="000000"/>
          <w:szCs w:val="24"/>
        </w:rPr>
        <w:t>–</w:t>
      </w:r>
      <w:bookmarkEnd w:id="561"/>
      <w:r w:rsidRPr="00C00255">
        <w:rPr>
          <w:szCs w:val="24"/>
        </w:rPr>
        <w:t xml:space="preserve">47).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 xml:space="preserve">Teisėjų kolegija neturi pagrindo abejoti aptartoje pažymoje nurodytų aplinkybių tikrumu, kadangi joje nurodytos aplinkybės dėl TSRS VSK specialiosios paskirties grupės „A“ kariškių vykimo į Vilnių, dėl jų sudėties ir skaičiaus, dėl Vilniuje iškeltų užduočių ir operatyvinių grupių paskirstymo, dėl atliktų veiksmų sutapo ir atitiko pranešime RTFSR prokuratūrai dėl grupės „A” darbuotojų komandiruotės Vilniuje (1991 m. sausio 11–14 d.) (t. 192, b. l. 206–211) bei paaiškinamajame rašte RTFSR prokuratūrai dėl „A“ grupės darbuotojų komandiravimo į Vilniaus m. (1991 m. sausio 11–14 d.), kuriuos pasirašė pats </w:t>
      </w:r>
      <w:r>
        <w:rPr>
          <w:szCs w:val="24"/>
        </w:rPr>
        <w:t>M. G.</w:t>
      </w:r>
      <w:r w:rsidRPr="00C00255">
        <w:rPr>
          <w:szCs w:val="24"/>
        </w:rPr>
        <w:t xml:space="preserve"> (t. 451, b. l. 249</w:t>
      </w:r>
      <w:bookmarkStart w:id="562" w:name="_Hlk64239015"/>
      <w:r w:rsidRPr="00C00255">
        <w:rPr>
          <w:szCs w:val="24"/>
        </w:rPr>
        <w:t>–</w:t>
      </w:r>
      <w:bookmarkEnd w:id="562"/>
      <w:r w:rsidRPr="00C00255">
        <w:rPr>
          <w:szCs w:val="24"/>
        </w:rPr>
        <w:t>250), išdėstytus faktus. Nurodytos aplinkybės taip pat atitiko ir 2014 m. birželio 10 d. specialisto išvadoje konstatuotas aplinkybes dėl operacijos plano, eigos, įgyvendinimo ir pan. (t. 480, b. l. 52</w:t>
      </w:r>
      <w:bookmarkStart w:id="563" w:name="_Hlk64464729"/>
      <w:r w:rsidRPr="00C00255">
        <w:rPr>
          <w:szCs w:val="24"/>
        </w:rPr>
        <w:t>–</w:t>
      </w:r>
      <w:bookmarkEnd w:id="563"/>
      <w:r w:rsidRPr="00C00255">
        <w:rPr>
          <w:szCs w:val="24"/>
        </w:rPr>
        <w:t xml:space="preserve">61). Šiame kontekste teisėjų kolegija pažymi, kad iš internetinio puslapio http://www.youtube.com/watch?v=pyfep8uXk5E apžiūros protokolo matyti, jog iš esmės tokias pačias aplinkybes dėl dalyvavimo operacijoje ir TSRS VSK specialiosios paskirties grupės „A“ kariškiams iškeltų užduočių </w:t>
      </w:r>
      <w:r>
        <w:rPr>
          <w:szCs w:val="24"/>
        </w:rPr>
        <w:t>M. G.</w:t>
      </w:r>
      <w:r w:rsidRPr="00C00255">
        <w:rPr>
          <w:szCs w:val="24"/>
        </w:rPr>
        <w:t xml:space="preserve"> nurodė duodamas ir interviu laidos „Žmogus ir įstatymas“ metu (t. 472, b. l. 86</w:t>
      </w:r>
      <w:r w:rsidRPr="00C00255">
        <w:rPr>
          <w:color w:val="000000"/>
          <w:szCs w:val="24"/>
        </w:rPr>
        <w:t>–</w:t>
      </w:r>
      <w:r w:rsidRPr="00C00255">
        <w:rPr>
          <w:szCs w:val="24"/>
        </w:rPr>
        <w:t>98).</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Minėti duomenys apie </w:t>
      </w:r>
      <w:r>
        <w:rPr>
          <w:szCs w:val="24"/>
        </w:rPr>
        <w:t>J. Č.</w:t>
      </w:r>
      <w:r w:rsidRPr="00C00255">
        <w:rPr>
          <w:szCs w:val="24"/>
        </w:rPr>
        <w:t xml:space="preserve">, kaip aukštesnio karininko, įgaliojimus ir byloje neginčijamą faktą apie jo dalyvavimą užimant LRT Radijo, LRT Televizijos ir LRT TASK pastatus, leidžia daryti išvadas apie </w:t>
      </w:r>
      <w:bookmarkStart w:id="564" w:name="_Hlk64302215"/>
      <w:r>
        <w:rPr>
          <w:szCs w:val="24"/>
        </w:rPr>
        <w:t>J. Č.</w:t>
      </w:r>
      <w:r w:rsidRPr="00C00255">
        <w:rPr>
          <w:szCs w:val="24"/>
        </w:rPr>
        <w:t xml:space="preserve"> </w:t>
      </w:r>
      <w:bookmarkEnd w:id="564"/>
      <w:r w:rsidRPr="00C00255">
        <w:rPr>
          <w:szCs w:val="24"/>
        </w:rPr>
        <w:t xml:space="preserve">vadovaujamą vaidmenį šio karinio dalinio kariškiams minėtų pastatų užėmimo metu. Šių aplinkybių kontekste nuteistojo gynėjos argumentai apie tai, kad </w:t>
      </w:r>
      <w:r>
        <w:rPr>
          <w:szCs w:val="24"/>
        </w:rPr>
        <w:t>J. Č.</w:t>
      </w:r>
      <w:r w:rsidRPr="00C00255">
        <w:rPr>
          <w:szCs w:val="24"/>
        </w:rPr>
        <w:t xml:space="preserve"> nebuvo </w:t>
      </w:r>
      <w:r w:rsidRPr="00C00255">
        <w:t>operacijos prie LRT planavimo grupės nariu</w:t>
      </w:r>
      <w:r w:rsidRPr="00C00255">
        <w:rPr>
          <w:szCs w:val="24"/>
        </w:rPr>
        <w:t xml:space="preserve">, </w:t>
      </w:r>
      <w:r w:rsidRPr="00C00255">
        <w:t xml:space="preserve">todėl negalėjo žinoti apie aukštų pareigūnų veiksmus, nepaneigia ir nesumenkina jo nustatyto vadovaujamo vaidmens </w:t>
      </w:r>
      <w:r w:rsidRPr="00C00255">
        <w:rPr>
          <w:szCs w:val="24"/>
        </w:rPr>
        <w:t xml:space="preserve">operacijoje </w:t>
      </w:r>
      <w:r w:rsidRPr="00C00255">
        <w:rPr>
          <w:color w:val="000000"/>
          <w:szCs w:val="24"/>
          <w:lang w:eastAsia="lt-LT" w:bidi="lt-LT"/>
        </w:rPr>
        <w:t>prie LRT Radijo, LRT Televizijos ir LRT TASK pastatų</w:t>
      </w:r>
      <w:r w:rsidRPr="00C00255">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Taigi pirmosios instancijos teismo išvados dėl </w:t>
      </w:r>
      <w:r>
        <w:rPr>
          <w:szCs w:val="24"/>
        </w:rPr>
        <w:t>J. Č.</w:t>
      </w:r>
      <w:r w:rsidRPr="00C00255">
        <w:rPr>
          <w:szCs w:val="24"/>
        </w:rPr>
        <w:t xml:space="preserve"> vaidmens šioje dalyje yra teisingos.</w:t>
      </w:r>
      <w:bookmarkStart w:id="565" w:name="_Hlk65532182"/>
      <w:r w:rsidRPr="00C00255">
        <w:rPr>
          <w:szCs w:val="24"/>
        </w:rPr>
        <w:t xml:space="preserve"> Iš bylos medžiagos matyti, kad TSRS VSK grupės „A“ kariškiai veikė kartu su kariškiais iš kitų padalinių. </w:t>
      </w:r>
      <w:r>
        <w:rPr>
          <w:szCs w:val="24"/>
        </w:rPr>
        <w:t>J. Č.</w:t>
      </w:r>
      <w:r w:rsidRPr="00C00255">
        <w:rPr>
          <w:szCs w:val="24"/>
        </w:rPr>
        <w:t xml:space="preserve">, tiesiogiai dalyvaudamas LRT pastatų užėmime, buvo aukščiausias pareigas užimantis </w:t>
      </w:r>
      <w:r w:rsidRPr="00C00255">
        <w:rPr>
          <w:rFonts w:eastAsia="Calibri"/>
          <w:szCs w:val="24"/>
        </w:rPr>
        <w:t xml:space="preserve">TSRS VSK </w:t>
      </w:r>
      <w:r w:rsidRPr="00C00255">
        <w:rPr>
          <w:szCs w:val="24"/>
        </w:rPr>
        <w:t xml:space="preserve">grupės „A“ kariškis, todėl teisėjų kolegijai jokių abejonių nekelia ir aplinkybės, jog </w:t>
      </w:r>
      <w:r>
        <w:rPr>
          <w:szCs w:val="24"/>
        </w:rPr>
        <w:t>J. Č.</w:t>
      </w:r>
      <w:r w:rsidRPr="00C00255">
        <w:rPr>
          <w:szCs w:val="24"/>
        </w:rPr>
        <w:t xml:space="preserve">, kaip </w:t>
      </w:r>
      <w:r w:rsidRPr="00C00255">
        <w:rPr>
          <w:rFonts w:eastAsia="Calibri"/>
          <w:szCs w:val="24"/>
        </w:rPr>
        <w:t xml:space="preserve">TSRS VSK </w:t>
      </w:r>
      <w:r w:rsidRPr="00C00255">
        <w:rPr>
          <w:szCs w:val="24"/>
        </w:rPr>
        <w:t xml:space="preserve">grupės „A“ kariškiams vietoje vadovaujantis asmuo, savo ir </w:t>
      </w:r>
      <w:r w:rsidRPr="00C00255">
        <w:rPr>
          <w:rFonts w:eastAsia="Calibri"/>
          <w:szCs w:val="24"/>
        </w:rPr>
        <w:t xml:space="preserve">TSRS VSK </w:t>
      </w:r>
      <w:r w:rsidRPr="00C00255">
        <w:rPr>
          <w:szCs w:val="24"/>
        </w:rPr>
        <w:t>grupės „A“ kariškių veiksmus derino ir koordinavo su kitais kariškiais, taip pat ir oro desanto kariškiais.</w:t>
      </w:r>
      <w:bookmarkEnd w:id="565"/>
    </w:p>
    <w:p w:rsidR="00DA38E9" w:rsidRPr="00C00255" w:rsidRDefault="00DA38E9" w:rsidP="00DA38E9">
      <w:pPr>
        <w:pStyle w:val="Heading3"/>
        <w:spacing w:before="120" w:after="120" w:line="259" w:lineRule="auto"/>
        <w:ind w:left="992"/>
        <w:jc w:val="both"/>
        <w:rPr>
          <w:b w:val="0"/>
          <w:i/>
          <w:sz w:val="24"/>
          <w:szCs w:val="24"/>
          <w:lang w:val="lt-LT"/>
        </w:rPr>
      </w:pPr>
      <w:bookmarkStart w:id="566" w:name="_Toc66697279"/>
      <w:bookmarkStart w:id="567" w:name="_Toc67480788"/>
      <w:bookmarkStart w:id="568" w:name="_Toc67677400"/>
      <w:bookmarkStart w:id="569" w:name="_Toc67985528"/>
      <w:r w:rsidRPr="00C00255">
        <w:rPr>
          <w:b w:val="0"/>
          <w:i/>
          <w:sz w:val="24"/>
          <w:szCs w:val="24"/>
          <w:lang w:val="lt-LT"/>
        </w:rPr>
        <w:t xml:space="preserve">Dėl TSRS GM 107-osios motorizuotų šaulių divizijos kariškių </w:t>
      </w:r>
      <w:bookmarkStart w:id="570" w:name="_Hlk67503643"/>
      <w:r w:rsidRPr="00C00255">
        <w:rPr>
          <w:b w:val="0"/>
          <w:i/>
          <w:sz w:val="24"/>
          <w:szCs w:val="24"/>
          <w:lang w:val="lt-LT"/>
        </w:rPr>
        <w:t xml:space="preserve">ir joje tarnavusių nuteistųjų </w:t>
      </w:r>
      <w:bookmarkEnd w:id="570"/>
      <w:r w:rsidRPr="00C00255">
        <w:rPr>
          <w:b w:val="0"/>
          <w:i/>
          <w:sz w:val="24"/>
          <w:szCs w:val="24"/>
          <w:lang w:val="lt-LT"/>
        </w:rPr>
        <w:t>dalyvavimo užimant LRT</w:t>
      </w:r>
      <w:bookmarkEnd w:id="566"/>
      <w:bookmarkEnd w:id="567"/>
      <w:bookmarkEnd w:id="568"/>
      <w:bookmarkEnd w:id="569"/>
      <w:r w:rsidRPr="00C00255">
        <w:rPr>
          <w:b w:val="0"/>
          <w:i/>
          <w:sz w:val="24"/>
          <w:szCs w:val="24"/>
          <w:lang w:val="lt-LT"/>
        </w:rPr>
        <w:t xml:space="preserve"> </w:t>
      </w:r>
    </w:p>
    <w:p w:rsidR="00DA38E9" w:rsidRPr="00055544" w:rsidRDefault="00DA38E9" w:rsidP="00DA38E9">
      <w:pPr>
        <w:pStyle w:val="ListParagraph"/>
        <w:numPr>
          <w:ilvl w:val="0"/>
          <w:numId w:val="6"/>
        </w:numPr>
        <w:spacing w:before="120" w:after="120"/>
        <w:ind w:left="993" w:hanging="993"/>
        <w:contextualSpacing w:val="0"/>
      </w:pPr>
      <w:r w:rsidRPr="00055544">
        <w:t xml:space="preserve">Skundžiamo nuosprendžio nustatomojoje dalyje nustatyta, kad užimant LRT pastatus </w:t>
      </w:r>
      <w:r w:rsidRPr="00055544">
        <w:rPr>
          <w:rFonts w:eastAsia="Calibri"/>
        </w:rPr>
        <w:t>dalyvavo</w:t>
      </w:r>
      <w:r w:rsidRPr="00055544">
        <w:t xml:space="preserve"> ir TSRS GM Sausumos pajėgų Pabaltijo karinės apygardos </w:t>
      </w:r>
      <w:r w:rsidRPr="00055544">
        <w:rPr>
          <w:rFonts w:eastAsia="Calibri"/>
        </w:rPr>
        <w:t>107-osios motorizuotų šaulių divizijos 106-ojo tankų pulko kariškiai, tarp jų ir nuteistieji: V. P., N. O., A. U., J. O., D. F., E. R., A. K. 2 ir N. S. (</w:t>
      </w:r>
      <w:r w:rsidRPr="00055544">
        <w:t>žr. </w:t>
      </w:r>
      <w:r w:rsidRPr="00055544">
        <w:rPr>
          <w:rFonts w:eastAsia="Calibri"/>
        </w:rPr>
        <w:t>nuosprendžio 514–520 l.; t. 771, b. l. 114–120).</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lang w:eastAsia="lt-LT"/>
        </w:rPr>
        <w:t xml:space="preserve">Pirmosios instancijos teismas, vadovaudamasis byloje surinktais įrodymais, konstatavo tokius TSRS GM Sausumos pajėgų </w:t>
      </w:r>
      <w:r w:rsidRPr="00C00255">
        <w:rPr>
          <w:szCs w:val="24"/>
          <w:lang w:eastAsia="lt-LT"/>
        </w:rPr>
        <w:t xml:space="preserve">Pabaltijo karinės apygardos 107-osios motorizuotų šaulių divizijos </w:t>
      </w:r>
      <w:r w:rsidRPr="00C00255">
        <w:rPr>
          <w:lang w:eastAsia="lt-LT"/>
        </w:rPr>
        <w:t>kariškių veiksmus užimant LRT pastatus:</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rPr>
          <w:szCs w:val="24"/>
          <w:lang w:eastAsia="lt-LT" w:bidi="lt-LT"/>
        </w:rPr>
        <w:t>„</w:t>
      </w:r>
      <w:r w:rsidRPr="00C00255">
        <w:t>Pagal vadovavimo štabo suformuotą užduotį prie pastatų susirinkusius civilius, kurie siekė taikiu būdu užkirsti kelią TSRS ir TSKP vykdomai politikai – grąžinti Lietuvą į TSRS sudėtį, buvo numatyta pašalinti panaudojant teroro ir bauginimo priemones, kurias turėjo naudoti visi operacijoje dalyvaujantys padaliniai: motorizuotų šaulių kariškiai prie LRT turėjo atvykti tankais T-72, jais išgriauti užtvaras, šaudyti iš tankų pabūklų į civilių minią tuščiais užtaisais, skleisti dūminę užsklandą, karinės technikos prožektoriais apšviesti civilius, pavojingai manevruojant tankais T-72 važinėti aplink pastatus ir šalinti civilius. &lt;...&gt; LRT šturme dalyvavo &lt;...&gt; devyni (9) kariškiai iš 107-osios motorizuotų šaulių divizijos.</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t xml:space="preserve">&lt;...&gt; Puolimo metu, į S. Konarskio gatvę, nuo sankryžos su K. Požėlos (dabar V. Pietario) gatve, atvyko kita kariškių dalis. Pirmieji į S. Konarskio gatvę trimis tankais T-72, kurių borto Nr. 559, 571 ir 574, atvyko 107-osios motorizuotų šaulių divizijos 106-ojo tankų pulko kariškiai. Tankams kolonoje vadovavo </w:t>
      </w:r>
      <w:bookmarkStart w:id="571" w:name="_Hlk65532722"/>
      <w:r w:rsidRPr="00C00255">
        <w:t xml:space="preserve">&lt;...&gt; </w:t>
      </w:r>
      <w:bookmarkEnd w:id="571"/>
      <w:r>
        <w:t>V. P.</w:t>
      </w:r>
      <w:r w:rsidRPr="00C00255">
        <w:t xml:space="preserve"> </w:t>
      </w:r>
      <w:r w:rsidRPr="00C00255">
        <w:rPr>
          <w:szCs w:val="24"/>
        </w:rPr>
        <w:t>–</w:t>
      </w:r>
      <w:r w:rsidRPr="00C00255">
        <w:t xml:space="preserve"> tanko Nr. 571 vadas, tanko ekipažą sudarė &lt;...&gt;: taikytojas </w:t>
      </w:r>
      <w:r>
        <w:t>N. O.</w:t>
      </w:r>
      <w:r w:rsidRPr="00C00255">
        <w:t xml:space="preserve"> ir mechanikas-vairuotojas </w:t>
      </w:r>
      <w:r>
        <w:t>A. U.</w:t>
      </w:r>
      <w:r w:rsidRPr="00C00255">
        <w:t xml:space="preserve">. Pirmasis atvažiavo tankas Nr. 559, kurio vadas &lt;...&gt; </w:t>
      </w:r>
      <w:r>
        <w:t>J. O.</w:t>
      </w:r>
      <w:r w:rsidRPr="00C00255">
        <w:t xml:space="preserve">, taikytojas &lt;...&gt; </w:t>
      </w:r>
      <w:r>
        <w:t>D. F.</w:t>
      </w:r>
      <w:r w:rsidRPr="00C00255">
        <w:t xml:space="preserve"> ir mechanikas-vairuotojas </w:t>
      </w:r>
      <w:r>
        <w:t>A. R.</w:t>
      </w:r>
      <w:r w:rsidRPr="00C00255">
        <w:t xml:space="preserve"> (jo atžvilgiu baudžiamasis persekiojimas už nusikaltimus žmoniškumui ir karo nusikaltimus nevykdomas). Trečiuoju kolonoje judėjo tankas Nr. 574, jo vadas &lt;...&gt; </w:t>
      </w:r>
      <w:r>
        <w:t>E. R.</w:t>
      </w:r>
      <w:r w:rsidRPr="00C00255">
        <w:t xml:space="preserve">, taikytojas &lt;...&gt; </w:t>
      </w:r>
      <w:r>
        <w:t>A. K. 2</w:t>
      </w:r>
      <w:r w:rsidRPr="00C00255">
        <w:t xml:space="preserve"> ir mechanikas-vairuotojas &lt;...&gt; </w:t>
      </w:r>
      <w:r>
        <w:t>N. S.</w:t>
      </w:r>
      <w:r w:rsidRPr="00C00255">
        <w:t>.</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t xml:space="preserve">Tankų ir BMD, kurių borto Nr. 211, 203, 206, 271, 274, 273, 276, 277, bei dviejų karinių automobilių URAL (vieno iš jų Nr. 23-00 OF), kolonai ir LRT užėmimo operacijai vadovavo 76-osios oro desanto divizijos 234-ojo pulko štabo žvalgybos viršininkas </w:t>
      </w:r>
      <w:r>
        <w:t>S. P.</w:t>
      </w:r>
      <w:r w:rsidRPr="00C00255">
        <w:t xml:space="preserve">. Atsakingu už šios operacijos įvykdymą buvo paskirtas 76-osios oro desanto divizijos 234-ojo pulko štabo viršininkas &lt;...&gt; </w:t>
      </w:r>
      <w:r>
        <w:t>G. G.</w:t>
      </w:r>
      <w:r w:rsidRPr="00C00255">
        <w:t xml:space="preserve">. Pagal vadovavimo štabo paskirtas užduotis, šimtas septyni kariškiai iš 234-ojo pulko, priklausančio 76-osios oro desanto divizijos jungtiniam kariniam vienetui, pasiskirstę į tris grupes, puolė kitas LRT dalis: 9 aukštų LRT televizijos pastatą, TASK ir Techninį pastatą. Vykdydami užduotis S. Konarskio gatvėje, tankai T-72, ne mažiau kaip 7 kartus iššovė iš pabūklų tuščiais užtaisais, taip baugindami, terorizuodami ir siekdami sutrikdyti civilius. Leido dūmines užsklandas, karinės technikos šviesos prietaisais švietė į civilius, užimamus objektus ir aplink esančius gyvenamuosius namus, civilių minią iš teritorijos šalino važinėdami ir pavojingai manevruodami po užimamų objektų teritoriją. </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rPr>
          <w:szCs w:val="24"/>
          <w:lang w:eastAsia="lt-LT" w:bidi="lt-LT"/>
        </w:rPr>
        <w:t>&lt;...&gt;</w:t>
      </w:r>
      <w:r w:rsidRPr="00C00255">
        <w:t xml:space="preserve"> tankų, kurių borto Nr. 559 ir 571 ekipažai, pavojingai manevruodami, privažiavo prie 9 aukštų LRT televizijos pastato ir tanko Nr. 559 ekipažas, išlaužė LRT juosiančios tvoros dalį ir kartu su BMD Nr. 277 privažiavo prie puolamo 9 aukštų LRT televizijos pastato. &lt;...&gt;, o tanko Nr. 571 ekipažas užtvėrė išlaužtą įvažiavimą.</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t>&lt;...&gt; Tanko Nr. 574 ekipažas, puolimo pradžioje užtvėręs S. Konarskio gatvę sankryžoje su K. Požėlos (dabar V. Pietario) gatve, užtikrindamas LRT puolamų objektų apsaugą, įvažiavo į saugomą LRT teritorijos dalį.</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t xml:space="preserve">&lt;...&gt; </w:t>
      </w:r>
      <w:bookmarkStart w:id="572" w:name="_Hlk64302558"/>
      <w:r w:rsidRPr="00C00255">
        <w:t>Karo atakos metu visų karinių struktūrų kariškiai &lt;...&gt; bendrais veiksmais sunkiai sutrikdė sveikatą keturiems civiliams &lt;...&gt;; Karo atakos prie LRT metu dalyvavę visi karinių struktūrų kariškiai bendrais veiksmais užgrobė LRT pastatus, o juos gynusiems civiliams padarė tyčinius nesunkius sveikatos sutrikdymus šimtui aštuoniems civiliams &lt;...&gt;; LRT pastatus gynusiems civiliams padarė tyčinius nežymius sveikatos sutrikdymus devyniasdešimt penkiems civiliams &lt;...&gt;“. (</w:t>
      </w:r>
      <w:r w:rsidRPr="00C00255">
        <w:rPr>
          <w:szCs w:val="24"/>
          <w:lang w:eastAsia="lt-LT"/>
        </w:rPr>
        <w:t>žr. </w:t>
      </w:r>
      <w:r w:rsidRPr="00C00255">
        <w:t>nuosprendžio 514–520 l.;</w:t>
      </w:r>
      <w:r w:rsidRPr="00C00255">
        <w:rPr>
          <w:rFonts w:eastAsia="Calibri"/>
        </w:rPr>
        <w:t xml:space="preserve"> t. 771, b. l. 114–120</w:t>
      </w:r>
      <w:r w:rsidRPr="00C00255">
        <w:t>).</w:t>
      </w:r>
    </w:p>
    <w:bookmarkEnd w:id="572"/>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rPr>
          <w:szCs w:val="24"/>
          <w:lang w:eastAsia="lt-LT"/>
        </w:rPr>
        <w:t xml:space="preserve">Taigi, pagal pirmosios instancijos teismo nustatytas bylos aplinkybes, antroje kariškių grupėje prie LRT atvažiavo </w:t>
      </w:r>
      <w:bookmarkStart w:id="573" w:name="_Hlk65535289"/>
      <w:bookmarkStart w:id="574" w:name="_Hlk65534611"/>
      <w:r w:rsidRPr="00C00255">
        <w:rPr>
          <w:szCs w:val="24"/>
        </w:rPr>
        <w:t>TSRS GM 107-osios motorizuotų šaulių divizijos</w:t>
      </w:r>
      <w:r w:rsidRPr="00C00255">
        <w:rPr>
          <w:szCs w:val="24"/>
          <w:lang w:eastAsia="lt-LT"/>
        </w:rPr>
        <w:t xml:space="preserve"> 106-ojo tankų pulko</w:t>
      </w:r>
      <w:bookmarkEnd w:id="573"/>
      <w:r w:rsidRPr="00C00255">
        <w:rPr>
          <w:szCs w:val="24"/>
          <w:lang w:eastAsia="lt-LT"/>
        </w:rPr>
        <w:t xml:space="preserve"> </w:t>
      </w:r>
      <w:bookmarkEnd w:id="574"/>
      <w:r w:rsidRPr="00C00255">
        <w:rPr>
          <w:szCs w:val="24"/>
          <w:lang w:eastAsia="lt-LT"/>
        </w:rPr>
        <w:t xml:space="preserve">tankai Nr. 559, Nr. 571 ir Nr. 574 su </w:t>
      </w:r>
      <w:r w:rsidRPr="00C00255">
        <w:rPr>
          <w:rFonts w:eastAsia="Calibri"/>
          <w:szCs w:val="24"/>
        </w:rPr>
        <w:t xml:space="preserve">TSRS GM </w:t>
      </w:r>
      <w:r w:rsidRPr="00C00255">
        <w:t xml:space="preserve">76-osios oro desanto divizijos 234-ojo pulko </w:t>
      </w:r>
      <w:r w:rsidRPr="00C00255">
        <w:rPr>
          <w:szCs w:val="24"/>
          <w:lang w:eastAsia="lt-LT"/>
        </w:rPr>
        <w:t xml:space="preserve">jungtinio karinio vieneto kariškiais BMD ir URAL mašinomis bei pradėjo LRT Televizijos, TASK ir Techninio pastatų šturmą. Vykdydamas pastatų užėmimo užduotis, minėtas 3 tankų junginys pasidalijo į dvi dalis: 1) </w:t>
      </w:r>
      <w:r w:rsidRPr="00C00255">
        <w:t>tankų Nr. 559 ir Nr. 571 ekipažai, pavojingai manevruodami, privažiavo prie LRT Televizijos (9 aukštų) pastato, kur tanko Nr. 559 ekipažas išlaužė LRT juosiančios tvoros dalį ir kartu su BMD Nr. 277 privažiavo prie puolamo LRT Televizijos (9 aukštų) pastato, taip padarydami įvažiavimą, o tanko Nr. 571 ekipažas užtvėrė išlaužtą įvažiavimą; 2) tankas Nr. 574, pradžioje užtvėręs S. Konarskio gatvę sankryžoje su K. Požėlos (dabar V. Pietario) gatve, užtikrindamas LRT puolamų objektų apsaugą, įvažiavo į saugomą LRT teritorijos dalį.</w:t>
      </w:r>
    </w:p>
    <w:p w:rsidR="00DA38E9" w:rsidRPr="00C00255" w:rsidRDefault="00DA38E9" w:rsidP="00DA38E9">
      <w:pPr>
        <w:pStyle w:val="ListParagraph"/>
        <w:numPr>
          <w:ilvl w:val="1"/>
          <w:numId w:val="6"/>
        </w:numPr>
        <w:spacing w:after="120"/>
        <w:ind w:left="993" w:hanging="993"/>
        <w:contextualSpacing w:val="0"/>
        <w:rPr>
          <w:szCs w:val="24"/>
          <w:lang w:eastAsia="lt-LT" w:bidi="lt-LT"/>
        </w:rPr>
      </w:pPr>
      <w:r w:rsidRPr="00C00255">
        <w:rPr>
          <w:szCs w:val="24"/>
          <w:lang w:eastAsia="lt-LT"/>
        </w:rPr>
        <w:t xml:space="preserve">Teisėjų kolegija, vertindama apeliacinių skundų argumentus dėl minėtų tankų ir jų ekipažų narių dalyvavimo užimant LRT pastatus, pažymi, kad anksčiau minėtas aplinkybes apie TSRS GM Sausumos pajėgų Pabaltijo karinės apygardos 107-osios motorizuotų šaulių divizijos 106-ojo tankų pulko tankų Nr. 559, 571 ir 574 dalyvavimą šiuose įvykiuose ir jų sudėtis patvirtina abejonių savo objektyvumu nekeliantys įrodymai – minėtus įvykius atspindintys vaizdo įrašai, nuotraukos, specialisto išvada, rašytiniai dokumentai ir kt. </w:t>
      </w:r>
    </w:p>
    <w:p w:rsidR="00DA38E9" w:rsidRPr="00C00255" w:rsidRDefault="00DA38E9" w:rsidP="00DA38E9">
      <w:pPr>
        <w:pStyle w:val="Heading4"/>
        <w:spacing w:before="120" w:after="120"/>
        <w:ind w:left="992"/>
        <w:rPr>
          <w:rFonts w:ascii="Times New Roman" w:hAnsi="Times New Roman"/>
          <w:b w:val="0"/>
          <w:i/>
          <w:sz w:val="24"/>
          <w:szCs w:val="24"/>
        </w:rPr>
      </w:pPr>
      <w:bookmarkStart w:id="575" w:name="_Toc66697280"/>
      <w:r w:rsidRPr="00C00255">
        <w:rPr>
          <w:rFonts w:ascii="Times New Roman" w:hAnsi="Times New Roman"/>
          <w:b w:val="0"/>
          <w:i/>
          <w:sz w:val="24"/>
          <w:szCs w:val="24"/>
        </w:rPr>
        <w:t xml:space="preserve">Dėl tanko Nr. 571 ir jo ekipažo narių nuteistųjų </w:t>
      </w:r>
      <w:r>
        <w:rPr>
          <w:rFonts w:ascii="Times New Roman" w:hAnsi="Times New Roman"/>
          <w:b w:val="0"/>
          <w:i/>
          <w:sz w:val="24"/>
          <w:szCs w:val="24"/>
        </w:rPr>
        <w:t>V. P.</w:t>
      </w:r>
      <w:r w:rsidRPr="00C00255">
        <w:rPr>
          <w:rFonts w:ascii="Times New Roman" w:hAnsi="Times New Roman"/>
          <w:b w:val="0"/>
          <w:i/>
          <w:sz w:val="24"/>
          <w:szCs w:val="24"/>
        </w:rPr>
        <w:t xml:space="preserve">, </w:t>
      </w:r>
      <w:r>
        <w:rPr>
          <w:rFonts w:ascii="Times New Roman" w:hAnsi="Times New Roman"/>
          <w:b w:val="0"/>
          <w:i/>
          <w:sz w:val="24"/>
          <w:szCs w:val="24"/>
        </w:rPr>
        <w:t>N. O.</w:t>
      </w:r>
      <w:r w:rsidRPr="00C00255">
        <w:rPr>
          <w:rFonts w:ascii="Times New Roman" w:hAnsi="Times New Roman"/>
          <w:b w:val="0"/>
          <w:i/>
          <w:sz w:val="24"/>
          <w:szCs w:val="24"/>
        </w:rPr>
        <w:t xml:space="preserve"> ir </w:t>
      </w:r>
      <w:r>
        <w:rPr>
          <w:rFonts w:ascii="Times New Roman" w:hAnsi="Times New Roman"/>
          <w:b w:val="0"/>
          <w:i/>
          <w:sz w:val="24"/>
          <w:szCs w:val="24"/>
        </w:rPr>
        <w:t>A. U.</w:t>
      </w:r>
      <w:r w:rsidRPr="00C00255">
        <w:rPr>
          <w:rFonts w:ascii="Times New Roman" w:hAnsi="Times New Roman"/>
          <w:b w:val="0"/>
          <w:i/>
          <w:sz w:val="24"/>
          <w:szCs w:val="24"/>
        </w:rPr>
        <w:t xml:space="preserve"> dalyvavimo užimant LRT</w:t>
      </w:r>
      <w:bookmarkEnd w:id="575"/>
      <w:r w:rsidRPr="00C00255">
        <w:rPr>
          <w:rFonts w:ascii="Times New Roman" w:hAnsi="Times New Roman"/>
          <w:b w:val="0"/>
          <w:i/>
          <w:sz w:val="24"/>
          <w:szCs w:val="24"/>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Pagal byloje nustatytas aplinkybes, TSRS GM 107-osios motorizuotų šaulių divizijos 106-ojo tankų pulko </w:t>
      </w:r>
      <w:r w:rsidRPr="00C00255">
        <w:rPr>
          <w:szCs w:val="24"/>
        </w:rPr>
        <w:t xml:space="preserve">kuopos vadas nuteistasis </w:t>
      </w:r>
      <w:r>
        <w:rPr>
          <w:szCs w:val="24"/>
        </w:rPr>
        <w:t>V. P.</w:t>
      </w:r>
      <w:r w:rsidRPr="00C00255">
        <w:rPr>
          <w:szCs w:val="24"/>
        </w:rPr>
        <w:t>,</w:t>
      </w:r>
      <w:r w:rsidRPr="00C00255">
        <w:rPr>
          <w:szCs w:val="24"/>
          <w:lang w:eastAsia="lt-LT" w:bidi="lt-LT"/>
        </w:rPr>
        <w:t xml:space="preserve"> būdamas tanko Nr. 571 vyresniuoju, tiesiogiai dalyvavo </w:t>
      </w:r>
      <w:r w:rsidRPr="00C00255">
        <w:rPr>
          <w:szCs w:val="24"/>
        </w:rPr>
        <w:t xml:space="preserve">LRT šturme </w:t>
      </w:r>
      <w:r w:rsidRPr="00C00255">
        <w:rPr>
          <w:szCs w:val="24"/>
          <w:lang w:eastAsia="lt-LT" w:bidi="lt-LT"/>
        </w:rPr>
        <w:t xml:space="preserve">ir vadovavo visai </w:t>
      </w:r>
      <w:r w:rsidRPr="00C00255">
        <w:rPr>
          <w:szCs w:val="24"/>
        </w:rPr>
        <w:t xml:space="preserve">TSRS GM 107-osios motorizuotų šaulių divizijos 106-ojo tankų pulko kolonai, kurią sudarė tankai Nr. 571, Nr. 559 ir Nr. 574. </w:t>
      </w:r>
    </w:p>
    <w:p w:rsidR="00DA38E9" w:rsidRPr="00C00255" w:rsidRDefault="00DA38E9" w:rsidP="00DA38E9">
      <w:pPr>
        <w:pStyle w:val="ListParagraph"/>
        <w:numPr>
          <w:ilvl w:val="0"/>
          <w:numId w:val="6"/>
        </w:numPr>
        <w:spacing w:before="120" w:after="120"/>
        <w:ind w:left="993" w:hanging="993"/>
        <w:contextualSpacing w:val="0"/>
        <w:rPr>
          <w:lang w:eastAsia="lt-LT" w:bidi="lt-LT"/>
        </w:rPr>
      </w:pPr>
      <w:r w:rsidRPr="00C00255">
        <w:rPr>
          <w:szCs w:val="24"/>
          <w:lang w:eastAsia="lt-LT"/>
        </w:rPr>
        <w:t xml:space="preserve">Pažymėtina, kad </w:t>
      </w:r>
      <w:r>
        <w:rPr>
          <w:szCs w:val="24"/>
          <w:lang w:eastAsia="lt-LT"/>
        </w:rPr>
        <w:t>V. P.</w:t>
      </w:r>
      <w:r w:rsidRPr="00C00255">
        <w:rPr>
          <w:szCs w:val="24"/>
          <w:lang w:eastAsia="lt-LT"/>
        </w:rPr>
        <w:t xml:space="preserve"> gynėjas neginčija teismo išvados dėl vadovaujančių nuteistojo veiksmų užimant LRT, todėl teisėjų kolegija tik paminės, kad </w:t>
      </w:r>
      <w:r>
        <w:rPr>
          <w:szCs w:val="24"/>
          <w:lang w:eastAsia="lt-LT"/>
        </w:rPr>
        <w:t>V. P.</w:t>
      </w:r>
      <w:r w:rsidRPr="00C00255">
        <w:rPr>
          <w:szCs w:val="24"/>
          <w:lang w:eastAsia="lt-LT"/>
        </w:rPr>
        <w:t xml:space="preserve"> </w:t>
      </w:r>
      <w:r w:rsidRPr="00C00255">
        <w:t>vadovavimą visai LRT užėmime dalyvavusiai tankų kolonai,</w:t>
      </w:r>
      <w:r w:rsidRPr="00C00255">
        <w:rPr>
          <w:szCs w:val="24"/>
        </w:rPr>
        <w:t xml:space="preserve"> kurią sudarė tankai Nr. 571, Nr. 559 ir Nr. 574,</w:t>
      </w:r>
      <w:r w:rsidRPr="00C00255">
        <w:rPr>
          <w:szCs w:val="24"/>
          <w:lang w:eastAsia="lt-LT"/>
        </w:rPr>
        <w:t xml:space="preserve"> pagrindžia surinktų įrodymų visuma. </w:t>
      </w:r>
      <w:r w:rsidRPr="00C00255">
        <w:rPr>
          <w:szCs w:val="24"/>
        </w:rPr>
        <w:t>Apie tai aiškiai patvirtina:</w:t>
      </w:r>
    </w:p>
    <w:p w:rsidR="00DA38E9" w:rsidRPr="00C00255" w:rsidRDefault="00DA38E9" w:rsidP="00DA38E9">
      <w:pPr>
        <w:pStyle w:val="ListParagraph"/>
        <w:numPr>
          <w:ilvl w:val="1"/>
          <w:numId w:val="6"/>
        </w:numPr>
        <w:spacing w:before="120" w:after="120"/>
        <w:ind w:left="993" w:hanging="993"/>
        <w:contextualSpacing w:val="0"/>
        <w:rPr>
          <w:lang w:eastAsia="lt-LT" w:bidi="lt-LT"/>
        </w:rPr>
      </w:pPr>
      <w:r w:rsidRPr="00C00255">
        <w:rPr>
          <w:szCs w:val="24"/>
        </w:rPr>
        <w:t xml:space="preserve">specialisto J. Andriškevičiaus išvada, kad vienai iš operacinių grupių, veikusių prie LRT, priklausė ir 106-asis tankų pulkas su šešiais dviejų tankų, kurių Nr. </w:t>
      </w:r>
      <w:r w:rsidRPr="00C00255">
        <w:rPr>
          <w:lang w:eastAsia="lt-LT"/>
        </w:rPr>
        <w:t xml:space="preserve">559 ir 571, ekipažų nariais, vadovaujamais </w:t>
      </w:r>
      <w:r>
        <w:rPr>
          <w:lang w:eastAsia="lt-LT"/>
        </w:rPr>
        <w:t>V. P.</w:t>
      </w:r>
      <w:r w:rsidRPr="00C00255">
        <w:rPr>
          <w:lang w:eastAsia="lt-LT"/>
        </w:rPr>
        <w:t xml:space="preserve"> (t. 480, b. l. 54, 59);</w:t>
      </w:r>
    </w:p>
    <w:p w:rsidR="00E67B7E" w:rsidRDefault="00DA38E9" w:rsidP="00E67B7E">
      <w:pPr>
        <w:pStyle w:val="ListParagraph"/>
        <w:numPr>
          <w:ilvl w:val="1"/>
          <w:numId w:val="6"/>
        </w:numPr>
        <w:spacing w:before="120" w:after="120"/>
        <w:ind w:left="993" w:hanging="993"/>
        <w:contextualSpacing w:val="0"/>
        <w:rPr>
          <w:lang w:eastAsia="lt-LT" w:bidi="lt-LT"/>
        </w:rPr>
      </w:pPr>
      <w:r w:rsidRPr="00E67B7E">
        <w:rPr>
          <w:rFonts w:eastAsia="Calibri"/>
        </w:rPr>
        <w:t>byloje esantys</w:t>
      </w:r>
      <w:r w:rsidRPr="00C00255">
        <w:rPr>
          <w:rFonts w:eastAsia="Calibri"/>
        </w:rPr>
        <w:t xml:space="preserve"> </w:t>
      </w:r>
      <w:r w:rsidRPr="00C00255">
        <w:t xml:space="preserve">106-ojo tankų pulko kariškio nuteistojo </w:t>
      </w:r>
      <w:r>
        <w:t>N. S.</w:t>
      </w:r>
      <w:r w:rsidRPr="00C00255">
        <w:t xml:space="preserve"> paaiškinimai duoti ne kaip baudžiamojo proceso dalyvio, o kaip operacijoje dalyvavusio kariškio (1991 m. sausio 16 d. </w:t>
      </w:r>
      <w:r>
        <w:t>N. S.</w:t>
      </w:r>
      <w:r w:rsidRPr="00C00255">
        <w:t xml:space="preserve"> pasirašytas paaiškinimas). Juose </w:t>
      </w:r>
      <w:r>
        <w:t>N. S.</w:t>
      </w:r>
      <w:r w:rsidRPr="00C00255">
        <w:t xml:space="preserve"> nurodė, kad 1991 m. sausio 12 d. iš kapitono </w:t>
      </w:r>
      <w:r>
        <w:t>V. P.</w:t>
      </w:r>
      <w:r w:rsidRPr="00C00255">
        <w:t xml:space="preserve"> gavo užduotį jam priskirtu tanku Nr. 574 pajudėti į televizijos ir radijo centrą (t. 42</w:t>
      </w:r>
      <w:r w:rsidR="00E67B7E">
        <w:t>7, b. l. 25; t. 114, b. l. 21);</w:t>
      </w:r>
    </w:p>
    <w:p w:rsidR="00DA38E9" w:rsidRPr="00E67B7E" w:rsidRDefault="00DA38E9" w:rsidP="00E67B7E">
      <w:pPr>
        <w:pStyle w:val="ListParagraph"/>
        <w:numPr>
          <w:ilvl w:val="1"/>
          <w:numId w:val="6"/>
        </w:numPr>
        <w:spacing w:before="120" w:after="120"/>
        <w:ind w:left="993" w:hanging="993"/>
        <w:contextualSpacing w:val="0"/>
        <w:rPr>
          <w:lang w:eastAsia="lt-LT" w:bidi="lt-LT"/>
        </w:rPr>
      </w:pPr>
      <w:r w:rsidRPr="00055544">
        <w:rPr>
          <w:rFonts w:eastAsia="Calibri"/>
        </w:rPr>
        <w:t>karinio dalinio Nr. 78018 štabo viršininko papulkininkio O. Ž. pasirašytas dalinio personalo, dalyvavusio operacijoje iš 1991 m. sausio 12-osios į sausio 13-ąją, sąrašas, iš kurio matyti, kad kapitono V. P. rangas buvo aukščiausias iš visų pulko kariškių, kurie dalyvavo LRT užėmime (keli tankistai buvo kapitonai, tačiau jie sąraše įvardinti po V. P.; t. 440, b. l. 7; t. 127, b. l. 4).</w:t>
      </w:r>
    </w:p>
    <w:p w:rsidR="00DA38E9" w:rsidRPr="00E67B7E" w:rsidRDefault="00DA38E9" w:rsidP="00DA38E9">
      <w:pPr>
        <w:pStyle w:val="ListParagraph"/>
        <w:numPr>
          <w:ilvl w:val="0"/>
          <w:numId w:val="6"/>
        </w:numPr>
        <w:spacing w:before="120" w:after="120"/>
        <w:ind w:left="993" w:hanging="993"/>
        <w:contextualSpacing w:val="0"/>
      </w:pPr>
      <w:r w:rsidRPr="00055544">
        <w:t xml:space="preserve">Aplinkybę, kad tankas Nr. 571 aptariamų įvykių metu buvo prie LRT, patvirtina iš skirtingų įrodymų šaltinių gautų duomenų visuma, kurių objektyvumu teisėjų kolegija neturi pagrindo abejoti. Pirmiausia, 2014 m. birželio 10 d. specialisto išvadoje konstatuota, kad tankas Nr. 571, kartu su kita karine technika, pavojingai manevruodamas, priartėjo prie 9 aukštų LRT pastato statybvietės aptvarų ir įėjimo į pastatą, kur tankas Nr. 559 su BMD mašina išlaužė aptvaro dalį, ir privažiavo prie pastato (t. 480, b. l. 59–60). Byloje esančioje pažymoje-pranešime apie karinio dalinio Nr. 22238 technikos panaudojimą 1991 m. sausio 12–13 dienomis, nurodyta, kad incidento metu buvo panaudotas ir karinio dalinio Nr. 78018 tankas, kurio borto Nr. 571 (t. 191, b. l. 214; t. 191, b. l. 213). Minėto tanko dalyvavimui įvykiuose prie LRT pagrįsti reikšmingas ir 106-ojo tankų pulko vado N. A. 1991 m. sausio mėnesį Vilniuje pasirašytų įsakymų turinys. Tankas Nr. 571 dar 1991 m. sausio 2 d. įsakymu nuolat buvo kovinės parengties (t. 440, b. l. 19; t. 127, b. l. 12–13), Be to, 1991 m. sausio 9 d. įsakymu Vilniuje buvo suformuota jo įgula, kurią </w:t>
      </w:r>
      <w:r w:rsidRPr="00055544">
        <w:rPr>
          <w:rFonts w:eastAsia="Calibri"/>
        </w:rPr>
        <w:t xml:space="preserve">sudarė: tanko vadas – 106-ojo tankų pulko kuopos vadas kapitonas V. P., mechanikas-vairuotojas – pulko kuopos vado pavaduotojas leitenantas A. U. ir taikytojas – kuopos būrio vadas leitenantas N. O. </w:t>
      </w:r>
      <w:r w:rsidRPr="00055544">
        <w:t>(t. 440, b. l. 17–18; t. 127, b. l. 10–11)</w:t>
      </w:r>
      <w:r w:rsidRPr="00055544">
        <w:rPr>
          <w:rFonts w:eastAsia="Calibri"/>
        </w:rPr>
        <w:t>. Apie tokią šio tanko įgulą užimant LRT patvirtina ir dalinio Nr. 78018 štabo viršininko papulkininkio O. Ž. pasirašytas karinio personalo, dalyvavusio operacijoje iš 1991 m. sausio 12 į sausio 13-ąją, sąrašas, kuriame nurodyti ir visi trys minėti kariškiai (t. 440, b. l. 7; t. 127, b. l. 4). Šiame kontekste teisėjų kolegija pažymi, kad byloje nėra ginčo dėl tokios tanko Nr. 571 įgulos sudėties ir jos dalyvavimo įvykiuose prie LRT, todėl teisėjų kolegija šiuo klausimu plačiau nepasisako.</w:t>
      </w:r>
      <w:r w:rsidRPr="00E67B7E">
        <w:rPr>
          <w:rFonts w:eastAsia="Calibri"/>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Nuteistųjų </w:t>
      </w:r>
      <w:r>
        <w:rPr>
          <w:szCs w:val="24"/>
          <w:lang w:eastAsia="lt-LT" w:bidi="lt-LT"/>
        </w:rPr>
        <w:t>V. P.</w:t>
      </w:r>
      <w:r w:rsidRPr="00C00255">
        <w:rPr>
          <w:szCs w:val="24"/>
          <w:lang w:eastAsia="lt-LT" w:bidi="lt-LT"/>
        </w:rPr>
        <w:t xml:space="preserve">, </w:t>
      </w:r>
      <w:r>
        <w:rPr>
          <w:szCs w:val="24"/>
          <w:lang w:eastAsia="lt-LT" w:bidi="lt-LT"/>
        </w:rPr>
        <w:t>A. U.</w:t>
      </w:r>
      <w:r w:rsidRPr="00C00255">
        <w:rPr>
          <w:szCs w:val="24"/>
          <w:lang w:eastAsia="lt-LT" w:bidi="lt-LT"/>
        </w:rPr>
        <w:t xml:space="preserve"> ir </w:t>
      </w:r>
      <w:r>
        <w:rPr>
          <w:lang w:eastAsia="lt-LT"/>
        </w:rPr>
        <w:t>N. O.</w:t>
      </w:r>
      <w:r w:rsidRPr="00C00255">
        <w:rPr>
          <w:lang w:eastAsia="lt-LT"/>
        </w:rPr>
        <w:t xml:space="preserve"> g</w:t>
      </w:r>
      <w:r w:rsidRPr="00C00255">
        <w:rPr>
          <w:szCs w:val="24"/>
          <w:lang w:eastAsia="lt-LT" w:bidi="lt-LT"/>
        </w:rPr>
        <w:t>ynėjai, nesutikdami su teismo nuosprendžiu konstatuotomis faktinėmis aplinkybėmis ir tanko Nr. 571 veiksmais, pateikia tokius esminius argumentus:</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t xml:space="preserve">nuteistojo </w:t>
      </w:r>
      <w:r>
        <w:t>V. P.</w:t>
      </w:r>
      <w:r w:rsidRPr="00C00255">
        <w:t xml:space="preserve"> gynėjo teigimu, nuteistasis 1991 m. sausio 13 d. tik atvažiavo prie LRT pastato, kur du kartus iš pabūklo iššovė išmušamaisiais užtaisais, kurių paskirtis – tik sukelti garsinį efektą, ir kituose kariškių veiksmuose nedalyvavo.</w:t>
      </w:r>
    </w:p>
    <w:p w:rsidR="00DA38E9" w:rsidRPr="00C00255" w:rsidRDefault="00DA38E9" w:rsidP="00DA38E9">
      <w:pPr>
        <w:pStyle w:val="ListParagraph"/>
        <w:numPr>
          <w:ilvl w:val="1"/>
          <w:numId w:val="6"/>
        </w:numPr>
        <w:spacing w:before="120" w:after="120"/>
        <w:ind w:left="993" w:hanging="993"/>
        <w:contextualSpacing w:val="0"/>
      </w:pPr>
      <w:r w:rsidRPr="00C00255">
        <w:t xml:space="preserve">Nuteistojo </w:t>
      </w:r>
      <w:r>
        <w:t>A. U.</w:t>
      </w:r>
      <w:r w:rsidRPr="00C00255">
        <w:t xml:space="preserve"> gynėja iš esmės neginčija, kad jos ginamasis buvo prie LRT šturmo metu, tačiau teigia, kad jo atsargiai vairuotas tankas iš lėto judėjo paskui </w:t>
      </w:r>
      <w:r>
        <w:t>J. O.</w:t>
      </w:r>
      <w:r w:rsidRPr="00C00255">
        <w:t xml:space="preserve"> tanką ir ant žmonių neužvažiavo bei niekas dėl jo veiksmų nenukentėjo (anot gynėjos, išvada, kad vairuodamas tanką jis pavojingai manevravo, yra nepagrįsta). Taip pat gynyba nesutinka su išvada, kad </w:t>
      </w:r>
      <w:r>
        <w:t>A. U.</w:t>
      </w:r>
      <w:r w:rsidRPr="00C00255">
        <w:t xml:space="preserve"> šaudė išmušamaisiais užtaisais – vadui įsakius vieną įspėjamąjį šūvį išmušamuoju užtaisu iššovė </w:t>
      </w:r>
      <w:r>
        <w:t>N. O.</w:t>
      </w:r>
      <w:r w:rsidRPr="00C00255">
        <w:t xml:space="preserve">. </w:t>
      </w:r>
    </w:p>
    <w:p w:rsidR="00DA38E9" w:rsidRPr="00C00255" w:rsidRDefault="00DA38E9" w:rsidP="00DA38E9">
      <w:pPr>
        <w:pStyle w:val="ListParagraph"/>
        <w:numPr>
          <w:ilvl w:val="1"/>
          <w:numId w:val="6"/>
        </w:numPr>
        <w:spacing w:before="120" w:after="120"/>
        <w:ind w:left="993" w:hanging="993"/>
        <w:contextualSpacing w:val="0"/>
        <w:rPr>
          <w:lang w:bidi="lt-LT"/>
        </w:rPr>
      </w:pPr>
      <w:r w:rsidRPr="00C00255">
        <w:rPr>
          <w:lang w:eastAsia="lt-LT"/>
        </w:rPr>
        <w:t xml:space="preserve">Nuteistojo </w:t>
      </w:r>
      <w:r>
        <w:rPr>
          <w:lang w:eastAsia="lt-LT"/>
        </w:rPr>
        <w:t>N. O.</w:t>
      </w:r>
      <w:r w:rsidRPr="00C00255">
        <w:rPr>
          <w:lang w:eastAsia="lt-LT"/>
        </w:rPr>
        <w:t xml:space="preserve"> gynėjas nurodo, kad nėra duomenų apie konkrečius jo ginamojo veiksmus, kuriais buvo sukelti padariniai.</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lang w:eastAsia="lt-LT"/>
        </w:rPr>
        <w:t>Teisėjų kolegija, įvertinusi nuteistųjų gynėjų apeliacinių skundų argumentus, byloje surinktus ir ištirtus įrodymus, konstatuoja, kad visos nurodytos esminės tankui Nr. 571 ir jo ekipažo nariams inkriminuotos faktinės aplinkybės dėl pavojingo manevravimo, kliūčių šalinimo, šaudymo tuščiais užtaisais, dūminių užsklandų leidimo, švietimo šviesos prietaisu į civilius ir pastatus, įvažiavimo į LRT teritoriją užtvėrimo yra įrodytos ir nustatytos teisingai.</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Pirmiausia, išvadą, kad tankas Nr. 571 (taip pat ir tankas Nr. 559) į LRT teritoriją </w:t>
      </w:r>
      <w:r w:rsidRPr="00C00255">
        <w:rPr>
          <w:szCs w:val="24"/>
          <w:lang w:eastAsia="lt-LT"/>
        </w:rPr>
        <w:t xml:space="preserve">ne tik atvažiavo, bet ir </w:t>
      </w:r>
      <w:r w:rsidRPr="00C00255">
        <w:rPr>
          <w:szCs w:val="24"/>
          <w:lang w:eastAsia="lt-LT" w:bidi="lt-LT"/>
        </w:rPr>
        <w:t xml:space="preserve">pavojingai manevravo tarp ten susirinkusių civilių asmenų bei </w:t>
      </w:r>
      <w:r w:rsidRPr="00C00255">
        <w:rPr>
          <w:szCs w:val="24"/>
          <w:lang w:eastAsia="lt-LT"/>
        </w:rPr>
        <w:t>šalinio kliūtis</w:t>
      </w:r>
      <w:r w:rsidRPr="00C00255">
        <w:rPr>
          <w:szCs w:val="24"/>
          <w:lang w:eastAsia="lt-LT" w:bidi="lt-LT"/>
        </w:rPr>
        <w:t>, patvirtina 2014 m. birželio 10 d. specialisto išvada, kurioje konstatuota, kad tankai, Nr. 571 ir 559 bei kita karinė technika, LRT teritorijoje pavojingai manevruodami, priartėjo prie 9 aukštų pastato statybvietės aptvarų ir įėjimo į pastatą. Tankas, kurio Nr. 559, kartu su BMD Nr. 227, išlaužė statybvietės aptvaro dalį ir privažiavo prie pastato. Po ko, tankai pavojingai manevravo tarp civilių, laužė apšvietimo stulpus, šaudė išmušamaisiais pabūklų užtaisais (t. 480, b. l. 61</w:t>
      </w:r>
      <w:r w:rsidRPr="00C00255">
        <w:rPr>
          <w:szCs w:val="24"/>
          <w:lang w:eastAsia="lt-LT"/>
        </w:rPr>
        <w:t>–</w:t>
      </w:r>
      <w:r w:rsidRPr="00C00255">
        <w:rPr>
          <w:szCs w:val="24"/>
          <w:lang w:eastAsia="lt-LT" w:bidi="lt-LT"/>
        </w:rPr>
        <w:t xml:space="preserve">60). </w:t>
      </w:r>
      <w:r w:rsidRPr="00C00255">
        <w:rPr>
          <w:szCs w:val="24"/>
          <w:lang w:eastAsia="lt-LT"/>
        </w:rPr>
        <w:t xml:space="preserve">1991 m. sausio 16 d. daiktinių įrodymų apžiūros Vilniaus mieste protokole nurodyta, kad </w:t>
      </w:r>
      <w:r w:rsidRPr="00C00255">
        <w:t xml:space="preserve">praėjus 3 dienoms nuo įvykių prie LRT, apžiūrėjus tanką </w:t>
      </w:r>
      <w:r w:rsidRPr="00C00255">
        <w:rPr>
          <w:szCs w:val="24"/>
          <w:lang w:eastAsia="lt-LT"/>
        </w:rPr>
        <w:t xml:space="preserve">Nr. 571, užfiksuota, kad tarp jo aktyvios apsaugos dėžių yra medienos likučių; kairysis objekto posparnis sulenktas; kulkosvaidžio vamzdžio dėžės dangtelyje rasta medžiagos, </w:t>
      </w:r>
      <w:r w:rsidRPr="00C00255">
        <w:rPr>
          <w:i/>
          <w:szCs w:val="24"/>
          <w:lang w:eastAsia="lt-LT"/>
        </w:rPr>
        <w:t>panašios į silikatinių plytų medžiagą</w:t>
      </w:r>
      <w:r w:rsidRPr="00C00255">
        <w:rPr>
          <w:szCs w:val="24"/>
          <w:lang w:eastAsia="lt-LT"/>
        </w:rPr>
        <w:t xml:space="preserve"> (t. 427, b. l. 70–71; t. 114, b. l. 81–89). Tokiais minėtų tankų atliktais veiksmais LRT teritorijoje bei jų pavojingumu neleidžia abejoti ir teisiamajame posėdyje apklaustų nukentėjusiųjų parodymai. L. B</w:t>
      </w:r>
      <w:r>
        <w:rPr>
          <w:szCs w:val="24"/>
          <w:lang w:eastAsia="lt-LT"/>
        </w:rPr>
        <w:t xml:space="preserve">. </w:t>
      </w:r>
      <w:r w:rsidRPr="00C00255">
        <w:rPr>
          <w:szCs w:val="24"/>
          <w:lang w:eastAsia="lt-LT"/>
        </w:rPr>
        <w:t xml:space="preserve">nurodė, kad į LRT teritoriją įvažiavę tankai pradėjo žmones stumti iš aikštės (t. 760, b. l. 27–28). </w:t>
      </w:r>
      <w:r>
        <w:rPr>
          <w:szCs w:val="24"/>
          <w:lang w:eastAsia="lt-LT"/>
        </w:rPr>
        <w:t>B. G.</w:t>
      </w:r>
      <w:r w:rsidRPr="00C00255">
        <w:rPr>
          <w:szCs w:val="24"/>
          <w:lang w:eastAsia="lt-LT"/>
        </w:rPr>
        <w:t xml:space="preserve"> nurodė, kad laukiant prie didžiojo, t. y. Televizijos, pastato laiptų, vidurnaktį atvažiavo tankai; vienas jų važiavo vis artyn ir prispaudė žmones prie pat sienos (t. 760, b. l. 44–45). J. M</w:t>
      </w:r>
      <w:r>
        <w:rPr>
          <w:szCs w:val="24"/>
          <w:lang w:eastAsia="lt-LT"/>
        </w:rPr>
        <w:t>.</w:t>
      </w:r>
      <w:r w:rsidRPr="00C00255">
        <w:rPr>
          <w:szCs w:val="24"/>
          <w:lang w:eastAsia="lt-LT"/>
        </w:rPr>
        <w:t xml:space="preserve"> nurodė, kad stovint prieš centrinį LRT pastatą, atvažiavo tankai, kurie išblaškė visus žmones ir jie nubėgo į kitą kelio pusę (t. 760, b. l. 75–76). Itin aktualūs A. M</w:t>
      </w:r>
      <w:r>
        <w:rPr>
          <w:szCs w:val="24"/>
          <w:lang w:eastAsia="lt-LT"/>
        </w:rPr>
        <w:t>.</w:t>
      </w:r>
      <w:r w:rsidRPr="00C00255">
        <w:rPr>
          <w:szCs w:val="24"/>
          <w:lang w:eastAsia="lt-LT"/>
        </w:rPr>
        <w:t xml:space="preserve">, įvykių metu buvusios prie naujojo Televizijos, t. y. 9 aukštų, pastato, parodymai, kuriuose ji teigė, kad prasidėjus atakai ji atsidūrė vietoje, kur iš dešinės buvo sustatyti blokai naujai televizijos statybai, todėl ji pasitraukė prie vieno iš blokų. Staiga ji pamatė tiesiai į ją važiuojančius tankus bei pasitraukė į šoną ir taip pro juos išvingiavo (t. 760, b. l. 77–78). Teisėjų kolegijos vertinimu, šie duomenys pagrindžia tanko Nr. 571 (ir tuo pačiu Nr. 559) atliktus pavojingus veiksmus prie LRT Televizijos pastato. Specialistas J. Andriškevičius konstatavo, kad tankas Nr. 559, kartu su BMD mašina, išlaužė būtent statybvietės aptvaro dalį ir taip sudarė sąlygas karinei technikai privažiuoti prie LRT Televizijos pastato (t. 480, b. l. 60). Taigi po įvykių ant tanko Nr. 571 korpuso nustatyti pažeidimai bei rastos į silikatinių plytų medžiagą panašios dalelės visumoje su kitais duomenimis neleidžia abejoti, kad šis tankas buvo vienu iš LRT Televizijos pastato teritorijoje tarp civilių pavojingai manevravusių tankų. Taigi gynėjų teiginiai, kad tankas Nr. 571 buvo vairuojamas atsargiai, yra paneigti objektyvių bylos duomenų visuma. </w:t>
      </w:r>
    </w:p>
    <w:p w:rsidR="00E67B7E" w:rsidRPr="00055544" w:rsidRDefault="00DA38E9" w:rsidP="00E67B7E">
      <w:pPr>
        <w:pStyle w:val="ListParagraph"/>
        <w:numPr>
          <w:ilvl w:val="0"/>
          <w:numId w:val="6"/>
        </w:numPr>
        <w:spacing w:before="120" w:after="120"/>
        <w:ind w:left="993" w:hanging="993"/>
        <w:contextualSpacing w:val="0"/>
        <w:rPr>
          <w:szCs w:val="24"/>
          <w:lang w:eastAsia="lt-LT" w:bidi="lt-LT"/>
        </w:rPr>
      </w:pPr>
      <w:r w:rsidRPr="00055544">
        <w:t xml:space="preserve">Teisėjų kolegijai taip pat nekyla abejonių, kad įvažiavus į LRT teritoriją iš tanko Nr. 571 buvo šaudoma tuščiais užtaisais. Praėjus 3 dienoms nuo įvykių prie LRT, apžiūrėjus tanką Nr. 571, be kita ko, nustatyta, kad jo patrankos vamzdyje yra nuodegų pėdsakų (t. 427, b. l. 71; t. 114, b. l. 81–89). Šiuo aspektu svarbi ir pažyma-pranešimas apie karinio dalinio Nr. 22238 technikos panaudojimą 1991 m. sausio 12–13 dienomis, kur nurodyta, kad incidento metu buvo panaudotas ir tankas Nr. 571, kurio įgula šaudė tuščiais tankų pabūklų sviediniais (t. 191, b. l. 214; t. 191, b. l. 213). Aplinkybė, kad tankai prie LRT šaudė iš pabūklų išmušamaisiais užtaisais, konstatuota ir 2014 m. birželio 10 d. specialisto išvadoje </w:t>
      </w:r>
      <w:r w:rsidR="00E67B7E" w:rsidRPr="00055544">
        <w:t>(t. 480, b. l. </w:t>
      </w:r>
      <w:r w:rsidRPr="00055544">
        <w:t>60).</w:t>
      </w:r>
      <w:r w:rsidRPr="00055544">
        <w:rPr>
          <w:szCs w:val="24"/>
        </w:rPr>
        <w:t xml:space="preserve"> </w:t>
      </w:r>
      <w:r w:rsidRPr="00055544">
        <w:t xml:space="preserve">Šiame kontekste aktualūs ir </w:t>
      </w:r>
      <w:r w:rsidRPr="00055544">
        <w:rPr>
          <w:rFonts w:eastAsia="Calibri"/>
        </w:rPr>
        <w:t>kompaktiniame diske užrašu „3. Sausio 13-oji.....“ esančiame dokumentiniame filme „Sausio 13-oji“ užfiksuoti vaizdai prie LRT (t. 493, b. l. 11). Šiame vaizdo įraše nuo 18 min. 59 sek. matyti ir girdėti kaip tankas atliko šūvį (t. 479, b. l. 138; šūvio kadrai – t. 479, b. l. 244–245).</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 xml:space="preserve">Kaip matyti iš apeliacinių skundų, </w:t>
      </w:r>
      <w:r>
        <w:rPr>
          <w:lang w:eastAsia="lt-LT"/>
        </w:rPr>
        <w:t>V. P.</w:t>
      </w:r>
      <w:r w:rsidRPr="00C00255">
        <w:rPr>
          <w:lang w:eastAsia="lt-LT"/>
        </w:rPr>
        <w:t xml:space="preserve">, </w:t>
      </w:r>
      <w:r>
        <w:rPr>
          <w:lang w:eastAsia="lt-LT"/>
        </w:rPr>
        <w:t>A. U.</w:t>
      </w:r>
      <w:r w:rsidRPr="00C00255">
        <w:rPr>
          <w:lang w:eastAsia="lt-LT"/>
        </w:rPr>
        <w:t xml:space="preserve"> ir </w:t>
      </w:r>
      <w:r>
        <w:rPr>
          <w:lang w:eastAsia="lt-LT"/>
        </w:rPr>
        <w:t>N. O.</w:t>
      </w:r>
      <w:r w:rsidRPr="00C00255">
        <w:rPr>
          <w:lang w:eastAsia="lt-LT"/>
        </w:rPr>
        <w:t xml:space="preserve"> gynėj</w:t>
      </w:r>
      <w:r w:rsidR="00E67B7E">
        <w:rPr>
          <w:lang w:eastAsia="lt-LT"/>
        </w:rPr>
        <w:t>ai iš esmės neginčija tanko Nr. </w:t>
      </w:r>
      <w:r w:rsidRPr="00C00255">
        <w:rPr>
          <w:lang w:eastAsia="lt-LT"/>
        </w:rPr>
        <w:t xml:space="preserve">571 atliktų šūvių, tačiau teigia, kad </w:t>
      </w:r>
      <w:bookmarkStart w:id="576" w:name="_Hlk64730505"/>
      <w:r w:rsidRPr="00C00255">
        <w:rPr>
          <w:lang w:eastAsia="lt-LT"/>
        </w:rPr>
        <w:t>tanko šūviai buvo tik įspėjamieji, kuriais siekta tik garsinio efekto</w:t>
      </w:r>
      <w:bookmarkEnd w:id="576"/>
      <w:r w:rsidRPr="00C00255">
        <w:rPr>
          <w:lang w:eastAsia="lt-LT"/>
        </w:rPr>
        <w:t xml:space="preserve">. </w:t>
      </w:r>
      <w:bookmarkStart w:id="577" w:name="_Hlk64752088"/>
      <w:r w:rsidRPr="00C00255">
        <w:rPr>
          <w:lang w:eastAsia="lt-LT"/>
        </w:rPr>
        <w:t>Šiame kontekste, teisėjų kolegija pažymi, kad dėl tankų šūvių tuščiais užtaisais pavojingumo teisėjų kolegija jau pasisakė, analizuodama tankų veiksmus, užimant Spaudos rūmus ir TV bokštą (šio sprendimo dalyje „</w:t>
      </w:r>
      <w:r w:rsidRPr="00C00255">
        <w:rPr>
          <w:i/>
          <w:szCs w:val="24"/>
          <w:lang w:eastAsia="lt-LT"/>
        </w:rPr>
        <w:t xml:space="preserve">Dėl tanko Nr. 502 ir jo ekipažo narių nuteistųjų </w:t>
      </w:r>
      <w:r>
        <w:rPr>
          <w:i/>
          <w:szCs w:val="24"/>
          <w:lang w:eastAsia="lt-LT"/>
        </w:rPr>
        <w:t>N. A.</w:t>
      </w:r>
      <w:r w:rsidRPr="00C00255">
        <w:rPr>
          <w:i/>
          <w:szCs w:val="24"/>
          <w:lang w:eastAsia="lt-LT"/>
        </w:rPr>
        <w:t xml:space="preserve">, </w:t>
      </w:r>
      <w:r>
        <w:rPr>
          <w:i/>
          <w:szCs w:val="24"/>
          <w:lang w:eastAsia="lt-LT"/>
        </w:rPr>
        <w:t>O. A.</w:t>
      </w:r>
      <w:r w:rsidRPr="00C00255">
        <w:rPr>
          <w:i/>
          <w:szCs w:val="24"/>
          <w:lang w:eastAsia="lt-LT"/>
        </w:rPr>
        <w:t xml:space="preserve"> ir </w:t>
      </w:r>
      <w:r>
        <w:rPr>
          <w:i/>
          <w:szCs w:val="24"/>
          <w:lang w:eastAsia="lt-LT"/>
        </w:rPr>
        <w:t>V. S. 4</w:t>
      </w:r>
      <w:r w:rsidRPr="00C00255">
        <w:rPr>
          <w:i/>
          <w:szCs w:val="24"/>
          <w:lang w:eastAsia="lt-LT"/>
        </w:rPr>
        <w:t xml:space="preserve"> dalyvavimo užimant TV bokštą</w:t>
      </w:r>
      <w:r w:rsidRPr="00C00255">
        <w:rPr>
          <w:szCs w:val="24"/>
          <w:lang w:eastAsia="lt-LT"/>
        </w:rPr>
        <w:t>“), todėl to nekartoja. Be to,</w:t>
      </w:r>
      <w:r w:rsidRPr="00C00255">
        <w:rPr>
          <w:lang w:eastAsia="lt-LT"/>
        </w:rPr>
        <w:t xml:space="preserve"> </w:t>
      </w:r>
      <w:r w:rsidRPr="00C00255">
        <w:rPr>
          <w:szCs w:val="24"/>
          <w:lang w:eastAsia="lt-LT"/>
        </w:rPr>
        <w:t>byloje pateiktos specialistų išvados patvirtina</w:t>
      </w:r>
      <w:r w:rsidRPr="00C00255">
        <w:rPr>
          <w:lang w:eastAsia="lt-LT"/>
        </w:rPr>
        <w:t xml:space="preserve">, kad nuo tankų šūvių prie LRT daugybė civilių patyrė akustines traumas. Taip pat apie tankų šūvių pavojingumą ir sukeltus neigiamus padarinius parodymus davė daugelis byloje apklaustų liudytojų ir nukentėjusiųjų, buvusių prie LRT, todėl teismas paminės tik kai kuriuos iš jų. </w:t>
      </w:r>
    </w:p>
    <w:bookmarkEnd w:id="577"/>
    <w:p w:rsidR="00DA38E9" w:rsidRPr="00C00255" w:rsidRDefault="00DA38E9" w:rsidP="00DA38E9">
      <w:pPr>
        <w:pStyle w:val="ListParagraph"/>
        <w:numPr>
          <w:ilvl w:val="0"/>
          <w:numId w:val="6"/>
        </w:numPr>
        <w:spacing w:before="120" w:after="120"/>
        <w:ind w:left="993" w:hanging="993"/>
        <w:contextualSpacing w:val="0"/>
        <w:rPr>
          <w:lang w:eastAsia="lt-LT"/>
        </w:rPr>
      </w:pPr>
      <w:r w:rsidRPr="00C00255">
        <w:rPr>
          <w:szCs w:val="24"/>
          <w:lang w:eastAsia="lt-LT"/>
        </w:rPr>
        <w:t>Antai, liudytojas Č.</w:t>
      </w:r>
      <w:r>
        <w:rPr>
          <w:szCs w:val="24"/>
          <w:lang w:eastAsia="lt-LT"/>
        </w:rPr>
        <w:t> V.</w:t>
      </w:r>
      <w:r w:rsidRPr="00C00255">
        <w:rPr>
          <w:szCs w:val="24"/>
          <w:lang w:eastAsia="lt-LT"/>
        </w:rPr>
        <w:t xml:space="preserve"> nurodė, kad prie LRT tankų šūvių banga rezonavo taip, kad dužo televizijos pastato ir gyvenamųjų namų langai (t. 760, b. l. 134–135). Nukentėjusysis </w:t>
      </w:r>
      <w:r>
        <w:rPr>
          <w:szCs w:val="24"/>
          <w:lang w:eastAsia="lt-LT"/>
        </w:rPr>
        <w:t>B. G.</w:t>
      </w:r>
      <w:r w:rsidRPr="00C00255">
        <w:rPr>
          <w:szCs w:val="24"/>
          <w:lang w:eastAsia="lt-LT"/>
        </w:rPr>
        <w:t xml:space="preserve"> nurodė, kad po tanko šūvio tuščiu užtaisu jis apsvaigo, todėl palindo po balkonu. Kai atsipeikėjo, išvažiavo namo, o vėliau paaiškėjo, kad nuo šūvio jam trūko ausies nervas (t. 760, b. l. 44–45). Nukentėjusioji </w:t>
      </w:r>
      <w:r>
        <w:rPr>
          <w:szCs w:val="24"/>
          <w:lang w:eastAsia="lt-LT"/>
        </w:rPr>
        <w:t>D. F.</w:t>
      </w:r>
      <w:r w:rsidRPr="00C00255">
        <w:rPr>
          <w:szCs w:val="24"/>
          <w:lang w:eastAsia="lt-LT"/>
        </w:rPr>
        <w:t xml:space="preserve"> nurodė, kad tankui šaunant jo vamzdis buvo jos akių lygyje. Iš baimės ir nuo stipraus garso ji puolė ant žemės. Ji patyrė akustines haliucinacijas, keletą dienų buvo sutrikusi klausa (t. 760, b. l. 59). Nukentėjusysis </w:t>
      </w:r>
      <w:r>
        <w:rPr>
          <w:szCs w:val="24"/>
          <w:lang w:eastAsia="lt-LT"/>
        </w:rPr>
        <w:t>R. K.</w:t>
      </w:r>
      <w:r w:rsidRPr="00C00255">
        <w:rPr>
          <w:szCs w:val="24"/>
          <w:lang w:eastAsia="lt-LT"/>
        </w:rPr>
        <w:t xml:space="preserve"> nurodė, kad nuo tanko šūvio akyse pasidarė raudona, jis nesiorientavo aplinkoje (t. 760, b. l. 59–60). Nukentėjusysis J.</w:t>
      </w:r>
      <w:r>
        <w:rPr>
          <w:szCs w:val="24"/>
          <w:lang w:eastAsia="lt-LT"/>
        </w:rPr>
        <w:t> </w:t>
      </w:r>
      <w:r w:rsidRPr="00C00255">
        <w:rPr>
          <w:szCs w:val="24"/>
          <w:lang w:eastAsia="lt-LT"/>
        </w:rPr>
        <w:t>M</w:t>
      </w:r>
      <w:r>
        <w:rPr>
          <w:szCs w:val="24"/>
          <w:lang w:eastAsia="lt-LT"/>
        </w:rPr>
        <w:t>.</w:t>
      </w:r>
      <w:r w:rsidRPr="00C00255">
        <w:rPr>
          <w:szCs w:val="24"/>
          <w:lang w:eastAsia="lt-LT"/>
        </w:rPr>
        <w:t xml:space="preserve"> nurodė, kad kai tankas iššovė, jis nukrito ant žemės; matė ir kitų nukritusių žmonių (t. 760, b. l. 74). Nukentėjusysis </w:t>
      </w:r>
      <w:r>
        <w:rPr>
          <w:szCs w:val="24"/>
          <w:lang w:eastAsia="lt-LT"/>
        </w:rPr>
        <w:t>S. S.</w:t>
      </w:r>
      <w:r w:rsidRPr="00C00255">
        <w:rPr>
          <w:szCs w:val="24"/>
          <w:lang w:eastAsia="lt-LT"/>
        </w:rPr>
        <w:t xml:space="preserve"> nurodė, kad tanko šūvis išdaužė visus langus. Jis pats ausyse iškart pajuto skausmą, o šalia jo stovėjusiam vyriškiui pradėjo kraujuoti ausis (t. 760, b. l. 100–101). </w:t>
      </w:r>
      <w:r w:rsidRPr="00C00255">
        <w:rPr>
          <w:szCs w:val="24"/>
          <w:lang w:eastAsia="lt-LT" w:bidi="lt-LT"/>
        </w:rPr>
        <w:t>Taigi įvertinusi aptartus duomenis, teisėjų kolegija konstatuoja, kad prie LRT atvykusių tankų šūviai tuščiais užtaisais buvo itin pavojingi ir nebuvo tik garsinio efekto priemonė, bet sukėlė neigiamus padarinius civiliams.</w:t>
      </w:r>
    </w:p>
    <w:p w:rsidR="00DA38E9" w:rsidRPr="00C00255" w:rsidRDefault="00DA38E9" w:rsidP="00DA38E9">
      <w:pPr>
        <w:pStyle w:val="ListParagraph"/>
        <w:numPr>
          <w:ilvl w:val="0"/>
          <w:numId w:val="6"/>
        </w:numPr>
        <w:spacing w:before="120" w:after="120"/>
        <w:ind w:left="993" w:hanging="993"/>
        <w:contextualSpacing w:val="0"/>
        <w:rPr>
          <w:lang w:eastAsia="lt-LT"/>
        </w:rPr>
      </w:pPr>
      <w:r w:rsidRPr="00C00255">
        <w:rPr>
          <w:szCs w:val="24"/>
          <w:lang w:eastAsia="lt-LT"/>
        </w:rPr>
        <w:t xml:space="preserve">Teisėjų kolegijai taip pat nekyla abejonių ir dėl kitų nustatytų tanko Nr. 571 atliktų pavojingų veiksmų, t. y. kad tankas leido dūmines užsklandas, karinės technikos šviesos prietaisais švietė į civilius, užimamus objektus ir aplink esančius namus, o taip pat, jog būtent šis tankas užtvėrė kitos karinės technikos išlaužtą įvažiavimą prie LRT Televizijos pastato. Šias aplinkybes, o kartu ir itin pavojingą tanko Nr. 571 veikimą, patvirtina šio tanko įgulos narių </w:t>
      </w:r>
      <w:r>
        <w:rPr>
          <w:szCs w:val="24"/>
          <w:lang w:eastAsia="lt-LT"/>
        </w:rPr>
        <w:t>N. O.</w:t>
      </w:r>
      <w:r w:rsidRPr="00C00255">
        <w:rPr>
          <w:szCs w:val="24"/>
          <w:lang w:eastAsia="lt-LT"/>
        </w:rPr>
        <w:t xml:space="preserve"> ir </w:t>
      </w:r>
      <w:r>
        <w:rPr>
          <w:szCs w:val="24"/>
          <w:lang w:eastAsia="lt-LT"/>
        </w:rPr>
        <w:t>A. U.</w:t>
      </w:r>
      <w:r w:rsidRPr="00C00255">
        <w:rPr>
          <w:szCs w:val="24"/>
          <w:lang w:eastAsia="lt-LT"/>
        </w:rPr>
        <w:t xml:space="preserve"> </w:t>
      </w:r>
      <w:r w:rsidRPr="00C00255">
        <w:rPr>
          <w:szCs w:val="24"/>
        </w:rPr>
        <w:t xml:space="preserve">paaiškinimai, duoti ne kaip baudžiamojo proceso dalyvių, o kaip operacijoje dalyvavusių kariškių (1991 m. sausio 16 d. </w:t>
      </w:r>
      <w:r>
        <w:rPr>
          <w:szCs w:val="24"/>
        </w:rPr>
        <w:t>N. O.</w:t>
      </w:r>
      <w:r w:rsidRPr="00C00255">
        <w:rPr>
          <w:szCs w:val="24"/>
        </w:rPr>
        <w:t xml:space="preserve"> ir </w:t>
      </w:r>
      <w:r>
        <w:rPr>
          <w:szCs w:val="24"/>
        </w:rPr>
        <w:t>A. U.</w:t>
      </w:r>
      <w:r w:rsidRPr="00C00255">
        <w:rPr>
          <w:szCs w:val="24"/>
        </w:rPr>
        <w:t xml:space="preserve"> pasirašyti paaiškinimai). </w:t>
      </w:r>
      <w:r>
        <w:rPr>
          <w:szCs w:val="24"/>
        </w:rPr>
        <w:t>N. O.</w:t>
      </w:r>
      <w:r w:rsidRPr="00C00255">
        <w:rPr>
          <w:szCs w:val="24"/>
        </w:rPr>
        <w:t xml:space="preserve"> paaiškinimuose nurodė, kad jų užduotis buvo padaryti praėjimą į pastato kiemą ir apšviesti įvykio vietą. Tanką jie pastatė prie išlaužtos tvoros vietos ir apšvietė minią bei, paprašius, ir 9 aukštų namą (t. 427, b. l. 28; t. 114, b. l. 24). Tokius pat paaiškinimus davė ir </w:t>
      </w:r>
      <w:r>
        <w:rPr>
          <w:szCs w:val="24"/>
        </w:rPr>
        <w:t>A. U.</w:t>
      </w:r>
      <w:r w:rsidRPr="00C00255">
        <w:rPr>
          <w:szCs w:val="24"/>
        </w:rPr>
        <w:t>, be kita ko, papildomai nurodęs, kad jam buvo duota komanda išvažiuoti paskui tanką Nr. 559, kuris pralaužė tvorą, į kiemą ir sustoti (t. 427, b. l. 23; t. 114, b. l. 19). Apšvietimo priemonių panaudojimą prie LRT patvirtina ir k</w:t>
      </w:r>
      <w:r w:rsidRPr="00C00255">
        <w:rPr>
          <w:szCs w:val="24"/>
          <w:lang w:eastAsia="lt-LT"/>
        </w:rPr>
        <w:t xml:space="preserve">ompaktiniame diske „Sausio 13-oji. </w:t>
      </w:r>
      <w:r w:rsidRPr="00C00255">
        <w:rPr>
          <w:i/>
          <w:szCs w:val="24"/>
          <w:lang w:eastAsia="lt-LT"/>
        </w:rPr>
        <w:t>In memoriam</w:t>
      </w:r>
      <w:r w:rsidRPr="00C00255">
        <w:rPr>
          <w:szCs w:val="24"/>
          <w:lang w:eastAsia="lt-LT"/>
        </w:rPr>
        <w:t xml:space="preserve">“, esančiame antrajame vaizdo įraše užfiksuoti vaizdai. Įraše nuo 19 min. 07 sek. užfiksuota, kaip vienas po kito juda du tankai įjungtomis apšvietimo priemonėmis, o nuo 26 min. 03 sek. – kaip tankas įjungtais prožektoriais juda link pastato (t. 493, b. l. 123; dar ikiteisminio tyrimo metu specialistas J. Andriškevičius pirmuosius du įraše matomus tankus įvardijo kaip judančius Konarskio g., o antrąjį tanką, kaip tanką su įjungtu vado prožektoriumi, judantį prie 9 aukštų pastato (t. 479, b. l. 138–139)). </w:t>
      </w:r>
      <w:r w:rsidRPr="00C00255">
        <w:rPr>
          <w:szCs w:val="24"/>
        </w:rPr>
        <w:t>Atitinkamai, kompaktiniame diske „4A 2 dalis“ esančiame antrajame vaizdo įraše nuo 3 min. 06 sek. matyti dūmuose paskendusio tanko T-72 siluetas, kuris važiuoja su įjungtais prožektoriais (t. 507, b. l. 49; specialisto J. Andriškevičiaus teigimu, šis tankas galimai važiuoja skveru išilgai Konarskio g. LRT link (t. 479, b. l. 136)).</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lang w:eastAsia="lt-LT"/>
        </w:rPr>
        <w:t xml:space="preserve">Šiame kontekste, vertindama </w:t>
      </w:r>
      <w:r>
        <w:rPr>
          <w:lang w:eastAsia="lt-LT"/>
        </w:rPr>
        <w:t>N. O.</w:t>
      </w:r>
      <w:r w:rsidRPr="00C00255">
        <w:rPr>
          <w:lang w:eastAsia="lt-LT"/>
        </w:rPr>
        <w:t xml:space="preserve"> ir </w:t>
      </w:r>
      <w:r>
        <w:rPr>
          <w:lang w:eastAsia="lt-LT"/>
        </w:rPr>
        <w:t>A. U.</w:t>
      </w:r>
      <w:r w:rsidRPr="00C00255">
        <w:rPr>
          <w:lang w:eastAsia="lt-LT"/>
        </w:rPr>
        <w:t xml:space="preserve"> gynėjų argumentus dėl jų ginamųjų individualiai atliktų veiksmų, kolegija pastebi, kad užimant LRT, kaip ir pr</w:t>
      </w:r>
      <w:r w:rsidR="00E67B7E">
        <w:rPr>
          <w:lang w:eastAsia="lt-LT"/>
        </w:rPr>
        <w:t>ie Spaudos rūmų (kur tankas Nr. </w:t>
      </w:r>
      <w:r w:rsidRPr="00C00255">
        <w:rPr>
          <w:lang w:eastAsia="lt-LT"/>
        </w:rPr>
        <w:t xml:space="preserve">571 taip pat dalyvavo) bei TV bokšto, tankai veikė bendrai, koordinuotai ir sudarė sąlygas kitų kariškių veiksmams. Tankų veiksmai buvo koordinuoti, siekiant sudaryti galimybes į LRT teritoriją patekti kitiems kariškiams ir karinei technikai bei užtikrinti teritorijos apsaugą, o tankų šūviai nebuvo beprasmiai ar atsitiktiniai, nes jais buvo siekiama įbauginti prie objektų susirinkusius civilius. Atsižvelgiant į tai, </w:t>
      </w:r>
      <w:r w:rsidRPr="00C00255">
        <w:rPr>
          <w:szCs w:val="24"/>
          <w:lang w:eastAsia="lt-LT"/>
        </w:rPr>
        <w:t xml:space="preserve">kiekvieno iš tanko įgulos narių veiksmai jokiu būdu negali būti vertinami atsietai nuo šio tanko, visų tankų ir apskritai visų operacijoje dalyvavusių kariškių veiksmų.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bookmarkStart w:id="578" w:name="_Hlk64828491"/>
      <w:r w:rsidRPr="00C00255">
        <w:rPr>
          <w:szCs w:val="24"/>
          <w:lang w:eastAsia="lt-LT" w:bidi="lt-LT"/>
        </w:rPr>
        <w:t xml:space="preserve">Taigi, įvertinusi išdėstytas aplinkybes, teisėjų kolegija konstatuoja, kad visos skundžiamu nuosprendžiu įrodytomis pripažintos tankui Nr. 571 ir jo įgulos nariams nuteistiesiems </w:t>
      </w:r>
      <w:r>
        <w:rPr>
          <w:szCs w:val="24"/>
          <w:lang w:eastAsia="lt-LT" w:bidi="lt-LT"/>
        </w:rPr>
        <w:t>V. P.</w:t>
      </w:r>
      <w:r w:rsidRPr="00C00255">
        <w:rPr>
          <w:szCs w:val="24"/>
          <w:lang w:eastAsia="lt-LT" w:bidi="lt-LT"/>
        </w:rPr>
        <w:t xml:space="preserve">, </w:t>
      </w:r>
      <w:r>
        <w:rPr>
          <w:szCs w:val="24"/>
          <w:lang w:eastAsia="lt-LT" w:bidi="lt-LT"/>
        </w:rPr>
        <w:t>N. O.</w:t>
      </w:r>
      <w:r w:rsidRPr="00C00255">
        <w:rPr>
          <w:szCs w:val="24"/>
          <w:lang w:eastAsia="lt-LT" w:bidi="lt-LT"/>
        </w:rPr>
        <w:t xml:space="preserve"> ir </w:t>
      </w:r>
      <w:r>
        <w:rPr>
          <w:szCs w:val="24"/>
          <w:lang w:eastAsia="lt-LT" w:bidi="lt-LT"/>
        </w:rPr>
        <w:t>A. U.</w:t>
      </w:r>
      <w:r w:rsidRPr="00C00255">
        <w:rPr>
          <w:szCs w:val="24"/>
          <w:lang w:eastAsia="lt-LT" w:bidi="lt-LT"/>
        </w:rPr>
        <w:t xml:space="preserve"> </w:t>
      </w:r>
      <w:r w:rsidRPr="00C00255">
        <w:t xml:space="preserve">inkriminuotos faktinės aplinkybės, susijusios su veiksmais užimant LRT (nuosprendžio 514–520 l.), nustatytos pagrįstai ir teisingai. </w:t>
      </w:r>
      <w:bookmarkEnd w:id="578"/>
    </w:p>
    <w:p w:rsidR="00DA38E9" w:rsidRPr="00C00255" w:rsidRDefault="00DA38E9" w:rsidP="00DA38E9">
      <w:pPr>
        <w:pStyle w:val="ListParagraph"/>
        <w:numPr>
          <w:ilvl w:val="0"/>
          <w:numId w:val="6"/>
        </w:numPr>
        <w:spacing w:after="120"/>
        <w:ind w:left="993" w:hanging="993"/>
        <w:contextualSpacing w:val="0"/>
        <w:rPr>
          <w:bCs/>
          <w:szCs w:val="24"/>
        </w:rPr>
      </w:pPr>
      <w:r w:rsidRPr="00C00255">
        <w:t xml:space="preserve">Visgi, aptariant apygardos teismo išvadas apie tanko Nr. 571 ekipažo narių faktiškai atliktus veiksmus, pažymėtina, kad motyvuojamojoje nuosprendžio dalyje, apibendrinant šio tanko vairuotojo </w:t>
      </w:r>
      <w:r>
        <w:t>A. U.</w:t>
      </w:r>
      <w:r w:rsidRPr="00C00255">
        <w:t xml:space="preserve"> ir taikytojo </w:t>
      </w:r>
      <w:r>
        <w:t>N. O.</w:t>
      </w:r>
      <w:r w:rsidRPr="00C00255">
        <w:t xml:space="preserve"> atliktus veiksmus, apygardos teismas nurodė, kad </w:t>
      </w:r>
      <w:r>
        <w:t>N. O.</w:t>
      </w:r>
      <w:r w:rsidRPr="00C00255">
        <w:t xml:space="preserve"> ir </w:t>
      </w:r>
      <w:r>
        <w:t>A. U.</w:t>
      </w:r>
      <w:r w:rsidRPr="00C00255">
        <w:t xml:space="preserve">, dalyvaudami LRT šturme, vadovavo tankų kolonai (nuosprendžio 887 l.; </w:t>
      </w:r>
      <w:r w:rsidR="00902A3A">
        <w:rPr>
          <w:lang w:eastAsia="lt-LT"/>
        </w:rPr>
        <w:t>t. 773, b. </w:t>
      </w:r>
      <w:r w:rsidRPr="00C00255">
        <w:rPr>
          <w:lang w:eastAsia="lt-LT"/>
        </w:rPr>
        <w:t>l. 87)</w:t>
      </w:r>
      <w:r w:rsidRPr="00C00255">
        <w:t>. Vertinant tokius teismo teiginius viso teismo nuosprendžio kaip vientiso dokumento kontekste, akivaizdu, kad tai techninė klaida, nes tokį vaidmenį atliko ne tank</w:t>
      </w:r>
      <w:r w:rsidR="00902A3A">
        <w:t>o Nr. </w:t>
      </w:r>
      <w:r w:rsidRPr="00C00255">
        <w:t xml:space="preserve">571 vairuotojas ir taikytojas, o tanko įgulos vadas </w:t>
      </w:r>
      <w:r>
        <w:t>V. P.</w:t>
      </w:r>
      <w:r w:rsidRPr="00C00255">
        <w:t>. Be to, teismas, toje pačioje teismo nuosprendžio vietoje, t. y. bausmės skyrimo motyvuose, ne</w:t>
      </w:r>
      <w:r w:rsidR="00902A3A">
        <w:t>teisingai nurodė, kad tanko Nr. </w:t>
      </w:r>
      <w:r w:rsidRPr="00C00255">
        <w:t xml:space="preserve">571 įgula išgriovė statybvietės sieną (nuosprendžio 887 l.; </w:t>
      </w:r>
      <w:r w:rsidRPr="00C00255">
        <w:rPr>
          <w:lang w:eastAsia="lt-LT"/>
        </w:rPr>
        <w:t>t. 773, b. l. 87)</w:t>
      </w:r>
      <w:r w:rsidRPr="00C00255">
        <w:t>, nustatyta, kad tokius veiksmus atliko kitas tankas (žr. tolimesnėje šio sprendimo dalyje „</w:t>
      </w:r>
      <w:r w:rsidRPr="00C00255">
        <w:rPr>
          <w:i/>
          <w:szCs w:val="24"/>
          <w:lang w:eastAsia="lt-LT"/>
        </w:rPr>
        <w:t xml:space="preserve">Dėl tanko Nr. 559 ir jo ekipažo narių nuteistųjų </w:t>
      </w:r>
      <w:r>
        <w:rPr>
          <w:i/>
          <w:szCs w:val="24"/>
          <w:lang w:eastAsia="lt-LT"/>
        </w:rPr>
        <w:t>J. O.</w:t>
      </w:r>
      <w:r w:rsidRPr="00C00255">
        <w:rPr>
          <w:i/>
          <w:szCs w:val="24"/>
          <w:lang w:eastAsia="lt-LT"/>
        </w:rPr>
        <w:t xml:space="preserve"> ir </w:t>
      </w:r>
      <w:r>
        <w:rPr>
          <w:i/>
          <w:szCs w:val="24"/>
          <w:lang w:eastAsia="lt-LT"/>
        </w:rPr>
        <w:t>D. F.</w:t>
      </w:r>
      <w:r w:rsidRPr="00C00255">
        <w:rPr>
          <w:i/>
          <w:szCs w:val="24"/>
          <w:lang w:eastAsia="lt-LT"/>
        </w:rPr>
        <w:t xml:space="preserve"> dalyvavimo </w:t>
      </w:r>
      <w:r w:rsidRPr="00C00255">
        <w:rPr>
          <w:i/>
          <w:szCs w:val="24"/>
        </w:rPr>
        <w:t>užimant LRT</w:t>
      </w:r>
      <w:r w:rsidRPr="00C00255">
        <w:rPr>
          <w:szCs w:val="24"/>
        </w:rPr>
        <w:t xml:space="preserve">“). </w:t>
      </w:r>
      <w:r w:rsidRPr="00C00255">
        <w:rPr>
          <w:bCs/>
          <w:szCs w:val="24"/>
        </w:rPr>
        <w:t>Atsižvelgdama į išdėstytas aplinkybes ir į tai, kad skundžiamo nuosprendžio nusta</w:t>
      </w:r>
      <w:r w:rsidR="00902A3A">
        <w:rPr>
          <w:bCs/>
          <w:szCs w:val="24"/>
        </w:rPr>
        <w:t>tomojoje dalyje tokie tanko Nr. </w:t>
      </w:r>
      <w:r w:rsidRPr="00C00255">
        <w:rPr>
          <w:bCs/>
          <w:szCs w:val="24"/>
        </w:rPr>
        <w:t xml:space="preserve">571 ekipažo narių veiksmai nenurodyti, apeliacinės instancijos teismo teisėjų kolegija, darydama išvadas dėl nuteistųjų </w:t>
      </w:r>
      <w:r>
        <w:t>A. U.</w:t>
      </w:r>
      <w:r w:rsidRPr="00C00255">
        <w:t xml:space="preserve">, </w:t>
      </w:r>
      <w:r>
        <w:t>N. O.</w:t>
      </w:r>
      <w:r w:rsidRPr="00C00255">
        <w:t xml:space="preserve"> ir </w:t>
      </w:r>
      <w:r>
        <w:t>V. P.</w:t>
      </w:r>
      <w:r w:rsidRPr="00C00255">
        <w:t xml:space="preserve"> veiksmų, jų nevertina. Lygiai taip pat teisėjų kolegija, </w:t>
      </w:r>
      <w:r w:rsidRPr="00C00255">
        <w:rPr>
          <w:bCs/>
          <w:szCs w:val="24"/>
        </w:rPr>
        <w:t xml:space="preserve">darydama išvadas dėl nuteistųjų </w:t>
      </w:r>
      <w:r>
        <w:t>A. U.</w:t>
      </w:r>
      <w:r w:rsidRPr="00C00255">
        <w:t xml:space="preserve"> ir </w:t>
      </w:r>
      <w:r>
        <w:t>N. O.</w:t>
      </w:r>
      <w:r w:rsidRPr="00C00255">
        <w:t xml:space="preserve"> veiksmų, nevertina neteisingai nurodytų ir jau minėtų teiginių apie vadovavimą tankų kolonai.</w:t>
      </w:r>
    </w:p>
    <w:p w:rsidR="00DA38E9" w:rsidRPr="00C00255" w:rsidRDefault="00DA38E9" w:rsidP="00DA38E9">
      <w:pPr>
        <w:pStyle w:val="Heading4"/>
        <w:spacing w:before="120" w:after="120"/>
        <w:ind w:left="993"/>
        <w:rPr>
          <w:rFonts w:ascii="Times New Roman" w:hAnsi="Times New Roman"/>
          <w:b w:val="0"/>
          <w:i/>
          <w:sz w:val="24"/>
          <w:szCs w:val="24"/>
        </w:rPr>
      </w:pPr>
      <w:bookmarkStart w:id="579" w:name="_Toc66697281"/>
      <w:r w:rsidRPr="00C00255">
        <w:rPr>
          <w:rFonts w:ascii="Times New Roman" w:hAnsi="Times New Roman"/>
          <w:b w:val="0"/>
          <w:i/>
          <w:sz w:val="24"/>
          <w:szCs w:val="24"/>
        </w:rPr>
        <w:t xml:space="preserve">Dėl tanko Nr. 559 ir jo ekipažo narių nuteistųjų </w:t>
      </w:r>
      <w:r>
        <w:rPr>
          <w:rFonts w:ascii="Times New Roman" w:hAnsi="Times New Roman"/>
          <w:b w:val="0"/>
          <w:i/>
          <w:sz w:val="24"/>
          <w:szCs w:val="24"/>
        </w:rPr>
        <w:t>J. O.</w:t>
      </w:r>
      <w:r w:rsidRPr="00C00255">
        <w:rPr>
          <w:rFonts w:ascii="Times New Roman" w:hAnsi="Times New Roman"/>
          <w:b w:val="0"/>
          <w:i/>
          <w:sz w:val="24"/>
          <w:szCs w:val="24"/>
        </w:rPr>
        <w:t xml:space="preserve"> ir </w:t>
      </w:r>
      <w:r>
        <w:rPr>
          <w:rFonts w:ascii="Times New Roman" w:hAnsi="Times New Roman"/>
          <w:b w:val="0"/>
          <w:i/>
          <w:sz w:val="24"/>
          <w:szCs w:val="24"/>
        </w:rPr>
        <w:t>D. F.</w:t>
      </w:r>
      <w:r w:rsidRPr="00C00255">
        <w:rPr>
          <w:rFonts w:ascii="Times New Roman" w:hAnsi="Times New Roman"/>
          <w:b w:val="0"/>
          <w:i/>
          <w:sz w:val="24"/>
          <w:szCs w:val="24"/>
        </w:rPr>
        <w:t xml:space="preserve"> dalyvavimo užimant LRT</w:t>
      </w:r>
      <w:bookmarkEnd w:id="579"/>
      <w:r w:rsidRPr="00C00255">
        <w:rPr>
          <w:rFonts w:ascii="Times New Roman" w:hAnsi="Times New Roman"/>
          <w:b w:val="0"/>
          <w:i/>
          <w:sz w:val="24"/>
          <w:szCs w:val="24"/>
        </w:rPr>
        <w:t xml:space="preserve"> </w:t>
      </w:r>
    </w:p>
    <w:p w:rsidR="00DA38E9" w:rsidRPr="00055544" w:rsidRDefault="00DA38E9" w:rsidP="00DA38E9">
      <w:pPr>
        <w:pStyle w:val="ListParagraph"/>
        <w:numPr>
          <w:ilvl w:val="0"/>
          <w:numId w:val="6"/>
        </w:numPr>
        <w:spacing w:before="120" w:after="120"/>
        <w:ind w:left="993" w:hanging="993"/>
        <w:contextualSpacing w:val="0"/>
      </w:pPr>
      <w:r w:rsidRPr="00055544">
        <w:t>Teisėjų kolegijos vertinimu, aplinkybę, kad tankas Nr. 559 buvo prie LRT aptariamų įvykių metu, patvirtina iš skirtingų įrodymų šaltinių gautų duomenų visuma. Šiame kontekste pažymėtini įvairūs byloje esantys dokumentai, kurių objektyvumu teisėjų kolegija neturi pagrindo abejoti. Pirmiausia, 2014 m. birželio 10 d. specialisto išvadoje konstatuota, kad tankas Nr. 559 priklausė LRT puolusiai pirmai operacinei grupei</w:t>
      </w:r>
      <w:bookmarkStart w:id="580" w:name="_Hlk64749631"/>
      <w:r w:rsidRPr="00055544">
        <w:t xml:space="preserve"> </w:t>
      </w:r>
      <w:bookmarkEnd w:id="580"/>
      <w:r w:rsidRPr="00055544">
        <w:t xml:space="preserve">(t. 480, b. l. 59). Atitinkamai, byloje esančioje pažymoje-pranešime apie karinio dalinio Nr. 22238 technikos panaudojimą 1991 m. sausio 12–13 dienomis nurodyta, kad incidento metu buvo panaudotas ir karinio dalinio Nr. 78018 tankas, kurio borto Nr. 559 (t. 191, b. l. 214; t. 191, b. l. 213). Minėto tanko dalyvavimui įvykiuose prie LRT pagrįsti reikšmingas ir jau ne kartą minėtas 1991 m. sausio 9 d. įsakymas, kuriuo likus 3 dienoms iki įvykių prie LRT, Vilniuje buvo suformuota tanko įgula, kurią </w:t>
      </w:r>
      <w:r w:rsidRPr="00055544">
        <w:rPr>
          <w:rFonts w:eastAsia="Calibri"/>
        </w:rPr>
        <w:t xml:space="preserve">sudarė: tanko vadas – 106-ojo tankų pulko vado pavaduotojas kapitonas J. O., mechanikas-vairuotojas – eilinis A. R. (jo atžvilgiu baudžiamasis procesas nevykdytas ir byloje jis apklaustas liudytoju), ir taikytojas – pulko kuopos būrio vadas leitenantas D. F.. </w:t>
      </w:r>
      <w:r w:rsidRPr="00055544">
        <w:t xml:space="preserve">(t. 440, b. l. 17–18; t. 127, b. l. 10–11). </w:t>
      </w:r>
      <w:r w:rsidRPr="00055544">
        <w:rPr>
          <w:rFonts w:eastAsia="Calibri"/>
        </w:rPr>
        <w:t xml:space="preserve">Apie tokią šio tanko įgulą užimant LRT patvirtina ir dalinio Nr. 78018 štabo viršininko papulkininkio O. Ž. pasirašytas karinio personalo, dalyvavusio operacijoje iš 1991 m. sausio 12 į sausio 13-ąją, sąrašas, kuriame nurodyti ir visi trys įgulą sudarę kariškiai (t. 440, b. l. 7; t. 127, b. l. 4). Be to, byloje neginčijamos aplinkybės dėl tokios tanko Nr. 559 įgulos sudėties ir jos dalyvavimo įvykiuose prie LRT, todėl teisėjų kolegija šiuo klausimu plačiau nepasisako.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Nuteistojo </w:t>
      </w:r>
      <w:r>
        <w:rPr>
          <w:szCs w:val="24"/>
          <w:lang w:eastAsia="lt-LT" w:bidi="lt-LT"/>
        </w:rPr>
        <w:t>J. O.</w:t>
      </w:r>
      <w:r w:rsidRPr="00C00255">
        <w:rPr>
          <w:szCs w:val="24"/>
          <w:lang w:eastAsia="lt-LT" w:bidi="lt-LT"/>
        </w:rPr>
        <w:t xml:space="preserve"> gynėjas neginčija faktinių tiriamų nusikalstamų veikų padarymo aplinkybių, nurodo tik tai, kad </w:t>
      </w:r>
      <w:r w:rsidRPr="00C00255">
        <w:t>kol byloje neišspręstas M.</w:t>
      </w:r>
      <w:r>
        <w:t> </w:t>
      </w:r>
      <w:r w:rsidRPr="00C00255">
        <w:t>G</w:t>
      </w:r>
      <w:r>
        <w:t>.</w:t>
      </w:r>
      <w:r w:rsidRPr="00C00255">
        <w:t xml:space="preserve"> atsakomybės klausimas, </w:t>
      </w:r>
      <w:r>
        <w:t>J. O.</w:t>
      </w:r>
      <w:r w:rsidRPr="00C00255">
        <w:t xml:space="preserve"> veikų faktinės aplinkybės nėra visiškai išnagrinėtos. Pažymėtina, kad teisėjų kolegija dėl šio gynėjo apeliacinio skundo argumento pasisakys atskiroje dalyje.</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Pr>
          <w:szCs w:val="24"/>
          <w:lang w:eastAsia="lt-LT" w:bidi="lt-LT"/>
        </w:rPr>
        <w:t>D. F.</w:t>
      </w:r>
      <w:r w:rsidRPr="00C00255">
        <w:rPr>
          <w:szCs w:val="24"/>
          <w:lang w:eastAsia="lt-LT" w:bidi="lt-LT"/>
        </w:rPr>
        <w:t xml:space="preserve"> gynėjo teigimu, jo ginamasis, dalyvaudamas LRT patalpų užėmime, vykdė įsakymą užtikrinti priėjimą prie LRT pastato, tačiau gali būti atsakingas tik už konkrečius savo veiksmus ir jų sukeltus padarinius. Gynėjas nurodo, kad dėl </w:t>
      </w:r>
      <w:r>
        <w:rPr>
          <w:szCs w:val="24"/>
          <w:lang w:eastAsia="lt-LT" w:bidi="lt-LT"/>
        </w:rPr>
        <w:t>D. F.</w:t>
      </w:r>
      <w:r w:rsidRPr="00C00255">
        <w:rPr>
          <w:szCs w:val="24"/>
          <w:lang w:eastAsia="lt-LT" w:bidi="lt-LT"/>
        </w:rPr>
        <w:t xml:space="preserve"> tankų šūvių niekas nežuvo ir nebuvo sunkiai sužalotas, taip pat byloje nėra neginčijamų įrodymų, kad būtent </w:t>
      </w:r>
      <w:r>
        <w:rPr>
          <w:szCs w:val="24"/>
          <w:lang w:eastAsia="lt-LT" w:bidi="lt-LT"/>
        </w:rPr>
        <w:t>D. F.</w:t>
      </w:r>
      <w:r w:rsidRPr="00C00255">
        <w:rPr>
          <w:szCs w:val="24"/>
          <w:lang w:eastAsia="lt-LT" w:bidi="lt-LT"/>
        </w:rPr>
        <w:t xml:space="preserve"> šūviai sukėlė nesunkius ir nežymius nukentėjusiųjų sužalojimus, nes prie LRT dalyvavo 3 tankai ir visi jie galimai šaudė. Kadangi tanką vairavo </w:t>
      </w:r>
      <w:r>
        <w:rPr>
          <w:szCs w:val="24"/>
          <w:lang w:eastAsia="lt-LT" w:bidi="lt-LT"/>
        </w:rPr>
        <w:t>A. R.</w:t>
      </w:r>
      <w:r w:rsidRPr="00C00255">
        <w:rPr>
          <w:szCs w:val="24"/>
          <w:lang w:eastAsia="lt-LT" w:bidi="lt-LT"/>
        </w:rPr>
        <w:t xml:space="preserve">, jis ir tegalėjo atlikti kaltinime nurodytą pavojingą manevravimą tanku.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Įvertinusi šiuos gynėjų apeliacinių skundų argumentus, teisėjų kolegija konstatuoja, kad teismo išvados dėl tanko Nr. 559 veiksmų (pavojingai manevruodamas tarp civilių asmenų pirmasis priartėjo prie LRT Televizijos pastato; išlaužė LRT juosiančios tvoros dalį ir kartu su BMD, kurio Nr. 277, privažiavo prie puolamo LRT Televizijos pastato; iššovė iš pabūklo tuščiais užtaisais; l</w:t>
      </w:r>
      <w:r w:rsidRPr="00C00255">
        <w:t>eido dūmines užsklandas; karinės technikos šviesos prietaisais švietė į civilius, užimamus objektus ir aplink esančius gyvenamuosius namus)</w:t>
      </w:r>
      <w:r w:rsidRPr="00C00255">
        <w:rPr>
          <w:szCs w:val="24"/>
          <w:lang w:eastAsia="lt-LT" w:bidi="lt-LT"/>
        </w:rPr>
        <w:t xml:space="preserve"> prie LRT yra pagrįstos byloje surinktais duomenimis ir yra teisingos. Be to, kaip matyti, gynėjai iš esmės neginčija teismo nustatytų faktinių aplinkybių, susijusių su tanko Nr. 559 prie LRT atliktais veiksmais.</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Tanko Nr. 559 ir tuo pačiu jo įgulos narių </w:t>
      </w:r>
      <w:r>
        <w:rPr>
          <w:szCs w:val="24"/>
          <w:lang w:eastAsia="lt-LT" w:bidi="lt-LT"/>
        </w:rPr>
        <w:t>J. O.</w:t>
      </w:r>
      <w:r w:rsidRPr="00C00255">
        <w:rPr>
          <w:szCs w:val="24"/>
          <w:lang w:eastAsia="lt-LT" w:bidi="lt-LT"/>
        </w:rPr>
        <w:t xml:space="preserve"> ir </w:t>
      </w:r>
      <w:r>
        <w:rPr>
          <w:szCs w:val="24"/>
          <w:lang w:eastAsia="lt-LT" w:bidi="lt-LT"/>
        </w:rPr>
        <w:t>D. F.</w:t>
      </w:r>
      <w:r w:rsidRPr="00C00255">
        <w:rPr>
          <w:szCs w:val="24"/>
          <w:lang w:eastAsia="lt-LT" w:bidi="lt-LT"/>
        </w:rPr>
        <w:t xml:space="preserve"> veiksmai dėl pavojingo manevravimo, LRT juosiančios tvoros išlaužimo ir privažiavimo prie LRT Televizijos pastato konstatuoti 2014 m. birželio 10 d. specialisto išvadoje. Specialisto išvadoje nurodyta, kad karinė technika, kurios sudėtyje buvo ir tankas Nr. 559, pavojingai manevruodama, priartėjo prie 9 aukštų LRT pastato statybvietės aptvarų, po ko tankas Nr. 559 kartu su BMD Nr. 277 išlaužė aptvaro dalį ir privažiavo prie pastato; tankai pavojingai manevravo tarp civilių, laužė apšvietimo stulpus, šaudė išmušamaisiais pabūklų užtaisais (t. 480, b. l. 59–60). Apie tokius tanko Nr. 559 veiksmus apklaustas 2016 m. gegužės 10 d. teisiamajame posėdyje nurodė ir jo vairuotojas liudytojas </w:t>
      </w:r>
      <w:r>
        <w:rPr>
          <w:szCs w:val="24"/>
          <w:lang w:eastAsia="lt-LT" w:bidi="lt-LT"/>
        </w:rPr>
        <w:t>A. R.</w:t>
      </w:r>
      <w:r w:rsidRPr="00C00255">
        <w:rPr>
          <w:szCs w:val="24"/>
          <w:lang w:eastAsia="lt-LT" w:bidi="lt-LT"/>
        </w:rPr>
        <w:t xml:space="preserve">. Liudytojas patvirtino tyrimo metu duotus parodymus bei </w:t>
      </w:r>
      <w:r w:rsidRPr="00C00255">
        <w:t>nurodė, kad jis tanku Nr. 559 važiavo prie LRT pastato. Prie pastato esančioje gatvėje vyko judėjimas, vaikščiojo žmonės, stovėjo mašinos, o tanko vadas jam davė įsakymą judėti pirmyn. Jam privažiavus iš dešinės nuo LRT pastato esantį parkelį, kurį juosė betoninė tvora, liudytojas pamatė karinę techniką ir suprato, kad ji nori įvažiuoti į LRT teritoriją, tačiau negali dėl tvoros. Tanko vadas jam įsakė važiuoti pirmyn ir padaryti pravažiavimą – jis taip ir padarė. Tanko vadas jam reguliavo, kaip judėti toliau, kol galiausiai tanką jis pastatė aikštelėje prie LRT, priekiu į Konarskio g. (</w:t>
      </w:r>
      <w:r w:rsidRPr="00C00255">
        <w:rPr>
          <w:szCs w:val="24"/>
          <w:lang w:eastAsia="lt-LT"/>
        </w:rPr>
        <w:t>t. </w:t>
      </w:r>
      <w:r w:rsidRPr="00C00255">
        <w:t>757, b. l. 102–107; t. 475, b. l. 7–12). Tai, kad minėtas tankas išlaužė tvorą ir pavojingai manevravo LRT Televizijos pastato teritorijoje aplink esant civilių, patvirtina ir dalyje „</w:t>
      </w:r>
      <w:r w:rsidRPr="00C00255">
        <w:rPr>
          <w:i/>
          <w:szCs w:val="24"/>
          <w:lang w:eastAsia="lt-LT"/>
        </w:rPr>
        <w:t xml:space="preserve">Dėl tanko Nr. 571 ir jo ekipažo narių nuteistųjų </w:t>
      </w:r>
      <w:r>
        <w:rPr>
          <w:i/>
          <w:szCs w:val="24"/>
          <w:lang w:eastAsia="lt-LT"/>
        </w:rPr>
        <w:t>V. P.</w:t>
      </w:r>
      <w:r w:rsidRPr="00C00255">
        <w:rPr>
          <w:i/>
          <w:szCs w:val="24"/>
          <w:lang w:eastAsia="lt-LT"/>
        </w:rPr>
        <w:t xml:space="preserve">, </w:t>
      </w:r>
      <w:r>
        <w:rPr>
          <w:i/>
          <w:szCs w:val="24"/>
          <w:lang w:eastAsia="lt-LT"/>
        </w:rPr>
        <w:t>N. O.</w:t>
      </w:r>
      <w:r w:rsidRPr="00C00255">
        <w:rPr>
          <w:i/>
          <w:szCs w:val="24"/>
          <w:lang w:eastAsia="lt-LT"/>
        </w:rPr>
        <w:t xml:space="preserve"> ir </w:t>
      </w:r>
      <w:r>
        <w:rPr>
          <w:i/>
          <w:szCs w:val="24"/>
          <w:lang w:eastAsia="lt-LT"/>
        </w:rPr>
        <w:t>A. U.</w:t>
      </w:r>
      <w:r w:rsidRPr="00C00255">
        <w:rPr>
          <w:i/>
          <w:szCs w:val="24"/>
          <w:lang w:eastAsia="lt-LT"/>
        </w:rPr>
        <w:t xml:space="preserve"> dalyvavimo </w:t>
      </w:r>
      <w:r w:rsidRPr="00C00255">
        <w:rPr>
          <w:i/>
          <w:szCs w:val="24"/>
        </w:rPr>
        <w:t>užimant LRT</w:t>
      </w:r>
      <w:r w:rsidRPr="00C00255">
        <w:rPr>
          <w:szCs w:val="24"/>
        </w:rPr>
        <w:t xml:space="preserve">“ (šio sprendimo 681 pastraipa) aptarti teisiamajame posėdyje apklaustų nukentėjusiųjų parodymai (pvz., </w:t>
      </w:r>
      <w:r w:rsidRPr="00C00255">
        <w:rPr>
          <w:szCs w:val="24"/>
          <w:lang w:eastAsia="lt-LT"/>
        </w:rPr>
        <w:t>A. M</w:t>
      </w:r>
      <w:r>
        <w:rPr>
          <w:szCs w:val="24"/>
          <w:lang w:eastAsia="lt-LT"/>
        </w:rPr>
        <w:t>.</w:t>
      </w:r>
      <w:r w:rsidRPr="00C00255">
        <w:rPr>
          <w:szCs w:val="24"/>
          <w:lang w:eastAsia="lt-LT"/>
        </w:rPr>
        <w:t xml:space="preserve"> parodymai apie iš už statybvietės staiga išnirusius ir į ją važiuojančius tankus, pro kuriuos jai teko išvinguriuoti (t. 760, b. l. 77–78)).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 xml:space="preserve">Aplinkybes, kad </w:t>
      </w:r>
      <w:r w:rsidRPr="00C00255">
        <w:rPr>
          <w:szCs w:val="24"/>
          <w:lang w:eastAsia="lt-LT" w:bidi="lt-LT"/>
        </w:rPr>
        <w:t xml:space="preserve">LRT teritorijoje </w:t>
      </w:r>
      <w:r w:rsidRPr="00C00255">
        <w:t>iš t</w:t>
      </w:r>
      <w:r w:rsidRPr="00C00255">
        <w:rPr>
          <w:szCs w:val="24"/>
          <w:lang w:eastAsia="lt-LT" w:bidi="lt-LT"/>
        </w:rPr>
        <w:t xml:space="preserve">anko Nr. 559 buvo šaudoma </w:t>
      </w:r>
      <w:r w:rsidRPr="00C00255">
        <w:t xml:space="preserve">tuščiais užtaisais, </w:t>
      </w:r>
      <w:r w:rsidRPr="00C00255">
        <w:rPr>
          <w:szCs w:val="24"/>
          <w:lang w:eastAsia="lt-LT"/>
        </w:rPr>
        <w:t xml:space="preserve">leidžiamos dūminės užsklandos, karinės technikos šviesos prietaisais šviečiama į civilius, užimamus objektus ir aplink esančius namus </w:t>
      </w:r>
      <w:r w:rsidRPr="00C00255">
        <w:t>taip pat patvirtina objektyvūs įrodymai. Iš</w:t>
      </w:r>
      <w:r w:rsidRPr="00C00255">
        <w:rPr>
          <w:szCs w:val="24"/>
          <w:lang w:eastAsia="lt-LT"/>
        </w:rPr>
        <w:t> </w:t>
      </w:r>
      <w:r w:rsidRPr="00C00255">
        <w:rPr>
          <w:szCs w:val="24"/>
          <w:lang w:eastAsia="lt-LT" w:bidi="lt-LT"/>
        </w:rPr>
        <w:t>pažymoje-pranešime apie karinio dalinio Nr. 22238 technikos panaudojimą 1991 m. sausio 12–13</w:t>
      </w:r>
      <w:r>
        <w:rPr>
          <w:szCs w:val="24"/>
          <w:lang w:eastAsia="lt-LT" w:bidi="lt-LT"/>
        </w:rPr>
        <w:t> </w:t>
      </w:r>
      <w:r w:rsidRPr="00C00255">
        <w:rPr>
          <w:szCs w:val="24"/>
          <w:lang w:eastAsia="lt-LT" w:bidi="lt-LT"/>
        </w:rPr>
        <w:t xml:space="preserve">dienomis, nurodyta, kad incidento metu buvo panaudotas ir tankas Nr. 559, kurio įgula šaudė tuščiais tankų pabūklų sviediniais (t. 191, b. l. 214; t. 191, b. l. 213; pažymoje padaryta klaida ir nurodyta, kad šaudė tankas, kurio Nr. 569, tačiau tankas tokiu numeriu sausio mėn. įvykiuose nedalyvavo, todėl akivaizdu, jog turėtas omenyje tankas Nr. 559 – </w:t>
      </w:r>
      <w:r w:rsidRPr="00C00255">
        <w:rPr>
          <w:i/>
          <w:szCs w:val="24"/>
          <w:lang w:eastAsia="lt-LT" w:bidi="lt-LT"/>
        </w:rPr>
        <w:t>kolegijos pastaba</w:t>
      </w:r>
      <w:r w:rsidRPr="00C00255">
        <w:rPr>
          <w:szCs w:val="24"/>
          <w:lang w:eastAsia="lt-LT" w:bidi="lt-LT"/>
        </w:rPr>
        <w:t xml:space="preserve">). Pirmosios instancijos teisme </w:t>
      </w:r>
      <w:r w:rsidRPr="00C00255">
        <w:rPr>
          <w:szCs w:val="24"/>
        </w:rPr>
        <w:t xml:space="preserve">apklaustas liudytojas </w:t>
      </w:r>
      <w:r>
        <w:rPr>
          <w:szCs w:val="24"/>
        </w:rPr>
        <w:t>A. R.</w:t>
      </w:r>
      <w:r w:rsidRPr="00C00255">
        <w:rPr>
          <w:szCs w:val="24"/>
        </w:rPr>
        <w:t xml:space="preserve"> patvirtino tyrimo metu duotus parodymus ir nurodė, kad tanko vado įsakymu jų tankas prie objekto iššovė vieną ar du kartus. Be to, matė, kad jo vairuotas tankas, kaip ir kita karinė technika, momentais apšviesdavo priešais stovėjusius namus</w:t>
      </w:r>
      <w:r w:rsidRPr="00C00255">
        <w:rPr>
          <w:szCs w:val="24"/>
          <w:lang w:eastAsia="lt-LT"/>
        </w:rPr>
        <w:t xml:space="preserve"> (t. </w:t>
      </w:r>
      <w:r w:rsidRPr="00C00255">
        <w:t xml:space="preserve">757, b. l. 102–107; t. 475, b. l. 7–12). </w:t>
      </w:r>
      <w:r>
        <w:rPr>
          <w:szCs w:val="24"/>
        </w:rPr>
        <w:t>D. F.</w:t>
      </w:r>
      <w:r w:rsidRPr="00C00255">
        <w:rPr>
          <w:szCs w:val="24"/>
        </w:rPr>
        <w:t xml:space="preserve"> paaiškinimuose, duotuose ne kaip baudžiamojo proceso dalyvio, o kaip operacijoje dalyvavusio kariškio (1991 m. sausio 16 d. </w:t>
      </w:r>
      <w:r>
        <w:rPr>
          <w:szCs w:val="24"/>
        </w:rPr>
        <w:t>D. F.</w:t>
      </w:r>
      <w:r w:rsidRPr="00C00255">
        <w:rPr>
          <w:szCs w:val="24"/>
        </w:rPr>
        <w:t xml:space="preserve"> pasirašytas paaiškinimas), taip pat nurodė, kad jų tankas, būdamas televizijos centro kieme, iššovė 2 šūvius išmušamaisiais užtaisais virš namų bei stovėjo televizijos centro kieme, apšviesdamas minią žibintais (t. 427, b. l. 35; t. 114, b. l. 33). Be to, a</w:t>
      </w:r>
      <w:r w:rsidRPr="00C00255">
        <w:rPr>
          <w:szCs w:val="24"/>
          <w:lang w:eastAsia="lt-LT" w:bidi="lt-LT"/>
        </w:rPr>
        <w:t xml:space="preserve">plinkybę, kad prie LRT atvykę tankai šaudė iš pabūklų išmušamaisiais užtaisais, įvertinęs byloje surinktų duomenų visumą, konstatavo ir specialistas 2014 m. birželio 10 d. išvadoje </w:t>
      </w:r>
      <w:r w:rsidRPr="00C00255">
        <w:rPr>
          <w:szCs w:val="24"/>
        </w:rPr>
        <w:t xml:space="preserve">(t. 480, b. l. 60). Šiame kontekste teisėjų kolegija pažymi ir tai, kad pirmiau aptarti baudžiamojoje byloje pateikti vaizdo įrašai taip pat patvirtina, kad </w:t>
      </w:r>
      <w:r w:rsidRPr="00C00255">
        <w:rPr>
          <w:szCs w:val="24"/>
          <w:lang w:eastAsia="lt-LT"/>
        </w:rPr>
        <w:t>tankai prie LRT leido dūmines užsklandas ir naudojo apšvietimo prietaisus (šio sprendimo 685 pastraipa)</w:t>
      </w:r>
      <w:r w:rsidR="00055544">
        <w:rPr>
          <w:szCs w:val="24"/>
          <w:lang w:eastAsia="lt-LT"/>
        </w:rPr>
        <w:t>.</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Vertinant nuteistojo </w:t>
      </w:r>
      <w:r>
        <w:rPr>
          <w:szCs w:val="24"/>
        </w:rPr>
        <w:t>D. F.</w:t>
      </w:r>
      <w:r w:rsidRPr="00C00255">
        <w:rPr>
          <w:szCs w:val="24"/>
        </w:rPr>
        <w:t xml:space="preserve"> gynėjo apeliacinio skundo argumentus dėl tankų šūvių pavojingumo ir sukeltų padarinių, </w:t>
      </w:r>
      <w:r w:rsidRPr="00C00255">
        <w:rPr>
          <w:lang w:eastAsia="lt-LT"/>
        </w:rPr>
        <w:t>teisėjų kolegija pažymi, kad kaip ne kartą šiame sprendime jau buvo nurodyta, tankų šūviai prie LRT, kaip ir prie Spaudos rūmų bei TV bokšto, nors ir tuščiais užtaisais, buvo itin pavojingi, dėl ko daugybė civilių nuo tankų šūvių patyrė akustines traumas</w:t>
      </w:r>
      <w:r w:rsidRPr="00C00255">
        <w:rPr>
          <w:szCs w:val="24"/>
          <w:lang w:eastAsia="lt-LT"/>
        </w:rPr>
        <w:t xml:space="preserve">, dėl šūvių garso bangos griuvo ant žemės, dužo pastatų langai ir pan. </w:t>
      </w:r>
      <w:r w:rsidRPr="00C00255">
        <w:rPr>
          <w:szCs w:val="24"/>
        </w:rPr>
        <w:t xml:space="preserve">Tokias aplinkybes patvirtino daugelio byloje apklaustų liudytojų ir nukentėjusiųjų, buvusių prie LRT pastatų, parodymai, kurie aptarti šio sprendimo 684 pastraipoje, ir šioje dalyje jų teisėjų kolegija nekartoja.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rPr>
        <w:t xml:space="preserve">Nuteistojo </w:t>
      </w:r>
      <w:r>
        <w:rPr>
          <w:szCs w:val="24"/>
          <w:lang w:eastAsia="lt-LT"/>
        </w:rPr>
        <w:t>D. F.</w:t>
      </w:r>
      <w:r w:rsidRPr="00C00255">
        <w:rPr>
          <w:szCs w:val="24"/>
          <w:lang w:eastAsia="lt-LT"/>
        </w:rPr>
        <w:t xml:space="preserve"> gynėjas skunde taip pat akcentuoja tik savo ginamojo atliktus individualius veiksmus, teigdamas, kad </w:t>
      </w:r>
      <w:r>
        <w:rPr>
          <w:szCs w:val="24"/>
          <w:lang w:eastAsia="lt-LT"/>
        </w:rPr>
        <w:t>D. F.</w:t>
      </w:r>
      <w:r w:rsidRPr="00C00255">
        <w:rPr>
          <w:szCs w:val="24"/>
          <w:lang w:eastAsia="lt-LT"/>
        </w:rPr>
        <w:t xml:space="preserve"> negali atsakyti už tanko vairuotojo </w:t>
      </w:r>
      <w:r>
        <w:rPr>
          <w:szCs w:val="24"/>
          <w:lang w:eastAsia="lt-LT"/>
        </w:rPr>
        <w:t>A. R.</w:t>
      </w:r>
      <w:r w:rsidRPr="00C00255">
        <w:rPr>
          <w:szCs w:val="24"/>
          <w:lang w:eastAsia="lt-LT"/>
        </w:rPr>
        <w:t xml:space="preserve"> veiksmus, o byloje nėra neginčijamų įrodymų, jog būtent </w:t>
      </w:r>
      <w:r>
        <w:rPr>
          <w:szCs w:val="24"/>
          <w:lang w:eastAsia="lt-LT"/>
        </w:rPr>
        <w:t>D. F.</w:t>
      </w:r>
      <w:r w:rsidRPr="00C00255">
        <w:rPr>
          <w:szCs w:val="24"/>
          <w:lang w:eastAsia="lt-LT"/>
        </w:rPr>
        <w:t xml:space="preserve"> atlikti tanko šūviai sukėlė neigiamus padarinius civiliams. </w:t>
      </w:r>
      <w:r w:rsidRPr="00C00255">
        <w:rPr>
          <w:lang w:eastAsia="lt-LT"/>
        </w:rPr>
        <w:t xml:space="preserve">Teisėjų kolegija, vertindama tokius gynėjo argumentus, pažymi, kad užimant LRT, kaip ir prie Spaudos rūmų bei TV bokšto, tankai veikė bendrai, koordinuotai ir sudarė sąlygas kitų kariškių veiksmams. Tankų veiksmai buvo koordinuoti, siekiant sudaryti galimybes į LRT teritoriją patekti kitiems kariškiams ir karinei technikai, o tankų šūviai nebuvo beprasmiai ar atsitiktiniai, nes jais buvo siekiama įbauginti prie objektų susirinkusius civilius. Atsižvelgiant į tai, </w:t>
      </w:r>
      <w:r w:rsidRPr="00C00255">
        <w:rPr>
          <w:szCs w:val="24"/>
          <w:lang w:eastAsia="lt-LT"/>
        </w:rPr>
        <w:t xml:space="preserve">kiekvieno iš tanko įgulos narių veiksmai jokiu būdu negali būti vertinami atsietai nuo šio tanko, visų tankų ir apskritai visų operacijoje dalyvavusių kariškių veiksmų, o taip pat ir nuo jų veiksmų padarinių. </w:t>
      </w:r>
    </w:p>
    <w:p w:rsidR="00DA38E9" w:rsidRPr="00C00255" w:rsidRDefault="00DA38E9" w:rsidP="00DA38E9">
      <w:pPr>
        <w:pStyle w:val="ListParagraph"/>
        <w:numPr>
          <w:ilvl w:val="0"/>
          <w:numId w:val="6"/>
        </w:numPr>
        <w:spacing w:before="120" w:after="120"/>
        <w:ind w:left="993" w:hanging="993"/>
        <w:contextualSpacing w:val="0"/>
        <w:rPr>
          <w:lang w:eastAsia="lt-LT"/>
        </w:rPr>
      </w:pPr>
      <w:r w:rsidRPr="00055544">
        <w:rPr>
          <w:szCs w:val="24"/>
          <w:lang w:eastAsia="lt-LT" w:bidi="lt-LT"/>
        </w:rPr>
        <w:t xml:space="preserve">Atsižvelgdama į išdėstytas aplinkybes, teisėjų kolegija konstatuoja, kad visos skundžiamu nuosprendžiu įrodytomis pripažintos, su tanko Nr. 559 ir tuo pačiu jos įgulos narių nuteistųjų J. O. ir D. F. veiksmais užimant LRT pastatus susijusios nuteistiesiems inkriminuotos faktinės aplinkybės </w:t>
      </w:r>
      <w:r w:rsidRPr="00055544">
        <w:t xml:space="preserve">(nuosprendžio 514–520 l.), </w:t>
      </w:r>
      <w:r w:rsidRPr="00055544">
        <w:rPr>
          <w:szCs w:val="24"/>
          <w:lang w:eastAsia="lt-LT" w:bidi="lt-LT"/>
        </w:rPr>
        <w:t>pasitvirtino kaip pagrįstos ir teisingos</w:t>
      </w:r>
      <w:r w:rsidRPr="00C00255">
        <w:rPr>
          <w:szCs w:val="24"/>
          <w:lang w:eastAsia="lt-LT" w:bidi="lt-LT"/>
        </w:rPr>
        <w:t xml:space="preserve">. </w:t>
      </w:r>
    </w:p>
    <w:p w:rsidR="00DA38E9" w:rsidRPr="00C00255" w:rsidRDefault="00DA38E9" w:rsidP="00DA38E9">
      <w:pPr>
        <w:pStyle w:val="Heading4"/>
        <w:spacing w:before="120" w:after="120"/>
        <w:ind w:left="992"/>
        <w:rPr>
          <w:rFonts w:ascii="Times New Roman" w:hAnsi="Times New Roman"/>
          <w:b w:val="0"/>
          <w:i/>
          <w:sz w:val="24"/>
          <w:szCs w:val="24"/>
        </w:rPr>
      </w:pPr>
      <w:bookmarkStart w:id="581" w:name="_Toc66697282"/>
      <w:r w:rsidRPr="00C00255">
        <w:rPr>
          <w:rFonts w:ascii="Times New Roman" w:hAnsi="Times New Roman"/>
          <w:b w:val="0"/>
          <w:i/>
          <w:sz w:val="24"/>
          <w:szCs w:val="24"/>
        </w:rPr>
        <w:t xml:space="preserve">Dėl tanko Nr. 574 ir jo ekipažo narių nuteistųjų </w:t>
      </w:r>
      <w:r>
        <w:rPr>
          <w:rFonts w:ascii="Times New Roman" w:hAnsi="Times New Roman"/>
          <w:b w:val="0"/>
          <w:i/>
          <w:sz w:val="24"/>
          <w:szCs w:val="24"/>
        </w:rPr>
        <w:t>E. R.</w:t>
      </w:r>
      <w:r w:rsidRPr="00C00255">
        <w:rPr>
          <w:rFonts w:ascii="Times New Roman" w:hAnsi="Times New Roman"/>
          <w:b w:val="0"/>
          <w:i/>
          <w:sz w:val="24"/>
          <w:szCs w:val="24"/>
        </w:rPr>
        <w:t xml:space="preserve">, </w:t>
      </w:r>
      <w:r>
        <w:rPr>
          <w:rFonts w:ascii="Times New Roman" w:hAnsi="Times New Roman"/>
          <w:b w:val="0"/>
          <w:i/>
          <w:sz w:val="24"/>
          <w:szCs w:val="24"/>
        </w:rPr>
        <w:t>A. K. 2</w:t>
      </w:r>
      <w:r w:rsidRPr="00C00255">
        <w:rPr>
          <w:rFonts w:ascii="Times New Roman" w:hAnsi="Times New Roman"/>
          <w:b w:val="0"/>
          <w:i/>
          <w:sz w:val="24"/>
          <w:szCs w:val="24"/>
        </w:rPr>
        <w:t xml:space="preserve"> ir </w:t>
      </w:r>
      <w:r>
        <w:rPr>
          <w:rFonts w:ascii="Times New Roman" w:hAnsi="Times New Roman"/>
          <w:b w:val="0"/>
          <w:i/>
          <w:sz w:val="24"/>
          <w:szCs w:val="24"/>
        </w:rPr>
        <w:t>N. S.</w:t>
      </w:r>
      <w:r w:rsidRPr="00C00255">
        <w:rPr>
          <w:rFonts w:ascii="Times New Roman" w:hAnsi="Times New Roman"/>
          <w:b w:val="0"/>
          <w:i/>
          <w:sz w:val="24"/>
          <w:szCs w:val="24"/>
        </w:rPr>
        <w:t xml:space="preserve"> dalyvavimo užimant LRT</w:t>
      </w:r>
      <w:bookmarkEnd w:id="581"/>
      <w:r w:rsidRPr="00C00255">
        <w:rPr>
          <w:rFonts w:ascii="Times New Roman" w:hAnsi="Times New Roman"/>
          <w:b w:val="0"/>
          <w:i/>
          <w:sz w:val="24"/>
          <w:szCs w:val="24"/>
        </w:rPr>
        <w:t xml:space="preserve"> </w:t>
      </w:r>
    </w:p>
    <w:p w:rsidR="00DA38E9" w:rsidRPr="00055544" w:rsidRDefault="00DA38E9" w:rsidP="00DA38E9">
      <w:pPr>
        <w:pStyle w:val="ListParagraph"/>
        <w:numPr>
          <w:ilvl w:val="0"/>
          <w:numId w:val="6"/>
        </w:numPr>
        <w:spacing w:before="120" w:after="120"/>
        <w:ind w:left="993" w:hanging="993"/>
        <w:contextualSpacing w:val="0"/>
      </w:pPr>
      <w:r w:rsidRPr="00055544">
        <w:t xml:space="preserve">Teisėjų kolegijos vertinimu, aplinkybę, kad </w:t>
      </w:r>
      <w:bookmarkStart w:id="582" w:name="_Hlk65579677"/>
      <w:r w:rsidRPr="00055544">
        <w:t xml:space="preserve">tankas Nr. 574 buvo prie LRT aptariamų įvykių metu, patvirtina iš skirtingų įrodymų šaltinių gautų duomenų visuma, kurių objektyvumu teisėjų kolegija neturi pagrindo abejoti. 2014 m. birželio 10 d. specialisto išvadoje konstatuota, kad tankas Nr. 574, įvykdęs priedangos užduotį, t. y. praleidęs pagrindinę karinės technikos koloną, judėjusią S. Konarskio g. ir V. Pietario g. kryžkele, išlaužęs LRT vartus prie 4 aukštų LRT pastato, įvažiavo į techninę LRT teritoriją ir užblokavo įvažiavimą (t. 480, b. l. 61). </w:t>
      </w:r>
      <w:bookmarkEnd w:id="582"/>
      <w:r w:rsidRPr="00055544">
        <w:t xml:space="preserve">Byloje esančioje pažymoje-pranešime apie karinio dalinio Nr. 22238 technikos panaudojimą 1991 m. sausio 12–13 dienomis, nurodyta, kad incidento metu buvo panaudotas ir karinio dalinio Nr. 78018 tankas, kurio borto Nr. 574 (t. 191, b. l. 214; t. 191, b. l. 213). Minėto tanko dalyvavimui įvykiuose prie LRT pagrįsti reikšmingas ir 106-ojo tankų pulko vado N. A. 1991 m. sausio mėnesį Vilniuje pasirašytų įsakymų turinys. Tankas Nr. 571 dar 1991 m. sausio 2 d. įsakymu nuolatos buvo kovinės parengties (t. 440, b. l. 19; t. 127, b. l. 12–13), o vėlesniu 1991 m. sausio 9 d. įsakymu – Vilniuje buvo suformuota jo įgula, kurią </w:t>
      </w:r>
      <w:r w:rsidRPr="00055544">
        <w:rPr>
          <w:rFonts w:eastAsia="Calibri"/>
        </w:rPr>
        <w:t xml:space="preserve">sudarė: </w:t>
      </w:r>
      <w:bookmarkStart w:id="583" w:name="_Hlk65580169"/>
      <w:r w:rsidRPr="00055544">
        <w:rPr>
          <w:rFonts w:eastAsia="Calibri"/>
        </w:rPr>
        <w:t>tanko vadas – 106-ojo tankų pulko kuopos vadas kapitonas E. R.</w:t>
      </w:r>
      <w:bookmarkEnd w:id="583"/>
      <w:r w:rsidRPr="00055544">
        <w:rPr>
          <w:rFonts w:eastAsia="Calibri"/>
        </w:rPr>
        <w:t>, taikytojas – pulko būrio vadas leitenantas A. K. 2 ir mechanikas-vairuotojas – pulko būrio vado pavaduotojas leitenantas N. S.</w:t>
      </w:r>
      <w:r w:rsidRPr="00055544">
        <w:t xml:space="preserve"> (t. 440, b. l. 17–18; t. 127, b. l. 10–11). </w:t>
      </w:r>
      <w:r w:rsidRPr="00055544">
        <w:rPr>
          <w:rFonts w:eastAsia="Calibri"/>
        </w:rPr>
        <w:t>Apie tokią šio tanko įgulą užimant LRT patvirtina ir dalinio Nr. 78018 štabo viršininko papulkininkio O. Ž. pasirašytas karinio personalo, dalyvavusio operacijoje iš 1991 m. sausio 12 į sausio 13-ąją, sąrašas, kuriame nurodyti ir minėti trys kariškiai (t. 440, b. l. 7; t. 127, b. l. 4). Be to, apeliaciniuose skunduose neginčijamos aplinkybės dėl tokios tanko Nr. 574 įgulos sudėties ir jos dalyvavimo įvykiuose prie LRT, todėl teisėjų kolegija šiuo klausimu plačiau nepasisako.</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Nuteistųjų </w:t>
      </w:r>
      <w:r>
        <w:rPr>
          <w:szCs w:val="24"/>
          <w:lang w:eastAsia="lt-LT" w:bidi="lt-LT"/>
        </w:rPr>
        <w:t>E. R.</w:t>
      </w:r>
      <w:r w:rsidRPr="00C00255">
        <w:rPr>
          <w:szCs w:val="24"/>
          <w:lang w:eastAsia="lt-LT" w:bidi="lt-LT"/>
        </w:rPr>
        <w:t xml:space="preserve">, </w:t>
      </w:r>
      <w:r>
        <w:rPr>
          <w:szCs w:val="24"/>
          <w:lang w:eastAsia="lt-LT" w:bidi="lt-LT"/>
        </w:rPr>
        <w:t>A. K. 2</w:t>
      </w:r>
      <w:r w:rsidRPr="00C00255">
        <w:rPr>
          <w:szCs w:val="24"/>
          <w:lang w:eastAsia="lt-LT" w:bidi="lt-LT"/>
        </w:rPr>
        <w:t xml:space="preserve"> ir </w:t>
      </w:r>
      <w:r>
        <w:rPr>
          <w:szCs w:val="24"/>
          <w:lang w:eastAsia="lt-LT" w:bidi="lt-LT"/>
        </w:rPr>
        <w:t>N. S.</w:t>
      </w:r>
      <w:r w:rsidRPr="00C00255">
        <w:rPr>
          <w:szCs w:val="24"/>
          <w:lang w:eastAsia="lt-LT" w:bidi="lt-LT"/>
        </w:rPr>
        <w:t xml:space="preserve"> gynėjai, nesutikdami su skundžiamu nuosprendžiu konstatuotomis faktinėmis aplinkybėmis ir tanko Nr. 574 veiksmais, pateikia tokius esminius argumentus:</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nuteistojo </w:t>
      </w:r>
      <w:r>
        <w:rPr>
          <w:szCs w:val="24"/>
          <w:lang w:eastAsia="lt-LT" w:bidi="lt-LT"/>
        </w:rPr>
        <w:t>E. R.</w:t>
      </w:r>
      <w:r w:rsidRPr="00C00255">
        <w:rPr>
          <w:szCs w:val="24"/>
          <w:lang w:eastAsia="lt-LT" w:bidi="lt-LT"/>
        </w:rPr>
        <w:t xml:space="preserve"> gynėja </w:t>
      </w:r>
      <w:bookmarkStart w:id="584" w:name="_Hlk64758211"/>
      <w:r w:rsidRPr="00C00255">
        <w:rPr>
          <w:szCs w:val="24"/>
          <w:lang w:eastAsia="lt-LT" w:bidi="lt-LT"/>
        </w:rPr>
        <w:t>teigia, kad jo ginamojo kaltė negalėjo būti grindžiama liudytojais apklaustų nuteistųjų, kuriems nebuvo išaiškinta teisė atsisakyti duoti parodymus prieš save, parodymais,</w:t>
      </w:r>
      <w:bookmarkEnd w:id="584"/>
      <w:r w:rsidRPr="00C00255">
        <w:rPr>
          <w:szCs w:val="24"/>
          <w:lang w:eastAsia="lt-LT" w:bidi="lt-LT"/>
        </w:rPr>
        <w:t xml:space="preserve"> taip pat </w:t>
      </w:r>
      <w:r w:rsidRPr="00C00255">
        <w:t>vaizdo ir foto medžiaga, nes ji neperžiūrėta teisme. Be to, bylos nagrinėjimo metu nebuvo išsiaiškinta,</w:t>
      </w:r>
      <w:r w:rsidRPr="00C00255">
        <w:rPr>
          <w:szCs w:val="24"/>
          <w:lang w:eastAsia="lt-LT" w:bidi="lt-LT"/>
        </w:rPr>
        <w:t xml:space="preserve"> </w:t>
      </w:r>
      <w:r w:rsidRPr="00C00255">
        <w:t xml:space="preserve">kas yra </w:t>
      </w:r>
      <w:bookmarkStart w:id="585" w:name="_Hlk64803239"/>
      <w:r w:rsidRPr="00C00255">
        <w:t>tanko dūminė užsklanda ir kokie jos padariniai bei ar tanko šūviai tuščiais užtaisais, kai jie iššauti maksimaliu kampu pakėlus pabūklo vamzdį, galėjo sukelti akustines traumas. Pasak gynėjos, nelogiška ir teismo išvada, kad tanko apšvietimo prietaisais buvo bandoma akinti ir gąsdinti asmenis</w:t>
      </w:r>
      <w:r w:rsidRPr="00C00255">
        <w:rPr>
          <w:szCs w:val="24"/>
          <w:lang w:eastAsia="lt-LT" w:bidi="lt-LT"/>
        </w:rPr>
        <w:t xml:space="preserve">. </w:t>
      </w:r>
    </w:p>
    <w:bookmarkEnd w:id="585"/>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bidi="lt-LT"/>
        </w:rPr>
        <w:t xml:space="preserve">Nuteistojo </w:t>
      </w:r>
      <w:bookmarkStart w:id="586" w:name="_Hlk64830371"/>
      <w:r>
        <w:rPr>
          <w:szCs w:val="24"/>
          <w:lang w:bidi="lt-LT"/>
        </w:rPr>
        <w:t>A. K. 2</w:t>
      </w:r>
      <w:r w:rsidRPr="00C00255">
        <w:rPr>
          <w:szCs w:val="24"/>
          <w:lang w:bidi="lt-LT"/>
        </w:rPr>
        <w:t xml:space="preserve"> </w:t>
      </w:r>
      <w:bookmarkEnd w:id="586"/>
      <w:r w:rsidRPr="00C00255">
        <w:rPr>
          <w:szCs w:val="24"/>
          <w:lang w:bidi="lt-LT"/>
        </w:rPr>
        <w:t xml:space="preserve">gynėja </w:t>
      </w:r>
      <w:r w:rsidRPr="00C00255">
        <w:rPr>
          <w:szCs w:val="24"/>
          <w:lang w:eastAsia="lt-LT" w:bidi="lt-LT"/>
        </w:rPr>
        <w:t xml:space="preserve">neneigia savo ginamojo dalyvavimo įvykiuose prie LRT bei, kad </w:t>
      </w:r>
      <w:r w:rsidRPr="00C00255">
        <w:rPr>
          <w:szCs w:val="24"/>
          <w:lang w:bidi="lt-LT"/>
        </w:rPr>
        <w:t xml:space="preserve">kaip tanko taikytojas, gavęs vado įsakymą, </w:t>
      </w:r>
      <w:r>
        <w:rPr>
          <w:szCs w:val="24"/>
          <w:lang w:bidi="lt-LT"/>
        </w:rPr>
        <w:t>A. K. 2</w:t>
      </w:r>
      <w:r w:rsidRPr="00C00255">
        <w:rPr>
          <w:szCs w:val="24"/>
          <w:lang w:bidi="lt-LT"/>
        </w:rPr>
        <w:t xml:space="preserve"> iššovė tuščius išmušamuosius užtaisus, kurių paskirtis sukelti garsinį efektą</w:t>
      </w:r>
      <w:r w:rsidRPr="00C00255">
        <w:rPr>
          <w:szCs w:val="24"/>
          <w:lang w:eastAsia="lt-LT" w:bidi="lt-LT"/>
        </w:rPr>
        <w:t xml:space="preserve">, tačiau teigia, jog nuteistojo </w:t>
      </w:r>
      <w:r>
        <w:rPr>
          <w:szCs w:val="24"/>
          <w:lang w:eastAsia="lt-LT" w:bidi="lt-LT"/>
        </w:rPr>
        <w:t>A. K. 2</w:t>
      </w:r>
      <w:r w:rsidRPr="00C00255">
        <w:rPr>
          <w:szCs w:val="24"/>
          <w:lang w:eastAsia="lt-LT" w:bidi="lt-LT"/>
        </w:rPr>
        <w:t xml:space="preserve"> kaltė negalėjo būti grindžiama kitų kariškių, apklaustų kaip liudytojai, parodymais. Taip pat gynėja nurodė, kad </w:t>
      </w:r>
      <w:r w:rsidRPr="00C00255">
        <w:rPr>
          <w:szCs w:val="24"/>
          <w:lang w:bidi="lt-LT"/>
        </w:rPr>
        <w:t>jos ginamojo neteisėtų veiksmų nematė jokie liudytojai ar nukentėjusieji, taip pat vaizdo ir garso įrašuose jis neidentifikuotas kaip asmuo, atliekantis inkriminuojamas veikas. Be to, pasak gynėjos, byloje nėra pateikta duomenų, kad nuo tankų šūvių būtų nukentėję civiliai</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Nuteistojo </w:t>
      </w:r>
      <w:r>
        <w:rPr>
          <w:szCs w:val="24"/>
          <w:lang w:eastAsia="lt-LT" w:bidi="lt-LT"/>
        </w:rPr>
        <w:t>N. S.</w:t>
      </w:r>
      <w:r w:rsidRPr="00C00255">
        <w:rPr>
          <w:szCs w:val="24"/>
          <w:lang w:eastAsia="lt-LT" w:bidi="lt-LT"/>
        </w:rPr>
        <w:t xml:space="preserve"> gynėjas teigia, kad jo ginamojo kaltė negalėjo būti grindžiama </w:t>
      </w:r>
      <w:r w:rsidRPr="00C00255">
        <w:t>kaltinamųjų, kurie tyrimo metu TSRS GM pareigūnų apklausti kaip liudytojai, parodymais, nes jie juos davė būdami suvaržyti priesaikos</w:t>
      </w:r>
      <w:r w:rsidRPr="00C00255">
        <w:rPr>
          <w:szCs w:val="24"/>
          <w:lang w:eastAsia="lt-LT" w:bidi="lt-LT"/>
        </w:rPr>
        <w:t xml:space="preserve">. Taip pat gynėjas teigė, kad </w:t>
      </w:r>
      <w:r w:rsidRPr="00C00255">
        <w:rPr>
          <w:szCs w:val="24"/>
        </w:rPr>
        <w:t xml:space="preserve">liudytojai ir nukentėjusieji nenurodė </w:t>
      </w:r>
      <w:r>
        <w:rPr>
          <w:szCs w:val="24"/>
        </w:rPr>
        <w:t>N. S.</w:t>
      </w:r>
      <w:r w:rsidRPr="00C00255">
        <w:rPr>
          <w:szCs w:val="24"/>
        </w:rPr>
        <w:t xml:space="preserve"> kaip asmens, atlikusio jam inkriminuotas veikas, tokie duomenys nebuvo užfiksuoti ir teisme ištirtuose vaizdo, garso ir foto įrašuose. Be to, pirmosios instancijos taip pat neišskyrė tanko Nr. 574 veiksmų.</w:t>
      </w:r>
    </w:p>
    <w:p w:rsidR="00DA38E9" w:rsidRPr="00055544" w:rsidRDefault="00DA38E9" w:rsidP="00DA38E9">
      <w:pPr>
        <w:pStyle w:val="ListParagraph"/>
        <w:numPr>
          <w:ilvl w:val="0"/>
          <w:numId w:val="6"/>
        </w:numPr>
        <w:spacing w:before="120" w:after="120"/>
        <w:ind w:left="993" w:hanging="993"/>
        <w:contextualSpacing w:val="0"/>
        <w:rPr>
          <w:szCs w:val="24"/>
          <w:lang w:eastAsia="lt-LT" w:bidi="lt-LT"/>
        </w:rPr>
      </w:pPr>
      <w:r w:rsidRPr="00055544">
        <w:rPr>
          <w:rFonts w:eastAsia="Calibri"/>
        </w:rPr>
        <w:t xml:space="preserve">Tokių gynybos argumentų kontekste teisėjų kolegija pažymi, kad pagal pirmosios instancijos teismo nustatytas bylos aplinkybes tankas </w:t>
      </w:r>
      <w:r w:rsidRPr="00055544">
        <w:t>Nr. 574 puolimo pradžioje užtvėręs S. Konarskio gatvę sankryžoje su K. Požėlos (dabar V. Pietario) gatve, užtikrino LRT puolamų objektų apsaugą ir įvažiavo į saugomą LRT teritorijos dalį. Kartu su kitais prie LRT atvažiavusiais tankais ne mažiau kaip 7 kartus iššovė iš pabūklų tuščiais užtaisais, taip baugindami, terorizuodami ir siekdami sutrikdyti civilius. Leido dūmines užsklandas, karinės technikos šviesos prietaisais švietė į civilius, užimamus objektus ir aplink esančius gyvenamuosius namus, civilių minią iš teritorijos šalino važinėdami ir pavojingai manevruodami po užimamų objektų teritoriją (nuosprendžio 516</w:t>
      </w:r>
      <w:r w:rsidRPr="00055544">
        <w:rPr>
          <w:rFonts w:eastAsia="Calibri"/>
        </w:rPr>
        <w:t>–</w:t>
      </w:r>
      <w:r w:rsidRPr="00055544">
        <w:t>518 l.). Kaip matyti, gynėjai iš esmės neginčija šių atliktų tanko ir jo įgulos narių veiksmų, tačiau nesutinka su tokių atliktų veiksmų pavojingmu bei galimomis jų sukeltomis pasekmėmis.</w:t>
      </w:r>
    </w:p>
    <w:p w:rsidR="00DA38E9" w:rsidRPr="00055544" w:rsidRDefault="00DA38E9" w:rsidP="00DA38E9">
      <w:pPr>
        <w:pStyle w:val="ListParagraph"/>
        <w:numPr>
          <w:ilvl w:val="0"/>
          <w:numId w:val="6"/>
        </w:numPr>
        <w:spacing w:before="120" w:after="120"/>
        <w:ind w:left="992" w:hanging="992"/>
        <w:contextualSpacing w:val="0"/>
      </w:pPr>
      <w:r w:rsidRPr="00055544">
        <w:rPr>
          <w:szCs w:val="24"/>
          <w:lang w:eastAsia="lt-LT" w:bidi="lt-LT"/>
        </w:rPr>
        <w:t xml:space="preserve">Teisėjų kolegija, įvertinusi byloje esančius duomenis, konstatuoja, kad apygardos teismo išvados dėl tanko Nr. 574 ir jo įgulos narių nustatytų veiksmų prie LRT yra pagrįstos byloje surinktais duomenimis ir yra teisingos. </w:t>
      </w:r>
      <w:r w:rsidRPr="00055544">
        <w:rPr>
          <w:rFonts w:eastAsia="Calibri"/>
        </w:rPr>
        <w:t>Pažymėtina, kad priešingai nei teigiama apeliaciniuose skunduose, skundžiamame nuosprendyje</w:t>
      </w:r>
      <w:r w:rsidRPr="00055544">
        <w:t xml:space="preserve"> nustatytus minėto tanko ir jo įgulos narių veiksmus prie LRT patvirtina ne vien teisiamajame posėdyje perskaityti nuteistųjų </w:t>
      </w:r>
      <w:r w:rsidRPr="00055544">
        <w:rPr>
          <w:rFonts w:eastAsia="Calibri"/>
        </w:rPr>
        <w:t xml:space="preserve">ar kitų tankų įgulos narių parodymai, </w:t>
      </w:r>
      <w:r w:rsidRPr="00055544">
        <w:t>tačiau abejonių savo objektyvumu nekelianti įrodymų visuma.</w:t>
      </w:r>
      <w:r w:rsidRPr="00055544">
        <w:rPr>
          <w:rFonts w:eastAsia="Calibri"/>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055544">
        <w:t>Pirmiausia, teisėjų kolegija neabejoja išvada, kad tankas Nr. 574, puolimo pradžioje užtvėręs S. Konarskio gatvę sankryžoje su K. Požėlos (dabar V. Pietario) gatve, užtikrindamas LRT puolamų objektų apsaugą, įvažiavo į saugomą LRT teritorijos dalį. Be to, byloje esančių duomenų visuma teisėjų kolegijai leidžia daryti išvadą, kad šis tankas įvažiavo į saugomą techninę LRT teritoriją (t. y. kur buvo LRT Techninis (sargybinis) pastatas). Ne kartą minėtoje specialisto J. Andriškevičiaus išvadoje konstatuota, kad LRT puolusiai ketvirtai operacinei grupei, be kitų dalinių, priklausė ir tankas Nr. 574, o šios grupės užduotis buvo užimti LRT apsaugos pastatą, blokuoti įėjimus, pašalinti civilius, saugoti pastatą ir teritoriją. Specialistas taip pat nurodė, kad tankas Nr. 574, įvykdęs priedangos užduotį, t. y. praleidęs pagrindinę karinės technikos koloną, judėjusią S. Konarskio g. ir V. Pietario g. kryžkele, išlaužęs LRT vartus prie 4 aukštų LRT pastato, įvažiavo į techninę LRT teritoriją ir užblokavo įvažiavimą (t. 480, b. l. 55, 61; tyrimo metu specialistas nurodė nuotrauką, kurioje mato minėtoje teritorijoje stovintį tanką (t. 479, b. l. 134; nuotrauka – t. 479, b. l. 219)). Šiame kontekste svarbūs ir nukentėjusiojo K. B. teisiamajame posėdyje patvirtinti tyrimo metu duoti parodymai</w:t>
      </w:r>
      <w:r w:rsidRPr="00055544">
        <w:rPr>
          <w:rFonts w:eastAsia="Calibri"/>
        </w:rPr>
        <w:t xml:space="preserve">, kuriuose jis nurodė, kad pamatę į Konarskio g. judančią technikos koloną, žmonės nubėgo link vartų, esančių TVR rūmų pakraštyje. Pamatęs, kad kolona pravažiavo, jis grįžo atgal, tačiau tada paskutinis iš kolonoje važiavusių tankų staiga pasuko ir įvažiavo pro vartus į senojo TVR pastato teritoriją (t. 760, b. l. 17–18; t. 60, b. l. 7–9). Šias aplinkybes patvirtina ir </w:t>
      </w:r>
      <w:r w:rsidRPr="00055544">
        <w:t>N. S. bei E. R. paaiškinimai, duoti ne kaip baudžiamojo proceso dalyvių, o kaip operacijoje dalyvavusių kariškių (1991 m. sausio 16 d. N. S. ir E. R. pasirašyti paaiškinimai). N. S. nurodė, kad tankų kolonoje tankas Nr. 574 važiavo paskutinis (trečias), o atvykus prie pastato jis gavo tanko vado įsakymą išlaužti vartus, įvažiuoti į kiemą ir sustoti (t. 427, b. l. 25; t. 114, b. l. 21). E. R. nurodė, kad atvykęs į vietą, jis praleido visą už jo buvusią technikos koloną, nes jam buvo iškelta užduotis atsistoti sankryžoje ir nepraleisti mašinų, po ko tanką apsupo civiliai. Po kiek laiko priėjo desantininkai ir davė įsakymą važiuoti į pastato kiemą. Kadangi vartai buvo užrakinti spyna, teko laužti tvorą (t. 427, b. l 31; t. 114, b. l. 28–29). Taigi aptariami tanko Nr. 574 veiksmai abejonių nekelia, o nuosprendžio nustatomojoje dalyje nurodyta aplinkybė, kad tankas Nr. 574 įvažiavo į saugomą LRT teritorijos dalį, nedetalizuojant, kad tai buvo techninė LRT teritorijos dalis, neturi reikšmės.</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Šaudymą iš tanko Nr. 574 </w:t>
      </w:r>
      <w:r w:rsidRPr="00C00255">
        <w:t xml:space="preserve">tuščiais užtaisais </w:t>
      </w:r>
      <w:r w:rsidRPr="00C00255">
        <w:rPr>
          <w:szCs w:val="24"/>
          <w:lang w:eastAsia="lt-LT" w:bidi="lt-LT"/>
        </w:rPr>
        <w:t xml:space="preserve">LRT teritorijoje </w:t>
      </w:r>
      <w:r w:rsidRPr="00C00255">
        <w:t xml:space="preserve">patvirtina </w:t>
      </w:r>
      <w:r w:rsidRPr="00C00255">
        <w:rPr>
          <w:szCs w:val="24"/>
          <w:lang w:eastAsia="lt-LT" w:bidi="lt-LT"/>
        </w:rPr>
        <w:t xml:space="preserve">pažymoje-pranešime apie karinio dalinio Nr. 22238 technikos panaudojimą 1991 m. sausio 12–13 dienomis, nurodyta informacija, kad incidento metu buvo panaudotas ir tankas Nr. 574, kurio įgula šaudė tuščiais tankų pabūklų sviediniais (t. 191, b. l. 214; t. 191, b. l. 213). </w:t>
      </w:r>
      <w:r w:rsidRPr="00C00255">
        <w:rPr>
          <w:szCs w:val="24"/>
          <w:lang w:eastAsia="lt-LT"/>
        </w:rPr>
        <w:t xml:space="preserve">Apie tai, kad tankas Nr. 574 prie LRT šaudė minėtais užtaisais, patvirtina ir 1991 m. sausio 16 d. daiktinių įrodymų apžiūros Vilniaus mieste protokolas – tanko apžiūros metu nustatyta, kad jo vamzdyje yra nuodegų pėdsakų (t. 427, b. l. 70–71; t. 114, b. l. 81–89). </w:t>
      </w:r>
      <w:r w:rsidRPr="00C00255">
        <w:rPr>
          <w:szCs w:val="24"/>
          <w:lang w:eastAsia="lt-LT" w:bidi="lt-LT"/>
        </w:rPr>
        <w:t xml:space="preserve">Aplinkybę, kad prie LRT atvykę tankai šaudė iš pabūklų išmušamaisiais užtaisais, įvertinęs byloje surinktų duomenų visumą, konstatavo ir specialistas 2014 m. birželio 10 d. išvadoje </w:t>
      </w:r>
      <w:r w:rsidRPr="00C00255">
        <w:rPr>
          <w:szCs w:val="24"/>
        </w:rPr>
        <w:t xml:space="preserve">(t. 480, b. l. 60). Apie tokį šūvį jau minėtuose rašytiniuose paaiškinimuose nurodė ir </w:t>
      </w:r>
      <w:r>
        <w:rPr>
          <w:szCs w:val="24"/>
        </w:rPr>
        <w:t>N. S.</w:t>
      </w:r>
      <w:r w:rsidRPr="00C00255">
        <w:rPr>
          <w:szCs w:val="24"/>
        </w:rPr>
        <w:t xml:space="preserve"> bei </w:t>
      </w:r>
      <w:r>
        <w:rPr>
          <w:szCs w:val="24"/>
        </w:rPr>
        <w:t>E. R.</w:t>
      </w:r>
      <w:r w:rsidRPr="00C00255">
        <w:rPr>
          <w:szCs w:val="24"/>
        </w:rPr>
        <w:t>, kuris teigė, kad šūvį maksimaliai pakeltu pabūklu atliko aplink esant civilių miniai (t. 427, b. l. 25, 31; t. 114, b. l. 21, 28–29).</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Apie </w:t>
      </w:r>
      <w:r w:rsidRPr="00C00255">
        <w:t>tokių šūvių sukeliamus neabejotinai pavojingus ir žalojančius padarinius civiliams ir aplinkiniams objektams teisėjų kolegija jau pasisakė dalyje „</w:t>
      </w:r>
      <w:r w:rsidRPr="00C00255">
        <w:rPr>
          <w:i/>
          <w:szCs w:val="24"/>
          <w:lang w:eastAsia="lt-LT"/>
        </w:rPr>
        <w:t xml:space="preserve">Dėl tanko Nr. 571 ir jo ekipažo narių nuteistųjų </w:t>
      </w:r>
      <w:r>
        <w:rPr>
          <w:i/>
          <w:szCs w:val="24"/>
          <w:lang w:eastAsia="lt-LT"/>
        </w:rPr>
        <w:t>V. P.</w:t>
      </w:r>
      <w:r w:rsidRPr="00C00255">
        <w:rPr>
          <w:i/>
          <w:szCs w:val="24"/>
          <w:lang w:eastAsia="lt-LT"/>
        </w:rPr>
        <w:t xml:space="preserve">, </w:t>
      </w:r>
      <w:r>
        <w:rPr>
          <w:i/>
          <w:szCs w:val="24"/>
          <w:lang w:eastAsia="lt-LT"/>
        </w:rPr>
        <w:t>N. O.</w:t>
      </w:r>
      <w:r w:rsidRPr="00C00255">
        <w:rPr>
          <w:i/>
          <w:szCs w:val="24"/>
          <w:lang w:eastAsia="lt-LT"/>
        </w:rPr>
        <w:t xml:space="preserve"> ir </w:t>
      </w:r>
      <w:r>
        <w:rPr>
          <w:i/>
          <w:szCs w:val="24"/>
          <w:lang w:eastAsia="lt-LT"/>
        </w:rPr>
        <w:t>A. U.</w:t>
      </w:r>
      <w:r w:rsidRPr="00C00255">
        <w:rPr>
          <w:i/>
          <w:szCs w:val="24"/>
          <w:lang w:eastAsia="lt-LT"/>
        </w:rPr>
        <w:t xml:space="preserve"> dalyvavimo </w:t>
      </w:r>
      <w:r w:rsidRPr="00C00255">
        <w:rPr>
          <w:i/>
          <w:szCs w:val="24"/>
        </w:rPr>
        <w:t>užimant LRT</w:t>
      </w:r>
      <w:r w:rsidRPr="00C00255">
        <w:rPr>
          <w:szCs w:val="24"/>
        </w:rPr>
        <w:t xml:space="preserve">“, kurių nekartoja. </w:t>
      </w:r>
      <w:r w:rsidRPr="00C00255">
        <w:rPr>
          <w:szCs w:val="24"/>
          <w:lang w:eastAsia="lt-LT"/>
        </w:rPr>
        <w:t>Nuteistųjų parodymuose ir apeliantų skunduose akcentuojama aplinkybė apie tanko šūvius pakeliant tanko vamzdį maksimaliai galimu kampu neturi jokios reikšmės, nes, nepaisant vamzdžio pakėlimo, bet kokie šūviai greta esant civiliams buvo itin pavojingi ir bet kuris kariškis, juolab tanko ekipažo narys, tą puikiai suprato (analogišką versiją teisėjų kolegija atmetė ir aptardama įvykius prie TV bokšto sprendimo dalyje „</w:t>
      </w:r>
      <w:r w:rsidRPr="00C00255">
        <w:rPr>
          <w:i/>
          <w:szCs w:val="24"/>
          <w:lang w:eastAsia="lt-LT"/>
        </w:rPr>
        <w:t xml:space="preserve">Dėl tanko Nr. 502 ir jo ekipažo narių nuteistųjų </w:t>
      </w:r>
      <w:r>
        <w:rPr>
          <w:i/>
          <w:szCs w:val="24"/>
          <w:lang w:eastAsia="lt-LT"/>
        </w:rPr>
        <w:t>N. A.</w:t>
      </w:r>
      <w:r w:rsidRPr="00C00255">
        <w:rPr>
          <w:i/>
          <w:szCs w:val="24"/>
          <w:lang w:eastAsia="lt-LT"/>
        </w:rPr>
        <w:t xml:space="preserve">, </w:t>
      </w:r>
      <w:r>
        <w:rPr>
          <w:i/>
          <w:szCs w:val="24"/>
          <w:lang w:eastAsia="lt-LT"/>
        </w:rPr>
        <w:t>O. A.</w:t>
      </w:r>
      <w:r w:rsidRPr="00C00255">
        <w:rPr>
          <w:i/>
          <w:szCs w:val="24"/>
          <w:lang w:eastAsia="lt-LT"/>
        </w:rPr>
        <w:t xml:space="preserve"> ir </w:t>
      </w:r>
      <w:r>
        <w:rPr>
          <w:i/>
          <w:szCs w:val="24"/>
          <w:lang w:eastAsia="lt-LT"/>
        </w:rPr>
        <w:t>V. S. 4</w:t>
      </w:r>
      <w:r w:rsidRPr="00C00255">
        <w:rPr>
          <w:i/>
          <w:szCs w:val="24"/>
          <w:lang w:eastAsia="lt-LT"/>
        </w:rPr>
        <w:t xml:space="preserve"> dalyvavimo užimant TV bokštą</w:t>
      </w:r>
      <w:r w:rsidRPr="00C00255">
        <w:rPr>
          <w:szCs w:val="24"/>
          <w:lang w:eastAsia="lt-LT"/>
        </w:rPr>
        <w:t xml:space="preserve">“). </w:t>
      </w:r>
      <w:r w:rsidRPr="00055544">
        <w:t>Be to, iš byloje apklaustų nukentėjusiųjų parodymų matyti, kad bent jau dalis tankų šūvių prie LRT buvo atlikti pakankamai žema trajektorija. D. F. nurodė, kad tankui šaunant jo vamzdis buvo jos akių lygyje (t. 760, b. l. 59), o G. V. – kad prie LRT tankas iššovė 10 metrų atstumu nuo jo, galvos aukštyje (t. 760, b. l. 109–110). Taip pat pažymėtina, kad nukentėjusieji R. K. (t. 760, b. l. 59–60), D. F. (t. 760, b. l. 59) ir S. S. (</w:t>
      </w:r>
      <w:r w:rsidRPr="00055544">
        <w:rPr>
          <w:rFonts w:eastAsia="Calibri"/>
        </w:rPr>
        <w:t>t. 760, b. l. 100–101) nurodė nukentėję būtent nuo Konarskio ir V. Pietario</w:t>
      </w:r>
      <w:r w:rsidRPr="00055544">
        <w:t xml:space="preserve"> g. sankryžoje stovėjusio tanko šūvio, kur pagal nustatytas aplinkybes stovėjo būtent tankas Nr. 574. Atsižvelgiant į visa tai, gynybinė versija apie tariamai nepavojingus tankų šūvius tuščiais užtaisais maksimaliai pakeltu šūvio kampu atmetama kaip deklaratyvi ir nepagrįsta. </w:t>
      </w:r>
    </w:p>
    <w:p w:rsidR="00E67B7E" w:rsidRPr="00055544" w:rsidRDefault="00DA38E9" w:rsidP="00E67B7E">
      <w:pPr>
        <w:pStyle w:val="ListParagraph"/>
        <w:numPr>
          <w:ilvl w:val="0"/>
          <w:numId w:val="6"/>
        </w:numPr>
        <w:spacing w:before="120" w:after="120"/>
        <w:ind w:left="992" w:hanging="992"/>
        <w:contextualSpacing w:val="0"/>
        <w:rPr>
          <w:rFonts w:eastAsia="Calibri"/>
        </w:rPr>
      </w:pPr>
      <w:r w:rsidRPr="00055544">
        <w:t>Aplinkybe, kad tankai, taip pat ir tankas Nr. 574, prie LRT leido dūmines užsklandas, naudojo apšvietimo prietaisus, apšviesdamas civilius ir kitus aplinkinius objektus, neleidžia abejoti šio sprendimo dalyje „</w:t>
      </w:r>
      <w:r w:rsidRPr="00055544">
        <w:rPr>
          <w:i/>
        </w:rPr>
        <w:t>Dėl tanko Nr. 571 ir jo ekipažo narių nuteistųjų V. P., N. O. ir A. U. dalyvavimo užimant LRT</w:t>
      </w:r>
      <w:r w:rsidRPr="00055544">
        <w:t>“ aptarti objektyvūs vaizdo įrašai, kuriuose užfiksuota, kaip tankai, judėdami teritorijoje prie LRT, naudoja apšvietimo prietaisus ir kaip vienas iš tankų skendi dūminėje užsklandoje. Šiame kontekste,</w:t>
      </w:r>
      <w:r w:rsidRPr="00055544">
        <w:rPr>
          <w:rFonts w:eastAsia="Calibri"/>
        </w:rPr>
        <w:t xml:space="preserve"> teisėjų kolegija atsakydama į E. R. gynėjos apeliacinio skundo argumentus dėl tanko dūminė užsklandos ir galimai jos sukeliamų padarinių, taip pat dėl tanko apšvietimo prietaisų panaudojimo, pažymi, kad specialistas J. Andriškevičius apklausos pirmosios instancijos teisme metu, atsakydamas į jam pateiktus klausimus, paaiškino tanko dūminių užsklandų panaudojimo mechanizmą bei nurodė, kad dėl jų panaudojimo gali kilti tam tikros pasekmės (pvz., apsinuodijimas ir pan.) žmonių sveikatai (t. 761, b. l. 66). Teisėjų kolegija, analizuodama TSRS GM 107-osios motorizuotų šaulių divizijos 106-ojo tankų pulko veiksmus užimant TV bokštą, jau pasisakė dėl nuteistojo E. R. gynėjos argumentų dėl netinkamos specialisto apklausos pirmosios instancijos teisme, todėl šiuo aspektu nesikartoja (šio sprendimo 339 pastraipa). Be to, priešingai nei teigia nuteistojo E. R. gynėja, neabejotina, kad tiek tankų judėjimas, tiek dūminių užsklandų panaudojimas, tiek tanko apšvietimo prietaisų naudojimas LRT teritorijoje, kur buvo susirinkusi didelė žmonių minia, iš tiesų buvo bauginantys, keliantys baimę ir gąsdinantys karinės technikos – tanko ir jos įgulos narių veiksmai.</w:t>
      </w:r>
    </w:p>
    <w:p w:rsidR="00DA38E9" w:rsidRPr="00055544" w:rsidRDefault="00DA38E9" w:rsidP="00E67B7E">
      <w:pPr>
        <w:pStyle w:val="ListParagraph"/>
        <w:numPr>
          <w:ilvl w:val="0"/>
          <w:numId w:val="6"/>
        </w:numPr>
        <w:spacing w:before="120" w:after="120"/>
        <w:ind w:left="992" w:hanging="992"/>
        <w:contextualSpacing w:val="0"/>
      </w:pPr>
      <w:r w:rsidRPr="00055544">
        <w:rPr>
          <w:rFonts w:eastAsia="Calibri"/>
        </w:rPr>
        <w:t xml:space="preserve">Minėtų duomenų visuma rodo, kad teismo išvados, vertinant jau minėtas nuteistiesiems inkriminuotas faktines aplinkybes, susijusias su tanko Nr. 574 ekipažo narių veiksmais, yra teisingos. Teisėjų kolegija, atsakydama į nuteistųjų apeliacinių skundų argumentus dėl ginamųjų individualių veiksmų ir sukeltų padarinių, pažymi, kad vertindama panašaus pobūdžio veiksmus, kuriuos atliko ir kitų, t. y. Nr. 571 ir 559, tankų ekipažo nariai, nurodė, kad visi tankai ir kariškiai veikė kartu. Aptarti bylos duomenys ir minėtos aplinkybės, taip pat neleidžia abejoti, kad vykdydamas užduotį (įsakymą) nuteistasis A. K. 2, iššaudamas iš tanko, kad ir tuščiu užtaisu, puikiai suprato, jog veikia bendrai su kitais kariškiais, siekdamas sudaryti galimybes veikti kitiems kariškiams užimant LRT pastatus, todėl nuteistojo A. K. 2 ir tanko Nr. 574 ekipažo narių veiksmai negali būti vertinami atsietai nuo kitų operacijoje veikusių kariškių veiksmų.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Visgi, aptariant apygardos teismo išvadas apie tanko Nr. 574 ekipažo narių faktiškai atliktus veiksmus, pažymėtina, kad motyvuojamojoje nuosprendžio dalyje</w:t>
      </w:r>
      <w:bookmarkStart w:id="587" w:name="_Hlk65582673"/>
      <w:r w:rsidRPr="00C00255">
        <w:t xml:space="preserve">, argumentuojant sprendimą dėl nuteistiesiems </w:t>
      </w:r>
      <w:r>
        <w:t>A. K. 2</w:t>
      </w:r>
      <w:r w:rsidRPr="00C00255">
        <w:t xml:space="preserve"> ir </w:t>
      </w:r>
      <w:r>
        <w:t>N. S.</w:t>
      </w:r>
      <w:r w:rsidRPr="00C00255">
        <w:t xml:space="preserve"> skiriamos bausmės</w:t>
      </w:r>
      <w:bookmarkEnd w:id="587"/>
      <w:r w:rsidRPr="00C00255">
        <w:t xml:space="preserve">, apygardos teismas neteisingai nurodė, kad nuteistieji </w:t>
      </w:r>
      <w:r>
        <w:t>A. K. 2</w:t>
      </w:r>
      <w:r w:rsidRPr="00C00255">
        <w:t xml:space="preserve"> (tanko taikytojas) ir </w:t>
      </w:r>
      <w:r>
        <w:t>N. S.</w:t>
      </w:r>
      <w:r w:rsidRPr="00C00255">
        <w:t xml:space="preserve"> (tanko vairuotojas) „&lt;...&gt; davė įsakymą dėl vartų išlaužimo &lt;...&gt;“ (žr. nuosprendžio 887 l., 888 l.). Vertinant tokius teismo teiginius viso teismo nuosprendžio kaip vientiso dokumento kontekste, akivaizdu, kad tai techninė klaida, nes tokį vaidmenį atliko ne tanko Nr. 574 taikytojas ar vairuotojas, o tanko vadas </w:t>
      </w:r>
      <w:r>
        <w:t>E. R.</w:t>
      </w:r>
      <w:r w:rsidRPr="00C00255">
        <w:t xml:space="preserve">, kurio veiksmų aprašymas buvo nepagrįstai pakartotas aprašant ir šio tanko vairuotojo bei taikytojo veiksmus. Be to, apygardos teismas motyvuojamojoje nuosprendžio dalyje nurodė nuosprendžio nustatomajai daliai prieštaraujančias teismo išvadas apie tanko Nr. 574 atliktų šūvių skaičių (2–3 kartus (aprašant nuteistojo </w:t>
      </w:r>
      <w:r>
        <w:t>E. R.</w:t>
      </w:r>
      <w:r w:rsidRPr="00C00255">
        <w:t xml:space="preserve"> veiksmus) ir 2 kartus (aprašant nuteistojo </w:t>
      </w:r>
      <w:r>
        <w:t>A. K. 2</w:t>
      </w:r>
      <w:r w:rsidRPr="00C00255">
        <w:t xml:space="preserve"> veiksmus) (nuosprendžio 875 l.; </w:t>
      </w:r>
      <w:r w:rsidRPr="00C00255">
        <w:rPr>
          <w:lang w:eastAsia="lt-LT"/>
        </w:rPr>
        <w:t xml:space="preserve">t. 773, b. l. 75). </w:t>
      </w:r>
      <w:r w:rsidRPr="00C00255">
        <w:t>Vertinant tokius tarpusavyje prieštaringus teismo teiginius viso teismo nuosprendžio kaip vientiso dokumento kontekste, akivaizdu, kad tikslus tanko Nr. 574 atliktų šūvių išmušamaisiais užtaisais skaičius byloje nenustatytas, todėl</w:t>
      </w:r>
      <w:r w:rsidRPr="00C00255">
        <w:rPr>
          <w:bCs/>
          <w:color w:val="FF0000"/>
          <w:szCs w:val="24"/>
        </w:rPr>
        <w:t xml:space="preserve"> </w:t>
      </w:r>
      <w:r w:rsidRPr="00C00255">
        <w:rPr>
          <w:bCs/>
          <w:szCs w:val="24"/>
        </w:rPr>
        <w:t xml:space="preserve">apeliacinės instancijos teismo teisėjų kolegija darydama išvadas dėl nuteistųjų </w:t>
      </w:r>
      <w:r w:rsidRPr="00C00255">
        <w:t xml:space="preserve">veiksmų, jų nevertina. </w:t>
      </w:r>
    </w:p>
    <w:p w:rsidR="00DA38E9" w:rsidRPr="00C00255" w:rsidRDefault="00DA38E9" w:rsidP="00DA38E9">
      <w:pPr>
        <w:pStyle w:val="Heading4"/>
        <w:spacing w:before="120" w:after="120"/>
        <w:ind w:firstLine="992"/>
        <w:rPr>
          <w:rFonts w:ascii="Times New Roman" w:hAnsi="Times New Roman"/>
          <w:b w:val="0"/>
          <w:i/>
          <w:sz w:val="24"/>
          <w:szCs w:val="24"/>
        </w:rPr>
      </w:pPr>
      <w:bookmarkStart w:id="588" w:name="_Toc66697283"/>
      <w:r w:rsidRPr="00C00255">
        <w:rPr>
          <w:rFonts w:ascii="Times New Roman" w:hAnsi="Times New Roman"/>
          <w:b w:val="0"/>
          <w:i/>
          <w:sz w:val="24"/>
          <w:szCs w:val="24"/>
        </w:rPr>
        <w:t xml:space="preserve">Dėl nuteistojo </w:t>
      </w:r>
      <w:r>
        <w:rPr>
          <w:rFonts w:ascii="Times New Roman" w:hAnsi="Times New Roman"/>
          <w:b w:val="0"/>
          <w:i/>
          <w:sz w:val="24"/>
          <w:szCs w:val="24"/>
        </w:rPr>
        <w:t>V. U. 1</w:t>
      </w:r>
      <w:r w:rsidRPr="00C00255">
        <w:rPr>
          <w:rFonts w:ascii="Times New Roman" w:hAnsi="Times New Roman"/>
          <w:b w:val="0"/>
          <w:i/>
          <w:sz w:val="24"/>
          <w:szCs w:val="24"/>
        </w:rPr>
        <w:t xml:space="preserve"> dalyvavimo užimant LRT</w:t>
      </w:r>
      <w:bookmarkEnd w:id="588"/>
    </w:p>
    <w:p w:rsidR="00E67B7E" w:rsidRPr="00055544" w:rsidRDefault="00E67B7E" w:rsidP="00E67B7E">
      <w:pPr>
        <w:pStyle w:val="ListParagraph"/>
        <w:numPr>
          <w:ilvl w:val="0"/>
          <w:numId w:val="6"/>
        </w:numPr>
        <w:spacing w:before="120" w:after="120"/>
        <w:ind w:left="992" w:hanging="992"/>
        <w:contextualSpacing w:val="0"/>
      </w:pPr>
      <w:r w:rsidRPr="00055544">
        <w:t>Pirmosios instancijos teismas skundžiamame nuosprendyje nurodė, kad V. U. 1, būdamas TSRS GM Sausumos pajėgų Pabaltijo karinės apygardos 107-osios motorizuotų šaulių divizijos vadu ir karinės operacijos vadovavimo štabo nariu, veikdamas iš štabo, vadovavo ir koordinavo TSRS GM 107-osios motorizuotų šaulių divizijos kariškių veiksmams, jiems dalyvaujant LRT užėmimo operacijoje. Nors apygardos teismo nuosprendžio dalyje „</w:t>
      </w:r>
      <w:r w:rsidRPr="00055544">
        <w:rPr>
          <w:i/>
        </w:rPr>
        <w:t>Radijo ir televizijos komiteto (LRT) užgrobimas</w:t>
      </w:r>
      <w:r w:rsidRPr="00055544">
        <w:t>“ įrodytomis pripažintose aplinkybėse jau minėti nuteistojo V. U. 1 veiksmai tiesiogiai nėra nurodomi ir daromos išvados tik apie kariškių veikimą pagal vadovavimo operacijai štabo užduotį ar šio štabo parengto plano vykdymą (nuosprendžio 514–520 l.), tačiau tokie V. U. 1 nustatyti veiksmai buvo nurodyti teismo nuosprendžio nustatomojoje dalyje, aprašant įrodytomis pripažintas aplinkybes kitoje skundžiamo nuosprendžio dalyje „</w:t>
      </w:r>
      <w:r w:rsidRPr="00055544">
        <w:rPr>
          <w:i/>
        </w:rPr>
        <w:t>Nusikalstamų veiksmų prieš Lietuvos valstybę rengimas, karinės operacijos planavimas</w:t>
      </w:r>
      <w:r w:rsidRPr="00055544">
        <w:t>“ (nuosprendžio 10–15 l.). Šioje dalyje teismas, be kita ko, konstatavo, kad „TV Centro (bokšto) ir LRT (Radijo ir televizijos komiteto) užėmimui paskirti &lt;...&gt; dvidešimt vienas TSRS GM 107-osios motorizuotų šaulių divizijos 106-ojo tankų pulko kariškis ir 77-ojo motorizuotų šaulių pulko tankų bataliono kariškiai, vadovaujami 107-osios motorizuotų šaulių divizijos vado &lt;...&gt; V. U. 1. &lt;...&gt; TSRS VSK specialios paskirties grupės „A“, 76-osios oro desanto divizijos, 107-osios motorizuotos šaulių divizijos ir 42-os divizijos kariškių, dalyvaujančių užimant objektus, bendrus veiksmus koordinavo &lt;...&gt;, 107-osios motorizuotos šaulių divizijos vadas kaltinamasis V. U. 1, &lt;...&gt;“ (žr. nuosprendžio 14–15 l.). Be to, tokios išvados nurodytos ir nuosprendžio motyvuo</w:t>
      </w:r>
      <w:r w:rsidR="00902A3A">
        <w:t>jamojoje dalyje, t. y., kad „V. U. </w:t>
      </w:r>
      <w:r w:rsidRPr="00055544">
        <w:t>1 &lt;...&gt; davė nurodymus dėl tiesioginio dalyvavimo karinėje operacijoje, paskirstė kariškius į užimamus objektus, paskelbė kovinę parengtį divizijos daliniuose, koordinavo šturmo veiksmus objektuose, iš štabo vadovavo tankų bataliono kariškiams &lt;...&gt; RTV komiteto (LRT) šturmo metu“ (nuosprendžio 874 l., t. 773, b. l. 74); „skiriant bausmę kaltinamajam V.</w:t>
      </w:r>
      <w:r w:rsidR="00055544">
        <w:t> U. </w:t>
      </w:r>
      <w:r w:rsidRPr="00055544">
        <w:t xml:space="preserve">1, atsižvelgiama į &lt;...&gt; tai, kad jis &lt;...&gt; davė nurodymus dėl tiesioginio dalyvavimo karinėje operacijoje ir vadovavimo jai, koordinavo šturmo veiksmus, paskelbė kovinę parengtį divizijos daliniuose, vadovavo tankų bataliono kariškiams &lt;...&gt; RTV (LRT)“ (nuosprendžio 885 l., t. 773, b. l. 85). </w:t>
      </w:r>
    </w:p>
    <w:p w:rsidR="00E67B7E" w:rsidRDefault="00E67B7E" w:rsidP="00E67B7E">
      <w:pPr>
        <w:pStyle w:val="ListParagraph"/>
        <w:numPr>
          <w:ilvl w:val="0"/>
          <w:numId w:val="6"/>
        </w:numPr>
        <w:spacing w:before="120" w:after="120"/>
        <w:ind w:left="992" w:hanging="992"/>
        <w:contextualSpacing w:val="0"/>
      </w:pPr>
      <w:r w:rsidRPr="00E67B7E">
        <w:rPr>
          <w:lang w:eastAsia="lt-LT"/>
        </w:rPr>
        <w:t>Teisėjų kolegijos įsitikinimu, V. U. 1 vadovaujamą vaidmenį – vadovavimą TSRS GM 107-osios motorizuotų šaulių divizijos, taip pat ir 106-ojo tankų pulko kariškiams ir jų veiksmų koordinavimą užimant LRT – patvirtina byloje surinktų ir toliau analizuojamų įrodymų visuma.</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bCs/>
          <w:color w:val="000000"/>
          <w:lang w:eastAsia="ar-SA" w:bidi="lt-LT"/>
        </w:rPr>
        <w:t xml:space="preserve">Teisėjų kolegija, šiame sprendime analizuodama pirmosios instancijos teismo išvadas dėl nuteistojo </w:t>
      </w:r>
      <w:r>
        <w:rPr>
          <w:bCs/>
          <w:color w:val="000000"/>
          <w:lang w:eastAsia="ar-SA" w:bidi="lt-LT"/>
        </w:rPr>
        <w:t>V. U. 1</w:t>
      </w:r>
      <w:r w:rsidRPr="00C00255">
        <w:rPr>
          <w:bCs/>
          <w:color w:val="000000"/>
          <w:lang w:eastAsia="ar-SA" w:bidi="lt-LT"/>
        </w:rPr>
        <w:t xml:space="preserve"> dalyvavimo planuojant karinę operaciją, pripažino, kad pirmosios instancijos teismas pagrįstai nustatė, jog </w:t>
      </w:r>
      <w:r>
        <w:rPr>
          <w:bCs/>
          <w:color w:val="000000"/>
          <w:lang w:eastAsia="ar-SA" w:bidi="lt-LT"/>
        </w:rPr>
        <w:t>V. U. 1</w:t>
      </w:r>
      <w:r w:rsidRPr="00C00255">
        <w:rPr>
          <w:bCs/>
          <w:color w:val="000000"/>
          <w:lang w:eastAsia="ar-SA" w:bidi="lt-LT"/>
        </w:rPr>
        <w:t xml:space="preserve"> buvo vadovavimo karinei operacijai štabo nariu, kuris planavo karinę operaciją, priėmė sprendimus dėl atskirų, strateginę svarbą turinčių objektų užėmimo, siekiant gražinti Lietuvą į TSRS sudėtį, parinko šiai operacijai reikalingus kariškius ir koordinavo jų veiksmus operacijos metu. Šiame sprendime teismas jau pasisakė dėl </w:t>
      </w:r>
      <w:r>
        <w:t>V. U. 1</w:t>
      </w:r>
      <w:r w:rsidRPr="00C00255">
        <w:t xml:space="preserve"> pasirašyto 1991 m. sausio 15 d. įsakymo Nr. 3, kuriame nurodyta, kad LNGK kreipėsi, prašydamas padėti darbininkų draugovėms perimti radijo ir televizijos kontrolę ir taip nutraukti jų provokacinę veiklą. Be to, šiame įsakyme nurodoma, kad </w:t>
      </w:r>
      <w:r>
        <w:t>V. U. 1</w:t>
      </w:r>
      <w:r w:rsidRPr="00C00255">
        <w:t>, vadovaudamasis TSRS ginkluotųjų pajėgų vidaus tarnybos statuto 43 ir 52 straipsniais bei TSRS ginkluotųjų pajėgų įgulos tarnybos ir sargybų tarnybų statuto 19, 28 straipsniais, nusprendė išskirti įgulos padalinius darbininkų draugovėms tvarkai prie TVR pastatų palaikyti (įsakyme nurodoma: „aš nutariau skirti kai kurių įgulos dalinių etatinius kariškius darbininkų draugovėms padėti įvesti tvarką prie TVR pastatų &lt;...&gt;“)</w:t>
      </w:r>
      <w:r w:rsidRPr="00C00255">
        <w:rPr>
          <w:rFonts w:eastAsia="Calibri"/>
        </w:rPr>
        <w:t xml:space="preserve">. Įsakyme pasisakoma apie jo vadovautos įgulos dalinių veikimo Sausio 13-osios naktį, padedant darbininkų draugovėms, teisėtumą </w:t>
      </w:r>
      <w:r w:rsidRPr="00C00255">
        <w:t>(t. 203, b. l. 63–81)</w:t>
      </w:r>
      <w:r w:rsidRPr="00C00255">
        <w:rPr>
          <w:rFonts w:eastAsia="Calibri"/>
        </w:rPr>
        <w:t xml:space="preserve">. </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color w:val="000000"/>
        </w:rPr>
        <w:t xml:space="preserve">Byloje pateiktoje specialisto J. Andriškevičiaus išvadoje nurodoma, kad operacijos vadovavimo štabe žodiniu </w:t>
      </w:r>
      <w:r>
        <w:rPr>
          <w:color w:val="000000"/>
        </w:rPr>
        <w:t>V. O.</w:t>
      </w:r>
      <w:r w:rsidRPr="00C00255">
        <w:rPr>
          <w:color w:val="000000"/>
        </w:rPr>
        <w:t xml:space="preserve"> ir </w:t>
      </w:r>
      <w:r>
        <w:rPr>
          <w:color w:val="000000"/>
        </w:rPr>
        <w:t>V. U. 1</w:t>
      </w:r>
      <w:r w:rsidRPr="00C00255">
        <w:rPr>
          <w:color w:val="000000"/>
        </w:rPr>
        <w:t xml:space="preserve"> nurodymu </w:t>
      </w:r>
      <w:r w:rsidRPr="00C00255">
        <w:rPr>
          <w:rFonts w:eastAsia="Calibri"/>
          <w:szCs w:val="24"/>
        </w:rPr>
        <w:t xml:space="preserve">TSRS GM </w:t>
      </w:r>
      <w:r w:rsidRPr="00C00255">
        <w:rPr>
          <w:color w:val="000000"/>
        </w:rPr>
        <w:t xml:space="preserve">76-osios oro desanto divizijos ir </w:t>
      </w:r>
      <w:r w:rsidRPr="00C00255">
        <w:rPr>
          <w:rFonts w:eastAsia="Calibri"/>
          <w:szCs w:val="24"/>
        </w:rPr>
        <w:t>TSRS GM</w:t>
      </w:r>
      <w:r w:rsidRPr="00C00255">
        <w:rPr>
          <w:color w:val="000000"/>
        </w:rPr>
        <w:t xml:space="preserve"> 107-osios motorizuotų šaulių divizijos padaliniams, skirtiems LRT užėmimo operacijai, buvo parengtos veiksmų schemos, nurodančios jie</w:t>
      </w:r>
      <w:r w:rsidR="00902A3A">
        <w:rPr>
          <w:color w:val="000000"/>
        </w:rPr>
        <w:t>ms konkrečias užduotis (t. 480, </w:t>
      </w:r>
      <w:r w:rsidRPr="00C00255">
        <w:rPr>
          <w:color w:val="000000"/>
        </w:rPr>
        <w:t xml:space="preserve">b. l. 52). </w:t>
      </w:r>
      <w:r w:rsidRPr="00C00255">
        <w:t xml:space="preserve">Apie pasirengimą LRT užėmimo operacijai ir atitinkamų žemėlapių rengimą matyti ir iš teisiamajame posėdyje perskaitytų liudytojo </w:t>
      </w:r>
      <w:r>
        <w:t>M. P.</w:t>
      </w:r>
      <w:r w:rsidRPr="00C00255">
        <w:t xml:space="preserve">, </w:t>
      </w:r>
      <w:r w:rsidRPr="00C00255">
        <w:rPr>
          <w:rFonts w:eastAsia="Calibri"/>
        </w:rPr>
        <w:t>1991 m. tarnavusio TSRS kariuomenės Pskovo pulke,</w:t>
      </w:r>
      <w:r w:rsidRPr="00C00255">
        <w:t xml:space="preserve"> parodymų, duotų teisiamajame posėdyje </w:t>
      </w:r>
      <w:r>
        <w:t>M. B.</w:t>
      </w:r>
      <w:r w:rsidRPr="00C00255">
        <w:t xml:space="preserve">, </w:t>
      </w:r>
      <w:r>
        <w:t>J. K.</w:t>
      </w:r>
      <w:r w:rsidRPr="00C00255">
        <w:t xml:space="preserve"> ir kt. byloje. </w:t>
      </w:r>
      <w:r w:rsidRPr="00C00255">
        <w:rPr>
          <w:color w:val="000000"/>
        </w:rPr>
        <w:t xml:space="preserve">Liudytojas, kaip karinių pajėgų ekspertas, būdamas Rusijos Federacijoje veikusios parlamentinės komisijos dėl valstybinio perversmo narys, susipažinęs su šios komisijos tyrimui pateiktais dokumentais, rado ir dokumentus apie 1991 m. Vilniaus įvykius. Tarp jų matė ir Vilniaus miesto žemėlapį, kuriame buvo pažymėti objektai: Aukščiausioji Taryba, LRT, TV bokštas, Sąjūdžio būstinė. Pagal karinės topografijos taisykles šie objektai buvo pažymėti mėlynai, kaip priešo objektai. Žemėlapis buvo sudarytas Vilniaus įgulos komendanto, t. y. </w:t>
      </w:r>
      <w:r>
        <w:rPr>
          <w:color w:val="000000"/>
        </w:rPr>
        <w:t>V. U. 1</w:t>
      </w:r>
      <w:r w:rsidRPr="00C00255">
        <w:rPr>
          <w:color w:val="000000"/>
        </w:rPr>
        <w:t xml:space="preserve">. Tai, kad šį žemėlapį sudarė Vilniaus įgulos komendantas, buvo aišku iš rekvizitų, kiek liudytojas pamena, buvo net ir antspaudas </w:t>
      </w:r>
      <w:r w:rsidRPr="00C00255">
        <w:t xml:space="preserve">(t. 374, b. l. 62–64). </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lang w:eastAsia="lt-LT"/>
        </w:rPr>
        <w:t xml:space="preserve">Jau minėtoje specialisto išvadoje taip pat konstatuota, kad TSRS VSK grupės „A“, </w:t>
      </w:r>
      <w:r w:rsidRPr="00C00255">
        <w:rPr>
          <w:rFonts w:eastAsia="Calibri"/>
          <w:szCs w:val="24"/>
        </w:rPr>
        <w:t xml:space="preserve">TSRS GM </w:t>
      </w:r>
      <w:r w:rsidRPr="00C00255">
        <w:rPr>
          <w:lang w:eastAsia="lt-LT"/>
        </w:rPr>
        <w:t xml:space="preserve">76-osios oro desanto divizijos, </w:t>
      </w:r>
      <w:r w:rsidRPr="00C00255">
        <w:rPr>
          <w:rFonts w:eastAsia="Calibri"/>
          <w:szCs w:val="24"/>
        </w:rPr>
        <w:t>TSRS GM</w:t>
      </w:r>
      <w:r w:rsidRPr="00C00255">
        <w:rPr>
          <w:lang w:eastAsia="lt-LT"/>
        </w:rPr>
        <w:t xml:space="preserve"> 107-osios motorizuotų šaulių divizijos ir TSRS VRM Vidaus kariuomenės 42-osios divizijos padalinių, dalyvavusių operacijoje 1991 m. sausio 13 d. naktį, vadus vienu iš instruktavusių asmenų buvo </w:t>
      </w:r>
      <w:r>
        <w:rPr>
          <w:lang w:eastAsia="lt-LT"/>
        </w:rPr>
        <w:t>V. U. 1</w:t>
      </w:r>
      <w:r w:rsidRPr="00C00255">
        <w:rPr>
          <w:lang w:eastAsia="lt-LT"/>
        </w:rPr>
        <w:t xml:space="preserve"> </w:t>
      </w:r>
      <w:r w:rsidRPr="00C00255">
        <w:rPr>
          <w:szCs w:val="24"/>
          <w:lang w:eastAsia="lt-LT"/>
        </w:rPr>
        <w:t xml:space="preserve">(t. 480, b. l. 52). </w:t>
      </w:r>
      <w:r w:rsidRPr="00C00255">
        <w:rPr>
          <w:lang w:eastAsia="lt-LT"/>
        </w:rPr>
        <w:t xml:space="preserve">1991 m. vasario 15 d. </w:t>
      </w:r>
      <w:r>
        <w:rPr>
          <w:lang w:eastAsia="lt-LT"/>
        </w:rPr>
        <w:t>I. K.</w:t>
      </w:r>
      <w:r w:rsidRPr="00C00255">
        <w:rPr>
          <w:lang w:eastAsia="lt-LT"/>
        </w:rPr>
        <w:t xml:space="preserve"> paaiškinime nurodyta, kad, remiantis generolų </w:t>
      </w:r>
      <w:r>
        <w:rPr>
          <w:lang w:eastAsia="lt-LT"/>
        </w:rPr>
        <w:t>V. U. 1</w:t>
      </w:r>
      <w:r w:rsidRPr="00C00255">
        <w:rPr>
          <w:lang w:eastAsia="lt-LT"/>
        </w:rPr>
        <w:t xml:space="preserve"> ir </w:t>
      </w:r>
      <w:r>
        <w:rPr>
          <w:lang w:eastAsia="lt-LT"/>
        </w:rPr>
        <w:t>V. O.</w:t>
      </w:r>
      <w:r w:rsidRPr="00C00255">
        <w:rPr>
          <w:lang w:eastAsia="lt-LT"/>
        </w:rPr>
        <w:t xml:space="preserve"> žodiniu įsakymu, dalinio štabas parengė dvi TV bokšto ir LRT apsaugos schemas, kurios buvo paliktos generolo </w:t>
      </w:r>
      <w:r>
        <w:rPr>
          <w:lang w:eastAsia="lt-LT"/>
        </w:rPr>
        <w:t>V. U. 1</w:t>
      </w:r>
      <w:r w:rsidRPr="00C00255">
        <w:rPr>
          <w:lang w:eastAsia="lt-LT"/>
        </w:rPr>
        <w:t xml:space="preserve"> operatyvinėje grupėje (t. 429, b. l. 115; t. 116, b. l. 150). Pažymėtina, kad tokias aplinkybes patvirtino ir teisiamajame posėdyje apklausti liudytojai. Tuometinis </w:t>
      </w:r>
      <w:r w:rsidRPr="00C00255">
        <w:rPr>
          <w:rFonts w:eastAsia="Calibri"/>
          <w:szCs w:val="24"/>
        </w:rPr>
        <w:t>TSRS GM</w:t>
      </w:r>
      <w:r w:rsidRPr="00C00255">
        <w:rPr>
          <w:lang w:eastAsia="lt-LT"/>
        </w:rPr>
        <w:t xml:space="preserve"> 107-osios motorizuotų šaulių divizijos vado pavaduotojas ginkluotei liudytojas </w:t>
      </w:r>
      <w:r>
        <w:rPr>
          <w:lang w:eastAsia="lt-LT"/>
        </w:rPr>
        <w:t>A. K.</w:t>
      </w:r>
      <w:r w:rsidRPr="00C00255">
        <w:rPr>
          <w:lang w:eastAsia="lt-LT"/>
        </w:rPr>
        <w:t xml:space="preserve"> patvirtino dar ikiteisminio tyrimo metu duotus parodymus apie tai, kad 199</w:t>
      </w:r>
      <w:r w:rsidRPr="00C00255">
        <w:rPr>
          <w:szCs w:val="24"/>
        </w:rPr>
        <w:t xml:space="preserve">1 m. sausio 12 d. galimai į diviziją Vilniuje atvyko aukšto rango pareigūnai. Įvyko taktinės klasės surinkimas, į kurį buvo sukviesti visi divizijos štabo karininkai ir divizijos atskirų padalinių vadai. Po šio susitikimo, </w:t>
      </w:r>
      <w:r>
        <w:rPr>
          <w:szCs w:val="24"/>
        </w:rPr>
        <w:t>A. K.</w:t>
      </w:r>
      <w:r w:rsidRPr="00C00255">
        <w:rPr>
          <w:szCs w:val="24"/>
        </w:rPr>
        <w:t xml:space="preserve"> gavo divizijos vado </w:t>
      </w:r>
      <w:r>
        <w:rPr>
          <w:szCs w:val="24"/>
        </w:rPr>
        <w:t>V. U. 1</w:t>
      </w:r>
      <w:r w:rsidRPr="00C00255">
        <w:rPr>
          <w:szCs w:val="24"/>
        </w:rPr>
        <w:t xml:space="preserve"> įsakymą užtikrinti, kad iš nuimtų iš konservavimo tankų T–72 būtų išimti koviniai užtaisai, o juose būtų palikti tušti (</w:t>
      </w:r>
      <w:r w:rsidRPr="00C00255">
        <w:rPr>
          <w:szCs w:val="24"/>
          <w:lang w:eastAsia="lt-LT"/>
        </w:rPr>
        <w:t>t. </w:t>
      </w:r>
      <w:r w:rsidRPr="00C00255">
        <w:rPr>
          <w:szCs w:val="24"/>
        </w:rPr>
        <w:t>757, b. l. 91–95; t. 474, b. l. 18</w:t>
      </w:r>
      <w:r w:rsidRPr="00C00255">
        <w:rPr>
          <w:lang w:eastAsia="lt-LT"/>
        </w:rPr>
        <w:t>0–181). Liudytojas V. V</w:t>
      </w:r>
      <w:r>
        <w:rPr>
          <w:lang w:eastAsia="lt-LT"/>
        </w:rPr>
        <w:t>.</w:t>
      </w:r>
      <w:r w:rsidRPr="00C00255">
        <w:rPr>
          <w:lang w:eastAsia="lt-LT"/>
        </w:rPr>
        <w:t xml:space="preserve"> pirmosios instancijos teisme nurodė, kad </w:t>
      </w:r>
      <w:r>
        <w:rPr>
          <w:lang w:eastAsia="lt-LT"/>
        </w:rPr>
        <w:t>V. U. 1</w:t>
      </w:r>
      <w:r w:rsidRPr="00C00255">
        <w:rPr>
          <w:lang w:eastAsia="lt-LT"/>
        </w:rPr>
        <w:t xml:space="preserve"> davė įsakymą karinei technikai judėti prie objektų sausio 13-osios naktį, o pačiam </w:t>
      </w:r>
      <w:r>
        <w:rPr>
          <w:lang w:eastAsia="lt-LT"/>
        </w:rPr>
        <w:t>V. U. 1</w:t>
      </w:r>
      <w:r w:rsidRPr="00C00255">
        <w:rPr>
          <w:lang w:eastAsia="lt-LT"/>
        </w:rPr>
        <w:t xml:space="preserve"> toks įsakymas buvo duotas aukštesnių karininkų. Pasak liudytojo, </w:t>
      </w:r>
      <w:r>
        <w:rPr>
          <w:lang w:eastAsia="lt-LT"/>
        </w:rPr>
        <w:t>V. U. 1</w:t>
      </w:r>
      <w:r w:rsidRPr="00C00255">
        <w:rPr>
          <w:lang w:eastAsia="lt-LT"/>
        </w:rPr>
        <w:t xml:space="preserve"> prisiėmė atsakomybę dėl vadovavimo kariškių veiksmams, o tai, kad kovinės amunicijos tankuose nebuvo, būtent </w:t>
      </w:r>
      <w:r>
        <w:rPr>
          <w:lang w:eastAsia="lt-LT"/>
        </w:rPr>
        <w:t>V. U. 1</w:t>
      </w:r>
      <w:r w:rsidRPr="00C00255">
        <w:rPr>
          <w:lang w:eastAsia="lt-LT"/>
        </w:rPr>
        <w:t xml:space="preserve"> nuopelnas (t. 757, b. l. 81–84). </w:t>
      </w:r>
    </w:p>
    <w:p w:rsidR="00DA38E9" w:rsidRPr="00C00255" w:rsidRDefault="00DA38E9" w:rsidP="00DA38E9">
      <w:pPr>
        <w:pStyle w:val="ListParagraph"/>
        <w:numPr>
          <w:ilvl w:val="0"/>
          <w:numId w:val="6"/>
        </w:numPr>
        <w:spacing w:before="120" w:after="120"/>
        <w:ind w:left="993" w:hanging="993"/>
        <w:contextualSpacing w:val="0"/>
        <w:rPr>
          <w:lang w:eastAsia="lt-LT"/>
        </w:rPr>
      </w:pPr>
      <w:r w:rsidRPr="00C00255">
        <w:rPr>
          <w:lang w:eastAsia="lt-LT"/>
        </w:rPr>
        <w:t xml:space="preserve">Teisėjų kolegija pažymi, kad nuteistojo </w:t>
      </w:r>
      <w:r>
        <w:rPr>
          <w:lang w:eastAsia="lt-LT"/>
        </w:rPr>
        <w:t>V. U. 1</w:t>
      </w:r>
      <w:r w:rsidRPr="00C00255">
        <w:rPr>
          <w:lang w:eastAsia="lt-LT"/>
        </w:rPr>
        <w:t xml:space="preserve"> gynėjas neneigia, kad dar prieš prasidedant operacijai</w:t>
      </w:r>
      <w:r w:rsidRPr="00C00255" w:rsidDel="00D740ED">
        <w:rPr>
          <w:lang w:eastAsia="lt-LT"/>
        </w:rPr>
        <w:t xml:space="preserve"> </w:t>
      </w:r>
      <w:r w:rsidRPr="00C00255">
        <w:rPr>
          <w:lang w:eastAsia="lt-LT"/>
        </w:rPr>
        <w:t xml:space="preserve">ginamasis davė atskirus įsakymus jo vadovaujamiems kariškiams, tačiau, gynėjo įsitikinimu, </w:t>
      </w:r>
      <w:r w:rsidRPr="00C00255">
        <w:rPr>
          <w:rFonts w:eastAsia="Calibri"/>
          <w:szCs w:val="24"/>
        </w:rPr>
        <w:t>TSRS GM</w:t>
      </w:r>
      <w:r w:rsidRPr="00C00255">
        <w:rPr>
          <w:lang w:eastAsia="lt-LT"/>
        </w:rPr>
        <w:t xml:space="preserve"> 107-osios divizijos tankams išvažiavus iš karinio miestelio, tankų ekipažų nariai perėjo TSRS GM Oro desanto pajėgų vado </w:t>
      </w:r>
      <w:r>
        <w:rPr>
          <w:lang w:eastAsia="lt-LT"/>
        </w:rPr>
        <w:t>V. A.</w:t>
      </w:r>
      <w:r w:rsidRPr="00C00255">
        <w:rPr>
          <w:lang w:eastAsia="lt-LT"/>
        </w:rPr>
        <w:t xml:space="preserve"> žinion ir pavaldumui. </w:t>
      </w:r>
    </w:p>
    <w:p w:rsidR="00DA38E9" w:rsidRPr="00055544" w:rsidRDefault="00DA38E9" w:rsidP="00DA38E9">
      <w:pPr>
        <w:pStyle w:val="ListParagraph"/>
        <w:numPr>
          <w:ilvl w:val="0"/>
          <w:numId w:val="6"/>
        </w:numPr>
        <w:spacing w:before="120" w:after="120"/>
        <w:ind w:left="993" w:hanging="993"/>
        <w:contextualSpacing w:val="0"/>
        <w:rPr>
          <w:lang w:eastAsia="lt-LT"/>
        </w:rPr>
      </w:pPr>
      <w:r w:rsidRPr="00055544">
        <w:t>Tokių apeliacinio skundo argumentų kontekste, teisėjų kolegija, kaip ir aptardama operacijos koordinatorių veiksmus užimant TV bokštą, pažymi, kad nepaisant byloje esančių duomenų apie aukštesnių karininkų dalyvavimą karinės operacijos štabo veikloje, operacija nebuvo vykdoma stichiškai, ir dar jos parengimo metu buvo suplanuota, kas koordinuos bendrus visų skirtingų karinių dalinių kariškių veiksmus greta štabe buvusių aukščiausių karininkų, kurie kartu atstovavo ir aukščiausią TSRS politinę valdžią bei kontroliavo karinę operaciją koordinuojančių kariškių veiksmus.</w:t>
      </w:r>
      <w:r w:rsidRPr="00055544">
        <w:rPr>
          <w:lang w:eastAsia="lt-LT"/>
        </w:rPr>
        <w:t xml:space="preserve"> </w:t>
      </w:r>
      <w:r w:rsidRPr="00055544">
        <w:t xml:space="preserve">Skundžiamu nuosprendžiu pagrįstai konstatuota, kad </w:t>
      </w:r>
      <w:r w:rsidRPr="00055544">
        <w:rPr>
          <w:rFonts w:eastAsia="Calibri"/>
        </w:rPr>
        <w:t>TSRS VSK specialiosios paskirties grupės „A“, TSRS GM 76-osios oro desanto divizijos, TSRS GM 107-osios motorizuotų šaulių divizijos ir TSRS VRM Vidaus kariuomenės 42-osios divizijos kariškių, dalyvavusių užimant objektus, bendrus veiksmus, be kitų kariškių, koordinavo ir TSRS GM 107-osios motorizuotų šaulių divizijos vadas V. U. 1, o jų veiksmus kontroliavo kiti vadovavimo karinei operacijai štabo nariai (nuosprendžio 15 l.).</w:t>
      </w:r>
      <w:r w:rsidRPr="00055544">
        <w:rPr>
          <w:rFonts w:eastAsia="Calibri"/>
          <w:szCs w:val="24"/>
        </w:rPr>
        <w:t xml:space="preserve"> </w:t>
      </w:r>
    </w:p>
    <w:p w:rsidR="00DA38E9" w:rsidRPr="00055544" w:rsidRDefault="00DA38E9" w:rsidP="00DA38E9">
      <w:pPr>
        <w:pStyle w:val="ListParagraph"/>
        <w:numPr>
          <w:ilvl w:val="0"/>
          <w:numId w:val="6"/>
        </w:numPr>
        <w:spacing w:before="120" w:after="120"/>
        <w:ind w:left="993" w:hanging="993"/>
        <w:contextualSpacing w:val="0"/>
        <w:rPr>
          <w:lang w:eastAsia="lt-LT"/>
        </w:rPr>
      </w:pPr>
      <w:r w:rsidRPr="00055544">
        <w:rPr>
          <w:rFonts w:eastAsia="Calibri"/>
        </w:rPr>
        <w:t xml:space="preserve">Šiame sprendime teisėjų kolegija jau pasisakė, kad tiek 1991 m. sausio 11 d. vykusio Spaudos rūmų, tiek 1991 m. sausio 13 d. vykusio TV bokšto šturmo metu vadovavimo operacijai štabo nariai, net ir nebūdami prie minėtų objektų, nuolat palaikė ryšį su tiesiogiai operacijoje dalyvavusiais kariškiais. Byloje surinkti įrodymai leidžia daryti abejonių nekeliančią išvadą, kad panašiai buvo vadovaujama ir kariškių bendri veiksmai panašiai buvo koordinuojami iš Šiaurės miestelyje įsikūrusio štabo ir užimant LRT. Taip pat </w:t>
      </w:r>
      <w:r w:rsidRPr="00055544">
        <w:t xml:space="preserve">teisiamajame posėdyje ištirti įrodymai, besijungiantys į nuoseklią ir logišką grandinę, leidžia daryti abejonių nekeliančią išvadą, kad V. U. 1 LRT užėmimo metu radijo ryšio pagalba vadovavo </w:t>
      </w:r>
      <w:bookmarkStart w:id="589" w:name="_Hlk64833893"/>
      <w:r w:rsidRPr="00055544">
        <w:rPr>
          <w:rFonts w:eastAsia="Calibri"/>
        </w:rPr>
        <w:t>TSRS GM</w:t>
      </w:r>
      <w:r w:rsidRPr="00055544">
        <w:t xml:space="preserve"> 107-osios motorizuotų šaulių divizijos</w:t>
      </w:r>
      <w:bookmarkEnd w:id="589"/>
      <w:r w:rsidRPr="00055544">
        <w:t xml:space="preserve"> kariškių veiksmams ir kartu su kitais vadovavimo štabo paskirtais kariškiais koordinavo bendrus TSRS kariškių veiksmus.</w:t>
      </w:r>
      <w:r w:rsidRPr="00055544">
        <w:rPr>
          <w:szCs w:val="24"/>
        </w:rPr>
        <w:t xml:space="preserve"> </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E67B7E">
        <w:rPr>
          <w:rFonts w:eastAsia="Calibri"/>
        </w:rPr>
        <w:t>Šiame sprendime teisėjų kolegija jau aptarė</w:t>
      </w:r>
      <w:r w:rsidRPr="00E67B7E">
        <w:t xml:space="preserve"> liudytojo</w:t>
      </w:r>
      <w:r w:rsidRPr="00C00255">
        <w:t xml:space="preserve"> A.</w:t>
      </w:r>
      <w:r>
        <w:t> </w:t>
      </w:r>
      <w:r w:rsidRPr="00C00255">
        <w:t>Š</w:t>
      </w:r>
      <w:r>
        <w:t>.</w:t>
      </w:r>
      <w:r w:rsidRPr="00C00255">
        <w:t xml:space="preserve"> parodymus apie tai</w:t>
      </w:r>
      <w:r w:rsidRPr="00C00255">
        <w:rPr>
          <w:lang w:eastAsia="lt-LT"/>
        </w:rPr>
        <w:t xml:space="preserve">, kad </w:t>
      </w:r>
      <w:r w:rsidRPr="00C00255">
        <w:rPr>
          <w:szCs w:val="24"/>
          <w:lang w:eastAsia="lt-LT"/>
        </w:rPr>
        <w:t xml:space="preserve">tiek </w:t>
      </w:r>
      <w:r>
        <w:rPr>
          <w:szCs w:val="24"/>
          <w:lang w:eastAsia="lt-LT"/>
        </w:rPr>
        <w:t>V. U. 1</w:t>
      </w:r>
      <w:r w:rsidRPr="00C00255">
        <w:rPr>
          <w:szCs w:val="24"/>
          <w:lang w:eastAsia="lt-LT"/>
        </w:rPr>
        <w:t xml:space="preserve"> kabinete, kurį jis perleido V. V</w:t>
      </w:r>
      <w:r>
        <w:rPr>
          <w:szCs w:val="24"/>
          <w:lang w:eastAsia="lt-LT"/>
        </w:rPr>
        <w:t>.</w:t>
      </w:r>
      <w:r w:rsidRPr="00C00255">
        <w:rPr>
          <w:szCs w:val="24"/>
          <w:lang w:eastAsia="lt-LT"/>
        </w:rPr>
        <w:t xml:space="preserve"> ir </w:t>
      </w:r>
      <w:r>
        <w:rPr>
          <w:szCs w:val="24"/>
          <w:lang w:eastAsia="lt-LT"/>
        </w:rPr>
        <w:t>V. A.</w:t>
      </w:r>
      <w:r w:rsidRPr="00C00255">
        <w:rPr>
          <w:szCs w:val="24"/>
          <w:lang w:eastAsia="lt-LT"/>
        </w:rPr>
        <w:t xml:space="preserve">, tiek divizijos štabo viršininko kabinete, į kurį </w:t>
      </w:r>
      <w:r>
        <w:rPr>
          <w:szCs w:val="24"/>
          <w:lang w:eastAsia="lt-LT"/>
        </w:rPr>
        <w:t>V. U. 1</w:t>
      </w:r>
      <w:r w:rsidRPr="00C00255">
        <w:rPr>
          <w:szCs w:val="24"/>
          <w:lang w:eastAsia="lt-LT"/>
        </w:rPr>
        <w:t xml:space="preserve"> persikėlė minėtiems asmenims atvykus į Vilnių – buvo įrengtas radijo ryšys. Šis liudytojas patvirtino, kad nepaisant minėtų aukšto rango pareigūnų atvykimo į diviziją, </w:t>
      </w:r>
      <w:r>
        <w:rPr>
          <w:szCs w:val="24"/>
          <w:lang w:eastAsia="lt-LT"/>
        </w:rPr>
        <w:t>V. U. 1</w:t>
      </w:r>
      <w:r w:rsidRPr="00C00255">
        <w:rPr>
          <w:szCs w:val="24"/>
          <w:lang w:eastAsia="lt-LT"/>
        </w:rPr>
        <w:t xml:space="preserve"> toliau aktyviai ir betarpiškai vadovavo divizijai bei bendravo su kitais LRT užėmime dalyvavusių kariškių grupių atstovais. Karininkai komandas gaudavo tiesiogiai iš </w:t>
      </w:r>
      <w:r>
        <w:rPr>
          <w:szCs w:val="24"/>
          <w:lang w:eastAsia="lt-LT"/>
        </w:rPr>
        <w:t>V. U. 1</w:t>
      </w:r>
      <w:r w:rsidRPr="00C00255">
        <w:rPr>
          <w:szCs w:val="24"/>
          <w:lang w:eastAsia="lt-LT"/>
        </w:rPr>
        <w:t xml:space="preserve">, o jiems, kaip budintiems, </w:t>
      </w:r>
      <w:r>
        <w:rPr>
          <w:szCs w:val="24"/>
          <w:lang w:eastAsia="lt-LT"/>
        </w:rPr>
        <w:t>V. U. 1</w:t>
      </w:r>
      <w:r w:rsidRPr="00C00255">
        <w:rPr>
          <w:szCs w:val="24"/>
          <w:lang w:eastAsia="lt-LT"/>
        </w:rPr>
        <w:t xml:space="preserve"> duodavo nurodymą pakviesti reikiamą karininką, ką jie ir darydavo (</w:t>
      </w:r>
      <w:r w:rsidRPr="00C00255">
        <w:rPr>
          <w:lang w:eastAsia="lt-LT"/>
        </w:rPr>
        <w:t xml:space="preserve">t. 757, b. l. 123–127; </w:t>
      </w:r>
      <w:r w:rsidRPr="00C00255">
        <w:rPr>
          <w:szCs w:val="24"/>
          <w:lang w:eastAsia="lt-LT"/>
        </w:rPr>
        <w:t>t.</w:t>
      </w:r>
      <w:r>
        <w:rPr>
          <w:szCs w:val="24"/>
          <w:lang w:eastAsia="lt-LT"/>
        </w:rPr>
        <w:t> </w:t>
      </w:r>
      <w:r w:rsidRPr="00C00255">
        <w:rPr>
          <w:szCs w:val="24"/>
          <w:lang w:eastAsia="lt-LT"/>
        </w:rPr>
        <w:t>474, b. l. 198–208).</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lang w:eastAsia="lt-LT"/>
        </w:rPr>
        <w:t xml:space="preserve">Teisėjų kolegija, analizuodama Spaudos rūmų užėmimo aplinkybes, taip pat aptarė ir įrodymus apie kariškių ir tankų naudotus šaukinius, tarp jų ir apie </w:t>
      </w:r>
      <w:r>
        <w:rPr>
          <w:lang w:eastAsia="lt-LT"/>
        </w:rPr>
        <w:t>V. U. 1</w:t>
      </w:r>
      <w:r w:rsidRPr="00C00255">
        <w:rPr>
          <w:lang w:eastAsia="lt-LT"/>
        </w:rPr>
        <w:t xml:space="preserve"> naudotą šaukinį „Zenit-22“ (šio sprendimo 312 pastraipa). Kaip minėta, LTEC specialistai, atlikę jiems pateiktų 1991 m. sausio 12–13 d. naktį užfiksuotų TSRS kariškių pokalbių garso įrašų ir kariškio, kuris naudojosi šaukiniu „Zenit-22“, balso tyrimą, pateikė išvadą, kad tikėtina, jog garso įraše yra užfiksuotas </w:t>
      </w:r>
      <w:r>
        <w:rPr>
          <w:lang w:eastAsia="lt-LT"/>
        </w:rPr>
        <w:t>V. U. 1</w:t>
      </w:r>
      <w:r w:rsidRPr="00C00255">
        <w:rPr>
          <w:lang w:eastAsia="lt-LT"/>
        </w:rPr>
        <w:t xml:space="preserve"> balsas (t. 486, b. l. 67–79, 80–164). Iš pateiktos specialisto išvados ir jos priede išdėstyto garso įrašo turinio matyti, kad, priešingai nei teigia nuteistojo </w:t>
      </w:r>
      <w:r>
        <w:rPr>
          <w:lang w:eastAsia="lt-LT"/>
        </w:rPr>
        <w:t>V. U. 1</w:t>
      </w:r>
      <w:r w:rsidRPr="00C00255">
        <w:rPr>
          <w:lang w:eastAsia="lt-LT"/>
        </w:rPr>
        <w:t xml:space="preserve"> gynėjas, tankų pulkui išvykus prie LRT, jie ir toliau savo veiksmus derino su tiesioginiu savo divizijos vadu </w:t>
      </w:r>
      <w:r>
        <w:rPr>
          <w:lang w:eastAsia="lt-LT"/>
        </w:rPr>
        <w:t>V. U. 1</w:t>
      </w:r>
      <w:r w:rsidRPr="00C00255">
        <w:rPr>
          <w:lang w:eastAsia="lt-LT"/>
        </w:rPr>
        <w:t>, o pastarasis operacijos eigoje bendravo ir su kitai</w:t>
      </w:r>
      <w:r w:rsidR="00902A3A">
        <w:rPr>
          <w:lang w:eastAsia="lt-LT"/>
        </w:rPr>
        <w:t>s kariškiais (t. 486, 80–96; t. </w:t>
      </w:r>
      <w:r w:rsidRPr="00C00255">
        <w:rPr>
          <w:lang w:eastAsia="lt-LT"/>
        </w:rPr>
        <w:t xml:space="preserve">486, b. l. 97–115). Šiame sprendime teisėjų kolegija jau pasisakė, kad visi tankų šaukiniai prasidėjo žodžių „Bronia“ ir buvo su dviem skaičiais, atitinkančiais du paskutinius tanko borto numerio skaičius. Iš garso įrašo matyti, kad </w:t>
      </w:r>
      <w:r>
        <w:rPr>
          <w:lang w:eastAsia="lt-LT"/>
        </w:rPr>
        <w:t>V. U. 1</w:t>
      </w:r>
      <w:r w:rsidRPr="00C00255">
        <w:rPr>
          <w:lang w:eastAsia="lt-LT"/>
        </w:rPr>
        <w:t xml:space="preserve"> (šaukinys „Zenit-22”) operacijos eigoje iš štabo koordinavo tiek tanko Nr. 502 (šaukinys „Bronia-02”) vado </w:t>
      </w:r>
      <w:r>
        <w:rPr>
          <w:lang w:eastAsia="lt-LT"/>
        </w:rPr>
        <w:t>N. A.</w:t>
      </w:r>
      <w:r w:rsidRPr="00C00255">
        <w:rPr>
          <w:lang w:eastAsia="lt-LT"/>
        </w:rPr>
        <w:t xml:space="preserve"> veiksmus, kuris vadovavo tankų junginiui TV</w:t>
      </w:r>
      <w:r>
        <w:rPr>
          <w:lang w:eastAsia="lt-LT"/>
        </w:rPr>
        <w:t> </w:t>
      </w:r>
      <w:r w:rsidRPr="00C00255">
        <w:rPr>
          <w:lang w:eastAsia="lt-LT"/>
        </w:rPr>
        <w:t xml:space="preserve">bokšto užėmimo metu, tiek tanko Nr. 571 (šaukinys „Bronia-71”) vado </w:t>
      </w:r>
      <w:r>
        <w:rPr>
          <w:lang w:eastAsia="lt-LT"/>
        </w:rPr>
        <w:t>V. P.</w:t>
      </w:r>
      <w:r w:rsidRPr="00C00255">
        <w:rPr>
          <w:lang w:eastAsia="lt-LT"/>
        </w:rPr>
        <w:t xml:space="preserve"> veiksmus, kuris kaip minėta, vadovavo tankų Nr. 559, 571 ir 574 junginiui LRT užėmimo metu.</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color w:val="000000"/>
          <w:szCs w:val="24"/>
          <w:lang w:eastAsia="lt-LT" w:bidi="lt-LT"/>
        </w:rPr>
        <w:t xml:space="preserve">Nuteistojo </w:t>
      </w:r>
      <w:r>
        <w:rPr>
          <w:color w:val="000000"/>
          <w:szCs w:val="24"/>
          <w:lang w:eastAsia="lt-LT" w:bidi="lt-LT"/>
        </w:rPr>
        <w:t>V. U. 1</w:t>
      </w:r>
      <w:r w:rsidRPr="00C00255">
        <w:rPr>
          <w:color w:val="000000"/>
          <w:szCs w:val="24"/>
          <w:lang w:eastAsia="lt-LT" w:bidi="lt-LT"/>
        </w:rPr>
        <w:t xml:space="preserve"> gynėjas apeliaciniame skunde nurodo ir tai, kad operacijos metu </w:t>
      </w:r>
      <w:r>
        <w:rPr>
          <w:szCs w:val="24"/>
        </w:rPr>
        <w:t>V. U. 1</w:t>
      </w:r>
      <w:r w:rsidRPr="00C00255">
        <w:rPr>
          <w:szCs w:val="24"/>
        </w:rPr>
        <w:t xml:space="preserve"> divizija tik palaikė desantininkus, kurie turėjo užimti objektus. Be to, </w:t>
      </w:r>
      <w:r>
        <w:rPr>
          <w:szCs w:val="24"/>
        </w:rPr>
        <w:t>V. U. 1</w:t>
      </w:r>
      <w:r w:rsidRPr="00C00255">
        <w:rPr>
          <w:szCs w:val="24"/>
        </w:rPr>
        <w:t xml:space="preserve"> padarė viską, kad nebūtų pralietas kraujas, ir nedavė įsakymų panaudoti ginklų, </w:t>
      </w:r>
      <w:r w:rsidRPr="00C00255">
        <w:rPr>
          <w:color w:val="000000"/>
          <w:szCs w:val="24"/>
          <w:lang w:eastAsia="lt-LT" w:bidi="lt-LT"/>
        </w:rPr>
        <w:t xml:space="preserve">tankai </w:t>
      </w:r>
      <w:r w:rsidRPr="00C00255">
        <w:rPr>
          <w:szCs w:val="24"/>
        </w:rPr>
        <w:t xml:space="preserve">ant žmonių nevažiavo ir tyčia nieko nenužudė, šaudė maksimaliai į viršų tuščiais šoviniais.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color w:val="000000"/>
          <w:szCs w:val="24"/>
          <w:lang w:eastAsia="lt-LT" w:bidi="lt-LT"/>
        </w:rPr>
        <w:t xml:space="preserve">Teisėjų kolegija jau pasisakė apie tankų iššautais tuščiais užtaisais prie LRT daugybei žmonių padarytus sužalojimus ir jų pavojingumą žmonių sveikatai ir aplinkai, nepaisant tankų pabūklų pakėlimo. Tokie tankų užtaisai, be kita ko, jau buvo panaudoti ir 1991 m. sausio 11 d. užimant Spaudos rūmus, kas neabejotinai leidžia teigti, kad juos naudojant pakartotinai prie LRT, buvo žinoma apie jų pavojingumą civiliams bei aplinkai. Be to, </w:t>
      </w:r>
      <w:r>
        <w:rPr>
          <w:color w:val="000000"/>
          <w:szCs w:val="24"/>
          <w:lang w:eastAsia="lt-LT" w:bidi="lt-LT"/>
        </w:rPr>
        <w:t>V. U. 1</w:t>
      </w:r>
      <w:r w:rsidRPr="00C00255">
        <w:rPr>
          <w:color w:val="000000"/>
          <w:szCs w:val="24"/>
          <w:lang w:eastAsia="lt-LT" w:bidi="lt-LT"/>
        </w:rPr>
        <w:t xml:space="preserve"> žinojo ir apie 1991 m. sausio 13 d. prie planuojamų užimti objektų, tarp jų ir prie LRT, buvusių civilių daugiatūkstantinį skaičių (apie tokį skaičių kariškiai kalbėjo ir operacijos metu radijo ryšiu), nepaisant to, </w:t>
      </w:r>
      <w:r>
        <w:rPr>
          <w:color w:val="000000"/>
          <w:szCs w:val="24"/>
          <w:lang w:eastAsia="lt-LT" w:bidi="lt-LT"/>
        </w:rPr>
        <w:t>V. U. 1</w:t>
      </w:r>
      <w:r w:rsidRPr="00C00255">
        <w:rPr>
          <w:color w:val="000000"/>
          <w:szCs w:val="24"/>
          <w:lang w:eastAsia="lt-LT" w:bidi="lt-LT"/>
        </w:rPr>
        <w:t xml:space="preserve"> leido naudoti minėtus tankų užtaisus dar kariškiams išvykstant iš Šiaurės miestelio. Byloje neginčijamai nustatyti prie LRT atvažiavusių tankų civiliams asmenims padaryti sužalojimai, kurie buvo padaryti bendroje kariškių operacijoje, kurioje </w:t>
      </w:r>
      <w:r>
        <w:rPr>
          <w:color w:val="000000"/>
          <w:szCs w:val="24"/>
          <w:lang w:eastAsia="lt-LT" w:bidi="lt-LT"/>
        </w:rPr>
        <w:t>V. U. 1</w:t>
      </w:r>
      <w:r w:rsidRPr="00C00255">
        <w:rPr>
          <w:color w:val="000000"/>
          <w:szCs w:val="24"/>
          <w:lang w:eastAsia="lt-LT" w:bidi="lt-LT"/>
        </w:rPr>
        <w:t xml:space="preserve"> iš štabo vadovaujamiems ir koordinuojamiems tankams buvo skirtas itin svarbus vaidmuo, be kita ko, ir atlaisvinti kelią kitiems operacijoje dalyvavusiems kariškiams, kurių veiksmai civilių atžvilgiu buvo ne mažiau brutalūs ir pavojingi.</w:t>
      </w:r>
      <w:r w:rsidRPr="00C00255">
        <w:rPr>
          <w:szCs w:val="24"/>
        </w:rPr>
        <w:t xml:space="preserve"> Atsižvelgiant į visa tai, teisėjų kolegija nuteistojo </w:t>
      </w:r>
      <w:r>
        <w:rPr>
          <w:szCs w:val="24"/>
        </w:rPr>
        <w:t>V. U. 1</w:t>
      </w:r>
      <w:r w:rsidRPr="00C00255">
        <w:rPr>
          <w:szCs w:val="24"/>
        </w:rPr>
        <w:t xml:space="preserve"> gynėjo argumentus vertina kaip siekį bet kokiu būdu, niekuo nepagrįstomis prielaidomis ir selektyviai atrinktais duomenimis, minimizuoti savo ginamojo veiksmus ir taip sušvelninti </w:t>
      </w:r>
      <w:r>
        <w:rPr>
          <w:szCs w:val="24"/>
        </w:rPr>
        <w:t>V. U. 1</w:t>
      </w:r>
      <w:r w:rsidRPr="00C00255">
        <w:rPr>
          <w:szCs w:val="24"/>
        </w:rPr>
        <w:t xml:space="preserve"> teisinę padėtį. </w:t>
      </w:r>
    </w:p>
    <w:p w:rsidR="00DA38E9" w:rsidRPr="00C00255" w:rsidRDefault="00DA38E9" w:rsidP="00DA38E9">
      <w:pPr>
        <w:pStyle w:val="Heading4"/>
        <w:spacing w:before="120" w:after="120"/>
        <w:ind w:left="993"/>
        <w:rPr>
          <w:rFonts w:ascii="Times New Roman" w:hAnsi="Times New Roman"/>
          <w:b w:val="0"/>
          <w:i/>
          <w:sz w:val="24"/>
          <w:szCs w:val="24"/>
        </w:rPr>
      </w:pPr>
      <w:bookmarkStart w:id="590" w:name="_Toc66697284"/>
      <w:r w:rsidRPr="00C00255">
        <w:rPr>
          <w:rFonts w:ascii="Times New Roman" w:hAnsi="Times New Roman"/>
          <w:b w:val="0"/>
          <w:i/>
          <w:sz w:val="24"/>
          <w:szCs w:val="24"/>
        </w:rPr>
        <w:t xml:space="preserve">Dėl nuteistojo </w:t>
      </w:r>
      <w:r>
        <w:rPr>
          <w:rFonts w:ascii="Times New Roman" w:hAnsi="Times New Roman"/>
          <w:b w:val="0"/>
          <w:i/>
          <w:sz w:val="24"/>
          <w:szCs w:val="24"/>
        </w:rPr>
        <w:t>N. A.</w:t>
      </w:r>
      <w:r w:rsidRPr="00C00255">
        <w:rPr>
          <w:rFonts w:ascii="Times New Roman" w:hAnsi="Times New Roman"/>
          <w:b w:val="0"/>
          <w:i/>
          <w:sz w:val="24"/>
          <w:szCs w:val="24"/>
        </w:rPr>
        <w:t xml:space="preserve"> dalyvavimo užimant LRT</w:t>
      </w:r>
      <w:bookmarkEnd w:id="590"/>
    </w:p>
    <w:p w:rsidR="002125AE" w:rsidRPr="00055544" w:rsidRDefault="00DA38E9" w:rsidP="002125AE">
      <w:pPr>
        <w:pStyle w:val="ListParagraph"/>
        <w:numPr>
          <w:ilvl w:val="0"/>
          <w:numId w:val="6"/>
        </w:numPr>
        <w:spacing w:before="120" w:after="120"/>
        <w:ind w:left="992" w:hanging="992"/>
        <w:contextualSpacing w:val="0"/>
        <w:rPr>
          <w:color w:val="000000"/>
          <w:szCs w:val="24"/>
          <w:lang w:eastAsia="lt-LT" w:bidi="lt-LT"/>
        </w:rPr>
      </w:pPr>
      <w:r w:rsidRPr="00055544">
        <w:rPr>
          <w:szCs w:val="24"/>
          <w:lang w:eastAsia="lt-LT"/>
        </w:rPr>
        <w:t>Pažymėtina, kad pirmosios instancijos teismo nuosprendžio dalyje „</w:t>
      </w:r>
      <w:r w:rsidRPr="00055544">
        <w:rPr>
          <w:i/>
          <w:szCs w:val="24"/>
          <w:lang w:eastAsia="lt-LT"/>
        </w:rPr>
        <w:t>Radijo ir televizijos komiteto (LRT) užgrobimas</w:t>
      </w:r>
      <w:r w:rsidRPr="00055544">
        <w:rPr>
          <w:szCs w:val="24"/>
          <w:lang w:eastAsia="lt-LT"/>
        </w:rPr>
        <w:t>“ įrodytomis pripažintose aplinkybėse nuteistasis N. A. ir jo veiksmai prie LRT nėra nurodomi (nuosprendžio 514–520 l.). Visgi teisėjų kolegija pabrėžia, kad nuosprendžio nustatomojoje dalyje aprašant įrodytomis pripažintas aplinkybes skundžiamo nuosprendžio dalyje „</w:t>
      </w:r>
      <w:r w:rsidRPr="00055544">
        <w:rPr>
          <w:i/>
          <w:iCs/>
          <w:szCs w:val="24"/>
          <w:lang w:eastAsia="lt-LT"/>
        </w:rPr>
        <w:t>Nusikalstamų veiksmų prieš Lietuvos valstybę rengimas, karinės operacijos planavimas</w:t>
      </w:r>
      <w:r w:rsidRPr="00055544">
        <w:rPr>
          <w:szCs w:val="24"/>
          <w:lang w:eastAsia="lt-LT"/>
        </w:rPr>
        <w:t>“ nurodyta, kad „</w:t>
      </w:r>
      <w:r w:rsidRPr="00055544">
        <w:rPr>
          <w:rFonts w:eastAsia="Calibri"/>
          <w:szCs w:val="24"/>
        </w:rPr>
        <w:t xml:space="preserve">kaltinamasis D. J., pasinaudodamas užimamomis pareigomis, įsakymus bei nurodymus dėl karinės operacijos Lietuvoje vykdymo ir vadovavimo jai davė ir TSRS GM Sausumos pajėgų Pabaltijo karinės apygardos vado pavaduotojui V. O. &lt;...&gt;, kuris nurodymus dėl karinės operacijos vykdymo perdavė jo pavaldume buvusiam TSRS GM Sausumos pajėgų Pabaltijo karinės apygardos 107-osios motorizuotų šaulių divizijos vadui V. U. 1. Vykdydamas motorizuotų šaulių divizijos vado nurodymus, kaltinamasis </w:t>
      </w:r>
      <w:r w:rsidRPr="00055544">
        <w:rPr>
          <w:rFonts w:eastAsia="Calibri"/>
          <w:iCs/>
          <w:szCs w:val="24"/>
        </w:rPr>
        <w:t xml:space="preserve">V. U. 1 nurodymus dėl tiesioginio dalyvavimo karinėje operacijoje ir </w:t>
      </w:r>
      <w:bookmarkStart w:id="591" w:name="_Hlk64838840"/>
      <w:r w:rsidRPr="00055544">
        <w:rPr>
          <w:rFonts w:eastAsia="Calibri"/>
          <w:iCs/>
          <w:szCs w:val="24"/>
        </w:rPr>
        <w:t xml:space="preserve">vadovavimo jai bei dėl šturmo veiksmų koordinavimo </w:t>
      </w:r>
      <w:bookmarkEnd w:id="591"/>
      <w:r w:rsidRPr="00055544">
        <w:rPr>
          <w:rFonts w:eastAsia="Calibri"/>
          <w:iCs/>
          <w:szCs w:val="24"/>
        </w:rPr>
        <w:t>perdavė pavaldumo tvarka paklūstantiems kariškiams: 106-ojo tankų pulko vadui N. A.</w:t>
      </w:r>
      <w:r w:rsidRPr="00055544">
        <w:rPr>
          <w:rFonts w:eastAsia="Calibri"/>
          <w:i/>
          <w:szCs w:val="24"/>
        </w:rPr>
        <w:t>,</w:t>
      </w:r>
      <w:r w:rsidRPr="00055544">
        <w:rPr>
          <w:rFonts w:eastAsia="Calibri"/>
          <w:szCs w:val="24"/>
        </w:rPr>
        <w:t xml:space="preserve"> &lt;..&gt;“ </w:t>
      </w:r>
      <w:r w:rsidRPr="00055544">
        <w:rPr>
          <w:szCs w:val="24"/>
          <w:lang w:eastAsia="lt-LT"/>
        </w:rPr>
        <w:t xml:space="preserve">(nuosprendžio 10–15 l.). Kaip minėta, teisėjų kolegija šių faktinių aplinkybių teisingumu neabejoja. Atitinkamai šiame sprendime teisėjų kolegija jau ne kartą minėjo, kad </w:t>
      </w:r>
      <w:r w:rsidRPr="00055544">
        <w:rPr>
          <w:rFonts w:eastAsia="Calibri"/>
        </w:rPr>
        <w:t xml:space="preserve">būtent N. A., </w:t>
      </w:r>
      <w:r w:rsidRPr="00055544">
        <w:rPr>
          <w:rFonts w:eastAsia="Calibri"/>
          <w:szCs w:val="24"/>
        </w:rPr>
        <w:t xml:space="preserve">vykdydamas vadovavimo karinei operacijai štabo ir savo tiesioginio vado V. U. 1 įsakymą, paskyrė tankų ekipažų, dalyvavusių 1991 m. sausio mėn. įvykiuose, įgulas. Taigi vien jau šios aplinkybės patvirtina N. A. vaidmenį jo paskirtoms tankų įguloms dalyvaujant LRT užėmime. </w:t>
      </w:r>
      <w:r w:rsidRPr="00055544">
        <w:rPr>
          <w:szCs w:val="24"/>
          <w:lang w:eastAsia="lt-LT"/>
        </w:rPr>
        <w:t xml:space="preserve">Be to, </w:t>
      </w:r>
      <w:r w:rsidRPr="00055544">
        <w:rPr>
          <w:rFonts w:eastAsia="Calibri"/>
          <w:szCs w:val="24"/>
        </w:rPr>
        <w:t>išvados apie N. A. vaidmenį užimant LRT pastatus yra nurodytos nuosprendžio motyvuojamojoje dalyje</w:t>
      </w:r>
      <w:r w:rsidRPr="00055544">
        <w:rPr>
          <w:szCs w:val="24"/>
          <w:lang w:eastAsia="lt-LT"/>
        </w:rPr>
        <w:t>. Konstatuota, kad „</w:t>
      </w:r>
      <w:r w:rsidRPr="00055544">
        <w:rPr>
          <w:szCs w:val="24"/>
        </w:rPr>
        <w:t>N. A. paskyrė jungtinių tankų ekipažų narius ir vadovavo tankų ekipažams Spaudos rūmų, TV bokšto ir RTV Komiteto (LRT) užgrobimo metu“ (</w:t>
      </w:r>
      <w:r w:rsidRPr="00055544">
        <w:rPr>
          <w:lang w:eastAsia="lt-LT"/>
        </w:rPr>
        <w:t>nuosprendžio 874 l., t. 773, b. l. 74) ir, jog „</w:t>
      </w:r>
      <w:r w:rsidRPr="00055544">
        <w:rPr>
          <w:szCs w:val="24"/>
        </w:rPr>
        <w:t xml:space="preserve">jis karinės operacijos vykdymui sudarė jungtinius tankų ekipažus ir vadovavo jiems Spaudos rūmų, TV bokšto ir RTV (LRT) šturmo metu“ </w:t>
      </w:r>
      <w:r w:rsidRPr="00055544">
        <w:rPr>
          <w:rFonts w:eastAsia="Calibri"/>
          <w:szCs w:val="24"/>
        </w:rPr>
        <w:t xml:space="preserve">(nuosprendžio 885–886 l., t. 773, b. l. 85–86). </w:t>
      </w:r>
    </w:p>
    <w:p w:rsidR="002125AE" w:rsidRPr="00055544" w:rsidRDefault="00DA38E9" w:rsidP="002125AE">
      <w:pPr>
        <w:pStyle w:val="ListParagraph"/>
        <w:numPr>
          <w:ilvl w:val="0"/>
          <w:numId w:val="6"/>
        </w:numPr>
        <w:spacing w:before="120" w:after="120"/>
        <w:ind w:left="992" w:hanging="992"/>
        <w:contextualSpacing w:val="0"/>
        <w:rPr>
          <w:color w:val="000000"/>
          <w:szCs w:val="24"/>
          <w:lang w:eastAsia="lt-LT" w:bidi="lt-LT"/>
        </w:rPr>
      </w:pPr>
      <w:r w:rsidRPr="00055544">
        <w:rPr>
          <w:rFonts w:eastAsia="Calibri"/>
          <w:szCs w:val="24"/>
        </w:rPr>
        <w:t>Teisėjų kolegijos vertinimu,</w:t>
      </w:r>
      <w:r w:rsidRPr="00055544">
        <w:rPr>
          <w:rFonts w:eastAsia="Calibri"/>
        </w:rPr>
        <w:t xml:space="preserve"> byloje esantys įrodymai leidžia daryti abejonių nekeliančias išvadas apie tai, kad N. A., </w:t>
      </w:r>
      <w:r w:rsidRPr="00055544">
        <w:rPr>
          <w:rFonts w:eastAsia="Calibri"/>
          <w:szCs w:val="24"/>
        </w:rPr>
        <w:t xml:space="preserve">vykdydamas vadovavimo karinei operacijai štabo ir savo tiesioginio vado V. U. 1 įsakymą, paskyrė jungtinių tankų ekipažų narius ir kad būtent jo nurodymu, vadovaujami V. P., prie LRT atvyko trys divizijos tankai (Nr. 559, Nr. 571 ir Nr. 574), kurių vaidmuo užimant LRT pastatus jau aptartas, todėl šioje sprendimo dalyje plačiau neanalizuojamas. Nei pats N. A., nei jo gynėjai pirmosios instancijos teismo išvadų neskundžia, todėl jo vaidmenį </w:t>
      </w:r>
      <w:r w:rsidRPr="00055544">
        <w:rPr>
          <w:szCs w:val="24"/>
          <w:lang w:eastAsia="lt-LT" w:bidi="lt-LT"/>
        </w:rPr>
        <w:t>patvirtinantys įrodymai aptartini tik tiek, kiek tai būtina, siekiant atskleisti bylos aplinkybes apie nuteistojo N. A. vaidmenį užimant LRT.</w:t>
      </w:r>
    </w:p>
    <w:p w:rsidR="002125AE" w:rsidRPr="00055544" w:rsidRDefault="00DA38E9" w:rsidP="002125AE">
      <w:pPr>
        <w:pStyle w:val="ListParagraph"/>
        <w:numPr>
          <w:ilvl w:val="0"/>
          <w:numId w:val="6"/>
        </w:numPr>
        <w:spacing w:before="120" w:after="120"/>
        <w:ind w:left="992" w:hanging="992"/>
        <w:contextualSpacing w:val="0"/>
        <w:rPr>
          <w:color w:val="000000"/>
          <w:szCs w:val="24"/>
          <w:lang w:eastAsia="lt-LT" w:bidi="lt-LT"/>
        </w:rPr>
      </w:pPr>
      <w:r w:rsidRPr="00055544">
        <w:t>Teisėjų kolegija šiame sprendime aptardama tiek karinės operacijos planavimo, tiek atskirų tankų įgulų sudėties sudarymo aplinkybes jau minėjo du – 1991 m. sausio 2 d. ir sausio 9 d. – įsakymus, kuriais N. A., kaip tankų pulko vadas, nurodė paruošti kovinei parengčiai vėliau ir prie LRT atvykusius tankus bei sudarė šių tankų įgulas</w:t>
      </w:r>
      <w:r w:rsidRPr="00055544">
        <w:rPr>
          <w:szCs w:val="24"/>
          <w:lang w:eastAsia="lt-LT"/>
        </w:rPr>
        <w:t xml:space="preserve"> </w:t>
      </w:r>
      <w:r w:rsidRPr="00055544">
        <w:t>(t. 440, b. l. 17–19; t. 127, b. l. 10–13).</w:t>
      </w:r>
      <w:r w:rsidRPr="00055544">
        <w:rPr>
          <w:szCs w:val="24"/>
          <w:lang w:eastAsia="lt-LT"/>
        </w:rPr>
        <w:t xml:space="preserve"> </w:t>
      </w:r>
    </w:p>
    <w:p w:rsidR="002125AE" w:rsidRPr="002125AE" w:rsidRDefault="00DA38E9" w:rsidP="002125AE">
      <w:pPr>
        <w:pStyle w:val="ListParagraph"/>
        <w:numPr>
          <w:ilvl w:val="0"/>
          <w:numId w:val="6"/>
        </w:numPr>
        <w:spacing w:before="120" w:after="120"/>
        <w:ind w:left="992" w:hanging="992"/>
        <w:contextualSpacing w:val="0"/>
        <w:rPr>
          <w:color w:val="000000"/>
          <w:szCs w:val="24"/>
          <w:lang w:eastAsia="lt-LT" w:bidi="lt-LT"/>
        </w:rPr>
      </w:pPr>
      <w:r w:rsidRPr="002125AE">
        <w:rPr>
          <w:szCs w:val="24"/>
          <w:lang w:eastAsia="lt-LT"/>
        </w:rPr>
        <w:t>Apygardos teismo išvadas dėl N. A. vadovavimo tankams</w:t>
      </w:r>
      <w:r w:rsidRPr="002125AE">
        <w:rPr>
          <w:rFonts w:eastAsia="Calibri"/>
          <w:szCs w:val="24"/>
        </w:rPr>
        <w:t xml:space="preserve"> </w:t>
      </w:r>
      <w:r w:rsidRPr="002125AE">
        <w:rPr>
          <w:szCs w:val="24"/>
          <w:lang w:eastAsia="lt-LT"/>
        </w:rPr>
        <w:t xml:space="preserve">bei dėl šturmo veiksmų koordinavimo </w:t>
      </w:r>
      <w:r w:rsidRPr="002125AE">
        <w:rPr>
          <w:rFonts w:eastAsia="Calibri"/>
          <w:szCs w:val="24"/>
        </w:rPr>
        <w:t xml:space="preserve">prie LRT patvirtina ir teisiamajame posėdyje apklausti liudytojai, kurių parodymais nėra pagrindo netikėti. </w:t>
      </w:r>
    </w:p>
    <w:p w:rsidR="002125AE" w:rsidRPr="002125AE" w:rsidRDefault="00DA38E9" w:rsidP="002125AE">
      <w:pPr>
        <w:pStyle w:val="ListParagraph"/>
        <w:numPr>
          <w:ilvl w:val="1"/>
          <w:numId w:val="6"/>
        </w:numPr>
        <w:spacing w:before="120" w:after="120"/>
        <w:ind w:left="992" w:hanging="992"/>
        <w:contextualSpacing w:val="0"/>
        <w:rPr>
          <w:color w:val="000000"/>
          <w:szCs w:val="24"/>
          <w:lang w:eastAsia="lt-LT" w:bidi="lt-LT"/>
        </w:rPr>
      </w:pPr>
      <w:r w:rsidRPr="002125AE">
        <w:rPr>
          <w:rFonts w:eastAsia="Calibri"/>
          <w:szCs w:val="24"/>
        </w:rPr>
        <w:t xml:space="preserve">Antai, liudytojas, </w:t>
      </w:r>
      <w:r w:rsidRPr="002125AE">
        <w:rPr>
          <w:szCs w:val="24"/>
          <w:lang w:eastAsia="lt-LT"/>
        </w:rPr>
        <w:t>tanko Nr. 559, kuris dalyvavo įvykiuose prie LRT, vairuotojas A. R. tankų pulko vadu įvardijo būtent N. A.. Liudytojas, be kita ko, nurodė, kad po incidento naktį pats N. A. vieną kartą buvo atvykęs pas juos, atvežė valgyti bei kalbėjosi su jų vadais (t. </w:t>
      </w:r>
      <w:r w:rsidRPr="00C00255">
        <w:t xml:space="preserve">757, b. l. 102–107). Ikiteisminio tyrimo metu </w:t>
      </w:r>
      <w:r>
        <w:t>A. R.</w:t>
      </w:r>
      <w:r w:rsidRPr="00C00255">
        <w:t xml:space="preserve"> nurodė (parodymai perskaityti teisiamajame posėdyje ir liudytojui užduoti klausimai), kad dar 1991 m sausio 11 d. Vilniuje rikiuotės metu </w:t>
      </w:r>
      <w:r>
        <w:t>N. A.</w:t>
      </w:r>
      <w:r w:rsidRPr="00C00255">
        <w:t xml:space="preserve"> pranešė jungtinius tankų įgulų sąrašus. Kapitonas </w:t>
      </w:r>
      <w:r>
        <w:t>J. O.</w:t>
      </w:r>
      <w:r w:rsidRPr="00C00255">
        <w:t xml:space="preserve"> jam vėliau paaiškino, kad įgulos suformuotos tam, kad prireikus galėtų išvažiuoti į miestą ginti karinius objektus (t. 440, b. l. 98–99; t. 127, b. l. 142–149). </w:t>
      </w:r>
    </w:p>
    <w:p w:rsidR="002125AE" w:rsidRPr="002125AE" w:rsidRDefault="00DA38E9" w:rsidP="002125AE">
      <w:pPr>
        <w:pStyle w:val="ListParagraph"/>
        <w:numPr>
          <w:ilvl w:val="1"/>
          <w:numId w:val="6"/>
        </w:numPr>
        <w:spacing w:before="120" w:after="120"/>
        <w:ind w:left="992" w:hanging="992"/>
        <w:contextualSpacing w:val="0"/>
        <w:rPr>
          <w:color w:val="000000"/>
          <w:szCs w:val="24"/>
          <w:lang w:eastAsia="lt-LT" w:bidi="lt-LT"/>
        </w:rPr>
      </w:pPr>
      <w:r w:rsidRPr="002125AE">
        <w:rPr>
          <w:rFonts w:eastAsia="Calibri"/>
          <w:szCs w:val="24"/>
        </w:rPr>
        <w:t>Liudytojas A. Š., įvykių metu tarnavęs Vilniuje dislokuoto tankų pulko ryšių kuopoje, nurodė, kad sausio 12-osios vakare Šiaurės miestelyje tankų pulko vadas N. A. pravedė rikiuotę, kurios metu pradėjo vardinti karininkus, liudytojo supratimu, tankų vadus, kurie turėjo eiti ir sėsti į tankus. Liudytojas neprisimena, ar buvo aiškinama, kas ir kur turės važiuoti, tačiau prisimena, kad buvo pašauktas kapitonas J. O., o ekipažų sudėtyje buvo ir eilinių – tarp jų ir A. R.. Be to, A. Š. nurodė, kad dar prieš minėtą rikiuotę, jis gavo užduotį suderinti ryšį tarp pulko vado N. A. nešiojamos radijo stoties ir 7 ar 8 tankų. Operacijos metu ryšį tarp tankų pulko vado ir kitų tankų liudytojas galėjo girdėti (</w:t>
      </w:r>
      <w:r w:rsidRPr="002125AE">
        <w:rPr>
          <w:szCs w:val="24"/>
        </w:rPr>
        <w:t xml:space="preserve">t. 757, b. l. 145–149). </w:t>
      </w:r>
    </w:p>
    <w:p w:rsidR="002125AE" w:rsidRPr="002125AE" w:rsidRDefault="00DA38E9" w:rsidP="002125AE">
      <w:pPr>
        <w:pStyle w:val="ListParagraph"/>
        <w:numPr>
          <w:ilvl w:val="1"/>
          <w:numId w:val="6"/>
        </w:numPr>
        <w:spacing w:before="120" w:after="120"/>
        <w:ind w:left="992" w:hanging="992"/>
        <w:contextualSpacing w:val="0"/>
        <w:rPr>
          <w:color w:val="000000"/>
          <w:szCs w:val="24"/>
          <w:lang w:eastAsia="lt-LT" w:bidi="lt-LT"/>
        </w:rPr>
      </w:pPr>
      <w:r w:rsidRPr="002125AE">
        <w:rPr>
          <w:szCs w:val="24"/>
        </w:rPr>
        <w:t xml:space="preserve">Taigi minėti parodymai patvirtina, kad 106-ojo tankų pulko kariškiai, dalyvavę užimant LRT pastatus, prie LRT vyko būtent tankų pulko vado N. A. nurodymu, o sausio 13-osios naktį pulko vadas turėjo bei palaikė ryšį su visais savo dalinio tankais. </w:t>
      </w:r>
    </w:p>
    <w:p w:rsidR="002125AE" w:rsidRPr="002125AE" w:rsidRDefault="00DA38E9" w:rsidP="002125AE">
      <w:pPr>
        <w:pStyle w:val="ListParagraph"/>
        <w:numPr>
          <w:ilvl w:val="0"/>
          <w:numId w:val="6"/>
        </w:numPr>
        <w:spacing w:before="120" w:after="120"/>
        <w:ind w:left="992" w:hanging="992"/>
        <w:contextualSpacing w:val="0"/>
        <w:rPr>
          <w:color w:val="000000"/>
          <w:szCs w:val="24"/>
          <w:lang w:eastAsia="lt-LT" w:bidi="lt-LT"/>
        </w:rPr>
      </w:pPr>
      <w:r w:rsidRPr="002125AE">
        <w:rPr>
          <w:szCs w:val="24"/>
        </w:rPr>
        <w:t xml:space="preserve">Be to, N. A. dalyvavimą užimant LRT taip pat patvirtina jo interviu, atspausdintas laikraštyje, kuriame jis aiškiai pripažįsta savo vadovaujamą vaidmenį ten išvykusiems tankams („mano tankai“; „keturi tankai nuvažiavo prie televizijos bokšto, trys – prie radijo centro“, „prieš išvažiuojant įsakiau nuimti visus šviesos filtrus“ &lt;....&gt; ir kt. (t. 456, b. l. 14–15; </w:t>
      </w:r>
      <w:r w:rsidRPr="00C00255">
        <w:t>t. 190, b. l. 17)). Šiame interviu nurodytos aplinkybės atitinka skundžiamame nuosprendyje konstatuotas aplinkybes dėl prie LRT atvažiavusių tankų skaičiaus.</w:t>
      </w:r>
    </w:p>
    <w:p w:rsidR="002125AE" w:rsidRPr="00055544" w:rsidRDefault="00DA38E9" w:rsidP="002125AE">
      <w:pPr>
        <w:pStyle w:val="ListParagraph"/>
        <w:numPr>
          <w:ilvl w:val="0"/>
          <w:numId w:val="6"/>
        </w:numPr>
        <w:spacing w:before="120" w:after="120"/>
        <w:ind w:left="992" w:hanging="992"/>
        <w:contextualSpacing w:val="0"/>
        <w:rPr>
          <w:color w:val="000000"/>
          <w:szCs w:val="24"/>
          <w:lang w:eastAsia="lt-LT" w:bidi="lt-LT"/>
        </w:rPr>
      </w:pPr>
      <w:r w:rsidRPr="00055544">
        <w:rPr>
          <w:rFonts w:eastAsia="Calibri"/>
        </w:rPr>
        <w:t>Iš bylos medžiagos matyti ir tai, kad TSRS GM 107-osios motorizuotų šaulių divizijos 106-ojo tankų pulko vadas N. A. radijo ryšiu vadovavo prie LRT veikusiems kariškiams bei koordinavo jų veiksmus. Apie tai, teisėjų kolegija sprendžia ne tik iš karinės operacijos planavimo ir kariuomenės veikimo principų, apie kuriuos byloje nurodė specialistas J. Andriškevičius, faktinių operacijos eigos aplinkybių, bet ir iš užfiksuotų TSRS GM 107-osios divizijos kariškių pokalbių radijo ryšiu sausio 13-osios naktį bei fakto, kad N. A. tą naktį turėjo ryšį su kiekvienu 106-ojo tankų pulko tanku. Nekartodama jau ne kartą aptartų aplinkybių, teisėjų kolegija pažymi, kad radijo ryšio veikimą ir naudojimą operacijos metu</w:t>
      </w:r>
      <w:r w:rsidRPr="00055544">
        <w:t xml:space="preserve"> patvirtina ir jau aptariant TV bokšto užėmimo aplinkybes analizuoti įrodymai apie kariškių ir tankų naudotus šaukinius, iš kurių matyti, kad 1991 m. sausio 13-osios naktį N. A., naudojęs šaukinį „Bronia-02“ ir V. U. 1, naudojęs šaukinį „Zenit-22“, operacijos metu nuolat bendravo tiek tarpusavyje, tiek su kitų tankų ekipažais, taip koordinuodami tankų ekipažų veiksmus, jiems dalyvaujant ir LRT užėmime. </w:t>
      </w:r>
    </w:p>
    <w:p w:rsidR="00DA38E9" w:rsidRPr="00C00255" w:rsidRDefault="00DA38E9" w:rsidP="00DA38E9">
      <w:pPr>
        <w:pStyle w:val="Heading3"/>
        <w:spacing w:before="120" w:after="120" w:line="259" w:lineRule="auto"/>
        <w:ind w:left="992"/>
        <w:jc w:val="both"/>
        <w:rPr>
          <w:b w:val="0"/>
          <w:i/>
          <w:sz w:val="24"/>
          <w:szCs w:val="24"/>
          <w:lang w:val="lt-LT"/>
        </w:rPr>
      </w:pPr>
      <w:bookmarkStart w:id="592" w:name="_Toc66697285"/>
      <w:bookmarkStart w:id="593" w:name="_Toc67480789"/>
      <w:bookmarkStart w:id="594" w:name="_Toc67677401"/>
      <w:bookmarkStart w:id="595" w:name="_Toc67985529"/>
      <w:r w:rsidRPr="00C00255">
        <w:rPr>
          <w:b w:val="0"/>
          <w:i/>
          <w:sz w:val="24"/>
          <w:szCs w:val="24"/>
          <w:lang w:val="lt-LT"/>
        </w:rPr>
        <w:t>Dėl TSRS GM 76-osios oro desanto divizijos kariškių ir joje tarnavusių nuteistųjų dalyvavimo užimant</w:t>
      </w:r>
      <w:r w:rsidRPr="00C00255" w:rsidDel="00F20A8F">
        <w:rPr>
          <w:b w:val="0"/>
          <w:i/>
          <w:sz w:val="24"/>
          <w:szCs w:val="24"/>
          <w:lang w:val="lt-LT"/>
        </w:rPr>
        <w:t xml:space="preserve"> </w:t>
      </w:r>
      <w:r w:rsidRPr="00C00255">
        <w:rPr>
          <w:b w:val="0"/>
          <w:i/>
          <w:sz w:val="24"/>
          <w:szCs w:val="24"/>
          <w:lang w:val="lt-LT"/>
        </w:rPr>
        <w:t>LRT</w:t>
      </w:r>
      <w:bookmarkEnd w:id="592"/>
      <w:bookmarkEnd w:id="593"/>
      <w:bookmarkEnd w:id="594"/>
      <w:bookmarkEnd w:id="595"/>
    </w:p>
    <w:p w:rsidR="00DA38E9" w:rsidRPr="00055544" w:rsidRDefault="00DA38E9" w:rsidP="00DA38E9">
      <w:pPr>
        <w:pStyle w:val="ListParagraph"/>
        <w:numPr>
          <w:ilvl w:val="0"/>
          <w:numId w:val="6"/>
        </w:numPr>
        <w:spacing w:after="120"/>
        <w:ind w:left="992" w:hanging="992"/>
        <w:contextualSpacing w:val="0"/>
      </w:pPr>
      <w:r w:rsidRPr="00055544">
        <w:t xml:space="preserve">Skundžiamo nuosprendžio nustatomojoje dalyje konstatuota, kad užimant LRT pastatus tiesiogiai </w:t>
      </w:r>
      <w:r w:rsidRPr="00055544">
        <w:rPr>
          <w:rFonts w:eastAsia="Calibri"/>
        </w:rPr>
        <w:t>dalyvavo ir</w:t>
      </w:r>
      <w:r w:rsidRPr="00055544">
        <w:t xml:space="preserve"> šie nuteistieji iš TSRS GM </w:t>
      </w:r>
      <w:r w:rsidRPr="00055544">
        <w:rPr>
          <w:rFonts w:eastAsia="Calibri"/>
        </w:rPr>
        <w:t xml:space="preserve">76-osios oro desanto divizijos: S. P., G. G., J. G., I. Š., A. F. 1, K. U., A. F. 2, J. J., A. I., S. M., V. S. 3, A. N. 2 , A. S., A. C., B. S., S. G., V. G., R. J. 2. Jų veiksmus iš vadovavimo štabo Šiaurės miestelyje koordinavo </w:t>
      </w:r>
      <w:r w:rsidRPr="00055544">
        <w:t xml:space="preserve">TSRS GM </w:t>
      </w:r>
      <w:r w:rsidRPr="00055544">
        <w:rPr>
          <w:rFonts w:eastAsia="Calibri"/>
        </w:rPr>
        <w:t>76-osios oro desanto divizijos vado pavaduotojas nuteistasis V. K. 1 (</w:t>
      </w:r>
      <w:r w:rsidRPr="00055544">
        <w:t>žr. </w:t>
      </w:r>
      <w:r w:rsidRPr="00055544">
        <w:rPr>
          <w:rFonts w:eastAsia="Calibri"/>
        </w:rPr>
        <w:t>nuosprendžio 514–520 l.; t. 771, b. l. 114–120).</w:t>
      </w:r>
    </w:p>
    <w:p w:rsidR="00DA38E9" w:rsidRPr="00C00255" w:rsidRDefault="00DA38E9" w:rsidP="00DA38E9">
      <w:pPr>
        <w:pStyle w:val="ListParagraph"/>
        <w:numPr>
          <w:ilvl w:val="0"/>
          <w:numId w:val="6"/>
        </w:numPr>
        <w:spacing w:after="120"/>
        <w:ind w:left="992" w:hanging="992"/>
        <w:contextualSpacing w:val="0"/>
        <w:rPr>
          <w:szCs w:val="24"/>
          <w:lang w:eastAsia="lt-LT" w:bidi="lt-LT"/>
        </w:rPr>
      </w:pPr>
      <w:r w:rsidRPr="00C00255">
        <w:rPr>
          <w:lang w:eastAsia="lt-LT"/>
        </w:rPr>
        <w:t xml:space="preserve">Pirmosios instancijos teismas, išnagrinėjęs baudžiamąją bylą, konstatavo tokias su </w:t>
      </w:r>
      <w:r w:rsidRPr="00C00255">
        <w:rPr>
          <w:szCs w:val="24"/>
        </w:rPr>
        <w:t>TSRS </w:t>
      </w:r>
      <w:r w:rsidRPr="00C00255">
        <w:rPr>
          <w:color w:val="000000"/>
        </w:rPr>
        <w:t xml:space="preserve">GM </w:t>
      </w:r>
      <w:r w:rsidRPr="00C00255">
        <w:rPr>
          <w:rFonts w:eastAsia="Calibri"/>
        </w:rPr>
        <w:t xml:space="preserve">76-ajai oro desanto </w:t>
      </w:r>
      <w:r w:rsidRPr="00C00255">
        <w:t>divizijai priklausiusių kariškių dalyvavimu užimant LRT pastatus susijusias aplinkybes</w:t>
      </w:r>
      <w:r w:rsidRPr="00C00255">
        <w:rPr>
          <w:lang w:eastAsia="lt-LT"/>
        </w:rPr>
        <w:t>:</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 xml:space="preserve">LRT šturme dalyvaujančių karinių padalinių veiksmų koordinavimas ir vadovavimas šiems padaliniams buvo pavestas 76-osios oro desanto divizijos 234-ojo pulko žvalgybos viršininkui </w:t>
      </w:r>
      <w:r>
        <w:rPr>
          <w:szCs w:val="24"/>
          <w:lang w:eastAsia="lt-LT" w:bidi="lt-LT"/>
        </w:rPr>
        <w:t>S. P.</w:t>
      </w:r>
      <w:r w:rsidRPr="00C00255">
        <w:rPr>
          <w:szCs w:val="24"/>
          <w:lang w:eastAsia="lt-LT" w:bidi="lt-LT"/>
        </w:rPr>
        <w:t xml:space="preserve">, kuris savo veiksmus ryšio priemonėmis tiesiogiai derino su 76-osios oro desanto divizijos vado pavaduotoju </w:t>
      </w:r>
      <w:r>
        <w:rPr>
          <w:szCs w:val="24"/>
          <w:lang w:eastAsia="lt-LT" w:bidi="lt-LT"/>
        </w:rPr>
        <w:t>V. K. 1</w:t>
      </w:r>
      <w:r w:rsidRPr="00C00255">
        <w:rPr>
          <w:szCs w:val="24"/>
          <w:lang w:eastAsia="lt-LT" w:bidi="lt-LT"/>
        </w:rPr>
        <w:t xml:space="preserve">, esančiu vadovavimo štabe. Atsakingu už šios operacijos įvykdymą buvo paskirtas 234-ojo pulko štabo viršininkas </w:t>
      </w:r>
      <w:r>
        <w:rPr>
          <w:szCs w:val="24"/>
          <w:lang w:eastAsia="lt-LT" w:bidi="lt-LT"/>
        </w:rPr>
        <w:t>G. G.</w:t>
      </w:r>
      <w:r w:rsidRPr="00C00255">
        <w:rPr>
          <w:szCs w:val="24"/>
          <w:lang w:eastAsia="lt-LT" w:bidi="lt-LT"/>
        </w:rPr>
        <w:t xml:space="preserve"> &lt;...&gt;.</w:t>
      </w:r>
      <w:r w:rsidRPr="00C00255">
        <w:t xml:space="preserve"> </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&lt;...&gt; LRT šturme dalyvavo maždaug šimtas trisdešimt aštuoni (138) kariškiai iš 76-osios oro desanto divizijos jungtinio karinio vieneto. &lt;....&gt;</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 xml:space="preserve">&lt;...&gt; Įgyvendinant pavestas užduotis, sausio 13 d., apie 2 val., prie LRT, esančios Konarskio g. 49, Vilniuje, pirmi atvyko 25-i grupės „A“ kariškiai, vadovaujami kaltinamojo </w:t>
      </w:r>
      <w:r>
        <w:t>M. G.</w:t>
      </w:r>
      <w:r w:rsidRPr="00C00255">
        <w:t xml:space="preserve"> paskirto atsakingo asmens – kaltinamojo </w:t>
      </w:r>
      <w:r>
        <w:t>J. Č.</w:t>
      </w:r>
      <w:r w:rsidRPr="00C00255">
        <w:t xml:space="preserve">, 63-ys 42-osios divizijos kariškiai, vadovaujami kaltinamojo </w:t>
      </w:r>
      <w:r>
        <w:t>A. Ž.</w:t>
      </w:r>
      <w:r w:rsidRPr="00C00255">
        <w:t xml:space="preserve"> paskirtų atsakingų asmenų – divizijos vado pavaduotojo ir konvojaus pulko vado kaltinamojo </w:t>
      </w:r>
      <w:r>
        <w:t>S. F.</w:t>
      </w:r>
      <w:r w:rsidRPr="00C00255">
        <w:t xml:space="preserve">, 31-as kariškis iš 237-ojo pulko 1-ojo bataliono 1-os ir 2-os kuopų, priklausiusių 76-osios oro desanto divizijos jungtiniam kariniam vienetui, vadovaujami kaltinamųjų </w:t>
      </w:r>
      <w:r>
        <w:t>V. K. 1</w:t>
      </w:r>
      <w:r w:rsidRPr="00C00255">
        <w:t xml:space="preserve"> ir </w:t>
      </w:r>
      <w:r>
        <w:t>S. P.</w:t>
      </w:r>
      <w:r w:rsidRPr="00C00255">
        <w:t xml:space="preserve"> paskirto atsakingo asmens – kuopos vado kaltinamojo </w:t>
      </w:r>
      <w:r>
        <w:t>J. G.</w:t>
      </w:r>
      <w:r w:rsidRPr="00C00255">
        <w:t xml:space="preserve">. </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Dvidešimt grupės „A“ kariškių atvyko automobiliu ZIL-131, penki grupės „A“ kariškiai atvyko kartu su trisdešimt vienu 76-osios oro desanto divizijos jungtinio karinio vieneto kariškiais URAL automobiliu, k/n 00-65 EF (rusiškos raidės), &lt;...&gt; išrikiavo priešais keturių aukštų LRT Radijo pastatą.</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Kaltinamasis J</w:t>
      </w:r>
      <w:r>
        <w:t>. </w:t>
      </w:r>
      <w:r w:rsidRPr="00C00255">
        <w:t>Č</w:t>
      </w:r>
      <w:r>
        <w:t>.</w:t>
      </w:r>
      <w:r w:rsidRPr="00C00255">
        <w:t xml:space="preserve"> grupės „A“ kariškius padalino į dvi dalis: penki grupės „A“ kariškiai, vadovaujami kaltinamojo paskirto atsakingo asmens, kartu su penkiasdešimt dviem 42-osios divizijos mokomosios specialios paskirties kuopos kariškiais, vadovaujamais konvojaus pulko vado kaltinamojo </w:t>
      </w:r>
      <w:r>
        <w:t>S. F.</w:t>
      </w:r>
      <w:r w:rsidRPr="00C00255">
        <w:t xml:space="preserve">, mokomosios specialios paskirties kuopos vado </w:t>
      </w:r>
      <w:r>
        <w:t>O. M.</w:t>
      </w:r>
      <w:r w:rsidRPr="00C00255">
        <w:t xml:space="preserve">, pavaduotojo </w:t>
      </w:r>
      <w:r>
        <w:t>V. M.</w:t>
      </w:r>
      <w:r w:rsidRPr="00C00255">
        <w:t xml:space="preserve">, būrių vadų </w:t>
      </w:r>
      <w:r>
        <w:t>M. C.</w:t>
      </w:r>
      <w:r w:rsidRPr="00C00255">
        <w:t xml:space="preserve"> ir kt. instruktorių </w:t>
      </w:r>
      <w:r>
        <w:t>J. S.</w:t>
      </w:r>
      <w:r w:rsidRPr="00C00255">
        <w:t xml:space="preserve"> bei už jų veiksmus atsakingu kariškiu ir dvidešimt keturiais kariškiais iš 76-osio oro desanto divizijos jungtinio karinio vieneto, vadovaujamais kaltinamųjų – 237-ojo pulko 1-ojo bataliono 1-os kuopos vado </w:t>
      </w:r>
      <w:r>
        <w:t>J. G.</w:t>
      </w:r>
      <w:r w:rsidRPr="00C00255">
        <w:t xml:space="preserve">, pavaduotojo </w:t>
      </w:r>
      <w:r>
        <w:t>I. Š.</w:t>
      </w:r>
      <w:r w:rsidRPr="00C00255">
        <w:t xml:space="preserve">, būrio vado kaltinamojo </w:t>
      </w:r>
      <w:r>
        <w:t>A. F. 1</w:t>
      </w:r>
      <w:r w:rsidRPr="00C00255">
        <w:t xml:space="preserve">, 2-os kuopos vado </w:t>
      </w:r>
      <w:r>
        <w:t>K. U.</w:t>
      </w:r>
      <w:r w:rsidRPr="00C00255">
        <w:t xml:space="preserve">, jo pavaduotojo </w:t>
      </w:r>
      <w:r>
        <w:t>A. F. 2</w:t>
      </w:r>
      <w:r w:rsidRPr="00C00255">
        <w:t xml:space="preserve">, būrio vado </w:t>
      </w:r>
      <w:r>
        <w:t>J. J.</w:t>
      </w:r>
      <w:r w:rsidRPr="00C00255">
        <w:t xml:space="preserve">, pulko slaptosios tarnybos viršininko </w:t>
      </w:r>
      <w:r>
        <w:t>A. I.</w:t>
      </w:r>
      <w:r w:rsidRPr="00C00255">
        <w:t>, pradėjo LRT Radijo pastate dirbusių ir pastatą gynusių civilių puolimą.</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 xml:space="preserve">Šios operacijos metu vienas iš nenustatytų kariškių, būdamas KŠM, koordinavo ir prižiūrėjo </w:t>
      </w:r>
      <w:r w:rsidRPr="00C00255">
        <w:rPr>
          <w:szCs w:val="24"/>
        </w:rPr>
        <w:t xml:space="preserve">TSRS VRM Vidaus kariuomenės </w:t>
      </w:r>
      <w:r w:rsidRPr="00C00255">
        <w:t xml:space="preserve">42-osios divizijos kariškių veiksmus prie LRT ir ryšio priemonėmis veiksmus derino su operacijai vadovavusiu – </w:t>
      </w:r>
      <w:r w:rsidRPr="00C00255">
        <w:rPr>
          <w:szCs w:val="24"/>
          <w:lang w:eastAsia="lt-LT" w:bidi="lt-LT"/>
        </w:rPr>
        <w:t>76-osios oro desanto divizijos 234-ojo pulko žvalgybos viršininku</w:t>
      </w:r>
      <w:r w:rsidRPr="00C00255">
        <w:t xml:space="preserve"> </w:t>
      </w:r>
      <w:r>
        <w:t>S. P.</w:t>
      </w:r>
      <w:r w:rsidRPr="00C00255">
        <w:t>.</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 xml:space="preserve">&lt;...&gt; </w:t>
      </w:r>
      <w:r w:rsidRPr="00C00255">
        <w:t xml:space="preserve">Vykdydami gautą užduotį – užimti LRT (radijo) pastatą ir patekus į studijas, išjungti radijo transliavimą užtikrinančius įrenginius, nutraukti objekte ruošiamas ir transliuojamas radijo laidas, bei pašalinti civilius, kariškiai prieš juos panaudojo artimos kovos veiksmus – stumdė, mušė kumščiais, spardė kojomis bei turimais ginklais ir kitomis kūno sužalojimams daryti pritaikytomis priemonėmis, sudavė nenustatytą skaičių smūgių, naudojo garsinius ir kovinius šaudmenis &lt;...&gt; 76-osios oro desanto divizijos jungtinio karinio vieneto kariškiai naudojo imitacines priemones – dūminius užtaisus DM-II, dūmines granatas RDG-2x (ginklų ir spec. priemonių pavadinimuose naudojamos rusiškos raidės). Be to, 42-osios divizijos mokomosios specialios paskirties kuopos kariškiai į civilius šaudė iš 7,62 mm kalibro SVD šautuvų ir automatinių ginklų AKMS, 76-osios oro desanto divizijos jungtinio pulko kariškiai į civilius šaudė iš 7,62 mm kalibro SVD šautuvų, o kartu su grupės „A“ kariškiais, šaudydami į civilius ir užimamą pastatą iš 5,45 mm kalibro automatinių ginklų, naudojo tarptautinių sutarčių uždraustas karo priemones – 5,45 mm kalibro šovinius su išcentruota kulka &lt;...&gt;. </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 xml:space="preserve">&lt;...&gt; </w:t>
      </w:r>
      <w:r w:rsidRPr="00C00255">
        <w:t xml:space="preserve">Puolimo metu į S. Konarskio gatvę nuo sankryžos su K. Požėlos (dabar V. Pietario) gatve atvyko kita kariškių dalis. &lt;...&gt; Tankų ir BMD, kurių borto Nr. 211, 203, 206, 271, 274, 273, 276, 277, bei dviejų karinių automobilių URAL (vieno iš jų Nr. 23-00 OF), kolonai ir LRT užgrobimo operacijai vadovavo 76-osios oro desanto divizijos 234-ojo pulko štabo žvalgybos viršininkas </w:t>
      </w:r>
      <w:r>
        <w:t>S. P.</w:t>
      </w:r>
      <w:r w:rsidRPr="00C00255">
        <w:t xml:space="preserve">. Atsakingu už šios operacijos įvykdymą buvo paskirtas 76-osios oro desanto divizijos 234-ojo pulko štabo viršininkas kaltinamasis </w:t>
      </w:r>
      <w:r>
        <w:t>G. G.</w:t>
      </w:r>
      <w:r w:rsidRPr="00C00255">
        <w:t>.</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Pagal vadovavimo štabo paskirtas užduotis, šimtas septyni kariškiai iš 234-ojo pulko, priklausančio 76-osios oro desanto divizijos jungtiniam kariniam vienetui, pasiskirstę į tris grupes, puolė kitas LRT dalis: 9 aukštų LRT televizijos pastatą, TASK ir Techninį pastatą.&lt;...&gt;</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 xml:space="preserve">Tuo metu tankų, kurių borto Nr. 559 ir 571 ekipažai, pavojingai manevruodami, privažiavo prie 9 aukštų LRT televizijos pastato ir tanko Nr. 559 ekipažas išlaužė LRT juosiančios tvoros dalį ir kartu su BMD Nr. 277 privažiavo prie puolamo 9 aukštų LRT televizijos pastato. Iš paskos atvažiavo KŠM GAZ-66, kurioje buvo karo atakai vadovaujantis </w:t>
      </w:r>
      <w:r>
        <w:t>S. P.</w:t>
      </w:r>
      <w:r w:rsidRPr="00C00255">
        <w:t>, trys kariškiai iš 234-ojo pulko ryšių kuopos ir kariškis, užtikrinantis ryšių priemonių ir patikimo ryšio veikimą operacijos metu, o tanko Nr. 571 ekipažas, užtvėrė išlaužtą įvažiavimą.</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 xml:space="preserve">Karinėmis desanto mašinomis (BMD), kurių borto Nr. 271, 274, 273, 276 ir 277, ir kariniu automobiliu URAL, k/n 23-00 OF, atvyko trisdešimt devyni kariškiai iš 234-ojo pulko 3-iojo bataliono 7-os kuopos, vadovaujami kaltinamųjų </w:t>
      </w:r>
      <w:r>
        <w:t>S. M.</w:t>
      </w:r>
      <w:r w:rsidRPr="00C00255">
        <w:t xml:space="preserve">, </w:t>
      </w:r>
      <w:r>
        <w:t>V. S. 3</w:t>
      </w:r>
      <w:r w:rsidRPr="00C00255">
        <w:t xml:space="preserve">, </w:t>
      </w:r>
      <w:r>
        <w:t xml:space="preserve">A. N. 2 </w:t>
      </w:r>
      <w:r w:rsidRPr="00C00255">
        <w:t xml:space="preserve">, </w:t>
      </w:r>
      <w:r>
        <w:t>A. S.</w:t>
      </w:r>
      <w:r w:rsidRPr="00C00255">
        <w:t xml:space="preserve">, </w:t>
      </w:r>
      <w:r>
        <w:t>A. C.</w:t>
      </w:r>
      <w:r w:rsidRPr="00C00255">
        <w:t xml:space="preserve">, kurie vykdė užduotį kartu su </w:t>
      </w:r>
      <w:r>
        <w:t>G. G.</w:t>
      </w:r>
      <w:r w:rsidRPr="00C00255">
        <w:t xml:space="preserve"> prasibrauti į 9 aukštų LRT Televizijos pastatą, blokuoti visus įėjimus ir išėjimus, pašalinti civilius ir LRT direktoriaus kabinete atjungti teletaipą. Atvykę kariškiai BMD išrikiavo priešais puolamą pastatą, nukreipė pabūklus bei karinės technikos apšvietimo prietaisus į objektą ir išsilaipinę prisijungė prie grupės „A“ pradėtos tarptautinės humanitarinės teisės draudžiamos karo atakos. Karinės atakos metu kariškiai nežmoniškai elgėsi su tarptautinės humanitarinės teisės saugomais asmenimis – persekiojo civilius dėl politinių motyvų, kuriuos draudžia tarptautinė teisė, juos žudė, sunkiai sutrikdė jų sveikatą, naudojo bauginimo ir teroro bei tarptautinių sutarčių uždraustas karo priemones, o būtent: šaudydami į civilius ir užimamus pastatus bei jų viduje, į greta esančius gyvenamuosius namus 7,62 mm kalibro SVD šautuvais bei 5,45 mm kalibro automatiniais ginklais, panaudojo tarptautinių sutarčių uždraustas karo priemones – 5,45 mm kalibro šovinius su išcentruota kulka. Naudodami garsinius ir kovinius šaudmenis bei artimos kovos veiksmus, kariškiai įsibrovė į civilių ginamą 9 aukštų LRT televizijos pastatą, kuriame buvo grupės „A“ kariškiai. </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&lt;...&gt;</w:t>
      </w:r>
      <w:r w:rsidRPr="00C00255">
        <w:t xml:space="preserve"> Vykdydami operacijos štabo planą, K. Požėlos (dabar V. Pietario) gatve BMD, kurių borto Nr. 203, 206 ir 211, ir kariniu automobiliu URAL, prie LRT atvyko trečioji karinės kolonos 234-ojo pulko kariškių dalis. BMD Nr. 206 išlaužus tvorą, karinė technika privažiavo prie 4 aukštų LRT radijo pastato. Išsilaipinę kariškiai, pasidalino į dvi dalis: dvidešimt trys kariškiai iš 234-ojo pulko savaeigės artilerijos diviziono 1-os savaeigės artilerijos baterijos, vadovaujami kaltinamųjų </w:t>
      </w:r>
      <w:r>
        <w:t>B. S.</w:t>
      </w:r>
      <w:r w:rsidRPr="00C00255">
        <w:t xml:space="preserve">, </w:t>
      </w:r>
      <w:r>
        <w:t>S. G.</w:t>
      </w:r>
      <w:r w:rsidRPr="00C00255">
        <w:t xml:space="preserve">, </w:t>
      </w:r>
      <w:r>
        <w:t>V. G.</w:t>
      </w:r>
      <w:r w:rsidRPr="00C00255">
        <w:t xml:space="preserve">, bei dvidešimt šeši kariškiai iš 234-ojo pulko žvalgybos kuopos, vadovaujami kaltinamojo </w:t>
      </w:r>
      <w:r>
        <w:t>R. J. 2</w:t>
      </w:r>
      <w:r w:rsidRPr="00C00255">
        <w:t>, tęsė tarptautinės humanitarinės teisės draudžiamą karo ataką, kurios metu nežmoniškai elgėsi su tarptautinės humanitarinės teisės saugomais asmenimis: juos žudė, sunkiai sutrikdė jų sveikatą, naudojo bauginimo ir teroro priemones bei tarptautinių sutarčių uždraustas karo priemones, o būtent:</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 xml:space="preserve">dvidešimt trijų kariškių grupė, vadovaujama kaltinamojo </w:t>
      </w:r>
      <w:r>
        <w:t>B. S.</w:t>
      </w:r>
      <w:r w:rsidRPr="00C00255">
        <w:t xml:space="preserve">, dalyvavo užgrobiant LRT TASK pastatą, šalino civilius darbuotojus, atjungė transliavimą užtikrinančius įrenginius. Šios užduoties vykdymui atakoje dalyvavę kariškiai buvo padalinti į dvi dalis, iš kurių viena grupė, vadovaujama kaltinamojo </w:t>
      </w:r>
      <w:r>
        <w:t>V. G.</w:t>
      </w:r>
      <w:r w:rsidRPr="00C00255">
        <w:t xml:space="preserve">, įsibrovusi į pastatą, padėjo grupės „A“ kariškiams išjungti televizijos transliavimą užtikrinančius įrenginius bei nutraukti objekte ruošiamas ir transliuojamas televizijos laidas, pašalinti civilius iš pastato, tikrinti patalpas pastate. Kita kariškių grupė, vadovaujama kaltinamųjų </w:t>
      </w:r>
      <w:r>
        <w:t>B. S.</w:t>
      </w:r>
      <w:r w:rsidRPr="00C00255">
        <w:t xml:space="preserve"> ir </w:t>
      </w:r>
      <w:r>
        <w:t>S. G.</w:t>
      </w:r>
      <w:r w:rsidRPr="00C00255">
        <w:t>, neradusi vidinio praėjimo iš LRT TASK į LRT Radijo 4 aukštų pastatą, vykdydami karo atakos eigoje gautą nurodymą, vidiniu pastatus jungiančiu koridoriumi prasibrovė iki 9 aukštų LRT Televizijos pastato. Patekusi į pastatą prisijungė prie 234-ojo pulko 3-iojo bataliono 7-os kuopos kariškių ir kartu šaudė pastato viduje ir išorėje į civilius, greta esančius gyvenamuosius namus 7,62 mm kalibro SVD šautuvais bei 5,45 mm kalibro automatiniais ginklais, t. y. naudojo tarptautinių sutarčių uždraustas karo priemones – 5,45 mm kalibro šovinius su išcentruota kulka. Karo atakos metu kariškiai naudojo tiek garsinius, tiek ir kovinius šaudmenis, artimos kovos veiksmus</w:t>
      </w:r>
      <w:r w:rsidRPr="00C00255">
        <w:rPr>
          <w:b/>
        </w:rPr>
        <w:t xml:space="preserve"> –</w:t>
      </w:r>
      <w:r w:rsidRPr="00C00255">
        <w:t xml:space="preserve"> stumdė, smūgiavo kumščiais, spardė kojomis ir sudavė nenustatytą skaičių smūgių civiliams ginklais ir kitomis kūno sužalojimams daryti pritaikytomis priemonėmis į įvairias kūno dalis.</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 xml:space="preserve">Dvidešimt šešių kariškių grupė, vadovaujama kaltinamojo </w:t>
      </w:r>
      <w:r>
        <w:t>R. J. 2</w:t>
      </w:r>
      <w:r w:rsidRPr="00C00255">
        <w:t xml:space="preserve">, vykdydama užduotį, įsibrovė į LRT Techninį pastatą ir pašalino iš jų civilį. Ryšio priemonėmis gavęs </w:t>
      </w:r>
      <w:r>
        <w:t>G. G.</w:t>
      </w:r>
      <w:r w:rsidRPr="00C00255">
        <w:t xml:space="preserve"> nurodymą, </w:t>
      </w:r>
      <w:r>
        <w:t>R. J. 2</w:t>
      </w:r>
      <w:r w:rsidRPr="00C00255">
        <w:t xml:space="preserve"> prisijungė prie kariškių iš 237-ojo pulko 1-ojo bataliono 1-osios ir 2-osios kuopų ir kitų minėtų struktūrų kariškių, užgrobusių LRT radijo pastatą. Keturi kariškiai užtikrino aptvertos LRT teritorijos dalies, esančios prie užgrobtų LRT Radijo ir LRT Techninio pastatų, apsaugą, o kiti kariškiai šaudė pastato viduje ir išorėje į civilius, greta esančius gyvenamuosius namus iš 7,62 mm kalibro SVD šautuvų bei 5,45 mm kalibro automatinių ginklų, taip naudodami tarptautinių sutarčių uždraustas karo priemones – 5,45 mm kalibro šovinius su išcentruota kulka. Karo atakos metu kariškiai naudojo tiek garsinius, tiek ir kovinius šaudmenis bei artimos kovos veiksmus – stumdė, smūgiavo kumščiais, spardė kojomis ir sudavė nenustatytą skaičių smūgių civiliams ginklais ir kitomis kūno sužalojimams daryti pritaikytomis priemonėmis į įvairias kūno dalis.</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 xml:space="preserve">&lt;...&gt; </w:t>
      </w:r>
      <w:r w:rsidRPr="00C00255">
        <w:t xml:space="preserve">1991 m. sausio 13 d., apie 1.30 val., grupės „A“ ir ikiteisminio tyrimo metu nenustatyti 76-osios oro desanto divizijos jungtinio karinio vieneto kariškiai, po Lietuvos radijo ir televizijos centro radijofonijos cecho, esančio Vilniuje, Tujų g. 2, užgrobimo, apie 2 val., pagal grupės „A“ veiksmus koordinavusio ir jiems vadovavusio </w:t>
      </w:r>
      <w:r>
        <w:t>M. G.</w:t>
      </w:r>
      <w:r w:rsidRPr="00C00255">
        <w:t xml:space="preserve"> nurodymą, atvyko prie LRT ir prisijungė prie kitų </w:t>
      </w:r>
      <w:r>
        <w:t>J. Č.</w:t>
      </w:r>
      <w:r w:rsidRPr="00C00255">
        <w:t xml:space="preserve"> vadovaujamų grupės „A“ kariškių ir kartu prieš civilius asmenis naudojo tas pačias bauginimo ir teroro bei tarptautinių sutarčių uždraustas karo priemones. &lt;...&gt;</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Karo atakos metu visų karinių struktūrų kariškiai &lt;...&gt; bendrais veiksmais sunkiai sutrikdė sveikatą keturiems civiliams &lt;...&gt;; Karo atakos prie LRT metu dalyvavę visi karinių struktūrų kariškiai bendrais veiksmais užgrobė LRT pastatus, o juos gynusiems civiliams padarė tyčinius nesunkius sveikatos sutrikdymus šimtui aštuoniems civiliams &lt;...&gt;; LRT pastatus gynusiems civiliams padarė tyčinius nežymius sveikatos sutrikdymus devyniasdešimt penkiems civiliams &lt;...&gt;“. (</w:t>
      </w:r>
      <w:r w:rsidRPr="00C00255">
        <w:rPr>
          <w:szCs w:val="24"/>
          <w:lang w:eastAsia="lt-LT"/>
        </w:rPr>
        <w:t>žr. </w:t>
      </w:r>
      <w:r w:rsidRPr="00C00255">
        <w:t>nuosprendžio 514–520 l.;</w:t>
      </w:r>
      <w:r w:rsidRPr="00C00255">
        <w:rPr>
          <w:rFonts w:eastAsia="Calibri"/>
        </w:rPr>
        <w:t xml:space="preserve"> t. 771, b. l. 114–120</w:t>
      </w:r>
      <w:r w:rsidRPr="00C00255">
        <w:t>).</w:t>
      </w:r>
    </w:p>
    <w:p w:rsidR="00DA38E9" w:rsidRPr="00C00255" w:rsidRDefault="00DA38E9" w:rsidP="00DA38E9">
      <w:pPr>
        <w:pStyle w:val="ListParagraph"/>
        <w:numPr>
          <w:ilvl w:val="0"/>
          <w:numId w:val="6"/>
        </w:numPr>
        <w:spacing w:after="120"/>
        <w:ind w:left="992" w:hanging="992"/>
        <w:contextualSpacing w:val="0"/>
      </w:pPr>
      <w:bookmarkStart w:id="596" w:name="_Hlk66470147"/>
      <w:r w:rsidRPr="002125AE">
        <w:rPr>
          <w:rFonts w:eastAsia="Calibri"/>
        </w:rPr>
        <w:t>Iš tokių pirmosios instancijos teismo nuosprendžiu nustatytų aplinkybių ir šiame sprendime</w:t>
      </w:r>
      <w:bookmarkEnd w:id="596"/>
      <w:r w:rsidRPr="002125AE">
        <w:rPr>
          <w:rFonts w:eastAsia="Calibri"/>
        </w:rPr>
        <w:t xml:space="preserve"> iš dalies jau aptartos operacijos eigos matyti, kad operacija prie LRT vyko ne pagal planą ir </w:t>
      </w:r>
      <w:r w:rsidRPr="002125AE">
        <w:t xml:space="preserve">TSRS GM 76-osios oro desanto divizijos kariškiai, dar byloje įvardijami ir kaip desantininkai ar oro desanto kariškiai, prie LRT atvyko dviem srautais (pirmasis – iš 31 kariškio </w:t>
      </w:r>
      <w:r w:rsidRPr="00C00255">
        <w:rPr>
          <w:szCs w:val="24"/>
          <w:lang w:eastAsia="lt-LT"/>
        </w:rPr>
        <w:t>(šio sprendimo 722.4. pastraipa); antrasis – iš 107 kariškių (šio sprendimo 722.8 pastraipa)) bei dalyvavo užimant visus keturis LRT kompleksą sudariusius pastatus.</w:t>
      </w:r>
      <w:r w:rsidRPr="00C00255">
        <w:rPr>
          <w:szCs w:val="24"/>
        </w:rPr>
        <w:t xml:space="preserve"> </w:t>
      </w:r>
    </w:p>
    <w:p w:rsidR="00DA38E9" w:rsidRPr="00C00255" w:rsidRDefault="00DA38E9" w:rsidP="00DA38E9">
      <w:pPr>
        <w:pStyle w:val="ListParagraph"/>
        <w:numPr>
          <w:ilvl w:val="0"/>
          <w:numId w:val="6"/>
        </w:numPr>
        <w:spacing w:after="120"/>
        <w:ind w:left="992" w:hanging="992"/>
        <w:contextualSpacing w:val="0"/>
      </w:pPr>
      <w:r w:rsidRPr="00C00255">
        <w:rPr>
          <w:szCs w:val="24"/>
        </w:rPr>
        <w:t xml:space="preserve">Byloje iš esmės nėra ginčo ir teismas jau pasisakė dėl to, kad: pirmieji prie LRT atvykę kariškiai iš </w:t>
      </w:r>
      <w:r w:rsidRPr="00C00255">
        <w:rPr>
          <w:szCs w:val="24"/>
          <w:lang w:eastAsia="lt-LT"/>
        </w:rPr>
        <w:t xml:space="preserve">TSRS GM 76-osios oro desanto divizijos </w:t>
      </w:r>
      <w:r w:rsidRPr="00C00255">
        <w:t>237-ojo pulko 1-ojo bataliono 1-osios ir 2-osios kuopų, kartu su TSRS VSK grupės „A“ ir TSRS VRM Vidaus kariuomenės 42-osios divizijos kariškiais, šturmavo LRT Radijo (4 aukštų) pastatą. Vėliau atvykę kariškiai iš</w:t>
      </w:r>
      <w:r w:rsidRPr="00C00255">
        <w:rPr>
          <w:szCs w:val="24"/>
        </w:rPr>
        <w:t xml:space="preserve"> TSRS GM 76-osios oro desanto divizijos 234-ojo pulko 3-iojo bataliono 7-osios kuopos, 234-ojo pulko savaeigės artilerijos diviziono 1-osios savaeigės artilerijos baterijos bei 234-ojo pulko žvalgybos kuopos 1-osios savaeigės artilerijos baterijos, su kuriais atvyko ir </w:t>
      </w:r>
      <w:r w:rsidRPr="00C00255">
        <w:t xml:space="preserve">karo atakai vietoje vadovaujantis </w:t>
      </w:r>
      <w:r>
        <w:t>S. P.</w:t>
      </w:r>
      <w:r w:rsidRPr="00C00255">
        <w:t>,</w:t>
      </w:r>
      <w:r w:rsidRPr="00C00255">
        <w:rPr>
          <w:szCs w:val="24"/>
        </w:rPr>
        <w:t xml:space="preserve"> puolė kitas LRT komplekso dalis – Televizijos, TASK ir Techninį pastatus, taip pat </w:t>
      </w:r>
      <w:r w:rsidRPr="00C00255">
        <w:t xml:space="preserve">vėliau dalis šio dalinio kariškių prisijungė prie 237-ojo pulko 1-osios ir 2-osios kuopos ir kitų struktūrų kariškių, užėmusių LRT Radijo pastatą bei </w:t>
      </w:r>
      <w:r w:rsidRPr="00C00255">
        <w:rPr>
          <w:szCs w:val="24"/>
        </w:rPr>
        <w:t>nutraukė televizijos ir radijo transliavimo darbus (išjungė teletaipą), nušalino LRT dirbusius darbuotojus ir pašalino civilius iš LRT pastatų bei jo prieigų.</w:t>
      </w:r>
    </w:p>
    <w:p w:rsidR="00DA38E9" w:rsidRPr="00C00255" w:rsidRDefault="00DA38E9" w:rsidP="00DA38E9">
      <w:pPr>
        <w:pStyle w:val="ListParagraph"/>
        <w:numPr>
          <w:ilvl w:val="0"/>
          <w:numId w:val="6"/>
        </w:numPr>
        <w:spacing w:after="120"/>
        <w:ind w:left="992" w:hanging="992"/>
        <w:contextualSpacing w:val="0"/>
      </w:pPr>
      <w:r w:rsidRPr="00C00255">
        <w:t xml:space="preserve">Byloje surinkti įrodymai – įvykių prie LRT vaizdo įrašai, kariškių pokalbių garso įrašai, liudytojų ir nukentėjusiųjų parodymai, įvykio vietos ir kitų daiktų apžiūrų duomenys, specialistų išvados, rašytiniai dokumentai, o taip pat ir </w:t>
      </w:r>
      <w:r>
        <w:t>M. B.</w:t>
      </w:r>
      <w:r w:rsidRPr="00C00255">
        <w:t xml:space="preserve">, </w:t>
      </w:r>
      <w:r>
        <w:t>J. K.</w:t>
      </w:r>
      <w:r w:rsidRPr="00C00255">
        <w:t xml:space="preserve"> ir kt. byloje įsiteisėjusiais teismų sprendimais nustatytos aplinkybės, teisėjų kolegijai leidžia daryti abejonių nekeliančią išvadą, kad tokia operacijos eiga ir TSRS GM </w:t>
      </w:r>
      <w:r w:rsidRPr="00C00255">
        <w:rPr>
          <w:szCs w:val="24"/>
          <w:lang w:eastAsia="lt-LT"/>
        </w:rPr>
        <w:t xml:space="preserve">76-osios oro desanto divizijos </w:t>
      </w:r>
      <w:r w:rsidRPr="00C00255">
        <w:rPr>
          <w:szCs w:val="24"/>
        </w:rPr>
        <w:t xml:space="preserve">kariškių atlikti veiksmai užimant LRT visiškai pasitvirtino ir yra įrodyti. </w:t>
      </w:r>
    </w:p>
    <w:p w:rsidR="00DA38E9" w:rsidRPr="00C00255" w:rsidRDefault="00DA38E9" w:rsidP="00DA38E9">
      <w:pPr>
        <w:pStyle w:val="ListParagraph"/>
        <w:numPr>
          <w:ilvl w:val="0"/>
          <w:numId w:val="6"/>
        </w:numPr>
        <w:spacing w:after="120"/>
        <w:ind w:left="992" w:hanging="992"/>
        <w:contextualSpacing w:val="0"/>
      </w:pPr>
      <w:r w:rsidRPr="00C00255">
        <w:rPr>
          <w:szCs w:val="24"/>
          <w:lang w:eastAsia="lt-LT"/>
        </w:rPr>
        <w:t xml:space="preserve">2014 m. birželio 10 d. specialisto išvadoje konstatuota, kad užimant LRT dalyvavo </w:t>
      </w:r>
      <w:r w:rsidRPr="00C00255">
        <w:t xml:space="preserve">TSRS GM </w:t>
      </w:r>
      <w:r w:rsidRPr="00C00255">
        <w:rPr>
          <w:szCs w:val="24"/>
          <w:lang w:eastAsia="lt-LT"/>
        </w:rPr>
        <w:t xml:space="preserve">76-osios oro desanto divizijos </w:t>
      </w:r>
      <w:r w:rsidRPr="00C00255">
        <w:rPr>
          <w:szCs w:val="24"/>
        </w:rPr>
        <w:t xml:space="preserve">234-ojo ir 237-ojo pulkų kariškiai, kurie taktiniais tikslais buvo paskirstyti į keturias pagrindines LRT pastatų šturmo operacines grupes (kartu su įvykiuose dalyvavusiais kitų dalinių kariškiais): </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 xml:space="preserve">234-ojo pulko 3-iojo bataliono 7-osios kuopos kariškiai (apie 39 kariškiai), kartu su </w:t>
      </w:r>
      <w:r w:rsidRPr="00C00255">
        <w:rPr>
          <w:rFonts w:eastAsia="Calibri"/>
          <w:szCs w:val="24"/>
        </w:rPr>
        <w:t>TSRS GM</w:t>
      </w:r>
      <w:r w:rsidRPr="00C00255">
        <w:rPr>
          <w:szCs w:val="24"/>
          <w:lang w:eastAsia="lt-LT" w:bidi="lt-LT"/>
        </w:rPr>
        <w:t xml:space="preserve"> 107-osios motorizuotų šaulių divizijos 106-uoju tankų pulku, sudarytu iš 6 dviejų tankų ekipažų narių, priklausė grupei, kurios užduotis buvo įsibrauti į LRT 9 aukštų pastatą bei per vidinį koridorių, jungiantį šį pastatą su TASK, prasibrauti į TASK ir jį užimti. Vykdydami šią užduotį, jie turėjo blokuoti visus įėjimus, nutraukti televizijos darbą, sustabdyti administracijos veiklą ir pašalinti civilius iš pastatų bei jų prieigų (pagal atvykimo prie LRT pastato laiką, ši specialisto nurodyta grupė prie LRT atvyko antrame kariškių sraute); </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t>237-ojo pulko 1-ojo bataliono 1-osios ir 2-osios kuopų kariškiai (apie 31 kariškis), kartu su TSRS VSK grupės „A“, TSRS VRM Vidaus kariuomenės 42-osios divizijos kariškiais, priklausė grupei, kurios užduotis buvo užimti LRT Radijo (4 aukštų) pastatą, blokuoti visus įėjimus, nutraukti radijo darbą, sustabdyti administracijos veiklą ir pašalinti civilius iš pastato bei jo prieigų;</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 xml:space="preserve">234-ojo pulko </w:t>
      </w:r>
      <w:r w:rsidRPr="00C00255">
        <w:t>savaeigės artilerijos diviziono 1-osios savaeigės artilerijos baterijos kariškiai (apie 23 kariškiai) sudarė trečiąją grupę, kurios užduotis buvo bendrais veiksmais su pirmąja grupe, veikiant iš techninės LRT teritorijos pusės užimti TASK pastatą, blokuoti įėjimus, nutraukti televizijos darbą, atjungti transliavimą užtikrinančius įrenginius, pašalinti civilius iš pastato bei jo prieigų, pereiti į 4 aukštų pastatą;</w:t>
      </w:r>
    </w:p>
    <w:p w:rsidR="00DA38E9" w:rsidRPr="00C00255" w:rsidRDefault="00DA38E9" w:rsidP="00DA38E9">
      <w:pPr>
        <w:pStyle w:val="ListParagraph"/>
        <w:numPr>
          <w:ilvl w:val="1"/>
          <w:numId w:val="6"/>
        </w:numPr>
        <w:spacing w:after="120"/>
        <w:ind w:left="992" w:hanging="992"/>
        <w:contextualSpacing w:val="0"/>
        <w:rPr>
          <w:szCs w:val="24"/>
          <w:lang w:eastAsia="lt-LT" w:bidi="lt-LT"/>
        </w:rPr>
      </w:pPr>
      <w:r w:rsidRPr="00C00255">
        <w:rPr>
          <w:szCs w:val="24"/>
          <w:lang w:eastAsia="lt-LT" w:bidi="lt-LT"/>
        </w:rPr>
        <w:t xml:space="preserve">234-ojo pulko žvalgybos kuopos kariškiai (apie 26 kariškiai), kartu su </w:t>
      </w:r>
      <w:r w:rsidRPr="00C00255">
        <w:rPr>
          <w:rFonts w:eastAsia="Calibri"/>
          <w:szCs w:val="24"/>
        </w:rPr>
        <w:t>TSRS GM</w:t>
      </w:r>
      <w:r w:rsidRPr="00C00255">
        <w:rPr>
          <w:szCs w:val="24"/>
          <w:lang w:eastAsia="lt-LT" w:bidi="lt-LT"/>
        </w:rPr>
        <w:t xml:space="preserve"> 107-osios motorizuotų šaulių divizijos 106-ojo tankų pulko tanku Nr. 574, sudarė ketvirtąją grupę, kurios užduotis buvo užimti LRT apsaugos pastatą, blokuoti įėjimus, pašalinti civilius, saugoti pastatą ir teritoriją (t. 480, b. l. 54–55). </w:t>
      </w:r>
    </w:p>
    <w:p w:rsidR="00DA38E9" w:rsidRPr="00C00255" w:rsidRDefault="00DA38E9" w:rsidP="00DA38E9">
      <w:pPr>
        <w:pStyle w:val="ListParagraph"/>
        <w:numPr>
          <w:ilvl w:val="0"/>
          <w:numId w:val="6"/>
        </w:numPr>
        <w:spacing w:after="120"/>
        <w:ind w:left="992" w:hanging="992"/>
        <w:contextualSpacing w:val="0"/>
      </w:pPr>
      <w:r w:rsidRPr="00C00255">
        <w:t>Teisėjų kolegija neturi jokio pagrindo abejoti tokiomis specialisto išvadomis ir iš esmės tokia operacinių grupių veikimo eiga,</w:t>
      </w:r>
      <w:r w:rsidRPr="00C00255">
        <w:rPr>
          <w:szCs w:val="24"/>
        </w:rPr>
        <w:t xml:space="preserve"> nes tą byloje patvirtina ištirtų įrodymų visuma. K</w:t>
      </w:r>
      <w:bookmarkStart w:id="597" w:name="_Hlk65069848"/>
      <w:r w:rsidRPr="00C00255">
        <w:rPr>
          <w:szCs w:val="24"/>
          <w:lang w:eastAsia="lt-LT"/>
        </w:rPr>
        <w:t xml:space="preserve">arinio dalinio Nr. 74268 karių </w:t>
      </w:r>
      <w:bookmarkEnd w:id="597"/>
      <w:r w:rsidRPr="00C00255">
        <w:rPr>
          <w:szCs w:val="24"/>
          <w:lang w:eastAsia="lt-LT"/>
        </w:rPr>
        <w:t>sąraše nurodyti visi užimant LRT dalyvavę 234-ajam pulkui priklausę oro desanto kariškiai pagal jų priklausomybę atskiriems daliniams (t. 451, b. l. 106–108; t. 152, b. l. 145–147). Iš byloje pateikto sąrašo taip pat matyti, kad sausio 13-osios naktį iš esmės visi 234-ajam pulkui priklausę oro desanto kariškiai, išskyrus labai retas išimtis, buvo ginkluoti AKS-74U, AKS-74, RPKS-74 automatiniais ginklais arba snaiperiniais SVD ginklais (t. 429, b. l.</w:t>
      </w:r>
      <w:r w:rsidRPr="00C00255">
        <w:rPr>
          <w:szCs w:val="24"/>
          <w:lang w:eastAsia="lt-LT" w:bidi="lt-LT"/>
        </w:rPr>
        <w:t xml:space="preserve"> 96–106; t. 116, b. l. 132–141). </w:t>
      </w:r>
      <w:r w:rsidRPr="00C00255">
        <w:rPr>
          <w:szCs w:val="24"/>
          <w:lang w:eastAsia="lt-LT"/>
        </w:rPr>
        <w:t xml:space="preserve">Taip pat karinio dalinio </w:t>
      </w:r>
      <w:bookmarkStart w:id="598" w:name="_Hlk65069873"/>
      <w:r w:rsidRPr="00C00255">
        <w:rPr>
          <w:szCs w:val="24"/>
          <w:lang w:eastAsia="lt-LT"/>
        </w:rPr>
        <w:t xml:space="preserve">Nr. 57264 </w:t>
      </w:r>
      <w:bookmarkEnd w:id="598"/>
      <w:r w:rsidRPr="00C00255">
        <w:rPr>
          <w:szCs w:val="24"/>
          <w:lang w:eastAsia="lt-LT"/>
        </w:rPr>
        <w:t xml:space="preserve">karių sąraše, nurodyti užimant LRT dalyvavę 237-ojo pulko 1-osios ir 2-osios kuopos kariškiai. Iš sąrašo matyti ir tai, kad jame išvardinti kariškiai įvykių metu buvo ginkluoti automatiniais ginklais AKS-74 arba AKS-74U (t. 437, b. l. 4–6; t. 124, b. l. 2–4). Be to, teisėjų kolegija pažymi, kad byloje yra ir karinio dalinio Nr. 74268 karinės technikos, dalyvavusios užimant LRT pastatus, sąrašai, kuriuose išvardinta prie LRT dalyvavusi šio karinio dalinio karinė technika, sudaryta iš mašinų BMD ir URAL (t. 451, b. l. 192–194; t. 152, b. l. 223–225). Teisėjų kolegija, sutikdama su apygardos teismo išvadomis šioje dalyje ir atsižvelgdama į tai, kad minėtos aplinkybės dėl operacinių grupių veikimo eigos, karinių dalinių ir nurodytos karinės technikos dalyvavimo LRT šturme apeliaciniuose skunduose neginčijamos, plačiau jų neanalizuoja. </w:t>
      </w:r>
    </w:p>
    <w:p w:rsidR="00DA38E9" w:rsidRPr="00C00255" w:rsidRDefault="00DA38E9" w:rsidP="00DA38E9">
      <w:pPr>
        <w:pStyle w:val="ListParagraph"/>
        <w:numPr>
          <w:ilvl w:val="0"/>
          <w:numId w:val="6"/>
        </w:numPr>
        <w:spacing w:after="120"/>
        <w:ind w:left="992" w:hanging="992"/>
        <w:contextualSpacing w:val="0"/>
      </w:pPr>
      <w:r w:rsidRPr="00C00255">
        <w:rPr>
          <w:szCs w:val="24"/>
          <w:lang w:eastAsia="lt-LT"/>
        </w:rPr>
        <w:t xml:space="preserve">2014 m. birželio 10 d. specialisto išvadoje yra pateiktas pakankamai detalus LRT pastatų užėmimo operacijos eigos aprašymas. Jame, be kita ko, chronologine seka nurodyti tokie </w:t>
      </w:r>
      <w:r w:rsidRPr="00C00255">
        <w:t xml:space="preserve">TSRS GM </w:t>
      </w:r>
      <w:r w:rsidRPr="00C00255">
        <w:rPr>
          <w:szCs w:val="24"/>
          <w:lang w:eastAsia="lt-LT"/>
        </w:rPr>
        <w:t xml:space="preserve">76-osios oro desanto divizijos </w:t>
      </w:r>
      <w:r w:rsidRPr="00C00255">
        <w:rPr>
          <w:szCs w:val="24"/>
        </w:rPr>
        <w:t>234-ojo ir 237-ojo pulkų kariškių veiksmai:</w:t>
      </w:r>
    </w:p>
    <w:p w:rsidR="00DA38E9" w:rsidRPr="00C00255" w:rsidRDefault="00DA38E9" w:rsidP="00DA38E9">
      <w:pPr>
        <w:pStyle w:val="ListParagraph"/>
        <w:numPr>
          <w:ilvl w:val="1"/>
          <w:numId w:val="6"/>
        </w:numPr>
        <w:spacing w:after="120"/>
        <w:ind w:left="992" w:hanging="992"/>
        <w:contextualSpacing w:val="0"/>
      </w:pPr>
      <w:r w:rsidRPr="00C00255">
        <w:t xml:space="preserve">prie LRT pirmieji atvyko antrosios operacinės grupės padaliniai. VRM kariškiai prisijungę prie desantininkų grupės, vadovaujamos kapitono </w:t>
      </w:r>
      <w:r>
        <w:t>J. G.</w:t>
      </w:r>
      <w:r w:rsidRPr="00C00255">
        <w:t xml:space="preserve">, atvykusios paskui VRM koloną, kariniu automobiliu URAL, kartu su VSK ,,A“ 5 kariškių grupe, kartu vykdė LRT Radijo (4 aukštų) pastato užėmimą. Puldami LRT Radijo (4 aukštų) pastatą TSRS kariškiai šaudė į pastatą koviniais šoviniais, mušė civilius susirinkusius prie LRT, naudojo sprogstamąsias specialiąsias priemones. Oro desanto kariškiai šaudė ir į gyvenamuosius namus, taip pat ir iš 7,62 mm SVD ginklų. Kariškiai šaudė ir pastatų viduje. Dalis TSRS kariškių prasiveržė į LRT 4 aukštų pastatą, kiti stengėsi nustumti civilius nuo pastatų ir karinės technikos. Kartu su pirma grupe atvažiavusi kita </w:t>
      </w:r>
      <w:r w:rsidRPr="00C00255">
        <w:rPr>
          <w:rFonts w:eastAsia="Calibri"/>
          <w:szCs w:val="24"/>
        </w:rPr>
        <w:t xml:space="preserve">TSRS VSK </w:t>
      </w:r>
      <w:r w:rsidRPr="00C00255">
        <w:t>grupės „A“ dalis, prasibrovusi į LRT pastatus, pradėjo pastato užėmimo operaciją, nes oro desanto kariškiai, kurie turėjo užimti 9 aukštų LRT pastatą, vėlavo.</w:t>
      </w:r>
    </w:p>
    <w:p w:rsidR="00DA38E9" w:rsidRPr="00C00255" w:rsidRDefault="00DA38E9" w:rsidP="00DA38E9">
      <w:pPr>
        <w:pStyle w:val="ListParagraph"/>
        <w:numPr>
          <w:ilvl w:val="1"/>
          <w:numId w:val="6"/>
        </w:numPr>
        <w:spacing w:after="120"/>
        <w:ind w:left="992" w:hanging="992"/>
        <w:contextualSpacing w:val="0"/>
      </w:pPr>
      <w:r w:rsidRPr="00C00255">
        <w:rPr>
          <w:szCs w:val="24"/>
          <w:lang w:bidi="lt-LT"/>
        </w:rPr>
        <w:t xml:space="preserve">Pavėlavusios iki 20 minučių dviem kariniais automobiliais URAL, aštuoniais BMD automobiliais bei trimis tankais T-72, atvyko pirma (išskyrus </w:t>
      </w:r>
      <w:r w:rsidRPr="00C00255">
        <w:rPr>
          <w:rFonts w:eastAsia="Calibri"/>
          <w:szCs w:val="24"/>
        </w:rPr>
        <w:t xml:space="preserve">TSRS VSK </w:t>
      </w:r>
      <w:r w:rsidRPr="00C00255">
        <w:rPr>
          <w:szCs w:val="24"/>
          <w:lang w:bidi="lt-LT"/>
        </w:rPr>
        <w:t>grupės „A“ kariškius), trečia ir ketvirta operacinės grupės, kurios prisijungė prie puolančiųjų.</w:t>
      </w:r>
    </w:p>
    <w:p w:rsidR="00DA38E9" w:rsidRPr="00C00255" w:rsidRDefault="00DA38E9" w:rsidP="00DA38E9">
      <w:pPr>
        <w:pStyle w:val="ListParagraph"/>
        <w:numPr>
          <w:ilvl w:val="1"/>
          <w:numId w:val="6"/>
        </w:numPr>
        <w:spacing w:after="120"/>
        <w:ind w:left="992" w:hanging="992"/>
        <w:contextualSpacing w:val="0"/>
      </w:pPr>
      <w:r w:rsidRPr="00C00255">
        <w:rPr>
          <w:szCs w:val="24"/>
          <w:lang w:eastAsia="lt-LT" w:bidi="lt-LT"/>
        </w:rPr>
        <w:t xml:space="preserve">Pirmoji operacinė grupė – tankai T-72, kurių Nr. 559 ir 571, ir BMD-2, kurių Nr. 271, 273, 274, 276, 277, pavojingai manevruodami priartėjo prie LRT Televizijos 9 aukštų pastato statybvietės aptvarų ir įėjimo į pastatą. Tankas Nr. 559, kartu su BMD Nr. 277, išlaužė statybvietės aptvaro dalį ir privažiavo prie pastato. Paskui juos įvažiavo KŠM GAZ-66 bazės pagrindu. Išsilaipinę iš BMD ir URAL, dalis desantininkų puolė civilius, siekdami juos nustumti nuo pastatų. Smurtu, fizine jėga, artimojo mūšio veiksmais, šaudydami, taip pat ir šoviniais trasuojančiomis kulkomis, naudodami specialiąsias priemones, jie stūmė civilius nuo pastatų. Kita dalis oro desanto kariškių veržėsi į 9 aukštų LRT pastatą. Įsiveržę į pastatus desantininkai smurtavo prieš LRT ir milicijos darbuotojus. </w:t>
      </w:r>
    </w:p>
    <w:p w:rsidR="00DA38E9" w:rsidRPr="00C00255" w:rsidRDefault="00DA38E9" w:rsidP="00DA38E9">
      <w:pPr>
        <w:pStyle w:val="ListParagraph"/>
        <w:numPr>
          <w:ilvl w:val="1"/>
          <w:numId w:val="6"/>
        </w:numPr>
        <w:spacing w:after="120"/>
        <w:ind w:left="992" w:hanging="992"/>
        <w:contextualSpacing w:val="0"/>
      </w:pPr>
      <w:r w:rsidRPr="00C00255">
        <w:rPr>
          <w:szCs w:val="24"/>
          <w:lang w:eastAsia="lt-LT" w:bidi="lt-LT"/>
        </w:rPr>
        <w:t>Trečioji ir ketvirtoji operacinės grupės, atvykusios BMD Nr. 203, 206 ir 211 ir automobiliu URAL, atsiskyrė nuo kolonos ir pasuko į LRT techninės teritorijos pusę ir į LRT teritoriją pateko iš dviejų pusių.</w:t>
      </w:r>
    </w:p>
    <w:p w:rsidR="00DA38E9" w:rsidRPr="00C00255" w:rsidRDefault="00DA38E9" w:rsidP="00DA38E9">
      <w:pPr>
        <w:pStyle w:val="ListParagraph"/>
        <w:numPr>
          <w:ilvl w:val="1"/>
          <w:numId w:val="6"/>
        </w:numPr>
        <w:spacing w:after="120"/>
        <w:ind w:left="992" w:hanging="992"/>
        <w:contextualSpacing w:val="0"/>
      </w:pPr>
      <w:r w:rsidRPr="00C00255">
        <w:rPr>
          <w:szCs w:val="24"/>
          <w:lang w:eastAsia="lt-LT" w:bidi="lt-LT"/>
        </w:rPr>
        <w:t xml:space="preserve">Desantininkai iš trečiosios grupės, vadovaujami </w:t>
      </w:r>
      <w:r>
        <w:rPr>
          <w:szCs w:val="24"/>
          <w:lang w:eastAsia="lt-LT" w:bidi="lt-LT"/>
        </w:rPr>
        <w:t>B. S.</w:t>
      </w:r>
      <w:r w:rsidRPr="00C00255">
        <w:rPr>
          <w:szCs w:val="24"/>
          <w:lang w:eastAsia="lt-LT" w:bidi="lt-LT"/>
        </w:rPr>
        <w:t xml:space="preserve"> ir </w:t>
      </w:r>
      <w:r>
        <w:rPr>
          <w:szCs w:val="24"/>
          <w:lang w:eastAsia="lt-LT" w:bidi="lt-LT"/>
        </w:rPr>
        <w:t>V. G.</w:t>
      </w:r>
      <w:r w:rsidRPr="00C00255">
        <w:rPr>
          <w:szCs w:val="24"/>
          <w:lang w:eastAsia="lt-LT" w:bidi="lt-LT"/>
        </w:rPr>
        <w:t>, į techninę LRT teritoriją pateko būdami ketvirtosios grupės BMD Nr. 206, išlaužus vielinę tvorą nuo Geležinio Vilko g. pusės. Išlaužę TASK pastato duris iš LRT Techninės pusės, jie įsibrovė į pastatą, atjungė elektros maitinimą ir studijų aparatūrą, tačiau neradę praėjimo į 4 aukštų pastatą bei gavę komandą, prisijungė prie LRT 9 aukštų pastate buvusių kariškių.</w:t>
      </w:r>
    </w:p>
    <w:p w:rsidR="00DA38E9" w:rsidRPr="00C00255" w:rsidRDefault="00DA38E9" w:rsidP="00DA38E9">
      <w:pPr>
        <w:pStyle w:val="ListParagraph"/>
        <w:numPr>
          <w:ilvl w:val="1"/>
          <w:numId w:val="6"/>
        </w:numPr>
        <w:spacing w:after="120"/>
        <w:ind w:left="992" w:hanging="992"/>
        <w:contextualSpacing w:val="0"/>
      </w:pPr>
      <w:r w:rsidRPr="00C00255">
        <w:rPr>
          <w:szCs w:val="24"/>
          <w:lang w:eastAsia="lt-LT" w:bidi="lt-LT"/>
        </w:rPr>
        <w:t xml:space="preserve">Desantininkai iš ketvirtosios grupės, vadovaujami </w:t>
      </w:r>
      <w:r>
        <w:rPr>
          <w:szCs w:val="24"/>
          <w:lang w:eastAsia="lt-LT" w:bidi="lt-LT"/>
        </w:rPr>
        <w:t>R. J. 2</w:t>
      </w:r>
      <w:r w:rsidRPr="00C00255">
        <w:rPr>
          <w:szCs w:val="24"/>
          <w:lang w:eastAsia="lt-LT" w:bidi="lt-LT"/>
        </w:rPr>
        <w:t xml:space="preserve">, BMD Nr. 206 išlaužus tvorą, pateko į techninę LRT teritoriją. Patikrinę techninį pastatą, jie rado vieną žmogų, kurį išvarė ir </w:t>
      </w:r>
      <w:r>
        <w:rPr>
          <w:szCs w:val="24"/>
          <w:lang w:eastAsia="lt-LT" w:bidi="lt-LT"/>
        </w:rPr>
        <w:t>G. G.</w:t>
      </w:r>
      <w:r w:rsidRPr="00C00255">
        <w:rPr>
          <w:szCs w:val="24"/>
          <w:lang w:eastAsia="lt-LT" w:bidi="lt-LT"/>
        </w:rPr>
        <w:t xml:space="preserve"> nurodymu, pro šonines LRT 4 aukštų pastato duris įėjo į vidų ir prisijungė prie kitų ten buvusių karinių dalinių (t. 480, b. l. 56</w:t>
      </w:r>
      <w:bookmarkStart w:id="599" w:name="_Hlk64984412"/>
      <w:r w:rsidRPr="00C00255">
        <w:rPr>
          <w:szCs w:val="24"/>
          <w:lang w:eastAsia="lt-LT" w:bidi="lt-LT"/>
        </w:rPr>
        <w:t>–</w:t>
      </w:r>
      <w:bookmarkEnd w:id="599"/>
      <w:r w:rsidRPr="00C00255">
        <w:rPr>
          <w:szCs w:val="24"/>
          <w:lang w:eastAsia="lt-LT" w:bidi="lt-LT"/>
        </w:rPr>
        <w:t xml:space="preserve">61). </w:t>
      </w:r>
    </w:p>
    <w:p w:rsidR="00DA38E9" w:rsidRPr="00C00255" w:rsidRDefault="00DA38E9" w:rsidP="00DA38E9">
      <w:pPr>
        <w:pStyle w:val="ListParagraph"/>
        <w:numPr>
          <w:ilvl w:val="0"/>
          <w:numId w:val="6"/>
        </w:numPr>
        <w:spacing w:after="120"/>
        <w:ind w:left="992" w:hanging="992"/>
        <w:contextualSpacing w:val="0"/>
      </w:pPr>
      <w:r w:rsidRPr="00C00255">
        <w:rPr>
          <w:szCs w:val="24"/>
          <w:lang w:eastAsia="lt-LT"/>
        </w:rPr>
        <w:t xml:space="preserve">Byloje tokios LRT pastatų užėmimo aplinkybės ir oro desanto kariškių veiksmai ginčijami iš esmės tiek, kiek tai susiję su atskirų operacijai vadovavusių ir šioje byloje nuteistų TSRS GM 76-osios oro desanto divizijos kariškių veiksmais, todėl teisėjų kolegija apie tai pasisakys, analizuodama atskiriems šios divizijos daliniams vadovavusių ir šioje byloje pirmosios instancijos teismo nuosprendžiu nuteistų asmenų veiksmus. </w:t>
      </w:r>
    </w:p>
    <w:p w:rsidR="00DA38E9" w:rsidRPr="00055544" w:rsidRDefault="00DA38E9" w:rsidP="00DA38E9">
      <w:pPr>
        <w:pStyle w:val="ListParagraph"/>
        <w:numPr>
          <w:ilvl w:val="0"/>
          <w:numId w:val="6"/>
        </w:numPr>
        <w:spacing w:after="120"/>
        <w:ind w:left="992" w:hanging="992"/>
        <w:contextualSpacing w:val="0"/>
      </w:pPr>
      <w:r w:rsidRPr="00055544">
        <w:t xml:space="preserve">Pagal teismo nuosprendžiu nustatytas ir jau minėtas kariškių paskirstymo į keturias LRT pastatų šturmo operacines grupes aplinkybes pirmajai kariškių grupei iš 237-ojo pulko 1-ojo bataliono 1-osios ir 2-osios kuopos vadovavo nuteistieji J. G., I. Š., A. F. 1, K. U., A. F. 2, J. J. ir A. I.. Antrajai kariškių grupei iš 234-ojo pulko 3-iojo bataliono 7-osios kuopos vadovavo nuteistieji S. M., V. S. 3, </w:t>
      </w:r>
      <w:r w:rsidR="00055544" w:rsidRPr="00055544">
        <w:t>A. N. 2</w:t>
      </w:r>
      <w:r w:rsidRPr="00055544">
        <w:t xml:space="preserve">, A. S., A. C. ir karininkas, kurio atsakomybės klausimas šioje byloje nebuvo sprendžiamas. Trečiajai kariškių grupei iš 234-ojo pulko savaeigės artilerijos diviziono 1-osios savaeigės artilerijos baterijos vadovavo nuteistieji B. S., S. G. ir V. G.. Ketvirtajai kariškių grupei iš 234-ojo pulko žvalgybos kuopos vadovavo nuteistasis R. J. 2 ir kiti karininkai, kurių atsakomybės klausimas šioje byloje nebuvo sprendžiamas. Visiems šiems kariškiams LRT šturmo metu, pagal skundžiamą nuosprendį, </w:t>
      </w:r>
      <w:r w:rsidRPr="00055544">
        <w:rPr>
          <w:rFonts w:eastAsia="Calibri"/>
        </w:rPr>
        <w:t>vadovavo ir jų veiksmus koordinavo TSRS GM 76-osios oro desanto divizijos 234-ojo pulko žvalgybos viršininkas S. P., kuris savo veiksmus ryšio priemonėmis tiesiogiai derino su vadovavimo štabe buvusiu šios divizijos vado pavaduotoju V. K. 1. Atsakingu už šios operacijos įvykdymą buvo paskirtas divizijos 234-ojo pulko štabo viršininkas G. G., kuris dalyvavo ir užimant atskirus LRT pastatus (nuosprendžio 514–520 l.).</w:t>
      </w:r>
      <w:r w:rsidRPr="00055544">
        <w:rPr>
          <w:rFonts w:eastAsia="Calibri"/>
          <w:szCs w:val="24"/>
        </w:rPr>
        <w:t xml:space="preserve"> </w:t>
      </w:r>
      <w:r w:rsidRPr="00055544">
        <w:rPr>
          <w:szCs w:val="24"/>
        </w:rPr>
        <w:t xml:space="preserve"> </w:t>
      </w:r>
    </w:p>
    <w:p w:rsidR="00DA38E9" w:rsidRPr="00C00255" w:rsidRDefault="00DA38E9" w:rsidP="00DA38E9">
      <w:pPr>
        <w:pStyle w:val="Heading4"/>
        <w:spacing w:before="120" w:after="120"/>
        <w:ind w:left="992"/>
        <w:rPr>
          <w:rFonts w:ascii="Times New Roman" w:hAnsi="Times New Roman"/>
          <w:b w:val="0"/>
          <w:i/>
          <w:sz w:val="24"/>
          <w:szCs w:val="24"/>
        </w:rPr>
      </w:pPr>
      <w:bookmarkStart w:id="600" w:name="_Toc66697286"/>
      <w:r w:rsidRPr="00C00255">
        <w:rPr>
          <w:rFonts w:ascii="Times New Roman" w:hAnsi="Times New Roman"/>
          <w:b w:val="0"/>
          <w:i/>
          <w:sz w:val="24"/>
          <w:szCs w:val="24"/>
        </w:rPr>
        <w:t xml:space="preserve">Dėl nuteistųjų </w:t>
      </w:r>
      <w:r>
        <w:rPr>
          <w:rFonts w:ascii="Times New Roman" w:hAnsi="Times New Roman"/>
          <w:b w:val="0"/>
          <w:i/>
          <w:sz w:val="24"/>
          <w:szCs w:val="24"/>
        </w:rPr>
        <w:t>S. P.</w:t>
      </w:r>
      <w:r w:rsidRPr="00C00255">
        <w:rPr>
          <w:rFonts w:ascii="Times New Roman" w:hAnsi="Times New Roman"/>
          <w:b w:val="0"/>
          <w:i/>
          <w:sz w:val="24"/>
          <w:szCs w:val="24"/>
        </w:rPr>
        <w:t xml:space="preserve">, </w:t>
      </w:r>
      <w:r>
        <w:rPr>
          <w:rFonts w:ascii="Times New Roman" w:hAnsi="Times New Roman"/>
          <w:b w:val="0"/>
          <w:i/>
          <w:sz w:val="24"/>
          <w:szCs w:val="24"/>
        </w:rPr>
        <w:t>V. K. 1</w:t>
      </w:r>
      <w:r w:rsidRPr="00C00255">
        <w:rPr>
          <w:rFonts w:ascii="Times New Roman" w:hAnsi="Times New Roman"/>
          <w:b w:val="0"/>
          <w:i/>
          <w:sz w:val="24"/>
          <w:szCs w:val="24"/>
        </w:rPr>
        <w:t xml:space="preserve"> ir </w:t>
      </w:r>
      <w:r>
        <w:rPr>
          <w:rFonts w:ascii="Times New Roman" w:hAnsi="Times New Roman"/>
          <w:b w:val="0"/>
          <w:i/>
          <w:sz w:val="24"/>
          <w:szCs w:val="24"/>
        </w:rPr>
        <w:t>G. G.</w:t>
      </w:r>
      <w:r w:rsidRPr="00C00255">
        <w:rPr>
          <w:rFonts w:ascii="Times New Roman" w:hAnsi="Times New Roman"/>
          <w:b w:val="0"/>
          <w:i/>
          <w:sz w:val="24"/>
          <w:szCs w:val="24"/>
        </w:rPr>
        <w:t xml:space="preserve"> dalyvavimo užimant LRT</w:t>
      </w:r>
      <w:bookmarkEnd w:id="600"/>
      <w:r w:rsidRPr="00C00255">
        <w:rPr>
          <w:rFonts w:ascii="Times New Roman" w:hAnsi="Times New Roman"/>
          <w:b w:val="0"/>
          <w:i/>
          <w:sz w:val="24"/>
          <w:szCs w:val="24"/>
        </w:rPr>
        <w:t xml:space="preserve"> </w:t>
      </w:r>
    </w:p>
    <w:p w:rsidR="00DA38E9" w:rsidRPr="00055544" w:rsidRDefault="00DA38E9" w:rsidP="00DA38E9">
      <w:pPr>
        <w:pStyle w:val="ListParagraph"/>
        <w:numPr>
          <w:ilvl w:val="0"/>
          <w:numId w:val="6"/>
        </w:numPr>
        <w:spacing w:before="120" w:after="120"/>
        <w:ind w:left="993" w:hanging="993"/>
        <w:contextualSpacing w:val="0"/>
      </w:pPr>
      <w:r w:rsidRPr="00055544">
        <w:t>Apeliacinės instancijos teismo teisėjų kolegija, įvertinusi bylos medžiagą ir byloje pateiktų apeliacinių skundų argumentus dėl LRT pastatų užėmime dalyvavusių kariškių vadovaujančio vaidmens, iš esmės sutinka su teismo išvadomis nustatant aukščiausią vadovaujamą nuteistųjų</w:t>
      </w:r>
      <w:r w:rsidRPr="00055544">
        <w:rPr>
          <w:szCs w:val="24"/>
        </w:rPr>
        <w:t xml:space="preserve"> V. K. 1, S. P. ir G. G. vaidmenį užimant šių pastatų kompleksą.</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01" w:name="_Toc66697287"/>
      <w:r w:rsidRPr="00C00255">
        <w:rPr>
          <w:rFonts w:ascii="Times New Roman" w:hAnsi="Times New Roman" w:cs="Times New Roman"/>
          <w:i/>
          <w:color w:val="auto"/>
        </w:rPr>
        <w:t xml:space="preserve">Dėl nuteistojo </w:t>
      </w:r>
      <w:r>
        <w:rPr>
          <w:rFonts w:ascii="Times New Roman" w:hAnsi="Times New Roman" w:cs="Times New Roman"/>
          <w:i/>
          <w:color w:val="auto"/>
        </w:rPr>
        <w:t>S. P.</w:t>
      </w:r>
      <w:r w:rsidRPr="00C00255">
        <w:rPr>
          <w:rFonts w:ascii="Times New Roman" w:hAnsi="Times New Roman" w:cs="Times New Roman"/>
          <w:i/>
          <w:color w:val="auto"/>
        </w:rPr>
        <w:t xml:space="preserve"> dalyvavimo užimant LRT</w:t>
      </w:r>
      <w:bookmarkEnd w:id="601"/>
      <w:r w:rsidRPr="00C00255">
        <w:rPr>
          <w:rFonts w:ascii="Times New Roman" w:hAnsi="Times New Roman" w:cs="Times New Roman"/>
          <w:i/>
          <w:color w:val="auto"/>
        </w:rPr>
        <w:t xml:space="preserve"> </w:t>
      </w:r>
    </w:p>
    <w:p w:rsidR="00DA38E9" w:rsidRPr="00055544" w:rsidRDefault="00DA38E9" w:rsidP="00DA38E9">
      <w:pPr>
        <w:pStyle w:val="ListParagraph"/>
        <w:numPr>
          <w:ilvl w:val="0"/>
          <w:numId w:val="6"/>
        </w:numPr>
        <w:spacing w:before="120" w:after="120"/>
        <w:ind w:left="993" w:hanging="993"/>
        <w:contextualSpacing w:val="0"/>
        <w:rPr>
          <w:szCs w:val="24"/>
          <w:lang w:eastAsia="lt-LT" w:bidi="lt-LT"/>
        </w:rPr>
      </w:pPr>
      <w:r w:rsidRPr="00055544">
        <w:rPr>
          <w:szCs w:val="24"/>
          <w:lang w:eastAsia="lt-LT"/>
        </w:rPr>
        <w:t>Apeliacinės instancijos teismo vertinimu, apygardos teismo išvada, kad TSRS GM 76-osios oro desanto divizijos 234-ojo pulko žvalgybos tarnybos viršininkas kapitonas S. P., pats būdamas prie LRT, vadovavo kariniams daliniams šturmuojant LRT ir koordinavo jų veiksmus, yra pagrįsta ir teisinga. Kaip teisingi pasitvirtino ir kiti skundžiamo nuosprendžio nustatomojoje dalyje nurodyti konkretūs S. P. veiksmai užimant LRT pastatus: a) </w:t>
      </w:r>
      <w:r w:rsidRPr="00055544">
        <w:rPr>
          <w:szCs w:val="24"/>
          <w:lang w:eastAsia="lt-LT" w:bidi="lt-LT"/>
        </w:rPr>
        <w:t>vienas iš nenustatytų kariškių, kuris koordinavo ir prižiūrėjo VRM Vidaus kariuomenės 42-osios divizijos kariškių veiksmus prie LRT, ryšio priemonėmis veiksmus derino su S. P.; b) S. P. vadovavo tankų bei karinių automobilių kolonai, vykusiai prie LRT pastatų</w:t>
      </w:r>
      <w:r w:rsidRPr="00055544">
        <w:t>; c) S. P. atvyko paskui karinę techniką, išlaužusią LRT juosiančios tvoros dalį, automobiliu KŠM GAZ-66 kartu su trimis 234-ojo pulko ryšių kuopos kariškiais ir kariškiu, užtikrinančiu ryšių priemonių ir patikimo ryšio veikimą operacijos metu, privažiavo prie LRT Televizijos 9 aukštų pastato (</w:t>
      </w:r>
      <w:r w:rsidRPr="00055544">
        <w:rPr>
          <w:rFonts w:eastAsia="Calibri"/>
        </w:rPr>
        <w:t>žr. nuosprendžio 514–517 l.; t. 771, b. l. 114–117)</w:t>
      </w:r>
      <w:r w:rsidRPr="00055544">
        <w:t xml:space="preserve">. </w:t>
      </w:r>
      <w:r w:rsidRPr="00055544">
        <w:rPr>
          <w:rFonts w:eastAsia="Calibri"/>
        </w:rPr>
        <w:t xml:space="preserve">Skundžiamo nuosprendžio </w:t>
      </w:r>
      <w:r w:rsidRPr="00055544">
        <w:t>nustatomojoje dalyje nurodyta ir tai, kad LRT užėmimo metu S. P. veiksmus derino su V. K. 1, buvusiu vadovavimo štabe, bei, kad abu šie nuteistieji paskyrė 237-ojo pulko 1-ojo bataliono 1-ajai ir 2-ajai kuopoms vadovauti nuteistąjį J. G.. Kadangi šie S. P. veiksmai tiesiogiai susiję su</w:t>
      </w:r>
      <w:r w:rsidRPr="00055544">
        <w:rPr>
          <w:color w:val="000000"/>
          <w:szCs w:val="24"/>
          <w:lang w:eastAsia="lt-LT" w:bidi="lt-LT"/>
        </w:rPr>
        <w:t xml:space="preserve"> V. K. 1 veiksmais, dėl jų pagrįstumo teisėjų kolegija atskirai pasisakys šio sprendimo dalyje „</w:t>
      </w:r>
      <w:r w:rsidRPr="00055544">
        <w:rPr>
          <w:i/>
          <w:color w:val="000000"/>
          <w:szCs w:val="24"/>
          <w:lang w:eastAsia="lt-LT" w:bidi="lt-LT"/>
        </w:rPr>
        <w:t>Dėl nuteistojo V. K. 1 dalyvavimo užimant LRT</w:t>
      </w:r>
      <w:r w:rsidRPr="00055544">
        <w:rPr>
          <w:color w:val="000000"/>
          <w:szCs w:val="24"/>
          <w:lang w:eastAsia="lt-LT" w:bidi="lt-LT"/>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rPr>
        <w:t xml:space="preserve">Iš skundžiamo nuosprendžio matyti, kad nustatyti </w:t>
      </w:r>
      <w:r>
        <w:rPr>
          <w:szCs w:val="24"/>
          <w:lang w:eastAsia="lt-LT"/>
        </w:rPr>
        <w:t>S. P.</w:t>
      </w:r>
      <w:r w:rsidRPr="00C00255">
        <w:rPr>
          <w:szCs w:val="24"/>
          <w:lang w:eastAsia="lt-LT"/>
        </w:rPr>
        <w:t xml:space="preserve"> atlikti veiksmai grįsti nuteistųjų, tarp jų ir </w:t>
      </w:r>
      <w:r>
        <w:rPr>
          <w:szCs w:val="24"/>
          <w:lang w:eastAsia="lt-LT"/>
        </w:rPr>
        <w:t>S. P.</w:t>
      </w:r>
      <w:r w:rsidRPr="00C00255">
        <w:rPr>
          <w:szCs w:val="24"/>
          <w:lang w:eastAsia="lt-LT"/>
        </w:rPr>
        <w:t xml:space="preserve">, parodymais (žr. nuosprendžio 782–791 l.; t. 772, b. l. 182–191). Nuteistojo </w:t>
      </w:r>
      <w:r>
        <w:rPr>
          <w:szCs w:val="24"/>
          <w:lang w:eastAsia="lt-LT"/>
        </w:rPr>
        <w:t>S. P.</w:t>
      </w:r>
      <w:r w:rsidRPr="00C00255">
        <w:rPr>
          <w:szCs w:val="24"/>
          <w:lang w:eastAsia="lt-LT"/>
        </w:rPr>
        <w:t xml:space="preserve"> gynėjas apeliaciniame skunde teigia, kad nuosprendis pagrįstas nepatikimais įrodymais – Pskovo prokuratūros pateikti dokumentai atsiųsti ne įstatymų nustatyta tvarka, o liudytojų ir kaltinamųjų parodymai nebuvo patikrinti teisiamojo posėdžio metu, nes jie neapklausti. Teisėjų kolegija pažymi, kad </w:t>
      </w:r>
      <w:r>
        <w:rPr>
          <w:szCs w:val="24"/>
          <w:lang w:eastAsia="lt-LT"/>
        </w:rPr>
        <w:t>S. P.</w:t>
      </w:r>
      <w:r w:rsidRPr="00C00255">
        <w:rPr>
          <w:szCs w:val="24"/>
          <w:lang w:eastAsia="lt-LT"/>
        </w:rPr>
        <w:t xml:space="preserve"> vaidmenį įvykiuose prie LRT patvirtina ne tik kitų nuteistųjų parodymai ir iš TSRS prokuratūros gauti dokumentai, bet ir iš skirtingų įrodymų šaltinių gautų bei BPK 20 straipsnio reikalavimus atitinkančių duomenų visuma.</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lang w:eastAsia="lt-LT"/>
        </w:rPr>
        <w:t xml:space="preserve">Pirmiausia, teisėjų kolegija įvertinusi byloje esančius duomenis, neabejoja, kad </w:t>
      </w:r>
      <w:r>
        <w:rPr>
          <w:lang w:eastAsia="lt-LT"/>
        </w:rPr>
        <w:t>S. P.</w:t>
      </w:r>
      <w:r w:rsidRPr="00C00255">
        <w:rPr>
          <w:lang w:eastAsia="lt-LT"/>
        </w:rPr>
        <w:t xml:space="preserve"> vadovavo tankų bei karinių automobilių kolonai prie LRT pastatų, taip pat vadovavo kariniams daliniams užimant LRT pastatus ir koordinavo jų veiksmus.</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lang w:eastAsia="lt-LT"/>
        </w:rPr>
        <w:t xml:space="preserve">Nuteistojo </w:t>
      </w:r>
      <w:r>
        <w:rPr>
          <w:lang w:eastAsia="lt-LT"/>
        </w:rPr>
        <w:t>S. P.</w:t>
      </w:r>
      <w:r w:rsidRPr="00C00255">
        <w:rPr>
          <w:lang w:eastAsia="lt-LT"/>
        </w:rPr>
        <w:t xml:space="preserve"> koordinacinio ir vadovaujamo pobūdžio veiksmus skirtingiems kariniams daliniams užimant LRT pastatus patvirtina 2014 m. birželio 10 d. išvada, kurią specialistas J. Andriškevičius patvirtino teisiamajame posėdyje bei savo kompetencijos ribose atsakė į nuteistųjų ir jų gynėjų pateiktus klausimus. Specialistas konstatavo, kad LRT užėmimo operacijos metu „buvo parengtos keturių pagrindinių operacinių grupių veikimo detalios schemos &lt;...&gt;. Detalų LRT užėmimo planą ir schemas užduotims rengė bei užduotis skyrė 234 pdp žvalgybos viršininkas kapitonas </w:t>
      </w:r>
      <w:r>
        <w:rPr>
          <w:lang w:eastAsia="lt-LT"/>
        </w:rPr>
        <w:t>S. P.</w:t>
      </w:r>
      <w:r w:rsidRPr="00C00255">
        <w:rPr>
          <w:lang w:eastAsia="lt-LT"/>
        </w:rPr>
        <w:t xml:space="preserve">“ (t. 480, b. l. 54). Taip pat specialistas padarė išvadą, kad „LRT užėmimo operacijai vadovavo 234 pdp žvalgybos viršininkas kapitonas </w:t>
      </w:r>
      <w:r>
        <w:rPr>
          <w:lang w:eastAsia="lt-LT"/>
        </w:rPr>
        <w:t>S. P.</w:t>
      </w:r>
      <w:r w:rsidR="00902A3A">
        <w:rPr>
          <w:lang w:eastAsia="lt-LT"/>
        </w:rPr>
        <w:t>“ (t. </w:t>
      </w:r>
      <w:r w:rsidRPr="00C00255">
        <w:rPr>
          <w:lang w:eastAsia="lt-LT"/>
        </w:rPr>
        <w:t xml:space="preserve">480, b. l. 61). Taigi, karo specialisto įsitikinimu, </w:t>
      </w:r>
      <w:r>
        <w:rPr>
          <w:lang w:eastAsia="lt-LT"/>
        </w:rPr>
        <w:t>S. P.</w:t>
      </w:r>
      <w:r w:rsidRPr="00C00255">
        <w:rPr>
          <w:lang w:eastAsia="lt-LT"/>
        </w:rPr>
        <w:t xml:space="preserve"> atliko tiek svarbų vaidmenį rengiantis LRT pastatų užėmimui, tiek tiesiogiai dalyvavo ir vadovavo kariniams daliniams, užimant minėtus pastatus.</w:t>
      </w:r>
      <w:r w:rsidRPr="00C00255">
        <w:rPr>
          <w:szCs w:val="24"/>
          <w:lang w:eastAsia="lt-LT"/>
        </w:rPr>
        <w:t xml:space="preserve"> Byloje yra ir kitų dokumentų, rodančių, kad </w:t>
      </w:r>
      <w:r>
        <w:rPr>
          <w:szCs w:val="24"/>
          <w:lang w:eastAsia="lt-LT"/>
        </w:rPr>
        <w:t>S. P.</w:t>
      </w:r>
      <w:r w:rsidRPr="00C00255">
        <w:rPr>
          <w:szCs w:val="24"/>
          <w:lang w:eastAsia="lt-LT"/>
        </w:rPr>
        <w:t xml:space="preserve"> dalyvavo užimant LRT pastatus ir ėjo vadovaujančias pareigas. Iš dalinio Nr. 74268 personalo, dalyvavusio 1991 m. sausio 13 d. apsaugos tikslais užimant Televizijos ir radijo centrą, sąrašo matyti, kad kapitonas </w:t>
      </w:r>
      <w:r>
        <w:rPr>
          <w:szCs w:val="24"/>
          <w:lang w:eastAsia="lt-LT"/>
        </w:rPr>
        <w:t>S. P.</w:t>
      </w:r>
      <w:r w:rsidRPr="00C00255">
        <w:rPr>
          <w:szCs w:val="24"/>
          <w:lang w:eastAsia="lt-LT"/>
        </w:rPr>
        <w:t xml:space="preserve"> minėtos operacijos metu buvo karinio dalinio Nr. 74268 valdybos nariu bei aukštą rangą turinčiu kariškiu (t. 451, b. l. 106–108; t. 152, b. l. 145–147). Teisėjų kolegija, atlikdama ir savarankišką specialisto nurodytų duomenų vertinimą, visų kitų byloje surinktų įrodymų kontekste, su tokia specialisto išvada sutinka.</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Sprendžiant dėl </w:t>
      </w:r>
      <w:r>
        <w:rPr>
          <w:szCs w:val="24"/>
          <w:lang w:eastAsia="lt-LT"/>
        </w:rPr>
        <w:t>S. P.</w:t>
      </w:r>
      <w:r w:rsidRPr="00C00255">
        <w:rPr>
          <w:szCs w:val="24"/>
          <w:lang w:eastAsia="lt-LT"/>
        </w:rPr>
        <w:t xml:space="preserve"> vaidmens užimant LRT, svarbūs ir Valstybės saugumo departamento prie Lietuvos Respublikos Vyriausybės (toliau – VSD) pateikti duomenys. Iš byloje pateiktos VSD pažymos apie eterio kontrolę, kurioje užfiksuoti TSRS kariškių</w:t>
      </w:r>
      <w:r w:rsidR="002125AE">
        <w:rPr>
          <w:szCs w:val="24"/>
          <w:lang w:eastAsia="lt-LT"/>
        </w:rPr>
        <w:t xml:space="preserve"> pokalbiai radijo ryšiu 1991 m. </w:t>
      </w:r>
      <w:r w:rsidRPr="00C00255">
        <w:rPr>
          <w:szCs w:val="24"/>
          <w:lang w:eastAsia="lt-LT"/>
        </w:rPr>
        <w:t>sausio 13-osios naktį, taip pat matyti, kad kariškiai tarpusavyje bendravo naudodami šaukinius (</w:t>
      </w:r>
      <w:r w:rsidRPr="00C00255">
        <w:rPr>
          <w:szCs w:val="24"/>
        </w:rPr>
        <w:t>t. 298, b. l. 60–72, 73–87; t. 486, b. l. 80–96, 97–115)</w:t>
      </w:r>
      <w:r w:rsidRPr="00C00255">
        <w:rPr>
          <w:szCs w:val="24"/>
          <w:lang w:eastAsia="lt-LT"/>
        </w:rPr>
        <w:t xml:space="preserve">. Teisėjų kolegijos vertinimu, pokalbiai radijo ryšiu, kitų jau aptartų įrodymų kontekste, leidžia daryti išvadą, kad sausio 13-osios naktį </w:t>
      </w:r>
      <w:r>
        <w:rPr>
          <w:szCs w:val="24"/>
          <w:lang w:eastAsia="lt-LT"/>
        </w:rPr>
        <w:t>S. P.</w:t>
      </w:r>
      <w:r w:rsidRPr="00C00255">
        <w:rPr>
          <w:szCs w:val="24"/>
          <w:lang w:eastAsia="lt-LT"/>
        </w:rPr>
        <w:t>, bendraudamas su kariškiais radijo ryšiu, naudojo šaukinį „Gurzuf-74“.</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color w:val="000000"/>
          <w:szCs w:val="24"/>
          <w:lang w:eastAsia="lt-LT" w:bidi="lt-LT"/>
        </w:rPr>
        <w:t xml:space="preserve">Byloje esantys TSRS kariškių pokalbiai radijo ryšiu atskleidžia išskirtinį </w:t>
      </w:r>
      <w:r>
        <w:rPr>
          <w:color w:val="000000"/>
          <w:szCs w:val="24"/>
          <w:lang w:eastAsia="lt-LT" w:bidi="lt-LT"/>
        </w:rPr>
        <w:t>S. P.</w:t>
      </w:r>
      <w:r w:rsidRPr="00C00255">
        <w:rPr>
          <w:color w:val="000000"/>
          <w:szCs w:val="24"/>
          <w:lang w:eastAsia="lt-LT" w:bidi="lt-LT"/>
        </w:rPr>
        <w:t>, vaidmenį LRT užėmimo operacijos metu (</w:t>
      </w:r>
      <w:r w:rsidRPr="00C00255">
        <w:rPr>
          <w:szCs w:val="24"/>
        </w:rPr>
        <w:t>t. 298, b. l. 73–87; t. 298, b. l. 60–72; t. 486, b. l. 97–115; t. 486, b. l. 80–96)</w:t>
      </w:r>
      <w:r w:rsidRPr="00C00255">
        <w:rPr>
          <w:color w:val="000000"/>
          <w:szCs w:val="24"/>
          <w:lang w:eastAsia="lt-LT" w:bidi="lt-LT"/>
        </w:rPr>
        <w:t>. Iš pokalbių matyti, kad kariškis, šaukiniu „Gurzuf-74“, raportuoja, kad atvyko prie objekto ir valo pirmą užtvarą iš personalo mašinų; „Gurzuf-74“ klausiama, ar jis prasibraus pro minią, į ką pastarasis atsako, kad brausis ir panaudos tam tikras priemones, o galiausiai praneša įsiveržęs į pastatą ir dirbantis viduje</w:t>
      </w:r>
      <w:r w:rsidRPr="00C00255">
        <w:rPr>
          <w:szCs w:val="24"/>
        </w:rPr>
        <w:t xml:space="preserve">. Tokie ir kiti panašūs pokalbiai radijo ryšiu tarp </w:t>
      </w:r>
      <w:r>
        <w:rPr>
          <w:szCs w:val="24"/>
        </w:rPr>
        <w:t>S. P.</w:t>
      </w:r>
      <w:r w:rsidRPr="00C00255">
        <w:rPr>
          <w:szCs w:val="24"/>
        </w:rPr>
        <w:t xml:space="preserve">, naudojusio šaukinį „Gurzuf-74“, ir kitų TSRS kariškių 1991 m. sausio 13-osios naktį neleidžia abejoti tuo, kad </w:t>
      </w:r>
      <w:r>
        <w:rPr>
          <w:szCs w:val="24"/>
        </w:rPr>
        <w:t>S. P.</w:t>
      </w:r>
      <w:r w:rsidRPr="00C00255">
        <w:rPr>
          <w:szCs w:val="24"/>
        </w:rPr>
        <w:t xml:space="preserve"> buvo LRT užėmimo operacijos vadovu ir jos koordinatoriumi.</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color w:val="000000"/>
          <w:szCs w:val="24"/>
          <w:lang w:eastAsia="lt-LT" w:bidi="lt-LT"/>
        </w:rPr>
        <w:t xml:space="preserve">Išvadą, kad naudodamas šaukinį „Gurzuf-74“, </w:t>
      </w:r>
      <w:r>
        <w:rPr>
          <w:color w:val="000000"/>
          <w:szCs w:val="24"/>
          <w:lang w:eastAsia="lt-LT" w:bidi="lt-LT"/>
        </w:rPr>
        <w:t>S. P.</w:t>
      </w:r>
      <w:r w:rsidRPr="00C00255">
        <w:rPr>
          <w:color w:val="000000"/>
          <w:szCs w:val="24"/>
          <w:lang w:eastAsia="lt-LT" w:bidi="lt-LT"/>
        </w:rPr>
        <w:t xml:space="preserve"> vadovavo ir koordinavo karinių dalinių veiksmus užimant LRT, formuoja bei aptartus įrodymus leidžia patikrinti </w:t>
      </w:r>
      <w:r w:rsidRPr="00C00255">
        <w:rPr>
          <w:szCs w:val="24"/>
          <w:lang w:eastAsia="lt-LT" w:bidi="lt-LT"/>
        </w:rPr>
        <w:t>teisiamajame posėdyje</w:t>
      </w:r>
      <w:r w:rsidRPr="00C00255">
        <w:rPr>
          <w:szCs w:val="24"/>
          <w:lang w:eastAsia="lt-LT"/>
        </w:rPr>
        <w:t xml:space="preserve"> </w:t>
      </w:r>
      <w:r w:rsidRPr="00C00255">
        <w:rPr>
          <w:szCs w:val="24"/>
          <w:lang w:eastAsia="lt-LT" w:bidi="lt-LT"/>
        </w:rPr>
        <w:t xml:space="preserve">perskaityti tyrimo metu liudytojais apklaustų kariškių </w:t>
      </w:r>
      <w:r w:rsidRPr="00C00255">
        <w:rPr>
          <w:szCs w:val="24"/>
        </w:rPr>
        <w:t xml:space="preserve">parodymai (t. 760, b. l. 121, 125). Nors gynyba teigia, kad tokie parodymai neatitinka įrodymams keliamų reikalavimų, nes liudytojai posėdyje neapklausti, teisėjų kolegija pažymi, kad baudžiamojo proceso įstatymai nedraudžia teismui vienaip ar kitaip vertinti ne teismui duotus asmenų parodymus. Pagal BPK 276 straipsnio 4 dalį byloje esantiems įrodymams patikrinti gali būti perskaitomi ikiteisminio tyrimo pareigūnui ar prokurorui duoti kaltinamojo, nukentėjusiojo ir liudytojo parodymai. Pagal Lietuvos Aukščiausiojo Teismo formuojamą teismų praktiką kaltinamojo, nukentėjusiojo, liudytojo parodymų, duotų prokurorui ar ikiteisminio tyrimo pareigūnui, perskaitymas ir jų analizė bendrame bylos duomenų kontekste gali būti veiksnys, formuojantis teismo vidinį įsitikinimą (LAT nutartys baudžiamosiose bylose Nr. 2K-276-976/2015, Nr. 2K-31-511/2018, Nr. 2K-48-788/2018 ir kt.). Toliau aptariami asmenų parodymai teisiamajame posėdyje buvo perskaityti, vadovaujantis būtent šia teisės norma, šiuo atveju jie vertinami tikrinant kitus byloje esančius įrodymus bei turi reikšmės formuojantis teismo vidiniam įsitikinimui galutinai įvertinant įrodymus.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Ryšių kuopos radijo stoties viršininkas A.</w:t>
      </w:r>
      <w:r>
        <w:rPr>
          <w:szCs w:val="24"/>
        </w:rPr>
        <w:t> </w:t>
      </w:r>
      <w:r w:rsidRPr="00C00255">
        <w:rPr>
          <w:szCs w:val="24"/>
        </w:rPr>
        <w:t>P</w:t>
      </w:r>
      <w:r>
        <w:rPr>
          <w:szCs w:val="24"/>
        </w:rPr>
        <w:t>.</w:t>
      </w:r>
      <w:r w:rsidRPr="00C00255">
        <w:rPr>
          <w:szCs w:val="24"/>
        </w:rPr>
        <w:t xml:space="preserve"> nurodė, kad kartu su kapitonu </w:t>
      </w:r>
      <w:r>
        <w:rPr>
          <w:szCs w:val="24"/>
        </w:rPr>
        <w:t>S. P.</w:t>
      </w:r>
      <w:r w:rsidRPr="00C00255">
        <w:rPr>
          <w:szCs w:val="24"/>
        </w:rPr>
        <w:t xml:space="preserve"> važiavo automobiliu GAZ-66. Jo pagrindinė užduotis buvo palaikyti radijo ryšį su Šiaurės miesteliu ir vidiniais padaliniais objekte. Liudytojas prie LRT liko automobilyje bei užtikrino netrikdomą ryšį, tik negali pasakyti su kuo konkrečiai ryšys palaikytas, nes viskas buvo užkoduota šaukiniais (t. 435, b. l. 16–18; t. 122, b. l. 23–26). Šiame kontekste pažymėtina, kad </w:t>
      </w:r>
      <w:r w:rsidRPr="00C00255">
        <w:rPr>
          <w:szCs w:val="24"/>
          <w:lang w:eastAsia="lt-LT" w:bidi="lt-LT"/>
        </w:rPr>
        <w:t xml:space="preserve">specialistas vaizdo įrašuose prie LRT Televizijos pastato matytą automobilį GAZ-66 su radijo antenomis, įvardijo kaip pagrindinę oro desanto padalinių ryšio palaikymo priemonę (t. 479, b. l. 141, 271). </w:t>
      </w:r>
      <w:r w:rsidRPr="00C00255">
        <w:rPr>
          <w:szCs w:val="24"/>
        </w:rPr>
        <w:t>Taikytojas-operatorius P. Č</w:t>
      </w:r>
      <w:r>
        <w:rPr>
          <w:szCs w:val="24"/>
        </w:rPr>
        <w:t>.</w:t>
      </w:r>
      <w:r w:rsidRPr="00C00255">
        <w:rPr>
          <w:szCs w:val="24"/>
        </w:rPr>
        <w:t xml:space="preserve"> nurodė, kad jam buvo patikėta radijo ryšio stotelė ir jis turėjo užtikrinti žvalgybinės kuopos vado pavaduotojo </w:t>
      </w:r>
      <w:r>
        <w:rPr>
          <w:szCs w:val="24"/>
        </w:rPr>
        <w:t>R. J. 2</w:t>
      </w:r>
      <w:r w:rsidRPr="00C00255">
        <w:rPr>
          <w:szCs w:val="24"/>
        </w:rPr>
        <w:t xml:space="preserve"> ryšį. Jų mašina technikos kolonoje, sudarytoje iš tankų ir BMD, link LRT važiavo šešta, kolonos judėjimo metu veikė ryšys, kuris buvo palaikomas su žvalgybinio dalinio viršininku kapitonu </w:t>
      </w:r>
      <w:r>
        <w:rPr>
          <w:szCs w:val="24"/>
        </w:rPr>
        <w:t>S. P.</w:t>
      </w:r>
      <w:r w:rsidRPr="00C00255">
        <w:rPr>
          <w:szCs w:val="24"/>
        </w:rPr>
        <w:t xml:space="preserve"> (t. 434, b. l. 28–31; t. 121, b. l. 67–72). Minėtų parodymų kontekste svarbūs ir telefonisto-mechaniko </w:t>
      </w:r>
      <w:r>
        <w:rPr>
          <w:szCs w:val="24"/>
        </w:rPr>
        <w:t>R. P.</w:t>
      </w:r>
      <w:r w:rsidRPr="00C00255">
        <w:rPr>
          <w:szCs w:val="24"/>
        </w:rPr>
        <w:t xml:space="preserve"> parodymai apie tai, kad karinės technikos kolonai važiuojant prie LRT vadovavo karininkas, kurio šaukinys buvo „Gurzuf-74“ bei kuris davė komandas, kaip veikti prie LRT pastatų, pavyzdžiui, nuslopinti šaudymą iš 5-ojo aukšto lango (t. 435, b. l. 146–149; t. 122, b. l. 204–212).</w:t>
      </w:r>
    </w:p>
    <w:p w:rsidR="002125AE" w:rsidRDefault="00DA38E9" w:rsidP="002125AE">
      <w:pPr>
        <w:pStyle w:val="ListParagraph"/>
        <w:numPr>
          <w:ilvl w:val="0"/>
          <w:numId w:val="6"/>
        </w:numPr>
        <w:spacing w:before="120" w:after="120"/>
        <w:ind w:left="993" w:hanging="993"/>
        <w:contextualSpacing w:val="0"/>
        <w:rPr>
          <w:szCs w:val="24"/>
        </w:rPr>
      </w:pPr>
      <w:r w:rsidRPr="00C00255">
        <w:rPr>
          <w:szCs w:val="24"/>
        </w:rPr>
        <w:t xml:space="preserve">Taigi, iš aptartų liudytojų parodymų matyti, kad liudytojų parodymai atitinka vieni kitus bei papildo pirmiau aptartus įrodymus apie </w:t>
      </w:r>
      <w:r>
        <w:rPr>
          <w:szCs w:val="24"/>
        </w:rPr>
        <w:t>S. P.</w:t>
      </w:r>
      <w:r w:rsidRPr="00C00255">
        <w:rPr>
          <w:szCs w:val="24"/>
        </w:rPr>
        <w:t xml:space="preserve"> operacijos metu vykdytą skirtingų karinių dalinių veiksmų koordinavimą, t. y. užimant LRT buvimą mašinoje, kuri skirta palaikyti nenutrūkstamą bei netrikdomą radijo ryšį su skirtingais kariniais daliniais, turėtus kontaktus radijo ryšiu ne tik su operacijoje tiesiogiai dalyvavusiais kariniais daliniais, tačiau ir su operacijos vadovavimo štabu, įsikūrusiu kariniame miestelyje, bei neleidžia abejoti, kad šaukinį „Gurzuf-74“ naudojo </w:t>
      </w:r>
      <w:r>
        <w:rPr>
          <w:szCs w:val="24"/>
        </w:rPr>
        <w:t>S. P.</w:t>
      </w:r>
      <w:r w:rsidRPr="00C00255">
        <w:rPr>
          <w:szCs w:val="24"/>
        </w:rPr>
        <w:t xml:space="preserve">. </w:t>
      </w:r>
      <w:r w:rsidRPr="00C00255">
        <w:rPr>
          <w:szCs w:val="24"/>
          <w:lang w:eastAsia="lt-LT" w:bidi="lt-LT"/>
        </w:rPr>
        <w:t>A</w:t>
      </w:r>
      <w:r w:rsidRPr="00C00255">
        <w:rPr>
          <w:szCs w:val="24"/>
        </w:rPr>
        <w:t xml:space="preserve">ptartos aplinkybės dėl </w:t>
      </w:r>
      <w:r>
        <w:rPr>
          <w:szCs w:val="24"/>
        </w:rPr>
        <w:t>S. P.</w:t>
      </w:r>
      <w:r w:rsidRPr="00C00255">
        <w:rPr>
          <w:szCs w:val="24"/>
        </w:rPr>
        <w:t xml:space="preserve"> vaidmens taip pat neleidžia abejoti pirmosios instancijos teismo išvada, kad </w:t>
      </w:r>
      <w:r w:rsidRPr="00C00255">
        <w:rPr>
          <w:szCs w:val="24"/>
          <w:lang w:eastAsia="lt-LT" w:bidi="lt-LT"/>
        </w:rPr>
        <w:t xml:space="preserve">TSRS VRM Vidaus kariuomenės 42-osios divizijos kariškių veiksmus prie LRT koordinavęs ir prižiūrėjęs nenustatytos tapatybės kariškis veiksmus ryšio priemonėmis derino su </w:t>
      </w:r>
      <w:r>
        <w:rPr>
          <w:szCs w:val="24"/>
          <w:lang w:eastAsia="lt-LT" w:bidi="lt-LT"/>
        </w:rPr>
        <w:t>S. P.</w:t>
      </w:r>
    </w:p>
    <w:p w:rsidR="002125AE" w:rsidRPr="00055544" w:rsidRDefault="00DA38E9" w:rsidP="002125AE">
      <w:pPr>
        <w:pStyle w:val="ListParagraph"/>
        <w:numPr>
          <w:ilvl w:val="0"/>
          <w:numId w:val="6"/>
        </w:numPr>
        <w:spacing w:before="120" w:after="120"/>
        <w:ind w:left="993" w:hanging="993"/>
        <w:contextualSpacing w:val="0"/>
        <w:rPr>
          <w:szCs w:val="24"/>
        </w:rPr>
      </w:pPr>
      <w:r w:rsidRPr="00055544">
        <w:rPr>
          <w:szCs w:val="24"/>
          <w:lang w:eastAsia="lt-LT" w:bidi="lt-LT"/>
        </w:rPr>
        <w:t>Atitinkamai pagrįsta laikytina ir išvada, kad paskui karinę techniką, išlaužusią LRT juosiančios tvoros dalį, automobiliu KŠM GAZ-66 S. P. prie LRT Televizijos (9 aukštų) pastato atvažiavo kartu su trimis 234-ojo pulko ryšių kuopos kariškiais ir kariškiu, užtikrinusiu patikimo ryšio veikimą operacijos metu. 2014 m. birželio 10 d. specialisto išvadoje, įvertinus iš skirtingų šaltinių gautus duomenis, konstatuota, kad „Karinė technika, pavojingai manevruodama &lt;...&gt; priartėjo prie 9 aukštų LRT pastato statybvietės aptvarų ir įėjimo į pastatą. Tankas, kurio b/n 559 &lt;...&gt;, kartu su BMD, kurios b/n 277 išlaužė statybvietės aptvaro dalį ir privažiavo prie pastato. Paskui juos įvažiavo KŠM GAZ-66 bazės pagrindu“ (t. </w:t>
      </w:r>
      <w:r w:rsidR="002125AE" w:rsidRPr="00055544">
        <w:rPr>
          <w:szCs w:val="24"/>
          <w:lang w:eastAsia="lt-LT" w:bidi="lt-LT"/>
        </w:rPr>
        <w:t>480, b. l. </w:t>
      </w:r>
      <w:r w:rsidRPr="00055544">
        <w:rPr>
          <w:szCs w:val="24"/>
          <w:lang w:eastAsia="lt-LT" w:bidi="lt-LT"/>
        </w:rPr>
        <w:t xml:space="preserve">59–60). Byloje yra ir nuotrauka, iš kurios, specialisto įsitikinimu, matyti, kad aptariama mašina GAZ-66, kuri yra kamufliažinės spalvos ir turi radijo antenas, stovi statybinėje aikštelėje priešais LRT Televizijos pastatą (t. 479, b. l. 141, 271). Tai, kad karinei technikai išlaužus aptvarą, paskui ją prie pastato privažiavo ir GAZ-66, kuriame buvo S. P., leidžia teigti teisiamajame posėdyje perskaityti šios mašinos vairuotojo liudytojo I. R. parodymai </w:t>
      </w:r>
      <w:r w:rsidRPr="00055544">
        <w:rPr>
          <w:szCs w:val="24"/>
        </w:rPr>
        <w:t>(t. 760, b. l. 121)</w:t>
      </w:r>
      <w:r w:rsidRPr="00055544">
        <w:rPr>
          <w:szCs w:val="24"/>
          <w:lang w:eastAsia="lt-LT" w:bidi="lt-LT"/>
        </w:rPr>
        <w:t xml:space="preserve">. </w:t>
      </w:r>
      <w:r w:rsidRPr="00055544">
        <w:rPr>
          <w:szCs w:val="24"/>
        </w:rPr>
        <w:t xml:space="preserve">Pastarasis nurodė, kad BMD išlaužus vieną aptvaro dalį, jis mašina GAZ-66 įvažiavo į teritoriją ir ją sustabdė netoli 9 aukštų televizijos ir radijo komiteto pastato (t. 435, b. l. 9–12; t. 122, b. l. 14–19). </w:t>
      </w:r>
    </w:p>
    <w:p w:rsidR="002125AE" w:rsidRPr="00055544" w:rsidRDefault="00DA38E9" w:rsidP="002125AE">
      <w:pPr>
        <w:pStyle w:val="ListParagraph"/>
        <w:numPr>
          <w:ilvl w:val="0"/>
          <w:numId w:val="6"/>
        </w:numPr>
        <w:spacing w:before="120" w:after="120"/>
        <w:ind w:left="993" w:hanging="993"/>
        <w:contextualSpacing w:val="0"/>
        <w:rPr>
          <w:szCs w:val="24"/>
        </w:rPr>
      </w:pPr>
      <w:r w:rsidRPr="00055544">
        <w:rPr>
          <w:szCs w:val="24"/>
        </w:rPr>
        <w:t>Atsižvelgdama į visa tai, kas minėta, teisėjų kolegija konstatuoja, kad v</w:t>
      </w:r>
      <w:r w:rsidRPr="00055544">
        <w:rPr>
          <w:szCs w:val="24"/>
          <w:lang w:eastAsia="lt-LT" w:bidi="lt-LT"/>
        </w:rPr>
        <w:t xml:space="preserve">isos skundžiamu nuosprendžiu įrodytomis pripažintos </w:t>
      </w:r>
      <w:r w:rsidRPr="00055544">
        <w:rPr>
          <w:szCs w:val="24"/>
        </w:rPr>
        <w:t xml:space="preserve">nuteistajam S. P. inkriminuotos faktinės aplinkybės, susijusios su jo veiksmais užimant LRT (nuosprendžio 514–520 l.), pasitvirtino kaip pagrįstos ir teisingos. </w:t>
      </w:r>
    </w:p>
    <w:p w:rsidR="00DA38E9" w:rsidRPr="00055544" w:rsidRDefault="00DA38E9" w:rsidP="002125AE">
      <w:pPr>
        <w:pStyle w:val="ListParagraph"/>
        <w:numPr>
          <w:ilvl w:val="0"/>
          <w:numId w:val="6"/>
        </w:numPr>
        <w:spacing w:before="120" w:after="120"/>
        <w:ind w:left="993" w:hanging="993"/>
        <w:contextualSpacing w:val="0"/>
        <w:rPr>
          <w:szCs w:val="24"/>
        </w:rPr>
      </w:pPr>
      <w:r w:rsidRPr="00055544">
        <w:rPr>
          <w:rFonts w:eastAsia="Calibri"/>
          <w:szCs w:val="24"/>
        </w:rPr>
        <w:t>S. P. gynėjo įsitikinimu, jo ginamasis nedavė nurodymų ir įsakymų TSRS VSK grupės „A“ ir TSRS VRM Vidaus kariuomenės 42-osios divizijos kariškiams, o būtent jų veiksmais prie LRT buvo nužudytas A. K.. Anot gynėjo, iš S. P. parodymų matyti, kad pastarasis, vykdydamas V. K. 1 įsakymą, suplanavo techninę operacijos pusę – numatė maršrutą prie LRT ir operacijoje dalyvausiančias pajėgas Nuvykęs prie LRT, S. P. liko transporto priemonėje ir palaikė ryšį su padalinių vadovais ir viršininku V. K. 1. Pasak gynėjo,</w:t>
      </w:r>
      <w:r w:rsidRPr="00055544">
        <w:rPr>
          <w:szCs w:val="24"/>
        </w:rPr>
        <w:t xml:space="preserve"> S. P. atskiriems daliniams įsakymų dėl taktikos ir ginklų panaudojimo nedavė, todėl už tai atsakingi atskirų karinių dalinių karininkai</w:t>
      </w:r>
      <w:r w:rsidRPr="00055544">
        <w:rPr>
          <w:rFonts w:eastAsia="Calibri"/>
          <w:szCs w:val="24"/>
        </w:rPr>
        <w:t xml:space="preserve">. </w:t>
      </w:r>
      <w:r w:rsidRPr="00055544">
        <w:rPr>
          <w:szCs w:val="24"/>
        </w:rPr>
        <w:t xml:space="preserve">Apeliacinės instancijos teismo vertinimu, šiais S. P. gynėjo teiginiais siekiama nepagrįstai sušvelninti nuteistojo vaidmenį LRT užėmimo operacijoje. Šiame kontekste teisėjų kolegija pažymi, kad skunde pateikiama tik ta S. P. parodymų dalis, kuri naudinga nuteistajam, nutylint, kad tyrimo metu pats nuteistasis nurodė, jog dar prieš operaciją jis </w:t>
      </w:r>
      <w:r w:rsidRPr="00055544">
        <w:rPr>
          <w:rFonts w:eastAsia="Calibri"/>
          <w:szCs w:val="24"/>
        </w:rPr>
        <w:t xml:space="preserve">TSRS VSK </w:t>
      </w:r>
      <w:r w:rsidRPr="00055544">
        <w:rPr>
          <w:szCs w:val="24"/>
        </w:rPr>
        <w:t xml:space="preserve">grupės „A“ kariškių vyresniajam paaiškinęs, kokiu būdu jie planuoja veikti, kokios pajėgos dalyvaus prie LRT (t. 430, b. l. 8–9; t. 117, b. l. 9–13). Be to, tai, kad S. P. įvykių vietoje davė įsakymus ir dėl taktikos bei ginklų panaudojimo patvirtina pirmiau aptarti </w:t>
      </w:r>
      <w:r w:rsidRPr="00055544">
        <w:rPr>
          <w:rFonts w:eastAsia="Calibri"/>
          <w:szCs w:val="24"/>
        </w:rPr>
        <w:t xml:space="preserve">S. P., kurio šaukinys „Gurzuf-74“, ir kitų kariškių 1991 m. </w:t>
      </w:r>
      <w:r w:rsidRPr="00055544">
        <w:rPr>
          <w:rFonts w:eastAsia="Calibri"/>
        </w:rPr>
        <w:t>sausio 13</w:t>
      </w:r>
      <w:r w:rsidRPr="00055544">
        <w:rPr>
          <w:rFonts w:eastAsia="Calibri"/>
          <w:szCs w:val="24"/>
        </w:rPr>
        <w:t>-osios naktį vykę pokalbiai ryšio priemonėmis.</w:t>
      </w:r>
      <w:r w:rsidRPr="00055544">
        <w:rPr>
          <w:szCs w:val="24"/>
        </w:rPr>
        <w:t xml:space="preserve"> </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02" w:name="_Toc66697288"/>
      <w:r w:rsidRPr="00C00255">
        <w:rPr>
          <w:rFonts w:ascii="Times New Roman" w:hAnsi="Times New Roman" w:cs="Times New Roman"/>
          <w:i/>
          <w:color w:val="auto"/>
        </w:rPr>
        <w:t xml:space="preserve">Dėl nuteistojo </w:t>
      </w:r>
      <w:r>
        <w:rPr>
          <w:rFonts w:ascii="Times New Roman" w:hAnsi="Times New Roman" w:cs="Times New Roman"/>
          <w:i/>
          <w:color w:val="auto"/>
        </w:rPr>
        <w:t>V. K. 1</w:t>
      </w:r>
      <w:r w:rsidRPr="00C00255">
        <w:rPr>
          <w:rFonts w:ascii="Times New Roman" w:hAnsi="Times New Roman" w:cs="Times New Roman"/>
          <w:i/>
          <w:color w:val="auto"/>
        </w:rPr>
        <w:t xml:space="preserve"> dalyvavimo užimant LRT</w:t>
      </w:r>
      <w:bookmarkEnd w:id="602"/>
      <w:r w:rsidRPr="00C00255">
        <w:rPr>
          <w:rFonts w:ascii="Times New Roman" w:hAnsi="Times New Roman" w:cs="Times New Roman"/>
          <w:i/>
          <w:color w:val="auto"/>
        </w:rPr>
        <w:t xml:space="preserve"> </w:t>
      </w:r>
    </w:p>
    <w:p w:rsidR="00DA38E9" w:rsidRPr="00055544" w:rsidRDefault="00DA38E9" w:rsidP="00DA38E9">
      <w:pPr>
        <w:pStyle w:val="ListParagraph"/>
        <w:numPr>
          <w:ilvl w:val="0"/>
          <w:numId w:val="6"/>
        </w:numPr>
        <w:spacing w:before="120" w:after="120"/>
        <w:ind w:left="993" w:hanging="993"/>
        <w:contextualSpacing w:val="0"/>
        <w:rPr>
          <w:szCs w:val="24"/>
          <w:lang w:eastAsia="lt-LT" w:bidi="lt-LT"/>
        </w:rPr>
      </w:pPr>
      <w:r w:rsidRPr="00055544">
        <w:rPr>
          <w:szCs w:val="24"/>
          <w:lang w:eastAsia="lt-LT"/>
        </w:rPr>
        <w:t xml:space="preserve">Apeliacinės instancijos teismas pagrįstomis laiko ir skundžiamo nuosprendžio išvadas, kad kariniams daliniams prie LRT vadovavęs ir jų veiksmus koordinavęs S. P. veiksmus ryšio priemonėmis derino su vadovavimo štabe buvusiu TSRS GM 76-osios oro desanto divizijos vado pavaduotoju pulkininku V. K. 1 bei, kad kartu šie asmenys vadovauti 237-ojo pulko 1-ojo bataliono 1-osios ir 2-osios kuopos kariškiams LRT užėmimo operacijoje paskyrė 1-osios kuopos vadą J. G.. Teisėjų kolegija pažymi, kad priešingai nei teigia nuteistojo V. K. 1 gynėja, V. K. 1 inkriminuotą vaidmenį užimant LRT pastatus patvirtina ne nuteistųjų parodymai, bet </w:t>
      </w:r>
      <w:r w:rsidRPr="00055544">
        <w:t>byloje surinktų įrodymų visuma.</w:t>
      </w:r>
    </w:p>
    <w:p w:rsidR="00DA38E9" w:rsidRPr="00055544" w:rsidRDefault="00DA38E9" w:rsidP="00DA38E9">
      <w:pPr>
        <w:pStyle w:val="ListParagraph"/>
        <w:numPr>
          <w:ilvl w:val="0"/>
          <w:numId w:val="6"/>
        </w:numPr>
        <w:spacing w:before="120" w:after="120"/>
        <w:ind w:left="993" w:hanging="993"/>
        <w:contextualSpacing w:val="0"/>
      </w:pPr>
      <w:r w:rsidRPr="00055544">
        <w:t>Pirmiausia, V. K. 1 veiksmus taip pat ir LRT pastatų užėmimo operacijos metu patvirtina jau šio sprendimo dalyje „</w:t>
      </w:r>
      <w:r w:rsidRPr="00055544">
        <w:rPr>
          <w:rFonts w:eastAsia="Calibri"/>
          <w:i/>
        </w:rPr>
        <w:t xml:space="preserve">Dėl pirmosios instancijos teismo išvadų vertinant </w:t>
      </w:r>
      <w:r w:rsidRPr="00055544">
        <w:rPr>
          <w:i/>
        </w:rPr>
        <w:t>TSRS GM ir jai pavaldžių dalinių bei nuteistųjų D. J., V. K. 1, V. U. 1 ir N. A. veiksmus</w:t>
      </w:r>
      <w:r w:rsidRPr="00055544">
        <w:rPr>
          <w:rFonts w:eastAsia="Calibri"/>
          <w:i/>
        </w:rPr>
        <w:t xml:space="preserve"> planuojant karinę operaciją</w:t>
      </w:r>
      <w:r w:rsidRPr="00055544">
        <w:rPr>
          <w:rFonts w:eastAsia="Calibri"/>
        </w:rPr>
        <w:t>“</w:t>
      </w:r>
      <w:r w:rsidRPr="00C00255">
        <w:rPr>
          <w:rFonts w:eastAsia="Calibri"/>
        </w:rPr>
        <w:t xml:space="preserve"> </w:t>
      </w:r>
      <w:r w:rsidRPr="00055544">
        <w:rPr>
          <w:rFonts w:eastAsia="Calibri"/>
        </w:rPr>
        <w:t xml:space="preserve">aptarta įrodymų visuma, t. y. šioje sprendimo dalyje konstatuota, kad V. K. 1 buvo </w:t>
      </w:r>
      <w:r w:rsidRPr="00055544">
        <w:t xml:space="preserve">vyriausiuoju pagal rangą oro desanto divizijos iš Pskovo pareigūnu ir vadovavimo karinei operacijai štabo nariu Vilniuje bei, be kita ko, koordinavo ir bendrus kariškių veiksmus užimant LRT pastatus. Dėl nustatytų užimant LRT V. K. 1 atliktų veiksmų neleidžia abejoti ir karybos specialisto J. Andriškevičiaus išvada. Specialistas konstatavo, kad LRT užėmimo operacijos metu „veiksmus koordinavo 76 odd operatyvinės grupės Vilniuje vadovas pulkininkas V. K. 1“ (t. 480, b. l. 61). V. K. 1 sąsajas su LRT užėmimo operacija atskleidžia ir oro desanto divizijos 234-ojo pulko vado I. K. paaiškinimas apie V. K. 1 duotą įsakymą pradėti vykdyti LRT užėmimo operaciją (t. 191, b. l. 146–147, 148–149). Be to, liudytojas M. P., komentuodamas baudžiamojoje byloje pateiktus vaizdo įrašus ir nuotraukas apie 1991 m. sausio 13 d. įvykius Vilniuje, nurodė, kad V. K. 1 ir dar keli vadai UAZ mašina, valstybinis Nr. 19-81 A1, apvažiavo TV bokšto, LRT objektus, ir liudytojas pažymėjo išskirtinį šio kariškio vaidmenį minėtų įvykių metu (t. 493, b. l. 37; žr. vaizdo įrašą, esantį kompaktiniame diske „3A kasetė 2 dalis“, nuo 46 min. 46 sek. iki 49 min. 35 sek. (t. 493, b. l. 52)).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rPr>
        <w:t xml:space="preserve">Teisėjų kolegija neabejoja ir tuo, kad tiriamo įvykio metu </w:t>
      </w:r>
      <w:r>
        <w:rPr>
          <w:szCs w:val="24"/>
          <w:lang w:eastAsia="lt-LT"/>
        </w:rPr>
        <w:t>V. K. 1</w:t>
      </w:r>
      <w:r w:rsidRPr="00C00255">
        <w:rPr>
          <w:szCs w:val="24"/>
          <w:lang w:eastAsia="lt-LT"/>
        </w:rPr>
        <w:t xml:space="preserve"> radijo ryšiu bendravo ir operacijos veiksmus derino su LRT užėmimo operacijai vadovavusiu </w:t>
      </w:r>
      <w:r>
        <w:rPr>
          <w:szCs w:val="24"/>
          <w:lang w:eastAsia="lt-LT"/>
        </w:rPr>
        <w:t>S. P.</w:t>
      </w:r>
      <w:r w:rsidRPr="00C00255">
        <w:rPr>
          <w:szCs w:val="24"/>
          <w:lang w:eastAsia="lt-LT"/>
        </w:rPr>
        <w:t xml:space="preserve">. Šio sprendimo </w:t>
      </w:r>
      <w:bookmarkStart w:id="603" w:name="_Hlk64987878"/>
      <w:r w:rsidRPr="00C00255">
        <w:rPr>
          <w:szCs w:val="24"/>
          <w:lang w:eastAsia="lt-LT"/>
        </w:rPr>
        <w:t>dalyje „</w:t>
      </w:r>
      <w:r w:rsidRPr="00C00255">
        <w:rPr>
          <w:i/>
          <w:szCs w:val="24"/>
          <w:lang w:eastAsia="lt-LT"/>
        </w:rPr>
        <w:t xml:space="preserve">Dėl nuteistųjų </w:t>
      </w:r>
      <w:r>
        <w:rPr>
          <w:i/>
          <w:szCs w:val="24"/>
          <w:lang w:eastAsia="lt-LT"/>
        </w:rPr>
        <w:t>V. K. 1</w:t>
      </w:r>
      <w:r w:rsidRPr="00C00255">
        <w:rPr>
          <w:i/>
          <w:szCs w:val="24"/>
          <w:lang w:eastAsia="lt-LT"/>
        </w:rPr>
        <w:t xml:space="preserve"> ir </w:t>
      </w:r>
      <w:r>
        <w:rPr>
          <w:i/>
          <w:szCs w:val="24"/>
          <w:lang w:eastAsia="lt-LT"/>
        </w:rPr>
        <w:t>V. S. 2</w:t>
      </w:r>
      <w:r w:rsidRPr="00C00255">
        <w:rPr>
          <w:i/>
          <w:szCs w:val="24"/>
          <w:lang w:eastAsia="lt-LT"/>
        </w:rPr>
        <w:t xml:space="preserve"> dalyvavimo užimant TV bokštą</w:t>
      </w:r>
      <w:r w:rsidRPr="00C00255">
        <w:rPr>
          <w:szCs w:val="24"/>
          <w:lang w:eastAsia="lt-LT"/>
        </w:rPr>
        <w:t xml:space="preserve">“ teisėjų kolegija konstatavo, kad </w:t>
      </w:r>
      <w:bookmarkStart w:id="604" w:name="_Hlk65003167"/>
      <w:r w:rsidRPr="00C00255">
        <w:rPr>
          <w:szCs w:val="24"/>
          <w:lang w:eastAsia="lt-LT"/>
        </w:rPr>
        <w:t xml:space="preserve">1991 m. sausio 12–13 d. naktį, </w:t>
      </w:r>
      <w:bookmarkEnd w:id="604"/>
      <w:r w:rsidRPr="00C00255">
        <w:rPr>
          <w:szCs w:val="24"/>
          <w:lang w:eastAsia="lt-LT"/>
        </w:rPr>
        <w:t xml:space="preserve">būdamas Šiaurės kariniame miestelyje, </w:t>
      </w:r>
      <w:r>
        <w:rPr>
          <w:szCs w:val="24"/>
          <w:lang w:eastAsia="lt-LT"/>
        </w:rPr>
        <w:t>V. K. 1</w:t>
      </w:r>
      <w:r w:rsidRPr="00C00255">
        <w:rPr>
          <w:szCs w:val="24"/>
          <w:lang w:eastAsia="lt-LT"/>
        </w:rPr>
        <w:t xml:space="preserve"> palaikė ryšį su TV bokšto užėmimui vadovavusiais karininkais bei naudojo šaukinį „Granitas“</w:t>
      </w:r>
      <w:bookmarkEnd w:id="603"/>
      <w:r w:rsidRPr="00C00255">
        <w:t xml:space="preserve"> </w:t>
      </w:r>
      <w:r w:rsidRPr="00C00255">
        <w:rPr>
          <w:szCs w:val="24"/>
          <w:lang w:eastAsia="lt-LT"/>
        </w:rPr>
        <w:t>(arba „Granit-82“, „Granit“). Atitinkamai dalyje „</w:t>
      </w:r>
      <w:r w:rsidRPr="00C00255">
        <w:rPr>
          <w:i/>
          <w:szCs w:val="24"/>
        </w:rPr>
        <w:t xml:space="preserve">Dėl nuteistojo </w:t>
      </w:r>
      <w:r>
        <w:rPr>
          <w:i/>
          <w:szCs w:val="24"/>
        </w:rPr>
        <w:t>S. P.</w:t>
      </w:r>
      <w:r w:rsidRPr="00C00255">
        <w:rPr>
          <w:i/>
          <w:szCs w:val="24"/>
        </w:rPr>
        <w:t xml:space="preserve"> dalyvavimo užimant LRT</w:t>
      </w:r>
      <w:r w:rsidRPr="00C00255">
        <w:rPr>
          <w:szCs w:val="24"/>
        </w:rPr>
        <w:t xml:space="preserve">“ teisėjų kolegija pripažino, kad </w:t>
      </w:r>
      <w:r>
        <w:rPr>
          <w:szCs w:val="24"/>
        </w:rPr>
        <w:t>S. P.</w:t>
      </w:r>
      <w:r w:rsidRPr="00C00255">
        <w:rPr>
          <w:szCs w:val="24"/>
        </w:rPr>
        <w:t xml:space="preserve">, naudodamas šaukinį „Gurzuf-74“, radijo ryšiu </w:t>
      </w:r>
      <w:r w:rsidR="002125AE">
        <w:rPr>
          <w:szCs w:val="24"/>
          <w:lang w:eastAsia="lt-LT"/>
        </w:rPr>
        <w:t>1991 </w:t>
      </w:r>
      <w:r w:rsidRPr="00C00255">
        <w:rPr>
          <w:szCs w:val="24"/>
          <w:lang w:eastAsia="lt-LT"/>
        </w:rPr>
        <w:t xml:space="preserve">m. sausio 13 d. </w:t>
      </w:r>
      <w:r w:rsidRPr="00C00255">
        <w:rPr>
          <w:szCs w:val="24"/>
        </w:rPr>
        <w:t xml:space="preserve">naktį kontaktavo ir su Šiaurės miesteliu. </w:t>
      </w:r>
      <w:r w:rsidRPr="00C00255">
        <w:rPr>
          <w:szCs w:val="24"/>
          <w:lang w:eastAsia="lt-LT"/>
        </w:rPr>
        <w:t xml:space="preserve">Taigi, nustatyta, kad </w:t>
      </w:r>
      <w:r w:rsidR="002125AE">
        <w:rPr>
          <w:color w:val="000000"/>
          <w:szCs w:val="24"/>
          <w:lang w:eastAsia="lt-LT" w:bidi="lt-LT"/>
        </w:rPr>
        <w:t>1991 m. </w:t>
      </w:r>
      <w:r w:rsidRPr="00C00255">
        <w:rPr>
          <w:color w:val="000000"/>
          <w:szCs w:val="24"/>
          <w:lang w:eastAsia="lt-LT" w:bidi="lt-LT"/>
        </w:rPr>
        <w:t xml:space="preserve">sausio 13-osios naktį </w:t>
      </w:r>
      <w:r>
        <w:rPr>
          <w:color w:val="000000"/>
          <w:szCs w:val="24"/>
          <w:lang w:eastAsia="lt-LT" w:bidi="lt-LT"/>
        </w:rPr>
        <w:t>V. K. 1</w:t>
      </w:r>
      <w:r w:rsidRPr="00C00255">
        <w:rPr>
          <w:color w:val="000000"/>
          <w:szCs w:val="24"/>
          <w:lang w:eastAsia="lt-LT" w:bidi="lt-LT"/>
        </w:rPr>
        <w:t xml:space="preserve"> radijo ryšio šaukinys buvo „Granit-82“ (arba „Granit“), o </w:t>
      </w:r>
      <w:r>
        <w:rPr>
          <w:color w:val="000000"/>
          <w:szCs w:val="24"/>
          <w:lang w:eastAsia="lt-LT" w:bidi="lt-LT"/>
        </w:rPr>
        <w:t>S. P.</w:t>
      </w:r>
      <w:r w:rsidRPr="00C00255">
        <w:rPr>
          <w:color w:val="000000"/>
          <w:szCs w:val="24"/>
          <w:lang w:eastAsia="lt-LT" w:bidi="lt-LT"/>
        </w:rPr>
        <w:t xml:space="preserve"> – „Gurzuf-74“ (arba „Gurzuf“) (</w:t>
      </w:r>
      <w:r w:rsidRPr="00C00255">
        <w:rPr>
          <w:szCs w:val="24"/>
        </w:rPr>
        <w:t>t. 298, b. l. 60–72, 73–87; t. 486, b. l. 80–96, 97–115)</w:t>
      </w:r>
      <w:r w:rsidRPr="00C00255">
        <w:rPr>
          <w:color w:val="000000"/>
          <w:szCs w:val="24"/>
          <w:lang w:eastAsia="lt-LT" w:bidi="lt-LT"/>
        </w:rPr>
        <w:t>. Iš baudžiamojoje byloje pateiktų radijo ryšio pokalbių stenogramų turinio matyti, kad juose u</w:t>
      </w:r>
      <w:r w:rsidRPr="00C00255">
        <w:rPr>
          <w:szCs w:val="24"/>
        </w:rPr>
        <w:t xml:space="preserve">žfiksuota, kaip „Granit-82“ teiraujasi „Gurzuf-74“, kokia padėtis prie objekto, ar kariškiams priešinamasi, ar „Gurzuf-74“ prasiverš iki pastato. Po ko, „Gurzuf-74“ raportuoja „Granit-82“ apie situaciją, taip pat apie šaudymą iš gyvenamojo namo. Stenogramose užfiksuota ir tai, kad „Granit-82“ nurodo „Gurzuf-74“ prieš minėtą gyvenamąjį namą išstatyti žmones su optika, o vėliau „Gurzuf-74“ nurodo išsiaiškinti, kokioje padėtyje yra 1-osios kuopos vadas </w:t>
      </w:r>
      <w:r>
        <w:rPr>
          <w:szCs w:val="24"/>
        </w:rPr>
        <w:t>J. G.</w:t>
      </w:r>
      <w:r w:rsidRPr="00C00255">
        <w:rPr>
          <w:szCs w:val="24"/>
        </w:rPr>
        <w:t xml:space="preserve"> ir jį surasti. Vėliau „Gurzuf-74“ informuoja „Granit-82“, kad </w:t>
      </w:r>
      <w:r>
        <w:rPr>
          <w:szCs w:val="24"/>
        </w:rPr>
        <w:t>J. G.</w:t>
      </w:r>
      <w:r w:rsidRPr="00C00255">
        <w:rPr>
          <w:szCs w:val="24"/>
        </w:rPr>
        <w:t xml:space="preserve"> pastatų šturmo metu buvo sužeistas ir išvežtas į ligoninę (reikšmingi pokalbiai – t. 486, b. l. 101–102, 105–107). Taigi pokalbiuose užfiksuota, kaip </w:t>
      </w:r>
      <w:r>
        <w:rPr>
          <w:szCs w:val="24"/>
        </w:rPr>
        <w:t>S. P.</w:t>
      </w:r>
      <w:r w:rsidRPr="00C00255">
        <w:rPr>
          <w:szCs w:val="24"/>
        </w:rPr>
        <w:t xml:space="preserve"> raportuoja </w:t>
      </w:r>
      <w:r>
        <w:rPr>
          <w:szCs w:val="24"/>
        </w:rPr>
        <w:t>V. K. 1</w:t>
      </w:r>
      <w:r w:rsidRPr="00C00255">
        <w:rPr>
          <w:szCs w:val="24"/>
        </w:rPr>
        <w:t xml:space="preserve"> apie susiklosčiusią situaciją operacijos vykdymo vietoje, o </w:t>
      </w:r>
      <w:r>
        <w:rPr>
          <w:szCs w:val="24"/>
        </w:rPr>
        <w:t>V. K. 1</w:t>
      </w:r>
      <w:r w:rsidRPr="00C00255">
        <w:rPr>
          <w:szCs w:val="24"/>
        </w:rPr>
        <w:t xml:space="preserve"> duoda patarimus ir užduotis </w:t>
      </w:r>
      <w:r>
        <w:rPr>
          <w:szCs w:val="24"/>
        </w:rPr>
        <w:t>S. P.</w:t>
      </w:r>
      <w:r w:rsidRPr="00C00255">
        <w:rPr>
          <w:szCs w:val="24"/>
        </w:rPr>
        <w:t xml:space="preserve"> kaip veikti ir pan.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Nekyla abejonių ir dėl to, kad </w:t>
      </w:r>
      <w:r w:rsidRPr="00C00255">
        <w:rPr>
          <w:szCs w:val="24"/>
        </w:rPr>
        <w:t>pagal kariškių tarpusavio pavaldumo ryšius ir statusą</w:t>
      </w:r>
      <w:r w:rsidRPr="00C00255">
        <w:rPr>
          <w:szCs w:val="24"/>
          <w:lang w:eastAsia="lt-LT"/>
        </w:rPr>
        <w:t xml:space="preserve"> </w:t>
      </w:r>
      <w:r>
        <w:rPr>
          <w:szCs w:val="24"/>
          <w:lang w:eastAsia="lt-LT"/>
        </w:rPr>
        <w:t>V. K. 1</w:t>
      </w:r>
      <w:r w:rsidRPr="00C00255">
        <w:rPr>
          <w:szCs w:val="24"/>
          <w:lang w:eastAsia="lt-LT"/>
        </w:rPr>
        <w:t xml:space="preserve"> su </w:t>
      </w:r>
      <w:r>
        <w:rPr>
          <w:szCs w:val="24"/>
          <w:lang w:eastAsia="lt-LT"/>
        </w:rPr>
        <w:t>S. P.</w:t>
      </w:r>
      <w:r w:rsidRPr="00C00255">
        <w:rPr>
          <w:szCs w:val="24"/>
          <w:lang w:eastAsia="lt-LT"/>
        </w:rPr>
        <w:t xml:space="preserve"> oro desanto divizijos 237-ojo pulko 1-ojo bataliono 1-osios ir 2-osios kuopų kariškiams LRT užėmimo metu vadovauti paskyrė 237-ojo pulko 1-osios kuopos vadą kapitoną </w:t>
      </w:r>
      <w:r>
        <w:rPr>
          <w:szCs w:val="24"/>
          <w:lang w:eastAsia="lt-LT"/>
        </w:rPr>
        <w:t>J. G.</w:t>
      </w:r>
      <w:r w:rsidRPr="00C00255">
        <w:rPr>
          <w:szCs w:val="24"/>
        </w:rPr>
        <w:t xml:space="preserve">, nes, </w:t>
      </w:r>
      <w:r w:rsidRPr="00C00255">
        <w:rPr>
          <w:szCs w:val="24"/>
          <w:lang w:eastAsia="lt-LT" w:bidi="lt-LT"/>
        </w:rPr>
        <w:t xml:space="preserve">kaip šiame sprendime buvo konstatuota, </w:t>
      </w:r>
      <w:r>
        <w:rPr>
          <w:szCs w:val="24"/>
          <w:lang w:eastAsia="lt-LT" w:bidi="lt-LT"/>
        </w:rPr>
        <w:t>V. K. 1</w:t>
      </w:r>
      <w:r w:rsidRPr="00C00255">
        <w:rPr>
          <w:szCs w:val="24"/>
          <w:lang w:eastAsia="lt-LT" w:bidi="lt-LT"/>
        </w:rPr>
        <w:t xml:space="preserve"> buvo pavaldūs visi Vilniuje buvę </w:t>
      </w:r>
      <w:r w:rsidRPr="00C00255">
        <w:rPr>
          <w:rFonts w:eastAsia="Calibri"/>
          <w:szCs w:val="24"/>
        </w:rPr>
        <w:t xml:space="preserve">TSRS GM </w:t>
      </w:r>
      <w:r w:rsidRPr="00C00255">
        <w:rPr>
          <w:szCs w:val="24"/>
          <w:lang w:eastAsia="lt-LT"/>
        </w:rPr>
        <w:t xml:space="preserve">76-osios oro desanto divizijos kariškiai, o </w:t>
      </w:r>
      <w:r>
        <w:rPr>
          <w:szCs w:val="24"/>
          <w:lang w:eastAsia="lt-LT" w:bidi="lt-LT"/>
        </w:rPr>
        <w:t>S. P.</w:t>
      </w:r>
      <w:r w:rsidRPr="00C00255">
        <w:rPr>
          <w:szCs w:val="24"/>
        </w:rPr>
        <w:t xml:space="preserve"> parengė LRT užėmimo planus, paskirstė karinių dalinių pajėgas į operacines grupes, veikusias užimant LRT pastatus</w:t>
      </w:r>
      <w:r w:rsidRPr="00C00255">
        <w:rPr>
          <w:szCs w:val="24"/>
          <w:lang w:eastAsia="lt-LT"/>
        </w:rPr>
        <w:t xml:space="preserve">. Be to, tokią pirmosios instancijos teismo išvadą patvirtina ir rašytiniai įrodymai. Specialių užduočių atlikimo apskaitos žurnalo išraše užfiksuota, kad pulkininkas </w:t>
      </w:r>
      <w:r>
        <w:rPr>
          <w:szCs w:val="24"/>
          <w:lang w:eastAsia="lt-LT"/>
        </w:rPr>
        <w:t>V. K. 1</w:t>
      </w:r>
      <w:r w:rsidRPr="00C00255">
        <w:rPr>
          <w:szCs w:val="24"/>
          <w:lang w:eastAsia="lt-LT"/>
        </w:rPr>
        <w:t xml:space="preserve"> kapitonui </w:t>
      </w:r>
      <w:r>
        <w:rPr>
          <w:szCs w:val="24"/>
          <w:lang w:eastAsia="lt-LT"/>
        </w:rPr>
        <w:t>J. G.</w:t>
      </w:r>
      <w:r w:rsidRPr="00C00255">
        <w:rPr>
          <w:szCs w:val="24"/>
          <w:lang w:eastAsia="lt-LT"/>
        </w:rPr>
        <w:t xml:space="preserve"> bei su juo buvusiai 30 žmonių grupei iškėlė užduotį užimti ir perimti Televizijos ir radijo centro apsaugą, užduotis pradėta vykdyti 1991 m. sausio 13 d. 1.00 val. (t. 437, b. l. 19; t. 124, b. l. 17). </w:t>
      </w:r>
      <w:r w:rsidRPr="00C00255">
        <w:rPr>
          <w:szCs w:val="24"/>
          <w:lang w:eastAsia="lt-LT" w:bidi="lt-LT"/>
        </w:rPr>
        <w:t xml:space="preserve">Tuo, kad </w:t>
      </w:r>
      <w:r>
        <w:rPr>
          <w:szCs w:val="24"/>
          <w:lang w:eastAsia="lt-LT" w:bidi="lt-LT"/>
        </w:rPr>
        <w:t>V. K. 1</w:t>
      </w:r>
      <w:r w:rsidRPr="00C00255">
        <w:rPr>
          <w:szCs w:val="24"/>
          <w:lang w:eastAsia="lt-LT" w:bidi="lt-LT"/>
        </w:rPr>
        <w:t xml:space="preserve"> ir </w:t>
      </w:r>
      <w:r>
        <w:rPr>
          <w:szCs w:val="24"/>
          <w:lang w:eastAsia="lt-LT" w:bidi="lt-LT"/>
        </w:rPr>
        <w:t>S. P.</w:t>
      </w:r>
      <w:r w:rsidRPr="00C00255">
        <w:rPr>
          <w:szCs w:val="24"/>
          <w:lang w:eastAsia="lt-LT" w:bidi="lt-LT"/>
        </w:rPr>
        <w:t xml:space="preserve"> </w:t>
      </w:r>
      <w:r w:rsidRPr="00C00255">
        <w:rPr>
          <w:szCs w:val="24"/>
          <w:lang w:eastAsia="lt-LT"/>
        </w:rPr>
        <w:t xml:space="preserve">paskyrė kapitoną </w:t>
      </w:r>
      <w:r>
        <w:rPr>
          <w:szCs w:val="24"/>
          <w:lang w:eastAsia="lt-LT"/>
        </w:rPr>
        <w:t>J. G.</w:t>
      </w:r>
      <w:r w:rsidRPr="00C00255">
        <w:rPr>
          <w:szCs w:val="24"/>
          <w:lang w:eastAsia="lt-LT"/>
        </w:rPr>
        <w:t xml:space="preserve"> vadovauti kariniam vienetui LRT užėmimo operacijoje, neleidžia abejoti ir radijo ryšiu sausio 13-osios naktį jų vienas kitam išsakytos frazės. </w:t>
      </w:r>
      <w:r>
        <w:rPr>
          <w:szCs w:val="24"/>
          <w:lang w:eastAsia="lt-LT" w:bidi="lt-LT"/>
        </w:rPr>
        <w:t>V. K. 1</w:t>
      </w:r>
      <w:r w:rsidRPr="00C00255">
        <w:rPr>
          <w:szCs w:val="24"/>
          <w:lang w:eastAsia="lt-LT" w:bidi="lt-LT"/>
        </w:rPr>
        <w:t xml:space="preserve">, šaukinys „Granit-82“, prašė </w:t>
      </w:r>
      <w:r>
        <w:rPr>
          <w:szCs w:val="24"/>
          <w:lang w:eastAsia="lt-LT" w:bidi="lt-LT"/>
        </w:rPr>
        <w:t>S. P.</w:t>
      </w:r>
      <w:r w:rsidRPr="00C00255">
        <w:rPr>
          <w:szCs w:val="24"/>
          <w:lang w:eastAsia="lt-LT" w:bidi="lt-LT"/>
        </w:rPr>
        <w:t xml:space="preserve">, šaukinys „Gurzuf-74“, patikrinti, ar yra 1-osios kuopos vadas </w:t>
      </w:r>
      <w:r>
        <w:rPr>
          <w:szCs w:val="24"/>
          <w:lang w:eastAsia="lt-LT" w:bidi="lt-LT"/>
        </w:rPr>
        <w:t>J. G.</w:t>
      </w:r>
      <w:r w:rsidRPr="00C00255">
        <w:rPr>
          <w:szCs w:val="24"/>
          <w:lang w:eastAsia="lt-LT" w:bidi="lt-LT"/>
        </w:rPr>
        <w:t xml:space="preserve">, po ko </w:t>
      </w:r>
      <w:r>
        <w:rPr>
          <w:szCs w:val="24"/>
          <w:lang w:eastAsia="lt-LT" w:bidi="lt-LT"/>
        </w:rPr>
        <w:t>S. P.</w:t>
      </w:r>
      <w:r w:rsidRPr="00C00255">
        <w:rPr>
          <w:szCs w:val="24"/>
          <w:lang w:eastAsia="lt-LT" w:bidi="lt-LT"/>
        </w:rPr>
        <w:t xml:space="preserve"> informavo, jog pastarajam granata nuplėšė pėdą ir jį nuvežė į ligoninę (</w:t>
      </w:r>
      <w:r w:rsidRPr="00C00255">
        <w:rPr>
          <w:szCs w:val="24"/>
        </w:rPr>
        <w:t xml:space="preserve">reikšmingi pokalbiai užfiksuoti – t. 486, b. l. 80–96, 106–107, 97–115). Nekyla abejonių, kad </w:t>
      </w:r>
      <w:r>
        <w:rPr>
          <w:szCs w:val="24"/>
        </w:rPr>
        <w:t>S. P.</w:t>
      </w:r>
      <w:r w:rsidRPr="00C00255">
        <w:rPr>
          <w:szCs w:val="24"/>
        </w:rPr>
        <w:t xml:space="preserve"> bei </w:t>
      </w:r>
      <w:r>
        <w:rPr>
          <w:szCs w:val="24"/>
        </w:rPr>
        <w:t>V. K. 1</w:t>
      </w:r>
      <w:r w:rsidRPr="00C00255">
        <w:rPr>
          <w:szCs w:val="24"/>
        </w:rPr>
        <w:t xml:space="preserve"> kalbėjo būtent apie </w:t>
      </w:r>
      <w:r>
        <w:rPr>
          <w:szCs w:val="24"/>
        </w:rPr>
        <w:t>J. G.</w:t>
      </w:r>
      <w:r w:rsidRPr="00C00255">
        <w:rPr>
          <w:szCs w:val="24"/>
        </w:rPr>
        <w:t>, nes, kaip nustatyta, šis kariškis prie LRT išties patyrė sužalojimus (šio sprendimo dalyje</w:t>
      </w:r>
      <w:r w:rsidRPr="00C00255">
        <w:rPr>
          <w:color w:val="000000"/>
          <w:szCs w:val="24"/>
          <w:lang w:eastAsia="lt-LT" w:bidi="lt-LT"/>
        </w:rPr>
        <w:t xml:space="preserve"> „</w:t>
      </w:r>
      <w:r w:rsidRPr="00C00255">
        <w:rPr>
          <w:i/>
          <w:szCs w:val="24"/>
          <w:lang w:eastAsia="lt-LT"/>
        </w:rPr>
        <w:t xml:space="preserve">Dėl nuteistojo </w:t>
      </w:r>
      <w:r>
        <w:rPr>
          <w:i/>
          <w:szCs w:val="24"/>
          <w:lang w:eastAsia="lt-LT"/>
        </w:rPr>
        <w:t>J. G.</w:t>
      </w:r>
      <w:r w:rsidRPr="00C00255">
        <w:rPr>
          <w:i/>
          <w:szCs w:val="24"/>
          <w:lang w:eastAsia="lt-LT"/>
        </w:rPr>
        <w:t xml:space="preserve"> dalyvavimo užimant </w:t>
      </w:r>
      <w:r w:rsidRPr="00C00255">
        <w:rPr>
          <w:i/>
          <w:szCs w:val="24"/>
        </w:rPr>
        <w:t>LRT Radijo pastatą</w:t>
      </w:r>
      <w:r w:rsidRPr="00C00255">
        <w:rPr>
          <w:szCs w:val="24"/>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Atsižvelgdama į visa tai, kas minėta šioje sprendimo dalyje, teisėjų kolegija konstatuoja, kad </w:t>
      </w:r>
      <w:r>
        <w:rPr>
          <w:szCs w:val="24"/>
        </w:rPr>
        <w:t>V. K. 1</w:t>
      </w:r>
      <w:r w:rsidRPr="00C00255">
        <w:rPr>
          <w:szCs w:val="24"/>
        </w:rPr>
        <w:t xml:space="preserve"> vaidmuo, užimant LRT pastatus, pasitvirtino visa apimtimi ir abejonių nekelia (nuosprendžio 514–520 l.). Pasitvirtino ir dalyje „</w:t>
      </w:r>
      <w:r w:rsidRPr="00C00255">
        <w:rPr>
          <w:i/>
          <w:szCs w:val="24"/>
        </w:rPr>
        <w:t xml:space="preserve">Dėl nuteistojo </w:t>
      </w:r>
      <w:r>
        <w:rPr>
          <w:i/>
          <w:szCs w:val="24"/>
        </w:rPr>
        <w:t>S. P.</w:t>
      </w:r>
      <w:r w:rsidRPr="00C00255">
        <w:rPr>
          <w:i/>
          <w:szCs w:val="24"/>
        </w:rPr>
        <w:t xml:space="preserve"> dalyvavimo užimant LRT</w:t>
      </w:r>
      <w:r w:rsidRPr="00C00255">
        <w:rPr>
          <w:szCs w:val="24"/>
        </w:rPr>
        <w:t xml:space="preserve">“ neanalizuoti, bet nuosprendžiu </w:t>
      </w:r>
      <w:r>
        <w:rPr>
          <w:szCs w:val="24"/>
        </w:rPr>
        <w:t>S. P.</w:t>
      </w:r>
      <w:r w:rsidRPr="00C00255">
        <w:rPr>
          <w:szCs w:val="24"/>
        </w:rPr>
        <w:t xml:space="preserve"> inkriminuoti veiksmai prie LRT, kuriuose dalyvavo ir </w:t>
      </w:r>
      <w:r>
        <w:rPr>
          <w:szCs w:val="24"/>
        </w:rPr>
        <w:t>V. K. 1</w:t>
      </w:r>
      <w:r w:rsidRPr="00C00255">
        <w:rPr>
          <w:szCs w:val="24"/>
        </w:rPr>
        <w:t>.</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Minėtų išvadų pagrįstumui ir teisėtumui neturi įtakos nuteistojo </w:t>
      </w:r>
      <w:r>
        <w:rPr>
          <w:szCs w:val="24"/>
          <w:lang w:eastAsia="lt-LT" w:bidi="lt-LT"/>
        </w:rPr>
        <w:t>V. K. 1</w:t>
      </w:r>
      <w:r w:rsidRPr="00C00255">
        <w:rPr>
          <w:szCs w:val="24"/>
          <w:lang w:eastAsia="lt-LT" w:bidi="lt-LT"/>
        </w:rPr>
        <w:t xml:space="preserve"> gynėjos argumentai, kad apklausti Pskovo oro desanto divizijos desantininkai teigė, jog puolimas nebuvo nukreiptas prieš civilius gyventojus, jie buvo įpareigoti nešaudyti į žmonių minią ir tik, esant būtinumui, siekdami atstumti žmones, galėjo panaudoti artimos kovos veiksmus. Byloje surinktų įrodymų visuma, jau aptarti įrodymai apie keliomis dienomis anksčiau vykusį Spaudos rūmų užėmimą ir tiesioginį paties </w:t>
      </w:r>
      <w:r>
        <w:rPr>
          <w:szCs w:val="24"/>
          <w:lang w:eastAsia="lt-LT" w:bidi="lt-LT"/>
        </w:rPr>
        <w:t>V. K. 1</w:t>
      </w:r>
      <w:r w:rsidRPr="00C00255">
        <w:rPr>
          <w:szCs w:val="24"/>
          <w:lang w:eastAsia="lt-LT" w:bidi="lt-LT"/>
        </w:rPr>
        <w:t xml:space="preserve"> brutalų vaidmenį panaudojant šaunamąjį ginklą bei sužalojant </w:t>
      </w:r>
      <w:r>
        <w:rPr>
          <w:szCs w:val="24"/>
          <w:lang w:eastAsia="lt-LT" w:bidi="lt-LT"/>
        </w:rPr>
        <w:t>V. L.</w:t>
      </w:r>
      <w:r w:rsidRPr="00C00255">
        <w:rPr>
          <w:szCs w:val="24"/>
          <w:lang w:eastAsia="lt-LT" w:bidi="lt-LT"/>
        </w:rPr>
        <w:t>, dar didesnių karinių pajėgų pasiuntimą siekiant užimti LRT, žinant apie didelį skaičių ten esančių civilių ir neabejotinas civilių aukas, pritarimą kariškių veiksmams vietoje, aiškiai rodo, kad tokie gynybos argumentai yra deklaratyvūs ir nepagrįsti.</w:t>
      </w:r>
    </w:p>
    <w:p w:rsidR="00DA38E9" w:rsidRPr="00C00255" w:rsidRDefault="00DA38E9" w:rsidP="00DA38E9">
      <w:pPr>
        <w:pStyle w:val="Heading5"/>
        <w:tabs>
          <w:tab w:val="left" w:pos="3969"/>
        </w:tabs>
        <w:spacing w:before="120" w:after="120"/>
        <w:ind w:firstLine="992"/>
        <w:rPr>
          <w:rFonts w:ascii="Times New Roman" w:hAnsi="Times New Roman" w:cs="Times New Roman"/>
          <w:i/>
          <w:color w:val="auto"/>
        </w:rPr>
      </w:pPr>
      <w:bookmarkStart w:id="605" w:name="_Toc66697289"/>
      <w:r w:rsidRPr="00C00255">
        <w:rPr>
          <w:rFonts w:ascii="Times New Roman" w:hAnsi="Times New Roman" w:cs="Times New Roman"/>
          <w:i/>
          <w:color w:val="auto"/>
        </w:rPr>
        <w:t xml:space="preserve">Dėl nuteistojo </w:t>
      </w:r>
      <w:r>
        <w:rPr>
          <w:rFonts w:ascii="Times New Roman" w:hAnsi="Times New Roman" w:cs="Times New Roman"/>
          <w:i/>
          <w:color w:val="auto"/>
        </w:rPr>
        <w:t>G. G.</w:t>
      </w:r>
      <w:r w:rsidRPr="00C00255">
        <w:rPr>
          <w:rFonts w:ascii="Times New Roman" w:hAnsi="Times New Roman" w:cs="Times New Roman"/>
          <w:i/>
          <w:color w:val="auto"/>
        </w:rPr>
        <w:t xml:space="preserve"> dalyvavimo užimant LRT</w:t>
      </w:r>
      <w:bookmarkEnd w:id="605"/>
      <w:r w:rsidRPr="00C00255">
        <w:rPr>
          <w:rFonts w:ascii="Times New Roman" w:hAnsi="Times New Roman" w:cs="Times New Roman"/>
          <w:i/>
          <w:color w:val="auto"/>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rPr>
        <w:t xml:space="preserve">Apeliacinės instancijos teismo vertinimu, pasitvirtino ir skundžiamo nuosprendžio išvada, kad TSRS GM 76-osios oro desanto divizijos 234-ojo pulko štabo viršininkas papulkininkis </w:t>
      </w:r>
      <w:r>
        <w:rPr>
          <w:szCs w:val="24"/>
          <w:lang w:eastAsia="lt-LT"/>
        </w:rPr>
        <w:t>G. G.</w:t>
      </w:r>
      <w:r w:rsidRPr="00C00255">
        <w:rPr>
          <w:szCs w:val="24"/>
          <w:lang w:eastAsia="lt-LT"/>
        </w:rPr>
        <w:t xml:space="preserve"> buvo atsakingas už LRT užėmimo operacijos įvykdymą. Nekyla abejonių ir dėl konkrečių </w:t>
      </w:r>
      <w:r>
        <w:rPr>
          <w:szCs w:val="24"/>
          <w:lang w:eastAsia="lt-LT"/>
        </w:rPr>
        <w:t>G. G.</w:t>
      </w:r>
      <w:r w:rsidRPr="00C00255">
        <w:rPr>
          <w:szCs w:val="24"/>
          <w:lang w:eastAsia="lt-LT"/>
        </w:rPr>
        <w:t xml:space="preserve"> veiksmų užimant LRT pastatus: a) </w:t>
      </w:r>
      <w:r w:rsidRPr="00C00255">
        <w:t xml:space="preserve">kad jis, kartu su kariškiais iš 234-ojo pulko 3-iojo bataliono 7-os kuopos, </w:t>
      </w:r>
      <w:bookmarkStart w:id="606" w:name="_Hlk65007643"/>
      <w:r w:rsidRPr="00C00255">
        <w:t>įsibrovė į civilių ginamą LRT Televizijos 9 aukštų pastatą</w:t>
      </w:r>
      <w:bookmarkEnd w:id="606"/>
      <w:r w:rsidRPr="00C00255">
        <w:t xml:space="preserve">; b) ryšio priemonėmis nurodė </w:t>
      </w:r>
      <w:r>
        <w:t>R. J. 2</w:t>
      </w:r>
      <w:r w:rsidRPr="00C00255">
        <w:t>, vadovavusiam 26 kariškių grupei užėmusiai LRT Techninį pastatą, prisijungti prie kariškių iš 237-ojo pulko 1-ojo bataliono 1-osios ir 2-osios kuopų ir kitų struktūrų, užėmusių LRT Radijo pastatą.</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rPr>
        <w:t xml:space="preserve">Pažymėtina, kad nuteistasis ir jo gynėjai apygardos teismo nuosprendžio apeliacine tvarka neskundžia, todėl teisėjų kolegija, sutikdama su pirmosios instancijos teismo išvadomis dėl vadovaujančių </w:t>
      </w:r>
      <w:r>
        <w:rPr>
          <w:szCs w:val="24"/>
          <w:lang w:eastAsia="lt-LT"/>
        </w:rPr>
        <w:t>G. G.</w:t>
      </w:r>
      <w:r w:rsidRPr="00C00255">
        <w:rPr>
          <w:szCs w:val="24"/>
          <w:lang w:eastAsia="lt-LT"/>
        </w:rPr>
        <w:t xml:space="preserve"> veiksmų užimant LRT pastatus ir kitų konkrečių jo veiksmų prie minėtų objektų, tik paminės, kad tokius jo veiksmus byloje aiškiai pagrindžia surinktų įrodymų visuma.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lang w:eastAsia="lt-LT"/>
        </w:rPr>
        <w:t xml:space="preserve">Apie tai, kad </w:t>
      </w:r>
      <w:r>
        <w:rPr>
          <w:lang w:eastAsia="lt-LT"/>
        </w:rPr>
        <w:t>G. G.</w:t>
      </w:r>
      <w:r w:rsidRPr="00C00255">
        <w:rPr>
          <w:lang w:eastAsia="lt-LT"/>
        </w:rPr>
        <w:t xml:space="preserve"> buvo atsakingas už LRT užėmimo operacijos įvykdymą ir operacijos metu ėjo vadovaujančio pobūdžio pareigas patvirtina šie įrodymai:</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lang w:eastAsia="lt-LT"/>
        </w:rPr>
        <w:t xml:space="preserve">2014 m. birželio 10 d. specialisto išvadoje konstatuota, kad LRT užėmimo užduoties vykdymo kontrolę vykdė operacijoje dalyvavęs 234 pdp štabo viršininkas papulkininkis </w:t>
      </w:r>
      <w:r>
        <w:rPr>
          <w:lang w:eastAsia="lt-LT"/>
        </w:rPr>
        <w:t>G. G.</w:t>
      </w:r>
      <w:r w:rsidRPr="00C00255">
        <w:rPr>
          <w:lang w:eastAsia="lt-LT"/>
        </w:rPr>
        <w:t xml:space="preserve">, </w:t>
      </w:r>
      <w:r w:rsidRPr="00C00255">
        <w:rPr>
          <w:szCs w:val="24"/>
          <w:lang w:eastAsia="lt-LT"/>
        </w:rPr>
        <w:t xml:space="preserve">kuris buvo vyriausias pagal karinį laipsnį ir aukščiausias pagal užimamas pareigas LRT puolime dalyvavęs šio pulko karininkas </w:t>
      </w:r>
      <w:r w:rsidRPr="00C00255">
        <w:rPr>
          <w:lang w:eastAsia="lt-LT"/>
        </w:rPr>
        <w:t xml:space="preserve">(t. 480, b. l. 55, 61, </w:t>
      </w:r>
      <w:r w:rsidRPr="00C00255">
        <w:rPr>
          <w:szCs w:val="24"/>
          <w:lang w:eastAsia="lt-LT"/>
        </w:rPr>
        <w:t>78</w:t>
      </w:r>
      <w:r w:rsidRPr="00C00255">
        <w:rPr>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iš dalinio Nr. 74268 štabo viršininko, t. y. paties </w:t>
      </w:r>
      <w:r>
        <w:rPr>
          <w:szCs w:val="24"/>
          <w:lang w:eastAsia="lt-LT"/>
        </w:rPr>
        <w:t>G. G.</w:t>
      </w:r>
      <w:r w:rsidRPr="00C00255">
        <w:rPr>
          <w:szCs w:val="24"/>
          <w:lang w:eastAsia="lt-LT"/>
        </w:rPr>
        <w:t xml:space="preserve">, pasirašyto ir antspaudu patvirtinto dalinio personalo, dalyvavusio 1991 m. sausio 13 d. apsaugos tikslais užimant Televizijos ir radijo centrą, sąrašo matyti, kad papulkininkis </w:t>
      </w:r>
      <w:r>
        <w:rPr>
          <w:szCs w:val="24"/>
          <w:lang w:eastAsia="lt-LT"/>
        </w:rPr>
        <w:t>G. G.</w:t>
      </w:r>
      <w:r w:rsidRPr="00C00255">
        <w:rPr>
          <w:szCs w:val="24"/>
          <w:lang w:eastAsia="lt-LT"/>
        </w:rPr>
        <w:t xml:space="preserve"> ne tik dalyvavo operacijoje, tačiau buvo šio dalinio valdybos nariu bei aukščiausią laipsnį turėjusiu kariškiu (t. 451, b. l. 106–108; t. 152, b. l. 145–147).</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 xml:space="preserve">Minėtų duomenų patikimumu leidžia įsitikinti ir ikiteisminio tyrimo metu apklaustų, liudytojų statusą šiame procese turinčių, kariškių, operacijos metu buvusių kartu su </w:t>
      </w:r>
      <w:r>
        <w:t>G. G.</w:t>
      </w:r>
      <w:r w:rsidRPr="00C00255">
        <w:t xml:space="preserve">, parodymai, perskaityti teisiamajame posėdyje </w:t>
      </w:r>
      <w:r w:rsidRPr="00C00255">
        <w:rPr>
          <w:szCs w:val="24"/>
          <w:lang w:eastAsia="lt-LT"/>
        </w:rPr>
        <w:t>(</w:t>
      </w:r>
      <w:r w:rsidRPr="00C00255">
        <w:rPr>
          <w:szCs w:val="24"/>
          <w:lang w:eastAsia="lt-LT" w:bidi="lt-LT"/>
        </w:rPr>
        <w:t>t. 760, b. l. 121</w:t>
      </w:r>
      <w:r w:rsidRPr="00C00255">
        <w:rPr>
          <w:szCs w:val="24"/>
          <w:lang w:eastAsia="lt-LT"/>
        </w:rPr>
        <w:t>).</w:t>
      </w:r>
      <w:r w:rsidRPr="00C00255">
        <w:rPr>
          <w:szCs w:val="24"/>
        </w:rPr>
        <w:t xml:space="preserve"> </w:t>
      </w:r>
      <w:r>
        <w:rPr>
          <w:szCs w:val="24"/>
        </w:rPr>
        <w:t>A. A.</w:t>
      </w:r>
      <w:r w:rsidRPr="00C00255">
        <w:rPr>
          <w:szCs w:val="24"/>
        </w:rPr>
        <w:t xml:space="preserve"> nurodė, kad prieš operaciją jam buvo duota radijo stotelė ir pavesta palaikyti štabo viršininko </w:t>
      </w:r>
      <w:r>
        <w:rPr>
          <w:szCs w:val="24"/>
        </w:rPr>
        <w:t>G. G.</w:t>
      </w:r>
      <w:r w:rsidRPr="00C00255">
        <w:rPr>
          <w:szCs w:val="24"/>
        </w:rPr>
        <w:t xml:space="preserve"> ryšį. Prie LRT jis, kartu su grandiniu V.</w:t>
      </w:r>
      <w:r>
        <w:rPr>
          <w:szCs w:val="24"/>
        </w:rPr>
        <w:t> </w:t>
      </w:r>
      <w:r w:rsidRPr="00C00255">
        <w:rPr>
          <w:szCs w:val="24"/>
        </w:rPr>
        <w:t>D</w:t>
      </w:r>
      <w:r>
        <w:rPr>
          <w:szCs w:val="24"/>
        </w:rPr>
        <w:t>.</w:t>
      </w:r>
      <w:r w:rsidRPr="00C00255">
        <w:rPr>
          <w:szCs w:val="24"/>
        </w:rPr>
        <w:t xml:space="preserve">, visą laiką buvo su </w:t>
      </w:r>
      <w:r>
        <w:rPr>
          <w:szCs w:val="24"/>
        </w:rPr>
        <w:t>G. G.</w:t>
      </w:r>
      <w:r w:rsidRPr="00C00255">
        <w:rPr>
          <w:szCs w:val="24"/>
        </w:rPr>
        <w:t xml:space="preserve"> (t. 435, b. l. 3–8; t. 122, b. l. 1–13). Liudytojas V.</w:t>
      </w:r>
      <w:r>
        <w:rPr>
          <w:szCs w:val="24"/>
        </w:rPr>
        <w:t> </w:t>
      </w:r>
      <w:r w:rsidRPr="00C00255">
        <w:rPr>
          <w:szCs w:val="24"/>
        </w:rPr>
        <w:t>D</w:t>
      </w:r>
      <w:r>
        <w:rPr>
          <w:szCs w:val="24"/>
        </w:rPr>
        <w:t>.</w:t>
      </w:r>
      <w:r w:rsidRPr="00C00255">
        <w:rPr>
          <w:szCs w:val="24"/>
        </w:rPr>
        <w:t xml:space="preserve"> nurodė gavęs radijo stotelę bei įsakymą užtikrinti ryšį su štabo viršininku </w:t>
      </w:r>
      <w:r>
        <w:rPr>
          <w:szCs w:val="24"/>
        </w:rPr>
        <w:t>G. G.</w:t>
      </w:r>
      <w:r w:rsidRPr="00C00255">
        <w:rPr>
          <w:szCs w:val="24"/>
        </w:rPr>
        <w:t>. Anot V. D</w:t>
      </w:r>
      <w:r>
        <w:rPr>
          <w:szCs w:val="24"/>
        </w:rPr>
        <w:t>.</w:t>
      </w:r>
      <w:r w:rsidRPr="00C00255">
        <w:rPr>
          <w:szCs w:val="24"/>
        </w:rPr>
        <w:t xml:space="preserve">, jam kartu su </w:t>
      </w:r>
      <w:r>
        <w:rPr>
          <w:szCs w:val="24"/>
        </w:rPr>
        <w:t>G. G.</w:t>
      </w:r>
      <w:r w:rsidRPr="00C00255">
        <w:rPr>
          <w:szCs w:val="24"/>
        </w:rPr>
        <w:t xml:space="preserve"> nuėjus į LRT televizijos pastato 4 aukštą, liudytojas viename iš kambarių palaikė radijo ryšį su kitais daliniais (t. 435, b. l. 13–15; t. 112, b. l. 20–22).</w:t>
      </w:r>
      <w:r w:rsidRPr="00C00255">
        <w:rPr>
          <w:color w:val="000000"/>
          <w:szCs w:val="24"/>
          <w:lang w:eastAsia="lt-LT" w:bidi="lt-LT"/>
        </w:rPr>
        <w:t xml:space="preserve"> Šie parodymai atitinka ir papildo kitus jau minėtus objektyvius duomenis bei taip pat formuoja teismo vidinį įsitikinimą apie </w:t>
      </w:r>
      <w:r>
        <w:rPr>
          <w:color w:val="000000"/>
          <w:szCs w:val="24"/>
          <w:lang w:eastAsia="lt-LT" w:bidi="lt-LT"/>
        </w:rPr>
        <w:t>G. G.</w:t>
      </w:r>
      <w:r w:rsidRPr="00C00255">
        <w:rPr>
          <w:color w:val="000000"/>
          <w:szCs w:val="24"/>
          <w:lang w:eastAsia="lt-LT" w:bidi="lt-LT"/>
        </w:rPr>
        <w:t xml:space="preserve"> atliktą LRT užėmimo operacijos vykdymo kontrolę – </w:t>
      </w:r>
      <w:r w:rsidRPr="00C00255">
        <w:rPr>
          <w:szCs w:val="24"/>
        </w:rPr>
        <w:t xml:space="preserve">visos operacijos metu </w:t>
      </w:r>
      <w:r>
        <w:rPr>
          <w:szCs w:val="24"/>
        </w:rPr>
        <w:t>G. G.</w:t>
      </w:r>
      <w:r w:rsidRPr="00C00255">
        <w:rPr>
          <w:szCs w:val="24"/>
        </w:rPr>
        <w:t xml:space="preserve"> turėjo bei palaikė radijo ryšį su kitais kariniais daliniais, kurį užtikrino nuolatos su juo buvę specialiai tam paskirti kariškiai.</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 xml:space="preserve">Teisėjų kolegijai nekyla abejonių ir dėl to, kad </w:t>
      </w:r>
      <w:r>
        <w:t>G. G.</w:t>
      </w:r>
      <w:r w:rsidRPr="00C00255">
        <w:t xml:space="preserve"> kartu su 7-osios kuopos kariškiais, įsibrovė į civilių ginamą LRT Televizijos 9 aukštų pastatą. Nustatytus </w:t>
      </w:r>
      <w:r>
        <w:t>G. G.</w:t>
      </w:r>
      <w:r w:rsidRPr="00C00255">
        <w:t xml:space="preserve"> veiksmus patvirtina</w:t>
      </w:r>
      <w:r w:rsidRPr="00C00255">
        <w:rPr>
          <w:lang w:eastAsia="lt-LT"/>
        </w:rPr>
        <w:t xml:space="preserve"> šie įrodymai:</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lang w:eastAsia="lt-LT"/>
        </w:rPr>
        <w:t xml:space="preserve">2014 m. birželio 10 d. specialisto išvadoje konstatuota, </w:t>
      </w:r>
      <w:r w:rsidRPr="00C00255">
        <w:rPr>
          <w:szCs w:val="24"/>
          <w:lang w:eastAsia="lt-LT" w:bidi="lt-LT"/>
        </w:rPr>
        <w:t xml:space="preserve">kad dalis kariškių, dalyvavusių užimant LRT pastatus, gavę komandą iš </w:t>
      </w:r>
      <w:r>
        <w:rPr>
          <w:szCs w:val="24"/>
          <w:lang w:eastAsia="lt-LT" w:bidi="lt-LT"/>
        </w:rPr>
        <w:t>G. G.</w:t>
      </w:r>
      <w:r w:rsidRPr="00C00255">
        <w:rPr>
          <w:szCs w:val="24"/>
          <w:lang w:eastAsia="lt-LT" w:bidi="lt-LT"/>
        </w:rPr>
        <w:t>, prisijungė prie LRT 9 aukštų pastate buvusių kariškių (t. 480, b. l. 61);</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bidi="lt-LT"/>
        </w:rPr>
        <w:t xml:space="preserve">išvadą apie </w:t>
      </w:r>
      <w:r>
        <w:rPr>
          <w:szCs w:val="24"/>
          <w:lang w:bidi="lt-LT"/>
        </w:rPr>
        <w:t>G. G.</w:t>
      </w:r>
      <w:r w:rsidRPr="00C00255">
        <w:rPr>
          <w:szCs w:val="24"/>
          <w:lang w:bidi="lt-LT"/>
        </w:rPr>
        <w:t xml:space="preserve"> vykdytą užduotį, susijusią su LRT Televizijos 9 aukštų pastato užėmimu, formuoja operacijos metu kartu su juo buvusių A. A</w:t>
      </w:r>
      <w:r>
        <w:rPr>
          <w:szCs w:val="24"/>
          <w:lang w:bidi="lt-LT"/>
        </w:rPr>
        <w:t>.</w:t>
      </w:r>
      <w:r w:rsidRPr="00C00255">
        <w:rPr>
          <w:szCs w:val="24"/>
          <w:lang w:bidi="lt-LT"/>
        </w:rPr>
        <w:t xml:space="preserve"> ir V. D</w:t>
      </w:r>
      <w:r>
        <w:rPr>
          <w:szCs w:val="24"/>
          <w:lang w:bidi="lt-LT"/>
        </w:rPr>
        <w:t>.</w:t>
      </w:r>
      <w:r w:rsidRPr="00C00255">
        <w:rPr>
          <w:szCs w:val="24"/>
          <w:lang w:bidi="lt-LT"/>
        </w:rPr>
        <w:t xml:space="preserve"> bei liudytojo R. K</w:t>
      </w:r>
      <w:r>
        <w:rPr>
          <w:szCs w:val="24"/>
          <w:lang w:bidi="lt-LT"/>
        </w:rPr>
        <w:t>.</w:t>
      </w:r>
      <w:r w:rsidRPr="00C00255">
        <w:rPr>
          <w:szCs w:val="24"/>
          <w:lang w:bidi="lt-LT"/>
        </w:rPr>
        <w:t xml:space="preserve"> parodymai, perskaityti teisiamajame posėdyje (t. 760, b. l. 121). </w:t>
      </w:r>
      <w:r>
        <w:rPr>
          <w:szCs w:val="24"/>
          <w:lang w:eastAsia="lt-LT" w:bidi="lt-LT"/>
        </w:rPr>
        <w:t>A. A.</w:t>
      </w:r>
      <w:r w:rsidR="002125AE">
        <w:rPr>
          <w:szCs w:val="24"/>
          <w:lang w:eastAsia="lt-LT" w:bidi="lt-LT"/>
        </w:rPr>
        <w:t xml:space="preserve"> nurodė, kad privažiavus prie 9 </w:t>
      </w:r>
      <w:r w:rsidRPr="00C00255">
        <w:rPr>
          <w:szCs w:val="24"/>
          <w:lang w:eastAsia="lt-LT" w:bidi="lt-LT"/>
        </w:rPr>
        <w:t xml:space="preserve">aukštų pastato, </w:t>
      </w:r>
      <w:r>
        <w:rPr>
          <w:szCs w:val="24"/>
          <w:lang w:eastAsia="lt-LT" w:bidi="lt-LT"/>
        </w:rPr>
        <w:t>G. G.</w:t>
      </w:r>
      <w:r w:rsidRPr="00C00255">
        <w:rPr>
          <w:szCs w:val="24"/>
          <w:lang w:eastAsia="lt-LT" w:bidi="lt-LT"/>
        </w:rPr>
        <w:t xml:space="preserve"> pasišaukė jį, kad turėtų ryšį. Aplink pastato įėjimą stovėjo žmonės, kurie priešinosi. Jie susirinkusius žmones automatais stūmė į šoną ir įėjo į pastatą. Liudytojas su </w:t>
      </w:r>
      <w:r>
        <w:rPr>
          <w:szCs w:val="24"/>
          <w:lang w:eastAsia="lt-LT" w:bidi="lt-LT"/>
        </w:rPr>
        <w:t>G. G.</w:t>
      </w:r>
      <w:r w:rsidRPr="00C00255">
        <w:rPr>
          <w:szCs w:val="24"/>
          <w:lang w:eastAsia="lt-LT" w:bidi="lt-LT"/>
        </w:rPr>
        <w:t xml:space="preserve"> pakilo į 2 aukštą, nes </w:t>
      </w:r>
      <w:r>
        <w:rPr>
          <w:szCs w:val="24"/>
          <w:lang w:eastAsia="lt-LT" w:bidi="lt-LT"/>
        </w:rPr>
        <w:t>G. G.</w:t>
      </w:r>
      <w:r w:rsidRPr="00C00255">
        <w:rPr>
          <w:szCs w:val="24"/>
          <w:lang w:eastAsia="lt-LT" w:bidi="lt-LT"/>
        </w:rPr>
        <w:t xml:space="preserve"> pasakė, kad kažkur yra studija, iš kurios transliuojamos laidos. Kai rado studiją, joje žmonių nebuvo, niekas nebuvo sudaužyta (t. 435, b. l. 3–8; t. 122, b. l. 1–13). Liudytojas </w:t>
      </w:r>
      <w:r w:rsidRPr="00C00255">
        <w:t>V.</w:t>
      </w:r>
      <w:r>
        <w:t> </w:t>
      </w:r>
      <w:r w:rsidRPr="00C00255">
        <w:t>D</w:t>
      </w:r>
      <w:r>
        <w:t>.</w:t>
      </w:r>
      <w:r w:rsidRPr="00C00255">
        <w:t xml:space="preserve"> nurodė, kad kariškiams padėjo stumti minią nuo televizijos centro, kol su </w:t>
      </w:r>
      <w:r>
        <w:t>G. G.</w:t>
      </w:r>
      <w:r w:rsidRPr="00C00255">
        <w:t xml:space="preserve"> pateko į pastatą. Po ko, kartu su </w:t>
      </w:r>
      <w:r>
        <w:t>G. G.</w:t>
      </w:r>
      <w:r w:rsidRPr="00C00255">
        <w:t xml:space="preserve"> sėdėjo viename iš kambarių </w:t>
      </w:r>
      <w:r w:rsidRPr="00C00255">
        <w:rPr>
          <w:szCs w:val="24"/>
          <w:lang w:bidi="lt-LT"/>
        </w:rPr>
        <w:t xml:space="preserve">ir palaikė radijo ryšį su kitais padaliniais </w:t>
      </w:r>
      <w:r w:rsidRPr="00C00255">
        <w:rPr>
          <w:szCs w:val="24"/>
          <w:lang w:eastAsia="lt-LT" w:bidi="lt-LT"/>
        </w:rPr>
        <w:t>(t. 435, b. l. 13–15; t. 112, b. l. 20–22). R.</w:t>
      </w:r>
      <w:r>
        <w:rPr>
          <w:szCs w:val="24"/>
          <w:lang w:eastAsia="lt-LT" w:bidi="lt-LT"/>
        </w:rPr>
        <w:t> </w:t>
      </w:r>
      <w:r w:rsidRPr="00C00255">
        <w:rPr>
          <w:szCs w:val="24"/>
          <w:lang w:eastAsia="lt-LT" w:bidi="lt-LT"/>
        </w:rPr>
        <w:t>K</w:t>
      </w:r>
      <w:r>
        <w:rPr>
          <w:szCs w:val="24"/>
          <w:lang w:eastAsia="lt-LT" w:bidi="lt-LT"/>
        </w:rPr>
        <w:t>.</w:t>
      </w:r>
      <w:r w:rsidRPr="00C00255">
        <w:rPr>
          <w:szCs w:val="24"/>
          <w:lang w:eastAsia="lt-LT" w:bidi="lt-LT"/>
        </w:rPr>
        <w:t xml:space="preserve"> nurodė, kad 1991 m. sausio 12 d. vakarą gavo užduotį vairuoti automobilį URAL. Mašinos kabinoje sėdėjo štabo viršininkas </w:t>
      </w:r>
      <w:r>
        <w:rPr>
          <w:szCs w:val="24"/>
          <w:lang w:eastAsia="lt-LT" w:bidi="lt-LT"/>
        </w:rPr>
        <w:t>G. G.</w:t>
      </w:r>
      <w:r w:rsidRPr="00C00255">
        <w:rPr>
          <w:szCs w:val="24"/>
          <w:lang w:eastAsia="lt-LT" w:bidi="lt-LT"/>
        </w:rPr>
        <w:t xml:space="preserve"> ir ryšininkas su radijo stotele. Per šią stotelę štabo viršininkas kartais kažką išsikviesdavo. Atvykus, štabo viršininkas ir radistas išėjo prie pastato; žino, kad jų padaliniui vadovavo papulkininkis </w:t>
      </w:r>
      <w:r>
        <w:rPr>
          <w:szCs w:val="24"/>
          <w:lang w:eastAsia="lt-LT" w:bidi="lt-LT"/>
        </w:rPr>
        <w:t>G. G.</w:t>
      </w:r>
      <w:r w:rsidRPr="00C00255">
        <w:rPr>
          <w:szCs w:val="24"/>
          <w:lang w:eastAsia="lt-LT" w:bidi="lt-LT"/>
        </w:rPr>
        <w:t xml:space="preserve"> (t. 435, b. l. 155–158; t. 122, b. l. 220–225). </w:t>
      </w:r>
      <w:r w:rsidRPr="00C00255">
        <w:rPr>
          <w:color w:val="000000"/>
          <w:szCs w:val="24"/>
          <w:lang w:eastAsia="lt-LT" w:bidi="lt-LT"/>
        </w:rPr>
        <w:t xml:space="preserve">Teisėjų kolegijos vertinimu, minėti parodymai atitinka ir papildo kitus jau minėtus objektyvius įrodymus bei taip pat formuoja teismo vidinį įsitikinimą apie </w:t>
      </w:r>
      <w:r>
        <w:rPr>
          <w:color w:val="000000"/>
          <w:szCs w:val="24"/>
          <w:lang w:eastAsia="lt-LT" w:bidi="lt-LT"/>
        </w:rPr>
        <w:t>G. G.</w:t>
      </w:r>
      <w:r w:rsidRPr="00C00255">
        <w:rPr>
          <w:color w:val="000000"/>
          <w:szCs w:val="24"/>
          <w:lang w:eastAsia="lt-LT" w:bidi="lt-LT"/>
        </w:rPr>
        <w:t xml:space="preserve"> veiksmus užimant LRT Televizijos pastatą, kad jis iki pastato </w:t>
      </w:r>
      <w:r w:rsidRPr="00C00255">
        <w:rPr>
          <w:szCs w:val="24"/>
        </w:rPr>
        <w:t xml:space="preserve">veržėsi pro civilius, šalino iš pastato civilius bei rūpinosi, kad būtų atjungti transliavimo įrenginiai.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Pirmosios instancijos teismas pagrįstai konstatavo, kad </w:t>
      </w:r>
      <w:r>
        <w:t>G. G.</w:t>
      </w:r>
      <w:r w:rsidRPr="00C00255">
        <w:t xml:space="preserve"> ryšio priemonėmis nurodė </w:t>
      </w:r>
      <w:r>
        <w:t>R. J. 2</w:t>
      </w:r>
      <w:r w:rsidRPr="00C00255">
        <w:t>, vadovavusiam 26 kariškių grupei, užėmusiai LRT Techninį pastatą, prisijungti prie kariškių, užėmusių LRT Radijo 4 aukštų pastatą</w:t>
      </w:r>
      <w:r w:rsidRPr="00C00255">
        <w:rPr>
          <w:color w:val="000000"/>
          <w:szCs w:val="24"/>
          <w:lang w:eastAsia="lt-LT" w:bidi="lt-LT"/>
        </w:rPr>
        <w:t xml:space="preserve">.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Pirmiausia, tokie </w:t>
      </w:r>
      <w:r>
        <w:rPr>
          <w:szCs w:val="24"/>
          <w:lang w:eastAsia="lt-LT" w:bidi="lt-LT"/>
        </w:rPr>
        <w:t>G. G.</w:t>
      </w:r>
      <w:r w:rsidRPr="00C00255">
        <w:rPr>
          <w:szCs w:val="24"/>
          <w:lang w:eastAsia="lt-LT" w:bidi="lt-LT"/>
        </w:rPr>
        <w:t xml:space="preserve"> veiksmai konstatuoti 2014 m. birželio 10 d. išvadoje, kurioje nurodyta, kad „desantininkai iš ketvirtosios grupės, vadovaujami </w:t>
      </w:r>
      <w:r>
        <w:rPr>
          <w:szCs w:val="24"/>
          <w:lang w:eastAsia="lt-LT" w:bidi="lt-LT"/>
        </w:rPr>
        <w:t>R. J. 2</w:t>
      </w:r>
      <w:r w:rsidRPr="00C00255">
        <w:rPr>
          <w:szCs w:val="24"/>
          <w:lang w:eastAsia="lt-LT" w:bidi="lt-LT"/>
        </w:rPr>
        <w:t xml:space="preserve"> &lt;...&gt; Patikrinę techninį pastatą &lt;...&gt; rado vieną žmogų &lt;...&gt;, kurį išvarė </w:t>
      </w:r>
      <w:r w:rsidRPr="00C00255">
        <w:rPr>
          <w:iCs/>
          <w:szCs w:val="24"/>
          <w:lang w:eastAsia="lt-LT" w:bidi="lt-LT"/>
        </w:rPr>
        <w:t xml:space="preserve">ir </w:t>
      </w:r>
      <w:r>
        <w:rPr>
          <w:iCs/>
          <w:szCs w:val="24"/>
          <w:lang w:eastAsia="lt-LT" w:bidi="lt-LT"/>
        </w:rPr>
        <w:t>G. G.</w:t>
      </w:r>
      <w:r w:rsidRPr="00C00255">
        <w:rPr>
          <w:iCs/>
          <w:szCs w:val="24"/>
          <w:lang w:eastAsia="lt-LT" w:bidi="lt-LT"/>
        </w:rPr>
        <w:t xml:space="preserve"> nurodymu pro šonines 4 aukštų LRT pastato duris įėjo į vidų ir prisijungė prie VSK „A“, VRM ir oro desanto kariškių“</w:t>
      </w:r>
      <w:r w:rsidRPr="00C00255">
        <w:rPr>
          <w:szCs w:val="24"/>
          <w:lang w:eastAsia="lt-LT" w:bidi="lt-LT"/>
        </w:rPr>
        <w:t>. Be to, specialisto išvadoje nurodyta ir tai, kad prie LRT buvusios ketvirtos operacinės grupės sudėtyje taip pat buvo ir „76 odd 234 pdp žvalgybos kuopos apie 26</w:t>
      </w:r>
      <w:r>
        <w:rPr>
          <w:szCs w:val="24"/>
          <w:lang w:eastAsia="lt-LT" w:bidi="lt-LT"/>
        </w:rPr>
        <w:t> </w:t>
      </w:r>
      <w:r w:rsidRPr="00C00255">
        <w:rPr>
          <w:szCs w:val="24"/>
          <w:lang w:eastAsia="lt-LT" w:bidi="lt-LT"/>
        </w:rPr>
        <w:t xml:space="preserve">kariškiai, vadovaujami kuopos vado </w:t>
      </w:r>
      <w:r>
        <w:rPr>
          <w:szCs w:val="24"/>
          <w:lang w:eastAsia="lt-LT" w:bidi="lt-LT"/>
        </w:rPr>
        <w:t>R. J. 2</w:t>
      </w:r>
      <w:r w:rsidRPr="00C00255">
        <w:rPr>
          <w:szCs w:val="24"/>
          <w:lang w:eastAsia="lt-LT" w:bidi="lt-LT"/>
        </w:rPr>
        <w:t xml:space="preserve"> ir </w:t>
      </w:r>
      <w:r>
        <w:rPr>
          <w:szCs w:val="24"/>
          <w:lang w:eastAsia="lt-LT" w:bidi="lt-LT"/>
        </w:rPr>
        <w:t>G. G.</w:t>
      </w:r>
      <w:r w:rsidRPr="00C00255">
        <w:rPr>
          <w:szCs w:val="24"/>
          <w:lang w:eastAsia="lt-LT" w:bidi="lt-LT"/>
        </w:rPr>
        <w:t xml:space="preserve">“ (t. 480, b. l. 54–55, 61). Taigi, specialistas padarė išvadą, kad </w:t>
      </w:r>
      <w:r>
        <w:rPr>
          <w:szCs w:val="24"/>
          <w:lang w:eastAsia="lt-LT" w:bidi="lt-LT"/>
        </w:rPr>
        <w:t>G. G.</w:t>
      </w:r>
      <w:r w:rsidRPr="00C00255">
        <w:rPr>
          <w:szCs w:val="24"/>
          <w:lang w:eastAsia="lt-LT" w:bidi="lt-LT"/>
        </w:rPr>
        <w:t xml:space="preserve"> ir </w:t>
      </w:r>
      <w:r>
        <w:rPr>
          <w:szCs w:val="24"/>
          <w:lang w:eastAsia="lt-LT" w:bidi="lt-LT"/>
        </w:rPr>
        <w:t>R. J. 2</w:t>
      </w:r>
      <w:r w:rsidRPr="00C00255">
        <w:rPr>
          <w:szCs w:val="24"/>
          <w:lang w:eastAsia="lt-LT" w:bidi="lt-LT"/>
        </w:rPr>
        <w:t xml:space="preserve"> priklausė tai pačiai prie LRT dalyvavusiai operacinei grupei, taip pat konstatavo ne tik </w:t>
      </w:r>
      <w:r>
        <w:rPr>
          <w:szCs w:val="24"/>
          <w:lang w:eastAsia="lt-LT" w:bidi="lt-LT"/>
        </w:rPr>
        <w:t>G. G.</w:t>
      </w:r>
      <w:r w:rsidRPr="00C00255">
        <w:rPr>
          <w:szCs w:val="24"/>
          <w:lang w:eastAsia="lt-LT" w:bidi="lt-LT"/>
        </w:rPr>
        <w:t xml:space="preserve"> komandą </w:t>
      </w:r>
      <w:r>
        <w:rPr>
          <w:szCs w:val="24"/>
          <w:lang w:eastAsia="lt-LT" w:bidi="lt-LT"/>
        </w:rPr>
        <w:t>R. J. 2</w:t>
      </w:r>
      <w:r w:rsidRPr="00C00255">
        <w:rPr>
          <w:szCs w:val="24"/>
          <w:lang w:eastAsia="lt-LT" w:bidi="lt-LT"/>
        </w:rPr>
        <w:t xml:space="preserve"> prisijungti prie pajėgų LRT Radijo pastate, tačiau ir </w:t>
      </w:r>
      <w:r>
        <w:rPr>
          <w:szCs w:val="24"/>
          <w:lang w:eastAsia="lt-LT" w:bidi="lt-LT"/>
        </w:rPr>
        <w:t>R. J. 2</w:t>
      </w:r>
      <w:r w:rsidRPr="00C00255">
        <w:rPr>
          <w:szCs w:val="24"/>
          <w:lang w:eastAsia="lt-LT" w:bidi="lt-LT"/>
        </w:rPr>
        <w:t xml:space="preserve"> pavaldumą aukščiausią rangą prie LRT turėjusiam oro desanto kariškiui </w:t>
      </w:r>
      <w:r>
        <w:rPr>
          <w:szCs w:val="24"/>
          <w:lang w:eastAsia="lt-LT" w:bidi="lt-LT"/>
        </w:rPr>
        <w:t>G. G.</w:t>
      </w:r>
      <w:r w:rsidRPr="00C00255">
        <w:rPr>
          <w:szCs w:val="24"/>
          <w:lang w:eastAsia="lt-LT" w:bidi="lt-LT"/>
        </w:rPr>
        <w:t xml:space="preserve">.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t>Minėtų duomenų patikimumu leidžia įsitikinti ir ikiteisminio tyrimo metu apklaustų, liudytojų statusą šiame procese turinčių, kariškių parodymai, perskaityti teisiamajame posėdyje</w:t>
      </w:r>
      <w:r w:rsidRPr="00C00255">
        <w:rPr>
          <w:szCs w:val="24"/>
        </w:rPr>
        <w:t xml:space="preserve"> (t. 760, b. l. 121, 146). Žvalgybinio būrio padalinio vadas O.</w:t>
      </w:r>
      <w:r>
        <w:rPr>
          <w:szCs w:val="24"/>
        </w:rPr>
        <w:t> </w:t>
      </w:r>
      <w:r w:rsidRPr="00C00255">
        <w:rPr>
          <w:szCs w:val="24"/>
        </w:rPr>
        <w:t>F</w:t>
      </w:r>
      <w:r>
        <w:rPr>
          <w:szCs w:val="24"/>
        </w:rPr>
        <w:t>.</w:t>
      </w:r>
      <w:r w:rsidRPr="00C00255">
        <w:rPr>
          <w:szCs w:val="24"/>
        </w:rPr>
        <w:t xml:space="preserve"> nurodė, kad prie LRT važiavo mašina, kurios vyriausiasis buvo vyr. leitenantas </w:t>
      </w:r>
      <w:r>
        <w:rPr>
          <w:szCs w:val="24"/>
        </w:rPr>
        <w:t>R. J. 2</w:t>
      </w:r>
      <w:r w:rsidRPr="00C00255">
        <w:rPr>
          <w:szCs w:val="24"/>
        </w:rPr>
        <w:t xml:space="preserve">. Kariškiams išlipus, pastebėjo esąs prie sargybinių patalpų – 2 aukštų pastato. Po pastato užėmimo per raciją jie (liudytojas buvo kartu su </w:t>
      </w:r>
      <w:r>
        <w:rPr>
          <w:szCs w:val="24"/>
        </w:rPr>
        <w:t>R. J. 2</w:t>
      </w:r>
      <w:r w:rsidRPr="00C00255">
        <w:rPr>
          <w:szCs w:val="24"/>
        </w:rPr>
        <w:t>) gavo komandą su kovine desantininkų mašina privažiuoti prie 4 aukštų pastato ir užimti poziciją prie vartų (t. 434, b. l. 76–78; t. 121,</w:t>
      </w:r>
      <w:r>
        <w:rPr>
          <w:szCs w:val="24"/>
        </w:rPr>
        <w:t xml:space="preserve"> </w:t>
      </w:r>
      <w:r w:rsidRPr="00C00255">
        <w:rPr>
          <w:szCs w:val="24"/>
        </w:rPr>
        <w:t>b. l.</w:t>
      </w:r>
      <w:r>
        <w:rPr>
          <w:szCs w:val="24"/>
        </w:rPr>
        <w:t> </w:t>
      </w:r>
      <w:r w:rsidRPr="00C00255">
        <w:rPr>
          <w:szCs w:val="24"/>
        </w:rPr>
        <w:t>152–160). Reikšmingi ir V.</w:t>
      </w:r>
      <w:r>
        <w:rPr>
          <w:szCs w:val="24"/>
        </w:rPr>
        <w:t> </w:t>
      </w:r>
      <w:r w:rsidRPr="00C00255">
        <w:rPr>
          <w:szCs w:val="24"/>
        </w:rPr>
        <w:t>D</w:t>
      </w:r>
      <w:r>
        <w:rPr>
          <w:szCs w:val="24"/>
        </w:rPr>
        <w:t>.</w:t>
      </w:r>
      <w:r w:rsidRPr="00C00255">
        <w:rPr>
          <w:szCs w:val="24"/>
        </w:rPr>
        <w:t xml:space="preserve"> parodymai, kad būdamas LRT Televizijos pastate </w:t>
      </w:r>
      <w:r>
        <w:rPr>
          <w:szCs w:val="24"/>
        </w:rPr>
        <w:t>G. G.</w:t>
      </w:r>
      <w:r w:rsidRPr="00C00255">
        <w:rPr>
          <w:szCs w:val="24"/>
        </w:rPr>
        <w:t xml:space="preserve"> palaikė ryšį su kitais operacijoje dalyvavusiais padaliniais (t. 435, b. l. 13–15; t. 112, b. l. 20–22), bei </w:t>
      </w:r>
      <w:r>
        <w:rPr>
          <w:szCs w:val="24"/>
        </w:rPr>
        <w:t>A. A.</w:t>
      </w:r>
      <w:r w:rsidRPr="00C00255">
        <w:rPr>
          <w:szCs w:val="24"/>
        </w:rPr>
        <w:t xml:space="preserve"> parodymai, kad jam su </w:t>
      </w:r>
      <w:r>
        <w:rPr>
          <w:szCs w:val="24"/>
        </w:rPr>
        <w:t>G. G.</w:t>
      </w:r>
      <w:r w:rsidRPr="00C00255">
        <w:rPr>
          <w:szCs w:val="24"/>
        </w:rPr>
        <w:t xml:space="preserve"> apžiūrėjus 9 aukštų pastatą, jie nusileido į apačią ir kartu nuėjo į 4 aukštų pastatą, kur pakilo į 3 jo aukštą ir jį apžiūrėjo (t. 435, b. l. 3–8; t. 122, b. l. 1–13). </w:t>
      </w:r>
      <w:r w:rsidRPr="00C00255">
        <w:rPr>
          <w:color w:val="000000"/>
          <w:szCs w:val="24"/>
          <w:lang w:eastAsia="lt-LT" w:bidi="lt-LT"/>
        </w:rPr>
        <w:t>Teisėjų kolegijos vertinimu, aptarti liudytojų parodymai atitinka ir papildo kitus minėtus objektyvius įrodymus bei taip pat formuoja teismo vidinį įsitikinimą</w:t>
      </w:r>
      <w:r w:rsidRPr="00C00255">
        <w:rPr>
          <w:szCs w:val="24"/>
          <w:lang w:eastAsia="lt-LT"/>
        </w:rPr>
        <w:t xml:space="preserve"> </w:t>
      </w:r>
      <w:r w:rsidRPr="00C00255">
        <w:rPr>
          <w:szCs w:val="24"/>
        </w:rPr>
        <w:t xml:space="preserve">apie papulkininkio </w:t>
      </w:r>
      <w:r>
        <w:rPr>
          <w:szCs w:val="24"/>
        </w:rPr>
        <w:t>G. G.</w:t>
      </w:r>
      <w:r w:rsidRPr="00C00255">
        <w:rPr>
          <w:szCs w:val="24"/>
        </w:rPr>
        <w:t xml:space="preserve"> vadovaujamą vaidmenį užimant LRT Radijo pastatą bei radijo ryšiu duotą nurodymą </w:t>
      </w:r>
      <w:r>
        <w:rPr>
          <w:szCs w:val="24"/>
        </w:rPr>
        <w:t>R. J. 2</w:t>
      </w:r>
      <w:r w:rsidRPr="00C00255">
        <w:rPr>
          <w:szCs w:val="24"/>
        </w:rPr>
        <w:t xml:space="preserve"> prisijungti prie šiame pastate buvusių kariškių. </w:t>
      </w:r>
    </w:p>
    <w:p w:rsidR="00DA38E9" w:rsidRPr="00055544" w:rsidRDefault="00DA38E9" w:rsidP="00DA38E9">
      <w:pPr>
        <w:pStyle w:val="ListParagraph"/>
        <w:numPr>
          <w:ilvl w:val="0"/>
          <w:numId w:val="6"/>
        </w:numPr>
        <w:spacing w:before="120" w:after="120"/>
        <w:ind w:left="993" w:hanging="993"/>
        <w:contextualSpacing w:val="0"/>
        <w:rPr>
          <w:szCs w:val="24"/>
          <w:lang w:eastAsia="lt-LT" w:bidi="lt-LT"/>
        </w:rPr>
      </w:pPr>
      <w:r w:rsidRPr="00055544">
        <w:rPr>
          <w:szCs w:val="24"/>
        </w:rPr>
        <w:t xml:space="preserve">Turėdama omenyje visa tai, kas minėta šioje teismo sprendimo dalyje, teisėjų kolegija konstatuoja, kad visos skundžiamu nuosprendžiu įrodytomis pripažintos nuteistajam G. G. inkriminuotos faktinės aplinkybės, susijusios su veiksmais užimant LRT pastatus (nuosprendžio 514–520), pasitvirtino kaip teisingos ir pagrįstos. </w:t>
      </w:r>
    </w:p>
    <w:p w:rsidR="00DA38E9" w:rsidRPr="00C00255" w:rsidRDefault="00DA38E9" w:rsidP="00DA38E9">
      <w:pPr>
        <w:pStyle w:val="Heading4"/>
        <w:spacing w:before="120" w:after="120"/>
        <w:ind w:left="993"/>
        <w:rPr>
          <w:rFonts w:ascii="Times New Roman" w:hAnsi="Times New Roman"/>
          <w:b w:val="0"/>
          <w:i/>
          <w:sz w:val="24"/>
          <w:szCs w:val="24"/>
        </w:rPr>
      </w:pPr>
      <w:bookmarkStart w:id="607" w:name="_Toc66697290"/>
      <w:r w:rsidRPr="00C00255">
        <w:rPr>
          <w:rFonts w:ascii="Times New Roman" w:hAnsi="Times New Roman"/>
          <w:b w:val="0"/>
          <w:i/>
          <w:sz w:val="24"/>
          <w:szCs w:val="24"/>
        </w:rPr>
        <w:t>Dėl 237-ojo pulko 1-ojo bataliono 1-ajai ir 2-ajai kuopoms vadovavusių kariškių dalyvavimo užimant LRT Radijo pastatą</w:t>
      </w:r>
      <w:bookmarkEnd w:id="607"/>
    </w:p>
    <w:p w:rsidR="00DA38E9" w:rsidRPr="00055544" w:rsidRDefault="00DA38E9" w:rsidP="00DA38E9">
      <w:pPr>
        <w:pStyle w:val="ListParagraph"/>
        <w:numPr>
          <w:ilvl w:val="0"/>
          <w:numId w:val="6"/>
        </w:numPr>
        <w:spacing w:before="120" w:after="120"/>
        <w:ind w:left="993" w:hanging="993"/>
        <w:contextualSpacing w:val="0"/>
      </w:pPr>
      <w:r w:rsidRPr="00055544">
        <w:t xml:space="preserve">Kaip minėta, užimant LRT, TSRS GM 76-osios oro desanto divizijos kariškiai iš 234-ojo ir 237-ojo pulkų taktiniais tikslais buvo padalinti į keturias grupes, o vieną iš šių grupių sudarė kariškiai iš </w:t>
      </w:r>
      <w:bookmarkStart w:id="608" w:name="_Hlk67486162"/>
      <w:r w:rsidRPr="00055544">
        <w:rPr>
          <w:rFonts w:eastAsia="Calibri"/>
        </w:rPr>
        <w:t xml:space="preserve">TSRS GM </w:t>
      </w:r>
      <w:bookmarkEnd w:id="608"/>
      <w:r w:rsidRPr="00055544">
        <w:rPr>
          <w:rFonts w:eastAsia="Calibri"/>
        </w:rPr>
        <w:t xml:space="preserve">76-osios oro desanto divizijos 237-ojo pulko 1-osios ir 2-osios kuopų, pagal vadovavimo štabo planą dalyvavę užimant LRT Radijo (4 aukštų) pastatą. Skundžiamame teismo nuosprendyje nustatyta, kad šių karinių dalinių kariškiams vadovavo ne tik jau minėti </w:t>
      </w:r>
      <w:r w:rsidRPr="00055544">
        <w:t>TSRS GM 76-osios oro desanto divizijos vado pavaduotojas V. K. 1 (</w:t>
      </w:r>
      <w:r w:rsidRPr="00055544">
        <w:rPr>
          <w:rFonts w:eastAsia="Calibri"/>
        </w:rPr>
        <w:t>iš Šiaurės miestelyje įsikūrusio vadovavimo štabo)</w:t>
      </w:r>
      <w:r w:rsidRPr="00055544">
        <w:t xml:space="preserve">, </w:t>
      </w:r>
      <w:r w:rsidRPr="00055544">
        <w:rPr>
          <w:rFonts w:eastAsia="Calibri"/>
        </w:rPr>
        <w:t xml:space="preserve">234-ojo pulko žvalgybos viršininkas S. P. (iš ryšio mašinos </w:t>
      </w:r>
      <w:r w:rsidRPr="00055544">
        <w:t xml:space="preserve">KŠM GAZ-66), 234-ojo pulko štabo viršininkas G. G. (palaikęs radijo ryšį su kitais įvykiuose dalyvavusiais daliniais iš užimamų pastatų), </w:t>
      </w:r>
      <w:r w:rsidRPr="00055544">
        <w:rPr>
          <w:rFonts w:eastAsia="Calibri"/>
        </w:rPr>
        <w:t xml:space="preserve">bet ir kiti TSRS GM 76-osios oro desanto divizijos 237-ojo pulko </w:t>
      </w:r>
      <w:r w:rsidRPr="00055544">
        <w:t xml:space="preserve">kariškiai, taip pat ir nuteistieji </w:t>
      </w:r>
      <w:r w:rsidRPr="00055544">
        <w:rPr>
          <w:rFonts w:eastAsia="Calibri"/>
        </w:rPr>
        <w:t>J. G., I. Š., A. F. 1, K. U., A. F. 2, J. J. bei A. I..</w:t>
      </w:r>
    </w:p>
    <w:p w:rsidR="00DA38E9" w:rsidRPr="00C00255" w:rsidRDefault="00DA38E9" w:rsidP="00DA38E9">
      <w:pPr>
        <w:pStyle w:val="Heading5"/>
        <w:spacing w:before="120" w:after="120"/>
        <w:ind w:left="993"/>
        <w:rPr>
          <w:rFonts w:ascii="Times New Roman" w:hAnsi="Times New Roman" w:cs="Times New Roman"/>
          <w:i/>
          <w:color w:val="auto"/>
        </w:rPr>
      </w:pPr>
      <w:bookmarkStart w:id="609" w:name="_Toc66697291"/>
      <w:r w:rsidRPr="00C00255">
        <w:rPr>
          <w:rFonts w:ascii="Times New Roman" w:hAnsi="Times New Roman" w:cs="Times New Roman"/>
          <w:i/>
          <w:color w:val="auto"/>
        </w:rPr>
        <w:t xml:space="preserve">Dėl nuteistojo </w:t>
      </w:r>
      <w:r>
        <w:rPr>
          <w:rFonts w:ascii="Times New Roman" w:hAnsi="Times New Roman" w:cs="Times New Roman"/>
          <w:i/>
          <w:color w:val="auto"/>
        </w:rPr>
        <w:t>J. G.</w:t>
      </w:r>
      <w:r w:rsidRPr="00C00255">
        <w:rPr>
          <w:rFonts w:ascii="Times New Roman" w:hAnsi="Times New Roman" w:cs="Times New Roman"/>
          <w:i/>
          <w:color w:val="auto"/>
        </w:rPr>
        <w:t xml:space="preserve"> dalyvavimo užimant LRT Radijo pastatą</w:t>
      </w:r>
      <w:bookmarkEnd w:id="609"/>
    </w:p>
    <w:p w:rsidR="002125AE" w:rsidRPr="00055544" w:rsidRDefault="00DA38E9" w:rsidP="002125AE">
      <w:pPr>
        <w:pStyle w:val="ListParagraph"/>
        <w:numPr>
          <w:ilvl w:val="0"/>
          <w:numId w:val="6"/>
        </w:numPr>
        <w:spacing w:before="120" w:after="120"/>
        <w:ind w:left="993" w:hanging="993"/>
        <w:contextualSpacing w:val="0"/>
        <w:rPr>
          <w:szCs w:val="24"/>
          <w:lang w:eastAsia="lt-LT" w:bidi="lt-LT"/>
        </w:rPr>
      </w:pPr>
      <w:r w:rsidRPr="00055544">
        <w:rPr>
          <w:szCs w:val="24"/>
          <w:lang w:eastAsia="lt-LT"/>
        </w:rPr>
        <w:t xml:space="preserve">Teisėjų kolegijos įsitikinimu, pasitvirtino pirmosios instancijos teismo išvada, kad TSRS GM 76-osios oro desanto divizijos 237-ojo pulko 1-osios kuopos vadas kapitonas J. G. </w:t>
      </w:r>
      <w:bookmarkStart w:id="610" w:name="_Hlk65488298"/>
      <w:r w:rsidRPr="00055544">
        <w:rPr>
          <w:szCs w:val="24"/>
          <w:lang w:eastAsia="lt-LT"/>
        </w:rPr>
        <w:t xml:space="preserve">buvo vienu iš </w:t>
      </w:r>
      <w:r w:rsidRPr="00055544">
        <w:t xml:space="preserve">237-ojo pulko 1-ojo bataliono 1-osios ir 2-osios kuopų kariškiams prie LRT vadovavusių </w:t>
      </w:r>
      <w:bookmarkEnd w:id="610"/>
      <w:r w:rsidRPr="00055544">
        <w:t xml:space="preserve">ir apskritai vyriausiu pagal rangą šio karinio vieneto karininkų. </w:t>
      </w:r>
    </w:p>
    <w:p w:rsidR="002125AE" w:rsidRPr="002125AE" w:rsidRDefault="00DA38E9" w:rsidP="002125AE">
      <w:pPr>
        <w:pStyle w:val="ListParagraph"/>
        <w:numPr>
          <w:ilvl w:val="0"/>
          <w:numId w:val="6"/>
        </w:numPr>
        <w:spacing w:before="120" w:after="120"/>
        <w:ind w:left="993" w:hanging="993"/>
        <w:contextualSpacing w:val="0"/>
        <w:rPr>
          <w:szCs w:val="24"/>
          <w:lang w:eastAsia="lt-LT" w:bidi="lt-LT"/>
        </w:rPr>
      </w:pPr>
      <w:r w:rsidRPr="002125AE">
        <w:rPr>
          <w:szCs w:val="24"/>
          <w:lang w:eastAsia="lt-LT"/>
        </w:rPr>
        <w:t xml:space="preserve">Nuteistojo J. G. gynėjas apeliaciniame skunde teigia, kad teismas nenustatė bylai reikšmingų faktinių aplinkybių dėl J. G. kaltės. Tačiau teisėjų kolegija su tokiais argumentais nesutinka ir pabrėžia, </w:t>
      </w:r>
      <w:bookmarkStart w:id="611" w:name="_Hlk67498230"/>
      <w:r w:rsidRPr="002125AE">
        <w:rPr>
          <w:szCs w:val="24"/>
          <w:lang w:eastAsia="lt-LT"/>
        </w:rPr>
        <w:t>kad</w:t>
      </w:r>
      <w:bookmarkEnd w:id="611"/>
      <w:r w:rsidRPr="002125AE">
        <w:rPr>
          <w:szCs w:val="24"/>
          <w:lang w:eastAsia="lt-LT"/>
        </w:rPr>
        <w:t xml:space="preserve"> skundžiamu nuosprendžiu nustatytą J. G. vadovaujamą vaidmenį įvykiuose prie LRT Radijo pastato patvirtina </w:t>
      </w:r>
      <w:r w:rsidRPr="00C00255">
        <w:t>byloje surinktų įrodymų visuma.</w:t>
      </w:r>
    </w:p>
    <w:p w:rsidR="002125AE" w:rsidRPr="002125AE" w:rsidRDefault="00DA38E9" w:rsidP="002125AE">
      <w:pPr>
        <w:pStyle w:val="ListParagraph"/>
        <w:numPr>
          <w:ilvl w:val="0"/>
          <w:numId w:val="6"/>
        </w:numPr>
        <w:spacing w:before="120" w:after="120"/>
        <w:ind w:left="993" w:hanging="993"/>
        <w:contextualSpacing w:val="0"/>
        <w:rPr>
          <w:szCs w:val="24"/>
          <w:lang w:eastAsia="lt-LT" w:bidi="lt-LT"/>
        </w:rPr>
      </w:pPr>
      <w:r w:rsidRPr="00C00255">
        <w:t>Pirmiausia, jau sprendimo dalyje „</w:t>
      </w:r>
      <w:r w:rsidRPr="002125AE">
        <w:rPr>
          <w:i/>
          <w:szCs w:val="24"/>
        </w:rPr>
        <w:t>Dėl nuteistojo V. K. 1 dalyvavimo užimant LRT</w:t>
      </w:r>
      <w:r w:rsidRPr="002125AE">
        <w:rPr>
          <w:szCs w:val="24"/>
        </w:rPr>
        <w:t>“</w:t>
      </w:r>
      <w:r w:rsidRPr="00C00255">
        <w:t xml:space="preserve"> aptartais įrodymais buvo konstatuota, kad </w:t>
      </w:r>
      <w:r>
        <w:t>S. P.</w:t>
      </w:r>
      <w:r w:rsidRPr="00C00255">
        <w:t xml:space="preserve"> ir </w:t>
      </w:r>
      <w:r>
        <w:t>V. K. 1</w:t>
      </w:r>
      <w:r w:rsidRPr="00C00255">
        <w:t xml:space="preserve"> 237-ojo pulko 1-ojo bataliono 1-osios ir 2-osios kuopos kariškių grupei vadovauti prie LRT paskyrė būtent </w:t>
      </w:r>
      <w:r>
        <w:t>J. G.</w:t>
      </w:r>
      <w:r w:rsidRPr="002125AE">
        <w:rPr>
          <w:szCs w:val="24"/>
        </w:rPr>
        <w:t xml:space="preserve"> </w:t>
      </w:r>
      <w:r w:rsidRPr="002125AE">
        <w:rPr>
          <w:szCs w:val="24"/>
          <w:lang w:eastAsia="lt-LT"/>
        </w:rPr>
        <w:t xml:space="preserve">(t. 437, b. l. 19; t. 124, b. l. 17). Iš byloje esančio kariškių sąrašo </w:t>
      </w:r>
      <w:bookmarkStart w:id="612" w:name="_Hlk65597454"/>
      <w:r w:rsidRPr="002125AE">
        <w:rPr>
          <w:szCs w:val="24"/>
          <w:lang w:eastAsia="lt-LT"/>
        </w:rPr>
        <w:t>pavadinimu „1 ir 2 parašiutininkų-desantininkų kuopos karių, dalyvavusių 1991 metų naktį iš sausio 12 dienos į sausio 13 dieną operacijoje Vilniaus mieste, skirtoje saugoti televizijos ir radijo komitetą“</w:t>
      </w:r>
      <w:bookmarkEnd w:id="612"/>
      <w:r w:rsidRPr="002125AE">
        <w:rPr>
          <w:szCs w:val="24"/>
        </w:rPr>
        <w:t xml:space="preserve"> matyti, kad įvykiuose šio dalinio sudėtyje dalyvavo ir kapitonas J. G. (t. 437, b. l. 4–6; t. 124, b. l. 2–4). Byloje yra ir kovinės technikos, automobilių ir personalo, veikusio prie Valstybinės televizijos ir radijo komiteto, sąrašas. Jame nurodyta, kad mašinos URAL-4320, Nr. 00-65, kurios ekipaže buvo 1-osios ir 2-osios kuopų kariškiai, vyriausiuoju buvo kapitonas J. G. (t. 451, b. l. 192–194; t. 152, b. l. 223–225). Tuo, kad J. G. 1-osios ir 2-osios kuopos kariškių sudėtyje dalyvavo užimant LRT Radijo (4 aukštų) pastatą ir jiems vadovavo, neleidžia abejoti ir 2014 m. birželio 10 d. specialisto išvada. Specialistas J. Andriškevičius nurodė, kad „VRM kariškiai &lt;...&gt; prisijungė prie desantininkų grupės, vadovaujamos kapitono E. G. &lt;...&gt;, atvykusios paskui VRM koloną kariniu automobiliu URAL &lt;...&gt; kartu su VSK „A“ 5 kariškių grupe &lt;...&gt; ir vykdė 4 a. LRT pastato užėmimą“ (t. 480, b. l. 57; (</w:t>
      </w:r>
      <w:bookmarkStart w:id="613" w:name="_Hlk66702927"/>
      <w:r w:rsidRPr="002125AE">
        <w:rPr>
          <w:szCs w:val="24"/>
        </w:rPr>
        <w:t xml:space="preserve">nekyla abejonių, kad kalbama apie kapitoną J. G., nes sutampa jo karinis laipsnis, o vardo raidė „e“ yra pirmąja vardo „J.“ raide, jį užrašant kirilica – </w:t>
      </w:r>
      <w:r w:rsidRPr="002125AE">
        <w:rPr>
          <w:i/>
          <w:iCs/>
          <w:szCs w:val="24"/>
        </w:rPr>
        <w:t xml:space="preserve">teisėjų </w:t>
      </w:r>
      <w:r w:rsidRPr="002125AE">
        <w:rPr>
          <w:i/>
          <w:szCs w:val="24"/>
        </w:rPr>
        <w:t>kolegijos pastaba</w:t>
      </w:r>
      <w:r w:rsidRPr="002125AE">
        <w:rPr>
          <w:szCs w:val="24"/>
        </w:rPr>
        <w:t>)</w:t>
      </w:r>
      <w:bookmarkEnd w:id="613"/>
      <w:r w:rsidRPr="002125AE">
        <w:rPr>
          <w:szCs w:val="24"/>
        </w:rPr>
        <w:t xml:space="preserve">). Taigi vien jau aptarti duomenys patvirtina, kad kapitonas J. G. dalyvavo ir vadovavo 237-ojo pulko 1-ojo bataliono 1-osios ir 2-osios kuopos kariškiams užimant LRT Radijo pastatą.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t xml:space="preserve">Minėtų duomenų patikimumu leidžia įsitikinti ir ikiteisminio tyrimo metu apklaustų, liudytojų statusą šiame procese turinčių 1-osios kuopos kariškių parodymai, perskaityti teisiamajame posėdyje </w:t>
      </w:r>
      <w:r w:rsidRPr="00C00255">
        <w:rPr>
          <w:szCs w:val="24"/>
          <w:lang w:eastAsia="lt-LT"/>
        </w:rPr>
        <w:t>(</w:t>
      </w:r>
      <w:r w:rsidRPr="00C00255">
        <w:rPr>
          <w:szCs w:val="24"/>
          <w:lang w:eastAsia="lt-LT" w:bidi="lt-LT"/>
        </w:rPr>
        <w:t>t. 760, b. l. 114–117</w:t>
      </w:r>
      <w:r w:rsidRPr="00C00255">
        <w:rPr>
          <w:szCs w:val="24"/>
          <w:lang w:eastAsia="lt-LT"/>
        </w:rPr>
        <w:t xml:space="preserve">). Teisėjų kolegija pažymi, kad apie </w:t>
      </w:r>
      <w:r>
        <w:rPr>
          <w:szCs w:val="24"/>
          <w:lang w:eastAsia="lt-LT"/>
        </w:rPr>
        <w:t>J. G.</w:t>
      </w:r>
      <w:r w:rsidRPr="00C00255">
        <w:rPr>
          <w:szCs w:val="24"/>
          <w:lang w:eastAsia="lt-LT"/>
        </w:rPr>
        <w:t xml:space="preserve"> vadovaujamą vaidmenį -osios ir 2-osios kuopos kariškiams nurodė daugiau nei dvidešimt įvykiuose prie LRT dalyvavusių kariškių, todėl toliau aptariami tik tie parodymai, kurie geriausiai iliustruoja </w:t>
      </w:r>
      <w:r>
        <w:rPr>
          <w:szCs w:val="24"/>
        </w:rPr>
        <w:t>J. G.</w:t>
      </w:r>
      <w:r w:rsidRPr="00C00255">
        <w:rPr>
          <w:szCs w:val="24"/>
        </w:rPr>
        <w:t xml:space="preserve"> išskirtinį vaidmenį užimant LRT Radijo pastatą.</w:t>
      </w:r>
      <w:r w:rsidRPr="00C00255">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mechanikas-vairuotojas </w:t>
      </w:r>
      <w:r>
        <w:rPr>
          <w:szCs w:val="24"/>
          <w:lang w:eastAsia="lt-LT" w:bidi="lt-LT"/>
        </w:rPr>
        <w:t>P. S.</w:t>
      </w:r>
      <w:r w:rsidRPr="00C00255">
        <w:rPr>
          <w:szCs w:val="24"/>
          <w:lang w:eastAsia="lt-LT" w:bidi="lt-LT"/>
        </w:rPr>
        <w:t xml:space="preserve"> nurodė, kad 1991 m. sausio 12 d. apie 23.30 val. kuopos vadas kapitonas </w:t>
      </w:r>
      <w:r>
        <w:rPr>
          <w:szCs w:val="24"/>
          <w:lang w:eastAsia="lt-LT" w:bidi="lt-LT"/>
        </w:rPr>
        <w:t>J. G.</w:t>
      </w:r>
      <w:r w:rsidRPr="00C00255">
        <w:rPr>
          <w:szCs w:val="24"/>
          <w:lang w:eastAsia="lt-LT" w:bidi="lt-LT"/>
        </w:rPr>
        <w:t xml:space="preserve"> paaiškino, jog jie turi paimti kontrolėn televizijos ir radijo komiteto pastatą, instruktavo, kada ir kaip naudoti ginklus bei šovinius. Prie televizijos ir radijo komiteto jie privažiavo apie 2.00 val. nakties, tada </w:t>
      </w:r>
      <w:r>
        <w:rPr>
          <w:szCs w:val="24"/>
          <w:lang w:eastAsia="lt-LT" w:bidi="lt-LT"/>
        </w:rPr>
        <w:t>J. G.</w:t>
      </w:r>
      <w:r w:rsidRPr="00C00255">
        <w:rPr>
          <w:szCs w:val="24"/>
          <w:lang w:eastAsia="lt-LT" w:bidi="lt-LT"/>
        </w:rPr>
        <w:t xml:space="preserve"> davė komandą išlipti iš mašinos ir eiti prie įėjimo (t. 437, b. l. 95–98; t. 124, b. l. 126–131).</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Pr>
          <w:szCs w:val="24"/>
          <w:lang w:eastAsia="lt-LT" w:bidi="lt-LT"/>
        </w:rPr>
        <w:t>V. T.</w:t>
      </w:r>
      <w:r w:rsidRPr="00C00255">
        <w:rPr>
          <w:szCs w:val="24"/>
          <w:lang w:eastAsia="lt-LT" w:bidi="lt-LT"/>
        </w:rPr>
        <w:t xml:space="preserve"> nurodė ir apie </w:t>
      </w:r>
      <w:r>
        <w:rPr>
          <w:szCs w:val="24"/>
          <w:lang w:eastAsia="lt-LT" w:bidi="lt-LT"/>
        </w:rPr>
        <w:t>J. G.</w:t>
      </w:r>
      <w:r w:rsidRPr="00C00255">
        <w:rPr>
          <w:szCs w:val="24"/>
          <w:lang w:eastAsia="lt-LT" w:bidi="lt-LT"/>
        </w:rPr>
        <w:t xml:space="preserve">, pradėjus pro minią veržtis prie pastato, duotą komandą šaudyti tuščiais šoviniais į viršų (t. 437, b. l. 53–57; t. 124, b. l. 69–74), o 1-osios kuopos eilinis </w:t>
      </w:r>
      <w:r>
        <w:rPr>
          <w:szCs w:val="24"/>
          <w:lang w:eastAsia="lt-LT" w:bidi="lt-LT"/>
        </w:rPr>
        <w:t>O. T.</w:t>
      </w:r>
      <w:r w:rsidRPr="00C00255">
        <w:rPr>
          <w:szCs w:val="24"/>
          <w:lang w:eastAsia="lt-LT" w:bidi="lt-LT"/>
        </w:rPr>
        <w:t xml:space="preserve"> nurodė, kad miniai pradėjus prie jų artėti, </w:t>
      </w:r>
      <w:r>
        <w:rPr>
          <w:szCs w:val="24"/>
          <w:lang w:eastAsia="lt-LT" w:bidi="lt-LT"/>
        </w:rPr>
        <w:t>J. G.</w:t>
      </w:r>
      <w:r w:rsidRPr="00C00255">
        <w:rPr>
          <w:szCs w:val="24"/>
          <w:lang w:eastAsia="lt-LT" w:bidi="lt-LT"/>
        </w:rPr>
        <w:t xml:space="preserve"> rėkė, kad žmonės praleistų juos į pastatą, bet minia nereagavo ir jie pradėjo stumtis (t. 437, b. l. 116–119; t. 124, b. l. 168–172).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Pr>
          <w:szCs w:val="24"/>
          <w:lang w:eastAsia="lt-LT" w:bidi="lt-LT"/>
        </w:rPr>
        <w:t>V. T.</w:t>
      </w:r>
      <w:r w:rsidRPr="00C00255">
        <w:rPr>
          <w:szCs w:val="24"/>
          <w:lang w:eastAsia="lt-LT" w:bidi="lt-LT"/>
        </w:rPr>
        <w:t xml:space="preserve"> nurodė, kad dar prieš vykstant prie objekto, kapitonas </w:t>
      </w:r>
      <w:r>
        <w:rPr>
          <w:szCs w:val="24"/>
          <w:lang w:eastAsia="lt-LT" w:bidi="lt-LT"/>
        </w:rPr>
        <w:t>J. G.</w:t>
      </w:r>
      <w:r w:rsidRPr="00C00255">
        <w:rPr>
          <w:szCs w:val="24"/>
          <w:lang w:eastAsia="lt-LT" w:bidi="lt-LT"/>
        </w:rPr>
        <w:t xml:space="preserve"> davė užduotį paimti apsaugon 4 aukštų TV centro pastatą (t. 437, b. l. 128–131; t. 124, b. l. 192–203).</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vairuotas-mechanikas </w:t>
      </w:r>
      <w:r>
        <w:rPr>
          <w:szCs w:val="24"/>
          <w:lang w:eastAsia="lt-LT" w:bidi="lt-LT"/>
        </w:rPr>
        <w:t>I. R.</w:t>
      </w:r>
      <w:r w:rsidRPr="00C00255">
        <w:rPr>
          <w:szCs w:val="24"/>
          <w:lang w:eastAsia="lt-LT" w:bidi="lt-LT"/>
        </w:rPr>
        <w:t xml:space="preserve"> nurodė, kad 1991 m. sausio 12 d. apie 23.00 val. rikiuotėje kapitonas </w:t>
      </w:r>
      <w:r>
        <w:rPr>
          <w:szCs w:val="24"/>
          <w:lang w:eastAsia="lt-LT" w:bidi="lt-LT"/>
        </w:rPr>
        <w:t>J. G.</w:t>
      </w:r>
      <w:r w:rsidRPr="00C00255">
        <w:rPr>
          <w:szCs w:val="24"/>
          <w:lang w:eastAsia="lt-LT" w:bidi="lt-LT"/>
        </w:rPr>
        <w:t xml:space="preserve"> pasakė, kad jie perims televizijos ir radijo komiteto pastato apsaugą bei turės atjungti trečiame aukšte kambaryje Nr. 311 esančią įrangą. </w:t>
      </w:r>
      <w:r>
        <w:rPr>
          <w:szCs w:val="24"/>
          <w:lang w:eastAsia="lt-LT" w:bidi="lt-LT"/>
        </w:rPr>
        <w:t>J. G.</w:t>
      </w:r>
      <w:r w:rsidRPr="00C00255">
        <w:rPr>
          <w:szCs w:val="24"/>
          <w:lang w:eastAsia="lt-LT" w:bidi="lt-LT"/>
        </w:rPr>
        <w:t xml:space="preserve"> jiems parodė nupieštą patalpų planą bei davė kitas instrukcijas (t. 437, b. l. 143–146; t. 124, b. l. 227–232).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bidi="lt-LT"/>
        </w:rPr>
        <w:t xml:space="preserve">Kaip matyti, aptarti liudytojų parodymai sutampa tarpusavyje bei atitinka ir papildo kitus jau išdėstytus objektyvius įrodymus bei formuoja teismo vidinį įsitikinimą, </w:t>
      </w:r>
      <w:r w:rsidRPr="00C00255">
        <w:rPr>
          <w:szCs w:val="24"/>
        </w:rPr>
        <w:t xml:space="preserve">kad </w:t>
      </w:r>
      <w:r>
        <w:rPr>
          <w:szCs w:val="24"/>
        </w:rPr>
        <w:t>J. G.</w:t>
      </w:r>
      <w:r w:rsidRPr="00C00255">
        <w:rPr>
          <w:szCs w:val="24"/>
        </w:rPr>
        <w:t xml:space="preserve"> ne tik dalyvavo užimant LRT Radijo pastatą, bet ir, būdamas vyriausiu pagal rangą 237-ojo pulko 1-ojo bataliono 1-osios ir 2-osios kuopų kariškiu, šioms kuopoms vadovavo, bet dar ir prieš operaciją jis instruktavo kariškius dėl ginklų ir šaudmenų naudojimo ir užduočių pastato viduje, o prie objekto kariškiams davė nurodymus veržtis pro minią, šaudyti į viršų. Teisėjų kolegijos vertinimu, aptartų įrodymų visuma, paneigia </w:t>
      </w:r>
      <w:r>
        <w:rPr>
          <w:szCs w:val="24"/>
        </w:rPr>
        <w:t>J. G.</w:t>
      </w:r>
      <w:r w:rsidRPr="00C00255">
        <w:rPr>
          <w:szCs w:val="24"/>
        </w:rPr>
        <w:t xml:space="preserve"> gynėjo teiginius apie </w:t>
      </w:r>
      <w:r>
        <w:rPr>
          <w:szCs w:val="24"/>
        </w:rPr>
        <w:t>J. G.</w:t>
      </w:r>
      <w:r w:rsidRPr="00C00255">
        <w:rPr>
          <w:szCs w:val="24"/>
        </w:rPr>
        <w:t xml:space="preserve"> mažareikšmį ir epizodinį vaidmenį LRT pastatų šturmo metu. </w:t>
      </w:r>
      <w:r w:rsidRPr="00C00255">
        <w:rPr>
          <w:szCs w:val="24"/>
          <w:lang w:eastAsia="lt-LT" w:bidi="lt-LT"/>
        </w:rPr>
        <w:t xml:space="preserve">Teisėjų kolegija atkreipia dėmesį į tai, kad </w:t>
      </w:r>
      <w:r>
        <w:rPr>
          <w:szCs w:val="24"/>
          <w:lang w:eastAsia="lt-LT" w:bidi="lt-LT"/>
        </w:rPr>
        <w:t>J. G.</w:t>
      </w:r>
      <w:r w:rsidRPr="00C00255">
        <w:rPr>
          <w:szCs w:val="24"/>
          <w:lang w:eastAsia="lt-LT" w:bidi="lt-LT"/>
        </w:rPr>
        <w:t xml:space="preserve"> gynėjas apeliaciniame skunde prieštaringai nurodo apie tam tikras ginčijamas aplinkybes, t. y. vienur teigia, kad </w:t>
      </w:r>
      <w:r>
        <w:rPr>
          <w:szCs w:val="24"/>
          <w:lang w:eastAsia="lt-LT" w:bidi="lt-LT"/>
        </w:rPr>
        <w:t>J. G.</w:t>
      </w:r>
      <w:r w:rsidRPr="00C00255">
        <w:rPr>
          <w:szCs w:val="24"/>
          <w:lang w:eastAsia="lt-LT" w:bidi="lt-LT"/>
        </w:rPr>
        <w:t xml:space="preserve"> apie operacijos pobūdį nežinojo iki pat vykdymo, kitur jau teigia, kad jo ginamasis apie užduotį užimti LRT sužinojo dar 1991 m. sausio 12 d. popietę. Teisėjų kolegija, atsižvelgdama tiek į prieštaringus apeliacinio skundo argumentus, tiek į nustatytas </w:t>
      </w:r>
      <w:r>
        <w:rPr>
          <w:szCs w:val="24"/>
          <w:lang w:eastAsia="lt-LT" w:bidi="lt-LT"/>
        </w:rPr>
        <w:t>J. G.</w:t>
      </w:r>
      <w:r w:rsidRPr="00C00255">
        <w:rPr>
          <w:szCs w:val="24"/>
          <w:lang w:eastAsia="lt-LT" w:bidi="lt-LT"/>
        </w:rPr>
        <w:t xml:space="preserve"> vadovaujamo pobūdžio pareigas bei atliktus veiksmus LRT šturmo metu, apeliacinio skundo argumentus atmeta kaip nepagrįstus. Be to, tai, kad netrukus po atvykimo prie LRT, </w:t>
      </w:r>
      <w:r>
        <w:rPr>
          <w:szCs w:val="24"/>
          <w:lang w:eastAsia="lt-LT" w:bidi="lt-LT"/>
        </w:rPr>
        <w:t>J. G.</w:t>
      </w:r>
      <w:r w:rsidRPr="00C00255">
        <w:rPr>
          <w:szCs w:val="24"/>
          <w:lang w:eastAsia="lt-LT" w:bidi="lt-LT"/>
        </w:rPr>
        <w:t xml:space="preserve"> buvo sužeistas, taip pat nepaneigia išvados apie </w:t>
      </w:r>
      <w:r>
        <w:rPr>
          <w:szCs w:val="24"/>
          <w:lang w:eastAsia="lt-LT" w:bidi="lt-LT"/>
        </w:rPr>
        <w:t>J. G.</w:t>
      </w:r>
      <w:r w:rsidRPr="00C00255">
        <w:rPr>
          <w:szCs w:val="24"/>
          <w:lang w:eastAsia="lt-LT" w:bidi="lt-LT"/>
        </w:rPr>
        <w:t xml:space="preserve"> vadovaujamą vaidmenį LRT šturme iki jo sužalojimo. Teisėjų kolegijos įsitikinimą, kad šturmo metu patirta trauma nesutrukdė </w:t>
      </w:r>
      <w:r>
        <w:rPr>
          <w:szCs w:val="24"/>
          <w:lang w:eastAsia="lt-LT" w:bidi="lt-LT"/>
        </w:rPr>
        <w:t>J. G.</w:t>
      </w:r>
      <w:r w:rsidRPr="00C00255">
        <w:rPr>
          <w:szCs w:val="24"/>
          <w:lang w:eastAsia="lt-LT" w:bidi="lt-LT"/>
        </w:rPr>
        <w:t xml:space="preserve"> įvykdyti jam iškeltos užduoties užimti pastatą, formuoja ir liudytojų statusą procese turinčių kariškių </w:t>
      </w:r>
      <w:r>
        <w:rPr>
          <w:szCs w:val="24"/>
          <w:lang w:eastAsia="lt-LT" w:bidi="lt-LT"/>
        </w:rPr>
        <w:t>A. Š.</w:t>
      </w:r>
      <w:r w:rsidRPr="00C00255">
        <w:rPr>
          <w:szCs w:val="24"/>
          <w:lang w:eastAsia="lt-LT" w:bidi="lt-LT"/>
        </w:rPr>
        <w:t xml:space="preserve"> (t. 437, b. l. 103–107; t. 124, b. l. 138–152), A. Š</w:t>
      </w:r>
      <w:r>
        <w:rPr>
          <w:szCs w:val="24"/>
          <w:lang w:eastAsia="lt-LT" w:bidi="lt-LT"/>
        </w:rPr>
        <w:t>.</w:t>
      </w:r>
      <w:r w:rsidRPr="00C00255">
        <w:rPr>
          <w:szCs w:val="24"/>
          <w:lang w:eastAsia="lt-LT" w:bidi="lt-LT"/>
        </w:rPr>
        <w:t xml:space="preserve"> (t. 437, b. l. 91–94; t. 124, b. l. 120–125) ir </w:t>
      </w:r>
      <w:r>
        <w:rPr>
          <w:szCs w:val="24"/>
          <w:lang w:eastAsia="lt-LT" w:bidi="lt-LT"/>
        </w:rPr>
        <w:t>V. T.</w:t>
      </w:r>
      <w:r w:rsidRPr="00C00255">
        <w:rPr>
          <w:szCs w:val="24"/>
          <w:lang w:eastAsia="lt-LT" w:bidi="lt-LT"/>
        </w:rPr>
        <w:t xml:space="preserve"> (t. 437, b. l. 77–80; t. 124, b. l. 98–105) teisiamajame posėdyje perskaityti parodymai (t. 760, b. l. 114–115). A. Š</w:t>
      </w:r>
      <w:r>
        <w:rPr>
          <w:szCs w:val="24"/>
          <w:lang w:eastAsia="lt-LT" w:bidi="lt-LT"/>
        </w:rPr>
        <w:t>.</w:t>
      </w:r>
      <w:r w:rsidRPr="00C00255">
        <w:rPr>
          <w:szCs w:val="24"/>
          <w:lang w:eastAsia="lt-LT" w:bidi="lt-LT"/>
        </w:rPr>
        <w:t xml:space="preserve"> ir </w:t>
      </w:r>
      <w:r>
        <w:rPr>
          <w:szCs w:val="24"/>
          <w:lang w:eastAsia="lt-LT" w:bidi="lt-LT"/>
        </w:rPr>
        <w:t>V. T.</w:t>
      </w:r>
      <w:r w:rsidRPr="00C00255">
        <w:rPr>
          <w:szCs w:val="24"/>
          <w:lang w:eastAsia="lt-LT" w:bidi="lt-LT"/>
        </w:rPr>
        <w:t xml:space="preserve"> nurodė, kad </w:t>
      </w:r>
      <w:r>
        <w:rPr>
          <w:szCs w:val="24"/>
          <w:lang w:eastAsia="lt-LT" w:bidi="lt-LT"/>
        </w:rPr>
        <w:t>J. G.</w:t>
      </w:r>
      <w:r w:rsidRPr="00C00255">
        <w:rPr>
          <w:szCs w:val="24"/>
          <w:lang w:eastAsia="lt-LT" w:bidi="lt-LT"/>
        </w:rPr>
        <w:t xml:space="preserve"> buvo sužalotas pastato prieangyje, kariškiams jau pradėjus veržtis į pastatą, o A.</w:t>
      </w:r>
      <w:r>
        <w:rPr>
          <w:szCs w:val="24"/>
          <w:lang w:eastAsia="lt-LT" w:bidi="lt-LT"/>
        </w:rPr>
        <w:t> </w:t>
      </w:r>
      <w:r w:rsidRPr="00C00255">
        <w:rPr>
          <w:szCs w:val="24"/>
          <w:lang w:eastAsia="lt-LT" w:bidi="lt-LT"/>
        </w:rPr>
        <w:t>Š</w:t>
      </w:r>
      <w:r>
        <w:rPr>
          <w:szCs w:val="24"/>
          <w:lang w:eastAsia="lt-LT" w:bidi="lt-LT"/>
        </w:rPr>
        <w:t>.</w:t>
      </w:r>
      <w:r w:rsidRPr="00C00255">
        <w:rPr>
          <w:szCs w:val="24"/>
          <w:lang w:eastAsia="lt-LT" w:bidi="lt-LT"/>
        </w:rPr>
        <w:t xml:space="preserve"> – kad </w:t>
      </w:r>
      <w:r>
        <w:rPr>
          <w:szCs w:val="24"/>
          <w:lang w:eastAsia="lt-LT" w:bidi="lt-LT"/>
        </w:rPr>
        <w:t>J. G.</w:t>
      </w:r>
      <w:r w:rsidRPr="00C00255">
        <w:rPr>
          <w:szCs w:val="24"/>
          <w:lang w:eastAsia="lt-LT" w:bidi="lt-LT"/>
        </w:rPr>
        <w:t xml:space="preserve"> sužalojimą patyrė jau po to, kai dalis kariškių į 4 aukštų pastatą pateko per langą. </w:t>
      </w:r>
    </w:p>
    <w:p w:rsidR="00DA38E9" w:rsidRPr="00C00255" w:rsidRDefault="00DA38E9" w:rsidP="00DA38E9">
      <w:pPr>
        <w:pStyle w:val="ListParagraph"/>
        <w:numPr>
          <w:ilvl w:val="0"/>
          <w:numId w:val="6"/>
        </w:numPr>
        <w:spacing w:before="120" w:after="120"/>
        <w:ind w:left="992" w:hanging="992"/>
        <w:contextualSpacing w:val="0"/>
        <w:rPr>
          <w:szCs w:val="24"/>
          <w:lang w:eastAsia="lt-LT" w:bidi="lt-LT"/>
        </w:rPr>
      </w:pPr>
      <w:r w:rsidRPr="00C00255">
        <w:rPr>
          <w:szCs w:val="24"/>
          <w:lang w:eastAsia="lt-LT" w:bidi="lt-LT"/>
        </w:rPr>
        <w:t xml:space="preserve">Turėdama omenyje visa tai, kas minėta, teisėjų kolegija konstatuoja, kad visos skundžiamu nuosprendžiu įrodytomis pripažintos nuteistajam </w:t>
      </w:r>
      <w:r>
        <w:rPr>
          <w:szCs w:val="24"/>
          <w:lang w:eastAsia="lt-LT" w:bidi="lt-LT"/>
        </w:rPr>
        <w:t>J. G.</w:t>
      </w:r>
      <w:r w:rsidRPr="00C00255">
        <w:rPr>
          <w:szCs w:val="24"/>
          <w:lang w:eastAsia="lt-LT" w:bidi="lt-LT"/>
        </w:rPr>
        <w:t xml:space="preserve"> inkriminuotos faktinės aplinkybės, susijusios su veiksmais užimant LRT Radijo pastatą (nuosprendžio 514–520 l.), pasitvirtino kaip pagrįstos ir teisingos. </w:t>
      </w:r>
      <w:bookmarkStart w:id="614" w:name="_Hlk65769617"/>
      <w:r w:rsidRPr="00C00255">
        <w:rPr>
          <w:szCs w:val="24"/>
          <w:lang w:eastAsia="lt-LT" w:bidi="lt-LT"/>
        </w:rPr>
        <w:t xml:space="preserve">Visgi, teisėjų kolegija, iš dalies sutikdama ir su </w:t>
      </w:r>
      <w:r>
        <w:rPr>
          <w:szCs w:val="24"/>
          <w:lang w:eastAsia="lt-LT" w:bidi="lt-LT"/>
        </w:rPr>
        <w:t>J. G.</w:t>
      </w:r>
      <w:r w:rsidRPr="00C00255">
        <w:rPr>
          <w:szCs w:val="24"/>
          <w:lang w:eastAsia="lt-LT" w:bidi="lt-LT"/>
        </w:rPr>
        <w:t xml:space="preserve"> gynėjo apeliacinio skundo argumentais, pripažįsta, kad atskiros apygardos teismo išvados, nurodytos nuosprendžio motyvuojamojoje dalyje apie </w:t>
      </w:r>
      <w:r>
        <w:rPr>
          <w:szCs w:val="24"/>
          <w:lang w:eastAsia="lt-LT" w:bidi="lt-LT"/>
        </w:rPr>
        <w:t>J. G.</w:t>
      </w:r>
      <w:r w:rsidRPr="00C00255">
        <w:rPr>
          <w:szCs w:val="24"/>
          <w:lang w:eastAsia="lt-LT" w:bidi="lt-LT"/>
        </w:rPr>
        <w:t xml:space="preserve"> vadovaujamą vaidmenį gali būti suprastos dviprasmiškai (pvz., nuosprendyje nurodyta, kad nuteistasis </w:t>
      </w:r>
      <w:r>
        <w:rPr>
          <w:szCs w:val="24"/>
          <w:lang w:eastAsia="lt-LT" w:bidi="lt-LT"/>
        </w:rPr>
        <w:t>J. G.</w:t>
      </w:r>
      <w:r w:rsidRPr="00C00255">
        <w:rPr>
          <w:szCs w:val="24"/>
          <w:lang w:eastAsia="lt-LT" w:bidi="lt-LT"/>
        </w:rPr>
        <w:t xml:space="preserve"> „koordinavo ir vykdė karinę operaciją prie RTV komiteto (LRT), organizavo ir vykdė Radijo pastate dirbusių ir pastatą gynusių civilių puolimą“ (žr. nuosprendžio 873 l. panašiai ir 882 l.)). Iš teismo nuosprendžio kaip vientiso dokumento akivaizdu, kad pirmosios instancijos teismas pripažino, jog </w:t>
      </w:r>
      <w:r>
        <w:rPr>
          <w:szCs w:val="24"/>
          <w:lang w:eastAsia="lt-LT" w:bidi="lt-LT"/>
        </w:rPr>
        <w:t>J. G.</w:t>
      </w:r>
      <w:r w:rsidRPr="00C00255">
        <w:rPr>
          <w:szCs w:val="24"/>
          <w:lang w:eastAsia="lt-LT" w:bidi="lt-LT"/>
        </w:rPr>
        <w:t xml:space="preserve"> vadovavo ir tuo pačiu koordinavo tik desantininkų grupei iš TSRS GM 76-osios divizijos 237-ojo pulko 1-ojo bataliono 1-osios ir 2-osios kuopų, kurie kartu su kitais nuosprendyje nurodytais kariškiais šturmavo LRT Radijo 4 aukštų pastatą, taigi, teismas nenustatė, kad </w:t>
      </w:r>
      <w:r>
        <w:rPr>
          <w:szCs w:val="24"/>
          <w:lang w:eastAsia="lt-LT" w:bidi="lt-LT"/>
        </w:rPr>
        <w:t>J. G.</w:t>
      </w:r>
      <w:r w:rsidRPr="00C00255">
        <w:rPr>
          <w:szCs w:val="24"/>
          <w:lang w:eastAsia="lt-LT" w:bidi="lt-LT"/>
        </w:rPr>
        <w:t xml:space="preserve"> koordinavo visų LRT užėmime dalyvavusių kariškių veiksmus, kaip galima susidaryti įspūdį vertinant tik jau minėtą formuluotę.</w:t>
      </w:r>
      <w:bookmarkEnd w:id="614"/>
    </w:p>
    <w:p w:rsidR="00DA38E9" w:rsidRPr="00C00255" w:rsidRDefault="00DA38E9" w:rsidP="00DA38E9">
      <w:pPr>
        <w:pStyle w:val="Heading5"/>
        <w:spacing w:before="120" w:after="120"/>
        <w:ind w:left="993"/>
        <w:rPr>
          <w:rFonts w:ascii="Times New Roman" w:hAnsi="Times New Roman" w:cs="Times New Roman"/>
          <w:i/>
          <w:color w:val="auto"/>
        </w:rPr>
      </w:pPr>
      <w:bookmarkStart w:id="615" w:name="_Toc66697292"/>
      <w:r w:rsidRPr="00C00255">
        <w:rPr>
          <w:rFonts w:ascii="Times New Roman" w:hAnsi="Times New Roman" w:cs="Times New Roman"/>
          <w:i/>
          <w:color w:val="auto"/>
        </w:rPr>
        <w:t xml:space="preserve">Dėl nuteistojo </w:t>
      </w:r>
      <w:r>
        <w:rPr>
          <w:rFonts w:ascii="Times New Roman" w:hAnsi="Times New Roman" w:cs="Times New Roman"/>
          <w:i/>
          <w:color w:val="auto"/>
        </w:rPr>
        <w:t>I. Š.</w:t>
      </w:r>
      <w:r w:rsidRPr="00C00255">
        <w:rPr>
          <w:rFonts w:ascii="Times New Roman" w:hAnsi="Times New Roman" w:cs="Times New Roman"/>
          <w:i/>
          <w:color w:val="auto"/>
        </w:rPr>
        <w:t xml:space="preserve"> dalyvavimo užimant LRT Radijo pastatą</w:t>
      </w:r>
      <w:bookmarkEnd w:id="615"/>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rPr>
        <w:t xml:space="preserve">Pagrįsta laikytina ir pirmosios instancijos teismo išvada, kad TSRS GM 76-osios oro desanto divizijos </w:t>
      </w:r>
      <w:bookmarkStart w:id="616" w:name="_Hlk65600343"/>
      <w:r w:rsidRPr="00C00255">
        <w:rPr>
          <w:szCs w:val="24"/>
          <w:lang w:eastAsia="lt-LT"/>
        </w:rPr>
        <w:t>237-ojo pulko 1-ojo bataliono 1-osios ir 2-osios kuopų kariškiams</w:t>
      </w:r>
      <w:bookmarkEnd w:id="616"/>
      <w:r w:rsidRPr="00C00255">
        <w:rPr>
          <w:szCs w:val="24"/>
          <w:lang w:eastAsia="lt-LT"/>
        </w:rPr>
        <w:t>, kurie, būdami ginkluoti, prasibrovė iki LRT Radijo (</w:t>
      </w:r>
      <w:r w:rsidRPr="00C00255">
        <w:rPr>
          <w:szCs w:val="24"/>
          <w:lang w:eastAsia="lt-LT" w:bidi="lt-LT"/>
        </w:rPr>
        <w:t xml:space="preserve">4 aukštų) </w:t>
      </w:r>
      <w:r w:rsidRPr="00C00255">
        <w:rPr>
          <w:szCs w:val="24"/>
          <w:lang w:eastAsia="lt-LT"/>
        </w:rPr>
        <w:t xml:space="preserve">pastato, naudodami artimos kovos veiksmus, stūmė civilius iš pastato teritorijos bei vykdė kitus pastato užėmimo veiksmus, vienu iš vadovavusių asmenų buvo ir 1-osios kuopos vado pavaduotojas kapitonas </w:t>
      </w:r>
      <w:r>
        <w:rPr>
          <w:szCs w:val="24"/>
          <w:lang w:eastAsia="lt-LT"/>
        </w:rPr>
        <w:t>I. Š.</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rPr>
        <w:t xml:space="preserve">Apygardos teismas </w:t>
      </w:r>
      <w:r>
        <w:rPr>
          <w:szCs w:val="24"/>
          <w:lang w:eastAsia="lt-LT" w:bidi="lt-LT"/>
        </w:rPr>
        <w:t>I. Š.</w:t>
      </w:r>
      <w:r w:rsidRPr="00C00255">
        <w:rPr>
          <w:szCs w:val="24"/>
          <w:lang w:eastAsia="lt-LT" w:bidi="lt-LT"/>
        </w:rPr>
        <w:t xml:space="preserve"> dalyvavimą užimant LRT Radijo pastatą bei jo vadovavimą ten veikusiems kariškiams grindė liudytojų – kariškių, </w:t>
      </w:r>
      <w:r w:rsidRPr="00C00255">
        <w:rPr>
          <w:szCs w:val="24"/>
          <w:lang w:eastAsia="lt-LT"/>
        </w:rPr>
        <w:t xml:space="preserve">dalyvavusių įvykiuose prie LRT, parodymais bei kitų nuteistųjų parodymais (žr. nuosprendžio 782–791 l.; t. 772, b. l. 182–191). Priešingai nei apeliaciniame skunde teigia nuteistojo </w:t>
      </w:r>
      <w:r>
        <w:rPr>
          <w:szCs w:val="24"/>
          <w:lang w:eastAsia="lt-LT"/>
        </w:rPr>
        <w:t>I. Š.</w:t>
      </w:r>
      <w:r w:rsidRPr="00C00255">
        <w:rPr>
          <w:szCs w:val="24"/>
          <w:lang w:eastAsia="lt-LT"/>
        </w:rPr>
        <w:t xml:space="preserve"> gynėjas, jo ginamojo kaltę patvirtina ne </w:t>
      </w:r>
      <w:r>
        <w:rPr>
          <w:szCs w:val="24"/>
          <w:lang w:eastAsia="lt-LT"/>
        </w:rPr>
        <w:t>I. Š.</w:t>
      </w:r>
      <w:r w:rsidRPr="00C00255">
        <w:rPr>
          <w:szCs w:val="24"/>
          <w:lang w:eastAsia="lt-LT"/>
        </w:rPr>
        <w:t xml:space="preserve">, tyrimo metu apklausto kaip liudytojas, parodymai, o </w:t>
      </w:r>
      <w:r w:rsidRPr="00C00255">
        <w:t>teisiamajame posėdyje ištirtų įrodymų visuma.</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bookmarkStart w:id="617" w:name="_Hlk65601309"/>
      <w:r w:rsidRPr="00C00255">
        <w:rPr>
          <w:szCs w:val="24"/>
          <w:lang w:eastAsia="lt-LT"/>
        </w:rPr>
        <w:t xml:space="preserve">Iš byloje esančio LRT užėmime dalyvavusių kariškių sąrašo, pavadinimu „1 ir 2 parašiutininkų-desantininkų kuopos karių, dalyvavusių 1991 metų naktį iš sausio 12 dienos į sausio 13 dieną operacijoje Vilniaus mieste, skirtoje saugoti televizijos ir radijo komitetą“ matyti, </w:t>
      </w:r>
      <w:bookmarkEnd w:id="617"/>
      <w:r w:rsidRPr="00C00255">
        <w:rPr>
          <w:szCs w:val="24"/>
          <w:lang w:eastAsia="lt-LT"/>
        </w:rPr>
        <w:t xml:space="preserve">kad šiuose įvykiuose dalyvavo ir </w:t>
      </w:r>
      <w:r>
        <w:rPr>
          <w:szCs w:val="24"/>
          <w:lang w:eastAsia="lt-LT"/>
        </w:rPr>
        <w:t>I. Š.</w:t>
      </w:r>
      <w:r w:rsidRPr="00C00255">
        <w:rPr>
          <w:szCs w:val="24"/>
          <w:lang w:eastAsia="lt-LT"/>
        </w:rPr>
        <w:t xml:space="preserve">, buvęs vienu iš dviejų aukščiausių pagal rangą šio karinio vieneto kariškių. Jis, kaip ir kariškių grupės vadas </w:t>
      </w:r>
      <w:r>
        <w:rPr>
          <w:szCs w:val="24"/>
          <w:lang w:eastAsia="lt-LT"/>
        </w:rPr>
        <w:t>J. G.</w:t>
      </w:r>
      <w:r w:rsidRPr="00C00255">
        <w:rPr>
          <w:szCs w:val="24"/>
          <w:lang w:eastAsia="lt-LT"/>
        </w:rPr>
        <w:t xml:space="preserve">, buvo kapitonas (t. 437, b. l. 4–6; t. 124, b. l. 2–4).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Tuo, kad </w:t>
      </w:r>
      <w:r>
        <w:rPr>
          <w:szCs w:val="24"/>
          <w:lang w:eastAsia="lt-LT"/>
        </w:rPr>
        <w:t>I. Š.</w:t>
      </w:r>
      <w:r w:rsidRPr="00C00255">
        <w:rPr>
          <w:szCs w:val="24"/>
          <w:lang w:eastAsia="lt-LT"/>
        </w:rPr>
        <w:t xml:space="preserve"> dalyvavo minėtuose įvykiuose ir užėmė vadovaujamo pobūdžio pareigas, neleidžia abejoti ir 1-osios bei 2-osios kuopų kariškių 1991 m. sausio 13-osios naktį Vilniaus mieste patyrusių traumas sąrašas, kuriame nurodoma, kad traumą patyręs </w:t>
      </w:r>
      <w:r>
        <w:rPr>
          <w:szCs w:val="24"/>
          <w:lang w:eastAsia="lt-LT"/>
        </w:rPr>
        <w:t>I. Š.</w:t>
      </w:r>
      <w:r w:rsidRPr="00C00255">
        <w:rPr>
          <w:szCs w:val="24"/>
          <w:lang w:eastAsia="lt-LT"/>
        </w:rPr>
        <w:t xml:space="preserve"> buvo 1-osios kuopos vado pavaduotoju politiniams reikalams (t. 437, b. l. 10; t. 124, b. l. 8). Taigi </w:t>
      </w:r>
      <w:r>
        <w:rPr>
          <w:szCs w:val="24"/>
          <w:lang w:eastAsia="lt-LT"/>
        </w:rPr>
        <w:t>I. Š.</w:t>
      </w:r>
      <w:r w:rsidRPr="00C00255">
        <w:rPr>
          <w:szCs w:val="24"/>
          <w:lang w:eastAsia="lt-LT"/>
        </w:rPr>
        <w:t xml:space="preserve"> buvo kariniam vienetui, sudarytam iš dviejų kuopų, vadovavusio </w:t>
      </w:r>
      <w:r>
        <w:rPr>
          <w:szCs w:val="24"/>
          <w:lang w:eastAsia="lt-LT"/>
        </w:rPr>
        <w:t>J. G.</w:t>
      </w:r>
      <w:r w:rsidRPr="00C00255">
        <w:rPr>
          <w:szCs w:val="24"/>
          <w:lang w:eastAsia="lt-LT"/>
        </w:rPr>
        <w:t xml:space="preserve"> pavaduotoju.</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Byloje yra ir paties </w:t>
      </w:r>
      <w:r>
        <w:rPr>
          <w:szCs w:val="24"/>
          <w:lang w:eastAsia="lt-LT"/>
        </w:rPr>
        <w:t>I. Š.</w:t>
      </w:r>
      <w:r w:rsidRPr="00C00255">
        <w:rPr>
          <w:szCs w:val="24"/>
          <w:lang w:eastAsia="lt-LT"/>
        </w:rPr>
        <w:t xml:space="preserve"> paaiškinimas bei eksperto išvada apie tiriamų įvykių metu šio asmens patirtą traumą (t. 441, b. l. 205–207; t. 128, b. l. 186–188).</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mašinos URAL-4320, Nr. 00-65, sudėtyje buvo ir kapitonas </w:t>
      </w:r>
      <w:r>
        <w:rPr>
          <w:szCs w:val="24"/>
          <w:lang w:eastAsia="lt-LT"/>
        </w:rPr>
        <w:t>I. Š.</w:t>
      </w:r>
      <w:r w:rsidRPr="00C00255">
        <w:rPr>
          <w:szCs w:val="24"/>
          <w:lang w:eastAsia="lt-LT"/>
        </w:rPr>
        <w:t xml:space="preserve"> (t. 451, b. l. 192–194; t. 152, b. l. 223–225). </w:t>
      </w:r>
    </w:p>
    <w:p w:rsidR="00DA38E9" w:rsidRPr="00C00255" w:rsidRDefault="00DA38E9" w:rsidP="00DA38E9">
      <w:pPr>
        <w:pStyle w:val="ListParagraph"/>
        <w:numPr>
          <w:ilvl w:val="0"/>
          <w:numId w:val="6"/>
        </w:numPr>
        <w:spacing w:after="120"/>
        <w:ind w:left="993" w:hanging="993"/>
        <w:contextualSpacing w:val="0"/>
        <w:rPr>
          <w:color w:val="000000"/>
          <w:szCs w:val="24"/>
          <w:lang w:bidi="lt-LT"/>
        </w:rPr>
      </w:pPr>
      <w:bookmarkStart w:id="618" w:name="_Hlk65062128"/>
      <w:r w:rsidRPr="00C00255">
        <w:rPr>
          <w:szCs w:val="24"/>
        </w:rPr>
        <w:t xml:space="preserve">Taigi aptarti įrodymai patvirtina ne tik </w:t>
      </w:r>
      <w:r>
        <w:rPr>
          <w:szCs w:val="24"/>
        </w:rPr>
        <w:t>I. Š.</w:t>
      </w:r>
      <w:r w:rsidRPr="00C00255">
        <w:rPr>
          <w:szCs w:val="24"/>
        </w:rPr>
        <w:t xml:space="preserve"> dalyvavimą 1991 m. sausio 13-osios naktį užimant LRT Radijo pastatą, tačiau ir aukštą jo rangą bei eitas vadovaujančio pobūdžio pareigas šios operacijos metu.</w:t>
      </w:r>
      <w:r w:rsidRPr="00C00255">
        <w:t xml:space="preserve"> </w:t>
      </w:r>
      <w:r w:rsidRPr="00C00255">
        <w:rPr>
          <w:szCs w:val="24"/>
        </w:rPr>
        <w:t xml:space="preserve">Tokį teisėjų kolegijos vidinį įsitikinimą formuoja ir ikiteisminio tyrimo metu liudytojais apklaustų </w:t>
      </w:r>
      <w:r w:rsidRPr="00C00255">
        <w:t>1-osios bei 2-osios kuopos kariškių parodymai</w:t>
      </w:r>
      <w:r w:rsidRPr="00C00255">
        <w:rPr>
          <w:szCs w:val="24"/>
        </w:rPr>
        <w:t>, perskaityti teisiamajame posėdyje (t. 760, b. l. 114–117). Teisėjų kolegija pažymi, kad net keliolika kariškių – O. F</w:t>
      </w:r>
      <w:r>
        <w:rPr>
          <w:szCs w:val="24"/>
        </w:rPr>
        <w:t>.</w:t>
      </w:r>
      <w:r w:rsidRPr="00C00255">
        <w:rPr>
          <w:szCs w:val="24"/>
        </w:rPr>
        <w:t xml:space="preserve">, </w:t>
      </w:r>
      <w:r>
        <w:rPr>
          <w:szCs w:val="24"/>
        </w:rPr>
        <w:t>G. P.</w:t>
      </w:r>
      <w:r w:rsidRPr="00C00255">
        <w:rPr>
          <w:szCs w:val="24"/>
        </w:rPr>
        <w:t xml:space="preserve">, </w:t>
      </w:r>
      <w:r>
        <w:rPr>
          <w:szCs w:val="24"/>
        </w:rPr>
        <w:t>S. K.</w:t>
      </w:r>
      <w:r w:rsidRPr="00C00255">
        <w:rPr>
          <w:szCs w:val="24"/>
        </w:rPr>
        <w:t xml:space="preserve">, </w:t>
      </w:r>
      <w:r>
        <w:rPr>
          <w:szCs w:val="24"/>
        </w:rPr>
        <w:t>I. R.</w:t>
      </w:r>
      <w:r w:rsidRPr="00C00255">
        <w:rPr>
          <w:szCs w:val="24"/>
        </w:rPr>
        <w:t xml:space="preserve">, </w:t>
      </w:r>
      <w:r>
        <w:rPr>
          <w:szCs w:val="24"/>
        </w:rPr>
        <w:t>A. A.</w:t>
      </w:r>
      <w:r w:rsidRPr="00C00255">
        <w:rPr>
          <w:szCs w:val="24"/>
        </w:rPr>
        <w:t xml:space="preserve">, </w:t>
      </w:r>
      <w:r>
        <w:rPr>
          <w:szCs w:val="24"/>
        </w:rPr>
        <w:t>V. T.</w:t>
      </w:r>
      <w:r w:rsidRPr="00C00255">
        <w:rPr>
          <w:szCs w:val="24"/>
        </w:rPr>
        <w:t xml:space="preserve">, </w:t>
      </w:r>
      <w:r>
        <w:rPr>
          <w:szCs w:val="24"/>
        </w:rPr>
        <w:t>A. A.</w:t>
      </w:r>
      <w:r w:rsidRPr="00C00255">
        <w:rPr>
          <w:szCs w:val="24"/>
        </w:rPr>
        <w:t xml:space="preserve">, </w:t>
      </w:r>
      <w:r>
        <w:rPr>
          <w:szCs w:val="24"/>
        </w:rPr>
        <w:t>D. Z.</w:t>
      </w:r>
      <w:r w:rsidRPr="00C00255">
        <w:rPr>
          <w:szCs w:val="24"/>
        </w:rPr>
        <w:t xml:space="preserve">, </w:t>
      </w:r>
      <w:r>
        <w:rPr>
          <w:szCs w:val="24"/>
        </w:rPr>
        <w:t>A. F.</w:t>
      </w:r>
      <w:r w:rsidRPr="00C00255">
        <w:rPr>
          <w:szCs w:val="24"/>
        </w:rPr>
        <w:t xml:space="preserve">, </w:t>
      </w:r>
      <w:r>
        <w:rPr>
          <w:szCs w:val="24"/>
        </w:rPr>
        <w:t>A. Š.</w:t>
      </w:r>
      <w:r w:rsidRPr="00C00255">
        <w:rPr>
          <w:szCs w:val="24"/>
        </w:rPr>
        <w:t xml:space="preserve">, </w:t>
      </w:r>
      <w:r>
        <w:rPr>
          <w:szCs w:val="24"/>
        </w:rPr>
        <w:t>V. C.</w:t>
      </w:r>
      <w:r w:rsidRPr="00C00255">
        <w:rPr>
          <w:szCs w:val="24"/>
        </w:rPr>
        <w:t xml:space="preserve">, </w:t>
      </w:r>
      <w:r>
        <w:rPr>
          <w:szCs w:val="24"/>
        </w:rPr>
        <w:t>P. S.</w:t>
      </w:r>
      <w:r w:rsidRPr="00C00255">
        <w:rPr>
          <w:szCs w:val="24"/>
        </w:rPr>
        <w:t xml:space="preserve"> ir </w:t>
      </w:r>
      <w:r>
        <w:rPr>
          <w:szCs w:val="24"/>
        </w:rPr>
        <w:t>V. T.</w:t>
      </w:r>
      <w:r w:rsidRPr="00C00255">
        <w:rPr>
          <w:szCs w:val="24"/>
        </w:rPr>
        <w:t xml:space="preserve"> – nurodė apie aktyvų ir svarbų kapitono </w:t>
      </w:r>
      <w:r>
        <w:rPr>
          <w:szCs w:val="24"/>
        </w:rPr>
        <w:t>I. Š.</w:t>
      </w:r>
      <w:r w:rsidRPr="00C00255">
        <w:rPr>
          <w:szCs w:val="24"/>
        </w:rPr>
        <w:t xml:space="preserve"> vaidmenį aptariamuose įvykiuose, todėl toliau aptariami tik tų asmenų parodymai, kurie geriausiai atskleidžia </w:t>
      </w:r>
      <w:r>
        <w:rPr>
          <w:szCs w:val="24"/>
        </w:rPr>
        <w:t>I. Š.</w:t>
      </w:r>
      <w:r w:rsidRPr="00C00255">
        <w:rPr>
          <w:szCs w:val="24"/>
        </w:rPr>
        <w:t xml:space="preserve"> atliktus veiksmus ir papildo jau aptartus įrodymus.</w:t>
      </w:r>
    </w:p>
    <w:bookmarkEnd w:id="618"/>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1-osios kuopos skyriaus vadas </w:t>
      </w:r>
      <w:r>
        <w:rPr>
          <w:szCs w:val="24"/>
          <w:lang w:eastAsia="lt-LT" w:bidi="lt-LT"/>
        </w:rPr>
        <w:t>A. Š.</w:t>
      </w:r>
      <w:r w:rsidRPr="00C00255">
        <w:rPr>
          <w:szCs w:val="24"/>
          <w:lang w:eastAsia="lt-LT" w:bidi="lt-LT"/>
        </w:rPr>
        <w:t xml:space="preserve"> nurodė, kad 1991 m. sausio 11 d. apie 21.00 val., Vilniuje jų kuopa išsirikiavo, gavo ginklus ir kapitonas </w:t>
      </w:r>
      <w:r>
        <w:rPr>
          <w:szCs w:val="24"/>
          <w:lang w:eastAsia="lt-LT" w:bidi="lt-LT"/>
        </w:rPr>
        <w:t>I. Š.</w:t>
      </w:r>
      <w:r w:rsidRPr="00C00255">
        <w:rPr>
          <w:szCs w:val="24"/>
          <w:lang w:eastAsia="lt-LT" w:bidi="lt-LT"/>
        </w:rPr>
        <w:t xml:space="preserve"> (kariškių apklausos protokoluose dažnai nurodoma kapitonas I.</w:t>
      </w:r>
      <w:r>
        <w:rPr>
          <w:szCs w:val="24"/>
          <w:lang w:eastAsia="lt-LT" w:bidi="lt-LT"/>
        </w:rPr>
        <w:t> </w:t>
      </w:r>
      <w:r w:rsidRPr="00C00255">
        <w:rPr>
          <w:szCs w:val="24"/>
          <w:lang w:eastAsia="lt-LT" w:bidi="lt-LT"/>
        </w:rPr>
        <w:t>Š</w:t>
      </w:r>
      <w:r>
        <w:rPr>
          <w:szCs w:val="24"/>
          <w:lang w:eastAsia="lt-LT" w:bidi="lt-LT"/>
        </w:rPr>
        <w:t>.</w:t>
      </w:r>
      <w:r w:rsidRPr="00C00255">
        <w:rPr>
          <w:szCs w:val="24"/>
          <w:lang w:eastAsia="lt-LT" w:bidi="lt-LT"/>
        </w:rPr>
        <w:t>, bet</w:t>
      </w:r>
      <w:r w:rsidRPr="00C00255">
        <w:t xml:space="preserve"> </w:t>
      </w:r>
      <w:r w:rsidRPr="00C00255">
        <w:rPr>
          <w:szCs w:val="24"/>
          <w:lang w:eastAsia="lt-LT" w:bidi="lt-LT"/>
        </w:rPr>
        <w:t xml:space="preserve">nekyla abejonių, kad kalbama apie kapitoną </w:t>
      </w:r>
      <w:r>
        <w:rPr>
          <w:szCs w:val="24"/>
          <w:lang w:eastAsia="lt-LT" w:bidi="lt-LT"/>
        </w:rPr>
        <w:t>I. Š.</w:t>
      </w:r>
      <w:r w:rsidRPr="00C00255">
        <w:rPr>
          <w:szCs w:val="24"/>
          <w:lang w:eastAsia="lt-LT" w:bidi="lt-LT"/>
        </w:rPr>
        <w:t xml:space="preserve">, nes sutampa jo nurodytas karinis laipsnis, užimtos pareigos ir vardo inicialai – </w:t>
      </w:r>
      <w:r w:rsidRPr="00C00255">
        <w:rPr>
          <w:i/>
          <w:iCs/>
          <w:szCs w:val="24"/>
          <w:lang w:eastAsia="lt-LT" w:bidi="lt-LT"/>
        </w:rPr>
        <w:t>kolegijos pastaba</w:t>
      </w:r>
      <w:r w:rsidRPr="00C00255">
        <w:rPr>
          <w:szCs w:val="24"/>
          <w:lang w:eastAsia="lt-LT" w:bidi="lt-LT"/>
        </w:rPr>
        <w:t xml:space="preserve">), kuris buvo grupės, sudarytos iš 6 ar 7 kareivių, vyriausias, pranešė, kad naktį kartu su žvalgybine kuopa, jie turės išvykti į miestą, tačiau išvyko tik kitos dienos naktį. Iki 4 aukštų pastato liudytojas važiavo URAL mašina, Nr. 00-65, kurios kėbule važiavo ir </w:t>
      </w:r>
      <w:r>
        <w:rPr>
          <w:szCs w:val="24"/>
          <w:lang w:eastAsia="lt-LT" w:bidi="lt-LT"/>
        </w:rPr>
        <w:t>I. Š.</w:t>
      </w:r>
      <w:r w:rsidRPr="00C00255">
        <w:rPr>
          <w:szCs w:val="24"/>
          <w:lang w:eastAsia="lt-LT" w:bidi="lt-LT"/>
        </w:rPr>
        <w:t xml:space="preserve"> (t. 437, b. l. 103–107; t. 124, b. l. 138–152).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1-osios kuopos skyriaus vadas O.</w:t>
      </w:r>
      <w:r>
        <w:rPr>
          <w:szCs w:val="24"/>
          <w:lang w:eastAsia="lt-LT" w:bidi="lt-LT"/>
        </w:rPr>
        <w:t> </w:t>
      </w:r>
      <w:r w:rsidRPr="00C00255">
        <w:rPr>
          <w:szCs w:val="24"/>
          <w:lang w:eastAsia="lt-LT" w:bidi="lt-LT"/>
        </w:rPr>
        <w:t>F</w:t>
      </w:r>
      <w:r>
        <w:rPr>
          <w:szCs w:val="24"/>
          <w:lang w:eastAsia="lt-LT" w:bidi="lt-LT"/>
        </w:rPr>
        <w:t>.</w:t>
      </w:r>
      <w:r w:rsidRPr="00C00255">
        <w:rPr>
          <w:szCs w:val="24"/>
          <w:lang w:eastAsia="lt-LT" w:bidi="lt-LT"/>
        </w:rPr>
        <w:t xml:space="preserve"> nurodė, kad kariškiams prasiskverbus prie pastato, jie buvo suskirstyti penketais. Priekyje ėjo du kariškių penketai, o po jų ėjo kapitono </w:t>
      </w:r>
      <w:r>
        <w:rPr>
          <w:szCs w:val="24"/>
          <w:lang w:eastAsia="lt-LT" w:bidi="lt-LT"/>
        </w:rPr>
        <w:t>I. Š.</w:t>
      </w:r>
      <w:r w:rsidRPr="00C00255">
        <w:rPr>
          <w:szCs w:val="24"/>
          <w:lang w:eastAsia="lt-LT" w:bidi="lt-LT"/>
        </w:rPr>
        <w:t xml:space="preserve"> vadovaujamas penketas, kuriame buvo ir pats liudytojas. Kartu su penketu įėjęs į televizijos centrą pamatė, kad kapitonui </w:t>
      </w:r>
      <w:r>
        <w:rPr>
          <w:szCs w:val="24"/>
          <w:lang w:eastAsia="lt-LT" w:bidi="lt-LT"/>
        </w:rPr>
        <w:t>I. Š.</w:t>
      </w:r>
      <w:r w:rsidRPr="00C00255">
        <w:rPr>
          <w:szCs w:val="24"/>
          <w:lang w:eastAsia="lt-LT" w:bidi="lt-LT"/>
        </w:rPr>
        <w:t xml:space="preserve"> prakirstas skruostas ir apdeginta koja (t. 437, b. l. 132–134; t. 124, b. l. 204–207).</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kariškis </w:t>
      </w:r>
      <w:r>
        <w:rPr>
          <w:szCs w:val="24"/>
          <w:lang w:eastAsia="lt-LT" w:bidi="lt-LT"/>
        </w:rPr>
        <w:t>A. F.</w:t>
      </w:r>
      <w:r w:rsidRPr="00C00255">
        <w:rPr>
          <w:szCs w:val="24"/>
          <w:lang w:eastAsia="lt-LT" w:bidi="lt-LT"/>
        </w:rPr>
        <w:t xml:space="preserve"> nurodė, kad prie užimtino objekto važiavo URAL mašina, kurioje buvo ir kuopos pavaduojantysis politiniais klausimais </w:t>
      </w:r>
      <w:r>
        <w:rPr>
          <w:szCs w:val="24"/>
          <w:lang w:eastAsia="lt-LT" w:bidi="lt-LT"/>
        </w:rPr>
        <w:t>I. Š.</w:t>
      </w:r>
      <w:r w:rsidRPr="00C00255">
        <w:rPr>
          <w:szCs w:val="24"/>
          <w:lang w:eastAsia="lt-LT" w:bidi="lt-LT"/>
        </w:rPr>
        <w:t xml:space="preserve">. Jau būdamas ant objekto laiptų, jis priėjo prie pavaduojančiojo ir pasiūlė jam patekimo į pastatą pro langą variantą (t. 437, b. l. 108–111; t. 124, b. l. 154–162).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Pr>
          <w:szCs w:val="24"/>
          <w:lang w:eastAsia="lt-LT" w:bidi="lt-LT"/>
        </w:rPr>
        <w:t>G. P.</w:t>
      </w:r>
      <w:r w:rsidRPr="00C00255">
        <w:rPr>
          <w:szCs w:val="24"/>
          <w:lang w:eastAsia="lt-LT" w:bidi="lt-LT"/>
        </w:rPr>
        <w:t xml:space="preserve"> nurodė, kad kapitonas </w:t>
      </w:r>
      <w:r>
        <w:rPr>
          <w:szCs w:val="24"/>
          <w:lang w:eastAsia="lt-LT" w:bidi="lt-LT"/>
        </w:rPr>
        <w:t>I. Š.</w:t>
      </w:r>
      <w:r w:rsidRPr="00C00255">
        <w:rPr>
          <w:szCs w:val="24"/>
          <w:lang w:eastAsia="lt-LT" w:bidi="lt-LT"/>
        </w:rPr>
        <w:t xml:space="preserve"> jam įsakė surasti greitosios pagalbos mašiną siekiant suteikti pagalbą sužeistam </w:t>
      </w:r>
      <w:r>
        <w:rPr>
          <w:szCs w:val="24"/>
          <w:lang w:eastAsia="lt-LT" w:bidi="lt-LT"/>
        </w:rPr>
        <w:t>J. G.</w:t>
      </w:r>
      <w:r w:rsidRPr="00C00255">
        <w:rPr>
          <w:szCs w:val="24"/>
          <w:lang w:eastAsia="lt-LT" w:bidi="lt-LT"/>
        </w:rPr>
        <w:t xml:space="preserve"> (t. 437, b. l. 48–52; t. 124, b. l. 62–68), o </w:t>
      </w:r>
      <w:r>
        <w:rPr>
          <w:szCs w:val="24"/>
          <w:lang w:eastAsia="lt-LT" w:bidi="lt-LT"/>
        </w:rPr>
        <w:t>V. C.</w:t>
      </w:r>
      <w:r w:rsidRPr="00C00255">
        <w:rPr>
          <w:szCs w:val="24"/>
          <w:lang w:eastAsia="lt-LT" w:bidi="lt-LT"/>
        </w:rPr>
        <w:t xml:space="preserve"> – kad praėjus apie savaitei nuo pastato užėmimo, kapitonas </w:t>
      </w:r>
      <w:r>
        <w:rPr>
          <w:szCs w:val="24"/>
          <w:lang w:eastAsia="lt-LT" w:bidi="lt-LT"/>
        </w:rPr>
        <w:t>I. Š.</w:t>
      </w:r>
      <w:r w:rsidRPr="00C00255">
        <w:rPr>
          <w:szCs w:val="24"/>
          <w:lang w:eastAsia="lt-LT" w:bidi="lt-LT"/>
        </w:rPr>
        <w:t xml:space="preserve"> jiems įsakė palikti radijo ir televizijos pastatą (t. 437, b. l. 99–102; t. 124 b. l. 132–137).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Teisėjų kolegijos įsitikinimu, minėti parodymai </w:t>
      </w:r>
      <w:r w:rsidRPr="00C00255">
        <w:t xml:space="preserve">yra </w:t>
      </w:r>
      <w:r w:rsidRPr="00C00255">
        <w:rPr>
          <w:color w:val="000000"/>
          <w:szCs w:val="24"/>
          <w:lang w:eastAsia="lt-LT" w:bidi="lt-LT"/>
        </w:rPr>
        <w:t xml:space="preserve">aktualūs tikrinant šioje dalyje jau aptartus įrodymus apie </w:t>
      </w:r>
      <w:r>
        <w:rPr>
          <w:color w:val="000000"/>
          <w:szCs w:val="24"/>
          <w:lang w:eastAsia="lt-LT" w:bidi="lt-LT"/>
        </w:rPr>
        <w:t>I. Š.</w:t>
      </w:r>
      <w:r w:rsidRPr="00C00255">
        <w:rPr>
          <w:color w:val="000000"/>
          <w:szCs w:val="24"/>
          <w:lang w:eastAsia="lt-LT" w:bidi="lt-LT"/>
        </w:rPr>
        <w:t xml:space="preserve"> vaidmenį užimant LRT Radijo (</w:t>
      </w:r>
      <w:r w:rsidRPr="00C00255">
        <w:rPr>
          <w:szCs w:val="24"/>
          <w:lang w:eastAsia="lt-LT"/>
        </w:rPr>
        <w:t xml:space="preserve">4 aukštų) </w:t>
      </w:r>
      <w:r w:rsidRPr="00C00255">
        <w:rPr>
          <w:color w:val="000000"/>
          <w:szCs w:val="24"/>
          <w:lang w:eastAsia="lt-LT" w:bidi="lt-LT"/>
        </w:rPr>
        <w:t xml:space="preserve">pastatą. Jie sutampa tarpusavyje bei atitinka ir papildo kitus jau aptartus rašytinius įrodymus. Taip pat formuoja teismo vidinį įsitikinimą, </w:t>
      </w:r>
      <w:r w:rsidRPr="00C00255">
        <w:rPr>
          <w:szCs w:val="24"/>
          <w:lang w:eastAsia="lt-LT"/>
        </w:rPr>
        <w:t xml:space="preserve">kad </w:t>
      </w:r>
      <w:r>
        <w:rPr>
          <w:szCs w:val="24"/>
          <w:lang w:eastAsia="lt-LT"/>
        </w:rPr>
        <w:t>I. Š.</w:t>
      </w:r>
      <w:r w:rsidRPr="00C00255">
        <w:rPr>
          <w:szCs w:val="24"/>
          <w:lang w:eastAsia="lt-LT"/>
        </w:rPr>
        <w:t xml:space="preserve"> ne tik dalyvavo užimant LRT Radijo pastatą, bet ir buvo vienu iš vadovaujančias pareigas užėmusių karininkų, davusiu įsakymus jam pavaldiems kariškiams (pvz., dėl </w:t>
      </w:r>
      <w:r>
        <w:rPr>
          <w:szCs w:val="24"/>
          <w:lang w:eastAsia="lt-LT"/>
        </w:rPr>
        <w:t>J. G.</w:t>
      </w:r>
      <w:r w:rsidRPr="00C00255">
        <w:rPr>
          <w:szCs w:val="24"/>
          <w:lang w:eastAsia="lt-LT"/>
        </w:rPr>
        <w:t xml:space="preserve"> pristatymo į ligoninę, pasitraukimo iš Radijo pastato) ir turėjusiu galimybę priimti savarankiškus sprendimus įvykio vietoje. </w:t>
      </w:r>
    </w:p>
    <w:p w:rsidR="00DA38E9" w:rsidRPr="00C00255" w:rsidRDefault="00DA38E9" w:rsidP="00DA38E9">
      <w:pPr>
        <w:pStyle w:val="ListParagraph"/>
        <w:numPr>
          <w:ilvl w:val="0"/>
          <w:numId w:val="6"/>
        </w:numPr>
        <w:spacing w:before="120" w:after="120"/>
        <w:ind w:left="993" w:hanging="993"/>
        <w:contextualSpacing w:val="0"/>
      </w:pPr>
      <w:r w:rsidRPr="00C00255">
        <w:rPr>
          <w:szCs w:val="24"/>
          <w:lang w:eastAsia="lt-LT" w:bidi="lt-LT"/>
        </w:rPr>
        <w:t xml:space="preserve">Pirmosios instancijos teismo išvadų dėl </w:t>
      </w:r>
      <w:r>
        <w:rPr>
          <w:szCs w:val="24"/>
          <w:lang w:eastAsia="lt-LT" w:bidi="lt-LT"/>
        </w:rPr>
        <w:t>I. Š.</w:t>
      </w:r>
      <w:r w:rsidRPr="00C00255">
        <w:rPr>
          <w:szCs w:val="24"/>
          <w:lang w:eastAsia="lt-LT" w:bidi="lt-LT"/>
        </w:rPr>
        <w:t xml:space="preserve"> vadovaujamo vaidmens LRT Radijo pastato užėmimo metu, nepaneigia nuteistojo </w:t>
      </w:r>
      <w:r>
        <w:rPr>
          <w:szCs w:val="24"/>
          <w:lang w:eastAsia="lt-LT" w:bidi="lt-LT"/>
        </w:rPr>
        <w:t>I. Š.</w:t>
      </w:r>
      <w:r w:rsidRPr="00C00255">
        <w:rPr>
          <w:szCs w:val="24"/>
          <w:lang w:eastAsia="lt-LT" w:bidi="lt-LT"/>
        </w:rPr>
        <w:t xml:space="preserve"> gynėjo apeliacinio skundo argumentai, kad </w:t>
      </w:r>
      <w:r w:rsidRPr="00C00255">
        <w:rPr>
          <w:szCs w:val="24"/>
        </w:rPr>
        <w:t xml:space="preserve">tiriamo įvykio metu </w:t>
      </w:r>
      <w:r>
        <w:rPr>
          <w:szCs w:val="24"/>
        </w:rPr>
        <w:t>I. Š.</w:t>
      </w:r>
      <w:r w:rsidRPr="00C00255">
        <w:rPr>
          <w:szCs w:val="24"/>
        </w:rPr>
        <w:t xml:space="preserve"> ginklo nenaudojo ir niekam žalos nepadarė, nes kaip ne kartą šiame sprendime buvo nurodyta</w:t>
      </w:r>
      <w:r w:rsidRPr="00C00255">
        <w:rPr>
          <w:szCs w:val="24"/>
          <w:lang w:eastAsia="lt-LT" w:bidi="lt-LT"/>
        </w:rPr>
        <w:t xml:space="preserve">, užimant LRT pastatus ir stumiant nuo jų civilius, visi kariškiai veikė koordinuotai, bendrai ir siekdami to paties vieno tikslo, o nuteistasis atliko vadovaujamo pobūdžio veiksmus daliai bendroje operacijoje dalyvavusių kariškių, kurie vykdė jiems paskirtą užduotį bendroje operacijoje, </w:t>
      </w:r>
      <w:r w:rsidRPr="00C00255">
        <w:t xml:space="preserve">ir byloje nustatyti </w:t>
      </w:r>
      <w:r>
        <w:t>I. Š.</w:t>
      </w:r>
      <w:r w:rsidRPr="00C00255">
        <w:t xml:space="preserve"> konkretūs vadovaujamo pobūdžio veiksmai visumoje su kitų kariškių veiksmais lėmė daugybės civilių sužalojimus.</w:t>
      </w:r>
      <w:r w:rsidRPr="00C00255">
        <w:rPr>
          <w:szCs w:val="24"/>
        </w:rPr>
        <w:t xml:space="preserve"> </w:t>
      </w:r>
    </w:p>
    <w:p w:rsidR="00DA38E9" w:rsidRPr="00055544" w:rsidRDefault="00DA38E9" w:rsidP="00DA38E9">
      <w:pPr>
        <w:pStyle w:val="ListParagraph"/>
        <w:numPr>
          <w:ilvl w:val="0"/>
          <w:numId w:val="6"/>
        </w:numPr>
        <w:spacing w:before="120" w:after="120"/>
        <w:ind w:left="993" w:hanging="993"/>
        <w:contextualSpacing w:val="0"/>
      </w:pPr>
      <w:r w:rsidRPr="00055544">
        <w:t>Turėdama omenyje visa tai, kas minėta, teisėjų kolegija konstatuoja, kad visos skundžiamu nuosprendžiu įrodytomis pripažintos nuteistajam I. Š. inkriminuotos faktinės aplinkybės, susijusios su veiksmais užimant LRT Radijo pastatą (nuosprendžio 514–520 l.), pasitvirtino kaip pagrįstos ir teisingos.</w:t>
      </w:r>
      <w:r w:rsidRPr="00055544">
        <w:rPr>
          <w:rFonts w:eastAsia="Calibri"/>
        </w:rPr>
        <w:t xml:space="preserve"> Nuosprendyje nurodytos išvados, apibendrinant I. Š. vaidmenį (pvz., nurodant, kad nuteistasis I. Š. „dalyvavo karinėje operacijoje prie RTV komiteto (LRT), organizavo ir vykdė Radijo pastate dirbusių ir pastat</w:t>
      </w:r>
      <w:r w:rsidR="002125AE" w:rsidRPr="00055544">
        <w:rPr>
          <w:rFonts w:eastAsia="Calibri"/>
        </w:rPr>
        <w:t>ą gynusių civilių puolimą“ (žr. </w:t>
      </w:r>
      <w:r w:rsidRPr="00055544">
        <w:rPr>
          <w:rFonts w:eastAsia="Calibri"/>
        </w:rPr>
        <w:t xml:space="preserve">nuosprendžio 873 l.), vertinant visą nuosprendį, kaip vientisą dokumentą, neleidžia teigi, jog I. Š. organizavo ar vadovavo visiems LRT Radijo pastatą šturmavusiems kariškiams. Kaip nustatyta, I. Š. vadovavo tik jam pavaldiems kariškiams iš jau aptartos nuteistojo J. G. vadovaujamos desantininkų grupės, kuri šturmavo tik vieną iš LRT pastatų, t. y. LRT Radijo pastatą. </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19" w:name="_Toc66697293"/>
      <w:r w:rsidRPr="00C00255">
        <w:rPr>
          <w:rFonts w:ascii="Times New Roman" w:hAnsi="Times New Roman" w:cs="Times New Roman"/>
          <w:i/>
          <w:color w:val="auto"/>
        </w:rPr>
        <w:t xml:space="preserve">Dėl nuteistojo </w:t>
      </w:r>
      <w:r>
        <w:rPr>
          <w:rFonts w:ascii="Times New Roman" w:hAnsi="Times New Roman" w:cs="Times New Roman"/>
          <w:i/>
          <w:color w:val="auto"/>
        </w:rPr>
        <w:t>A. F. 1</w:t>
      </w:r>
      <w:r w:rsidRPr="00C00255">
        <w:rPr>
          <w:rFonts w:ascii="Times New Roman" w:hAnsi="Times New Roman" w:cs="Times New Roman"/>
          <w:i/>
          <w:color w:val="auto"/>
        </w:rPr>
        <w:t xml:space="preserve"> dalyvavimo užimant LRT Radijo pastatą</w:t>
      </w:r>
      <w:bookmarkEnd w:id="619"/>
    </w:p>
    <w:p w:rsidR="00DA38E9" w:rsidRPr="00055544" w:rsidRDefault="00DA38E9" w:rsidP="00DA38E9">
      <w:pPr>
        <w:pStyle w:val="ListParagraph"/>
        <w:numPr>
          <w:ilvl w:val="0"/>
          <w:numId w:val="6"/>
        </w:numPr>
        <w:spacing w:before="120" w:after="120"/>
        <w:ind w:left="993" w:hanging="993"/>
        <w:contextualSpacing w:val="0"/>
        <w:rPr>
          <w:szCs w:val="24"/>
          <w:lang w:eastAsia="lt-LT"/>
        </w:rPr>
      </w:pPr>
      <w:r w:rsidRPr="00055544">
        <w:rPr>
          <w:szCs w:val="24"/>
          <w:lang w:eastAsia="lt-LT"/>
        </w:rPr>
        <w:t xml:space="preserve">Pagrįsta laikytina ir skundžiamo nuosprendžio išvada, kad TSRS GM 76-osios oro desanto divizijos </w:t>
      </w:r>
      <w:bookmarkStart w:id="620" w:name="_Hlk65060865"/>
      <w:r w:rsidRPr="00055544">
        <w:rPr>
          <w:szCs w:val="24"/>
          <w:lang w:eastAsia="lt-LT"/>
        </w:rPr>
        <w:t>237-ojo pulko 1-ojo bataliono 1-osios ir 2-osios kuopų kariškiams</w:t>
      </w:r>
      <w:bookmarkEnd w:id="620"/>
      <w:r w:rsidRPr="00055544">
        <w:rPr>
          <w:szCs w:val="24"/>
          <w:lang w:eastAsia="lt-LT"/>
        </w:rPr>
        <w:t xml:space="preserve">, kurie, būdami ginkluoti, prasibrovė iki LRT Radijo (4 aukštų) pastato, naudodami artimos kovos veiksmus, stūmė civilius iš pastato teritorijos bei vykdė kitus pastato užėmimo veiksmus, vienu iš vadovavusių asmenų buvo ir 1-osios kuopos būrio vadas vyr. leitenantas A. F. 1. </w:t>
      </w:r>
    </w:p>
    <w:p w:rsidR="00DA38E9" w:rsidRPr="00C00255" w:rsidRDefault="00DA38E9" w:rsidP="00DA38E9">
      <w:pPr>
        <w:pStyle w:val="ListParagraph"/>
        <w:numPr>
          <w:ilvl w:val="0"/>
          <w:numId w:val="6"/>
        </w:numPr>
        <w:ind w:left="993" w:hanging="993"/>
        <w:rPr>
          <w:szCs w:val="24"/>
          <w:lang w:eastAsia="lt-LT"/>
        </w:rPr>
      </w:pPr>
      <w:r w:rsidRPr="00C00255">
        <w:rPr>
          <w:szCs w:val="24"/>
        </w:rPr>
        <w:t xml:space="preserve">Nuteistojo gynėjas apeliaciniame skunde teigia, kad nesant neginčytinų </w:t>
      </w:r>
      <w:r>
        <w:rPr>
          <w:szCs w:val="24"/>
        </w:rPr>
        <w:t>A. F. 1</w:t>
      </w:r>
      <w:r w:rsidRPr="00C00255">
        <w:rPr>
          <w:szCs w:val="24"/>
        </w:rPr>
        <w:t xml:space="preserve"> kaltės įrodymų, pirmosios instancijos teismas padarė nepagrįstą išvadą dėl </w:t>
      </w:r>
      <w:r>
        <w:rPr>
          <w:szCs w:val="24"/>
        </w:rPr>
        <w:t>A. F. 1</w:t>
      </w:r>
      <w:r w:rsidRPr="00C00255">
        <w:rPr>
          <w:szCs w:val="24"/>
        </w:rPr>
        <w:t xml:space="preserve"> vadovavimo kariškiams LRT pastate dirbusių ir pastatą gynusių civilių puolimo metu. Pasak gynėjo, </w:t>
      </w:r>
      <w:r>
        <w:rPr>
          <w:szCs w:val="24"/>
        </w:rPr>
        <w:t>A. F. 1</w:t>
      </w:r>
      <w:r w:rsidRPr="00C00255">
        <w:rPr>
          <w:szCs w:val="24"/>
        </w:rPr>
        <w:t xml:space="preserve"> tik vykdė vadovybės duotą įsakymą perimti LRT pastato apsaugą ir atjungti 311 kambaryje esančią aparatūrą, pats </w:t>
      </w:r>
      <w:r>
        <w:rPr>
          <w:szCs w:val="24"/>
        </w:rPr>
        <w:t>A. F. 1</w:t>
      </w:r>
      <w:r w:rsidRPr="00C00255">
        <w:rPr>
          <w:szCs w:val="24"/>
        </w:rPr>
        <w:t xml:space="preserve"> tik instruktavo apie tai pirmosios tarnybos kareivius, tačiau savo pavaldiniams nedavė įsakymo pulti civilius, juos žudyti ar žaloti ir pats to nedarė. </w:t>
      </w:r>
      <w:r w:rsidRPr="00C00255">
        <w:rPr>
          <w:szCs w:val="24"/>
          <w:lang w:eastAsia="lt-LT"/>
        </w:rPr>
        <w:t xml:space="preserve">Teisėjų kolegija sutinka su gynėjo argumentu, kad nuteistasis </w:t>
      </w:r>
      <w:r>
        <w:rPr>
          <w:szCs w:val="24"/>
          <w:lang w:eastAsia="lt-LT"/>
        </w:rPr>
        <w:t>A. F. 1</w:t>
      </w:r>
      <w:r w:rsidRPr="00C00255">
        <w:rPr>
          <w:szCs w:val="24"/>
          <w:lang w:eastAsia="lt-LT"/>
        </w:rPr>
        <w:t xml:space="preserve"> vykdė aukštesnių vadų įsakymus, tačiau lygiai taip pat, kaip ir aukštesnieji vadai, pats </w:t>
      </w:r>
      <w:r>
        <w:rPr>
          <w:szCs w:val="24"/>
          <w:lang w:eastAsia="lt-LT"/>
        </w:rPr>
        <w:t>A. F. 1</w:t>
      </w:r>
      <w:r w:rsidRPr="00C00255">
        <w:rPr>
          <w:szCs w:val="24"/>
          <w:lang w:eastAsia="lt-LT"/>
        </w:rPr>
        <w:t xml:space="preserve"> davė įsakymus ir vadovavo sau pavaldiems kariškiams. Tokias nustatytas aplinkybes patvirtina byloje surinktų įrodymų visuma, kurių pakanka konstatuoti, kad </w:t>
      </w:r>
      <w:r>
        <w:rPr>
          <w:szCs w:val="24"/>
          <w:lang w:eastAsia="lt-LT"/>
        </w:rPr>
        <w:t>A. F. 1</w:t>
      </w:r>
      <w:r w:rsidRPr="00C00255">
        <w:rPr>
          <w:szCs w:val="24"/>
          <w:lang w:eastAsia="lt-LT"/>
        </w:rPr>
        <w:t xml:space="preserve"> įvykiuose prie LRT buvo vienu iš 237-ojo pulko 1-ojo bataliono 1-osios ir 2-osios kuopų kariškiams vadovavusių kariškių, šturmuojant LRT Radijo pastatą. Todėl pirmosios instancijos teismo išvados dėl vadovaujančio </w:t>
      </w:r>
      <w:r>
        <w:rPr>
          <w:szCs w:val="24"/>
          <w:lang w:eastAsia="lt-LT"/>
        </w:rPr>
        <w:t>A. F. 1</w:t>
      </w:r>
      <w:r w:rsidRPr="00C00255">
        <w:rPr>
          <w:szCs w:val="24"/>
          <w:lang w:eastAsia="lt-LT"/>
        </w:rPr>
        <w:t xml:space="preserve"> vaidmens yra teisingos.</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LRT užėmime dalyvavusių kariškių sąrašo, pavadinimu „1 ir 2 parašiutininkų-desantininkų kuopos karių, dalyvavusių 1991 metų naktį iš sausio 12 dienos į sausio 13 dieną operacijoje Vilniaus mieste, skirtoje saugoti televizijos ir radijo komitetą“ matyti, kad šiuose įvykiuose dalyvavo ir vyr. leitenantas </w:t>
      </w:r>
      <w:r>
        <w:rPr>
          <w:szCs w:val="24"/>
          <w:lang w:eastAsia="lt-LT"/>
        </w:rPr>
        <w:t>A. F. 1</w:t>
      </w:r>
      <w:r w:rsidRPr="00C00255">
        <w:rPr>
          <w:szCs w:val="24"/>
          <w:lang w:eastAsia="lt-LT"/>
        </w:rPr>
        <w:t xml:space="preserve">, buvęs vienu iš vyriausių minėtą dalinį sudariusių kariškių. Iš 31 daliniui priskirto kariškio tik kapitonai </w:t>
      </w:r>
      <w:r>
        <w:rPr>
          <w:szCs w:val="24"/>
          <w:lang w:eastAsia="lt-LT"/>
        </w:rPr>
        <w:t>J. G.</w:t>
      </w:r>
      <w:r w:rsidRPr="00C00255">
        <w:rPr>
          <w:szCs w:val="24"/>
          <w:lang w:eastAsia="lt-LT"/>
        </w:rPr>
        <w:t xml:space="preserve"> ir </w:t>
      </w:r>
      <w:r>
        <w:rPr>
          <w:szCs w:val="24"/>
          <w:lang w:eastAsia="lt-LT"/>
        </w:rPr>
        <w:t>I. Š.</w:t>
      </w:r>
      <w:r w:rsidRPr="00C00255">
        <w:rPr>
          <w:szCs w:val="24"/>
          <w:lang w:eastAsia="lt-LT"/>
        </w:rPr>
        <w:t xml:space="preserve"> buvo aukštesnio rango nei </w:t>
      </w:r>
      <w:r>
        <w:rPr>
          <w:szCs w:val="24"/>
          <w:lang w:eastAsia="lt-LT"/>
        </w:rPr>
        <w:t>A. F. 1</w:t>
      </w:r>
      <w:r w:rsidRPr="00C00255">
        <w:rPr>
          <w:szCs w:val="24"/>
          <w:lang w:eastAsia="lt-LT"/>
        </w:rPr>
        <w:t xml:space="preserve"> (t. 437, b. l. 4–6; t. 124, b. l. 2–4).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mašinos URAL-4320, Nr. 00-65, sudėtyje buvo ir </w:t>
      </w:r>
      <w:r>
        <w:rPr>
          <w:szCs w:val="24"/>
          <w:lang w:eastAsia="lt-LT"/>
        </w:rPr>
        <w:t>A. F. 1</w:t>
      </w:r>
      <w:r w:rsidRPr="00C00255">
        <w:rPr>
          <w:szCs w:val="24"/>
          <w:lang w:eastAsia="lt-LT"/>
        </w:rPr>
        <w:t xml:space="preserve"> (t. 451, b. l. 192–194; t. 152, b. l. 223–225).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rPr>
        <w:t xml:space="preserve">Taigi aptartų aplinkybių ir įrodymų visuma patvirtina ne tik apie </w:t>
      </w:r>
      <w:r>
        <w:rPr>
          <w:szCs w:val="24"/>
          <w:lang w:eastAsia="lt-LT"/>
        </w:rPr>
        <w:t>A. F. 1</w:t>
      </w:r>
      <w:r w:rsidRPr="00C00255">
        <w:rPr>
          <w:szCs w:val="24"/>
          <w:lang w:eastAsia="lt-LT"/>
        </w:rPr>
        <w:t xml:space="preserve"> dalyvavimą 1991 m. sausio 13-osios naktį užimant LRT Radijo pastatą, tačiau ir aukštą jo rangą bei eitas vadovaujamas pareigas šios operacijos metu. Šiame kontekste, teisėjų kolegija atkreipia dėmesį ir į tai, kad nuteistojo gynėjas, apeliaciniame skunde aptardamas ginamojo </w:t>
      </w:r>
      <w:r>
        <w:rPr>
          <w:szCs w:val="24"/>
          <w:lang w:eastAsia="lt-LT"/>
        </w:rPr>
        <w:t>A. F. 1</w:t>
      </w:r>
      <w:r w:rsidRPr="00C00255">
        <w:rPr>
          <w:szCs w:val="24"/>
          <w:lang w:eastAsia="lt-LT"/>
        </w:rPr>
        <w:t xml:space="preserve"> veiksmus, iš dalies net sutinka su nustatytais A. F</w:t>
      </w:r>
      <w:r>
        <w:rPr>
          <w:szCs w:val="24"/>
          <w:lang w:eastAsia="lt-LT"/>
        </w:rPr>
        <w:t>.</w:t>
      </w:r>
      <w:r w:rsidRPr="00DA38E9">
        <w:rPr>
          <w:szCs w:val="24"/>
          <w:lang w:eastAsia="lt-LT"/>
        </w:rPr>
        <w:t> 1</w:t>
      </w:r>
      <w:r w:rsidRPr="00C00255">
        <w:rPr>
          <w:szCs w:val="24"/>
          <w:lang w:eastAsia="lt-LT"/>
        </w:rPr>
        <w:t xml:space="preserve"> atliktais vadovaujamo pobūdžio veiksmais, teigdamas, kad </w:t>
      </w:r>
      <w:r>
        <w:rPr>
          <w:szCs w:val="24"/>
          <w:lang w:eastAsia="lt-LT"/>
        </w:rPr>
        <w:t>A. F. 1</w:t>
      </w:r>
      <w:r w:rsidRPr="00C00255">
        <w:rPr>
          <w:szCs w:val="24"/>
          <w:lang w:eastAsia="lt-LT"/>
        </w:rPr>
        <w:t xml:space="preserve"> vykdydamas aukštesnių vadų įsakymą, pats apie įsakymų vykdymą instruktavo pirmosios tarnybos kareivius.</w:t>
      </w:r>
    </w:p>
    <w:p w:rsidR="00DA38E9" w:rsidRPr="00C00255" w:rsidRDefault="00DA38E9" w:rsidP="00DA38E9">
      <w:pPr>
        <w:pStyle w:val="ListParagraph"/>
        <w:numPr>
          <w:ilvl w:val="0"/>
          <w:numId w:val="6"/>
        </w:numPr>
        <w:ind w:left="993" w:hanging="993"/>
      </w:pPr>
      <w:bookmarkStart w:id="621" w:name="_Hlk65071783"/>
      <w:r w:rsidRPr="00C00255">
        <w:t xml:space="preserve">Tokį teisėjų kolegijos vidinį įsitikinimą formuoja ir ikiteisminio tyrimo metu liudytojais apklaustų 1-osios bei 2-osios kuopos kariškių parodymai, perskaityti teisiamajame posėdyje </w:t>
      </w:r>
      <w:bookmarkEnd w:id="621"/>
      <w:r w:rsidRPr="00C00255">
        <w:t xml:space="preserve">(t. 760, b. l. 114–117). Teisėjų kolegija pažymi, kad net keliolika kariškių – </w:t>
      </w:r>
      <w:r>
        <w:t>O. C.</w:t>
      </w:r>
      <w:r w:rsidRPr="00C00255">
        <w:t xml:space="preserve">, </w:t>
      </w:r>
      <w:r>
        <w:t>V. T.</w:t>
      </w:r>
      <w:r w:rsidRPr="00C00255">
        <w:t xml:space="preserve">, </w:t>
      </w:r>
      <w:r>
        <w:t>P. S.</w:t>
      </w:r>
      <w:r w:rsidRPr="00C00255">
        <w:t xml:space="preserve">, </w:t>
      </w:r>
      <w:r>
        <w:t>A. Š.</w:t>
      </w:r>
      <w:r w:rsidRPr="00C00255">
        <w:t xml:space="preserve">, </w:t>
      </w:r>
      <w:r>
        <w:t>A. F.</w:t>
      </w:r>
      <w:r w:rsidRPr="00C00255">
        <w:t xml:space="preserve">, </w:t>
      </w:r>
      <w:r>
        <w:t>O. T.</w:t>
      </w:r>
      <w:r w:rsidRPr="00C00255">
        <w:t xml:space="preserve">, </w:t>
      </w:r>
      <w:r>
        <w:t>A. A.</w:t>
      </w:r>
      <w:r w:rsidRPr="00C00255">
        <w:t xml:space="preserve">, </w:t>
      </w:r>
      <w:r>
        <w:t>V. T.</w:t>
      </w:r>
      <w:r w:rsidRPr="00C00255">
        <w:t>, O.</w:t>
      </w:r>
      <w:r>
        <w:t> </w:t>
      </w:r>
      <w:r w:rsidRPr="00C00255">
        <w:t>F</w:t>
      </w:r>
      <w:r>
        <w:t>.</w:t>
      </w:r>
      <w:r w:rsidRPr="00C00255">
        <w:t xml:space="preserve">, </w:t>
      </w:r>
      <w:r>
        <w:t>A. A.</w:t>
      </w:r>
      <w:r w:rsidRPr="00C00255">
        <w:t xml:space="preserve">, </w:t>
      </w:r>
      <w:r>
        <w:t>I. R.</w:t>
      </w:r>
      <w:r w:rsidRPr="00C00255">
        <w:t xml:space="preserve">, </w:t>
      </w:r>
      <w:r>
        <w:t>S. K.</w:t>
      </w:r>
      <w:r w:rsidRPr="00C00255">
        <w:t xml:space="preserve">, </w:t>
      </w:r>
      <w:r>
        <w:t>V. C.</w:t>
      </w:r>
      <w:r w:rsidRPr="00C00255">
        <w:t xml:space="preserve"> –</w:t>
      </w:r>
      <w:bookmarkStart w:id="622" w:name="_Hlk65062198"/>
      <w:r w:rsidRPr="00C00255">
        <w:t xml:space="preserve"> </w:t>
      </w:r>
      <w:r w:rsidRPr="00C00255">
        <w:rPr>
          <w:szCs w:val="24"/>
          <w:lang w:eastAsia="lt-LT"/>
        </w:rPr>
        <w:t xml:space="preserve">kaip asmenį, atlikusį reikšmingą vaidmenį prie LRT, įvardijo ir vyr. leitenantą </w:t>
      </w:r>
      <w:r>
        <w:rPr>
          <w:szCs w:val="24"/>
          <w:lang w:eastAsia="lt-LT"/>
        </w:rPr>
        <w:t>A. F. 1</w:t>
      </w:r>
      <w:r w:rsidRPr="00C00255">
        <w:rPr>
          <w:szCs w:val="24"/>
          <w:lang w:eastAsia="lt-LT"/>
        </w:rPr>
        <w:t xml:space="preserve">. </w:t>
      </w:r>
      <w:bookmarkStart w:id="623" w:name="_Hlk65071955"/>
      <w:bookmarkEnd w:id="622"/>
      <w:r w:rsidRPr="00C00255">
        <w:t xml:space="preserve">Toliau aptariami tik tų asmenų parodymai, kurie aiškiausiai atskleidžia </w:t>
      </w:r>
      <w:r>
        <w:t>A. F. 1</w:t>
      </w:r>
      <w:r w:rsidRPr="00C00255">
        <w:t xml:space="preserve"> atliktus veiksmus ir papildo jau aptartus įrodymus.</w:t>
      </w:r>
      <w:bookmarkEnd w:id="623"/>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1-osios kuopos skyriaus vadas O.</w:t>
      </w:r>
      <w:r>
        <w:rPr>
          <w:szCs w:val="24"/>
          <w:lang w:eastAsia="lt-LT" w:bidi="lt-LT"/>
        </w:rPr>
        <w:t> </w:t>
      </w:r>
      <w:r w:rsidRPr="00C00255">
        <w:rPr>
          <w:szCs w:val="24"/>
          <w:lang w:eastAsia="lt-LT" w:bidi="lt-LT"/>
        </w:rPr>
        <w:t>F</w:t>
      </w:r>
      <w:r>
        <w:rPr>
          <w:szCs w:val="24"/>
          <w:lang w:eastAsia="lt-LT" w:bidi="lt-LT"/>
        </w:rPr>
        <w:t>.</w:t>
      </w:r>
      <w:r w:rsidRPr="00C00255">
        <w:rPr>
          <w:szCs w:val="24"/>
          <w:lang w:eastAsia="lt-LT" w:bidi="lt-LT"/>
        </w:rPr>
        <w:t xml:space="preserve"> nurodė, kad jų kuopai prasiskverbus prie pastato, jie buvo suskirstyti penketais. Priekyje ėjo penketas, vadovaujamas vyr. leitenanto </w:t>
      </w:r>
      <w:r>
        <w:rPr>
          <w:szCs w:val="24"/>
          <w:lang w:eastAsia="lt-LT" w:bidi="lt-LT"/>
        </w:rPr>
        <w:t>A. F. 1</w:t>
      </w:r>
      <w:r w:rsidRPr="00C00255">
        <w:rPr>
          <w:szCs w:val="24"/>
          <w:lang w:eastAsia="lt-LT" w:bidi="lt-LT"/>
        </w:rPr>
        <w:t>, o už šio penketo ėjo dar du penketai, kuriems vadovavo kiti karininkai (t. 437, b. l. 132–134; t. 124, b. l. 204–207).</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kariškis </w:t>
      </w:r>
      <w:r>
        <w:rPr>
          <w:szCs w:val="24"/>
          <w:lang w:eastAsia="lt-LT" w:bidi="lt-LT"/>
        </w:rPr>
        <w:t>A. F.</w:t>
      </w:r>
      <w:r w:rsidRPr="00C00255">
        <w:rPr>
          <w:szCs w:val="24"/>
          <w:lang w:eastAsia="lt-LT" w:bidi="lt-LT"/>
        </w:rPr>
        <w:t xml:space="preserve"> nurodė, kad prie objekto važiavo URAL mašina, kurioje matė ir būrio vadą vyr. leitenantą </w:t>
      </w:r>
      <w:r>
        <w:rPr>
          <w:szCs w:val="24"/>
          <w:lang w:eastAsia="lt-LT" w:bidi="lt-LT"/>
        </w:rPr>
        <w:t>A. F. 1</w:t>
      </w:r>
      <w:r w:rsidRPr="00C00255">
        <w:rPr>
          <w:szCs w:val="24"/>
          <w:lang w:eastAsia="lt-LT" w:bidi="lt-LT"/>
        </w:rPr>
        <w:t>. Atvykus prie objekto, jie gavo užduotį perimti objekto apsaugą ir kuopa buvo išskirstyta į penketukus. Pirmasis penketas turėjo prasiveržti iki įėjimo, o kiti du – pridengti pirmąjį (t. 437, b. l. 108–111; t. 124, b. l. 154–162).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eilinis </w:t>
      </w:r>
      <w:r>
        <w:rPr>
          <w:szCs w:val="24"/>
          <w:lang w:eastAsia="lt-LT" w:bidi="lt-LT"/>
        </w:rPr>
        <w:t>O. T.</w:t>
      </w:r>
      <w:r w:rsidRPr="00C00255">
        <w:rPr>
          <w:szCs w:val="24"/>
          <w:lang w:eastAsia="lt-LT" w:bidi="lt-LT"/>
        </w:rPr>
        <w:t xml:space="preserve"> nurodė, kad jiems įėjus į pastatą prie laiptų į 2-ąjį aukštą </w:t>
      </w:r>
      <w:r>
        <w:rPr>
          <w:szCs w:val="24"/>
          <w:lang w:eastAsia="lt-LT" w:bidi="lt-LT"/>
        </w:rPr>
        <w:t>A. F. 1</w:t>
      </w:r>
      <w:r w:rsidRPr="00C00255">
        <w:rPr>
          <w:szCs w:val="24"/>
          <w:lang w:eastAsia="lt-LT" w:bidi="lt-LT"/>
        </w:rPr>
        <w:t xml:space="preserve"> paskyrė jį būrio vadu (t. 437, b. l. 116–119; t. 124, b. l. 168–172).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2-osios kuopos valdymo skyriaus vadas </w:t>
      </w:r>
      <w:r>
        <w:rPr>
          <w:szCs w:val="24"/>
          <w:lang w:eastAsia="lt-LT" w:bidi="lt-LT"/>
        </w:rPr>
        <w:t>O. C.</w:t>
      </w:r>
      <w:r w:rsidRPr="00C00255">
        <w:rPr>
          <w:szCs w:val="24"/>
          <w:lang w:eastAsia="lt-LT" w:bidi="lt-LT"/>
        </w:rPr>
        <w:t xml:space="preserve"> nurodė, kad patekęs į 4 aukštų pastatą su keliais kitas kariškiais lipo į viršų, kad patektų į kambarį Nr. 311. Lipdamas iki 3 aukšto liudytojas įveikė keletą milicininkų bei galiausiai pasiekė kambarį Nr. 311, kuriame buvo civilis. „Specnazo“ kariai pradėjo atjunginėti aparatūrą, o jis išėjo žemyn, kur sutiko vyr. leitenantą </w:t>
      </w:r>
      <w:r>
        <w:rPr>
          <w:szCs w:val="24"/>
          <w:lang w:eastAsia="lt-LT" w:bidi="lt-LT"/>
        </w:rPr>
        <w:t>A. F. 1</w:t>
      </w:r>
      <w:r w:rsidRPr="00C00255">
        <w:rPr>
          <w:szCs w:val="24"/>
          <w:lang w:eastAsia="lt-LT" w:bidi="lt-LT"/>
        </w:rPr>
        <w:t xml:space="preserve"> ir jam pasakė, kad viršuje viskas normalu (t. 437, b. l. 42–47; t. 124, b.</w:t>
      </w:r>
      <w:r>
        <w:rPr>
          <w:szCs w:val="24"/>
          <w:lang w:eastAsia="lt-LT" w:bidi="lt-LT"/>
        </w:rPr>
        <w:t> </w:t>
      </w:r>
      <w:r w:rsidRPr="00C00255">
        <w:rPr>
          <w:szCs w:val="24"/>
          <w:lang w:eastAsia="lt-LT" w:bidi="lt-LT"/>
        </w:rPr>
        <w:t xml:space="preserve">l. 48–61).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vairuotojas-mechanikas </w:t>
      </w:r>
      <w:r>
        <w:rPr>
          <w:szCs w:val="24"/>
          <w:lang w:eastAsia="lt-LT" w:bidi="lt-LT"/>
        </w:rPr>
        <w:t>V. C.</w:t>
      </w:r>
      <w:r w:rsidRPr="00C00255">
        <w:rPr>
          <w:szCs w:val="24"/>
          <w:lang w:eastAsia="lt-LT" w:bidi="lt-LT"/>
        </w:rPr>
        <w:t xml:space="preserve"> nurodė, kad įėjęs į pastatą, jis iš karto nubėgo į 3 aukštą ieškoti kambario Nr. 311. Ten vyr. leitenantas </w:t>
      </w:r>
      <w:r>
        <w:rPr>
          <w:szCs w:val="24"/>
          <w:lang w:eastAsia="lt-LT" w:bidi="lt-LT"/>
        </w:rPr>
        <w:t>A. F. 1</w:t>
      </w:r>
      <w:r w:rsidRPr="00C00255">
        <w:rPr>
          <w:szCs w:val="24"/>
          <w:lang w:eastAsia="lt-LT" w:bidi="lt-LT"/>
        </w:rPr>
        <w:t xml:space="preserve"> jam įsakė likti prie durų (t. 437, b. l. 99–102; t. 124, b. l. 132–137).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BMD vadas </w:t>
      </w:r>
      <w:r>
        <w:rPr>
          <w:szCs w:val="24"/>
          <w:lang w:eastAsia="lt-LT" w:bidi="lt-LT"/>
        </w:rPr>
        <w:t>A. A.</w:t>
      </w:r>
      <w:r w:rsidRPr="00C00255">
        <w:rPr>
          <w:szCs w:val="24"/>
          <w:lang w:eastAsia="lt-LT" w:bidi="lt-LT"/>
        </w:rPr>
        <w:t xml:space="preserve"> nurodė, kad miniai atsiraukus, jie į pastatą įnešė sužeistą kapitoną </w:t>
      </w:r>
      <w:r>
        <w:rPr>
          <w:szCs w:val="24"/>
          <w:lang w:eastAsia="lt-LT" w:bidi="lt-LT"/>
        </w:rPr>
        <w:t>J. G.</w:t>
      </w:r>
      <w:r w:rsidRPr="00C00255">
        <w:rPr>
          <w:szCs w:val="24"/>
          <w:lang w:eastAsia="lt-LT" w:bidi="lt-LT"/>
        </w:rPr>
        <w:t xml:space="preserve">. Paskui liudytojas vaikščiojo per aukštus ir ieškojo vyr. leitenanto </w:t>
      </w:r>
      <w:r>
        <w:rPr>
          <w:szCs w:val="24"/>
          <w:lang w:eastAsia="lt-LT" w:bidi="lt-LT"/>
        </w:rPr>
        <w:t>A. F. 1</w:t>
      </w:r>
      <w:r w:rsidRPr="00C00255">
        <w:rPr>
          <w:szCs w:val="24"/>
          <w:lang w:eastAsia="lt-LT" w:bidi="lt-LT"/>
        </w:rPr>
        <w:t xml:space="preserve"> (t. 437, b. l. 139–142; t. 124, b. l. 215–226).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color w:val="000000"/>
          <w:szCs w:val="24"/>
          <w:lang w:eastAsia="lt-LT" w:bidi="lt-LT"/>
        </w:rPr>
        <w:t xml:space="preserve">Teisėjų kolegijos įsitikinimu, minėti parodymai </w:t>
      </w:r>
      <w:r w:rsidRPr="00C00255">
        <w:t xml:space="preserve">yra </w:t>
      </w:r>
      <w:r w:rsidRPr="00C00255">
        <w:rPr>
          <w:color w:val="000000"/>
          <w:szCs w:val="24"/>
          <w:lang w:eastAsia="lt-LT" w:bidi="lt-LT"/>
        </w:rPr>
        <w:t xml:space="preserve">aktualūs tikrinant jau aptartus įrodymus apie </w:t>
      </w:r>
      <w:r>
        <w:rPr>
          <w:color w:val="000000"/>
          <w:szCs w:val="24"/>
          <w:lang w:eastAsia="lt-LT" w:bidi="lt-LT"/>
        </w:rPr>
        <w:t>A. F. 1</w:t>
      </w:r>
      <w:r w:rsidRPr="00C00255">
        <w:rPr>
          <w:color w:val="000000"/>
          <w:szCs w:val="24"/>
          <w:lang w:eastAsia="lt-LT" w:bidi="lt-LT"/>
        </w:rPr>
        <w:t xml:space="preserve"> vaidmenį užimant LRT Radijo (</w:t>
      </w:r>
      <w:r w:rsidRPr="00C00255">
        <w:rPr>
          <w:szCs w:val="24"/>
          <w:lang w:eastAsia="lt-LT"/>
        </w:rPr>
        <w:t xml:space="preserve">4 aukštų) </w:t>
      </w:r>
      <w:r w:rsidRPr="00C00255">
        <w:rPr>
          <w:color w:val="000000"/>
          <w:szCs w:val="24"/>
          <w:lang w:eastAsia="lt-LT" w:bidi="lt-LT"/>
        </w:rPr>
        <w:t xml:space="preserve">pastatą. Šie parodymai atitinka ir papildo kitus aptartus rašytinius įrodymus bei taip pat formuoja teismo vidinį įsitikinimą, </w:t>
      </w:r>
      <w:r w:rsidRPr="00C00255">
        <w:rPr>
          <w:szCs w:val="24"/>
          <w:lang w:eastAsia="lt-LT"/>
        </w:rPr>
        <w:t xml:space="preserve">kad </w:t>
      </w:r>
      <w:r>
        <w:rPr>
          <w:szCs w:val="24"/>
          <w:lang w:eastAsia="lt-LT"/>
        </w:rPr>
        <w:t>A. F. 1</w:t>
      </w:r>
      <w:r w:rsidRPr="00C00255">
        <w:rPr>
          <w:szCs w:val="24"/>
          <w:lang w:eastAsia="lt-LT"/>
        </w:rPr>
        <w:t xml:space="preserve"> ne tik aktyviai dalyvavo užimant LRT Radijo pastatą (pvz., buvo priešakiniame kariškių penkete, kuris turėjo </w:t>
      </w:r>
      <w:r w:rsidRPr="00C00255">
        <w:rPr>
          <w:szCs w:val="24"/>
          <w:lang w:eastAsia="lt-LT" w:bidi="lt-LT"/>
        </w:rPr>
        <w:t>prasiveržti iki pastato įėjimo),</w:t>
      </w:r>
      <w:r w:rsidRPr="00C00255">
        <w:rPr>
          <w:szCs w:val="24"/>
          <w:lang w:eastAsia="lt-LT"/>
        </w:rPr>
        <w:t xml:space="preserve"> bet ir buvo vienu iš vadovaujančias pareigas užėmusių karininkų, kuris LRT Radijo pastate pavaldiems kariškiams davė privalomus įsakymus (pvz., dėl patalpų saugojimo, kariškio paskyrimo būrio vadu), bei į kurį, kaip atsakingą asmenį, kreipdavosi kiti kariškiai.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bidi="lt-LT"/>
        </w:rPr>
        <w:t xml:space="preserve">Teisėjų kolegija, atsakydama į nuteistojo </w:t>
      </w:r>
      <w:r>
        <w:rPr>
          <w:szCs w:val="24"/>
          <w:lang w:eastAsia="lt-LT" w:bidi="lt-LT"/>
        </w:rPr>
        <w:t>A. F. 1</w:t>
      </w:r>
      <w:r w:rsidRPr="00C00255">
        <w:rPr>
          <w:szCs w:val="24"/>
          <w:lang w:eastAsia="lt-LT" w:bidi="lt-LT"/>
        </w:rPr>
        <w:t xml:space="preserve"> gynėjo skundo argumentus dėl to, kad </w:t>
      </w:r>
      <w:r w:rsidRPr="00C00255">
        <w:rPr>
          <w:bCs/>
          <w:szCs w:val="24"/>
        </w:rPr>
        <w:t>ginamasis nedavė įsakymų pavaldiems kariškiams pulti civilius, juos žudyti ar žaloti ir pats to nedarė</w:t>
      </w:r>
      <w:r w:rsidRPr="00C00255">
        <w:rPr>
          <w:szCs w:val="24"/>
          <w:lang w:eastAsia="lt-LT" w:bidi="lt-LT"/>
        </w:rPr>
        <w:t>, kaip ir atsakydama į kitų gynėjų panašius argumentus, pažymi, jog užimant LRT ir stumiant nuo pastatų civilius visi kariškiai veikė koordinuotai, bendrai ir siekdami to paties vieno tikslo, o nuteistasis atliko vadovaujamo pobūdžio veiksmus daliai bendroje operacijoje dalyvavusių kariškių, kurie vykdė jiems paskirtą užduotį. B</w:t>
      </w:r>
      <w:r w:rsidRPr="00C00255">
        <w:t xml:space="preserve">yloje nustatyti </w:t>
      </w:r>
      <w:r>
        <w:t>A. F. 1</w:t>
      </w:r>
      <w:r w:rsidRPr="00C00255">
        <w:t xml:space="preserve"> vadovaujantys veiksmai (</w:t>
      </w:r>
      <w:r w:rsidRPr="00C00255">
        <w:rPr>
          <w:szCs w:val="24"/>
        </w:rPr>
        <w:t xml:space="preserve">turint omenyje ir tai, kad jis vadovavo priešakiniam kariškių penketui, kurio tikslas buvo prasiveržti pro civilius ir patekti į LRT Radijo pastatą) </w:t>
      </w:r>
      <w:r w:rsidRPr="00C00255">
        <w:t xml:space="preserve">visumoje su kitų kariškių veiksmais lėmė itin pavojingus padarinius ir daugybės civilių sužalojimus. Lygiai taip pat vertintini ir gynybos teiginiai apie </w:t>
      </w:r>
      <w:r>
        <w:t>A. F. 1</w:t>
      </w:r>
      <w:r w:rsidRPr="00C00255">
        <w:t xml:space="preserve"> ir jam pavaldžių kariškių nenaudotas priemones (šviesos ir garso granatas, kovinius 5,45 mm kalibro šovinius)</w:t>
      </w:r>
      <w:r w:rsidRPr="00C00255" w:rsidDel="005A0E7D">
        <w:t xml:space="preserve"> </w:t>
      </w:r>
      <w:r w:rsidRPr="00C00255">
        <w:t>LRT šturmo metu. Nurodyti apeliacinio skundo argumentai nepaneigia pirmosios instancijos teismo nustatytų ir visiems nuteistiesiems bendrai inkriminuotų aplinkybių dėl nukentėjusiesiems padarytų taip pat ir itin sunkių sužalojimų bei nukentėjusiojo mirties, nes k</w:t>
      </w:r>
      <w:r w:rsidRPr="00C00255">
        <w:rPr>
          <w:szCs w:val="24"/>
          <w:lang w:eastAsia="lt-LT"/>
        </w:rPr>
        <w:t>iekvieno iš kariškių, o ypač ėjusių vadovaujančio pobūdžio pareigas, veiksmai jokiu būdu negali būti vertinami atsietai nuo jo dalinio ir apskritai visų operacijoje dalyvavusių kariškių veiksmų, o taip pat ir nuo jų veiksmų padarinių.</w:t>
      </w:r>
    </w:p>
    <w:p w:rsidR="00DA38E9" w:rsidRPr="005D022C" w:rsidRDefault="00DA38E9" w:rsidP="00DA38E9">
      <w:pPr>
        <w:pStyle w:val="ListParagraph"/>
        <w:numPr>
          <w:ilvl w:val="0"/>
          <w:numId w:val="6"/>
        </w:numPr>
        <w:spacing w:before="120" w:after="120"/>
        <w:ind w:left="993" w:hanging="993"/>
        <w:contextualSpacing w:val="0"/>
        <w:rPr>
          <w:szCs w:val="24"/>
          <w:lang w:eastAsia="lt-LT" w:bidi="lt-LT"/>
        </w:rPr>
      </w:pPr>
      <w:r w:rsidRPr="005D022C">
        <w:rPr>
          <w:szCs w:val="24"/>
          <w:lang w:eastAsia="lt-LT" w:bidi="lt-LT"/>
        </w:rPr>
        <w:t xml:space="preserve">Apibendrindama visa tai, kas minėta, teisėjų kolegija konstatuoja, kad visos skundžiamu nuosprendžiu įrodytomis pripažintos nuteistajam </w:t>
      </w:r>
      <w:r w:rsidRPr="005D022C">
        <w:rPr>
          <w:szCs w:val="24"/>
          <w:lang w:eastAsia="lt-LT"/>
        </w:rPr>
        <w:t xml:space="preserve">A. F. 1 </w:t>
      </w:r>
      <w:r w:rsidRPr="005D022C">
        <w:t>inkriminuotos faktinės aplinkybės, susijusios su veiksmais užimant LRT Radijo pastatą (nuosprendžio 514–520 l.), pasitvirtino kaip pagrįstos ir teisingos.</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24" w:name="_Toc66697294"/>
      <w:r w:rsidRPr="00C00255">
        <w:rPr>
          <w:rFonts w:ascii="Times New Roman" w:hAnsi="Times New Roman" w:cs="Times New Roman"/>
          <w:i/>
          <w:color w:val="auto"/>
        </w:rPr>
        <w:t xml:space="preserve">Dėl nuteistojo </w:t>
      </w:r>
      <w:r>
        <w:rPr>
          <w:rFonts w:ascii="Times New Roman" w:hAnsi="Times New Roman" w:cs="Times New Roman"/>
          <w:i/>
          <w:color w:val="auto"/>
        </w:rPr>
        <w:t>K. U.</w:t>
      </w:r>
      <w:r w:rsidRPr="00C00255">
        <w:rPr>
          <w:rFonts w:ascii="Times New Roman" w:hAnsi="Times New Roman" w:cs="Times New Roman"/>
          <w:i/>
          <w:color w:val="auto"/>
        </w:rPr>
        <w:t xml:space="preserve"> dalyvavimo užimant LRT Radijo pastatą</w:t>
      </w:r>
      <w:bookmarkEnd w:id="624"/>
    </w:p>
    <w:p w:rsidR="00DA38E9" w:rsidRPr="005D022C" w:rsidRDefault="00DA38E9" w:rsidP="00DA38E9">
      <w:pPr>
        <w:pStyle w:val="ListParagraph"/>
        <w:numPr>
          <w:ilvl w:val="0"/>
          <w:numId w:val="6"/>
        </w:numPr>
        <w:spacing w:before="120" w:after="120"/>
        <w:ind w:left="993" w:hanging="993"/>
        <w:contextualSpacing w:val="0"/>
        <w:rPr>
          <w:szCs w:val="24"/>
          <w:lang w:eastAsia="lt-LT"/>
        </w:rPr>
      </w:pPr>
      <w:r w:rsidRPr="005D022C">
        <w:rPr>
          <w:szCs w:val="24"/>
          <w:lang w:eastAsia="lt-LT"/>
        </w:rPr>
        <w:t xml:space="preserve">Teisėjų kolegija sutinka ir su skundžiamo nuosprendžio išvada, kad TSRS GM 76-osios oro desanto divizijos 237-ojo pulko 1-ojo bataliono 1-osios ir 2-osios kuopų kariškiams, kurie, būdami ginkluoti, prasibrovė iki LRT Radijo (4 aukštų) pastato, naudodami artimos kovos veiksmus, stūmė civilius iš pastato teritorijos bei vykdė kitus pastato užėmimo veiksmus, vienu iš vadovavusių asmenų buvo ir 2-osios kuopos vadas vyr. leitenantas K. U.. </w:t>
      </w:r>
    </w:p>
    <w:p w:rsidR="00DA38E9" w:rsidRPr="00C00255" w:rsidRDefault="00DA38E9" w:rsidP="00DA38E9">
      <w:pPr>
        <w:pStyle w:val="ListParagraph"/>
        <w:numPr>
          <w:ilvl w:val="0"/>
          <w:numId w:val="6"/>
        </w:numPr>
        <w:ind w:left="993" w:hanging="993"/>
        <w:rPr>
          <w:szCs w:val="24"/>
          <w:lang w:eastAsia="lt-LT"/>
        </w:rPr>
      </w:pPr>
      <w:r w:rsidRPr="00C00255">
        <w:rPr>
          <w:szCs w:val="24"/>
        </w:rPr>
        <w:t xml:space="preserve">Apygardos teismas </w:t>
      </w:r>
      <w:r>
        <w:rPr>
          <w:szCs w:val="24"/>
          <w:lang w:bidi="lt-LT"/>
        </w:rPr>
        <w:t>K. U.</w:t>
      </w:r>
      <w:r w:rsidRPr="00C00255">
        <w:rPr>
          <w:szCs w:val="24"/>
          <w:lang w:bidi="lt-LT"/>
        </w:rPr>
        <w:t xml:space="preserve"> dalyvavimą užimant LRT Radijo pastatą bei jo vadovavimą ten veikusiems kariškiams grindė liudytojų – kariškių </w:t>
      </w:r>
      <w:r w:rsidRPr="00C00255">
        <w:rPr>
          <w:szCs w:val="24"/>
        </w:rPr>
        <w:t xml:space="preserve">dalyvavusių įvykiuose prie LRT, parodymais ir kitų nuteistųjų parodymais (žr. nuosprendžio 782–791 l.; t. 772, b. l. 182–191). Nuteistojo </w:t>
      </w:r>
      <w:r>
        <w:rPr>
          <w:szCs w:val="24"/>
        </w:rPr>
        <w:t>K. U.</w:t>
      </w:r>
      <w:r w:rsidRPr="00C00255">
        <w:rPr>
          <w:szCs w:val="24"/>
        </w:rPr>
        <w:t xml:space="preserve"> gynėjo teigimu, byloje surinkti įrodymai, taip pat ir apeliaciniame skunde aptarti paties nuteistojo parodymai nepatvirtina skundžiamame nuosprendyje konstatuotų vadovaujamų </w:t>
      </w:r>
      <w:r>
        <w:rPr>
          <w:szCs w:val="24"/>
        </w:rPr>
        <w:t>K. U.</w:t>
      </w:r>
      <w:r w:rsidRPr="00C00255">
        <w:rPr>
          <w:szCs w:val="24"/>
        </w:rPr>
        <w:t xml:space="preserve"> veiksmų. Pasak gynėjo, nuteistasis </w:t>
      </w:r>
      <w:r>
        <w:rPr>
          <w:szCs w:val="24"/>
        </w:rPr>
        <w:t>K. U.</w:t>
      </w:r>
      <w:r w:rsidRPr="00C00255">
        <w:rPr>
          <w:szCs w:val="24"/>
        </w:rPr>
        <w:t xml:space="preserve"> </w:t>
      </w:r>
      <w:r w:rsidRPr="00C00255">
        <w:rPr>
          <w:szCs w:val="24"/>
          <w:lang w:eastAsia="lt-LT"/>
        </w:rPr>
        <w:t xml:space="preserve">vykdė konkrečius įsakymus, laikydamasis tarnybos statuto, todėl už </w:t>
      </w:r>
      <w:r>
        <w:rPr>
          <w:szCs w:val="24"/>
          <w:lang w:eastAsia="lt-LT"/>
        </w:rPr>
        <w:t>K. U.</w:t>
      </w:r>
      <w:r w:rsidRPr="00C00255">
        <w:rPr>
          <w:szCs w:val="24"/>
          <w:lang w:eastAsia="lt-LT"/>
        </w:rPr>
        <w:t xml:space="preserve"> atliktų veiksmų padarinius turėjo atsakyti įsakymus davę asmenys. Pats </w:t>
      </w:r>
      <w:r>
        <w:rPr>
          <w:szCs w:val="24"/>
          <w:lang w:eastAsia="lt-LT"/>
        </w:rPr>
        <w:t>K. U.</w:t>
      </w:r>
      <w:r w:rsidRPr="00C00255">
        <w:rPr>
          <w:szCs w:val="24"/>
          <w:lang w:eastAsia="lt-LT"/>
        </w:rPr>
        <w:t xml:space="preserve"> įsakymų daryti karo nusikaltimus ir nusikaltimus žmoniškumui pavaldiniams nedavė. </w:t>
      </w:r>
      <w:r w:rsidRPr="00C00255">
        <w:rPr>
          <w:szCs w:val="24"/>
        </w:rPr>
        <w:t xml:space="preserve">Kaip ne kartą jau buvo nurodyta šiame sprendime, tai kad nuteistasis vykdė aukštesnių vadų įsakymus, nepaneigia skundžiamame nuosprendyje nustatyto LRT Radijo pastato užėmimo metu jo vadovaujamo vaidmens pavaldiems kariškiams. Priešingai nei teigiama apeliaciniame skunde, pirmosios instancijos teismo išvadas dėl </w:t>
      </w:r>
      <w:r>
        <w:rPr>
          <w:szCs w:val="24"/>
        </w:rPr>
        <w:t>K. U.</w:t>
      </w:r>
      <w:r w:rsidRPr="00C00255">
        <w:rPr>
          <w:szCs w:val="24"/>
        </w:rPr>
        <w:t xml:space="preserve"> vadovaujamo vaidmens, patvirtina BPK 20 straipsnio reikalavimus atitinkančių objektyvių bylos duomenų visuma.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bookmarkStart w:id="625" w:name="_Hlk65667655"/>
      <w:r w:rsidRPr="00C00255">
        <w:rPr>
          <w:szCs w:val="24"/>
          <w:lang w:eastAsia="lt-LT"/>
        </w:rPr>
        <w:t>Iš byloje esančio LRT užėmime dalyvavusių kariškių sąrašo, pavadinimu „1 ir 2 parašiutininkų-desantininkų kuopos karių, dalyvavusių 1991 metų naktį iš sausio 12 dienos į sausio 13 dieną operacijoje Vilniaus mieste, skirtoje saugoti televizijos ir radijo komitetą“ matyti,</w:t>
      </w:r>
      <w:bookmarkEnd w:id="625"/>
      <w:r w:rsidRPr="00C00255">
        <w:rPr>
          <w:szCs w:val="24"/>
          <w:lang w:eastAsia="lt-LT"/>
        </w:rPr>
        <w:t xml:space="preserve"> matyti, kad šiuose įvykiuose dalyvavo ir vyr. leitenantas </w:t>
      </w:r>
      <w:r>
        <w:rPr>
          <w:szCs w:val="24"/>
          <w:lang w:eastAsia="lt-LT"/>
        </w:rPr>
        <w:t>K. U.</w:t>
      </w:r>
      <w:r w:rsidRPr="00C00255">
        <w:rPr>
          <w:szCs w:val="24"/>
          <w:lang w:eastAsia="lt-LT"/>
        </w:rPr>
        <w:t xml:space="preserve">, kurio karinis laipsnis buvo vienas iš aukščiausių tarp minėtą dalinį sudariusių kariškių. Iš 31 daliniui priskirto kariškio tik kapitonai </w:t>
      </w:r>
      <w:r>
        <w:rPr>
          <w:szCs w:val="24"/>
          <w:lang w:eastAsia="lt-LT"/>
        </w:rPr>
        <w:t>J. G.</w:t>
      </w:r>
      <w:r w:rsidRPr="00C00255">
        <w:rPr>
          <w:szCs w:val="24"/>
          <w:lang w:eastAsia="lt-LT"/>
        </w:rPr>
        <w:t xml:space="preserve"> ir </w:t>
      </w:r>
      <w:r>
        <w:rPr>
          <w:szCs w:val="24"/>
          <w:lang w:eastAsia="lt-LT"/>
        </w:rPr>
        <w:t>I. Š.</w:t>
      </w:r>
      <w:r w:rsidRPr="00C00255">
        <w:rPr>
          <w:szCs w:val="24"/>
          <w:lang w:eastAsia="lt-LT"/>
        </w:rPr>
        <w:t xml:space="preserve"> buvo aukštesnio karinio laipsnio nei </w:t>
      </w:r>
      <w:r>
        <w:rPr>
          <w:szCs w:val="24"/>
          <w:lang w:eastAsia="lt-LT"/>
        </w:rPr>
        <w:t>K. U.</w:t>
      </w:r>
      <w:r w:rsidRPr="00C00255">
        <w:rPr>
          <w:szCs w:val="24"/>
          <w:lang w:eastAsia="lt-LT"/>
        </w:rPr>
        <w:t xml:space="preserve"> (t. 437, b. l. 4–6; t. 124, b. l. 2–4).</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taip pat matyti, kad mašinos URAL-4320, Nr. 00-65, sudėtyje buvo vyr. leitenantas </w:t>
      </w:r>
      <w:r>
        <w:rPr>
          <w:szCs w:val="24"/>
          <w:lang w:eastAsia="lt-LT"/>
        </w:rPr>
        <w:t>K. U.</w:t>
      </w:r>
      <w:r w:rsidRPr="00C00255">
        <w:rPr>
          <w:szCs w:val="24"/>
          <w:lang w:eastAsia="lt-LT"/>
        </w:rPr>
        <w:t xml:space="preserve"> (t. 451, b. l. 192–194; t. 152, b. l. 223–225).</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Tuo, kad </w:t>
      </w:r>
      <w:r>
        <w:rPr>
          <w:szCs w:val="24"/>
          <w:lang w:eastAsia="lt-LT"/>
        </w:rPr>
        <w:t>K. U.</w:t>
      </w:r>
      <w:r w:rsidRPr="00C00255">
        <w:rPr>
          <w:szCs w:val="24"/>
          <w:lang w:eastAsia="lt-LT"/>
        </w:rPr>
        <w:t xml:space="preserve"> dalyvavo minėtuose įvykiuose ir užėmė vadovaujamas pareigas, neleidžia abejoti ir byloje esantis 1-osios bei 2-osios kuopų kariškių, 1991 m. sausio 13-osios naktį Vilniaus mieste patyrusių traumas, sąrašas. Vadovaujantis juo, </w:t>
      </w:r>
      <w:r>
        <w:rPr>
          <w:szCs w:val="24"/>
          <w:lang w:eastAsia="lt-LT"/>
        </w:rPr>
        <w:t>K. U.</w:t>
      </w:r>
      <w:r w:rsidRPr="00C00255">
        <w:rPr>
          <w:szCs w:val="24"/>
          <w:lang w:eastAsia="lt-LT"/>
        </w:rPr>
        <w:t xml:space="preserve"> įvykių metu ne tik patyrė traumą, bet ir ėjo 2-osios kuopos vado pareigas (t. 437, b. l. 10; t. 124, b. l. 8). Vien tai, kad </w:t>
      </w:r>
      <w:r>
        <w:rPr>
          <w:szCs w:val="24"/>
          <w:lang w:eastAsia="lt-LT"/>
        </w:rPr>
        <w:t>K. U.</w:t>
      </w:r>
      <w:r w:rsidRPr="00C00255">
        <w:rPr>
          <w:szCs w:val="24"/>
          <w:lang w:eastAsia="lt-LT"/>
        </w:rPr>
        <w:t xml:space="preserve"> buvo 2-osios kuopos vadu, leidžia teigti, jog prie LRT Radijo pastato jis turėjo sau pavaldžių kariškių, kuriems galėjo duoti nurodymus.</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Apie įvykių metu </w:t>
      </w:r>
      <w:r>
        <w:rPr>
          <w:szCs w:val="24"/>
          <w:lang w:eastAsia="lt-LT"/>
        </w:rPr>
        <w:t>K. U.</w:t>
      </w:r>
      <w:r w:rsidRPr="00C00255">
        <w:rPr>
          <w:szCs w:val="24"/>
          <w:lang w:eastAsia="lt-LT"/>
        </w:rPr>
        <w:t xml:space="preserve"> patirtą traumą taip pat patvirtina byloje pateikta eksperto išvada (t. 441, b. l. 232–233; t. 128, b. l. 213–214). </w:t>
      </w:r>
    </w:p>
    <w:p w:rsidR="00DA38E9" w:rsidRPr="00C00255" w:rsidRDefault="00DA38E9" w:rsidP="00DA38E9">
      <w:pPr>
        <w:pStyle w:val="ListParagraph"/>
        <w:numPr>
          <w:ilvl w:val="1"/>
          <w:numId w:val="6"/>
        </w:numPr>
        <w:ind w:left="993" w:hanging="993"/>
        <w:rPr>
          <w:color w:val="000000"/>
          <w:szCs w:val="24"/>
          <w:lang w:eastAsia="lt-LT" w:bidi="lt-LT"/>
        </w:rPr>
      </w:pPr>
      <w:r w:rsidRPr="00C00255">
        <w:rPr>
          <w:szCs w:val="24"/>
        </w:rPr>
        <w:t xml:space="preserve">Taigi vien aptartų aplinkybių ir įrodymų visuma leidžia teigti ne tik apie </w:t>
      </w:r>
      <w:r>
        <w:rPr>
          <w:szCs w:val="24"/>
        </w:rPr>
        <w:t>K. U.</w:t>
      </w:r>
      <w:r w:rsidRPr="00C00255">
        <w:rPr>
          <w:szCs w:val="24"/>
        </w:rPr>
        <w:t xml:space="preserve"> dalyvavimą 1991 m. sausio 13-osios naktį užimant LRT Radijo pastatą, tačiau ir apie aukštą jo rangą bei vadovaujančio pobūdžio pareigas šios operacijos metu.</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bookmarkStart w:id="626" w:name="_Hlk65078202"/>
      <w:r w:rsidRPr="00C00255">
        <w:rPr>
          <w:color w:val="000000"/>
          <w:szCs w:val="24"/>
          <w:lang w:eastAsia="lt-LT" w:bidi="lt-LT"/>
        </w:rPr>
        <w:t xml:space="preserve">Teisėjų kolegijos vidinį įsitikinimą dėl skundžiamame nuosprendyje nustatyto </w:t>
      </w:r>
      <w:r>
        <w:rPr>
          <w:color w:val="000000"/>
          <w:szCs w:val="24"/>
          <w:lang w:eastAsia="lt-LT" w:bidi="lt-LT"/>
        </w:rPr>
        <w:t>K. U.</w:t>
      </w:r>
      <w:r w:rsidRPr="00C00255">
        <w:rPr>
          <w:color w:val="000000"/>
          <w:szCs w:val="24"/>
          <w:lang w:eastAsia="lt-LT" w:bidi="lt-LT"/>
        </w:rPr>
        <w:t xml:space="preserve"> vadovaujamo vaidmens LRT Radijo pastato užėmimo metu formuoja ir </w:t>
      </w:r>
      <w:bookmarkEnd w:id="626"/>
      <w:r w:rsidRPr="00C00255">
        <w:rPr>
          <w:color w:val="000000"/>
          <w:szCs w:val="24"/>
          <w:lang w:eastAsia="lt-LT" w:bidi="lt-LT"/>
        </w:rPr>
        <w:t xml:space="preserve">ikiteisminio tyrimo metu apklaustų, liudytojų statusą šiame procese turinčių, 1-osios bei 2-osios kuopos kariškių parodymai, perskaityti teisiamajame posėdyje (t. 760, b. l. 114–117). Vienuolika liudytojais apklaustų kariškių – </w:t>
      </w:r>
      <w:r>
        <w:rPr>
          <w:color w:val="000000"/>
          <w:szCs w:val="24"/>
          <w:lang w:eastAsia="lt-LT" w:bidi="lt-LT"/>
        </w:rPr>
        <w:t>O. C.</w:t>
      </w:r>
      <w:r w:rsidRPr="00C00255">
        <w:rPr>
          <w:color w:val="000000"/>
          <w:szCs w:val="24"/>
          <w:lang w:eastAsia="lt-LT" w:bidi="lt-LT"/>
        </w:rPr>
        <w:t xml:space="preserve">, </w:t>
      </w:r>
      <w:r>
        <w:rPr>
          <w:color w:val="000000"/>
          <w:szCs w:val="24"/>
          <w:lang w:eastAsia="lt-LT" w:bidi="lt-LT"/>
        </w:rPr>
        <w:t>V. T.</w:t>
      </w:r>
      <w:r w:rsidRPr="00C00255">
        <w:rPr>
          <w:color w:val="000000"/>
          <w:szCs w:val="24"/>
          <w:lang w:eastAsia="lt-LT" w:bidi="lt-LT"/>
        </w:rPr>
        <w:t xml:space="preserve">, </w:t>
      </w:r>
      <w:r>
        <w:rPr>
          <w:color w:val="000000"/>
          <w:szCs w:val="24"/>
          <w:lang w:eastAsia="lt-LT" w:bidi="lt-LT"/>
        </w:rPr>
        <w:t>A. Š.</w:t>
      </w:r>
      <w:r w:rsidRPr="00C00255">
        <w:rPr>
          <w:color w:val="000000"/>
          <w:szCs w:val="24"/>
          <w:lang w:eastAsia="lt-LT" w:bidi="lt-LT"/>
        </w:rPr>
        <w:t xml:space="preserve">, </w:t>
      </w:r>
      <w:r>
        <w:rPr>
          <w:color w:val="000000"/>
          <w:szCs w:val="24"/>
          <w:lang w:eastAsia="lt-LT" w:bidi="lt-LT"/>
        </w:rPr>
        <w:t>V. T.</w:t>
      </w:r>
      <w:r w:rsidRPr="00C00255">
        <w:rPr>
          <w:color w:val="000000"/>
          <w:szCs w:val="24"/>
          <w:lang w:eastAsia="lt-LT" w:bidi="lt-LT"/>
        </w:rPr>
        <w:t xml:space="preserve">, </w:t>
      </w:r>
      <w:r>
        <w:rPr>
          <w:color w:val="000000"/>
          <w:szCs w:val="24"/>
          <w:lang w:eastAsia="lt-LT" w:bidi="lt-LT"/>
        </w:rPr>
        <w:t>I. R.</w:t>
      </w:r>
      <w:r w:rsidRPr="00C00255">
        <w:rPr>
          <w:color w:val="000000"/>
          <w:szCs w:val="24"/>
          <w:lang w:eastAsia="lt-LT" w:bidi="lt-LT"/>
        </w:rPr>
        <w:t xml:space="preserve">, </w:t>
      </w:r>
      <w:r>
        <w:rPr>
          <w:color w:val="000000"/>
          <w:szCs w:val="24"/>
          <w:lang w:eastAsia="lt-LT" w:bidi="lt-LT"/>
        </w:rPr>
        <w:t>G. P.</w:t>
      </w:r>
      <w:r w:rsidRPr="00C00255">
        <w:rPr>
          <w:color w:val="000000"/>
          <w:szCs w:val="24"/>
          <w:lang w:eastAsia="lt-LT" w:bidi="lt-LT"/>
        </w:rPr>
        <w:t xml:space="preserve">, </w:t>
      </w:r>
      <w:r>
        <w:rPr>
          <w:color w:val="000000"/>
          <w:szCs w:val="24"/>
          <w:lang w:eastAsia="lt-LT" w:bidi="lt-LT"/>
        </w:rPr>
        <w:t>V. T.</w:t>
      </w:r>
      <w:r w:rsidRPr="00C00255">
        <w:rPr>
          <w:color w:val="000000"/>
          <w:szCs w:val="24"/>
          <w:lang w:eastAsia="lt-LT" w:bidi="lt-LT"/>
        </w:rPr>
        <w:t xml:space="preserve">, </w:t>
      </w:r>
      <w:r>
        <w:rPr>
          <w:color w:val="000000"/>
          <w:szCs w:val="24"/>
          <w:lang w:eastAsia="lt-LT" w:bidi="lt-LT"/>
        </w:rPr>
        <w:t>V. N.</w:t>
      </w:r>
      <w:r w:rsidRPr="00C00255">
        <w:rPr>
          <w:color w:val="000000"/>
          <w:szCs w:val="24"/>
          <w:lang w:eastAsia="lt-LT" w:bidi="lt-LT"/>
        </w:rPr>
        <w:t>, S. K</w:t>
      </w:r>
      <w:r>
        <w:rPr>
          <w:color w:val="000000"/>
          <w:szCs w:val="24"/>
          <w:lang w:eastAsia="lt-LT" w:bidi="lt-LT"/>
        </w:rPr>
        <w:t>.</w:t>
      </w:r>
      <w:r w:rsidRPr="00C00255">
        <w:rPr>
          <w:color w:val="000000"/>
          <w:szCs w:val="24"/>
          <w:lang w:eastAsia="lt-LT" w:bidi="lt-LT"/>
        </w:rPr>
        <w:t xml:space="preserve">, </w:t>
      </w:r>
      <w:r>
        <w:rPr>
          <w:color w:val="000000"/>
          <w:szCs w:val="24"/>
          <w:lang w:eastAsia="lt-LT" w:bidi="lt-LT"/>
        </w:rPr>
        <w:t>V. T.</w:t>
      </w:r>
      <w:r w:rsidRPr="00C00255">
        <w:rPr>
          <w:color w:val="000000"/>
          <w:szCs w:val="24"/>
          <w:lang w:eastAsia="lt-LT" w:bidi="lt-LT"/>
        </w:rPr>
        <w:t xml:space="preserve"> ir D. P</w:t>
      </w:r>
      <w:r>
        <w:rPr>
          <w:color w:val="000000"/>
          <w:szCs w:val="24"/>
          <w:lang w:eastAsia="lt-LT" w:bidi="lt-LT"/>
        </w:rPr>
        <w:t>.</w:t>
      </w:r>
      <w:r w:rsidRPr="00C00255">
        <w:rPr>
          <w:color w:val="000000"/>
          <w:szCs w:val="24"/>
          <w:lang w:eastAsia="lt-LT" w:bidi="lt-LT"/>
        </w:rPr>
        <w:t xml:space="preserve"> – kaip asmenį, atlikusį vadovaujamą vaidmenį prie LRT įvardijo ir vyr. leitenantą </w:t>
      </w:r>
      <w:r>
        <w:rPr>
          <w:color w:val="000000"/>
          <w:szCs w:val="24"/>
          <w:lang w:eastAsia="lt-LT" w:bidi="lt-LT"/>
        </w:rPr>
        <w:t>K. U.</w:t>
      </w:r>
      <w:r w:rsidRPr="00C00255">
        <w:rPr>
          <w:color w:val="000000"/>
          <w:szCs w:val="24"/>
          <w:lang w:eastAsia="lt-LT" w:bidi="lt-LT"/>
        </w:rPr>
        <w:t xml:space="preserve">. Toliau </w:t>
      </w:r>
      <w:bookmarkStart w:id="627" w:name="_Hlk65078301"/>
      <w:r w:rsidRPr="00C00255">
        <w:rPr>
          <w:color w:val="000000"/>
          <w:szCs w:val="24"/>
          <w:lang w:eastAsia="lt-LT" w:bidi="lt-LT"/>
        </w:rPr>
        <w:t xml:space="preserve">aptariami tik tų asmenų parodymai, kurie geriausiai atskleidžia </w:t>
      </w:r>
      <w:r>
        <w:rPr>
          <w:color w:val="000000"/>
          <w:szCs w:val="24"/>
          <w:lang w:eastAsia="lt-LT" w:bidi="lt-LT"/>
        </w:rPr>
        <w:t>K. U.</w:t>
      </w:r>
      <w:r w:rsidRPr="00C00255">
        <w:rPr>
          <w:color w:val="000000"/>
          <w:szCs w:val="24"/>
          <w:lang w:eastAsia="lt-LT" w:bidi="lt-LT"/>
        </w:rPr>
        <w:t xml:space="preserve"> atliktus veiksmus ir papildo jau aptartus įrodymus.</w:t>
      </w:r>
      <w:bookmarkEnd w:id="627"/>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Vairuotojas-mechanikas </w:t>
      </w:r>
      <w:r>
        <w:rPr>
          <w:szCs w:val="24"/>
          <w:lang w:eastAsia="lt-LT"/>
        </w:rPr>
        <w:t>V. T.</w:t>
      </w:r>
      <w:r w:rsidRPr="00C00255">
        <w:rPr>
          <w:szCs w:val="24"/>
          <w:lang w:eastAsia="lt-LT"/>
        </w:rPr>
        <w:t xml:space="preserve"> nurodė, kad 1991 m. sausio 12 d. Vilniuje juos išrikiavo kuopos vadas vyr. leitenantas </w:t>
      </w:r>
      <w:r>
        <w:rPr>
          <w:szCs w:val="24"/>
          <w:lang w:eastAsia="lt-LT"/>
        </w:rPr>
        <w:t>K. U.</w:t>
      </w:r>
      <w:r w:rsidRPr="00C00255">
        <w:rPr>
          <w:szCs w:val="24"/>
          <w:lang w:eastAsia="lt-LT"/>
        </w:rPr>
        <w:t xml:space="preserve">, pasakęs, kad jie turi paimti apsaugon televizijos ir radijo komiteto pastatą, bei paaiškinęs, kada ir kokiu atveju naudoti ginklus. </w:t>
      </w:r>
      <w:r>
        <w:rPr>
          <w:szCs w:val="24"/>
          <w:lang w:eastAsia="lt-LT"/>
        </w:rPr>
        <w:t>K. U.</w:t>
      </w:r>
      <w:r w:rsidRPr="00C00255">
        <w:rPr>
          <w:szCs w:val="24"/>
          <w:lang w:eastAsia="lt-LT"/>
        </w:rPr>
        <w:t xml:space="preserve"> iškėlė užduotį prasiveržti į kambarį Nr. 311, kur reikėjo atjungti aparatūrą </w:t>
      </w:r>
      <w:r w:rsidRPr="00C00255">
        <w:rPr>
          <w:szCs w:val="24"/>
          <w:lang w:eastAsia="lt-LT" w:bidi="lt-LT"/>
        </w:rPr>
        <w:t>(t. 437, b. l. 53–57; t. 124, b. l. 69–74).</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Kariškis S. K</w:t>
      </w:r>
      <w:r>
        <w:rPr>
          <w:szCs w:val="24"/>
          <w:lang w:eastAsia="lt-LT" w:bidi="lt-LT"/>
        </w:rPr>
        <w:t>.</w:t>
      </w:r>
      <w:r w:rsidRPr="00C00255">
        <w:rPr>
          <w:szCs w:val="24"/>
          <w:lang w:eastAsia="lt-LT" w:bidi="lt-LT"/>
        </w:rPr>
        <w:t xml:space="preserve"> nurodė, kad </w:t>
      </w:r>
      <w:r>
        <w:rPr>
          <w:szCs w:val="24"/>
          <w:lang w:eastAsia="lt-LT" w:bidi="lt-LT"/>
        </w:rPr>
        <w:t>K. U.</w:t>
      </w:r>
      <w:r w:rsidRPr="00C00255">
        <w:rPr>
          <w:szCs w:val="24"/>
          <w:lang w:eastAsia="lt-LT" w:bidi="lt-LT"/>
        </w:rPr>
        <w:t xml:space="preserve"> 1991 m. sausio 12 d. vakare pranešė, </w:t>
      </w:r>
      <w:r w:rsidRPr="00C00255">
        <w:rPr>
          <w:szCs w:val="24"/>
          <w:lang w:eastAsia="lt-LT"/>
        </w:rPr>
        <w:t>kad</w:t>
      </w:r>
      <w:r w:rsidRPr="00C00255">
        <w:rPr>
          <w:szCs w:val="24"/>
          <w:lang w:eastAsia="lt-LT" w:bidi="lt-LT"/>
        </w:rPr>
        <w:t xml:space="preserve"> 1-oji ir 2-oji kuopos dalyvaus naktį užimant televizijos centro 4 aukštų pastatą bei nurodė pastate nieko nelaužyti, išskyrus užrakintas duris (t. 437, b. l. 71–76; t. 124, b. l. 91–97).</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Vairuotojas-mechanikas </w:t>
      </w:r>
      <w:r>
        <w:rPr>
          <w:szCs w:val="24"/>
          <w:lang w:eastAsia="lt-LT" w:bidi="lt-LT"/>
        </w:rPr>
        <w:t>V. N.</w:t>
      </w:r>
      <w:r w:rsidRPr="00C00255">
        <w:rPr>
          <w:szCs w:val="24"/>
          <w:lang w:eastAsia="lt-LT" w:bidi="lt-LT"/>
        </w:rPr>
        <w:t xml:space="preserve"> nurodė, kad </w:t>
      </w:r>
      <w:r>
        <w:rPr>
          <w:szCs w:val="24"/>
          <w:lang w:eastAsia="lt-LT" w:bidi="lt-LT"/>
        </w:rPr>
        <w:t>K. U.</w:t>
      </w:r>
      <w:r w:rsidRPr="00C00255">
        <w:rPr>
          <w:szCs w:val="24"/>
          <w:lang w:eastAsia="lt-LT" w:bidi="lt-LT"/>
        </w:rPr>
        <w:t xml:space="preserve"> informavo, </w:t>
      </w:r>
      <w:r w:rsidRPr="00C00255">
        <w:rPr>
          <w:szCs w:val="24"/>
          <w:lang w:eastAsia="lt-LT"/>
        </w:rPr>
        <w:t>kad</w:t>
      </w:r>
      <w:r w:rsidRPr="00C00255">
        <w:rPr>
          <w:szCs w:val="24"/>
          <w:lang w:eastAsia="lt-LT" w:bidi="lt-LT"/>
        </w:rPr>
        <w:t xml:space="preserve"> užimant pastatą dalyvaus ir daliniai, turėsiantys sprogstamųjų užtaisų ir dujinių granatų miniai išvaikyti, todėl jie turi saugotis, nes gali būti sužaloti. Užėmus pastatą, kuopos vadas (parodymuose nurodė, kad 2-osios kuopos vadas buvo vyresnysis leitenantas </w:t>
      </w:r>
      <w:r>
        <w:rPr>
          <w:szCs w:val="24"/>
          <w:lang w:eastAsia="lt-LT" w:bidi="lt-LT"/>
        </w:rPr>
        <w:t>K. U.</w:t>
      </w:r>
      <w:r w:rsidRPr="00C00255">
        <w:rPr>
          <w:szCs w:val="24"/>
          <w:lang w:eastAsia="lt-LT" w:bidi="lt-LT"/>
        </w:rPr>
        <w:t>) iš kariškių surinko kovinius šovinius. Jiems patikrinus patalpas ir iš jų išvedus civilius, atėjo kuopos vadas ir paliko žmogų saugoti kambarį su civiliais (t. 437, b. l. 67–70; t. 124, b. l. 85–89).</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2-osios kuopos būrio vado pavaduotojas </w:t>
      </w:r>
      <w:r>
        <w:rPr>
          <w:szCs w:val="24"/>
          <w:lang w:eastAsia="lt-LT" w:bidi="lt-LT"/>
        </w:rPr>
        <w:t>V. T.</w:t>
      </w:r>
      <w:r w:rsidRPr="00C00255">
        <w:rPr>
          <w:szCs w:val="24"/>
          <w:lang w:eastAsia="lt-LT" w:bidi="lt-LT"/>
        </w:rPr>
        <w:t xml:space="preserve"> nurodė, kad jų mašina sustojo prie 4 aukštų pastato. Šaudydami tuščiais šoviniais į viršų bei išsidėstę pleištu – naudodami jėgą, jie prasiveržė į pastatą, o iš karininkų greta jų buvo ir kuopos vadas </w:t>
      </w:r>
      <w:r>
        <w:rPr>
          <w:szCs w:val="24"/>
          <w:lang w:eastAsia="lt-LT" w:bidi="lt-LT"/>
        </w:rPr>
        <w:t>K. U.</w:t>
      </w:r>
      <w:r w:rsidRPr="00C00255">
        <w:rPr>
          <w:szCs w:val="24"/>
          <w:lang w:eastAsia="lt-LT" w:bidi="lt-LT"/>
        </w:rPr>
        <w:t xml:space="preserve"> (t. 437, b. l. 58–61; t. 124, b. l. 75–79).</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Pr>
          <w:szCs w:val="24"/>
          <w:lang w:eastAsia="lt-LT" w:bidi="lt-LT"/>
        </w:rPr>
        <w:t>V. T.</w:t>
      </w:r>
      <w:r w:rsidRPr="00C00255">
        <w:rPr>
          <w:szCs w:val="24"/>
          <w:lang w:eastAsia="lt-LT" w:bidi="lt-LT"/>
        </w:rPr>
        <w:t xml:space="preserve"> parodymus papildo </w:t>
      </w:r>
      <w:r>
        <w:rPr>
          <w:szCs w:val="24"/>
          <w:lang w:eastAsia="lt-LT" w:bidi="lt-LT"/>
        </w:rPr>
        <w:t>V. T.</w:t>
      </w:r>
      <w:r w:rsidRPr="00C00255">
        <w:rPr>
          <w:szCs w:val="24"/>
          <w:lang w:eastAsia="lt-LT" w:bidi="lt-LT"/>
        </w:rPr>
        <w:t xml:space="preserve"> nurodytos aplinkybės apie tai, kad eidami link pastato įėjimo kariškiai patyrė minios pasipriešinimą ir pradėjo šaudyti į orą. Pribėgęs prie pastato prieangio, </w:t>
      </w:r>
      <w:r>
        <w:rPr>
          <w:szCs w:val="24"/>
          <w:lang w:eastAsia="lt-LT" w:bidi="lt-LT"/>
        </w:rPr>
        <w:t>V. T.</w:t>
      </w:r>
      <w:r w:rsidRPr="00C00255">
        <w:rPr>
          <w:szCs w:val="24"/>
          <w:lang w:eastAsia="lt-LT" w:bidi="lt-LT"/>
        </w:rPr>
        <w:t xml:space="preserve"> išgirdo pagalbos šauksmą ir pamatė, kad vyr. leitenantą </w:t>
      </w:r>
      <w:r>
        <w:rPr>
          <w:szCs w:val="24"/>
          <w:lang w:eastAsia="lt-LT" w:bidi="lt-LT"/>
        </w:rPr>
        <w:t>K. U.</w:t>
      </w:r>
      <w:r w:rsidRPr="00C00255">
        <w:rPr>
          <w:szCs w:val="24"/>
          <w:lang w:eastAsia="lt-LT" w:bidi="lt-LT"/>
        </w:rPr>
        <w:t xml:space="preserve"> įtraukė į minią. Jis iššovė tuščiais šoviniais į viršų, o </w:t>
      </w:r>
      <w:r>
        <w:rPr>
          <w:szCs w:val="24"/>
          <w:lang w:eastAsia="lt-LT" w:bidi="lt-LT"/>
        </w:rPr>
        <w:t>K. U.</w:t>
      </w:r>
      <w:r w:rsidRPr="00C00255">
        <w:rPr>
          <w:szCs w:val="24"/>
          <w:lang w:eastAsia="lt-LT" w:bidi="lt-LT"/>
        </w:rPr>
        <w:t xml:space="preserve"> gelbėti pribėgo kariai (t. 437, b. l. 128–131; t. 124, b. l. 192–203).</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Pr>
          <w:szCs w:val="24"/>
          <w:lang w:eastAsia="lt-LT"/>
        </w:rPr>
        <w:t>V. T.</w:t>
      </w:r>
      <w:r w:rsidRPr="00C00255">
        <w:rPr>
          <w:szCs w:val="24"/>
          <w:lang w:eastAsia="lt-LT"/>
        </w:rPr>
        <w:t xml:space="preserve"> nurodė, kad 1991 m. sausio 18 d. jie iš </w:t>
      </w:r>
      <w:r>
        <w:rPr>
          <w:szCs w:val="24"/>
          <w:lang w:eastAsia="lt-LT"/>
        </w:rPr>
        <w:t>K. U.</w:t>
      </w:r>
      <w:r w:rsidRPr="00C00255">
        <w:rPr>
          <w:szCs w:val="24"/>
          <w:lang w:eastAsia="lt-LT"/>
        </w:rPr>
        <w:t xml:space="preserve"> gavo komandą palikti užimtą pastatą</w:t>
      </w:r>
      <w:r w:rsidRPr="00C00255">
        <w:rPr>
          <w:szCs w:val="24"/>
          <w:lang w:eastAsia="lt-LT" w:bidi="lt-LT"/>
        </w:rPr>
        <w:t xml:space="preserve"> (t. 437, b. l. 53–57; t. 124, b. l. 69–74).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color w:val="000000"/>
          <w:szCs w:val="24"/>
          <w:lang w:eastAsia="lt-LT" w:bidi="lt-LT"/>
        </w:rPr>
        <w:t xml:space="preserve">Teisėjų kolegijos įsitikinimu, minėti parodymai </w:t>
      </w:r>
      <w:r w:rsidRPr="00C00255">
        <w:t xml:space="preserve">yra </w:t>
      </w:r>
      <w:r w:rsidRPr="00C00255">
        <w:rPr>
          <w:color w:val="000000"/>
          <w:szCs w:val="24"/>
          <w:lang w:eastAsia="lt-LT" w:bidi="lt-LT"/>
        </w:rPr>
        <w:t xml:space="preserve">aktualūs tikrinant šioje dalyje jau aptartus įrodymus apie </w:t>
      </w:r>
      <w:r>
        <w:rPr>
          <w:color w:val="000000"/>
          <w:szCs w:val="24"/>
          <w:lang w:eastAsia="lt-LT" w:bidi="lt-LT"/>
        </w:rPr>
        <w:t>K. U.</w:t>
      </w:r>
      <w:r w:rsidRPr="00C00255">
        <w:rPr>
          <w:color w:val="000000"/>
          <w:szCs w:val="24"/>
          <w:lang w:eastAsia="lt-LT" w:bidi="lt-LT"/>
        </w:rPr>
        <w:t xml:space="preserve"> vaidmenį užimant LRT Radijo (</w:t>
      </w:r>
      <w:r w:rsidRPr="00C00255">
        <w:rPr>
          <w:szCs w:val="24"/>
          <w:lang w:eastAsia="lt-LT"/>
        </w:rPr>
        <w:t xml:space="preserve">4 aukštų) </w:t>
      </w:r>
      <w:r w:rsidRPr="00C00255">
        <w:rPr>
          <w:color w:val="000000"/>
          <w:szCs w:val="24"/>
          <w:lang w:eastAsia="lt-LT" w:bidi="lt-LT"/>
        </w:rPr>
        <w:t xml:space="preserve">pastatą. Šie parodymai atitinka ir papildo pirmiau aptartus rašytinius įrodymus bei taip pat formuoja teismo vidinį įsitikinimą, </w:t>
      </w:r>
      <w:r w:rsidRPr="00C00255">
        <w:rPr>
          <w:szCs w:val="24"/>
          <w:lang w:eastAsia="lt-LT"/>
        </w:rPr>
        <w:t xml:space="preserve">kad </w:t>
      </w:r>
      <w:r>
        <w:rPr>
          <w:szCs w:val="24"/>
          <w:lang w:eastAsia="lt-LT"/>
        </w:rPr>
        <w:t>K. U.</w:t>
      </w:r>
      <w:r w:rsidRPr="00C00255">
        <w:rPr>
          <w:szCs w:val="24"/>
          <w:lang w:eastAsia="lt-LT"/>
        </w:rPr>
        <w:t xml:space="preserve"> ne tik dalyvavo užimant LRT Radijo pastatą, bet ir buvo vienu iš vadovaujančias pareigas užėmusių karininkų, davusiu įsakymus pavaldiems kariškiams bei turėjusiu galimybę priimti savarankiškus sprendimus pastato viduje. </w:t>
      </w:r>
      <w:r>
        <w:rPr>
          <w:szCs w:val="24"/>
          <w:lang w:eastAsia="lt-LT"/>
        </w:rPr>
        <w:t>K. U.</w:t>
      </w:r>
      <w:r w:rsidRPr="00C00255">
        <w:rPr>
          <w:szCs w:val="24"/>
          <w:lang w:eastAsia="lt-LT"/>
        </w:rPr>
        <w:t xml:space="preserve"> pavaldžius kariškius dar prieš operaciją detaliai instruktavo apie padėtį įvykio vietoje ir ten veiksiančius dalinius, apie užduotis įvykdytinas pastato viduje, taip pat, jau būdamas pastate, </w:t>
      </w:r>
      <w:r w:rsidRPr="00C00255">
        <w:rPr>
          <w:szCs w:val="24"/>
          <w:lang w:eastAsia="lt-LT" w:bidi="lt-LT"/>
        </w:rPr>
        <w:t>rūpinosi, kaip vykdoma patalpų apžiūra ir civilių šalinimas iš jų.</w:t>
      </w:r>
    </w:p>
    <w:p w:rsidR="00DA38E9" w:rsidRPr="00C00255" w:rsidRDefault="00DA38E9" w:rsidP="00DA38E9">
      <w:pPr>
        <w:pStyle w:val="ListParagraph"/>
        <w:numPr>
          <w:ilvl w:val="0"/>
          <w:numId w:val="6"/>
        </w:numPr>
        <w:ind w:left="993" w:hanging="993"/>
      </w:pPr>
      <w:r w:rsidRPr="00C00255">
        <w:rPr>
          <w:szCs w:val="24"/>
          <w:lang w:bidi="lt-LT"/>
        </w:rPr>
        <w:t xml:space="preserve">Atsižvelgdama į išdėstytas aplinkybes, teisėjų kolegija konstatuoja, kad visos skundžiamo nuosprendžio nustatomojoje dalyje </w:t>
      </w:r>
      <w:r>
        <w:rPr>
          <w:szCs w:val="24"/>
        </w:rPr>
        <w:t>K. U.</w:t>
      </w:r>
      <w:r w:rsidRPr="00C00255">
        <w:rPr>
          <w:szCs w:val="24"/>
        </w:rPr>
        <w:t xml:space="preserve"> </w:t>
      </w:r>
      <w:r w:rsidRPr="00C00255">
        <w:t xml:space="preserve">inkriminuotos faktinės aplinkybės, susijusios su veiksmais užimant LRT Radijo pastatą (nuosprendžio 514–520 l.), pasitvirtino kaip pagrįstos ir teisingos. Nuosprendžio motyvuojamojoje dalyje nurodytos išvados apibendrinant </w:t>
      </w:r>
      <w:r>
        <w:t>K. U.</w:t>
      </w:r>
      <w:r w:rsidRPr="00C00255">
        <w:t xml:space="preserve"> vaidmenį, t. y. nurodant, kad nuteistasis </w:t>
      </w:r>
      <w:r>
        <w:t>K. U.</w:t>
      </w:r>
      <w:r w:rsidRPr="00C00255">
        <w:t xml:space="preserve"> „vadovavo RTV komiteto (LRT) šturmui, padėjo desantui užimti radijo pastatą, vadovavo pastatą gynusių civilių puolimui, jėga vedė žmones ir apsaugos darbuotojus iš patalpų“ (žr. nuosprendžio 873 l.), gali būti vertinamos dviprasmiškai, suprantant, kad </w:t>
      </w:r>
      <w:r>
        <w:t>K. U.</w:t>
      </w:r>
      <w:r w:rsidRPr="00C00255">
        <w:t xml:space="preserve"> vadovavo visam LRT ar visų LRT pastatų šturmui, ar visiems šiuos veiksmus atlikusiems kariškiams, bet vertinant visą nuosprendį, kaip vientisą dokumentą, akivaizdu, kad </w:t>
      </w:r>
      <w:r>
        <w:t>K. U.</w:t>
      </w:r>
      <w:r w:rsidRPr="00C00255">
        <w:t xml:space="preserve"> vadovavo tik jam pavaldiems kariškiams iš jau aptartos nuteistojo </w:t>
      </w:r>
      <w:r>
        <w:t>J. G.</w:t>
      </w:r>
      <w:r w:rsidRPr="00C00255">
        <w:t xml:space="preserve"> vadovaujamos desantininkų grupės, kuri šturmavo tik vieną iš LRT pastatų, t. y. LRT Radijo pastatą. </w:t>
      </w:r>
      <w:bookmarkStart w:id="628" w:name="_Hlk65772589"/>
      <w:r w:rsidRPr="00C00255">
        <w:t xml:space="preserve">Toks teisingai nurodytas nuteistojo </w:t>
      </w:r>
      <w:r>
        <w:t>K. U.</w:t>
      </w:r>
      <w:r w:rsidRPr="00C00255">
        <w:t xml:space="preserve"> vaidmuo aprašytas tiek nuosprendžio nustatomojoje dalyje, tiek bausmės skyrimo motyvuose.</w:t>
      </w:r>
    </w:p>
    <w:p w:rsidR="00DA38E9" w:rsidRPr="00C00255" w:rsidRDefault="00DA38E9" w:rsidP="00DA38E9">
      <w:pPr>
        <w:pStyle w:val="Heading5"/>
        <w:spacing w:before="120" w:after="120"/>
        <w:ind w:left="993"/>
        <w:rPr>
          <w:rFonts w:ascii="Times New Roman" w:hAnsi="Times New Roman" w:cs="Times New Roman"/>
          <w:i/>
          <w:color w:val="auto"/>
        </w:rPr>
      </w:pPr>
      <w:bookmarkStart w:id="629" w:name="_Toc66697295"/>
      <w:bookmarkEnd w:id="628"/>
      <w:r w:rsidRPr="00C00255">
        <w:rPr>
          <w:rFonts w:ascii="Times New Roman" w:hAnsi="Times New Roman" w:cs="Times New Roman"/>
          <w:i/>
          <w:color w:val="auto"/>
        </w:rPr>
        <w:t xml:space="preserve">Dėl nuteistojo </w:t>
      </w:r>
      <w:r>
        <w:rPr>
          <w:rFonts w:ascii="Times New Roman" w:hAnsi="Times New Roman" w:cs="Times New Roman"/>
          <w:i/>
          <w:color w:val="auto"/>
        </w:rPr>
        <w:t>A. F. 2</w:t>
      </w:r>
      <w:r w:rsidRPr="00C00255">
        <w:rPr>
          <w:rFonts w:ascii="Times New Roman" w:hAnsi="Times New Roman" w:cs="Times New Roman"/>
          <w:i/>
          <w:color w:val="auto"/>
        </w:rPr>
        <w:t xml:space="preserve"> dalyvavimo užimant LRT Radijo pastatą</w:t>
      </w:r>
      <w:bookmarkEnd w:id="629"/>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rPr>
        <w:t xml:space="preserve">Pagrįsta laikytina ir skundžiamo nuosprendžio išvada, kad TSRS GM 76-osios oro desanto divizijos </w:t>
      </w:r>
      <w:bookmarkStart w:id="630" w:name="_Hlk65077234"/>
      <w:r w:rsidRPr="00C00255">
        <w:rPr>
          <w:szCs w:val="24"/>
          <w:lang w:eastAsia="lt-LT"/>
        </w:rPr>
        <w:t>237-ojo pulko 1-ojo bataliono 1-osios ir 2-osios kuopų kariškiams</w:t>
      </w:r>
      <w:bookmarkEnd w:id="630"/>
      <w:r w:rsidRPr="00C00255">
        <w:rPr>
          <w:szCs w:val="24"/>
          <w:lang w:eastAsia="lt-LT"/>
        </w:rPr>
        <w:t xml:space="preserve">, kurie, būdami ginkluoti, prasibrovė iki LRT Radijo </w:t>
      </w:r>
      <w:r w:rsidRPr="00C00255">
        <w:rPr>
          <w:szCs w:val="24"/>
          <w:lang w:eastAsia="lt-LT" w:bidi="lt-LT"/>
        </w:rPr>
        <w:t>(4 aukštų)</w:t>
      </w:r>
      <w:r w:rsidRPr="00C00255">
        <w:rPr>
          <w:szCs w:val="24"/>
          <w:lang w:eastAsia="lt-LT"/>
        </w:rPr>
        <w:t xml:space="preserve"> pastato, naudodami artimos kovos veiksmus, stūmė civilius iš pastato teritorijos bei vykdė kitus pastato užėmimo veiksmus, vienu iš vadovavusių asmenų buvo ir 2-osios kuopos vado pavaduotojas leitenantas </w:t>
      </w:r>
      <w:r>
        <w:rPr>
          <w:szCs w:val="24"/>
          <w:lang w:eastAsia="lt-LT"/>
        </w:rPr>
        <w:t>A. F. 2</w:t>
      </w:r>
      <w:r w:rsidRPr="00C00255">
        <w:rPr>
          <w:szCs w:val="24"/>
          <w:lang w:eastAsia="lt-LT"/>
        </w:rPr>
        <w:t xml:space="preserve">.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rPr>
        <w:t xml:space="preserve">Nuteistojo </w:t>
      </w:r>
      <w:r>
        <w:rPr>
          <w:szCs w:val="24"/>
        </w:rPr>
        <w:t>A. F. 2</w:t>
      </w:r>
      <w:r w:rsidRPr="00C00255">
        <w:rPr>
          <w:szCs w:val="24"/>
        </w:rPr>
        <w:t xml:space="preserve"> gynėjas teigia, kad išvados apie jo ginamojo </w:t>
      </w:r>
      <w:r w:rsidRPr="00C00255">
        <w:t xml:space="preserve">vaidmenį užimant LRT buvo padarytos vadovaujantis nuteistojo parodymais, kuriuos jis davė, būdamas apklaustas kaip liudytojas. Be to, gynėjas, aptardamas nuteistojo </w:t>
      </w:r>
      <w:r>
        <w:t>A. F. 2</w:t>
      </w:r>
      <w:r w:rsidRPr="00C00255">
        <w:t xml:space="preserve"> tyrimo metu duotus parodymus, teigia, kad </w:t>
      </w:r>
      <w:r w:rsidRPr="00C00255">
        <w:rPr>
          <w:szCs w:val="24"/>
        </w:rPr>
        <w:t xml:space="preserve">desantininkų grupei prie LRT Radijo pastato vadovavo </w:t>
      </w:r>
      <w:r>
        <w:rPr>
          <w:szCs w:val="24"/>
        </w:rPr>
        <w:t>J. G.</w:t>
      </w:r>
      <w:r w:rsidRPr="00C00255">
        <w:rPr>
          <w:szCs w:val="24"/>
        </w:rPr>
        <w:t xml:space="preserve">, be to, buvo ir daugiau aukštesnį karinį laipsnį nei nuteistasis turinčių kariškių, tuo tarpu </w:t>
      </w:r>
      <w:r>
        <w:rPr>
          <w:szCs w:val="24"/>
        </w:rPr>
        <w:t>A. F. 2</w:t>
      </w:r>
      <w:r w:rsidRPr="00C00255">
        <w:rPr>
          <w:szCs w:val="24"/>
        </w:rPr>
        <w:t xml:space="preserve"> dalyvavimas prie LRT buvo pasyvus ir formalus, todėl nepagrįstai nurodyta, kad </w:t>
      </w:r>
      <w:r>
        <w:rPr>
          <w:szCs w:val="24"/>
        </w:rPr>
        <w:t>A. F. 2</w:t>
      </w:r>
      <w:r w:rsidRPr="00C00255">
        <w:rPr>
          <w:szCs w:val="24"/>
        </w:rPr>
        <w:t xml:space="preserve"> prie LRT mėtė sprogmenis, šaudė, baugino ir mušė civilius. </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lang w:eastAsia="lt-LT"/>
        </w:rPr>
        <w:t>Tokių apeliacinio skundo teiginių kontekste, teisėjų kolegija pažymi, kad vien aplinkybė, jog 237-ojo pulko 1-ojo bataliono 1-osios ir 2-osios kuopų kariškiams LRT Radijo pastato užėmimo metu vadovavo</w:t>
      </w:r>
      <w:r w:rsidRPr="00C00255">
        <w:rPr>
          <w:szCs w:val="24"/>
        </w:rPr>
        <w:t xml:space="preserve"> aukštesnis karininkas </w:t>
      </w:r>
      <w:r>
        <w:rPr>
          <w:szCs w:val="24"/>
        </w:rPr>
        <w:t>J. G.</w:t>
      </w:r>
      <w:r w:rsidRPr="00C00255">
        <w:rPr>
          <w:szCs w:val="24"/>
        </w:rPr>
        <w:t xml:space="preserve"> bei operacijoje dalyvavo ir kiti aukštesni pagal karinį laipsnį karininkai, savaime nesudaro pagrindo teigti, kad </w:t>
      </w:r>
      <w:r>
        <w:rPr>
          <w:szCs w:val="24"/>
        </w:rPr>
        <w:t>A. F. 2</w:t>
      </w:r>
      <w:r w:rsidRPr="00C00255">
        <w:rPr>
          <w:szCs w:val="24"/>
        </w:rPr>
        <w:t xml:space="preserve"> nepagrįstai inkriminuotas vadovaujantis vaidmuo užimant LRT Radijo pastatą. Dėl panašaus pobūdžio argumentų pasisakyta ankstesnėse sprendimo dalyse (pvz., šio sprendimo dalyje „</w:t>
      </w:r>
      <w:r w:rsidRPr="00C00255">
        <w:rPr>
          <w:i/>
          <w:iCs/>
          <w:szCs w:val="24"/>
        </w:rPr>
        <w:t xml:space="preserve">Dėl nuteistojo </w:t>
      </w:r>
      <w:r>
        <w:rPr>
          <w:i/>
          <w:iCs/>
          <w:szCs w:val="24"/>
        </w:rPr>
        <w:t>V. S. 2</w:t>
      </w:r>
      <w:r w:rsidRPr="00C00255">
        <w:rPr>
          <w:i/>
          <w:iCs/>
          <w:szCs w:val="24"/>
        </w:rPr>
        <w:t xml:space="preserve"> dalyvavimo užimant Spaudos rūmus</w:t>
      </w:r>
      <w:r w:rsidRPr="00C00255">
        <w:rPr>
          <w:szCs w:val="24"/>
        </w:rPr>
        <w:t xml:space="preserve">“). Teisėjų kolegija pažymi, kad skundžiamame nuosprendyje konstatuotus </w:t>
      </w:r>
      <w:r>
        <w:rPr>
          <w:szCs w:val="24"/>
        </w:rPr>
        <w:t>A. F. 2</w:t>
      </w:r>
      <w:r w:rsidRPr="00C00255">
        <w:rPr>
          <w:szCs w:val="24"/>
        </w:rPr>
        <w:t xml:space="preserve"> LRT Radijo užėmimo metu atliktus veiksmus (taip pat ir vadovaujančius) patvirtina </w:t>
      </w:r>
      <w:bookmarkStart w:id="631" w:name="_Hlk65093035"/>
      <w:r w:rsidRPr="00C00255">
        <w:t>žemiau aptariamų įrodymų visuma</w:t>
      </w:r>
      <w:bookmarkEnd w:id="631"/>
      <w:r w:rsidRPr="00C00255">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LRT užėmime dalyvavusių kariškių sąrašo, pavadinimu „1 ir 2 parašiutininkų-desantininkų kuopos karių, dalyvavusių 1991 metų naktį iš sausio 12 dienos į sausio 13 dieną operacijoje Vilniaus mieste, skirtoje saugoti televizijos ir radijo komitetą“ matyti, kad šiuose įvykiuose dalyvavo ir </w:t>
      </w:r>
      <w:r>
        <w:rPr>
          <w:szCs w:val="24"/>
          <w:lang w:eastAsia="lt-LT"/>
        </w:rPr>
        <w:t>A. F. 2</w:t>
      </w:r>
      <w:r w:rsidRPr="00C00255">
        <w:rPr>
          <w:szCs w:val="24"/>
          <w:lang w:eastAsia="lt-LT"/>
        </w:rPr>
        <w:t xml:space="preserve">, kurio karinis laipsnis buvo vienas iš aukščiausių tarp 1-ąją ir 2-ąją kuopas sudariusių kariškių. Iš 31 kariškio tik karininkai – kapitonai </w:t>
      </w:r>
      <w:r>
        <w:rPr>
          <w:szCs w:val="24"/>
          <w:lang w:eastAsia="lt-LT"/>
        </w:rPr>
        <w:t>J. G.</w:t>
      </w:r>
      <w:r w:rsidRPr="00C00255">
        <w:rPr>
          <w:szCs w:val="24"/>
          <w:lang w:eastAsia="lt-LT"/>
        </w:rPr>
        <w:t xml:space="preserve"> ir </w:t>
      </w:r>
      <w:r>
        <w:rPr>
          <w:szCs w:val="24"/>
          <w:lang w:eastAsia="lt-LT"/>
        </w:rPr>
        <w:t>I. Š.</w:t>
      </w:r>
      <w:r w:rsidRPr="00C00255">
        <w:rPr>
          <w:szCs w:val="24"/>
          <w:lang w:eastAsia="lt-LT"/>
        </w:rPr>
        <w:t xml:space="preserve"> bei vyr. leitenantai </w:t>
      </w:r>
      <w:r>
        <w:rPr>
          <w:szCs w:val="24"/>
          <w:lang w:eastAsia="lt-LT"/>
        </w:rPr>
        <w:t>A. F. 1</w:t>
      </w:r>
      <w:r w:rsidRPr="00C00255">
        <w:rPr>
          <w:szCs w:val="24"/>
          <w:lang w:eastAsia="lt-LT"/>
        </w:rPr>
        <w:t xml:space="preserve"> ir </w:t>
      </w:r>
      <w:r>
        <w:rPr>
          <w:szCs w:val="24"/>
          <w:lang w:eastAsia="lt-LT"/>
        </w:rPr>
        <w:t>K. U.</w:t>
      </w:r>
      <w:r w:rsidRPr="00C00255">
        <w:rPr>
          <w:szCs w:val="24"/>
          <w:lang w:eastAsia="lt-LT"/>
        </w:rPr>
        <w:t xml:space="preserve"> buvo aukštesnio laipsnio nei leitenantas </w:t>
      </w:r>
      <w:r>
        <w:rPr>
          <w:szCs w:val="24"/>
          <w:lang w:eastAsia="lt-LT"/>
        </w:rPr>
        <w:t>A. F. 2</w:t>
      </w:r>
      <w:r w:rsidRPr="00C00255">
        <w:rPr>
          <w:szCs w:val="24"/>
          <w:lang w:eastAsia="lt-LT"/>
        </w:rPr>
        <w:t xml:space="preserve"> (t. 437, b. l. 4–5; t. 124, b. l. 2–3).</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mašinos URAL-4320, Nr. 00-65, sudėtyje buvo ir leitenantas </w:t>
      </w:r>
      <w:r>
        <w:rPr>
          <w:szCs w:val="24"/>
          <w:lang w:eastAsia="lt-LT"/>
        </w:rPr>
        <w:t>A. F. 2</w:t>
      </w:r>
      <w:r w:rsidRPr="00C00255">
        <w:rPr>
          <w:szCs w:val="24"/>
          <w:lang w:eastAsia="lt-LT"/>
        </w:rPr>
        <w:t xml:space="preserve">. Beje, pastarasis sąraše įvardijamas iškart po 2-osios kuopos vado </w:t>
      </w:r>
      <w:r>
        <w:rPr>
          <w:szCs w:val="24"/>
          <w:lang w:eastAsia="lt-LT"/>
        </w:rPr>
        <w:t>K. U.</w:t>
      </w:r>
      <w:r w:rsidRPr="00C00255">
        <w:rPr>
          <w:szCs w:val="24"/>
          <w:lang w:eastAsia="lt-LT"/>
        </w:rPr>
        <w:t xml:space="preserve"> (t. 451, b. l. 192–194; t. 152, b. l. 223–225).</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color w:val="000000"/>
          <w:szCs w:val="24"/>
          <w:lang w:eastAsia="lt-LT" w:bidi="lt-LT"/>
        </w:rPr>
        <w:t>Iš ginklų, priskirtų I ir II pdr (rusiškos raidės) kariškiams įvykių 1991 metų naktį iš sausio 12</w:t>
      </w:r>
      <w:r>
        <w:rPr>
          <w:color w:val="000000"/>
          <w:szCs w:val="24"/>
          <w:lang w:eastAsia="lt-LT" w:bidi="lt-LT"/>
        </w:rPr>
        <w:t> </w:t>
      </w:r>
      <w:r w:rsidRPr="00C00255">
        <w:rPr>
          <w:color w:val="000000"/>
          <w:szCs w:val="24"/>
          <w:lang w:eastAsia="lt-LT" w:bidi="lt-LT"/>
        </w:rPr>
        <w:t xml:space="preserve">į sausio 13 Vilniaus mieste metu žiniaraščio matyti, kad jame įvardintas ir leitenantas </w:t>
      </w:r>
      <w:r>
        <w:rPr>
          <w:color w:val="000000"/>
          <w:szCs w:val="24"/>
          <w:lang w:eastAsia="lt-LT" w:bidi="lt-LT"/>
        </w:rPr>
        <w:t>A. F. 2</w:t>
      </w:r>
      <w:r w:rsidRPr="00C00255">
        <w:rPr>
          <w:color w:val="000000"/>
          <w:szCs w:val="24"/>
          <w:lang w:eastAsia="lt-LT" w:bidi="lt-LT"/>
        </w:rPr>
        <w:t>, kuris buvo ginkluotas automatu AKS-74U (t. 437, b. l. 6; t. 124, b. l. 4).</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Taigi aptartų aplinkybių ir įrodymų visuma leidžia teigti, ne tik apie tai, kad </w:t>
      </w:r>
      <w:r>
        <w:rPr>
          <w:szCs w:val="24"/>
          <w:lang w:eastAsia="lt-LT"/>
        </w:rPr>
        <w:t>A. F. 2</w:t>
      </w:r>
      <w:r w:rsidRPr="00C00255">
        <w:rPr>
          <w:szCs w:val="24"/>
          <w:lang w:eastAsia="lt-LT"/>
        </w:rPr>
        <w:t xml:space="preserve"> būdamas ginkluotas dalyvavo 1991 m. sausio 13-osios naktį užimant LRT Radijo pastatą, tačiau ir apie aukštą jo rangą bei vadovaujančio pobūdžio pareigas šios operacijos metu.</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lang w:eastAsia="lt-LT"/>
        </w:rPr>
        <w:t xml:space="preserve">Teisėjų kolegijos vidinį įsitikinimą dėl skundžiamame nuosprendyje konstatuoto </w:t>
      </w:r>
      <w:r>
        <w:rPr>
          <w:szCs w:val="24"/>
          <w:lang w:eastAsia="lt-LT"/>
        </w:rPr>
        <w:t>A. F. 2</w:t>
      </w:r>
      <w:r w:rsidRPr="00C00255">
        <w:rPr>
          <w:szCs w:val="24"/>
          <w:lang w:eastAsia="lt-LT"/>
        </w:rPr>
        <w:t xml:space="preserve"> vadovaujamo vaidmens LRT Radijo pastato užėmimo metu formuoja ir </w:t>
      </w:r>
      <w:r w:rsidRPr="00C00255">
        <w:t xml:space="preserve">ikiteisminio tyrimo metu apklaustų, liudytojų statusą šiame procese turinčių. 1-osios bei 2-osios kuopos kariškių parodymai, perskaityti teisiamajame posėdyje </w:t>
      </w:r>
      <w:r w:rsidRPr="00C00255">
        <w:rPr>
          <w:szCs w:val="24"/>
          <w:lang w:eastAsia="lt-LT"/>
        </w:rPr>
        <w:t>(</w:t>
      </w:r>
      <w:r w:rsidRPr="00C00255">
        <w:rPr>
          <w:szCs w:val="24"/>
          <w:lang w:eastAsia="lt-LT" w:bidi="lt-LT"/>
        </w:rPr>
        <w:t>t. 760, b. l. 114–117</w:t>
      </w:r>
      <w:r w:rsidRPr="00C00255">
        <w:rPr>
          <w:szCs w:val="24"/>
          <w:lang w:eastAsia="lt-LT"/>
        </w:rPr>
        <w:t xml:space="preserve">). Aštuoni šios bylos baigtimi nesuinteresuoti kariškiai – </w:t>
      </w:r>
      <w:r>
        <w:rPr>
          <w:szCs w:val="24"/>
          <w:lang w:eastAsia="lt-LT"/>
        </w:rPr>
        <w:t>V. T.</w:t>
      </w:r>
      <w:r w:rsidRPr="00C00255">
        <w:rPr>
          <w:szCs w:val="24"/>
          <w:lang w:eastAsia="lt-LT"/>
        </w:rPr>
        <w:t xml:space="preserve">, </w:t>
      </w:r>
      <w:r>
        <w:rPr>
          <w:szCs w:val="24"/>
          <w:lang w:eastAsia="lt-LT"/>
        </w:rPr>
        <w:t>V. T.</w:t>
      </w:r>
      <w:r w:rsidRPr="00C00255">
        <w:rPr>
          <w:szCs w:val="24"/>
          <w:lang w:eastAsia="lt-LT"/>
        </w:rPr>
        <w:t xml:space="preserve">, </w:t>
      </w:r>
      <w:r>
        <w:rPr>
          <w:szCs w:val="24"/>
          <w:lang w:eastAsia="lt-LT"/>
        </w:rPr>
        <w:t>V. T.</w:t>
      </w:r>
      <w:r w:rsidRPr="00C00255">
        <w:rPr>
          <w:szCs w:val="24"/>
          <w:lang w:eastAsia="lt-LT"/>
        </w:rPr>
        <w:t xml:space="preserve">, </w:t>
      </w:r>
      <w:r>
        <w:rPr>
          <w:szCs w:val="24"/>
          <w:lang w:eastAsia="lt-LT"/>
        </w:rPr>
        <w:t>P. S.</w:t>
      </w:r>
      <w:r w:rsidRPr="00C00255">
        <w:rPr>
          <w:szCs w:val="24"/>
          <w:lang w:eastAsia="lt-LT"/>
        </w:rPr>
        <w:t xml:space="preserve">, </w:t>
      </w:r>
      <w:r>
        <w:rPr>
          <w:szCs w:val="24"/>
          <w:lang w:eastAsia="lt-LT"/>
        </w:rPr>
        <w:t>A. Š.</w:t>
      </w:r>
      <w:r w:rsidRPr="00C00255">
        <w:rPr>
          <w:szCs w:val="24"/>
          <w:lang w:eastAsia="lt-LT"/>
        </w:rPr>
        <w:t xml:space="preserve">, </w:t>
      </w:r>
      <w:r>
        <w:rPr>
          <w:szCs w:val="24"/>
          <w:lang w:eastAsia="lt-LT"/>
        </w:rPr>
        <w:t>I. R.</w:t>
      </w:r>
      <w:r w:rsidRPr="00C00255">
        <w:rPr>
          <w:szCs w:val="24"/>
          <w:lang w:eastAsia="lt-LT"/>
        </w:rPr>
        <w:t xml:space="preserve">, </w:t>
      </w:r>
      <w:r>
        <w:rPr>
          <w:szCs w:val="24"/>
          <w:lang w:eastAsia="lt-LT"/>
        </w:rPr>
        <w:t>A. F.</w:t>
      </w:r>
      <w:r w:rsidRPr="00C00255">
        <w:rPr>
          <w:szCs w:val="24"/>
          <w:lang w:eastAsia="lt-LT"/>
        </w:rPr>
        <w:t xml:space="preserve">, </w:t>
      </w:r>
      <w:r>
        <w:rPr>
          <w:szCs w:val="24"/>
          <w:lang w:eastAsia="lt-LT"/>
        </w:rPr>
        <w:t>V. N.</w:t>
      </w:r>
      <w:r w:rsidRPr="00C00255">
        <w:rPr>
          <w:szCs w:val="24"/>
          <w:lang w:eastAsia="lt-LT"/>
        </w:rPr>
        <w:t xml:space="preserve"> – kaip asmenį, atlikusį vadovaujamą vaidmenį prie LRT, įvardijo ir leitenantą </w:t>
      </w:r>
      <w:r>
        <w:rPr>
          <w:szCs w:val="24"/>
          <w:lang w:eastAsia="lt-LT"/>
        </w:rPr>
        <w:t>A. F. 2</w:t>
      </w:r>
      <w:r w:rsidRPr="00C00255">
        <w:rPr>
          <w:szCs w:val="24"/>
          <w:lang w:eastAsia="lt-LT"/>
        </w:rPr>
        <w:t xml:space="preserve">. Teisėjų kolegija detaliau aptars tik tų liudytojų parodymus, kurie aiškiausiai apibūdina </w:t>
      </w:r>
      <w:r>
        <w:rPr>
          <w:szCs w:val="24"/>
          <w:lang w:eastAsia="lt-LT"/>
        </w:rPr>
        <w:t>A. F. 2</w:t>
      </w:r>
      <w:r w:rsidRPr="00C00255">
        <w:rPr>
          <w:szCs w:val="24"/>
          <w:lang w:eastAsia="lt-LT"/>
        </w:rPr>
        <w:t xml:space="preserve"> vadovaujamą vaidmenį ir papildo jau aptartus įrodymus.</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Dauguma liudytojų kaip vieną iš karininkų, matytų mašinoje URAL vykstant prie LRT, išskyrė ir leitenantą </w:t>
      </w:r>
      <w:r>
        <w:rPr>
          <w:szCs w:val="24"/>
          <w:lang w:eastAsia="lt-LT"/>
        </w:rPr>
        <w:t>A. F. 2</w:t>
      </w:r>
      <w:r w:rsidRPr="00C00255">
        <w:rPr>
          <w:szCs w:val="24"/>
          <w:lang w:eastAsia="lt-LT"/>
        </w:rPr>
        <w:t xml:space="preserve">. Tai liudytojai </w:t>
      </w:r>
      <w:r>
        <w:rPr>
          <w:szCs w:val="24"/>
          <w:lang w:eastAsia="lt-LT"/>
        </w:rPr>
        <w:t>V. T.</w:t>
      </w:r>
      <w:r w:rsidRPr="00C00255">
        <w:rPr>
          <w:szCs w:val="24"/>
          <w:lang w:eastAsia="lt-LT"/>
        </w:rPr>
        <w:t xml:space="preserve"> (</w:t>
      </w:r>
      <w:r w:rsidRPr="00C00255">
        <w:rPr>
          <w:szCs w:val="24"/>
          <w:lang w:eastAsia="lt-LT" w:bidi="lt-LT"/>
        </w:rPr>
        <w:t xml:space="preserve">t. 437, b. l. 53–57; t. 124, b. l. 69–74), </w:t>
      </w:r>
      <w:r>
        <w:rPr>
          <w:szCs w:val="24"/>
          <w:lang w:eastAsia="lt-LT" w:bidi="lt-LT"/>
        </w:rPr>
        <w:t>V. T.</w:t>
      </w:r>
      <w:r w:rsidRPr="00C00255">
        <w:rPr>
          <w:szCs w:val="24"/>
          <w:lang w:eastAsia="lt-LT" w:bidi="lt-LT"/>
        </w:rPr>
        <w:t xml:space="preserve"> (t. 437, b. l. 77–80; t. 124, b. l. 98–105), </w:t>
      </w:r>
      <w:r>
        <w:rPr>
          <w:szCs w:val="24"/>
          <w:lang w:eastAsia="lt-LT" w:bidi="lt-LT"/>
        </w:rPr>
        <w:t>A. F.</w:t>
      </w:r>
      <w:r w:rsidRPr="00C00255">
        <w:rPr>
          <w:szCs w:val="24"/>
          <w:lang w:eastAsia="lt-LT" w:bidi="lt-LT"/>
        </w:rPr>
        <w:t xml:space="preserve"> (t. 437, b. l. 108–111; t. 124, b. l. 154–162) ir </w:t>
      </w:r>
      <w:r>
        <w:rPr>
          <w:szCs w:val="24"/>
          <w:lang w:eastAsia="lt-LT" w:bidi="lt-LT"/>
        </w:rPr>
        <w:t>I. R.</w:t>
      </w:r>
      <w:r w:rsidRPr="00C00255">
        <w:rPr>
          <w:szCs w:val="24"/>
          <w:lang w:eastAsia="lt-LT" w:bidi="lt-LT"/>
        </w:rPr>
        <w:t xml:space="preserve"> (t. 437, b. l. 143–146; t. 124, b. l. 227–232).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2-osios kuopos būrio vado pavaduotojas </w:t>
      </w:r>
      <w:r>
        <w:rPr>
          <w:szCs w:val="24"/>
          <w:lang w:eastAsia="lt-LT" w:bidi="lt-LT"/>
        </w:rPr>
        <w:t>V. T.</w:t>
      </w:r>
      <w:r w:rsidRPr="00C00255">
        <w:rPr>
          <w:szCs w:val="24"/>
          <w:lang w:eastAsia="lt-LT" w:bidi="lt-LT"/>
        </w:rPr>
        <w:t xml:space="preserve"> nurodė, kad šaudydami tuščiais šoviniais bei išsidėstę pleištu – naudodami jėgą, jie prasiveržė į 4 aukštų pastatą. Liudytojas naudojosi automatu – kartais juo atstumdavo jį spaudusius žmones, taip veikė ir tarnybos draugai. Iš karininkų greta buvo ir kuopos vado pavaduotojas politiniams reikalams </w:t>
      </w:r>
      <w:r>
        <w:rPr>
          <w:szCs w:val="24"/>
          <w:lang w:eastAsia="lt-LT" w:bidi="lt-LT"/>
        </w:rPr>
        <w:t>A. F. 2</w:t>
      </w:r>
      <w:r w:rsidRPr="00C00255">
        <w:rPr>
          <w:szCs w:val="24"/>
          <w:lang w:eastAsia="lt-LT" w:bidi="lt-LT"/>
        </w:rPr>
        <w:t xml:space="preserve"> (t. 437, b. l. 58–61; t. 124, b. l. 75–79).</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1-osios kuopos kariškiai </w:t>
      </w:r>
      <w:r>
        <w:rPr>
          <w:szCs w:val="24"/>
          <w:lang w:eastAsia="lt-LT" w:bidi="lt-LT"/>
        </w:rPr>
        <w:t>P. S.</w:t>
      </w:r>
      <w:r w:rsidRPr="00C00255">
        <w:rPr>
          <w:szCs w:val="24"/>
          <w:lang w:eastAsia="lt-LT" w:bidi="lt-LT"/>
        </w:rPr>
        <w:t xml:space="preserve"> (t. 437 , b. l. 95–98; t. 124, b. l. 126–131) ir </w:t>
      </w:r>
      <w:r>
        <w:rPr>
          <w:szCs w:val="24"/>
          <w:lang w:eastAsia="lt-LT" w:bidi="lt-LT"/>
        </w:rPr>
        <w:t>A. Š.</w:t>
      </w:r>
      <w:r w:rsidRPr="00C00255">
        <w:rPr>
          <w:szCs w:val="24"/>
          <w:lang w:eastAsia="lt-LT" w:bidi="lt-LT"/>
        </w:rPr>
        <w:t xml:space="preserve"> (t. 437, b. l. 103–107; t. 124, b. l. 138–152) nurodė, kad kariškiams prasiveržus iki pastato prieangio ant laiptelių buvo sužalotas </w:t>
      </w:r>
      <w:r>
        <w:rPr>
          <w:szCs w:val="24"/>
          <w:lang w:eastAsia="lt-LT" w:bidi="lt-LT"/>
        </w:rPr>
        <w:t>J. G.</w:t>
      </w:r>
      <w:r w:rsidRPr="00C00255">
        <w:rPr>
          <w:szCs w:val="24"/>
          <w:lang w:eastAsia="lt-LT" w:bidi="lt-LT"/>
        </w:rPr>
        <w:t xml:space="preserve">, o </w:t>
      </w:r>
      <w:r>
        <w:rPr>
          <w:szCs w:val="24"/>
          <w:lang w:eastAsia="lt-LT" w:bidi="lt-LT"/>
        </w:rPr>
        <w:t>A. F. 2</w:t>
      </w:r>
      <w:r w:rsidRPr="00C00255">
        <w:rPr>
          <w:szCs w:val="24"/>
          <w:lang w:eastAsia="lt-LT" w:bidi="lt-LT"/>
        </w:rPr>
        <w:t xml:space="preserve"> užveržė jam koją ir ją aprišo.</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2-osios kuopos vairuotojas-mechanikas </w:t>
      </w:r>
      <w:r>
        <w:rPr>
          <w:szCs w:val="24"/>
          <w:lang w:eastAsia="lt-LT" w:bidi="lt-LT"/>
        </w:rPr>
        <w:t>V. N.</w:t>
      </w:r>
      <w:r w:rsidRPr="00C00255">
        <w:rPr>
          <w:szCs w:val="24"/>
          <w:lang w:eastAsia="lt-LT" w:bidi="lt-LT"/>
        </w:rPr>
        <w:t xml:space="preserve"> nurodė, kad buvo duotas įsakymas neišleisti nei vieno pastate buvusio asmens. Kariškiai buvo pastatyti atskirose pastato vietose, kur galėjo būti įvykdytas užpuolimas. Praėjus pusvalandžiui juos atšaukė liudytojo kuopos vado pavaduotojas politiniams reikalams, t. y. </w:t>
      </w:r>
      <w:r>
        <w:rPr>
          <w:szCs w:val="24"/>
          <w:lang w:eastAsia="lt-LT" w:bidi="lt-LT"/>
        </w:rPr>
        <w:t>A. F. 2</w:t>
      </w:r>
      <w:r w:rsidRPr="00C00255">
        <w:rPr>
          <w:szCs w:val="24"/>
          <w:lang w:eastAsia="lt-LT" w:bidi="lt-LT"/>
        </w:rPr>
        <w:t xml:space="preserve"> (t. 437, b. l. 62–66; t. 124, b. l. 80–84).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Kaip matyti, aptarti liudytojų parodymai iš esmės sutampa tarpusavyje bei atitinka ir papildo kitus jau aptartus rašytinius įrodymus bei priešingai, nei teigiama apeliaciniame skunde, formuoja teismo vidinį įsitikinimą, </w:t>
      </w:r>
      <w:r w:rsidRPr="00C00255">
        <w:rPr>
          <w:szCs w:val="24"/>
          <w:lang w:eastAsia="lt-LT"/>
        </w:rPr>
        <w:t xml:space="preserve">kad leitenantas </w:t>
      </w:r>
      <w:r>
        <w:rPr>
          <w:szCs w:val="24"/>
          <w:lang w:eastAsia="lt-LT"/>
        </w:rPr>
        <w:t>A. F. 2</w:t>
      </w:r>
      <w:r w:rsidRPr="00C00255">
        <w:rPr>
          <w:szCs w:val="24"/>
          <w:lang w:eastAsia="lt-LT"/>
        </w:rPr>
        <w:t xml:space="preserve"> jėga veržėsi pro civilius ir dalyvavo užimant LRT Radijo pastatą, taip pat buvo vienu iš vadovaujančias pareigas užėmusių karininkų, turėjusiu pavaldžių kariškių ir davusiu jiems atitinkamus įsakymus pastato viduje (pvz., įsakymas dėl gynybinių postų LRT Radijo pastate apleidimo). Tokie duomenys rodo neabejotinai aktyvų kuopos vado pavaduotojo leitenanto </w:t>
      </w:r>
      <w:r>
        <w:rPr>
          <w:szCs w:val="24"/>
          <w:lang w:eastAsia="lt-LT"/>
        </w:rPr>
        <w:t>A. F. 2</w:t>
      </w:r>
      <w:r w:rsidRPr="00C00255">
        <w:rPr>
          <w:szCs w:val="24"/>
          <w:lang w:eastAsia="lt-LT"/>
        </w:rPr>
        <w:t xml:space="preserve"> vadovaujamą vaidmenį užimant LRT Radijo pastatą</w:t>
      </w:r>
      <w:r w:rsidRPr="00C00255">
        <w:t xml:space="preserve"> </w:t>
      </w:r>
      <w:r w:rsidRPr="00C00255">
        <w:rPr>
          <w:szCs w:val="24"/>
          <w:lang w:eastAsia="lt-LT"/>
        </w:rPr>
        <w:t xml:space="preserve">ir paneigia gynėjo teiginius apie tai, kad </w:t>
      </w:r>
      <w:r>
        <w:rPr>
          <w:szCs w:val="24"/>
          <w:lang w:eastAsia="lt-LT"/>
        </w:rPr>
        <w:t>A. F. 2</w:t>
      </w:r>
      <w:r w:rsidRPr="00C00255">
        <w:rPr>
          <w:szCs w:val="24"/>
          <w:lang w:eastAsia="lt-LT"/>
        </w:rPr>
        <w:t xml:space="preserve"> </w:t>
      </w:r>
      <w:r w:rsidRPr="00C00255">
        <w:t>operacijos eigoje būdamas pasyvus, atsisakė dalyvauti veiksmuose ir neprisidėjo prie įsakymo, keliančio pavojų civiliams, įgyvendinimo</w:t>
      </w:r>
      <w:r w:rsidRPr="00C00255">
        <w:rPr>
          <w:szCs w:val="24"/>
          <w:lang w:eastAsia="lt-LT"/>
        </w:rPr>
        <w:t xml:space="preserve"> bei, kad LRT Radijo pastato užėmimo metu </w:t>
      </w:r>
      <w:r>
        <w:rPr>
          <w:szCs w:val="24"/>
          <w:lang w:eastAsia="lt-LT"/>
        </w:rPr>
        <w:t>A. F. 2</w:t>
      </w:r>
      <w:r w:rsidRPr="00C00255">
        <w:rPr>
          <w:szCs w:val="24"/>
          <w:lang w:eastAsia="lt-LT"/>
        </w:rPr>
        <w:t xml:space="preserve"> vaidmuo buvo tik formalus. Išdėstytos aplinkybės </w:t>
      </w:r>
      <w:r w:rsidRPr="00C00255">
        <w:t xml:space="preserve">taip pat paneigia gynėjo teiginį, kad </w:t>
      </w:r>
      <w:r>
        <w:t>A. F. 2</w:t>
      </w:r>
      <w:r w:rsidRPr="00C00255">
        <w:t xml:space="preserve"> vaidmenį užimant LRT pastatą, pagrindžia tik paties nuteistojo parodymai.</w:t>
      </w:r>
    </w:p>
    <w:p w:rsidR="00DA38E9" w:rsidRPr="00C00255" w:rsidRDefault="00DA38E9" w:rsidP="00DA38E9">
      <w:pPr>
        <w:pStyle w:val="ListParagraph"/>
        <w:numPr>
          <w:ilvl w:val="0"/>
          <w:numId w:val="6"/>
        </w:numPr>
        <w:spacing w:before="120" w:after="120"/>
        <w:ind w:left="993" w:hanging="993"/>
        <w:contextualSpacing w:val="0"/>
      </w:pPr>
      <w:r w:rsidRPr="00C00255">
        <w:rPr>
          <w:szCs w:val="24"/>
          <w:lang w:eastAsia="lt-LT" w:bidi="lt-LT"/>
        </w:rPr>
        <w:t xml:space="preserve">Turėdama omenyje visa tai, kas minėta, teisėjų kolegija konstatuoja, kad visos skundžiamu nuosprendžiu įrodytomis pripažintos nuteistajam </w:t>
      </w:r>
      <w:r>
        <w:rPr>
          <w:szCs w:val="24"/>
          <w:lang w:eastAsia="lt-LT" w:bidi="lt-LT"/>
        </w:rPr>
        <w:t>A. F. 2</w:t>
      </w:r>
      <w:r w:rsidRPr="00C00255">
        <w:rPr>
          <w:szCs w:val="24"/>
          <w:lang w:eastAsia="lt-LT" w:bidi="lt-LT"/>
        </w:rPr>
        <w:t xml:space="preserve"> inkriminuotos faktinės aplinkybės, susijusios su veiksmais užimant LRT Radijo pastatą (nuosprendžio 514–520 l.), pasitvirtino kaip pagrįstos ir teisingos. </w:t>
      </w:r>
      <w:bookmarkStart w:id="632" w:name="_Hlk65772094"/>
      <w:r w:rsidRPr="00C00255">
        <w:rPr>
          <w:szCs w:val="24"/>
          <w:lang w:eastAsia="lt-LT" w:bidi="lt-LT"/>
        </w:rPr>
        <w:t xml:space="preserve">Skundžiamame nuosprendyje nurodytos atskiros išvados apibendrinant </w:t>
      </w:r>
      <w:r>
        <w:rPr>
          <w:szCs w:val="24"/>
          <w:lang w:eastAsia="lt-LT" w:bidi="lt-LT"/>
        </w:rPr>
        <w:t>A. F. 2</w:t>
      </w:r>
      <w:r w:rsidRPr="00C00255">
        <w:rPr>
          <w:szCs w:val="24"/>
          <w:lang w:eastAsia="lt-LT" w:bidi="lt-LT"/>
        </w:rPr>
        <w:t xml:space="preserve"> vaidmenį (pvz., nurodant, kad nuteistasis </w:t>
      </w:r>
      <w:r>
        <w:rPr>
          <w:szCs w:val="24"/>
          <w:lang w:eastAsia="lt-LT" w:bidi="lt-LT"/>
        </w:rPr>
        <w:t>A. F. 2</w:t>
      </w:r>
      <w:r w:rsidRPr="00C00255">
        <w:rPr>
          <w:szCs w:val="24"/>
          <w:lang w:eastAsia="lt-LT" w:bidi="lt-LT"/>
        </w:rPr>
        <w:t xml:space="preserve"> „vadovavo karinei operacijai prie RTV komiteto (LRT), ginkluotas brovėsi pro civilių minią ir juos stumdė bei baugino“ (žr. nuosprendžio 874 l.), </w:t>
      </w:r>
      <w:bookmarkStart w:id="633" w:name="_Hlk67517408"/>
      <w:r w:rsidRPr="00C00255">
        <w:rPr>
          <w:szCs w:val="24"/>
          <w:lang w:eastAsia="lt-LT" w:bidi="lt-LT"/>
        </w:rPr>
        <w:t xml:space="preserve">vertinant visą nuosprendį, kaip vientisą dokumentą, neleidžia teigti, kad </w:t>
      </w:r>
      <w:r>
        <w:rPr>
          <w:szCs w:val="24"/>
          <w:lang w:eastAsia="lt-LT" w:bidi="lt-LT"/>
        </w:rPr>
        <w:t>A. F. 2</w:t>
      </w:r>
      <w:r w:rsidRPr="00C00255">
        <w:rPr>
          <w:szCs w:val="24"/>
          <w:lang w:eastAsia="lt-LT" w:bidi="lt-LT"/>
        </w:rPr>
        <w:t xml:space="preserve"> vadovavo visiems LRT šturmavusiems kariškiams. Nustatyta, kad </w:t>
      </w:r>
      <w:r>
        <w:rPr>
          <w:szCs w:val="24"/>
          <w:lang w:eastAsia="lt-LT" w:bidi="lt-LT"/>
        </w:rPr>
        <w:t>A. F. 2</w:t>
      </w:r>
      <w:r w:rsidRPr="00C00255">
        <w:rPr>
          <w:szCs w:val="24"/>
          <w:lang w:eastAsia="lt-LT" w:bidi="lt-LT"/>
        </w:rPr>
        <w:t xml:space="preserve"> vadovavo tik jam pavaldiems kariškiams iš jau aptartos nuteistojo </w:t>
      </w:r>
      <w:r>
        <w:rPr>
          <w:szCs w:val="24"/>
          <w:lang w:eastAsia="lt-LT" w:bidi="lt-LT"/>
        </w:rPr>
        <w:t>J. G.</w:t>
      </w:r>
      <w:r w:rsidRPr="00C00255">
        <w:rPr>
          <w:szCs w:val="24"/>
          <w:lang w:eastAsia="lt-LT" w:bidi="lt-LT"/>
        </w:rPr>
        <w:t xml:space="preserve"> vadovaujamos desantininkų grupės, kuri šturmavo tik vieną iš LRT pastatų, t. y. LRT Radijo pastatą. </w:t>
      </w:r>
      <w:bookmarkStart w:id="634" w:name="_Hlk65772188"/>
      <w:r w:rsidRPr="00C00255">
        <w:rPr>
          <w:szCs w:val="24"/>
          <w:lang w:eastAsia="lt-LT" w:bidi="lt-LT"/>
        </w:rPr>
        <w:t>Tokias išvadas apie dalyvavimą tik LRT Radijo pastato puolimo metu pirmosios instancijos teismas nurodė ne tik nuosprendžio nustatomojoje dalyje, bet ir išdėstė bausmės skyrimo motyvuose.</w:t>
      </w:r>
      <w:bookmarkEnd w:id="634"/>
      <w:r w:rsidRPr="00C00255">
        <w:rPr>
          <w:szCs w:val="24"/>
          <w:lang w:eastAsia="lt-LT" w:bidi="lt-LT"/>
        </w:rPr>
        <w:t xml:space="preserve"> </w:t>
      </w:r>
      <w:bookmarkEnd w:id="633"/>
      <w:r w:rsidRPr="00C00255">
        <w:rPr>
          <w:szCs w:val="24"/>
          <w:lang w:eastAsia="lt-LT" w:bidi="lt-LT"/>
        </w:rPr>
        <w:t xml:space="preserve">Vertinant apygardos teismo išvadas apie </w:t>
      </w:r>
      <w:r>
        <w:rPr>
          <w:szCs w:val="24"/>
          <w:lang w:eastAsia="lt-LT" w:bidi="lt-LT"/>
        </w:rPr>
        <w:t>A. F. 2</w:t>
      </w:r>
      <w:r w:rsidRPr="00C00255">
        <w:rPr>
          <w:szCs w:val="24"/>
          <w:lang w:eastAsia="lt-LT" w:bidi="lt-LT"/>
        </w:rPr>
        <w:t xml:space="preserve"> faktiškai atliktus veiksmus, pažymėtina ir tai, kad teismas, nurodydamas argumentus apie bausmės skyrimui svarbias aplinkybes, be kita ko, netiksliai nurodė ir tai, jog nuteistasis </w:t>
      </w:r>
      <w:r>
        <w:rPr>
          <w:szCs w:val="24"/>
          <w:lang w:eastAsia="lt-LT" w:bidi="lt-LT"/>
        </w:rPr>
        <w:t>A. F. 2</w:t>
      </w:r>
      <w:r w:rsidRPr="00C00255">
        <w:rPr>
          <w:szCs w:val="24"/>
          <w:lang w:eastAsia="lt-LT" w:bidi="lt-LT"/>
        </w:rPr>
        <w:t xml:space="preserve"> mėtė sprogmenis LRT Radijo pastato šturmo metu („&lt;...&gt; jis vadovavo RTV (LRT) Radijo pastate dirbusių ir pastatą gynusių civilių puolimui, mėtė sprogmenis“ (žr. nuosprendžio 884 l.). Iš tokio lakoniško teiginio ir teismo nuosprendžio kaip vientiso dokumento akivaizdu, kad pirmosios instancijos teismas pripažino įrodytomis tik aplinkybes, jog LRT Radijo pastato šturmo metu TSRS GM 76-osios oro desanto divizijos kariškiai, o ne pats nuteistasis </w:t>
      </w:r>
      <w:r>
        <w:rPr>
          <w:szCs w:val="24"/>
          <w:lang w:eastAsia="lt-LT" w:bidi="lt-LT"/>
        </w:rPr>
        <w:t>A. F. 2</w:t>
      </w:r>
      <w:r w:rsidRPr="00C00255">
        <w:rPr>
          <w:szCs w:val="24"/>
          <w:lang w:eastAsia="lt-LT" w:bidi="lt-LT"/>
        </w:rPr>
        <w:t xml:space="preserve"> mėtė nuosprendyje nurodytus dūminius užtaisus DM-11 ir dūmines granatas RDG-2x, o kiti kariškai mėtė ir kitas šviesos ir garso granatas, todėl minėti veiksmai – užtaisų ir granatų mėtymas – negali būti suprantami, kaip asmeniškai </w:t>
      </w:r>
      <w:r>
        <w:rPr>
          <w:szCs w:val="24"/>
          <w:lang w:eastAsia="lt-LT" w:bidi="lt-LT"/>
        </w:rPr>
        <w:t>A. F. 2</w:t>
      </w:r>
      <w:r w:rsidRPr="00C00255">
        <w:rPr>
          <w:szCs w:val="24"/>
          <w:lang w:eastAsia="lt-LT" w:bidi="lt-LT"/>
        </w:rPr>
        <w:t xml:space="preserve"> atlikti veiksmai. </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35" w:name="_Toc66697296"/>
      <w:bookmarkEnd w:id="632"/>
      <w:r w:rsidRPr="00C00255">
        <w:rPr>
          <w:rFonts w:ascii="Times New Roman" w:hAnsi="Times New Roman" w:cs="Times New Roman"/>
          <w:i/>
          <w:color w:val="auto"/>
        </w:rPr>
        <w:t xml:space="preserve">Dėl nuteistojo </w:t>
      </w:r>
      <w:r>
        <w:rPr>
          <w:rFonts w:ascii="Times New Roman" w:hAnsi="Times New Roman" w:cs="Times New Roman"/>
          <w:i/>
          <w:color w:val="auto"/>
        </w:rPr>
        <w:t>J. J.</w:t>
      </w:r>
      <w:r w:rsidRPr="00C00255">
        <w:rPr>
          <w:rFonts w:ascii="Times New Roman" w:hAnsi="Times New Roman" w:cs="Times New Roman"/>
          <w:i/>
          <w:color w:val="auto"/>
        </w:rPr>
        <w:t xml:space="preserve"> dalyvavimo užimant LRT Radijo pastatą</w:t>
      </w:r>
      <w:bookmarkEnd w:id="635"/>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rPr>
        <w:t>Teisėjų kolegijos vertinimu, taipogi pagrįsta ir apygardos teismo išvada,</w:t>
      </w:r>
      <w:r w:rsidRPr="00C00255">
        <w:t xml:space="preserve"> </w:t>
      </w:r>
      <w:r w:rsidRPr="00C00255">
        <w:rPr>
          <w:szCs w:val="24"/>
          <w:lang w:eastAsia="lt-LT"/>
        </w:rPr>
        <w:t xml:space="preserve">kad TSRS GM 76-osios oro desanto divizijos 237-ojo pulko 1-ojo bataliono 1-osios ir 2-osios kuopų kariškiams, kurie, būdami ginkluoti, prasibrovė iki LRT Radijo </w:t>
      </w:r>
      <w:r w:rsidRPr="00C00255">
        <w:rPr>
          <w:szCs w:val="24"/>
          <w:lang w:eastAsia="lt-LT" w:bidi="lt-LT"/>
        </w:rPr>
        <w:t xml:space="preserve">(4 aukštų) </w:t>
      </w:r>
      <w:r w:rsidRPr="00C00255">
        <w:rPr>
          <w:szCs w:val="24"/>
          <w:lang w:eastAsia="lt-LT"/>
        </w:rPr>
        <w:t xml:space="preserve">pastato, naudodami artimos kovos veiksmus, stūmė civilius iš pastato teritorijos bei vykdė kitus pastato užėmimo veiksmus, vienu iš vadovavusių asmenų buvo ir 2-osios kuopos būrio vadas leitenantas </w:t>
      </w:r>
      <w:r>
        <w:rPr>
          <w:szCs w:val="24"/>
          <w:lang w:eastAsia="lt-LT"/>
        </w:rPr>
        <w:t>J. J.</w:t>
      </w:r>
      <w:r w:rsidRPr="00C00255">
        <w:rPr>
          <w:szCs w:val="24"/>
          <w:lang w:eastAsia="lt-LT"/>
        </w:rPr>
        <w:t xml:space="preserve">. </w:t>
      </w:r>
    </w:p>
    <w:p w:rsidR="00DA38E9" w:rsidRPr="00C00255" w:rsidRDefault="00DA38E9" w:rsidP="00DA38E9">
      <w:pPr>
        <w:pStyle w:val="ListParagraph"/>
        <w:numPr>
          <w:ilvl w:val="0"/>
          <w:numId w:val="6"/>
        </w:numPr>
        <w:ind w:left="993" w:hanging="993"/>
        <w:rPr>
          <w:szCs w:val="24"/>
          <w:lang w:eastAsia="lt-LT"/>
        </w:rPr>
      </w:pPr>
      <w:r w:rsidRPr="00C00255">
        <w:rPr>
          <w:szCs w:val="24"/>
        </w:rPr>
        <w:t xml:space="preserve">Apygardos teismas </w:t>
      </w:r>
      <w:r>
        <w:rPr>
          <w:szCs w:val="24"/>
          <w:lang w:bidi="lt-LT"/>
        </w:rPr>
        <w:t>J. J.</w:t>
      </w:r>
      <w:r w:rsidRPr="00C00255">
        <w:rPr>
          <w:szCs w:val="24"/>
          <w:lang w:bidi="lt-LT"/>
        </w:rPr>
        <w:t xml:space="preserve"> dalyvavimą užimant LRT Radijo pastatą bei jo vadovavimą ten veikusiems kariškiams grindė liudytojų – kariškių </w:t>
      </w:r>
      <w:r w:rsidRPr="00C00255">
        <w:rPr>
          <w:szCs w:val="24"/>
        </w:rPr>
        <w:t xml:space="preserve">dalyvavusių įvykiuose prie LRT, parodymais ir kitų nuteistųjų parodymais (žr. nuosprendžio 782–791 l.; t. 772, b. l. 182–191). Nuteistojo </w:t>
      </w:r>
      <w:r>
        <w:rPr>
          <w:szCs w:val="24"/>
        </w:rPr>
        <w:t>J. J.</w:t>
      </w:r>
      <w:r w:rsidRPr="00C00255">
        <w:rPr>
          <w:szCs w:val="24"/>
        </w:rPr>
        <w:t xml:space="preserve"> gynėja teigia, kad teismas nepagrįstai vadovavosi jos ginamojo, tyrimo metu apklausto liudytoju, parodymais, nes jam nebuvo išaiškinta teisė neduoti parodymų prieš save, ir todėl jo parodymai nelaikytini įrodymais. </w:t>
      </w:r>
      <w:r w:rsidRPr="00C00255">
        <w:rPr>
          <w:szCs w:val="24"/>
          <w:lang w:eastAsia="lt-LT"/>
        </w:rPr>
        <w:t xml:space="preserve">Teisėjų kolegija pažymi, kad nemaža dalis </w:t>
      </w:r>
      <w:r>
        <w:rPr>
          <w:szCs w:val="24"/>
          <w:lang w:eastAsia="lt-LT"/>
        </w:rPr>
        <w:t>J. J.</w:t>
      </w:r>
      <w:r w:rsidRPr="00C00255">
        <w:rPr>
          <w:szCs w:val="24"/>
          <w:lang w:eastAsia="lt-LT"/>
        </w:rPr>
        <w:t xml:space="preserve"> gynėjos skundo argumentų yra dėl teisinio </w:t>
      </w:r>
      <w:r>
        <w:rPr>
          <w:szCs w:val="24"/>
          <w:lang w:eastAsia="lt-LT"/>
        </w:rPr>
        <w:t>J. J.</w:t>
      </w:r>
      <w:r w:rsidRPr="00C00255">
        <w:rPr>
          <w:szCs w:val="24"/>
          <w:lang w:eastAsia="lt-LT"/>
        </w:rPr>
        <w:t xml:space="preserve"> veiksmų vertinimo, tačiau į šiuos skundo argumentus teisėjų kolegija atsakys atskirai kitoje sprendimo dalyje. </w:t>
      </w:r>
      <w:r w:rsidRPr="00C00255">
        <w:t xml:space="preserve">Tokių argumentų kontekste teisėjų kolegija pažymi, </w:t>
      </w:r>
      <w:r w:rsidRPr="00C00255">
        <w:rPr>
          <w:szCs w:val="24"/>
          <w:lang w:eastAsia="lt-LT"/>
        </w:rPr>
        <w:t>kad</w:t>
      </w:r>
      <w:r w:rsidRPr="00C00255">
        <w:t xml:space="preserve"> </w:t>
      </w:r>
      <w:r>
        <w:rPr>
          <w:szCs w:val="24"/>
          <w:lang w:eastAsia="lt-LT"/>
        </w:rPr>
        <w:t>J. J.</w:t>
      </w:r>
      <w:r w:rsidRPr="00C00255">
        <w:rPr>
          <w:szCs w:val="24"/>
          <w:lang w:eastAsia="lt-LT"/>
        </w:rPr>
        <w:t xml:space="preserve"> dalyvavimą įvykiuose prie LRT Radijo pastato ir jo vadovavimą daliai oro desanto divizijos kariškių</w:t>
      </w:r>
      <w:r w:rsidRPr="00C00255">
        <w:t>, patvirtina ne pirmosios instancijos teismo posėdyje perskaityti ir skundžiamame nuosprendyje išdėstyti nuteistojo tyrimo metu duoti parodymai, o byloje esančių ir šiame sprendime aptartų bei įvertintų įrodymų visuma</w:t>
      </w:r>
      <w:r w:rsidRPr="00C00255">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LRT užėmime dalyvavusių kariškių sąrašo, pavadinimu „1 ir 2 parašiutininkų-desantininkų kuopos karių, dalyvavusių 1991 metų naktį iš sausio 12 dienos į sausio 13 dieną operacijoje Vilniaus mieste, skirtoje saugoti televizijos ir radijo komitetą“ matyti, kad šiuose įvykiuose dalyvavo ir </w:t>
      </w:r>
      <w:r>
        <w:rPr>
          <w:szCs w:val="24"/>
          <w:lang w:eastAsia="lt-LT"/>
        </w:rPr>
        <w:t>J. J.</w:t>
      </w:r>
      <w:r w:rsidRPr="00C00255">
        <w:rPr>
          <w:szCs w:val="24"/>
          <w:lang w:eastAsia="lt-LT"/>
        </w:rPr>
        <w:t xml:space="preserve">, kurio karinis laipsnis įvykių metu buvo vienas iš aukščiausių tarp minėtų kuopų kariškių. Iš 31 kariškio tik karininkai kapitonai </w:t>
      </w:r>
      <w:r>
        <w:rPr>
          <w:szCs w:val="24"/>
          <w:lang w:eastAsia="lt-LT"/>
        </w:rPr>
        <w:t>J. G.</w:t>
      </w:r>
      <w:r w:rsidRPr="00C00255">
        <w:rPr>
          <w:szCs w:val="24"/>
          <w:lang w:eastAsia="lt-LT"/>
        </w:rPr>
        <w:t xml:space="preserve"> ir </w:t>
      </w:r>
      <w:r>
        <w:rPr>
          <w:szCs w:val="24"/>
          <w:lang w:eastAsia="lt-LT"/>
        </w:rPr>
        <w:t>I. Š.</w:t>
      </w:r>
      <w:r w:rsidRPr="00C00255">
        <w:rPr>
          <w:szCs w:val="24"/>
          <w:lang w:eastAsia="lt-LT"/>
        </w:rPr>
        <w:t xml:space="preserve"> bei vyr. leitenantai </w:t>
      </w:r>
      <w:r>
        <w:rPr>
          <w:szCs w:val="24"/>
          <w:lang w:eastAsia="lt-LT"/>
        </w:rPr>
        <w:t>A. F. 1</w:t>
      </w:r>
      <w:r w:rsidRPr="00C00255">
        <w:rPr>
          <w:szCs w:val="24"/>
          <w:lang w:eastAsia="lt-LT"/>
        </w:rPr>
        <w:t xml:space="preserve"> ir </w:t>
      </w:r>
      <w:r>
        <w:rPr>
          <w:szCs w:val="24"/>
          <w:lang w:eastAsia="lt-LT"/>
        </w:rPr>
        <w:t>K. U.</w:t>
      </w:r>
      <w:r w:rsidRPr="00C00255">
        <w:rPr>
          <w:szCs w:val="24"/>
          <w:lang w:eastAsia="lt-LT"/>
        </w:rPr>
        <w:t xml:space="preserve"> buvo aukštesnio karinio laipsnio nei leitenantas </w:t>
      </w:r>
      <w:r>
        <w:rPr>
          <w:szCs w:val="24"/>
          <w:lang w:eastAsia="lt-LT"/>
        </w:rPr>
        <w:t>J. J.</w:t>
      </w:r>
      <w:r w:rsidRPr="00C00255">
        <w:rPr>
          <w:szCs w:val="24"/>
          <w:lang w:eastAsia="lt-LT"/>
        </w:rPr>
        <w:t xml:space="preserve"> (t. 437, b. l. 4–6; t. 124, b. l. 2–4).</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mašinos URAL-4320, Nr. 00-65, sudėtyje buvo ir leitenantas </w:t>
      </w:r>
      <w:r>
        <w:rPr>
          <w:szCs w:val="24"/>
          <w:lang w:eastAsia="lt-LT"/>
        </w:rPr>
        <w:t>J. J.</w:t>
      </w:r>
      <w:r w:rsidRPr="00C00255">
        <w:rPr>
          <w:szCs w:val="24"/>
          <w:lang w:eastAsia="lt-LT"/>
        </w:rPr>
        <w:t xml:space="preserve"> (t. 451, b. l. 192–194; t. 152, b. l. 223–225). Beje, </w:t>
      </w:r>
      <w:r>
        <w:rPr>
          <w:szCs w:val="24"/>
          <w:lang w:eastAsia="lt-LT"/>
        </w:rPr>
        <w:t>J. J.</w:t>
      </w:r>
      <w:r w:rsidRPr="00C00255">
        <w:rPr>
          <w:szCs w:val="24"/>
          <w:lang w:eastAsia="lt-LT"/>
        </w:rPr>
        <w:t xml:space="preserve"> abiejuose minėtuose sąrašuose įvardijamas iškart po 2-osios kuopos vado vyr. leitenanto </w:t>
      </w:r>
      <w:r>
        <w:rPr>
          <w:szCs w:val="24"/>
          <w:lang w:eastAsia="lt-LT"/>
        </w:rPr>
        <w:t>K. U.</w:t>
      </w:r>
      <w:r w:rsidRPr="00C00255">
        <w:rPr>
          <w:szCs w:val="24"/>
          <w:lang w:eastAsia="lt-LT"/>
        </w:rPr>
        <w:t xml:space="preserve"> ir jo pavaduotojo leitenanto </w:t>
      </w:r>
      <w:r>
        <w:rPr>
          <w:szCs w:val="24"/>
          <w:lang w:eastAsia="lt-LT"/>
        </w:rPr>
        <w:t>A. F. 2</w:t>
      </w:r>
      <w:r w:rsidRPr="00C00255">
        <w:rPr>
          <w:szCs w:val="24"/>
          <w:lang w:eastAsia="lt-LT"/>
        </w:rPr>
        <w:t xml:space="preserve">. Taigi objektyvūs duomenys rodo, kad </w:t>
      </w:r>
      <w:r>
        <w:rPr>
          <w:szCs w:val="24"/>
          <w:lang w:eastAsia="lt-LT"/>
        </w:rPr>
        <w:t>J. J.</w:t>
      </w:r>
      <w:r w:rsidRPr="00C00255">
        <w:rPr>
          <w:szCs w:val="24"/>
          <w:lang w:eastAsia="lt-LT"/>
        </w:rPr>
        <w:t xml:space="preserve"> karinis laipsnis prilygo 2-osios kuopos vado pavaduotojo laipsniui, o tai patvirtina ir apie </w:t>
      </w:r>
      <w:r>
        <w:rPr>
          <w:szCs w:val="24"/>
          <w:lang w:eastAsia="lt-LT"/>
        </w:rPr>
        <w:t>J. J.</w:t>
      </w:r>
      <w:r w:rsidRPr="00C00255">
        <w:rPr>
          <w:szCs w:val="24"/>
          <w:lang w:eastAsia="lt-LT"/>
        </w:rPr>
        <w:t xml:space="preserve"> užimtas aukštas pareigas minėtos operacijos metu.</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t xml:space="preserve">Teisėjų kolegija pažymi, kad vien jau aptarti kariškių, dalyvavusių užimant LRT, sąrašai patvirtina apie </w:t>
      </w:r>
      <w:r>
        <w:rPr>
          <w:szCs w:val="24"/>
          <w:lang w:eastAsia="lt-LT"/>
        </w:rPr>
        <w:t>J. J.</w:t>
      </w:r>
      <w:r w:rsidRPr="00C00255">
        <w:rPr>
          <w:szCs w:val="24"/>
          <w:lang w:eastAsia="lt-LT"/>
        </w:rPr>
        <w:t xml:space="preserve"> dalyvavimą 1991 m. sausio 13-osios naktį užimant LRT Radijo pastatą ir jo užimtas vadovaujančio pobūdžio pareigas. Be to, nuteistojo </w:t>
      </w:r>
      <w:r>
        <w:rPr>
          <w:szCs w:val="24"/>
          <w:lang w:eastAsia="lt-LT"/>
        </w:rPr>
        <w:t>J. J.</w:t>
      </w:r>
      <w:r w:rsidRPr="00C00255">
        <w:rPr>
          <w:szCs w:val="24"/>
          <w:lang w:eastAsia="lt-LT"/>
        </w:rPr>
        <w:t xml:space="preserve"> gynėja apeliaciniame skunde taip pat neneigia fakto, kad jos ginamasis operacijos metu turėjo pavaldžių kariškių, kurių, pasak gynėjos, </w:t>
      </w:r>
      <w:r w:rsidRPr="00C00255">
        <w:t xml:space="preserve">tikslas buvo pateki į patalpas ir jose atlikti jiems nurodytus veiksmus, tačiau jie neturėjo tikslo užpulti civilių.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rPr>
        <w:t xml:space="preserve">Teisėjų kolegijos vidinį įsitikinimą dėl skundžiamame nuosprendyje konstatuoto </w:t>
      </w:r>
      <w:r>
        <w:rPr>
          <w:szCs w:val="24"/>
          <w:lang w:eastAsia="lt-LT"/>
        </w:rPr>
        <w:t>J. J.</w:t>
      </w:r>
      <w:r w:rsidRPr="00C00255">
        <w:rPr>
          <w:szCs w:val="24"/>
          <w:lang w:eastAsia="lt-LT"/>
        </w:rPr>
        <w:t xml:space="preserve"> dalyvavimo ir vadovaujamo vaidmens LRT Radijo pastato užėmimo metu formuoja ir </w:t>
      </w:r>
      <w:r w:rsidRPr="00C00255">
        <w:t xml:space="preserve">ikiteisminio tyrimo metu apklaustų, liudytojų statusą šiame procese turinčių, 1-osios bei 2-osios kuopos kariškių parodymai, perskaityti teisiamajame posėdyje </w:t>
      </w:r>
      <w:r w:rsidRPr="00C00255">
        <w:rPr>
          <w:szCs w:val="24"/>
          <w:lang w:eastAsia="lt-LT"/>
        </w:rPr>
        <w:t>(</w:t>
      </w:r>
      <w:r w:rsidRPr="00C00255">
        <w:rPr>
          <w:szCs w:val="24"/>
          <w:lang w:eastAsia="lt-LT" w:bidi="lt-LT"/>
        </w:rPr>
        <w:t>t. 760, b. l. 114–117</w:t>
      </w:r>
      <w:r w:rsidRPr="00C00255">
        <w:rPr>
          <w:szCs w:val="24"/>
          <w:lang w:eastAsia="lt-LT"/>
        </w:rPr>
        <w:t xml:space="preserve">). Penkių bylos baigtimi nesuinteresuotų kariškių – </w:t>
      </w:r>
      <w:r>
        <w:rPr>
          <w:szCs w:val="24"/>
          <w:lang w:eastAsia="lt-LT"/>
        </w:rPr>
        <w:t>V. T.</w:t>
      </w:r>
      <w:r w:rsidRPr="00C00255">
        <w:rPr>
          <w:szCs w:val="24"/>
          <w:lang w:eastAsia="lt-LT"/>
        </w:rPr>
        <w:t xml:space="preserve">, </w:t>
      </w:r>
      <w:r>
        <w:rPr>
          <w:szCs w:val="24"/>
          <w:lang w:eastAsia="lt-LT"/>
        </w:rPr>
        <w:t>V. T.</w:t>
      </w:r>
      <w:r w:rsidRPr="00C00255">
        <w:rPr>
          <w:szCs w:val="24"/>
          <w:lang w:eastAsia="lt-LT"/>
        </w:rPr>
        <w:t xml:space="preserve">, </w:t>
      </w:r>
      <w:r>
        <w:rPr>
          <w:szCs w:val="24"/>
          <w:lang w:eastAsia="lt-LT"/>
        </w:rPr>
        <w:t>A. Š.</w:t>
      </w:r>
      <w:r w:rsidRPr="00C00255">
        <w:rPr>
          <w:szCs w:val="24"/>
          <w:lang w:eastAsia="lt-LT"/>
        </w:rPr>
        <w:t xml:space="preserve">, </w:t>
      </w:r>
      <w:r>
        <w:rPr>
          <w:szCs w:val="24"/>
          <w:lang w:eastAsia="lt-LT"/>
        </w:rPr>
        <w:t>I. R.</w:t>
      </w:r>
      <w:r w:rsidRPr="00C00255">
        <w:rPr>
          <w:szCs w:val="24"/>
          <w:lang w:eastAsia="lt-LT"/>
        </w:rPr>
        <w:t xml:space="preserve"> ir </w:t>
      </w:r>
      <w:r>
        <w:rPr>
          <w:szCs w:val="24"/>
          <w:lang w:eastAsia="lt-LT"/>
        </w:rPr>
        <w:t>V. N.</w:t>
      </w:r>
      <w:r w:rsidRPr="00C00255">
        <w:rPr>
          <w:szCs w:val="24"/>
          <w:lang w:eastAsia="lt-LT"/>
        </w:rPr>
        <w:t xml:space="preserve"> – parodymai leidžia įvardinti </w:t>
      </w:r>
      <w:r>
        <w:rPr>
          <w:szCs w:val="24"/>
          <w:lang w:eastAsia="lt-LT"/>
        </w:rPr>
        <w:t>J. J.</w:t>
      </w:r>
      <w:r w:rsidRPr="00C00255">
        <w:rPr>
          <w:szCs w:val="24"/>
          <w:lang w:eastAsia="lt-LT"/>
        </w:rPr>
        <w:t xml:space="preserve"> prie LRT Radijo pastato atliktus veiksmus bei jo vadovaujamą vaidmenį.</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Pirmiausia, </w:t>
      </w:r>
      <w:r w:rsidRPr="00C00255">
        <w:rPr>
          <w:szCs w:val="24"/>
          <w:lang w:eastAsia="lt-LT" w:bidi="lt-LT"/>
        </w:rPr>
        <w:t xml:space="preserve">2-osios kuopos vairuotojas-mechanikas </w:t>
      </w:r>
      <w:r>
        <w:rPr>
          <w:szCs w:val="24"/>
          <w:lang w:eastAsia="lt-LT" w:bidi="lt-LT"/>
        </w:rPr>
        <w:t>V. N.</w:t>
      </w:r>
      <w:r w:rsidRPr="00C00255">
        <w:rPr>
          <w:szCs w:val="24"/>
          <w:lang w:eastAsia="lt-LT" w:bidi="lt-LT"/>
        </w:rPr>
        <w:t xml:space="preserve"> nurodė, kad apžiūrėjus Radijo pastato patalpas, kariškiams buvo duotas įsakymas neišleisti iš pastato asmenų. </w:t>
      </w:r>
      <w:r>
        <w:rPr>
          <w:szCs w:val="24"/>
          <w:lang w:eastAsia="lt-LT" w:bidi="lt-LT"/>
        </w:rPr>
        <w:t>V. N.</w:t>
      </w:r>
      <w:r w:rsidRPr="00C00255">
        <w:rPr>
          <w:szCs w:val="24"/>
          <w:lang w:eastAsia="lt-LT" w:bidi="lt-LT"/>
        </w:rPr>
        <w:t xml:space="preserve"> buvo 4 asmenų grupės sudėtyje, kurios vyresniuoju buvo leitenantas </w:t>
      </w:r>
      <w:r>
        <w:rPr>
          <w:szCs w:val="24"/>
          <w:lang w:eastAsia="lt-LT" w:bidi="lt-LT"/>
        </w:rPr>
        <w:t>J. J.</w:t>
      </w:r>
      <w:r w:rsidRPr="00C00255">
        <w:rPr>
          <w:szCs w:val="24"/>
          <w:lang w:eastAsia="lt-LT" w:bidi="lt-LT"/>
        </w:rPr>
        <w:t xml:space="preserve">. Vyresnysis liudytoją ir eilinį </w:t>
      </w:r>
      <w:r>
        <w:rPr>
          <w:szCs w:val="24"/>
          <w:lang w:eastAsia="lt-LT" w:bidi="lt-LT"/>
        </w:rPr>
        <w:t>V. T.</w:t>
      </w:r>
      <w:r w:rsidRPr="00C00255">
        <w:rPr>
          <w:szCs w:val="24"/>
          <w:lang w:eastAsia="lt-LT" w:bidi="lt-LT"/>
        </w:rPr>
        <w:t xml:space="preserve"> pastatė prie pastato atsarginio išėjimo durų, iš kur, labiausiai tikėtina, grėsė puolimas (t. 437, b. l. 62–66; t. 124, b. l. 80–84).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Liudytojai </w:t>
      </w:r>
      <w:r>
        <w:rPr>
          <w:szCs w:val="24"/>
          <w:lang w:eastAsia="lt-LT"/>
        </w:rPr>
        <w:t>V. T.</w:t>
      </w:r>
      <w:r w:rsidRPr="00C00255">
        <w:rPr>
          <w:szCs w:val="24"/>
          <w:lang w:eastAsia="lt-LT"/>
        </w:rPr>
        <w:t xml:space="preserve"> (</w:t>
      </w:r>
      <w:r w:rsidRPr="00C00255">
        <w:rPr>
          <w:szCs w:val="24"/>
          <w:lang w:eastAsia="lt-LT" w:bidi="lt-LT"/>
        </w:rPr>
        <w:t>t. 437, b. l. 53–57; t. 124, b. l. 69–74)</w:t>
      </w:r>
      <w:r w:rsidRPr="00C00255">
        <w:rPr>
          <w:szCs w:val="24"/>
          <w:lang w:eastAsia="lt-LT"/>
        </w:rPr>
        <w:t xml:space="preserve">, </w:t>
      </w:r>
      <w:r>
        <w:rPr>
          <w:szCs w:val="24"/>
          <w:lang w:eastAsia="lt-LT"/>
        </w:rPr>
        <w:t>V. T.</w:t>
      </w:r>
      <w:r w:rsidRPr="00C00255">
        <w:rPr>
          <w:szCs w:val="24"/>
          <w:lang w:eastAsia="lt-LT"/>
        </w:rPr>
        <w:t xml:space="preserve"> </w:t>
      </w:r>
      <w:r w:rsidRPr="00C00255">
        <w:rPr>
          <w:szCs w:val="24"/>
          <w:lang w:eastAsia="lt-LT" w:bidi="lt-LT"/>
        </w:rPr>
        <w:t>(t. 437, b. l. 77–80; t. 124, b. l. 98–105)</w:t>
      </w:r>
      <w:r w:rsidRPr="00C00255">
        <w:rPr>
          <w:szCs w:val="24"/>
          <w:lang w:eastAsia="lt-LT"/>
        </w:rPr>
        <w:t xml:space="preserve">, </w:t>
      </w:r>
      <w:r>
        <w:rPr>
          <w:szCs w:val="24"/>
          <w:lang w:eastAsia="lt-LT"/>
        </w:rPr>
        <w:t>A. Š.</w:t>
      </w:r>
      <w:r w:rsidRPr="00C00255">
        <w:rPr>
          <w:szCs w:val="24"/>
          <w:lang w:eastAsia="lt-LT"/>
        </w:rPr>
        <w:t xml:space="preserve"> </w:t>
      </w:r>
      <w:r w:rsidRPr="00C00255">
        <w:rPr>
          <w:szCs w:val="24"/>
          <w:lang w:eastAsia="lt-LT" w:bidi="lt-LT"/>
        </w:rPr>
        <w:t>(t. 437, b. l. 103–107; t. 124, b. l. 138–152)</w:t>
      </w:r>
      <w:r w:rsidRPr="00C00255">
        <w:rPr>
          <w:szCs w:val="24"/>
          <w:lang w:eastAsia="lt-LT"/>
        </w:rPr>
        <w:t xml:space="preserve"> ir </w:t>
      </w:r>
      <w:r>
        <w:rPr>
          <w:szCs w:val="24"/>
          <w:lang w:eastAsia="lt-LT"/>
        </w:rPr>
        <w:t>I. R.</w:t>
      </w:r>
      <w:r w:rsidRPr="00C00255">
        <w:rPr>
          <w:szCs w:val="24"/>
          <w:lang w:eastAsia="lt-LT"/>
        </w:rPr>
        <w:t xml:space="preserve"> </w:t>
      </w:r>
      <w:r w:rsidRPr="00C00255">
        <w:rPr>
          <w:szCs w:val="24"/>
          <w:lang w:eastAsia="lt-LT" w:bidi="lt-LT"/>
        </w:rPr>
        <w:t>(t. 437, b. l. 143–146; t. 124, b. l. 227–232) kaip</w:t>
      </w:r>
      <w:r w:rsidRPr="00C00255">
        <w:rPr>
          <w:szCs w:val="24"/>
          <w:lang w:eastAsia="lt-LT"/>
        </w:rPr>
        <w:t xml:space="preserve"> vieną iš karininkų, dalyvavusių užimant LRT, išskyrė ir leitenantą </w:t>
      </w:r>
      <w:r>
        <w:rPr>
          <w:szCs w:val="24"/>
          <w:lang w:eastAsia="lt-LT"/>
        </w:rPr>
        <w:t>J. J.</w:t>
      </w:r>
      <w:r w:rsidRPr="00C00255">
        <w:rPr>
          <w:szCs w:val="24"/>
          <w:lang w:eastAsia="lt-LT"/>
        </w:rPr>
        <w:t>.</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Kaip matyti, aptarti liudytojų parodymai atitinka ir papildo kitus jau minėtus rašytinius įrodymus bei taip pat formuoja teismo vidinį įsitikinimą, </w:t>
      </w:r>
      <w:r w:rsidRPr="00C00255">
        <w:rPr>
          <w:szCs w:val="24"/>
          <w:lang w:eastAsia="lt-LT"/>
        </w:rPr>
        <w:t xml:space="preserve">kad leitenantas </w:t>
      </w:r>
      <w:r>
        <w:rPr>
          <w:szCs w:val="24"/>
          <w:lang w:eastAsia="lt-LT"/>
        </w:rPr>
        <w:t>J. J.</w:t>
      </w:r>
      <w:r w:rsidRPr="00C00255">
        <w:rPr>
          <w:szCs w:val="24"/>
          <w:lang w:eastAsia="lt-LT"/>
        </w:rPr>
        <w:t xml:space="preserve"> ne tik dalyvavo užimant LRT Radijo pastatą, bet ir buvo vienu iš vadovaujančias pareigas užėmusių karininkų, turėjusiu pavaldžių kariškių bei pastato viduje jiems davusiu įsakymus. Nurodytos aplinkybės patvirtina </w:t>
      </w:r>
      <w:r>
        <w:rPr>
          <w:szCs w:val="24"/>
          <w:lang w:eastAsia="lt-LT"/>
        </w:rPr>
        <w:t>J. J.</w:t>
      </w:r>
      <w:r w:rsidRPr="00C00255">
        <w:rPr>
          <w:szCs w:val="24"/>
          <w:lang w:eastAsia="lt-LT"/>
        </w:rPr>
        <w:t xml:space="preserve"> vadovaujamą vaidmenį šturmuojant LRT Radijo pastatą.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Apeliaciniame skunde nuteistojo gynėja taip pat nurodė, kad </w:t>
      </w:r>
      <w:bookmarkStart w:id="636" w:name="_Hlk65090371"/>
      <w:r w:rsidRPr="00C00255">
        <w:rPr>
          <w:color w:val="000000"/>
          <w:szCs w:val="24"/>
          <w:lang w:eastAsia="lt-LT" w:bidi="lt-LT"/>
        </w:rPr>
        <w:t xml:space="preserve">pirmosios instancijos teismas nepasisakė dėl visų </w:t>
      </w:r>
      <w:r>
        <w:rPr>
          <w:color w:val="000000"/>
          <w:szCs w:val="24"/>
          <w:lang w:eastAsia="lt-LT" w:bidi="lt-LT"/>
        </w:rPr>
        <w:t>J. J.</w:t>
      </w:r>
      <w:r w:rsidRPr="00C00255">
        <w:rPr>
          <w:color w:val="000000"/>
          <w:szCs w:val="24"/>
          <w:lang w:eastAsia="lt-LT" w:bidi="lt-LT"/>
        </w:rPr>
        <w:t xml:space="preserve"> pareikštų kaltinimų, o akcentavo tik jo veiksmus užimant LRT, kurie atlikti kartu su kitais TSRS GM 76-osios oro desanto divizijos</w:t>
      </w:r>
      <w:r w:rsidRPr="00C00255" w:rsidDel="004757AF">
        <w:rPr>
          <w:color w:val="000000"/>
          <w:szCs w:val="24"/>
          <w:lang w:eastAsia="lt-LT" w:bidi="lt-LT"/>
        </w:rPr>
        <w:t xml:space="preserve"> </w:t>
      </w:r>
      <w:r w:rsidRPr="00C00255">
        <w:rPr>
          <w:color w:val="000000"/>
          <w:szCs w:val="24"/>
          <w:lang w:eastAsia="lt-LT" w:bidi="lt-LT"/>
        </w:rPr>
        <w:t>kariškiais</w:t>
      </w:r>
      <w:bookmarkEnd w:id="636"/>
      <w:r w:rsidRPr="00C00255">
        <w:rPr>
          <w:color w:val="000000"/>
          <w:szCs w:val="24"/>
          <w:lang w:eastAsia="lt-LT" w:bidi="lt-LT"/>
        </w:rPr>
        <w:t xml:space="preserve">. Kaip matyti iš kaltinamajame akte </w:t>
      </w:r>
      <w:r>
        <w:rPr>
          <w:color w:val="000000"/>
          <w:szCs w:val="24"/>
          <w:lang w:eastAsia="lt-LT" w:bidi="lt-LT"/>
        </w:rPr>
        <w:t>J. J.</w:t>
      </w:r>
      <w:r w:rsidRPr="00C00255">
        <w:rPr>
          <w:color w:val="000000"/>
          <w:szCs w:val="24"/>
          <w:lang w:eastAsia="lt-LT" w:bidi="lt-LT"/>
        </w:rPr>
        <w:t xml:space="preserve"> inkriminuotų nusikalstamų veikų aprašymo, kaltinamajame akte </w:t>
      </w:r>
      <w:r>
        <w:rPr>
          <w:color w:val="000000"/>
          <w:szCs w:val="24"/>
          <w:lang w:eastAsia="lt-LT" w:bidi="lt-LT"/>
        </w:rPr>
        <w:t>J. J.</w:t>
      </w:r>
      <w:r w:rsidRPr="00C00255">
        <w:rPr>
          <w:color w:val="000000"/>
          <w:szCs w:val="24"/>
          <w:lang w:eastAsia="lt-LT" w:bidi="lt-LT"/>
        </w:rPr>
        <w:t xml:space="preserve"> iš esmės ir tebuvo inkriminuoti jo veiksmai prie LRT, atlikti veikiant minėtos divizijos sudėtyje (inkriminuotos nusikalstamos veikos aprašyme dar kartą jis paminėtas tik tuo aspektu, </w:t>
      </w:r>
      <w:r w:rsidRPr="00C00255">
        <w:rPr>
          <w:szCs w:val="24"/>
          <w:lang w:eastAsia="lt-LT"/>
        </w:rPr>
        <w:t>kad</w:t>
      </w:r>
      <w:r w:rsidRPr="00C00255">
        <w:rPr>
          <w:color w:val="000000"/>
          <w:szCs w:val="24"/>
          <w:lang w:eastAsia="lt-LT" w:bidi="lt-LT"/>
        </w:rPr>
        <w:t xml:space="preserve"> buvo vienu iš šios divizijos karininkų, kuriuos aukščiausias divizijos pareigūnas įtraukė į veikusios grupės sudėtį (argumentus apie veikusią grupę teisėjų kolegija pateiks atskiroje dalyje</w:t>
      </w:r>
      <w:r w:rsidRPr="00C00255">
        <w:rPr>
          <w:szCs w:val="24"/>
        </w:rPr>
        <w:t xml:space="preserve">)). Taigi apygardos teismas pasisakė dėl visų </w:t>
      </w:r>
      <w:r>
        <w:rPr>
          <w:szCs w:val="24"/>
        </w:rPr>
        <w:t>J. J.</w:t>
      </w:r>
      <w:r w:rsidRPr="00C00255">
        <w:rPr>
          <w:szCs w:val="24"/>
        </w:rPr>
        <w:t xml:space="preserve"> kaltinime inkriminuotų faktinių aplinkybių pagrįstumo.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Gynėja apeliaciniame skunde teigė ir tai, kad </w:t>
      </w:r>
      <w:r>
        <w:t>J. J.</w:t>
      </w:r>
      <w:r w:rsidRPr="00C00255">
        <w:t xml:space="preserve"> ir jo vadovaujamų kelių asmenų tikslas buvo patekti į patalpas, išjungti jose veikiančius aparatus ir išvesti iš jų civilius, o ne civilių užpuolimas. Teisėjų kolegijai nekyla abejonių, be to, tai patvirtina ir baudžiamojoje byloje pateikti vaizdo įrašai, kad siekdami užimti minėtus pastatus, tiek oro desanto divizijos, tiek ir kitų karinių dalinių kariškiai, verždamiesi pro civilius, panaudojo jėgą, turimą ginkluotę ir padarė įvairaus laipsnio sužalojimus daugeliui civilių. Baudžiamojoje byloje neginčytinai nustatyti beginkliams ir jokios grėsmės kariškiams nekėlusiems civiliams asmenims padaryti įvairaus pobūdžio sužalojimai (pvz., šautiniai, akustiniai, fiziniai ir pan.) taip pat paneigia gynėjos teiginius, kad </w:t>
      </w:r>
      <w:r w:rsidRPr="00C00255">
        <w:rPr>
          <w:szCs w:val="24"/>
          <w:lang w:eastAsia="lt-LT" w:bidi="lt-LT"/>
        </w:rPr>
        <w:t xml:space="preserve">TSRS karinės pajėgos turėtą techniką, ginklus ir kitokias priemones taikė, siekdamos išvengti (nenaudoti) prievartos prieš civilius. </w:t>
      </w:r>
    </w:p>
    <w:p w:rsidR="00DA38E9" w:rsidRPr="00C00255" w:rsidRDefault="00DA38E9" w:rsidP="00DA38E9">
      <w:pPr>
        <w:pStyle w:val="ListParagraph"/>
        <w:numPr>
          <w:ilvl w:val="0"/>
          <w:numId w:val="6"/>
        </w:numPr>
        <w:ind w:left="993" w:hanging="993"/>
      </w:pPr>
      <w:r w:rsidRPr="00C00255">
        <w:rPr>
          <w:szCs w:val="24"/>
          <w:lang w:bidi="lt-LT"/>
        </w:rPr>
        <w:t xml:space="preserve">Turėdama omenyje visa tai, kas minėta, teisėjų kolegija konstatuoja, kad visos skundžiamu nuosprendžiu įrodytomis pripažintos nuteistajam </w:t>
      </w:r>
      <w:r>
        <w:rPr>
          <w:szCs w:val="24"/>
          <w:lang w:bidi="lt-LT"/>
        </w:rPr>
        <w:t>J. J.</w:t>
      </w:r>
      <w:r w:rsidRPr="00C00255">
        <w:rPr>
          <w:szCs w:val="24"/>
          <w:lang w:bidi="lt-LT"/>
        </w:rPr>
        <w:t xml:space="preserve"> </w:t>
      </w:r>
      <w:r w:rsidRPr="00C00255">
        <w:t xml:space="preserve">inkriminuotos faktinės aplinkybės, susijusios su veiksmais užimant LRT Radijo pastatą (nuosprendžio 514–520 l.), pasitvirtino kaip pagrįstos ir teisingos. Skundžiamo nuosprendžio motyvuojamojoje dalyje nurodyti atskiri teiginiai nurodant, kad nuteistasis </w:t>
      </w:r>
      <w:r>
        <w:t>J. J.</w:t>
      </w:r>
      <w:r w:rsidRPr="00C00255">
        <w:t xml:space="preserve"> „vadovavo operacijai užgrobiant RTV komiteto (LRT) pastatus &lt;...&gt;“ (</w:t>
      </w:r>
      <w:bookmarkStart w:id="637" w:name="_Hlk65613315"/>
      <w:r w:rsidRPr="00C00255">
        <w:t>žr. nuosprendžio 874 l.)</w:t>
      </w:r>
      <w:bookmarkEnd w:id="637"/>
      <w:r w:rsidRPr="00C00255">
        <w:t xml:space="preserve">, gali būti suprantami dviprasmiškai, tačiau vertinant visą nuosprendį, kaip vientisą dokumentą, akivaizdu, kad </w:t>
      </w:r>
      <w:r>
        <w:t>J. J.</w:t>
      </w:r>
      <w:r w:rsidRPr="00C00255">
        <w:t xml:space="preserve"> vadovavo tik jam pavaldiems kariškiams iš jau aptartos nuteistojo </w:t>
      </w:r>
      <w:r>
        <w:t>J. G.</w:t>
      </w:r>
      <w:r w:rsidRPr="00C00255">
        <w:t xml:space="preserve"> vadovaujamos desantininkų grupės, kuri šturmavo tik vieną iš LRT pastatų, t. y. LRT Radijo pastatą. Be to, apygardos teismo nuosprendžio motyvuojamojoje dalyje, apibendrinant nuteistojo </w:t>
      </w:r>
      <w:r>
        <w:t>J. J.</w:t>
      </w:r>
      <w:r w:rsidRPr="00C00255">
        <w:t xml:space="preserve"> faktiškai atliktus veiksmus, nurodyta ir tai, kad nuteistasis </w:t>
      </w:r>
      <w:r>
        <w:t>J. J.</w:t>
      </w:r>
      <w:r w:rsidRPr="00C00255">
        <w:t xml:space="preserve"> „&lt;...&gt; brovėsi pro pastatus gynusių civilių minią, juos žalojo ir baugino, naudojo šaudmenis, montiruotes, iš Radijo pastato išvedė darbuotojus“ (žr. nuosprendžio 874 l.). Iš tokių lakoniškų teiginių ir teismo nuosprendžio kaip vientiso dokumento akivaizdu, kad pirmosios instancijos teismas pripažino įrodytomis tik aplinkybes, jog LRT Radijo pastato šturmo metu TSRS GM 76-osios oro desanto divizijos kariškiai visi bendrai, o ne konkrečiai pats nuteistasis </w:t>
      </w:r>
      <w:r>
        <w:t>J. J.</w:t>
      </w:r>
      <w:r w:rsidRPr="00C00255">
        <w:t xml:space="preserve"> žalojo ir bauginio civilius, naudojo šaudmenis, mėtė sprogmenis, todėl visi minėti veiksmai – civilių žalojimas ir bauginimas, šaudmenų naudojimas, sprogmenų mėtymas – negali būti suprantami, kaip asmeniškai </w:t>
      </w:r>
      <w:r>
        <w:t>J. J.</w:t>
      </w:r>
      <w:r w:rsidRPr="00C00255">
        <w:t xml:space="preserve"> atlikti veiksmai. </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38" w:name="_Toc66697297"/>
      <w:r w:rsidRPr="00C00255">
        <w:rPr>
          <w:rFonts w:ascii="Times New Roman" w:hAnsi="Times New Roman" w:cs="Times New Roman"/>
          <w:i/>
          <w:color w:val="auto"/>
        </w:rPr>
        <w:t>D</w:t>
      </w:r>
      <w:r w:rsidRPr="00C00255">
        <w:rPr>
          <w:rStyle w:val="Heading5Char"/>
          <w:rFonts w:ascii="Times New Roman" w:hAnsi="Times New Roman" w:cs="Times New Roman"/>
          <w:i/>
          <w:color w:val="auto"/>
        </w:rPr>
        <w:t xml:space="preserve">ėl nuteistojo </w:t>
      </w:r>
      <w:r>
        <w:rPr>
          <w:rStyle w:val="Heading5Char"/>
          <w:rFonts w:ascii="Times New Roman" w:hAnsi="Times New Roman" w:cs="Times New Roman"/>
          <w:i/>
          <w:color w:val="auto"/>
        </w:rPr>
        <w:t>A. I.</w:t>
      </w:r>
      <w:r w:rsidRPr="00C00255">
        <w:rPr>
          <w:rStyle w:val="Heading5Char"/>
          <w:rFonts w:ascii="Times New Roman" w:hAnsi="Times New Roman" w:cs="Times New Roman"/>
          <w:i/>
          <w:color w:val="auto"/>
        </w:rPr>
        <w:t xml:space="preserve"> </w:t>
      </w:r>
      <w:r w:rsidRPr="00C00255">
        <w:rPr>
          <w:rFonts w:ascii="Times New Roman" w:hAnsi="Times New Roman" w:cs="Times New Roman"/>
          <w:i/>
          <w:color w:val="auto"/>
        </w:rPr>
        <w:t>dalyvavimo užimant LRT Radijo pastatą</w:t>
      </w:r>
      <w:bookmarkEnd w:id="638"/>
    </w:p>
    <w:p w:rsidR="00DA38E9" w:rsidRPr="005D022C" w:rsidRDefault="00DA38E9" w:rsidP="00DA38E9">
      <w:pPr>
        <w:pStyle w:val="ListParagraph"/>
        <w:numPr>
          <w:ilvl w:val="0"/>
          <w:numId w:val="6"/>
        </w:numPr>
        <w:spacing w:before="120" w:after="120"/>
        <w:ind w:left="993" w:hanging="993"/>
        <w:contextualSpacing w:val="0"/>
        <w:rPr>
          <w:szCs w:val="24"/>
          <w:lang w:eastAsia="lt-LT"/>
        </w:rPr>
      </w:pPr>
      <w:r w:rsidRPr="005D022C">
        <w:rPr>
          <w:szCs w:val="24"/>
          <w:lang w:eastAsia="lt-LT"/>
        </w:rPr>
        <w:t xml:space="preserve">Teisėjų kolegijos vertinimu, pagrįsta ir apygardos teismo išvada, kad TSRS GM 76-osios oro desanto divizijos 237-ojo pulko 1-ojo bataliono 1-osios ir 2-osios kuopų kariškiams, kurie, būdami ginkluoti, prasibrovė iki LRT Radijo (4 aukštų) pastato, naudodami artimos kovos veiksmus, stūmė civilius iš pastato teritorijos bei vykdė kitus pastato užėmimo veiksmus, vienu iš vadovavusių asmenų buvo ir 237-ojo pulko slaptosios tarnybos viršininkas vyr. praporščikas A. I..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rPr>
        <w:t>Iš skundžiamo nuosprendžio dalies „</w:t>
      </w:r>
      <w:r w:rsidRPr="00C00255">
        <w:rPr>
          <w:i/>
          <w:iCs/>
          <w:szCs w:val="24"/>
          <w:lang w:eastAsia="lt-LT"/>
        </w:rPr>
        <w:t>TSRS GM 76-osios oro desanto divizijos kariškių veiksmus, užimant LRT patvirtina</w:t>
      </w:r>
      <w:r w:rsidRPr="00C00255">
        <w:rPr>
          <w:szCs w:val="24"/>
          <w:lang w:eastAsia="lt-LT"/>
        </w:rPr>
        <w:t xml:space="preserve">“ matyti, kad </w:t>
      </w:r>
      <w:r>
        <w:rPr>
          <w:szCs w:val="24"/>
          <w:lang w:eastAsia="lt-LT"/>
        </w:rPr>
        <w:t>A. I.</w:t>
      </w:r>
      <w:r w:rsidRPr="00C00255">
        <w:rPr>
          <w:szCs w:val="24"/>
          <w:lang w:eastAsia="lt-LT"/>
        </w:rPr>
        <w:t xml:space="preserve"> veikimas aptariamoje operacijoje buvo grindžiamas jo paties ir kitų nuteistųjų parodymais (žr. nuosprendžio 782–791 l.; t. 772, b. l. 182–191). Nuteistojo </w:t>
      </w:r>
      <w:r>
        <w:rPr>
          <w:szCs w:val="24"/>
          <w:lang w:eastAsia="lt-LT"/>
        </w:rPr>
        <w:t>A. I.</w:t>
      </w:r>
      <w:r w:rsidRPr="00C00255">
        <w:rPr>
          <w:szCs w:val="24"/>
          <w:lang w:eastAsia="lt-LT"/>
        </w:rPr>
        <w:t xml:space="preserve"> gynėja, nepateikdama detalesnių argumentų, teigia, kad byloje neįrodyta, jog jos ginamasis padarė veikas, turinčias jam inkriminuotų BK nustatytų nusikaltimų požymių. Teisėjų kolegija </w:t>
      </w:r>
      <w:r w:rsidRPr="00C00255">
        <w:rPr>
          <w:szCs w:val="24"/>
          <w:lang w:eastAsia="lt-LT" w:bidi="lt-LT"/>
        </w:rPr>
        <w:t xml:space="preserve">dėl teisinio </w:t>
      </w:r>
      <w:r>
        <w:rPr>
          <w:szCs w:val="24"/>
          <w:lang w:eastAsia="lt-LT" w:bidi="lt-LT"/>
        </w:rPr>
        <w:t>A. I.</w:t>
      </w:r>
      <w:r w:rsidRPr="00C00255">
        <w:rPr>
          <w:szCs w:val="24"/>
          <w:lang w:eastAsia="lt-LT" w:bidi="lt-LT"/>
        </w:rPr>
        <w:t xml:space="preserve"> veiksmų vertinimo pasisakys atskirai, o dėl nustatytų faktinių aplinkybių konstatuoja, kad </w:t>
      </w:r>
      <w:r>
        <w:rPr>
          <w:szCs w:val="24"/>
          <w:lang w:eastAsia="lt-LT"/>
        </w:rPr>
        <w:t>A. I.</w:t>
      </w:r>
      <w:r w:rsidRPr="00C00255">
        <w:rPr>
          <w:szCs w:val="24"/>
          <w:lang w:eastAsia="lt-LT"/>
        </w:rPr>
        <w:t xml:space="preserve"> dalyvavimą prie LRT ir vadovavimą daliai jam pavaldžių kariškių, patvirtina baudžiamojoje byloje ištirtų įrodymų visuma</w:t>
      </w:r>
      <w:r w:rsidRPr="00C00255">
        <w:rPr>
          <w:szCs w:val="24"/>
          <w:lang w:eastAsia="lt-LT" w:bidi="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LRT užėmime dalyvavusių kariškių sąrašo, pavadinimu „1 ir 2 parašiutininkų-desantininkų kuopos karių, dalyvavusių 1991 metų naktį iš sausio 12 dienos į sausio 13 dieną operacijoje Vilniaus mieste, skirtoje saugoti televizijos ir radijo komitetą“ matyti, kad įvykiuose dalyvavo ir vyr. praporščikas </w:t>
      </w:r>
      <w:r>
        <w:rPr>
          <w:szCs w:val="24"/>
          <w:lang w:eastAsia="lt-LT"/>
        </w:rPr>
        <w:t>A. I.</w:t>
      </w:r>
      <w:r w:rsidRPr="00C00255">
        <w:rPr>
          <w:szCs w:val="24"/>
          <w:lang w:eastAsia="lt-LT"/>
        </w:rPr>
        <w:t xml:space="preserve">. (t. 437, b. l. 4–6; t. 124, b. l. 2–4).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esančios pažymos matyti, kad vyr. praporščikas </w:t>
      </w:r>
      <w:r>
        <w:rPr>
          <w:szCs w:val="24"/>
          <w:lang w:eastAsia="lt-LT"/>
        </w:rPr>
        <w:t>A. I.</w:t>
      </w:r>
      <w:r w:rsidRPr="00C00255">
        <w:rPr>
          <w:szCs w:val="24"/>
          <w:lang w:eastAsia="lt-LT"/>
        </w:rPr>
        <w:t xml:space="preserve"> įvykių metu užėmė vadovaujamo pobūdžio pareigas – buvo slaptosios dalies viršininkas (t. 437, b. l. 11; t. 124, b. l. 9).</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Vykdant Generalinės prokuratūros teisinės pagalbos prašymą, </w:t>
      </w:r>
      <w:bookmarkStart w:id="639" w:name="_Hlk65093753"/>
      <w:r w:rsidRPr="00C00255">
        <w:rPr>
          <w:szCs w:val="24"/>
          <w:lang w:eastAsia="lt-LT"/>
        </w:rPr>
        <w:t xml:space="preserve">ikiteisminio tyrimo metu buvo gauti ir įtariamuoju apklausto </w:t>
      </w:r>
      <w:r>
        <w:rPr>
          <w:szCs w:val="24"/>
          <w:lang w:eastAsia="lt-LT"/>
        </w:rPr>
        <w:t>A. I.</w:t>
      </w:r>
      <w:r w:rsidRPr="00C00255">
        <w:rPr>
          <w:szCs w:val="24"/>
          <w:lang w:eastAsia="lt-LT"/>
        </w:rPr>
        <w:t xml:space="preserve"> pateikti papildomi rašytiniai paaiškinimai</w:t>
      </w:r>
      <w:bookmarkEnd w:id="639"/>
      <w:r w:rsidRPr="00C00255">
        <w:rPr>
          <w:szCs w:val="24"/>
          <w:lang w:eastAsia="lt-LT"/>
        </w:rPr>
        <w:t xml:space="preserve"> bei jo interviu savaitraščiui „Echo“ kopija. Paaiškinimuose </w:t>
      </w:r>
      <w:r>
        <w:rPr>
          <w:szCs w:val="24"/>
          <w:lang w:eastAsia="lt-LT"/>
        </w:rPr>
        <w:t>A. I.</w:t>
      </w:r>
      <w:r w:rsidRPr="00C00255">
        <w:rPr>
          <w:szCs w:val="24"/>
          <w:lang w:eastAsia="lt-LT"/>
        </w:rPr>
        <w:t xml:space="preserve"> nurodė, kad jis buvo kuopos, kuri turėjo užimti Radijo komiteto pastatą, sudėtyje. Kuopos vadas juos padalino į grupes po 3–4 žmones, kurių kiekviena turėjo atskirą vadą. </w:t>
      </w:r>
      <w:r>
        <w:rPr>
          <w:szCs w:val="24"/>
          <w:lang w:eastAsia="lt-LT"/>
        </w:rPr>
        <w:t>A. I.</w:t>
      </w:r>
      <w:r w:rsidRPr="00C00255">
        <w:rPr>
          <w:szCs w:val="24"/>
          <w:lang w:eastAsia="lt-LT"/>
        </w:rPr>
        <w:t xml:space="preserve"> su savo grupe iš automobilio URAL turėjo išlipti paskutinis ir besiveržiančią kuopą pridengti iš užnugario (t. 624, b. l. 147, 153–154; t. 624, b. l. 148–152). Interviu savaitraščiui „Echo“ </w:t>
      </w:r>
      <w:r>
        <w:rPr>
          <w:szCs w:val="24"/>
          <w:lang w:eastAsia="lt-LT"/>
        </w:rPr>
        <w:t>A. I.</w:t>
      </w:r>
      <w:r w:rsidRPr="00C00255">
        <w:rPr>
          <w:szCs w:val="24"/>
          <w:lang w:eastAsia="lt-LT"/>
        </w:rPr>
        <w:t xml:space="preserve">, be kita ko, nurodė, kad kuopos kareiviams jau esant pastate, jis su savo grupe liko lauke priešais civilių minią (t. 624, b. l. 156–157; t. 624, b. l. 155). </w:t>
      </w:r>
    </w:p>
    <w:p w:rsidR="00DA38E9" w:rsidRPr="00C00255" w:rsidRDefault="00DA38E9" w:rsidP="00DA38E9">
      <w:pPr>
        <w:pStyle w:val="ListParagraph"/>
        <w:numPr>
          <w:ilvl w:val="1"/>
          <w:numId w:val="6"/>
        </w:numPr>
        <w:spacing w:before="120" w:after="120"/>
        <w:ind w:left="993" w:hanging="993"/>
        <w:contextualSpacing w:val="0"/>
        <w:rPr>
          <w:szCs w:val="24"/>
          <w:lang w:eastAsia="lt-LT"/>
        </w:rPr>
      </w:pPr>
      <w:r w:rsidRPr="00C00255">
        <w:rPr>
          <w:szCs w:val="24"/>
          <w:lang w:eastAsia="lt-LT"/>
        </w:rPr>
        <w:t xml:space="preserve">Taigi vien aptarti įrodymai patvirtina </w:t>
      </w:r>
      <w:r>
        <w:rPr>
          <w:szCs w:val="24"/>
          <w:lang w:eastAsia="lt-LT"/>
        </w:rPr>
        <w:t>A. I.</w:t>
      </w:r>
      <w:r w:rsidRPr="00C00255">
        <w:rPr>
          <w:szCs w:val="24"/>
          <w:lang w:eastAsia="lt-LT"/>
        </w:rPr>
        <w:t xml:space="preserve"> dalyvavimą 1991 m. sausio 13-osios naktį užimant LRT Radijo pastatą, pakankamai aukštą jo rangą bei vadovaujamo pobūdžio pareigas šios operacijos metu (pvz., jis buvo 237-ojo pulko, kuriam priklausė 1-oji ir 2-oji kuopa, vieno iš dalinių viršininku).</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t>Tokį teisėjų kolegijos vidinį įsitikinimą formuoja ir ikiteisminio tyrimo metu apklaustų, liudytojų statusą šiame procese turinčių, 1-osios bei 2-osios kuopos kariškių parodymai, perskaityti teisiamajame posėdyje (</w:t>
      </w:r>
      <w:r w:rsidRPr="00C00255">
        <w:rPr>
          <w:lang w:bidi="lt-LT"/>
        </w:rPr>
        <w:t>t. 760, b. l. 114–117</w:t>
      </w:r>
      <w:r w:rsidRPr="00C00255">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t xml:space="preserve">1-osios kuopos kariškiai </w:t>
      </w:r>
      <w:r>
        <w:t>P. S.</w:t>
      </w:r>
      <w:r w:rsidRPr="00C00255">
        <w:t xml:space="preserve"> </w:t>
      </w:r>
      <w:r w:rsidRPr="00C00255">
        <w:rPr>
          <w:lang w:bidi="lt-LT"/>
        </w:rPr>
        <w:t xml:space="preserve">(t. 437, b. l. 95–98; t. 124, b. l. 126–131), </w:t>
      </w:r>
      <w:r>
        <w:rPr>
          <w:lang w:bidi="lt-LT"/>
        </w:rPr>
        <w:t>A. Š.</w:t>
      </w:r>
      <w:r w:rsidRPr="00C00255">
        <w:rPr>
          <w:lang w:bidi="lt-LT"/>
        </w:rPr>
        <w:t xml:space="preserve"> (t. 437, b. l. 103–107; t. 124, b. l. 138–152) ir </w:t>
      </w:r>
      <w:r>
        <w:rPr>
          <w:lang w:bidi="lt-LT"/>
        </w:rPr>
        <w:t>A. A.</w:t>
      </w:r>
      <w:r w:rsidRPr="00C00255">
        <w:rPr>
          <w:lang w:bidi="lt-LT"/>
        </w:rPr>
        <w:t xml:space="preserve"> (t. 437, b. l. 124–127; t. 124,</w:t>
      </w:r>
      <w:r>
        <w:rPr>
          <w:lang w:bidi="lt-LT"/>
        </w:rPr>
        <w:t xml:space="preserve"> </w:t>
      </w:r>
      <w:r w:rsidRPr="00C00255">
        <w:rPr>
          <w:lang w:bidi="lt-LT"/>
        </w:rPr>
        <w:t>b.</w:t>
      </w:r>
      <w:r>
        <w:rPr>
          <w:lang w:bidi="lt-LT"/>
        </w:rPr>
        <w:t> </w:t>
      </w:r>
      <w:r w:rsidRPr="00C00255">
        <w:rPr>
          <w:lang w:bidi="lt-LT"/>
        </w:rPr>
        <w:t>l.</w:t>
      </w:r>
      <w:r>
        <w:rPr>
          <w:lang w:bidi="lt-LT"/>
        </w:rPr>
        <w:t> </w:t>
      </w:r>
      <w:r w:rsidRPr="00C00255">
        <w:rPr>
          <w:lang w:bidi="lt-LT"/>
        </w:rPr>
        <w:t xml:space="preserve">184–191), vardindami karininkus, vykusius mašina URAL prie LRT, išskyrė ir praporščiką </w:t>
      </w:r>
      <w:r>
        <w:rPr>
          <w:lang w:bidi="lt-LT"/>
        </w:rPr>
        <w:t>A. I.</w:t>
      </w:r>
      <w:r w:rsidRPr="00C00255">
        <w:rPr>
          <w:lang w:bidi="lt-LT"/>
        </w:rPr>
        <w:t>.</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lang w:bidi="lt-LT"/>
        </w:rPr>
        <w:t xml:space="preserve">2-osios kuopos kariškis </w:t>
      </w:r>
      <w:r>
        <w:rPr>
          <w:lang w:bidi="lt-LT"/>
        </w:rPr>
        <w:t>I. B.</w:t>
      </w:r>
      <w:r w:rsidRPr="00C00255">
        <w:rPr>
          <w:lang w:bidi="lt-LT"/>
        </w:rPr>
        <w:t xml:space="preserve"> nurodė, kad kuopai išsirikiavus ir nuėjus prie 4 aukštų pastato, jis su kariais </w:t>
      </w:r>
      <w:r>
        <w:rPr>
          <w:lang w:bidi="lt-LT"/>
        </w:rPr>
        <w:t>D. Z.</w:t>
      </w:r>
      <w:r w:rsidRPr="00C00255">
        <w:rPr>
          <w:lang w:bidi="lt-LT"/>
        </w:rPr>
        <w:t xml:space="preserve">, </w:t>
      </w:r>
      <w:r>
        <w:rPr>
          <w:lang w:bidi="lt-LT"/>
        </w:rPr>
        <w:t>A. A.</w:t>
      </w:r>
      <w:r w:rsidRPr="00C00255">
        <w:rPr>
          <w:lang w:bidi="lt-LT"/>
        </w:rPr>
        <w:t xml:space="preserve"> ir praporščiku, kurio pavardės nežino, liko saugoti mašinos, stovėjusios netoli pastato prieangio. Kai ją apsupo civiliai, jie, sėdėję kėbule, iš mašinos iššoko. Siekdami atbaidyti minią ir ją nuginti nuo mašinos, jie kartkartėmis šaudė į viršų </w:t>
      </w:r>
      <w:r w:rsidRPr="00C00255">
        <w:rPr>
          <w:szCs w:val="24"/>
          <w:lang w:eastAsia="lt-LT" w:bidi="lt-LT"/>
        </w:rPr>
        <w:t>(t. 437, b. l. 120–123; t. 124, b. l. 173–183). Teisėjų kolegija neabejoja, kad I. B</w:t>
      </w:r>
      <w:r>
        <w:rPr>
          <w:szCs w:val="24"/>
          <w:lang w:eastAsia="lt-LT" w:bidi="lt-LT"/>
        </w:rPr>
        <w:t>.</w:t>
      </w:r>
      <w:r w:rsidRPr="00C00255">
        <w:rPr>
          <w:szCs w:val="24"/>
          <w:lang w:eastAsia="lt-LT" w:bidi="lt-LT"/>
        </w:rPr>
        <w:t xml:space="preserve"> minėtas praporščikas buvo </w:t>
      </w:r>
      <w:r>
        <w:rPr>
          <w:szCs w:val="24"/>
          <w:lang w:eastAsia="lt-LT" w:bidi="lt-LT"/>
        </w:rPr>
        <w:t>A. I.</w:t>
      </w:r>
      <w:r w:rsidRPr="00C00255">
        <w:rPr>
          <w:szCs w:val="24"/>
          <w:lang w:eastAsia="lt-LT" w:bidi="lt-LT"/>
        </w:rPr>
        <w:t xml:space="preserve"> – iš 1-osios ir 2-osios kuopos karių sąrašo matyti, kad tik jis iš LRT puolime dalyvavusių kariškių turėjo tokį karinį laipsnį (</w:t>
      </w:r>
      <w:r w:rsidRPr="00C00255">
        <w:rPr>
          <w:szCs w:val="24"/>
          <w:lang w:eastAsia="lt-LT"/>
        </w:rPr>
        <w:t xml:space="preserve">t. 437, b. l. 4–6; t. 124, b. l. 2–4). Iš sąrašo matyti ir tai, kad </w:t>
      </w:r>
      <w:r>
        <w:rPr>
          <w:szCs w:val="24"/>
          <w:lang w:eastAsia="lt-LT"/>
        </w:rPr>
        <w:t>I. B.</w:t>
      </w:r>
      <w:r w:rsidRPr="00C00255">
        <w:rPr>
          <w:szCs w:val="24"/>
          <w:lang w:eastAsia="lt-LT"/>
        </w:rPr>
        <w:t xml:space="preserve">, </w:t>
      </w:r>
      <w:r>
        <w:rPr>
          <w:szCs w:val="24"/>
          <w:lang w:eastAsia="lt-LT"/>
        </w:rPr>
        <w:t>A. A.</w:t>
      </w:r>
      <w:r w:rsidRPr="00C00255">
        <w:rPr>
          <w:szCs w:val="24"/>
          <w:lang w:eastAsia="lt-LT"/>
        </w:rPr>
        <w:t xml:space="preserve"> bei </w:t>
      </w:r>
      <w:r>
        <w:rPr>
          <w:szCs w:val="24"/>
          <w:lang w:eastAsia="lt-LT"/>
        </w:rPr>
        <w:t>D. Z.</w:t>
      </w:r>
      <w:r w:rsidRPr="00C00255">
        <w:rPr>
          <w:szCs w:val="24"/>
          <w:lang w:eastAsia="lt-LT"/>
        </w:rPr>
        <w:t xml:space="preserve"> buvo žemesnio rango nei </w:t>
      </w:r>
      <w:r>
        <w:rPr>
          <w:szCs w:val="24"/>
          <w:lang w:eastAsia="lt-LT"/>
        </w:rPr>
        <w:t>A. I.</w:t>
      </w:r>
      <w:r w:rsidRPr="00C00255">
        <w:rPr>
          <w:szCs w:val="24"/>
          <w:lang w:eastAsia="lt-LT"/>
        </w:rPr>
        <w:t xml:space="preserve">. Taigi keturių kariškių grupėje vyriausiuoju buvo </w:t>
      </w:r>
      <w:r>
        <w:rPr>
          <w:szCs w:val="24"/>
          <w:lang w:eastAsia="lt-LT"/>
        </w:rPr>
        <w:t>A. I.</w:t>
      </w:r>
      <w:r w:rsidRPr="00C00255">
        <w:rPr>
          <w:szCs w:val="24"/>
          <w:lang w:eastAsia="lt-LT"/>
        </w:rPr>
        <w:t xml:space="preserve">, kuriam likę kariškiai buvo pavaldūs. Teisėjų kolegija pažymi, kad liudytojo nurodytos aplinkybės dėl kariškių skaičiaus grupėje, buvimo vietos LRT šturmo metu, atitinka ir ikiteisminio tyrimo metu pateiktus nuteistojo </w:t>
      </w:r>
      <w:r>
        <w:rPr>
          <w:szCs w:val="24"/>
          <w:lang w:eastAsia="lt-LT"/>
        </w:rPr>
        <w:t>A. I.</w:t>
      </w:r>
      <w:r w:rsidRPr="00C00255">
        <w:rPr>
          <w:szCs w:val="24"/>
          <w:lang w:eastAsia="lt-LT"/>
        </w:rPr>
        <w:t xml:space="preserve"> papildomus rašytinius paaiškinimus.</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bookmarkStart w:id="640" w:name="_Hlk65097026"/>
      <w:r w:rsidRPr="00C00255">
        <w:rPr>
          <w:color w:val="000000"/>
          <w:szCs w:val="24"/>
          <w:lang w:eastAsia="lt-LT" w:bidi="lt-LT"/>
        </w:rPr>
        <w:t xml:space="preserve">Apeliacinės instancijos teismo teisėjų kolegijos įsitikinimu, aptarti liudytojų parodymai ne tik leidžia patikrinti jau šioje dalyje išdėstytus įrodymus, bylojančius apie </w:t>
      </w:r>
      <w:r>
        <w:rPr>
          <w:color w:val="000000"/>
          <w:szCs w:val="24"/>
          <w:lang w:eastAsia="lt-LT" w:bidi="lt-LT"/>
        </w:rPr>
        <w:t>A. I.</w:t>
      </w:r>
      <w:r w:rsidRPr="00C00255">
        <w:rPr>
          <w:color w:val="000000"/>
          <w:szCs w:val="24"/>
          <w:lang w:eastAsia="lt-LT" w:bidi="lt-LT"/>
        </w:rPr>
        <w:t xml:space="preserve"> vadovaujamą vaidmenį šturmuojant LRT Radijo pastatą, bet ir juos nuosekliai papildo. </w:t>
      </w:r>
      <w:bookmarkEnd w:id="640"/>
      <w:r w:rsidRPr="00C00255">
        <w:rPr>
          <w:szCs w:val="24"/>
          <w:lang w:eastAsia="lt-LT"/>
        </w:rPr>
        <w:t xml:space="preserve">Aptarti duomenys leidžia kaip nepagrįstą atmesti ir gynybos versiją, kad nuteistasis neturėjo įgalinimų duoti įsakymų kitiems kariškiams.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bidi="lt-LT"/>
        </w:rPr>
        <w:t>Teisėjų kolegija konstatuoja, kad visos skundžiamu nuosprendžiu įrodytomis pripažintos nuteistajam</w:t>
      </w:r>
      <w:r w:rsidRPr="00C00255">
        <w:t xml:space="preserve"> </w:t>
      </w:r>
      <w:r>
        <w:rPr>
          <w:szCs w:val="24"/>
        </w:rPr>
        <w:t>A. I.</w:t>
      </w:r>
      <w:r w:rsidRPr="00C00255">
        <w:rPr>
          <w:szCs w:val="24"/>
        </w:rPr>
        <w:t xml:space="preserve"> </w:t>
      </w:r>
      <w:r w:rsidRPr="00C00255">
        <w:t>inkriminuotos faktinės aplinkybės, susijusios su jo veiksmais užimant LRT Radijo pastatą (nuosprendžio 514–520 l.), pasitvirtino kaip pagrįstos ir teisingos</w:t>
      </w:r>
      <w:r w:rsidRPr="00C00255">
        <w:rPr>
          <w:szCs w:val="24"/>
        </w:rPr>
        <w:t>.</w:t>
      </w:r>
    </w:p>
    <w:p w:rsidR="00DA38E9" w:rsidRPr="00C00255" w:rsidRDefault="00DA38E9" w:rsidP="00DA38E9">
      <w:pPr>
        <w:pStyle w:val="Heading4"/>
        <w:spacing w:before="120" w:after="120"/>
        <w:ind w:left="993"/>
        <w:rPr>
          <w:rFonts w:ascii="Times New Roman" w:hAnsi="Times New Roman"/>
          <w:b w:val="0"/>
          <w:i/>
          <w:sz w:val="24"/>
          <w:szCs w:val="24"/>
        </w:rPr>
      </w:pPr>
      <w:bookmarkStart w:id="641" w:name="_Toc66697298"/>
      <w:r w:rsidRPr="00C00255">
        <w:rPr>
          <w:rFonts w:ascii="Times New Roman" w:hAnsi="Times New Roman"/>
          <w:b w:val="0"/>
          <w:i/>
          <w:sz w:val="24"/>
          <w:szCs w:val="24"/>
        </w:rPr>
        <w:t>Dėl 234-ojo pulko 3-iojo bataliono 7-ajai kuopai vadovavusių kariškių dalyvavimo užimant LRT Televizijos pastatą</w:t>
      </w:r>
      <w:bookmarkEnd w:id="641"/>
    </w:p>
    <w:p w:rsidR="00DA38E9" w:rsidRPr="005D022C" w:rsidRDefault="00DA38E9" w:rsidP="00DA38E9">
      <w:pPr>
        <w:pStyle w:val="ListParagraph"/>
        <w:numPr>
          <w:ilvl w:val="0"/>
          <w:numId w:val="6"/>
        </w:numPr>
        <w:spacing w:before="120" w:after="120"/>
        <w:ind w:left="993" w:hanging="993"/>
        <w:contextualSpacing w:val="0"/>
        <w:rPr>
          <w:szCs w:val="24"/>
          <w:lang w:eastAsia="lt-LT"/>
        </w:rPr>
      </w:pPr>
      <w:r w:rsidRPr="005D022C">
        <w:rPr>
          <w:szCs w:val="24"/>
          <w:lang w:eastAsia="lt-LT"/>
        </w:rPr>
        <w:t>Kaip minėta, užimant LRT pastatus, be jau aptartų oro desanto kariškių iš TSRS GM 76-osios oro desanto divizijos 237-ojo pulko 1-ojo bataliono 1-osios ir 2-osios kuopų, dalyvavo ir kiti kariškiai iš minėtos divizijos 234-ojo pulko. Vieną iš šio pulko kariškių grupių sudarė kariškiai iš 3-iojo bataliono 7-osios kuopos, kuriems kartu su kitais kariškiais, kurių atsakomybės klausimas šioje byloje nesprendžiamas, vadovavo ir nuteistieji S. M., V. S. 3, A. N. 2 , A. S. bei A. C.. Pagal teismo nuosprendžiu nustatytas aplinkybes minėti nuteistieji ir jų vadovaujami oro desanto kariškiai, atvykę BMD ir išsirikiavę priešais puolamą LRT Televizijos (9 aukštų) pastatą bei nukreipę į jį BMD mašinų šviesos prietaisus, naudodami jėgą, ginklus ir artimus kovos veiksmus civilių žmonių atžvilgiu (stumdydami, smūgiuodami kumščiais, spardydami kojomis, suduodami ginklais ir kitomis priemonėmis), brovėsi iki šio pastato, kuriame jau buvo dalis VSK „A“ grupės kariškių, o taip pat šalino civilius iš LRT Televizijos (9 aukštų) pastato teritorijos.</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42" w:name="_Toc66697299"/>
      <w:r w:rsidRPr="00C00255">
        <w:rPr>
          <w:rFonts w:ascii="Times New Roman" w:hAnsi="Times New Roman" w:cs="Times New Roman"/>
          <w:i/>
          <w:color w:val="auto"/>
        </w:rPr>
        <w:t xml:space="preserve">Dėl nuteistojo </w:t>
      </w:r>
      <w:r>
        <w:rPr>
          <w:rFonts w:ascii="Times New Roman" w:hAnsi="Times New Roman" w:cs="Times New Roman"/>
          <w:i/>
          <w:color w:val="auto"/>
        </w:rPr>
        <w:t>V. S. 3</w:t>
      </w:r>
      <w:r w:rsidRPr="00C00255">
        <w:rPr>
          <w:rFonts w:ascii="Times New Roman" w:hAnsi="Times New Roman" w:cs="Times New Roman"/>
          <w:i/>
          <w:color w:val="auto"/>
        </w:rPr>
        <w:t xml:space="preserve"> dalyvavimo užimant LRT Televizijos pastatą</w:t>
      </w:r>
      <w:bookmarkEnd w:id="642"/>
    </w:p>
    <w:p w:rsidR="002125AE" w:rsidRPr="005D022C" w:rsidRDefault="00DA38E9" w:rsidP="002125AE">
      <w:pPr>
        <w:pStyle w:val="ListParagraph"/>
        <w:numPr>
          <w:ilvl w:val="0"/>
          <w:numId w:val="6"/>
        </w:numPr>
        <w:spacing w:before="120" w:after="120"/>
        <w:ind w:left="993" w:hanging="993"/>
        <w:contextualSpacing w:val="0"/>
        <w:rPr>
          <w:szCs w:val="24"/>
          <w:lang w:eastAsia="lt-LT"/>
        </w:rPr>
      </w:pPr>
      <w:r w:rsidRPr="005D022C">
        <w:t xml:space="preserve">Teisėjų kolegija pagrįsta laiko ir apygardos teismo išvadą, kad TSRS GM 76-osios oro desanto divizijos </w:t>
      </w:r>
      <w:bookmarkStart w:id="643" w:name="_Hlk65615916"/>
      <w:r w:rsidRPr="005D022C">
        <w:t>234-ojo pulko 3-iojo bataliono 7-osios kuopos kariškiams</w:t>
      </w:r>
      <w:bookmarkEnd w:id="643"/>
      <w:r w:rsidRPr="005D022C">
        <w:t>, kurie, būdami ginkluoti, brovėsi pro civilių minią ir vykdė kitus LRT Televizijos pastato užėmimo veiksmus, vienu iš vadovavusių asmenų buvo 3-iojo bataliono vado pavaduotojas majoras V. S. 3. Iš skundžiamo nuosprendžio matyti, kad V. S. 3 dalyvavimą ir vadovaujamą vaidmenį užimant LRT Televizijos pastatą, apygardos teismas grindė nuteistųjų ir kitų kariškių, tyrimo metu apklaustų liudytojais, parodymais</w:t>
      </w:r>
      <w:r w:rsidRPr="005D022C">
        <w:rPr>
          <w:szCs w:val="24"/>
          <w:lang w:eastAsia="lt-LT"/>
        </w:rPr>
        <w:t xml:space="preserve"> </w:t>
      </w:r>
      <w:r w:rsidRPr="005D022C">
        <w:t>(nuosprendžio 782–791 l.; t. 772, b. l. 182–191; ypač aktualus nuosprendžio 788 l.)</w:t>
      </w:r>
      <w:r w:rsidRPr="005D022C">
        <w:rPr>
          <w:szCs w:val="24"/>
          <w:lang w:eastAsia="lt-LT"/>
        </w:rPr>
        <w:t xml:space="preserve">. </w:t>
      </w:r>
    </w:p>
    <w:p w:rsidR="002125AE" w:rsidRDefault="00DA38E9" w:rsidP="002125AE">
      <w:pPr>
        <w:pStyle w:val="ListParagraph"/>
        <w:numPr>
          <w:ilvl w:val="0"/>
          <w:numId w:val="6"/>
        </w:numPr>
        <w:spacing w:before="120" w:after="120"/>
        <w:ind w:left="993" w:hanging="993"/>
        <w:contextualSpacing w:val="0"/>
        <w:rPr>
          <w:szCs w:val="24"/>
          <w:lang w:eastAsia="lt-LT"/>
        </w:rPr>
      </w:pPr>
      <w:r w:rsidRPr="005D022C">
        <w:t>Nuteistojo V. S. 3 gynėja apeliaciniame skunde teigia, kad teismas neteisingai įvertino įrodymus: a) pripažindamas nuteistąjį kaltu, vadovavosi ne visais posėdyje ištirtais įrodymais bei pirmenybę teikė jį kaltinantiems duomenims bei ignoravo jį teisinančius duomenis; b) nepateikti motyvai, kodėl vadovautasi vienais, o ne kitais įrodymais; c) įrodymais negalėjo būti pripažinti V. S. 3, tyrimo metu apklausto liudytoju, parodymai. Tokių apeliacinio skundo argumentų kontekste teisėjų kolegija pažymi, kad V. S. 3 vaidmuo užimant LRT Televizijos pastatą yra patvirtintas iš skirtingų įrodymų šaltinių gautais ir BPK 20 straipsnio reikalavimus atitinkančiais duomenimis. Teisėjų kolegijos vertinimu, V. S. 3 gynėjos skunde pateikiami ir išskiriami tik tie duomenys, kurie naudingi jos ginamajam.</w:t>
      </w:r>
    </w:p>
    <w:p w:rsidR="00DA38E9" w:rsidRPr="002125AE" w:rsidRDefault="00DA38E9" w:rsidP="002125AE">
      <w:pPr>
        <w:pStyle w:val="ListParagraph"/>
        <w:numPr>
          <w:ilvl w:val="0"/>
          <w:numId w:val="6"/>
        </w:numPr>
        <w:spacing w:before="120" w:after="120"/>
        <w:ind w:left="993" w:hanging="993"/>
        <w:contextualSpacing w:val="0"/>
        <w:rPr>
          <w:szCs w:val="24"/>
          <w:lang w:eastAsia="lt-LT"/>
        </w:rPr>
      </w:pPr>
      <w:r w:rsidRPr="005D022C">
        <w:t>Pirmiausia, apie V. S. 3 dalyvavimą ir vadovavimą pavaldiems 7-osios kuopos kariškiams įsibraunant į LRT Televizijos pastatą patvirtina objektyvūs rašytiniai</w:t>
      </w:r>
      <w:r w:rsidRPr="002125AE">
        <w:rPr>
          <w:szCs w:val="24"/>
          <w:lang w:eastAsia="lt-LT"/>
        </w:rPr>
        <w:t xml:space="preserve"> </w:t>
      </w:r>
      <w:r w:rsidRPr="005D022C">
        <w:t>įrodymai.</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Pr>
          <w:szCs w:val="24"/>
          <w:lang w:eastAsia="lt-LT"/>
        </w:rPr>
        <w:t>V. S. 3</w:t>
      </w:r>
      <w:r w:rsidRPr="00C00255">
        <w:rPr>
          <w:szCs w:val="24"/>
          <w:lang w:eastAsia="lt-LT"/>
        </w:rPr>
        <w:t xml:space="preserve"> dalyvavimą užimant LRT patvirtina byloje esanti eksperto išvada Nr. 20 apie šių įvykių metu jo patirtą traumą (t. 441, b. l. 131; t. 128, b. l. 111–112).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bookmarkStart w:id="644" w:name="_Hlk65618131"/>
      <w:r w:rsidRPr="00C00255">
        <w:rPr>
          <w:szCs w:val="24"/>
          <w:lang w:eastAsia="lt-LT"/>
        </w:rPr>
        <w:t xml:space="preserve">Iš byloje esančio LRT užėmime dalyvavusių kariškių sąrašo, pavadinimu „74268 karinio dalinio personalo, kuris 1991 metais sausio 13 d. dalyvavo operacijoje dėl televizijos ir radijo centro užėmimo apsaugos tikslais“ matyti, </w:t>
      </w:r>
      <w:bookmarkEnd w:id="644"/>
      <w:r w:rsidRPr="00C00255">
        <w:rPr>
          <w:szCs w:val="24"/>
          <w:lang w:eastAsia="lt-LT"/>
        </w:rPr>
        <w:t xml:space="preserve">kad įvykiuose dalyvavo ir </w:t>
      </w:r>
      <w:r>
        <w:rPr>
          <w:szCs w:val="24"/>
          <w:lang w:eastAsia="lt-LT"/>
        </w:rPr>
        <w:t>V. S. 3</w:t>
      </w:r>
      <w:r w:rsidRPr="00C00255">
        <w:rPr>
          <w:szCs w:val="24"/>
          <w:lang w:eastAsia="lt-LT"/>
        </w:rPr>
        <w:t xml:space="preserve">, kuris įvykių metu buvo 3-iojo parašiutininkų-desantininkų bataliono, kurio sudėtyje buvo ir 7-oji kuopa, vadovybės narys bei turėjo majoro karinį laipsnį (t. 429, b. l. 109–111; t. 116, b. l. 144–146; t. 451, b. l. 106–108; t. 152, b. l. 145–147). Taigi 7-osios kuopos kariškiai, dalyvavę užimant LRT Televizijos pastatą, buvo pavaldūs majorui </w:t>
      </w:r>
      <w:r>
        <w:rPr>
          <w:szCs w:val="24"/>
          <w:lang w:eastAsia="lt-LT"/>
        </w:rPr>
        <w:t>V. S. 3</w:t>
      </w:r>
      <w:r w:rsidRPr="00C00255">
        <w:rPr>
          <w:szCs w:val="24"/>
          <w:lang w:eastAsia="lt-LT"/>
        </w:rPr>
        <w:t xml:space="preserve">, kurio karinis laipsnis buvo vienas iš aukščiausių ir aukštesnis nei atskirų kuopų būriams vadovavusių kariškių, kurie buvo pavaldūs bataliono vadovybei, t. y. </w:t>
      </w:r>
      <w:r>
        <w:rPr>
          <w:szCs w:val="24"/>
          <w:lang w:eastAsia="lt-LT"/>
        </w:rPr>
        <w:t>V. S. 3</w:t>
      </w:r>
      <w:r w:rsidRPr="00C00255">
        <w:rPr>
          <w:szCs w:val="24"/>
          <w:lang w:eastAsia="lt-LT"/>
        </w:rPr>
        <w:t xml:space="preserve">). </w:t>
      </w:r>
      <w:r>
        <w:rPr>
          <w:szCs w:val="24"/>
          <w:lang w:eastAsia="lt-LT"/>
        </w:rPr>
        <w:t>V. S. 3</w:t>
      </w:r>
      <w:r w:rsidRPr="00C00255">
        <w:rPr>
          <w:szCs w:val="24"/>
          <w:lang w:eastAsia="lt-LT"/>
        </w:rPr>
        <w:t xml:space="preserve"> karinis laipsnis tarp įvykiuose prie LRT dalyvavusių oro desantininkų buvo žemesnis tik už papulkininkio </w:t>
      </w:r>
      <w:r>
        <w:rPr>
          <w:szCs w:val="24"/>
          <w:lang w:eastAsia="lt-LT"/>
        </w:rPr>
        <w:t>G. G.</w:t>
      </w:r>
      <w:r w:rsidRPr="00C00255">
        <w:rPr>
          <w:szCs w:val="24"/>
          <w:lang w:eastAsia="lt-LT"/>
        </w:rPr>
        <w:t xml:space="preserve"> karinį laipsnį. Šiame kontekste pažymėtina tai, kad </w:t>
      </w:r>
      <w:r>
        <w:rPr>
          <w:szCs w:val="24"/>
          <w:lang w:eastAsia="lt-LT"/>
        </w:rPr>
        <w:t>V. S. 3</w:t>
      </w:r>
      <w:r w:rsidRPr="00C00255">
        <w:rPr>
          <w:szCs w:val="24"/>
          <w:lang w:eastAsia="lt-LT"/>
        </w:rPr>
        <w:t xml:space="preserve"> gynėja neginčija paties fakto, jog šiuose įvykiuose jos ginamasis dalyvavo (ji ginčija tik jo įgaliojimų įvykio vietoje apimtį ir pan. aspektus).</w:t>
      </w:r>
    </w:p>
    <w:p w:rsidR="00DA38E9" w:rsidRPr="00C00255" w:rsidRDefault="00DA38E9" w:rsidP="00DA38E9">
      <w:pPr>
        <w:pStyle w:val="ListParagraph"/>
        <w:numPr>
          <w:ilvl w:val="0"/>
          <w:numId w:val="6"/>
        </w:numPr>
        <w:ind w:left="993" w:hanging="993"/>
        <w:rPr>
          <w:szCs w:val="24"/>
          <w:lang w:eastAsia="lt-LT"/>
        </w:rPr>
      </w:pPr>
      <w:r w:rsidRPr="00C00255">
        <w:t xml:space="preserve">Teisėjų kolegijos vidinį įsitikinimą dėl skundžiamame nuosprendyje konstatuoto </w:t>
      </w:r>
      <w:r>
        <w:t>V. S. 3</w:t>
      </w:r>
      <w:r w:rsidRPr="00C00255">
        <w:t xml:space="preserve"> dalyvavimo ir vadovaujamo vaidmens LRT Televizijos pastato užėmimo metu formuoja ir ikiteisminio tyrimo metu apklaustų, liudytojų statusą šiame procese turinčių bei užimant LRT Televizijos pastatą dalyvavusių, 7-osios kuopos kariškių parodymai, perskaityti teisiamajame posėdyje </w:t>
      </w:r>
      <w:r w:rsidRPr="00C00255">
        <w:rPr>
          <w:szCs w:val="24"/>
          <w:lang w:eastAsia="lt-LT"/>
        </w:rPr>
        <w:t>(</w:t>
      </w:r>
      <w:r w:rsidRPr="00C00255">
        <w:rPr>
          <w:szCs w:val="24"/>
          <w:lang w:eastAsia="lt-LT" w:bidi="lt-LT"/>
        </w:rPr>
        <w:t>t. 760, b. l. 116–119, 121–122</w:t>
      </w:r>
      <w:r w:rsidRPr="00C00255">
        <w:rPr>
          <w:szCs w:val="24"/>
          <w:lang w:eastAsia="lt-LT"/>
        </w:rPr>
        <w:t>). Pažymėtina, kad daugiau nei dešimt kariškių – I. S</w:t>
      </w:r>
      <w:r>
        <w:rPr>
          <w:szCs w:val="24"/>
          <w:lang w:eastAsia="lt-LT"/>
        </w:rPr>
        <w:t>.</w:t>
      </w:r>
      <w:r w:rsidRPr="00C00255">
        <w:rPr>
          <w:szCs w:val="24"/>
          <w:lang w:eastAsia="lt-LT"/>
        </w:rPr>
        <w:t>, A. T</w:t>
      </w:r>
      <w:r>
        <w:rPr>
          <w:szCs w:val="24"/>
          <w:lang w:eastAsia="lt-LT"/>
        </w:rPr>
        <w:t>.</w:t>
      </w:r>
      <w:r w:rsidRPr="00C00255">
        <w:rPr>
          <w:szCs w:val="24"/>
          <w:lang w:eastAsia="lt-LT"/>
        </w:rPr>
        <w:t xml:space="preserve">, </w:t>
      </w:r>
      <w:r>
        <w:rPr>
          <w:szCs w:val="24"/>
          <w:lang w:eastAsia="lt-LT"/>
        </w:rPr>
        <w:t>M. S.</w:t>
      </w:r>
      <w:r w:rsidRPr="00C00255">
        <w:rPr>
          <w:szCs w:val="24"/>
          <w:lang w:eastAsia="lt-LT"/>
        </w:rPr>
        <w:t>, R.</w:t>
      </w:r>
      <w:r>
        <w:rPr>
          <w:szCs w:val="24"/>
          <w:lang w:eastAsia="lt-LT"/>
        </w:rPr>
        <w:t> </w:t>
      </w:r>
      <w:r w:rsidRPr="00C00255">
        <w:rPr>
          <w:szCs w:val="24"/>
          <w:lang w:eastAsia="lt-LT"/>
        </w:rPr>
        <w:t>S</w:t>
      </w:r>
      <w:r>
        <w:rPr>
          <w:szCs w:val="24"/>
          <w:lang w:eastAsia="lt-LT"/>
        </w:rPr>
        <w:t>.</w:t>
      </w:r>
      <w:r w:rsidRPr="00C00255">
        <w:rPr>
          <w:szCs w:val="24"/>
          <w:lang w:eastAsia="lt-LT"/>
        </w:rPr>
        <w:t xml:space="preserve">, </w:t>
      </w:r>
      <w:r>
        <w:rPr>
          <w:szCs w:val="24"/>
          <w:lang w:eastAsia="lt-LT"/>
        </w:rPr>
        <w:t>S. P.</w:t>
      </w:r>
      <w:r w:rsidRPr="00C00255">
        <w:rPr>
          <w:szCs w:val="24"/>
          <w:lang w:eastAsia="lt-LT"/>
        </w:rPr>
        <w:t>, N. S</w:t>
      </w:r>
      <w:r>
        <w:rPr>
          <w:szCs w:val="24"/>
          <w:lang w:eastAsia="lt-LT"/>
        </w:rPr>
        <w:t>.</w:t>
      </w:r>
      <w:r w:rsidRPr="00C00255">
        <w:rPr>
          <w:szCs w:val="24"/>
          <w:lang w:eastAsia="lt-LT"/>
        </w:rPr>
        <w:t xml:space="preserve">, </w:t>
      </w:r>
      <w:r>
        <w:rPr>
          <w:szCs w:val="24"/>
          <w:lang w:eastAsia="lt-LT"/>
        </w:rPr>
        <w:t>F. I.</w:t>
      </w:r>
      <w:r w:rsidRPr="00C00255">
        <w:rPr>
          <w:szCs w:val="24"/>
          <w:lang w:eastAsia="lt-LT"/>
        </w:rPr>
        <w:t>, A. P</w:t>
      </w:r>
      <w:r>
        <w:rPr>
          <w:szCs w:val="24"/>
          <w:lang w:eastAsia="lt-LT"/>
        </w:rPr>
        <w:t>.</w:t>
      </w:r>
      <w:r w:rsidRPr="00C00255">
        <w:rPr>
          <w:szCs w:val="24"/>
          <w:lang w:eastAsia="lt-LT"/>
        </w:rPr>
        <w:t>, S.</w:t>
      </w:r>
      <w:r>
        <w:rPr>
          <w:szCs w:val="24"/>
          <w:lang w:eastAsia="lt-LT"/>
        </w:rPr>
        <w:t> </w:t>
      </w:r>
      <w:r w:rsidRPr="00C00255">
        <w:rPr>
          <w:szCs w:val="24"/>
          <w:lang w:eastAsia="lt-LT"/>
        </w:rPr>
        <w:t>Č</w:t>
      </w:r>
      <w:r>
        <w:rPr>
          <w:szCs w:val="24"/>
          <w:lang w:eastAsia="lt-LT"/>
        </w:rPr>
        <w:t>.</w:t>
      </w:r>
      <w:r w:rsidRPr="00C00255">
        <w:rPr>
          <w:szCs w:val="24"/>
          <w:lang w:eastAsia="lt-LT"/>
        </w:rPr>
        <w:t xml:space="preserve">, </w:t>
      </w:r>
      <w:r>
        <w:rPr>
          <w:szCs w:val="24"/>
          <w:lang w:eastAsia="lt-LT"/>
        </w:rPr>
        <w:t>S. L.</w:t>
      </w:r>
      <w:r w:rsidRPr="00C00255">
        <w:rPr>
          <w:szCs w:val="24"/>
          <w:lang w:eastAsia="lt-LT"/>
        </w:rPr>
        <w:t xml:space="preserve">, </w:t>
      </w:r>
      <w:r>
        <w:rPr>
          <w:szCs w:val="24"/>
          <w:lang w:eastAsia="lt-LT"/>
        </w:rPr>
        <w:t>I. M.</w:t>
      </w:r>
      <w:r w:rsidRPr="00C00255">
        <w:rPr>
          <w:szCs w:val="24"/>
          <w:lang w:eastAsia="lt-LT"/>
        </w:rPr>
        <w:t xml:space="preserve">, </w:t>
      </w:r>
      <w:r>
        <w:rPr>
          <w:szCs w:val="24"/>
          <w:lang w:eastAsia="lt-LT"/>
        </w:rPr>
        <w:t>I. R.</w:t>
      </w:r>
      <w:r w:rsidRPr="00C00255">
        <w:rPr>
          <w:szCs w:val="24"/>
          <w:lang w:eastAsia="lt-LT"/>
        </w:rPr>
        <w:t xml:space="preserve">, </w:t>
      </w:r>
      <w:r>
        <w:rPr>
          <w:szCs w:val="24"/>
          <w:lang w:eastAsia="lt-LT"/>
        </w:rPr>
        <w:t>V. L.</w:t>
      </w:r>
      <w:r w:rsidRPr="00C00255">
        <w:rPr>
          <w:szCs w:val="24"/>
          <w:lang w:eastAsia="lt-LT"/>
        </w:rPr>
        <w:t xml:space="preserve">, </w:t>
      </w:r>
      <w:r>
        <w:rPr>
          <w:szCs w:val="24"/>
          <w:lang w:eastAsia="lt-LT"/>
        </w:rPr>
        <w:t>D. N.</w:t>
      </w:r>
      <w:r w:rsidRPr="00C00255">
        <w:rPr>
          <w:szCs w:val="24"/>
          <w:lang w:eastAsia="lt-LT"/>
        </w:rPr>
        <w:t xml:space="preserve">, </w:t>
      </w:r>
      <w:r>
        <w:rPr>
          <w:szCs w:val="24"/>
          <w:lang w:eastAsia="lt-LT"/>
        </w:rPr>
        <w:t>V. M.</w:t>
      </w:r>
      <w:r w:rsidRPr="00C00255">
        <w:rPr>
          <w:szCs w:val="24"/>
          <w:lang w:eastAsia="lt-LT"/>
        </w:rPr>
        <w:t xml:space="preserve"> ir </w:t>
      </w:r>
      <w:r>
        <w:rPr>
          <w:szCs w:val="24"/>
          <w:lang w:eastAsia="lt-LT"/>
        </w:rPr>
        <w:t>V. K.</w:t>
      </w:r>
      <w:r w:rsidRPr="00C00255">
        <w:rPr>
          <w:szCs w:val="24"/>
          <w:lang w:eastAsia="lt-LT"/>
        </w:rPr>
        <w:t xml:space="preserve"> – majorą </w:t>
      </w:r>
      <w:r>
        <w:rPr>
          <w:szCs w:val="24"/>
          <w:lang w:eastAsia="lt-LT"/>
        </w:rPr>
        <w:t>V. S. 3</w:t>
      </w:r>
      <w:r w:rsidRPr="00C00255">
        <w:rPr>
          <w:szCs w:val="24"/>
          <w:lang w:eastAsia="lt-LT"/>
        </w:rPr>
        <w:t xml:space="preserve"> įvardijo kaip vadovaujantį kariškį buvusį prie LRT, todėl toliau aptariami tik tų liudytojų parodymai, kurie aiškiausiai leidžia nustatyti ir atskleisti </w:t>
      </w:r>
      <w:r>
        <w:rPr>
          <w:szCs w:val="24"/>
          <w:lang w:eastAsia="lt-LT"/>
        </w:rPr>
        <w:t>V. S. 3</w:t>
      </w:r>
      <w:r w:rsidRPr="00C00255">
        <w:rPr>
          <w:szCs w:val="24"/>
          <w:lang w:eastAsia="lt-LT"/>
        </w:rPr>
        <w:t xml:space="preserve"> atliktus veiksmus bei jo vadovaujamą vaidmenį užimant LRT Televizijos pastatą.</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Kuopos eilinis N. S</w:t>
      </w:r>
      <w:r>
        <w:rPr>
          <w:szCs w:val="24"/>
          <w:lang w:eastAsia="lt-LT"/>
        </w:rPr>
        <w:t>.</w:t>
      </w:r>
      <w:r w:rsidRPr="00C00255">
        <w:rPr>
          <w:szCs w:val="24"/>
          <w:lang w:eastAsia="lt-LT"/>
        </w:rPr>
        <w:t xml:space="preserve"> nurodė, kad 1991 m. sausio 12 d. apie 23.30 val. juos išrikiavo ir bataliono pavaduojantysis politiniais klausimais </w:t>
      </w:r>
      <w:r>
        <w:rPr>
          <w:szCs w:val="24"/>
          <w:lang w:eastAsia="lt-LT"/>
        </w:rPr>
        <w:t>V. S. 3</w:t>
      </w:r>
      <w:r w:rsidRPr="00C00255">
        <w:rPr>
          <w:szCs w:val="24"/>
          <w:lang w:eastAsia="lt-LT"/>
        </w:rPr>
        <w:t xml:space="preserve"> pranešė, jog jie išvažiuoja į miestą. Sustojus prie 9 aukštų pastato ir prieš pradedant prasimušinėti pro minią, kuopos vadas </w:t>
      </w:r>
      <w:r>
        <w:rPr>
          <w:szCs w:val="24"/>
          <w:lang w:eastAsia="lt-LT"/>
        </w:rPr>
        <w:t>S. M.</w:t>
      </w:r>
      <w:r w:rsidRPr="00C00255">
        <w:rPr>
          <w:szCs w:val="24"/>
          <w:lang w:eastAsia="lt-LT"/>
        </w:rPr>
        <w:t xml:space="preserve"> ir majoras </w:t>
      </w:r>
      <w:r>
        <w:rPr>
          <w:szCs w:val="24"/>
          <w:lang w:eastAsia="lt-LT"/>
        </w:rPr>
        <w:t>V. S. 3</w:t>
      </w:r>
      <w:r w:rsidRPr="00C00255">
        <w:rPr>
          <w:szCs w:val="24"/>
          <w:lang w:eastAsia="lt-LT"/>
        </w:rPr>
        <w:t xml:space="preserve"> reikalavo civilių, kad jie išsiskirstytų. Kai prasimušė iki įėjimo, iš majoro </w:t>
      </w:r>
      <w:r>
        <w:rPr>
          <w:szCs w:val="24"/>
          <w:lang w:eastAsia="lt-LT"/>
        </w:rPr>
        <w:t>V. S. 3</w:t>
      </w:r>
      <w:r w:rsidRPr="00C00255">
        <w:rPr>
          <w:szCs w:val="24"/>
          <w:lang w:eastAsia="lt-LT"/>
        </w:rPr>
        <w:t xml:space="preserve"> buvo gauta komanda nustumti minią prie kelio (t. 436, b. l.</w:t>
      </w:r>
      <w:r w:rsidRPr="00C00255">
        <w:t> </w:t>
      </w:r>
      <w:r w:rsidRPr="00C00255">
        <w:rPr>
          <w:szCs w:val="24"/>
          <w:lang w:eastAsia="lt-LT"/>
        </w:rPr>
        <w:t xml:space="preserve">55–58; t. 123, b. l. 100–111). Apie </w:t>
      </w:r>
      <w:r>
        <w:rPr>
          <w:szCs w:val="24"/>
          <w:lang w:eastAsia="lt-LT"/>
        </w:rPr>
        <w:t>V. S. 3</w:t>
      </w:r>
      <w:r w:rsidRPr="00C00255">
        <w:rPr>
          <w:szCs w:val="24"/>
          <w:lang w:eastAsia="lt-LT"/>
        </w:rPr>
        <w:t xml:space="preserve"> duotą užduotį perimti Televizijos ir radijo komiteto pastatą, nurodė ir jaunesnysis seržantas </w:t>
      </w:r>
      <w:r>
        <w:rPr>
          <w:szCs w:val="24"/>
          <w:lang w:eastAsia="lt-LT"/>
        </w:rPr>
        <w:t>F. I.</w:t>
      </w:r>
      <w:r w:rsidRPr="00C00255">
        <w:rPr>
          <w:szCs w:val="24"/>
          <w:lang w:eastAsia="lt-LT"/>
        </w:rPr>
        <w:t xml:space="preserve"> (t. 436, b. l. 78–80; t. 123, b. l. 151–156).</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Eilinis </w:t>
      </w:r>
      <w:r>
        <w:rPr>
          <w:szCs w:val="24"/>
          <w:lang w:eastAsia="lt-LT"/>
        </w:rPr>
        <w:t>S. P.</w:t>
      </w:r>
      <w:r w:rsidRPr="00C00255">
        <w:rPr>
          <w:szCs w:val="24"/>
          <w:lang w:eastAsia="lt-LT"/>
        </w:rPr>
        <w:t xml:space="preserve"> nurodė, kad kartu su jų kuopa važiavo ir majoras </w:t>
      </w:r>
      <w:r>
        <w:rPr>
          <w:szCs w:val="24"/>
          <w:lang w:eastAsia="lt-LT"/>
        </w:rPr>
        <w:t>V. S. 3</w:t>
      </w:r>
      <w:r w:rsidRPr="00C00255">
        <w:rPr>
          <w:szCs w:val="24"/>
          <w:lang w:eastAsia="lt-LT"/>
        </w:rPr>
        <w:t xml:space="preserve">, kuris vadovavo grupei, o kuopai vadovavo </w:t>
      </w:r>
      <w:r>
        <w:rPr>
          <w:szCs w:val="24"/>
          <w:lang w:eastAsia="lt-LT"/>
        </w:rPr>
        <w:t>S. M.</w:t>
      </w:r>
      <w:r w:rsidRPr="00C00255">
        <w:rPr>
          <w:szCs w:val="24"/>
          <w:lang w:eastAsia="lt-LT"/>
        </w:rPr>
        <w:t>. Abu jie miniai davė komandas išsiskirstyti (t. 436, b. l. 51–54; t. 123, b. l. 94–99).</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Eilinis </w:t>
      </w:r>
      <w:r>
        <w:rPr>
          <w:szCs w:val="24"/>
          <w:lang w:eastAsia="lt-LT"/>
        </w:rPr>
        <w:t>S. L.</w:t>
      </w:r>
      <w:r w:rsidRPr="00C00255">
        <w:rPr>
          <w:szCs w:val="24"/>
          <w:lang w:eastAsia="lt-LT"/>
        </w:rPr>
        <w:t xml:space="preserve"> nurodė, kad vykstant prie LRT, automobilyje su juo važiavo ir majoras </w:t>
      </w:r>
      <w:r>
        <w:rPr>
          <w:szCs w:val="24"/>
          <w:lang w:eastAsia="lt-LT"/>
        </w:rPr>
        <w:t>V. S. 3</w:t>
      </w:r>
      <w:r w:rsidRPr="00C00255">
        <w:rPr>
          <w:szCs w:val="24"/>
          <w:lang w:eastAsia="lt-LT"/>
        </w:rPr>
        <w:t>, kuris buvo mašinos vyriausiuoju (t. 436, b. l. 113–117; t. 123, b. l. 215–232).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Eilinis </w:t>
      </w:r>
      <w:r>
        <w:rPr>
          <w:szCs w:val="24"/>
          <w:lang w:eastAsia="lt-LT"/>
        </w:rPr>
        <w:t>I. M.</w:t>
      </w:r>
      <w:r w:rsidRPr="00C00255">
        <w:rPr>
          <w:szCs w:val="24"/>
          <w:lang w:eastAsia="lt-LT"/>
        </w:rPr>
        <w:t xml:space="preserve"> nurodė, kad vyresniuoju kariškiu kolonoje, prieš jiems išvažiuojant iš parko, buvo majoras </w:t>
      </w:r>
      <w:r>
        <w:rPr>
          <w:szCs w:val="24"/>
          <w:lang w:eastAsia="lt-LT"/>
        </w:rPr>
        <w:t>V. S. 2</w:t>
      </w:r>
      <w:r w:rsidRPr="00C00255">
        <w:rPr>
          <w:szCs w:val="24"/>
          <w:lang w:eastAsia="lt-LT"/>
        </w:rPr>
        <w:t xml:space="preserve">, tačiau iš jo išvykus ir padalinus koloną, vyriausiuoju tapo majoras </w:t>
      </w:r>
      <w:r>
        <w:rPr>
          <w:szCs w:val="24"/>
          <w:lang w:eastAsia="lt-LT"/>
        </w:rPr>
        <w:t>V. S. 3</w:t>
      </w:r>
      <w:r w:rsidRPr="00C00255">
        <w:rPr>
          <w:szCs w:val="24"/>
          <w:lang w:eastAsia="lt-LT"/>
        </w:rPr>
        <w:t xml:space="preserve"> (t. 436, b. l. 134–137; t. 123, b. l. 267–271).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Teisėjų kolegijos vertinimu, minėti parodymai </w:t>
      </w:r>
      <w:r w:rsidRPr="00C00255">
        <w:t xml:space="preserve">yra </w:t>
      </w:r>
      <w:r w:rsidRPr="00C00255">
        <w:rPr>
          <w:color w:val="000000"/>
          <w:szCs w:val="24"/>
          <w:lang w:eastAsia="lt-LT" w:bidi="lt-LT"/>
        </w:rPr>
        <w:t xml:space="preserve">aktualūs tikrinant šioje dalyje jau aptartus įrodymus apie </w:t>
      </w:r>
      <w:r>
        <w:rPr>
          <w:color w:val="000000"/>
          <w:szCs w:val="24"/>
          <w:lang w:eastAsia="lt-LT" w:bidi="lt-LT"/>
        </w:rPr>
        <w:t>V. S. 3</w:t>
      </w:r>
      <w:r w:rsidRPr="00C00255">
        <w:rPr>
          <w:color w:val="000000"/>
          <w:szCs w:val="24"/>
          <w:lang w:eastAsia="lt-LT" w:bidi="lt-LT"/>
        </w:rPr>
        <w:t xml:space="preserve"> vaidmenį užimant LRT Televizijos (</w:t>
      </w:r>
      <w:r w:rsidRPr="00C00255">
        <w:rPr>
          <w:szCs w:val="24"/>
          <w:lang w:eastAsia="lt-LT"/>
        </w:rPr>
        <w:t xml:space="preserve">9 aukštų) </w:t>
      </w:r>
      <w:r w:rsidRPr="00C00255">
        <w:rPr>
          <w:color w:val="000000"/>
          <w:szCs w:val="24"/>
          <w:lang w:eastAsia="lt-LT" w:bidi="lt-LT"/>
        </w:rPr>
        <w:t xml:space="preserve">pastatą. Šie parodymai atitinka ir papildo kitus jau aptartus objektyvius įrodymus bei taip pat formuoja teismo įsitikinimą, </w:t>
      </w:r>
      <w:r w:rsidRPr="00C00255">
        <w:rPr>
          <w:szCs w:val="24"/>
          <w:lang w:eastAsia="lt-LT"/>
        </w:rPr>
        <w:t xml:space="preserve">kad </w:t>
      </w:r>
      <w:r>
        <w:rPr>
          <w:szCs w:val="24"/>
          <w:lang w:eastAsia="lt-LT"/>
        </w:rPr>
        <w:t>V. S. 3</w:t>
      </w:r>
      <w:r w:rsidRPr="00C00255">
        <w:rPr>
          <w:szCs w:val="24"/>
          <w:lang w:eastAsia="lt-LT"/>
        </w:rPr>
        <w:t xml:space="preserve"> ne tik dalyvavo užimant LRT Televizijos pastatą, bet ir buvo vienu iš vadovaujančias pareigas užėmusių karininkų, davusiu įsakymus pavaldiems kariškiams ir turėjusiu galimybę priimti savarankiškus sprendimus įvykio vietoje. Skirtingi kariškiai nuosekliai akcentavo </w:t>
      </w:r>
      <w:r>
        <w:rPr>
          <w:szCs w:val="24"/>
          <w:lang w:eastAsia="lt-LT"/>
        </w:rPr>
        <w:t>V. S. 3</w:t>
      </w:r>
      <w:r w:rsidRPr="00C00255">
        <w:rPr>
          <w:szCs w:val="24"/>
          <w:lang w:eastAsia="lt-LT"/>
        </w:rPr>
        <w:t xml:space="preserve"> vadovaujamą vaidmenį užimant LRT Televizijos pastatą. </w:t>
      </w:r>
      <w:r w:rsidRPr="00C00255">
        <w:t xml:space="preserve">Minėti duomenys paneigia ir gynybos versiją, kad nuteistojo atlikti veiksmai ir nustatytas vaidmuo pagrįstas selektyviai atrinktais įrodymais – iš skirtingų šaltinių gauti duomenys patvirtina akivaizdų </w:t>
      </w:r>
      <w:r>
        <w:t>V. S. 3</w:t>
      </w:r>
      <w:r w:rsidRPr="00C00255">
        <w:t xml:space="preserve"> vadovaujamą vaidmenį ir išskirtinį statusą oro desanto pajėgose užimant LRT Televizijos pastatą.</w:t>
      </w:r>
    </w:p>
    <w:p w:rsidR="00DA38E9" w:rsidRPr="00C00255" w:rsidRDefault="00DA38E9" w:rsidP="00DA38E9">
      <w:pPr>
        <w:pStyle w:val="ListParagraph"/>
        <w:numPr>
          <w:ilvl w:val="0"/>
          <w:numId w:val="6"/>
        </w:numPr>
        <w:spacing w:before="120" w:after="120"/>
        <w:ind w:left="993" w:hanging="993"/>
        <w:contextualSpacing w:val="0"/>
      </w:pPr>
      <w:r>
        <w:rPr>
          <w:szCs w:val="24"/>
          <w:lang w:eastAsia="lt-LT"/>
        </w:rPr>
        <w:t>V. S. 3</w:t>
      </w:r>
      <w:r w:rsidRPr="00C00255">
        <w:rPr>
          <w:szCs w:val="24"/>
          <w:lang w:eastAsia="lt-LT"/>
        </w:rPr>
        <w:t xml:space="preserve"> gynėja apeliaciniame skunde taip pat teigia, kad: 1) jos ginamojo vaidmuo buvo pernelyg sureikšmintas – </w:t>
      </w:r>
      <w:r>
        <w:rPr>
          <w:szCs w:val="24"/>
          <w:lang w:eastAsia="lt-LT"/>
        </w:rPr>
        <w:t>V. S. 3</w:t>
      </w:r>
      <w:r w:rsidRPr="00C00255">
        <w:rPr>
          <w:szCs w:val="24"/>
          <w:lang w:eastAsia="lt-LT"/>
        </w:rPr>
        <w:t xml:space="preserve"> tik vykdė įsakymus, o pats </w:t>
      </w:r>
      <w:r w:rsidRPr="00C00255">
        <w:t>būdamas bataliono vado pavaduotoju be vado sutikimo kariškiams negalėjo duoti nurodymų</w:t>
      </w:r>
      <w:r w:rsidRPr="00C00255">
        <w:rPr>
          <w:szCs w:val="24"/>
          <w:lang w:eastAsia="lt-LT"/>
        </w:rPr>
        <w:t xml:space="preserve"> ir neįsakinėjo; 2) iš bylos duomenų akivaizdu, kad užimant LRT vadovaujamą vaidmenį atliko kapitonas </w:t>
      </w:r>
      <w:r>
        <w:rPr>
          <w:szCs w:val="24"/>
          <w:lang w:eastAsia="lt-LT"/>
        </w:rPr>
        <w:t>S. P.</w:t>
      </w:r>
      <w:r w:rsidRPr="00C00255">
        <w:rPr>
          <w:szCs w:val="24"/>
          <w:lang w:eastAsia="lt-LT"/>
        </w:rPr>
        <w:t xml:space="preserve">, papulkininkis </w:t>
      </w:r>
      <w:r>
        <w:rPr>
          <w:szCs w:val="24"/>
          <w:lang w:eastAsia="lt-LT"/>
        </w:rPr>
        <w:t>G. G.</w:t>
      </w:r>
      <w:r w:rsidRPr="00C00255">
        <w:rPr>
          <w:szCs w:val="24"/>
          <w:lang w:eastAsia="lt-LT"/>
        </w:rPr>
        <w:t xml:space="preserve"> ir pulkininkas </w:t>
      </w:r>
      <w:r>
        <w:rPr>
          <w:szCs w:val="24"/>
          <w:lang w:eastAsia="lt-LT"/>
        </w:rPr>
        <w:t>V. K. 1</w:t>
      </w:r>
      <w:r w:rsidRPr="00C00255">
        <w:rPr>
          <w:szCs w:val="24"/>
          <w:lang w:eastAsia="lt-LT"/>
        </w:rPr>
        <w:t xml:space="preserve">, todėl išvada apie </w:t>
      </w:r>
      <w:r>
        <w:rPr>
          <w:szCs w:val="24"/>
          <w:lang w:eastAsia="lt-LT"/>
        </w:rPr>
        <w:t>V. S. 3</w:t>
      </w:r>
      <w:r w:rsidRPr="00C00255">
        <w:rPr>
          <w:szCs w:val="24"/>
          <w:lang w:eastAsia="lt-LT"/>
        </w:rPr>
        <w:t xml:space="preserve">, </w:t>
      </w:r>
      <w:r>
        <w:rPr>
          <w:szCs w:val="24"/>
        </w:rPr>
        <w:t>S. M.</w:t>
      </w:r>
      <w:r w:rsidRPr="00C00255">
        <w:rPr>
          <w:szCs w:val="24"/>
        </w:rPr>
        <w:t xml:space="preserve">, </w:t>
      </w:r>
      <w:r w:rsidR="00902A3A">
        <w:rPr>
          <w:szCs w:val="24"/>
        </w:rPr>
        <w:t>A. N. 2</w:t>
      </w:r>
      <w:r w:rsidRPr="00C00255">
        <w:rPr>
          <w:szCs w:val="24"/>
        </w:rPr>
        <w:t xml:space="preserve"> ir </w:t>
      </w:r>
      <w:r>
        <w:rPr>
          <w:szCs w:val="24"/>
        </w:rPr>
        <w:t>A. S.</w:t>
      </w:r>
      <w:r w:rsidRPr="00C00255">
        <w:rPr>
          <w:szCs w:val="24"/>
        </w:rPr>
        <w:t xml:space="preserve"> bendrą vadovavimą užimant LRT pastatus, yra nepagrįsta; 3) </w:t>
      </w:r>
      <w:r w:rsidRPr="00C00255">
        <w:rPr>
          <w:szCs w:val="24"/>
          <w:lang w:eastAsia="lt-LT"/>
        </w:rPr>
        <w:t xml:space="preserve">BMD mašinos, kuria </w:t>
      </w:r>
      <w:r>
        <w:rPr>
          <w:szCs w:val="24"/>
          <w:lang w:eastAsia="lt-LT"/>
        </w:rPr>
        <w:t>V. S. 3</w:t>
      </w:r>
      <w:r w:rsidRPr="00C00255">
        <w:rPr>
          <w:szCs w:val="24"/>
          <w:lang w:eastAsia="lt-LT"/>
        </w:rPr>
        <w:t xml:space="preserve"> vyko prie LRT, vyriausiuoju buvo 7-osios kuopos vadas </w:t>
      </w:r>
      <w:r>
        <w:rPr>
          <w:szCs w:val="24"/>
          <w:lang w:eastAsia="lt-LT"/>
        </w:rPr>
        <w:t>S. M.</w:t>
      </w:r>
      <w:r w:rsidRPr="00C00255">
        <w:rPr>
          <w:szCs w:val="24"/>
          <w:lang w:eastAsia="lt-LT"/>
        </w:rPr>
        <w:t xml:space="preserve">; 4) pats </w:t>
      </w:r>
      <w:r>
        <w:rPr>
          <w:szCs w:val="24"/>
          <w:lang w:eastAsia="lt-LT"/>
        </w:rPr>
        <w:t>V. S. 3</w:t>
      </w:r>
      <w:r w:rsidRPr="00C00255">
        <w:rPr>
          <w:szCs w:val="24"/>
          <w:lang w:eastAsia="lt-LT"/>
        </w:rPr>
        <w:t xml:space="preserve">, nors ir turėjo automatą, tačiau jo kariškiai nešaudė ir žmonių nežalojo. </w:t>
      </w:r>
    </w:p>
    <w:p w:rsidR="00DA38E9" w:rsidRPr="00C00255" w:rsidRDefault="00DA38E9" w:rsidP="00DA38E9">
      <w:pPr>
        <w:pStyle w:val="ListParagraph"/>
        <w:numPr>
          <w:ilvl w:val="1"/>
          <w:numId w:val="6"/>
        </w:numPr>
        <w:spacing w:before="120" w:after="120"/>
        <w:ind w:left="993" w:hanging="993"/>
        <w:contextualSpacing w:val="0"/>
      </w:pPr>
      <w:r w:rsidRPr="00C00255">
        <w:t xml:space="preserve">Pirmiausia, šioje sprendimo dalyje aptarti įrodymai neleidžia abejoti, kad </w:t>
      </w:r>
      <w:r>
        <w:t>V. S. 3</w:t>
      </w:r>
      <w:r w:rsidRPr="00C00255">
        <w:t xml:space="preserve"> davė įsakymus pavaldiems kariškiams užimant LRT Televizijos pastatą. Be to, pažymėtina, kad 3-iojo bataliono vadas </w:t>
      </w:r>
      <w:r>
        <w:t>V. S. 2</w:t>
      </w:r>
      <w:r w:rsidRPr="00C00255">
        <w:t xml:space="preserve">, kurio pavaduotoju buvo </w:t>
      </w:r>
      <w:r>
        <w:t>V. S. 3</w:t>
      </w:r>
      <w:r w:rsidRPr="00C00255">
        <w:t>, įvykių metu buvo prie TV bokšto (šio sprendimo dalyje „</w:t>
      </w:r>
      <w:r w:rsidRPr="00C00255">
        <w:rPr>
          <w:i/>
          <w:szCs w:val="24"/>
        </w:rPr>
        <w:t xml:space="preserve">Dėl nuteistųjų </w:t>
      </w:r>
      <w:r>
        <w:rPr>
          <w:i/>
          <w:szCs w:val="24"/>
        </w:rPr>
        <w:t>V. K. 1</w:t>
      </w:r>
      <w:r w:rsidRPr="00C00255">
        <w:rPr>
          <w:i/>
          <w:szCs w:val="24"/>
        </w:rPr>
        <w:t xml:space="preserve"> ir </w:t>
      </w:r>
      <w:r>
        <w:rPr>
          <w:i/>
          <w:szCs w:val="24"/>
        </w:rPr>
        <w:t>V. S. 2</w:t>
      </w:r>
      <w:r w:rsidRPr="00C00255">
        <w:rPr>
          <w:i/>
          <w:szCs w:val="24"/>
        </w:rPr>
        <w:t xml:space="preserve"> dalyvavimo užimant TV bokštą</w:t>
      </w:r>
      <w:r w:rsidRPr="00C00255">
        <w:rPr>
          <w:szCs w:val="24"/>
          <w:lang w:eastAsia="lt-LT"/>
        </w:rPr>
        <w:t xml:space="preserve">“). Taigi akivaizdu, kad kaip 3-iojo bataliono vadovybės narys bei atstovas, prie LRT vyko būtent </w:t>
      </w:r>
      <w:r>
        <w:rPr>
          <w:szCs w:val="24"/>
          <w:lang w:eastAsia="lt-LT"/>
        </w:rPr>
        <w:t>V. S. 2</w:t>
      </w:r>
      <w:r w:rsidRPr="00C00255">
        <w:rPr>
          <w:szCs w:val="24"/>
          <w:lang w:eastAsia="lt-LT"/>
        </w:rPr>
        <w:t xml:space="preserve"> pavaduotojas </w:t>
      </w:r>
      <w:r>
        <w:rPr>
          <w:szCs w:val="24"/>
          <w:lang w:eastAsia="lt-LT"/>
        </w:rPr>
        <w:t>V. S. 3</w:t>
      </w:r>
      <w:r w:rsidRPr="00C00255">
        <w:rPr>
          <w:szCs w:val="24"/>
          <w:lang w:eastAsia="lt-LT"/>
        </w:rPr>
        <w:t xml:space="preserve">. Nors gynyba teigia, kad </w:t>
      </w:r>
      <w:r>
        <w:rPr>
          <w:szCs w:val="24"/>
          <w:lang w:eastAsia="lt-LT"/>
        </w:rPr>
        <w:t>V. S. 3</w:t>
      </w:r>
      <w:r w:rsidRPr="00C00255">
        <w:rPr>
          <w:szCs w:val="24"/>
          <w:lang w:eastAsia="lt-LT"/>
        </w:rPr>
        <w:t xml:space="preserve"> nebuvo nurodytas daliniui Nr. 74268 vadovavusių karininkų sąraše, tačiau jau minėti kariškių sąrašai patvirtina, jog jis buvo vyriausiuoju 3-iojo bataliono, kurio sudėtyje buvo 7-oji kuopa, vadovybės nariu, atvykusiu prie LRT. Visa tai leidžia atmesti teiginius, kad </w:t>
      </w:r>
      <w:r>
        <w:rPr>
          <w:szCs w:val="24"/>
          <w:lang w:eastAsia="lt-LT"/>
        </w:rPr>
        <w:t>V. S. 3</w:t>
      </w:r>
      <w:r w:rsidRPr="00C00255">
        <w:rPr>
          <w:szCs w:val="24"/>
          <w:lang w:eastAsia="lt-LT"/>
        </w:rPr>
        <w:t xml:space="preserve"> įvykių vietoje negalėjo duoti įsakymų. </w:t>
      </w:r>
    </w:p>
    <w:p w:rsidR="00DA38E9" w:rsidRPr="005D022C" w:rsidRDefault="00DA38E9" w:rsidP="00DA38E9">
      <w:pPr>
        <w:pStyle w:val="ListParagraph"/>
        <w:numPr>
          <w:ilvl w:val="1"/>
          <w:numId w:val="6"/>
        </w:numPr>
        <w:spacing w:before="120" w:after="120"/>
        <w:ind w:left="993" w:hanging="993"/>
        <w:contextualSpacing w:val="0"/>
      </w:pPr>
      <w:r w:rsidRPr="005D022C">
        <w:t xml:space="preserve">Atsakydama į apeliacinio skundo argumentus dėl aukštesnių karininkų dalyvavimo operacijoje, teisėjų kolegija pažymi, kad aplinkybė, jog operacijoje dalyvavo ir aukštesni pagal karinį laipsnį oro desanto divizijos karininkai, savaime nesudaro pagrindo teigti, kad V. S. 3 nepagrįstai inkriminuotas vadovaujantis vaidmuo ir tai neeliminuoja nustatyto atskirų šio dalinio vienetų vadovų vadovaujančio vaidmens užimant LRT pastatus. Dėl panašaus pobūdžio argumentų ne kartą jau pasisakyta kitose šio teismo sprendimo dalyse. </w:t>
      </w:r>
      <w:r w:rsidRPr="005D022C">
        <w:rPr>
          <w:rFonts w:eastAsia="Calibri"/>
        </w:rPr>
        <w:t>Nors gynėja ir akcentuoja nuteistojo S. M. vadovaujamą vaidmenį užimant LRT Televizijos pastatą, tačiau šioje dalyje aptarti duomenys rodo apie savarankišką majoro V. S. 3 vadovaujamą vaidmenį visiems 234-ojo pulko 3-iojo bataliono kariškiams, taip pat ir 7-osios kuopos vyr. leitenantui S. M..</w:t>
      </w:r>
    </w:p>
    <w:p w:rsidR="00DA38E9" w:rsidRPr="00C00255" w:rsidRDefault="00DA38E9" w:rsidP="00DA38E9">
      <w:pPr>
        <w:pStyle w:val="ListParagraph"/>
        <w:numPr>
          <w:ilvl w:val="1"/>
          <w:numId w:val="6"/>
        </w:numPr>
        <w:spacing w:before="120" w:after="120"/>
        <w:ind w:left="993" w:hanging="993"/>
        <w:contextualSpacing w:val="0"/>
      </w:pPr>
      <w:r w:rsidRPr="00C00255">
        <w:t>Teisėjų kolegija, v</w:t>
      </w:r>
      <w:r w:rsidRPr="00C00255">
        <w:rPr>
          <w:lang w:eastAsia="lt-LT"/>
        </w:rPr>
        <w:t xml:space="preserve">ertindama gynėjos argumentus dėl to, kad </w:t>
      </w:r>
      <w:r>
        <w:rPr>
          <w:lang w:eastAsia="lt-LT"/>
        </w:rPr>
        <w:t>V. S. 3</w:t>
      </w:r>
      <w:r w:rsidRPr="00C00255">
        <w:rPr>
          <w:lang w:eastAsia="lt-LT"/>
        </w:rPr>
        <w:t xml:space="preserve"> </w:t>
      </w:r>
      <w:r w:rsidRPr="00C00255">
        <w:t>kariškiai nešaudė ir nežalojo žmonių</w:t>
      </w:r>
      <w:r w:rsidRPr="00C00255">
        <w:rPr>
          <w:lang w:eastAsia="lt-LT"/>
        </w:rPr>
        <w:t xml:space="preserve">, pažymi, jog užimant LRT, kariniai daliniai veikė bendrai, koordinuotai ir sudarė sąlygas vieni kitų veiksmams. Atsižvelgiant į tai, </w:t>
      </w:r>
      <w:r w:rsidRPr="00C00255">
        <w:rPr>
          <w:szCs w:val="24"/>
          <w:lang w:eastAsia="lt-LT"/>
        </w:rPr>
        <w:t>kiekvieno iš kariškių, ypač ėjusio vadovaujančias pareigas, veiksmai jokiu būdu negali būti vertinami atsietai nuo jo dalinio ir apskritai visų operacijoje dalyvavusių kariškių veiksmų, o taip pat ir nuo jų veiksmų padarinių.</w:t>
      </w:r>
    </w:p>
    <w:p w:rsidR="00DA38E9" w:rsidRPr="00C00255" w:rsidRDefault="00DA38E9" w:rsidP="00DA38E9">
      <w:pPr>
        <w:pStyle w:val="ListParagraph"/>
        <w:numPr>
          <w:ilvl w:val="0"/>
          <w:numId w:val="6"/>
        </w:numPr>
        <w:spacing w:before="120" w:after="120"/>
        <w:ind w:left="993" w:hanging="993"/>
        <w:contextualSpacing w:val="0"/>
      </w:pPr>
      <w:r w:rsidRPr="00C00255">
        <w:t xml:space="preserve">Įvertinusi šioje dalyje aptartų įrodymų ir aplinkybių visumą, teisėjų kolegija konstatuoja, kad </w:t>
      </w:r>
      <w:r w:rsidRPr="00C00255">
        <w:rPr>
          <w:szCs w:val="24"/>
          <w:lang w:eastAsia="lt-LT" w:bidi="lt-LT"/>
        </w:rPr>
        <w:t>visos skundžiamu nuosprendžiu įrodytomis pripažintos nuteistajam</w:t>
      </w:r>
      <w:r w:rsidRPr="00C00255">
        <w:t xml:space="preserve"> </w:t>
      </w:r>
      <w:r>
        <w:t>V. S. 3</w:t>
      </w:r>
      <w:r w:rsidRPr="00C00255">
        <w:t xml:space="preserve"> inkriminuotos faktinės aplinkybės, susijusios su veiksmais užimant LRT Televizijos pastatą (nuosprendžio 514–520 l.), pasitvirtino kaip pagrįstos ir teisingos.</w:t>
      </w:r>
    </w:p>
    <w:p w:rsidR="00DA38E9" w:rsidRPr="00C00255" w:rsidRDefault="00DA38E9" w:rsidP="00DA38E9">
      <w:pPr>
        <w:pStyle w:val="Heading5"/>
        <w:spacing w:before="120" w:after="120"/>
        <w:ind w:left="993"/>
        <w:rPr>
          <w:rFonts w:ascii="Times New Roman" w:hAnsi="Times New Roman" w:cs="Times New Roman"/>
          <w:i/>
          <w:color w:val="auto"/>
        </w:rPr>
      </w:pPr>
      <w:bookmarkStart w:id="645" w:name="_Toc66697300"/>
      <w:r w:rsidRPr="00C00255">
        <w:rPr>
          <w:rFonts w:ascii="Times New Roman" w:hAnsi="Times New Roman" w:cs="Times New Roman"/>
          <w:i/>
          <w:color w:val="auto"/>
        </w:rPr>
        <w:t xml:space="preserve">Dėl nuteistojo </w:t>
      </w:r>
      <w:r>
        <w:rPr>
          <w:rFonts w:ascii="Times New Roman" w:hAnsi="Times New Roman" w:cs="Times New Roman"/>
          <w:i/>
          <w:color w:val="auto"/>
        </w:rPr>
        <w:t>S. M.</w:t>
      </w:r>
      <w:r w:rsidRPr="00C00255">
        <w:rPr>
          <w:rFonts w:ascii="Times New Roman" w:hAnsi="Times New Roman" w:cs="Times New Roman"/>
          <w:i/>
          <w:color w:val="auto"/>
        </w:rPr>
        <w:t xml:space="preserve"> dalyvavimo užimant LRT Televizijos pastatą</w:t>
      </w:r>
      <w:bookmarkEnd w:id="645"/>
    </w:p>
    <w:p w:rsidR="002125AE" w:rsidRPr="005D022C" w:rsidRDefault="00DA38E9" w:rsidP="002125AE">
      <w:pPr>
        <w:pStyle w:val="ListParagraph"/>
        <w:numPr>
          <w:ilvl w:val="0"/>
          <w:numId w:val="6"/>
        </w:numPr>
        <w:spacing w:before="120" w:after="120"/>
        <w:ind w:left="993" w:hanging="993"/>
        <w:contextualSpacing w:val="0"/>
      </w:pPr>
      <w:r w:rsidRPr="005D022C">
        <w:t xml:space="preserve">Apeliacinės instancijos teismas pagrįsta laiko pirmosios instancijos teismo išvadą, kad </w:t>
      </w:r>
      <w:bookmarkStart w:id="646" w:name="_Hlk65663820"/>
      <w:r w:rsidRPr="005D022C">
        <w:t xml:space="preserve">TSRS GM </w:t>
      </w:r>
      <w:bookmarkEnd w:id="646"/>
      <w:r w:rsidRPr="005D022C">
        <w:t>76-osios oro desanto divizijos 234-ojo pulko 3-iojo bataliono 7-osios kuopos kariškiams, kurie, būdami ginkluoti, brovėsi pro civilių minią ir vykdė kitus LRT Televizijos (9 aukštų) pastato užėmimo veiksmus, vienu iš vadovavusių asmenų buvo 7-osios kuopos vadas vyr. leitenantas S. M..</w:t>
      </w:r>
      <w:r w:rsidRPr="005D022C">
        <w:rPr>
          <w:szCs w:val="24"/>
          <w:lang w:eastAsia="lt-LT"/>
        </w:rPr>
        <w:t xml:space="preserve"> </w:t>
      </w:r>
    </w:p>
    <w:p w:rsidR="002125AE" w:rsidRPr="002125AE" w:rsidRDefault="00DA38E9" w:rsidP="002125AE">
      <w:pPr>
        <w:pStyle w:val="ListParagraph"/>
        <w:numPr>
          <w:ilvl w:val="0"/>
          <w:numId w:val="6"/>
        </w:numPr>
        <w:spacing w:before="120" w:after="120"/>
        <w:ind w:left="993" w:hanging="993"/>
        <w:contextualSpacing w:val="0"/>
      </w:pPr>
      <w:r w:rsidRPr="005D022C">
        <w:t>S. M. gynėjas apeliaciniame skunde teigia, kad jo ginamasis buvo kaltinamas tik dalyvavimu užimant Spaudos rūmus, o prie kitų objektų jo nebuvo (argumentų, kurie paneigtų S. M. dalyvavimą įvykiuose prie LRT, gynėjas nenurodė).</w:t>
      </w:r>
      <w:r w:rsidRPr="002125AE">
        <w:rPr>
          <w:szCs w:val="24"/>
          <w:lang w:eastAsia="lt-LT"/>
        </w:rPr>
        <w:t xml:space="preserve"> </w:t>
      </w:r>
      <w:r w:rsidRPr="005D022C">
        <w:t>Visgi teisėjų kolegija pažymi, kad S. M. nagrinėjamoje baudžiamojoje byloje buvo kaltinamas ir dalyvavimu bei vadovavimu užimant LRT Televizijos pastatą (žr. kaltinamojo akto 574–583 l., t. 685). Pirmosios instancijos teismo išvadas dėl nustatyto S. M. dalyvavimo ir vaidmens LRT Televizijos pastato užėmimo metu patvirtina toliau aptariami įrodymai bei byloje surinktų įrodymų visuma.</w:t>
      </w:r>
      <w:r w:rsidRPr="002125AE">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LRT užėmime dalyvavusių kariškių sąrašo, pavadinimu „74268 karinio dalinio personalo, kuris 1991 metais sausio 13 d. dalyvavo operacijoje dėl televizijos ir radijo centro užėmimo apsaugos tikslais“ matyti, kad įvykiuose dalyvavo ir 7-ajai kuopai priklausęs </w:t>
      </w:r>
      <w:r>
        <w:rPr>
          <w:szCs w:val="24"/>
          <w:lang w:eastAsia="lt-LT"/>
        </w:rPr>
        <w:t>S. M.</w:t>
      </w:r>
      <w:r w:rsidRPr="00C00255">
        <w:rPr>
          <w:szCs w:val="24"/>
          <w:lang w:eastAsia="lt-LT"/>
        </w:rPr>
        <w:t>, kuris buvo vyriausiu kuopos kariškiu, t. y. buvo vyr. leitenantas ir sąraše įvardijamas kaip pirmasis jos kariškis (t. 451, b. l. 106–108; t. 152, b. l. 145–147).</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mašinos BMD–2, Nr. 271, vyriausiuoju buvo vyr. leitenantas </w:t>
      </w:r>
      <w:r>
        <w:rPr>
          <w:szCs w:val="24"/>
          <w:lang w:eastAsia="lt-LT"/>
        </w:rPr>
        <w:t>S. M.</w:t>
      </w:r>
      <w:r w:rsidRPr="00C00255">
        <w:rPr>
          <w:szCs w:val="24"/>
          <w:lang w:eastAsia="lt-LT"/>
        </w:rPr>
        <w:t xml:space="preserve"> (t. 451, b. l. 192–194; t. 152, b. l. 223–225).</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esančios Ginklų ir šaudmenų išdavimo 7-ojoje kuopoje knygos įrašų matyti, kad artimu 1991 m. sausio 13 d. įvykiams metu </w:t>
      </w:r>
      <w:r>
        <w:rPr>
          <w:szCs w:val="24"/>
          <w:lang w:eastAsia="lt-LT"/>
        </w:rPr>
        <w:t>S. M.</w:t>
      </w:r>
      <w:r w:rsidRPr="00C00255">
        <w:rPr>
          <w:szCs w:val="24"/>
          <w:lang w:eastAsia="lt-LT"/>
        </w:rPr>
        <w:t xml:space="preserve"> knygoje pasirašinėjo kaip atsakingas šios kuopos kariškis, kuriam buvo išduodami ginklai (t. 476, b. l. 129–133).</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2014 m. birželio 10 d. specialisto išvadoje konstatuota, kad pirmos pagrindinės operacinės grupės prie LRT sudėtyje buvo ir „76 odd 234 pdp 7 parašiutų desanto kuopos apie 39 kariškiai, vadovaujami kuopos vado </w:t>
      </w:r>
      <w:r>
        <w:rPr>
          <w:szCs w:val="24"/>
          <w:lang w:eastAsia="lt-LT"/>
        </w:rPr>
        <w:t>S. M.</w:t>
      </w:r>
      <w:r w:rsidRPr="00C00255">
        <w:rPr>
          <w:szCs w:val="24"/>
          <w:lang w:eastAsia="lt-LT"/>
        </w:rPr>
        <w:t>“, o šios grupės užduotis, be kita ko, pirmiausia, buvo įsiveržti į LRT 9 aukštų pastatą (t. 480, b. l. 54).</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color w:val="000000"/>
          <w:szCs w:val="24"/>
          <w:lang w:eastAsia="lt-LT" w:bidi="lt-LT"/>
        </w:rPr>
        <w:t xml:space="preserve">Be to, liudytojas </w:t>
      </w:r>
      <w:r>
        <w:rPr>
          <w:color w:val="000000"/>
          <w:szCs w:val="24"/>
          <w:lang w:eastAsia="lt-LT" w:bidi="lt-LT"/>
        </w:rPr>
        <w:t>M. P.</w:t>
      </w:r>
      <w:r w:rsidRPr="00C00255">
        <w:rPr>
          <w:color w:val="000000"/>
          <w:szCs w:val="24"/>
          <w:lang w:eastAsia="lt-LT" w:bidi="lt-LT"/>
        </w:rPr>
        <w:t xml:space="preserve"> komentuodamas baudžiamojoje byloje pateiktus vaizdo įrašus ir nuotraukas apie 1991 m. sausio 13 d. įvykius Vilniuje, </w:t>
      </w:r>
      <w:r w:rsidRPr="00C00255">
        <w:rPr>
          <w:szCs w:val="24"/>
          <w:lang w:eastAsia="lt-LT"/>
        </w:rPr>
        <w:t xml:space="preserve">nurodė, kad prie televizijos komiteto atvyko ir mašinoje sėdėjo kuopos vadas </w:t>
      </w:r>
      <w:r>
        <w:rPr>
          <w:szCs w:val="24"/>
          <w:lang w:eastAsia="lt-LT"/>
        </w:rPr>
        <w:t>S. M.</w:t>
      </w:r>
      <w:r w:rsidRPr="00C00255">
        <w:rPr>
          <w:szCs w:val="24"/>
          <w:lang w:eastAsia="lt-LT"/>
        </w:rPr>
        <w:t xml:space="preserve"> (t. 493, b. l. 40; žr. vaizdo įrašą, esantį kompaktiniame diske „3A kasetė 3 dalis“, nuo 14 min. 15 sek. iki 16 min. 41 sek. (t.</w:t>
      </w:r>
      <w:r>
        <w:rPr>
          <w:szCs w:val="24"/>
          <w:lang w:eastAsia="lt-LT"/>
        </w:rPr>
        <w:t> </w:t>
      </w:r>
      <w:r w:rsidRPr="00C00255">
        <w:rPr>
          <w:szCs w:val="24"/>
          <w:lang w:eastAsia="lt-LT"/>
        </w:rPr>
        <w:t>493, b. l. 52)).</w:t>
      </w:r>
    </w:p>
    <w:p w:rsidR="00DA38E9" w:rsidRPr="00C00255" w:rsidRDefault="00DA38E9" w:rsidP="00DA38E9">
      <w:pPr>
        <w:pStyle w:val="ListParagraph"/>
        <w:numPr>
          <w:ilvl w:val="1"/>
          <w:numId w:val="6"/>
        </w:numPr>
        <w:spacing w:before="120" w:after="120"/>
        <w:ind w:left="993" w:hanging="993"/>
        <w:contextualSpacing w:val="0"/>
        <w:rPr>
          <w:szCs w:val="24"/>
          <w:lang w:eastAsia="lt-LT"/>
        </w:rPr>
      </w:pPr>
      <w:r w:rsidRPr="00C00255">
        <w:rPr>
          <w:szCs w:val="24"/>
          <w:lang w:eastAsia="lt-LT"/>
        </w:rPr>
        <w:t xml:space="preserve">Teisėjų kolegijos vertinimu, vien šių aplinkybių ir duomenų visuma patvirtina, kad </w:t>
      </w:r>
      <w:r>
        <w:rPr>
          <w:szCs w:val="24"/>
          <w:lang w:eastAsia="lt-LT"/>
        </w:rPr>
        <w:t>S. M.</w:t>
      </w:r>
      <w:r w:rsidRPr="00C00255">
        <w:rPr>
          <w:szCs w:val="24"/>
          <w:lang w:eastAsia="lt-LT"/>
        </w:rPr>
        <w:t xml:space="preserve"> ne tik dalyvavo 1991 m. sausio 13-osios naktį užimant LRT Televizijos pastatą, tačiau ir ėjo 7-osios kuopos, kuri vykdė šią užduotį, vado pareigas. </w:t>
      </w:r>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t xml:space="preserve">Be to, teisėjų kolegijos įsitikinimą apie </w:t>
      </w:r>
      <w:r>
        <w:t>S. M.</w:t>
      </w:r>
      <w:r w:rsidRPr="00C00255">
        <w:t xml:space="preserve"> dalyvavimą ir jo vadovaujamą vaidmenį prie LRT Televizijos pastato formuoja ir ikiteisminio tyrimo metu apklaustų, liudytojų statusą šiame procese turinčių, 7-osios kuopos bei kitų įvykiuose dalyvavusių kariškių parodymai, perskaityti teisiamajame posėdyje </w:t>
      </w:r>
      <w:r w:rsidRPr="00C00255">
        <w:rPr>
          <w:szCs w:val="24"/>
          <w:lang w:eastAsia="lt-LT"/>
        </w:rPr>
        <w:t>(</w:t>
      </w:r>
      <w:r w:rsidRPr="00C00255">
        <w:rPr>
          <w:szCs w:val="24"/>
          <w:lang w:eastAsia="lt-LT" w:bidi="lt-LT"/>
        </w:rPr>
        <w:t>t. 760, b. l. 116–119, 121–122</w:t>
      </w:r>
      <w:r w:rsidRPr="00C00255">
        <w:rPr>
          <w:szCs w:val="24"/>
          <w:lang w:eastAsia="lt-LT"/>
        </w:rPr>
        <w:t xml:space="preserve">). Apeliacinės instancijos teismas pažymi, kad apie </w:t>
      </w:r>
      <w:r>
        <w:rPr>
          <w:szCs w:val="24"/>
          <w:lang w:eastAsia="lt-LT"/>
        </w:rPr>
        <w:t>S. M.</w:t>
      </w:r>
      <w:r w:rsidRPr="00C00255">
        <w:rPr>
          <w:szCs w:val="24"/>
          <w:lang w:eastAsia="lt-LT"/>
        </w:rPr>
        <w:t xml:space="preserve"> vaidmenį aptariamuose įvykiuose nurodė daugiau nei 30 liudytojų, </w:t>
      </w:r>
      <w:bookmarkStart w:id="647" w:name="_Hlk65098538"/>
      <w:r w:rsidRPr="00C00255">
        <w:rPr>
          <w:szCs w:val="24"/>
          <w:lang w:eastAsia="lt-LT"/>
        </w:rPr>
        <w:t xml:space="preserve">todėl toliau aptariami tik atskirų liudytojų parodymai, kurie aiškiausiai leidžia nustatyti </w:t>
      </w:r>
      <w:r>
        <w:rPr>
          <w:szCs w:val="24"/>
        </w:rPr>
        <w:t>S. M.</w:t>
      </w:r>
      <w:r w:rsidRPr="00C00255">
        <w:rPr>
          <w:szCs w:val="24"/>
        </w:rPr>
        <w:t xml:space="preserve"> </w:t>
      </w:r>
      <w:r w:rsidRPr="00C00255">
        <w:rPr>
          <w:szCs w:val="24"/>
          <w:lang w:eastAsia="lt-LT"/>
        </w:rPr>
        <w:t xml:space="preserve">atliktus veiksmus bei jo vadovaujamą </w:t>
      </w:r>
      <w:r w:rsidRPr="00C00255">
        <w:rPr>
          <w:szCs w:val="24"/>
        </w:rPr>
        <w:t>vaidmenį užimant LRT Televizijos pastatą</w:t>
      </w:r>
      <w:r w:rsidRPr="00C00255">
        <w:rPr>
          <w:szCs w:val="24"/>
          <w:lang w:eastAsia="lt-LT"/>
        </w:rPr>
        <w:t xml:space="preserve">. </w:t>
      </w:r>
    </w:p>
    <w:bookmarkEnd w:id="647"/>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Kuopos eilinis </w:t>
      </w:r>
      <w:r>
        <w:rPr>
          <w:szCs w:val="24"/>
          <w:lang w:eastAsia="lt-LT"/>
        </w:rPr>
        <w:t>M. S.</w:t>
      </w:r>
      <w:r w:rsidRPr="00C00255">
        <w:rPr>
          <w:szCs w:val="24"/>
          <w:lang w:eastAsia="lt-LT"/>
        </w:rPr>
        <w:t xml:space="preserve"> nurodė, kad 1991 m. sausio 12-osios vakare, kuopos vadas </w:t>
      </w:r>
      <w:r>
        <w:rPr>
          <w:szCs w:val="24"/>
          <w:lang w:eastAsia="lt-LT"/>
        </w:rPr>
        <w:t>S. M.</w:t>
      </w:r>
      <w:r w:rsidRPr="00C00255">
        <w:rPr>
          <w:szCs w:val="24"/>
          <w:lang w:eastAsia="lt-LT"/>
        </w:rPr>
        <w:t xml:space="preserve"> pravedė instruktažą bei davė užduotį užimti televizijos ir radijo komitetą. Jie privažiavo prie 9 aukštų pastato ir pradėjo prie jo veržtis pro civilius, o vėliau, pagal </w:t>
      </w:r>
      <w:r>
        <w:rPr>
          <w:szCs w:val="24"/>
          <w:lang w:eastAsia="lt-LT"/>
        </w:rPr>
        <w:t>S. M.</w:t>
      </w:r>
      <w:r w:rsidRPr="00C00255">
        <w:rPr>
          <w:szCs w:val="24"/>
          <w:lang w:eastAsia="lt-LT"/>
        </w:rPr>
        <w:t xml:space="preserve"> įsakymą, liudytojas nuėjo į pastatą, kur išjungė elektros šaltinį (t. 436, b. l. 39–42; t. 123, b. l. 65–72).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Eilinis A.</w:t>
      </w:r>
      <w:r>
        <w:rPr>
          <w:szCs w:val="24"/>
          <w:lang w:eastAsia="lt-LT"/>
        </w:rPr>
        <w:t> </w:t>
      </w:r>
      <w:r w:rsidRPr="00C00255">
        <w:rPr>
          <w:szCs w:val="24"/>
          <w:lang w:eastAsia="lt-LT"/>
        </w:rPr>
        <w:t>G</w:t>
      </w:r>
      <w:r>
        <w:rPr>
          <w:szCs w:val="24"/>
          <w:lang w:eastAsia="lt-LT"/>
        </w:rPr>
        <w:t>.</w:t>
      </w:r>
      <w:r w:rsidRPr="00C00255">
        <w:rPr>
          <w:szCs w:val="24"/>
          <w:lang w:eastAsia="lt-LT"/>
        </w:rPr>
        <w:t xml:space="preserve"> nurodė, kad </w:t>
      </w:r>
      <w:r>
        <w:rPr>
          <w:szCs w:val="24"/>
          <w:lang w:eastAsia="lt-LT"/>
        </w:rPr>
        <w:t>S. M.</w:t>
      </w:r>
      <w:r w:rsidRPr="00C00255">
        <w:rPr>
          <w:szCs w:val="24"/>
          <w:lang w:eastAsia="lt-LT"/>
        </w:rPr>
        <w:t xml:space="preserve"> balsu davė miniai komandą išsiskirstyti, tačiau jai to nepadarius, įsakė ją nustumti bei liepė šaudyti į viršų tuščiais šoviniais (t. 436,</w:t>
      </w:r>
      <w:r>
        <w:rPr>
          <w:szCs w:val="24"/>
          <w:lang w:eastAsia="lt-LT"/>
        </w:rPr>
        <w:t xml:space="preserve"> </w:t>
      </w:r>
      <w:r w:rsidRPr="00C00255">
        <w:rPr>
          <w:szCs w:val="24"/>
          <w:lang w:eastAsia="lt-LT"/>
        </w:rPr>
        <w:t>b. l.</w:t>
      </w:r>
      <w:r>
        <w:rPr>
          <w:szCs w:val="24"/>
          <w:lang w:eastAsia="lt-LT"/>
        </w:rPr>
        <w:t> </w:t>
      </w:r>
      <w:r w:rsidRPr="00C00255">
        <w:rPr>
          <w:szCs w:val="24"/>
          <w:lang w:eastAsia="lt-LT"/>
        </w:rPr>
        <w:t>130–133; t. 123, b. l 261–266).</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Eiliniai </w:t>
      </w:r>
      <w:r>
        <w:rPr>
          <w:szCs w:val="24"/>
          <w:lang w:eastAsia="lt-LT"/>
        </w:rPr>
        <w:t>V. L.</w:t>
      </w:r>
      <w:r w:rsidRPr="00C00255">
        <w:rPr>
          <w:szCs w:val="24"/>
          <w:lang w:eastAsia="lt-LT"/>
        </w:rPr>
        <w:t xml:space="preserve"> (t. 436, b. l. 151–153; t. 123, b. l. 301–307) bei </w:t>
      </w:r>
      <w:r>
        <w:rPr>
          <w:szCs w:val="24"/>
          <w:lang w:eastAsia="lt-LT"/>
        </w:rPr>
        <w:t>R. P.</w:t>
      </w:r>
      <w:r w:rsidRPr="00C00255">
        <w:rPr>
          <w:szCs w:val="24"/>
          <w:lang w:eastAsia="lt-LT"/>
        </w:rPr>
        <w:t xml:space="preserve"> (t. 435,</w:t>
      </w:r>
      <w:r>
        <w:rPr>
          <w:szCs w:val="24"/>
          <w:lang w:eastAsia="lt-LT"/>
        </w:rPr>
        <w:t xml:space="preserve"> </w:t>
      </w:r>
      <w:r w:rsidRPr="00C00255">
        <w:rPr>
          <w:szCs w:val="24"/>
          <w:lang w:eastAsia="lt-LT"/>
        </w:rPr>
        <w:t>b. l.</w:t>
      </w:r>
      <w:r>
        <w:rPr>
          <w:szCs w:val="24"/>
          <w:lang w:eastAsia="lt-LT"/>
        </w:rPr>
        <w:t> </w:t>
      </w:r>
      <w:r w:rsidRPr="00C00255">
        <w:rPr>
          <w:szCs w:val="24"/>
          <w:lang w:eastAsia="lt-LT"/>
        </w:rPr>
        <w:t xml:space="preserve">146–149; t. 122, b. l. 204–212) nurodė, kad būtent </w:t>
      </w:r>
      <w:r>
        <w:rPr>
          <w:szCs w:val="24"/>
          <w:lang w:eastAsia="lt-LT"/>
        </w:rPr>
        <w:t>S. M.</w:t>
      </w:r>
      <w:r w:rsidRPr="00C00255">
        <w:rPr>
          <w:szCs w:val="24"/>
          <w:lang w:eastAsia="lt-LT"/>
        </w:rPr>
        <w:t xml:space="preserve"> vadovavo kariškiams, kurie stūmė civilių minią nuo pastato.</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t>Liudytojas V. Š</w:t>
      </w:r>
      <w:r>
        <w:t>.</w:t>
      </w:r>
      <w:r w:rsidRPr="00C00255">
        <w:t xml:space="preserve"> nurodė, kad vykdant kuopos vado vyr. leitenanto </w:t>
      </w:r>
      <w:r>
        <w:t>S. M.</w:t>
      </w:r>
      <w:r w:rsidRPr="00C00255">
        <w:t xml:space="preserve"> komandą nuvaryti minią nuo pastato įėjimo, iš televizijos centro išbėgo „omonininkas“ ir paprašė kuopos vado, duoti į pagalbą du žmones. Kuopos vadas kartu su „omonininku“ nusiuntė liudytoją ir dar vieną kareivį, ir jie buvo pastatyti saugoti įėjimą į 2 pastato aukštą (t. 435, b. l. 150–154; t. 122, b. l. 213–219).</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t xml:space="preserve">Mechanikas-vairuotojas </w:t>
      </w:r>
      <w:r>
        <w:t>A. S.</w:t>
      </w:r>
      <w:r w:rsidRPr="00C00255">
        <w:t xml:space="preserve"> nurodė, kad </w:t>
      </w:r>
      <w:r>
        <w:t>S. M.</w:t>
      </w:r>
      <w:r w:rsidRPr="00C00255">
        <w:t xml:space="preserve"> 9 aukštų pastate liepė neleisti kareiviams pakilti aukščiau 2-ojo aukšto (t. 436, b. l. 122–125; t. 123, b. l. 242–250). Granatsvaidininkas J. P</w:t>
      </w:r>
      <w:r>
        <w:t>.</w:t>
      </w:r>
      <w:r w:rsidRPr="00C00255">
        <w:t xml:space="preserve"> nurodė, kad įsiveržus į pastato vidų, </w:t>
      </w:r>
      <w:r>
        <w:t>S. M.</w:t>
      </w:r>
      <w:r w:rsidRPr="00C00255">
        <w:t xml:space="preserve"> jam įsakė stovėti sargyboje praėjime (t. 436, b. l. 85–87; t. 123, b. l. 164–172). Taikytojas operatorius </w:t>
      </w:r>
      <w:r>
        <w:t>A. Z.</w:t>
      </w:r>
      <w:r w:rsidRPr="00C00255">
        <w:t xml:space="preserve"> nurodė, kad buvo įsakyta saugoti 2-ąjį pastato aukštą. Vėliau, nusileidus žemyn, kuopos vadas </w:t>
      </w:r>
      <w:r>
        <w:t>S. M.</w:t>
      </w:r>
      <w:r w:rsidRPr="00C00255">
        <w:t xml:space="preserve">, jį nusiuntė į išorinę 9 aukštų pastato sargybą (t. 436, b. l. 141–145; t. 123, b. l. 281–295). </w:t>
      </w:r>
    </w:p>
    <w:p w:rsidR="00DA38E9" w:rsidRPr="002125AE" w:rsidRDefault="00DA38E9" w:rsidP="00DA38E9">
      <w:pPr>
        <w:pStyle w:val="ListParagraph"/>
        <w:numPr>
          <w:ilvl w:val="0"/>
          <w:numId w:val="6"/>
        </w:numPr>
        <w:spacing w:before="120" w:after="120"/>
        <w:ind w:left="993" w:hanging="993"/>
        <w:contextualSpacing w:val="0"/>
      </w:pPr>
      <w:r w:rsidRPr="002125AE">
        <w:t>Taigi, kaip matyti, aptarti liudytojų parodymai ne tik atitinka vieni kitus, bet ir papildo jau šioje byloje aptartus įrodymus apie S. M. dalyvavimą ir jo vadovaujamą vaidmenį šturmuojant LRT Televizijos pastatą. Minėti duomenys atskleidžia, kad S. M. ne tik dalyvavo užimant LRT Televizijos 9 aukštų pastatą, bet ir buvo visos 7-osios kuopos vadu, davusiu įsakymus pavaldiems kariškiams (pvz., dėl sargybos išstatymo ir šviesos šaltinio pastate išjungimo; civilių nustūmimo, šaudymo) ir turėjusiu galimybę priimti savarankiškus sprendimus įvykio vietoje (pvz., dėl pavaldžių kariškių laikino perdavimo kitam objekto užėmime dalyvavusiam daliniui ir pan.). Tokie bylos duomenys leidžia kaip nepagrįstus atmesti gynybos teiginius apie neįrodytą S. M. dalyvavimą LRT užėmime. Visa tai rodo, kad pirmosios instancijos teismo išvados dėl S. M. dalyvavimo ir jo vadovaujančio vaidmens užimant LRT Televizijos pastatą (nuosprendžio 514–520 l.) yra teisingos.</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48" w:name="_Toc66697301"/>
      <w:r w:rsidRPr="00C00255">
        <w:rPr>
          <w:rFonts w:ascii="Times New Roman" w:hAnsi="Times New Roman" w:cs="Times New Roman"/>
          <w:i/>
          <w:color w:val="auto"/>
        </w:rPr>
        <w:t xml:space="preserve">Dėl nuteistojo </w:t>
      </w:r>
      <w:r>
        <w:rPr>
          <w:rFonts w:ascii="Times New Roman" w:hAnsi="Times New Roman" w:cs="Times New Roman"/>
          <w:i/>
          <w:color w:val="auto"/>
        </w:rPr>
        <w:t>A. N. 2</w:t>
      </w:r>
      <w:r w:rsidRPr="00C00255">
        <w:rPr>
          <w:rFonts w:ascii="Times New Roman" w:hAnsi="Times New Roman" w:cs="Times New Roman"/>
          <w:i/>
          <w:color w:val="auto"/>
        </w:rPr>
        <w:t xml:space="preserve"> dalyvavimo užimant LRT Televizijos pastatą</w:t>
      </w:r>
      <w:bookmarkEnd w:id="648"/>
    </w:p>
    <w:p w:rsidR="002125AE" w:rsidRPr="005D022C" w:rsidRDefault="00DA38E9" w:rsidP="002125AE">
      <w:pPr>
        <w:pStyle w:val="ListParagraph"/>
        <w:numPr>
          <w:ilvl w:val="0"/>
          <w:numId w:val="6"/>
        </w:numPr>
        <w:spacing w:before="120" w:after="120"/>
        <w:ind w:left="993" w:hanging="993"/>
        <w:contextualSpacing w:val="0"/>
      </w:pPr>
      <w:r w:rsidRPr="005D022C">
        <w:t>Teisėjų kolegija pagrįsta laiko ir skundžiamo nuosprendžio išvadą, kad TSRS GM 76-osios oro desanto divizijos 234-ojo pulko 3-iojo bataliono 7-osios kuopos kariškiams, kurie, būdami ginkluoti, brovėsi pro civilių minią ir vykdė kitus LRT Televizijos (9 aukštų) pastato užėmimo veiksmus, vienu iš vadovavusių asmenų buvo 234-ojo pulko komjaunimo komiteto sekretorius vyr. leitenantas A. N. 2. Skundžiamo nuosprendžio nustatomojoje dalyje nurodyta, kad A. N. 2 karinis laipsnis buvo leitenantas, nors iš byloje pateiktų duomenų (LRT užėmime dalyvavusių kariškių sąrašo, pavadinimu „74268 karinio dalinio personalo, kuris 1991 metais sausio 13 d. dalyvavo operacijoje dėl televizijos ir radijo centro užėmimo apsaugos tikslais“</w:t>
      </w:r>
      <w:r w:rsidR="005D022C" w:rsidRPr="005D022C">
        <w:t xml:space="preserve"> (t. 451, b. </w:t>
      </w:r>
      <w:r w:rsidRPr="005D022C">
        <w:t>l.</w:t>
      </w:r>
      <w:r w:rsidR="005D022C" w:rsidRPr="005D022C">
        <w:t> </w:t>
      </w:r>
      <w:r w:rsidRPr="005D022C">
        <w:t xml:space="preserve">106); nuteistojo A. N. 2 apklausos protokolo (t. 430. b. l. 5); nuteistojo A. S. tyrimo metu vykusios apklausos protokolo (t. 436, b. l. 12)) </w:t>
      </w:r>
      <w:r w:rsidRPr="005D022C">
        <w:rPr>
          <w:szCs w:val="24"/>
          <w:lang w:eastAsia="lt-LT"/>
        </w:rPr>
        <w:t>matyti, kad A. N. 2 karinis laipsnis buvo vyr. leitenantas. Toks netikslumas yra aiškiai redakcinio pobūdžio, jis niekaip nekeičia teismo išvadų ir nesunkina nuteistojo padėties, tačiau yra taisytinas.</w:t>
      </w:r>
    </w:p>
    <w:p w:rsidR="002125AE" w:rsidRPr="002125AE" w:rsidRDefault="00DA38E9" w:rsidP="002125AE">
      <w:pPr>
        <w:pStyle w:val="ListParagraph"/>
        <w:numPr>
          <w:ilvl w:val="0"/>
          <w:numId w:val="6"/>
        </w:numPr>
        <w:spacing w:before="120" w:after="120"/>
        <w:ind w:left="993" w:hanging="993"/>
        <w:contextualSpacing w:val="0"/>
      </w:pPr>
      <w:r w:rsidRPr="005D022C">
        <w:t>Nuteistojo A. N. 2 gynėjas apeliaciniame skunde teigia, kad nors vykdydamas įsakymą A. N. 2 dalyvavo LRT pastato šturme, jis nešaudė bei prieš civilius smurto nenaudojo, o nuosprendyje nenurodyti konkretūs jo veiksmai, kurie užtraukia atsakomybę pagal jam inkriminuotus BK straipsnius. Tokių argumentų kontekste teisėjų kolegija pažymi, kad A. N. 2 vaidmenį užimant LRT Televizijos pastatą patvirtina toliau aptarta byloje surinktų įrodymų visuma.</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w:t>
      </w:r>
      <w:bookmarkStart w:id="649" w:name="_Hlk65773345"/>
      <w:r w:rsidRPr="00C00255">
        <w:rPr>
          <w:szCs w:val="24"/>
          <w:lang w:eastAsia="lt-LT"/>
        </w:rPr>
        <w:t>LRT užėmime dalyvavusių kariškių sąrašo, pavadinimu „74268 karinio dalinio personalo, kuris 1991 metais sausio 13 d. dalyvavo operacijoje dėl televizijos ir radijo centro užėmimo apsaugos tikslais“</w:t>
      </w:r>
      <w:bookmarkEnd w:id="649"/>
      <w:r w:rsidRPr="00C00255">
        <w:rPr>
          <w:szCs w:val="24"/>
          <w:lang w:eastAsia="lt-LT"/>
        </w:rPr>
        <w:t xml:space="preserve"> matyti, kad įvykiuose dalyvavo ir vyr. leitenantas </w:t>
      </w:r>
      <w:r>
        <w:rPr>
          <w:szCs w:val="24"/>
          <w:lang w:eastAsia="lt-LT"/>
        </w:rPr>
        <w:t>A. N. 2</w:t>
      </w:r>
      <w:r w:rsidRPr="00C00255">
        <w:rPr>
          <w:szCs w:val="24"/>
          <w:lang w:eastAsia="lt-LT"/>
        </w:rPr>
        <w:t xml:space="preserve">, buvęs minėto dalinio, kurio sudėčiai priklausė ir 7-oji kuopa, valdymo dalies kariškiu (t. 451, b. l. 106–108; t. 152, b. l. 145–147). Vien iš to, akivaizdu, kad 7-osios kuopos kariškiai buvo pavaldūs įvykiuose dalyvavusiam </w:t>
      </w:r>
      <w:r>
        <w:rPr>
          <w:szCs w:val="24"/>
          <w:lang w:eastAsia="lt-LT"/>
        </w:rPr>
        <w:t>A. N. 2</w:t>
      </w:r>
      <w:r w:rsidRPr="00C00255">
        <w:rPr>
          <w:szCs w:val="24"/>
          <w:lang w:eastAsia="lt-LT"/>
        </w:rPr>
        <w:t>.</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Byloje yra ir paties VLKSM komiteto sekretoriaus </w:t>
      </w:r>
      <w:r>
        <w:rPr>
          <w:szCs w:val="24"/>
          <w:lang w:eastAsia="lt-LT"/>
        </w:rPr>
        <w:t>A. N. 2</w:t>
      </w:r>
      <w:r w:rsidRPr="00C00255">
        <w:rPr>
          <w:szCs w:val="24"/>
          <w:lang w:eastAsia="lt-LT"/>
        </w:rPr>
        <w:t xml:space="preserve"> pasirašytas raportas karinio dalinio Nr. 74268 vadui apie incidentą perimant saugoti Lietuvos televizijos ir radijo pastatą. Jame </w:t>
      </w:r>
      <w:r>
        <w:rPr>
          <w:szCs w:val="24"/>
          <w:lang w:eastAsia="lt-LT"/>
        </w:rPr>
        <w:t>A. N. 2</w:t>
      </w:r>
      <w:r w:rsidRPr="00C00255">
        <w:rPr>
          <w:szCs w:val="24"/>
          <w:lang w:eastAsia="lt-LT"/>
        </w:rPr>
        <w:t xml:space="preserve"> raportuoja, kad išlipęs iš BMD, jis įsakė savo grupei mestis pastato įėjimo link. Jiems įsiskverbus į pastatą, atrodo 5-ajame aukšte, jis išgirdo pavienį šūvį. Iškart po to, </w:t>
      </w:r>
      <w:r>
        <w:rPr>
          <w:szCs w:val="24"/>
          <w:lang w:eastAsia="lt-LT"/>
        </w:rPr>
        <w:t xml:space="preserve">A. N. 2 </w:t>
      </w:r>
      <w:r w:rsidRPr="00C00255">
        <w:rPr>
          <w:szCs w:val="24"/>
          <w:lang w:eastAsia="lt-LT"/>
        </w:rPr>
        <w:t xml:space="preserve">pamatė užsiveriančias dvejas duris koridoriaus gale. Maždaug 5 desantininkų grupei jis įsakė blokuoti abejas duris, kurias, siekiant įsiveržti į kabinetus, teko išlaužti. Kabinetuose jie aptiko žmonių. Nieko daugiau neradęs, </w:t>
      </w:r>
      <w:r>
        <w:rPr>
          <w:szCs w:val="24"/>
          <w:lang w:eastAsia="lt-LT"/>
        </w:rPr>
        <w:t>A. N. 2</w:t>
      </w:r>
      <w:r w:rsidRPr="00C00255">
        <w:rPr>
          <w:szCs w:val="24"/>
          <w:lang w:eastAsia="lt-LT"/>
        </w:rPr>
        <w:t xml:space="preserve"> įsakė dviem kareiviams nuvesti civilius žemyn, o pats metėsi toliau aukštyn (t. 451, b. l. 127; t. 152, b. l. 178). Teisėjų kolegijos vertinimu, vien minėtų aplinkybių ir duomenų visuma </w:t>
      </w:r>
      <w:r w:rsidRPr="00C00255">
        <w:rPr>
          <w:szCs w:val="24"/>
        </w:rPr>
        <w:t>leidžia te</w:t>
      </w:r>
      <w:r w:rsidRPr="00C00255">
        <w:rPr>
          <w:szCs w:val="24"/>
          <w:lang w:eastAsia="lt-LT"/>
        </w:rPr>
        <w:t xml:space="preserve">igti apie </w:t>
      </w:r>
      <w:r>
        <w:rPr>
          <w:szCs w:val="24"/>
          <w:lang w:eastAsia="lt-LT"/>
        </w:rPr>
        <w:t xml:space="preserve">A. N. 2 </w:t>
      </w:r>
      <w:r w:rsidRPr="00C00255">
        <w:rPr>
          <w:szCs w:val="24"/>
          <w:lang w:eastAsia="lt-LT"/>
        </w:rPr>
        <w:t>dalyvavimą 1991 m. sausio 13-osios naktį užimant LRT Televizijos pastatą ir aukštą jo rangą bei eitas vadovaujančio pobūdžio pareigas.</w:t>
      </w:r>
    </w:p>
    <w:p w:rsidR="00DA38E9" w:rsidRPr="005D022C" w:rsidRDefault="00DA38E9" w:rsidP="00DA38E9">
      <w:pPr>
        <w:pStyle w:val="ListParagraph"/>
        <w:numPr>
          <w:ilvl w:val="0"/>
          <w:numId w:val="6"/>
        </w:numPr>
        <w:spacing w:before="120" w:after="120"/>
        <w:ind w:left="993" w:hanging="993"/>
        <w:contextualSpacing w:val="0"/>
      </w:pPr>
      <w:r w:rsidRPr="005D022C">
        <w:t xml:space="preserve">Gynybos teigimu, išvada, kad A. N. 2 vadovavo LRT pastato šturmui, yra prieštaringa, nes nuosprendžio 514 lape nurodyta, kad tai atliko A. N. 2 viršininkas, t. y. 234-ojo pulko štabo viršininkas G. G.. Teisėjų kolegija pažymi, kad dėl panašių skundų argumentų jau ne kartą pasisakyta ankstesnėse šio teismo sprendimo dalyse. Tai, kad tarp oro desanto kariškių, kurie dalyvavo užimant LRT Televizijos pastatą, buvo karininkų, kurių karinis laipsnis aukštesnis nei A. N. 2, jokiu būdu neeliminuoja nustatyto kitų atskirų šio dalinio vienetų vadovų vadovaujančio vaidmens užimant LRT pastatus. Teisėjų kolegija konstatavo faktinį A. N. 2 vadovavimą ir įsakymų davimą pavaldiems oro desanto divizijos kariškiams užimant LRT Televizijos pastatą, todėl </w:t>
      </w:r>
      <w:r w:rsidRPr="005D022C">
        <w:rPr>
          <w:rFonts w:eastAsia="Calibri"/>
        </w:rPr>
        <w:t xml:space="preserve">aukštesnių karininkų dalyvavimas toje pačioje operacijoje, nepaneigia jo galimybės vadovauti. Taigi teisėjų kolegija šiame kontekste neįžvelgia prieštaravimų tarp pirmosios instancijos teismo išvadų. </w:t>
      </w:r>
    </w:p>
    <w:p w:rsidR="00DA38E9" w:rsidRPr="00C00255" w:rsidRDefault="00DA38E9" w:rsidP="00DA38E9">
      <w:pPr>
        <w:pStyle w:val="ListParagraph"/>
        <w:numPr>
          <w:ilvl w:val="0"/>
          <w:numId w:val="6"/>
        </w:numPr>
        <w:spacing w:before="120" w:after="120"/>
        <w:ind w:left="993" w:hanging="993"/>
        <w:contextualSpacing w:val="0"/>
      </w:pPr>
      <w:r w:rsidRPr="00C00255">
        <w:t xml:space="preserve">Gynėjo teigimu, nors </w:t>
      </w:r>
      <w:r>
        <w:t>A. N. 2</w:t>
      </w:r>
      <w:r w:rsidRPr="00C00255">
        <w:t xml:space="preserve"> dalyvavo LRT pastato šturme, jis į civilius nešaudė bei įėjęs į jau kitų kariškių užimtą pastatą, smurto prieš civilius nenaudojo. </w:t>
      </w:r>
      <w:r w:rsidRPr="00C00255">
        <w:rPr>
          <w:lang w:eastAsia="lt-LT"/>
        </w:rPr>
        <w:t xml:space="preserve">Vertindama tokius gynėjo argumentus, teisėjų kolegija pažymi, kad užimant LRT, kariniai daliniai veikė bendrai, koordinuotai ir sudarė sąlygas vieni kitų veiksmams. Atsižvelgiant į tai, </w:t>
      </w:r>
      <w:r w:rsidRPr="00C00255">
        <w:rPr>
          <w:szCs w:val="24"/>
          <w:lang w:eastAsia="lt-LT"/>
        </w:rPr>
        <w:t xml:space="preserve">kiekvieno iš kariškių, ypač ėjusio vadovaujančias pareigas, veiksmai jokiu būdu negali būti vertinami atsietai nuo jo dalinio ir nuo visų operacijoje dalyvavusių kariškių veiksmų, o taip pat ir nuo jų veiksmų padarinių. </w:t>
      </w:r>
      <w:r w:rsidRPr="00C00255">
        <w:t xml:space="preserve">Be to, iš paties </w:t>
      </w:r>
      <w:r>
        <w:t>A. N. 2</w:t>
      </w:r>
      <w:r w:rsidRPr="00C00255">
        <w:t xml:space="preserve"> raporto matyti, kad jo kariškių grupė veržėsi į pastatą. Taigi jėgos prieš civilius panaudojimo faktu teisėjų kolegija neabejoja.  </w:t>
      </w:r>
    </w:p>
    <w:p w:rsidR="00DA38E9" w:rsidRPr="005D022C" w:rsidRDefault="00DA38E9" w:rsidP="00DA38E9">
      <w:pPr>
        <w:pStyle w:val="ListParagraph"/>
        <w:numPr>
          <w:ilvl w:val="0"/>
          <w:numId w:val="6"/>
        </w:numPr>
        <w:spacing w:before="120" w:after="120"/>
        <w:ind w:left="993" w:hanging="993"/>
        <w:contextualSpacing w:val="0"/>
      </w:pPr>
      <w:r w:rsidRPr="005D022C">
        <w:rPr>
          <w:szCs w:val="24"/>
          <w:lang w:eastAsia="lt-LT" w:bidi="lt-LT"/>
        </w:rPr>
        <w:t>Turėdama omenyje visa tai, kas minėta, teisėjų kolegija konstatuoja</w:t>
      </w:r>
      <w:r w:rsidRPr="005D022C">
        <w:t xml:space="preserve">, kad </w:t>
      </w:r>
      <w:r w:rsidRPr="005D022C">
        <w:rPr>
          <w:szCs w:val="24"/>
          <w:lang w:eastAsia="lt-LT" w:bidi="lt-LT"/>
        </w:rPr>
        <w:t xml:space="preserve">visos skundžiamu nuosprendžiu įrodytomis pripažintos nuteistajam A. N. 2 </w:t>
      </w:r>
      <w:r w:rsidRPr="005D022C">
        <w:t xml:space="preserve">inkriminuotos faktinės aplinkybės, susijusios su veiksmais užimant LRT Televizijos pastatą (nuosprendžio 514–520 l.), pasitvirtino kaip pagrįstos ir teisingos. </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50" w:name="_Toc66697302"/>
      <w:r w:rsidRPr="00C00255">
        <w:rPr>
          <w:rFonts w:ascii="Times New Roman" w:hAnsi="Times New Roman" w:cs="Times New Roman"/>
          <w:i/>
          <w:color w:val="auto"/>
        </w:rPr>
        <w:t xml:space="preserve">Dėl nuteistojo </w:t>
      </w:r>
      <w:r>
        <w:rPr>
          <w:rFonts w:ascii="Times New Roman" w:hAnsi="Times New Roman" w:cs="Times New Roman"/>
          <w:i/>
          <w:color w:val="auto"/>
        </w:rPr>
        <w:t>A. S.</w:t>
      </w:r>
      <w:r w:rsidRPr="00C00255">
        <w:rPr>
          <w:rFonts w:ascii="Times New Roman" w:hAnsi="Times New Roman" w:cs="Times New Roman"/>
          <w:i/>
          <w:color w:val="auto"/>
        </w:rPr>
        <w:t xml:space="preserve"> dalyvavimo užimant LRT Televizijos pastatą</w:t>
      </w:r>
      <w:bookmarkEnd w:id="650"/>
    </w:p>
    <w:p w:rsidR="002125AE" w:rsidRPr="005D022C" w:rsidRDefault="00DA38E9" w:rsidP="002125AE">
      <w:pPr>
        <w:pStyle w:val="ListParagraph"/>
        <w:numPr>
          <w:ilvl w:val="0"/>
          <w:numId w:val="6"/>
        </w:numPr>
        <w:spacing w:before="120" w:after="120"/>
        <w:ind w:left="993" w:hanging="993"/>
        <w:contextualSpacing w:val="0"/>
      </w:pPr>
      <w:r w:rsidRPr="005D022C">
        <w:rPr>
          <w:szCs w:val="24"/>
          <w:lang w:eastAsia="lt-LT"/>
        </w:rPr>
        <w:t xml:space="preserve">Apeliacinės instancijos teismas pagrįsta laiko ir skundžiamo nuosprendžio išvadą, kad TSRS GM 76-osios oro desanto divizijos 234-ojo pulko 3-iojo bataliono 7-osios kuopos kariškiams, kurie, būdami ginkluoti, brovėsi pro civilių minią ir vykdė kitus LRT Televizijos (9 aukštų) pastato užėmimo veiksmus, vienu iš vadovavusių asmenų buvo ir 7-osios kuopos būrio vadas leitenantas A. S.. </w:t>
      </w:r>
    </w:p>
    <w:p w:rsidR="00DA38E9" w:rsidRPr="005D022C" w:rsidRDefault="00DA38E9" w:rsidP="002125AE">
      <w:pPr>
        <w:pStyle w:val="ListParagraph"/>
        <w:numPr>
          <w:ilvl w:val="0"/>
          <w:numId w:val="6"/>
        </w:numPr>
        <w:spacing w:before="120" w:after="120"/>
        <w:ind w:left="993" w:hanging="993"/>
        <w:contextualSpacing w:val="0"/>
      </w:pPr>
      <w:r w:rsidRPr="005D022C">
        <w:rPr>
          <w:szCs w:val="24"/>
          <w:lang w:eastAsia="lt-LT"/>
        </w:rPr>
        <w:t xml:space="preserve">Nuteistojo A. S. gynėjas apeliaciniame skunde teigia, kad jo ginamasis pripažintas kaltu ir vadovaujantis paties nuteistojo, tyrimo metu apklausto liudytoju, parodymais. Tokių </w:t>
      </w:r>
      <w:r w:rsidRPr="005D022C">
        <w:t xml:space="preserve">apeliacinio skundo </w:t>
      </w:r>
      <w:r w:rsidRPr="005D022C">
        <w:rPr>
          <w:szCs w:val="24"/>
          <w:lang w:eastAsia="lt-LT"/>
        </w:rPr>
        <w:t xml:space="preserve">argumentų kontekste teisėjų kolegija pažymi, kad A. S. dalyvavimą ir vadovavimą užimant LRT Televizijos pastatą patvirtina </w:t>
      </w:r>
      <w:r w:rsidRPr="005D022C">
        <w:t>iš skirtingų įrodymų šaltinių gauti ir BPK 20 straipsnio reikalavimus atitinkantys duomenys.</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LRT užėmime dalyvavusių kariškių sąrašo, pavadinimu „74268 karinio dalinio personalo, kuris 1991 metais sausio 13 d. dalyvavo operacijoje dėl televizijos ir radijo centro užėmimo apsaugos tikslais“ matyti, kad įvykiuose dalyvavo ir 7-ajai kuopai priklausęs leitenantas </w:t>
      </w:r>
      <w:r>
        <w:rPr>
          <w:szCs w:val="24"/>
          <w:lang w:eastAsia="lt-LT"/>
        </w:rPr>
        <w:t>A. S.</w:t>
      </w:r>
      <w:r w:rsidRPr="00C00255">
        <w:rPr>
          <w:szCs w:val="24"/>
          <w:lang w:eastAsia="lt-LT"/>
        </w:rPr>
        <w:t xml:space="preserve">, kuris rangu kuopoje nusileido tik jos vadui </w:t>
      </w:r>
      <w:r>
        <w:rPr>
          <w:szCs w:val="24"/>
          <w:lang w:eastAsia="lt-LT"/>
        </w:rPr>
        <w:t>S. M.</w:t>
      </w:r>
      <w:r w:rsidRPr="00C00255">
        <w:rPr>
          <w:szCs w:val="24"/>
          <w:lang w:eastAsia="lt-LT"/>
        </w:rPr>
        <w:t xml:space="preserve"> – </w:t>
      </w:r>
      <w:r>
        <w:rPr>
          <w:szCs w:val="24"/>
          <w:lang w:eastAsia="lt-LT"/>
        </w:rPr>
        <w:t>A. S.</w:t>
      </w:r>
      <w:r w:rsidRPr="00C00255">
        <w:rPr>
          <w:szCs w:val="24"/>
          <w:lang w:eastAsia="lt-LT"/>
        </w:rPr>
        <w:t xml:space="preserve"> buvo leitenantas ir sąraše įvardijamas kaip antrasis jos kariškis (t. 451, b. l. 106–108; t. 152, b. l. 145–147; skunde nurodoma, kad nuosprendžio </w:t>
      </w:r>
      <w:r w:rsidRPr="00C00255">
        <w:rPr>
          <w:szCs w:val="24"/>
        </w:rPr>
        <w:t xml:space="preserve">578 lape yra rašymo apsirikimo klaida, nurodant, jog </w:t>
      </w:r>
      <w:r>
        <w:rPr>
          <w:szCs w:val="24"/>
        </w:rPr>
        <w:t>A. S.</w:t>
      </w:r>
      <w:r w:rsidRPr="00C00255">
        <w:rPr>
          <w:szCs w:val="24"/>
        </w:rPr>
        <w:t xml:space="preserve"> yra vyr. leitenantas, tačiau tokia klaida nuosprendyje nenustatyta</w:t>
      </w:r>
      <w:r w:rsidRPr="00C00255">
        <w:rPr>
          <w:szCs w:val="24"/>
          <w:lang w:eastAsia="lt-LT"/>
        </w:rPr>
        <w:t>).</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vienos iš BMD mašinų ekipažo vyriausiuoju buvo leitenantas </w:t>
      </w:r>
      <w:r>
        <w:rPr>
          <w:szCs w:val="24"/>
          <w:lang w:eastAsia="lt-LT"/>
        </w:rPr>
        <w:t>A. S.</w:t>
      </w:r>
      <w:r w:rsidRPr="00C00255">
        <w:rPr>
          <w:szCs w:val="24"/>
          <w:lang w:eastAsia="lt-LT"/>
        </w:rPr>
        <w:t xml:space="preserve"> (t. 451, b. l. 192–194; t. 152, b. l. 223–225).</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esančios Ginklų ir šaudmenų išdavimo 7-ojoje kuopoje knygos įrašų matyti, kad artimu 1991 m. sausio 13 d. įvykiams metu leitenantas </w:t>
      </w:r>
      <w:r>
        <w:rPr>
          <w:szCs w:val="24"/>
          <w:lang w:eastAsia="lt-LT"/>
        </w:rPr>
        <w:t>A. S.</w:t>
      </w:r>
      <w:r w:rsidRPr="00C00255">
        <w:rPr>
          <w:szCs w:val="24"/>
          <w:lang w:eastAsia="lt-LT"/>
        </w:rPr>
        <w:t xml:space="preserve"> knygoje pasirašinėjo kaip kuopos kariškis, kuriam buvo išduoti 3 automatai „AKS 74-U“ (t. 476, b. l. 129–133; įrašytas kaip leitenantas A. S</w:t>
      </w:r>
      <w:r>
        <w:rPr>
          <w:szCs w:val="24"/>
          <w:lang w:eastAsia="lt-LT"/>
        </w:rPr>
        <w:t>.</w:t>
      </w:r>
      <w:r w:rsidRPr="00C00255">
        <w:rPr>
          <w:szCs w:val="24"/>
          <w:lang w:eastAsia="lt-LT"/>
        </w:rPr>
        <w:t xml:space="preserve">, visgi nekyla abejonių, kad tai </w:t>
      </w:r>
      <w:r>
        <w:rPr>
          <w:szCs w:val="24"/>
          <w:lang w:eastAsia="lt-LT"/>
        </w:rPr>
        <w:t>A. S.</w:t>
      </w:r>
      <w:r w:rsidRPr="00C00255">
        <w:rPr>
          <w:szCs w:val="24"/>
          <w:lang w:eastAsia="lt-LT"/>
        </w:rPr>
        <w:t>, nes daugiau leitenantų 7-ojoje kuopoje nebuvo –</w:t>
      </w:r>
      <w:r w:rsidRPr="00C00255">
        <w:rPr>
          <w:i/>
          <w:szCs w:val="24"/>
          <w:lang w:eastAsia="lt-LT"/>
        </w:rPr>
        <w:t xml:space="preserve"> kolegijos pastaba</w:t>
      </w:r>
      <w:r w:rsidRPr="00C00255">
        <w:rPr>
          <w:szCs w:val="24"/>
          <w:lang w:eastAsia="lt-LT"/>
        </w:rPr>
        <w:t>).</w:t>
      </w:r>
    </w:p>
    <w:p w:rsidR="002125AE" w:rsidRPr="002125AE" w:rsidRDefault="00DA38E9" w:rsidP="002125AE">
      <w:pPr>
        <w:pStyle w:val="ListParagraph"/>
        <w:numPr>
          <w:ilvl w:val="0"/>
          <w:numId w:val="6"/>
        </w:numPr>
        <w:spacing w:before="120" w:after="120"/>
        <w:ind w:left="993" w:hanging="993"/>
        <w:contextualSpacing w:val="0"/>
        <w:rPr>
          <w:color w:val="000000"/>
          <w:szCs w:val="24"/>
          <w:lang w:eastAsia="lt-LT" w:bidi="lt-LT"/>
        </w:rPr>
      </w:pPr>
      <w:r w:rsidRPr="00C00255">
        <w:rPr>
          <w:szCs w:val="24"/>
          <w:lang w:eastAsia="lt-LT"/>
        </w:rPr>
        <w:t xml:space="preserve">Teisėjų kolegijos vertinimu, vien šios aplinkybės ir duomenys patvirtina </w:t>
      </w:r>
      <w:r>
        <w:rPr>
          <w:szCs w:val="24"/>
          <w:lang w:eastAsia="lt-LT"/>
        </w:rPr>
        <w:t>A. S.</w:t>
      </w:r>
      <w:r w:rsidRPr="00C00255">
        <w:rPr>
          <w:szCs w:val="24"/>
          <w:lang w:eastAsia="lt-LT"/>
        </w:rPr>
        <w:t xml:space="preserve"> dalyvavimą 1991 m. sausio 13-osios naktį užimant LRT Televizijos pastatą ir aukštą jo rangą bei eitas vadovaujančio pobūdžio pareigas šios operacijos metu (jis buvo antras pagal rangą kariškis 7-ojoje kuopoje, kuriam buvo pavaldūs kiti kuopos kariškiai). Be to, </w:t>
      </w:r>
      <w:r>
        <w:rPr>
          <w:szCs w:val="24"/>
          <w:lang w:eastAsia="lt-LT"/>
        </w:rPr>
        <w:t>A. S.</w:t>
      </w:r>
      <w:r w:rsidRPr="00C00255">
        <w:rPr>
          <w:szCs w:val="24"/>
          <w:lang w:eastAsia="lt-LT"/>
        </w:rPr>
        <w:t xml:space="preserve"> gynėjas neginčija fakto, kad jo ginamasis dalyvavo įvykiuose prie LRT, ir teigia, jog pastarasis </w:t>
      </w:r>
      <w:bookmarkStart w:id="651" w:name="_Hlk65140441"/>
      <w:r w:rsidRPr="00C00255">
        <w:rPr>
          <w:szCs w:val="24"/>
          <w:lang w:eastAsia="lt-LT"/>
        </w:rPr>
        <w:t xml:space="preserve">prie minėto objekto vieną kartą iššovė snaiperiniu ginklu </w:t>
      </w:r>
      <w:bookmarkEnd w:id="651"/>
      <w:r w:rsidRPr="00C00255">
        <w:rPr>
          <w:szCs w:val="24"/>
          <w:lang w:eastAsia="lt-LT"/>
        </w:rPr>
        <w:t xml:space="preserve">(jis ginčija tik inkriminuotų veiksmų apimtį, dėl ko dar bus pasisakyta). </w:t>
      </w:r>
      <w:bookmarkStart w:id="652" w:name="_Hlk65141550"/>
    </w:p>
    <w:p w:rsidR="00DA38E9" w:rsidRPr="005D022C" w:rsidRDefault="00DA38E9" w:rsidP="002125AE">
      <w:pPr>
        <w:pStyle w:val="ListParagraph"/>
        <w:numPr>
          <w:ilvl w:val="0"/>
          <w:numId w:val="6"/>
        </w:numPr>
        <w:spacing w:before="120" w:after="120"/>
        <w:ind w:left="993" w:hanging="993"/>
        <w:contextualSpacing w:val="0"/>
      </w:pPr>
      <w:r w:rsidRPr="005D022C">
        <w:t xml:space="preserve">Teisėjų kolegijos vidinį įsitikinimą dėl skundžiamame nuosprendyje konstatuoto A. S. dalyvavimo ir vadovaujamo vaidmens LRT Televizijos pastato užėmimo metu formuoja </w:t>
      </w:r>
      <w:bookmarkEnd w:id="652"/>
      <w:r w:rsidRPr="005D022C">
        <w:t>ir ikiteisminio tyrimo metu apklaustų, liudytojų statusą šiame procese turinčių, 7-osios kuopos kariškių parodymai, perskaityti teisiamajame posėdyje (t. 760, b. l. 116–119, 121–122). Pažymėtina, kad dešimt kariškių – A. V., M. S., F. I., A. G., S. L., D. N., V. G., A. Z., V. K. ir A. K. – kaip asmenį, atlikusį vadovaujamą vaidmenį prie LRT įvardijo ir leitenantą A. S.. Dauguma liudytojų patvirtino, kad užimant LRT bei užimant 9 aukštų pastatą matė ir A. S.. Toliau atskirai aptariami tik tų liudytojų parodymai, kurie geriausiai leidžia aiškiai nustatyti ir apibūdinti A. S. vadovaujamą vaidmenį ir konkrečius jo veiksmus užimant LRT Televizijos pastatą.</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Kuopos eilinis </w:t>
      </w:r>
      <w:r>
        <w:rPr>
          <w:szCs w:val="24"/>
          <w:lang w:eastAsia="lt-LT"/>
        </w:rPr>
        <w:t>A. Z.</w:t>
      </w:r>
      <w:r w:rsidRPr="00C00255">
        <w:rPr>
          <w:szCs w:val="24"/>
          <w:lang w:eastAsia="lt-LT"/>
        </w:rPr>
        <w:t xml:space="preserve"> nurodė, kad jam prie objekto buvo paskirta veikti 3-iojo būrio, kuriam vadovavo leitenantas </w:t>
      </w:r>
      <w:r>
        <w:rPr>
          <w:szCs w:val="24"/>
          <w:lang w:eastAsia="lt-LT"/>
        </w:rPr>
        <w:t>A. S.</w:t>
      </w:r>
      <w:r w:rsidRPr="00C00255">
        <w:rPr>
          <w:szCs w:val="24"/>
          <w:lang w:eastAsia="lt-LT"/>
        </w:rPr>
        <w:t xml:space="preserve">, sudėtyje (t. 436, b. l. 141–145; t. 123, b. l. 281–295), o jaunesnysis seržantas </w:t>
      </w:r>
      <w:r>
        <w:rPr>
          <w:szCs w:val="24"/>
          <w:lang w:eastAsia="lt-LT"/>
        </w:rPr>
        <w:t>A. K.</w:t>
      </w:r>
      <w:r w:rsidRPr="00C00255">
        <w:rPr>
          <w:szCs w:val="24"/>
          <w:lang w:eastAsia="lt-LT"/>
        </w:rPr>
        <w:t xml:space="preserve"> – kad kuopa buvo padalinta į dvi grupes, o jis pats buvo grupės, kuriai vadovavo leitenantas </w:t>
      </w:r>
      <w:r>
        <w:rPr>
          <w:szCs w:val="24"/>
          <w:lang w:eastAsia="lt-LT"/>
        </w:rPr>
        <w:t>A. S.</w:t>
      </w:r>
      <w:r w:rsidRPr="00C00255">
        <w:rPr>
          <w:szCs w:val="24"/>
          <w:lang w:eastAsia="lt-LT"/>
        </w:rPr>
        <w:t>, sudėtyje ir turėjo įeiti į pastatą (t. 436, b. l. 138–140; t. 123, b. l. 272–280).</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Eilinis </w:t>
      </w:r>
      <w:r>
        <w:rPr>
          <w:szCs w:val="24"/>
          <w:lang w:eastAsia="lt-LT"/>
        </w:rPr>
        <w:t>S. L.</w:t>
      </w:r>
      <w:r w:rsidRPr="00C00255">
        <w:rPr>
          <w:szCs w:val="24"/>
          <w:lang w:eastAsia="lt-LT"/>
        </w:rPr>
        <w:t xml:space="preserve"> nurodė, kad stumiant civilius nuo pastato, pasigirdo automatinė kulkų serija, iššauta iš gyvenamojo namo. Iškart po to leitenantas </w:t>
      </w:r>
      <w:r>
        <w:rPr>
          <w:szCs w:val="24"/>
          <w:lang w:eastAsia="lt-LT"/>
        </w:rPr>
        <w:t>A. S.</w:t>
      </w:r>
      <w:r w:rsidRPr="00C00255">
        <w:rPr>
          <w:szCs w:val="24"/>
          <w:lang w:eastAsia="lt-LT"/>
        </w:rPr>
        <w:t xml:space="preserve"> iš šautuvo SVD šovė į gyvenamojo namo laiptinę (t. 436, b. l. 113–117; t. 123, b. l. 215–232). Jaunesnysis seržantas </w:t>
      </w:r>
      <w:r>
        <w:rPr>
          <w:szCs w:val="24"/>
          <w:lang w:eastAsia="lt-LT"/>
        </w:rPr>
        <w:t>D. N.</w:t>
      </w:r>
      <w:r w:rsidRPr="00C00255">
        <w:rPr>
          <w:szCs w:val="24"/>
          <w:lang w:eastAsia="lt-LT"/>
        </w:rPr>
        <w:t xml:space="preserve"> taip pat nurodė, kad iš kitų kariškių girdėjo, kad leitenantas </w:t>
      </w:r>
      <w:r>
        <w:rPr>
          <w:szCs w:val="24"/>
          <w:lang w:eastAsia="lt-LT"/>
        </w:rPr>
        <w:t>A. S.</w:t>
      </w:r>
      <w:r w:rsidRPr="00C00255">
        <w:rPr>
          <w:szCs w:val="24"/>
          <w:lang w:eastAsia="lt-LT"/>
        </w:rPr>
        <w:t xml:space="preserve"> paėmė kito kariškio snaiperio šautuvą ir šovė į priešais esančio namo langą (t. 436, b. l. 118–121; t 123, b. l. 233–241).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Teisėjų kolegijos įsitikinimu, šie liudytojų parodymai </w:t>
      </w:r>
      <w:r w:rsidRPr="00C00255">
        <w:t xml:space="preserve">yra </w:t>
      </w:r>
      <w:r w:rsidRPr="00C00255">
        <w:rPr>
          <w:color w:val="000000"/>
          <w:szCs w:val="24"/>
          <w:lang w:eastAsia="lt-LT" w:bidi="lt-LT"/>
        </w:rPr>
        <w:t xml:space="preserve">aktualūs tikrinant šioje dalyje jau aptartus įrodymus apie </w:t>
      </w:r>
      <w:r>
        <w:rPr>
          <w:color w:val="000000"/>
          <w:szCs w:val="24"/>
          <w:lang w:eastAsia="lt-LT" w:bidi="lt-LT"/>
        </w:rPr>
        <w:t>A. S.</w:t>
      </w:r>
      <w:r w:rsidRPr="00C00255">
        <w:rPr>
          <w:color w:val="000000"/>
          <w:szCs w:val="24"/>
          <w:lang w:eastAsia="lt-LT" w:bidi="lt-LT"/>
        </w:rPr>
        <w:t xml:space="preserve"> vaidmenį užimant LRT Televizijos (</w:t>
      </w:r>
      <w:r w:rsidRPr="00C00255">
        <w:rPr>
          <w:szCs w:val="24"/>
          <w:lang w:eastAsia="lt-LT"/>
        </w:rPr>
        <w:t xml:space="preserve">9 aukštų) </w:t>
      </w:r>
      <w:r w:rsidRPr="00C00255">
        <w:rPr>
          <w:color w:val="000000"/>
          <w:szCs w:val="24"/>
          <w:lang w:eastAsia="lt-LT" w:bidi="lt-LT"/>
        </w:rPr>
        <w:t xml:space="preserve">pastatą. Kaip matyti, aptarti liudytojų parodymai sutampa tarpusavyje, atitinka ir papildo kitus jau minėtus objektyvius įrodymus, taip pat net </w:t>
      </w:r>
      <w:r w:rsidRPr="00C00255">
        <w:rPr>
          <w:szCs w:val="24"/>
          <w:lang w:eastAsia="lt-LT"/>
        </w:rPr>
        <w:t xml:space="preserve">gynėjo apeliaciniame skunde nurodytas aplinkybes apie </w:t>
      </w:r>
      <w:r>
        <w:rPr>
          <w:szCs w:val="24"/>
          <w:lang w:eastAsia="lt-LT"/>
        </w:rPr>
        <w:t>A. S.</w:t>
      </w:r>
      <w:r w:rsidRPr="00C00255">
        <w:rPr>
          <w:szCs w:val="24"/>
          <w:lang w:eastAsia="lt-LT"/>
        </w:rPr>
        <w:t xml:space="preserve"> ginklo panaudojimą operacijos metu </w:t>
      </w:r>
      <w:r w:rsidRPr="00C00255">
        <w:rPr>
          <w:szCs w:val="24"/>
          <w:lang w:eastAsia="lt-LT" w:bidi="lt-LT"/>
        </w:rPr>
        <w:t xml:space="preserve">bei </w:t>
      </w:r>
      <w:r w:rsidRPr="00C00255">
        <w:rPr>
          <w:color w:val="000000"/>
          <w:szCs w:val="24"/>
          <w:lang w:eastAsia="lt-LT" w:bidi="lt-LT"/>
        </w:rPr>
        <w:t xml:space="preserve">taip pat formuoja teismo įsitikinimą, </w:t>
      </w:r>
      <w:r w:rsidRPr="00C00255">
        <w:rPr>
          <w:szCs w:val="24"/>
          <w:lang w:eastAsia="lt-LT"/>
        </w:rPr>
        <w:t xml:space="preserve">kad </w:t>
      </w:r>
      <w:r>
        <w:rPr>
          <w:szCs w:val="24"/>
          <w:lang w:eastAsia="lt-LT"/>
        </w:rPr>
        <w:t>A. S.</w:t>
      </w:r>
      <w:r w:rsidRPr="00C00255">
        <w:rPr>
          <w:szCs w:val="24"/>
          <w:lang w:eastAsia="lt-LT"/>
        </w:rPr>
        <w:t xml:space="preserve"> ne tik dalyvavo užimant LRT Televizijos pastatą, bet šios operacijos metu buvo vienu iš vadovaujančias pareigas užėmusių karininkų.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Teisėjų kolegijos vertinimu, kitos </w:t>
      </w:r>
      <w:r>
        <w:rPr>
          <w:color w:val="000000"/>
          <w:szCs w:val="24"/>
          <w:lang w:eastAsia="lt-LT" w:bidi="lt-LT"/>
        </w:rPr>
        <w:t>A. S.</w:t>
      </w:r>
      <w:r w:rsidRPr="00C00255">
        <w:rPr>
          <w:color w:val="000000"/>
          <w:szCs w:val="24"/>
          <w:lang w:eastAsia="lt-LT" w:bidi="lt-LT"/>
        </w:rPr>
        <w:t xml:space="preserve"> gynėjo skunde nurodytos aplinkybės nepaneigia pirmosios instancijos teismo konstatuoto </w:t>
      </w:r>
      <w:r>
        <w:rPr>
          <w:color w:val="000000"/>
          <w:szCs w:val="24"/>
          <w:lang w:eastAsia="lt-LT" w:bidi="lt-LT"/>
        </w:rPr>
        <w:t>A. S.</w:t>
      </w:r>
      <w:r w:rsidRPr="00C00255">
        <w:rPr>
          <w:color w:val="000000"/>
          <w:szCs w:val="24"/>
          <w:lang w:eastAsia="lt-LT" w:bidi="lt-LT"/>
        </w:rPr>
        <w:t xml:space="preserve"> vaidmens prie LRT Televizijos pastato. </w:t>
      </w:r>
      <w:r w:rsidRPr="00C00255">
        <w:t xml:space="preserve">Gynyba akcentuoja, kad byloje nėra duomenų, jog </w:t>
      </w:r>
      <w:r>
        <w:t>A. S.</w:t>
      </w:r>
      <w:r w:rsidRPr="00C00255">
        <w:t xml:space="preserve"> savo veiksmais LRT šturmo metu sužalojo civilius. </w:t>
      </w:r>
      <w:r w:rsidRPr="00C00255">
        <w:rPr>
          <w:lang w:eastAsia="lt-LT"/>
        </w:rPr>
        <w:t xml:space="preserve">Vertindama tokius gynėjo argumentus, kuriuos ne kartą išsakė ir kiti nuteistieji ir jų gynėjai, teisėjų kolegija pažymi, kad užimant LRT, kariniai daliniai veikė bendrai, koordinuotai ir sudarė sąlygas vieni kitų veiksmams. Atsižvelgiant į tai, </w:t>
      </w:r>
      <w:r w:rsidRPr="00C00255">
        <w:rPr>
          <w:szCs w:val="24"/>
          <w:lang w:eastAsia="lt-LT"/>
        </w:rPr>
        <w:t xml:space="preserve">kiekvieno iš kariškių, ypač ėjusio vadovaujančias pareigas, veiksmai jokiu būdu negali būti vertinami atsietai nuo jo dalinio ir apskritai visų operacijoje dalyvavusių kariškių veiksmų, o taip pat ir nuo jų veiksmų padarinių. </w:t>
      </w:r>
      <w:r w:rsidRPr="00C00255">
        <w:t xml:space="preserve">Be to, byloje nėra ginčo dėl to, kad </w:t>
      </w:r>
      <w:r>
        <w:t>A. S.</w:t>
      </w:r>
      <w:r w:rsidRPr="00C00255">
        <w:t xml:space="preserve"> prie LRT iššovė iš snaiperinio ginklo SVD į šalia buvusį gyvenamąjį namą, o tai vėlgi rodo šio kariškio veiksmų realų pavojingumą. </w:t>
      </w:r>
    </w:p>
    <w:p w:rsidR="00DA38E9" w:rsidRPr="00C00255" w:rsidRDefault="00DA38E9" w:rsidP="00DA38E9">
      <w:pPr>
        <w:pStyle w:val="ListParagraph"/>
        <w:numPr>
          <w:ilvl w:val="0"/>
          <w:numId w:val="6"/>
        </w:numPr>
        <w:spacing w:before="120" w:after="120"/>
        <w:ind w:left="930" w:hanging="930"/>
        <w:contextualSpacing w:val="0"/>
      </w:pPr>
      <w:r w:rsidRPr="00C00255">
        <w:rPr>
          <w:szCs w:val="24"/>
          <w:lang w:bidi="lt-LT"/>
        </w:rPr>
        <w:t xml:space="preserve">Turėdama omenyje visa tai, kas minėta šio sprendimo dalyje, teisėjų kolegija konstatuoja, kad visos skundžiamu nuosprendžiu įrodytomis pripažintos nuteistajam </w:t>
      </w:r>
      <w:r>
        <w:rPr>
          <w:szCs w:val="24"/>
          <w:lang w:bidi="lt-LT"/>
        </w:rPr>
        <w:t>A. S.</w:t>
      </w:r>
      <w:r w:rsidRPr="00C00255">
        <w:rPr>
          <w:szCs w:val="24"/>
          <w:lang w:bidi="lt-LT"/>
        </w:rPr>
        <w:t xml:space="preserve"> </w:t>
      </w:r>
      <w:r w:rsidRPr="00C00255">
        <w:t>inkriminuotos faktinės aplinkybės, susijusios su veiksmais užimant LRT Televizijos pastatą (žr. nuosprendžio 514</w:t>
      </w:r>
      <w:bookmarkStart w:id="653" w:name="_Hlk65778636"/>
      <w:r w:rsidRPr="00C00255">
        <w:t>–</w:t>
      </w:r>
      <w:bookmarkEnd w:id="653"/>
      <w:r w:rsidRPr="00C00255">
        <w:t xml:space="preserve">520 l.), pasitvirtino kaip pagrįstos ir teisingos. </w:t>
      </w:r>
    </w:p>
    <w:p w:rsidR="00DA38E9" w:rsidRPr="00C00255" w:rsidRDefault="00DA38E9" w:rsidP="00DA38E9">
      <w:pPr>
        <w:pStyle w:val="ListParagraph"/>
        <w:numPr>
          <w:ilvl w:val="0"/>
          <w:numId w:val="6"/>
        </w:numPr>
        <w:spacing w:before="120" w:after="120"/>
        <w:ind w:left="930" w:hanging="930"/>
        <w:contextualSpacing w:val="0"/>
      </w:pPr>
      <w:r w:rsidRPr="00C00255">
        <w:t xml:space="preserve">Teisėjų kolegija, analizuodama apygardos teismo išvadas </w:t>
      </w:r>
      <w:bookmarkStart w:id="654" w:name="_Hlk65778910"/>
      <w:r w:rsidRPr="00C00255">
        <w:t xml:space="preserve">apie </w:t>
      </w:r>
      <w:bookmarkStart w:id="655" w:name="_Hlk65778150"/>
      <w:r w:rsidRPr="00C00255">
        <w:t xml:space="preserve">nuteistojo </w:t>
      </w:r>
      <w:r>
        <w:t>A. S.</w:t>
      </w:r>
      <w:r w:rsidRPr="00C00255">
        <w:t xml:space="preserve"> </w:t>
      </w:r>
      <w:bookmarkEnd w:id="655"/>
      <w:r w:rsidRPr="00C00255">
        <w:t>faktiškai atliktus veiksmus</w:t>
      </w:r>
      <w:bookmarkEnd w:id="654"/>
      <w:r w:rsidRPr="00C00255">
        <w:t xml:space="preserve">, pažymi, kad nuosprendžio motyvuojamojoje dalyje, apibendrinant </w:t>
      </w:r>
      <w:r>
        <w:t>A. S.</w:t>
      </w:r>
      <w:r w:rsidRPr="00C00255">
        <w:t xml:space="preserve"> atliktus veiksmus, apygardos teismas nurodė ir tai, kad nuteistasis </w:t>
      </w:r>
      <w:r>
        <w:t>A. S.</w:t>
      </w:r>
      <w:r w:rsidRPr="00C00255">
        <w:t xml:space="preserve"> LRT šturmo metu „&lt;...&gt; 7,62 mm šoviniais šaudė į priešais esantį gyvenamąjį namą.“ (žr. nuosprendžio </w:t>
      </w:r>
      <w:r w:rsidRPr="00C00255">
        <w:rPr>
          <w:szCs w:val="24"/>
          <w:lang w:eastAsia="lt-LT" w:bidi="lt-LT"/>
        </w:rPr>
        <w:t>873 </w:t>
      </w:r>
      <w:r w:rsidRPr="00C00255">
        <w:t xml:space="preserve">l. t. 773, b. l. 73; panašiai ir </w:t>
      </w:r>
      <w:r w:rsidRPr="00C00255">
        <w:rPr>
          <w:szCs w:val="24"/>
          <w:lang w:eastAsia="lt-LT" w:bidi="lt-LT"/>
        </w:rPr>
        <w:t>884 l.; t. 773, b. l. 84</w:t>
      </w:r>
      <w:r w:rsidRPr="00C00255">
        <w:t xml:space="preserve">). Toks teismo teiginys gali būti suprantamas dviprasmiškai, tiek kaip šaudymas daug kartų, tiek kaip šaudymas tokio tipo šoviniais apskritai. Šiame kontekste, teisėjų kolegija, sutinka su gynėjo apeliacinio skundo argumentais, kad byloje nėra įrodymų apie </w:t>
      </w:r>
      <w:r>
        <w:t>A. S.</w:t>
      </w:r>
      <w:r w:rsidRPr="00C00255">
        <w:t xml:space="preserve"> daugybinį šaudymą 7,62 mm kalibro šoviniais į gyvenamąjį pastatą. </w:t>
      </w:r>
      <w:r w:rsidRPr="00C00255">
        <w:rPr>
          <w:szCs w:val="24"/>
        </w:rPr>
        <w:t xml:space="preserve">Gynėjo teigimu, įrodymai patvirtina tik tai, kad nuteistasis tik vieną kartą šovė 7,62 mm kalibro koviniu šoviniu į laiptinės langą. Kaip matyti iš skundžiamo nuosprendžio, pirmosios instancijos teismas tokios savo išvados dėl </w:t>
      </w:r>
      <w:r>
        <w:rPr>
          <w:szCs w:val="24"/>
        </w:rPr>
        <w:t>A. S.</w:t>
      </w:r>
      <w:r w:rsidRPr="00C00255">
        <w:rPr>
          <w:szCs w:val="24"/>
        </w:rPr>
        <w:t xml:space="preserve"> daugybinio šaudymo, neargumentavo ir nepagrindė išsamiu bylos įrodymų vertinimu. Teisėjų kolegija išnagrinėjusi baudžiamąją bylą taip pat nenustatė neginčijamų įrodymų, patvirtinančių šią pirmosios instancijos teismo motyvuojamojoje dalyje nurodytą aplinkybę, kuri nebuvo inkriminuota kaltinamajame akte ir nebuvo nurodyta skundžiamo nuosprendžio nustatomojoje dalyje. </w:t>
      </w:r>
      <w:r w:rsidRPr="00C00255">
        <w:rPr>
          <w:lang w:eastAsia="lt-LT"/>
        </w:rPr>
        <w:t xml:space="preserve">Apeliacinės instancijos teisme prokurorai taip pat nurodė, kad nuosprendžio motyvuojamojoje dalyje aprašyti nuteistojo veiksmai patikslintini nurodant, jog „jis šovė į priešais esantį gyvenamąjį namą“ </w:t>
      </w:r>
      <w:r w:rsidRPr="002125AE">
        <w:t>(</w:t>
      </w:r>
      <w:r w:rsidRPr="002125AE">
        <w:rPr>
          <w:rFonts w:eastAsia="Calibri"/>
        </w:rPr>
        <w:t>t. 796, b. l. 84), t. y. atliko vieną, o ne daugybinius šūvius</w:t>
      </w:r>
      <w:r w:rsidRPr="00C00255">
        <w:rPr>
          <w:rFonts w:eastAsia="Calibri"/>
        </w:rPr>
        <w:t xml:space="preserve">. </w:t>
      </w:r>
      <w:r w:rsidRPr="00C00255">
        <w:t>Kaip matyti, t</w:t>
      </w:r>
      <w:r w:rsidRPr="00C00255">
        <w:rPr>
          <w:szCs w:val="24"/>
        </w:rPr>
        <w:t xml:space="preserve">yrimo metu apklaustas nuteistasis </w:t>
      </w:r>
      <w:r>
        <w:rPr>
          <w:szCs w:val="24"/>
        </w:rPr>
        <w:t>A. S.</w:t>
      </w:r>
      <w:r w:rsidRPr="00C00255">
        <w:rPr>
          <w:szCs w:val="24"/>
        </w:rPr>
        <w:t>, kurio parodymais apeliaciniame skunde vadovavosi ir nuteistojo gynėjas, pats nurodė, kad jis LRT užėmimo metu, iš kažkurio kuopos kario paėmęs šautuvą, iššovė vieną šūvį į priešais buvusį namą, bet į žmogų, buvusį laiptinės aikštelėje ir į juos šaudžiusį, nepataikė, nes šautuvas neturėjo optinio taikiklio.</w:t>
      </w:r>
      <w:r w:rsidRPr="00C00255">
        <w:t xml:space="preserve"> </w:t>
      </w:r>
      <w:r w:rsidRPr="00C00255">
        <w:rPr>
          <w:szCs w:val="24"/>
        </w:rPr>
        <w:t>Operacijos metu buvo panaudotas tik vienas 7,62 mm šovinys (t. 436, b. l. 9–13; t. 123, b. l. 8–13). Atsižvelgiant į išdėstytas aplinkybes, teisėjų kolegija nuosprendyje nurodytą teiginį (</w:t>
      </w:r>
      <w:r w:rsidRPr="00C00255">
        <w:t xml:space="preserve">„&lt;...&gt; 7,62 mm šoviniais šaudė į priešais esantį gyvenamąjį namą.“ pripažįsta kaip netikslų, o vertindama </w:t>
      </w:r>
      <w:r>
        <w:t>A. S.</w:t>
      </w:r>
      <w:r w:rsidRPr="00C00255">
        <w:t xml:space="preserve"> veiksmus laiko,</w:t>
      </w:r>
      <w:r w:rsidRPr="00C00255">
        <w:rPr>
          <w:szCs w:val="24"/>
        </w:rPr>
        <w:t xml:space="preserve"> kad </w:t>
      </w:r>
      <w:r>
        <w:rPr>
          <w:szCs w:val="24"/>
        </w:rPr>
        <w:t>A. S.</w:t>
      </w:r>
      <w:r w:rsidRPr="00C00255">
        <w:rPr>
          <w:szCs w:val="24"/>
        </w:rPr>
        <w:t xml:space="preserve"> LRT užėmimo metu v</w:t>
      </w:r>
      <w:r w:rsidRPr="00C00255">
        <w:rPr>
          <w:szCs w:val="24"/>
          <w:lang w:bidi="lt-LT"/>
        </w:rPr>
        <w:t>ieną kartą šovė 7,62 mm kalibro šoviniu į priešais esantį gyvenamąjį namą.</w:t>
      </w:r>
    </w:p>
    <w:p w:rsidR="00DA38E9" w:rsidRPr="00C00255" w:rsidRDefault="00DA38E9" w:rsidP="00DA38E9">
      <w:pPr>
        <w:pStyle w:val="Heading5"/>
        <w:spacing w:before="120" w:after="120"/>
        <w:ind w:firstLine="992"/>
        <w:rPr>
          <w:rFonts w:ascii="Times New Roman" w:hAnsi="Times New Roman" w:cs="Times New Roman"/>
          <w:i/>
          <w:color w:val="auto"/>
        </w:rPr>
      </w:pPr>
      <w:bookmarkStart w:id="656" w:name="_Toc66697303"/>
      <w:r w:rsidRPr="00C00255">
        <w:rPr>
          <w:rFonts w:ascii="Times New Roman" w:hAnsi="Times New Roman" w:cs="Times New Roman"/>
          <w:i/>
          <w:color w:val="auto"/>
        </w:rPr>
        <w:t xml:space="preserve">Dėl nuteistojo </w:t>
      </w:r>
      <w:r>
        <w:rPr>
          <w:rFonts w:ascii="Times New Roman" w:hAnsi="Times New Roman" w:cs="Times New Roman"/>
          <w:i/>
          <w:color w:val="auto"/>
        </w:rPr>
        <w:t>A. C.</w:t>
      </w:r>
      <w:r w:rsidRPr="00C00255">
        <w:rPr>
          <w:rFonts w:ascii="Times New Roman" w:hAnsi="Times New Roman" w:cs="Times New Roman"/>
          <w:i/>
          <w:color w:val="auto"/>
        </w:rPr>
        <w:t xml:space="preserve"> dalyvavimo užimant LRT Televizijos pastatą</w:t>
      </w:r>
      <w:bookmarkEnd w:id="656"/>
    </w:p>
    <w:p w:rsidR="002125AE" w:rsidRPr="005D022C" w:rsidRDefault="00DA38E9" w:rsidP="002125AE">
      <w:pPr>
        <w:pStyle w:val="ListParagraph"/>
        <w:numPr>
          <w:ilvl w:val="0"/>
          <w:numId w:val="6"/>
        </w:numPr>
        <w:spacing w:before="120" w:after="120"/>
        <w:ind w:left="930" w:hanging="930"/>
        <w:contextualSpacing w:val="0"/>
      </w:pPr>
      <w:r w:rsidRPr="005D022C">
        <w:t>Apeliacinės instancijos teismas pagrįsta laiko ir skundžiamo nuosprendžio išvadą, kad TSRS GM 76-osios oro desanto divizijos 234-ojo pulko 3-iojo bataliono 7-osios kuopos kariškiams,</w:t>
      </w:r>
      <w:r w:rsidRPr="005D022C">
        <w:rPr>
          <w:szCs w:val="24"/>
          <w:lang w:eastAsia="lt-LT"/>
        </w:rPr>
        <w:t xml:space="preserve"> </w:t>
      </w:r>
      <w:r w:rsidRPr="005D022C">
        <w:t>kurie, būdami ginkluoti, brovėsi pro civilių minią ir vykdė kitus LRT Televizijos (9 aukštų) pastato užėmimo veiksmus, vienu iš vadovavusių asmenų buvo ir 7-osios kuopos praporščikas A. C..</w:t>
      </w:r>
      <w:r w:rsidRPr="005D022C">
        <w:rPr>
          <w:szCs w:val="24"/>
          <w:lang w:eastAsia="lt-LT"/>
        </w:rPr>
        <w:t xml:space="preserve"> </w:t>
      </w:r>
    </w:p>
    <w:p w:rsidR="00DA38E9" w:rsidRPr="002125AE" w:rsidRDefault="00DA38E9" w:rsidP="002125AE">
      <w:pPr>
        <w:pStyle w:val="ListParagraph"/>
        <w:numPr>
          <w:ilvl w:val="0"/>
          <w:numId w:val="6"/>
        </w:numPr>
        <w:spacing w:before="120" w:after="120"/>
        <w:ind w:left="930" w:hanging="930"/>
        <w:contextualSpacing w:val="0"/>
      </w:pPr>
      <w:r w:rsidRPr="002125AE">
        <w:rPr>
          <w:szCs w:val="24"/>
          <w:lang w:eastAsia="lt-LT"/>
        </w:rPr>
        <w:t>Nuteistojo A. C. gynėjo teigimu,</w:t>
      </w:r>
      <w:r w:rsidRPr="00C00255">
        <w:t xml:space="preserve"> išvados, kad </w:t>
      </w:r>
      <w:r>
        <w:t>A. C.</w:t>
      </w:r>
      <w:r w:rsidRPr="00C00255">
        <w:t xml:space="preserve"> vadovavo LRT pastato šturmui, nukreipė pabūklus bei karinės technikos apšvietimo prietaisus į pastatą, baugino civilius, nepatvirtina jokie objektyvūs duomenys. </w:t>
      </w:r>
      <w:r w:rsidRPr="002125AE">
        <w:rPr>
          <w:szCs w:val="24"/>
          <w:lang w:eastAsia="lt-LT"/>
        </w:rPr>
        <w:t xml:space="preserve">Tokių argumentų kontekste apeliacinės instancijos teismo teisėjų kolegija pažymi, kad A. C. dalyvavimą užimant LRT Televizijos pastatą ir vadovavimą daliai 7-osios kuopos kariškių, patvirtina toliau aptarta </w:t>
      </w:r>
      <w:r w:rsidRPr="00C00255">
        <w:t>byloje surinktų įrodymų visuma.</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byloje esančio LRT užėmime dalyvavusių kariškių sąrašo, pavadinimu „74268 karinio dalinio personalo, kuris 1991 metais sausio 13 d. dalyvavo operacijoje dėl televizijos ir radijo centro užėmimo apsaugos tikslais“ matyti, kad įvykiuose dalyvavo ir 7-ajai kuopai priklausęs praporščikas </w:t>
      </w:r>
      <w:r>
        <w:rPr>
          <w:szCs w:val="24"/>
          <w:lang w:eastAsia="lt-LT"/>
        </w:rPr>
        <w:t>A. C.</w:t>
      </w:r>
      <w:r w:rsidRPr="00C00255">
        <w:rPr>
          <w:szCs w:val="24"/>
          <w:lang w:eastAsia="lt-LT"/>
        </w:rPr>
        <w:t xml:space="preserve">, kuris rangu kuopoje nusileido tik vyr. leitenantams </w:t>
      </w:r>
      <w:r>
        <w:rPr>
          <w:szCs w:val="24"/>
          <w:lang w:eastAsia="lt-LT"/>
        </w:rPr>
        <w:t>S. M.</w:t>
      </w:r>
      <w:r w:rsidRPr="00C00255">
        <w:rPr>
          <w:szCs w:val="24"/>
          <w:lang w:eastAsia="lt-LT"/>
        </w:rPr>
        <w:t xml:space="preserve"> ir </w:t>
      </w:r>
      <w:r w:rsidRPr="009937B2">
        <w:rPr>
          <w:szCs w:val="24"/>
          <w:lang w:eastAsia="lt-LT"/>
        </w:rPr>
        <w:t>A. N. </w:t>
      </w:r>
      <w:r>
        <w:rPr>
          <w:szCs w:val="24"/>
          <w:lang w:eastAsia="lt-LT"/>
        </w:rPr>
        <w:t>2</w:t>
      </w:r>
      <w:r w:rsidRPr="00C00255">
        <w:rPr>
          <w:szCs w:val="24"/>
          <w:lang w:eastAsia="lt-LT"/>
        </w:rPr>
        <w:t xml:space="preserve">, taip pat leitenantui </w:t>
      </w:r>
      <w:r>
        <w:rPr>
          <w:szCs w:val="24"/>
          <w:lang w:eastAsia="lt-LT"/>
        </w:rPr>
        <w:t>A. S.</w:t>
      </w:r>
      <w:r w:rsidRPr="00C00255">
        <w:rPr>
          <w:szCs w:val="24"/>
          <w:lang w:eastAsia="lt-LT"/>
        </w:rPr>
        <w:t xml:space="preserve"> (t. 451, b. l. 106–108; t. 152, b. l. 145–147).</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vienos iš mašinų ekipažo vyriausiuoju buvo praporščikas </w:t>
      </w:r>
      <w:r>
        <w:rPr>
          <w:szCs w:val="24"/>
          <w:lang w:eastAsia="lt-LT"/>
        </w:rPr>
        <w:t>A. C.</w:t>
      </w:r>
      <w:r w:rsidRPr="00C00255">
        <w:rPr>
          <w:szCs w:val="24"/>
          <w:lang w:eastAsia="lt-LT"/>
        </w:rPr>
        <w:t xml:space="preserve"> (t. 451, b. l. 192–194; t. 152, b. l. 223–225).</w:t>
      </w:r>
    </w:p>
    <w:p w:rsidR="002125AE" w:rsidRPr="002125AE" w:rsidRDefault="00DA38E9" w:rsidP="002125AE">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Teisėjų kolegijos vertinimu, vien aptartų aplinkybių ir rašytinių įrodymų visuma leidžia teigti apie </w:t>
      </w:r>
      <w:r>
        <w:rPr>
          <w:szCs w:val="24"/>
          <w:lang w:eastAsia="lt-LT"/>
        </w:rPr>
        <w:t>A. C.</w:t>
      </w:r>
      <w:r w:rsidRPr="00C00255">
        <w:rPr>
          <w:szCs w:val="24"/>
          <w:lang w:eastAsia="lt-LT"/>
        </w:rPr>
        <w:t xml:space="preserve"> dalyvavimą 1991 m. sausio 13-osios naktį užimant LRT Televizijos pastatą ir aukštą jo rangą bei eitas vadovaujančio pobūdžio pareigas 7-ojoje kuopoje (jis buvo trečias pagal rangą kariškis kuopoje, kurią aptariamų įvykių metu sudarė apie 40 kariškių). Be to, </w:t>
      </w:r>
      <w:r>
        <w:rPr>
          <w:szCs w:val="24"/>
          <w:lang w:eastAsia="lt-LT"/>
        </w:rPr>
        <w:t>A. C.</w:t>
      </w:r>
      <w:r w:rsidRPr="00C00255">
        <w:rPr>
          <w:szCs w:val="24"/>
          <w:lang w:eastAsia="lt-LT"/>
        </w:rPr>
        <w:t xml:space="preserve"> gynėjas taipogi neginčija aplinkybės, kad jo ginamasis dalyvavo įvykiuose prie LRT (teigia, kad jis nevadovavo pastato užėmimui, dėl ko dar bus pasisakyta). </w:t>
      </w:r>
    </w:p>
    <w:p w:rsidR="00DA38E9" w:rsidRPr="005D022C" w:rsidRDefault="00DA38E9" w:rsidP="002125AE">
      <w:pPr>
        <w:pStyle w:val="ListParagraph"/>
        <w:numPr>
          <w:ilvl w:val="0"/>
          <w:numId w:val="6"/>
        </w:numPr>
        <w:spacing w:before="120" w:after="120"/>
        <w:ind w:left="992" w:hanging="992"/>
        <w:contextualSpacing w:val="0"/>
        <w:rPr>
          <w:color w:val="000000"/>
          <w:szCs w:val="24"/>
          <w:lang w:eastAsia="lt-LT" w:bidi="lt-LT"/>
        </w:rPr>
      </w:pPr>
      <w:r w:rsidRPr="005D022C">
        <w:rPr>
          <w:szCs w:val="24"/>
          <w:lang w:eastAsia="lt-LT"/>
        </w:rPr>
        <w:t xml:space="preserve">Teisėjų kolegijos vidinį įsitikinimą dėl skundžiamame nuosprendyje konstatuoto A. C. dalyvavimo ir vadovaujamo vaidmens LRT Televizijos pastato užėmimo metu, formuoja </w:t>
      </w:r>
      <w:r w:rsidRPr="005D022C">
        <w:t xml:space="preserve">ir ikiteisminio tyrimo metu apklaustų, liudytojų statusą šiame procese turinčių 7-osios kuopos kariškių A. K., A. G. ir I. R. parodymai, perskaityti teisiamajame posėdyje </w:t>
      </w:r>
      <w:r w:rsidRPr="005D022C">
        <w:rPr>
          <w:szCs w:val="24"/>
          <w:lang w:eastAsia="lt-LT"/>
        </w:rPr>
        <w:t>(</w:t>
      </w:r>
      <w:r w:rsidRPr="005D022C">
        <w:rPr>
          <w:szCs w:val="24"/>
          <w:lang w:eastAsia="lt-LT" w:bidi="lt-LT"/>
        </w:rPr>
        <w:t>t. 760, b. l. 116–119, 121–122</w:t>
      </w:r>
      <w:r w:rsidRPr="005D022C">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Eilinis </w:t>
      </w:r>
      <w:r>
        <w:rPr>
          <w:szCs w:val="24"/>
          <w:lang w:eastAsia="lt-LT"/>
        </w:rPr>
        <w:t>I. R.</w:t>
      </w:r>
      <w:r w:rsidRPr="00C00255">
        <w:rPr>
          <w:szCs w:val="24"/>
          <w:lang w:eastAsia="lt-LT"/>
        </w:rPr>
        <w:t xml:space="preserve"> nurodė, kad jo kuopa desantininkų mašinomis važiavo prie Televizijos centro – jo mašina buvo uždaranti koloną, o jos sudėtyje buvo ir praporščikas </w:t>
      </w:r>
      <w:r>
        <w:rPr>
          <w:szCs w:val="24"/>
          <w:lang w:eastAsia="lt-LT"/>
        </w:rPr>
        <w:t>A. C.</w:t>
      </w:r>
      <w:r w:rsidRPr="00C00255">
        <w:rPr>
          <w:szCs w:val="24"/>
          <w:lang w:eastAsia="lt-LT"/>
        </w:rPr>
        <w:t>. Liudytojas buvo be ginklo, o praporščikas buvo su automatu ir sėdėjo vado liuke (t. 436, b. l. 146–150; t. 12</w:t>
      </w:r>
      <w:r w:rsidR="00902A3A">
        <w:rPr>
          <w:szCs w:val="24"/>
          <w:lang w:eastAsia="lt-LT"/>
        </w:rPr>
        <w:t>3, b. </w:t>
      </w:r>
      <w:r w:rsidRPr="00C00255">
        <w:rPr>
          <w:szCs w:val="24"/>
          <w:lang w:eastAsia="lt-LT"/>
        </w:rPr>
        <w:t>l. 296–300).</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Jaunesnysis seržantas </w:t>
      </w:r>
      <w:r>
        <w:rPr>
          <w:szCs w:val="24"/>
          <w:lang w:eastAsia="lt-LT"/>
        </w:rPr>
        <w:t>A. K.</w:t>
      </w:r>
      <w:r w:rsidRPr="00C00255">
        <w:rPr>
          <w:szCs w:val="24"/>
          <w:lang w:eastAsia="lt-LT"/>
        </w:rPr>
        <w:t xml:space="preserve"> nurodė, kad kuopos sudėtyje vykdė užduotį perimti TV centro apsaugą – išsidėstę „pleištu“ jie ėmė brautis prie įėjimo bei automatų buožėmis gynėsi nuo civilių, kol pasiekė pastatą. Jie buvo 1-ame ir 2-ame pastato aukštuose. 2-ame aukšte sėdėjo du milicininkai, kuriuos jis su kitais kariškiais apieškojo ir atėmė lazdas. Su juo buvo vienas eilinis bei praporščikas </w:t>
      </w:r>
      <w:r>
        <w:rPr>
          <w:szCs w:val="24"/>
          <w:lang w:eastAsia="lt-LT"/>
        </w:rPr>
        <w:t>A. C.</w:t>
      </w:r>
      <w:r w:rsidRPr="00C00255">
        <w:rPr>
          <w:szCs w:val="24"/>
          <w:lang w:eastAsia="lt-LT"/>
        </w:rPr>
        <w:t xml:space="preserve"> (t. 436, b. l. 47–50; t. 123, b. l. 84–93).</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Eilinis </w:t>
      </w:r>
      <w:r>
        <w:rPr>
          <w:szCs w:val="24"/>
          <w:lang w:eastAsia="lt-LT"/>
        </w:rPr>
        <w:t>A. G.</w:t>
      </w:r>
      <w:r w:rsidRPr="00C00255">
        <w:rPr>
          <w:szCs w:val="24"/>
          <w:lang w:eastAsia="lt-LT"/>
        </w:rPr>
        <w:t xml:space="preserve"> tarp operacijos 9 aukštų pastate vykdymo metu matytų karininkų išskyrė ir praporščiką </w:t>
      </w:r>
      <w:r>
        <w:rPr>
          <w:szCs w:val="24"/>
          <w:lang w:eastAsia="lt-LT"/>
        </w:rPr>
        <w:t>A. C.</w:t>
      </w:r>
      <w:r w:rsidRPr="00C00255">
        <w:rPr>
          <w:szCs w:val="24"/>
          <w:lang w:eastAsia="lt-LT"/>
        </w:rPr>
        <w:t xml:space="preserve"> (t. 436, b. l. 92–96; t. 123, b. l. 179–190).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Be to, tikrinant šioje dalyje jau aptartus įrodymus apie praporščiko </w:t>
      </w:r>
      <w:r>
        <w:rPr>
          <w:szCs w:val="24"/>
          <w:lang w:eastAsia="lt-LT" w:bidi="lt-LT"/>
        </w:rPr>
        <w:t>A. C.</w:t>
      </w:r>
      <w:r w:rsidRPr="00C00255">
        <w:rPr>
          <w:szCs w:val="24"/>
          <w:lang w:eastAsia="lt-LT" w:bidi="lt-LT"/>
        </w:rPr>
        <w:t xml:space="preserve"> vaidmenį įvykiuose prie LRT bei formuojant teisėjų kolegijos vidinį įsitikinimą šiuo klausimu, aktualūs ir teisiamajame posėdyje perskaityti tuometinio 7-osios kuopos vado nuteistojo </w:t>
      </w:r>
      <w:r>
        <w:rPr>
          <w:szCs w:val="24"/>
          <w:lang w:eastAsia="lt-LT" w:bidi="lt-LT"/>
        </w:rPr>
        <w:t>S. M.</w:t>
      </w:r>
      <w:r w:rsidRPr="00C00255">
        <w:rPr>
          <w:szCs w:val="24"/>
          <w:lang w:eastAsia="lt-LT" w:bidi="lt-LT"/>
        </w:rPr>
        <w:t>, tyrimo metu apklausto liudytoju, bei šios kuopos kariškio liudytojo P. G</w:t>
      </w:r>
      <w:r>
        <w:rPr>
          <w:szCs w:val="24"/>
          <w:lang w:eastAsia="lt-LT" w:bidi="lt-LT"/>
        </w:rPr>
        <w:t>.</w:t>
      </w:r>
      <w:r w:rsidRPr="00C00255">
        <w:rPr>
          <w:szCs w:val="24"/>
          <w:lang w:eastAsia="lt-LT" w:bidi="lt-LT"/>
        </w:rPr>
        <w:t xml:space="preserve"> parodymai apie įvykių metu </w:t>
      </w:r>
      <w:r>
        <w:rPr>
          <w:szCs w:val="24"/>
          <w:lang w:eastAsia="lt-LT" w:bidi="lt-LT"/>
        </w:rPr>
        <w:t>A. C.</w:t>
      </w:r>
      <w:r w:rsidRPr="00C00255">
        <w:rPr>
          <w:szCs w:val="24"/>
          <w:lang w:eastAsia="lt-LT" w:bidi="lt-LT"/>
        </w:rPr>
        <w:t xml:space="preserve"> turėtą sprogstamąjį paketą. </w:t>
      </w:r>
      <w:r>
        <w:rPr>
          <w:szCs w:val="24"/>
          <w:lang w:eastAsia="lt-LT" w:bidi="lt-LT"/>
        </w:rPr>
        <w:t>S. M.</w:t>
      </w:r>
      <w:r w:rsidRPr="00C00255">
        <w:rPr>
          <w:szCs w:val="24"/>
          <w:lang w:eastAsia="lt-LT" w:bidi="lt-LT"/>
        </w:rPr>
        <w:t xml:space="preserve">, be kita ko, nurodė, kad prieš išvykstant prie LRT, jis, be kitų ginklų ir priemonių, paėmė ir dvi dūmadėžes, iš kurių vieną davė kuopos technikui praporščikui </w:t>
      </w:r>
      <w:r>
        <w:rPr>
          <w:szCs w:val="24"/>
          <w:lang w:eastAsia="lt-LT" w:bidi="lt-LT"/>
        </w:rPr>
        <w:t>A. C.</w:t>
      </w:r>
      <w:r w:rsidRPr="00C00255">
        <w:rPr>
          <w:szCs w:val="24"/>
          <w:lang w:eastAsia="lt-LT" w:bidi="lt-LT"/>
        </w:rPr>
        <w:t xml:space="preserve"> (t. 436, b. l. 3–6; t. 123, b. l. 1–7). Atitinkamai P.</w:t>
      </w:r>
      <w:r>
        <w:rPr>
          <w:szCs w:val="24"/>
          <w:lang w:eastAsia="lt-LT" w:bidi="lt-LT"/>
        </w:rPr>
        <w:t> </w:t>
      </w:r>
      <w:r w:rsidRPr="00C00255">
        <w:rPr>
          <w:szCs w:val="24"/>
          <w:lang w:eastAsia="lt-LT" w:bidi="lt-LT"/>
        </w:rPr>
        <w:t>G</w:t>
      </w:r>
      <w:r>
        <w:rPr>
          <w:szCs w:val="24"/>
          <w:lang w:eastAsia="lt-LT" w:bidi="lt-LT"/>
        </w:rPr>
        <w:t>.</w:t>
      </w:r>
      <w:r w:rsidRPr="00C00255">
        <w:rPr>
          <w:szCs w:val="24"/>
          <w:lang w:eastAsia="lt-LT" w:bidi="lt-LT"/>
        </w:rPr>
        <w:t xml:space="preserve"> nurodė prie LRT matęs, kaip praporščikas </w:t>
      </w:r>
      <w:r>
        <w:rPr>
          <w:szCs w:val="24"/>
          <w:lang w:eastAsia="lt-LT" w:bidi="lt-LT"/>
        </w:rPr>
        <w:t>A. C.</w:t>
      </w:r>
      <w:r w:rsidRPr="00C00255">
        <w:rPr>
          <w:szCs w:val="24"/>
          <w:lang w:eastAsia="lt-LT" w:bidi="lt-LT"/>
        </w:rPr>
        <w:t xml:space="preserve"> po stovinčiu autobusu numetė sprogstamąjį paketą (t. 436, b. l. 59–63). Taigi minėti parodymai, kitų jau aptartų įrodymų visumoje, leidžia daryti ne tik išvadą apie </w:t>
      </w:r>
      <w:r>
        <w:rPr>
          <w:szCs w:val="24"/>
          <w:lang w:eastAsia="lt-LT" w:bidi="lt-LT"/>
        </w:rPr>
        <w:t>A. C.</w:t>
      </w:r>
      <w:r w:rsidRPr="00C00255">
        <w:rPr>
          <w:szCs w:val="24"/>
          <w:lang w:eastAsia="lt-LT" w:bidi="lt-LT"/>
        </w:rPr>
        <w:t xml:space="preserve"> dalyvavimą įvykiuose prie LRT, bet ir aukštą jo rangą bei vadovaujančias pareigas operacijos metu.</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color w:val="000000"/>
          <w:szCs w:val="24"/>
          <w:lang w:eastAsia="lt-LT" w:bidi="lt-LT"/>
        </w:rPr>
        <w:t xml:space="preserve">Teisėjų kolegijos įsitikinimu, minėti liudytojų parodymai atitinka ir papildo kitus jau išdėstytus objektyvius įrodymus bei priešingai, nei teigiama apeliaciniame skunde, formuoja teismo įsitikinimą, </w:t>
      </w:r>
      <w:r w:rsidRPr="00C00255">
        <w:rPr>
          <w:szCs w:val="24"/>
          <w:lang w:eastAsia="lt-LT"/>
        </w:rPr>
        <w:t xml:space="preserve">kad </w:t>
      </w:r>
      <w:r>
        <w:rPr>
          <w:szCs w:val="24"/>
          <w:lang w:eastAsia="lt-LT"/>
        </w:rPr>
        <w:t>A. C.</w:t>
      </w:r>
      <w:r w:rsidRPr="00C00255">
        <w:rPr>
          <w:szCs w:val="24"/>
          <w:lang w:eastAsia="lt-LT"/>
        </w:rPr>
        <w:t xml:space="preserve"> ne tik, būdamas ginkluotas, dalyvavo užimant LRT Televizijos (9 aukštų) pastatą, bet ir buvo vienu iš vadovaujančias pareigas užėmusių karininkų (pvz., buvo trečias pagal rangą šios kuopos kariškis; vienos iš mašinų ekipažo vyriausiasis). Bylos duomenys rodo ir tai, kad tikrindamas pastato aukštus praporščikas </w:t>
      </w:r>
      <w:r>
        <w:rPr>
          <w:szCs w:val="24"/>
          <w:lang w:eastAsia="lt-LT"/>
        </w:rPr>
        <w:t>A. C.</w:t>
      </w:r>
      <w:r w:rsidRPr="00C00255">
        <w:rPr>
          <w:szCs w:val="24"/>
          <w:lang w:eastAsia="lt-LT"/>
        </w:rPr>
        <w:t xml:space="preserve"> veikė grupėje kartu su jaunesniuoju seržantu </w:t>
      </w:r>
      <w:r>
        <w:rPr>
          <w:szCs w:val="24"/>
          <w:lang w:eastAsia="lt-LT"/>
        </w:rPr>
        <w:t>A. K.</w:t>
      </w:r>
      <w:r w:rsidRPr="00C00255">
        <w:rPr>
          <w:szCs w:val="24"/>
          <w:lang w:eastAsia="lt-LT"/>
        </w:rPr>
        <w:t xml:space="preserve"> ir dar vienu eiliniu, todėl akivaizdu, kad įvykių metu nuteistasis turėjo ir pavaldžių kariškių. Taigi, nurodytos aplinkybės, kas </w:t>
      </w:r>
      <w:r>
        <w:rPr>
          <w:szCs w:val="24"/>
          <w:lang w:eastAsia="lt-LT"/>
        </w:rPr>
        <w:t>A. C.</w:t>
      </w:r>
      <w:r w:rsidRPr="00C00255">
        <w:rPr>
          <w:szCs w:val="24"/>
          <w:lang w:eastAsia="lt-LT"/>
        </w:rPr>
        <w:t xml:space="preserve"> dalyvavo tiek veržiantis pro civilius į pastatą, tiek pastate nuginkluojant milicininkus</w:t>
      </w:r>
      <w:r w:rsidRPr="00C00255">
        <w:rPr>
          <w:szCs w:val="24"/>
        </w:rPr>
        <w:t>,</w:t>
      </w:r>
      <w:r w:rsidRPr="00C00255">
        <w:rPr>
          <w:szCs w:val="24"/>
          <w:lang w:eastAsia="lt-LT"/>
        </w:rPr>
        <w:t xml:space="preserve"> paneigia gynėjo teiginius apie tai, kad </w:t>
      </w:r>
      <w:r>
        <w:rPr>
          <w:szCs w:val="24"/>
          <w:lang w:eastAsia="lt-LT"/>
        </w:rPr>
        <w:t>A. C.</w:t>
      </w:r>
      <w:r w:rsidRPr="00C00255">
        <w:rPr>
          <w:szCs w:val="24"/>
          <w:lang w:eastAsia="lt-LT"/>
        </w:rPr>
        <w:t xml:space="preserve"> į pastatą pateko jau jį užėmus ir pats civilių nestumdė</w:t>
      </w:r>
      <w:r w:rsidRPr="00C00255">
        <w:rPr>
          <w:szCs w:val="24"/>
        </w:rPr>
        <w:t xml:space="preserve">. </w:t>
      </w:r>
      <w:r w:rsidRPr="00C00255">
        <w:rPr>
          <w:color w:val="000000"/>
          <w:szCs w:val="24"/>
          <w:lang w:eastAsia="lt-LT" w:bidi="lt-LT"/>
        </w:rPr>
        <w:t xml:space="preserve">Teisėjų kolegijos vertinimu, kitos </w:t>
      </w:r>
      <w:r>
        <w:rPr>
          <w:color w:val="000000"/>
          <w:szCs w:val="24"/>
          <w:lang w:eastAsia="lt-LT" w:bidi="lt-LT"/>
        </w:rPr>
        <w:t>A. C.</w:t>
      </w:r>
      <w:r w:rsidRPr="00C00255">
        <w:rPr>
          <w:color w:val="000000"/>
          <w:szCs w:val="24"/>
          <w:lang w:eastAsia="lt-LT" w:bidi="lt-LT"/>
        </w:rPr>
        <w:t xml:space="preserve"> gynėjo skunde nurodytos aplinkybės (dėl </w:t>
      </w:r>
      <w:r w:rsidRPr="00C00255">
        <w:rPr>
          <w:szCs w:val="24"/>
          <w:lang w:eastAsia="lt-LT" w:bidi="lt-LT"/>
        </w:rPr>
        <w:t xml:space="preserve">karinio laipsnio ir einamų pareigų, įsakymų vykdymo, kiekvieno nuteistojo veiksmų individualizavimo, operacijos eigoje civiliams asmenims padarytų sužalojimų) </w:t>
      </w:r>
      <w:r w:rsidRPr="00C00255">
        <w:rPr>
          <w:color w:val="000000"/>
          <w:szCs w:val="24"/>
          <w:lang w:eastAsia="lt-LT" w:bidi="lt-LT"/>
        </w:rPr>
        <w:t xml:space="preserve">nepaneigia </w:t>
      </w:r>
      <w:r>
        <w:rPr>
          <w:color w:val="000000"/>
          <w:szCs w:val="24"/>
          <w:lang w:eastAsia="lt-LT" w:bidi="lt-LT"/>
        </w:rPr>
        <w:t>A. C.</w:t>
      </w:r>
      <w:r w:rsidRPr="00C00255">
        <w:rPr>
          <w:color w:val="000000"/>
          <w:szCs w:val="24"/>
          <w:lang w:eastAsia="lt-LT" w:bidi="lt-LT"/>
        </w:rPr>
        <w:t xml:space="preserve"> vaidmens prie LRT Televizijos pastato bei operacijos eigoje bendrais veiksmais padarytų ir civiliams asmenims nustatytų sužalojimų.</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rFonts w:eastAsia="Calibri"/>
          <w:szCs w:val="24"/>
        </w:rPr>
        <w:t>Gynybos teigimu</w:t>
      </w:r>
      <w:r w:rsidRPr="00C00255">
        <w:t xml:space="preserve">, išvados, kad </w:t>
      </w:r>
      <w:r>
        <w:t>A. C.</w:t>
      </w:r>
      <w:r w:rsidRPr="00C00255">
        <w:t xml:space="preserve"> nukreipė pabūklus bei karinės technikos apšvietimo prietaisus į pastatą, baugino civilius, nepatvirtina jokie objektyvūs duomenys (žr. nuosprendžio 874, 884 l.;</w:t>
      </w:r>
      <w:r w:rsidRPr="00C00255">
        <w:rPr>
          <w:lang w:eastAsia="lt-LT"/>
        </w:rPr>
        <w:t xml:space="preserve"> t. 773, b. l. 74,</w:t>
      </w:r>
      <w:r w:rsidRPr="00C00255">
        <w:rPr>
          <w:szCs w:val="24"/>
        </w:rPr>
        <w:t xml:space="preserve"> 84). Visgi, teisėjų kolegija neįžvelgia pagrindo abejoti, kad pastarasis tokius veiksmus prie LRT Televizijos pastato atliko. Teisėjų kolegija jau minėjo, kad </w:t>
      </w:r>
      <w:r>
        <w:rPr>
          <w:szCs w:val="24"/>
        </w:rPr>
        <w:t>A. C.</w:t>
      </w:r>
      <w:r w:rsidRPr="00C00255">
        <w:rPr>
          <w:szCs w:val="24"/>
        </w:rPr>
        <w:t xml:space="preserve"> su kitais 7-osios kuopos kariškiais ir jiems vadovavusiais asmenimis iki LRT 9 aukštų pastato atvyko karinėmis mašinoms BMD, kurios buvo išstatytos priešais pastatą, į jį atsukant jų pabūklus ir apšvietimo prietaisus (apie tai pasisakyta šio sprendimo dalyje „</w:t>
      </w:r>
      <w:r w:rsidRPr="00C00255">
        <w:rPr>
          <w:i/>
          <w:szCs w:val="24"/>
        </w:rPr>
        <w:t>Dėl TSRS GM 76-osios oro desanto divizijos kariškių ir joje tarnavusių nuteistųjų dalyvavimo užimant LRT</w:t>
      </w:r>
      <w:r w:rsidRPr="00C00255">
        <w:rPr>
          <w:szCs w:val="24"/>
        </w:rPr>
        <w:t xml:space="preserve">“, tai matyti iš specialisto J. Andriškevičiaus išvados bei byloje esančių vaizdo įrašų).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 xml:space="preserve">Atsižvelgdama į šioje teismo sprendimo dalyje aptartų įrodymų ir aplinkybių visumą, teisėjų kolegija konstatuoja, kad </w:t>
      </w:r>
      <w:r w:rsidRPr="00C00255">
        <w:rPr>
          <w:szCs w:val="24"/>
          <w:lang w:eastAsia="lt-LT" w:bidi="lt-LT"/>
        </w:rPr>
        <w:t xml:space="preserve">visos skundžiamu nuosprendžiu įrodytomis pripažintos nuteistajam </w:t>
      </w:r>
      <w:r>
        <w:rPr>
          <w:szCs w:val="24"/>
          <w:lang w:eastAsia="lt-LT" w:bidi="lt-LT"/>
        </w:rPr>
        <w:t>A. C.</w:t>
      </w:r>
      <w:r w:rsidRPr="00C00255">
        <w:rPr>
          <w:szCs w:val="24"/>
          <w:lang w:eastAsia="lt-LT" w:bidi="lt-LT"/>
        </w:rPr>
        <w:t xml:space="preserve"> inkriminuotos </w:t>
      </w:r>
      <w:r w:rsidRPr="00C00255">
        <w:t>faktinės aplinkybės, susijusios su veiksmais užimant LRT Televizijos pastatą (žr. nuosprendžio 514–520 l.), pasitvirtino kaip pagrįstos ir teisingos.</w:t>
      </w:r>
    </w:p>
    <w:p w:rsidR="00DA38E9" w:rsidRPr="00C00255" w:rsidRDefault="00DA38E9" w:rsidP="00DA38E9">
      <w:pPr>
        <w:pStyle w:val="Heading4"/>
        <w:spacing w:before="120" w:after="120"/>
        <w:ind w:left="992"/>
        <w:rPr>
          <w:rFonts w:ascii="Times New Roman" w:hAnsi="Times New Roman"/>
          <w:b w:val="0"/>
          <w:i/>
          <w:sz w:val="24"/>
          <w:szCs w:val="24"/>
        </w:rPr>
      </w:pPr>
      <w:bookmarkStart w:id="657" w:name="_Toc66697304"/>
      <w:r w:rsidRPr="00C00255">
        <w:rPr>
          <w:rFonts w:ascii="Times New Roman" w:hAnsi="Times New Roman"/>
          <w:b w:val="0"/>
          <w:i/>
          <w:sz w:val="24"/>
          <w:szCs w:val="24"/>
        </w:rPr>
        <w:t>Dėl 234-ojo pulko savaeigės artilerijos diviziono 1-osios savaeigės artilerijos baterijai vadovavusių kariškių dalyvavimo užimant LRT TASK ir LRT Televizijos pastatus</w:t>
      </w:r>
      <w:bookmarkEnd w:id="657"/>
    </w:p>
    <w:p w:rsidR="00DA38E9" w:rsidRPr="00C00255" w:rsidRDefault="00DA38E9" w:rsidP="00DA38E9">
      <w:pPr>
        <w:pStyle w:val="ListParagraph"/>
        <w:numPr>
          <w:ilvl w:val="0"/>
          <w:numId w:val="6"/>
        </w:numPr>
        <w:spacing w:before="120" w:after="120"/>
        <w:ind w:left="993" w:hanging="993"/>
        <w:contextualSpacing w:val="0"/>
        <w:rPr>
          <w:szCs w:val="24"/>
          <w:lang w:eastAsia="lt-LT"/>
        </w:rPr>
      </w:pPr>
      <w:r w:rsidRPr="00C00255">
        <w:rPr>
          <w:szCs w:val="24"/>
          <w:lang w:eastAsia="lt-LT"/>
        </w:rPr>
        <w:t xml:space="preserve">Kaip minėta, užimant LRT pastatus, be jau aptartų oro desanto kariškių iš TSRS GM 76-osios oro desanto divizijos 237-ojo pulko 1-ojo bataliono 1-osios ir 2-osios kuopų bei 234-ojo pulko 3-iojo bataliono 7-osios kuopos, dalyvavo ir kiti kariškiai iš minėtos divizijos 234-ojo pulko. Dar vieną šio pulko kariškių grupę sudarė kariškiai iš savaeigės artilerijos diviziono 1-osios savaeigės artilerijos baterijos, kuriems vadovavo ir nuteistieji </w:t>
      </w:r>
      <w:r>
        <w:t>B. S.</w:t>
      </w:r>
      <w:r w:rsidRPr="00C00255">
        <w:t xml:space="preserve">, </w:t>
      </w:r>
      <w:r>
        <w:t>S. G.</w:t>
      </w:r>
      <w:r w:rsidRPr="00C00255">
        <w:t xml:space="preserve"> ir </w:t>
      </w:r>
      <w:r>
        <w:t>V. G.</w:t>
      </w:r>
      <w:r w:rsidRPr="00C00255">
        <w:rPr>
          <w:szCs w:val="24"/>
          <w:lang w:eastAsia="lt-LT"/>
        </w:rPr>
        <w:t xml:space="preserve">. Pagal teismo nuosprendžiu nustatytas aplinkybes, šių nuteistųjų vadovaujami oro desanto kariškiai, veikdami iš LRT techninės teritorijos pusės, išlaužę LRT TASK (3 aukštų) pastato duris, dalyvavo užimant minėtą pastatą, šalino iš jo darbuotojus, atjungė transliavimą užtikrinančius įrenginius (tai atliko kartu su pastate buvusiais </w:t>
      </w:r>
      <w:r w:rsidRPr="00C00255">
        <w:rPr>
          <w:rFonts w:eastAsia="Calibri"/>
          <w:szCs w:val="24"/>
        </w:rPr>
        <w:t xml:space="preserve">TSRS VSK </w:t>
      </w:r>
      <w:r w:rsidRPr="00C00255">
        <w:rPr>
          <w:szCs w:val="24"/>
          <w:lang w:eastAsia="lt-LT"/>
        </w:rPr>
        <w:t xml:space="preserve">grupės „A“ kariškiais), o dalis šių kariškių, vadovaujami jau tik </w:t>
      </w:r>
      <w:r>
        <w:rPr>
          <w:szCs w:val="24"/>
          <w:lang w:eastAsia="lt-LT"/>
        </w:rPr>
        <w:t>B. S.</w:t>
      </w:r>
      <w:r w:rsidRPr="00C00255">
        <w:rPr>
          <w:szCs w:val="24"/>
          <w:lang w:eastAsia="lt-LT"/>
        </w:rPr>
        <w:t xml:space="preserve"> ir </w:t>
      </w:r>
      <w:r>
        <w:rPr>
          <w:szCs w:val="24"/>
          <w:lang w:eastAsia="lt-LT"/>
        </w:rPr>
        <w:t>S. G.</w:t>
      </w:r>
      <w:r w:rsidRPr="00C00255">
        <w:rPr>
          <w:szCs w:val="24"/>
          <w:lang w:eastAsia="lt-LT"/>
        </w:rPr>
        <w:t xml:space="preserve">, </w:t>
      </w:r>
      <w:r w:rsidRPr="00C00255">
        <w:t>neradusi vidinio praėjimo iš LRT TASK pastato į LRT Radijo (4 aukštų) pastatą, vidiniu koridoriumi prasibrovė iki LRT Televizijos (9 aukštų) pastato</w:t>
      </w:r>
      <w:r w:rsidRPr="00C00255">
        <w:rPr>
          <w:szCs w:val="24"/>
          <w:lang w:eastAsia="lt-LT"/>
        </w:rPr>
        <w:t xml:space="preserve">, kur prisidėjo prie pastate veikusių 234-ojo pulko 7-osios kuopos kariškių bei taip pat atliko šio pastato užėmimo veiksmus. </w:t>
      </w:r>
    </w:p>
    <w:p w:rsidR="00DA38E9" w:rsidRPr="00C00255" w:rsidRDefault="00DA38E9" w:rsidP="00DA38E9">
      <w:pPr>
        <w:pStyle w:val="Heading5"/>
        <w:spacing w:before="120" w:after="120"/>
        <w:ind w:left="992"/>
        <w:rPr>
          <w:rFonts w:ascii="Times New Roman" w:hAnsi="Times New Roman" w:cs="Times New Roman"/>
          <w:i/>
          <w:color w:val="auto"/>
        </w:rPr>
      </w:pPr>
      <w:bookmarkStart w:id="658" w:name="_Toc66697305"/>
      <w:r w:rsidRPr="00C00255">
        <w:rPr>
          <w:rFonts w:ascii="Times New Roman" w:hAnsi="Times New Roman" w:cs="Times New Roman"/>
          <w:i/>
          <w:color w:val="auto"/>
        </w:rPr>
        <w:t xml:space="preserve">Dėl nuteistojo </w:t>
      </w:r>
      <w:r>
        <w:rPr>
          <w:rFonts w:ascii="Times New Roman" w:hAnsi="Times New Roman" w:cs="Times New Roman"/>
          <w:i/>
          <w:color w:val="auto"/>
        </w:rPr>
        <w:t>B. S.</w:t>
      </w:r>
      <w:r w:rsidRPr="00C00255">
        <w:rPr>
          <w:rFonts w:ascii="Times New Roman" w:hAnsi="Times New Roman" w:cs="Times New Roman"/>
          <w:i/>
          <w:color w:val="auto"/>
        </w:rPr>
        <w:t xml:space="preserve"> dalyvavimo užimant LRT TASK ir LRT Televizijos pastatus</w:t>
      </w:r>
      <w:bookmarkEnd w:id="658"/>
    </w:p>
    <w:p w:rsidR="002125AE" w:rsidRPr="005D022C" w:rsidRDefault="00DA38E9" w:rsidP="002125AE">
      <w:pPr>
        <w:pStyle w:val="ListParagraph"/>
        <w:numPr>
          <w:ilvl w:val="0"/>
          <w:numId w:val="6"/>
        </w:numPr>
        <w:spacing w:before="120" w:after="120"/>
        <w:ind w:left="993" w:hanging="993"/>
        <w:contextualSpacing w:val="0"/>
        <w:rPr>
          <w:szCs w:val="24"/>
          <w:lang w:eastAsia="lt-LT"/>
        </w:rPr>
      </w:pPr>
      <w:r w:rsidRPr="005D022C">
        <w:t>Teisėjų kolegija pagrįsta laiko apygardos teismo išvadą, kad TSRS GM 76-osios oro desanto divizijos 234-ojo pulko savaeigės artilerijos diviziono 1-osios savaeigės artilerijos baterijos kariškiams, kurie dalyvavo užimant LRT TASK (3 aukštų) pastatą, šalino iš jo darbuotojus, atjungė transliavimą užtikrinančius įrenginius, vadovavo artilerijos diviziono vado pavaduotojas majoras B. S..</w:t>
      </w:r>
      <w:r w:rsidRPr="005D022C">
        <w:rPr>
          <w:szCs w:val="24"/>
          <w:lang w:eastAsia="lt-LT"/>
        </w:rPr>
        <w:t xml:space="preserve"> </w:t>
      </w:r>
      <w:r w:rsidRPr="005D022C">
        <w:t xml:space="preserve">Teisėjų kolegija neabejoja ir tuo, kad šios užduoties vykdymui B. S. vadovaujami kariškiai, būdami padalinti į dvi grupes, iš kurių viena grupė įsibrovusi į pastatą, padėjo </w:t>
      </w:r>
      <w:r w:rsidRPr="005D022C">
        <w:rPr>
          <w:rFonts w:eastAsia="Calibri"/>
        </w:rPr>
        <w:t xml:space="preserve">TSRS VSK </w:t>
      </w:r>
      <w:r w:rsidRPr="005D022C">
        <w:t>grupės „A“ kariškiams išjungti televizijos transliavimą užtikrinančius įrenginius bei nutraukti objekte ruošiamas ir transliuojamas televizijos laidas, pašalinti civilius iš pastato, tikrinti patalpas pastate; o kita grupė, neradusi vidinio praėjimo iš LRT TASK pastato į LRT Radijo (4 aukštų) pastatą, vidiniu pastatus jungiančiu koridoriumi prasibrovė iki LRT Televizijos (9 aukštų) pastato ir patekusi į jį, prisijungė prie 234-ojo pulko 3-iojo bataliono 7-osios kuopos kariškių ir kartu šaudė pastato viduje bei išorėje į civilius, greta esančius gyvenamuosius namus.</w:t>
      </w:r>
      <w:r w:rsidRPr="005D022C">
        <w:rPr>
          <w:szCs w:val="24"/>
          <w:lang w:eastAsia="lt-LT"/>
        </w:rPr>
        <w:t xml:space="preserve"> </w:t>
      </w:r>
    </w:p>
    <w:p w:rsidR="00DA38E9" w:rsidRPr="002125AE" w:rsidRDefault="00DA38E9" w:rsidP="002125AE">
      <w:pPr>
        <w:pStyle w:val="ListParagraph"/>
        <w:numPr>
          <w:ilvl w:val="0"/>
          <w:numId w:val="6"/>
        </w:numPr>
        <w:spacing w:before="120" w:after="120"/>
        <w:ind w:left="993" w:hanging="993"/>
        <w:contextualSpacing w:val="0"/>
        <w:rPr>
          <w:szCs w:val="24"/>
          <w:lang w:eastAsia="lt-LT"/>
        </w:rPr>
      </w:pPr>
      <w:r w:rsidRPr="002125AE">
        <w:rPr>
          <w:szCs w:val="24"/>
          <w:lang w:eastAsia="lt-LT"/>
        </w:rPr>
        <w:t xml:space="preserve">B. S. gynėja nesutinka su išvada, kad </w:t>
      </w:r>
      <w:r w:rsidRPr="00C00255">
        <w:t xml:space="preserve">nuteistasis dalyvavo ir vadovavo LRT šturmui, laužė duris, atjungė aparatūrą, jėga išvedė iš pastato darbuotojus – byloje nustatyta, kad tai atliko kiti karininkai, o ne </w:t>
      </w:r>
      <w:r>
        <w:t>B. S.</w:t>
      </w:r>
      <w:r w:rsidRPr="00C00255">
        <w:t xml:space="preserve"> ar jo vadovaujamų karininkų dalis (jo grupei atvykus, pastatas jau buvo užimtas). </w:t>
      </w:r>
      <w:r w:rsidRPr="002125AE">
        <w:rPr>
          <w:szCs w:val="24"/>
          <w:lang w:eastAsia="lt-LT"/>
        </w:rPr>
        <w:t>Visgi, teisėjų kolegijos įsitikinimu, dauguma minėtų teiginių yra siekiama nepagrįstai sušvelninti B. S. atliktus veiksmus bei jų pavojingumą minėtoje operacijoje. Apeliacinės instancijos teismas pažymi, kad B. S. dalyvavimą bei vadovaujamą vaidmenį 1-osios savaeigės artilerijos baterijos kariškiams dalyvaujant LRT pastatų užėmime, patvirtina toliau aptarta</w:t>
      </w:r>
      <w:r w:rsidRPr="00C00255">
        <w:t xml:space="preserve"> byloje surinktų įrodymų visuma.</w:t>
      </w:r>
      <w:r w:rsidRPr="002125AE">
        <w:rPr>
          <w:szCs w:val="24"/>
          <w:lang w:eastAsia="lt-LT"/>
        </w:rPr>
        <w:t xml:space="preserve"> </w:t>
      </w:r>
    </w:p>
    <w:p w:rsidR="00DA38E9" w:rsidRPr="00C00255" w:rsidRDefault="00DA38E9" w:rsidP="00DA38E9">
      <w:pPr>
        <w:pStyle w:val="ListParagraph"/>
        <w:numPr>
          <w:ilvl w:val="1"/>
          <w:numId w:val="6"/>
        </w:numPr>
        <w:spacing w:before="120" w:after="120"/>
        <w:ind w:left="992" w:hanging="992"/>
        <w:contextualSpacing w:val="0"/>
        <w:rPr>
          <w:color w:val="000000"/>
          <w:szCs w:val="24"/>
          <w:lang w:eastAsia="lt-LT" w:bidi="lt-LT"/>
        </w:rPr>
      </w:pPr>
      <w:r w:rsidRPr="00C00255">
        <w:rPr>
          <w:szCs w:val="24"/>
          <w:lang w:eastAsia="lt-LT" w:bidi="lt-LT"/>
        </w:rPr>
        <w:t xml:space="preserve">Iš byloje esančio LRT užėmime dalyvavusių kariškių sąrašo, pavadinimu „74268 karinio dalinio personalo, kuris 1991 metais sausio 13 d. dalyvavo operacijoje dėl televizijos ir radijo centro užėmimo apsaugos tikslais“ matyti, </w:t>
      </w:r>
      <w:r w:rsidRPr="00C00255">
        <w:t xml:space="preserve">kad įvykiuose dalyvavo ir </w:t>
      </w:r>
      <w:r>
        <w:t>B. S.</w:t>
      </w:r>
      <w:r w:rsidRPr="00C00255">
        <w:t xml:space="preserve">, kuris turėjo </w:t>
      </w:r>
      <w:r w:rsidRPr="00C00255">
        <w:rPr>
          <w:szCs w:val="24"/>
          <w:lang w:eastAsia="lt-LT"/>
        </w:rPr>
        <w:t xml:space="preserve">aukščiausią rangą iš visų baterijos kariškių – buvo majoras ir sąraše įvardijamas pirmuoju (t. 451, b. l. 106–108; t. 152, b. l. 145–147; iš prie LRT buvusių oro desanto kariškių, tik papulkininkis </w:t>
      </w:r>
      <w:r>
        <w:rPr>
          <w:szCs w:val="24"/>
          <w:lang w:eastAsia="lt-LT"/>
        </w:rPr>
        <w:t>G. G.</w:t>
      </w:r>
      <w:r w:rsidRPr="00C00255">
        <w:rPr>
          <w:szCs w:val="24"/>
          <w:lang w:eastAsia="lt-LT"/>
        </w:rPr>
        <w:t xml:space="preserve"> turėjo aukštesnį karinį laipsnį). </w:t>
      </w:r>
    </w:p>
    <w:p w:rsidR="00DA38E9" w:rsidRPr="00C00255" w:rsidRDefault="00DA38E9" w:rsidP="00DA38E9">
      <w:pPr>
        <w:pStyle w:val="ListParagraph"/>
        <w:numPr>
          <w:ilvl w:val="1"/>
          <w:numId w:val="6"/>
        </w:numPr>
        <w:spacing w:before="120" w:after="120"/>
        <w:ind w:left="992" w:hanging="992"/>
        <w:contextualSpacing w:val="0"/>
        <w:rPr>
          <w:color w:val="000000"/>
          <w:szCs w:val="24"/>
          <w:lang w:eastAsia="lt-LT" w:bidi="lt-LT"/>
        </w:rPr>
      </w:pPr>
      <w:bookmarkStart w:id="659" w:name="_Hlk65162739"/>
      <w:r w:rsidRPr="00C00255">
        <w:rPr>
          <w:szCs w:val="24"/>
          <w:lang w:eastAsia="lt-LT"/>
        </w:rPr>
        <w:t xml:space="preserve">2014 m. birželio 10 d. specialisto išvadoje konstatuota, kad trečiąją LRT užėmimo operacinę grupę sudarė „76 odd 234 pdp savaeigės artilerijos diviziono 1 savaeigės artilerijos baterijos apie 23 kariškiai, vadovaujami &lt;...&gt; artilerijos diviziono vado pavaduotojo </w:t>
      </w:r>
      <w:r>
        <w:rPr>
          <w:szCs w:val="24"/>
          <w:lang w:eastAsia="lt-LT"/>
        </w:rPr>
        <w:t>B. S.</w:t>
      </w:r>
      <w:r w:rsidRPr="00C00255">
        <w:rPr>
          <w:szCs w:val="24"/>
          <w:lang w:eastAsia="lt-LT"/>
        </w:rPr>
        <w:t xml:space="preserve"> &lt;...&gt;“. Taip pat specialistas padarė išvadą, kad „desantininkai iš trečiosios grupės, vadovaujami </w:t>
      </w:r>
      <w:r>
        <w:rPr>
          <w:szCs w:val="24"/>
          <w:lang w:eastAsia="lt-LT"/>
        </w:rPr>
        <w:t>B. S.</w:t>
      </w:r>
      <w:r w:rsidRPr="00C00255">
        <w:rPr>
          <w:szCs w:val="24"/>
          <w:lang w:eastAsia="lt-LT"/>
        </w:rPr>
        <w:t xml:space="preserve"> &lt;...&gt; į techninę LRT teritoriją pateko &lt;...&gt; išlaužus tvorą &lt;...&gt;. Išlaužę TASK pastato duris iš LRT Techninės pusės &lt;...&gt; jie įsibrovė į pastatą, atjungė elektros maitinimą &lt;...&gt; ir studijų aparatūrą &lt;...&gt;, tačiau neradę praėjimo į 4 aukštų pastatą bei gavę komandą &lt;...&gt; prisijungė prie 9 aukštų LRT pastate buvusių kariškių“ (t. 480, b. l. 54–55, 60–61). </w:t>
      </w:r>
    </w:p>
    <w:bookmarkEnd w:id="659"/>
    <w:p w:rsidR="002125AE" w:rsidRPr="002125AE" w:rsidRDefault="00DA38E9" w:rsidP="002125AE">
      <w:pPr>
        <w:pStyle w:val="ListParagraph"/>
        <w:numPr>
          <w:ilvl w:val="1"/>
          <w:numId w:val="6"/>
        </w:numPr>
        <w:spacing w:before="120" w:after="120"/>
        <w:ind w:left="992" w:hanging="992"/>
        <w:contextualSpacing w:val="0"/>
        <w:rPr>
          <w:color w:val="000000"/>
          <w:szCs w:val="24"/>
          <w:lang w:eastAsia="lt-LT" w:bidi="lt-LT"/>
        </w:rPr>
      </w:pPr>
      <w:r>
        <w:rPr>
          <w:szCs w:val="24"/>
          <w:lang w:eastAsia="lt-LT"/>
        </w:rPr>
        <w:t>B. S.</w:t>
      </w:r>
      <w:r w:rsidRPr="00C00255">
        <w:rPr>
          <w:szCs w:val="24"/>
          <w:lang w:eastAsia="lt-LT"/>
        </w:rPr>
        <w:t xml:space="preserve"> dalyvavimą minėtos baterijos kariškiams įsibraunant į LRT TASK pastatą patvirtino ir teisiamajame posėdyje apklaustas baterijos eilinis liudytojas </w:t>
      </w:r>
      <w:r>
        <w:rPr>
          <w:szCs w:val="24"/>
          <w:lang w:eastAsia="lt-LT"/>
        </w:rPr>
        <w:t>J. T.</w:t>
      </w:r>
      <w:r w:rsidRPr="00C00255">
        <w:rPr>
          <w:szCs w:val="24"/>
          <w:lang w:eastAsia="lt-LT"/>
        </w:rPr>
        <w:t xml:space="preserve">, nurodęs, kad jį atvežė prie pastato, liepė išlaužti duris ir pastatą užimti. Pastate buvo žmonių, kuriuos kariškiai išvesdavo iš pastato. Liudytojas patvirtino tyrimo metu duotus parodymus, kad su juo mašinos kabinoje prie objekto važiavo majoras </w:t>
      </w:r>
      <w:r>
        <w:rPr>
          <w:szCs w:val="24"/>
          <w:lang w:eastAsia="lt-LT"/>
        </w:rPr>
        <w:t>B. S.</w:t>
      </w:r>
      <w:r w:rsidRPr="00C00255">
        <w:rPr>
          <w:szCs w:val="24"/>
          <w:lang w:eastAsia="lt-LT"/>
        </w:rPr>
        <w:t xml:space="preserve"> (</w:t>
      </w:r>
      <w:r w:rsidRPr="00C00255">
        <w:rPr>
          <w:szCs w:val="24"/>
        </w:rPr>
        <w:t xml:space="preserve">t. 760, b. l. 157–162). </w:t>
      </w:r>
    </w:p>
    <w:p w:rsidR="002125AE" w:rsidRPr="005D022C" w:rsidRDefault="00DA38E9" w:rsidP="002125AE">
      <w:pPr>
        <w:pStyle w:val="ListParagraph"/>
        <w:numPr>
          <w:ilvl w:val="1"/>
          <w:numId w:val="6"/>
        </w:numPr>
        <w:spacing w:before="120" w:after="120"/>
        <w:ind w:left="992" w:hanging="992"/>
        <w:contextualSpacing w:val="0"/>
        <w:rPr>
          <w:color w:val="000000"/>
          <w:szCs w:val="24"/>
          <w:lang w:eastAsia="lt-LT" w:bidi="lt-LT"/>
        </w:rPr>
      </w:pPr>
      <w:r w:rsidRPr="005D022C">
        <w:rPr>
          <w:szCs w:val="24"/>
          <w:lang w:eastAsia="lt-LT"/>
        </w:rPr>
        <w:t xml:space="preserve">Vien jau šių įrodymų visuma patvirtina pirmosios instancijos teismo išvadas apie B. S. dalyvavimą su </w:t>
      </w:r>
      <w:r w:rsidRPr="005D022C">
        <w:t>1-osios savaeigės artilerijos baterijos</w:t>
      </w:r>
      <w:r w:rsidRPr="005D022C">
        <w:rPr>
          <w:szCs w:val="24"/>
          <w:lang w:eastAsia="lt-LT" w:bidi="lt-LT"/>
        </w:rPr>
        <w:t xml:space="preserve"> kariškiais</w:t>
      </w:r>
      <w:r w:rsidRPr="005D022C">
        <w:rPr>
          <w:szCs w:val="24"/>
          <w:lang w:eastAsia="lt-LT"/>
        </w:rPr>
        <w:t xml:space="preserve"> 1991 m. sausio 13-osios naktį įsibraunant į LRT TASK pastatą ir atliekant veiksmus jame bei vėliau prasibraunant iki LRT Televizijos pastato bei aukštą jo rangą ir vadovavimą šiems kariškiams minėtų veiksmų atlikimo metu. </w:t>
      </w:r>
    </w:p>
    <w:p w:rsidR="002125AE" w:rsidRPr="005D022C" w:rsidRDefault="00DA38E9" w:rsidP="002125AE">
      <w:pPr>
        <w:pStyle w:val="ListParagraph"/>
        <w:numPr>
          <w:ilvl w:val="0"/>
          <w:numId w:val="6"/>
        </w:numPr>
        <w:spacing w:before="120" w:after="120"/>
        <w:ind w:left="992" w:hanging="992"/>
        <w:contextualSpacing w:val="0"/>
        <w:rPr>
          <w:color w:val="000000"/>
          <w:szCs w:val="24"/>
          <w:lang w:eastAsia="lt-LT" w:bidi="lt-LT"/>
        </w:rPr>
      </w:pPr>
      <w:r w:rsidRPr="005D022C">
        <w:t xml:space="preserve">Teisėjų kolegijos vidinį įsitikinimą dėl skundžiamame nuosprendyje konstatuoto B. S. dalyvavimo ir vadovaujamo vaidmens LRT TASK ir LRT Televizijos pastatų užėmimo metu formuoja ir ikiteisminio tyrimo metu apklaustų, liudytojų statusą šiame procese turinčių, 1-osios savaeigės artilerijos baterijos kariškių – I. Š., S. P., L. Z., A. F., D. Č., M. T., V. T., J. J., V. C., A. J. – parodymai, perskaityti teisiamajame posėdyje </w:t>
      </w:r>
      <w:r w:rsidRPr="005D022C">
        <w:rPr>
          <w:szCs w:val="24"/>
          <w:lang w:eastAsia="lt-LT"/>
        </w:rPr>
        <w:t>(</w:t>
      </w:r>
      <w:r w:rsidRPr="005D022C">
        <w:rPr>
          <w:szCs w:val="24"/>
          <w:lang w:eastAsia="lt-LT" w:bidi="lt-LT"/>
        </w:rPr>
        <w:t>t. 760, b. l. 121–124</w:t>
      </w:r>
      <w:r w:rsidRPr="005D022C">
        <w:rPr>
          <w:szCs w:val="24"/>
          <w:lang w:eastAsia="lt-LT"/>
        </w:rPr>
        <w:t xml:space="preserve">). </w:t>
      </w:r>
      <w:r w:rsidRPr="005D022C">
        <w:t>Dauguma</w:t>
      </w:r>
      <w:r w:rsidRPr="005D022C">
        <w:rPr>
          <w:szCs w:val="24"/>
          <w:lang w:eastAsia="lt-LT"/>
        </w:rPr>
        <w:t xml:space="preserve"> liudytojų nurodė, kad užimant LRT objektą matė ir B. S.. Toliau pažymėtini tik tie parodymai, kurie aiškiausiai atskleidžia </w:t>
      </w:r>
      <w:r w:rsidRPr="005D022C">
        <w:rPr>
          <w:szCs w:val="24"/>
        </w:rPr>
        <w:t>B. S. vadovaujamą vaidmenį užimant LRT TASK (3 aukštų) pastatą bei iš jo patenkant į LRT Televizijos (9 aukštų) pastatą</w:t>
      </w:r>
      <w:r w:rsidRPr="005D022C">
        <w:rPr>
          <w:szCs w:val="24"/>
          <w:lang w:eastAsia="lt-LT"/>
        </w:rPr>
        <w:t xml:space="preserve">. </w:t>
      </w:r>
    </w:p>
    <w:p w:rsidR="00DA38E9" w:rsidRPr="005D022C" w:rsidRDefault="00DA38E9" w:rsidP="00DA38E9">
      <w:pPr>
        <w:pStyle w:val="ListParagraph"/>
        <w:numPr>
          <w:ilvl w:val="1"/>
          <w:numId w:val="6"/>
        </w:numPr>
        <w:spacing w:before="120" w:after="120"/>
        <w:ind w:left="992" w:hanging="992"/>
        <w:contextualSpacing w:val="0"/>
        <w:rPr>
          <w:color w:val="000000"/>
          <w:szCs w:val="24"/>
          <w:lang w:eastAsia="lt-LT" w:bidi="lt-LT"/>
        </w:rPr>
      </w:pPr>
      <w:r w:rsidRPr="005D022C">
        <w:rPr>
          <w:szCs w:val="24"/>
          <w:lang w:eastAsia="lt-LT"/>
        </w:rPr>
        <w:t>Eilinis A. F. nurodė, kad 1991 m. sausio 12-osios vakare diviziono vado pavaduotojas majoras B. S. davė jiems užduotį – visos sudėties baterija turėjo užimti televizijos ir radijo centro 3 aukštų pastatą. Ginklus leista naudoti tik iškilus pavojui gyvybei, šaudant į viršų tuščiais šoviniais (t. 435, b. l. 59–62; t. 122, b. l. 82–89).</w:t>
      </w:r>
    </w:p>
    <w:p w:rsidR="00DA38E9" w:rsidRPr="00C00255" w:rsidRDefault="00DA38E9" w:rsidP="00DA38E9">
      <w:pPr>
        <w:pStyle w:val="ListParagraph"/>
        <w:numPr>
          <w:ilvl w:val="1"/>
          <w:numId w:val="6"/>
        </w:numPr>
        <w:spacing w:before="120" w:after="120"/>
        <w:ind w:left="992" w:hanging="992"/>
        <w:contextualSpacing w:val="0"/>
        <w:rPr>
          <w:color w:val="000000"/>
          <w:szCs w:val="24"/>
          <w:lang w:eastAsia="lt-LT" w:bidi="lt-LT"/>
        </w:rPr>
      </w:pPr>
      <w:r w:rsidRPr="00C00255">
        <w:rPr>
          <w:szCs w:val="24"/>
          <w:lang w:eastAsia="lt-LT"/>
        </w:rPr>
        <w:t xml:space="preserve">Eilinis </w:t>
      </w:r>
      <w:r>
        <w:rPr>
          <w:szCs w:val="24"/>
          <w:lang w:eastAsia="lt-LT"/>
        </w:rPr>
        <w:t>L. Z.</w:t>
      </w:r>
      <w:r w:rsidRPr="00C00255">
        <w:t xml:space="preserve"> nurodė, kad mašinoje URAL, kurioje buvo liudytojas ir kuria jie atvyko iki televizijos ir radijo komiteto, vyresniuoju buvo divizijos vado pavaduotojas majoras </w:t>
      </w:r>
      <w:r>
        <w:t>B. S.</w:t>
      </w:r>
      <w:r w:rsidRPr="00C00255">
        <w:t>, vadovavęs visai baterijai (t. 435, b. l. 50–59; t. 122, b. l. 71–78).</w:t>
      </w:r>
    </w:p>
    <w:p w:rsidR="00DA38E9" w:rsidRPr="00C00255" w:rsidRDefault="00DA38E9" w:rsidP="00DA38E9">
      <w:pPr>
        <w:pStyle w:val="ListParagraph"/>
        <w:numPr>
          <w:ilvl w:val="1"/>
          <w:numId w:val="6"/>
        </w:numPr>
        <w:spacing w:before="120" w:after="120"/>
        <w:ind w:left="992" w:hanging="992"/>
        <w:contextualSpacing w:val="0"/>
        <w:rPr>
          <w:color w:val="000000"/>
          <w:szCs w:val="24"/>
          <w:lang w:eastAsia="lt-LT" w:bidi="lt-LT"/>
        </w:rPr>
      </w:pPr>
      <w:r w:rsidRPr="00C00255">
        <w:t xml:space="preserve">Eilinis </w:t>
      </w:r>
      <w:r>
        <w:t>I. Š.</w:t>
      </w:r>
      <w:r w:rsidRPr="00C00255">
        <w:t xml:space="preserve"> nurodė, kad prieš išvykstant buvo duota užduotis užimti saugoti 3 aukštų pastatą, kuris buvo už 9 aukštų pastato. Baterijai išlipus iš mašinos, kariškiai, vadovaujami ir divizijos vado pavaduotojo majoro </w:t>
      </w:r>
      <w:r>
        <w:t>B. S.</w:t>
      </w:r>
      <w:r w:rsidRPr="00C00255">
        <w:t xml:space="preserve">, nubėgo per kiemą prie televizijos centro 3 aukštų pastato, kurio užrakintas duris išlaužė ir įėjo į pastatą. Pastate apžiūrėjo patalpas, siekdami įsitikinti, ar jose nėra žmonių. Liudytojas stovėjo poste 1-ame pastato aukšte bei saugojo duris, vedančias iš 3 aukštų pastato į 9 aukštų pastatą (t. 435, b. l. 42–45; t. 122, b. l. 53–61). </w:t>
      </w:r>
    </w:p>
    <w:p w:rsidR="008B3958" w:rsidRDefault="00DA38E9" w:rsidP="008B3958">
      <w:pPr>
        <w:pStyle w:val="ListParagraph"/>
        <w:numPr>
          <w:ilvl w:val="0"/>
          <w:numId w:val="6"/>
        </w:numPr>
        <w:spacing w:before="120" w:after="120"/>
        <w:ind w:left="992" w:hanging="992"/>
        <w:contextualSpacing w:val="0"/>
        <w:rPr>
          <w:szCs w:val="24"/>
          <w:lang w:eastAsia="lt-LT"/>
        </w:rPr>
      </w:pPr>
      <w:r w:rsidRPr="00C00255">
        <w:rPr>
          <w:szCs w:val="24"/>
          <w:lang w:bidi="lt-LT"/>
        </w:rPr>
        <w:t xml:space="preserve">Teisėjų kolegijos įsitikinimu, minėti liudytojų parodymai atitinka ir papildo kitus jau pirmiau aptartus objektyvius įrodymus bei taip pat formuoja teismo įsitikinimą, </w:t>
      </w:r>
      <w:r w:rsidRPr="00C00255">
        <w:rPr>
          <w:szCs w:val="24"/>
        </w:rPr>
        <w:t xml:space="preserve">kad </w:t>
      </w:r>
      <w:r>
        <w:rPr>
          <w:szCs w:val="24"/>
        </w:rPr>
        <w:t>B. S.</w:t>
      </w:r>
      <w:r w:rsidRPr="00C00255">
        <w:rPr>
          <w:szCs w:val="24"/>
        </w:rPr>
        <w:t xml:space="preserve"> su 1-osios savaeigės artilerijos baterijos kariškiais ne tik dalyvavo užimant LRT TASK ir LRT Televizijos pastatus, bet ir visų šių įvykių metu buvo vyriausiuoju karininku, vadovavusiu visai minėtos baterijos sudėčiai, kurie, kaip nustatyta, veikdami bendrai pagal iš anksto nustatytus tikslus ir paskirstytas užduotis</w:t>
      </w:r>
      <w:r w:rsidRPr="00C00255">
        <w:t xml:space="preserve">, išlaužė LRT TASK pastato duris ir į jį pateko, atjungė aparatūrą, taip pat pateko į LRT Televizijos pastatą, kur panaudojo turimą ginkluotę, o tai leidžia atmesti gynėjos apeliaciniame skunde nurodytus teiginius apie tai, kad </w:t>
      </w:r>
      <w:r>
        <w:t>B. S.</w:t>
      </w:r>
      <w:r w:rsidRPr="00C00255">
        <w:t xml:space="preserve"> grupė prie pastato atvyko, kai jis buvo užimtas ir kad </w:t>
      </w:r>
      <w:r>
        <w:t>B. S.</w:t>
      </w:r>
      <w:r w:rsidRPr="00C00255">
        <w:t xml:space="preserve"> ir jo vadovaujamų kariškių dalis studijų aparatūros neatjungė, transliacijų nenutraukė, prieš civilius nesmurtavo, nes užduotį atliko kiti karininkai</w:t>
      </w:r>
      <w:r w:rsidRPr="00C00255">
        <w:rPr>
          <w:szCs w:val="24"/>
        </w:rPr>
        <w:t>.</w:t>
      </w:r>
      <w:r w:rsidRPr="00C00255">
        <w:t xml:space="preserve"> </w:t>
      </w:r>
      <w:r w:rsidRPr="00C00255">
        <w:rPr>
          <w:szCs w:val="24"/>
          <w:lang w:eastAsia="lt-LT"/>
        </w:rPr>
        <w:t xml:space="preserve">Kadangi </w:t>
      </w:r>
      <w:r>
        <w:rPr>
          <w:szCs w:val="24"/>
          <w:lang w:eastAsia="lt-LT"/>
        </w:rPr>
        <w:t>B. S.</w:t>
      </w:r>
      <w:r w:rsidRPr="00C00255">
        <w:rPr>
          <w:szCs w:val="24"/>
          <w:lang w:eastAsia="lt-LT"/>
        </w:rPr>
        <w:t xml:space="preserve"> buvo aukščiausias pagal rangą 1-osios savaeigės artilerijos baterijos kariškis pastate ir, bylos duomenimis, vadovavo visiems šios baterijos atliekamiems veiksmams, šių kariškių veiksmai buvo neabejotinai atlikti su jo žinia bei pavedimu. </w:t>
      </w:r>
    </w:p>
    <w:p w:rsidR="00DA38E9" w:rsidRPr="005D022C" w:rsidRDefault="00DA38E9" w:rsidP="008B3958">
      <w:pPr>
        <w:pStyle w:val="ListParagraph"/>
        <w:numPr>
          <w:ilvl w:val="0"/>
          <w:numId w:val="6"/>
        </w:numPr>
        <w:spacing w:before="120" w:after="120"/>
        <w:ind w:left="992" w:hanging="992"/>
        <w:contextualSpacing w:val="0"/>
        <w:rPr>
          <w:szCs w:val="24"/>
          <w:lang w:eastAsia="lt-LT"/>
        </w:rPr>
      </w:pPr>
      <w:r w:rsidRPr="005D022C">
        <w:t xml:space="preserve">Atsižvelgdama į visa tai, kas minėta, teisėjų kolegija konstatuoja, kad </w:t>
      </w:r>
      <w:r w:rsidRPr="005D022C">
        <w:rPr>
          <w:szCs w:val="24"/>
          <w:lang w:eastAsia="lt-LT" w:bidi="lt-LT"/>
        </w:rPr>
        <w:t xml:space="preserve">visos skundžiamu nuosprendžiu įrodytomis pripažintos nuteistajam B. S. inkriminuotos </w:t>
      </w:r>
      <w:r w:rsidRPr="005D022C">
        <w:t>faktinės aplinkybės, susijusios su veiksmais užimant LRT (nuosprendžio 514–520 l.), pasitvirtino kaip pagrįstos ir teisingos.</w:t>
      </w:r>
    </w:p>
    <w:p w:rsidR="00DA38E9" w:rsidRPr="00C00255" w:rsidRDefault="00DA38E9" w:rsidP="00DA38E9">
      <w:pPr>
        <w:pStyle w:val="Heading5"/>
        <w:spacing w:before="120" w:after="120"/>
        <w:ind w:left="992"/>
        <w:rPr>
          <w:rFonts w:ascii="Times New Roman" w:hAnsi="Times New Roman" w:cs="Times New Roman"/>
          <w:i/>
          <w:color w:val="auto"/>
        </w:rPr>
      </w:pPr>
      <w:bookmarkStart w:id="660" w:name="_Toc66697306"/>
      <w:r w:rsidRPr="00C00255">
        <w:rPr>
          <w:rFonts w:ascii="Times New Roman" w:hAnsi="Times New Roman" w:cs="Times New Roman"/>
          <w:i/>
          <w:color w:val="auto"/>
        </w:rPr>
        <w:t xml:space="preserve">Dėl nuteistojo </w:t>
      </w:r>
      <w:r>
        <w:rPr>
          <w:rFonts w:ascii="Times New Roman" w:hAnsi="Times New Roman" w:cs="Times New Roman"/>
          <w:i/>
          <w:color w:val="auto"/>
        </w:rPr>
        <w:t>S. G.</w:t>
      </w:r>
      <w:r w:rsidRPr="00C00255">
        <w:rPr>
          <w:rFonts w:ascii="Times New Roman" w:hAnsi="Times New Roman" w:cs="Times New Roman"/>
          <w:i/>
          <w:color w:val="auto"/>
        </w:rPr>
        <w:t xml:space="preserve"> dalyvavimo užimant LRT TASK ir LRT Televizijos pastatus</w:t>
      </w:r>
      <w:bookmarkEnd w:id="660"/>
    </w:p>
    <w:p w:rsidR="008B3958" w:rsidRPr="005D022C" w:rsidRDefault="00DA38E9" w:rsidP="008B3958">
      <w:pPr>
        <w:pStyle w:val="ListParagraph"/>
        <w:numPr>
          <w:ilvl w:val="0"/>
          <w:numId w:val="6"/>
        </w:numPr>
        <w:spacing w:before="120" w:after="120"/>
        <w:ind w:left="992" w:hanging="992"/>
        <w:contextualSpacing w:val="0"/>
        <w:rPr>
          <w:szCs w:val="24"/>
          <w:lang w:eastAsia="lt-LT"/>
        </w:rPr>
      </w:pPr>
      <w:r w:rsidRPr="005D022C">
        <w:rPr>
          <w:szCs w:val="24"/>
          <w:lang w:eastAsia="lt-LT"/>
        </w:rPr>
        <w:t xml:space="preserve">Pagrįsta laikytina ir apygardos teismo išvada, kad </w:t>
      </w:r>
      <w:bookmarkStart w:id="661" w:name="_Hlk65780998"/>
      <w:r w:rsidRPr="005D022C">
        <w:rPr>
          <w:szCs w:val="24"/>
          <w:lang w:eastAsia="lt-LT"/>
        </w:rPr>
        <w:t xml:space="preserve">TSRS GM 76-osios oro desanto divizijos 234-ojo pulko </w:t>
      </w:r>
      <w:r w:rsidRPr="005D022C">
        <w:t>savaeigės artilerijos diviziono 1-osios savaeigės artilerijos baterijos</w:t>
      </w:r>
      <w:r w:rsidRPr="005D022C">
        <w:rPr>
          <w:szCs w:val="24"/>
          <w:lang w:eastAsia="lt-LT"/>
        </w:rPr>
        <w:t xml:space="preserve"> kariškiams</w:t>
      </w:r>
      <w:bookmarkEnd w:id="661"/>
      <w:r w:rsidRPr="005D022C">
        <w:rPr>
          <w:szCs w:val="24"/>
          <w:lang w:eastAsia="lt-LT"/>
        </w:rPr>
        <w:t xml:space="preserve">, kurie, būdami ginkluoti, dalyvavo užimant LRT TASK (3 aukštų) pastatą, šalino iš jo darbuotojus, atjungė transliavimą užtikrinančius įrenginius, vadovavo ir baterijos vado pavaduotojas vyr. leitenantas S. G.. Teisėjų kolegija neabejoja ir tuo, kad S. G. buvo vienu iš minėto dalinio kariškių grupei, </w:t>
      </w:r>
      <w:r w:rsidRPr="005D022C">
        <w:t>kuri LRT TASK pastato vidiniu koridoriumi prasibrovė iki LRT Televizijos (9 aukštų) pastato, vadovavusių kariškių</w:t>
      </w:r>
      <w:r w:rsidR="008B3958" w:rsidRPr="005D022C">
        <w:rPr>
          <w:szCs w:val="24"/>
          <w:lang w:eastAsia="lt-LT"/>
        </w:rPr>
        <w:t>.</w:t>
      </w:r>
    </w:p>
    <w:p w:rsidR="00DA38E9" w:rsidRPr="008B3958" w:rsidRDefault="00DA38E9" w:rsidP="008B3958">
      <w:pPr>
        <w:pStyle w:val="ListParagraph"/>
        <w:numPr>
          <w:ilvl w:val="0"/>
          <w:numId w:val="6"/>
        </w:numPr>
        <w:spacing w:before="120" w:after="120"/>
        <w:ind w:left="992" w:hanging="992"/>
        <w:contextualSpacing w:val="0"/>
        <w:rPr>
          <w:szCs w:val="24"/>
          <w:lang w:eastAsia="lt-LT"/>
        </w:rPr>
      </w:pPr>
      <w:r w:rsidRPr="008B3958">
        <w:rPr>
          <w:szCs w:val="24"/>
          <w:lang w:eastAsia="lt-LT"/>
        </w:rPr>
        <w:t>Nuteistojo S. G. gynėjas teigia, kad išvados apie jo ginamojo vadovaujamą vaidmenį prie LRT yra prieštaringos – pastarasis nevadovavo baterijos kariškiams šturmuojant LRT Televizijos pastatą, nes tai darė B. S.. Gynėjo teigimu, teismas nepagrįstai konstatavo, kad S. G.</w:t>
      </w:r>
      <w:r w:rsidRPr="00C00255">
        <w:t xml:space="preserve"> brovėsi per civilių minią, blokavo minėto pastato įėjimus, šalino iš patalpų civilius, o motyvuose prie bausmės skyrimo dar ir nurodė, kad </w:t>
      </w:r>
      <w:r>
        <w:t>S. G.</w:t>
      </w:r>
      <w:r w:rsidRPr="00C00255">
        <w:t xml:space="preserve"> priešais pastatą išrikiavo BMD, nukreipė pabūklus bei karinės technikos apšvietimo prietaisus į pastatą. Pasak gynybos, bylos duomenys patvirtina, kad desantininkai atvyko pavėlavę, kai pastatas jau buvo užimtas, todėl jiems neteko panaudoti ginklų ar smurto – jie tik išvedinėjo darbuotojus iš pastato. </w:t>
      </w:r>
      <w:r w:rsidRPr="008B3958">
        <w:rPr>
          <w:szCs w:val="24"/>
          <w:lang w:eastAsia="lt-LT"/>
        </w:rPr>
        <w:t xml:space="preserve">Visgi, teisėjų kolegijos įsitikinimu, minėtais apeliacinio skundo teiginiais yra siekiama nepagrįstai sušvelninti S. G. atliktus veiksmus LRT užėmimo operacijoje ir jie nėra teisingi. S. G. dalyvavimą bei vadovaujamą vaidmenį 1-osios savaeigės artilerijos baterijos kariškiams dalyvaujant LRT pastatų užėmime patvirtina toliau aptariami </w:t>
      </w:r>
      <w:r w:rsidRPr="00C00255">
        <w:t>kiti įrodymai bei byloje surinktų įrodymų visuma.</w:t>
      </w:r>
      <w:r w:rsidRPr="008B3958">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Iš byloje esančio LRT užėmime dalyvavusių kariškių sąrašo, pavadinimu „74268 karinio dalinio personalo, kuris 1991 metais sausio 13 d. dalyvavo operacijoje dėl televizijos ir radijo centro užėmimo apsaugos tikslais“ matyti, </w:t>
      </w:r>
      <w:r w:rsidRPr="00C00255">
        <w:t xml:space="preserve">kad įvykiuose dalyvavo ir </w:t>
      </w:r>
      <w:r>
        <w:t>S. G.</w:t>
      </w:r>
      <w:r w:rsidRPr="00C00255">
        <w:t>, kuris</w:t>
      </w:r>
      <w:r w:rsidRPr="00C00255">
        <w:rPr>
          <w:szCs w:val="24"/>
          <w:lang w:eastAsia="lt-LT"/>
        </w:rPr>
        <w:t xml:space="preserve"> buvo antras pagal rangą iš visų prie LRT atvykusių minėtos baterijos kariškių – buvo vyr. leitenantas ir sąraše įvardijamas iškart po </w:t>
      </w:r>
      <w:r>
        <w:rPr>
          <w:szCs w:val="24"/>
          <w:lang w:eastAsia="lt-LT"/>
        </w:rPr>
        <w:t>B. S.</w:t>
      </w:r>
      <w:r w:rsidRPr="00C00255">
        <w:rPr>
          <w:szCs w:val="24"/>
          <w:lang w:eastAsia="lt-LT"/>
        </w:rPr>
        <w:t xml:space="preserve"> (t. 451, b. l. 106–108; t. 152, b. l. 145–147).</w:t>
      </w:r>
    </w:p>
    <w:p w:rsidR="00DA38E9" w:rsidRPr="005D022C" w:rsidRDefault="00DA38E9" w:rsidP="00DA38E9">
      <w:pPr>
        <w:pStyle w:val="ListParagraph"/>
        <w:numPr>
          <w:ilvl w:val="1"/>
          <w:numId w:val="6"/>
        </w:numPr>
        <w:spacing w:before="120" w:after="120"/>
        <w:ind w:left="993" w:hanging="993"/>
        <w:contextualSpacing w:val="0"/>
        <w:rPr>
          <w:color w:val="000000"/>
          <w:szCs w:val="24"/>
          <w:lang w:eastAsia="lt-LT" w:bidi="lt-LT"/>
        </w:rPr>
      </w:pPr>
      <w:r w:rsidRPr="005D022C">
        <w:rPr>
          <w:szCs w:val="24"/>
          <w:lang w:eastAsia="lt-LT"/>
        </w:rPr>
        <w:t>Iš kovinės technikos, automobilių ir personalo, veikusio prie Valstybinės televizijos ir radijo komiteto, sąrašo matyti, kad automobiliu URAL-4320, Nr. 22-60, prie LRT kartu su baterijos kariškiais atvyko ir pirmuoju sąraše įvardintas vyr. leitenantas S. G. (t. 451, b. l. 192–194; t. 152, b. l. 223–225).</w:t>
      </w:r>
    </w:p>
    <w:p w:rsidR="00E0397A" w:rsidRPr="005D022C" w:rsidRDefault="00DA38E9" w:rsidP="00E0397A">
      <w:pPr>
        <w:pStyle w:val="ListParagraph"/>
        <w:numPr>
          <w:ilvl w:val="1"/>
          <w:numId w:val="6"/>
        </w:numPr>
        <w:spacing w:before="120" w:after="120"/>
        <w:ind w:left="993" w:hanging="993"/>
        <w:contextualSpacing w:val="0"/>
        <w:rPr>
          <w:szCs w:val="24"/>
          <w:lang w:eastAsia="lt-LT"/>
        </w:rPr>
      </w:pPr>
      <w:r w:rsidRPr="005D022C">
        <w:rPr>
          <w:szCs w:val="24"/>
          <w:lang w:eastAsia="lt-LT"/>
        </w:rPr>
        <w:t>S. G. dalyvavimą minėtos baterijos kariškiams įsibraunant į LRT TASK pastatą patvirtino ir teisiamajame posėdyje apklaustas baterijos eilinis liudytojas J. T., nurodęs, kad kartu su kitais baterijos kariškiais automobiliu URAL, kuriame buvo ir vyr. leitenantas S. G., buvo atvežtas prie pastato Konarskio g.</w:t>
      </w:r>
      <w:r w:rsidRPr="005D022C">
        <w:rPr>
          <w:iCs/>
        </w:rPr>
        <w:t>, kur jiems</w:t>
      </w:r>
      <w:r w:rsidRPr="005D022C">
        <w:rPr>
          <w:szCs w:val="24"/>
          <w:lang w:eastAsia="lt-LT"/>
        </w:rPr>
        <w:t xml:space="preserve"> liepta išlaužti pastato duris ir jį užimti (</w:t>
      </w:r>
      <w:r w:rsidRPr="005D022C">
        <w:rPr>
          <w:szCs w:val="24"/>
        </w:rPr>
        <w:t xml:space="preserve">t. 760, b. l. 157–162). </w:t>
      </w:r>
    </w:p>
    <w:p w:rsidR="00E0397A" w:rsidRPr="00E0397A" w:rsidRDefault="00E0397A" w:rsidP="00E0397A">
      <w:pPr>
        <w:pStyle w:val="ListParagraph"/>
        <w:numPr>
          <w:ilvl w:val="1"/>
          <w:numId w:val="6"/>
        </w:numPr>
        <w:spacing w:before="120" w:after="120"/>
        <w:ind w:left="993" w:hanging="993"/>
        <w:contextualSpacing w:val="0"/>
        <w:rPr>
          <w:szCs w:val="24"/>
          <w:lang w:eastAsia="lt-LT"/>
        </w:rPr>
      </w:pPr>
      <w:r w:rsidRPr="00E0397A">
        <w:t xml:space="preserve">Teisėjų kolegijos vertinimu, vien minėtų įrodymų visuma patvirtina pirmosios instancijos teismo išvadą, kad S. G. dalyvavo su 1-osios savaeigės artilerijos baterijos kariškiais 1991 m. sausio 13-osios naktį įsibraunant į LRT TASK pastatą ir atliekant veiksmus jame bei vėliau šio pastato vidiniu koridoriumi prasibraunant iki LRT Televizijos pastato bei šių veiksmų atlikimo metu vadovavo šios baterijos kariškiams. </w:t>
      </w:r>
    </w:p>
    <w:p w:rsidR="00E0397A" w:rsidRPr="00E0397A" w:rsidRDefault="00E0397A" w:rsidP="00E0397A">
      <w:pPr>
        <w:pStyle w:val="ListParagraph"/>
        <w:numPr>
          <w:ilvl w:val="0"/>
          <w:numId w:val="6"/>
        </w:numPr>
        <w:spacing w:before="120" w:after="120"/>
        <w:ind w:left="992" w:hanging="992"/>
        <w:contextualSpacing w:val="0"/>
        <w:rPr>
          <w:szCs w:val="24"/>
          <w:lang w:eastAsia="lt-LT"/>
        </w:rPr>
      </w:pPr>
      <w:r w:rsidRPr="005D022C">
        <w:t>Teisėjų kolegijos vidinį įsitikinimą dėl skundžiamame nuosprendyje konstatuoto S. G. dalyvavimo ir vadovaujamo vaidmens LRT TASK ir LRT Televizijos pastatų užėmimo metu formuoja ir ikiteisminio tyrimo metu apklaustų, liudytojų statusą procese turinčių, 1-osios savaeigės artilerijos baterijos kariškių parodymai, perskaityti te</w:t>
      </w:r>
      <w:r w:rsidR="005D022C">
        <w:t>isiamajame posėdyje (t. 760, b. </w:t>
      </w:r>
      <w:r w:rsidRPr="005D022C">
        <w:t>l. 121–126). Pažymėtina, kad apie 20 kariškių kaip asmenį, susijusį su įvykiais prie LRT TASK ir Televizijos pastatų, įvardijo ir vyr. leitenantą S. G.. Dauguma jų nurodė, kad kolonos judėjimo metu prie LRT bei užimant objektą kartu su jais buvo ir S. G.. Toliau atskirai pažymėtini tik tų liudytojų parodymai, kurie aiškiausiai atskleidžia S. G. vadovaujamą vaidmenį ir jo veiksmus užimant LRT TASK (3 aukštų) ir Televizijos (9 aukštų) pastatus</w:t>
      </w:r>
      <w:r w:rsidRPr="00E0397A">
        <w:t xml:space="preserve">.  </w:t>
      </w:r>
    </w:p>
    <w:p w:rsidR="00DA38E9" w:rsidRPr="00C00255" w:rsidRDefault="00DA38E9" w:rsidP="00DA38E9">
      <w:pPr>
        <w:pStyle w:val="ListParagraph"/>
        <w:numPr>
          <w:ilvl w:val="1"/>
          <w:numId w:val="6"/>
        </w:numPr>
        <w:spacing w:before="120" w:after="120"/>
        <w:ind w:left="993" w:hanging="993"/>
        <w:contextualSpacing w:val="0"/>
        <w:rPr>
          <w:szCs w:val="24"/>
          <w:lang w:eastAsia="lt-LT"/>
        </w:rPr>
      </w:pPr>
      <w:r w:rsidRPr="00C00255">
        <w:t xml:space="preserve">Jaunesnysis seržantas </w:t>
      </w:r>
      <w:r>
        <w:t>J. J.</w:t>
      </w:r>
      <w:r w:rsidRPr="00C00255">
        <w:t xml:space="preserve"> nurodė, kad užduotį užimti ir saugoti televizijos ir radijo komiteto pastatą iš galinės pusės davė ir instruktažą jiems surengė </w:t>
      </w:r>
      <w:r>
        <w:t>B. S.</w:t>
      </w:r>
      <w:r w:rsidRPr="00C00255">
        <w:t xml:space="preserve"> ir vyr. leitenantas </w:t>
      </w:r>
      <w:r>
        <w:t>S. G.</w:t>
      </w:r>
      <w:r w:rsidRPr="00C00255">
        <w:t xml:space="preserve"> (t. 435, b. l. 88–91; t. 122, b. l. 127–134). </w:t>
      </w:r>
    </w:p>
    <w:p w:rsidR="00DA38E9" w:rsidRPr="00C00255" w:rsidRDefault="00DA38E9" w:rsidP="00DA38E9">
      <w:pPr>
        <w:pStyle w:val="ListParagraph"/>
        <w:numPr>
          <w:ilvl w:val="1"/>
          <w:numId w:val="6"/>
        </w:numPr>
        <w:spacing w:before="120" w:after="120"/>
        <w:ind w:left="993" w:hanging="993"/>
        <w:contextualSpacing w:val="0"/>
        <w:rPr>
          <w:szCs w:val="24"/>
          <w:lang w:eastAsia="lt-LT"/>
        </w:rPr>
      </w:pPr>
      <w:r w:rsidRPr="00C00255">
        <w:t xml:space="preserve">Eilinis </w:t>
      </w:r>
      <w:r>
        <w:t>I. Š.</w:t>
      </w:r>
      <w:r w:rsidRPr="00C00255">
        <w:t xml:space="preserve"> nurodė, kad vyr. leitenantas </w:t>
      </w:r>
      <w:r>
        <w:t>S. G.</w:t>
      </w:r>
      <w:r w:rsidRPr="00C00255">
        <w:t xml:space="preserve"> davė užduotį užimti saugoti 3 aukštų pastatą, kuris buvo už 9 aukštų pastato, bei instruktavo kaip naudoti ginklus. Baterijai išlipus iš mašinos, jie, vadovaujami </w:t>
      </w:r>
      <w:r>
        <w:t>S. G.</w:t>
      </w:r>
      <w:r w:rsidRPr="00C00255">
        <w:t xml:space="preserve"> ir </w:t>
      </w:r>
      <w:r>
        <w:t>B. S.</w:t>
      </w:r>
      <w:r w:rsidRPr="00C00255">
        <w:t>, nubėgo per kiemą prie 3 aukštų pastato, išlaužė jo duris ir įėjo į vidų (t. 435, b. l. 42–45; t. 122, b. l. 53–61). Eilinis P. S</w:t>
      </w:r>
      <w:r>
        <w:t>.</w:t>
      </w:r>
      <w:r w:rsidRPr="00C00255">
        <w:t xml:space="preserve"> taip pat nurodė, kad vyr. leitenantui </w:t>
      </w:r>
      <w:r>
        <w:t>S. G.</w:t>
      </w:r>
      <w:r w:rsidRPr="00C00255">
        <w:t xml:space="preserve"> įsakius, jie pribėgo prie pastato, išlaužė įėjimo duris ir į jį pateko (t. 435, b. l. 118–121; t. 122, b. l. 166–170).</w:t>
      </w:r>
    </w:p>
    <w:p w:rsidR="00DA38E9" w:rsidRPr="00C00255" w:rsidRDefault="00DA38E9" w:rsidP="00DA38E9">
      <w:pPr>
        <w:pStyle w:val="ListParagraph"/>
        <w:numPr>
          <w:ilvl w:val="1"/>
          <w:numId w:val="6"/>
        </w:numPr>
        <w:spacing w:before="120" w:after="120"/>
        <w:ind w:left="993" w:hanging="993"/>
        <w:contextualSpacing w:val="0"/>
        <w:rPr>
          <w:szCs w:val="24"/>
          <w:lang w:eastAsia="lt-LT"/>
        </w:rPr>
      </w:pPr>
      <w:r w:rsidRPr="00C00255">
        <w:t xml:space="preserve">Jaunesnysis seržantas </w:t>
      </w:r>
      <w:r>
        <w:t>V. V.</w:t>
      </w:r>
      <w:r w:rsidRPr="00C00255">
        <w:t xml:space="preserve"> nurodė, kad jie nuvažiavo prie galinės televizijos centro pusės ir be kliūčių priėjo prie 3 aukštų pastato, kur išlaužė vienas iš durų ir įėjo į vidų. Jiems vadovavo vyr. leitenantas </w:t>
      </w:r>
      <w:r>
        <w:t>S. G.</w:t>
      </w:r>
      <w:r w:rsidRPr="00C00255">
        <w:t xml:space="preserve"> (t. 435, b. l. 125–128; t. 122, b. l. 175–178).</w:t>
      </w:r>
    </w:p>
    <w:p w:rsidR="00DA38E9" w:rsidRPr="005D022C" w:rsidRDefault="00DA38E9" w:rsidP="00DA38E9">
      <w:pPr>
        <w:pStyle w:val="ListParagraph"/>
        <w:numPr>
          <w:ilvl w:val="1"/>
          <w:numId w:val="6"/>
        </w:numPr>
        <w:spacing w:before="120" w:after="120"/>
        <w:ind w:left="993" w:hanging="993"/>
        <w:contextualSpacing w:val="0"/>
        <w:rPr>
          <w:szCs w:val="24"/>
          <w:lang w:eastAsia="lt-LT"/>
        </w:rPr>
      </w:pPr>
      <w:r w:rsidRPr="005D022C">
        <w:t>J</w:t>
      </w:r>
      <w:r w:rsidRPr="005D022C">
        <w:rPr>
          <w:iCs/>
        </w:rPr>
        <w:t>aunesnysis seržantas D. Č. nurodė, kad</w:t>
      </w:r>
      <w:r w:rsidRPr="005D022C">
        <w:t xml:space="preserve"> </w:t>
      </w:r>
      <w:r w:rsidRPr="005D022C">
        <w:rPr>
          <w:iCs/>
        </w:rPr>
        <w:t xml:space="preserve">atvykus prie pastatų, jis nuolat buvo šalia S. G.. Kariškiai, S. G. rodant kelią, nubėgo prie 3 aukštų pastato ir išlaužė jo duris. Įbėgę į pastatą, jie apžiūrinėjo pastato aukštus ir jų patalpas. Dalį užrakintų durų išlaužė, patalpose rastus žmones išvedė į lauką, atjunginėjo aparatūrą (televizijos studijoje, iš kur transliuotos laidos). Vėliau jie bandė rasti kažkokį išėjimą, kad padėti karinio dalinio Nr. 57264 kuopai (šiam daliniui priklausė Radijo pastato užėmime dalyvavę 237-ojo pulko 1-osios ir 2-osios kuopos kariškiai – kolegijos pastaba), tačiau tokio išėjimo nerado. Po to S. G. pastatė tris postus, o kiti kariškiai nuėjo miegoti (t. 435, b. l. 63–68; t. 122, b. l. 90–103). </w:t>
      </w:r>
    </w:p>
    <w:p w:rsidR="00E0397A" w:rsidRPr="005D022C" w:rsidRDefault="00DA38E9" w:rsidP="00E0397A">
      <w:pPr>
        <w:pStyle w:val="ListParagraph"/>
        <w:numPr>
          <w:ilvl w:val="0"/>
          <w:numId w:val="6"/>
        </w:numPr>
        <w:spacing w:before="120" w:after="120"/>
        <w:ind w:left="993" w:hanging="993"/>
        <w:contextualSpacing w:val="0"/>
        <w:rPr>
          <w:szCs w:val="24"/>
          <w:lang w:eastAsia="lt-LT" w:bidi="lt-LT"/>
        </w:rPr>
      </w:pPr>
      <w:r w:rsidRPr="005D022C">
        <w:rPr>
          <w:szCs w:val="24"/>
          <w:lang w:eastAsia="lt-LT" w:bidi="lt-LT"/>
        </w:rPr>
        <w:t xml:space="preserve">Teisėjų kolegijos įsitikinimu, minėti liudytojų parodymai sutampa tarpusavyje ir atitinka bei papildo kitus jau išdėstytus objektyvius įrodymus bei taip pat formuoja teismo įsitikinimą, </w:t>
      </w:r>
      <w:r w:rsidRPr="005D022C">
        <w:rPr>
          <w:szCs w:val="24"/>
          <w:lang w:eastAsia="lt-LT"/>
        </w:rPr>
        <w:t xml:space="preserve">kad S. G. ne tik dalyvavo užimant (t. y. išlaužiant duris, atjungiant transliavimą) LRT TASK pastatą bei su dalimi 1-osios savaeigės artilerijos baterijos iš LRT TASK pastato pateko į LRT Televizijos pastatą, bet ir visų šių įvykių metu buvo vienu iš minėtos baterijos kariškiams vadovavusių kariškių (jis ėjo šios baterijos vado, kurio įvykių metu nebuvo, pavaduotojo pareigas). </w:t>
      </w:r>
      <w:bookmarkStart w:id="662" w:name="_Hlk65168362"/>
    </w:p>
    <w:p w:rsidR="00DA38E9" w:rsidRPr="005D022C" w:rsidRDefault="00DA38E9" w:rsidP="00E0397A">
      <w:pPr>
        <w:pStyle w:val="ListParagraph"/>
        <w:numPr>
          <w:ilvl w:val="0"/>
          <w:numId w:val="6"/>
        </w:numPr>
        <w:spacing w:before="120" w:after="120"/>
        <w:ind w:left="993" w:hanging="993"/>
        <w:contextualSpacing w:val="0"/>
        <w:rPr>
          <w:szCs w:val="24"/>
          <w:lang w:eastAsia="lt-LT" w:bidi="lt-LT"/>
        </w:rPr>
      </w:pPr>
      <w:r w:rsidRPr="005D022C">
        <w:t>Teisėjų kolegija, atsižvelgdama į išdėstytas aplinkybes, atmeta kaip nepagrįstus gynėjo teiginius</w:t>
      </w:r>
      <w:bookmarkEnd w:id="662"/>
      <w:r w:rsidRPr="005D022C">
        <w:t xml:space="preserve">, kad S. G. su pavaldžiais kariškiais prie pastato atvyko pavėlavę, kai jis jau buvo užimtas, taip pat, jog S. G. negalėjo būti inkriminuotas vadovaujamas vaidmuo, nes baterijai vadovavo majoras B. S.. Teisėjų kolegija pažymi, kad pirmosios instancijos teismo išvada dėl S. G. operacijos metu vadovaujamo vaidmens neprieštarauja J. Andriškevičiaus išvadai, jog trečiajai grupei, kuri pateko į pastatą iš vidinės pusės, vadovavo B. S. (t. 480, b. l. 55). Iš tiesų specialisto išvadoje nurodytos aplinkybės dėl B. S. vadovavimo minėtam kariniam daliniui, tačiau, kaip ne kartą teisėjų kolegija pasisakė ankstesnėse šio sprendimo dalyse, tai, kad tarp operacijoje dalyvavusių 1-osios savaeigės artilerijos baterijos kariškių buvo karininkų, kurių laipsnis aukštesnis nei S. G., jokiu būdu neeliminuoja nustatyto kitų atskirų šio dalinio vienetų vadovų vadovaujančio vaidmens užimant LRT pastatus. Šiame kontekste teisėjų kolegija atkreipia dėmesį ir į tai, kad nors gynėja ir ginčija nuteistojo S. G. vadovaujamą vaidmenį, tačiau tuo pačiu apeliaciniame skunde aptardama nuteistojo parodymus nurodo ir tai, jog S. G. operacijos metu palaikė ryšį bei perdavinėjo aukštesnių vadų nurodymus, kas neabejotinai taip pat patvirtina S. G. atliktų veiksmų vadovaujamą pobūdį. </w:t>
      </w:r>
      <w:r w:rsidRPr="005D022C">
        <w:rPr>
          <w:rFonts w:eastAsia="Calibri"/>
        </w:rPr>
        <w:t>Teisėjų kolegija, atsižvelgdama į išdėstytas aplinkybes taip pat konstatuoja, kad gynyba siekdama sušvelninti nuteistojo S. G. teisinę padėtį, selektyviai atrinko bei išdėstė tik sprendžiant S. G. atsakomybės klausimą jam naudingus liudytojų parodymus bei kitus bylos duomenis, kurie net nesusiję su nustatytais jo atliktais veiksmais (pvz., dėl brovimosi per civilių minią), tinkamai neįvertindama jų visumos.</w:t>
      </w:r>
    </w:p>
    <w:p w:rsidR="00DA38E9" w:rsidRPr="00C00255" w:rsidRDefault="00DA38E9" w:rsidP="00DA38E9">
      <w:pPr>
        <w:pStyle w:val="ListParagraph"/>
        <w:numPr>
          <w:ilvl w:val="0"/>
          <w:numId w:val="6"/>
        </w:numPr>
        <w:spacing w:before="120" w:after="120"/>
        <w:ind w:left="992" w:hanging="992"/>
        <w:contextualSpacing w:val="0"/>
      </w:pPr>
      <w:r w:rsidRPr="00C00255">
        <w:rPr>
          <w:szCs w:val="24"/>
          <w:lang w:bidi="lt-LT"/>
        </w:rPr>
        <w:t xml:space="preserve">Turėdama omenyje visa tai, kas minėta, teisėjų kolegija konstatuoja, kad visos skundžiamu nuosprendžiu įrodytomis pripažintos nuteistajam </w:t>
      </w:r>
      <w:r>
        <w:rPr>
          <w:szCs w:val="24"/>
        </w:rPr>
        <w:t>S. G.</w:t>
      </w:r>
      <w:r w:rsidRPr="00C00255">
        <w:rPr>
          <w:szCs w:val="24"/>
        </w:rPr>
        <w:t xml:space="preserve"> </w:t>
      </w:r>
      <w:r w:rsidRPr="00C00255">
        <w:t>inkriminuotos faktinės aplinkybės, susijusios su veiksmais užimant LRT pastatus (žr. nuosprendžio 514</w:t>
      </w:r>
      <w:bookmarkStart w:id="663" w:name="_Hlk65781945"/>
      <w:r w:rsidRPr="00C00255">
        <w:t>–</w:t>
      </w:r>
      <w:bookmarkEnd w:id="663"/>
      <w:r w:rsidRPr="00C00255">
        <w:t xml:space="preserve">520 l.), pasitvirtino kaip pagrįstos ir teisingos. </w:t>
      </w:r>
      <w:bookmarkStart w:id="664" w:name="_Hlk65783341"/>
    </w:p>
    <w:p w:rsidR="00DA38E9" w:rsidRPr="00C00255" w:rsidRDefault="00DA38E9" w:rsidP="00DA38E9">
      <w:pPr>
        <w:pStyle w:val="ListParagraph"/>
        <w:numPr>
          <w:ilvl w:val="0"/>
          <w:numId w:val="6"/>
        </w:numPr>
        <w:spacing w:before="120" w:after="120"/>
        <w:ind w:left="992" w:hanging="992"/>
        <w:contextualSpacing w:val="0"/>
      </w:pPr>
      <w:r w:rsidRPr="00C00255">
        <w:t xml:space="preserve">Teisėjų kolegija, analizuodama apygardos teismo išvadas apie </w:t>
      </w:r>
      <w:r>
        <w:t>S. G.</w:t>
      </w:r>
      <w:r w:rsidRPr="00C00255">
        <w:t xml:space="preserve"> faktiškai atliktus veiksmus, pažymi ir tai, kad nuosprendžio motyvuojamojoje dalyje, apibendrinant </w:t>
      </w:r>
      <w:r>
        <w:t>S. G.</w:t>
      </w:r>
      <w:r w:rsidRPr="00C00255">
        <w:t xml:space="preserve"> atliktus veiksmus, apygardos teismas nurodė, kad nuteistasis </w:t>
      </w:r>
      <w:r>
        <w:t>S. G.</w:t>
      </w:r>
      <w:r w:rsidRPr="00C00255">
        <w:t xml:space="preserve"> „vadovavo RTV komiteto (LRT) Televizijos pastato šturmui &lt;...&gt;.“ (žr. nuosprendžio 873 l., t. 773, b. l. 73). Vertinant visą nuosprendį, kaip vientisą dokumentą, akivaizdu, kad </w:t>
      </w:r>
      <w:r>
        <w:t>S. G.</w:t>
      </w:r>
      <w:r w:rsidRPr="00C00255">
        <w:t xml:space="preserve"> vadovavo ne visiems LRT Televizijos pastatą šturmavusiems kariškiams, o tik jam pavaldiems kariškiams iš jau aptartos nuteistojo </w:t>
      </w:r>
      <w:r>
        <w:t>B. S.</w:t>
      </w:r>
      <w:r w:rsidRPr="00C00255">
        <w:t xml:space="preserve"> vadovaujamos desantininkų grupės, kurie pirmiausia šturmavo LRT TASK (3 aukštų) pastatą, o vėliau prasibrovė ir iki LRT Televizijos (9 aukštų) pastato. Apygardos teismas, nurodydamas argumentus apie bausmės skyrimui svarbias aplinkybes, be kita ko, nurodė ir tai, kad nuteistasis </w:t>
      </w:r>
      <w:r>
        <w:t>S. G.</w:t>
      </w:r>
      <w:r w:rsidRPr="00C00255">
        <w:t xml:space="preserve"> „&lt;...&gt; </w:t>
      </w:r>
      <w:bookmarkStart w:id="665" w:name="_Hlk65782180"/>
      <w:r w:rsidRPr="00C00255">
        <w:t>išrikiavo BMD priešais puolamą pastatą, nukreipė jų pabūklus bei karinės technikos apšvietimo prietaisus į pastatą</w:t>
      </w:r>
      <w:bookmarkEnd w:id="665"/>
      <w:r w:rsidRPr="00C00255">
        <w:t xml:space="preserve">“ (žr. nuosprendžio 883 l., t. 773, b. l. 83). Šiame kontekste, teisėjų kolegija, sutinka su gynėjo apeliacinio skundo argumentais, kad byloje nėra įrodymų patvirtinančių tokius </w:t>
      </w:r>
      <w:r>
        <w:t>S. G.</w:t>
      </w:r>
      <w:r w:rsidRPr="00C00255">
        <w:t xml:space="preserve"> atliktus veiksmus. Teisėjų kolegija, išnagrinėjusi baudžiamąją bylą, nenustatė neginčijamų įrodymų, patvirtinančių tokias pirmosios instancijos teismo nurodytas aplinkybes. Skundžiamo nuosprendžio nustatomojoje dalyje tokie </w:t>
      </w:r>
      <w:r>
        <w:t>S. G.</w:t>
      </w:r>
      <w:r w:rsidRPr="00C00255">
        <w:t xml:space="preserve"> atlikti veiksmai taip pat nenurodyti, todėl apeliacinės instancijos teismas, vertindamas aplinkybes dėl </w:t>
      </w:r>
      <w:r>
        <w:t>S. G.</w:t>
      </w:r>
      <w:r w:rsidRPr="00C00255">
        <w:t xml:space="preserve"> faktiškai atliktų veiksmų ir jo vaidmens LRT TASK ir LRT Televizijos pastatų užėmimo metu, minėta aplinkybe apie tariamą BMD išrikiavimą, jų pabūklų bei karinės technikos apšvietimo prietaisų nukreipimą į pastatą, nesiremia.</w:t>
      </w:r>
    </w:p>
    <w:p w:rsidR="00DA38E9" w:rsidRPr="00C00255" w:rsidRDefault="00DA38E9" w:rsidP="00DA38E9">
      <w:pPr>
        <w:pStyle w:val="Heading5"/>
        <w:spacing w:before="120" w:after="120"/>
        <w:ind w:left="992"/>
        <w:rPr>
          <w:rFonts w:ascii="Times New Roman" w:hAnsi="Times New Roman" w:cs="Times New Roman"/>
          <w:i/>
          <w:color w:val="auto"/>
        </w:rPr>
      </w:pPr>
      <w:bookmarkStart w:id="666" w:name="_Toc66697307"/>
      <w:bookmarkEnd w:id="664"/>
      <w:r w:rsidRPr="00C00255">
        <w:rPr>
          <w:rFonts w:ascii="Times New Roman" w:hAnsi="Times New Roman" w:cs="Times New Roman"/>
          <w:i/>
          <w:color w:val="auto"/>
        </w:rPr>
        <w:t xml:space="preserve">Dėl nuteistojo </w:t>
      </w:r>
      <w:r>
        <w:rPr>
          <w:rFonts w:ascii="Times New Roman" w:hAnsi="Times New Roman" w:cs="Times New Roman"/>
          <w:i/>
          <w:color w:val="auto"/>
        </w:rPr>
        <w:t>V. G.</w:t>
      </w:r>
      <w:r w:rsidRPr="00C00255">
        <w:rPr>
          <w:rFonts w:ascii="Times New Roman" w:hAnsi="Times New Roman" w:cs="Times New Roman"/>
          <w:i/>
          <w:color w:val="auto"/>
        </w:rPr>
        <w:t xml:space="preserve"> dalyvavimo užimant LRT TASK pastatą</w:t>
      </w:r>
      <w:bookmarkEnd w:id="666"/>
    </w:p>
    <w:p w:rsidR="00E0397A" w:rsidRPr="005D022C" w:rsidRDefault="00DA38E9" w:rsidP="00E0397A">
      <w:pPr>
        <w:pStyle w:val="ListParagraph"/>
        <w:numPr>
          <w:ilvl w:val="0"/>
          <w:numId w:val="6"/>
        </w:numPr>
        <w:spacing w:before="120" w:after="120"/>
        <w:ind w:left="992" w:hanging="992"/>
        <w:contextualSpacing w:val="0"/>
      </w:pPr>
      <w:r w:rsidRPr="005D022C">
        <w:rPr>
          <w:szCs w:val="24"/>
          <w:lang w:eastAsia="lt-LT"/>
        </w:rPr>
        <w:t xml:space="preserve">Teisėjų kolegija neabejoja ir išvada, kad </w:t>
      </w:r>
      <w:bookmarkStart w:id="667" w:name="_Hlk65783584"/>
      <w:r w:rsidRPr="005D022C">
        <w:rPr>
          <w:szCs w:val="24"/>
          <w:lang w:eastAsia="lt-LT"/>
        </w:rPr>
        <w:t xml:space="preserve">TSRS GM 76-osios oro desanto divizijos 234-ojo pulko </w:t>
      </w:r>
      <w:r w:rsidRPr="005D022C">
        <w:t>savaeigės artilerijos diviziono 1</w:t>
      </w:r>
      <w:bookmarkStart w:id="668" w:name="_Hlk65169190"/>
      <w:r w:rsidRPr="005D022C">
        <w:t>-osios savaeigės artilerijos baterijos</w:t>
      </w:r>
      <w:r w:rsidRPr="005D022C">
        <w:rPr>
          <w:szCs w:val="24"/>
          <w:lang w:eastAsia="lt-LT"/>
        </w:rPr>
        <w:t xml:space="preserve"> </w:t>
      </w:r>
      <w:bookmarkEnd w:id="667"/>
      <w:r w:rsidRPr="005D022C">
        <w:rPr>
          <w:szCs w:val="24"/>
          <w:lang w:eastAsia="lt-LT"/>
        </w:rPr>
        <w:t>kariškių grupei</w:t>
      </w:r>
      <w:bookmarkEnd w:id="668"/>
      <w:r w:rsidRPr="005D022C">
        <w:rPr>
          <w:szCs w:val="24"/>
          <w:lang w:eastAsia="lt-LT"/>
        </w:rPr>
        <w:t xml:space="preserve">, kurie, būdami ginkluoti, dalyvavo užimant LRT TASK (3 aukštų) pastatą, bei, kartu su pastate buvusiais </w:t>
      </w:r>
      <w:r w:rsidRPr="005D022C">
        <w:rPr>
          <w:rFonts w:eastAsia="Calibri"/>
          <w:szCs w:val="24"/>
        </w:rPr>
        <w:t xml:space="preserve">TSRS VSK </w:t>
      </w:r>
      <w:r w:rsidRPr="005D022C">
        <w:rPr>
          <w:szCs w:val="24"/>
          <w:lang w:eastAsia="lt-LT"/>
        </w:rPr>
        <w:t xml:space="preserve">grupės „A“ kariškiais, šalino iš jo darbuotojus, atjungė transliavimą užtikrinančius įrenginius, vadovavusiu asmeniu buvo ir 1-osios baterijos būrio vadas leitenantas V. G.. </w:t>
      </w:r>
    </w:p>
    <w:p w:rsidR="00DA38E9" w:rsidRPr="005D022C" w:rsidRDefault="00DA38E9" w:rsidP="00E0397A">
      <w:pPr>
        <w:pStyle w:val="ListParagraph"/>
        <w:numPr>
          <w:ilvl w:val="0"/>
          <w:numId w:val="6"/>
        </w:numPr>
        <w:spacing w:before="120" w:after="120"/>
        <w:ind w:left="992" w:hanging="992"/>
        <w:contextualSpacing w:val="0"/>
      </w:pPr>
      <w:r w:rsidRPr="005D022C">
        <w:rPr>
          <w:szCs w:val="24"/>
          <w:lang w:eastAsia="lt-LT"/>
        </w:rPr>
        <w:t xml:space="preserve">Nuteistojo V. G. gynėja nesutinka su teismo išvadomis dėl jos ginamojo vaidmens įvykių metu. Gynėjos teigimu, V. G. nuosprendžiu inkriminuotos ir aplinkybės, kurių nebuvo kaltinime, o specialisto išvadoje nepagrįstai nurodoma, kad baterijai užimant LRT pastatą vadovavo V. G., nes jis tokių veiksmų neatliko ir tai patvirtina kariškių S. G., D. Č., P. S., S. P., L. Z., J. T., V. A., J. M., V. V. parodymai. Gynėjos teigimu, bylos duomenys rodo, kad kariškiams atvykus, pastatas jau buvo užimtas, todėl jie nesulaukė pasipriešinimo ir smurtas nebuvo panaudotas. Visgi, teisėjų kolegijos įsitikinimu, dauguma gynybos apeliaciniame skunde nurodytų teiginių yra siekiama nepagrįstai sušvelninti minėtoje operacijoje V. G. atliktus veiksmus bei jų pobūdį, nes apeliaciniame skunde atrinkti tik nuteistajam naudingi duomenys, nutylint bylos duomenų visumos esmę. V. G. dalyvavimą bei vadovaujamą vaidmenį 1-osios savaeigės artilerijos baterijos kariškiams užimant LRT TASK pastatą, patvirtina toliau aptarta </w:t>
      </w:r>
      <w:r w:rsidRPr="005D022C">
        <w:t>byloje surinktų įrodymų visuma.</w:t>
      </w:r>
      <w:r w:rsidRPr="005D022C">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Iš byloje esančio LRT užėmime dalyvavusių kariškių sąrašo, pavadinimu „74268 karinio dalinio personalo, kuris 1991 metais sausio 13 d. dalyvavo operacijoje dėl televizijos ir radijo centro užėmimo apsaugos tikslais“ matyti, </w:t>
      </w:r>
      <w:r w:rsidRPr="00C00255">
        <w:t xml:space="preserve">kad įvykiuose dalyvavo ir </w:t>
      </w:r>
      <w:r>
        <w:t>V. G.</w:t>
      </w:r>
      <w:r w:rsidRPr="00C00255">
        <w:t xml:space="preserve">, kuris </w:t>
      </w:r>
      <w:r w:rsidRPr="00C00255">
        <w:rPr>
          <w:szCs w:val="24"/>
          <w:lang w:eastAsia="lt-LT"/>
        </w:rPr>
        <w:t xml:space="preserve">buvo trečias pagal rangą iš visų prie LRT atvykusių baterijos kariškių. </w:t>
      </w:r>
      <w:r>
        <w:rPr>
          <w:szCs w:val="24"/>
          <w:lang w:eastAsia="lt-LT"/>
        </w:rPr>
        <w:t>V. G.</w:t>
      </w:r>
      <w:r w:rsidRPr="00C00255">
        <w:rPr>
          <w:szCs w:val="24"/>
          <w:lang w:eastAsia="lt-LT"/>
        </w:rPr>
        <w:t xml:space="preserve"> buvo leitenantas ir rangu nusileido tik </w:t>
      </w:r>
      <w:r>
        <w:rPr>
          <w:szCs w:val="24"/>
          <w:lang w:eastAsia="lt-LT"/>
        </w:rPr>
        <w:t>B. S.</w:t>
      </w:r>
      <w:r w:rsidRPr="00C00255">
        <w:rPr>
          <w:szCs w:val="24"/>
          <w:lang w:eastAsia="lt-LT"/>
        </w:rPr>
        <w:t xml:space="preserve"> ir </w:t>
      </w:r>
      <w:r>
        <w:rPr>
          <w:szCs w:val="24"/>
          <w:lang w:eastAsia="lt-LT"/>
        </w:rPr>
        <w:t>S. G.</w:t>
      </w:r>
      <w:r w:rsidRPr="00C00255">
        <w:rPr>
          <w:szCs w:val="24"/>
          <w:lang w:eastAsia="lt-LT"/>
        </w:rPr>
        <w:t xml:space="preserve"> (t. 451, b. l. 106–108; t. 152, b. l. 145–147).</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Iš kovinės technikos, automobilių ir personalo, veikusio prie Valstybinės televizijos ir radijo komiteto, sąrašo matyti, kad automobiliu URAL-4320, Nr. 22-60, su baterijos kariškiais prie LRT atvyko ir antruoju numeriu sąraše įvardintas leitenantas </w:t>
      </w:r>
      <w:r>
        <w:rPr>
          <w:szCs w:val="24"/>
          <w:lang w:eastAsia="lt-LT"/>
        </w:rPr>
        <w:t>V. G.</w:t>
      </w:r>
      <w:r w:rsidRPr="00C00255">
        <w:rPr>
          <w:szCs w:val="24"/>
          <w:lang w:eastAsia="lt-LT"/>
        </w:rPr>
        <w:t xml:space="preserve"> (t. 451, b. l. 192–194; t. 152, b. l. 223–225).</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2014 m. birželio 10 d. specialisto išvadoje konstatuota, kad 3-iąją LRT užėmimo operacinę grupę sudarė „76 odd 234 pdp savaeigės artilerijos diviziono 1 savaeigės artilerijos baterijos apie 23 kariškiai, vadovaujami baterijos vado </w:t>
      </w:r>
      <w:r>
        <w:rPr>
          <w:szCs w:val="24"/>
          <w:lang w:eastAsia="lt-LT"/>
        </w:rPr>
        <w:t>V. G.</w:t>
      </w:r>
      <w:r w:rsidRPr="00C00255">
        <w:rPr>
          <w:szCs w:val="24"/>
          <w:lang w:eastAsia="lt-LT"/>
        </w:rPr>
        <w:t xml:space="preserve"> ir artilerijos diviziono vado pavaduotojo </w:t>
      </w:r>
      <w:r>
        <w:rPr>
          <w:szCs w:val="24"/>
          <w:lang w:eastAsia="lt-LT"/>
        </w:rPr>
        <w:t>B. S.</w:t>
      </w:r>
      <w:r w:rsidRPr="00C00255">
        <w:rPr>
          <w:szCs w:val="24"/>
          <w:lang w:eastAsia="lt-LT"/>
        </w:rPr>
        <w:t xml:space="preserve"> &lt;...&gt;“. Specialistas taip pat padarė ir išvadą, kad „desantininkai iš trečiosios grupės, vadovaujami </w:t>
      </w:r>
      <w:r>
        <w:rPr>
          <w:szCs w:val="24"/>
          <w:lang w:eastAsia="lt-LT"/>
        </w:rPr>
        <w:t>B. S.</w:t>
      </w:r>
      <w:r w:rsidRPr="00C00255">
        <w:rPr>
          <w:szCs w:val="24"/>
          <w:lang w:eastAsia="lt-LT"/>
        </w:rPr>
        <w:t xml:space="preserve"> ir </w:t>
      </w:r>
      <w:r>
        <w:rPr>
          <w:szCs w:val="24"/>
          <w:lang w:eastAsia="lt-LT"/>
        </w:rPr>
        <w:t>V. G.</w:t>
      </w:r>
      <w:r w:rsidRPr="00C00255">
        <w:rPr>
          <w:szCs w:val="24"/>
          <w:lang w:eastAsia="lt-LT"/>
        </w:rPr>
        <w:t>, į techninę LRT teritoriją pateko &lt;...&gt; išlaužus tvorą &lt;...&gt;. Išlaužę TASK pastato duris iš LRT Techninės pusės &lt;...&gt; jie įsibrovė į pastatą, atjungė elektros maitinimą &lt;...&gt; ir studijų aparatūrą“ (t. 480, b. l. 55, 60–61).</w:t>
      </w:r>
    </w:p>
    <w:p w:rsidR="00E0397A" w:rsidRPr="005D022C" w:rsidRDefault="00DA38E9" w:rsidP="00E0397A">
      <w:pPr>
        <w:pStyle w:val="ListParagraph"/>
        <w:numPr>
          <w:ilvl w:val="1"/>
          <w:numId w:val="6"/>
        </w:numPr>
        <w:spacing w:before="120" w:after="120"/>
        <w:ind w:left="993" w:hanging="993"/>
        <w:contextualSpacing w:val="0"/>
        <w:rPr>
          <w:color w:val="000000"/>
          <w:szCs w:val="24"/>
          <w:lang w:eastAsia="lt-LT" w:bidi="lt-LT"/>
        </w:rPr>
      </w:pPr>
      <w:r w:rsidRPr="005D022C">
        <w:rPr>
          <w:szCs w:val="24"/>
          <w:lang w:eastAsia="lt-LT"/>
        </w:rPr>
        <w:t>Teisiamajame posėdyje apklaustas baterijos eilinis liudytojas J. T. patvirtino ir tyrimo metu duotus parodymus, kad su juo mašinos kabinoje prie objekto važiavo ir leitenantas V. G. (</w:t>
      </w:r>
      <w:r w:rsidRPr="005D022C">
        <w:rPr>
          <w:szCs w:val="24"/>
        </w:rPr>
        <w:t xml:space="preserve">t. 760, b. l. 157–162). </w:t>
      </w:r>
    </w:p>
    <w:p w:rsidR="00E0397A" w:rsidRPr="005D022C" w:rsidRDefault="00DA38E9" w:rsidP="00E0397A">
      <w:pPr>
        <w:pStyle w:val="ListParagraph"/>
        <w:numPr>
          <w:ilvl w:val="1"/>
          <w:numId w:val="6"/>
        </w:numPr>
        <w:spacing w:before="120" w:after="120"/>
        <w:ind w:left="993" w:hanging="993"/>
        <w:contextualSpacing w:val="0"/>
        <w:rPr>
          <w:color w:val="000000"/>
          <w:szCs w:val="24"/>
          <w:lang w:eastAsia="lt-LT" w:bidi="lt-LT"/>
        </w:rPr>
      </w:pPr>
      <w:r w:rsidRPr="005D022C">
        <w:rPr>
          <w:szCs w:val="24"/>
          <w:lang w:eastAsia="lt-LT"/>
        </w:rPr>
        <w:t xml:space="preserve">Taigi, priešingai nei teigiama apeliaciniame skunde, teisėjų kolegijos vertinimu, vien šių įrodymų visuma patvirtina apie V. G. dalyvavimą su </w:t>
      </w:r>
      <w:r w:rsidRPr="005D022C">
        <w:t>1-osios savaeigės artilerijos baterijos</w:t>
      </w:r>
      <w:r w:rsidRPr="005D022C">
        <w:rPr>
          <w:szCs w:val="24"/>
          <w:lang w:eastAsia="lt-LT" w:bidi="lt-LT"/>
        </w:rPr>
        <w:t xml:space="preserve"> kariškiais</w:t>
      </w:r>
      <w:r w:rsidRPr="005D022C">
        <w:rPr>
          <w:szCs w:val="24"/>
          <w:lang w:eastAsia="lt-LT"/>
        </w:rPr>
        <w:t xml:space="preserve"> 1991 m. sausio 13-osios naktį įsibraunant į LRT TASK pastatą, ir apie aukštą jo rangą bei vadovavimą pavaldiems kariškiams operacijos metu.</w:t>
      </w:r>
      <w:r w:rsidRPr="005D022C">
        <w:t xml:space="preserve"> </w:t>
      </w:r>
      <w:r w:rsidRPr="005D022C">
        <w:rPr>
          <w:szCs w:val="24"/>
          <w:lang w:eastAsia="lt-LT"/>
        </w:rPr>
        <w:t>Be to, gynėja nors apeliaciniame skunde ir prieštaringai nurodydama aplinkybes dėl nustatyto ginamojo vadovaujamo vaidmens, iš esmės apeliaciniame skunde sutinka, kad V. G. LRT pastate atjungė aparatūrą ir iš šio pastato šalino civilius. Taigi, gynėja pripažino iš esmės visus V. G. vadovaujamos 1-osios savaeigės artilerijos baterijos kariškių grupės atliktus veiksmus.</w:t>
      </w:r>
    </w:p>
    <w:p w:rsidR="00DA38E9" w:rsidRPr="005D022C" w:rsidRDefault="00DA38E9" w:rsidP="00E0397A">
      <w:pPr>
        <w:pStyle w:val="ListParagraph"/>
        <w:numPr>
          <w:ilvl w:val="0"/>
          <w:numId w:val="6"/>
        </w:numPr>
        <w:spacing w:before="120" w:after="120"/>
        <w:ind w:left="992" w:hanging="992"/>
        <w:contextualSpacing w:val="0"/>
        <w:rPr>
          <w:color w:val="000000"/>
          <w:szCs w:val="24"/>
          <w:lang w:eastAsia="lt-LT" w:bidi="lt-LT"/>
        </w:rPr>
      </w:pPr>
      <w:r w:rsidRPr="005D022C">
        <w:rPr>
          <w:szCs w:val="24"/>
          <w:lang w:eastAsia="lt-LT"/>
        </w:rPr>
        <w:t xml:space="preserve">Teisėjų kolegijos vidinį įsitikinimą dėl skundžiamame nuosprendyje konstatuoto V. G. dalyvavimo ir vadovaujamo vaidmens LRT TASK pastato užėmimo metu formuoja </w:t>
      </w:r>
      <w:r w:rsidRPr="005D022C">
        <w:t xml:space="preserve">ir ikiteisminio tyrimo metu apklaustų, liudytojų statusą šiame procese turinčių, 1-osios savaeigės artilerijos baterijos kariškių – S. P., L. Z., D. Č., A. N., M. T., V. T., A. A., V. C., A. J. – parodymai, perskaityti teisiamajame posėdyje </w:t>
      </w:r>
      <w:r w:rsidRPr="005D022C">
        <w:rPr>
          <w:szCs w:val="24"/>
          <w:lang w:eastAsia="lt-LT"/>
        </w:rPr>
        <w:t>(</w:t>
      </w:r>
      <w:r w:rsidRPr="005D022C">
        <w:rPr>
          <w:szCs w:val="24"/>
          <w:lang w:eastAsia="lt-LT" w:bidi="lt-LT"/>
        </w:rPr>
        <w:t>t. 760, b. l. 121–12</w:t>
      </w:r>
      <w:r w:rsidRPr="005D022C">
        <w:rPr>
          <w:szCs w:val="24"/>
          <w:lang w:eastAsia="lt-LT"/>
        </w:rPr>
        <w:t xml:space="preserve">6). Šie liudytojai kaip asmenį kartu dalyvavusį prie LRT TASK pastato įvardijo ir leitenantą V. G. – dauguma jį įvardijo kaip trečią baterijos karininką, su jais važiavusį į operaciją (be S. G. bei B. S.). Toliau atskirai aptariami tik tų liudytojų parodymai, kurie geriausiai iliustruoja </w:t>
      </w:r>
      <w:r w:rsidRPr="005D022C">
        <w:rPr>
          <w:szCs w:val="24"/>
        </w:rPr>
        <w:t>V. G. vadovaujamą vaidmenį ir konkrečius jo veiksmus su pavaldžių kar</w:t>
      </w:r>
      <w:r w:rsidR="005D022C">
        <w:rPr>
          <w:szCs w:val="24"/>
        </w:rPr>
        <w:t>iškių grupe užimant LRT TASK (3 </w:t>
      </w:r>
      <w:r w:rsidRPr="005D022C">
        <w:rPr>
          <w:szCs w:val="24"/>
        </w:rPr>
        <w:t>aukštų) pastatą</w:t>
      </w:r>
      <w:r w:rsidRPr="005D022C">
        <w:rPr>
          <w:szCs w:val="24"/>
          <w:lang w:eastAsia="lt-LT"/>
        </w:rPr>
        <w:t xml:space="preserve"> ir atliekant veiksmus šio pastato viduje.</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iCs/>
        </w:rPr>
        <w:t xml:space="preserve">Jaunesnysis seržantas </w:t>
      </w:r>
      <w:r>
        <w:rPr>
          <w:iCs/>
        </w:rPr>
        <w:t>D. Č.</w:t>
      </w:r>
      <w:r w:rsidRPr="00C00255">
        <w:t xml:space="preserve"> </w:t>
      </w:r>
      <w:r w:rsidRPr="00C00255">
        <w:rPr>
          <w:iCs/>
        </w:rPr>
        <w:t xml:space="preserve">nurodė, kad baterijai įsiveržus į 3 aukštų pastatą, jie pradėjo apžiūrinėti patalpas, kai kur teko išlaužti duris, išvesti patalpose buvusius civilius. Viena iš patalpų buvo televizijos studija, iš kur transliuojamos laidos ir kurioje buvo apie 10–12 žmonių. Leitenantas </w:t>
      </w:r>
      <w:r>
        <w:rPr>
          <w:iCs/>
        </w:rPr>
        <w:t>V. G.</w:t>
      </w:r>
      <w:r w:rsidRPr="00C00255">
        <w:rPr>
          <w:iCs/>
        </w:rPr>
        <w:t xml:space="preserve"> žmonėms pasakė, kad darbo diena baigta ir kariškiai ėmė atjunginėti aparatūrą, o civiliai buvo išvesti iš patalpų (t. 435, b. l. 63–68; t. 122, b. l. 90–103).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iCs/>
        </w:rPr>
        <w:t>Eilinis A. A</w:t>
      </w:r>
      <w:r>
        <w:rPr>
          <w:iCs/>
        </w:rPr>
        <w:t>.</w:t>
      </w:r>
      <w:r w:rsidRPr="00C00255">
        <w:rPr>
          <w:iCs/>
        </w:rPr>
        <w:t xml:space="preserve"> parodė apie tai</w:t>
      </w:r>
      <w:r w:rsidRPr="00C00255">
        <w:t xml:space="preserve">, kad naktį iš 1991 m. sausio 12-osios į 13-ąją buvo paskelbta kovinė parengtis ir baterijos vado pavaduotojas davė įsakymą užimti pastatą bei buvo surengtas instruktažas dėl ginklų naudojimo. Pasak liudytojo, baterijos vado pavaduotojo įsakymą jiems perdavė grupės vyresnysis – leitenantas </w:t>
      </w:r>
      <w:r>
        <w:t>V. G.</w:t>
      </w:r>
      <w:r w:rsidRPr="00C00255">
        <w:t xml:space="preserve">. Užėmus pastatą ir pradėjus jo apžiūrą, viename iš kambarių liudytojas ant grindų rado stovinčią dėžę su dideliais peiliais. Apie jų suradimą jis informavo leitenantą </w:t>
      </w:r>
      <w:r>
        <w:t>V. G.</w:t>
      </w:r>
      <w:r w:rsidRPr="00C00255">
        <w:t xml:space="preserve"> (t. 435, b. l. 97–100; t. 122, b. l. 140–143).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Teisėjų kolegijos įsitikinimu, aptarti liudytojų parodymai atitinka ir papildo kitus jau pirmiau aptartus įrodymus bei taip pat formuoja teismo įsitikinimą, </w:t>
      </w:r>
      <w:r w:rsidRPr="00C00255">
        <w:rPr>
          <w:szCs w:val="24"/>
          <w:lang w:eastAsia="lt-LT"/>
        </w:rPr>
        <w:t xml:space="preserve">kad </w:t>
      </w:r>
      <w:r>
        <w:rPr>
          <w:szCs w:val="24"/>
          <w:lang w:eastAsia="lt-LT"/>
        </w:rPr>
        <w:t>V. G.</w:t>
      </w:r>
      <w:r w:rsidRPr="00C00255">
        <w:rPr>
          <w:szCs w:val="24"/>
          <w:lang w:eastAsia="lt-LT"/>
        </w:rPr>
        <w:t xml:space="preserve"> ne tik dalyvavo užimant LRT TASK pastatą, bet šios operacijos metu vadovavo daliai pavaldžių 1-osios savaeigės artilerijos kariškių (antai, jis ėjo baterijos būrio vado pareigas ir buvo vienos iš grupių vyresniuoju).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t xml:space="preserve">Teisėjų kolegija, atsižvelgdama į nustatytas aplinkybes, tiek dėl nuteistojo </w:t>
      </w:r>
      <w:r>
        <w:t>V. G.</w:t>
      </w:r>
      <w:r w:rsidRPr="00C00255">
        <w:t xml:space="preserve"> vadovaujamo vaidmens, tiek dėl jo ir jo vadovaujamų kariškių LRT TASK užėmimo metu atliktų aktyvių veiksmų, atmeta kaip nepagrįstus gynėjos teiginius apie tai, kad </w:t>
      </w:r>
      <w:r w:rsidRPr="00C00255">
        <w:rPr>
          <w:szCs w:val="24"/>
        </w:rPr>
        <w:t xml:space="preserve">specialisto išvadoje nepagrįstai nustatyta apie </w:t>
      </w:r>
      <w:r>
        <w:rPr>
          <w:szCs w:val="24"/>
        </w:rPr>
        <w:t>V. G.</w:t>
      </w:r>
      <w:r w:rsidRPr="00C00255">
        <w:rPr>
          <w:szCs w:val="24"/>
        </w:rPr>
        <w:t xml:space="preserve"> vadovavimą 1-osios savaeigės artilerijos baterijos kariškiams, kad</w:t>
      </w:r>
      <w:r w:rsidRPr="00C00255">
        <w:t xml:space="preserve"> nenustatyti konkretūs </w:t>
      </w:r>
      <w:r>
        <w:t>V. G.</w:t>
      </w:r>
      <w:r w:rsidRPr="00C00255">
        <w:t xml:space="preserve"> atlikti veiksmai prie LRT, </w:t>
      </w:r>
      <w:r w:rsidRPr="00C00255">
        <w:rPr>
          <w:szCs w:val="24"/>
        </w:rPr>
        <w:t xml:space="preserve">taip pat, kad </w:t>
      </w:r>
      <w:r>
        <w:rPr>
          <w:szCs w:val="24"/>
        </w:rPr>
        <w:t>V. G.</w:t>
      </w:r>
      <w:r w:rsidRPr="00C00255">
        <w:rPr>
          <w:szCs w:val="24"/>
        </w:rPr>
        <w:t xml:space="preserve"> su pavaldžiais kariškiais prie pastato atvyko pavėlavę, kai LRT TASK pastatas jau buvo užimtas. Šių pirmosios instancijos teismo išvadų taip pat nepaneigia apeliaciniame skunde pateikta kariškių parodymų analizė, kad 1-osios savaeigės artilerijos baterijos kariškiams vadovavo </w:t>
      </w:r>
      <w:r>
        <w:rPr>
          <w:szCs w:val="24"/>
        </w:rPr>
        <w:t>B. S.</w:t>
      </w:r>
      <w:r w:rsidRPr="00C00255">
        <w:rPr>
          <w:szCs w:val="24"/>
        </w:rPr>
        <w:t xml:space="preserve"> ir </w:t>
      </w:r>
      <w:r>
        <w:rPr>
          <w:szCs w:val="24"/>
        </w:rPr>
        <w:t>S. G.</w:t>
      </w:r>
      <w:r w:rsidRPr="00C00255">
        <w:rPr>
          <w:szCs w:val="24"/>
        </w:rPr>
        <w:t xml:space="preserve">. Dėl panašaus pobūdžio argumentų ne kartą jau pasisakyta kitose šio teismo sprendimo dalyse. Teisėjų kolegija pažymi, kad aplinkybė, kad operacijoje dalyvavo ir vadovavo aukštesni pagal karinį laipsnį oro desanto divizijos karininkai, savaime nesudaro pagrindo teigti, kad </w:t>
      </w:r>
      <w:r>
        <w:rPr>
          <w:szCs w:val="24"/>
        </w:rPr>
        <w:t>V. G.</w:t>
      </w:r>
      <w:r w:rsidRPr="00C00255">
        <w:rPr>
          <w:szCs w:val="24"/>
        </w:rPr>
        <w:t xml:space="preserve"> nepagrįstai inkriminuotas vadovaujantis vaidmuo ir tai neeliminuoja nustatyto atskirų šio dalinio vienetų vadovų vadovaujančio vaidmens užimant LRT pastatus. </w:t>
      </w:r>
    </w:p>
    <w:p w:rsidR="00DA38E9" w:rsidRPr="00C00255" w:rsidRDefault="00DA38E9" w:rsidP="00DA38E9">
      <w:pPr>
        <w:pStyle w:val="ListParagraph"/>
        <w:numPr>
          <w:ilvl w:val="0"/>
          <w:numId w:val="6"/>
        </w:numPr>
        <w:spacing w:before="120" w:after="120"/>
        <w:ind w:left="993" w:hanging="993"/>
        <w:contextualSpacing w:val="0"/>
      </w:pPr>
      <w:r w:rsidRPr="00C00255">
        <w:t xml:space="preserve">Atsižvelgdama į šioje sprendimo dalyje aptartų duomenų ir aplinkybių visumą, teisėjų kolegija konstatuoja, kad </w:t>
      </w:r>
      <w:r w:rsidRPr="00C00255">
        <w:rPr>
          <w:szCs w:val="24"/>
          <w:lang w:eastAsia="lt-LT" w:bidi="lt-LT"/>
        </w:rPr>
        <w:t xml:space="preserve">visos skundžiamu nuosprendžiu įrodytomis pripažintos nuteistajam </w:t>
      </w:r>
      <w:r>
        <w:rPr>
          <w:szCs w:val="24"/>
          <w:lang w:eastAsia="lt-LT" w:bidi="lt-LT"/>
        </w:rPr>
        <w:t>V. G.</w:t>
      </w:r>
      <w:r w:rsidRPr="00C00255">
        <w:rPr>
          <w:szCs w:val="24"/>
          <w:lang w:eastAsia="lt-LT" w:bidi="lt-LT"/>
        </w:rPr>
        <w:t xml:space="preserve"> </w:t>
      </w:r>
      <w:r w:rsidRPr="00C00255">
        <w:t xml:space="preserve">inkriminuotos faktinės aplinkybės, susijusios su veiksmais užimant LRT (nuosprendžio 514–520 l.), pasitvirtino kaip pagrįstos ir teisingos. </w:t>
      </w:r>
    </w:p>
    <w:p w:rsidR="00DA38E9" w:rsidRPr="00C00255" w:rsidRDefault="00DA38E9" w:rsidP="00DA38E9">
      <w:pPr>
        <w:pStyle w:val="ListParagraph"/>
        <w:numPr>
          <w:ilvl w:val="0"/>
          <w:numId w:val="6"/>
        </w:numPr>
        <w:spacing w:before="120" w:after="120"/>
        <w:ind w:left="993" w:hanging="993"/>
        <w:contextualSpacing w:val="0"/>
      </w:pPr>
      <w:r w:rsidRPr="00C00255">
        <w:t xml:space="preserve">Teisėjų kolegija, analizuodama apygardos teismo išvadas apie nuteistojo </w:t>
      </w:r>
      <w:r>
        <w:t>V. G.</w:t>
      </w:r>
      <w:r w:rsidRPr="00C00255">
        <w:t xml:space="preserve"> faktiškai atliktus veiksmus, pažymi ir tai, kad nuosprendžio motyvuojamojoje dalyje, </w:t>
      </w:r>
      <w:bookmarkStart w:id="669" w:name="_Hlk65785585"/>
      <w:r w:rsidRPr="00C00255">
        <w:t xml:space="preserve">apibendrinant </w:t>
      </w:r>
      <w:r>
        <w:t>V. G.</w:t>
      </w:r>
      <w:r w:rsidRPr="00C00255">
        <w:t xml:space="preserve"> atliktus veiksmus,</w:t>
      </w:r>
      <w:bookmarkEnd w:id="669"/>
      <w:r w:rsidRPr="00C00255">
        <w:t xml:space="preserve"> apygardos teismas, be kita ko, nurodė, kad nuteistasis </w:t>
      </w:r>
      <w:bookmarkStart w:id="670" w:name="_Hlk65783478"/>
      <w:r>
        <w:t>V. G.</w:t>
      </w:r>
      <w:r w:rsidRPr="00C00255">
        <w:t xml:space="preserve"> </w:t>
      </w:r>
      <w:bookmarkEnd w:id="670"/>
      <w:r w:rsidRPr="00C00255">
        <w:t xml:space="preserve">„vadovavo karinei operacijai prie RTV komiteto (LRT) &lt;...&gt; užėmė ir saugojo RTV 4-ių aukštų pastatą.“ (žr. nuosprendžio 873 l., t. 773, b. l. 73). </w:t>
      </w:r>
      <w:bookmarkStart w:id="671" w:name="_Hlk65785602"/>
      <w:r w:rsidRPr="00C00255">
        <w:t xml:space="preserve">Nurodydamas argumentus apie bausmės skyrimui svarbias aplinkybes, </w:t>
      </w:r>
      <w:bookmarkEnd w:id="671"/>
      <w:r w:rsidRPr="00C00255">
        <w:t xml:space="preserve">apygardos teismas nurodė, kad nuteistasis </w:t>
      </w:r>
      <w:r>
        <w:t>V. G.</w:t>
      </w:r>
      <w:r w:rsidRPr="00C00255">
        <w:t xml:space="preserve"> „&lt;...&gt; vadovavo kariškiams RTV (LRT) Televizijos pastato šturmo metu &lt;...&gt;“ (žr. nuosprendžio 883–884 l., t. 773, b. l. 83–84). Tokios apygardos teismo dviprasmiškos išvados ir nurodytos aplinkybės (vienu atveju nurodant, kad vadovavo karinei operacijai prie LRT, kitu atveju, kad vadovavo kariškiams LRT Televizijos pastato šturme, dar kitu – užimant LRT Radijo pastatą), vertinant visą nuosprendį, kaip vientisą dokumentą, neleidžia teigi, kad </w:t>
      </w:r>
      <w:r>
        <w:t>V. G.</w:t>
      </w:r>
      <w:r w:rsidRPr="00C00255">
        <w:t xml:space="preserve"> vadovavo visiems LRT (įskaitant LRT Radijo ir LRT Televizijos pastatų) šturme dalyvavusiems kariškiams. Nustatyta, kad </w:t>
      </w:r>
      <w:r>
        <w:t>V. G.</w:t>
      </w:r>
      <w:r w:rsidRPr="00C00255">
        <w:t xml:space="preserve"> vadovavo tik jam pavaldiems kariškiams iš TSRS GM 76-osios oro desanto divizijos 234-ojo pulko savaeigės artilerijos diviziono 1-osios savaeigės artilerijos baterijos, kuri šturmavo LRT TASK (3 aukštų) pastatą. Be to, apygardos teismas, </w:t>
      </w:r>
      <w:bookmarkStart w:id="672" w:name="_Hlk65785092"/>
      <w:r w:rsidRPr="00C00255">
        <w:t xml:space="preserve">bausmės skyrimo motyvuose apibendrindamas </w:t>
      </w:r>
      <w:r>
        <w:t>V. G.</w:t>
      </w:r>
      <w:r w:rsidRPr="00C00255">
        <w:t xml:space="preserve"> atliktus veiksmus, be kita ko, nurodė ir tai, kad nuteistasis </w:t>
      </w:r>
      <w:r>
        <w:t>V. G.</w:t>
      </w:r>
      <w:r w:rsidRPr="00C00255">
        <w:t xml:space="preserve"> „&lt;...&gt; išrikiavo BMD priešais puolamą pastatą, nukreipė jų pabūklus bei karinės technikos apšvietimo prietaisus į puolamą pastatą &lt;...&gt;“ (žr. nuosprendžio 873, 883–884 l., t. 773, b. l. 73, 83–84). </w:t>
      </w:r>
      <w:bookmarkEnd w:id="672"/>
      <w:r w:rsidRPr="00C00255">
        <w:t xml:space="preserve">Teisėjų kolegija, sutinka su gynėjo apeliacinio skundo argumentais, kad byloje nėra įrodymų patvirtinančių tokius </w:t>
      </w:r>
      <w:r>
        <w:t>V. G.</w:t>
      </w:r>
      <w:r w:rsidRPr="00C00255">
        <w:t xml:space="preserve"> atliktus veiksmus. Be to, nuosprendžio nustatomojoje dalyje tokie </w:t>
      </w:r>
      <w:r>
        <w:t>V. G.</w:t>
      </w:r>
      <w:r w:rsidRPr="00C00255">
        <w:t xml:space="preserve"> atlikti veiksmai nenurodyti ir jų nepatvirtina byloje ištirtų įrodymų visuma, todėl apeliacinės instancijos teismas, vertindamas </w:t>
      </w:r>
      <w:r>
        <w:t>V. G.</w:t>
      </w:r>
      <w:r w:rsidRPr="00C00255">
        <w:t xml:space="preserve"> faktiškai atliktus veiksmus minėtomis aplinkybėmis apie tariamą BMD išrikiavimą, jų pabūklų bei karinės technikos apšvietimo prietaisų nukreipimą į pastatą, nesiremia.</w:t>
      </w:r>
    </w:p>
    <w:p w:rsidR="00DA38E9" w:rsidRPr="00C00255" w:rsidRDefault="00DA38E9" w:rsidP="00DA38E9">
      <w:pPr>
        <w:pStyle w:val="Heading4"/>
        <w:spacing w:before="120" w:after="120"/>
        <w:ind w:left="993"/>
        <w:rPr>
          <w:rFonts w:ascii="Times New Roman" w:hAnsi="Times New Roman"/>
          <w:b w:val="0"/>
          <w:i/>
          <w:sz w:val="24"/>
          <w:szCs w:val="24"/>
        </w:rPr>
      </w:pPr>
      <w:bookmarkStart w:id="673" w:name="_Toc66697308"/>
      <w:r w:rsidRPr="00C00255">
        <w:rPr>
          <w:rFonts w:ascii="Times New Roman" w:hAnsi="Times New Roman"/>
          <w:b w:val="0"/>
          <w:i/>
          <w:sz w:val="24"/>
          <w:szCs w:val="24"/>
        </w:rPr>
        <w:t xml:space="preserve">Dėl 234-ojo pulko žvalgybos kuopos vado pavaduotojo nuteistojo </w:t>
      </w:r>
      <w:r>
        <w:rPr>
          <w:rFonts w:ascii="Times New Roman" w:hAnsi="Times New Roman"/>
          <w:b w:val="0"/>
          <w:i/>
          <w:sz w:val="24"/>
          <w:szCs w:val="24"/>
        </w:rPr>
        <w:t>R. J. 2</w:t>
      </w:r>
      <w:r w:rsidRPr="00C00255">
        <w:rPr>
          <w:rFonts w:ascii="Times New Roman" w:hAnsi="Times New Roman"/>
          <w:b w:val="0"/>
          <w:i/>
          <w:sz w:val="24"/>
          <w:szCs w:val="24"/>
        </w:rPr>
        <w:t xml:space="preserve"> dalyvavimo užimant LRT Techninį ir LRT Radijo pastatus</w:t>
      </w:r>
      <w:bookmarkEnd w:id="673"/>
    </w:p>
    <w:p w:rsidR="00E0397A" w:rsidRDefault="00DA38E9" w:rsidP="00E0397A">
      <w:pPr>
        <w:pStyle w:val="ListParagraph"/>
        <w:numPr>
          <w:ilvl w:val="0"/>
          <w:numId w:val="6"/>
        </w:numPr>
        <w:spacing w:before="120" w:after="120"/>
        <w:ind w:left="993" w:hanging="993"/>
        <w:contextualSpacing w:val="0"/>
      </w:pPr>
      <w:r w:rsidRPr="00C00255">
        <w:rPr>
          <w:szCs w:val="24"/>
          <w:lang w:eastAsia="lt-LT"/>
        </w:rPr>
        <w:t xml:space="preserve">Kaip minėta, užimant LRT pastatus, be jau aptartų oro desanto kariškių iš </w:t>
      </w:r>
      <w:bookmarkStart w:id="674" w:name="_Hlk65787032"/>
      <w:r w:rsidRPr="00C00255">
        <w:rPr>
          <w:szCs w:val="24"/>
          <w:lang w:eastAsia="lt-LT"/>
        </w:rPr>
        <w:t>TSRS GM 76-osios oro desanto divizijos 237-ojo pulko 1-ojo bataliono 1-osios ir 2-osios kuopų, 234-ojo pulko 3-iojo bataliono 7-osios kuopos, 234-ojo pulko savaeigės artilerijos diviziono 1-osios savaeigės artilerijos baterijos, dalyvavo ir dvidešimt šešių šio pulko kariškių grupė iš 234-ojo pulko žvalgybos kuopos</w:t>
      </w:r>
      <w:bookmarkEnd w:id="674"/>
      <w:r w:rsidRPr="00C00255">
        <w:rPr>
          <w:szCs w:val="24"/>
          <w:lang w:eastAsia="lt-LT"/>
        </w:rPr>
        <w:t xml:space="preserve">. Pagal teismo nuosprendžiu nustatytas aplinkybes, pastariesiems vadovavo nuteistasis </w:t>
      </w:r>
      <w:r>
        <w:t>R. J. 2</w:t>
      </w:r>
      <w:r w:rsidRPr="00C00255">
        <w:t xml:space="preserve"> </w:t>
      </w:r>
      <w:r w:rsidRPr="00C00255">
        <w:rPr>
          <w:szCs w:val="24"/>
          <w:lang w:eastAsia="lt-LT" w:bidi="lt-LT"/>
        </w:rPr>
        <w:t>ir kiti karininkai, kurių atsakomybės klausimas šioje byloje nebuvo sprendžiamas</w:t>
      </w:r>
      <w:r w:rsidRPr="00C00255">
        <w:rPr>
          <w:szCs w:val="24"/>
          <w:lang w:eastAsia="lt-LT"/>
        </w:rPr>
        <w:t xml:space="preserve">. Šio nuteistojo vadovaujami oro desanto kariškiai, </w:t>
      </w:r>
      <w:r w:rsidRPr="00C00255">
        <w:t>būdami ginkluoti, dalyvavo užimant LRT Techninį pastatą (2 aukštų sargybines patalpas), iš kur pašalino civilį, o vėliau, gavę nurodymą, prisijungė prie karinių struktūrų, užėmusių LRT Radijo (4 aukštų) pastatą, kur šaudė koviniais ir garsiniais šoviniais, prieš civilius panaudojo artimos kovos veiksmus ir kitokį smurtą (dalis žvalgybos kuopos kariškių liko saugoti LRT techninę teritoriją).</w:t>
      </w:r>
    </w:p>
    <w:p w:rsidR="00DA38E9" w:rsidRPr="00E0397A" w:rsidRDefault="00DA38E9" w:rsidP="00E0397A">
      <w:pPr>
        <w:pStyle w:val="ListParagraph"/>
        <w:numPr>
          <w:ilvl w:val="0"/>
          <w:numId w:val="6"/>
        </w:numPr>
        <w:spacing w:before="120" w:after="120"/>
        <w:ind w:left="993" w:hanging="993"/>
        <w:contextualSpacing w:val="0"/>
      </w:pPr>
      <w:r w:rsidRPr="00E0397A">
        <w:rPr>
          <w:szCs w:val="24"/>
          <w:lang w:eastAsia="lt-LT"/>
        </w:rPr>
        <w:t xml:space="preserve">R. J. 2 gynėjas </w:t>
      </w:r>
      <w:r w:rsidRPr="00E0397A">
        <w:rPr>
          <w:szCs w:val="24"/>
        </w:rPr>
        <w:t xml:space="preserve">sutinka, kad R. J. 2 dalyvavo ir vadovavo nedideliam būriui desantininkų užimant LRT Techninį pastatą, o vėliau, kartu su jam pavaldžiais desantininkais, gavęs nurodymą, pro šonines LRT 4 aukštų pastato duris pateko į šį pastatą bei prisijungė prie VRM, VSK ir oro desanto kariškių, buvusių jo viduje, tačiau gynėjo teigimu, pirmosios instancijos teismas </w:t>
      </w:r>
      <w:bookmarkStart w:id="675" w:name="_Hlk65177170"/>
      <w:r w:rsidRPr="00E0397A">
        <w:rPr>
          <w:szCs w:val="24"/>
        </w:rPr>
        <w:t>vis tik padarė faktinėms aplinkybėms prieštaraujančias išvadas apie R. J. 2 veiksmus užimant LRT pastatą</w:t>
      </w:r>
      <w:bookmarkEnd w:id="675"/>
      <w:r w:rsidRPr="00E0397A">
        <w:rPr>
          <w:szCs w:val="24"/>
        </w:rPr>
        <w:t xml:space="preserve">. Pasak gynėjo, nėra duomenų, kad prieš civilius R. J. 2 ar jo kariškiai būtų smurtavę ar juos sužaloję – Techniniame pastate apskritai buvo tik vienas civilis, kuris nesipriešino ir prieš jį nebuvo reikalo naudoti jėgos. </w:t>
      </w:r>
      <w:r w:rsidRPr="00E0397A">
        <w:rPr>
          <w:szCs w:val="24"/>
          <w:lang w:eastAsia="lt-LT"/>
        </w:rPr>
        <w:t>Teisėjų kolegijos įsitikinimu, minėtais teiginiais yra siekiama nepagrįstai sušvelninti R. J. 2 ir jo vadovaujamų kariškių veiksmus vykdant minėtą operaciją. Pabrėžtina, kad R. J. 2 dalyvavimą bei vadovaujamą vaidmenį žvalgybos kuopos kariškiams dalyvaujant LRT Techninio ir LRT Radijo pastatų užėmime, patvirtina toliau aptarta</w:t>
      </w:r>
      <w:r w:rsidRPr="00C00255">
        <w:t xml:space="preserve"> byloje surinktų įrodymų visuma.</w:t>
      </w:r>
      <w:r w:rsidRPr="00E0397A">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bidi="lt-LT"/>
        </w:rPr>
        <w:t xml:space="preserve">Iš byloje esančio LRT užėmime dalyvavusių kariškių sąrašo, pavadinimu „74268 karinio dalinio personalo, kuris 1991 metais sausio 13 d. dalyvavo operacijoje dėl televizijos ir radijo centro užėmimo apsaugos tikslais“ matyti, </w:t>
      </w:r>
      <w:r w:rsidRPr="00C00255">
        <w:t xml:space="preserve">kad įvykiuose šios kuopos sudėtyje dalyvavo ir </w:t>
      </w:r>
      <w:r>
        <w:t>R. J. 2</w:t>
      </w:r>
      <w:r w:rsidRPr="00C00255">
        <w:t xml:space="preserve">, turėjęs </w:t>
      </w:r>
      <w:r w:rsidRPr="00C00255">
        <w:rPr>
          <w:szCs w:val="24"/>
          <w:lang w:eastAsia="lt-LT"/>
        </w:rPr>
        <w:t>aukščiausią rangą iš visų kuopos kariškių – buvo vyr. leitenantas (t. 451, b. l. 106–108; t. 152, b. l. 145–147).</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2014 m. birželio 10 d. specialisto išvadoje konstatuota, kad 4-ąją LRT užėmimo operacinę grupę, be kitų dalinių, sudarė „76 odd 234 pdp žvalgybos apie 26 kariškiai, vadovaujami </w:t>
      </w:r>
      <w:r>
        <w:rPr>
          <w:szCs w:val="24"/>
          <w:lang w:eastAsia="lt-LT"/>
        </w:rPr>
        <w:t>R. J. 2</w:t>
      </w:r>
      <w:r w:rsidRPr="00C00255">
        <w:rPr>
          <w:szCs w:val="24"/>
          <w:lang w:eastAsia="lt-LT"/>
        </w:rPr>
        <w:t xml:space="preserve">“, o šios grupės užduotis buvo „užimti LRT apsaugos pastatą, blokuoti įėjimus, pašalinti civilius, pastatą ir teritoriją saugoti“. Taip pat specialistas padarė išvadą, kad „desantininkai iš ketvirtosios grupės, vadovaujami </w:t>
      </w:r>
      <w:r>
        <w:rPr>
          <w:szCs w:val="24"/>
          <w:lang w:eastAsia="lt-LT"/>
        </w:rPr>
        <w:t>R. J. 2</w:t>
      </w:r>
      <w:r w:rsidRPr="00C00255">
        <w:rPr>
          <w:szCs w:val="24"/>
          <w:lang w:eastAsia="lt-LT"/>
        </w:rPr>
        <w:t xml:space="preserve"> &lt;...&gt; BMD b/n 206 išlaužus tvorą, pateko į techninę LRT teritoriją &lt;...&gt;. Patikrinę techninį pastatą, jie rado vieną žmogų &lt;...&gt;, kurį išvarė ir </w:t>
      </w:r>
      <w:r>
        <w:rPr>
          <w:szCs w:val="24"/>
          <w:lang w:eastAsia="lt-LT"/>
        </w:rPr>
        <w:t>G. G.</w:t>
      </w:r>
      <w:r w:rsidRPr="00C00255">
        <w:rPr>
          <w:szCs w:val="24"/>
          <w:lang w:eastAsia="lt-LT"/>
        </w:rPr>
        <w:t xml:space="preserve"> nurodymu pro šonines 4 aukštų LRT pastato duris įėjo į vidų ir prisijungė prie VSK „A“, VRM ir oro desanto kariškių“ (t. 480, b. l. 55, 61).</w:t>
      </w:r>
    </w:p>
    <w:p w:rsidR="00E0397A" w:rsidRPr="00E0397A" w:rsidRDefault="00DA38E9" w:rsidP="00E0397A">
      <w:pPr>
        <w:pStyle w:val="ListParagraph"/>
        <w:numPr>
          <w:ilvl w:val="1"/>
          <w:numId w:val="6"/>
        </w:numPr>
        <w:spacing w:before="120" w:after="120"/>
        <w:ind w:left="993" w:hanging="993"/>
        <w:contextualSpacing w:val="0"/>
        <w:rPr>
          <w:color w:val="000000"/>
          <w:szCs w:val="24"/>
          <w:lang w:eastAsia="lt-LT" w:bidi="lt-LT"/>
        </w:rPr>
      </w:pPr>
      <w:r w:rsidRPr="00C00255">
        <w:rPr>
          <w:szCs w:val="24"/>
          <w:lang w:eastAsia="lt-LT"/>
        </w:rPr>
        <w:t xml:space="preserve">Teisėjų kolegijos įsitikinimu, vien šių įrodymų visuma patvirtina ne tik </w:t>
      </w:r>
      <w:r>
        <w:rPr>
          <w:szCs w:val="24"/>
          <w:lang w:eastAsia="lt-LT"/>
        </w:rPr>
        <w:t>R. J. 2</w:t>
      </w:r>
      <w:r w:rsidRPr="00C00255">
        <w:rPr>
          <w:szCs w:val="24"/>
          <w:lang w:eastAsia="lt-LT"/>
        </w:rPr>
        <w:t xml:space="preserve"> dalyvavimą su </w:t>
      </w:r>
      <w:r w:rsidRPr="00C00255">
        <w:t>žvalgybos kuopos</w:t>
      </w:r>
      <w:r w:rsidRPr="00C00255">
        <w:rPr>
          <w:szCs w:val="24"/>
          <w:lang w:eastAsia="lt-LT" w:bidi="lt-LT"/>
        </w:rPr>
        <w:t xml:space="preserve"> kariškiais</w:t>
      </w:r>
      <w:r w:rsidRPr="00C00255">
        <w:rPr>
          <w:szCs w:val="24"/>
          <w:lang w:eastAsia="lt-LT"/>
        </w:rPr>
        <w:t xml:space="preserve"> 1991 m. sausio 13-osios naktį įsibraunant į LRT Techninį pastatą ir atliekant veiksmus jame bei vėliau patenkant į LRT Radijo pastatą, tačiau ir aukštą jo rangą bei vadovavimą šiems kariškiams operacijos metu. Be to, šių nustatytų aplinkybių neginčija ir </w:t>
      </w:r>
      <w:r>
        <w:rPr>
          <w:szCs w:val="24"/>
          <w:lang w:eastAsia="lt-LT"/>
        </w:rPr>
        <w:t>R. J. 2</w:t>
      </w:r>
      <w:r w:rsidRPr="00C00255">
        <w:rPr>
          <w:szCs w:val="24"/>
          <w:lang w:eastAsia="lt-LT"/>
        </w:rPr>
        <w:t xml:space="preserve"> gynėjas. </w:t>
      </w:r>
    </w:p>
    <w:p w:rsidR="00DA38E9" w:rsidRPr="00E0397A" w:rsidRDefault="00DA38E9" w:rsidP="00E0397A">
      <w:pPr>
        <w:pStyle w:val="ListParagraph"/>
        <w:numPr>
          <w:ilvl w:val="0"/>
          <w:numId w:val="6"/>
        </w:numPr>
        <w:spacing w:before="120" w:after="120"/>
        <w:ind w:left="992" w:hanging="992"/>
        <w:contextualSpacing w:val="0"/>
        <w:rPr>
          <w:color w:val="000000"/>
          <w:szCs w:val="24"/>
          <w:lang w:eastAsia="lt-LT" w:bidi="lt-LT"/>
        </w:rPr>
      </w:pPr>
      <w:r w:rsidRPr="00C00255">
        <w:t xml:space="preserve">Teisėjų kolegijos vidinį įsitikinimą dėl skundžiamame nuosprendyje konstatuoto </w:t>
      </w:r>
      <w:r>
        <w:t>R. J. 2</w:t>
      </w:r>
      <w:r w:rsidRPr="00C00255">
        <w:t xml:space="preserve"> dalyvavimo ir vadovaujamo vaidmens LRT TASK ir LRT Radijo pastatų užėmimo metu formuoja ir ikiteisminio tyrimo metu apklaustų, liudytojų statusą šiame procese turinčių, 234-ojo pulko žvalgybos kuopos kariškių parodymai, perskaityti teisiamajame posėdyje </w:t>
      </w:r>
      <w:r w:rsidRPr="00E0397A">
        <w:rPr>
          <w:szCs w:val="24"/>
          <w:lang w:eastAsia="lt-LT"/>
        </w:rPr>
        <w:t>(</w:t>
      </w:r>
      <w:r w:rsidRPr="00E0397A">
        <w:rPr>
          <w:szCs w:val="24"/>
          <w:lang w:eastAsia="lt-LT" w:bidi="lt-LT"/>
        </w:rPr>
        <w:t>t. 760, b. l. 125–126, 140</w:t>
      </w:r>
      <w:r w:rsidRPr="00E0397A">
        <w:rPr>
          <w:szCs w:val="24"/>
          <w:lang w:eastAsia="lt-LT"/>
        </w:rPr>
        <w:t xml:space="preserve">). Pažymėtina, kad daugiau nei dvidešimt minėtos kuopos kariškių, kaip asmenį, susijusį su įvykiais prie LRT bei ėjusį vadovaujančias pareigas, įvardijo būtent R. J. 2. Toliau pažymėtini tik tie parodymai, kurie aiškiausiai atskleidžia </w:t>
      </w:r>
      <w:r w:rsidRPr="00E0397A">
        <w:rPr>
          <w:szCs w:val="24"/>
        </w:rPr>
        <w:t>nuteistojo R. J. 2 vadovaujamą vaidmenį ir konkrečius veiksmus užimant LRT Techninį (2 aukštų) pastatą bei vėliau su pavaldžiais kariškiais patenkant į LRT Radijo (4 aukštų) pastatą</w:t>
      </w:r>
      <w:r w:rsidRPr="00E0397A">
        <w:rPr>
          <w:szCs w:val="24"/>
          <w:lang w:eastAsia="lt-LT"/>
        </w:rPr>
        <w:t xml:space="preserve">. </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Seržantas A.</w:t>
      </w:r>
      <w:r>
        <w:rPr>
          <w:szCs w:val="24"/>
        </w:rPr>
        <w:t> </w:t>
      </w:r>
      <w:r w:rsidRPr="00C00255">
        <w:rPr>
          <w:szCs w:val="24"/>
        </w:rPr>
        <w:t>P</w:t>
      </w:r>
      <w:r>
        <w:rPr>
          <w:szCs w:val="24"/>
        </w:rPr>
        <w:t>.</w:t>
      </w:r>
      <w:r w:rsidRPr="00C00255">
        <w:rPr>
          <w:szCs w:val="24"/>
        </w:rPr>
        <w:t xml:space="preserve"> nurodė, kad būtent kuopos vadas </w:t>
      </w:r>
      <w:r>
        <w:rPr>
          <w:szCs w:val="24"/>
        </w:rPr>
        <w:t>R. J. 2</w:t>
      </w:r>
      <w:r w:rsidRPr="00C00255">
        <w:rPr>
          <w:szCs w:val="24"/>
        </w:rPr>
        <w:t xml:space="preserve"> davė užduotį užimti sargybines patalpas (t. 434, b. l. 87–90; t. 121, b. l. 181–191).</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Seržantas V. M</w:t>
      </w:r>
      <w:r>
        <w:rPr>
          <w:szCs w:val="24"/>
        </w:rPr>
        <w:t>.</w:t>
      </w:r>
      <w:r w:rsidRPr="00C00255">
        <w:rPr>
          <w:szCs w:val="24"/>
        </w:rPr>
        <w:t xml:space="preserve"> nurodė, kad operacijos metu nuolat buvo šalia vyr. leitenanto </w:t>
      </w:r>
      <w:r>
        <w:rPr>
          <w:szCs w:val="24"/>
        </w:rPr>
        <w:t>R. J. 2</w:t>
      </w:r>
      <w:r w:rsidRPr="00C00255">
        <w:rPr>
          <w:szCs w:val="24"/>
        </w:rPr>
        <w:t xml:space="preserve">. Jų mašina karinės technikos kolonoje važiavo pirma – kelią iki televizijos centro rodė </w:t>
      </w:r>
      <w:r>
        <w:rPr>
          <w:szCs w:val="24"/>
        </w:rPr>
        <w:t>R. J. 2</w:t>
      </w:r>
      <w:r w:rsidRPr="00C00255">
        <w:rPr>
          <w:szCs w:val="24"/>
        </w:rPr>
        <w:t xml:space="preserve"> (t. 434, b. l. 5–8; t. 121, b. l. 6–13).</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Jaunesnysis seržantas P. Č</w:t>
      </w:r>
      <w:r>
        <w:rPr>
          <w:szCs w:val="24"/>
        </w:rPr>
        <w:t>.</w:t>
      </w:r>
      <w:r w:rsidRPr="00C00255">
        <w:rPr>
          <w:szCs w:val="24"/>
        </w:rPr>
        <w:t xml:space="preserve"> nurodė operacijos metu turėjęs užtikrinti </w:t>
      </w:r>
      <w:r>
        <w:rPr>
          <w:szCs w:val="24"/>
        </w:rPr>
        <w:t>R. J. 2</w:t>
      </w:r>
      <w:r w:rsidRPr="00C00255">
        <w:rPr>
          <w:szCs w:val="24"/>
        </w:rPr>
        <w:t xml:space="preserve"> ryšį. Jau atvykus prie objekto, </w:t>
      </w:r>
      <w:r>
        <w:rPr>
          <w:szCs w:val="24"/>
        </w:rPr>
        <w:t>R. J. 2</w:t>
      </w:r>
      <w:r w:rsidRPr="00C00255">
        <w:rPr>
          <w:szCs w:val="24"/>
        </w:rPr>
        <w:t xml:space="preserve"> nurodymu jie privažiavo sargybines patalpas, kurios buvo televizijos centro kieme ir į jas įėjo. Sargybinėse patalpose buvo tik vienas žmogus, kuris prisistatė gaisrininku ir buvo pašalintas iš pastato. Po to, su </w:t>
      </w:r>
      <w:r>
        <w:rPr>
          <w:szCs w:val="24"/>
        </w:rPr>
        <w:t>R. J. 2</w:t>
      </w:r>
      <w:r w:rsidRPr="00C00255">
        <w:rPr>
          <w:szCs w:val="24"/>
        </w:rPr>
        <w:t xml:space="preserve"> nuėjo koridoriumi toliau. Vėliau, gavę įsakymą, jie pro šoninį įėjimą, kuris buvo iš kiemo pusės, pateko į 4 aukštų pastatą, kur teko išlaužti duris (t. 434, b. l. 28–31; t. 121, b. l. 67–72).</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Eilinis V. Š</w:t>
      </w:r>
      <w:r>
        <w:rPr>
          <w:szCs w:val="24"/>
        </w:rPr>
        <w:t>.</w:t>
      </w:r>
      <w:r w:rsidRPr="00C00255">
        <w:rPr>
          <w:szCs w:val="24"/>
        </w:rPr>
        <w:t xml:space="preserve"> nurodė, kad automobiliu atvykę iš užpakalinės pastato pusės, jie išlipo iš mašinų ir, vyr. leitenanto </w:t>
      </w:r>
      <w:r>
        <w:rPr>
          <w:szCs w:val="24"/>
        </w:rPr>
        <w:t>R. J. 2</w:t>
      </w:r>
      <w:r w:rsidRPr="00C00255">
        <w:rPr>
          <w:szCs w:val="24"/>
        </w:rPr>
        <w:t xml:space="preserve"> įsakymu, nuėjo link 2 aukštų pastato, kurį apžiūrėjo bei apieškoję iš jo išvedė civilius. Po to, jie pro galines pastato duris įėjo į televizijos centrą, kur išsiskirstė į grupes bei išsivaikščiojo po aukštus – liudytojas pasiliko 1-ajame aukšte su vyr. leitenantu </w:t>
      </w:r>
      <w:r>
        <w:rPr>
          <w:szCs w:val="24"/>
        </w:rPr>
        <w:t>R. J. 2</w:t>
      </w:r>
      <w:r w:rsidRPr="00C00255">
        <w:rPr>
          <w:szCs w:val="24"/>
        </w:rPr>
        <w:t xml:space="preserve"> (t. 434, b. l. 73–75; t. 121, b. l. 146–151).</w:t>
      </w:r>
    </w:p>
    <w:p w:rsidR="00DA38E9" w:rsidRPr="00C00255" w:rsidRDefault="00DA38E9" w:rsidP="00DA38E9">
      <w:pPr>
        <w:pStyle w:val="ListParagraph"/>
        <w:numPr>
          <w:ilvl w:val="1"/>
          <w:numId w:val="6"/>
        </w:numPr>
        <w:spacing w:before="120" w:after="120"/>
        <w:ind w:left="993" w:hanging="993"/>
        <w:contextualSpacing w:val="0"/>
        <w:rPr>
          <w:color w:val="000000"/>
          <w:szCs w:val="24"/>
          <w:lang w:eastAsia="lt-LT" w:bidi="lt-LT"/>
        </w:rPr>
      </w:pPr>
      <w:r w:rsidRPr="00C00255">
        <w:rPr>
          <w:szCs w:val="24"/>
        </w:rPr>
        <w:t>Eilinis R. K</w:t>
      </w:r>
      <w:r>
        <w:rPr>
          <w:szCs w:val="24"/>
        </w:rPr>
        <w:t>.</w:t>
      </w:r>
      <w:r w:rsidRPr="00C00255">
        <w:rPr>
          <w:szCs w:val="24"/>
        </w:rPr>
        <w:t xml:space="preserve"> nurodė, kad jiems patekus į 4 aukštų pastatą, </w:t>
      </w:r>
      <w:r>
        <w:rPr>
          <w:szCs w:val="24"/>
        </w:rPr>
        <w:t>R. J. 2</w:t>
      </w:r>
      <w:r w:rsidRPr="00C00255">
        <w:rPr>
          <w:szCs w:val="24"/>
        </w:rPr>
        <w:t xml:space="preserve"> teiravosi kitų ten buvusių dalinių kariškių, ar pastarieji apžiūrėjo visas patalpas (t. 434, b. l. 91–94; t. 121,</w:t>
      </w:r>
      <w:r>
        <w:rPr>
          <w:szCs w:val="24"/>
        </w:rPr>
        <w:t xml:space="preserve"> </w:t>
      </w:r>
      <w:r w:rsidRPr="00C00255">
        <w:rPr>
          <w:szCs w:val="24"/>
        </w:rPr>
        <w:t>b.</w:t>
      </w:r>
      <w:r>
        <w:rPr>
          <w:szCs w:val="24"/>
        </w:rPr>
        <w:t> </w:t>
      </w:r>
      <w:r w:rsidRPr="00C00255">
        <w:rPr>
          <w:szCs w:val="24"/>
        </w:rPr>
        <w:t>l.</w:t>
      </w:r>
      <w:r>
        <w:rPr>
          <w:szCs w:val="24"/>
        </w:rPr>
        <w:t> </w:t>
      </w:r>
      <w:r w:rsidRPr="00C00255">
        <w:rPr>
          <w:szCs w:val="24"/>
        </w:rPr>
        <w:t>192–196).</w:t>
      </w:r>
    </w:p>
    <w:p w:rsidR="00E0397A" w:rsidRDefault="00DA38E9" w:rsidP="00E0397A">
      <w:pPr>
        <w:pStyle w:val="ListParagraph"/>
        <w:numPr>
          <w:ilvl w:val="0"/>
          <w:numId w:val="6"/>
        </w:numPr>
        <w:spacing w:before="120" w:after="120"/>
        <w:ind w:left="993" w:hanging="993"/>
        <w:contextualSpacing w:val="0"/>
        <w:rPr>
          <w:szCs w:val="24"/>
          <w:lang w:eastAsia="lt-LT" w:bidi="lt-LT"/>
        </w:rPr>
      </w:pPr>
      <w:r w:rsidRPr="00C00255">
        <w:rPr>
          <w:szCs w:val="24"/>
          <w:lang w:eastAsia="lt-LT" w:bidi="lt-LT"/>
        </w:rPr>
        <w:t xml:space="preserve">Teisėjų kolegijos įsitikinimu, minėti liudytojų parodymai sutampa tarpusavyje, taip pat atitinka ir papildo kitus jau aptartus įrodymus bei taip pat formuoja teismo įsitikinimą, </w:t>
      </w:r>
      <w:r w:rsidRPr="00C00255">
        <w:rPr>
          <w:szCs w:val="24"/>
          <w:lang w:eastAsia="lt-LT"/>
        </w:rPr>
        <w:t xml:space="preserve">kad </w:t>
      </w:r>
      <w:r>
        <w:rPr>
          <w:szCs w:val="24"/>
          <w:lang w:eastAsia="lt-LT"/>
        </w:rPr>
        <w:t>R. J. 2</w:t>
      </w:r>
      <w:r w:rsidRPr="00C00255">
        <w:rPr>
          <w:szCs w:val="24"/>
          <w:lang w:eastAsia="lt-LT"/>
        </w:rPr>
        <w:t xml:space="preserve"> ne tik dalyvavo užimant LRT Techninį pastatą bei su žvalgybos kuopos kariškiais vėliau pateko į LRT Radijo pastatą, bet ir visų šių įvykių metu buvo vyriausiuoju karininku, vadovavusiu visai minėtos kuopos sudėčiai. Taigi, išdėstytos aplinkybės paneigia apeliacinio skundo argumentus dėl netinkamai ir neobjektyviai nustatytų </w:t>
      </w:r>
      <w:r>
        <w:rPr>
          <w:szCs w:val="24"/>
          <w:lang w:eastAsia="lt-LT"/>
        </w:rPr>
        <w:t>R. J. 2</w:t>
      </w:r>
      <w:r w:rsidRPr="00C00255">
        <w:rPr>
          <w:szCs w:val="24"/>
          <w:lang w:eastAsia="lt-LT"/>
        </w:rPr>
        <w:t xml:space="preserve"> atliktų veiksmų užimant LRT pastatus.</w:t>
      </w:r>
    </w:p>
    <w:p w:rsidR="00DA38E9" w:rsidRPr="005D022C" w:rsidRDefault="00DA38E9" w:rsidP="00E0397A">
      <w:pPr>
        <w:pStyle w:val="ListParagraph"/>
        <w:numPr>
          <w:ilvl w:val="0"/>
          <w:numId w:val="6"/>
        </w:numPr>
        <w:spacing w:before="120" w:after="120"/>
        <w:ind w:left="993" w:hanging="993"/>
        <w:contextualSpacing w:val="0"/>
        <w:rPr>
          <w:szCs w:val="24"/>
          <w:lang w:eastAsia="lt-LT" w:bidi="lt-LT"/>
        </w:rPr>
      </w:pPr>
      <w:r w:rsidRPr="005D022C">
        <w:rPr>
          <w:iCs/>
        </w:rPr>
        <w:t>Taip pat atmestini kaip nepagrįsti ir apeliacinio skundo teiginiai, kad R. J. 2 ir (ar) jam pavaldūs kariškiai pastatų užėmimo metu nenaudojo jėgos. Kaip matyti iš bylos duomenų, LRT Techniniame pastate buvo rastas vienas civilis, kaip nustatyta G. S., kuris iš pastato pašalintas (to neneigia ir nuteistojo gynėjas). Visgi, skirtingai nei teigia gynyba, jo atžvilgiu buvo panaudotas smurtas. Nukentėjusysis G. S.</w:t>
      </w:r>
      <w:bookmarkStart w:id="676" w:name="_Hlk65177857"/>
      <w:r w:rsidRPr="005D022C">
        <w:rPr>
          <w:iCs/>
        </w:rPr>
        <w:t xml:space="preserve"> </w:t>
      </w:r>
      <w:bookmarkEnd w:id="676"/>
      <w:r w:rsidRPr="005D022C">
        <w:rPr>
          <w:iCs/>
        </w:rPr>
        <w:t xml:space="preserve">teisiamajame posėdyje nurodė, kad įvykių metu dirbo Radijo ir televizijos komitete priešgaisrinės apsaugos instruktoriumi. Kai pamatė, kad pastatą užima, bandė statyti barikadą, tačiau kariškiai išlaužė duris, daužė jį buožėmis, spardė kojomis, liepė gultis ant grindų bei jį sužeidė. Jis patvirtino ir tyrimo metu duotus parodymus, kad buvo 2 aukštų pastate (t. 760, b. l. 101; t. 62, b. l. 90–96). Tuo, kad įvykių metu G. S. patyrė traumą, neleidžia abejoti ir teismo medicininės ekspertizės aktas Nr. 3802 (t. 62, b. l. 98) bei specialisto išvada (t. 482, b. l. 55–83; aktualus 57 l.). Taigi nustatytos aplinkybės neleidžia abejoti, kad R. J. 2 ir jam pavaldūs kariškiai veikdami bendrai prieš civilius LRT Techniniame pastate panaudojo jėgą ir taip sukėlė neigiamus padarinius, už kuriuos atsakingas ir nuteistasis. </w:t>
      </w:r>
    </w:p>
    <w:p w:rsidR="00DA38E9" w:rsidRPr="00C00255" w:rsidRDefault="00DA38E9" w:rsidP="00DA38E9">
      <w:pPr>
        <w:pStyle w:val="ListParagraph"/>
        <w:numPr>
          <w:ilvl w:val="0"/>
          <w:numId w:val="6"/>
        </w:numPr>
        <w:spacing w:before="120" w:after="120"/>
        <w:ind w:left="924" w:hanging="924"/>
        <w:contextualSpacing w:val="0"/>
      </w:pPr>
      <w:r w:rsidRPr="00C00255">
        <w:t>Atsižvelgdama į visa tai, kas minėta</w:t>
      </w:r>
      <w:r w:rsidRPr="00C00255">
        <w:rPr>
          <w:szCs w:val="24"/>
          <w:lang w:eastAsia="lt-LT" w:bidi="lt-LT"/>
        </w:rPr>
        <w:t xml:space="preserve">, teisėjų kolegija konstatuoja, kad visos skundžiamu nuosprendžiu įrodytomis pripažintos nuteistajam </w:t>
      </w:r>
      <w:r>
        <w:rPr>
          <w:iCs/>
        </w:rPr>
        <w:t>R. J. 2</w:t>
      </w:r>
      <w:r w:rsidRPr="00C00255">
        <w:rPr>
          <w:iCs/>
        </w:rPr>
        <w:t xml:space="preserve"> </w:t>
      </w:r>
      <w:r w:rsidRPr="00C00255">
        <w:t xml:space="preserve">inkriminuotos faktinės aplinkybės, susijusios su veiksmais užimant LRT Techninį ir LRT Radijo pastatus (nuosprendžio 514–520 l.), iš esmės pasitvirtino kaip pagrįstos ir teisingos. </w:t>
      </w:r>
    </w:p>
    <w:p w:rsidR="00DA38E9" w:rsidRPr="00C00255" w:rsidRDefault="00DA38E9" w:rsidP="00DA38E9">
      <w:pPr>
        <w:pStyle w:val="ListParagraph"/>
        <w:numPr>
          <w:ilvl w:val="0"/>
          <w:numId w:val="6"/>
        </w:numPr>
        <w:spacing w:before="120" w:after="120"/>
        <w:ind w:left="924" w:hanging="924"/>
        <w:contextualSpacing w:val="0"/>
      </w:pPr>
      <w:r w:rsidRPr="00C00255">
        <w:t xml:space="preserve">Teisėjų kolegija, analizuodama apygardos teismo išvadas apie nuteistojo </w:t>
      </w:r>
      <w:r>
        <w:t>R. J. 2</w:t>
      </w:r>
      <w:r w:rsidRPr="00C00255">
        <w:t xml:space="preserve"> faktiškai atliktus veiksmus, pažymi ir tai, kad nuosprendžio motyvuojamojoje dalyje, apibendrinant </w:t>
      </w:r>
      <w:r>
        <w:t>R. J. 2</w:t>
      </w:r>
      <w:r w:rsidRPr="00C00255">
        <w:t xml:space="preserve"> atliktus veiksmus, apygardos teismas nurodė, kad nuteistasis </w:t>
      </w:r>
      <w:bookmarkStart w:id="677" w:name="_Hlk65786955"/>
      <w:r>
        <w:t>R. J. 2</w:t>
      </w:r>
      <w:r w:rsidRPr="00C00255">
        <w:t xml:space="preserve"> </w:t>
      </w:r>
      <w:bookmarkEnd w:id="677"/>
      <w:r w:rsidRPr="00C00255">
        <w:t>„vadovavo RTV komiteto (LRT) Televizijos pastato šturmui &lt;...&gt;.“ (žr. nuosprendžio 873 l., t.</w:t>
      </w:r>
      <w:r>
        <w:t> </w:t>
      </w:r>
      <w:r w:rsidRPr="00C00255">
        <w:t xml:space="preserve">773, b. l. 73). Bausmės skyrimo motyvuose teismas nurodė, kad nuteistasis </w:t>
      </w:r>
      <w:bookmarkStart w:id="678" w:name="_Hlk65787271"/>
      <w:r>
        <w:t>R. J. 2</w:t>
      </w:r>
      <w:r w:rsidRPr="00C00255">
        <w:t xml:space="preserve"> </w:t>
      </w:r>
      <w:bookmarkEnd w:id="678"/>
      <w:r w:rsidRPr="00C00255">
        <w:t xml:space="preserve">„&lt;...&gt; vadovavo RTV komiteto (LRT) šturmui &lt;...&gt;“ (žr. nuosprendžio 882 l., t. 773, b. l. 82). Tokios apygardos teismo dviprasmiškos išvados ir nurodytos aplinkybės (vienu atveju nurodant, kad vadovavo LRT Televizijos pastato šturmui, kitu – LRT šturmui), vertinant visą nuosprendį, kaip vientisą dokumentą, neleidžia teigti, jog </w:t>
      </w:r>
      <w:r>
        <w:t>R. J. 2</w:t>
      </w:r>
      <w:r w:rsidRPr="00C00255">
        <w:t xml:space="preserve"> vadovavo visiems LRT ar LRT Televizijos pastato šturme dalyvavusiems kariškiams. Nustatyta, kad </w:t>
      </w:r>
      <w:r>
        <w:t>R. J. 2</w:t>
      </w:r>
      <w:r w:rsidRPr="00C00255">
        <w:t xml:space="preserve"> vadovavo tik jam pavaldiems kariškiams iš TSRS GM 76-osios oro desanto divizijos 234-ojo pulko žvalgybos kuopos, kurie pirmiausia šturmavo LRT Techninį pastatą, o vėliau LRT Radijo pastatą. Apygardos teismas, dėstydamas argumentus apie bausmės skyrimui svarbias aplinkybes, be kita ko, nurodė ir tai, kad nuteistasis </w:t>
      </w:r>
      <w:r>
        <w:t>R. J. 2</w:t>
      </w:r>
      <w:r w:rsidRPr="00C00255">
        <w:t xml:space="preserve"> „&lt;...&gt; išrikiavus priešais puolamą pastatą BMD, nukreipė pabūklus bei karinės technikos apšvietimo prietaisus į pastatą“ (žr. nuosprendžio 882 l., t. 773, b. l. 82). Skundžiamo nuosprendžio nustatomojoje dalyje tokie </w:t>
      </w:r>
      <w:r>
        <w:t>R. J. 2</w:t>
      </w:r>
      <w:r w:rsidRPr="00C00255">
        <w:t xml:space="preserve"> veiksmai nėra nurodyti, be to, jų nepatvirtina byloje ištirtų įrodymų visuma, todėl apeliacinės instancijos teismas, vertindamas </w:t>
      </w:r>
      <w:r>
        <w:t>R. J. 2</w:t>
      </w:r>
      <w:r w:rsidRPr="00C00255">
        <w:t xml:space="preserve"> faktiškai atliktus veiksmus, minėtomis aplinkybėmis apie tariamą BMD išrikiavimą, jų pabūklų bei karinės technikos apšvietimo prietaisų nukreipimą į pastatą, nesiremia.</w:t>
      </w:r>
    </w:p>
    <w:p w:rsidR="00DA38E9" w:rsidRPr="00C00255" w:rsidRDefault="00DA38E9" w:rsidP="00DA38E9">
      <w:pPr>
        <w:pStyle w:val="Heading4"/>
        <w:spacing w:before="120" w:after="120"/>
        <w:ind w:left="993"/>
        <w:rPr>
          <w:rFonts w:ascii="Times New Roman" w:hAnsi="Times New Roman"/>
          <w:b w:val="0"/>
          <w:i/>
          <w:sz w:val="24"/>
          <w:szCs w:val="24"/>
        </w:rPr>
      </w:pPr>
      <w:bookmarkStart w:id="679" w:name="_Toc66697309"/>
      <w:r w:rsidRPr="00C00255">
        <w:rPr>
          <w:rFonts w:ascii="Times New Roman" w:hAnsi="Times New Roman"/>
          <w:b w:val="0"/>
          <w:i/>
          <w:sz w:val="24"/>
          <w:szCs w:val="24"/>
        </w:rPr>
        <w:t xml:space="preserve">Dėl 234-ojo pulko 2-ojo bataliono 4-osios kuopos būrio vado nuteistojo </w:t>
      </w:r>
      <w:r>
        <w:rPr>
          <w:rFonts w:ascii="Times New Roman" w:hAnsi="Times New Roman"/>
          <w:b w:val="0"/>
          <w:i/>
          <w:sz w:val="24"/>
          <w:szCs w:val="24"/>
        </w:rPr>
        <w:t>A. L.</w:t>
      </w:r>
      <w:r w:rsidRPr="00C00255">
        <w:rPr>
          <w:rFonts w:ascii="Times New Roman" w:hAnsi="Times New Roman"/>
          <w:b w:val="0"/>
          <w:i/>
          <w:sz w:val="24"/>
          <w:szCs w:val="24"/>
        </w:rPr>
        <w:t xml:space="preserve"> dalyvavimo užimant LRT</w:t>
      </w:r>
      <w:bookmarkEnd w:id="679"/>
    </w:p>
    <w:p w:rsidR="00DA38E9" w:rsidRPr="005D022C" w:rsidRDefault="00DA38E9" w:rsidP="00DA38E9">
      <w:pPr>
        <w:pStyle w:val="ListParagraph"/>
        <w:numPr>
          <w:ilvl w:val="0"/>
          <w:numId w:val="6"/>
        </w:numPr>
        <w:spacing w:before="120" w:after="120"/>
        <w:ind w:left="993" w:hanging="993"/>
        <w:contextualSpacing w:val="0"/>
        <w:rPr>
          <w:lang w:eastAsia="lt-LT"/>
        </w:rPr>
      </w:pPr>
      <w:r w:rsidRPr="005D022C">
        <w:rPr>
          <w:lang w:eastAsia="lt-LT"/>
        </w:rPr>
        <w:t xml:space="preserve">Nuteistojo A. L. gynėjai apeliaciniame skunde nurodo, kad nors </w:t>
      </w:r>
      <w:r w:rsidRPr="005D022C">
        <w:t>nuosprendžio 874 lape nurodyta, jog jų ginamasis dalyvavo įvykiuose prie LRT, jo ten nebuvo. Teisėjų kolegija sutinka su tokiu gynėjų apeliacinio skundo argumentu.</w:t>
      </w:r>
    </w:p>
    <w:p w:rsidR="00DA38E9" w:rsidRPr="005D022C" w:rsidRDefault="00DA38E9" w:rsidP="00DA38E9">
      <w:pPr>
        <w:pStyle w:val="ListParagraph"/>
        <w:numPr>
          <w:ilvl w:val="0"/>
          <w:numId w:val="6"/>
        </w:numPr>
        <w:spacing w:before="120" w:after="120"/>
        <w:ind w:left="993" w:hanging="993"/>
        <w:contextualSpacing w:val="0"/>
      </w:pPr>
      <w:r w:rsidRPr="005D022C">
        <w:rPr>
          <w:szCs w:val="24"/>
          <w:lang w:eastAsia="lt-LT"/>
        </w:rPr>
        <w:t>Apeliacinės instancijos teismo teisėjų kolegija pažymi, kad skundžiamo nuosprendžio nustatomojoje dalyje aprašant faktines LRT pastatų užėmimo aplinkybes, nuteistasis A. L. nėra net paminėtas, o jo atlikti veiksmai nenurodyti</w:t>
      </w:r>
      <w:r w:rsidRPr="005D022C">
        <w:t xml:space="preserve"> (žr. nuosprendžio 514–520 l.;</w:t>
      </w:r>
      <w:r w:rsidRPr="005D022C">
        <w:rPr>
          <w:rFonts w:eastAsia="Calibri"/>
        </w:rPr>
        <w:t xml:space="preserve"> t. 771, b. l. 114–120</w:t>
      </w:r>
      <w:r w:rsidRPr="005D022C">
        <w:t>)</w:t>
      </w:r>
      <w:r w:rsidRPr="005D022C">
        <w:rPr>
          <w:rFonts w:eastAsia="Calibri"/>
        </w:rPr>
        <w:t xml:space="preserve">. Nepaisant to, nuosprendžio motyvuojamojoje dalyje </w:t>
      </w:r>
      <w:r w:rsidRPr="005D022C">
        <w:t xml:space="preserve">yra nurodoma apie TSRS GM 76-osios oro desanto divizijos 234-ojo pulko 4-osios kuopos būrio vado leitenanto </w:t>
      </w:r>
      <w:bookmarkStart w:id="680" w:name="_Hlk65178709"/>
      <w:r w:rsidRPr="005D022C">
        <w:t>A. L. dalyvavimą LRT užėmimo operacijoje</w:t>
      </w:r>
      <w:bookmarkEnd w:id="680"/>
      <w:r w:rsidRPr="005D022C">
        <w:t xml:space="preserve">, t. y. nurodoma, kad: „A. L. vadovavo desantininkams šturmuojant RTV komitetą (LRT), vadovavo Radijo pastate dirbusių ir šį pastatą gynusių civilių puolimui“ (nuosprendžio 874 l.; </w:t>
      </w:r>
      <w:r w:rsidRPr="005D022C">
        <w:rPr>
          <w:rFonts w:eastAsia="Calibri"/>
        </w:rPr>
        <w:t>t. 773, b. l. 74).</w:t>
      </w:r>
      <w:r w:rsidRPr="005D022C">
        <w:t xml:space="preserve"> </w:t>
      </w:r>
      <w:bookmarkStart w:id="681" w:name="_Hlk65179004"/>
      <w:r w:rsidRPr="005D022C">
        <w:t>Tokios a</w:t>
      </w:r>
      <w:r w:rsidRPr="005D022C">
        <w:rPr>
          <w:rFonts w:eastAsia="Calibri"/>
        </w:rPr>
        <w:t xml:space="preserve">pygardos teismo išvados apskritai nemotyvuotos ir skundžiamame nuosprendyje nėra nurodyta jokių įrodymų bei argumentų, kurie pagrįstų A. L. dalyvavimą įvykiuose prie LRT (žr. nuosprendžio 514–821 l.), nes tokias išvadas pagrindžiančių įrodymų byloje nėra. </w:t>
      </w:r>
      <w:bookmarkEnd w:id="681"/>
      <w:r w:rsidRPr="005D022C">
        <w:t xml:space="preserve">Be to, </w:t>
      </w:r>
      <w:r w:rsidRPr="005D022C">
        <w:rPr>
          <w:rFonts w:eastAsia="Calibri"/>
        </w:rPr>
        <w:t>šio sprendimo dalyje</w:t>
      </w:r>
      <w:r w:rsidRPr="005D022C">
        <w:rPr>
          <w:rFonts w:eastAsia="Calibri"/>
          <w:szCs w:val="24"/>
        </w:rPr>
        <w:t xml:space="preserve"> „</w:t>
      </w:r>
      <w:r w:rsidRPr="005D022C">
        <w:rPr>
          <w:rFonts w:eastAsia="Calibri"/>
          <w:i/>
          <w:iCs/>
          <w:szCs w:val="24"/>
        </w:rPr>
        <w:t>Dėl nuteistojo A. L. dalyvavimo užimant TV bokštą</w:t>
      </w:r>
      <w:r w:rsidRPr="005D022C">
        <w:rPr>
          <w:rFonts w:eastAsia="Calibri"/>
          <w:szCs w:val="24"/>
        </w:rPr>
        <w:t xml:space="preserve">“ </w:t>
      </w:r>
      <w:r w:rsidRPr="005D022C">
        <w:rPr>
          <w:rFonts w:eastAsia="Calibri"/>
        </w:rPr>
        <w:t>teisėjų kolegija nustatė, kad 1991 m. sausio 13-osios naktį A. L. dalyvavo užimant TV bokštą. Taigi akivaizdu, kad nuteistasis tą pačią naktį vienu metu negalėjo dalyvauti užimant abu skirtingose Vilniaus vietose buvusius objektus.</w:t>
      </w:r>
    </w:p>
    <w:p w:rsidR="00DA38E9" w:rsidRPr="005D022C" w:rsidRDefault="00DA38E9" w:rsidP="00DA38E9">
      <w:pPr>
        <w:pStyle w:val="ListParagraph"/>
        <w:numPr>
          <w:ilvl w:val="0"/>
          <w:numId w:val="6"/>
        </w:numPr>
        <w:spacing w:before="120" w:after="120"/>
        <w:ind w:left="993" w:hanging="993"/>
        <w:contextualSpacing w:val="0"/>
        <w:rPr>
          <w:lang w:eastAsia="lt-LT"/>
        </w:rPr>
      </w:pPr>
      <w:r w:rsidRPr="005D022C">
        <w:rPr>
          <w:lang w:eastAsia="lt-LT"/>
        </w:rPr>
        <w:t>Teisėjų kolegija, vertindama tokią pirmosios instancijos teismo poziciją, pirmiausia, pabrėžia, kad A. L. nebuvo kaltinamas dalyvavimu užimant LRT. Nors prokurorai apeliaciniu skundu neginčijo pirmosios instancijos teismo išvados dėl A. L. dalyvavimo LRT šturme, šio nuteistojo dalyvavimo užimant LRT jie niekada neįrodinėjo. Kaltinamojo akto 2816–2817 lapuose nuteistojo A. L. nėra tarp asmenų, kurie įvardinti kaip tiesiogiai dalyvavę LRT užėmime. Pirmosios instancijos teisme pasakytoje baigiamojoje kalboje prokurorai A. L., kaip LRT užėmime dalyvavusio asmens, taip pat neįvardijo (t. 763, b. l. 55), o pasisakydami dėl konkretiems kaltinamiesiems skirtinų bausmių pabrėžė tik A. L. vaidmenį prie TV bokšto (t. 763, b. l. 199). Apeliacinės instancijos teismo posėdyje prokurorai taip pat atkreipė dėmesį į teismo išvadas dėl A. L. dalyvavimo prie LRT bei prašė jas patikslinti, aptariant A. L. veiksmus tik dėl dalyvavimo užimant TV bokštą (t. 796, b. l. 61).</w:t>
      </w:r>
    </w:p>
    <w:p w:rsidR="00DA38E9" w:rsidRPr="005D022C" w:rsidRDefault="00DA38E9" w:rsidP="00DA38E9">
      <w:pPr>
        <w:pStyle w:val="ListParagraph"/>
        <w:numPr>
          <w:ilvl w:val="0"/>
          <w:numId w:val="6"/>
        </w:numPr>
        <w:spacing w:before="120" w:after="120"/>
        <w:ind w:left="993" w:hanging="993"/>
        <w:contextualSpacing w:val="0"/>
        <w:rPr>
          <w:lang w:eastAsia="lt-LT"/>
        </w:rPr>
      </w:pPr>
      <w:r w:rsidRPr="005D022C">
        <w:rPr>
          <w:lang w:eastAsia="lt-LT"/>
        </w:rPr>
        <w:t xml:space="preserve">Atsižvelgiant į išdėstytas aplinkybes, teisėjų kolegija konstatuoja, kad apygardos </w:t>
      </w:r>
      <w:r w:rsidRPr="005D022C">
        <w:rPr>
          <w:szCs w:val="24"/>
        </w:rPr>
        <w:t xml:space="preserve">teismo </w:t>
      </w:r>
      <w:r w:rsidRPr="005D022C">
        <w:t>nuosprendyje išdėstytos teismo išvados dėl A. L. dalyvavimo LRT užėmimo operacijoje</w:t>
      </w:r>
      <w:r w:rsidRPr="005D022C" w:rsidDel="00655623">
        <w:t xml:space="preserve"> </w:t>
      </w:r>
      <w:r w:rsidRPr="005D022C">
        <w:t>yra nepagrįstos ir neatitinka bylos aplinkybių, todėl</w:t>
      </w:r>
      <w:r w:rsidRPr="005D022C">
        <w:rPr>
          <w:lang w:eastAsia="lt-LT"/>
        </w:rPr>
        <w:t xml:space="preserve"> apeliacinės instancijos teismas iš skundžiamo nuosprendžio šalina teismo išvadas apie A. L. dalyvavimą LRT šturme.</w:t>
      </w:r>
    </w:p>
    <w:p w:rsidR="00DA38E9" w:rsidRPr="00C00255" w:rsidRDefault="00DA38E9" w:rsidP="00DA38E9">
      <w:pPr>
        <w:pStyle w:val="Heading3"/>
        <w:spacing w:before="120" w:after="120"/>
        <w:ind w:left="993"/>
        <w:jc w:val="both"/>
        <w:rPr>
          <w:b w:val="0"/>
          <w:i/>
          <w:sz w:val="24"/>
          <w:szCs w:val="24"/>
          <w:lang w:val="lt-LT"/>
        </w:rPr>
      </w:pPr>
      <w:bookmarkStart w:id="682" w:name="_Toc66697310"/>
      <w:bookmarkStart w:id="683" w:name="_Toc67480790"/>
      <w:bookmarkStart w:id="684" w:name="_Toc67677402"/>
      <w:bookmarkStart w:id="685" w:name="_Toc67985530"/>
      <w:r w:rsidRPr="00C00255">
        <w:rPr>
          <w:b w:val="0"/>
          <w:i/>
          <w:sz w:val="24"/>
          <w:szCs w:val="24"/>
          <w:lang w:val="lt-LT"/>
        </w:rPr>
        <w:t xml:space="preserve">Dėl nuteistojo </w:t>
      </w:r>
      <w:r>
        <w:rPr>
          <w:b w:val="0"/>
          <w:i/>
          <w:sz w:val="24"/>
          <w:szCs w:val="24"/>
          <w:lang w:val="lt-LT"/>
        </w:rPr>
        <w:t>R. J. 1</w:t>
      </w:r>
      <w:r w:rsidRPr="00C00255">
        <w:rPr>
          <w:b w:val="0"/>
          <w:i/>
          <w:sz w:val="24"/>
          <w:szCs w:val="24"/>
          <w:lang w:val="lt-LT"/>
        </w:rPr>
        <w:t xml:space="preserve"> ir draugovininkų dalyvavimo užimant LRT bei </w:t>
      </w:r>
      <w:r>
        <w:rPr>
          <w:b w:val="0"/>
          <w:i/>
          <w:sz w:val="24"/>
          <w:szCs w:val="24"/>
          <w:lang w:val="lt-LT"/>
        </w:rPr>
        <w:t>A. K.</w:t>
      </w:r>
      <w:r w:rsidRPr="00C00255">
        <w:rPr>
          <w:b w:val="0"/>
          <w:i/>
          <w:sz w:val="24"/>
          <w:szCs w:val="24"/>
          <w:lang w:val="lt-LT"/>
        </w:rPr>
        <w:t xml:space="preserve"> sveikatos sutrikdymo</w:t>
      </w:r>
      <w:bookmarkEnd w:id="682"/>
      <w:bookmarkEnd w:id="683"/>
      <w:bookmarkEnd w:id="684"/>
      <w:bookmarkEnd w:id="685"/>
    </w:p>
    <w:p w:rsidR="00DA38E9" w:rsidRPr="005D022C" w:rsidRDefault="00DA38E9" w:rsidP="00DA38E9">
      <w:pPr>
        <w:pStyle w:val="ListParagraph"/>
        <w:numPr>
          <w:ilvl w:val="0"/>
          <w:numId w:val="6"/>
        </w:numPr>
        <w:spacing w:after="120"/>
        <w:ind w:left="993" w:hanging="993"/>
        <w:contextualSpacing w:val="0"/>
        <w:rPr>
          <w:szCs w:val="24"/>
          <w:lang w:eastAsia="lt-LT" w:bidi="lt-LT"/>
        </w:rPr>
      </w:pPr>
      <w:r w:rsidRPr="005D022C">
        <w:rPr>
          <w:lang w:eastAsia="lt-LT"/>
        </w:rPr>
        <w:t xml:space="preserve">Pirmosios instancijos teismas, išnagrinėjęs baudžiamąją bylą, konstatavo tokias su </w:t>
      </w:r>
      <w:r w:rsidRPr="005D022C">
        <w:rPr>
          <w:szCs w:val="24"/>
        </w:rPr>
        <w:t>draugovininkų</w:t>
      </w:r>
      <w:r w:rsidRPr="005D022C">
        <w:t xml:space="preserve"> dalyvavimu užimant LRT pastatus susijusias aplinkybes</w:t>
      </w:r>
      <w:r w:rsidRPr="005D022C">
        <w:rPr>
          <w:lang w:eastAsia="lt-LT"/>
        </w:rPr>
        <w:t>:</w:t>
      </w:r>
    </w:p>
    <w:p w:rsidR="00DA38E9" w:rsidRPr="00C00255" w:rsidRDefault="00DA38E9" w:rsidP="00DA38E9">
      <w:pPr>
        <w:pStyle w:val="Standard"/>
        <w:numPr>
          <w:ilvl w:val="1"/>
          <w:numId w:val="6"/>
        </w:numPr>
        <w:tabs>
          <w:tab w:val="left" w:pos="8245"/>
        </w:tabs>
        <w:spacing w:after="120"/>
        <w:ind w:left="993" w:hanging="993"/>
        <w:jc w:val="both"/>
      </w:pPr>
      <w:r w:rsidRPr="00C00255">
        <w:t>„1991 m. sausio 13 d., apie 1 val. 30 min., LKP/TSKP Vilniaus miesto komitete, Gedimino pr. 36, Vilniuje, draugovininkams pagal vadovavimo štabo planą ir nusikaltimų žmoniškumui bei karo nusikaltimų kurstytojų (</w:t>
      </w:r>
      <w:r>
        <w:t>M. B.</w:t>
      </w:r>
      <w:r w:rsidRPr="00C00255">
        <w:t xml:space="preserve">, </w:t>
      </w:r>
      <w:r>
        <w:t>J. K.</w:t>
      </w:r>
      <w:r w:rsidRPr="00C00255">
        <w:t xml:space="preserve">, </w:t>
      </w:r>
      <w:r>
        <w:t>J. J.</w:t>
      </w:r>
      <w:r w:rsidRPr="00C00255">
        <w:t xml:space="preserve">) bei kaltinamųjų </w:t>
      </w:r>
      <w:r>
        <w:t>V. Š. 1</w:t>
      </w:r>
      <w:r w:rsidRPr="00C00255">
        <w:t xml:space="preserve"> ir </w:t>
      </w:r>
      <w:r>
        <w:t xml:space="preserve">A. N. 1 </w:t>
      </w:r>
      <w:r w:rsidRPr="00C00255">
        <w:t xml:space="preserve"> nurodymą, perduotą per kaltinamąjį </w:t>
      </w:r>
      <w:r>
        <w:t>R. J. 1</w:t>
      </w:r>
      <w:r w:rsidRPr="00C00255">
        <w:t xml:space="preserve">, buvo pavesta vykti į TSRS kariškių puolamus TV bokštą bei LRT ir padėti juos užgrobti. Vykdant šį nurodymą, apie 2 val. 15 min. iš LKP/TSKP Vilniaus miesto komiteto dviem autobusais, vienu mikroautobusu ir lengvuoju automobiliu prie LRT atvyko apie 100 draugovininkų, su savimi turėdami priemones, pritaikytas žmonėms žaloti. Draugovininkų grupė, kuriai vadovavo </w:t>
      </w:r>
      <w:r>
        <w:t>R. J. 1</w:t>
      </w:r>
      <w:r w:rsidRPr="00C00255">
        <w:t xml:space="preserve">, prisijungė prie TSRS karinių struktūrų vykdomos tarptautinės humanitarinės teisės draudžiamos karo atakos prieš civilius. Atakos metu kartu su aukščiau nurodytomis TSRS karinėmis struktūromis draugovininkai, puldami prie užgrobiamų LRT pastatų ir braudamiesi pro civilius, naudojo artimos kovos veiksmus – sudavė civiliams smūgius rankomis, kojomis ir atsivežtomis priemonėmis, t. y. civilių atžvilgiu naudojo fizinį smurtą, pavojingą jų gyvybei. Prasibrovę pro civilius, </w:t>
      </w:r>
      <w:r>
        <w:t>R. J. 1</w:t>
      </w:r>
      <w:r w:rsidRPr="00C00255">
        <w:t xml:space="preserve"> nurodymu, draugovininkai išsirikiavo priešais TSRS karinių struktūrų puolamus LRT pastatus ir kartu su kariškiais vykdė minėtų objektų apsaugą nuo civilių.</w:t>
      </w:r>
    </w:p>
    <w:p w:rsidR="00DA38E9" w:rsidRPr="00C00255" w:rsidRDefault="00DA38E9" w:rsidP="00DA38E9">
      <w:pPr>
        <w:pStyle w:val="ListParagraph"/>
        <w:numPr>
          <w:ilvl w:val="1"/>
          <w:numId w:val="6"/>
        </w:numPr>
        <w:spacing w:after="120"/>
        <w:ind w:left="993" w:hanging="993"/>
        <w:contextualSpacing w:val="0"/>
        <w:rPr>
          <w:rFonts w:eastAsia="SimSun, 宋体" w:cs="Mangal"/>
          <w:kern w:val="3"/>
          <w:szCs w:val="24"/>
          <w:lang w:eastAsia="zh-CN" w:bidi="hi-IN"/>
        </w:rPr>
      </w:pPr>
      <w:r w:rsidRPr="00C00255">
        <w:rPr>
          <w:rFonts w:eastAsia="SimSun, 宋体" w:cs="Mangal"/>
          <w:kern w:val="3"/>
          <w:szCs w:val="24"/>
          <w:lang w:eastAsia="zh-CN" w:bidi="hi-IN"/>
        </w:rPr>
        <w:t xml:space="preserve">&lt;...&gt; Karo atakos metu visų karinių struktūrų kariškiai &lt;...&gt; sunkiai sutrikdė </w:t>
      </w:r>
      <w:r>
        <w:rPr>
          <w:rFonts w:eastAsia="SimSun, 宋体" w:cs="Mangal"/>
          <w:kern w:val="3"/>
          <w:szCs w:val="24"/>
          <w:lang w:eastAsia="zh-CN" w:bidi="hi-IN"/>
        </w:rPr>
        <w:t>P. L.</w:t>
      </w:r>
      <w:r w:rsidRPr="00C00255">
        <w:rPr>
          <w:rFonts w:eastAsia="SimSun, 宋体" w:cs="Mangal"/>
          <w:kern w:val="3"/>
          <w:szCs w:val="24"/>
          <w:lang w:eastAsia="zh-CN" w:bidi="hi-IN"/>
        </w:rPr>
        <w:t xml:space="preserve"> ir </w:t>
      </w:r>
      <w:r>
        <w:rPr>
          <w:rFonts w:eastAsia="SimSun, 宋体" w:cs="Mangal"/>
          <w:kern w:val="3"/>
          <w:szCs w:val="24"/>
          <w:lang w:eastAsia="zh-CN" w:bidi="hi-IN"/>
        </w:rPr>
        <w:t>V. B.</w:t>
      </w:r>
      <w:r w:rsidRPr="00C00255">
        <w:rPr>
          <w:rFonts w:eastAsia="SimSun, 宋体" w:cs="Mangal"/>
          <w:kern w:val="3"/>
          <w:szCs w:val="24"/>
          <w:lang w:eastAsia="zh-CN" w:bidi="hi-IN"/>
        </w:rPr>
        <w:t xml:space="preserve"> sveikatą. &lt;...&gt; sunkiai sutrikdė </w:t>
      </w:r>
      <w:r>
        <w:rPr>
          <w:rFonts w:eastAsia="SimSun, 宋体" w:cs="Mangal"/>
          <w:kern w:val="3"/>
          <w:szCs w:val="24"/>
          <w:lang w:eastAsia="zh-CN" w:bidi="hi-IN"/>
        </w:rPr>
        <w:t>V. B.</w:t>
      </w:r>
      <w:r w:rsidRPr="00C00255">
        <w:rPr>
          <w:rFonts w:eastAsia="SimSun, 宋体" w:cs="Mangal"/>
          <w:kern w:val="3"/>
          <w:szCs w:val="24"/>
          <w:lang w:eastAsia="zh-CN" w:bidi="hi-IN"/>
        </w:rPr>
        <w:t xml:space="preserve"> sveikatą. &lt;...&gt; sunkiai sutrikdė </w:t>
      </w:r>
      <w:r>
        <w:rPr>
          <w:rFonts w:eastAsia="SimSun, 宋体" w:cs="Mangal"/>
          <w:kern w:val="3"/>
          <w:szCs w:val="24"/>
          <w:lang w:eastAsia="zh-CN" w:bidi="hi-IN"/>
        </w:rPr>
        <w:t>K. Č.</w:t>
      </w:r>
      <w:r w:rsidRPr="00C00255">
        <w:rPr>
          <w:rFonts w:eastAsia="SimSun, 宋体" w:cs="Mangal"/>
          <w:kern w:val="3"/>
          <w:szCs w:val="24"/>
          <w:lang w:eastAsia="zh-CN" w:bidi="hi-IN"/>
        </w:rPr>
        <w:t xml:space="preserve"> sveikatą &lt;...&gt;. Karo atakos metu dalyvavę nenustatyti draugovininkai, sudavę civiliams smūgius rankomis, kojomis ir kitomis priemonėmis, LRT teritorijoje sunkiai sutrikdė </w:t>
      </w:r>
      <w:r>
        <w:rPr>
          <w:rFonts w:eastAsia="SimSun, 宋体" w:cs="Mangal"/>
          <w:kern w:val="3"/>
          <w:szCs w:val="24"/>
          <w:lang w:eastAsia="zh-CN" w:bidi="hi-IN"/>
        </w:rPr>
        <w:t>A. K.</w:t>
      </w:r>
      <w:r w:rsidRPr="00C00255">
        <w:rPr>
          <w:rFonts w:eastAsia="SimSun, 宋体" w:cs="Mangal"/>
          <w:kern w:val="3"/>
          <w:szCs w:val="24"/>
          <w:lang w:eastAsia="zh-CN" w:bidi="hi-IN"/>
        </w:rPr>
        <w:t xml:space="preserve"> sveikatą. Nukentėjusiajam padarė stiprų veido sumušimą su smegenų sumušimu, dešiniojo smilkinkaulio ir kaukolės pamato vidurinės daubos lūžimą dešinėje, kairio momenkaulio įskilimą, nosikaulių lūžimą, trišakio nervo 2-os šakos neuralgiją, muštinę žaizdą nosies nugarėlėje, kraujosruvas veido dešinėje pusėje. Karo atakos prie LRT metu dalyvavę visi karinių struktūrų kariškiai bendrais veiksmais užgrobė LRT pastatus, o juos gynusiems civiliams padarė tyčinius nesunkius sveikatos sutrikdymus šimtui aštuoniems civiliams &lt;...&gt;. LRT pastatus gynusiems civiliams padarė tyčinius nežymius sveikatos sutrikdymus devyniasdešimt penkiems civiliams &lt;...&gt;.“ (žr. nuosprendžio 514–520 l., t. 771, b. l. 115–120).</w:t>
      </w:r>
    </w:p>
    <w:p w:rsidR="00DA38E9" w:rsidRPr="005D022C" w:rsidRDefault="00DA38E9" w:rsidP="00DA38E9">
      <w:pPr>
        <w:pStyle w:val="ListParagraph"/>
        <w:numPr>
          <w:ilvl w:val="0"/>
          <w:numId w:val="6"/>
        </w:numPr>
        <w:tabs>
          <w:tab w:val="left" w:pos="8245"/>
        </w:tabs>
        <w:spacing w:after="120"/>
        <w:ind w:left="992" w:hanging="992"/>
        <w:contextualSpacing w:val="0"/>
      </w:pPr>
      <w:r w:rsidRPr="005D022C">
        <w:t xml:space="preserve">Teisėjų kolegija pažymi, kad aplinkybės dėl 1991 m. sausio 13 d. draugovininkų dalyvavimo LRT pastatų užgrobime, nustatytos ir teismo sprendimais jau minėtoje </w:t>
      </w:r>
      <w:r w:rsidRPr="005D022C">
        <w:rPr>
          <w:rFonts w:eastAsia="Calibri"/>
        </w:rPr>
        <w:t>M. B., J. K. ir kt. byloje</w:t>
      </w:r>
      <w:r w:rsidRPr="005D022C">
        <w:t xml:space="preserve">. Be to, dar vienoje byloje </w:t>
      </w:r>
      <w:r w:rsidRPr="005D022C">
        <w:rPr>
          <w:rFonts w:eastAsia="Calibri"/>
        </w:rPr>
        <w:t>už LKP/TSKP organizuotas 1991 m. sausio 7–13 d. smurtines akcijas, nukreiptas prieš Lietuvos Respublikos suverenitetą, taip pat nuteisti draugovininkai ir LKP/TSKP aktyvistai A. B., V. I., A. K., S. N., A. S. (LAT 1994 m. balandžio 29 d. nuosprendis (t. 33, b. l. 212–245)).</w:t>
      </w:r>
    </w:p>
    <w:p w:rsidR="00DA38E9" w:rsidRPr="00C00255" w:rsidRDefault="00DA38E9" w:rsidP="00DA38E9">
      <w:pPr>
        <w:pStyle w:val="ListParagraph"/>
        <w:numPr>
          <w:ilvl w:val="0"/>
          <w:numId w:val="6"/>
        </w:numPr>
        <w:ind w:left="993" w:hanging="993"/>
        <w:rPr>
          <w:szCs w:val="24"/>
          <w:lang w:eastAsia="lt-LT"/>
        </w:rPr>
      </w:pPr>
      <w:r w:rsidRPr="00C00255">
        <w:rPr>
          <w:szCs w:val="24"/>
          <w:lang w:eastAsia="lt-LT"/>
        </w:rPr>
        <w:t xml:space="preserve">Teisėjų kolegija pažymi, kad apie nuteistųjų LKP/TSKP aktyvistų nuteistųjų </w:t>
      </w:r>
      <w:r>
        <w:rPr>
          <w:szCs w:val="24"/>
          <w:lang w:eastAsia="lt-LT"/>
        </w:rPr>
        <w:t>V. Š. 1</w:t>
      </w:r>
      <w:r w:rsidRPr="00C00255">
        <w:rPr>
          <w:szCs w:val="24"/>
          <w:lang w:eastAsia="lt-LT"/>
        </w:rPr>
        <w:t xml:space="preserve"> ir </w:t>
      </w:r>
      <w:r>
        <w:rPr>
          <w:szCs w:val="24"/>
          <w:lang w:eastAsia="lt-LT"/>
        </w:rPr>
        <w:t xml:space="preserve">A. N. 1 </w:t>
      </w:r>
      <w:r w:rsidRPr="00C00255">
        <w:rPr>
          <w:szCs w:val="24"/>
          <w:lang w:eastAsia="lt-LT"/>
        </w:rPr>
        <w:t>veiksmus, planuojant karinę operaciją bei jų duotus nurodymus kitiems LKP aktyvistams, patvirtina jau aptarti duomenys, nurodyti šio sprendimo dalyje „</w:t>
      </w:r>
      <w:r w:rsidRPr="00C00255">
        <w:rPr>
          <w:i/>
          <w:iCs/>
          <w:szCs w:val="24"/>
          <w:lang w:eastAsia="lt-LT"/>
        </w:rPr>
        <w:t xml:space="preserve">Dėl pirmosios instancijos teismo išvadų vertinant LKP/TSKP narių </w:t>
      </w:r>
      <w:r>
        <w:rPr>
          <w:i/>
          <w:iCs/>
          <w:szCs w:val="24"/>
          <w:lang w:eastAsia="lt-LT"/>
        </w:rPr>
        <w:t>V. Š. 1</w:t>
      </w:r>
      <w:r w:rsidRPr="00C00255">
        <w:rPr>
          <w:i/>
          <w:iCs/>
          <w:szCs w:val="24"/>
          <w:lang w:eastAsia="lt-LT"/>
        </w:rPr>
        <w:t xml:space="preserve">, </w:t>
      </w:r>
      <w:r>
        <w:rPr>
          <w:i/>
          <w:iCs/>
          <w:szCs w:val="24"/>
          <w:lang w:eastAsia="lt-LT"/>
        </w:rPr>
        <w:t xml:space="preserve">A. N. 1 </w:t>
      </w:r>
      <w:r w:rsidRPr="00C00255">
        <w:rPr>
          <w:i/>
          <w:iCs/>
          <w:szCs w:val="24"/>
          <w:lang w:eastAsia="lt-LT"/>
        </w:rPr>
        <w:t xml:space="preserve"> ir </w:t>
      </w:r>
      <w:r>
        <w:rPr>
          <w:i/>
          <w:iCs/>
          <w:szCs w:val="24"/>
          <w:lang w:eastAsia="lt-LT"/>
        </w:rPr>
        <w:t>R. J. 1</w:t>
      </w:r>
      <w:r w:rsidRPr="00C00255">
        <w:rPr>
          <w:i/>
          <w:iCs/>
          <w:szCs w:val="24"/>
          <w:lang w:eastAsia="lt-LT"/>
        </w:rPr>
        <w:t xml:space="preserve"> veiksmus planuojant karinę operaciją</w:t>
      </w:r>
      <w:r w:rsidRPr="00C00255">
        <w:rPr>
          <w:szCs w:val="24"/>
          <w:lang w:eastAsia="lt-LT"/>
        </w:rPr>
        <w:t xml:space="preserve">“. Iš šioje sprendimo dalyje aptartų duomenų nustatyta, kad nuteistieji </w:t>
      </w:r>
      <w:r w:rsidRPr="00EC7D26">
        <w:rPr>
          <w:szCs w:val="24"/>
          <w:lang w:eastAsia="lt-LT"/>
        </w:rPr>
        <w:t>V. Š. 1</w:t>
      </w:r>
      <w:r w:rsidRPr="00C00255">
        <w:rPr>
          <w:szCs w:val="24"/>
          <w:lang w:eastAsia="lt-LT"/>
        </w:rPr>
        <w:t xml:space="preserve">, </w:t>
      </w:r>
      <w:r w:rsidRPr="00CC42AE">
        <w:rPr>
          <w:szCs w:val="24"/>
          <w:lang w:eastAsia="lt-LT"/>
        </w:rPr>
        <w:t xml:space="preserve">A. N. 1 </w:t>
      </w:r>
      <w:r w:rsidRPr="00C00255">
        <w:rPr>
          <w:szCs w:val="24"/>
          <w:lang w:eastAsia="lt-LT"/>
        </w:rPr>
        <w:t xml:space="preserve">ir </w:t>
      </w:r>
      <w:r>
        <w:rPr>
          <w:szCs w:val="24"/>
          <w:lang w:eastAsia="lt-LT"/>
        </w:rPr>
        <w:t>R. J. 1</w:t>
      </w:r>
      <w:r w:rsidRPr="00C00255">
        <w:rPr>
          <w:szCs w:val="24"/>
          <w:lang w:eastAsia="lt-LT"/>
        </w:rPr>
        <w:t xml:space="preserve"> LKP/TSKP partijai priklausė savo laisva valia ir joje užėmė pakankamai aukštas politines pareigas. Nuteistieji </w:t>
      </w:r>
      <w:r w:rsidRPr="00EC7D26">
        <w:rPr>
          <w:szCs w:val="24"/>
          <w:lang w:eastAsia="lt-LT"/>
        </w:rPr>
        <w:t>V. Š. 1</w:t>
      </w:r>
      <w:r w:rsidRPr="00C00255">
        <w:rPr>
          <w:szCs w:val="24"/>
          <w:lang w:eastAsia="lt-LT"/>
        </w:rPr>
        <w:t xml:space="preserve"> ir </w:t>
      </w:r>
      <w:r w:rsidRPr="00CC42AE">
        <w:rPr>
          <w:szCs w:val="24"/>
          <w:lang w:eastAsia="lt-LT"/>
        </w:rPr>
        <w:t xml:space="preserve">A. N. 1 </w:t>
      </w:r>
      <w:r w:rsidRPr="00C00255">
        <w:rPr>
          <w:szCs w:val="24"/>
          <w:lang w:eastAsia="lt-LT"/>
        </w:rPr>
        <w:t>kartu su kitais LKP/TSKP CK vadovais kūrė TSRS prezidentinio tiesioginio valdymo planą, parinko užgrobiamus objektus ir ruošė jų užgrobimo planus bei paskyrė atsakingus asmenis, tarėsi su TSRS jėgos struktūrų vadovais dėl priemonių, įvedant TSRS prezidentinį valdymą bei Ypatingosios padėties teisinį režimą, įgyvendinimo, dalyvavo kuriant darbininkų draugoves, visuomeninius komitetus ir koordinavo jų veiksmus bei inicijavo karinę operaciją.</w:t>
      </w:r>
    </w:p>
    <w:p w:rsidR="00DA38E9" w:rsidRPr="00C00255" w:rsidRDefault="00DA38E9" w:rsidP="00DA38E9">
      <w:pPr>
        <w:pStyle w:val="ListParagraph"/>
        <w:numPr>
          <w:ilvl w:val="0"/>
          <w:numId w:val="6"/>
        </w:numPr>
        <w:spacing w:before="120" w:after="120"/>
        <w:ind w:left="993" w:hanging="993"/>
        <w:contextualSpacing w:val="0"/>
        <w:rPr>
          <w:szCs w:val="24"/>
        </w:rPr>
      </w:pPr>
      <w:r w:rsidRPr="00C00255">
        <w:rPr>
          <w:szCs w:val="24"/>
          <w:lang w:eastAsia="lt-LT"/>
        </w:rPr>
        <w:t xml:space="preserve">Teisėjų kolegija sutinka su nagrinėjamoje byloje padaryta pirmosios instancijos teismo išvada, kad </w:t>
      </w:r>
      <w:bookmarkStart w:id="686" w:name="_Hlk64243551"/>
      <w:r w:rsidRPr="00C00255">
        <w:rPr>
          <w:szCs w:val="24"/>
        </w:rPr>
        <w:t xml:space="preserve">LKP/TSKP CK </w:t>
      </w:r>
      <w:bookmarkEnd w:id="686"/>
      <w:r w:rsidRPr="00C00255">
        <w:rPr>
          <w:szCs w:val="24"/>
        </w:rPr>
        <w:t xml:space="preserve">Politinio </w:t>
      </w:r>
      <w:r w:rsidRPr="00C00255">
        <w:rPr>
          <w:rFonts w:eastAsia="Calibri"/>
          <w:color w:val="000000" w:themeColor="text1"/>
        </w:rPr>
        <w:t>–</w:t>
      </w:r>
      <w:r w:rsidRPr="00C00255">
        <w:rPr>
          <w:szCs w:val="24"/>
        </w:rPr>
        <w:t xml:space="preserve"> teisinio skyriaus konsultantas pulkininkas </w:t>
      </w:r>
      <w:r>
        <w:rPr>
          <w:szCs w:val="24"/>
        </w:rPr>
        <w:t>R. J. 1</w:t>
      </w:r>
      <w:r w:rsidRPr="00C00255">
        <w:rPr>
          <w:szCs w:val="24"/>
          <w:lang w:eastAsia="lt-LT"/>
        </w:rPr>
        <w:t xml:space="preserve"> vadovavo draugovininkų veiksmams šturmuojant LRT pastatus</w:t>
      </w:r>
      <w:r w:rsidRPr="00C00255">
        <w:rPr>
          <w:rFonts w:eastAsia="Calibri"/>
          <w:szCs w:val="24"/>
        </w:rPr>
        <w:t>.</w:t>
      </w:r>
      <w:bookmarkStart w:id="687" w:name="_Hlk63611347"/>
    </w:p>
    <w:bookmarkEnd w:id="687"/>
    <w:p w:rsidR="00DA38E9" w:rsidRPr="00C00255" w:rsidRDefault="00DA38E9" w:rsidP="00DA38E9">
      <w:pPr>
        <w:pStyle w:val="ListParagraph"/>
        <w:numPr>
          <w:ilvl w:val="0"/>
          <w:numId w:val="6"/>
        </w:numPr>
        <w:spacing w:before="120" w:after="120"/>
        <w:ind w:left="993" w:hanging="993"/>
        <w:contextualSpacing w:val="0"/>
      </w:pPr>
      <w:r w:rsidRPr="00C00255">
        <w:t xml:space="preserve">Apeliaciniame skunde </w:t>
      </w:r>
      <w:r>
        <w:t>R. J. 1</w:t>
      </w:r>
      <w:r w:rsidRPr="00C00255">
        <w:t xml:space="preserve"> gynėjas neginčija aplinkybės, kad </w:t>
      </w:r>
      <w:r w:rsidRPr="00C00255">
        <w:rPr>
          <w:szCs w:val="24"/>
        </w:rPr>
        <w:t xml:space="preserve">1991 m. sausio 13 d., apie 2.15 val. </w:t>
      </w:r>
      <w:r>
        <w:rPr>
          <w:szCs w:val="24"/>
        </w:rPr>
        <w:t>R. J. 1</w:t>
      </w:r>
      <w:r w:rsidRPr="00C00255">
        <w:rPr>
          <w:szCs w:val="24"/>
        </w:rPr>
        <w:t xml:space="preserve"> kartu su draugovininkais išsirikiavo prieš LRT pastatus, tačiau, pasak gynėjo, nenustatyta, kad nuteistasis būtų naudojęs kokius nors smurtinius veiksmus ar būtų nurodęs kitiems asmenims imtis tokių veiksmų. </w:t>
      </w:r>
    </w:p>
    <w:p w:rsidR="00DA38E9" w:rsidRPr="00C00255" w:rsidRDefault="00DA38E9" w:rsidP="00DA38E9">
      <w:pPr>
        <w:pStyle w:val="ListParagraph"/>
        <w:numPr>
          <w:ilvl w:val="0"/>
          <w:numId w:val="6"/>
        </w:numPr>
        <w:spacing w:before="120" w:after="120"/>
        <w:ind w:left="992" w:hanging="992"/>
        <w:contextualSpacing w:val="0"/>
      </w:pPr>
      <w:r w:rsidRPr="00C00255">
        <w:rPr>
          <w:szCs w:val="24"/>
        </w:rPr>
        <w:t>Priešingai nei teigiama apeliaciniame skunde, b</w:t>
      </w:r>
      <w:r w:rsidRPr="00C00255">
        <w:t>audžiamojoje byloje ištirti įrodymai patvirtina, kad prie LRT atvykę draugovininkai prieš civilius naudojo smurtą bei turėjo tam skirtas priemones.</w:t>
      </w:r>
    </w:p>
    <w:p w:rsidR="00DA38E9" w:rsidRPr="00C00255" w:rsidRDefault="00DA38E9" w:rsidP="00DA38E9">
      <w:pPr>
        <w:pStyle w:val="ListParagraph"/>
        <w:numPr>
          <w:ilvl w:val="1"/>
          <w:numId w:val="6"/>
        </w:numPr>
        <w:spacing w:before="120" w:after="120"/>
        <w:ind w:left="993" w:hanging="993"/>
        <w:contextualSpacing w:val="0"/>
      </w:pPr>
      <w:r w:rsidRPr="00C00255">
        <w:t xml:space="preserve">Iš </w:t>
      </w:r>
      <w:r w:rsidRPr="00C00255">
        <w:rPr>
          <w:lang w:bidi="lt-LT"/>
        </w:rPr>
        <w:t>2012 m. gruodžio 21 d. septynių videokasečių E-180, trijų videokasečių apžiūros protokolo matyti, kad videokasetėje, kurios pavadinimas „3A kasetė 2 dalis“, vaizdo įraše nuo</w:t>
      </w:r>
      <w:r w:rsidRPr="00C00255">
        <w:t xml:space="preserve"> 5 min. 32 sek. iki 18 min. 32 sek. rodomi vaizdai, kaip draugovininkai atvažiuoja prie LRT ir ten muša civilius gyventojus </w:t>
      </w:r>
      <w:r w:rsidRPr="00C00255">
        <w:rPr>
          <w:lang w:bidi="lt-LT"/>
        </w:rPr>
        <w:t xml:space="preserve">(t. 493, b. l. 21, </w:t>
      </w:r>
      <w:r w:rsidRPr="00C00255">
        <w:rPr>
          <w:szCs w:val="24"/>
          <w:lang w:eastAsia="lt-LT"/>
        </w:rPr>
        <w:t>kompaktinis diskas – t. 493, b. l. 52</w:t>
      </w:r>
      <w:r w:rsidRPr="00C00255">
        <w:rPr>
          <w:lang w:bidi="lt-LT"/>
        </w:rPr>
        <w:t>)</w:t>
      </w:r>
      <w:r w:rsidRPr="00C00255">
        <w:t>.</w:t>
      </w:r>
    </w:p>
    <w:p w:rsidR="00DA38E9" w:rsidRPr="00C00255" w:rsidRDefault="00DA38E9" w:rsidP="00DA38E9">
      <w:pPr>
        <w:pStyle w:val="ListParagraph"/>
        <w:numPr>
          <w:ilvl w:val="1"/>
          <w:numId w:val="6"/>
        </w:numPr>
        <w:spacing w:before="120" w:after="120"/>
        <w:ind w:left="993" w:hanging="993"/>
        <w:contextualSpacing w:val="0"/>
      </w:pPr>
      <w:r w:rsidRPr="00C00255">
        <w:rPr>
          <w:szCs w:val="24"/>
        </w:rPr>
        <w:t xml:space="preserve">Atitinkamai nagrinėjamoje baudžiamojoje byloje yra vaizdinė medžiaga, kurioje užfiksuota, kaip </w:t>
      </w:r>
      <w:r>
        <w:rPr>
          <w:szCs w:val="24"/>
        </w:rPr>
        <w:t>M. P.</w:t>
      </w:r>
      <w:r w:rsidRPr="00C00255">
        <w:rPr>
          <w:szCs w:val="24"/>
        </w:rPr>
        <w:t xml:space="preserve"> komentuoja jam rodomus vaizdo reportažus apie 1991 m. sausio 13 d. įvykius Vilniuje (žr. vaizdo įrašą, esantį </w:t>
      </w:r>
      <w:bookmarkStart w:id="688" w:name="_Hlk64242645"/>
      <w:r w:rsidRPr="00C00255">
        <w:rPr>
          <w:szCs w:val="24"/>
        </w:rPr>
        <w:t>kompaktiniame diske „3A kasetė 2 dalis“; t. 493,</w:t>
      </w:r>
      <w:r>
        <w:rPr>
          <w:szCs w:val="24"/>
        </w:rPr>
        <w:t xml:space="preserve"> </w:t>
      </w:r>
      <w:r w:rsidRPr="00C00255">
        <w:rPr>
          <w:szCs w:val="24"/>
        </w:rPr>
        <w:t>b. l.</w:t>
      </w:r>
      <w:r>
        <w:rPr>
          <w:szCs w:val="24"/>
        </w:rPr>
        <w:t> </w:t>
      </w:r>
      <w:r w:rsidRPr="00C00255">
        <w:rPr>
          <w:szCs w:val="24"/>
        </w:rPr>
        <w:t>52</w:t>
      </w:r>
      <w:bookmarkEnd w:id="688"/>
      <w:r w:rsidRPr="00C00255">
        <w:rPr>
          <w:szCs w:val="24"/>
        </w:rPr>
        <w:t xml:space="preserve">). Iš vaizdo įrašų apžiūros protokolo matyti, kad </w:t>
      </w:r>
      <w:r>
        <w:rPr>
          <w:szCs w:val="24"/>
        </w:rPr>
        <w:t>M. P.</w:t>
      </w:r>
      <w:r w:rsidRPr="00C00255">
        <w:rPr>
          <w:szCs w:val="24"/>
        </w:rPr>
        <w:t xml:space="preserve"> parodžius </w:t>
      </w:r>
      <w:bookmarkStart w:id="689" w:name="_Hlk64242283"/>
      <w:r w:rsidRPr="00C00255">
        <w:rPr>
          <w:lang w:bidi="lt-LT"/>
        </w:rPr>
        <w:t>šį vaizdo įrašą, j</w:t>
      </w:r>
      <w:bookmarkEnd w:id="689"/>
      <w:r w:rsidRPr="00C00255">
        <w:rPr>
          <w:lang w:bidi="lt-LT"/>
        </w:rPr>
        <w:t xml:space="preserve">is </w:t>
      </w:r>
      <w:r w:rsidRPr="00C00255">
        <w:t>paaiškino: ,,&lt;...&gt; štai draugovininkai iššoka, štai su grandine. O štai vieno iš draugovininkų smūgis metaliniu virbu, ir nubėgo toliau. &lt;...&gt;.“</w:t>
      </w:r>
      <w:r w:rsidRPr="00C00255">
        <w:rPr>
          <w:lang w:bidi="lt-LT"/>
        </w:rPr>
        <w:t>(t. 493, b. l. 21, 28, 41;</w:t>
      </w:r>
      <w:r w:rsidRPr="00C00255">
        <w:rPr>
          <w:szCs w:val="24"/>
          <w:lang w:eastAsia="lt-LT"/>
        </w:rPr>
        <w:t xml:space="preserve"> žr. vaizdo įrašą nuo </w:t>
      </w:r>
      <w:r w:rsidRPr="00C00255">
        <w:t>25 min. 14 sek. iki 27 min. 13 sek.</w:t>
      </w:r>
      <w:r w:rsidRPr="00C00255">
        <w:rPr>
          <w:lang w:bidi="lt-LT"/>
        </w:rPr>
        <w:t>).</w:t>
      </w:r>
      <w:r w:rsidRPr="00C00255">
        <w:t xml:space="preserve"> </w:t>
      </w:r>
    </w:p>
    <w:p w:rsidR="00DA38E9" w:rsidRPr="00C00255" w:rsidRDefault="00DA38E9" w:rsidP="00DA38E9">
      <w:pPr>
        <w:pStyle w:val="ListParagraph"/>
        <w:numPr>
          <w:ilvl w:val="1"/>
          <w:numId w:val="6"/>
        </w:numPr>
        <w:spacing w:before="120" w:after="120"/>
        <w:ind w:left="993" w:hanging="993"/>
        <w:contextualSpacing w:val="0"/>
      </w:pPr>
      <w:r w:rsidRPr="00C00255">
        <w:rPr>
          <w:lang w:bidi="lt-LT"/>
        </w:rPr>
        <w:t xml:space="preserve">Be to, teisiamajame posėdyje apklaustas liudytojas </w:t>
      </w:r>
      <w:r w:rsidRPr="00C00255">
        <w:rPr>
          <w:bCs/>
        </w:rPr>
        <w:t>V. I</w:t>
      </w:r>
      <w:r>
        <w:rPr>
          <w:bCs/>
        </w:rPr>
        <w:t>.</w:t>
      </w:r>
      <w:r w:rsidRPr="00C00255">
        <w:rPr>
          <w:bCs/>
        </w:rPr>
        <w:t xml:space="preserve"> taip pat nurodė, kad autobuse buvę draugovininkai buvo su raiščiais ir kai kurie iš jų turėjo pagalius (t. 757, b. l. 154</w:t>
      </w:r>
      <w:r w:rsidRPr="00C00255">
        <w:rPr>
          <w:bCs/>
          <w:color w:val="000000"/>
        </w:rPr>
        <w:t>–</w:t>
      </w:r>
      <w:r w:rsidRPr="00C00255">
        <w:rPr>
          <w:bCs/>
        </w:rPr>
        <w:t>160).</w:t>
      </w:r>
    </w:p>
    <w:p w:rsidR="00E0397A" w:rsidRPr="00E0397A" w:rsidRDefault="00DA38E9" w:rsidP="00E0397A">
      <w:pPr>
        <w:pStyle w:val="ListParagraph"/>
        <w:numPr>
          <w:ilvl w:val="0"/>
          <w:numId w:val="6"/>
        </w:numPr>
        <w:spacing w:before="120" w:after="120"/>
        <w:ind w:left="993" w:hanging="993"/>
        <w:contextualSpacing w:val="0"/>
      </w:pPr>
      <w:r w:rsidRPr="00C00255">
        <w:rPr>
          <w:szCs w:val="24"/>
        </w:rPr>
        <w:t>Teisėjų kolegijos vidinį įsitikinimą apie prie LRT atvykusių draugovininkų aktyvius smurtinius veiksmus ir turimą amuniciją, galimai skirtą civiliams asmenims žaloti, formuoja ir teisiamajame posėdyje perskaityti ikiteisminio tyrimo metu liudytojais apklaustų asmenų parodymai (t. 760, b. l. 118</w:t>
      </w:r>
      <w:bookmarkStart w:id="690" w:name="_Hlk63623532"/>
      <w:r w:rsidRPr="00C00255">
        <w:rPr>
          <w:szCs w:val="24"/>
        </w:rPr>
        <w:t>–</w:t>
      </w:r>
      <w:bookmarkEnd w:id="690"/>
      <w:r w:rsidRPr="00C00255">
        <w:rPr>
          <w:szCs w:val="24"/>
        </w:rPr>
        <w:t>119, 121</w:t>
      </w:r>
      <w:bookmarkStart w:id="691" w:name="_Hlk63622766"/>
      <w:r w:rsidRPr="00C00255">
        <w:rPr>
          <w:szCs w:val="24"/>
        </w:rPr>
        <w:t>–</w:t>
      </w:r>
      <w:bookmarkEnd w:id="691"/>
      <w:r w:rsidRPr="00C00255">
        <w:rPr>
          <w:szCs w:val="24"/>
        </w:rPr>
        <w:t>122).</w:t>
      </w:r>
    </w:p>
    <w:p w:rsidR="00E0397A" w:rsidRPr="00E0397A" w:rsidRDefault="00DA38E9" w:rsidP="00E0397A">
      <w:pPr>
        <w:pStyle w:val="ListParagraph"/>
        <w:numPr>
          <w:ilvl w:val="1"/>
          <w:numId w:val="6"/>
        </w:numPr>
        <w:spacing w:before="120" w:after="120"/>
        <w:ind w:left="992" w:hanging="992"/>
        <w:contextualSpacing w:val="0"/>
      </w:pPr>
      <w:r w:rsidRPr="00E0397A">
        <w:rPr>
          <w:rFonts w:eastAsia="Calibri"/>
          <w:bCs/>
        </w:rPr>
        <w:t>Liudytojas V. K. nurodė</w:t>
      </w:r>
      <w:r w:rsidRPr="00E0397A">
        <w:rPr>
          <w:rFonts w:eastAsia="Calibri"/>
        </w:rPr>
        <w:t>, kad nustūmus minią, priėjo rusakalbių draugovininkų grupė, kurie buvo apsiginklavę guminėmis lazdomis (t. 436, b. l. 155</w:t>
      </w:r>
      <w:bookmarkStart w:id="692" w:name="_Hlk63623303"/>
      <w:r w:rsidRPr="00C00255">
        <w:t>–</w:t>
      </w:r>
      <w:bookmarkEnd w:id="692"/>
      <w:r w:rsidRPr="00E0397A">
        <w:rPr>
          <w:rFonts w:eastAsia="Calibri"/>
        </w:rPr>
        <w:t>157; t. 123, b. l. 309</w:t>
      </w:r>
      <w:r w:rsidRPr="00C00255">
        <w:t>–</w:t>
      </w:r>
      <w:r w:rsidRPr="00E0397A">
        <w:rPr>
          <w:rFonts w:eastAsia="Calibri"/>
        </w:rPr>
        <w:t>315).</w:t>
      </w:r>
    </w:p>
    <w:p w:rsidR="00E0397A" w:rsidRPr="005D022C" w:rsidRDefault="00DA38E9" w:rsidP="00E0397A">
      <w:pPr>
        <w:pStyle w:val="ListParagraph"/>
        <w:numPr>
          <w:ilvl w:val="1"/>
          <w:numId w:val="6"/>
        </w:numPr>
        <w:spacing w:before="120" w:after="120"/>
        <w:ind w:left="992" w:hanging="992"/>
        <w:contextualSpacing w:val="0"/>
      </w:pPr>
      <w:r w:rsidRPr="005D022C">
        <w:rPr>
          <w:rFonts w:eastAsia="Calibri"/>
          <w:bCs/>
          <w:szCs w:val="24"/>
        </w:rPr>
        <w:t xml:space="preserve">Liudytojas V. L. </w:t>
      </w:r>
      <w:r w:rsidRPr="005D022C">
        <w:rPr>
          <w:rFonts w:eastAsia="Calibri"/>
          <w:bCs/>
          <w:color w:val="000000" w:themeColor="text1"/>
          <w:szCs w:val="24"/>
        </w:rPr>
        <w:t>nurodė, kad nustūmus minią prie kelio, privažiavo apie 20 draugovininkų su raudonais raiščiais</w:t>
      </w:r>
      <w:r w:rsidRPr="005D022C">
        <w:rPr>
          <w:rFonts w:eastAsia="Calibri"/>
          <w:color w:val="000000" w:themeColor="text1"/>
          <w:szCs w:val="24"/>
        </w:rPr>
        <w:t>, kurie stovėjo tarp minios ir desantininkų, turėjo lazdas (t. 436, b. l. 151</w:t>
      </w:r>
      <w:r w:rsidRPr="005D022C">
        <w:rPr>
          <w:szCs w:val="24"/>
        </w:rPr>
        <w:t>–</w:t>
      </w:r>
      <w:r w:rsidRPr="005D022C">
        <w:rPr>
          <w:rFonts w:eastAsia="Calibri"/>
          <w:color w:val="000000" w:themeColor="text1"/>
          <w:szCs w:val="24"/>
        </w:rPr>
        <w:t>154; t. 123, b. l. 301</w:t>
      </w:r>
      <w:r w:rsidRPr="005D022C">
        <w:rPr>
          <w:szCs w:val="24"/>
        </w:rPr>
        <w:t>–</w:t>
      </w:r>
      <w:r w:rsidRPr="005D022C">
        <w:rPr>
          <w:rFonts w:eastAsia="Calibri"/>
          <w:color w:val="000000" w:themeColor="text1"/>
          <w:szCs w:val="24"/>
        </w:rPr>
        <w:t>308).</w:t>
      </w:r>
    </w:p>
    <w:p w:rsidR="00E0397A" w:rsidRPr="00E0397A" w:rsidRDefault="00DA38E9" w:rsidP="00E0397A">
      <w:pPr>
        <w:pStyle w:val="ListParagraph"/>
        <w:numPr>
          <w:ilvl w:val="1"/>
          <w:numId w:val="6"/>
        </w:numPr>
        <w:spacing w:before="120" w:after="120"/>
        <w:ind w:left="992" w:hanging="992"/>
        <w:contextualSpacing w:val="0"/>
      </w:pPr>
      <w:r w:rsidRPr="00E0397A">
        <w:rPr>
          <w:rFonts w:eastAsia="Calibri"/>
          <w:szCs w:val="24"/>
        </w:rPr>
        <w:t xml:space="preserve">Liudytojas A. S. </w:t>
      </w:r>
      <w:r w:rsidRPr="00E0397A">
        <w:rPr>
          <w:rFonts w:eastAsia="Calibri"/>
          <w:color w:val="000000" w:themeColor="text1"/>
          <w:szCs w:val="24"/>
        </w:rPr>
        <w:t>nurodė, kad kai buvo atsisukęs veidu į minią, kuri buvo nustumta prie kelio, pamatė, kad su kareiviais desantininkais, stumiant minią, taip pat stovėjo ir civiliai asmenys su raudonais raiščiais. Kai kurie jų turėjo įvairaus ilgio metalines ir medines lazdas. Lazdomis jie mėgino padėti desantininkams nustumti minią (t. 436, b. l. 122</w:t>
      </w:r>
      <w:bookmarkStart w:id="693" w:name="_Hlk63623665"/>
      <w:r w:rsidRPr="00E0397A">
        <w:rPr>
          <w:szCs w:val="24"/>
        </w:rPr>
        <w:t>–</w:t>
      </w:r>
      <w:bookmarkEnd w:id="693"/>
      <w:r w:rsidRPr="00E0397A">
        <w:rPr>
          <w:rFonts w:eastAsia="Calibri"/>
          <w:color w:val="000000" w:themeColor="text1"/>
          <w:szCs w:val="24"/>
        </w:rPr>
        <w:t>125; t. 123, b. l. 242</w:t>
      </w:r>
      <w:r w:rsidRPr="00E0397A">
        <w:rPr>
          <w:szCs w:val="24"/>
        </w:rPr>
        <w:t>–</w:t>
      </w:r>
      <w:r w:rsidRPr="00E0397A">
        <w:rPr>
          <w:rFonts w:eastAsia="Calibri"/>
          <w:color w:val="000000" w:themeColor="text1"/>
          <w:szCs w:val="24"/>
        </w:rPr>
        <w:t>250).</w:t>
      </w:r>
    </w:p>
    <w:p w:rsidR="00DA38E9" w:rsidRPr="00C00255" w:rsidRDefault="00DA38E9" w:rsidP="00E0397A">
      <w:pPr>
        <w:pStyle w:val="ListParagraph"/>
        <w:numPr>
          <w:ilvl w:val="1"/>
          <w:numId w:val="6"/>
        </w:numPr>
        <w:spacing w:before="120" w:after="120"/>
        <w:ind w:left="992" w:hanging="992"/>
        <w:contextualSpacing w:val="0"/>
      </w:pPr>
      <w:r w:rsidRPr="00E0397A">
        <w:rPr>
          <w:rFonts w:eastAsia="Calibri"/>
          <w:bCs/>
          <w:szCs w:val="24"/>
        </w:rPr>
        <w:t xml:space="preserve">Liudytojas V. M. </w:t>
      </w:r>
      <w:r w:rsidRPr="00E0397A">
        <w:rPr>
          <w:rFonts w:eastAsia="Calibri"/>
          <w:color w:val="000000" w:themeColor="text1"/>
          <w:szCs w:val="24"/>
        </w:rPr>
        <w:t>nurodė, kad matė dvi draugovininkų grandines. Jie buvo apsiginklavę lazdomis (t. 436, b. l. 109</w:t>
      </w:r>
      <w:r w:rsidRPr="00E0397A">
        <w:rPr>
          <w:szCs w:val="24"/>
        </w:rPr>
        <w:t>–</w:t>
      </w:r>
      <w:r w:rsidRPr="00E0397A">
        <w:rPr>
          <w:rFonts w:eastAsia="Calibri"/>
          <w:color w:val="000000" w:themeColor="text1"/>
          <w:szCs w:val="24"/>
        </w:rPr>
        <w:t>112; t. 123, b. l. 209</w:t>
      </w:r>
      <w:r w:rsidRPr="00E0397A">
        <w:rPr>
          <w:szCs w:val="24"/>
        </w:rPr>
        <w:t>–</w:t>
      </w:r>
      <w:r w:rsidRPr="00E0397A">
        <w:rPr>
          <w:rFonts w:eastAsia="Calibri"/>
          <w:color w:val="000000" w:themeColor="text1"/>
          <w:szCs w:val="24"/>
        </w:rPr>
        <w:t xml:space="preserve">214). </w:t>
      </w:r>
    </w:p>
    <w:p w:rsidR="00DA38E9" w:rsidRPr="005D022C" w:rsidRDefault="00DA38E9" w:rsidP="00DA38E9">
      <w:pPr>
        <w:pStyle w:val="ListParagraph"/>
        <w:numPr>
          <w:ilvl w:val="0"/>
          <w:numId w:val="6"/>
        </w:numPr>
        <w:spacing w:before="120" w:after="120"/>
        <w:ind w:left="992" w:hanging="992"/>
        <w:contextualSpacing w:val="0"/>
      </w:pPr>
      <w:r w:rsidRPr="005D022C">
        <w:rPr>
          <w:rFonts w:eastAsia="Calibri"/>
        </w:rPr>
        <w:t>Taigi, aptarta įrodymu visuma patvirtina, kad prie LRT atvykę draugovininkai, kaip ir TSRS kariškiai, prieš susirinkusius civilius asmenis elgėsi agresyviai bei turėjo tam skirtas priemones (lazdas, grandines ir pan.).</w:t>
      </w:r>
      <w:r w:rsidRPr="005D022C">
        <w:t xml:space="preserve"> </w:t>
      </w:r>
      <w:r w:rsidRPr="005D022C">
        <w:rPr>
          <w:szCs w:val="24"/>
          <w:lang w:eastAsia="lt-LT" w:bidi="lt-LT"/>
        </w:rPr>
        <w:t>Objektyvūs bylos duomenys patvirtina ir tai, kad R. J. 1 dalyvavo užimant LRT pastatus ir vadovavo tokiems draugovininkų veiksmams. Pirmosios instancijos teismo išvadą dėl R. J. 1 vadovavimo draugovininkams LRT pastatų užėmimo metu</w:t>
      </w:r>
      <w:r w:rsidRPr="005D022C">
        <w:rPr>
          <w:bCs/>
          <w:szCs w:val="24"/>
        </w:rPr>
        <w:t xml:space="preserve"> atskleidžia teisiamajame posėdyje apklaustų liudytojų parodymai.</w:t>
      </w:r>
    </w:p>
    <w:p w:rsidR="00DA38E9" w:rsidRPr="00C00255" w:rsidRDefault="00DA38E9" w:rsidP="00DA38E9">
      <w:pPr>
        <w:pStyle w:val="ListParagraph"/>
        <w:numPr>
          <w:ilvl w:val="1"/>
          <w:numId w:val="6"/>
        </w:numPr>
        <w:spacing w:before="120" w:after="120"/>
        <w:ind w:left="993" w:hanging="993"/>
        <w:contextualSpacing w:val="0"/>
      </w:pPr>
      <w:r w:rsidRPr="00C00255">
        <w:rPr>
          <w:bCs/>
          <w:szCs w:val="24"/>
        </w:rPr>
        <w:t>Liudytojas V.</w:t>
      </w:r>
      <w:r>
        <w:rPr>
          <w:bCs/>
          <w:szCs w:val="24"/>
        </w:rPr>
        <w:t> </w:t>
      </w:r>
      <w:r w:rsidRPr="00C00255">
        <w:rPr>
          <w:bCs/>
          <w:szCs w:val="24"/>
        </w:rPr>
        <w:t>I</w:t>
      </w:r>
      <w:r>
        <w:rPr>
          <w:bCs/>
          <w:szCs w:val="24"/>
        </w:rPr>
        <w:t>.</w:t>
      </w:r>
      <w:r w:rsidRPr="00C00255">
        <w:rPr>
          <w:bCs/>
          <w:szCs w:val="24"/>
        </w:rPr>
        <w:t xml:space="preserve"> teisiamojo posėdžio metu nurodė, kad jis 1991 m. dirbo gamykloje ir buvo draugovininkas. 1991 m. sausio 11 d. miesto partijos komitete buvo keliamas klausimas dėl Spaudos rūmų, vėliau ir dėl Televizijos ir radijo komiteto darbo destabilizavimo. 1991 m. sausio 13 d. naktį buvo Gedimino pr. buvusiame partijos komitete. Apie 2.00 val. nakties išėjęs iš jo, matė pilną draugovininkų autobusą. Draugovininkai, kuriuos matė autobuse, buvo su raiščiais, kai kurie iš jų turėjo pagalius, sakė, kad savigynai. Jis atsisėdo į </w:t>
      </w:r>
      <w:r>
        <w:rPr>
          <w:bCs/>
          <w:szCs w:val="24"/>
        </w:rPr>
        <w:t>R. J. 1</w:t>
      </w:r>
      <w:r w:rsidRPr="00C00255">
        <w:rPr>
          <w:bCs/>
          <w:szCs w:val="24"/>
        </w:rPr>
        <w:t xml:space="preserve">, kurio iki tol nepažinojo, automobilį ir nuvažiavo prie LRT, esančio Konarskio gatvėje. </w:t>
      </w:r>
      <w:r>
        <w:rPr>
          <w:bCs/>
          <w:szCs w:val="24"/>
        </w:rPr>
        <w:t>R. J. 1</w:t>
      </w:r>
      <w:r w:rsidRPr="00C00255">
        <w:rPr>
          <w:bCs/>
          <w:szCs w:val="24"/>
        </w:rPr>
        <w:t xml:space="preserve"> buvo apsirengęs civiliais rūbais, vilkėjo tamsų lietpaltį ir ant galvos buvo užsidėjęs skrybėlę. Privažiavus </w:t>
      </w:r>
      <w:r>
        <w:rPr>
          <w:bCs/>
          <w:szCs w:val="24"/>
        </w:rPr>
        <w:t>R. J. 1</w:t>
      </w:r>
      <w:r w:rsidRPr="00C00255">
        <w:rPr>
          <w:bCs/>
          <w:szCs w:val="24"/>
        </w:rPr>
        <w:t xml:space="preserve"> išlipo iš mašinos, su kažkuo pasitarė, o paskui pamojo ranka, tuomet automobilio durys atsidarė, visi išlipo iš automobilio ir nuėję link centrinio įėjimo, susigrupavo (t. 757, b. l. 154–160).</w:t>
      </w:r>
    </w:p>
    <w:p w:rsidR="00DA38E9" w:rsidRPr="005D022C" w:rsidRDefault="00DA38E9" w:rsidP="00DA38E9">
      <w:pPr>
        <w:pStyle w:val="ListParagraph"/>
        <w:numPr>
          <w:ilvl w:val="1"/>
          <w:numId w:val="6"/>
        </w:numPr>
        <w:spacing w:before="120" w:after="120"/>
        <w:ind w:left="993" w:hanging="993"/>
        <w:contextualSpacing w:val="0"/>
      </w:pPr>
      <w:r w:rsidRPr="005D022C">
        <w:rPr>
          <w:bCs/>
          <w:szCs w:val="24"/>
        </w:rPr>
        <w:t xml:space="preserve">Liudytojas B. N. teisiamojo posėdžio metu patvirtino ikiteisminio tyrimo metu duotus parodymus, kuriuose teigė, kad jis dirbo gamykloje. 1991 m. sausio 12 d. vakare buvo miesto komitete, iš kurio važiavo prie LRT. </w:t>
      </w:r>
      <w:r w:rsidRPr="005D022C">
        <w:rPr>
          <w:rFonts w:eastAsia="Calibri"/>
        </w:rPr>
        <w:t>Važiuojant prie LRT, R. J. 1 paaiškino, kad kariškiai užiminėja televiziją, o draugovininkams reiks stovėti prie LRT pastato. Atvažiavus jie išsirikiavo už kareivių nugarų. Draugovininkai buvo apsiginklavę 60</w:t>
      </w:r>
      <w:r w:rsidRPr="005D022C">
        <w:t>–</w:t>
      </w:r>
      <w:r w:rsidRPr="005D022C">
        <w:rPr>
          <w:rFonts w:eastAsia="Calibri"/>
        </w:rPr>
        <w:t xml:space="preserve">70 cm ilgio kabeliniais laidais, guminėmis lazdomis, pagaliais </w:t>
      </w:r>
      <w:r w:rsidRPr="005D022C">
        <w:t>(t. 757, b. l. 138</w:t>
      </w:r>
      <w:r w:rsidR="005D022C">
        <w:t>–139; t. 444, b. l. 102–105; t. </w:t>
      </w:r>
      <w:r w:rsidRPr="005D022C">
        <w:rPr>
          <w:rFonts w:eastAsia="Calibri"/>
        </w:rPr>
        <w:t>179</w:t>
      </w:r>
      <w:r w:rsidR="005D022C">
        <w:rPr>
          <w:rFonts w:eastAsia="Calibri"/>
        </w:rPr>
        <w:t>, </w:t>
      </w:r>
      <w:r w:rsidRPr="005D022C">
        <w:rPr>
          <w:rFonts w:eastAsia="Calibri"/>
        </w:rPr>
        <w:t>b. l 154</w:t>
      </w:r>
      <w:bookmarkStart w:id="694" w:name="_Hlk65790069"/>
      <w:r w:rsidRPr="005D022C">
        <w:t>–</w:t>
      </w:r>
      <w:bookmarkEnd w:id="694"/>
      <w:r w:rsidRPr="005D022C">
        <w:rPr>
          <w:rFonts w:eastAsia="Calibri"/>
        </w:rPr>
        <w:t>158; t.132 b. l. 125</w:t>
      </w:r>
      <w:r w:rsidRPr="005D022C">
        <w:t>–</w:t>
      </w:r>
      <w:r w:rsidRPr="005D022C">
        <w:rPr>
          <w:rFonts w:eastAsia="Calibri"/>
        </w:rPr>
        <w:t>129).</w:t>
      </w:r>
    </w:p>
    <w:p w:rsidR="00DA38E9" w:rsidRPr="00C00255" w:rsidRDefault="00DA38E9" w:rsidP="00DA38E9">
      <w:pPr>
        <w:pStyle w:val="ListParagraph"/>
        <w:numPr>
          <w:ilvl w:val="0"/>
          <w:numId w:val="6"/>
        </w:numPr>
        <w:spacing w:before="120" w:after="120"/>
        <w:ind w:left="992" w:hanging="992"/>
        <w:contextualSpacing w:val="0"/>
      </w:pPr>
      <w:bookmarkStart w:id="695" w:name="_Hlk63622364"/>
      <w:r w:rsidRPr="00C00255">
        <w:rPr>
          <w:szCs w:val="24"/>
        </w:rPr>
        <w:t xml:space="preserve">Teisėjų kolegijos vidinį įsitikinimą dėl </w:t>
      </w:r>
      <w:r>
        <w:rPr>
          <w:szCs w:val="24"/>
        </w:rPr>
        <w:t>R. J. 1</w:t>
      </w:r>
      <w:r w:rsidRPr="00C00255">
        <w:rPr>
          <w:szCs w:val="24"/>
        </w:rPr>
        <w:t xml:space="preserve"> vadovaujamo vaidmens draugovininkams LRT užėmimo metu formuoja ir teisiamajame posėdyje perskaityti ikiteisminio tyrimo metu liudytojais apklaustų asmenų parodymai (t. 760, b. l. 155, 168).</w:t>
      </w:r>
      <w:bookmarkEnd w:id="695"/>
    </w:p>
    <w:p w:rsidR="00DA38E9" w:rsidRPr="00C00255" w:rsidRDefault="00DA38E9" w:rsidP="00DA38E9">
      <w:pPr>
        <w:pStyle w:val="ListParagraph"/>
        <w:numPr>
          <w:ilvl w:val="1"/>
          <w:numId w:val="6"/>
        </w:numPr>
        <w:spacing w:before="120" w:after="120"/>
        <w:ind w:left="993" w:hanging="993"/>
        <w:contextualSpacing w:val="0"/>
      </w:pPr>
      <w:r w:rsidRPr="00C00255">
        <w:rPr>
          <w:szCs w:val="24"/>
        </w:rPr>
        <w:t>Liudytojas G. Č</w:t>
      </w:r>
      <w:r>
        <w:rPr>
          <w:szCs w:val="24"/>
        </w:rPr>
        <w:t>.</w:t>
      </w:r>
      <w:r w:rsidRPr="00C00255">
        <w:rPr>
          <w:szCs w:val="24"/>
        </w:rPr>
        <w:t xml:space="preserve"> tyrimo metu nurodė, kad 1991 m. sausio 12 d. vakare buvo sukviesti į partijos komiteto posėdį, kur V.</w:t>
      </w:r>
      <w:r>
        <w:rPr>
          <w:szCs w:val="24"/>
        </w:rPr>
        <w:t> </w:t>
      </w:r>
      <w:r w:rsidRPr="00C00255">
        <w:rPr>
          <w:szCs w:val="24"/>
        </w:rPr>
        <w:t>Š</w:t>
      </w:r>
      <w:r>
        <w:rPr>
          <w:szCs w:val="24"/>
        </w:rPr>
        <w:t>.</w:t>
      </w:r>
      <w:r w:rsidRPr="00C00255">
        <w:rPr>
          <w:szCs w:val="24"/>
        </w:rPr>
        <w:t xml:space="preserve"> pristatė civilį asmenį pavarde – </w:t>
      </w:r>
      <w:r w:rsidRPr="00CF4F6A">
        <w:rPr>
          <w:szCs w:val="24"/>
        </w:rPr>
        <w:t>J. 1</w:t>
      </w:r>
      <w:r w:rsidRPr="00C00255">
        <w:rPr>
          <w:szCs w:val="24"/>
        </w:rPr>
        <w:t xml:space="preserve"> (apklausos protokole nurodyta J</w:t>
      </w:r>
      <w:r>
        <w:rPr>
          <w:szCs w:val="24"/>
        </w:rPr>
        <w:t>.</w:t>
      </w:r>
      <w:r w:rsidRPr="00C00255">
        <w:rPr>
          <w:szCs w:val="24"/>
        </w:rPr>
        <w:t>), kuris vilkėjo paltu ir buvo užsidėjęs plačią skrybėlę. V.</w:t>
      </w:r>
      <w:r>
        <w:rPr>
          <w:szCs w:val="24"/>
        </w:rPr>
        <w:t> </w:t>
      </w:r>
      <w:r w:rsidRPr="00C00255">
        <w:rPr>
          <w:szCs w:val="24"/>
        </w:rPr>
        <w:t>Š</w:t>
      </w:r>
      <w:r>
        <w:rPr>
          <w:szCs w:val="24"/>
        </w:rPr>
        <w:t>.</w:t>
      </w:r>
      <w:r w:rsidRPr="00C00255">
        <w:rPr>
          <w:szCs w:val="24"/>
        </w:rPr>
        <w:t xml:space="preserve"> nurodė, kad jis yra CK darbuotojas bei jiems vadovaus, o jie turi jo klausyti. </w:t>
      </w:r>
      <w:r>
        <w:rPr>
          <w:szCs w:val="24"/>
        </w:rPr>
        <w:t>R. J. 1</w:t>
      </w:r>
      <w:r w:rsidRPr="00C00255">
        <w:rPr>
          <w:szCs w:val="24"/>
        </w:rPr>
        <w:t xml:space="preserve"> jiems paaiškino apie Lietuvoje susiklosčiusią situaciją ir nurodė, kad komiteto atstovai privalo perduoti peticiją Aukščiausiajai ir Ministrų Taryboms. </w:t>
      </w:r>
      <w:r>
        <w:rPr>
          <w:szCs w:val="24"/>
        </w:rPr>
        <w:t>R. J. 1</w:t>
      </w:r>
      <w:r w:rsidRPr="00C00255">
        <w:rPr>
          <w:szCs w:val="24"/>
        </w:rPr>
        <w:t xml:space="preserve"> įsakė susiskirstyti po dešimt ir tokiomis grupelėmis eiti prie minėtų tarybų bei reikalauti jų teisių garantijų. Grįžus į partijos komiteto būstinę, 1991 m. sausio 13 d. naktį išvažiavo prie LRT. Važiuojant jiems vadovavo </w:t>
      </w:r>
      <w:r>
        <w:rPr>
          <w:szCs w:val="24"/>
        </w:rPr>
        <w:t>R. J. 1</w:t>
      </w:r>
      <w:r w:rsidRPr="00C00255">
        <w:rPr>
          <w:szCs w:val="24"/>
        </w:rPr>
        <w:t xml:space="preserve">. Atvažiavus </w:t>
      </w:r>
      <w:r>
        <w:rPr>
          <w:szCs w:val="24"/>
        </w:rPr>
        <w:t>R. J. 1</w:t>
      </w:r>
      <w:r w:rsidRPr="00C00255">
        <w:rPr>
          <w:szCs w:val="24"/>
        </w:rPr>
        <w:t xml:space="preserve"> paklausė karininko, kur jiems eiti, šis jiems nurodė liniją už stovinčių desantininkų ties Konarskio gatve. Vietoje </w:t>
      </w:r>
      <w:r>
        <w:rPr>
          <w:szCs w:val="24"/>
        </w:rPr>
        <w:t>R. J. 1</w:t>
      </w:r>
      <w:r w:rsidRPr="00C00255">
        <w:rPr>
          <w:szCs w:val="24"/>
        </w:rPr>
        <w:t xml:space="preserve"> jiems išdalino raudonus raiščius ir nurodė, ką jie turi daryti (t. 179, b. l. 44–55, 56–62).</w:t>
      </w:r>
    </w:p>
    <w:p w:rsidR="00DA38E9" w:rsidRPr="00C00255" w:rsidRDefault="00DA38E9" w:rsidP="00DA38E9">
      <w:pPr>
        <w:pStyle w:val="ListParagraph"/>
        <w:numPr>
          <w:ilvl w:val="1"/>
          <w:numId w:val="6"/>
        </w:numPr>
        <w:spacing w:before="120" w:after="120"/>
        <w:ind w:left="993" w:hanging="993"/>
        <w:contextualSpacing w:val="0"/>
      </w:pPr>
      <w:r w:rsidRPr="00C00255">
        <w:rPr>
          <w:szCs w:val="24"/>
        </w:rPr>
        <w:t>Liudytojas A.</w:t>
      </w:r>
      <w:r>
        <w:rPr>
          <w:szCs w:val="24"/>
        </w:rPr>
        <w:t> </w:t>
      </w:r>
      <w:r w:rsidRPr="00C00255">
        <w:rPr>
          <w:szCs w:val="24"/>
        </w:rPr>
        <w:t>B</w:t>
      </w:r>
      <w:r>
        <w:rPr>
          <w:szCs w:val="24"/>
        </w:rPr>
        <w:t>.</w:t>
      </w:r>
      <w:r w:rsidRPr="00C00255">
        <w:rPr>
          <w:szCs w:val="24"/>
        </w:rPr>
        <w:t xml:space="preserve"> tyrimo metu nurodė, kad 1991 m. sausio 13 d. naktį kartu su kitais draugovininkais autobusu važiavo prie LRT, kur jiems vadovavo R</w:t>
      </w:r>
      <w:r>
        <w:rPr>
          <w:szCs w:val="24"/>
        </w:rPr>
        <w:t>.</w:t>
      </w:r>
      <w:r w:rsidRPr="00C00255">
        <w:rPr>
          <w:szCs w:val="24"/>
        </w:rPr>
        <w:t xml:space="preserve"> (</w:t>
      </w:r>
      <w:r w:rsidRPr="00CF4F6A">
        <w:rPr>
          <w:szCs w:val="24"/>
        </w:rPr>
        <w:t>R. J. 1</w:t>
      </w:r>
      <w:r w:rsidRPr="00C00255">
        <w:rPr>
          <w:szCs w:val="24"/>
        </w:rPr>
        <w:t xml:space="preserve"> – </w:t>
      </w:r>
      <w:r w:rsidRPr="00C00255">
        <w:rPr>
          <w:i/>
          <w:iCs/>
          <w:szCs w:val="24"/>
        </w:rPr>
        <w:t>kolegijos pastaba</w:t>
      </w:r>
      <w:r w:rsidRPr="00C00255">
        <w:rPr>
          <w:szCs w:val="24"/>
        </w:rPr>
        <w:t xml:space="preserve">). </w:t>
      </w:r>
      <w:r>
        <w:rPr>
          <w:szCs w:val="24"/>
        </w:rPr>
        <w:t>R. J. 1</w:t>
      </w:r>
      <w:r w:rsidRPr="00C00255">
        <w:rPr>
          <w:szCs w:val="24"/>
        </w:rPr>
        <w:t xml:space="preserve"> nurodymu išsirikiavo grandine kareivių užnugaryje. Ant rankovių užsirišo raudonus raiščius (t. 155, b. l. 227</w:t>
      </w:r>
      <w:bookmarkStart w:id="696" w:name="_Hlk63611447"/>
      <w:r w:rsidRPr="00C00255">
        <w:rPr>
          <w:szCs w:val="24"/>
        </w:rPr>
        <w:t>–</w:t>
      </w:r>
      <w:bookmarkEnd w:id="696"/>
      <w:r w:rsidRPr="00C00255">
        <w:rPr>
          <w:szCs w:val="24"/>
        </w:rPr>
        <w:t xml:space="preserve">234).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C00255">
        <w:rPr>
          <w:szCs w:val="24"/>
          <w:lang w:eastAsia="lt-LT"/>
        </w:rPr>
        <w:t xml:space="preserve">Visi minėti duomenys patvirtina, kad pirmosios instancijos teismo išvados apie nuteistojo </w:t>
      </w:r>
      <w:r>
        <w:rPr>
          <w:szCs w:val="24"/>
          <w:lang w:eastAsia="lt-LT"/>
        </w:rPr>
        <w:t>R. J. 1</w:t>
      </w:r>
      <w:r w:rsidRPr="00C00255">
        <w:rPr>
          <w:szCs w:val="24"/>
          <w:lang w:eastAsia="lt-LT"/>
        </w:rPr>
        <w:t xml:space="preserve"> vadovaujamą vaidmenį draugovininkams užimant LRT pastatus yra teisingos ir pagrįstos.</w:t>
      </w:r>
      <w:r w:rsidRPr="00C00255">
        <w:rPr>
          <w:szCs w:val="24"/>
          <w:lang w:eastAsia="lt-LT" w:bidi="lt-LT"/>
        </w:rPr>
        <w:t xml:space="preserve"> Kaip matyti, užimant LRT pastatus ir stumiant nuo jų civilius, TSRS kariškiai, veikdami kartu su draugovininkais, veikė koordinuotai, bendrai ir siekdami to paties vieno tikslo, o nuteistasis </w:t>
      </w:r>
      <w:r>
        <w:rPr>
          <w:szCs w:val="24"/>
          <w:lang w:eastAsia="lt-LT" w:bidi="lt-LT"/>
        </w:rPr>
        <w:t>R. J. 1</w:t>
      </w:r>
      <w:r w:rsidRPr="00C00255">
        <w:rPr>
          <w:szCs w:val="24"/>
          <w:lang w:eastAsia="lt-LT" w:bidi="lt-LT"/>
        </w:rPr>
        <w:t xml:space="preserve"> atliko vadovaujamo pobūdžio veiksmus bendroje operacijoje dalyvavusiems draugovininkams, kurie smurtaudami ir naudodami fizinę jėgą kartu siekė bendro tikslo. </w:t>
      </w:r>
    </w:p>
    <w:p w:rsidR="00DA38E9" w:rsidRPr="00C00255" w:rsidRDefault="00DA38E9" w:rsidP="00DA38E9">
      <w:pPr>
        <w:pStyle w:val="ListParagraph"/>
        <w:numPr>
          <w:ilvl w:val="0"/>
          <w:numId w:val="6"/>
        </w:numPr>
        <w:spacing w:before="120" w:after="120"/>
        <w:ind w:left="992" w:hanging="992"/>
        <w:contextualSpacing w:val="0"/>
      </w:pPr>
      <w:r w:rsidRPr="00C00255">
        <w:rPr>
          <w:szCs w:val="24"/>
        </w:rPr>
        <w:t xml:space="preserve">Apygardos teismas taip pat pagrįstai konstatavo, kad nenustatyti draugovininkai, kuriems vadovo </w:t>
      </w:r>
      <w:r>
        <w:rPr>
          <w:szCs w:val="24"/>
        </w:rPr>
        <w:t>R. J. 1</w:t>
      </w:r>
      <w:r w:rsidRPr="00C00255">
        <w:rPr>
          <w:szCs w:val="24"/>
        </w:rPr>
        <w:t xml:space="preserve">, suduodami smūgius rankomis, kojomis ir kitomis priemonėmis, sunkiai sutrikdė </w:t>
      </w:r>
      <w:r>
        <w:rPr>
          <w:szCs w:val="24"/>
        </w:rPr>
        <w:t>A. K.</w:t>
      </w:r>
      <w:r w:rsidRPr="00C00255">
        <w:rPr>
          <w:szCs w:val="24"/>
        </w:rPr>
        <w:t xml:space="preserve"> sveikatą. </w:t>
      </w:r>
    </w:p>
    <w:p w:rsidR="00DA38E9" w:rsidRPr="00C00255" w:rsidRDefault="00DA38E9" w:rsidP="00DA38E9">
      <w:pPr>
        <w:pStyle w:val="ListParagraph"/>
        <w:numPr>
          <w:ilvl w:val="0"/>
          <w:numId w:val="6"/>
        </w:numPr>
        <w:spacing w:before="120" w:after="120"/>
        <w:ind w:left="992" w:hanging="992"/>
        <w:contextualSpacing w:val="0"/>
      </w:pPr>
      <w:r w:rsidRPr="00C00255">
        <w:rPr>
          <w:szCs w:val="24"/>
        </w:rPr>
        <w:t xml:space="preserve">Šiame kontekste pažymima, kad byloje nustatyta, jog nukentėjusįjį </w:t>
      </w:r>
      <w:r>
        <w:rPr>
          <w:szCs w:val="24"/>
        </w:rPr>
        <w:t>A. K.</w:t>
      </w:r>
      <w:r w:rsidRPr="00C00255">
        <w:rPr>
          <w:szCs w:val="24"/>
        </w:rPr>
        <w:t xml:space="preserve"> LRT šturmo metu sužalojo būtent atvykę draugovininkai, kuriems vadovavo </w:t>
      </w:r>
      <w:r>
        <w:rPr>
          <w:szCs w:val="24"/>
        </w:rPr>
        <w:t>R. J. 1</w:t>
      </w:r>
      <w:r w:rsidRPr="00C00255">
        <w:rPr>
          <w:szCs w:val="24"/>
        </w:rPr>
        <w:t>.</w:t>
      </w:r>
    </w:p>
    <w:p w:rsidR="00DA38E9" w:rsidRPr="00C00255" w:rsidRDefault="00DA38E9" w:rsidP="00DA38E9">
      <w:pPr>
        <w:pStyle w:val="ListParagraph"/>
        <w:numPr>
          <w:ilvl w:val="1"/>
          <w:numId w:val="6"/>
        </w:numPr>
        <w:spacing w:before="120" w:after="120"/>
        <w:ind w:left="993" w:hanging="993"/>
        <w:contextualSpacing w:val="0"/>
      </w:pPr>
      <w:r w:rsidRPr="00E0397A">
        <w:t xml:space="preserve">Nukentėjusysis A. K. teisiamajame posėdyje nurodė, kad tiriamų įvykių metu jis buvo prie LRT, Konarskio g., </w:t>
      </w:r>
      <w:r w:rsidRPr="005D022C">
        <w:t xml:space="preserve">kur atvažiavo </w:t>
      </w:r>
      <w:r w:rsidRPr="005D022C">
        <w:rPr>
          <w:rFonts w:eastAsia="Calibri"/>
        </w:rPr>
        <w:t>du raudoni autobusai „Ikarus“. Iš jo išlipę asmenys, pirmiausia užsimojo jam smogti, bet jis vieną sulaikė, tačiau kitas jį apsuko ir pradėjo mušti. Jį suspardė ir sudaužė, t. y. mušė kailiu apvyniotu metaliniu strypu.</w:t>
      </w:r>
      <w:r w:rsidRPr="005D022C">
        <w:t xml:space="preserve"> Jis nukentėjo nuo draugovininkų. Po to jis ilgai gydėsi,</w:t>
      </w:r>
      <w:r w:rsidRPr="005D022C">
        <w:rPr>
          <w:rFonts w:eastAsia="Calibri"/>
        </w:rPr>
        <w:t xml:space="preserve"> nes buvo sulaužyta nosis ir kaukolės kaulai</w:t>
      </w:r>
      <w:r w:rsidRPr="00E0397A">
        <w:rPr>
          <w:rFonts w:eastAsia="Calibri"/>
        </w:rPr>
        <w:t xml:space="preserve"> (t. 760, b. l. 18</w:t>
      </w:r>
      <w:bookmarkStart w:id="697" w:name="_Hlk63612807"/>
      <w:r w:rsidRPr="00E0397A">
        <w:t>–</w:t>
      </w:r>
      <w:bookmarkEnd w:id="697"/>
      <w:r w:rsidRPr="00E0397A">
        <w:rPr>
          <w:rFonts w:eastAsia="Calibri"/>
        </w:rPr>
        <w:t>19).</w:t>
      </w:r>
      <w:r w:rsidRPr="00C00255">
        <w:t xml:space="preserve"> Tai, kad tiriamų įvykių metu jį sumušė draugovininkai su gumine lazda, nukentėjusysis </w:t>
      </w:r>
      <w:r>
        <w:t>A. K.</w:t>
      </w:r>
      <w:r w:rsidRPr="00C00255">
        <w:t xml:space="preserve"> teigė ir gydymo įstaigoje, kitą dieną po sužalojimo (t. 502, b. l. 197).</w:t>
      </w:r>
    </w:p>
    <w:p w:rsidR="00DA38E9" w:rsidRPr="00C00255" w:rsidRDefault="00DA38E9" w:rsidP="00DA38E9">
      <w:pPr>
        <w:pStyle w:val="ListParagraph"/>
        <w:numPr>
          <w:ilvl w:val="1"/>
          <w:numId w:val="6"/>
        </w:numPr>
        <w:spacing w:before="120" w:after="120"/>
        <w:ind w:left="993" w:hanging="993"/>
        <w:contextualSpacing w:val="0"/>
      </w:pPr>
      <w:r w:rsidRPr="00C00255">
        <w:t>Tokie nukentėjusiojo parodymai sutampa su l</w:t>
      </w:r>
      <w:r w:rsidRPr="00C00255">
        <w:rPr>
          <w:lang w:eastAsia="lt-LT"/>
        </w:rPr>
        <w:t>iudytojos M.</w:t>
      </w:r>
      <w:r>
        <w:rPr>
          <w:lang w:eastAsia="lt-LT"/>
        </w:rPr>
        <w:t> </w:t>
      </w:r>
      <w:r w:rsidRPr="00C00255">
        <w:rPr>
          <w:lang w:eastAsia="lt-LT"/>
        </w:rPr>
        <w:t>K</w:t>
      </w:r>
      <w:r>
        <w:rPr>
          <w:lang w:eastAsia="lt-LT"/>
        </w:rPr>
        <w:t>.</w:t>
      </w:r>
      <w:r w:rsidRPr="00C00255">
        <w:rPr>
          <w:lang w:eastAsia="lt-LT"/>
        </w:rPr>
        <w:t xml:space="preserve"> ikiteisminio tyrimo metu duotais parodymais, kurie ištirti 2018 m. kovo 20 d. teisiamajame posėdyje (t. 761, b. l. 39–41) BPK 271–292 straipsniuose nustatyta tvarka. Liudytoja M. K</w:t>
      </w:r>
      <w:r>
        <w:rPr>
          <w:lang w:eastAsia="lt-LT"/>
        </w:rPr>
        <w:t>.</w:t>
      </w:r>
      <w:r w:rsidRPr="00C00255">
        <w:rPr>
          <w:lang w:eastAsia="lt-LT"/>
        </w:rPr>
        <w:t xml:space="preserve"> nurodė, kad 1991 m. </w:t>
      </w:r>
      <w:r w:rsidRPr="00C00255">
        <w:rPr>
          <w:color w:val="000000"/>
          <w:lang w:eastAsia="lt-LT"/>
        </w:rPr>
        <w:t xml:space="preserve">sausio 13 d. naktį su vyru </w:t>
      </w:r>
      <w:r>
        <w:rPr>
          <w:color w:val="000000"/>
          <w:lang w:eastAsia="lt-LT"/>
        </w:rPr>
        <w:t>A. K.</w:t>
      </w:r>
      <w:r w:rsidRPr="00C00255">
        <w:rPr>
          <w:color w:val="000000"/>
          <w:lang w:eastAsia="lt-LT"/>
        </w:rPr>
        <w:t xml:space="preserve"> buvo prie LRT, Konarskio g., kur atvažiavo ne mažiau kaip du autobusai su uždengtais langais. Iš jo išlipo civiliais rūbais apsirengę žmonės, tačiau rankose jie turėjo kažkokias lazdas ir buvo nusiteikę agresyviai. Jiems bėgant link LRT pastatų, ji jų kažko paklausė ir šie pradėjo mušti žmones. Jos vyrą mušė ne mažiau kaip trys draugovininkai </w:t>
      </w:r>
      <w:r w:rsidRPr="00C00255">
        <w:rPr>
          <w:lang w:eastAsia="lt-LT"/>
        </w:rPr>
        <w:t>(t. 471, b. l. 37</w:t>
      </w:r>
      <w:r w:rsidRPr="00C00255">
        <w:t>–</w:t>
      </w:r>
      <w:r w:rsidRPr="00C00255">
        <w:rPr>
          <w:lang w:eastAsia="lt-LT"/>
        </w:rPr>
        <w:t>38).</w:t>
      </w:r>
      <w:r w:rsidRPr="00C00255">
        <w:t xml:space="preserve"> </w:t>
      </w:r>
    </w:p>
    <w:p w:rsidR="00DA38E9" w:rsidRPr="00C00255" w:rsidRDefault="00DA38E9" w:rsidP="00DA38E9">
      <w:pPr>
        <w:pStyle w:val="ListParagraph"/>
        <w:numPr>
          <w:ilvl w:val="1"/>
          <w:numId w:val="6"/>
        </w:numPr>
        <w:spacing w:before="120" w:after="120"/>
        <w:ind w:left="993" w:hanging="993"/>
        <w:contextualSpacing w:val="0"/>
      </w:pPr>
      <w:r w:rsidRPr="00C00255">
        <w:t xml:space="preserve">Teismo medicininės ekspertizės akte Nr. 819 konstatuota, kad </w:t>
      </w:r>
      <w:r>
        <w:t>A. K.</w:t>
      </w:r>
      <w:r w:rsidRPr="00C00255">
        <w:t xml:space="preserve"> padarytas stiprus veido sumušimas su smegenų sumušimu, dešiniojo smilkinkaulio ir kaukolės pamato vidurinės daubos lūžimu dešinėje, kairio momenkaulio įskilimas, nosikaulių lūžimas, trišakio nervo 2</w:t>
      </w:r>
      <w:r>
        <w:t> </w:t>
      </w:r>
      <w:r w:rsidRPr="00C00255">
        <w:t>šakos neuralgija, muštinė žaizda nosies nugarėlėje, kraujosruvos veido dešinėje pusėje. Sužalojimai padaryti kietu buku daiktu 1991 m. sausio 13 d. Konstatuotas sunkus kūno sužalojimas (t. 60, b. l. 26</w:t>
      </w:r>
      <w:bookmarkStart w:id="698" w:name="_Hlk63613015"/>
      <w:r w:rsidRPr="00C00255">
        <w:rPr>
          <w:szCs w:val="24"/>
        </w:rPr>
        <w:t>–</w:t>
      </w:r>
      <w:bookmarkEnd w:id="698"/>
      <w:r w:rsidRPr="00C00255">
        <w:t xml:space="preserve">27). 2011 m. vasario 28 d. specialisto išvadoje Nr. G549/11(01) taip pat konstatuota, kad </w:t>
      </w:r>
      <w:r>
        <w:t>A. K.</w:t>
      </w:r>
      <w:r w:rsidRPr="00C00255">
        <w:t xml:space="preserve"> padaryti kūno sužalojimai atitinka sunkų sveikatos sutrikdymą (t. 466, b. l. 58</w:t>
      </w:r>
      <w:bookmarkStart w:id="699" w:name="_Hlk63614109"/>
      <w:r w:rsidRPr="00C00255">
        <w:rPr>
          <w:szCs w:val="24"/>
        </w:rPr>
        <w:t>–</w:t>
      </w:r>
      <w:bookmarkEnd w:id="699"/>
      <w:r w:rsidRPr="00C00255">
        <w:t>61).</w:t>
      </w:r>
      <w:r w:rsidRPr="00C00255">
        <w:rPr>
          <w:szCs w:val="24"/>
        </w:rPr>
        <w:t xml:space="preserve"> </w:t>
      </w:r>
    </w:p>
    <w:p w:rsidR="00DA38E9" w:rsidRPr="00C00255" w:rsidRDefault="00DA38E9" w:rsidP="00DA38E9">
      <w:pPr>
        <w:pStyle w:val="ListParagraph"/>
        <w:numPr>
          <w:ilvl w:val="0"/>
          <w:numId w:val="6"/>
        </w:numPr>
        <w:spacing w:after="120"/>
        <w:ind w:left="992" w:hanging="992"/>
        <w:contextualSpacing w:val="0"/>
        <w:rPr>
          <w:szCs w:val="24"/>
        </w:rPr>
      </w:pPr>
      <w:r w:rsidRPr="00C00255">
        <w:rPr>
          <w:szCs w:val="24"/>
        </w:rPr>
        <w:t xml:space="preserve">Taigi nuosprendyje padarytos išvados dėl nukentėjusiojo </w:t>
      </w:r>
      <w:r>
        <w:rPr>
          <w:szCs w:val="24"/>
        </w:rPr>
        <w:t>A. K.</w:t>
      </w:r>
      <w:r w:rsidRPr="00C00255">
        <w:rPr>
          <w:szCs w:val="24"/>
        </w:rPr>
        <w:t xml:space="preserve"> sužalojimo masto ir aplinkybių yra teisingos ir pagrįstos </w:t>
      </w:r>
      <w:r w:rsidRPr="00C00255">
        <w:t>byloje ištirtų įrodymų visuma</w:t>
      </w:r>
      <w:r w:rsidRPr="00C00255">
        <w:rPr>
          <w:szCs w:val="24"/>
        </w:rPr>
        <w:t>.</w:t>
      </w:r>
    </w:p>
    <w:p w:rsidR="00DA38E9" w:rsidRPr="00C00255" w:rsidRDefault="00DA38E9" w:rsidP="00DA38E9">
      <w:pPr>
        <w:pStyle w:val="Heading3"/>
        <w:ind w:left="993"/>
        <w:jc w:val="both"/>
        <w:rPr>
          <w:b w:val="0"/>
          <w:bCs/>
          <w:i/>
          <w:iCs/>
          <w:sz w:val="24"/>
          <w:szCs w:val="24"/>
          <w:lang w:val="lt-LT"/>
        </w:rPr>
      </w:pPr>
      <w:bookmarkStart w:id="700" w:name="_Toc66697311"/>
      <w:bookmarkStart w:id="701" w:name="_Toc67480791"/>
      <w:bookmarkStart w:id="702" w:name="_Toc67677403"/>
      <w:bookmarkStart w:id="703" w:name="_Toc67985531"/>
      <w:r w:rsidRPr="00C00255">
        <w:rPr>
          <w:b w:val="0"/>
          <w:bCs/>
          <w:i/>
          <w:iCs/>
          <w:sz w:val="24"/>
          <w:szCs w:val="24"/>
          <w:lang w:val="lt-LT"/>
        </w:rPr>
        <w:t>Dėl kitų skundžiamu nuosprendžiu nustatytų faktinių aplinkybių, susijusių su LRT užėmimu, pagrįstumo</w:t>
      </w:r>
      <w:bookmarkEnd w:id="700"/>
      <w:bookmarkEnd w:id="701"/>
      <w:bookmarkEnd w:id="702"/>
      <w:bookmarkEnd w:id="703"/>
      <w:r w:rsidRPr="00C00255">
        <w:rPr>
          <w:b w:val="0"/>
          <w:bCs/>
          <w:i/>
          <w:iCs/>
          <w:sz w:val="24"/>
          <w:szCs w:val="24"/>
          <w:lang w:val="lt-LT"/>
        </w:rPr>
        <w:t xml:space="preserve"> </w:t>
      </w:r>
    </w:p>
    <w:p w:rsidR="00DA38E9" w:rsidRPr="00C00255" w:rsidRDefault="00DA38E9" w:rsidP="00DA38E9">
      <w:pPr>
        <w:pStyle w:val="ListParagraph"/>
        <w:numPr>
          <w:ilvl w:val="0"/>
          <w:numId w:val="6"/>
        </w:numPr>
        <w:spacing w:before="120" w:after="120"/>
        <w:ind w:left="993" w:hanging="993"/>
        <w:contextualSpacing w:val="0"/>
        <w:rPr>
          <w:color w:val="000000"/>
          <w:szCs w:val="24"/>
          <w:lang w:eastAsia="lt-LT" w:bidi="lt-LT"/>
        </w:rPr>
      </w:pPr>
      <w:r w:rsidRPr="00C00255">
        <w:rPr>
          <w:szCs w:val="24"/>
        </w:rPr>
        <w:t xml:space="preserve">Nagrinėjamoje byloje apeliaciniais skundais ginčijamos ir pirmosios instancijos teismo nustatytos kitos faktinės aplinkybės, susijusios su LRT pastatų užėmimu. Atskiruose apeliaciniuose skunduose keliamos abejonės dėl nukentėjusiojo </w:t>
      </w:r>
      <w:r>
        <w:rPr>
          <w:szCs w:val="24"/>
        </w:rPr>
        <w:t>A. K.</w:t>
      </w:r>
      <w:r w:rsidRPr="00C00255">
        <w:rPr>
          <w:szCs w:val="24"/>
        </w:rPr>
        <w:t xml:space="preserve"> nužudymo, nukentėjusiųjų </w:t>
      </w:r>
      <w:r>
        <w:rPr>
          <w:szCs w:val="24"/>
        </w:rPr>
        <w:t>K. B.</w:t>
      </w:r>
      <w:r w:rsidRPr="00C00255">
        <w:rPr>
          <w:szCs w:val="24"/>
        </w:rPr>
        <w:t>, Ž.</w:t>
      </w:r>
      <w:r>
        <w:rPr>
          <w:szCs w:val="24"/>
        </w:rPr>
        <w:t> </w:t>
      </w:r>
      <w:r w:rsidRPr="00C00255">
        <w:rPr>
          <w:szCs w:val="24"/>
        </w:rPr>
        <w:t>J</w:t>
      </w:r>
      <w:r>
        <w:rPr>
          <w:szCs w:val="24"/>
        </w:rPr>
        <w:t>.</w:t>
      </w:r>
      <w:r w:rsidRPr="00C00255">
        <w:rPr>
          <w:szCs w:val="24"/>
        </w:rPr>
        <w:t>, K.</w:t>
      </w:r>
      <w:r>
        <w:rPr>
          <w:szCs w:val="24"/>
        </w:rPr>
        <w:t> </w:t>
      </w:r>
      <w:r w:rsidRPr="00C00255">
        <w:rPr>
          <w:szCs w:val="24"/>
        </w:rPr>
        <w:t>Č</w:t>
      </w:r>
      <w:r>
        <w:rPr>
          <w:szCs w:val="24"/>
        </w:rPr>
        <w:t>.</w:t>
      </w:r>
      <w:r w:rsidRPr="00C00255">
        <w:rPr>
          <w:szCs w:val="24"/>
        </w:rPr>
        <w:t>, V.</w:t>
      </w:r>
      <w:r>
        <w:rPr>
          <w:szCs w:val="24"/>
        </w:rPr>
        <w:t> </w:t>
      </w:r>
      <w:r w:rsidRPr="00C00255">
        <w:rPr>
          <w:szCs w:val="24"/>
        </w:rPr>
        <w:t>B</w:t>
      </w:r>
      <w:r>
        <w:rPr>
          <w:szCs w:val="24"/>
        </w:rPr>
        <w:t>.</w:t>
      </w:r>
      <w:r w:rsidRPr="00C00255">
        <w:rPr>
          <w:szCs w:val="24"/>
        </w:rPr>
        <w:t xml:space="preserve"> sužalojimo aplinkybių (kitų nukentėjusiųjų sužalojimo aplinkybės nėra ginčijamos), dėl TSRS kariškių panaudotų šovinių tipo bei atliktų šūvių pobūdžio, dėl TSRS kariškių panaudotų sprogmenų „Zaria“ ir „Čeriomucha“,</w:t>
      </w:r>
      <w:r w:rsidRPr="00C00255">
        <w:rPr>
          <w:szCs w:val="24"/>
          <w:lang w:eastAsia="lt-LT"/>
        </w:rPr>
        <w:t xml:space="preserve"> dėl civilių elgesio ir šaudymo į TSRS kariškius ir pan. </w:t>
      </w:r>
    </w:p>
    <w:p w:rsidR="00DA38E9" w:rsidRPr="00C00255" w:rsidRDefault="00DA38E9" w:rsidP="00DA38E9">
      <w:pPr>
        <w:pStyle w:val="Heading4"/>
        <w:spacing w:before="120" w:after="120"/>
        <w:ind w:left="993"/>
        <w:rPr>
          <w:rFonts w:ascii="Times New Roman" w:hAnsi="Times New Roman"/>
          <w:b w:val="0"/>
          <w:i/>
          <w:sz w:val="24"/>
          <w:szCs w:val="24"/>
        </w:rPr>
      </w:pPr>
      <w:bookmarkStart w:id="704" w:name="_Toc66697312"/>
      <w:r w:rsidRPr="00C00255">
        <w:rPr>
          <w:rFonts w:ascii="Times New Roman" w:hAnsi="Times New Roman"/>
          <w:b w:val="0"/>
          <w:i/>
          <w:sz w:val="24"/>
          <w:szCs w:val="24"/>
        </w:rPr>
        <w:t>Dėl TSRS kariškių prie LRT Radijo pastato panaudotų „Zaria“ ir „Čeriomucha“</w:t>
      </w:r>
      <w:bookmarkEnd w:id="704"/>
    </w:p>
    <w:p w:rsidR="00DA38E9" w:rsidRPr="00C00255" w:rsidRDefault="00DA38E9" w:rsidP="00DA38E9">
      <w:pPr>
        <w:pStyle w:val="ListParagraph"/>
        <w:numPr>
          <w:ilvl w:val="0"/>
          <w:numId w:val="6"/>
        </w:numPr>
        <w:suppressAutoHyphens/>
        <w:spacing w:after="120"/>
        <w:ind w:left="992" w:hanging="992"/>
        <w:contextualSpacing w:val="0"/>
        <w:rPr>
          <w:szCs w:val="24"/>
        </w:rPr>
      </w:pPr>
      <w:r w:rsidRPr="00C00255">
        <w:rPr>
          <w:color w:val="000000"/>
          <w:szCs w:val="24"/>
          <w:lang w:bidi="lt-LT"/>
        </w:rPr>
        <w:t xml:space="preserve">Priešingai nei teigia nuteistųjų </w:t>
      </w:r>
      <w:r>
        <w:rPr>
          <w:color w:val="000000"/>
          <w:szCs w:val="24"/>
          <w:lang w:bidi="lt-LT"/>
        </w:rPr>
        <w:t>J. S.</w:t>
      </w:r>
      <w:r w:rsidRPr="00C00255">
        <w:rPr>
          <w:color w:val="000000"/>
          <w:szCs w:val="24"/>
          <w:lang w:bidi="lt-LT"/>
        </w:rPr>
        <w:t xml:space="preserve"> ir </w:t>
      </w:r>
      <w:r>
        <w:rPr>
          <w:color w:val="000000"/>
          <w:szCs w:val="24"/>
          <w:lang w:bidi="lt-LT"/>
        </w:rPr>
        <w:t>O. M.</w:t>
      </w:r>
      <w:r w:rsidRPr="00C00255">
        <w:rPr>
          <w:color w:val="000000"/>
          <w:szCs w:val="24"/>
          <w:lang w:bidi="lt-LT"/>
        </w:rPr>
        <w:t xml:space="preserve"> gynėjai, teisėjų kolegija neturi pagrindo abejoti, kad TSRS VRM Vidaus kariuomenės 42-osios divizijos konvojaus pulko mokomosios specialiosios paskirties kuopos kariškiai dalyvavo šturmuojant LRT Radijo pastatą ir jo užėmimo metu naudojo </w:t>
      </w:r>
      <w:r w:rsidRPr="00C00255">
        <w:t xml:space="preserve">granatas </w:t>
      </w:r>
      <w:bookmarkStart w:id="705" w:name="_Hlk64268975"/>
      <w:r w:rsidRPr="00C00255">
        <w:t>„Zaria“ bei įvairių rūšių užtaisus „Čeriomucha“</w:t>
      </w:r>
      <w:bookmarkEnd w:id="705"/>
      <w:r w:rsidRPr="00C00255">
        <w:t xml:space="preserve">. </w:t>
      </w:r>
      <w:r w:rsidRPr="00C00255">
        <w:rPr>
          <w:szCs w:val="24"/>
        </w:rPr>
        <w:t>Tokią išvadą patvirtina iš skirtingų šaltinių gautų ir BPK 20 straipsnio reikalavimus atitinkančių įrodymų visuma.</w:t>
      </w:r>
    </w:p>
    <w:p w:rsidR="00DA38E9" w:rsidRPr="00C00255" w:rsidRDefault="00DA38E9" w:rsidP="00DA38E9">
      <w:pPr>
        <w:pStyle w:val="ListParagraph"/>
        <w:numPr>
          <w:ilvl w:val="1"/>
          <w:numId w:val="6"/>
        </w:numPr>
        <w:suppressAutoHyphens/>
        <w:spacing w:after="120"/>
        <w:ind w:left="992" w:hanging="992"/>
        <w:contextualSpacing w:val="0"/>
        <w:rPr>
          <w:szCs w:val="24"/>
        </w:rPr>
      </w:pPr>
      <w:bookmarkStart w:id="706" w:name="_Hlk64252261"/>
      <w:r w:rsidRPr="00C00255">
        <w:rPr>
          <w:szCs w:val="24"/>
          <w:lang w:eastAsia="lt-LT" w:bidi="lt-LT"/>
        </w:rPr>
        <w:t xml:space="preserve">Pirmiausia, tai, kad </w:t>
      </w:r>
      <w:bookmarkStart w:id="707" w:name="_Hlk65794555"/>
      <w:bookmarkStart w:id="708" w:name="_Hlk64252524"/>
      <w:r w:rsidRPr="00C00255">
        <w:rPr>
          <w:szCs w:val="24"/>
          <w:lang w:eastAsia="lt-LT" w:bidi="lt-LT"/>
        </w:rPr>
        <w:t>TSRS VRM Vidaus kariuomenės 42-osios divizijos konvojaus pulko</w:t>
      </w:r>
      <w:r w:rsidRPr="00C00255">
        <w:rPr>
          <w:rFonts w:eastAsia="Calibri"/>
          <w:szCs w:val="24"/>
          <w:lang w:eastAsia="lt-LT" w:bidi="lt-LT"/>
        </w:rPr>
        <w:t xml:space="preserve"> </w:t>
      </w:r>
      <w:bookmarkEnd w:id="707"/>
      <w:r w:rsidRPr="00C00255">
        <w:rPr>
          <w:rFonts w:eastAsia="Calibri"/>
          <w:szCs w:val="24"/>
        </w:rPr>
        <w:t>m</w:t>
      </w:r>
      <w:r w:rsidRPr="00C00255">
        <w:rPr>
          <w:szCs w:val="24"/>
          <w:lang w:bidi="lt-LT"/>
        </w:rPr>
        <w:t xml:space="preserve">okomosios specialiosios paskirties kuopos </w:t>
      </w:r>
      <w:bookmarkEnd w:id="708"/>
      <w:r w:rsidRPr="00C00255">
        <w:rPr>
          <w:szCs w:val="24"/>
          <w:lang w:bidi="lt-LT"/>
        </w:rPr>
        <w:t xml:space="preserve">kariškiai LRT Radijo pastato šturmo metu </w:t>
      </w:r>
      <w:r w:rsidRPr="00C00255">
        <w:rPr>
          <w:rFonts w:eastAsia="Calibri"/>
          <w:szCs w:val="24"/>
        </w:rPr>
        <w:t xml:space="preserve">naudojo ir </w:t>
      </w:r>
      <w:r w:rsidRPr="00C00255">
        <w:rPr>
          <w:szCs w:val="24"/>
          <w:lang w:bidi="lt-LT"/>
        </w:rPr>
        <w:t>sprogstamąsias specialiąsias priemones,</w:t>
      </w:r>
      <w:r w:rsidRPr="00C00255">
        <w:rPr>
          <w:szCs w:val="24"/>
          <w:lang w:eastAsia="lt-LT" w:bidi="lt-LT"/>
        </w:rPr>
        <w:t xml:space="preserve"> konstatuota 2014 m. birželio 10 d. specialisto išvadoje, kurioje nurodyta, kad </w:t>
      </w:r>
      <w:r w:rsidRPr="00C00255">
        <w:rPr>
          <w:rFonts w:eastAsia="Calibri"/>
          <w:szCs w:val="24"/>
        </w:rPr>
        <w:t xml:space="preserve">TSRS VRM Vidaus kariuomenės 42-osios divizijos konvojaus pulko </w:t>
      </w:r>
      <w:r w:rsidRPr="00C00255">
        <w:rPr>
          <w:szCs w:val="24"/>
          <w:lang w:bidi="lt-LT"/>
        </w:rPr>
        <w:t xml:space="preserve">mokomosios specialiosios paskirties kuopos kariškiai taip pat buvo ginkluoti ir </w:t>
      </w:r>
      <w:r w:rsidRPr="00C00255">
        <w:t xml:space="preserve">granatomis „Zaria“, įvairių rūšių užtaisais „Čeriomucha“. Specialisto išvadoje taip pat nurodyta ir tai, kad LRT Radijo užėmimo metu VRM Vidaus kariuomenės 42-osios divizijos kariškiai išnaudojo 16 vnt. granatų „Zaria“, 13 vnt. įvairių rūšių užtaisų „Čeriomucha“ </w:t>
      </w:r>
      <w:r w:rsidR="00E0397A">
        <w:rPr>
          <w:rFonts w:eastAsia="Calibri"/>
        </w:rPr>
        <w:t>(t. 480, </w:t>
      </w:r>
      <w:r w:rsidRPr="00E0397A">
        <w:rPr>
          <w:rFonts w:eastAsia="Calibri"/>
        </w:rPr>
        <w:t>b. l. 37</w:t>
      </w:r>
      <w:r w:rsidRPr="00E0397A">
        <w:t>–</w:t>
      </w:r>
      <w:r w:rsidRPr="00E0397A">
        <w:rPr>
          <w:rFonts w:eastAsia="Calibri"/>
        </w:rPr>
        <w:t>45, 53</w:t>
      </w:r>
      <w:r w:rsidRPr="00E0397A">
        <w:t>–</w:t>
      </w:r>
      <w:r w:rsidRPr="00E0397A">
        <w:rPr>
          <w:rFonts w:eastAsia="Calibri"/>
        </w:rPr>
        <w:t>63).</w:t>
      </w:r>
      <w:r w:rsidRPr="00C00255">
        <w:rPr>
          <w:szCs w:val="24"/>
          <w:lang w:eastAsia="lt-LT" w:bidi="lt-LT"/>
        </w:rPr>
        <w:t xml:space="preserve"> </w:t>
      </w:r>
    </w:p>
    <w:p w:rsidR="00DA38E9" w:rsidRPr="00C00255" w:rsidRDefault="00DA38E9" w:rsidP="00DA38E9">
      <w:pPr>
        <w:pStyle w:val="ListParagraph"/>
        <w:numPr>
          <w:ilvl w:val="1"/>
          <w:numId w:val="6"/>
        </w:numPr>
        <w:ind w:left="993" w:hanging="993"/>
        <w:rPr>
          <w:szCs w:val="24"/>
        </w:rPr>
      </w:pPr>
      <w:r w:rsidRPr="00C00255">
        <w:rPr>
          <w:szCs w:val="24"/>
        </w:rPr>
        <w:t>Specialistas J. Andriškevičius apklausiamas apie vaizdo įrašuose matomus LRT užėmimo įvykius, nurodė konkrečius vaizdo įrašuose užfiksuotus atvejus, kai buvo panaudoti šviesos ir garso sprogstamieji įtaisai prie LRT Radijo pastato (t. 479, b. l. 132–142). Kaip matyti iš specialisto paaiškinimų, šiame kontekste aktualūs DVD pavadinimu „LRS Kanceliarija vaizdo įrašai“ 4 filme užfiksuoti vaizdai prie LRT, kuriuose nuo 18 min. 12 sek. iki 18 min. 13 sek. dešinėje vaizdo įrašo pusėje, matyti sprogimas, kuris gali būti arba tanko šūvio, arba specialiųjų priemonių sprogimo efektas. Tačiau po sprogimo, stebint vaizdą toje vietoje, kurioje matėsi sprogimas, nesimato tanko, kurio šūvis galėjo sukelti panašų efektą (</w:t>
      </w:r>
      <w:r w:rsidR="00902A3A">
        <w:rPr>
          <w:szCs w:val="24"/>
        </w:rPr>
        <w:t>t. 479, </w:t>
      </w:r>
      <w:r w:rsidRPr="00C00255">
        <w:rPr>
          <w:szCs w:val="24"/>
        </w:rPr>
        <w:t>b.</w:t>
      </w:r>
      <w:r>
        <w:rPr>
          <w:szCs w:val="24"/>
        </w:rPr>
        <w:t> </w:t>
      </w:r>
      <w:r w:rsidRPr="00C00255">
        <w:rPr>
          <w:szCs w:val="24"/>
        </w:rPr>
        <w:t>l.</w:t>
      </w:r>
      <w:r>
        <w:rPr>
          <w:szCs w:val="24"/>
        </w:rPr>
        <w:t> </w:t>
      </w:r>
      <w:r w:rsidRPr="00C00255">
        <w:rPr>
          <w:szCs w:val="24"/>
        </w:rPr>
        <w:t>133). DVD pavadinimu „Atgimimo kronika“, vaizdo įraše užfiksuoti vaizdai, kuriuose nuo 1 val. 16 min. 21 sek. iki 1 val. 16 min. 30 sek. matyti vaizdas galimai prie LRT Radijo pastato, kur matyti sprogimo, galimai sprogstamojo paketo, blyksnis (t. 479, b. l. 136).</w:t>
      </w:r>
      <w:r w:rsidRPr="00C00255">
        <w:t xml:space="preserve"> </w:t>
      </w:r>
      <w:r w:rsidRPr="00C00255">
        <w:rPr>
          <w:szCs w:val="24"/>
        </w:rPr>
        <w:t xml:space="preserve">DVD pavadinimu „Sausio 13-oji“ vaizdo įraše </w:t>
      </w:r>
      <w:bookmarkStart w:id="709" w:name="_Hlk65793739"/>
      <w:r w:rsidRPr="00C00255">
        <w:rPr>
          <w:szCs w:val="24"/>
        </w:rPr>
        <w:t xml:space="preserve">nuo 19 min. 12 sek. iki 19 min. 30 sek. užfiksuoti vaizdai, kuriuose matyti, </w:t>
      </w:r>
      <w:bookmarkEnd w:id="709"/>
      <w:r w:rsidRPr="00C00255">
        <w:rPr>
          <w:szCs w:val="24"/>
        </w:rPr>
        <w:t xml:space="preserve">kaip prie LRT Radijo pastato sprogdinamas sprogstamasis užtaisas. </w:t>
      </w:r>
      <w:bookmarkStart w:id="710" w:name="_Hlk65793825"/>
      <w:r w:rsidRPr="00C00255">
        <w:rPr>
          <w:szCs w:val="24"/>
        </w:rPr>
        <w:t xml:space="preserve">Nuo 19 min. 38 sek. iki 19 min. 49 sek. matyti </w:t>
      </w:r>
      <w:bookmarkEnd w:id="710"/>
      <w:r w:rsidRPr="00C00255">
        <w:rPr>
          <w:szCs w:val="24"/>
        </w:rPr>
        <w:t>sprogstamojo užtaiso sprogimo vaizdas prie LRT Radijo pastato. Nuo 19 min. 49 sek. iki 19 min. 58 sek. matyti prie Radijo pastato dešinėje sprogstamojo užtaiso sprogimas (t. 479, b. l. 138; ryškaus šviesos blyksnio ir po jo sekančio dūmų pliūpsnio kadrai – t. 479, b. l. 246–247, 249).</w:t>
      </w:r>
    </w:p>
    <w:p w:rsidR="00DA38E9" w:rsidRPr="00C00255" w:rsidRDefault="00DA38E9" w:rsidP="00DA38E9">
      <w:pPr>
        <w:pStyle w:val="ListParagraph"/>
        <w:numPr>
          <w:ilvl w:val="1"/>
          <w:numId w:val="6"/>
        </w:numPr>
        <w:suppressAutoHyphens/>
        <w:spacing w:before="120" w:after="120"/>
        <w:ind w:left="993" w:hanging="993"/>
        <w:contextualSpacing w:val="0"/>
        <w:rPr>
          <w:szCs w:val="24"/>
        </w:rPr>
      </w:pPr>
      <w:r w:rsidRPr="00C00255">
        <w:rPr>
          <w:szCs w:val="24"/>
        </w:rPr>
        <w:t>Lietuvos policijos antiteroristinių operacijų rinktinės grupės „ARAS“ vadas V. G</w:t>
      </w:r>
      <w:r>
        <w:rPr>
          <w:szCs w:val="24"/>
        </w:rPr>
        <w:t>.</w:t>
      </w:r>
      <w:r w:rsidRPr="00C00255">
        <w:rPr>
          <w:szCs w:val="24"/>
        </w:rPr>
        <w:t xml:space="preserve"> taip pat nurodė, kad apžiūrint vaizdo įrašus, esančius kompaktiniame diske „LRS Kanceliarija vaizdo įrašai“, 4 įraše, kuriame užfiksuoti įvykiai prie LRT, nuo 18 min. 12 sek. matyti „Zaria“ ar kitos šviesos ir garso granatos sprogimas (t. 481 b. l. 129</w:t>
      </w:r>
      <w:r w:rsidRPr="00C00255">
        <w:t>–</w:t>
      </w:r>
      <w:r w:rsidRPr="00C00255">
        <w:rPr>
          <w:szCs w:val="24"/>
        </w:rPr>
        <w:t xml:space="preserve">132). </w:t>
      </w:r>
    </w:p>
    <w:bookmarkEnd w:id="706"/>
    <w:p w:rsidR="00DA38E9" w:rsidRPr="00C00255" w:rsidRDefault="00DA38E9" w:rsidP="00DA38E9">
      <w:pPr>
        <w:pStyle w:val="ListParagraph"/>
        <w:numPr>
          <w:ilvl w:val="1"/>
          <w:numId w:val="6"/>
        </w:numPr>
        <w:suppressAutoHyphens/>
        <w:spacing w:before="120" w:after="120"/>
        <w:ind w:left="993" w:hanging="993"/>
        <w:contextualSpacing w:val="0"/>
        <w:rPr>
          <w:szCs w:val="24"/>
        </w:rPr>
      </w:pPr>
      <w:r w:rsidRPr="00C00255">
        <w:rPr>
          <w:szCs w:val="24"/>
        </w:rPr>
        <w:t xml:space="preserve">Tai, kad TSRS VRM Vidaus kariuomenės 42-osios divizijos konvojaus pulko mokomosios specialiosios paskirties kuopos kariškiai 1991 m. sausio 13 d įvykiuose panaudojo </w:t>
      </w:r>
      <w:r w:rsidRPr="00C00255">
        <w:t>16 vnt. granatų „Zaria“, 13 vnt. įvairių rūšių užtaisų „Čeriomucha“, rašte nurodė ir tarnybos viršininkas majoras G</w:t>
      </w:r>
      <w:r>
        <w:t>.</w:t>
      </w:r>
      <w:r w:rsidRPr="00C00255">
        <w:t xml:space="preserve"> (t. 438, b. l. 30). Teisėjų kolegija pažymi, kad neturi pagrindo abejoti minėtame rašte nurodytų duomenų teisingumu ir jų nepaneigia apeliaciniame skunde nurodytos aplinkybės, jog minėtos spec. priemonės galėjo būti išnaudotos 1990 m. gruodžio mėnesį vykusiose pratybose, nes 2014 m. birželio 10 d. specialisto išvadoje nurodyta, kad šaudmenų nurašymas nebūtų pratybų sąskaita TSRS kariuomenėje buvo dažnas iš praktikos žinomas reiškinys (t. 480, b. l. 63). Be to, teisiamojo posėdžio metu liudytojas ginklų sandėlio viršininkas </w:t>
      </w:r>
      <w:r>
        <w:t>H. N.</w:t>
      </w:r>
      <w:r w:rsidRPr="00C00255">
        <w:t xml:space="preserve"> taip pat nurodė, kad po įvykių jam buvo pateikti šovinių, priemonių „Zaria” ir „Čeriomucha” nurašymo aktai (t. 760, b. l. 141).</w:t>
      </w:r>
    </w:p>
    <w:p w:rsidR="00DA38E9" w:rsidRPr="00C00255" w:rsidRDefault="00DA38E9" w:rsidP="00DA38E9">
      <w:pPr>
        <w:pStyle w:val="ListParagraph"/>
        <w:numPr>
          <w:ilvl w:val="1"/>
          <w:numId w:val="6"/>
        </w:numPr>
        <w:suppressAutoHyphens/>
        <w:spacing w:before="120" w:after="120"/>
        <w:ind w:left="993" w:hanging="993"/>
        <w:contextualSpacing w:val="0"/>
        <w:rPr>
          <w:szCs w:val="24"/>
        </w:rPr>
      </w:pPr>
      <w:r w:rsidRPr="00C00255">
        <w:rPr>
          <w:szCs w:val="24"/>
        </w:rPr>
        <w:t>Teisėjų kolegija taip pat pažymi, kad ne vienas liudytojas ir nukentėjusysis nurodė, kad užimant LRT Radijo pastatą, kur kaip nustatyta dalyvavo TSRS VRM Vidaus kariuomenės 42-osios divizijos konvojaus pulko mokomosios specialiosios paskirties kuopos kariškiai, civiliams asmenims po kojomis buvo mėtomi dūminiai užtaisai, taip pat sprogstamieji įtaisai, kurie sukelia garsą ir šviečia (plačiau apie šių liudytojų ir nukentėjusiųjų parodymus teisėjų kolegija pasisakys atskiroje dalyje „</w:t>
      </w:r>
      <w:r w:rsidRPr="00C00255">
        <w:rPr>
          <w:i/>
          <w:iCs/>
          <w:szCs w:val="24"/>
        </w:rPr>
        <w:t xml:space="preserve">Dėl </w:t>
      </w:r>
      <w:r>
        <w:rPr>
          <w:i/>
          <w:iCs/>
          <w:szCs w:val="24"/>
        </w:rPr>
        <w:t>A. K.</w:t>
      </w:r>
      <w:r w:rsidRPr="00C00255">
        <w:rPr>
          <w:i/>
          <w:iCs/>
          <w:szCs w:val="24"/>
        </w:rPr>
        <w:t xml:space="preserve"> nužudymo ir </w:t>
      </w:r>
      <w:r>
        <w:rPr>
          <w:i/>
          <w:iCs/>
          <w:szCs w:val="24"/>
        </w:rPr>
        <w:t>K. B.</w:t>
      </w:r>
      <w:r w:rsidRPr="00C00255">
        <w:rPr>
          <w:i/>
          <w:iCs/>
          <w:szCs w:val="24"/>
        </w:rPr>
        <w:t xml:space="preserve"> ir kt. sveikatos sutrikdymo</w:t>
      </w:r>
      <w:r w:rsidRPr="00C00255">
        <w:rPr>
          <w:szCs w:val="24"/>
        </w:rPr>
        <w:t>“).</w:t>
      </w:r>
    </w:p>
    <w:p w:rsidR="00DA38E9" w:rsidRPr="00C00255" w:rsidRDefault="00DA38E9" w:rsidP="00DA38E9">
      <w:pPr>
        <w:pStyle w:val="ListParagraph"/>
        <w:numPr>
          <w:ilvl w:val="0"/>
          <w:numId w:val="6"/>
        </w:numPr>
        <w:spacing w:before="120" w:after="120"/>
        <w:ind w:left="993" w:hanging="993"/>
        <w:contextualSpacing w:val="0"/>
        <w:rPr>
          <w:szCs w:val="24"/>
        </w:rPr>
      </w:pPr>
      <w:r w:rsidRPr="00C00255">
        <w:rPr>
          <w:szCs w:val="24"/>
          <w:lang w:eastAsia="lt-LT"/>
        </w:rPr>
        <w:t xml:space="preserve">Teisėjų kolegijos vertinimu, aptarta įrodymų visuma patvirtina, kad TSRS VRM Vidaus kariuomenės 42-osios divizijos konvojaus pulko </w:t>
      </w:r>
      <w:r w:rsidRPr="00C00255">
        <w:rPr>
          <w:rFonts w:eastAsia="Calibri"/>
          <w:szCs w:val="24"/>
        </w:rPr>
        <w:t>m</w:t>
      </w:r>
      <w:r w:rsidRPr="00C00255">
        <w:rPr>
          <w:szCs w:val="24"/>
          <w:lang w:bidi="lt-LT"/>
        </w:rPr>
        <w:t xml:space="preserve">okomosios specialiosios paskirties kuopos </w:t>
      </w:r>
      <w:r w:rsidRPr="00C00255">
        <w:rPr>
          <w:szCs w:val="24"/>
          <w:lang w:eastAsia="lt-LT"/>
        </w:rPr>
        <w:t xml:space="preserve">kariškiai, verždamiesi prie LRT Radijo pastato, prieš civilius išties panaudojo minėtas specialiąsias priemones. </w:t>
      </w:r>
    </w:p>
    <w:p w:rsidR="00DA38E9" w:rsidRPr="00C00255" w:rsidRDefault="00DA38E9" w:rsidP="00DA38E9">
      <w:pPr>
        <w:pStyle w:val="Heading4"/>
        <w:spacing w:before="120" w:after="120"/>
        <w:ind w:left="993"/>
        <w:rPr>
          <w:rFonts w:ascii="Times New Roman" w:hAnsi="Times New Roman"/>
          <w:b w:val="0"/>
          <w:i/>
          <w:color w:val="000000"/>
          <w:sz w:val="24"/>
          <w:szCs w:val="24"/>
        </w:rPr>
      </w:pPr>
      <w:bookmarkStart w:id="711" w:name="_Toc66697313"/>
      <w:bookmarkStart w:id="712" w:name="_Hlk64252848"/>
      <w:r w:rsidRPr="00C00255">
        <w:rPr>
          <w:rFonts w:ascii="Times New Roman" w:hAnsi="Times New Roman"/>
          <w:b w:val="0"/>
          <w:i/>
          <w:color w:val="000000"/>
          <w:sz w:val="24"/>
          <w:szCs w:val="24"/>
        </w:rPr>
        <w:t xml:space="preserve">Dėl </w:t>
      </w:r>
      <w:r>
        <w:rPr>
          <w:rFonts w:ascii="Times New Roman" w:hAnsi="Times New Roman"/>
          <w:b w:val="0"/>
          <w:i/>
          <w:color w:val="000000"/>
          <w:sz w:val="24"/>
          <w:szCs w:val="24"/>
        </w:rPr>
        <w:t>A. K.</w:t>
      </w:r>
      <w:r w:rsidRPr="00C00255">
        <w:rPr>
          <w:rFonts w:ascii="Times New Roman" w:hAnsi="Times New Roman"/>
          <w:b w:val="0"/>
          <w:i/>
          <w:color w:val="000000"/>
          <w:sz w:val="24"/>
          <w:szCs w:val="24"/>
        </w:rPr>
        <w:t xml:space="preserve"> nužudymo, </w:t>
      </w:r>
      <w:r>
        <w:rPr>
          <w:rFonts w:ascii="Times New Roman" w:hAnsi="Times New Roman"/>
          <w:b w:val="0"/>
          <w:i/>
          <w:color w:val="000000"/>
          <w:sz w:val="24"/>
          <w:szCs w:val="24"/>
        </w:rPr>
        <w:t>K. B.</w:t>
      </w:r>
      <w:r w:rsidRPr="00C00255">
        <w:rPr>
          <w:rFonts w:ascii="Times New Roman" w:hAnsi="Times New Roman"/>
          <w:b w:val="0"/>
          <w:i/>
          <w:color w:val="000000"/>
          <w:sz w:val="24"/>
          <w:szCs w:val="24"/>
        </w:rPr>
        <w:t xml:space="preserve"> ir kt. sveikatos sutrikdymo</w:t>
      </w:r>
      <w:bookmarkEnd w:id="711"/>
    </w:p>
    <w:bookmarkEnd w:id="712"/>
    <w:p w:rsidR="00DA38E9" w:rsidRPr="005D022C" w:rsidRDefault="00DA38E9" w:rsidP="00DA38E9">
      <w:pPr>
        <w:pStyle w:val="ListParagraph"/>
        <w:numPr>
          <w:ilvl w:val="0"/>
          <w:numId w:val="6"/>
        </w:numPr>
        <w:spacing w:before="120" w:after="120"/>
        <w:ind w:left="993" w:hanging="993"/>
        <w:contextualSpacing w:val="0"/>
        <w:rPr>
          <w:lang w:eastAsia="lt-LT"/>
        </w:rPr>
      </w:pPr>
      <w:r w:rsidRPr="005D022C">
        <w:rPr>
          <w:lang w:eastAsia="lt-LT"/>
        </w:rPr>
        <w:t xml:space="preserve">Aplinkybės, kad nukentėjusysis A. K. buvo sužalotas LRT Radijo pastato užėmimo metu, nustatytos jau išnagrinėtoje </w:t>
      </w:r>
      <w:r w:rsidRPr="005D022C">
        <w:rPr>
          <w:szCs w:val="24"/>
        </w:rPr>
        <w:t>M. B., J. K. ir kitų byloje.</w:t>
      </w:r>
      <w:r w:rsidRPr="005D022C">
        <w:rPr>
          <w:lang w:eastAsia="lt-LT"/>
        </w:rPr>
        <w:t xml:space="preserve"> </w:t>
      </w:r>
      <w:r w:rsidRPr="005D022C">
        <w:rPr>
          <w:szCs w:val="24"/>
          <w:lang w:eastAsia="lt-LT"/>
        </w:rPr>
        <w:t xml:space="preserve">Vilniaus apygardos teismo 1999 m. rugpjūčio 23 d. nuosprendžiu baudžiamojoje byloje Nr. 1-2/1999, be kita ko nustatyta, kad </w:t>
      </w:r>
      <w:r w:rsidRPr="005D022C">
        <w:t>LRT užėmimo metu TSRS kariškiai tyčia nužudė A. K., kuris mirė nukraujavęs dėl krūtinės ląstos traumos, padarytos sprogstamuoju užtaisu</w:t>
      </w:r>
      <w:r w:rsidRPr="005D022C">
        <w:rPr>
          <w:color w:val="000000"/>
          <w:szCs w:val="24"/>
          <w:lang w:bidi="lt-LT"/>
        </w:rPr>
        <w:t xml:space="preserve"> (t. 379, b. l. 7). </w:t>
      </w:r>
    </w:p>
    <w:p w:rsidR="00E0397A" w:rsidRPr="005D022C" w:rsidRDefault="00DA38E9" w:rsidP="00E0397A">
      <w:pPr>
        <w:pStyle w:val="ListParagraph"/>
        <w:numPr>
          <w:ilvl w:val="0"/>
          <w:numId w:val="6"/>
        </w:numPr>
        <w:spacing w:before="120" w:after="120"/>
        <w:ind w:left="993" w:hanging="993"/>
        <w:contextualSpacing w:val="0"/>
        <w:rPr>
          <w:rFonts w:eastAsia="Calibri"/>
        </w:rPr>
      </w:pPr>
      <w:bookmarkStart w:id="713" w:name="_Hlk64249317"/>
      <w:r w:rsidRPr="005D022C">
        <w:rPr>
          <w:szCs w:val="24"/>
        </w:rPr>
        <w:t xml:space="preserve">Pirmosios instancijos teismo skundžiamame nuosprendyje konstatuota, </w:t>
      </w:r>
      <w:r w:rsidRPr="005D022C">
        <w:t>kad k</w:t>
      </w:r>
      <w:r w:rsidRPr="005D022C">
        <w:rPr>
          <w:rFonts w:eastAsia="Calibri"/>
        </w:rPr>
        <w:t xml:space="preserve">aro atakos </w:t>
      </w:r>
      <w:bookmarkStart w:id="714" w:name="_Hlk63688498"/>
      <w:r w:rsidRPr="005D022C">
        <w:rPr>
          <w:rFonts w:eastAsia="Calibri"/>
        </w:rPr>
        <w:t xml:space="preserve">prie LRT Radijo pastato </w:t>
      </w:r>
      <w:bookmarkEnd w:id="714"/>
      <w:r w:rsidRPr="005D022C">
        <w:rPr>
          <w:rFonts w:eastAsia="Calibri"/>
        </w:rPr>
        <w:t xml:space="preserve">metu </w:t>
      </w:r>
      <w:bookmarkStart w:id="715" w:name="_Hlk63688522"/>
      <w:r w:rsidRPr="005D022C">
        <w:rPr>
          <w:rFonts w:eastAsia="Calibri"/>
        </w:rPr>
        <w:t>TSRS VSK grupės „A“ ir TSRS VRM Vidaus kariuomenės 42-osios divizijos konvojaus pulko mokomosios specialiosios paskirties kuopos kariškiai</w:t>
      </w:r>
      <w:bookmarkEnd w:id="715"/>
      <w:r w:rsidRPr="005D022C">
        <w:rPr>
          <w:rFonts w:eastAsia="Calibri"/>
        </w:rPr>
        <w:t xml:space="preserve">, panaudoję specialiąsias priemones, bendrais veiksmais tyčia nužudė A. K. ir sunkiai sužalojo K. B.. </w:t>
      </w:r>
    </w:p>
    <w:p w:rsidR="00DA38E9" w:rsidRPr="00E0397A" w:rsidRDefault="00DA38E9" w:rsidP="00E0397A">
      <w:pPr>
        <w:pStyle w:val="ListParagraph"/>
        <w:numPr>
          <w:ilvl w:val="0"/>
          <w:numId w:val="6"/>
        </w:numPr>
        <w:spacing w:before="120" w:after="120"/>
        <w:ind w:left="993" w:hanging="993"/>
        <w:contextualSpacing w:val="0"/>
        <w:rPr>
          <w:rFonts w:eastAsia="Calibri"/>
        </w:rPr>
      </w:pPr>
      <w:r w:rsidRPr="005D022C">
        <w:rPr>
          <w:rFonts w:eastAsia="Calibri"/>
        </w:rPr>
        <w:t>Teisėjų kolegija neabejoja, kad apygardos teismo nustatytos A. K. nužudymo, K. B., taip pat ir kt. nukentėjusiųjų sužalojimo prie LRT Radijo pastato aplinkybės yra nustatytos teisingai ir yra pagrįstos byloje ištirtais įrodymais, leidžiančiais konstatuoti, jog inkriminuojamus veiksmus atliko TSRS VSK grupės „A“ ir TSRS VRM Vidaus kariuomenės 42-osios divizijos konvojaus pulko mokomosios specialiosios paskirties kuopos kariškiai</w:t>
      </w:r>
      <w:r w:rsidRPr="00E0397A">
        <w:rPr>
          <w:rFonts w:eastAsia="Calibri"/>
        </w:rPr>
        <w:t>.</w:t>
      </w:r>
    </w:p>
    <w:p w:rsidR="00DA38E9" w:rsidRPr="00C00255" w:rsidRDefault="00DA38E9" w:rsidP="00DA38E9">
      <w:pPr>
        <w:pStyle w:val="ListParagraph"/>
        <w:numPr>
          <w:ilvl w:val="1"/>
          <w:numId w:val="6"/>
        </w:numPr>
        <w:suppressAutoHyphens/>
        <w:spacing w:before="120" w:after="120"/>
        <w:ind w:left="993" w:hanging="993"/>
        <w:contextualSpacing w:val="0"/>
        <w:rPr>
          <w:kern w:val="3"/>
          <w:szCs w:val="24"/>
        </w:rPr>
      </w:pPr>
      <w:r w:rsidRPr="00C00255">
        <w:t>Iš baudžiamojoje byloje pateikto 1991 m. sausio 13 d. teismo medicininės ekspertizės akto Nr.</w:t>
      </w:r>
      <w:r>
        <w:t> </w:t>
      </w:r>
      <w:r w:rsidRPr="00C00255">
        <w:t xml:space="preserve">53 matyti, kad </w:t>
      </w:r>
      <w:r>
        <w:rPr>
          <w:bCs/>
        </w:rPr>
        <w:t>A. K.</w:t>
      </w:r>
      <w:r w:rsidRPr="00C00255">
        <w:rPr>
          <w:bCs/>
        </w:rPr>
        <w:t xml:space="preserve"> mirė</w:t>
      </w:r>
      <w:r w:rsidRPr="00C00255">
        <w:t xml:space="preserve"> nuo ūmaus kraujo netekimo, kuris įvyko nuo krūtinės ląstos traumos, padarytos sprogstamuoju įtaisu, po ko sekė dešinės pusės šonkaulių sutrupinimas ir dešinės pusės plaučio viduriniosios ir apatiniosios skilties suknežinimas, ką patvirtina žaizdoje esantys svetimkūniai, padaryti iš plastmasės ir gumos. </w:t>
      </w:r>
      <w:r>
        <w:t>A. K.</w:t>
      </w:r>
      <w:r w:rsidRPr="00C00255">
        <w:t xml:space="preserve"> lavono ekspertizės metu rasta krūtinės ląstos dešiniojo šoninio paviršiaus plėštinė sumušimo žaizda, pažeidžiant raumenis, dešinės pusės šonkaulių sutrupinimas ir dešiniojo plaučio viduriniosios ir apatinės skilties suknežinimas. Šie sužalojimai atsirado nuo dujų ir kietų daiktų poveikio (rasta žaizdoje), sprogstamojo įtaiso sprogimo (t. 91 b. l. 140</w:t>
      </w:r>
      <w:bookmarkStart w:id="716" w:name="_Hlk63711868"/>
      <w:r w:rsidRPr="00C00255">
        <w:t>–</w:t>
      </w:r>
      <w:bookmarkEnd w:id="716"/>
      <w:r w:rsidRPr="00C00255">
        <w:t>165).</w:t>
      </w:r>
      <w:bookmarkStart w:id="717" w:name="_Hlk63773714"/>
    </w:p>
    <w:p w:rsidR="00DA38E9" w:rsidRPr="00C00255" w:rsidRDefault="00DA38E9" w:rsidP="00DA38E9">
      <w:pPr>
        <w:pStyle w:val="ListParagraph"/>
        <w:numPr>
          <w:ilvl w:val="1"/>
          <w:numId w:val="6"/>
        </w:numPr>
        <w:suppressAutoHyphens/>
        <w:spacing w:before="120" w:after="120"/>
        <w:ind w:left="993" w:hanging="993"/>
        <w:contextualSpacing w:val="0"/>
        <w:rPr>
          <w:kern w:val="3"/>
          <w:szCs w:val="24"/>
        </w:rPr>
      </w:pPr>
      <w:r w:rsidRPr="00C00255">
        <w:t xml:space="preserve">Teismo medicinos ekspertizės 1991 m. vasario 2 d. akte Nr. 626 nustatyta, kad </w:t>
      </w:r>
      <w:r>
        <w:t>K. B.</w:t>
      </w:r>
      <w:r w:rsidRPr="00C00255">
        <w:t xml:space="preserve"> padaryta daugybinės plėštinės žaizdos ir odos nubrozdinimai veide, krūtinėje, pilve, kojų šlaunyse ir blauzdose, plaštakose su veido odos impregnacija suodžiais (paraku) ir veido plaukų nudegimu, dešinės akies ragenos nudegimas, trauminis abiejų ausų būgnelių plyšimas ir klausos nervų pakenkimas su jų uždegimu bei viso kūno sumušimas ir sukrėtimas su plaučių audinio sumušimu ir plyšimu. Visa tai galėjo įvykti nuo sprogstamo užtaiso sprogimo arti kūno iš priekio (t. 60, b. l. 11–14).</w:t>
      </w:r>
      <w:bookmarkEnd w:id="717"/>
    </w:p>
    <w:p w:rsidR="00DA38E9" w:rsidRPr="005D022C" w:rsidRDefault="00DA38E9" w:rsidP="00DA38E9">
      <w:pPr>
        <w:pStyle w:val="ListParagraph"/>
        <w:numPr>
          <w:ilvl w:val="1"/>
          <w:numId w:val="6"/>
        </w:numPr>
        <w:suppressAutoHyphens/>
        <w:spacing w:before="120" w:after="120"/>
        <w:ind w:left="993" w:hanging="993"/>
        <w:contextualSpacing w:val="0"/>
        <w:rPr>
          <w:kern w:val="3"/>
          <w:szCs w:val="24"/>
        </w:rPr>
      </w:pPr>
      <w:r w:rsidRPr="005D022C">
        <w:rPr>
          <w:kern w:val="3"/>
          <w:szCs w:val="24"/>
        </w:rPr>
        <w:t xml:space="preserve">Kaip pagrįstai apeliaciniuose skunduose nurodo nuteistųjų J. S. ir O. M. gynėjai, specialistai atlikę tyrimus nenustatė, kokiu konkrečiai sprogstamuoju įtaisu tyrimo metu buvo sužalotas nukentėjusysis A. K., tačiau visi specialistai patvirtino, kad nukentėjusysis buvo sužalotas būtent sprogmens (vėlesnėje išvadoje nurodyta – </w:t>
      </w:r>
      <w:bookmarkStart w:id="718" w:name="_Hlk64246095"/>
      <w:r w:rsidRPr="005D022C">
        <w:rPr>
          <w:kern w:val="3"/>
          <w:szCs w:val="24"/>
        </w:rPr>
        <w:t>šviesos</w:t>
      </w:r>
      <w:r w:rsidRPr="005D022C">
        <w:t xml:space="preserve"> ir garso sprogstamojo įtaiso</w:t>
      </w:r>
      <w:bookmarkEnd w:id="718"/>
      <w:r w:rsidRPr="005D022C">
        <w:t>, bet ne šviesos ir garso granatos „Zaria-2“, kaip nurodoma J. S. gynėjo apeliaciniame skunde (t. 91, b. l. 194–204; t. 481, b. l. 42</w:t>
      </w:r>
      <w:bookmarkStart w:id="719" w:name="_Hlk63712548"/>
      <w:r w:rsidRPr="005D022C">
        <w:t>–</w:t>
      </w:r>
      <w:bookmarkEnd w:id="719"/>
      <w:r w:rsidRPr="005D022C">
        <w:t>43)). Priešingai nei teigia nuteistojo J. S. gynėjas, nurodytų išvadų dėl A. K. sužalojimo aplinkybių nepaneigia 2014 m. sausio 13 d. specialisto išvada Nr. 140-(3898)-IS1-126. Kaip matyti iš specialisto išvados, atlikus iš nukentėjusiųjų: A. K., K. B., G. K., N. S. ir kt., išimtų plastmasės, gumos ir putoplasto dalių (skeveldrų) lyginamąjį tyrimą su granatų ,,Zaria-2</w:t>
      </w:r>
      <w:bookmarkStart w:id="720" w:name="_Hlk64253053"/>
      <w:r w:rsidRPr="005D022C">
        <w:t>“</w:t>
      </w:r>
      <w:bookmarkEnd w:id="720"/>
      <w:r w:rsidRPr="005D022C">
        <w:t xml:space="preserve"> ir ,,Zaria“ fragmentais ir dalimis, specialistai nurodė, kad tai sprogstamųjų įtaisų fragmentai, tačiau negalėjo konkrečiai pasakyti kokių tai sprogstamųjų įtaisų dalys (t. 481, b. l. 52–57).</w:t>
      </w:r>
    </w:p>
    <w:p w:rsidR="00E0397A" w:rsidRPr="00E0397A" w:rsidRDefault="00DA38E9" w:rsidP="00E0397A">
      <w:pPr>
        <w:pStyle w:val="ListParagraph"/>
        <w:numPr>
          <w:ilvl w:val="1"/>
          <w:numId w:val="6"/>
        </w:numPr>
        <w:suppressAutoHyphens/>
        <w:spacing w:before="120" w:after="120"/>
        <w:ind w:left="993" w:hanging="993"/>
        <w:contextualSpacing w:val="0"/>
        <w:rPr>
          <w:kern w:val="3"/>
          <w:szCs w:val="24"/>
        </w:rPr>
      </w:pPr>
      <w:r w:rsidRPr="00C00255">
        <w:t xml:space="preserve">Taigi, iš aptartų įrodymų visumos nustatyta, kad nukentėjusieji </w:t>
      </w:r>
      <w:r>
        <w:t>A. K.</w:t>
      </w:r>
      <w:r w:rsidRPr="00C00255">
        <w:t xml:space="preserve"> ir </w:t>
      </w:r>
      <w:r>
        <w:t>K. B.</w:t>
      </w:r>
      <w:r w:rsidRPr="00C00255">
        <w:t xml:space="preserve"> buvo sužaloti tiksliai nenustatyta kokiu sprogstamuoju </w:t>
      </w:r>
      <w:r w:rsidRPr="00C00255">
        <w:rPr>
          <w:kern w:val="3"/>
          <w:szCs w:val="24"/>
        </w:rPr>
        <w:t>šviesos</w:t>
      </w:r>
      <w:r w:rsidRPr="00C00255">
        <w:t xml:space="preserve"> ir garso įtaisu.</w:t>
      </w:r>
      <w:bookmarkStart w:id="721" w:name="_Hlk63714616"/>
    </w:p>
    <w:p w:rsidR="00E0397A" w:rsidRPr="005D022C" w:rsidRDefault="00DA38E9" w:rsidP="00E0397A">
      <w:pPr>
        <w:pStyle w:val="ListParagraph"/>
        <w:numPr>
          <w:ilvl w:val="0"/>
          <w:numId w:val="6"/>
        </w:numPr>
        <w:suppressAutoHyphens/>
        <w:spacing w:before="120" w:after="120"/>
        <w:ind w:left="992" w:hanging="992"/>
        <w:contextualSpacing w:val="0"/>
        <w:rPr>
          <w:kern w:val="3"/>
          <w:szCs w:val="24"/>
        </w:rPr>
      </w:pPr>
      <w:r w:rsidRPr="005D022C">
        <w:rPr>
          <w:rFonts w:eastAsia="Calibri"/>
        </w:rPr>
        <w:t xml:space="preserve">Iš baudžiamojoje byloje pateiktų įrodymų taip pat nustatyta, kad LRT Radijo pastato šturmo metu būtent TSRS VSK grupės „A“ ir </w:t>
      </w:r>
      <w:bookmarkStart w:id="722" w:name="_Hlk65832097"/>
      <w:r w:rsidRPr="005D022C">
        <w:rPr>
          <w:rFonts w:eastAsia="Calibri"/>
        </w:rPr>
        <w:t xml:space="preserve">TSRS VRM Vidaus kariuomenės 42-osios divizijos konvojaus pulko </w:t>
      </w:r>
      <w:bookmarkEnd w:id="722"/>
      <w:r w:rsidRPr="005D022C">
        <w:rPr>
          <w:rFonts w:eastAsia="Calibri"/>
        </w:rPr>
        <w:t>mokomosios specialiosios paskirties kuopos kariškiai naudojo ir į susirinkusius civilius mėtė šviesos iš garso granatas</w:t>
      </w:r>
      <w:r w:rsidR="00E0397A" w:rsidRPr="005D022C">
        <w:t>.</w:t>
      </w:r>
    </w:p>
    <w:p w:rsidR="00E0397A" w:rsidRPr="00E0397A" w:rsidRDefault="00DA38E9" w:rsidP="00E0397A">
      <w:pPr>
        <w:pStyle w:val="ListParagraph"/>
        <w:numPr>
          <w:ilvl w:val="1"/>
          <w:numId w:val="6"/>
        </w:numPr>
        <w:suppressAutoHyphens/>
        <w:spacing w:before="120" w:after="120"/>
        <w:ind w:left="992" w:hanging="992"/>
        <w:contextualSpacing w:val="0"/>
        <w:rPr>
          <w:kern w:val="3"/>
          <w:szCs w:val="24"/>
        </w:rPr>
      </w:pPr>
      <w:r w:rsidRPr="005D022C">
        <w:rPr>
          <w:rFonts w:eastAsia="Calibri"/>
        </w:rPr>
        <w:t xml:space="preserve">Pirmiausia, </w:t>
      </w:r>
      <w:r w:rsidRPr="005D022C">
        <w:t xml:space="preserve">2014 m. birželio 10 d. specialisto išvadoje konstatuota, kad tiek TSRS VSK grupės </w:t>
      </w:r>
      <w:r w:rsidRPr="005D022C">
        <w:rPr>
          <w:rFonts w:eastAsia="Calibri"/>
        </w:rPr>
        <w:t>A“,</w:t>
      </w:r>
      <w:r w:rsidRPr="00E0397A">
        <w:rPr>
          <w:rFonts w:eastAsia="Calibri"/>
        </w:rPr>
        <w:t xml:space="preserve"> </w:t>
      </w:r>
      <w:r w:rsidRPr="005D022C">
        <w:rPr>
          <w:rFonts w:eastAsia="Calibri"/>
        </w:rPr>
        <w:t>tiek TSRS VRM Vidaus kariuomenės 42-osios divizijos konvojaus pulko m</w:t>
      </w:r>
      <w:r w:rsidRPr="005D022C">
        <w:t xml:space="preserve">okomosios specialiosios paskirties kuopos kariškiai LRT Radijo pastato (kur buvo nužudytas A. K. ir sužalotas K. B.) šturmo metu </w:t>
      </w:r>
      <w:r w:rsidRPr="005D022C">
        <w:rPr>
          <w:rFonts w:eastAsia="Calibri"/>
        </w:rPr>
        <w:t>naudojo šviesos ir garso sprogstamuosius įtaisus (t. 480, b. l. 37</w:t>
      </w:r>
      <w:r w:rsidRPr="005D022C">
        <w:t>–</w:t>
      </w:r>
      <w:r w:rsidRPr="005D022C">
        <w:rPr>
          <w:rFonts w:eastAsia="Calibri"/>
        </w:rPr>
        <w:t>45, 53</w:t>
      </w:r>
      <w:r w:rsidRPr="005D022C">
        <w:t>–</w:t>
      </w:r>
      <w:r w:rsidRPr="005D022C">
        <w:rPr>
          <w:rFonts w:eastAsia="Calibri"/>
        </w:rPr>
        <w:t>63).</w:t>
      </w:r>
      <w:r w:rsidRPr="00E0397A">
        <w:rPr>
          <w:color w:val="000000"/>
          <w:lang w:eastAsia="lt-LT" w:bidi="lt-LT"/>
        </w:rPr>
        <w:t xml:space="preserve"> </w:t>
      </w:r>
    </w:p>
    <w:p w:rsidR="00E0397A" w:rsidRPr="00E0397A" w:rsidRDefault="00DA38E9" w:rsidP="00E0397A">
      <w:pPr>
        <w:pStyle w:val="ListParagraph"/>
        <w:numPr>
          <w:ilvl w:val="1"/>
          <w:numId w:val="6"/>
        </w:numPr>
        <w:suppressAutoHyphens/>
        <w:spacing w:before="120" w:after="120"/>
        <w:ind w:left="992" w:hanging="992"/>
        <w:contextualSpacing w:val="0"/>
        <w:rPr>
          <w:kern w:val="3"/>
          <w:szCs w:val="24"/>
        </w:rPr>
      </w:pPr>
      <w:r w:rsidRPr="005D022C">
        <w:rPr>
          <w:rFonts w:eastAsia="Calibri"/>
        </w:rPr>
        <w:t>Nukentėjusysis K. B. nurodė, kad pasirodžius šarvuočiams, kareiviai, nušokę nuo mašinų, pradėjo puolimą. Šaudydami iš automatų, mėtydami sprogstamuosius paketus, daužydami automatų buožėmis žmonėms per galvas ir per pečius, kareiviai pradėjo veržtis prie pastato. Jis stovėjo ant laiptų prie LRT Radijo ir saugojo duris</w:t>
      </w:r>
      <w:r w:rsidRPr="00E0397A">
        <w:rPr>
          <w:rFonts w:eastAsia="Calibri"/>
          <w:bCs/>
          <w:szCs w:val="24"/>
        </w:rPr>
        <w:t xml:space="preserve">, </w:t>
      </w:r>
      <w:r w:rsidRPr="005D022C">
        <w:rPr>
          <w:rFonts w:eastAsia="Calibri"/>
        </w:rPr>
        <w:t>tačiau kareiviai, stumdydami žmones, sugebėjo prasiveržti. Kareiviai išdaužė pastato langą. Tuo metu jis atsigręžė veidu į puolančius kareivius ir sprogimo banga jį kažkur nubloškė (</w:t>
      </w:r>
      <w:r w:rsidR="00E0397A" w:rsidRPr="005D022C">
        <w:t>t. 760, b. l. 17–28).</w:t>
      </w:r>
    </w:p>
    <w:p w:rsidR="00DA38E9" w:rsidRPr="00E0397A" w:rsidRDefault="00DA38E9" w:rsidP="00E0397A">
      <w:pPr>
        <w:pStyle w:val="ListParagraph"/>
        <w:numPr>
          <w:ilvl w:val="1"/>
          <w:numId w:val="6"/>
        </w:numPr>
        <w:suppressAutoHyphens/>
        <w:spacing w:before="120" w:after="120"/>
        <w:ind w:left="992" w:hanging="992"/>
        <w:contextualSpacing w:val="0"/>
        <w:rPr>
          <w:kern w:val="3"/>
          <w:szCs w:val="24"/>
        </w:rPr>
      </w:pPr>
      <w:r w:rsidRPr="00E0397A">
        <w:rPr>
          <w:rFonts w:eastAsia="Calibri"/>
        </w:rPr>
        <w:t>Nukentėjusysis J. B. nurodė, kad 1991 m. sausio 13 d</w:t>
      </w:r>
      <w:bookmarkEnd w:id="721"/>
      <w:r w:rsidR="00E0397A">
        <w:rPr>
          <w:rFonts w:eastAsia="Calibri"/>
        </w:rPr>
        <w:t> . </w:t>
      </w:r>
      <w:r w:rsidRPr="00E0397A">
        <w:rPr>
          <w:rFonts w:eastAsia="Calibri"/>
        </w:rPr>
        <w:t>apie 2.00 val. LRT pastatus apsupo tankai ir šarvuočiai, iš kurių išlipo kariškiai. Civiliai, kurie buvo susirinkę, sustojo ant laiptų prie LRT Radijo pastato. Desantininkai stengėsi juos nustumti, tada jiems atvyko pagalba. Toje vietoje juos smarkiai sumušė. Buvo mėtomi sprogstamieji paketai, šaudė tikrais ir mokomaisiais šoviniais, mušė automatų buožėmis ir strypais (</w:t>
      </w:r>
      <w:r w:rsidRPr="00E0397A">
        <w:t>t. 760, b. l. 19–20).</w:t>
      </w:r>
    </w:p>
    <w:p w:rsidR="00DA38E9" w:rsidRPr="00C00255" w:rsidRDefault="00DA38E9" w:rsidP="00DA38E9">
      <w:pPr>
        <w:pStyle w:val="ListParagraph"/>
        <w:numPr>
          <w:ilvl w:val="1"/>
          <w:numId w:val="6"/>
        </w:numPr>
        <w:spacing w:before="120" w:after="120"/>
        <w:ind w:left="993" w:hanging="993"/>
        <w:contextualSpacing w:val="0"/>
        <w:rPr>
          <w:szCs w:val="24"/>
        </w:rPr>
      </w:pPr>
      <w:r w:rsidRPr="00C00255">
        <w:rPr>
          <w:szCs w:val="24"/>
        </w:rPr>
        <w:t xml:space="preserve">Nukentėjusieji </w:t>
      </w:r>
      <w:r w:rsidRPr="00C00255">
        <w:rPr>
          <w:rFonts w:eastAsia="Calibri"/>
          <w:szCs w:val="24"/>
        </w:rPr>
        <w:t>R. D</w:t>
      </w:r>
      <w:r>
        <w:rPr>
          <w:rFonts w:eastAsia="Calibri"/>
          <w:szCs w:val="24"/>
        </w:rPr>
        <w:t>.</w:t>
      </w:r>
      <w:r w:rsidRPr="00C00255">
        <w:rPr>
          <w:rFonts w:eastAsia="Calibri"/>
          <w:szCs w:val="24"/>
        </w:rPr>
        <w:t xml:space="preserve"> (</w:t>
      </w:r>
      <w:r w:rsidRPr="00C00255">
        <w:rPr>
          <w:szCs w:val="24"/>
        </w:rPr>
        <w:t xml:space="preserve">t. 760, b. l. 40–41), </w:t>
      </w:r>
      <w:r w:rsidRPr="00C00255">
        <w:rPr>
          <w:rFonts w:eastAsia="Calibri"/>
          <w:szCs w:val="24"/>
        </w:rPr>
        <w:t>I. Ž</w:t>
      </w:r>
      <w:r>
        <w:rPr>
          <w:rFonts w:eastAsia="Calibri"/>
          <w:szCs w:val="24"/>
        </w:rPr>
        <w:t>.</w:t>
      </w:r>
      <w:r w:rsidRPr="00C00255">
        <w:rPr>
          <w:rFonts w:eastAsia="Calibri"/>
          <w:szCs w:val="24"/>
        </w:rPr>
        <w:t xml:space="preserve"> (</w:t>
      </w:r>
      <w:r w:rsidRPr="00C00255">
        <w:rPr>
          <w:szCs w:val="24"/>
        </w:rPr>
        <w:t xml:space="preserve">t. 760, b. l. 64), </w:t>
      </w:r>
      <w:r w:rsidRPr="00C00255">
        <w:rPr>
          <w:rFonts w:eastAsia="Calibri"/>
          <w:color w:val="000000" w:themeColor="text1"/>
          <w:szCs w:val="24"/>
        </w:rPr>
        <w:t>A. M</w:t>
      </w:r>
      <w:r>
        <w:rPr>
          <w:rFonts w:eastAsia="Calibri"/>
          <w:color w:val="000000" w:themeColor="text1"/>
          <w:szCs w:val="24"/>
        </w:rPr>
        <w:t>.</w:t>
      </w:r>
      <w:r w:rsidRPr="00C00255">
        <w:rPr>
          <w:rFonts w:eastAsia="Calibri"/>
          <w:szCs w:val="24"/>
        </w:rPr>
        <w:t xml:space="preserve"> (</w:t>
      </w:r>
      <w:r w:rsidRPr="00C00255">
        <w:rPr>
          <w:szCs w:val="24"/>
        </w:rPr>
        <w:t>t. 760, b. l. 77–78)</w:t>
      </w:r>
      <w:r w:rsidRPr="00E0397A">
        <w:t xml:space="preserve"> taip pat </w:t>
      </w:r>
      <w:r w:rsidRPr="00E0397A">
        <w:rPr>
          <w:rFonts w:eastAsia="Calibri"/>
        </w:rPr>
        <w:t>nurodė, kad kariškiai prie LRT Radijo durų (laiptų) mėtė sprogstamuosius paketus, nuo kurių sklido garsas ir šviesa.</w:t>
      </w:r>
    </w:p>
    <w:p w:rsidR="00DA38E9" w:rsidRPr="00C00255" w:rsidRDefault="00DA38E9" w:rsidP="00DA38E9">
      <w:pPr>
        <w:pStyle w:val="ListParagraph"/>
        <w:numPr>
          <w:ilvl w:val="1"/>
          <w:numId w:val="6"/>
        </w:numPr>
        <w:spacing w:before="120" w:after="120"/>
        <w:ind w:left="993" w:hanging="993"/>
        <w:contextualSpacing w:val="0"/>
        <w:rPr>
          <w:szCs w:val="24"/>
        </w:rPr>
      </w:pPr>
      <w:r w:rsidRPr="00C00255">
        <w:rPr>
          <w:szCs w:val="24"/>
        </w:rPr>
        <w:t xml:space="preserve">Taigi iš minėtų nukentėjusiųjų parodymų matyti, kad įvykių metu, kariškiams šturmuojant </w:t>
      </w:r>
      <w:bookmarkStart w:id="723" w:name="_Hlk63776619"/>
      <w:r w:rsidRPr="00C00255">
        <w:rPr>
          <w:szCs w:val="24"/>
        </w:rPr>
        <w:t>LRT Radijo pastatą prie laiptų</w:t>
      </w:r>
      <w:bookmarkEnd w:id="723"/>
      <w:r w:rsidRPr="00C00255">
        <w:rPr>
          <w:szCs w:val="24"/>
        </w:rPr>
        <w:t xml:space="preserve">, kur buvo sužaloti nukentėjusieji </w:t>
      </w:r>
      <w:r>
        <w:rPr>
          <w:szCs w:val="24"/>
        </w:rPr>
        <w:t>A. K.</w:t>
      </w:r>
      <w:r w:rsidRPr="00C00255">
        <w:rPr>
          <w:szCs w:val="24"/>
        </w:rPr>
        <w:t xml:space="preserve"> ir </w:t>
      </w:r>
      <w:r>
        <w:rPr>
          <w:szCs w:val="24"/>
        </w:rPr>
        <w:t>K. B.</w:t>
      </w:r>
      <w:r w:rsidRPr="00C00255">
        <w:rPr>
          <w:szCs w:val="24"/>
        </w:rPr>
        <w:t xml:space="preserve">, būtent kariškiai mėtė </w:t>
      </w:r>
      <w:r w:rsidRPr="00C00255">
        <w:rPr>
          <w:kern w:val="3"/>
          <w:szCs w:val="24"/>
        </w:rPr>
        <w:t>šviesos</w:t>
      </w:r>
      <w:r w:rsidRPr="00C00255">
        <w:t xml:space="preserve"> bei garso sprogstamuosius įtaisus</w:t>
      </w:r>
      <w:r w:rsidRPr="00C00255">
        <w:rPr>
          <w:szCs w:val="24"/>
        </w:rPr>
        <w:t xml:space="preserve"> po ten susirinkusių civilių asmenų kojomis</w:t>
      </w:r>
      <w:r w:rsidRPr="00C00255">
        <w:t xml:space="preserve">. </w:t>
      </w:r>
    </w:p>
    <w:p w:rsidR="00DA38E9" w:rsidRPr="00C00255" w:rsidRDefault="00DA38E9" w:rsidP="00DA38E9">
      <w:pPr>
        <w:pStyle w:val="ListParagraph"/>
        <w:numPr>
          <w:ilvl w:val="0"/>
          <w:numId w:val="6"/>
        </w:numPr>
        <w:spacing w:before="120" w:after="120"/>
        <w:ind w:left="993" w:hanging="993"/>
        <w:contextualSpacing w:val="0"/>
        <w:rPr>
          <w:szCs w:val="24"/>
        </w:rPr>
      </w:pPr>
      <w:r w:rsidRPr="00C00255">
        <w:t xml:space="preserve">Išvadą, kad kariškiai mėtė </w:t>
      </w:r>
      <w:r w:rsidRPr="00C00255">
        <w:rPr>
          <w:kern w:val="3"/>
        </w:rPr>
        <w:t>šviesos</w:t>
      </w:r>
      <w:r w:rsidRPr="00C00255">
        <w:t xml:space="preserve"> bei garso sprogstamuosius įtaisus bei vienas iš jų sužalojo </w:t>
      </w:r>
      <w:r>
        <w:t>A. K.</w:t>
      </w:r>
      <w:r w:rsidRPr="00C00255">
        <w:t xml:space="preserve"> ir </w:t>
      </w:r>
      <w:r>
        <w:t>K. B.</w:t>
      </w:r>
      <w:r w:rsidRPr="00C00255">
        <w:t xml:space="preserve"> formuoja ir teisiamajame posėdyje perskaityti liudytojo </w:t>
      </w:r>
      <w:r w:rsidRPr="00C00255">
        <w:rPr>
          <w:kern w:val="3"/>
        </w:rPr>
        <w:t>S. K</w:t>
      </w:r>
      <w:r>
        <w:rPr>
          <w:kern w:val="3"/>
        </w:rPr>
        <w:t>.</w:t>
      </w:r>
      <w:r w:rsidRPr="00C00255">
        <w:rPr>
          <w:kern w:val="3"/>
        </w:rPr>
        <w:t xml:space="preserve"> </w:t>
      </w:r>
      <w:r w:rsidRPr="00C00255">
        <w:t>ir nukentėjusiojo P.</w:t>
      </w:r>
      <w:r>
        <w:t> </w:t>
      </w:r>
      <w:r w:rsidRPr="00C00255">
        <w:t>S</w:t>
      </w:r>
      <w:r>
        <w:t>.</w:t>
      </w:r>
      <w:r w:rsidRPr="00C00255">
        <w:t xml:space="preserve"> parodymai (t. 760, b. l. 92, 113).</w:t>
      </w:r>
    </w:p>
    <w:p w:rsidR="00DA38E9" w:rsidRPr="00C00255" w:rsidRDefault="00DA38E9" w:rsidP="00DA38E9">
      <w:pPr>
        <w:pStyle w:val="ListParagraph"/>
        <w:numPr>
          <w:ilvl w:val="1"/>
          <w:numId w:val="6"/>
        </w:numPr>
        <w:spacing w:before="120" w:after="120"/>
        <w:ind w:left="993" w:hanging="993"/>
        <w:contextualSpacing w:val="0"/>
        <w:rPr>
          <w:szCs w:val="24"/>
        </w:rPr>
      </w:pPr>
      <w:r w:rsidRPr="00C00255">
        <w:rPr>
          <w:kern w:val="3"/>
        </w:rPr>
        <w:t>Liudytojas S. K</w:t>
      </w:r>
      <w:r>
        <w:rPr>
          <w:kern w:val="3"/>
        </w:rPr>
        <w:t>.</w:t>
      </w:r>
      <w:r w:rsidRPr="00C00255">
        <w:rPr>
          <w:kern w:val="3"/>
        </w:rPr>
        <w:t xml:space="preserve"> </w:t>
      </w:r>
      <w:r w:rsidRPr="00C00255">
        <w:t xml:space="preserve">nurodė, kad jis kartu su kitais </w:t>
      </w:r>
      <w:r w:rsidRPr="00C00255">
        <w:rPr>
          <w:kern w:val="3"/>
        </w:rPr>
        <w:t>žmonėmis saugojo LRT Radijo pastato centrines duris. Nustumtas nuo paaukštinimo kariškis, metė į minią granatą, kažkoks žmogus norėjo ją mesti atgal, bet ši sprogo jo rankose. Su juo kartu buvęs E. M</w:t>
      </w:r>
      <w:r>
        <w:rPr>
          <w:kern w:val="3"/>
        </w:rPr>
        <w:t>.</w:t>
      </w:r>
      <w:r w:rsidRPr="00C00255">
        <w:rPr>
          <w:kern w:val="3"/>
        </w:rPr>
        <w:t xml:space="preserve"> laikė sužeistą vyrą. Jis stovėjo susikibęs su </w:t>
      </w:r>
      <w:r>
        <w:rPr>
          <w:kern w:val="3"/>
        </w:rPr>
        <w:t>A. K.</w:t>
      </w:r>
      <w:r w:rsidRPr="00C00255">
        <w:rPr>
          <w:kern w:val="3"/>
        </w:rPr>
        <w:t xml:space="preserve">, pajutęs, kad </w:t>
      </w:r>
      <w:r>
        <w:rPr>
          <w:kern w:val="3"/>
        </w:rPr>
        <w:t>A. K.</w:t>
      </w:r>
      <w:r w:rsidRPr="00C00255">
        <w:rPr>
          <w:kern w:val="3"/>
        </w:rPr>
        <w:t xml:space="preserve"> griūna pasilenkė, tačiau nuo gauto automatu smūgio į galvą, prarado sąmonę </w:t>
      </w:r>
      <w:r w:rsidRPr="00C00255">
        <w:t xml:space="preserve">(t. 63, b. l. </w:t>
      </w:r>
      <w:r w:rsidRPr="00C00255">
        <w:rPr>
          <w:kern w:val="3"/>
        </w:rPr>
        <w:t>110</w:t>
      </w:r>
      <w:r w:rsidRPr="00C00255">
        <w:t>–</w:t>
      </w:r>
      <w:r w:rsidRPr="00C00255">
        <w:rPr>
          <w:kern w:val="3"/>
        </w:rPr>
        <w:t>114</w:t>
      </w:r>
      <w:r w:rsidRPr="00C00255">
        <w:t>).</w:t>
      </w:r>
    </w:p>
    <w:p w:rsidR="00DA38E9" w:rsidRPr="00C00255" w:rsidRDefault="00DA38E9" w:rsidP="00DA38E9">
      <w:pPr>
        <w:pStyle w:val="ListParagraph"/>
        <w:numPr>
          <w:ilvl w:val="1"/>
          <w:numId w:val="6"/>
        </w:numPr>
        <w:spacing w:before="120" w:after="120"/>
        <w:ind w:left="993" w:hanging="993"/>
        <w:contextualSpacing w:val="0"/>
        <w:rPr>
          <w:szCs w:val="24"/>
        </w:rPr>
      </w:pPr>
      <w:r w:rsidRPr="00C00255">
        <w:t xml:space="preserve">Nukentėjusysis </w:t>
      </w:r>
      <w:bookmarkStart w:id="724" w:name="_Hlk64253833"/>
      <w:r w:rsidRPr="00C00255">
        <w:t>P. S</w:t>
      </w:r>
      <w:r>
        <w:t>.</w:t>
      </w:r>
      <w:r w:rsidRPr="00C00255">
        <w:t xml:space="preserve"> </w:t>
      </w:r>
      <w:bookmarkEnd w:id="724"/>
      <w:r w:rsidRPr="00C00255">
        <w:t xml:space="preserve">nurodė, kad kariškiai, kurie laikė rankose įrankius, panašius į grybus, pradėjo juos mėtyti į žmones, pasigirdo sprogimas. Pamatė liepsną ir parkritusį dejuojantį žmogų. Šalia parkritusio žmogaus buvo matyti daug kraujo. Supratęs, kad tas žmogus sužeistas, puolė jam į pagalbą ir pats pajuto skausmą kairėje kirkšnyje. Pamatė, kad kirkšnyje </w:t>
      </w:r>
      <w:r w:rsidRPr="00C00255">
        <w:rPr>
          <w:bCs/>
        </w:rPr>
        <w:t>įlindęs kažkoks tai svetimkūnis</w:t>
      </w:r>
      <w:r w:rsidRPr="00C00255">
        <w:t xml:space="preserve">, kurį ištraukė (t. 62, b. l. 83-89). </w:t>
      </w:r>
      <w:r w:rsidRPr="00C00255">
        <w:rPr>
          <w:szCs w:val="24"/>
        </w:rPr>
        <w:t>Kaip matyti S. K</w:t>
      </w:r>
      <w:r>
        <w:rPr>
          <w:szCs w:val="24"/>
        </w:rPr>
        <w:t>.</w:t>
      </w:r>
      <w:r w:rsidRPr="00C00255">
        <w:rPr>
          <w:szCs w:val="24"/>
        </w:rPr>
        <w:t xml:space="preserve"> ir P. S</w:t>
      </w:r>
      <w:r>
        <w:rPr>
          <w:szCs w:val="24"/>
        </w:rPr>
        <w:t>.</w:t>
      </w:r>
      <w:r w:rsidRPr="00C00255">
        <w:rPr>
          <w:szCs w:val="24"/>
        </w:rPr>
        <w:t xml:space="preserve"> parodymai iš esmės atitinka teisiamajame posėdyje apklaustų liudytojų parodymus apie LRT Radijo pastato šturmo metu kariškio mestą granatą, kuri sužalojo šalia buvusius asmenis, kaip nustatyta </w:t>
      </w:r>
      <w:r>
        <w:rPr>
          <w:szCs w:val="24"/>
        </w:rPr>
        <w:t>A. K.</w:t>
      </w:r>
      <w:r w:rsidRPr="00C00255">
        <w:rPr>
          <w:szCs w:val="24"/>
        </w:rPr>
        <w:t xml:space="preserve"> ir </w:t>
      </w:r>
      <w:r>
        <w:rPr>
          <w:szCs w:val="24"/>
        </w:rPr>
        <w:t>K. B.</w:t>
      </w:r>
      <w:r w:rsidRPr="00C00255">
        <w:rPr>
          <w:szCs w:val="24"/>
        </w:rPr>
        <w:t xml:space="preserve">. </w:t>
      </w:r>
    </w:p>
    <w:p w:rsidR="00DA38E9" w:rsidRPr="00C00255" w:rsidRDefault="00DA38E9" w:rsidP="00DA38E9">
      <w:pPr>
        <w:pStyle w:val="ListParagraph"/>
        <w:numPr>
          <w:ilvl w:val="0"/>
          <w:numId w:val="6"/>
        </w:numPr>
        <w:spacing w:before="120" w:after="120"/>
        <w:ind w:left="993" w:hanging="993"/>
        <w:contextualSpacing w:val="0"/>
        <w:rPr>
          <w:lang w:eastAsia="lt-LT" w:bidi="lt-LT"/>
        </w:rPr>
      </w:pPr>
      <w:r w:rsidRPr="00C00255">
        <w:t xml:space="preserve">Įvertinus 2014 m. birželio 10 d. specialisto išvadoje nurodytas aplinkybes, kad LRT Radijo pastato šturmo metu, kur buvo nužudytas </w:t>
      </w:r>
      <w:r>
        <w:t>A. K.</w:t>
      </w:r>
      <w:r w:rsidRPr="00C00255">
        <w:t xml:space="preserve"> ir sužalotas </w:t>
      </w:r>
      <w:r>
        <w:t>K. B.</w:t>
      </w:r>
      <w:r w:rsidRPr="00C00255">
        <w:t xml:space="preserve">, šviesos ir garso sprogstamuosius įtaisus naudojo TSRS VSK grupės A“ ir </w:t>
      </w:r>
      <w:bookmarkStart w:id="725" w:name="_Hlk65832517"/>
      <w:r w:rsidRPr="00C00255">
        <w:t xml:space="preserve">TSRS VRM Vidaus kariuomenės 42-osios divizijos konvojaus pulko </w:t>
      </w:r>
      <w:bookmarkEnd w:id="725"/>
      <w:r w:rsidRPr="00C00255">
        <w:t xml:space="preserve">mokomosios specialiosios paskirties kariškiai. Taip pat įvertinus liudytojų ir nukentėjusiųjų parodymus, kad būtent kariškiai civiliams asmenims po kojomis mėtė šviesos ir garso granatas, kur po vienos tokios kariškio numestos granatos </w:t>
      </w:r>
      <w:r>
        <w:t>A. K.</w:t>
      </w:r>
      <w:r w:rsidRPr="00C00255">
        <w:t xml:space="preserve"> nukrito, o </w:t>
      </w:r>
      <w:r>
        <w:t>K. B.</w:t>
      </w:r>
      <w:r w:rsidRPr="00C00255">
        <w:t xml:space="preserve"> prarado sąmonę</w:t>
      </w:r>
      <w:r w:rsidRPr="00C00255">
        <w:rPr>
          <w:szCs w:val="24"/>
        </w:rPr>
        <w:t xml:space="preserve">, leidžia konstatuoti, jog būtent veikdami kartu TSRS VSK grupės „A“ ir TSRS VRM Vidaus kariuomenės 42-osios divizijos konvojaus pulko mokomosios specialiosios paskirties kuopos kariškiai šviesos ir garso granata nužudė </w:t>
      </w:r>
      <w:r>
        <w:rPr>
          <w:szCs w:val="24"/>
        </w:rPr>
        <w:t>A. K.</w:t>
      </w:r>
      <w:r w:rsidRPr="00C00255">
        <w:rPr>
          <w:szCs w:val="24"/>
        </w:rPr>
        <w:t xml:space="preserve"> ir sunkiai sužalojo </w:t>
      </w:r>
      <w:r>
        <w:rPr>
          <w:szCs w:val="24"/>
        </w:rPr>
        <w:t>K. B.</w:t>
      </w:r>
      <w:r w:rsidRPr="00C00255">
        <w:rPr>
          <w:szCs w:val="24"/>
        </w:rPr>
        <w:t xml:space="preserve">. </w:t>
      </w:r>
    </w:p>
    <w:p w:rsidR="00DA38E9" w:rsidRPr="00C00255" w:rsidRDefault="00DA38E9" w:rsidP="00DA38E9">
      <w:pPr>
        <w:pStyle w:val="ListParagraph"/>
        <w:numPr>
          <w:ilvl w:val="0"/>
          <w:numId w:val="6"/>
        </w:numPr>
        <w:spacing w:before="120" w:after="120"/>
        <w:ind w:left="993" w:hanging="993"/>
        <w:contextualSpacing w:val="0"/>
        <w:rPr>
          <w:szCs w:val="24"/>
        </w:rPr>
      </w:pPr>
      <w:r w:rsidRPr="00C00255">
        <w:rPr>
          <w:szCs w:val="24"/>
        </w:rPr>
        <w:t xml:space="preserve">Visa tai patvirtina, kad pirmosios instancijos teismo išvados apie tai, jog sužalojimai </w:t>
      </w:r>
      <w:r>
        <w:rPr>
          <w:szCs w:val="24"/>
        </w:rPr>
        <w:t>A. K.</w:t>
      </w:r>
      <w:r w:rsidRPr="00C00255">
        <w:rPr>
          <w:szCs w:val="24"/>
        </w:rPr>
        <w:t xml:space="preserve"> ir </w:t>
      </w:r>
      <w:r>
        <w:rPr>
          <w:szCs w:val="24"/>
        </w:rPr>
        <w:t>K. B.</w:t>
      </w:r>
      <w:r w:rsidRPr="00C00255">
        <w:rPr>
          <w:szCs w:val="24"/>
        </w:rPr>
        <w:t xml:space="preserve"> buvo padaryti LRT Radijo pastato šturmo metu, kariškiams į civilių žmonių minią mėtant </w:t>
      </w:r>
      <w:bookmarkStart w:id="726" w:name="_Hlk63773642"/>
      <w:r w:rsidRPr="00C00255">
        <w:rPr>
          <w:kern w:val="3"/>
          <w:szCs w:val="24"/>
        </w:rPr>
        <w:t>šviesos</w:t>
      </w:r>
      <w:r w:rsidRPr="00C00255">
        <w:t xml:space="preserve"> bei garso sprogstamuosius įtaisu</w:t>
      </w:r>
      <w:bookmarkEnd w:id="726"/>
      <w:r w:rsidRPr="00C00255">
        <w:t xml:space="preserve">s, </w:t>
      </w:r>
      <w:r w:rsidRPr="00C00255">
        <w:rPr>
          <w:szCs w:val="24"/>
        </w:rPr>
        <w:t xml:space="preserve">yra teisingos ir pagrįstos. Nustačius, kad minėti nukentėjusieji buvo sužaloti būtent TSRS kariškių mestu sprogstamuoju įtaisu, tokių teisėjų kolegijos išvadų nepaneigia </w:t>
      </w:r>
      <w:r w:rsidRPr="00C00255">
        <w:t xml:space="preserve">nuteistojo </w:t>
      </w:r>
      <w:r>
        <w:rPr>
          <w:szCs w:val="24"/>
        </w:rPr>
        <w:t>J. S.</w:t>
      </w:r>
      <w:r w:rsidRPr="00C00255">
        <w:rPr>
          <w:szCs w:val="24"/>
        </w:rPr>
        <w:t xml:space="preserve"> </w:t>
      </w:r>
      <w:r w:rsidRPr="00C00255">
        <w:t xml:space="preserve">gynėjo apeliaciniame skunde nurodytos aplinkybės, kad </w:t>
      </w:r>
      <w:r>
        <w:t>A. K.</w:t>
      </w:r>
      <w:r w:rsidRPr="00C00255">
        <w:t xml:space="preserve"> buvo sužalotas </w:t>
      </w:r>
      <w:bookmarkStart w:id="727" w:name="_Hlk63776857"/>
      <w:r w:rsidRPr="00C00255">
        <w:rPr>
          <w:kern w:val="3"/>
          <w:szCs w:val="24"/>
        </w:rPr>
        <w:t>šviesos</w:t>
      </w:r>
      <w:r w:rsidRPr="00C00255">
        <w:t xml:space="preserve"> bei garso sprogstamajam įtaisui </w:t>
      </w:r>
      <w:bookmarkEnd w:id="727"/>
      <w:r w:rsidRPr="00C00255">
        <w:t xml:space="preserve">sprogus nukentėjusiojo </w:t>
      </w:r>
      <w:r>
        <w:t>K. B.</w:t>
      </w:r>
      <w:r w:rsidRPr="00C00255">
        <w:t xml:space="preserve"> rankose.</w:t>
      </w:r>
    </w:p>
    <w:p w:rsidR="00DA38E9" w:rsidRPr="00C00255" w:rsidRDefault="00DA38E9" w:rsidP="00DA38E9">
      <w:pPr>
        <w:pStyle w:val="ListParagraph"/>
        <w:numPr>
          <w:ilvl w:val="0"/>
          <w:numId w:val="6"/>
        </w:numPr>
        <w:spacing w:before="120" w:after="120"/>
        <w:ind w:left="993" w:hanging="993"/>
        <w:contextualSpacing w:val="0"/>
        <w:rPr>
          <w:szCs w:val="24"/>
        </w:rPr>
      </w:pPr>
      <w:bookmarkStart w:id="728" w:name="_Hlk63779079"/>
      <w:bookmarkEnd w:id="713"/>
      <w:r w:rsidRPr="00E0397A">
        <w:t xml:space="preserve">Atitinkamai pasitvirtino ir nuosprendžio išvada, kad atakos prie LRT metu visų (išskyrus, kaip nustatyta, A. K., K. B. ir A. V. (šio nukentėjusiojo sužalojimo aplinkybės neginčijamos) bendrais </w:t>
      </w:r>
      <w:r w:rsidRPr="00E0397A">
        <w:rPr>
          <w:rFonts w:eastAsia="Calibri"/>
        </w:rPr>
        <w:t>TSRS VSK grupės</w:t>
      </w:r>
      <w:r w:rsidRPr="00C00255">
        <w:rPr>
          <w:rFonts w:eastAsia="Calibri"/>
          <w:szCs w:val="24"/>
        </w:rPr>
        <w:t xml:space="preserve"> „</w:t>
      </w:r>
      <w:r w:rsidRPr="00E0397A">
        <w:rPr>
          <w:rFonts w:eastAsia="Calibri"/>
        </w:rPr>
        <w:t xml:space="preserve">A“ ir TSRS VRM Vidaus kariuomenės 42-osios divizijos konvojaus pulko mokomosios specialiosios paskirties kuopos kariškių veiksmais, A. K. bendrais draugovininkų veiksmais) </w:t>
      </w:r>
      <w:r w:rsidRPr="00E0397A">
        <w:t>dalyvavusių kariškių veiksmais (sudavus civiliams smūgius kumščiais, kojomis, ginklais bei kitomis priemonėmis, panaudojus šaunamuosius ginklus, šviesos ir garso sprogstamuosius įtaisus) buvo sunkiai sutrikdyta 7</w:t>
      </w:r>
      <w:r w:rsidRPr="00C00255">
        <w:rPr>
          <w:color w:val="000000"/>
          <w:szCs w:val="24"/>
          <w:lang w:eastAsia="lt-LT" w:bidi="lt-LT"/>
        </w:rPr>
        <w:t xml:space="preserve"> (skaičiuojant ir jau minėtus </w:t>
      </w:r>
      <w:r>
        <w:rPr>
          <w:color w:val="000000"/>
          <w:szCs w:val="24"/>
          <w:lang w:eastAsia="lt-LT" w:bidi="lt-LT"/>
        </w:rPr>
        <w:t>K. B.</w:t>
      </w:r>
      <w:r w:rsidRPr="00C00255">
        <w:rPr>
          <w:color w:val="000000"/>
          <w:szCs w:val="24"/>
          <w:lang w:eastAsia="lt-LT" w:bidi="lt-LT"/>
        </w:rPr>
        <w:t xml:space="preserve">, </w:t>
      </w:r>
      <w:r>
        <w:rPr>
          <w:color w:val="000000"/>
          <w:szCs w:val="24"/>
          <w:lang w:eastAsia="lt-LT" w:bidi="lt-LT"/>
        </w:rPr>
        <w:t>A. V.</w:t>
      </w:r>
      <w:r w:rsidRPr="00C00255">
        <w:rPr>
          <w:color w:val="000000"/>
          <w:szCs w:val="24"/>
          <w:lang w:eastAsia="lt-LT" w:bidi="lt-LT"/>
        </w:rPr>
        <w:t xml:space="preserve"> ir </w:t>
      </w:r>
      <w:r>
        <w:rPr>
          <w:color w:val="000000"/>
          <w:szCs w:val="24"/>
          <w:lang w:eastAsia="lt-LT" w:bidi="lt-LT"/>
        </w:rPr>
        <w:t>A. K.</w:t>
      </w:r>
      <w:r w:rsidRPr="00C00255">
        <w:rPr>
          <w:color w:val="000000"/>
          <w:szCs w:val="24"/>
          <w:lang w:eastAsia="lt-LT" w:bidi="lt-LT"/>
        </w:rPr>
        <w:t xml:space="preserve"> sužalojimus) civilių sveikata, nesunkiai sutrikdyta 108 civilių sveikata, o nežymų sveikatos sutrikdymą patyrė 95 civiliai. </w:t>
      </w:r>
    </w:p>
    <w:p w:rsidR="00DA38E9" w:rsidRPr="00C00255" w:rsidRDefault="00DA38E9" w:rsidP="00DA38E9">
      <w:pPr>
        <w:pStyle w:val="ListParagraph"/>
        <w:numPr>
          <w:ilvl w:val="0"/>
          <w:numId w:val="6"/>
        </w:numPr>
        <w:spacing w:before="120" w:after="120"/>
        <w:ind w:left="993" w:hanging="993"/>
        <w:contextualSpacing w:val="0"/>
        <w:rPr>
          <w:szCs w:val="24"/>
        </w:rPr>
      </w:pPr>
      <w:r w:rsidRPr="00C00255">
        <w:rPr>
          <w:color w:val="000000"/>
          <w:szCs w:val="24"/>
          <w:lang w:eastAsia="lt-LT" w:bidi="lt-LT"/>
        </w:rPr>
        <w:t xml:space="preserve">Taigi, LRT užėmimo metu </w:t>
      </w:r>
      <w:r w:rsidRPr="00C00255">
        <w:rPr>
          <w:szCs w:val="24"/>
          <w:lang w:eastAsia="lt-LT" w:bidi="lt-LT"/>
        </w:rPr>
        <w:t xml:space="preserve">buvo nužudytas 1 civilis bei 210 civilių patyrė kitokius sveikatos sužalojimus. </w:t>
      </w:r>
      <w:r w:rsidRPr="00C00255">
        <w:rPr>
          <w:color w:val="000000"/>
          <w:szCs w:val="24"/>
          <w:lang w:eastAsia="lt-LT" w:bidi="lt-LT"/>
        </w:rPr>
        <w:t xml:space="preserve">Tokią išvadą teisėjų kolegija daro, vadovaudamasi byloje esančiais objektyviais įrodymais apie šių asmenų patirtus sužalojimus (specialistų išvados, ekspertizės aktai ir pan.), o atsižvelgdama į tai, kad byloje esminio ginčo dėl atskirų nukentėjusiųjų (be jau aptartų asmenų) sužalojimo aplinkybių nėra, plačiau to neanalizuos. Atsakant į daugelio gynėjų argumentus, kad nuteistieji ar jų vadovaujami kariškiai negalėjo sužaloti tam tikrų atskirų nukentėjusiųjų, nes nebuvo toje vietoje, neturėjo tokio ginklo ir pan., dar kartą pažymima, kad </w:t>
      </w:r>
      <w:r w:rsidRPr="00C00255">
        <w:rPr>
          <w:iCs/>
        </w:rPr>
        <w:t xml:space="preserve">visiems operacijoje dalyvavusiems nuteistiesiems veikiant bendrai ir koordinuotai, gynėjų nurodytos aplinkybės neeliminuoja nei vieno iš operacijoje dalyvavusių nuteistųjų atsakomybės dėl nukentėjusiesiems padarytų sužalojimų. </w:t>
      </w:r>
    </w:p>
    <w:p w:rsidR="00E0397A" w:rsidRPr="00E0397A" w:rsidRDefault="00DA38E9" w:rsidP="00E0397A">
      <w:pPr>
        <w:pStyle w:val="ListParagraph"/>
        <w:numPr>
          <w:ilvl w:val="0"/>
          <w:numId w:val="6"/>
        </w:numPr>
        <w:spacing w:before="120" w:after="120"/>
        <w:ind w:left="993" w:hanging="993"/>
        <w:contextualSpacing w:val="0"/>
        <w:rPr>
          <w:rStyle w:val="4lygisDiagrama"/>
          <w:rFonts w:eastAsia="Times New Roman"/>
          <w:i w:val="0"/>
          <w:iCs w:val="0"/>
          <w:lang w:bidi="lt-LT"/>
        </w:rPr>
      </w:pPr>
      <w:r w:rsidRPr="00C00255">
        <w:rPr>
          <w:szCs w:val="24"/>
          <w:lang w:eastAsia="lt-LT" w:bidi="lt-LT"/>
        </w:rPr>
        <w:t xml:space="preserve">Visgi, apeliacinės instancijos teismas, analizuodamas LRT užėmimo faktines aplinkybes, pastebėjo ir nuosprendyje esantį redakcinio pobūdžio netikslumą bei nuosprendžio nustatomojoje dalyje esantį prieštaravimą dėl nukentėjusiųjų, patyrusių nesunkius sveikatos sutrikdymus, skaičiaus, kurį būtina pašalinti ir ištaisyti. Kaip minėta, nuosprendžio nustatomojoje dalyje nurodyta, kad „karo atakos prie LRT metu dalyvavę visi karinių struktūrų kariškiai bendrais veiksmais užgrobė LRT pastatus, o juos gynusiems civiliams padarė tyčinius nesunkius sveikatos sutrikdymus </w:t>
      </w:r>
      <w:r w:rsidRPr="00C00255">
        <w:rPr>
          <w:i/>
          <w:iCs/>
          <w:szCs w:val="24"/>
          <w:lang w:eastAsia="lt-LT" w:bidi="lt-LT"/>
        </w:rPr>
        <w:t>šimtui aštuoniems</w:t>
      </w:r>
      <w:r w:rsidRPr="00C00255">
        <w:rPr>
          <w:szCs w:val="24"/>
          <w:lang w:eastAsia="lt-LT" w:bidi="lt-LT"/>
        </w:rPr>
        <w:t xml:space="preserve"> civiliams“ (nuosprendžio 519</w:t>
      </w:r>
      <w:r>
        <w:rPr>
          <w:szCs w:val="24"/>
          <w:lang w:eastAsia="lt-LT" w:bidi="lt-LT"/>
        </w:rPr>
        <w:t> </w:t>
      </w:r>
      <w:r w:rsidRPr="00C00255">
        <w:rPr>
          <w:szCs w:val="24"/>
          <w:lang w:eastAsia="lt-LT" w:bidi="lt-LT"/>
        </w:rPr>
        <w:t>l</w:t>
      </w:r>
      <w:r>
        <w:rPr>
          <w:szCs w:val="24"/>
          <w:lang w:eastAsia="lt-LT" w:bidi="lt-LT"/>
        </w:rPr>
        <w:t>.</w:t>
      </w:r>
      <w:r w:rsidRPr="00C00255">
        <w:rPr>
          <w:szCs w:val="24"/>
          <w:lang w:eastAsia="lt-LT" w:bidi="lt-LT"/>
        </w:rPr>
        <w:t>). Toliau nuosprendyje įvardijami tokius sužalojimus patyrę konkretūs nukentėjusieji, kur nurodyti jau ne 108, o tik 102 nukentėjusiųjų vardai ir pavardės. Kaip matyti iš baudžiamojoje byloje pateikto kaltinamojo akto, aprašant nuteistųjų veikusių prie LRT nusikalstamas veikas, prie nesunkius sveikatos sužalojimus patyrusių asmenų išvardinti 108 nukentėjusieji, nurodant jų vardus ir pavardes, t. y. be skundžiamo nuosprendžio nustatomojoje dalyje išvardintų asmenų taip pat nurodyta, kad nesunkūs sveikatos sužalojimai buvo padaryti ir S</w:t>
      </w:r>
      <w:r>
        <w:rPr>
          <w:szCs w:val="24"/>
          <w:lang w:eastAsia="lt-LT" w:bidi="lt-LT"/>
        </w:rPr>
        <w:t>. </w:t>
      </w:r>
      <w:r w:rsidRPr="00C00255">
        <w:rPr>
          <w:szCs w:val="24"/>
          <w:lang w:eastAsia="lt-LT" w:bidi="lt-LT"/>
        </w:rPr>
        <w:t>V</w:t>
      </w:r>
      <w:r>
        <w:rPr>
          <w:szCs w:val="24"/>
          <w:lang w:eastAsia="lt-LT" w:bidi="lt-LT"/>
        </w:rPr>
        <w:t>. </w:t>
      </w:r>
      <w:r w:rsidRPr="00C00255">
        <w:rPr>
          <w:szCs w:val="24"/>
          <w:lang w:eastAsia="lt-LT" w:bidi="lt-LT"/>
        </w:rPr>
        <w:t>S</w:t>
      </w:r>
      <w:r>
        <w:rPr>
          <w:szCs w:val="24"/>
          <w:lang w:eastAsia="lt-LT" w:bidi="lt-LT"/>
        </w:rPr>
        <w:t>.</w:t>
      </w:r>
      <w:r w:rsidRPr="00C00255">
        <w:rPr>
          <w:szCs w:val="24"/>
          <w:lang w:eastAsia="lt-LT" w:bidi="lt-LT"/>
        </w:rPr>
        <w:t>, J</w:t>
      </w:r>
      <w:r>
        <w:rPr>
          <w:szCs w:val="24"/>
          <w:lang w:eastAsia="lt-LT" w:bidi="lt-LT"/>
        </w:rPr>
        <w:t>. </w:t>
      </w:r>
      <w:r w:rsidRPr="00C00255">
        <w:rPr>
          <w:szCs w:val="24"/>
          <w:lang w:eastAsia="lt-LT" w:bidi="lt-LT"/>
        </w:rPr>
        <w:t>J</w:t>
      </w:r>
      <w:r>
        <w:rPr>
          <w:szCs w:val="24"/>
          <w:lang w:eastAsia="lt-LT" w:bidi="lt-LT"/>
        </w:rPr>
        <w:t>.</w:t>
      </w:r>
      <w:r w:rsidRPr="00C00255">
        <w:rPr>
          <w:szCs w:val="24"/>
          <w:lang w:eastAsia="lt-LT" w:bidi="lt-LT"/>
        </w:rPr>
        <w:t>, P</w:t>
      </w:r>
      <w:r>
        <w:rPr>
          <w:szCs w:val="24"/>
          <w:lang w:eastAsia="lt-LT" w:bidi="lt-LT"/>
        </w:rPr>
        <w:t>. </w:t>
      </w:r>
      <w:r w:rsidRPr="00C00255">
        <w:rPr>
          <w:szCs w:val="24"/>
          <w:lang w:eastAsia="lt-LT" w:bidi="lt-LT"/>
        </w:rPr>
        <w:t>N</w:t>
      </w:r>
      <w:r>
        <w:rPr>
          <w:szCs w:val="24"/>
          <w:lang w:eastAsia="lt-LT" w:bidi="lt-LT"/>
        </w:rPr>
        <w:t>.</w:t>
      </w:r>
      <w:r w:rsidRPr="00C00255">
        <w:rPr>
          <w:szCs w:val="24"/>
          <w:lang w:eastAsia="lt-LT" w:bidi="lt-LT"/>
        </w:rPr>
        <w:t>, A</w:t>
      </w:r>
      <w:r>
        <w:rPr>
          <w:szCs w:val="24"/>
          <w:lang w:eastAsia="lt-LT" w:bidi="lt-LT"/>
        </w:rPr>
        <w:t>. </w:t>
      </w:r>
      <w:r w:rsidRPr="00C00255">
        <w:rPr>
          <w:szCs w:val="24"/>
          <w:lang w:eastAsia="lt-LT" w:bidi="lt-LT"/>
        </w:rPr>
        <w:t>B</w:t>
      </w:r>
      <w:r>
        <w:rPr>
          <w:szCs w:val="24"/>
          <w:lang w:eastAsia="lt-LT" w:bidi="lt-LT"/>
        </w:rPr>
        <w:t>.</w:t>
      </w:r>
      <w:r w:rsidRPr="00C00255">
        <w:rPr>
          <w:szCs w:val="24"/>
          <w:lang w:eastAsia="lt-LT" w:bidi="lt-LT"/>
        </w:rPr>
        <w:t>, K</w:t>
      </w:r>
      <w:r>
        <w:rPr>
          <w:szCs w:val="24"/>
          <w:lang w:eastAsia="lt-LT" w:bidi="lt-LT"/>
        </w:rPr>
        <w:t>. </w:t>
      </w:r>
      <w:r w:rsidRPr="00C00255">
        <w:rPr>
          <w:szCs w:val="24"/>
          <w:lang w:eastAsia="lt-LT" w:bidi="lt-LT"/>
        </w:rPr>
        <w:t>B</w:t>
      </w:r>
      <w:r>
        <w:rPr>
          <w:szCs w:val="24"/>
          <w:lang w:eastAsia="lt-LT" w:bidi="lt-LT"/>
        </w:rPr>
        <w:t>.</w:t>
      </w:r>
      <w:r w:rsidRPr="00C00255">
        <w:rPr>
          <w:szCs w:val="24"/>
          <w:lang w:eastAsia="lt-LT" w:bidi="lt-LT"/>
        </w:rPr>
        <w:t>, B</w:t>
      </w:r>
      <w:r>
        <w:rPr>
          <w:szCs w:val="24"/>
          <w:lang w:eastAsia="lt-LT" w:bidi="lt-LT"/>
        </w:rPr>
        <w:t>. </w:t>
      </w:r>
      <w:r w:rsidRPr="00C00255">
        <w:rPr>
          <w:szCs w:val="24"/>
          <w:lang w:eastAsia="lt-LT" w:bidi="lt-LT"/>
        </w:rPr>
        <w:t>J</w:t>
      </w:r>
      <w:r>
        <w:rPr>
          <w:szCs w:val="24"/>
          <w:lang w:eastAsia="lt-LT" w:bidi="lt-LT"/>
        </w:rPr>
        <w:t>. </w:t>
      </w:r>
      <w:r w:rsidRPr="00C00255">
        <w:rPr>
          <w:szCs w:val="24"/>
          <w:lang w:eastAsia="lt-LT" w:bidi="lt-LT"/>
        </w:rPr>
        <w:t>J</w:t>
      </w:r>
      <w:r>
        <w:rPr>
          <w:szCs w:val="24"/>
          <w:lang w:eastAsia="lt-LT" w:bidi="lt-LT"/>
        </w:rPr>
        <w:t>.</w:t>
      </w:r>
      <w:r w:rsidRPr="00C00255">
        <w:rPr>
          <w:szCs w:val="24"/>
          <w:lang w:eastAsia="lt-LT" w:bidi="lt-LT"/>
        </w:rPr>
        <w:t xml:space="preserve">. Tai, kad šiems nukentėjusiesiems LRT užėmimo metu buvo padaryti sveikatos sužalojimai konstatuota ir </w:t>
      </w:r>
      <w:r>
        <w:rPr>
          <w:szCs w:val="24"/>
          <w:lang w:eastAsia="lt-LT" w:bidi="lt-LT"/>
        </w:rPr>
        <w:t>M. B.</w:t>
      </w:r>
      <w:r w:rsidRPr="00C00255">
        <w:rPr>
          <w:szCs w:val="24"/>
          <w:lang w:eastAsia="lt-LT" w:bidi="lt-LT"/>
        </w:rPr>
        <w:t xml:space="preserve">, </w:t>
      </w:r>
      <w:r>
        <w:rPr>
          <w:szCs w:val="24"/>
          <w:lang w:eastAsia="lt-LT" w:bidi="lt-LT"/>
        </w:rPr>
        <w:t>J. K.</w:t>
      </w:r>
      <w:r w:rsidRPr="00C00255">
        <w:rPr>
          <w:szCs w:val="24"/>
          <w:lang w:eastAsia="lt-LT" w:bidi="lt-LT"/>
        </w:rPr>
        <w:t xml:space="preserve"> ir kt</w:t>
      </w:r>
      <w:r w:rsidR="00E0397A">
        <w:rPr>
          <w:szCs w:val="24"/>
          <w:lang w:eastAsia="lt-LT" w:bidi="lt-LT"/>
        </w:rPr>
        <w:t>. baudžiamojoje byloje (t. 379, b. </w:t>
      </w:r>
      <w:r w:rsidRPr="00C00255">
        <w:rPr>
          <w:szCs w:val="24"/>
          <w:lang w:eastAsia="lt-LT" w:bidi="lt-LT"/>
        </w:rPr>
        <w:t>l. 7–12). Byloje nebuvo ir nėra ginčo dėl šiems asmenis padarytų sužalojimų, jie nėra skundžiami ir apeliaciniais skundais, todėl</w:t>
      </w:r>
      <w:r w:rsidRPr="00C00255">
        <w:rPr>
          <w:szCs w:val="24"/>
          <w:lang w:bidi="lt-LT"/>
        </w:rPr>
        <w:t xml:space="preserve"> tokia nuosprendyje padaryta klaida yra aiškiai redakcinio pobūdžio ir niekaip neblogina nuteistųjų teisinės padėties, todėl pastarąją tikslinga ištaisyti,</w:t>
      </w:r>
      <w:r w:rsidRPr="00C00255">
        <w:rPr>
          <w:szCs w:val="24"/>
          <w:lang w:eastAsia="lt-LT" w:bidi="lt-LT"/>
        </w:rPr>
        <w:t xml:space="preserve"> nustatomojoje dalyje</w:t>
      </w:r>
      <w:r w:rsidRPr="00C00255">
        <w:rPr>
          <w:szCs w:val="24"/>
          <w:lang w:bidi="lt-LT"/>
        </w:rPr>
        <w:t xml:space="preserve"> nurodant, kad karo atakos prie LRT metu nesunkus sveikatos sutrikdymas buvo padarytas taip pat ir nukentėjusiesiems – S</w:t>
      </w:r>
      <w:r>
        <w:rPr>
          <w:szCs w:val="24"/>
          <w:lang w:bidi="lt-LT"/>
        </w:rPr>
        <w:t>. </w:t>
      </w:r>
      <w:r w:rsidRPr="00C00255">
        <w:rPr>
          <w:szCs w:val="24"/>
          <w:lang w:bidi="lt-LT"/>
        </w:rPr>
        <w:t>V</w:t>
      </w:r>
      <w:r>
        <w:rPr>
          <w:szCs w:val="24"/>
          <w:lang w:bidi="lt-LT"/>
        </w:rPr>
        <w:t>.</w:t>
      </w:r>
      <w:r w:rsidRPr="00C00255">
        <w:rPr>
          <w:szCs w:val="24"/>
          <w:lang w:bidi="lt-LT"/>
        </w:rPr>
        <w:t> S</w:t>
      </w:r>
      <w:r>
        <w:rPr>
          <w:szCs w:val="24"/>
          <w:lang w:bidi="lt-LT"/>
        </w:rPr>
        <w:t>.</w:t>
      </w:r>
      <w:r w:rsidRPr="00C00255">
        <w:rPr>
          <w:szCs w:val="24"/>
          <w:lang w:bidi="lt-LT"/>
        </w:rPr>
        <w:t>, J</w:t>
      </w:r>
      <w:r>
        <w:rPr>
          <w:szCs w:val="24"/>
          <w:lang w:bidi="lt-LT"/>
        </w:rPr>
        <w:t>. </w:t>
      </w:r>
      <w:r w:rsidRPr="00C00255">
        <w:rPr>
          <w:szCs w:val="24"/>
          <w:lang w:bidi="lt-LT"/>
        </w:rPr>
        <w:t>J</w:t>
      </w:r>
      <w:r>
        <w:rPr>
          <w:szCs w:val="24"/>
          <w:lang w:bidi="lt-LT"/>
        </w:rPr>
        <w:t>.</w:t>
      </w:r>
      <w:r w:rsidRPr="00C00255">
        <w:rPr>
          <w:szCs w:val="24"/>
          <w:lang w:bidi="lt-LT"/>
        </w:rPr>
        <w:t>, P</w:t>
      </w:r>
      <w:r>
        <w:rPr>
          <w:szCs w:val="24"/>
          <w:lang w:bidi="lt-LT"/>
        </w:rPr>
        <w:t>. </w:t>
      </w:r>
      <w:r w:rsidRPr="00C00255">
        <w:rPr>
          <w:szCs w:val="24"/>
          <w:lang w:bidi="lt-LT"/>
        </w:rPr>
        <w:t>N</w:t>
      </w:r>
      <w:r>
        <w:rPr>
          <w:szCs w:val="24"/>
          <w:lang w:bidi="lt-LT"/>
        </w:rPr>
        <w:t>.</w:t>
      </w:r>
      <w:r w:rsidRPr="00C00255">
        <w:rPr>
          <w:szCs w:val="24"/>
          <w:lang w:bidi="lt-LT"/>
        </w:rPr>
        <w:t>, A</w:t>
      </w:r>
      <w:r>
        <w:rPr>
          <w:szCs w:val="24"/>
          <w:lang w:bidi="lt-LT"/>
        </w:rPr>
        <w:t>. </w:t>
      </w:r>
      <w:r w:rsidRPr="00C00255">
        <w:rPr>
          <w:szCs w:val="24"/>
          <w:lang w:bidi="lt-LT"/>
        </w:rPr>
        <w:t>B, K</w:t>
      </w:r>
      <w:r>
        <w:rPr>
          <w:szCs w:val="24"/>
          <w:lang w:bidi="lt-LT"/>
        </w:rPr>
        <w:t>.</w:t>
      </w:r>
      <w:r w:rsidRPr="00C00255">
        <w:rPr>
          <w:szCs w:val="24"/>
          <w:lang w:bidi="lt-LT"/>
        </w:rPr>
        <w:t> B</w:t>
      </w:r>
      <w:r>
        <w:rPr>
          <w:szCs w:val="24"/>
          <w:lang w:bidi="lt-LT"/>
        </w:rPr>
        <w:t>.</w:t>
      </w:r>
      <w:r w:rsidRPr="00C00255">
        <w:rPr>
          <w:szCs w:val="24"/>
          <w:lang w:bidi="lt-LT"/>
        </w:rPr>
        <w:t>, B</w:t>
      </w:r>
      <w:r>
        <w:rPr>
          <w:szCs w:val="24"/>
          <w:lang w:bidi="lt-LT"/>
        </w:rPr>
        <w:t>.</w:t>
      </w:r>
      <w:r w:rsidRPr="00C00255">
        <w:rPr>
          <w:szCs w:val="24"/>
          <w:lang w:bidi="lt-LT"/>
        </w:rPr>
        <w:t> J</w:t>
      </w:r>
      <w:r>
        <w:rPr>
          <w:szCs w:val="24"/>
          <w:lang w:bidi="lt-LT"/>
        </w:rPr>
        <w:t>. </w:t>
      </w:r>
      <w:r w:rsidRPr="00C00255">
        <w:rPr>
          <w:szCs w:val="24"/>
          <w:lang w:bidi="lt-LT"/>
        </w:rPr>
        <w:t>J</w:t>
      </w:r>
      <w:r>
        <w:rPr>
          <w:szCs w:val="24"/>
          <w:lang w:bidi="lt-LT"/>
        </w:rPr>
        <w:t>.</w:t>
      </w:r>
      <w:r w:rsidRPr="00C00255">
        <w:rPr>
          <w:szCs w:val="24"/>
          <w:lang w:bidi="lt-LT"/>
        </w:rPr>
        <w:t xml:space="preserve">. </w:t>
      </w:r>
      <w:bookmarkStart w:id="729" w:name="_Hlk63945771"/>
      <w:bookmarkEnd w:id="728"/>
    </w:p>
    <w:p w:rsidR="00E0397A" w:rsidRPr="00E0397A" w:rsidRDefault="00E0397A" w:rsidP="00E0397A">
      <w:pPr>
        <w:pStyle w:val="Heading4"/>
        <w:spacing w:before="120" w:after="120"/>
        <w:ind w:firstLine="992"/>
        <w:rPr>
          <w:rFonts w:ascii="Times New Roman" w:eastAsiaTheme="majorEastAsia" w:hAnsi="Times New Roman"/>
          <w:b w:val="0"/>
          <w:i/>
          <w:sz w:val="24"/>
        </w:rPr>
      </w:pPr>
      <w:r w:rsidRPr="00E0397A">
        <w:rPr>
          <w:rFonts w:ascii="Times New Roman" w:hAnsi="Times New Roman"/>
          <w:b w:val="0"/>
          <w:i/>
          <w:sz w:val="24"/>
        </w:rPr>
        <w:t>Dėl TSRS kariškių prie LRT panaudotų ginklų, šovinių tipo ir pan.</w:t>
      </w:r>
    </w:p>
    <w:p w:rsidR="00E0397A" w:rsidRPr="005D022C" w:rsidRDefault="00DA38E9" w:rsidP="00E0397A">
      <w:pPr>
        <w:pStyle w:val="ListParagraph"/>
        <w:numPr>
          <w:ilvl w:val="0"/>
          <w:numId w:val="6"/>
        </w:numPr>
        <w:spacing w:before="120" w:after="120"/>
        <w:ind w:left="993" w:hanging="993"/>
        <w:contextualSpacing w:val="0"/>
      </w:pPr>
      <w:r w:rsidRPr="005D022C">
        <w:rPr>
          <w:szCs w:val="24"/>
          <w:lang w:eastAsia="lt-LT"/>
        </w:rPr>
        <w:t xml:space="preserve">Byloje nustatytos civilių asmenų sužalojimo aplinkybės, taip pat byloje surinkti kiti objektyvūs įrodymai, vaizdo įrašai, įvykio vietos, daiktinių įrodymų apžiūrų ir kiti duomenys leido teisėjų kolegijai konstatuoti ir tai, kad byloje teisingai nustatytos ir </w:t>
      </w:r>
      <w:r w:rsidRPr="005D022C">
        <w:rPr>
          <w:rFonts w:eastAsia="Calibri"/>
        </w:rPr>
        <w:t xml:space="preserve">jau aptartos aplinkybės apie tai, jog šturmuojant LRT pastatus nuosprendyje nurodyti kariškiai bei draugovininkai brovėsi pro minią, naudojo įvairaus pobūdžio ginklus ir šaudė iš jų, sprogdino nuosprendyje nurodytas šviesos, garso ir dūmines granatas, naudojo tiesioginį fizinį smurtą civilių atžvilgiu, juos stumdydami, spardydami, smūgiuodami kumščiais, automatų buožėmis ir pan. </w:t>
      </w:r>
    </w:p>
    <w:p w:rsidR="00DA38E9" w:rsidRPr="005D022C" w:rsidRDefault="00DA38E9" w:rsidP="00E0397A">
      <w:pPr>
        <w:pStyle w:val="ListParagraph"/>
        <w:numPr>
          <w:ilvl w:val="0"/>
          <w:numId w:val="6"/>
        </w:numPr>
        <w:spacing w:before="120" w:after="120"/>
        <w:ind w:left="993" w:hanging="993"/>
        <w:contextualSpacing w:val="0"/>
      </w:pPr>
      <w:r w:rsidRPr="005D022C">
        <w:rPr>
          <w:rFonts w:eastAsia="Calibri"/>
          <w:szCs w:val="24"/>
        </w:rPr>
        <w:t xml:space="preserve">Visgi ne vienas apeliantas byloje teigia, kad kariškiai fizinį smurtą naudojo tik gindamiesi arba kaip atsaką į civilių veiksmus, be to, kariškiai tik atstūmė civilius nuo pastatų ir prieš juos fizinio smurto, ginklų, šviesos ir garso sprogstamųjų įtaisų, kitų priemonių nenaudojo, </w:t>
      </w:r>
      <w:r w:rsidRPr="005D022C">
        <w:rPr>
          <w:szCs w:val="24"/>
        </w:rPr>
        <w:t xml:space="preserve">E. R. vadovaujamas tankas iššovė tik tuščius šovinius, maksimaliu kampu pakeliant pabūklą ir kryptimi kur nėra civilių. Teisėjų kolegija, su tokiais ir panašiais gynybos argumentais nesutinka ir konstatuoja, kad nuosprendyje nurodyti kariškių ir draugovininkų veiksmai bei naudotos priemonės užimant LRT pastatus nustatytos teisingai ir objektyviai, remiantis byloje pateiktais specialistų vertinimais ir kitais įrodymais, o toks jų pobūdis, nesvarbu kokia atskirų priemonių paskirtis, turėjo aiškų bauginamąjį ir žalojamąjį poveikį civiliams. </w:t>
      </w:r>
    </w:p>
    <w:p w:rsidR="00E0397A" w:rsidRPr="00E0397A" w:rsidRDefault="00DA38E9" w:rsidP="00E0397A">
      <w:pPr>
        <w:pStyle w:val="ListParagraph"/>
        <w:numPr>
          <w:ilvl w:val="0"/>
          <w:numId w:val="6"/>
        </w:numPr>
        <w:spacing w:before="120" w:after="120"/>
        <w:ind w:left="992" w:hanging="992"/>
        <w:contextualSpacing w:val="0"/>
        <w:rPr>
          <w:lang w:eastAsia="lt-LT"/>
        </w:rPr>
      </w:pPr>
      <w:r w:rsidRPr="00C00255">
        <w:rPr>
          <w:szCs w:val="24"/>
        </w:rPr>
        <w:t xml:space="preserve">Teisėjų kolegija, analizuodama atskirų TSRS karinių dalinių ir atskirų kariškių veiksmus, jau pasisakė apie daugybei civilių padarytas akustines traumas, karinės technikos ir tankų manevravimu padarytus sužalojimus, sprogstamaisiais įtaisais padarytus sužalojimus, šaudymą, bei jais padarytus sužalojimus, tiesioginius smurtinius veiksmus civilius mušant ir kt. Teisėjų kolegija taip pat neabejoja, kad LRT užėmimo metu kariškiai prieš civilius panaudojo ir kitas skundžiamame nuosprendyje nurodytas priemones. </w:t>
      </w:r>
      <w:bookmarkStart w:id="730" w:name="_Hlk63282852"/>
    </w:p>
    <w:p w:rsidR="00DA38E9" w:rsidRPr="005D022C" w:rsidRDefault="00DA38E9" w:rsidP="00E0397A">
      <w:pPr>
        <w:pStyle w:val="ListParagraph"/>
        <w:numPr>
          <w:ilvl w:val="0"/>
          <w:numId w:val="6"/>
        </w:numPr>
        <w:spacing w:before="120" w:after="120"/>
        <w:ind w:left="992" w:hanging="992"/>
        <w:contextualSpacing w:val="0"/>
        <w:rPr>
          <w:lang w:eastAsia="lt-LT"/>
        </w:rPr>
      </w:pPr>
      <w:r w:rsidRPr="005D022C">
        <w:t xml:space="preserve">Skundžiamame nuosprendyje nustatyta, kad </w:t>
      </w:r>
      <w:r w:rsidRPr="005D022C">
        <w:rPr>
          <w:rFonts w:eastAsia="Calibri"/>
        </w:rPr>
        <w:t xml:space="preserve">TSRS VSK </w:t>
      </w:r>
      <w:r w:rsidRPr="005D022C">
        <w:t xml:space="preserve">grupės „A“ kariškiai prie LRT naudojo granatsvaidžius RGS-50, šviesos ir garso granatas GSZ, specialiąsias priemones – specialius skysčio pistoletus PSŽ, šaudydami </w:t>
      </w:r>
      <w:bookmarkStart w:id="731" w:name="_Hlk62508944"/>
      <w:bookmarkEnd w:id="730"/>
      <w:r w:rsidRPr="005D022C">
        <w:t>5,45 mm kalibro automatiniais ginklais, naudojo tarptautinės teisės uždraustas karo priemones – 5,45 mm kalibro šovinius su išcentruota kulka. TSRS VRM Vidaus kariuomenės 42-osios divizijos konvojaus pulko mokomosios specialiosios paskirties kuopos kariškiai naudojo šviesos ir garso granatas „Zaria“, specialiąsias priemones „Čeriomucha“, gumines lazdas PR-73, imitacines priemones – imitacinius sprogstamuosius įtaisus, dūminius užtaisus DM-</w:t>
      </w:r>
      <w:bookmarkEnd w:id="731"/>
      <w:r w:rsidRPr="005D022C">
        <w:t xml:space="preserve">11, šaudė 7,62 mm kalibro SVD šautuvais ir automatiniais ginklais AKMS. </w:t>
      </w:r>
      <w:r w:rsidRPr="005D022C">
        <w:rPr>
          <w:rFonts w:eastAsia="Calibri"/>
        </w:rPr>
        <w:t xml:space="preserve">TSRS GM </w:t>
      </w:r>
      <w:r w:rsidRPr="005D022C">
        <w:t xml:space="preserve">76-osios oro desanto divizijos jungtinio karinio vieneto kariškiai naudojo imitacines priemones – dūminius užtaisus DM-11, dūmines granatas RDG-2x (ginklų ir spec. priemonių pavadinimuose naudojamos rusiškos raidės), šaudė ir 7,62 mm kalibro SVD šautuvais. Nuosprendyje nurodoma, kad </w:t>
      </w:r>
      <w:r w:rsidRPr="005D022C">
        <w:rPr>
          <w:rFonts w:eastAsia="Calibri"/>
        </w:rPr>
        <w:t xml:space="preserve">TSRS GM </w:t>
      </w:r>
      <w:r w:rsidRPr="005D022C">
        <w:t xml:space="preserve">76-osios oro desanto divizijos jungtinio karinio vieneto kariškiai naudojo – </w:t>
      </w:r>
      <w:r w:rsidR="00E0397A" w:rsidRPr="005D022C">
        <w:t>dūminius užtaisus </w:t>
      </w:r>
      <w:r w:rsidRPr="005D022C">
        <w:t>DM-11, dūmines granatas RDG-2x, šaudė 5,45 mm kalibro automatiniais ginklais ir 7,62 mm kalibro SVD šautuvais (žr. </w:t>
      </w:r>
      <w:r w:rsidRPr="005D022C">
        <w:rPr>
          <w:rFonts w:eastAsia="Calibri"/>
        </w:rPr>
        <w:t>nuosprendžio 515</w:t>
      </w:r>
      <w:r w:rsidRPr="005D022C">
        <w:t>–</w:t>
      </w:r>
      <w:r w:rsidRPr="005D022C">
        <w:rPr>
          <w:rFonts w:eastAsia="Calibri"/>
        </w:rPr>
        <w:t>516 l., t. 771, b. l. 115–118)</w:t>
      </w:r>
      <w:r w:rsidRPr="005D022C">
        <w:rPr>
          <w:lang w:bidi="lt-LT"/>
        </w:rPr>
        <w:t>.</w:t>
      </w:r>
    </w:p>
    <w:p w:rsidR="00E0397A" w:rsidRPr="00E0397A" w:rsidRDefault="00DA38E9" w:rsidP="00E0397A">
      <w:pPr>
        <w:pStyle w:val="ListParagraph"/>
        <w:numPr>
          <w:ilvl w:val="1"/>
          <w:numId w:val="6"/>
        </w:numPr>
        <w:spacing w:before="120" w:after="120"/>
        <w:ind w:left="993" w:hanging="993"/>
        <w:contextualSpacing w:val="0"/>
        <w:rPr>
          <w:lang w:eastAsia="lt-LT"/>
        </w:rPr>
      </w:pPr>
      <w:r w:rsidRPr="00C00255">
        <w:rPr>
          <w:lang w:eastAsia="lt-LT"/>
        </w:rPr>
        <w:t xml:space="preserve">Jau ne kartą šiame sprendime minėtoje </w:t>
      </w:r>
      <w:r w:rsidRPr="00C00255">
        <w:rPr>
          <w:szCs w:val="24"/>
          <w:lang w:eastAsia="lt-LT"/>
        </w:rPr>
        <w:t xml:space="preserve">„Komandiruotės Vilniuje rezultatų pažymoje“ nurodyta, kad </w:t>
      </w:r>
      <w:r w:rsidRPr="00C00255">
        <w:rPr>
          <w:rFonts w:eastAsia="Calibri"/>
          <w:szCs w:val="24"/>
        </w:rPr>
        <w:t xml:space="preserve">TSRS VSK </w:t>
      </w:r>
      <w:r w:rsidRPr="00C00255">
        <w:rPr>
          <w:szCs w:val="24"/>
        </w:rPr>
        <w:t xml:space="preserve">grupės „A“ kariškiams TV bokšto ir LRT pastatų užėmimo operacijos metu buvo nurodyta naudoti granatas, granatsvaidį, priemones PSŽ. Pažymoje taip pat nurodoma, kad prie LRT „A“ kariškiai panaudodami granatas GSZ, šaudydami tuščiais šoviniais ir panaudodami kovinius veiksmus &lt;...&gt; priėjo prie keliuose pastatuose esančio LRT komiteto (t. 192, b. l. 42–44; t. 192, b. l. 36–40). Specialistas J. Andriškevičius 2014 m. birželio 10 d. išvadoje konstatavo, kad </w:t>
      </w:r>
      <w:r w:rsidRPr="00C00255">
        <w:t xml:space="preserve">byloje esanti vaizdo ir foto medžiaga liudija, kad VSK „A“ kariškiai buvo ginkluoti 5,45 mm automatais AKS-74 &lt;...&gt; </w:t>
      </w:r>
      <w:r w:rsidRPr="00C00255">
        <w:rPr>
          <w:szCs w:val="24"/>
        </w:rPr>
        <w:t xml:space="preserve">VSK „A“ kariškiai, naudodami granatas GSZ, granatsvaidžius RGS-50, pistoletus PSŽ, artimos kovos veiksmus ir automatinius ginklus, prasibrovė pro civilių minią ir pateko į LRT pastatus (t. 480, b. l. </w:t>
      </w:r>
      <w:r w:rsidRPr="00C00255">
        <w:t xml:space="preserve">37–38, </w:t>
      </w:r>
      <w:r w:rsidRPr="00C00255">
        <w:rPr>
          <w:szCs w:val="24"/>
        </w:rPr>
        <w:t xml:space="preserve">58). </w:t>
      </w:r>
      <w:bookmarkStart w:id="732" w:name="_Hlk64254419"/>
      <w:r w:rsidRPr="00C00255">
        <w:rPr>
          <w:szCs w:val="24"/>
        </w:rPr>
        <w:t>Be to, specialistas, apklausiamas apie vaizdo įrašuose matomus LRT užėmimo įvykius, nurodė konkrečius vaizdo įrašuose užfiksuotus atvejus, kai tokios priemonės buvo naudojamos (t. 479, b. l. 132–142; t. 480, b. l. 1–2)</w:t>
      </w:r>
      <w:bookmarkEnd w:id="732"/>
      <w:r w:rsidRPr="00C00255">
        <w:rPr>
          <w:szCs w:val="24"/>
        </w:rPr>
        <w:t xml:space="preserve">, bei pateikė ir minėtų ginklų aprašymus bei jų daromą poveikį žmogui (t. 480, b. l. 89–105). Teisėjų kolegijos vertinimu, aptarti duomenys rodo, kad </w:t>
      </w:r>
      <w:r w:rsidRPr="00C00255">
        <w:rPr>
          <w:rFonts w:eastAsia="Calibri"/>
          <w:szCs w:val="24"/>
        </w:rPr>
        <w:t xml:space="preserve">TSRS VSK </w:t>
      </w:r>
      <w:r w:rsidRPr="00C00255">
        <w:rPr>
          <w:szCs w:val="24"/>
        </w:rPr>
        <w:t xml:space="preserve">grupės „A“ kariškiai, verždamiesi į LRT pastatus, prieš civilius išties panaudojo minėtas priemones, net tik baugino civilius, bet ir juos žalojo. </w:t>
      </w:r>
    </w:p>
    <w:p w:rsidR="00DA38E9" w:rsidRPr="00C00255" w:rsidRDefault="00DA38E9" w:rsidP="00E0397A">
      <w:pPr>
        <w:pStyle w:val="ListParagraph"/>
        <w:numPr>
          <w:ilvl w:val="1"/>
          <w:numId w:val="6"/>
        </w:numPr>
        <w:spacing w:before="120" w:after="120"/>
        <w:ind w:left="993" w:hanging="993"/>
        <w:contextualSpacing w:val="0"/>
        <w:rPr>
          <w:lang w:eastAsia="lt-LT"/>
        </w:rPr>
      </w:pPr>
      <w:r w:rsidRPr="00C00255">
        <w:t xml:space="preserve">Taip pat teisėjų kolegijai abejonių nekelia aplinkybės, kad TSRS VRM Vidaus kariuomenės 42-osios divizijos konvojaus pulko mokomosios specialiosios paskirties kariškiai prieš civilius prie LRT, be jau pirmiau šiame sprendime aptartų šviesos ir garso sprogstamųjų įtaisų „Zaria“, panaudojo ir specialiąsias priemones „Čeriomucha“, gumines lazdas PR-73, imitacines priemones – imitacinius sprogstamuosius įtaisus, dūminius užtaisus DM-11 bei šaudė 7,62 mm kalibro SVD šautuvais ir </w:t>
      </w:r>
      <w:bookmarkStart w:id="733" w:name="_Hlk63945964"/>
      <w:r w:rsidRPr="00C00255">
        <w:t>automatiniais ginklais AKMS</w:t>
      </w:r>
      <w:bookmarkEnd w:id="733"/>
      <w:r w:rsidRPr="00C00255">
        <w:t>.</w:t>
      </w:r>
      <w:bookmarkEnd w:id="729"/>
      <w:r w:rsidR="00E0397A">
        <w:t> </w:t>
      </w:r>
      <w:r w:rsidRPr="00E0397A">
        <w:rPr>
          <w:szCs w:val="24"/>
        </w:rPr>
        <w:t xml:space="preserve">Apie įvykių metu Vilniuje šio karinio dalinio disponuotus </w:t>
      </w:r>
      <w:r w:rsidRPr="00C00255">
        <w:t xml:space="preserve">automatinius ginklus AKMS, 7,62 mm kalibro šovinius, šviesos ir garso sprogstamuosius įtaisus „Zaria“, specialiąsias priemones „Čeriomucha“ </w:t>
      </w:r>
      <w:r w:rsidRPr="00E0397A">
        <w:rPr>
          <w:szCs w:val="24"/>
        </w:rPr>
        <w:t>nurodė ir TSRS VRM Vidaus kariuomenės 42-osios divizijos vadovybė (žr. S. F. raštą (t</w:t>
      </w:r>
      <w:r w:rsidR="00E0397A">
        <w:rPr>
          <w:szCs w:val="24"/>
        </w:rPr>
        <w:t>. 438, b. l. 4–6; t. 115, b. l. </w:t>
      </w:r>
      <w:r w:rsidRPr="00E0397A">
        <w:rPr>
          <w:szCs w:val="24"/>
        </w:rPr>
        <w:t xml:space="preserve">2–4), N. M. raštą (t. 438, b. l. 9; t. 115, b. l. 7–8), M. G. raštą (t. 438, b. l. 30; t. 115, b. l. 29). Aplinkybę, kad minėto dalinio kariškiai prie LRT panaudojo šias priemones, konstatavo ir specialistas. 2014 m. birželio 10 d. išvadoje konstatuota, kad „užimant LRT </w:t>
      </w:r>
      <w:r w:rsidRPr="00C00255">
        <w:t xml:space="preserve">VRM 42 divizijos kariškiai </w:t>
      </w:r>
      <w:r w:rsidRPr="00E0397A">
        <w:rPr>
          <w:szCs w:val="24"/>
        </w:rPr>
        <w:t xml:space="preserve">išeikvojo: </w:t>
      </w:r>
      <w:r w:rsidRPr="00C00255">
        <w:t>17 vnt. 7,62 mm. kovinių, nenustatytą skaičių imitacinių šovinių, 16 vnt. granatų „Zaria“, 3 vnt. užtaisų „Čeriomucha–1“, 10 vnt. užtaisų Čeriomucha–5</w:t>
      </w:r>
      <w:r w:rsidR="00E0397A">
        <w:rPr>
          <w:szCs w:val="24"/>
        </w:rPr>
        <w:t>“ (t. 480, b. l. </w:t>
      </w:r>
      <w:r w:rsidRPr="00E0397A">
        <w:rPr>
          <w:szCs w:val="24"/>
        </w:rPr>
        <w:t>62). Be to, specialistas, apklausiamas apie vaizdo įrašuose matomus LRT užėmimo įvykius, nurodė konkrečius vaizdo įrašuose užfiksuotus atvejus, kai tokios priemonės buvo naudojamos (t. 479, b. l. 132–142; t. 480, b. l. 1–2).</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t xml:space="preserve">Teisėjų kolegijai abejonių nekelia ir aplinkybės, kad TSRS GM 76-osios oro desanto divizijos kariškiai prieš civilius prie LRT panaudojo </w:t>
      </w:r>
      <w:r w:rsidRPr="00C00255">
        <w:rPr>
          <w:szCs w:val="24"/>
        </w:rPr>
        <w:t>dūminius užtaisus DM-11, dūmines granatas RDG-2x bei šaudė 5,45 mm kalibro automatiniais ginklais ir 7,62 mm kalibro SVD šautuvais. Apie įvykių metu Vilniuje šio karinio dalinio disponuotas dūmadėžes DM-11 ir granatas RDG-2x nurodė ir karinio dalinio Nr. 74268 vadovybė (žr. </w:t>
      </w:r>
      <w:r>
        <w:rPr>
          <w:szCs w:val="24"/>
        </w:rPr>
        <w:t>I. K.</w:t>
      </w:r>
      <w:r w:rsidRPr="00C00255">
        <w:rPr>
          <w:szCs w:val="24"/>
        </w:rPr>
        <w:t xml:space="preserve"> raštą (t. 429, b. l. 125; t. 116,</w:t>
      </w:r>
      <w:r>
        <w:rPr>
          <w:szCs w:val="24"/>
        </w:rPr>
        <w:t xml:space="preserve"> </w:t>
      </w:r>
      <w:r w:rsidRPr="00C00255">
        <w:rPr>
          <w:szCs w:val="24"/>
        </w:rPr>
        <w:t>b. l.</w:t>
      </w:r>
      <w:r>
        <w:rPr>
          <w:szCs w:val="24"/>
        </w:rPr>
        <w:t> </w:t>
      </w:r>
      <w:r w:rsidRPr="00C00255">
        <w:rPr>
          <w:szCs w:val="24"/>
        </w:rPr>
        <w:t xml:space="preserve">161)). Aplinkybę, kad </w:t>
      </w:r>
      <w:r w:rsidRPr="00C00255">
        <w:rPr>
          <w:rFonts w:eastAsia="Calibri"/>
          <w:szCs w:val="24"/>
        </w:rPr>
        <w:t xml:space="preserve">TSRS GM </w:t>
      </w:r>
      <w:r w:rsidRPr="00C00255">
        <w:rPr>
          <w:szCs w:val="24"/>
        </w:rPr>
        <w:t xml:space="preserve">76-osios oro desanto divizijos kariškiai prie LRT panaudojo šias priemones ir minėtus ginklus, konstatavo ir specialistas. 2014 m. birželio 10 d. išvadoje konstatuota, kad užimant LRT, </w:t>
      </w:r>
      <w:r w:rsidRPr="00C00255">
        <w:rPr>
          <w:rFonts w:eastAsia="Calibri"/>
          <w:szCs w:val="24"/>
        </w:rPr>
        <w:t xml:space="preserve">TSRS GM </w:t>
      </w:r>
      <w:r w:rsidRPr="00C00255">
        <w:rPr>
          <w:szCs w:val="24"/>
        </w:rPr>
        <w:t>76-osios oro desanto divizijos kariškiai išeikvojo: 38 vnt. 5,45 mm kalibro kovinių šovinių, 321 vnt. imitacinių šovinių, 1 vnt. 7,62 mm MOSIN, nenustatytą skaičių granatų DM–11 ir RDG-2x“ (t. 480, b. l. 62–63). Teisėjų kolegija pažymi, kad nuosprendžio nustatomojoje dalyje, kaip ir kaltinamajame akte ar atskiruose byloje esančiuose rusų kalba parašytuose dokumentuose specialisto nurodytų granatų „DM-11“ pavadinimas nurodomas naudojant ne arabiškus, o romėniškus skaičius, t. y. kaip „DM-II“, nors tiek pagal viešus šaltinius, tiek pagal specialisto išvadą ir jos Priedą Nr. 5, šios priemonės pavadinimas rašomas „DM-11“. Be to, pagal specialisto pateiktą šios priemonės aprašymą ant pačios priemonės yra vienuolika angų dūmų išėjimui (t. 480 b. l. 98</w:t>
      </w:r>
      <w:r w:rsidRPr="000A79E4">
        <w:rPr>
          <w:szCs w:val="24"/>
        </w:rPr>
        <w:t>–</w:t>
      </w:r>
      <w:r w:rsidRPr="00C00255">
        <w:rPr>
          <w:szCs w:val="24"/>
        </w:rPr>
        <w:t>99)), taigi tikslus šios priemonės pavadinimas yra DM-11. Atsižvelgdama į tai, teisėjų kolegija netikslų šios priemonės pavadinimą nuosprendžio nustatomoje dalyje vertina tik kaip taisytiną redakcinio pobūdžio klaidą.</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t>Byloje keliamus gynybos argumentus apie prie LRT naudotus tik garsinius šovinius ar šaudymą tik į viršų, ar tik į kojas ir pan., kas turint omenyje civilių patirtus šautinius sužalojimus (pvz., nukentėjusiųjų V.</w:t>
      </w:r>
      <w:r>
        <w:t> </w:t>
      </w:r>
      <w:r w:rsidRPr="00C00255">
        <w:t>B</w:t>
      </w:r>
      <w:r>
        <w:t>.</w:t>
      </w:r>
      <w:r w:rsidRPr="00C00255">
        <w:t>, K.</w:t>
      </w:r>
      <w:r>
        <w:t> </w:t>
      </w:r>
      <w:r w:rsidRPr="00C00255">
        <w:t>Č</w:t>
      </w:r>
      <w:r>
        <w:t>.</w:t>
      </w:r>
      <w:r w:rsidRPr="00C00255">
        <w:t>, V.</w:t>
      </w:r>
      <w:r>
        <w:t> </w:t>
      </w:r>
      <w:r w:rsidRPr="00C00255">
        <w:t>T</w:t>
      </w:r>
      <w:r>
        <w:t>.</w:t>
      </w:r>
      <w:r w:rsidRPr="00C00255">
        <w:t>, V. B</w:t>
      </w:r>
      <w:r>
        <w:t>.</w:t>
      </w:r>
      <w:r w:rsidRPr="00C00255">
        <w:t xml:space="preserve"> sužalojimai) ir civilių kūnuose rastas kulkas ar jų skeveldras, apskritai nelogiška, be jau minėtų įrodymų paneigia ir kiti bylos duomenys, kurie, be kita ko, taip pat liudija ir apie konkrečius teismo nuosprendyje teisingai nurodytus šovinių tipus:</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lang w:eastAsia="lt-LT"/>
        </w:rPr>
        <w:t xml:space="preserve">1991 m. sausio 18 d. įvykio vietos apžiūros protokole užfiksuota, kad apžiūrint Lietuvos radijo ir televizijos teritoriją ir patalpas, ties LRT Radijo ir televizijos pastatais, surasta daug 5,45 mm kalibro šovinių tūtelių, kurių markiruotės: „17/75“, „3/83“, „539/87“, „17/77“; 7,62 mm kalibro šovinys ir tūtelės, kurių markiruotė „17/77“, „711/78“; kulkos šerdis; pastato fasade daugelyje vietų matomi pažeidimai, panašūs į kulkų pėdsakus; tinke dešinėje fasado pusėje užfiksuoti 106 kulkiniai pažeidimai; dešinėje nuo centrinio įėjimo surasta kulkos šerdis, pistoleto PM tūtelė, 5,45 mm kalibro šovinių tūtelės; radijo pastate apžiūrint pažeidimus languose bei kitose patalpų vietose nustatyta, kad kulkų kryptis iš apačios į viršų apie 35 laipsnių kampu, paimtos kelios kulkų šerdys (t. 100, b. l. 20–37). </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rPr>
          <w:lang w:eastAsia="lt-LT"/>
        </w:rPr>
        <w:t xml:space="preserve">1991 m. sausio 25 d. įvykio vietos apžiūros protokole užfiksuota, kad papildomai apžiūrint Radijo komiteto pastato kabinetą Nr. 316, surastos dvi 5,45 mm kalibro šovinių tūtelės, kurių markiruotės „270/88“ ir „539/28“ (t. 100, b. l. 54–58). </w:t>
      </w:r>
    </w:p>
    <w:p w:rsidR="00E0397A" w:rsidRPr="00E0397A" w:rsidRDefault="00DA38E9" w:rsidP="00E0397A">
      <w:pPr>
        <w:pStyle w:val="ListParagraph"/>
        <w:numPr>
          <w:ilvl w:val="1"/>
          <w:numId w:val="6"/>
        </w:numPr>
        <w:spacing w:before="120" w:after="120"/>
        <w:ind w:left="993" w:hanging="993"/>
        <w:contextualSpacing w:val="0"/>
        <w:rPr>
          <w:lang w:eastAsia="lt-LT"/>
        </w:rPr>
      </w:pPr>
      <w:r w:rsidRPr="00C00255">
        <w:t xml:space="preserve">Byloje ištyrus LRT pastatų viduje ir teritorijoje rastas šovinių tūteles, be kita ko, konstatuota, kad 1) 2 šautos tūtelės (markiruotėmis „188 68“ ir „17 77“) yra 7,62 mm kalibro šovinių, skirtų šaudyti iš 7,62 mm kalibro </w:t>
      </w:r>
      <w:r w:rsidRPr="00C00255">
        <w:rPr>
          <w:iCs/>
        </w:rPr>
        <w:t>Mosin</w:t>
      </w:r>
      <w:r w:rsidRPr="00C00255">
        <w:rPr>
          <w:i/>
        </w:rPr>
        <w:t xml:space="preserve"> </w:t>
      </w:r>
      <w:r w:rsidRPr="00C00255">
        <w:t>1891/30, karabinų ir kulkosvaidžių (TSRS), dalys; 2) 11 tūtelių (markiruotėmis „711 78“ ir „17 77“) yra kovinių tarpinių 7,62 mm kalibro šovinių, skirtų šaudyti iš 7,62 mm kalibro karinio SKS, automatų AK, AKM ir Kalašnikovo sistemos kulkosvaidžių, dalys; 3) 74 tūtelės (markiruotėmis „3 83“, „3 75“, „539 83“, „270 88“, „539 84“, „539 87“, „3 84“ ir „270 88“) yra 5,45 mm kalibro šovinių, skirtų šaudyti iš 5,45 mm kalibro automatų AK-74 ir kulkosvaidžių RPK-57, dalys:</w:t>
      </w:r>
      <w:r w:rsidRPr="00E0397A">
        <w:t xml:space="preserve"> iš jų 11 tūtelių yra tuščiųjų šovinių dalys, kitos – kovinių šovinių dalys (1991 m. kovo 11 d. eksperto išvada Nr. 647; t. 442, b. l. 12–15; </w:t>
      </w:r>
      <w:r w:rsidRPr="00E0397A">
        <w:rPr>
          <w:rFonts w:eastAsia="Calibri"/>
        </w:rPr>
        <w:t>t. 129, b. l. 8–10).</w:t>
      </w:r>
      <w:r w:rsidRPr="00C00255">
        <w:rPr>
          <w:rFonts w:eastAsia="Calibri"/>
          <w:szCs w:val="24"/>
        </w:rPr>
        <w:t xml:space="preserve"> </w:t>
      </w:r>
    </w:p>
    <w:p w:rsidR="00DA38E9" w:rsidRPr="00C00255" w:rsidRDefault="00DA38E9" w:rsidP="00E0397A">
      <w:pPr>
        <w:pStyle w:val="ListParagraph"/>
        <w:numPr>
          <w:ilvl w:val="1"/>
          <w:numId w:val="6"/>
        </w:numPr>
        <w:spacing w:before="120" w:after="120"/>
        <w:ind w:left="993" w:hanging="993"/>
        <w:contextualSpacing w:val="0"/>
        <w:rPr>
          <w:lang w:eastAsia="lt-LT"/>
        </w:rPr>
      </w:pPr>
      <w:r w:rsidRPr="00E0397A">
        <w:rPr>
          <w:rFonts w:eastAsia="Calibri"/>
        </w:rPr>
        <w:t xml:space="preserve">Ištyrus kabinete Nr. 316 rastas šovinių tūteles, konstatuota, kad dvi tūtelės, markiruote „539 83“ ir „270 88“, yra dalis 5,45 mm kalibro šovinio, skirto šaudyti iš „AK-74“ sistemos automatų 5,45 mm kalibro. Viena tūtelė yra dalis tuščio šovinio, kita – kovinio (1991 m. kovo 4 d. eksperto išvada Nr. 593; t. 442, b. l. 19–21, t. 129, b. l. 13–15). </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t xml:space="preserve">Pastebėtina, kad karinio dalinio Nr. 3404, kurio sudėčiai priklausė ir VRM dalinys Nr. 7574, vado pasirašytoje 1991 m. gegužės 23 d. pažymoje nurodyta, kad sausio 13-osios naktį dalinio Nr. 7574 kariškiai buvo ginkluoti ir </w:t>
      </w:r>
      <w:r w:rsidRPr="00E0397A">
        <w:rPr>
          <w:rFonts w:eastAsia="Calibri"/>
        </w:rPr>
        <w:t>7,62 mm kalibro šoviniais, kurių markiruotė „711 78“ ir „17 77“ (t. 438, b. l. 9; t. 125, b. l. 7–8).</w:t>
      </w:r>
      <w:r w:rsidRPr="00C00255">
        <w:rPr>
          <w:rFonts w:eastAsia="Calibri"/>
          <w:szCs w:val="24"/>
        </w:rPr>
        <w:t xml:space="preserve"> Atitinkamai </w:t>
      </w:r>
      <w:r w:rsidRPr="00C00255">
        <w:t>karinio dalinio Nr. 74268 vado pasirašytoje 1991 m. balandžio 22 d. pažymoje taip pat nurodyta, kad prie LRT oro desanto kariškiai išnaudojo 38 vnt. 5,45 mm kalibro šovinių su kulka „PS“ (markiruotė: gamykla 17, metai 75 (t. y. „17 75“); t. 429, b. l. 118, t. 116, b. l. 153).</w:t>
      </w:r>
    </w:p>
    <w:p w:rsidR="00DA38E9" w:rsidRPr="00C00255" w:rsidRDefault="00DA38E9" w:rsidP="00DA38E9">
      <w:pPr>
        <w:pStyle w:val="ListParagraph"/>
        <w:numPr>
          <w:ilvl w:val="1"/>
          <w:numId w:val="6"/>
        </w:numPr>
        <w:spacing w:before="120" w:after="120"/>
        <w:ind w:left="993" w:hanging="993"/>
        <w:contextualSpacing w:val="0"/>
        <w:rPr>
          <w:lang w:eastAsia="lt-LT"/>
        </w:rPr>
      </w:pPr>
      <w:r w:rsidRPr="00C00255">
        <w:t>Nukentėjusysis E.</w:t>
      </w:r>
      <w:r>
        <w:t> </w:t>
      </w:r>
      <w:r w:rsidRPr="00C00255">
        <w:t>M</w:t>
      </w:r>
      <w:r>
        <w:t>.</w:t>
      </w:r>
      <w:r w:rsidRPr="00C00255">
        <w:t xml:space="preserve"> jau minėtoje </w:t>
      </w:r>
      <w:r>
        <w:t>M. B.</w:t>
      </w:r>
      <w:r w:rsidRPr="00C00255">
        <w:t>, J. K</w:t>
      </w:r>
      <w:r>
        <w:t>.</w:t>
      </w:r>
      <w:r w:rsidRPr="00C00255">
        <w:t xml:space="preserve"> ir kt. byloje nurodė, kad jis buvo peršautas būdamas prie centrinio LRT Radijo pastato įėjimo (t. 371, b. l. 194). 1991 m. sausio 30 d. teismo medicinos ekspertizės aktu Nr. 94 konstatuota, kad </w:t>
      </w:r>
      <w:r w:rsidRPr="00C00255">
        <w:rPr>
          <w:bCs/>
        </w:rPr>
        <w:t>E.</w:t>
      </w:r>
      <w:r>
        <w:rPr>
          <w:bCs/>
        </w:rPr>
        <w:t> </w:t>
      </w:r>
      <w:r w:rsidRPr="00C00255">
        <w:rPr>
          <w:bCs/>
        </w:rPr>
        <w:t>M</w:t>
      </w:r>
      <w:r>
        <w:rPr>
          <w:bCs/>
        </w:rPr>
        <w:t>.</w:t>
      </w:r>
      <w:r w:rsidRPr="00C00255">
        <w:t xml:space="preserve"> padaryta šautinė nugaros žaizda, sužalojimas padarytas šaunamuoju ginklu (t. 58, b. l. 96). 1991 m. kovo 12 d. ekspertizės akte Nr. 11-341 konstatuota, kad </w:t>
      </w:r>
      <w:r w:rsidRPr="00C00255">
        <w:rPr>
          <w:bCs/>
        </w:rPr>
        <w:t>E. M</w:t>
      </w:r>
      <w:r>
        <w:rPr>
          <w:bCs/>
        </w:rPr>
        <w:t>.</w:t>
      </w:r>
      <w:r w:rsidRPr="00C00255">
        <w:t xml:space="preserve"> sužeidusi kulka yra </w:t>
      </w:r>
      <w:r w:rsidRPr="00C00255">
        <w:rPr>
          <w:bCs/>
        </w:rPr>
        <w:t>5,45</w:t>
      </w:r>
      <w:r w:rsidRPr="00C00255">
        <w:t xml:space="preserve"> mm kalibro šovinio, iššauta iš </w:t>
      </w:r>
      <w:r w:rsidRPr="00C00255">
        <w:rPr>
          <w:bCs/>
        </w:rPr>
        <w:t>5,45</w:t>
      </w:r>
      <w:r w:rsidRPr="00C00255">
        <w:t xml:space="preserve"> mm kalibro Kalašnikovo sistemos automato (AK-74). Ant kulkos paviršiaus esantys vamzdžio kanalo pėdsakai tinkami ginklo identifikavimui. Kulka deformavosi atsitrenkusi į kietą paviršių. (t. 101, b. l. 120-126). Be to, iš bylos duomenų matyti, kad ši kulka apžiūrėta, nufotografuota bei saugoma LNM </w:t>
      </w:r>
      <w:r w:rsidRPr="00C00255">
        <w:rPr>
          <w:lang w:eastAsia="lt-LT"/>
        </w:rPr>
        <w:t>(t. 101, b. l. 90–93, t. 508,</w:t>
      </w:r>
      <w:r>
        <w:rPr>
          <w:lang w:eastAsia="lt-LT"/>
        </w:rPr>
        <w:t xml:space="preserve"> </w:t>
      </w:r>
      <w:r w:rsidRPr="00C00255">
        <w:rPr>
          <w:lang w:eastAsia="lt-LT"/>
        </w:rPr>
        <w:t>b.</w:t>
      </w:r>
      <w:r>
        <w:rPr>
          <w:lang w:eastAsia="lt-LT"/>
        </w:rPr>
        <w:t> </w:t>
      </w:r>
      <w:r w:rsidRPr="00C00255">
        <w:rPr>
          <w:lang w:eastAsia="lt-LT"/>
        </w:rPr>
        <w:t>l. 148–212, 213–214).</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Atsižvelgiant į visa tai,</w:t>
      </w:r>
      <w:r w:rsidRPr="00C00255">
        <w:t xml:space="preserve"> turint omenyje ir daugybės asmenų parodymus apie kovinius šovinius, teisėjų kolegija atmeta ne tik gynybos teiginius, kad prie LRT kariškiai naudojo tik garsinius šovinius, šaudydami tik viršų ir pan., bet ir argumentus apie tai, kad byloje nepatikrinta, ar kariškiai iš ties panaudojo 5,45 mm kalibro šovinius (apie šio tipo šovinių panaudojimo draudžiamumą tarptautinėje teisėje ir to teisinį vertinimą teisėjų kolegija pasisakys atskiroje dalyje). Tokių išvadų kontekste teisėjų kolegija taip pat pažymi, kad LRT užėmimo operacija buvo koordinuota, visi kariškiai veikė bendrai ir siekdami bendro tikslo, todėl teismo išvados apie bendrai visų kariškių naudotus tiek garsinius, tiek kovinius šovinius yra visiškai pagrįstos ir teisingos. Aptariant konkrečių asmenų sužalojimus, tiek kiek tai leido nustatyti byloje surinkti įrodymai, teismas nurodė konkretaus karinio dalinio kariškius, o atskirais atvejais byloje ir konkrečius kariškius, kurie panaudojo kovinius šovinius. Toks nusikalstamų veiksmų aplinkybių aprašymas yra tinkamas ir pagrįstas. </w:t>
      </w:r>
    </w:p>
    <w:p w:rsidR="00DA38E9" w:rsidRPr="00C00255" w:rsidRDefault="00DA38E9" w:rsidP="00DA38E9">
      <w:pPr>
        <w:pStyle w:val="Heading4"/>
        <w:spacing w:before="120" w:after="120"/>
        <w:ind w:left="632" w:firstLine="360"/>
        <w:rPr>
          <w:rFonts w:ascii="Times New Roman" w:hAnsi="Times New Roman"/>
          <w:b w:val="0"/>
          <w:i/>
          <w:sz w:val="24"/>
          <w:szCs w:val="24"/>
        </w:rPr>
      </w:pPr>
      <w:bookmarkStart w:id="734" w:name="_Toc66697315"/>
      <w:r w:rsidRPr="00C00255">
        <w:rPr>
          <w:rFonts w:ascii="Times New Roman" w:hAnsi="Times New Roman"/>
          <w:b w:val="0"/>
          <w:i/>
          <w:sz w:val="24"/>
          <w:szCs w:val="24"/>
        </w:rPr>
        <w:t>Dėl teiginių apie šaudymą į TSRS kariškius ir dalies kariškių patirtus sužalojimus</w:t>
      </w:r>
      <w:bookmarkEnd w:id="734"/>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szCs w:val="24"/>
        </w:rPr>
        <w:t xml:space="preserve">Nuteistųjų </w:t>
      </w:r>
      <w:r>
        <w:rPr>
          <w:szCs w:val="24"/>
        </w:rPr>
        <w:t>O. M.</w:t>
      </w:r>
      <w:r w:rsidRPr="00C00255">
        <w:rPr>
          <w:szCs w:val="24"/>
        </w:rPr>
        <w:t xml:space="preserve"> ir </w:t>
      </w:r>
      <w:r>
        <w:rPr>
          <w:szCs w:val="24"/>
        </w:rPr>
        <w:t>J. S.</w:t>
      </w:r>
      <w:r w:rsidRPr="00C00255">
        <w:rPr>
          <w:szCs w:val="24"/>
        </w:rPr>
        <w:t xml:space="preserve"> gynėjai apeliaciniuose skunduose teigia, kad LRT užėmimo metu buvo šaudoma į kariškius iš gyvenamųjų namų. </w:t>
      </w:r>
      <w:r>
        <w:rPr>
          <w:szCs w:val="24"/>
        </w:rPr>
        <w:t>J. S.</w:t>
      </w:r>
      <w:r w:rsidRPr="00C00255">
        <w:rPr>
          <w:szCs w:val="24"/>
        </w:rPr>
        <w:t xml:space="preserve"> gynėjo teigimu, iš kariškio J. T</w:t>
      </w:r>
      <w:r>
        <w:rPr>
          <w:szCs w:val="24"/>
        </w:rPr>
        <w:t>.</w:t>
      </w:r>
      <w:r w:rsidRPr="00C00255">
        <w:rPr>
          <w:szCs w:val="24"/>
        </w:rPr>
        <w:t xml:space="preserve"> parodymų matyti, kad iš gyvenamojo namo kėsintasi jį nužudyti ir taip išprovokuoti kariškius panaudoti šaunamuosius ginklus. Kariškio apšaudymas patvirtina, kad ne tik kariškiai, bet ir kitos konflikto pusės asmenys naudojo šaunamuosius ginklus. </w:t>
      </w:r>
      <w:r>
        <w:rPr>
          <w:szCs w:val="24"/>
        </w:rPr>
        <w:t>O. M.</w:t>
      </w:r>
      <w:r w:rsidRPr="00C00255">
        <w:rPr>
          <w:szCs w:val="24"/>
        </w:rPr>
        <w:t xml:space="preserve"> gynėjas taip pat teigia, kad </w:t>
      </w:r>
      <w:r>
        <w:t>J. T.</w:t>
      </w:r>
      <w:r w:rsidRPr="00C00255">
        <w:t xml:space="preserve"> šaudė į viršų, po to, kai buvo peršauta jo ginklo dėtuvė. </w:t>
      </w:r>
      <w:r w:rsidRPr="00C00255">
        <w:rPr>
          <w:lang w:eastAsia="lt-LT"/>
        </w:rPr>
        <w:t>Teisėjų kolegijos vertinimu</w:t>
      </w:r>
      <w:r w:rsidRPr="00C00255">
        <w:rPr>
          <w:i/>
          <w:lang w:eastAsia="lt-LT"/>
        </w:rPr>
        <w:t>,</w:t>
      </w:r>
      <w:r w:rsidRPr="00C00255">
        <w:rPr>
          <w:lang w:eastAsia="lt-LT"/>
        </w:rPr>
        <w:t xml:space="preserve"> tokios apeliantų versijos yra deklaratyvios ir jomis siekiama nepagrįstai sušvelninti nuteistųjų teisinę padėtį. Panašios versijos jau buvo vertintos ne vienoje byloje ir atmestos įsiteisėjusiais teismų sprendimais.</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lang w:eastAsia="lt-LT"/>
        </w:rPr>
        <w:t xml:space="preserve">Antai, </w:t>
      </w:r>
      <w:r>
        <w:rPr>
          <w:bCs/>
          <w:szCs w:val="24"/>
        </w:rPr>
        <w:t>M. B.</w:t>
      </w:r>
      <w:r w:rsidRPr="00C00255">
        <w:rPr>
          <w:bCs/>
          <w:szCs w:val="24"/>
        </w:rPr>
        <w:t xml:space="preserve">, </w:t>
      </w:r>
      <w:r>
        <w:rPr>
          <w:bCs/>
          <w:szCs w:val="24"/>
        </w:rPr>
        <w:t>J. K.</w:t>
      </w:r>
      <w:r w:rsidRPr="00C00255">
        <w:rPr>
          <w:bCs/>
          <w:szCs w:val="24"/>
        </w:rPr>
        <w:t xml:space="preserve"> ir kt. baudžiamojoje byloje, priimtame Vilniaus apygardos teismo 1999 m. rugpjūčio 23 d. nuosprendyje baudžiamojoje byloje Nr. 1-2/1999 buvo nurodyta, kad TSRS kariuomenės bei karinių padalinių vadai, dalyvavę 1991 m. sausio mėn. įvykiuose Vilniuje, aiškino, kad kariškiai neturėjo šovinių su trasuojančiomis kulkomis, o tokiais šoviniais buvo ginkluoti Lietuvos „smogikai“, kurie šaudė į kariškius. Nuteistieji M. B</w:t>
      </w:r>
      <w:r>
        <w:rPr>
          <w:bCs/>
          <w:szCs w:val="24"/>
        </w:rPr>
        <w:t>.</w:t>
      </w:r>
      <w:r w:rsidRPr="00C00255">
        <w:rPr>
          <w:bCs/>
          <w:szCs w:val="24"/>
        </w:rPr>
        <w:t xml:space="preserve"> ir J.</w:t>
      </w:r>
      <w:r>
        <w:rPr>
          <w:bCs/>
          <w:szCs w:val="24"/>
        </w:rPr>
        <w:t> </w:t>
      </w:r>
      <w:r w:rsidRPr="00C00255">
        <w:rPr>
          <w:bCs/>
          <w:szCs w:val="24"/>
        </w:rPr>
        <w:t>J</w:t>
      </w:r>
      <w:r>
        <w:rPr>
          <w:bCs/>
          <w:szCs w:val="24"/>
        </w:rPr>
        <w:t>.</w:t>
      </w:r>
      <w:r w:rsidRPr="00C00255">
        <w:rPr>
          <w:bCs/>
          <w:szCs w:val="24"/>
        </w:rPr>
        <w:t xml:space="preserve"> teigė, kad kariškiai šaunamuosius ginklus panaudojo tik dėl to, kad į juos iš gyvenamųjų namų ir minios šaudė civiliai, apsirengę kaip Krašto apsaugos pareigūnai. Visgi Vilniaus apygardos teismas minėtoje byloje tokius teiginius atmetė, nurodydamas, kad juos paneigia byloje surinktų duomenų visuma. Teismas konstatavo, kad versija dėl šaudymo į kariškius tėra priemonė pateisinti savo ir kitų kariškių veiksmus prieš beginklius žmones. Be to, teismas įžvelgė ir prieštaravimus tarp atskirų kariškių parodymų; pabrėžė dalies nukentėjusiųjų ir liudytojų nurodytas aplinkybes apie TSRS prokuratūros sufalsifikuotus jų parodymus; taip pat nurodė įvykio vietoje surinktus duomenis ir objektus, kurie, pasak teismo, paneigė propagandinius teiginius, kad iš gyvenamųjų namų buvo šaudoma į kariškius. Vilniaus apygardos teismas taip pat konstatavo, kad nepagrįsti ir kariškių teiginiai, jog prie LRT žmonės buvo sužaloti ne dėl kariškių kaltės, o dėl to, kad šaudė ir besiginančioji pusė (t. 379, b. l. 214–218).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bCs/>
          <w:szCs w:val="24"/>
        </w:rPr>
        <w:t xml:space="preserve">Visa tai rodo, kad apeliantai kartoja jau kitoje baudžiamojoje byloje dėl tų pačių įvykių keltas analogiškas versijas, todėl teisėjų kolegija, vien turėdama omenyje tokius detalius ir išsamius Vilniaus apygardos teismo 1999 m. rugpjūčio 23 d. nuosprendyje baudžiamojoje byloje Nr. 1-2/1999 nurodytus argumentus, kurie, beje, nebuvo paneigti ir peržiūrint bylą apeliacine bei kasacine tvarka, nesant nustatytų jokių naujų aplinkybių, iš esmės neturi jokio pagrindo šiais klausimais daryti kitokių išvadų. </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color w:val="000000"/>
          <w:szCs w:val="24"/>
          <w:lang w:bidi="lt-LT"/>
        </w:rPr>
        <w:t xml:space="preserve">Be to, ir nagrinėjamoje byloje yra tokią gynybinę versiją paneigiančių objektyvių duomenų. Iš </w:t>
      </w:r>
      <w:r w:rsidRPr="00C00255">
        <w:rPr>
          <w:kern w:val="3"/>
          <w:szCs w:val="24"/>
        </w:rPr>
        <w:t xml:space="preserve">1991 m. sausio 23 d. įvykio vietos apžiūros protokolo matyti, kad </w:t>
      </w:r>
      <w:r w:rsidRPr="00C00255">
        <w:rPr>
          <w:color w:val="000000"/>
          <w:szCs w:val="24"/>
          <w:lang w:bidi="lt-LT"/>
        </w:rPr>
        <w:t>pareigūnų buvo apžiūrėti priešais tuometinį TVR komiteto pastatą esančio gyvenamojo namo, adresu</w:t>
      </w:r>
      <w:r w:rsidRPr="00C00255">
        <w:rPr>
          <w:kern w:val="3"/>
          <w:szCs w:val="24"/>
        </w:rPr>
        <w:t xml:space="preserve"> Konarskio g. 22, butai Nr. 17 ir 13. Apžiūros metu butuose surastos ir paimtos kulkos, o sprendžiant iš jų trajektorijos nustatyta, kad jos paleistos iš Radijo komiteto pastato kairiojo krašto 3–4 aukšto lygio (t. 100, b. l. 48–49; t. 100, b. l. 45</w:t>
      </w:r>
      <w:bookmarkStart w:id="735" w:name="_Hlk65796717"/>
      <w:r w:rsidRPr="00C00255">
        <w:rPr>
          <w:kern w:val="3"/>
          <w:szCs w:val="24"/>
        </w:rPr>
        <w:t>–</w:t>
      </w:r>
      <w:bookmarkEnd w:id="735"/>
      <w:r w:rsidRPr="00C00255">
        <w:rPr>
          <w:kern w:val="3"/>
          <w:szCs w:val="24"/>
        </w:rPr>
        <w:t xml:space="preserve">47). Iš 1991 m. sausio 25 d. įvykio vietos apžiūros protokolo matyti, kad pareigūnų buvo apžiūrėti ir gyvenamieji namai Nr. 10a, 12, 18, 20, 22, esantys Konarskio g., Vilniuje. Vadovaujantis protokolu, ant šių namų stogų pašalinių daiktų nebuvo rasta (t. 100, b. l. 52–53; t. 100, b. l. 50–51). </w:t>
      </w:r>
      <w:r w:rsidRPr="00C00255">
        <w:t xml:space="preserve">Daugelis byloje apklaustų liudytojų ir nukentėjusiųjų taip pat paneigė bet kokias ginklų panaudojimo iš civilių pusės galimybes. Teisiamajame posėdyje liudytoju apklaustas tuometinis Lietuvos Respublikos vidaus reikalų ministras </w:t>
      </w:r>
      <w:r>
        <w:t>M. M.</w:t>
      </w:r>
      <w:r w:rsidRPr="00C00255">
        <w:t>, be kita ko, nurodė, kad p</w:t>
      </w:r>
      <w:r w:rsidRPr="00C00255">
        <w:rPr>
          <w:color w:val="000000"/>
        </w:rPr>
        <w:t xml:space="preserve">rieš byloje nagrinėjamus įvykius buvo analizuojami panašūs TSRS jėgos panaudojimo atvejai Kaukaze, Tbilisyje, todėl Lietuvos vidaus reikalų pareigūnai neturėjo jokių ginklų, kad buvo siekiama užkirsti kelią ginkluoto konflikto išprovokavimui ir žmonių aukoms </w:t>
      </w:r>
      <w:r w:rsidRPr="00C00255">
        <w:t>(t. 756, b. l. 113–121)</w:t>
      </w:r>
      <w:r w:rsidRPr="00C00255">
        <w:rPr>
          <w:color w:val="000000"/>
        </w:rPr>
        <w:t>. Iš byloje surinktų įrodymų ir nukentėjusiesiems padarytų sužalojimų aiškiai matyti, kad ne civiliai, o kariškiai naudojo jėgą ir puolė civilius, todėl tokie gynybos teiginiai nepagrįsti, nereikšmingi ir atmestini.</w:t>
      </w:r>
    </w:p>
    <w:p w:rsidR="00DA38E9" w:rsidRPr="00C00255" w:rsidRDefault="00DA38E9" w:rsidP="00DA38E9">
      <w:pPr>
        <w:pStyle w:val="ListParagraph"/>
        <w:numPr>
          <w:ilvl w:val="0"/>
          <w:numId w:val="6"/>
        </w:numPr>
        <w:spacing w:before="120" w:after="120"/>
        <w:ind w:left="992" w:hanging="992"/>
        <w:contextualSpacing w:val="0"/>
        <w:rPr>
          <w:lang w:eastAsia="lt-LT"/>
        </w:rPr>
      </w:pPr>
      <w:r w:rsidRPr="00C00255">
        <w:rPr>
          <w:color w:val="000000"/>
        </w:rPr>
        <w:t xml:space="preserve">Iš esmės tokios pačios pozicijos teisėjų kolegija laikosi ir vertindama nuteistojo </w:t>
      </w:r>
      <w:r>
        <w:rPr>
          <w:color w:val="000000"/>
        </w:rPr>
        <w:t>V. U. 1</w:t>
      </w:r>
      <w:r w:rsidRPr="00C00255">
        <w:rPr>
          <w:color w:val="000000"/>
        </w:rPr>
        <w:t xml:space="preserve"> gynėjo argumentus, kad </w:t>
      </w:r>
      <w:r w:rsidRPr="00C00255">
        <w:rPr>
          <w:szCs w:val="24"/>
        </w:rPr>
        <w:t xml:space="preserve">kaltinime nekalbama apie tai, kas prie LRT metė sprogmenį į kapitoną </w:t>
      </w:r>
      <w:r>
        <w:rPr>
          <w:szCs w:val="24"/>
        </w:rPr>
        <w:t>J. G.</w:t>
      </w:r>
      <w:r w:rsidRPr="00C00255">
        <w:rPr>
          <w:szCs w:val="24"/>
        </w:rPr>
        <w:t xml:space="preserve"> ir kas nušovė leitenantą V. Š</w:t>
      </w:r>
      <w:r>
        <w:rPr>
          <w:szCs w:val="24"/>
        </w:rPr>
        <w:t>.</w:t>
      </w:r>
      <w:r w:rsidRPr="00C00255">
        <w:rPr>
          <w:szCs w:val="24"/>
        </w:rPr>
        <w:t xml:space="preserve">. </w:t>
      </w:r>
      <w:r w:rsidRPr="00C00255">
        <w:rPr>
          <w:lang w:eastAsia="lt-LT"/>
        </w:rPr>
        <w:t>Anksčiau minėtame</w:t>
      </w:r>
      <w:r w:rsidRPr="00C00255">
        <w:rPr>
          <w:bCs/>
          <w:szCs w:val="24"/>
        </w:rPr>
        <w:t xml:space="preserve"> Vilniaus apygardos teismo 1999 m. rugpjūčio 23 d. nuosprendyje baudžiamojoje byloje Nr. 1-2/1999, konstatuota, kad </w:t>
      </w:r>
      <w:r>
        <w:rPr>
          <w:bCs/>
          <w:szCs w:val="24"/>
        </w:rPr>
        <w:t>J. G.</w:t>
      </w:r>
      <w:r w:rsidRPr="00C00255">
        <w:rPr>
          <w:bCs/>
          <w:szCs w:val="24"/>
        </w:rPr>
        <w:t xml:space="preserve"> buvo sužeistas priemonės „Zaria“, kurią panaudojo VRM specialiosios paskirties kuopa. Minėtas teismas konstatavo ir tai, kad V. Š</w:t>
      </w:r>
      <w:r>
        <w:rPr>
          <w:bCs/>
          <w:szCs w:val="24"/>
        </w:rPr>
        <w:t>.</w:t>
      </w:r>
      <w:r w:rsidRPr="00C00255">
        <w:rPr>
          <w:bCs/>
          <w:szCs w:val="24"/>
        </w:rPr>
        <w:t xml:space="preserve"> mirtinai sužalotas 5,45 mm kulka, iššauta iš automato AK-74, o tokiais ginklais buvo ginkluoti TSRS VSK grupės „A“ kariškiai ir oro desanto divizijos kariškiai, kurie veržėsi pro civilius (t. 379, b. l. 217</w:t>
      </w:r>
      <w:bookmarkStart w:id="736" w:name="_Hlk66472075"/>
      <w:r w:rsidRPr="00C00255">
        <w:rPr>
          <w:bCs/>
          <w:szCs w:val="24"/>
        </w:rPr>
        <w:t>–</w:t>
      </w:r>
      <w:bookmarkEnd w:id="736"/>
      <w:r w:rsidRPr="00C00255">
        <w:rPr>
          <w:bCs/>
          <w:szCs w:val="24"/>
        </w:rPr>
        <w:t xml:space="preserve">218). Taigi </w:t>
      </w:r>
      <w:r>
        <w:rPr>
          <w:bCs/>
          <w:szCs w:val="24"/>
        </w:rPr>
        <w:t>V. U. 1</w:t>
      </w:r>
      <w:r w:rsidRPr="00C00255">
        <w:rPr>
          <w:bCs/>
          <w:szCs w:val="24"/>
        </w:rPr>
        <w:t xml:space="preserve"> gynėjas kartoja jau kitoje byloje dėl tų pačių įvykių keltas analogiškas versijas, kurios baudžiamojoje byloje Nr. 1-2/1999 atmestos kaip deklaratyvios. </w:t>
      </w:r>
      <w:r w:rsidRPr="00C00255">
        <w:t xml:space="preserve">Be to, ir nagrinėjamoje byloje teisiamajame posėdyje apklaustų liudytojų parodymai patvirtina, kad už šių asmenų sužalojimą atsakingi TSRS kariškiai. Tuometinis TSRS VRM Vidaus kariuomenės 42-osios divizijos kariškis </w:t>
      </w:r>
      <w:r>
        <w:t>S. S.</w:t>
      </w:r>
      <w:r w:rsidRPr="00C00255">
        <w:t xml:space="preserve"> nurodė, kad buvo paskelbta, jog TSRS kariškiai nušovė V. Š</w:t>
      </w:r>
      <w:r w:rsidRPr="00E0397A">
        <w:t>. („</w:t>
      </w:r>
      <w:r w:rsidRPr="00E0397A">
        <w:rPr>
          <w:rFonts w:eastAsia="Calibri"/>
        </w:rPr>
        <w:t xml:space="preserve">Iš bendro konteksto, iš to, kad buvo paskelbta, jog mūsiškiai nušovė leitenantą V. Š., padariau išvadą, kad jis buvo atgabentas; esu įsitikinęs, kad jis buvo atvežtas“; </w:t>
      </w:r>
      <w:r w:rsidRPr="00E0397A">
        <w:t>t. 760, b. l. 140–145). J. G. sužeidimo prie LRT aplinkybių kontekste pabrėžtini liudytojo E. G. parodymai apie tai, kad jis po įvykių bendravo su ligoninėje gulėjusiu kapitonu J. G., kuris buvo sužeistas sprogstamuoju paketu Konarskio g., būdamas ant laiptų; jam žinoma apie tai, kad tas paketas buvo išmestas iš pastato TSRS kariškių (t. 756, b. l. 181–183). Taigi visos apeliantų keliamos versijos apie galimą civilių šaudymą į TSRS kariškius arba minėtų subjektų nulemtus TSRS kariškių sužalojimus prie LRT yra paneigtos.</w:t>
      </w:r>
    </w:p>
    <w:p w:rsidR="00DA38E9" w:rsidRPr="00C00255" w:rsidRDefault="00DA38E9" w:rsidP="00DA38E9">
      <w:pPr>
        <w:pStyle w:val="Heading3"/>
        <w:spacing w:before="120" w:after="120"/>
        <w:ind w:left="632" w:firstLine="360"/>
        <w:jc w:val="left"/>
        <w:rPr>
          <w:rStyle w:val="Heading3Char"/>
          <w:rFonts w:eastAsiaTheme="majorEastAsia"/>
          <w:i/>
          <w:sz w:val="24"/>
          <w:szCs w:val="24"/>
          <w:lang w:val="lt-LT" w:bidi="lt-LT"/>
        </w:rPr>
      </w:pPr>
      <w:bookmarkStart w:id="737" w:name="_Toc67480792"/>
      <w:bookmarkStart w:id="738" w:name="_Toc67677404"/>
      <w:bookmarkStart w:id="739" w:name="_Toc67985532"/>
      <w:r w:rsidRPr="00C00255">
        <w:rPr>
          <w:rStyle w:val="Heading3Char"/>
          <w:rFonts w:eastAsiaTheme="majorEastAsia"/>
          <w:bCs/>
          <w:i/>
          <w:sz w:val="24"/>
          <w:szCs w:val="24"/>
          <w:lang w:val="lt-LT"/>
        </w:rPr>
        <w:t>Apibendrinančios</w:t>
      </w:r>
      <w:bookmarkStart w:id="740" w:name="_Hlk67512193"/>
      <w:r w:rsidRPr="00C00255">
        <w:rPr>
          <w:rStyle w:val="Heading3Char"/>
          <w:rFonts w:eastAsiaTheme="majorEastAsia"/>
          <w:bCs/>
          <w:i/>
          <w:sz w:val="24"/>
          <w:szCs w:val="24"/>
          <w:lang w:val="lt-LT"/>
        </w:rPr>
        <w:t xml:space="preserve"> išvados dėl faktinių aplinkybių, susijusių su LRT užėmimu</w:t>
      </w:r>
      <w:bookmarkEnd w:id="737"/>
      <w:bookmarkEnd w:id="738"/>
      <w:bookmarkEnd w:id="739"/>
    </w:p>
    <w:p w:rsidR="00DA38E9" w:rsidRPr="00C00255" w:rsidRDefault="00DA38E9" w:rsidP="00E0397A">
      <w:pPr>
        <w:pStyle w:val="ListParagraph"/>
        <w:numPr>
          <w:ilvl w:val="0"/>
          <w:numId w:val="6"/>
        </w:numPr>
        <w:spacing w:before="120" w:after="120"/>
        <w:ind w:left="992" w:hanging="992"/>
        <w:contextualSpacing w:val="0"/>
        <w:rPr>
          <w:lang w:eastAsia="lt-LT"/>
        </w:rPr>
      </w:pPr>
      <w:r w:rsidRPr="005D022C">
        <w:t>Teisėjų kolegija,</w:t>
      </w:r>
      <w:r w:rsidRPr="00E0397A">
        <w:rPr>
          <w:color w:val="000000"/>
          <w:szCs w:val="24"/>
          <w:lang w:bidi="lt-LT"/>
        </w:rPr>
        <w:t xml:space="preserve"> </w:t>
      </w:r>
      <w:r w:rsidRPr="005D022C">
        <w:t>apibendrindama nurodytus motyvus, konstatuoja, kad nepa</w:t>
      </w:r>
      <w:bookmarkEnd w:id="740"/>
      <w:r w:rsidRPr="005D022C">
        <w:t>isant skundžiamame nuosprendyje esančių prieštaravimų ir netikslumų nurodytų nuosprendžio nustatomojoje bei motyvuojamojoje dalyje, esminės Vilniaus apygardos teismo 2019 m. kovo 27 d. nuosprendžiu konstatuotos ir nuosprendžio nustatomojoje dalyje nurodytos LRT užėmimo faktinės aplinkybės pasitvirtino ir yra teisingos.</w:t>
      </w:r>
      <w:r w:rsidRPr="00E0397A">
        <w:rPr>
          <w:color w:val="000000"/>
          <w:szCs w:val="24"/>
          <w:lang w:bidi="lt-LT"/>
        </w:rPr>
        <w:t xml:space="preserve"> </w:t>
      </w:r>
    </w:p>
    <w:p w:rsidR="00E0397A" w:rsidRPr="00E0397A" w:rsidRDefault="00DA38E9" w:rsidP="00E0397A">
      <w:pPr>
        <w:pStyle w:val="ListParagraph"/>
        <w:numPr>
          <w:ilvl w:val="0"/>
          <w:numId w:val="6"/>
        </w:numPr>
        <w:spacing w:before="120" w:after="120"/>
        <w:ind w:left="993" w:hanging="993"/>
        <w:contextualSpacing w:val="0"/>
        <w:rPr>
          <w:lang w:eastAsia="lt-LT"/>
        </w:rPr>
      </w:pPr>
      <w:bookmarkStart w:id="741" w:name="_Hlk67510289"/>
      <w:r w:rsidRPr="00C00255">
        <w:rPr>
          <w:color w:val="000000"/>
          <w:szCs w:val="24"/>
          <w:lang w:bidi="lt-LT"/>
        </w:rPr>
        <w:t xml:space="preserve">Teisėjų kolegija nustatė šiuos pirmosios instancijos teismo nuosprendžio nustatomojoje dalyje, esančius ir taisytinus netikslumus: </w:t>
      </w:r>
      <w:bookmarkStart w:id="742" w:name="_Hlk65796752"/>
      <w:bookmarkEnd w:id="741"/>
    </w:p>
    <w:p w:rsidR="00DA38E9" w:rsidRPr="00C00255" w:rsidRDefault="00DA38E9" w:rsidP="00E0397A">
      <w:pPr>
        <w:pStyle w:val="ListParagraph"/>
        <w:numPr>
          <w:ilvl w:val="1"/>
          <w:numId w:val="6"/>
        </w:numPr>
        <w:spacing w:before="120" w:after="120"/>
        <w:ind w:left="992" w:hanging="992"/>
        <w:contextualSpacing w:val="0"/>
        <w:rPr>
          <w:lang w:eastAsia="lt-LT"/>
        </w:rPr>
      </w:pPr>
      <w:r w:rsidRPr="005D022C">
        <w:t>skundžiamo nuosprendžio nustatomojoje dalyje dėl LRT užėmimo teisingai nurodytas bendras nesunkius</w:t>
      </w:r>
      <w:bookmarkEnd w:id="742"/>
      <w:r w:rsidRPr="005D022C">
        <w:t xml:space="preserve"> sveikatos sutrikdymus prie LRT patyrusių civilių skaičius, tačiau nurodant nukentėjusiųjų vardus ir pavardes liko nepaminėti nukentėjusieji: S. V. S., J. J., P. N., A. B., K. B., B. J. J. (šio sprendimo 883</w:t>
      </w:r>
      <w:r w:rsidRPr="00C00255">
        <w:rPr>
          <w:lang w:eastAsia="lt-LT"/>
        </w:rPr>
        <w:t xml:space="preserve"> </w:t>
      </w:r>
      <w:r w:rsidRPr="005D022C">
        <w:t xml:space="preserve">pastraipa); </w:t>
      </w:r>
    </w:p>
    <w:p w:rsidR="00DA38E9" w:rsidRPr="00C00255" w:rsidRDefault="00DA38E9" w:rsidP="00DA38E9">
      <w:pPr>
        <w:pStyle w:val="ListParagraph"/>
        <w:numPr>
          <w:ilvl w:val="1"/>
          <w:numId w:val="6"/>
        </w:numPr>
        <w:spacing w:before="120" w:after="120"/>
        <w:ind w:left="992" w:hanging="992"/>
        <w:contextualSpacing w:val="0"/>
      </w:pPr>
      <w:r w:rsidRPr="00C00255">
        <w:t xml:space="preserve">skundžiamame nuosprendyje nepagrįstai nurodyta, kad 1991 m. sausio 13 d., apie 2.00 val., prie LRT atvyko ir prie TSRS VSK grupės „A“ kariškių prisijungė ikiteisminio tyrimo metu nenustatyti </w:t>
      </w:r>
      <w:r w:rsidRPr="00C00255">
        <w:rPr>
          <w:rFonts w:eastAsia="Calibri"/>
          <w:szCs w:val="24"/>
        </w:rPr>
        <w:t xml:space="preserve">TSRS GM </w:t>
      </w:r>
      <w:r w:rsidRPr="00C00255">
        <w:t xml:space="preserve">76-osios oro desanto divizijos jungtinio karinio vieneto kariškiai. Tokia teismo išvada apie nenustatytų kariškių priklausomybę 76-ajai oro desanto divizijai nepagrįsta byloje surinktais įrodymais, todėl iš nuosprendžio nustatomosios dalies šalintina </w:t>
      </w:r>
      <w:r w:rsidRPr="00C00255">
        <w:rPr>
          <w:szCs w:val="24"/>
          <w:lang w:eastAsia="lt-LT" w:bidi="lt-LT"/>
        </w:rPr>
        <w:t>(</w:t>
      </w:r>
      <w:r w:rsidRPr="00C00255">
        <w:rPr>
          <w:szCs w:val="24"/>
          <w:lang w:eastAsia="lt-LT"/>
        </w:rPr>
        <w:t>šio</w:t>
      </w:r>
      <w:r>
        <w:rPr>
          <w:szCs w:val="24"/>
          <w:lang w:eastAsia="lt-LT"/>
        </w:rPr>
        <w:t> </w:t>
      </w:r>
      <w:r w:rsidRPr="00C00255">
        <w:rPr>
          <w:szCs w:val="24"/>
          <w:lang w:eastAsia="lt-LT"/>
        </w:rPr>
        <w:t>sprendimo 658 pastraipa</w:t>
      </w:r>
      <w:r w:rsidRPr="00C00255">
        <w:rPr>
          <w:szCs w:val="24"/>
          <w:lang w:eastAsia="lt-LT" w:bidi="lt-LT"/>
        </w:rPr>
        <w:t>)</w:t>
      </w:r>
      <w:r w:rsidRPr="00C00255">
        <w:t>.</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bookmarkStart w:id="743" w:name="_Hlk67512560"/>
      <w:r w:rsidRPr="00C00255">
        <w:rPr>
          <w:szCs w:val="24"/>
          <w:lang w:eastAsia="lt-LT" w:bidi="lt-LT"/>
        </w:rPr>
        <w:t xml:space="preserve">Kaip minėta, teisėjų kolegija įžvelgė </w:t>
      </w:r>
      <w:bookmarkStart w:id="744" w:name="_Hlk67512800"/>
      <w:r w:rsidRPr="00C00255">
        <w:rPr>
          <w:szCs w:val="24"/>
          <w:lang w:eastAsia="lt-LT" w:bidi="lt-LT"/>
        </w:rPr>
        <w:t>ir nuosprendžio nustatomajai daliai prieštaraujančias ar neteisingas teismo išvadas nuosprendžio motyvuojamojoje dalyje (nuosprendžio 871–877 l. ir 879</w:t>
      </w:r>
      <w:bookmarkStart w:id="745" w:name="_Hlk66472868"/>
      <w:r w:rsidRPr="00C00255">
        <w:rPr>
          <w:szCs w:val="24"/>
          <w:lang w:eastAsia="lt-LT" w:bidi="lt-LT"/>
        </w:rPr>
        <w:t>–</w:t>
      </w:r>
      <w:bookmarkEnd w:id="745"/>
      <w:r w:rsidRPr="00C00255">
        <w:rPr>
          <w:szCs w:val="24"/>
          <w:lang w:eastAsia="lt-LT" w:bidi="lt-LT"/>
        </w:rPr>
        <w:t>890 l.):</w:t>
      </w:r>
    </w:p>
    <w:bookmarkEnd w:id="743"/>
    <w:bookmarkEnd w:id="744"/>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bidi="lt-LT"/>
        </w:rPr>
        <w:t xml:space="preserve">skundžiamame nuosprendyje aiškiai klaidingai nurodoma apie tai, kad tanko Nr. 571 taikytojas </w:t>
      </w:r>
      <w:r>
        <w:rPr>
          <w:szCs w:val="24"/>
          <w:lang w:bidi="lt-LT"/>
        </w:rPr>
        <w:t>N. O.</w:t>
      </w:r>
      <w:r w:rsidRPr="00C00255">
        <w:rPr>
          <w:szCs w:val="24"/>
          <w:lang w:bidi="lt-LT"/>
        </w:rPr>
        <w:t xml:space="preserve"> ir vairuotojas </w:t>
      </w:r>
      <w:r>
        <w:rPr>
          <w:szCs w:val="24"/>
          <w:lang w:bidi="lt-LT"/>
        </w:rPr>
        <w:t>A. U.</w:t>
      </w:r>
      <w:r w:rsidRPr="00C00255">
        <w:rPr>
          <w:szCs w:val="24"/>
          <w:lang w:bidi="lt-LT"/>
        </w:rPr>
        <w:t xml:space="preserve"> „vadovavo tankų kolonai“ prie LRT, nes tokius veiksmus atliko šio tanko vadas nuteistasis </w:t>
      </w:r>
      <w:r>
        <w:rPr>
          <w:szCs w:val="24"/>
          <w:lang w:bidi="lt-LT"/>
        </w:rPr>
        <w:t>V. P.</w:t>
      </w:r>
      <w:r w:rsidRPr="00C00255">
        <w:rPr>
          <w:szCs w:val="24"/>
          <w:lang w:bidi="lt-LT"/>
        </w:rPr>
        <w:t xml:space="preserve">, be to, aprašant šio tanko įgulos narių veiksmus, nepagrįstai nurodyta, kad jų tankas „išgriovė statybvietės sieną“ </w:t>
      </w:r>
      <w:r w:rsidRPr="00C00255">
        <w:rPr>
          <w:szCs w:val="24"/>
          <w:lang w:eastAsia="lt-LT" w:bidi="lt-LT"/>
        </w:rPr>
        <w:t>(</w:t>
      </w:r>
      <w:r w:rsidRPr="00C00255">
        <w:rPr>
          <w:szCs w:val="24"/>
          <w:lang w:eastAsia="lt-LT"/>
        </w:rPr>
        <w:t>šio sprendimo 688 pastraipa</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bidi="lt-LT"/>
        </w:rPr>
        <w:t xml:space="preserve">labai panašiai ir neteisingai skundžiamame nuosprendyje nurodyta, kad tanko Nr. 574 taikytojas </w:t>
      </w:r>
      <w:r>
        <w:rPr>
          <w:szCs w:val="24"/>
          <w:lang w:bidi="lt-LT"/>
        </w:rPr>
        <w:t>A. K. 2</w:t>
      </w:r>
      <w:r w:rsidRPr="00C00255">
        <w:rPr>
          <w:szCs w:val="24"/>
          <w:lang w:bidi="lt-LT"/>
        </w:rPr>
        <w:t xml:space="preserve"> ir vairuotojas </w:t>
      </w:r>
      <w:r>
        <w:t>N. S.</w:t>
      </w:r>
      <w:r w:rsidRPr="00C00255">
        <w:t xml:space="preserve"> davė įsakymą dėl vartų išlaužimo, nes tokį įsakymą davė šio tanko vadas </w:t>
      </w:r>
      <w:r>
        <w:t>E. R.</w:t>
      </w:r>
      <w:r w:rsidRPr="00C00255">
        <w:t xml:space="preserve"> </w:t>
      </w:r>
      <w:r w:rsidRPr="00C00255">
        <w:rPr>
          <w:szCs w:val="24"/>
          <w:lang w:eastAsia="lt-LT" w:bidi="lt-LT"/>
        </w:rPr>
        <w:t>(</w:t>
      </w:r>
      <w:r w:rsidRPr="00C00255">
        <w:rPr>
          <w:szCs w:val="24"/>
          <w:lang w:eastAsia="lt-LT"/>
        </w:rPr>
        <w:t xml:space="preserve">šio sprendimo </w:t>
      </w:r>
      <w:bookmarkStart w:id="746" w:name="_Hlk66472414"/>
      <w:r w:rsidRPr="00C00255">
        <w:rPr>
          <w:szCs w:val="24"/>
          <w:lang w:eastAsia="lt-LT"/>
        </w:rPr>
        <w:t>707 pastraipa</w:t>
      </w:r>
      <w:bookmarkEnd w:id="746"/>
      <w:r w:rsidRPr="00C00255">
        <w:rPr>
          <w:szCs w:val="24"/>
          <w:lang w:eastAsia="lt-LT" w:bidi="lt-LT"/>
        </w:rPr>
        <w:t xml:space="preserve">); </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skundžiamo nuosprendžio motyvuojamoje dalyje nepagrįstai ir prieštaringai nurodoma, kad tankas Nr. 574 atliko du – tris, kitoje vietoje tik du šūvius išmušamaisiais užtaisais, nors byloje tikslus šio tankų šūvių skaičius nėra nustatytas (</w:t>
      </w:r>
      <w:r w:rsidRPr="00C00255">
        <w:rPr>
          <w:szCs w:val="24"/>
          <w:lang w:eastAsia="lt-LT"/>
        </w:rPr>
        <w:t>šio sprendimo 707 pastraipa</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iš skundžiamame nuosprendyje nurodytų aplinkybių, aprašant nuteistųjų </w:t>
      </w:r>
      <w:r>
        <w:rPr>
          <w:szCs w:val="24"/>
          <w:lang w:eastAsia="lt-LT" w:bidi="lt-LT"/>
        </w:rPr>
        <w:t>J. G.</w:t>
      </w:r>
      <w:r w:rsidRPr="00C00255">
        <w:rPr>
          <w:szCs w:val="24"/>
          <w:lang w:eastAsia="lt-LT" w:bidi="lt-LT"/>
        </w:rPr>
        <w:t xml:space="preserve">, </w:t>
      </w:r>
      <w:r>
        <w:rPr>
          <w:szCs w:val="24"/>
          <w:lang w:eastAsia="lt-LT" w:bidi="lt-LT"/>
        </w:rPr>
        <w:t>I. Š.</w:t>
      </w:r>
      <w:r w:rsidRPr="00C00255">
        <w:rPr>
          <w:szCs w:val="24"/>
          <w:lang w:eastAsia="lt-LT" w:bidi="lt-LT"/>
        </w:rPr>
        <w:t xml:space="preserve">, </w:t>
      </w:r>
      <w:r>
        <w:rPr>
          <w:szCs w:val="24"/>
          <w:lang w:eastAsia="lt-LT" w:bidi="lt-LT"/>
        </w:rPr>
        <w:t>A. F. 2</w:t>
      </w:r>
      <w:r w:rsidRPr="00C00255">
        <w:rPr>
          <w:szCs w:val="24"/>
          <w:lang w:eastAsia="lt-LT" w:bidi="lt-LT"/>
        </w:rPr>
        <w:t xml:space="preserve">, </w:t>
      </w:r>
      <w:r>
        <w:rPr>
          <w:szCs w:val="24"/>
          <w:lang w:eastAsia="lt-LT" w:bidi="lt-LT"/>
        </w:rPr>
        <w:t>K. U.</w:t>
      </w:r>
      <w:r w:rsidRPr="00C00255">
        <w:rPr>
          <w:szCs w:val="24"/>
          <w:lang w:eastAsia="lt-LT" w:bidi="lt-LT"/>
        </w:rPr>
        <w:t xml:space="preserve">, </w:t>
      </w:r>
      <w:r>
        <w:rPr>
          <w:szCs w:val="24"/>
          <w:lang w:eastAsia="lt-LT" w:bidi="lt-LT"/>
        </w:rPr>
        <w:t>J. J.</w:t>
      </w:r>
      <w:r w:rsidRPr="00C00255">
        <w:rPr>
          <w:szCs w:val="24"/>
          <w:lang w:eastAsia="lt-LT" w:bidi="lt-LT"/>
        </w:rPr>
        <w:t xml:space="preserve">, </w:t>
      </w:r>
      <w:r>
        <w:rPr>
          <w:szCs w:val="24"/>
          <w:lang w:eastAsia="lt-LT" w:bidi="lt-LT"/>
        </w:rPr>
        <w:t>S. G.</w:t>
      </w:r>
      <w:r w:rsidRPr="00C00255">
        <w:rPr>
          <w:szCs w:val="24"/>
          <w:lang w:eastAsia="lt-LT" w:bidi="lt-LT"/>
        </w:rPr>
        <w:t xml:space="preserve">, </w:t>
      </w:r>
      <w:r>
        <w:rPr>
          <w:szCs w:val="24"/>
          <w:lang w:eastAsia="lt-LT" w:bidi="lt-LT"/>
        </w:rPr>
        <w:t>V. G.</w:t>
      </w:r>
      <w:r w:rsidRPr="00C00255">
        <w:rPr>
          <w:szCs w:val="24"/>
          <w:lang w:eastAsia="lt-LT" w:bidi="lt-LT"/>
        </w:rPr>
        <w:t xml:space="preserve">, </w:t>
      </w:r>
      <w:r>
        <w:rPr>
          <w:szCs w:val="24"/>
          <w:lang w:eastAsia="lt-LT" w:bidi="lt-LT"/>
        </w:rPr>
        <w:t>R. J. 2</w:t>
      </w:r>
      <w:r w:rsidRPr="00C00255">
        <w:rPr>
          <w:szCs w:val="24"/>
          <w:lang w:eastAsia="lt-LT" w:bidi="lt-LT"/>
        </w:rPr>
        <w:t xml:space="preserve"> vadovaujančius veiksmus, galima daryti dviprasmiškus vertinimus, kad pastarieji </w:t>
      </w:r>
      <w:r w:rsidRPr="00C00255">
        <w:t xml:space="preserve">vadovavo visam LRT užėmimui, visų LRT pastatų šturmui, ar visiems šiuos veiksmus atlikusiems kariškiams, bet vertinant visą nuosprendį, kaip vientisą dokumentą, akivaizdu, kad pastarieji atliko siauresnį vaidmenį, vadovaujant tik nuosprendžio nustatomojoje dalyje nurodytiems jiems pavaldiems kariškiams </w:t>
      </w:r>
      <w:r w:rsidRPr="00C00255">
        <w:rPr>
          <w:szCs w:val="24"/>
          <w:lang w:eastAsia="lt-LT" w:bidi="lt-LT"/>
        </w:rPr>
        <w:t>(</w:t>
      </w:r>
      <w:r w:rsidRPr="00C00255">
        <w:rPr>
          <w:szCs w:val="24"/>
          <w:lang w:eastAsia="lt-LT"/>
        </w:rPr>
        <w:t>šio sprendimo 759, 765, 776, 782, 789, 839, 846, 853 pastraipos</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eastAsia="lt-LT" w:bidi="lt-LT"/>
        </w:rPr>
        <w:t xml:space="preserve">be to, skundžiamame nuosprendyje nurodant atskirų vadovaujančias pareigas ėjusių kariškių, pavyzdžiui, </w:t>
      </w:r>
      <w:r>
        <w:rPr>
          <w:szCs w:val="24"/>
          <w:lang w:eastAsia="lt-LT" w:bidi="lt-LT"/>
        </w:rPr>
        <w:t>O. M.</w:t>
      </w:r>
      <w:r w:rsidRPr="00C00255">
        <w:rPr>
          <w:szCs w:val="24"/>
          <w:lang w:eastAsia="lt-LT" w:bidi="lt-LT"/>
        </w:rPr>
        <w:t xml:space="preserve">, </w:t>
      </w:r>
      <w:r>
        <w:rPr>
          <w:szCs w:val="24"/>
          <w:lang w:eastAsia="lt-LT" w:bidi="lt-LT"/>
        </w:rPr>
        <w:t>M. C.</w:t>
      </w:r>
      <w:r w:rsidRPr="00C00255">
        <w:rPr>
          <w:szCs w:val="24"/>
          <w:lang w:eastAsia="lt-LT" w:bidi="lt-LT"/>
        </w:rPr>
        <w:t xml:space="preserve">, </w:t>
      </w:r>
      <w:r>
        <w:rPr>
          <w:szCs w:val="24"/>
          <w:lang w:eastAsia="lt-LT" w:bidi="lt-LT"/>
        </w:rPr>
        <w:t>J. S.</w:t>
      </w:r>
      <w:r w:rsidRPr="00C00255">
        <w:rPr>
          <w:szCs w:val="24"/>
          <w:lang w:eastAsia="lt-LT" w:bidi="lt-LT"/>
        </w:rPr>
        <w:t xml:space="preserve">, </w:t>
      </w:r>
      <w:r>
        <w:rPr>
          <w:szCs w:val="24"/>
          <w:lang w:eastAsia="lt-LT" w:bidi="lt-LT"/>
        </w:rPr>
        <w:t>A. F. 2</w:t>
      </w:r>
      <w:r w:rsidRPr="00C00255">
        <w:rPr>
          <w:szCs w:val="24"/>
          <w:lang w:eastAsia="lt-LT" w:bidi="lt-LT"/>
        </w:rPr>
        <w:t xml:space="preserve">, </w:t>
      </w:r>
      <w:r>
        <w:rPr>
          <w:szCs w:val="24"/>
          <w:lang w:eastAsia="lt-LT" w:bidi="lt-LT"/>
        </w:rPr>
        <w:t>J. J.</w:t>
      </w:r>
      <w:r w:rsidRPr="00C00255">
        <w:rPr>
          <w:szCs w:val="24"/>
          <w:lang w:eastAsia="lt-LT" w:bidi="lt-LT"/>
        </w:rPr>
        <w:t xml:space="preserve"> veiksmus, jų vadovaujamų kariškių veiksmai nepagrįstai nurodyti kaip asmeniškai nuteistojo atlikti veiksmai (</w:t>
      </w:r>
      <w:r w:rsidRPr="00C00255">
        <w:rPr>
          <w:szCs w:val="24"/>
          <w:lang w:eastAsia="lt-LT"/>
        </w:rPr>
        <w:t>šio sprendimo 610, 622, 630, 782, 789 pastraipos</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bidi="lt-LT"/>
        </w:rPr>
        <w:t xml:space="preserve">aprašant nuteistųjų </w:t>
      </w:r>
      <w:r>
        <w:rPr>
          <w:szCs w:val="24"/>
          <w:lang w:bidi="lt-LT"/>
        </w:rPr>
        <w:t>S. G.</w:t>
      </w:r>
      <w:r w:rsidRPr="00C00255">
        <w:rPr>
          <w:szCs w:val="24"/>
          <w:lang w:bidi="lt-LT"/>
        </w:rPr>
        <w:t xml:space="preserve">, </w:t>
      </w:r>
      <w:r>
        <w:rPr>
          <w:szCs w:val="24"/>
          <w:lang w:bidi="lt-LT"/>
        </w:rPr>
        <w:t>V. G.</w:t>
      </w:r>
      <w:r w:rsidRPr="00C00255">
        <w:rPr>
          <w:szCs w:val="24"/>
          <w:lang w:bidi="lt-LT"/>
        </w:rPr>
        <w:t xml:space="preserve"> ir </w:t>
      </w:r>
      <w:r>
        <w:rPr>
          <w:szCs w:val="24"/>
          <w:lang w:bidi="lt-LT"/>
        </w:rPr>
        <w:t>R. J. 2</w:t>
      </w:r>
      <w:r w:rsidRPr="00C00255">
        <w:rPr>
          <w:szCs w:val="24"/>
          <w:lang w:bidi="lt-LT"/>
        </w:rPr>
        <w:t xml:space="preserve"> vadovaujančius veiksmus skundžiamame nuosprendyje </w:t>
      </w:r>
      <w:r w:rsidRPr="00C00255">
        <w:t xml:space="preserve">nepagrįstai nurodytos aplinkybės apie jų veiksmus išrikiuojant desantininkų kovines mašinas (BMD) priešais LRT, jų pabūklų bei apšvietimo prietaisų nukreipimą į pastatą </w:t>
      </w:r>
      <w:r w:rsidRPr="00C00255">
        <w:rPr>
          <w:szCs w:val="24"/>
          <w:lang w:eastAsia="lt-LT" w:bidi="lt-LT"/>
        </w:rPr>
        <w:t>(</w:t>
      </w:r>
      <w:r w:rsidRPr="00C00255">
        <w:rPr>
          <w:szCs w:val="24"/>
          <w:lang w:eastAsia="lt-LT"/>
        </w:rPr>
        <w:t>šio sprendimo 839, 846, 853 pastraipos</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rPr>
        <w:t xml:space="preserve">skundžiamame nuosprendyje aprašant nuteistojo </w:t>
      </w:r>
      <w:r>
        <w:rPr>
          <w:szCs w:val="24"/>
        </w:rPr>
        <w:t>A. S.</w:t>
      </w:r>
      <w:r w:rsidRPr="00C00255">
        <w:rPr>
          <w:szCs w:val="24"/>
        </w:rPr>
        <w:t xml:space="preserve"> veiksmus dviprasmiškai ir netiksliai nurodyta, kad </w:t>
      </w:r>
      <w:r>
        <w:rPr>
          <w:szCs w:val="24"/>
        </w:rPr>
        <w:t>A. S.</w:t>
      </w:r>
      <w:r w:rsidRPr="00C00255">
        <w:rPr>
          <w:szCs w:val="24"/>
        </w:rPr>
        <w:t xml:space="preserve"> prie LRT </w:t>
      </w:r>
      <w:r w:rsidRPr="00C00255">
        <w:t xml:space="preserve">šaudė 7,62 mm šoviniais į priešais esantį gyvenamąjį namą, nes byloje nustatyta, kad </w:t>
      </w:r>
      <w:r>
        <w:rPr>
          <w:szCs w:val="24"/>
        </w:rPr>
        <w:t>A. S.</w:t>
      </w:r>
      <w:r w:rsidRPr="00C00255">
        <w:rPr>
          <w:szCs w:val="24"/>
        </w:rPr>
        <w:t xml:space="preserve"> LRT užėmimo metu tik v</w:t>
      </w:r>
      <w:r w:rsidRPr="00C00255">
        <w:rPr>
          <w:szCs w:val="24"/>
          <w:lang w:bidi="lt-LT"/>
        </w:rPr>
        <w:t xml:space="preserve">ieną kartą šovė 7,62 mm kalibro šoviniu į priešais esantį gyvenamąjį namą </w:t>
      </w:r>
      <w:r w:rsidRPr="00C00255">
        <w:rPr>
          <w:szCs w:val="24"/>
          <w:lang w:eastAsia="lt-LT" w:bidi="lt-LT"/>
        </w:rPr>
        <w:t>(</w:t>
      </w:r>
      <w:r w:rsidRPr="00C00255">
        <w:rPr>
          <w:szCs w:val="24"/>
          <w:lang w:eastAsia="lt-LT"/>
        </w:rPr>
        <w:t>šio sprendimo 819 pastraipa</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bCs/>
          <w:szCs w:val="24"/>
        </w:rPr>
        <w:t xml:space="preserve">skundžiamame nuosprendyje nepagrįstai nurodoma apie nuteistojo </w:t>
      </w:r>
      <w:r>
        <w:rPr>
          <w:bCs/>
          <w:szCs w:val="24"/>
        </w:rPr>
        <w:t>V. R.</w:t>
      </w:r>
      <w:r w:rsidRPr="00C00255">
        <w:rPr>
          <w:bCs/>
          <w:szCs w:val="24"/>
        </w:rPr>
        <w:t xml:space="preserve"> veiksmus užtikrinant žvalgybinį ryšį, nes tokie veiksmai jam nebuvo inkriminuoti ir nėra įrodyti </w:t>
      </w:r>
      <w:r w:rsidRPr="00C00255">
        <w:rPr>
          <w:szCs w:val="24"/>
          <w:lang w:eastAsia="lt-LT" w:bidi="lt-LT"/>
        </w:rPr>
        <w:t>(</w:t>
      </w:r>
      <w:r w:rsidRPr="00C00255">
        <w:rPr>
          <w:szCs w:val="24"/>
          <w:lang w:eastAsia="lt-LT"/>
        </w:rPr>
        <w:t>šio sprendimo 655 pastraipos</w:t>
      </w:r>
      <w:r w:rsidRPr="00C00255">
        <w:rPr>
          <w:szCs w:val="24"/>
          <w:lang w:eastAsia="lt-LT" w:bidi="lt-LT"/>
        </w:rPr>
        <w:t>);</w:t>
      </w:r>
    </w:p>
    <w:p w:rsidR="00DA38E9" w:rsidRPr="00C00255" w:rsidRDefault="00DA38E9" w:rsidP="00DA38E9">
      <w:pPr>
        <w:pStyle w:val="ListParagraph"/>
        <w:numPr>
          <w:ilvl w:val="1"/>
          <w:numId w:val="6"/>
        </w:numPr>
        <w:spacing w:before="120" w:after="120"/>
        <w:ind w:left="993" w:hanging="993"/>
        <w:contextualSpacing w:val="0"/>
        <w:rPr>
          <w:szCs w:val="24"/>
          <w:lang w:eastAsia="lt-LT" w:bidi="lt-LT"/>
        </w:rPr>
      </w:pPr>
      <w:r w:rsidRPr="00C00255">
        <w:rPr>
          <w:szCs w:val="24"/>
          <w:lang w:bidi="lt-LT"/>
        </w:rPr>
        <w:t xml:space="preserve">skundžiamame nuosprendyje nepagrįstai nurodoma apie </w:t>
      </w:r>
      <w:r>
        <w:rPr>
          <w:szCs w:val="24"/>
          <w:lang w:bidi="lt-LT"/>
        </w:rPr>
        <w:t>A. L.</w:t>
      </w:r>
      <w:r w:rsidRPr="00C00255">
        <w:rPr>
          <w:szCs w:val="24"/>
          <w:lang w:bidi="lt-LT"/>
        </w:rPr>
        <w:t xml:space="preserve"> vadovaujančius veiksmus užimant LRT, nes jis LRT užėmimo metu buvo prie TV bokšto, todėl užimant LRT nedalyvavo (</w:t>
      </w:r>
      <w:r w:rsidRPr="00C00255">
        <w:rPr>
          <w:szCs w:val="24"/>
        </w:rPr>
        <w:t>šio sprendimo 497–507, 854–857 pastraipos).</w:t>
      </w:r>
    </w:p>
    <w:p w:rsidR="00DA38E9" w:rsidRDefault="00DA38E9" w:rsidP="00DA38E9">
      <w:pPr>
        <w:pStyle w:val="ListParagraph"/>
        <w:numPr>
          <w:ilvl w:val="0"/>
          <w:numId w:val="6"/>
        </w:numPr>
        <w:spacing w:before="120" w:after="120"/>
        <w:ind w:left="993" w:hanging="993"/>
        <w:contextualSpacing w:val="0"/>
        <w:rPr>
          <w:szCs w:val="24"/>
          <w:lang w:eastAsia="lt-LT" w:bidi="lt-LT"/>
        </w:rPr>
      </w:pPr>
      <w:r w:rsidRPr="00C00255">
        <w:t>Minėtos skundžiamo nuosprendžio motyvuojamojoje dalyje esančios išvados aprašant atskirų nuteistųjų veiksmus yra neteisingos ir apeliacinės instancijos teismas jomis nesivadovauja.</w:t>
      </w:r>
      <w:r w:rsidRPr="00C00255">
        <w:rPr>
          <w:szCs w:val="24"/>
        </w:rPr>
        <w:t xml:space="preserve"> </w:t>
      </w:r>
      <w:bookmarkEnd w:id="304"/>
      <w:bookmarkEnd w:id="470"/>
      <w:bookmarkEnd w:id="472"/>
    </w:p>
    <w:p w:rsidR="00DA38E9" w:rsidRPr="00C00255" w:rsidRDefault="00DA38E9" w:rsidP="00DA38E9">
      <w:pPr>
        <w:pStyle w:val="Heading2"/>
        <w:jc w:val="center"/>
        <w:rPr>
          <w:rFonts w:ascii="Times New Roman" w:hAnsi="Times New Roman" w:cs="Times New Roman"/>
          <w:sz w:val="24"/>
          <w:szCs w:val="20"/>
          <w:lang w:eastAsia="lt-LT"/>
        </w:rPr>
      </w:pPr>
      <w:bookmarkStart w:id="747" w:name="_Toc67677405"/>
      <w:bookmarkStart w:id="748" w:name="_Toc67985533"/>
      <w:r w:rsidRPr="00C00255">
        <w:rPr>
          <w:rFonts w:ascii="Times New Roman" w:hAnsi="Times New Roman" w:cs="Times New Roman"/>
          <w:sz w:val="24"/>
        </w:rPr>
        <w:t>F. DĖL KOMENDANTO VALANDOS</w:t>
      </w:r>
      <w:bookmarkEnd w:id="747"/>
      <w:bookmarkEnd w:id="748"/>
    </w:p>
    <w:p w:rsidR="00DA38E9" w:rsidRPr="005D022C" w:rsidRDefault="00DA38E9" w:rsidP="00DA38E9">
      <w:pPr>
        <w:pStyle w:val="ListParagraph"/>
        <w:numPr>
          <w:ilvl w:val="0"/>
          <w:numId w:val="6"/>
        </w:numPr>
        <w:spacing w:before="120" w:after="120"/>
        <w:ind w:left="993" w:hanging="993"/>
        <w:contextualSpacing w:val="0"/>
        <w:rPr>
          <w:szCs w:val="24"/>
          <w:lang w:eastAsia="lt-LT" w:bidi="lt-LT"/>
        </w:rPr>
      </w:pPr>
      <w:r w:rsidRPr="005D022C">
        <w:rPr>
          <w:szCs w:val="24"/>
        </w:rPr>
        <w:t xml:space="preserve">Pirmosios instancijos teismo nuosprendžio dalyje </w:t>
      </w:r>
      <w:r w:rsidRPr="005D022C">
        <w:rPr>
          <w:i/>
          <w:szCs w:val="24"/>
        </w:rPr>
        <w:t>„Dėl komendanto valandos įvedimo“</w:t>
      </w:r>
      <w:r w:rsidRPr="005D022C">
        <w:rPr>
          <w:szCs w:val="24"/>
        </w:rPr>
        <w:t xml:space="preserve"> </w:t>
      </w:r>
      <w:r w:rsidRPr="005D022C">
        <w:rPr>
          <w:color w:val="000000" w:themeColor="text1"/>
          <w:szCs w:val="24"/>
        </w:rPr>
        <w:t>konstatuota</w:t>
      </w:r>
      <w:r w:rsidRPr="005D022C">
        <w:rPr>
          <w:szCs w:val="24"/>
        </w:rPr>
        <w:t xml:space="preserve">, kad tęsdamas pradėtą ginkluotą agresiją, 1991 m. sausio 13 d., 05.00 val. V. U. 1 pagal tos pačios dienos LNGK nutarimą Vilniuje ir jo apylinkėse įvedė komendanto valandą ir jos priemonių įgyvendinimui (pavaldumo tvarka) pasitelkė Vilniaus įgulos karinį komendantą pulkininką G. B.. Intensyvaus patruliavimo metu, prisidengiant nusikalstamų struktūrų nuginklavimu, nenustatyti Vilniaus įgulos kariškiai vykdė asmenų judėjimo kontrolę, transporto priemonių apžiūrą ir dokumentų patikrą. Komendanto valandos metu civiliai buvo persekiojami dėl politinių motyvų, bauginami ir terorizuojami. Neteisėtai įvestos komendanto valandos metu kariškiai, naudodamiesi karine technika ir 5,45 mm kalibro automatiniais ginklais, vykdydami civilių asmenų teisių suvaržymus, padarė tyčinį sunkų R. D. sveikatos sutrikdymą ir tyčia nužudė J. T. (nuosprendžio 821–822 l., t. 773). </w:t>
      </w:r>
    </w:p>
    <w:p w:rsidR="00DA38E9" w:rsidRPr="00C00255" w:rsidRDefault="00DA38E9" w:rsidP="00DA38E9">
      <w:pPr>
        <w:pStyle w:val="ListParagraph"/>
        <w:numPr>
          <w:ilvl w:val="0"/>
          <w:numId w:val="6"/>
        </w:numPr>
        <w:spacing w:before="120" w:after="120"/>
        <w:ind w:left="993" w:hanging="993"/>
        <w:contextualSpacing w:val="0"/>
        <w:rPr>
          <w:szCs w:val="24"/>
          <w:lang w:eastAsia="lt-LT" w:bidi="lt-LT"/>
        </w:rPr>
      </w:pPr>
      <w:r w:rsidRPr="00C00255">
        <w:rPr>
          <w:szCs w:val="24"/>
        </w:rPr>
        <w:t xml:space="preserve">Taip pat nuosprendžio dalyje </w:t>
      </w:r>
      <w:r w:rsidRPr="00C00255">
        <w:rPr>
          <w:i/>
          <w:szCs w:val="24"/>
        </w:rPr>
        <w:t>„Dėl komendanto valandos įvedimo“</w:t>
      </w:r>
      <w:r w:rsidRPr="00C00255">
        <w:rPr>
          <w:szCs w:val="24"/>
        </w:rPr>
        <w:t xml:space="preserve"> nurodyta, kad Vilniaus įgulos kariškiai, ginkluoti 5,45 mm kalibro automatiniais ginklais, įgyvendindami </w:t>
      </w:r>
      <w:r>
        <w:rPr>
          <w:szCs w:val="24"/>
        </w:rPr>
        <w:t>V. U. 1</w:t>
      </w:r>
      <w:r w:rsidRPr="00C00255">
        <w:rPr>
          <w:szCs w:val="24"/>
        </w:rPr>
        <w:t xml:space="preserve"> ir </w:t>
      </w:r>
      <w:r>
        <w:rPr>
          <w:color w:val="000000" w:themeColor="text1"/>
          <w:szCs w:val="24"/>
        </w:rPr>
        <w:t>G. B.</w:t>
      </w:r>
      <w:r w:rsidRPr="00C00255">
        <w:rPr>
          <w:color w:val="000000" w:themeColor="text1"/>
          <w:szCs w:val="24"/>
        </w:rPr>
        <w:t xml:space="preserve"> įvestą komendanto valandą, nuo 1991 m. sausio 13 d. 05.00 val. iki 1991 m. rugpjūčio 23 d. Vilniuje </w:t>
      </w:r>
      <w:r w:rsidRPr="00C00255">
        <w:rPr>
          <w:szCs w:val="24"/>
        </w:rPr>
        <w:t>ir jo apylinkėse, vykdydami asmenų teisių suvaržymus:</w:t>
      </w:r>
    </w:p>
    <w:p w:rsidR="00DA38E9" w:rsidRPr="00C00255" w:rsidRDefault="00DA38E9" w:rsidP="00DA38E9">
      <w:pPr>
        <w:pStyle w:val="ListParagraph"/>
        <w:numPr>
          <w:ilvl w:val="1"/>
          <w:numId w:val="6"/>
        </w:numPr>
        <w:spacing w:before="120" w:after="120"/>
        <w:ind w:left="992" w:hanging="992"/>
        <w:contextualSpacing w:val="0"/>
        <w:rPr>
          <w:szCs w:val="24"/>
          <w:lang w:eastAsia="lt-LT" w:bidi="lt-LT"/>
        </w:rPr>
      </w:pPr>
      <w:r w:rsidRPr="00C00255">
        <w:rPr>
          <w:szCs w:val="24"/>
        </w:rPr>
        <w:t>neteisėtai sulaikė B</w:t>
      </w:r>
      <w:r>
        <w:rPr>
          <w:szCs w:val="24"/>
        </w:rPr>
        <w:t>. </w:t>
      </w:r>
      <w:r w:rsidRPr="00C00255">
        <w:rPr>
          <w:szCs w:val="24"/>
        </w:rPr>
        <w:t>K</w:t>
      </w:r>
      <w:r>
        <w:rPr>
          <w:szCs w:val="24"/>
        </w:rPr>
        <w:t>.</w:t>
      </w:r>
      <w:r w:rsidRPr="00C00255">
        <w:rPr>
          <w:szCs w:val="24"/>
        </w:rPr>
        <w:t>, V</w:t>
      </w:r>
      <w:r>
        <w:rPr>
          <w:szCs w:val="24"/>
        </w:rPr>
        <w:t>. </w:t>
      </w:r>
      <w:r w:rsidRPr="00C00255">
        <w:rPr>
          <w:szCs w:val="24"/>
        </w:rPr>
        <w:t>J</w:t>
      </w:r>
      <w:r>
        <w:rPr>
          <w:szCs w:val="24"/>
        </w:rPr>
        <w:t>.</w:t>
      </w:r>
      <w:r w:rsidRPr="00C00255">
        <w:rPr>
          <w:szCs w:val="24"/>
        </w:rPr>
        <w:t>, S</w:t>
      </w:r>
      <w:r>
        <w:rPr>
          <w:szCs w:val="24"/>
        </w:rPr>
        <w:t>. </w:t>
      </w:r>
      <w:r w:rsidRPr="00C00255">
        <w:rPr>
          <w:szCs w:val="24"/>
        </w:rPr>
        <w:t>G</w:t>
      </w:r>
      <w:r>
        <w:rPr>
          <w:szCs w:val="24"/>
        </w:rPr>
        <w:t>.</w:t>
      </w:r>
      <w:r w:rsidRPr="00C00255">
        <w:rPr>
          <w:szCs w:val="24"/>
        </w:rPr>
        <w:t>, R</w:t>
      </w:r>
      <w:r>
        <w:rPr>
          <w:szCs w:val="24"/>
        </w:rPr>
        <w:t>.</w:t>
      </w:r>
      <w:r w:rsidRPr="00C00255">
        <w:rPr>
          <w:szCs w:val="24"/>
        </w:rPr>
        <w:t> C</w:t>
      </w:r>
      <w:r>
        <w:rPr>
          <w:szCs w:val="24"/>
        </w:rPr>
        <w:t>.</w:t>
      </w:r>
      <w:r w:rsidRPr="00C00255">
        <w:rPr>
          <w:szCs w:val="24"/>
        </w:rPr>
        <w:t xml:space="preserve">, </w:t>
      </w:r>
      <w:r>
        <w:rPr>
          <w:szCs w:val="24"/>
        </w:rPr>
        <w:t>V. P., R. </w:t>
      </w:r>
      <w:r w:rsidRPr="00C00255">
        <w:rPr>
          <w:szCs w:val="24"/>
        </w:rPr>
        <w:t>V</w:t>
      </w:r>
      <w:r>
        <w:rPr>
          <w:szCs w:val="24"/>
        </w:rPr>
        <w:t>. </w:t>
      </w:r>
      <w:r w:rsidRPr="00C00255">
        <w:rPr>
          <w:szCs w:val="24"/>
        </w:rPr>
        <w:t>K</w:t>
      </w:r>
      <w:r>
        <w:rPr>
          <w:szCs w:val="24"/>
        </w:rPr>
        <w:t>.</w:t>
      </w:r>
      <w:r w:rsidRPr="00C00255">
        <w:rPr>
          <w:szCs w:val="24"/>
        </w:rPr>
        <w:t>, A</w:t>
      </w:r>
      <w:r>
        <w:rPr>
          <w:szCs w:val="24"/>
        </w:rPr>
        <w:t>.</w:t>
      </w:r>
      <w:r w:rsidRPr="00C00255">
        <w:rPr>
          <w:szCs w:val="24"/>
        </w:rPr>
        <w:t> J</w:t>
      </w:r>
      <w:r>
        <w:rPr>
          <w:szCs w:val="24"/>
        </w:rPr>
        <w:t>. (A.</w:t>
      </w:r>
      <w:r w:rsidRPr="00C00255">
        <w:rPr>
          <w:szCs w:val="24"/>
        </w:rPr>
        <w:t> J</w:t>
      </w:r>
      <w:r>
        <w:rPr>
          <w:szCs w:val="24"/>
        </w:rPr>
        <w:t>.</w:t>
      </w:r>
      <w:r w:rsidRPr="00C00255">
        <w:rPr>
          <w:szCs w:val="24"/>
        </w:rPr>
        <w:t>), G</w:t>
      </w:r>
      <w:r>
        <w:rPr>
          <w:szCs w:val="24"/>
        </w:rPr>
        <w:t>. </w:t>
      </w:r>
      <w:r w:rsidRPr="00C00255">
        <w:rPr>
          <w:szCs w:val="24"/>
        </w:rPr>
        <w:t>M</w:t>
      </w:r>
      <w:r>
        <w:rPr>
          <w:szCs w:val="24"/>
        </w:rPr>
        <w:t>.</w:t>
      </w:r>
      <w:r w:rsidRPr="00C00255">
        <w:rPr>
          <w:szCs w:val="24"/>
        </w:rPr>
        <w:t xml:space="preserve"> (G</w:t>
      </w:r>
      <w:r>
        <w:rPr>
          <w:szCs w:val="24"/>
        </w:rPr>
        <w:t>. </w:t>
      </w:r>
      <w:r w:rsidRPr="00C00255">
        <w:rPr>
          <w:szCs w:val="24"/>
        </w:rPr>
        <w:t>M</w:t>
      </w:r>
      <w:r>
        <w:rPr>
          <w:szCs w:val="24"/>
        </w:rPr>
        <w:t>.), I.</w:t>
      </w:r>
      <w:r w:rsidRPr="00C00255">
        <w:rPr>
          <w:szCs w:val="24"/>
        </w:rPr>
        <w:t> B</w:t>
      </w:r>
      <w:r>
        <w:rPr>
          <w:szCs w:val="24"/>
        </w:rPr>
        <w:t>. (I.</w:t>
      </w:r>
      <w:r w:rsidRPr="00C00255">
        <w:rPr>
          <w:szCs w:val="24"/>
        </w:rPr>
        <w:t> B</w:t>
      </w:r>
      <w:r>
        <w:rPr>
          <w:szCs w:val="24"/>
        </w:rPr>
        <w:t>.</w:t>
      </w:r>
      <w:r w:rsidRPr="00C00255">
        <w:rPr>
          <w:szCs w:val="24"/>
        </w:rPr>
        <w:t>), K</w:t>
      </w:r>
      <w:r>
        <w:rPr>
          <w:szCs w:val="24"/>
        </w:rPr>
        <w:t>.</w:t>
      </w:r>
      <w:r w:rsidRPr="00C00255">
        <w:rPr>
          <w:szCs w:val="24"/>
        </w:rPr>
        <w:t> B</w:t>
      </w:r>
      <w:r>
        <w:rPr>
          <w:szCs w:val="24"/>
        </w:rPr>
        <w:t>.</w:t>
      </w:r>
      <w:r w:rsidRPr="00C00255">
        <w:rPr>
          <w:szCs w:val="24"/>
        </w:rPr>
        <w:t>, M</w:t>
      </w:r>
      <w:r>
        <w:rPr>
          <w:szCs w:val="24"/>
        </w:rPr>
        <w:t>.</w:t>
      </w:r>
      <w:r>
        <w:t> </w:t>
      </w:r>
      <w:r w:rsidRPr="00C00255">
        <w:rPr>
          <w:szCs w:val="24"/>
        </w:rPr>
        <w:t>P</w:t>
      </w:r>
      <w:r>
        <w:rPr>
          <w:szCs w:val="24"/>
        </w:rPr>
        <w:t>.,</w:t>
      </w:r>
      <w:r w:rsidRPr="00C00255">
        <w:rPr>
          <w:szCs w:val="24"/>
        </w:rPr>
        <w:t xml:space="preserve"> G</w:t>
      </w:r>
      <w:r>
        <w:rPr>
          <w:szCs w:val="24"/>
        </w:rPr>
        <w:t>. M</w:t>
      </w:r>
      <w:r w:rsidRPr="00C00255">
        <w:rPr>
          <w:szCs w:val="24"/>
        </w:rPr>
        <w:t>, o pastarųjų atžvilgiu dar panaudojo ir fizinį smurtą, tuo padarydami M</w:t>
      </w:r>
      <w:r>
        <w:rPr>
          <w:szCs w:val="24"/>
        </w:rPr>
        <w:t>. </w:t>
      </w:r>
      <w:r w:rsidRPr="00C00255">
        <w:rPr>
          <w:szCs w:val="24"/>
        </w:rPr>
        <w:t>P</w:t>
      </w:r>
      <w:r>
        <w:rPr>
          <w:szCs w:val="24"/>
        </w:rPr>
        <w:t>.</w:t>
      </w:r>
      <w:r w:rsidRPr="00C00255">
        <w:rPr>
          <w:szCs w:val="24"/>
        </w:rPr>
        <w:t xml:space="preserve"> nesunkų, o G</w:t>
      </w:r>
      <w:r>
        <w:rPr>
          <w:szCs w:val="24"/>
        </w:rPr>
        <w:t>.</w:t>
      </w:r>
      <w:r w:rsidRPr="00C00255">
        <w:rPr>
          <w:szCs w:val="24"/>
        </w:rPr>
        <w:t> M</w:t>
      </w:r>
      <w:r>
        <w:rPr>
          <w:szCs w:val="24"/>
        </w:rPr>
        <w:t>.</w:t>
      </w:r>
      <w:r w:rsidRPr="00C00255">
        <w:rPr>
          <w:szCs w:val="24"/>
        </w:rPr>
        <w:t xml:space="preserve"> nežymų sveikatos sutrikdymą;</w:t>
      </w:r>
    </w:p>
    <w:p w:rsidR="00DA38E9" w:rsidRPr="00C00255" w:rsidRDefault="00DA38E9" w:rsidP="00DA38E9">
      <w:pPr>
        <w:pStyle w:val="ListParagraph"/>
        <w:numPr>
          <w:ilvl w:val="1"/>
          <w:numId w:val="6"/>
        </w:numPr>
        <w:spacing w:before="120" w:after="120"/>
        <w:ind w:left="992" w:hanging="992"/>
        <w:contextualSpacing w:val="0"/>
        <w:rPr>
          <w:szCs w:val="24"/>
          <w:lang w:eastAsia="lt-LT" w:bidi="lt-LT"/>
        </w:rPr>
      </w:pPr>
      <w:r w:rsidRPr="00C00255">
        <w:rPr>
          <w:szCs w:val="24"/>
        </w:rPr>
        <w:t>apšaudė A</w:t>
      </w:r>
      <w:r>
        <w:rPr>
          <w:szCs w:val="24"/>
        </w:rPr>
        <w:t>. </w:t>
      </w:r>
      <w:r w:rsidRPr="00C00255">
        <w:rPr>
          <w:szCs w:val="24"/>
        </w:rPr>
        <w:t>B</w:t>
      </w:r>
      <w:r>
        <w:rPr>
          <w:szCs w:val="24"/>
        </w:rPr>
        <w:t>., A. </w:t>
      </w:r>
      <w:r w:rsidRPr="00C00255">
        <w:rPr>
          <w:szCs w:val="24"/>
        </w:rPr>
        <w:t>B</w:t>
      </w:r>
      <w:r>
        <w:rPr>
          <w:szCs w:val="24"/>
        </w:rPr>
        <w:t>.</w:t>
      </w:r>
      <w:r w:rsidRPr="00C00255">
        <w:rPr>
          <w:szCs w:val="24"/>
        </w:rPr>
        <w:t>, P</w:t>
      </w:r>
      <w:r>
        <w:rPr>
          <w:szCs w:val="24"/>
        </w:rPr>
        <w:t>. </w:t>
      </w:r>
      <w:r w:rsidRPr="00C00255">
        <w:rPr>
          <w:szCs w:val="24"/>
        </w:rPr>
        <w:t>B</w:t>
      </w:r>
      <w:r>
        <w:rPr>
          <w:szCs w:val="24"/>
        </w:rPr>
        <w:t>.</w:t>
      </w:r>
      <w:r w:rsidRPr="00C00255">
        <w:rPr>
          <w:szCs w:val="24"/>
        </w:rPr>
        <w:t>, Z</w:t>
      </w:r>
      <w:r>
        <w:rPr>
          <w:szCs w:val="24"/>
        </w:rPr>
        <w:t>. </w:t>
      </w:r>
      <w:r w:rsidRPr="00C00255">
        <w:rPr>
          <w:szCs w:val="24"/>
        </w:rPr>
        <w:t>S</w:t>
      </w:r>
      <w:r>
        <w:rPr>
          <w:szCs w:val="24"/>
        </w:rPr>
        <w:t>.</w:t>
      </w:r>
      <w:r w:rsidRPr="00C00255">
        <w:rPr>
          <w:szCs w:val="24"/>
        </w:rPr>
        <w:t>, G</w:t>
      </w:r>
      <w:r>
        <w:rPr>
          <w:szCs w:val="24"/>
        </w:rPr>
        <w:t>.</w:t>
      </w:r>
      <w:r w:rsidRPr="00C00255">
        <w:rPr>
          <w:szCs w:val="24"/>
        </w:rPr>
        <w:t> T</w:t>
      </w:r>
      <w:r>
        <w:rPr>
          <w:szCs w:val="24"/>
        </w:rPr>
        <w:t>.</w:t>
      </w:r>
      <w:r w:rsidRPr="00C00255">
        <w:rPr>
          <w:szCs w:val="24"/>
        </w:rPr>
        <w:t>, L</w:t>
      </w:r>
      <w:r>
        <w:rPr>
          <w:szCs w:val="24"/>
        </w:rPr>
        <w:t>. </w:t>
      </w:r>
      <w:r w:rsidRPr="00C00255">
        <w:rPr>
          <w:szCs w:val="24"/>
        </w:rPr>
        <w:t>J</w:t>
      </w:r>
      <w:r>
        <w:rPr>
          <w:szCs w:val="24"/>
        </w:rPr>
        <w:t>.</w:t>
      </w:r>
      <w:r w:rsidRPr="00C00255">
        <w:rPr>
          <w:szCs w:val="24"/>
        </w:rPr>
        <w:t>, A</w:t>
      </w:r>
      <w:r>
        <w:rPr>
          <w:szCs w:val="24"/>
        </w:rPr>
        <w:t>. </w:t>
      </w:r>
      <w:r w:rsidRPr="00C00255">
        <w:rPr>
          <w:szCs w:val="24"/>
        </w:rPr>
        <w:t>B</w:t>
      </w:r>
      <w:r>
        <w:rPr>
          <w:szCs w:val="24"/>
        </w:rPr>
        <w:t>.</w:t>
      </w:r>
      <w:r w:rsidRPr="00C00255">
        <w:rPr>
          <w:szCs w:val="24"/>
        </w:rPr>
        <w:t>, V</w:t>
      </w:r>
      <w:r>
        <w:rPr>
          <w:szCs w:val="24"/>
        </w:rPr>
        <w:t>. </w:t>
      </w:r>
      <w:r w:rsidRPr="00C00255">
        <w:rPr>
          <w:szCs w:val="24"/>
        </w:rPr>
        <w:t>R</w:t>
      </w:r>
      <w:r>
        <w:rPr>
          <w:szCs w:val="24"/>
        </w:rPr>
        <w:t>.</w:t>
      </w:r>
      <w:r w:rsidRPr="00C00255">
        <w:rPr>
          <w:szCs w:val="24"/>
        </w:rPr>
        <w:t>, S</w:t>
      </w:r>
      <w:r>
        <w:rPr>
          <w:szCs w:val="24"/>
        </w:rPr>
        <w:t>. </w:t>
      </w:r>
      <w:r w:rsidRPr="00C00255">
        <w:rPr>
          <w:szCs w:val="24"/>
        </w:rPr>
        <w:t>S</w:t>
      </w:r>
      <w:r>
        <w:rPr>
          <w:szCs w:val="24"/>
        </w:rPr>
        <w:t>.</w:t>
      </w:r>
      <w:r w:rsidRPr="00C00255">
        <w:rPr>
          <w:szCs w:val="24"/>
        </w:rPr>
        <w:t>, D</w:t>
      </w:r>
      <w:r>
        <w:rPr>
          <w:szCs w:val="24"/>
        </w:rPr>
        <w:t>. M.</w:t>
      </w:r>
      <w:r w:rsidRPr="00C00255">
        <w:rPr>
          <w:szCs w:val="24"/>
        </w:rPr>
        <w:t>, R</w:t>
      </w:r>
      <w:r>
        <w:rPr>
          <w:szCs w:val="24"/>
        </w:rPr>
        <w:t>. </w:t>
      </w:r>
      <w:r w:rsidRPr="00C00255">
        <w:rPr>
          <w:szCs w:val="24"/>
        </w:rPr>
        <w:t>V</w:t>
      </w:r>
      <w:r>
        <w:rPr>
          <w:szCs w:val="24"/>
        </w:rPr>
        <w:t>.</w:t>
      </w:r>
      <w:r w:rsidRPr="00C00255">
        <w:rPr>
          <w:szCs w:val="24"/>
        </w:rPr>
        <w:t>, R</w:t>
      </w:r>
      <w:r>
        <w:rPr>
          <w:szCs w:val="24"/>
        </w:rPr>
        <w:t>. </w:t>
      </w:r>
      <w:r w:rsidRPr="00C00255">
        <w:rPr>
          <w:szCs w:val="24"/>
        </w:rPr>
        <w:t>A</w:t>
      </w:r>
      <w:r>
        <w:rPr>
          <w:szCs w:val="24"/>
        </w:rPr>
        <w:t>.</w:t>
      </w:r>
      <w:r w:rsidRPr="00C00255">
        <w:rPr>
          <w:szCs w:val="24"/>
        </w:rPr>
        <w:t>, S</w:t>
      </w:r>
      <w:r>
        <w:rPr>
          <w:szCs w:val="24"/>
        </w:rPr>
        <w:t>. </w:t>
      </w:r>
      <w:r w:rsidRPr="00C00255">
        <w:rPr>
          <w:szCs w:val="24"/>
        </w:rPr>
        <w:t>S</w:t>
      </w:r>
      <w:r>
        <w:rPr>
          <w:szCs w:val="24"/>
        </w:rPr>
        <w:t>.</w:t>
      </w:r>
      <w:r w:rsidRPr="00C00255">
        <w:rPr>
          <w:szCs w:val="24"/>
        </w:rPr>
        <w:t>, R</w:t>
      </w:r>
      <w:r>
        <w:rPr>
          <w:szCs w:val="24"/>
        </w:rPr>
        <w:t>.</w:t>
      </w:r>
      <w:r w:rsidRPr="00C00255">
        <w:rPr>
          <w:szCs w:val="24"/>
        </w:rPr>
        <w:t xml:space="preserve"> ir V</w:t>
      </w:r>
      <w:r>
        <w:rPr>
          <w:szCs w:val="24"/>
        </w:rPr>
        <w:t>.</w:t>
      </w:r>
      <w:r w:rsidRPr="00C00255">
        <w:rPr>
          <w:szCs w:val="24"/>
        </w:rPr>
        <w:t xml:space="preserve"> B</w:t>
      </w:r>
      <w:r>
        <w:rPr>
          <w:szCs w:val="24"/>
        </w:rPr>
        <w:t>.</w:t>
      </w:r>
      <w:r w:rsidRPr="00C00255">
        <w:rPr>
          <w:szCs w:val="24"/>
        </w:rPr>
        <w:t>, A</w:t>
      </w:r>
      <w:r>
        <w:rPr>
          <w:szCs w:val="24"/>
        </w:rPr>
        <w:t>.</w:t>
      </w:r>
      <w:r>
        <w:t> </w:t>
      </w:r>
      <w:r w:rsidRPr="00C00255">
        <w:rPr>
          <w:szCs w:val="24"/>
        </w:rPr>
        <w:t>Š</w:t>
      </w:r>
      <w:r>
        <w:rPr>
          <w:szCs w:val="24"/>
        </w:rPr>
        <w:t>.,</w:t>
      </w:r>
      <w:r w:rsidRPr="00C00255">
        <w:rPr>
          <w:szCs w:val="24"/>
        </w:rPr>
        <w:t xml:space="preserve"> A</w:t>
      </w:r>
      <w:r>
        <w:rPr>
          <w:szCs w:val="24"/>
        </w:rPr>
        <w:t>. </w:t>
      </w:r>
      <w:r w:rsidRPr="00C00255">
        <w:rPr>
          <w:szCs w:val="24"/>
        </w:rPr>
        <w:t>P</w:t>
      </w:r>
      <w:r>
        <w:rPr>
          <w:szCs w:val="24"/>
        </w:rPr>
        <w:t>., o Z. </w:t>
      </w:r>
      <w:r w:rsidRPr="00C00255">
        <w:rPr>
          <w:szCs w:val="24"/>
        </w:rPr>
        <w:t>S</w:t>
      </w:r>
      <w:r>
        <w:rPr>
          <w:szCs w:val="24"/>
        </w:rPr>
        <w:t>.</w:t>
      </w:r>
      <w:r w:rsidRPr="00C00255">
        <w:rPr>
          <w:szCs w:val="24"/>
        </w:rPr>
        <w:t>, S</w:t>
      </w:r>
      <w:r>
        <w:rPr>
          <w:szCs w:val="24"/>
        </w:rPr>
        <w:t>.</w:t>
      </w:r>
      <w:r w:rsidRPr="00C00255">
        <w:rPr>
          <w:szCs w:val="24"/>
        </w:rPr>
        <w:t> S</w:t>
      </w:r>
      <w:r>
        <w:rPr>
          <w:szCs w:val="24"/>
        </w:rPr>
        <w:t>.</w:t>
      </w:r>
      <w:r w:rsidRPr="00C00255">
        <w:rPr>
          <w:szCs w:val="24"/>
        </w:rPr>
        <w:t>, D</w:t>
      </w:r>
      <w:r>
        <w:rPr>
          <w:szCs w:val="24"/>
        </w:rPr>
        <w:t>. </w:t>
      </w:r>
      <w:r w:rsidRPr="00C00255">
        <w:rPr>
          <w:szCs w:val="24"/>
        </w:rPr>
        <w:t>M</w:t>
      </w:r>
      <w:r>
        <w:rPr>
          <w:szCs w:val="24"/>
        </w:rPr>
        <w:t>.</w:t>
      </w:r>
      <w:r w:rsidRPr="00C00255">
        <w:rPr>
          <w:szCs w:val="24"/>
        </w:rPr>
        <w:t>, R</w:t>
      </w:r>
      <w:r>
        <w:rPr>
          <w:szCs w:val="24"/>
        </w:rPr>
        <w:t>. </w:t>
      </w:r>
      <w:r w:rsidRPr="00C00255">
        <w:rPr>
          <w:szCs w:val="24"/>
        </w:rPr>
        <w:t>V</w:t>
      </w:r>
      <w:r>
        <w:rPr>
          <w:szCs w:val="24"/>
        </w:rPr>
        <w:t>.</w:t>
      </w:r>
      <w:r w:rsidRPr="00C00255">
        <w:rPr>
          <w:szCs w:val="24"/>
        </w:rPr>
        <w:t>, R</w:t>
      </w:r>
      <w:r>
        <w:rPr>
          <w:szCs w:val="24"/>
        </w:rPr>
        <w:t>. </w:t>
      </w:r>
      <w:r w:rsidRPr="00C00255">
        <w:rPr>
          <w:szCs w:val="24"/>
        </w:rPr>
        <w:t>A</w:t>
      </w:r>
      <w:r>
        <w:rPr>
          <w:szCs w:val="24"/>
        </w:rPr>
        <w:t>.</w:t>
      </w:r>
      <w:r w:rsidRPr="00C00255">
        <w:rPr>
          <w:szCs w:val="24"/>
        </w:rPr>
        <w:t>, S</w:t>
      </w:r>
      <w:r>
        <w:rPr>
          <w:szCs w:val="24"/>
        </w:rPr>
        <w:t>.</w:t>
      </w:r>
      <w:r w:rsidRPr="00C00255">
        <w:rPr>
          <w:szCs w:val="24"/>
        </w:rPr>
        <w:t> S</w:t>
      </w:r>
      <w:r>
        <w:rPr>
          <w:szCs w:val="24"/>
        </w:rPr>
        <w:t>.</w:t>
      </w:r>
      <w:r w:rsidRPr="00C00255">
        <w:rPr>
          <w:szCs w:val="24"/>
        </w:rPr>
        <w:t>, R</w:t>
      </w:r>
      <w:r>
        <w:rPr>
          <w:szCs w:val="24"/>
        </w:rPr>
        <w:t>. </w:t>
      </w:r>
      <w:r w:rsidRPr="00C00255">
        <w:rPr>
          <w:szCs w:val="24"/>
        </w:rPr>
        <w:t>B</w:t>
      </w:r>
      <w:r>
        <w:rPr>
          <w:szCs w:val="24"/>
        </w:rPr>
        <w:t>.</w:t>
      </w:r>
      <w:r w:rsidRPr="00C00255">
        <w:rPr>
          <w:szCs w:val="24"/>
        </w:rPr>
        <w:t>, V</w:t>
      </w:r>
      <w:r>
        <w:rPr>
          <w:szCs w:val="24"/>
        </w:rPr>
        <w:t>. B.</w:t>
      </w:r>
      <w:r w:rsidRPr="00C00255">
        <w:rPr>
          <w:szCs w:val="24"/>
        </w:rPr>
        <w:t xml:space="preserve"> dar neteisėtai ir sulaikė, panaudojo prieš juos fizinį smurtą, padarydami Z</w:t>
      </w:r>
      <w:r>
        <w:rPr>
          <w:szCs w:val="24"/>
        </w:rPr>
        <w:t>. </w:t>
      </w:r>
      <w:r w:rsidRPr="00C00255">
        <w:rPr>
          <w:szCs w:val="24"/>
        </w:rPr>
        <w:t>S</w:t>
      </w:r>
      <w:r>
        <w:rPr>
          <w:szCs w:val="24"/>
        </w:rPr>
        <w:t>.</w:t>
      </w:r>
      <w:r w:rsidRPr="00C00255">
        <w:rPr>
          <w:szCs w:val="24"/>
        </w:rPr>
        <w:t>, S</w:t>
      </w:r>
      <w:r>
        <w:rPr>
          <w:szCs w:val="24"/>
        </w:rPr>
        <w:t>.</w:t>
      </w:r>
      <w:r w:rsidRPr="00C00255">
        <w:rPr>
          <w:szCs w:val="24"/>
        </w:rPr>
        <w:t> S</w:t>
      </w:r>
      <w:r>
        <w:rPr>
          <w:szCs w:val="24"/>
        </w:rPr>
        <w:t>.</w:t>
      </w:r>
      <w:r w:rsidRPr="00C00255">
        <w:rPr>
          <w:szCs w:val="24"/>
        </w:rPr>
        <w:t>, D</w:t>
      </w:r>
      <w:r>
        <w:rPr>
          <w:szCs w:val="24"/>
        </w:rPr>
        <w:t>. </w:t>
      </w:r>
      <w:r w:rsidRPr="00C00255">
        <w:rPr>
          <w:szCs w:val="24"/>
        </w:rPr>
        <w:t>M</w:t>
      </w:r>
      <w:r>
        <w:rPr>
          <w:szCs w:val="24"/>
        </w:rPr>
        <w:t>.</w:t>
      </w:r>
      <w:r w:rsidRPr="00C00255">
        <w:rPr>
          <w:szCs w:val="24"/>
        </w:rPr>
        <w:t>, R</w:t>
      </w:r>
      <w:r>
        <w:rPr>
          <w:szCs w:val="24"/>
        </w:rPr>
        <w:t>. A.</w:t>
      </w:r>
      <w:r w:rsidRPr="00C00255">
        <w:rPr>
          <w:szCs w:val="24"/>
        </w:rPr>
        <w:t>, S</w:t>
      </w:r>
      <w:r>
        <w:rPr>
          <w:szCs w:val="24"/>
        </w:rPr>
        <w:t>. </w:t>
      </w:r>
      <w:r w:rsidRPr="00C00255">
        <w:rPr>
          <w:szCs w:val="24"/>
        </w:rPr>
        <w:t>S</w:t>
      </w:r>
      <w:r>
        <w:rPr>
          <w:szCs w:val="24"/>
        </w:rPr>
        <w:t>., R. B.</w:t>
      </w:r>
      <w:r w:rsidRPr="00C00255">
        <w:rPr>
          <w:szCs w:val="24"/>
        </w:rPr>
        <w:t xml:space="preserve"> ir V</w:t>
      </w:r>
      <w:r>
        <w:rPr>
          <w:szCs w:val="24"/>
        </w:rPr>
        <w:t>. </w:t>
      </w:r>
      <w:r w:rsidRPr="00C00255">
        <w:rPr>
          <w:szCs w:val="24"/>
        </w:rPr>
        <w:t>B</w:t>
      </w:r>
      <w:r>
        <w:rPr>
          <w:szCs w:val="24"/>
        </w:rPr>
        <w:t>.</w:t>
      </w:r>
      <w:r w:rsidRPr="00C00255">
        <w:rPr>
          <w:szCs w:val="24"/>
        </w:rPr>
        <w:t xml:space="preserve"> nesunkius sveikatos sutrikdymus, o R</w:t>
      </w:r>
      <w:r>
        <w:rPr>
          <w:szCs w:val="24"/>
        </w:rPr>
        <w:t>. </w:t>
      </w:r>
      <w:r w:rsidRPr="00C00255">
        <w:rPr>
          <w:szCs w:val="24"/>
        </w:rPr>
        <w:t>V</w:t>
      </w:r>
      <w:r>
        <w:rPr>
          <w:szCs w:val="24"/>
        </w:rPr>
        <w:t>.</w:t>
      </w:r>
      <w:r w:rsidRPr="00C00255">
        <w:rPr>
          <w:szCs w:val="24"/>
        </w:rPr>
        <w:t xml:space="preserve"> – nežymų sveikatos sutrikdymą. Apšaudymo metu A</w:t>
      </w:r>
      <w:r>
        <w:rPr>
          <w:szCs w:val="24"/>
        </w:rPr>
        <w:t>. </w:t>
      </w:r>
      <w:r w:rsidRPr="00C00255">
        <w:rPr>
          <w:szCs w:val="24"/>
        </w:rPr>
        <w:t>Š</w:t>
      </w:r>
      <w:r>
        <w:rPr>
          <w:szCs w:val="24"/>
        </w:rPr>
        <w:t>.</w:t>
      </w:r>
      <w:r w:rsidRPr="00C00255">
        <w:rPr>
          <w:szCs w:val="24"/>
        </w:rPr>
        <w:t xml:space="preserve"> padarė nesunkų sveikatos sutrikdymą.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Šios aplinkybės buvo nurodytos ir kaltinamajame akte, tačiau kaltinamajame akte, be kita ko, buvo tiesiogiai nurodyta, kad „TSRS kariškiai, per neteisėtai įvestą komendanto valandą, vykdydami aukščiau nurodytus asmenų teisių suvaržymus (turimi omenyje prieš tai kaltinime minėti asmenų judėjimo kontrolės, asmenų, transporto priemonių, dokumentų patikros, intensyvaus patruliavimo veiksmai </w:t>
      </w:r>
      <w:r w:rsidRPr="00C00255">
        <w:rPr>
          <w:i/>
          <w:iCs/>
          <w:szCs w:val="24"/>
        </w:rPr>
        <w:t>–</w:t>
      </w:r>
      <w:r w:rsidRPr="00C00255">
        <w:rPr>
          <w:szCs w:val="24"/>
        </w:rPr>
        <w:t xml:space="preserve"> kolegijos pastaba), </w:t>
      </w:r>
      <w:r w:rsidRPr="00C00255">
        <w:rPr>
          <w:i/>
          <w:iCs/>
          <w:szCs w:val="24"/>
        </w:rPr>
        <w:t>padarė du nusikaltimus žmoniškumui ir karo nusikaltimus – tyčinį sunkų R</w:t>
      </w:r>
      <w:r>
        <w:rPr>
          <w:i/>
          <w:iCs/>
          <w:szCs w:val="24"/>
        </w:rPr>
        <w:t>. </w:t>
      </w:r>
      <w:r w:rsidRPr="00C00255">
        <w:rPr>
          <w:i/>
          <w:iCs/>
          <w:szCs w:val="24"/>
        </w:rPr>
        <w:t>D</w:t>
      </w:r>
      <w:r>
        <w:rPr>
          <w:i/>
          <w:iCs/>
          <w:szCs w:val="24"/>
        </w:rPr>
        <w:t>.</w:t>
      </w:r>
      <w:r w:rsidRPr="00C00255">
        <w:rPr>
          <w:i/>
          <w:iCs/>
          <w:szCs w:val="24"/>
        </w:rPr>
        <w:t xml:space="preserve"> sveikatos sutrikdymą ir</w:t>
      </w:r>
      <w:r w:rsidR="00E0397A">
        <w:rPr>
          <w:i/>
          <w:iCs/>
          <w:szCs w:val="24"/>
        </w:rPr>
        <w:t xml:space="preserve"> tyčinį </w:t>
      </w:r>
      <w:r w:rsidRPr="00C00255">
        <w:rPr>
          <w:i/>
          <w:iCs/>
          <w:szCs w:val="24"/>
        </w:rPr>
        <w:t>J</w:t>
      </w:r>
      <w:r>
        <w:rPr>
          <w:i/>
          <w:iCs/>
          <w:szCs w:val="24"/>
        </w:rPr>
        <w:t>.</w:t>
      </w:r>
      <w:r w:rsidRPr="00C00255">
        <w:rPr>
          <w:i/>
          <w:iCs/>
          <w:szCs w:val="24"/>
        </w:rPr>
        <w:t> T</w:t>
      </w:r>
      <w:r>
        <w:rPr>
          <w:i/>
          <w:iCs/>
          <w:szCs w:val="24"/>
        </w:rPr>
        <w:t>.</w:t>
      </w:r>
      <w:r w:rsidRPr="00C00255">
        <w:rPr>
          <w:i/>
          <w:iCs/>
          <w:szCs w:val="24"/>
        </w:rPr>
        <w:t xml:space="preserve"> nužudymą</w:t>
      </w:r>
      <w:r w:rsidR="00E0397A">
        <w:rPr>
          <w:szCs w:val="24"/>
        </w:rPr>
        <w:t xml:space="preserve"> (pvz., </w:t>
      </w:r>
      <w:r w:rsidRPr="00C00255">
        <w:rPr>
          <w:szCs w:val="24"/>
        </w:rPr>
        <w:t xml:space="preserve">2015 m. rugpjūčio 20 d. kaltinamojo akto 39 l., t. 683, formuluojant kaltinimą </w:t>
      </w:r>
      <w:r>
        <w:rPr>
          <w:szCs w:val="24"/>
        </w:rPr>
        <w:t>D. J.</w:t>
      </w:r>
      <w:r w:rsidRPr="00C00255">
        <w:rPr>
          <w:szCs w:val="24"/>
        </w:rPr>
        <w:t xml:space="preserve">, ir lygiai taip pat pakartojant visiems kt. šiame kaltinamajame akte nurodytiems kaltinamiesiems, taip pat 2017 m. birželio 29 d. </w:t>
      </w:r>
      <w:r w:rsidRPr="00C00255">
        <w:rPr>
          <w:color w:val="000000" w:themeColor="text1"/>
          <w:szCs w:val="24"/>
        </w:rPr>
        <w:t xml:space="preserve">kaltinamojo akto 45, 91 l., t. 696, formuluojant kaltinimus </w:t>
      </w:r>
      <w:r>
        <w:rPr>
          <w:color w:val="000000" w:themeColor="text1"/>
          <w:szCs w:val="24"/>
        </w:rPr>
        <w:t>V. K. 2</w:t>
      </w:r>
      <w:r w:rsidRPr="00C00255">
        <w:rPr>
          <w:color w:val="000000" w:themeColor="text1"/>
          <w:szCs w:val="24"/>
        </w:rPr>
        <w:t xml:space="preserve"> ir </w:t>
      </w:r>
      <w:r>
        <w:rPr>
          <w:color w:val="000000" w:themeColor="text1"/>
          <w:szCs w:val="24"/>
        </w:rPr>
        <w:t>S. K.</w:t>
      </w:r>
      <w:r w:rsidRPr="00C00255">
        <w:rPr>
          <w:color w:val="000000" w:themeColor="text1"/>
          <w:szCs w:val="24"/>
        </w:rPr>
        <w:t>). Tai reiškia, kad kitų kaltinamajame akte nurodytų neteisėtai sulaikytų ir apšaudytų asmenų teisių suvaržymų, kuriais padaryti nesunkūs ir nežymūs sveikatos sutrikdymai (nurodyti prieš tai esančiose šio sprendimo pastraipose ir kaltinamojo akto 40</w:t>
      </w:r>
      <w:r w:rsidRPr="00C00255">
        <w:rPr>
          <w:szCs w:val="24"/>
        </w:rPr>
        <w:t>–</w:t>
      </w:r>
      <w:r w:rsidRPr="00C00255">
        <w:rPr>
          <w:color w:val="000000" w:themeColor="text1"/>
          <w:szCs w:val="24"/>
        </w:rPr>
        <w:t xml:space="preserve">41 lapuose, t. 683 ir kt.), kaip </w:t>
      </w:r>
      <w:r w:rsidRPr="00C00255">
        <w:rPr>
          <w:szCs w:val="24"/>
        </w:rPr>
        <w:t xml:space="preserve">nusikaltimų žmoniškumui ir karo nusikaltimų </w:t>
      </w:r>
      <w:r w:rsidRPr="00C00255">
        <w:rPr>
          <w:color w:val="000000" w:themeColor="text1"/>
          <w:szCs w:val="24"/>
        </w:rPr>
        <w:t xml:space="preserve">prokurorai nevertino ir neįrodinėjo. </w:t>
      </w:r>
      <w:r w:rsidRPr="00C00255">
        <w:rPr>
          <w:szCs w:val="24"/>
        </w:rPr>
        <w:t xml:space="preserve">Iš prokurorų baigiamosios kalbos pirmosios instancijos teisme matyti, kad prokurorai tokius kaltinamajame akte ir nuosprendyje nurodytus TSRS kariškių veiksmus, atliktus prieš visus neteisėtai sulaikytus ir apšaudytus asmenis, patyrusius </w:t>
      </w:r>
      <w:r w:rsidRPr="00C00255">
        <w:rPr>
          <w:color w:val="000000" w:themeColor="text1"/>
          <w:szCs w:val="24"/>
        </w:rPr>
        <w:t>nesunkius ir nežymius sveikatos sutrikdymus,</w:t>
      </w:r>
      <w:r w:rsidRPr="00C00255">
        <w:rPr>
          <w:szCs w:val="24"/>
        </w:rPr>
        <w:t xml:space="preserve"> vertino, kaip „įvykius“, įrodančius </w:t>
      </w:r>
      <w:r>
        <w:rPr>
          <w:iCs/>
          <w:szCs w:val="24"/>
        </w:rPr>
        <w:t>V. U. 1</w:t>
      </w:r>
      <w:r w:rsidRPr="00C00255">
        <w:rPr>
          <w:iCs/>
          <w:szCs w:val="24"/>
        </w:rPr>
        <w:t xml:space="preserve"> ir </w:t>
      </w:r>
      <w:r>
        <w:rPr>
          <w:iCs/>
          <w:szCs w:val="24"/>
        </w:rPr>
        <w:t>G. B.</w:t>
      </w:r>
      <w:r w:rsidRPr="00C00255">
        <w:rPr>
          <w:iCs/>
          <w:color w:val="FF0000"/>
          <w:szCs w:val="24"/>
        </w:rPr>
        <w:t xml:space="preserve"> </w:t>
      </w:r>
      <w:r w:rsidRPr="00C00255">
        <w:rPr>
          <w:iCs/>
          <w:szCs w:val="24"/>
        </w:rPr>
        <w:t>v</w:t>
      </w:r>
      <w:r w:rsidRPr="00C00255">
        <w:rPr>
          <w:szCs w:val="24"/>
        </w:rPr>
        <w:t xml:space="preserve">eiksmus, įvedus komendanto valandą bei vykdant komendanto valandos režimo reikalavimus </w:t>
      </w:r>
      <w:r w:rsidR="00E0397A">
        <w:rPr>
          <w:color w:val="000000" w:themeColor="text1"/>
          <w:szCs w:val="24"/>
        </w:rPr>
        <w:t>(t. 763, b. </w:t>
      </w:r>
      <w:r w:rsidRPr="00C00255">
        <w:rPr>
          <w:color w:val="000000" w:themeColor="text1"/>
          <w:szCs w:val="24"/>
        </w:rPr>
        <w:t xml:space="preserve">l. 161). Taigi, iš tokio kaltinimo akivaizdu, kad nuteistiesiems komendanto </w:t>
      </w:r>
      <w:r w:rsidRPr="00C00255">
        <w:rPr>
          <w:szCs w:val="24"/>
        </w:rPr>
        <w:t xml:space="preserve">valandos dalyje buvo inkriminuoti tik </w:t>
      </w:r>
      <w:r>
        <w:rPr>
          <w:szCs w:val="24"/>
        </w:rPr>
        <w:t>R. D.</w:t>
      </w:r>
      <w:r w:rsidRPr="00C00255">
        <w:rPr>
          <w:szCs w:val="24"/>
        </w:rPr>
        <w:t xml:space="preserve"> sužalojimas ir </w:t>
      </w:r>
      <w:r>
        <w:rPr>
          <w:szCs w:val="24"/>
        </w:rPr>
        <w:t>J. T.</w:t>
      </w:r>
      <w:r w:rsidRPr="00C00255">
        <w:rPr>
          <w:szCs w:val="24"/>
        </w:rPr>
        <w:t xml:space="preserve"> nužudymas, o kitų asmenų teisių suvaržymai, </w:t>
      </w:r>
      <w:r w:rsidRPr="00C00255">
        <w:rPr>
          <w:color w:val="000000" w:themeColor="text1"/>
          <w:szCs w:val="24"/>
        </w:rPr>
        <w:t xml:space="preserve">kaip </w:t>
      </w:r>
      <w:r w:rsidRPr="00C00255">
        <w:rPr>
          <w:szCs w:val="24"/>
        </w:rPr>
        <w:t>nusikaltimai žmoniškumui ir karo nusikaltimai neinkriminuoti, ir nurodyti, siekiant parodyti įvestos komendanto valandos realumą ir mastą. Teisėjų kolegija, atsižvelgdama į tai, taip pat ir į tai, kad byloje ginčo dėl šių nuosprendyje nurodytų aplinkybių nėra, plačiau apie šias aplinkybes nepasisakys ir jų nenagrinės.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Nuosprendžio motyvuojamojoje dalyje, apibendrintai išdėstant kiekvieno iš nuteistųjų atliktus nusikalstamus veiksmus, nurodyta, kad </w:t>
      </w:r>
      <w:r>
        <w:rPr>
          <w:szCs w:val="24"/>
        </w:rPr>
        <w:t>V. U. 1</w:t>
      </w:r>
      <w:r w:rsidRPr="00C00255">
        <w:rPr>
          <w:szCs w:val="24"/>
        </w:rPr>
        <w:t xml:space="preserve"> Vilniuje įvedė komendanto valandą, nustatė neteisėtą asmenų judėjimo kontrolę Vilniaus mieste ir jo apylinkėse, asmenų ir transporto priemonių patikrą, o </w:t>
      </w:r>
      <w:r>
        <w:rPr>
          <w:szCs w:val="24"/>
        </w:rPr>
        <w:t>G. B.</w:t>
      </w:r>
      <w:r w:rsidRPr="00C00255">
        <w:rPr>
          <w:szCs w:val="24"/>
        </w:rPr>
        <w:t xml:space="preserve"> neteisėtai paskelbtos komendanto valandos priemonių įgyvendinimui nustatė neteisėtą asmenų judėjimo kontrolę Vilniaus mieste ir jo apylinkėse, asmenų ir transporto priemonių patikrą, numatytų priemonių įgyvendinimą pavedė pavaldiems kariškiams, aprūpino juos karine technika ir 5,45 mm kalibro automatiniais ginklais (nuosprendžio 874 l., t. 773).</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rStyle w:val="Numatytasispastraiposriftas1"/>
          <w:szCs w:val="24"/>
        </w:rPr>
      </w:pPr>
      <w:r w:rsidRPr="00C00255">
        <w:rPr>
          <w:szCs w:val="24"/>
        </w:rPr>
        <w:t xml:space="preserve">Prokurorai apeliaciniu skundu prašo pirmosios instancijos teismo nuosprendžio nustatomojoje dalyje konstatuotas faktines aplinkybes patikslinti ir papildyti aplinkybėmis apie: komendanto valandos įvedimą ne tik agresijos, bet ir ginkluoto konflikto metu; apie tai, kad tokiais veiksmais buvo vykdoma TSRS politika </w:t>
      </w:r>
      <w:r w:rsidRPr="00C00255">
        <w:rPr>
          <w:rStyle w:val="Numatytasispastraiposriftas1"/>
          <w:color w:val="000000"/>
          <w:szCs w:val="24"/>
          <w:lang w:eastAsia="ar-SA" w:bidi="lt-LT"/>
        </w:rPr>
        <w:t>dideliu mastu ir sistemingai užpuldinėti civilius; kad tuo buvo įgyvendinamas vadovavimo štabo parengtas planas; kad</w:t>
      </w:r>
      <w:r w:rsidRPr="00C00255">
        <w:rPr>
          <w:szCs w:val="24"/>
        </w:rPr>
        <w:t xml:space="preserve"> </w:t>
      </w:r>
      <w:r w:rsidRPr="00C00255">
        <w:rPr>
          <w:rStyle w:val="Numatytasispastraiposriftas1"/>
          <w:color w:val="000000"/>
          <w:szCs w:val="24"/>
          <w:lang w:eastAsia="ar-SA" w:bidi="lt-LT"/>
        </w:rPr>
        <w:t xml:space="preserve">komendanto valanda buvo viena iš minėtame plane numatytų nepaprastosios padėties priemonių; kad </w:t>
      </w:r>
      <w:r>
        <w:rPr>
          <w:rStyle w:val="Numatytasispastraiposriftas1"/>
          <w:color w:val="000000"/>
          <w:szCs w:val="24"/>
          <w:lang w:eastAsia="ar-SA" w:bidi="lt-LT"/>
        </w:rPr>
        <w:t>V. U. 1</w:t>
      </w:r>
      <w:r w:rsidRPr="00C00255">
        <w:rPr>
          <w:rStyle w:val="Numatytasispastraiposriftas1"/>
          <w:color w:val="000000"/>
          <w:szCs w:val="24"/>
          <w:lang w:eastAsia="ar-SA" w:bidi="lt-LT"/>
        </w:rPr>
        <w:t xml:space="preserve"> komendanto valandos metu siekė persekioti civilius dėl politinių ir nacionalinių motyvų, juos bauginti, terorizuoti ir neteisėtu būdu pakeisti Lietuvos valstybės konstitucinę santvarką; kad kartu su </w:t>
      </w:r>
      <w:r>
        <w:rPr>
          <w:rStyle w:val="Numatytasispastraiposriftas1"/>
          <w:color w:val="000000"/>
          <w:szCs w:val="24"/>
          <w:lang w:eastAsia="ar-SA" w:bidi="lt-LT"/>
        </w:rPr>
        <w:t>G. B.</w:t>
      </w:r>
      <w:r w:rsidRPr="00C00255">
        <w:rPr>
          <w:rStyle w:val="Numatytasispastraiposriftas1"/>
          <w:color w:val="000000"/>
          <w:szCs w:val="24"/>
          <w:lang w:eastAsia="ar-SA" w:bidi="lt-LT"/>
        </w:rPr>
        <w:t xml:space="preserve"> numatė vykdyti neteisėtą asmenų judėjimo kontrolę, asmenų, transporto priemonių, dokumentų patikrą, intensyvų patruliavimą; kad komendanto valandos metu kariškiai persekiojo civilius ne tik dėl politinių, bet ir dėl nacionalinių motyvų (detalus ir tikslus visų prokurorų prašomų </w:t>
      </w:r>
      <w:r w:rsidRPr="00C00255">
        <w:rPr>
          <w:iCs/>
        </w:rPr>
        <w:t>aplinkybių išdėstymas</w:t>
      </w:r>
      <w:r w:rsidRPr="00C00255">
        <w:rPr>
          <w:rStyle w:val="Numatytasispastraiposriftas1"/>
          <w:iCs/>
          <w:color w:val="000000"/>
          <w:szCs w:val="24"/>
          <w:lang w:eastAsia="ar-SA" w:bidi="lt-LT"/>
        </w:rPr>
        <w:t xml:space="preserve"> </w:t>
      </w:r>
      <w:r w:rsidRPr="00C00255">
        <w:rPr>
          <w:rStyle w:val="Numatytasispastraiposriftas1"/>
          <w:color w:val="000000"/>
          <w:szCs w:val="24"/>
          <w:lang w:eastAsia="ar-SA" w:bidi="lt-LT"/>
        </w:rPr>
        <w:t>nurodytas šio sprendimo 68.2 pastraipoje, 176 l.).</w:t>
      </w:r>
      <w:r w:rsidRPr="00C00255">
        <w:rPr>
          <w:rStyle w:val="Numatytasispastraiposriftas1"/>
          <w:i/>
          <w:color w:val="000000"/>
          <w:szCs w:val="24"/>
          <w:lang w:eastAsia="ar-SA" w:bidi="lt-LT"/>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rStyle w:val="Numatytasispastraiposriftas1"/>
          <w:iCs/>
          <w:color w:val="000000"/>
          <w:szCs w:val="24"/>
          <w:lang w:eastAsia="ar-SA" w:bidi="lt-LT"/>
        </w:rPr>
        <w:t xml:space="preserve">Tokį prašymą dėl teismo nuosprendžio nustatomosios dalies patikslinimo prokurorai palaikė ir apeliacinės instancijos teisme, be to, baigiamosios kalbos metu pasisakė ir dėl nuosprendžio motyvuojamojoje dalyje esančių netikslumų, susijusių su </w:t>
      </w:r>
      <w:r>
        <w:rPr>
          <w:rStyle w:val="Numatytasispastraiposriftas1"/>
          <w:iCs/>
          <w:color w:val="000000"/>
          <w:szCs w:val="24"/>
          <w:lang w:eastAsia="ar-SA" w:bidi="lt-LT"/>
        </w:rPr>
        <w:t>V. U. 1</w:t>
      </w:r>
      <w:r w:rsidRPr="00C00255">
        <w:rPr>
          <w:rStyle w:val="Numatytasispastraiposriftas1"/>
          <w:iCs/>
          <w:color w:val="000000"/>
          <w:szCs w:val="24"/>
          <w:lang w:eastAsia="ar-SA" w:bidi="lt-LT"/>
        </w:rPr>
        <w:t xml:space="preserve"> ir </w:t>
      </w:r>
      <w:r>
        <w:rPr>
          <w:rStyle w:val="Numatytasispastraiposriftas1"/>
          <w:iCs/>
          <w:color w:val="000000"/>
          <w:szCs w:val="24"/>
          <w:lang w:eastAsia="ar-SA" w:bidi="lt-LT"/>
        </w:rPr>
        <w:t>G. B.</w:t>
      </w:r>
      <w:r w:rsidRPr="00C00255">
        <w:rPr>
          <w:rStyle w:val="Numatytasispastraiposriftas1"/>
          <w:iCs/>
          <w:color w:val="000000"/>
          <w:szCs w:val="24"/>
          <w:lang w:eastAsia="ar-SA" w:bidi="lt-LT"/>
        </w:rPr>
        <w:t xml:space="preserve"> veiksmų aprašymu (pasviru šriftu nurodytos aplinkybės, kurias prokurorai prašo papildomai įrašyti – </w:t>
      </w:r>
      <w:r w:rsidRPr="00C00255">
        <w:rPr>
          <w:rStyle w:val="Numatytasispastraiposriftas1"/>
          <w:i/>
          <w:iCs/>
          <w:color w:val="000000"/>
          <w:szCs w:val="24"/>
          <w:lang w:eastAsia="ar-SA" w:bidi="lt-LT"/>
        </w:rPr>
        <w:t>kolegijos pastaba</w:t>
      </w:r>
      <w:r w:rsidRPr="00C00255">
        <w:rPr>
          <w:rStyle w:val="Numatytasispastraiposriftas1"/>
          <w:iCs/>
          <w:color w:val="000000"/>
          <w:szCs w:val="24"/>
          <w:lang w:eastAsia="ar-SA" w:bidi="lt-LT"/>
        </w:rPr>
        <w:t>)</w:t>
      </w:r>
      <w:r w:rsidRPr="00C00255">
        <w:rPr>
          <w:szCs w:val="24"/>
        </w:rPr>
        <w:t>:</w:t>
      </w:r>
    </w:p>
    <w:p w:rsidR="00DA38E9" w:rsidRPr="005D022C" w:rsidRDefault="00DA38E9" w:rsidP="00DA38E9">
      <w:pPr>
        <w:pStyle w:val="ListParagraph"/>
        <w:numPr>
          <w:ilvl w:val="1"/>
          <w:numId w:val="6"/>
        </w:numPr>
        <w:overflowPunct/>
        <w:autoSpaceDE/>
        <w:autoSpaceDN/>
        <w:adjustRightInd/>
        <w:spacing w:before="120" w:after="120"/>
        <w:ind w:left="992" w:hanging="992"/>
        <w:contextualSpacing w:val="0"/>
        <w:rPr>
          <w:rFonts w:eastAsia="Calibri"/>
          <w:szCs w:val="24"/>
        </w:rPr>
      </w:pPr>
      <w:r w:rsidRPr="005D022C">
        <w:rPr>
          <w:rFonts w:eastAsia="Calibri"/>
        </w:rPr>
        <w:t>V. U. 1 veiksmai</w:t>
      </w:r>
      <w:r w:rsidRPr="005D022C">
        <w:t xml:space="preserve"> turėtų būti įvardinti tiksliau</w:t>
      </w:r>
      <w:r w:rsidRPr="005D022C">
        <w:rPr>
          <w:szCs w:val="24"/>
        </w:rPr>
        <w:t xml:space="preserve">, </w:t>
      </w:r>
      <w:r w:rsidRPr="005D022C">
        <w:t>t. y. nurodant, kad V. U. 1</w:t>
      </w:r>
      <w:r w:rsidRPr="005D022C">
        <w:rPr>
          <w:szCs w:val="24"/>
        </w:rPr>
        <w:t xml:space="preserve">, </w:t>
      </w:r>
      <w:r w:rsidRPr="005D022C">
        <w:rPr>
          <w:i/>
          <w:szCs w:val="24"/>
        </w:rPr>
        <w:t>į</w:t>
      </w:r>
      <w:r w:rsidRPr="005D022C">
        <w:rPr>
          <w:rFonts w:eastAsia="Calibri"/>
          <w:i/>
          <w:szCs w:val="24"/>
        </w:rPr>
        <w:t>gyvendindamas štabų parengtą planą,</w:t>
      </w:r>
      <w:r w:rsidRPr="005D022C">
        <w:rPr>
          <w:rFonts w:eastAsia="Calibri"/>
          <w:szCs w:val="24"/>
        </w:rPr>
        <w:t xml:space="preserve"> </w:t>
      </w:r>
      <w:r w:rsidRPr="005D022C">
        <w:rPr>
          <w:rFonts w:eastAsia="Calibri"/>
        </w:rPr>
        <w:t xml:space="preserve">Vilniuje ir jo apylinkėse įvedė komendanto valandą, o jos priemonių įgyvendinimui pasitelkė Vilniaus įgulos karinį komendantą G. B.. Vykdant komendanto valandą, nustatė neteisėtą asmenų judėjimo kontrolę Vilniaus mieste ir jo apylinkėse, asmenų ir transporto priemonių patikrą. </w:t>
      </w:r>
      <w:r w:rsidRPr="005D022C">
        <w:rPr>
          <w:rFonts w:eastAsia="Calibri"/>
          <w:i/>
          <w:szCs w:val="24"/>
        </w:rPr>
        <w:t>Įvestos komendanto valandos metu R. D. buvo padarytas tyčinis sunkus sveikatos sutrikdymas bei tyčia nužudytas J. T..</w:t>
      </w:r>
    </w:p>
    <w:p w:rsidR="00DA38E9" w:rsidRPr="00902A3A" w:rsidRDefault="00DA38E9" w:rsidP="00DA38E9">
      <w:pPr>
        <w:pStyle w:val="ListParagraph"/>
        <w:numPr>
          <w:ilvl w:val="1"/>
          <w:numId w:val="6"/>
        </w:numPr>
        <w:overflowPunct/>
        <w:autoSpaceDE/>
        <w:autoSpaceDN/>
        <w:adjustRightInd/>
        <w:spacing w:before="120" w:after="120"/>
        <w:ind w:left="992" w:hanging="992"/>
        <w:contextualSpacing w:val="0"/>
        <w:rPr>
          <w:rFonts w:eastAsia="Calibri"/>
        </w:rPr>
      </w:pPr>
      <w:r w:rsidRPr="00902A3A">
        <w:rPr>
          <w:rFonts w:eastAsia="Calibri"/>
        </w:rPr>
        <w:t>Nuteistojo G. B. veiksmai turėtų būti įvardinti kiek kitaip nei nuosprendyje, t. y. nurodant, kad G. B.</w:t>
      </w:r>
      <w:r w:rsidRPr="00902A3A">
        <w:rPr>
          <w:rFonts w:eastAsia="Calibri"/>
          <w:szCs w:val="24"/>
        </w:rPr>
        <w:t xml:space="preserve"> </w:t>
      </w:r>
      <w:r w:rsidRPr="00902A3A">
        <w:rPr>
          <w:rFonts w:eastAsia="Calibri"/>
          <w:i/>
          <w:szCs w:val="24"/>
        </w:rPr>
        <w:t>pavaldūs</w:t>
      </w:r>
      <w:r w:rsidRPr="00902A3A">
        <w:rPr>
          <w:rFonts w:eastAsia="Calibri"/>
          <w:szCs w:val="24"/>
        </w:rPr>
        <w:t xml:space="preserve"> </w:t>
      </w:r>
      <w:r w:rsidRPr="00902A3A">
        <w:rPr>
          <w:rFonts w:eastAsia="Calibri"/>
        </w:rPr>
        <w:t xml:space="preserve">nenustatyti kariškiai neteisėtai įvestos komendanto valandos metu </w:t>
      </w:r>
      <w:r w:rsidRPr="00902A3A">
        <w:rPr>
          <w:rFonts w:eastAsia="Calibri"/>
          <w:i/>
          <w:szCs w:val="24"/>
        </w:rPr>
        <w:t>aprūpinti karine technika ir 5,45 mm kalibro automatiniais ginklais</w:t>
      </w:r>
      <w:r w:rsidRPr="00902A3A">
        <w:rPr>
          <w:rFonts w:eastAsia="Calibri"/>
          <w:szCs w:val="24"/>
        </w:rPr>
        <w:t xml:space="preserve"> </w:t>
      </w:r>
      <w:r w:rsidRPr="00902A3A">
        <w:rPr>
          <w:rFonts w:eastAsia="Calibri"/>
        </w:rPr>
        <w:t>vykdė neteisėtą asmenų judėjimo kontrolę Vilniaus mieste ir jo apylinkėse, asmenų, transporto priemonių, dokumentų patikrą, intensyvų patruliavimą,</w:t>
      </w:r>
      <w:r w:rsidRPr="00902A3A">
        <w:rPr>
          <w:rFonts w:eastAsia="Calibri"/>
          <w:szCs w:val="24"/>
        </w:rPr>
        <w:t xml:space="preserve"> </w:t>
      </w:r>
      <w:r w:rsidRPr="00902A3A">
        <w:rPr>
          <w:rFonts w:eastAsia="Calibri"/>
          <w:i/>
          <w:szCs w:val="24"/>
        </w:rPr>
        <w:t>kurio metu R. D. buvo padarytas tyčinis sunkus sveikatos sutrikdymas bei tyčia nužudytas J. T.</w:t>
      </w:r>
      <w:r w:rsidRPr="00902A3A">
        <w:rPr>
          <w:rFonts w:eastAsia="Calibri"/>
          <w:szCs w:val="24"/>
        </w:rPr>
        <w:t xml:space="preserve"> </w:t>
      </w:r>
      <w:r w:rsidRPr="00902A3A">
        <w:rPr>
          <w:rFonts w:eastAsia="Calibri"/>
        </w:rPr>
        <w:t>(pirmosios instancijos teismas nuosprendžio motyvuojamojoje dalyje nurodė, kad G. B. pavedė pavaldiems kariškiams įgyvendinti komendanto valandos priemones ir šias priemones įgyvendinančius kariškius aprūpino karine technika ir automatiniais ginklais, o prokurorai šias aplinkybes siūlo patikslinti, nenurodant, kad kariškius karine technika ir ginklais aprūpino G. B., ar kad jis jiems pavedė įgyvendinti komendanto valandos priemones, bet tik nurodyti faktą, kad komendanto valandos priemones įgyvendinę kariškiai buvo pavaldūs G. B. ir buvo aprūpinti karine technika bei 5,45 kalibro automatiniais ginklais).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rStyle w:val="Numatytasispastraiposriftas1"/>
          <w:color w:val="000000"/>
          <w:szCs w:val="24"/>
          <w:lang w:eastAsia="ar-SA" w:bidi="lt-LT"/>
        </w:rPr>
        <w:t xml:space="preserve">Gynėjų apeliaciniuose skunduose nėra ginčijamas faktas, kad 1991 m. sausio 13 d. Vilniuje ir jo apylinkėse buvo įvesta komendanto valanda, taip pat iš esmės nėra ginčijami ir faktai, kad komendanto valandos metu buvo sunkiai sutrikdyta nukentėjusiojo </w:t>
      </w:r>
      <w:r>
        <w:rPr>
          <w:rStyle w:val="Numatytasispastraiposriftas1"/>
          <w:color w:val="000000"/>
          <w:szCs w:val="24"/>
          <w:lang w:eastAsia="ar-SA" w:bidi="lt-LT"/>
        </w:rPr>
        <w:t>R. D.</w:t>
      </w:r>
      <w:r w:rsidRPr="00C00255">
        <w:rPr>
          <w:rStyle w:val="Numatytasispastraiposriftas1"/>
          <w:color w:val="000000"/>
          <w:szCs w:val="24"/>
          <w:lang w:eastAsia="ar-SA" w:bidi="lt-LT"/>
        </w:rPr>
        <w:t xml:space="preserve"> sveikata, buvo nužudytas </w:t>
      </w:r>
      <w:r>
        <w:rPr>
          <w:rStyle w:val="Numatytasispastraiposriftas1"/>
          <w:color w:val="000000"/>
          <w:szCs w:val="24"/>
          <w:lang w:eastAsia="ar-SA" w:bidi="lt-LT"/>
        </w:rPr>
        <w:t>J. T.</w:t>
      </w:r>
      <w:r w:rsidRPr="00C00255">
        <w:rPr>
          <w:rStyle w:val="Numatytasispastraiposriftas1"/>
          <w:color w:val="000000"/>
          <w:szCs w:val="24"/>
          <w:lang w:eastAsia="ar-SA" w:bidi="lt-LT"/>
        </w:rPr>
        <w:t xml:space="preserve"> bei neteisėtai sulaikyti, apšaudyti nuosprendyje įvardinti nukentėjusieji ir kai kuriems iš jų padaryti įvairaus masto sveikatos sutrikdymai. Tačiau </w:t>
      </w:r>
      <w:r>
        <w:rPr>
          <w:rStyle w:val="Numatytasispastraiposriftas1"/>
          <w:color w:val="000000"/>
          <w:szCs w:val="24"/>
          <w:lang w:eastAsia="ar-SA" w:bidi="lt-LT"/>
        </w:rPr>
        <w:t>V. U. 1</w:t>
      </w:r>
      <w:r w:rsidRPr="00C00255">
        <w:rPr>
          <w:rStyle w:val="Numatytasispastraiposriftas1"/>
          <w:color w:val="000000"/>
          <w:szCs w:val="24"/>
          <w:lang w:eastAsia="ar-SA" w:bidi="lt-LT"/>
        </w:rPr>
        <w:t xml:space="preserve"> gynėjas teigia, kad jo ginamasis tik vykdė aukštesnių vadų įsakymus ir komendan</w:t>
      </w:r>
      <w:r w:rsidR="00902A3A">
        <w:rPr>
          <w:rStyle w:val="Numatytasispastraiposriftas1"/>
          <w:color w:val="000000"/>
          <w:szCs w:val="24"/>
          <w:lang w:eastAsia="ar-SA" w:bidi="lt-LT"/>
        </w:rPr>
        <w:t>to valanda buvo įvesta pagal V. </w:t>
      </w:r>
      <w:r w:rsidRPr="00C00255">
        <w:rPr>
          <w:rStyle w:val="Numatytasispastraiposriftas1"/>
          <w:color w:val="000000"/>
          <w:szCs w:val="24"/>
          <w:lang w:eastAsia="ar-SA" w:bidi="lt-LT"/>
        </w:rPr>
        <w:t>A</w:t>
      </w:r>
      <w:r>
        <w:rPr>
          <w:rStyle w:val="Numatytasispastraiposriftas1"/>
          <w:color w:val="000000"/>
          <w:szCs w:val="24"/>
          <w:lang w:eastAsia="ar-SA" w:bidi="lt-LT"/>
        </w:rPr>
        <w:t>.</w:t>
      </w:r>
      <w:r w:rsidRPr="00C00255">
        <w:rPr>
          <w:rStyle w:val="Numatytasispastraiposriftas1"/>
          <w:color w:val="000000"/>
          <w:szCs w:val="24"/>
          <w:lang w:eastAsia="ar-SA" w:bidi="lt-LT"/>
        </w:rPr>
        <w:t xml:space="preserve"> ir V. V</w:t>
      </w:r>
      <w:r>
        <w:rPr>
          <w:rStyle w:val="Numatytasispastraiposriftas1"/>
          <w:color w:val="000000"/>
          <w:szCs w:val="24"/>
          <w:lang w:eastAsia="ar-SA" w:bidi="lt-LT"/>
        </w:rPr>
        <w:t>.</w:t>
      </w:r>
      <w:r w:rsidRPr="00C00255">
        <w:rPr>
          <w:rStyle w:val="Numatytasispastraiposriftas1"/>
          <w:color w:val="000000"/>
          <w:szCs w:val="24"/>
          <w:lang w:eastAsia="ar-SA" w:bidi="lt-LT"/>
        </w:rPr>
        <w:t xml:space="preserve"> įsakymą. </w:t>
      </w:r>
      <w:r>
        <w:rPr>
          <w:rStyle w:val="Numatytasispastraiposriftas1"/>
          <w:color w:val="000000"/>
          <w:szCs w:val="24"/>
          <w:lang w:eastAsia="ar-SA" w:bidi="lt-LT"/>
        </w:rPr>
        <w:t>G. B.</w:t>
      </w:r>
      <w:r w:rsidRPr="00C00255">
        <w:rPr>
          <w:rStyle w:val="Numatytasispastraiposriftas1"/>
          <w:color w:val="000000"/>
          <w:szCs w:val="24"/>
          <w:lang w:eastAsia="ar-SA" w:bidi="lt-LT"/>
        </w:rPr>
        <w:t xml:space="preserve"> gynėjas teigia, kad </w:t>
      </w:r>
      <w:r>
        <w:rPr>
          <w:rStyle w:val="Numatytasispastraiposriftas1"/>
          <w:color w:val="000000"/>
          <w:szCs w:val="24"/>
          <w:lang w:eastAsia="ar-SA" w:bidi="lt-LT"/>
        </w:rPr>
        <w:t>G. B.</w:t>
      </w:r>
      <w:r w:rsidRPr="00C00255">
        <w:rPr>
          <w:rStyle w:val="Numatytasispastraiposriftas1"/>
          <w:color w:val="000000"/>
          <w:szCs w:val="24"/>
          <w:lang w:eastAsia="ar-SA" w:bidi="lt-LT"/>
        </w:rPr>
        <w:t xml:space="preserve"> neatliko jokių veiksmų, kurie galėtų būti vertinami kaip nusikaltimai žmoniškumui ir karo nusikaltimai, byloje nėra duomenų, kad </w:t>
      </w:r>
      <w:r>
        <w:rPr>
          <w:rStyle w:val="Numatytasispastraiposriftas1"/>
          <w:color w:val="000000"/>
          <w:szCs w:val="24"/>
          <w:lang w:eastAsia="ar-SA" w:bidi="lt-LT"/>
        </w:rPr>
        <w:t>R. D.</w:t>
      </w:r>
      <w:r w:rsidRPr="00C00255">
        <w:rPr>
          <w:rStyle w:val="Numatytasispastraiposriftas1"/>
          <w:color w:val="000000"/>
          <w:szCs w:val="24"/>
          <w:lang w:eastAsia="ar-SA" w:bidi="lt-LT"/>
        </w:rPr>
        <w:t xml:space="preserve"> sulaikė ir jo sveikatą sunkiai sutrikdė, </w:t>
      </w:r>
      <w:r>
        <w:rPr>
          <w:rStyle w:val="Numatytasispastraiposriftas1"/>
          <w:color w:val="000000"/>
          <w:szCs w:val="24"/>
          <w:lang w:eastAsia="ar-SA" w:bidi="lt-LT"/>
        </w:rPr>
        <w:t>J. T.</w:t>
      </w:r>
      <w:r w:rsidRPr="00C00255">
        <w:rPr>
          <w:rStyle w:val="Numatytasispastraiposriftas1"/>
          <w:color w:val="000000"/>
          <w:szCs w:val="24"/>
          <w:lang w:eastAsia="ar-SA" w:bidi="lt-LT"/>
        </w:rPr>
        <w:t xml:space="preserve"> nužudė būtent </w:t>
      </w:r>
      <w:r>
        <w:rPr>
          <w:rStyle w:val="Numatytasispastraiposriftas1"/>
          <w:color w:val="000000"/>
          <w:szCs w:val="24"/>
          <w:lang w:eastAsia="ar-SA" w:bidi="lt-LT"/>
        </w:rPr>
        <w:t>G. B.</w:t>
      </w:r>
      <w:r w:rsidRPr="00C00255">
        <w:rPr>
          <w:rStyle w:val="Numatytasispastraiposriftas1"/>
          <w:color w:val="000000"/>
          <w:szCs w:val="24"/>
          <w:lang w:eastAsia="ar-SA" w:bidi="lt-LT"/>
        </w:rPr>
        <w:t xml:space="preserve"> pavaldūs kariškiai, todėl nuosprendis grindžiamas tik prielaidomis ir tuo faktu, kad 1990</w:t>
      </w:r>
      <w:r w:rsidRPr="00C00255">
        <w:rPr>
          <w:color w:val="000000"/>
          <w:szCs w:val="24"/>
          <w:lang w:eastAsia="ar-SA" w:bidi="lt-LT"/>
        </w:rPr>
        <w:t>–</w:t>
      </w:r>
      <w:r w:rsidRPr="00C00255">
        <w:rPr>
          <w:rStyle w:val="Numatytasispastraiposriftas1"/>
          <w:color w:val="000000"/>
          <w:szCs w:val="24"/>
          <w:lang w:eastAsia="ar-SA" w:bidi="lt-LT"/>
        </w:rPr>
        <w:t xml:space="preserve">1991 metais </w:t>
      </w:r>
      <w:r>
        <w:rPr>
          <w:rStyle w:val="Numatytasispastraiposriftas1"/>
          <w:color w:val="000000"/>
          <w:szCs w:val="24"/>
          <w:lang w:eastAsia="ar-SA" w:bidi="lt-LT"/>
        </w:rPr>
        <w:t>G. B.</w:t>
      </w:r>
      <w:r w:rsidRPr="00C00255">
        <w:rPr>
          <w:rStyle w:val="Numatytasispastraiposriftas1"/>
          <w:color w:val="000000"/>
          <w:szCs w:val="24"/>
          <w:lang w:eastAsia="ar-SA" w:bidi="lt-LT"/>
        </w:rPr>
        <w:t xml:space="preserve"> ėjo Vilniaus įgulos komendanto pareigas. </w:t>
      </w:r>
      <w:r>
        <w:rPr>
          <w:rStyle w:val="Numatytasispastraiposriftas1"/>
          <w:color w:val="000000"/>
          <w:szCs w:val="24"/>
          <w:lang w:eastAsia="ar-SA" w:bidi="lt-LT"/>
        </w:rPr>
        <w:t>G. B.</w:t>
      </w:r>
      <w:r w:rsidRPr="00C00255">
        <w:rPr>
          <w:szCs w:val="24"/>
        </w:rPr>
        <w:t xml:space="preserve"> gynėjas teigia, kad po sausio 12–13 d. įvykių slaptu įsakymu komendanto pareigas perėmė </w:t>
      </w:r>
      <w:r>
        <w:rPr>
          <w:szCs w:val="24"/>
        </w:rPr>
        <w:t>V. U. 1</w:t>
      </w:r>
      <w:r w:rsidRPr="00C00255">
        <w:rPr>
          <w:szCs w:val="24"/>
        </w:rPr>
        <w:t xml:space="preserve">, kuris pats asmeniškai įvedė ir įgyvendino komendanto valandos priemones. </w:t>
      </w:r>
      <w:r>
        <w:rPr>
          <w:szCs w:val="24"/>
        </w:rPr>
        <w:t>B. S.</w:t>
      </w:r>
      <w:r w:rsidRPr="00C00255">
        <w:rPr>
          <w:szCs w:val="24"/>
        </w:rPr>
        <w:t xml:space="preserve"> gynėjas teigia, kad </w:t>
      </w:r>
      <w:r>
        <w:rPr>
          <w:szCs w:val="24"/>
        </w:rPr>
        <w:t>B. S.</w:t>
      </w:r>
      <w:r w:rsidRPr="00C00255">
        <w:rPr>
          <w:szCs w:val="24"/>
        </w:rPr>
        <w:t xml:space="preserve"> ir jo grupės kariai po 1991 m. sausio 18 d. buvo išvesti iš LRT, o 1991 m. vasario pradžioje jau buvo sugrįžę į Pskovą, todėl nedalyvavo vykdant komendanto valandą ir jam negalėjo būti inkriminuoti veiksmai, įvedus komendanto valandą.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Teisėjų kolegija konstatuoja, kad pirmosios instancijos teismas pagrįstai nuosprendyje nustatė, jog 1991 m. sausio 13 d. Vilniaus mieste ir jo apylinkėse buvo įvesta komendanto valanda, kurios metu buvo vykdomas aktyvus TSRS kariškių patruliavimas, asmenų judėjimo kontrolė, asmenų ir transporto priemonių patikra. Apeliantai šias aplinkybes paneigiančių konkrečių argumentų nepateikė, todėl teisėjų kolegija plačiau šių faktinių aplinkybių neanalizuos, tačiau, atsižvelgdama į gynėjų ir prokuratūros skundus, pasisakys dėl </w:t>
      </w:r>
      <w:r>
        <w:rPr>
          <w:szCs w:val="24"/>
        </w:rPr>
        <w:t>V. U. 1</w:t>
      </w:r>
      <w:r w:rsidRPr="00C00255">
        <w:rPr>
          <w:szCs w:val="24"/>
        </w:rPr>
        <w:t xml:space="preserve"> ir </w:t>
      </w:r>
      <w:r>
        <w:rPr>
          <w:szCs w:val="24"/>
        </w:rPr>
        <w:t>G. B.</w:t>
      </w:r>
      <w:r w:rsidRPr="00C00255">
        <w:rPr>
          <w:szCs w:val="24"/>
        </w:rPr>
        <w:t xml:space="preserve"> vaidmens įvedant komendanto valandą ir įgyvendinant jos priemones, nulėmusias sunkaus sveikatos sutrikdymo padarymą </w:t>
      </w:r>
      <w:r>
        <w:rPr>
          <w:szCs w:val="24"/>
        </w:rPr>
        <w:t>R. D.</w:t>
      </w:r>
      <w:r w:rsidRPr="00C00255">
        <w:rPr>
          <w:szCs w:val="24"/>
        </w:rPr>
        <w:t xml:space="preserve"> ir </w:t>
      </w:r>
      <w:r>
        <w:rPr>
          <w:szCs w:val="24"/>
        </w:rPr>
        <w:t>J. T.</w:t>
      </w:r>
      <w:r w:rsidRPr="00C00255">
        <w:rPr>
          <w:szCs w:val="24"/>
        </w:rPr>
        <w:t xml:space="preserve"> nužudymą.</w:t>
      </w:r>
    </w:p>
    <w:p w:rsidR="00DA38E9" w:rsidRPr="00C00255" w:rsidRDefault="00DA38E9" w:rsidP="00DA38E9">
      <w:pPr>
        <w:pStyle w:val="Heading3"/>
        <w:spacing w:before="120" w:after="120"/>
        <w:ind w:left="992"/>
        <w:jc w:val="left"/>
        <w:rPr>
          <w:b w:val="0"/>
          <w:i/>
          <w:sz w:val="24"/>
          <w:szCs w:val="24"/>
          <w:lang w:val="lt-LT"/>
        </w:rPr>
      </w:pPr>
      <w:bookmarkStart w:id="749" w:name="_Toc67677406"/>
      <w:bookmarkStart w:id="750" w:name="_Toc67985534"/>
      <w:r w:rsidRPr="00C00255">
        <w:rPr>
          <w:b w:val="0"/>
          <w:i/>
          <w:sz w:val="24"/>
          <w:szCs w:val="24"/>
          <w:lang w:val="lt-LT"/>
        </w:rPr>
        <w:t xml:space="preserve">Dėl nuteistojo </w:t>
      </w:r>
      <w:r>
        <w:rPr>
          <w:b w:val="0"/>
          <w:i/>
          <w:sz w:val="24"/>
          <w:szCs w:val="24"/>
          <w:lang w:val="lt-LT"/>
        </w:rPr>
        <w:t>V. U. 1</w:t>
      </w:r>
      <w:r w:rsidRPr="00C00255">
        <w:rPr>
          <w:b w:val="0"/>
          <w:i/>
          <w:sz w:val="24"/>
          <w:szCs w:val="24"/>
          <w:lang w:val="lt-LT"/>
        </w:rPr>
        <w:t xml:space="preserve"> vaidmens įvedant ir įgyvendinant komendanto valandą</w:t>
      </w:r>
      <w:bookmarkEnd w:id="749"/>
      <w:bookmarkEnd w:id="750"/>
    </w:p>
    <w:p w:rsidR="00DA38E9" w:rsidRPr="005D022C" w:rsidRDefault="00DA38E9" w:rsidP="00DA38E9">
      <w:pPr>
        <w:pStyle w:val="ListParagraph"/>
        <w:numPr>
          <w:ilvl w:val="0"/>
          <w:numId w:val="6"/>
        </w:numPr>
        <w:overflowPunct/>
        <w:autoSpaceDE/>
        <w:autoSpaceDN/>
        <w:adjustRightInd/>
        <w:spacing w:before="120" w:after="120"/>
        <w:ind w:left="992" w:hanging="992"/>
        <w:contextualSpacing w:val="0"/>
      </w:pPr>
      <w:r w:rsidRPr="005D022C">
        <w:t xml:space="preserve">Teisėjų kolegija pirmosios instancijos teismo išvadą, kad komendanto valandą įvedė </w:t>
      </w:r>
      <w:r w:rsidRPr="005D022C">
        <w:rPr>
          <w:rFonts w:eastAsia="Calibri"/>
        </w:rPr>
        <w:t>V. U. 1, ir jis komendanto valandos įgyvendinimui pasitelkė G. B.</w:t>
      </w:r>
      <w:r w:rsidRPr="005D022C">
        <w:rPr>
          <w:rFonts w:eastAsiaTheme="minorHAnsi"/>
        </w:rPr>
        <w:t xml:space="preserve">, </w:t>
      </w:r>
      <w:r w:rsidRPr="005D022C">
        <w:rPr>
          <w:rFonts w:eastAsia="Calibri"/>
        </w:rPr>
        <w:t xml:space="preserve">laiko teisinga ir pagrįsta. Objektyvūs bylos įrodymai patvirtina, kad komendanto valanda ir jos priemonės Vilniuje ir apylinkėse buvo pradėtos vykdyti būtent pagal rašytinius V. U. 1, o ne kitų aukštesnių karininkų, įsakymus. Be to, šias aplinkybes patvirtina ir kiti pirmosios instancijos teismo nuosprendyje nurodyti ir įvertinti įrodymai: </w:t>
      </w:r>
      <w:r w:rsidRPr="005D022C">
        <w:t xml:space="preserve">Lietuvos nacionalinio gelbėjimo komiteto </w:t>
      </w:r>
      <w:r w:rsidRPr="005D022C">
        <w:rPr>
          <w:rFonts w:eastAsia="Calibri"/>
        </w:rPr>
        <w:t xml:space="preserve">nutarimas, </w:t>
      </w:r>
      <w:r w:rsidRPr="005D022C">
        <w:t xml:space="preserve">TSRS GM atstovo generolo majoro J. N ir TSRS GM Vilniaus įgulos karinio komendanto G. B. pasisakymai, užfiksuoti spaudos konferencijų metu, taip pat duomenys, užfiksuoti Lietuvos valdžios atstovų </w:t>
      </w:r>
      <w:r w:rsidRPr="005D022C">
        <w:rPr>
          <w:rFonts w:eastAsia="Calibri"/>
        </w:rPr>
        <w:t>susitikimų su TSRS GM ir TSRS VRM atstovais protokoluose, teisme apklaustų liudytojų parodymai bei minėtų įrodymų teisingumą iš dalies patvirtinantys paties V. U. 1</w:t>
      </w:r>
      <w:r w:rsidRPr="005D022C">
        <w:t xml:space="preserve"> i</w:t>
      </w:r>
      <w:r w:rsidRPr="005D022C">
        <w:rPr>
          <w:rFonts w:eastAsia="Calibri"/>
        </w:rPr>
        <w:t>kiteisminio tyrimo metu duoti parodymai.</w:t>
      </w:r>
    </w:p>
    <w:p w:rsidR="00DA38E9" w:rsidRPr="005D022C" w:rsidRDefault="00DA38E9" w:rsidP="00DA38E9">
      <w:pPr>
        <w:pStyle w:val="ListParagraph"/>
        <w:numPr>
          <w:ilvl w:val="0"/>
          <w:numId w:val="6"/>
        </w:numPr>
        <w:overflowPunct/>
        <w:autoSpaceDE/>
        <w:autoSpaceDN/>
        <w:adjustRightInd/>
        <w:spacing w:before="120" w:after="120"/>
        <w:ind w:left="992" w:hanging="992"/>
        <w:contextualSpacing w:val="0"/>
      </w:pPr>
      <w:r w:rsidRPr="005D022C">
        <w:t xml:space="preserve">Iš byloje esančių rašytinių įrodymų matyti, kad 1990 m. gruodžio 29 d. buvo priimtas bendras TSRS vidaus reikalų ministro B. P. ir TSRS gynybos ministro D. J. įsakymas Nr. 493/513 „Dėl vidaus reikalų darbuotojų, Tarybinės Armijos ir Karinio jūrų laivyno kariškių bendro patruliavimo organizavimo“, kuriame nurodyta, kad </w:t>
      </w:r>
      <w:r w:rsidRPr="005D022C">
        <w:rPr>
          <w:i/>
        </w:rPr>
        <w:t xml:space="preserve">„siekiant sustiprinti viešosios tvarkos apsaugą ir </w:t>
      </w:r>
      <w:r w:rsidRPr="005D022C">
        <w:rPr>
          <w:i/>
          <w:color w:val="000000" w:themeColor="text1"/>
        </w:rPr>
        <w:t xml:space="preserve">karinės </w:t>
      </w:r>
      <w:r w:rsidRPr="005D022C">
        <w:rPr>
          <w:i/>
        </w:rPr>
        <w:t xml:space="preserve">disciplinos miesto gatvėse, gyvenamosiose vietose laikymąsi &lt;…&gt;, įsakau: 1. &lt;…&gt; įgulų viršininkams, TSRS vidaus reikalų ministerijos vidaus kariuomenės, Tarybinės armijos ir Karinio jūrų laivyno dalinių ir junginių vadams: sukurti ir įgyvendinti organizacinių ir praktinių priemonių kompleksą, siekiant sustiprinti viešosios tvarkos apsaugą ir kovą su pažeidėjais gatvėse ir kitose viešosiose vietose &lt;…&gt;; nuo vasario 1 d. &lt;…&gt; organizuoti bendrą milicijos darbuotojų ir Tarybinės armijos bei karinio jūrų laivyno kariškių patruliavimą. &lt;…&gt; numatyti &lt;…&gt; patrulių būrių patruliavimo postų ir maršrutų kiekį. 2. &lt;…&gt; įgulų kariniams komendantams, karinių dalinių vadams: nustatyti bendrą būrių pasirengimo užduočių vykdymo laiką ir vietą. Patrulių būrius paskirstyti taip, kad labiau tvarką pažeidžiančiose vietovėse būtų užtikrintas maksimalus jų skaičius; turėti nuolatinį patrulių su automobiliais (BTR) rezervą ir budinčius padalinius kiekvienoje įguloje kuopos – bataliono sudėtyje su ginklais ir šaudmenimis; įgyvendinti viešosios tvarkos palaikymo pajėgų ir priemonių valdymo sistemą; nustatyti ir aprūpinti &lt;…&gt; prie karinių komendantūrų vietas, skirtas personalo poilsiui, ginklų ir specialiųjų priemonių saugojimui; organizuoti karinių dalinių ir padalinių personalo, pasitelkiamo bendram patruliavimui, karinį pasirengimą, įsisavinant &lt;…&gt; patruliavimo ir sargybos tarnybos formas ir metodus, pažeidėjų sulaikymo taktines priemones, bendravimo su civiliais taktiką” </w:t>
      </w:r>
      <w:r w:rsidRPr="005D022C">
        <w:t xml:space="preserve">(t. 458, b. l. 41–45; t. 138, b. l. 111). </w:t>
      </w:r>
      <w:r w:rsidRPr="005D022C">
        <w:rPr>
          <w:rFonts w:eastAsia="Calibri"/>
        </w:rPr>
        <w:t xml:space="preserve">Nors šis įsakymas buvo priimtas iki 1991 m. sausio 13 d., kai Lietuvoje neteisėtai buvo paskelbta komendanto valanda, tačiau jame reglamentuojama viena iš komendanto valandos priemonių, t. y. patruliavimas, ir iš šio įsakymo turinio matyti, kad patruliavimo organizavimas, jo įgyvendinimas ir užtikrinimas pavedamas konkretiems kariškiams pagal jų užimamas pareigas (įgulų viršininkams, kariniams komendantams, karinių dalinių vadams). Taigi, šiuo įsakymu TSRS GM Sausumos pajėgų Pabaltijo karinės apygardos 107-osios motorizuotų šaulių divizijos vadui ir Vilniaus įgulos viršininkui V. U. 1 bei TSRS gynybos ministerijos Vilniaus įgulos kariniam komendantui G. B. pagal jų einamas pareigas, be kita ko, buvo priskirtos ir funkcijos, susijusios su komendanto valandos priemonių (kariuomenės patruliavimu) įgyvendinimu.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Po minėto įsakymo priėmimo įvykiai Lietuvoje patvirtina, kad iš karto po Sausio 13-osios įvykių, t. y. TV bokšto ir LRT pastatų užėmimo, buvo paskelbta komendanto valanda ir įgyvendintos jos priemonės: įvažiavimo į Vilniaus miestą ir išvažiavimo iš jo kontrolės postų įrengimas, kariškių patruliavimas miesto gatvėse, civilių sulaikymas, civilių ir transporto priemonių patikra bei kitos komendanto valandos priemonės. Kaip minėta, iš esmės byloje nėra ginčo, kad komendanto valanda objektyviai buvo įvesta ir minėtos priemonės buvo aktyviai taikomos.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Bylos duomenimis 1991 m. sausio 13 d. 5.00 val. antivalstybinė organizacija – LNGK – priėmė nutarimą „Dėl komendanto valandos įvedimo Respublikoje“. Nutarime nurodyta, kad komendanto valanda įvedama nuo sausio 13 d. 6.00 val. dėl padažnėjusių viešosios tvarkos pažeidimų, daugkartinių šaunamųjų ginklų panaudojimų ir, kad komendanto valandos metu visiems piliečiams nuo 22.00 val. vakaro iki 6.00 val. ryto draudžiama išvykti iš nuolatinės gyvenamosios vietos, rengti mitingus, piketus, masines eitynes, laikyti ir naudoti šaunamuosius ginklus, nuodingas dujas, naudoti dauginamąją aparatūrą, garso ir vaizdo įrašų techniką, kurti ginkluotus darinius ir dalyvauti juose. Įvedamas ypatingas įvažiavimo į miestą ir išvažiavimo iš jo rėžimas, piliečių dokumentų tikrinimas masinio susibūrimo vietose, esant būtinumui asmeninė patikra, daiktų ir transporto priemonių patikrinimas (t. 450, b. l. 30, t. 203, b. l. 83; t. 151, b. l. 45). Šis LNGK nutarimas buvo viešai paskelbtas 1991 m. sausio 14 d. radijo laidoje „Tarybų Lietuva” (t. 203, b. l. 62). Be to, šis nutarimas buvo viešai skelbiamas per garsiakalbį iš 1991 m. sausio 13 d. Vilniuje važinėjusio šarvuočio. Šie faktai apeliacinės instancijos teismui nekelia abejonių, be to, jie yra konstatuoti ir </w:t>
      </w:r>
      <w:r>
        <w:rPr>
          <w:bCs/>
          <w:iCs/>
        </w:rPr>
        <w:t>M. B.</w:t>
      </w:r>
      <w:r w:rsidRPr="00C00255">
        <w:rPr>
          <w:bCs/>
          <w:iCs/>
        </w:rPr>
        <w:t xml:space="preserve">, </w:t>
      </w:r>
      <w:r>
        <w:rPr>
          <w:bCs/>
          <w:iCs/>
        </w:rPr>
        <w:t>J. K.</w:t>
      </w:r>
      <w:r w:rsidRPr="00C00255">
        <w:rPr>
          <w:bCs/>
          <w:iCs/>
        </w:rPr>
        <w:t xml:space="preserve"> ir kt. baudžiamojoje byloje (LAT 2001 m. gruodžio 28 d. nutartis baudžiamojoje byloje Nr. 2K-595/2001, t. 387, b. l. 334).</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bCs/>
        </w:rPr>
        <w:t xml:space="preserve">Pagal pirmosios instancijos teismo nuosprendyje nurodytas aplinkybes komendanto valandą </w:t>
      </w:r>
      <w:r>
        <w:rPr>
          <w:bCs/>
        </w:rPr>
        <w:t>V. U. 1</w:t>
      </w:r>
      <w:r w:rsidRPr="00C00255">
        <w:rPr>
          <w:bCs/>
        </w:rPr>
        <w:t xml:space="preserve"> įvedė pagal tos pačios dienos LNGK nutarimą, 1991 m. sausio 13 d., 05.00 val. Po minėto LNGK nutarimo priėmimo ir paskelbimo </w:t>
      </w:r>
      <w:r w:rsidRPr="00C00255">
        <w:t xml:space="preserve">1991 m. sausio 14 d. </w:t>
      </w:r>
      <w:r>
        <w:t>V. U. 1</w:t>
      </w:r>
      <w:r w:rsidRPr="00C00255">
        <w:t xml:space="preserve"> priėmė įsakymą Nr. 1 „Dėl komendantinės tarnybos užtikrinimo Vilniaus mieste“, kuriuo įsakė kariniam prokurorui ir karinio dalinio 22238 VSK Ypatingos dalies skyriaus viršininkui organizuoti jų atstovų budėjimus karinėje komendantūroje (t. 238, b. l. 163).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Nuteistojo </w:t>
      </w:r>
      <w:r>
        <w:t>G. B.</w:t>
      </w:r>
      <w:r w:rsidRPr="00C00255">
        <w:t xml:space="preserve"> gynėjas apeliaciniame skunde akcentuoja, kad minėtame įsakyme </w:t>
      </w:r>
      <w:r>
        <w:t>V. U. 1</w:t>
      </w:r>
      <w:r w:rsidRPr="00C00255">
        <w:t xml:space="preserve"> įvardintas Vilniaus įgulos kariniu komendantu ir tai patvirtina </w:t>
      </w:r>
      <w:r>
        <w:t>G. B.</w:t>
      </w:r>
      <w:r w:rsidRPr="00C00255">
        <w:t xml:space="preserve"> ikiteisminio tyrimo metu duotus parodymus, kad po Sausio 13-osios įvykių slaptu įsakymu Vilniaus įgulos kariniu komendantu buvo paskirtas </w:t>
      </w:r>
      <w:r>
        <w:t>V. U. 1</w:t>
      </w:r>
      <w:r w:rsidRPr="00C00255">
        <w:t xml:space="preserve">. Apeliacinės instancijos teismas pažymi, kad bylos medžiagoje (t. 238, b. l. 163) yra pateiktas ne pats </w:t>
      </w:r>
      <w:r>
        <w:t>V. U. 1</w:t>
      </w:r>
      <w:r w:rsidRPr="00C00255">
        <w:t xml:space="preserve"> įsakymas Nr. 1, bet jo išrašas, padarytas ir patvirtintas vyr. leitenanto A. I</w:t>
      </w:r>
      <w:r>
        <w:t>.</w:t>
      </w:r>
      <w:r w:rsidRPr="00C00255">
        <w:t xml:space="preserve"> kuris įvardytas nuteistojo </w:t>
      </w:r>
      <w:r>
        <w:t>G. B.</w:t>
      </w:r>
      <w:r w:rsidRPr="00C00255">
        <w:t xml:space="preserve">, kaip Vilniaus įgulos karinio komendanto, padėjėju. Nors šiame išraše būtent </w:t>
      </w:r>
      <w:r>
        <w:t>V. U. 1</w:t>
      </w:r>
      <w:r w:rsidRPr="00C00255">
        <w:t xml:space="preserve"> įvardintas kaip Vilniaus miesto karinis komendantas, tačiau byloje surinktų įrodymų visuma rodo, kad tiek Sausio 13-osios įvykių metu, tiek ir po jų Vilniaus miesto kariniu komendantu buvo </w:t>
      </w:r>
      <w:r>
        <w:t>G. B.</w:t>
      </w:r>
      <w:r w:rsidRPr="00C00255">
        <w:t xml:space="preserve">. Vien tik minėtas </w:t>
      </w:r>
      <w:r>
        <w:t>V. U. 1</w:t>
      </w:r>
      <w:r w:rsidRPr="00C00255">
        <w:t xml:space="preserve"> 1991 m sausio 14 d. įsakymo Nr. 1 išrašas negali paneigti kitų įrodymų, gautų iš skirtingų šaltinių, patvirtinančių, kad </w:t>
      </w:r>
      <w:r>
        <w:t>V. U. 1</w:t>
      </w:r>
      <w:r w:rsidRPr="00C00255">
        <w:t xml:space="preserve"> buvo Vilniaus įgulos viršininkas, o </w:t>
      </w:r>
      <w:r>
        <w:t>G. B.</w:t>
      </w:r>
      <w:r w:rsidRPr="00C00255">
        <w:t xml:space="preserve"> – Vilniaus įgulos karinis komendantas. Apeliacinės instancijos teismo vidinį įsitikinimą šių išvadų teisingumu patvirtina ir ikiteisminio tyrimo metu liudytoju apklausto minėtą išrašą padariusio Vilniaus įgulos karinio komendanto padėjėjo vyr. leiten</w:t>
      </w:r>
      <w:r>
        <w:t>anto A. I.</w:t>
      </w:r>
      <w:r w:rsidRPr="00C00255">
        <w:t xml:space="preserve"> duoti parodymai, kuriuose jis, pasakodamas apie 1991 m. vasario 12 d. įvykius, kai Vilniuje buvo sulaikyti organizacijos „Ščit“ atstovai, aiškiai nurodė, kad tuo metu </w:t>
      </w:r>
      <w:r>
        <w:t>G. B.</w:t>
      </w:r>
      <w:r w:rsidRPr="00C00255">
        <w:t xml:space="preserve"> buvo Vilniaus įgulos karinis komendantas, o liudytojas A. I</w:t>
      </w:r>
      <w:r>
        <w:t>.</w:t>
      </w:r>
      <w:r w:rsidRPr="00C00255">
        <w:t xml:space="preserve"> buvo jo padėjėjas (t. 238, b. l. 143–144).</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Vėliau – 1991 m. sausio 15 d. – buvo priimtas Vilniaus įgulos viršininko generolo majoro </w:t>
      </w:r>
      <w:r>
        <w:t>V. U. 1</w:t>
      </w:r>
      <w:r w:rsidRPr="00C00255">
        <w:t xml:space="preserve"> įsakymas Nr. 3 „Dėl priemonių viešajai tvarkai Vilniaus įguloje palaikyti ir įgulos asmeninės sudėties budrumui didinti”, kuriame, be kita ko, nurodyta, kad, remiantis TSRS ginkluotųjų pajėgų įgulos tarnybos ir sargybų tarnybų statuto 28 straipsniu, Vilniaus įgulos komendantui įsakoma palaikyti ryšius su teisėsaugos organais, teikti jiems neatidėliotiną pagalbą palaikant visuomeninę tvarką Vilniaus mieste, komendantinės tarnybos jėgomis neleisti krašto apsaugos departamento padaliniams į miestą įvežti ginklų</w:t>
      </w:r>
      <w:r w:rsidR="005D022C">
        <w:t xml:space="preserve"> ir amunicijos (t. 450, </w:t>
      </w:r>
      <w:r w:rsidRPr="00C00255">
        <w:t xml:space="preserve">b. l. 20–21, t. 203, b. l. 65–71; t. 114, b. l. 160–163).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5D022C">
        <w:t xml:space="preserve">Tokie nuteistojo V. U. 1 priimti įsakymai leidžia spręsti, kad jis tiesiogiai dalyvavo įvedant komendanto valandą ir organizavo priemones praktiniam jos įgyvendinimui. Šių išvadų kontekste, </w:t>
      </w:r>
      <w:r w:rsidRPr="005D022C">
        <w:rPr>
          <w:rFonts w:eastAsia="Calibri"/>
        </w:rPr>
        <w:t xml:space="preserve">V. U. 1 gynėjo argumentai apie komendanto valandos įvedimą pagal V. A. ir V. V. įsakymą neturi esminės reikšmės, nes, viena vertus, neteisėto įsakymo vykdymas nepašalina asmens baudžiamosios atsakomybės (apie tai teismas plačiau dar pasisakys atskiroje dalyje), kita vertus, </w:t>
      </w:r>
      <w:r w:rsidRPr="005D022C">
        <w:t>V. U. 1 kaip Vilniaus įgulos viršininko vaidmuo įvedant komendanto valandą buvo itin svarbus ir lemiamas. Vien LNGK 1991 m. sausio 13 d. nutarimas „Dėl komendanto valandos įvedimo Respublikoje“,</w:t>
      </w:r>
      <w:r w:rsidRPr="005D022C">
        <w:rPr>
          <w:rFonts w:eastAsiaTheme="minorHAnsi"/>
        </w:rPr>
        <w:t xml:space="preserve"> </w:t>
      </w:r>
      <w:r w:rsidRPr="005D022C">
        <w:t>nesant palaikymo ir pritarimo iš TSRS kariuomenės ir būtent Vilniuje dislokuotos TSRS GM 107-osios motorizuotų šaulių divizijos vado bei Vilniaus įgulos viršininko pusės (suteikiant kovinę techniką, ginklus ir organizuojant kariškius praktiniam komendanto valandos įgyvendinimui), nebūtų lėmęs realaus komendanto valandos įvedimo.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Faktą, kad komendanto valanda buvo įvesta </w:t>
      </w:r>
      <w:r>
        <w:t>V. U. 1</w:t>
      </w:r>
      <w:r w:rsidRPr="00C00255">
        <w:t xml:space="preserve"> įsakymu, </w:t>
      </w:r>
      <w:r w:rsidR="00E0397A">
        <w:t>patvirtina ir 1991 m. sausio 17 </w:t>
      </w:r>
      <w:r w:rsidRPr="00C00255">
        <w:t>d. vykusios spaudos konferencijos metu išsakyta oficialaus TSRS GM atstovo generolo majoro J</w:t>
      </w:r>
      <w:r>
        <w:t>. </w:t>
      </w:r>
      <w:r w:rsidRPr="00C00255">
        <w:t>N</w:t>
      </w:r>
      <w:r>
        <w:t>.</w:t>
      </w:r>
      <w:r w:rsidRPr="00C00255">
        <w:t xml:space="preserve"> (J</w:t>
      </w:r>
      <w:r>
        <w:t>. </w:t>
      </w:r>
      <w:r w:rsidRPr="00C00255">
        <w:t>N</w:t>
      </w:r>
      <w:r>
        <w:t>.</w:t>
      </w:r>
      <w:r w:rsidRPr="00C00255">
        <w:t>) pozicija dėl komendanto valandos įvedimo, užfiksuota vaizdo įra</w:t>
      </w:r>
      <w:r w:rsidR="00902A3A">
        <w:t>še (t. 493, </w:t>
      </w:r>
      <w:r w:rsidR="00E0397A">
        <w:t>b. l. </w:t>
      </w:r>
      <w:r w:rsidRPr="00C00255">
        <w:t>16–17). Šioje spaudos konferencijoje J. N</w:t>
      </w:r>
      <w:r>
        <w:t>.</w:t>
      </w:r>
      <w:r w:rsidRPr="00C00255">
        <w:t xml:space="preserve"> nurodė, kad komendanto valanda buvo įvesta Vilniaus įgulos viršininko įsakymu ir paskelbė 1991 m. sausio 15 d. </w:t>
      </w:r>
      <w:r>
        <w:t>V. U. 1</w:t>
      </w:r>
      <w:r w:rsidRPr="00C00255">
        <w:t xml:space="preserve"> įsakymą Nr. 3. Nors J. N</w:t>
      </w:r>
      <w:r>
        <w:t>.</w:t>
      </w:r>
      <w:r w:rsidRPr="00C00255">
        <w:t>, atsakydamas į žurnalistų klausimus dėl komendanto valandos teisėtumo, nurodė, kad po susitikimo su ministrų kabineto nariais komendanto valanda buvo atšaukta ir neigė LNGK nutarimo dėl komendanto valandos įvedimo priėmimą, tokie jo pasisakymai neatitinka byloje nustatytų faktinių aplinkybių.</w:t>
      </w:r>
    </w:p>
    <w:p w:rsidR="00DA38E9" w:rsidRPr="00E0397A" w:rsidRDefault="00DA38E9" w:rsidP="00DA38E9">
      <w:pPr>
        <w:pStyle w:val="ListParagraph"/>
        <w:numPr>
          <w:ilvl w:val="0"/>
          <w:numId w:val="6"/>
        </w:numPr>
        <w:overflowPunct/>
        <w:autoSpaceDE/>
        <w:autoSpaceDN/>
        <w:adjustRightInd/>
        <w:spacing w:before="120" w:after="120"/>
        <w:ind w:left="992" w:hanging="992"/>
        <w:contextualSpacing w:val="0"/>
      </w:pPr>
      <w:r w:rsidRPr="00E0397A">
        <w:t xml:space="preserve">Byloje esantys įrodymai patvirtina, kad ir po minėtos spaudos konferencijos nepriklausomos Lietuvos Respublikos teritorijoje TSRS ginkluotosios pajėgos ir toliau faktiškai vykdė komendanto valandos režimą. Vilniuje ir jo apylinkėse toliau buvo vykdomi aktyvūs kariuomenės patruliavimo veiksmai, asmenų, transporto priemonių patikra, asmenų sulaikymai ir šios komendanto valandos priemonės atskirais atvejais buvo vykdomos apšaudant automobilius, žmones. Šias aplinkybes, be kita ko, patvirtina Lietuvos Aukščiausiajai Tarybai Lietuvos Respublikos VRM pateikta pažyma apie įvykius Respublikoje (t. 471, b. l. 72–110), </w:t>
      </w:r>
      <w:r w:rsidRPr="00C00255">
        <w:t xml:space="preserve">„Karinės komendantūros kariškių sulaikytų asmenų ir </w:t>
      </w:r>
      <w:r w:rsidRPr="00C00255">
        <w:rPr>
          <w:i/>
        </w:rPr>
        <w:t xml:space="preserve">komendanto valandos pažeidėjų </w:t>
      </w:r>
      <w:r w:rsidRPr="00C00255">
        <w:t xml:space="preserve">sąrašas“ </w:t>
      </w:r>
      <w:r w:rsidRPr="00E0397A">
        <w:t xml:space="preserve">(t. 191, b. l. 228–233), toliau aptariamos J. T. nužudymo aplinkybės bei jas patvirtinantys bylos įrodymai ir kiti pirmosios instancijos teismo nuosprendyje nurodyti ir įvertinti įrodymai (pvz., teisiamajame posėdyje apklaustų nukentėjusiųjų A. B. </w:t>
      </w:r>
      <w:r w:rsidRPr="00E0397A">
        <w:rPr>
          <w:rFonts w:eastAsia="SimSun"/>
        </w:rPr>
        <w:t xml:space="preserve">(t. 760, b. l. 182), A. Š. </w:t>
      </w:r>
      <w:r w:rsidRPr="00E0397A">
        <w:rPr>
          <w:rFonts w:eastAsia="Calibri"/>
        </w:rPr>
        <w:t>(t. 760, b. l. 185–186), liudytojų R. R., A. B., P. N. (t. 761, b. l. 7–9) parodymai).</w:t>
      </w:r>
      <w:r w:rsidRPr="00E0397A">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Faktą, kad po 1991 m. sausio 17 d. spaudos konferencijos Vilniuje bei jo apylinkėse ir toliau buvo vykdoma komendanto valanda, o </w:t>
      </w:r>
      <w:r>
        <w:t>V. U. 1</w:t>
      </w:r>
      <w:r w:rsidRPr="00C00255">
        <w:t xml:space="preserve"> organizavo (koordinavo) jos įgyvendinimą, patvirtina ir 1991 m. sausio 18 d. ir 31 d. vykusių Lietuvos Respublikos VRM ir prokuratūros vadovų susitikimų su TSRS kariuomenės </w:t>
      </w:r>
      <w:r w:rsidRPr="00C00255">
        <w:rPr>
          <w:color w:val="000000"/>
        </w:rPr>
        <w:t>Vilniaus karinės įgulos ir TSRS VRM vidaus karinių dalinių</w:t>
      </w:r>
      <w:r w:rsidRPr="00C00255">
        <w:rPr>
          <w:rFonts w:eastAsiaTheme="minorHAnsi"/>
          <w:color w:val="000000"/>
        </w:rPr>
        <w:t xml:space="preserve"> </w:t>
      </w:r>
      <w:r w:rsidRPr="00C00255">
        <w:rPr>
          <w:color w:val="000000"/>
        </w:rPr>
        <w:t xml:space="preserve">vadovaujančiu personalu </w:t>
      </w:r>
      <w:r w:rsidRPr="00C00255">
        <w:t xml:space="preserve">protokolų turinys. Protokoluose įvardinti šie susitikimų dalyviai iš TSRS pusės – TSRS VRM pavaduotojas </w:t>
      </w:r>
      <w:r>
        <w:t>N. D.</w:t>
      </w:r>
      <w:r w:rsidRPr="00C00255">
        <w:t xml:space="preserve">, Vilniaus įgulos viršininkas </w:t>
      </w:r>
      <w:r>
        <w:t>V. U. 1</w:t>
      </w:r>
      <w:r w:rsidRPr="00C00255">
        <w:t>, karinio dalinio Nr. 3404</w:t>
      </w:r>
      <w:r w:rsidRPr="00C00255">
        <w:rPr>
          <w:color w:val="FF0000"/>
        </w:rPr>
        <w:t xml:space="preserve"> </w:t>
      </w:r>
      <w:r w:rsidRPr="00C00255">
        <w:t xml:space="preserve">viršininkas </w:t>
      </w:r>
      <w:r>
        <w:t xml:space="preserve">A. Ž. </w:t>
      </w:r>
      <w:r w:rsidRPr="00C00255">
        <w:t xml:space="preserve">, karinis komendantas </w:t>
      </w:r>
      <w:r>
        <w:t>G. B.</w:t>
      </w:r>
      <w:r w:rsidRPr="00C00255">
        <w:t xml:space="preserve">, Šiaurės-vakarų apskrities vidaus kariuomenės vadas </w:t>
      </w:r>
      <w:r>
        <w:t>V. S. 1</w:t>
      </w:r>
      <w:r w:rsidRPr="00C00255">
        <w:t xml:space="preserve"> (ne visi susitikimų dalyviai dalyvavo abiejuose susitikimuose). Šiuose susitikimuose iš esmės buvo sprendžiami tik klausimai, susiję su komendanto valandos metu naudojamomis priemonėmis: automobilių stabdymu kariškių postuose, jų patikra, asmenų sulaikymu ir pan. Be to, 1991 m. sausio 18 d. surengto susitikimo protokole užfiksuota, kad </w:t>
      </w:r>
      <w:r>
        <w:t>V. U. 1</w:t>
      </w:r>
      <w:r w:rsidRPr="00C00255">
        <w:t xml:space="preserve"> tiesiogiai pavedė Vilniaus miesto kariniam komendantui </w:t>
      </w:r>
      <w:r>
        <w:t>G. B.</w:t>
      </w:r>
      <w:r w:rsidRPr="00C00255">
        <w:t xml:space="preserve"> spręsti klausimą dėl kontrolinių išvažiavimo punktų įrengimo, kurių pagrindinis tikslas – kontrolė, ginklų ir šaudmenų konfiskavimas (t. 456, b. l. 283–287; t. 251, b. l. 122–126</w:t>
      </w:r>
      <w:r w:rsidRPr="00C00255">
        <w:rPr>
          <w:color w:val="000000" w:themeColor="text1"/>
        </w:rPr>
        <w:t>).</w:t>
      </w:r>
      <w:r w:rsidRPr="00C00255">
        <w:rPr>
          <w:color w:val="FF0000"/>
        </w:rPr>
        <w:t xml:space="preserve"> </w:t>
      </w:r>
      <w:r w:rsidRPr="00C00255">
        <w:t xml:space="preserve">1991 m. sausio 31 d. vykusio susitikimo protokole užfiksuota, kad svarstomas klausimas dėl 1990 m. gruodžio 29 d. TSRS vidaus reikalų ministro </w:t>
      </w:r>
      <w:r>
        <w:t>B. P.</w:t>
      </w:r>
      <w:r w:rsidRPr="00C00255">
        <w:t xml:space="preserve"> ir TSRS gynybos ministro </w:t>
      </w:r>
      <w:r>
        <w:t>D. J.</w:t>
      </w:r>
      <w:r w:rsidRPr="00C00255">
        <w:t xml:space="preserve"> įsakymo „Dėl vidaus reikalų darbuotojų, Tarybinės Armijos ir Karinio jūrų laivyno kariškių bendro patruliavimo organizavimo“. Protokole užfiksuota, kad dėl ligos susitikime nedalyvaujant Vilniaus įgulos viršininkui </w:t>
      </w:r>
      <w:r>
        <w:t>V. U. 1</w:t>
      </w:r>
      <w:r w:rsidRPr="00C00255">
        <w:t xml:space="preserve">, </w:t>
      </w:r>
      <w:r>
        <w:t>G. B.</w:t>
      </w:r>
      <w:r w:rsidRPr="00C00255">
        <w:t xml:space="preserve"> pranešė apie </w:t>
      </w:r>
      <w:r>
        <w:t>V. U. 1</w:t>
      </w:r>
      <w:r w:rsidRPr="00C00255">
        <w:t xml:space="preserve"> priimtą sprendimą dėl patruliavimo sąlygų, iš kurių matyti, kad </w:t>
      </w:r>
      <w:r>
        <w:t>V. U. 1</w:t>
      </w:r>
      <w:r w:rsidRPr="00C00255">
        <w:t xml:space="preserve"> sprendimu patvirtinta, jog patruliuojantys karininkai bus ginkluoti automatais, o nuo 22.00 val. iki 6.00 val. patruliuos ir įgulos su BTR. Po šio pranešimo </w:t>
      </w:r>
      <w:r>
        <w:t>G. B.</w:t>
      </w:r>
      <w:r w:rsidRPr="00C00255">
        <w:t>, atsakydamas į klausimus, patvirtino, kad patruliuojančių karininkų šoviniai bus koviniai. Atsakydamas į Lietuvos Respublikos generalinio prokuroro A. P</w:t>
      </w:r>
      <w:r>
        <w:t>.</w:t>
      </w:r>
      <w:r w:rsidRPr="00C00255">
        <w:t xml:space="preserve"> klausimą, kokiu dokumentu patruliai vadovausis sulaikydami asmenis ir kas bus sulaikomi, </w:t>
      </w:r>
      <w:r>
        <w:t>G. B.</w:t>
      </w:r>
      <w:r w:rsidRPr="00C00255">
        <w:t xml:space="preserve"> nurodė, kad yra priimta instrukcija, kuri pateikta tvirtinti Vilniaus įgulos viršininkui, ir šis dokumentas susitikimo dalyviams bus pateiktas vėliau. Susitikimo metu </w:t>
      </w:r>
      <w:r>
        <w:t>G. B.</w:t>
      </w:r>
      <w:r w:rsidRPr="00C00255">
        <w:t xml:space="preserve"> paaiškino, kad pagrindinė keliuose esančių patikros punktų užduotis ginklų konfiskavimas, o savanoriai ir dezertyrai – ne patrulių užduotis, taip pat nurodė, kad patruliavimo metu sulaikyti asmenys bus pristatomi į milicijos skyrius (t. 456, b. l. 277–282; t. 251, b. l. 116–121). Apeliacinės instancijos teismas atkreipia dėmesį, kad toliau aptariami bylos duomenys patvirtina, jog sulaikyti asmenys (tariami komendanto valandos pažeidėjai) vis tik buvo pristatomi ne į milicijos skyrius, bet į karinę komendantūrą, kurios pagrindinė paskirtis buvo kariškių pažeidimų tyrimas ir sankcijų už juos vykdymas, o ne civilių asmenų sulaikymas.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Apie minėtus 1991 m. sausio 18 d. ir 31 d. Lietuvos Respublikos vidaus reikalų ministerijoje vykusius susitikimus, taip pat </w:t>
      </w:r>
      <w:r>
        <w:t>V. U. 1</w:t>
      </w:r>
      <w:r w:rsidRPr="00C00255">
        <w:t xml:space="preserve"> ir TSRS kariuomenės vadovų bei kitų aukšto rango karininkų vaidmenį, įgyvendinant komendanto valandą, parodymus davė ir teisiamajame posėdyje apklausti liudytojai M. M</w:t>
      </w:r>
      <w:r>
        <w:t>.</w:t>
      </w:r>
      <w:r w:rsidRPr="00C00255">
        <w:t xml:space="preserve">, </w:t>
      </w:r>
      <w:r>
        <w:t>P. L.</w:t>
      </w:r>
      <w:r w:rsidRPr="00C00255">
        <w:t xml:space="preserve"> ir </w:t>
      </w:r>
      <w:r>
        <w:t>V. L.</w:t>
      </w:r>
      <w:r w:rsidRPr="00C00255">
        <w:t xml:space="preserve">, kurie tiesiogiai dalyvavo minėtuose susitikimuose.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Liudytojas </w:t>
      </w:r>
      <w:r>
        <w:t>M. M.</w:t>
      </w:r>
      <w:r w:rsidRPr="00C00255">
        <w:t xml:space="preserve">, aptariamų įvykių metu buvęs Lietuvos Respublikos vidaus reikalų ministru, parodė, kad komendanto valanda buvo įvesta, siekiant nuginkluoti Lietuvos pareigūnus. Dėl to buvo vykdomas kariškių patruliavimas, statomi kariškių postai, sulaikomi civiliai, vykdomos automobilių ir asmenų patikros. Siekiant išvengti kraujo praliejimo, apie tai susitikimų metu buvo kalbama su </w:t>
      </w:r>
      <w:r>
        <w:t>N. D.</w:t>
      </w:r>
      <w:r w:rsidRPr="00C00255">
        <w:t xml:space="preserve">, </w:t>
      </w:r>
      <w:r>
        <w:t>V. U. 1</w:t>
      </w:r>
      <w:r w:rsidRPr="00C00255">
        <w:t xml:space="preserve">, </w:t>
      </w:r>
      <w:r>
        <w:t>G. B.</w:t>
      </w:r>
      <w:r w:rsidRPr="00C00255">
        <w:t xml:space="preserve">, </w:t>
      </w:r>
      <w:r>
        <w:t xml:space="preserve">A. Ž. </w:t>
      </w:r>
      <w:r w:rsidRPr="00C00255">
        <w:t xml:space="preserve">. Dėl įvestos komendanto valandos neteisėtumo 1991 m. sausio 18 d. įvyko bendras vidaus kariuomenės ir </w:t>
      </w:r>
      <w:r>
        <w:t>V. U. 1</w:t>
      </w:r>
      <w:r w:rsidRPr="00C00255">
        <w:t xml:space="preserve"> bei jo divizijos vadovų susitikimas liudytojo kabinete, dalyvaujant jo pavaduotojui P.</w:t>
      </w:r>
      <w:r>
        <w:t> </w:t>
      </w:r>
      <w:r w:rsidRPr="00C00255">
        <w:t xml:space="preserve">L. Susitikimų metu liudytojas prašė komendanto valandą panaikinti, o TSRS atstovai bandė jį įtikinti, kad Lietuvos pareigūnai vykdytų bendrą budėjimą, tačiau TSRS atstovams buvo pateiktas neigiamas atsakymas. 1991 m. sausio 31 d. susitikimas vyko dėl TSRS vidaus reikalų ir gynybos ministrų priimto įsakymo „Dėl vidaus reikalų darbuotojų, Tarybinės Armijos ir Karinio jūrų laivyno kariškių bendro patruliavimo organizavimo“. Per susitikimą buvo kalbama apie komendanto valandą ir apie kariškių veiksmų lokalizavimą (t. 756, b. l. 113–121). Teisiamajame posėdyje buvo pagarsinti liudytojo </w:t>
      </w:r>
      <w:r>
        <w:t>M. M.</w:t>
      </w:r>
      <w:r w:rsidRPr="00C00255">
        <w:t xml:space="preserve"> parodymai, duoti ikiteisminio tyrimo metu, kuriuos liudytojas patvirtino kaip teisingus (t. 471,</w:t>
      </w:r>
      <w:r w:rsidR="00902A3A">
        <w:t xml:space="preserve"> b. l. 53–61, 68; t. 251, b. l. </w:t>
      </w:r>
      <w:r w:rsidRPr="00C00255">
        <w:t xml:space="preserve">103–115). Ikiteisminio tyrimo metu </w:t>
      </w:r>
      <w:r>
        <w:t>M. M.</w:t>
      </w:r>
      <w:r w:rsidRPr="00C00255">
        <w:t xml:space="preserve"> papasakojo ir apie 1991 m. </w:t>
      </w:r>
      <w:r w:rsidRPr="00C00255">
        <w:rPr>
          <w:color w:val="000000" w:themeColor="text1"/>
        </w:rPr>
        <w:t xml:space="preserve">sausio 15 d. vykusio </w:t>
      </w:r>
      <w:r w:rsidRPr="00C00255">
        <w:t xml:space="preserve">susitikimo su iš TSRS atvykusiais deputatais detales. Susitikime dalyvavo ir </w:t>
      </w:r>
      <w:r>
        <w:t>V. U. 1</w:t>
      </w:r>
      <w:r w:rsidRPr="00C00255">
        <w:t>, kuris nurodė, kad komendanto valanda įvedama nuo 22 val. iki 6 val. tam, kad į Vilnių nebūtų įvežti sprogmenys ir ginklai. TSRS deputatų atstovas O.</w:t>
      </w:r>
      <w:r>
        <w:t> </w:t>
      </w:r>
      <w:r w:rsidRPr="00C00255">
        <w:t>T</w:t>
      </w:r>
      <w:r>
        <w:t>.</w:t>
      </w:r>
      <w:r w:rsidRPr="00C00255">
        <w:t>-P</w:t>
      </w:r>
      <w:r>
        <w:t>.</w:t>
      </w:r>
      <w:r w:rsidRPr="00C00255">
        <w:t xml:space="preserve"> </w:t>
      </w:r>
      <w:r>
        <w:t>V. U. 1</w:t>
      </w:r>
      <w:r w:rsidRPr="00C00255">
        <w:t xml:space="preserve"> pasakė, kad komendanto valanda yra neteisėta. Susitikimo metu buvo sutarta, kad kariškiai netrukdys VRM darbuotojams vykdyti jų pareigų, jų nesulaikinės ir neatiminės iš jų ginklų.</w:t>
      </w:r>
    </w:p>
    <w:p w:rsidR="00DA38E9" w:rsidRPr="00E0397A" w:rsidRDefault="00DA38E9" w:rsidP="00DA38E9">
      <w:pPr>
        <w:pStyle w:val="ListParagraph"/>
        <w:numPr>
          <w:ilvl w:val="0"/>
          <w:numId w:val="6"/>
        </w:numPr>
        <w:overflowPunct/>
        <w:autoSpaceDE/>
        <w:autoSpaceDN/>
        <w:adjustRightInd/>
        <w:spacing w:before="120" w:after="120"/>
        <w:ind w:left="992" w:hanging="992"/>
        <w:contextualSpacing w:val="0"/>
      </w:pPr>
      <w:r w:rsidRPr="00C00255">
        <w:t xml:space="preserve">Liudytojo </w:t>
      </w:r>
      <w:r>
        <w:t>M. M.</w:t>
      </w:r>
      <w:r w:rsidRPr="00C00255">
        <w:t xml:space="preserve"> parodymus apie tai, kad po Sausio 13-osios įvykių Vilniaus mieste ir jo apylinkėse prasidėjo intensyvus TSRS kariškių patruliavimas, buvo išstatyti kontrolės postai, užpuldinėjami Lietuvos pareigūnai, kad dėl minėtų patruliavimų vyko susitikimai su aukščiausiais TSRS vadais, kad Lietuvos pareigūnai buvo įkalbinėjami patruliuoti kartu, patvirtino ir teisiamajame posėdyje apklaustas liudytojas </w:t>
      </w:r>
      <w:r>
        <w:t>P. L</w:t>
      </w:r>
      <w:r w:rsidRPr="00E0397A">
        <w:t xml:space="preserve">., buvęs </w:t>
      </w:r>
      <w:r w:rsidRPr="00E0397A">
        <w:rPr>
          <w:rFonts w:eastAsia="Calibri"/>
        </w:rPr>
        <w:t>Lietuvos Respublikos vidaus reikalų ministro pavaduotojas (t. 761, b. l. 56–58),</w:t>
      </w:r>
      <w:r w:rsidRPr="00E0397A">
        <w:t xml:space="preserve"> taip pat ir teisiamajame posėdyje apklaustas liudytojas V. L., buvęs </w:t>
      </w:r>
      <w:r w:rsidRPr="00E0397A">
        <w:rPr>
          <w:rFonts w:eastAsia="Calibri"/>
        </w:rPr>
        <w:t xml:space="preserve">Vilniaus miesto milicijos valdybos viršininkas </w:t>
      </w:r>
      <w:r w:rsidR="00E0397A">
        <w:t>(t. 761, b. l. </w:t>
      </w:r>
      <w:r w:rsidRPr="00E0397A">
        <w:t>16)</w:t>
      </w:r>
      <w:r w:rsidRPr="00E0397A">
        <w:rPr>
          <w:rFonts w:eastAsia="Calibri"/>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Komendanto valandos įvedimo ir patruliavimų realumą (tai, kad Vilniuje įvedus komendanto valandą karinės mokyklos karininkai ir kursantai patruliuodavo kasdien) patvirtino teisiamojo posėdžio metu apklaustas liudytojas I</w:t>
      </w:r>
      <w:r>
        <w:t>. </w:t>
      </w:r>
      <w:r w:rsidRPr="00C00255">
        <w:t>K</w:t>
      </w:r>
      <w:r>
        <w:t>.</w:t>
      </w:r>
      <w:r w:rsidRPr="00C00255">
        <w:t xml:space="preserve"> (karinės mokyklos dėstytojas). Liudytojas nurodė, kad jų užduotis buvo sulaikyti tuos, kurie neteisėtai nešiojo ginklą (t. 760, b. l. 192).</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Aktyvų </w:t>
      </w:r>
      <w:r>
        <w:t>V. U. 1</w:t>
      </w:r>
      <w:r w:rsidRPr="00C00255">
        <w:t xml:space="preserve"> vaidmenį tolesniuose įvykiuose, vykusiuose po 1991 m. sausio 13 d. patvirtina ir teisiamajame po</w:t>
      </w:r>
      <w:r>
        <w:t>sėdyje apklaustas liudytojas A. G.</w:t>
      </w:r>
      <w:r w:rsidRPr="00C00255">
        <w:t xml:space="preserve">, buvęs Vilniaus miesto tarybos pirmininkas, kuris dalyvavo 1991 m. sausio 13 d. Šiaurės kariniame miestelyje vykusiame susitikime su kariškiais ir iš Maskvos atskridusia TSRS deputatų delegacija. Liudytojas paaiškino, kad prasidėjus deryboms tarp kariškių ir Maskvos delegacijos Lietuvos atstovams nebuvo leista dalyvauti derybose. Derybos buvo keistos, nes kariškiai ir generolai buvo viename kabinete, Maskvos deputatų delegacija – kitame kabinete, o generolas </w:t>
      </w:r>
      <w:r>
        <w:t>V. U. 1</w:t>
      </w:r>
      <w:r w:rsidRPr="00C00255">
        <w:t xml:space="preserve"> buvo pasiuntinys, kuris grupių nuomones nešiodavo iš vieno kabineto į kitą. Liudytojas patvirtino, kad pats komendanto valandos metu vieną kartą buvo sustabdytas ir „parverstas ant kapoto“ (t. 756, b. l. 175–180).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t>Liudytojas V. A.</w:t>
      </w:r>
      <w:r w:rsidRPr="00C00255">
        <w:t>, buvęs Lietuvos miškų ūkio ministras, teisiamajame posėdyje taip pat parodė, kad kariškiai labai mėgo kartoti, kad įves karinę padėtį ar komendan</w:t>
      </w:r>
      <w:r w:rsidR="00E0397A">
        <w:t>to valandą. Į Lietuvą 1991 m. </w:t>
      </w:r>
      <w:r w:rsidRPr="00C00255">
        <w:t>sausio 13 d. atvykusios TSRS deputatų delegacijos atstovas O. T</w:t>
      </w:r>
      <w:r>
        <w:t>.</w:t>
      </w:r>
      <w:r w:rsidRPr="00C00255">
        <w:t>-P</w:t>
      </w:r>
      <w:r>
        <w:t>.</w:t>
      </w:r>
      <w:r w:rsidRPr="00C00255">
        <w:t xml:space="preserve"> jiems aiškino, kad kariškiai neturi jokios teisės įvesti karinę padėtį ar komendanto valandą, kad tą gali padaryti tik krašto valdžia, esant karinei būklei (t. 756, b. l. 112–113). V. </w:t>
      </w:r>
      <w:r>
        <w:t>A.</w:t>
      </w:r>
      <w:r w:rsidRPr="00C00255">
        <w:t xml:space="preserve"> patvirtino savo ikiteisminio tyrimo metu duotus parodymus (t. 251, b. l. 290), kuriuose ji</w:t>
      </w:r>
      <w:r w:rsidR="00E0397A">
        <w:t>s nurodė, kad 1991 m. sausio 15 </w:t>
      </w:r>
      <w:r w:rsidRPr="00C00255">
        <w:t xml:space="preserve">d. vykusiame susitikime su TSRS deputatais dalyvavo ir Vilniaus įgulos viršininkas </w:t>
      </w:r>
      <w:r>
        <w:t>V. U. 1</w:t>
      </w:r>
      <w:r w:rsidRPr="00C00255">
        <w:t xml:space="preserve"> bei Vilniaus karinis komendantas </w:t>
      </w:r>
      <w:r>
        <w:t>G. B.</w:t>
      </w:r>
      <w:r w:rsidRPr="00C00255">
        <w: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Tokias pačias aplinkybes apie minėtą 1991 m. sausio 15 d. susitikimą (kad jame dalyvavo TSRS deputatų delegacija, Vilniaus įgulos viršininkas </w:t>
      </w:r>
      <w:r>
        <w:t>V. U. 1</w:t>
      </w:r>
      <w:r w:rsidRPr="00C00255">
        <w:t xml:space="preserve"> ir karinis komendantas </w:t>
      </w:r>
      <w:r>
        <w:t>G. B.</w:t>
      </w:r>
      <w:r w:rsidRPr="00C00255">
        <w:t>) patvirtino ir teisiamajame posė</w:t>
      </w:r>
      <w:r>
        <w:t>dyje apklaustas liudytojas S. N.</w:t>
      </w:r>
      <w:r w:rsidRPr="00C00255">
        <w:t>, buvęs Lietuvos Respublikos civilinės gynybos štabo viršininkas (t. 757, b. l. 84–86, t. 474, b. l. 41–44; t. 190, b. l. 175–184).</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Pirmosios instancijos teismas aktyvų </w:t>
      </w:r>
      <w:r>
        <w:t>V. U. 1</w:t>
      </w:r>
      <w:r w:rsidRPr="00C00255">
        <w:t xml:space="preserve"> ir </w:t>
      </w:r>
      <w:r>
        <w:t>G. B.</w:t>
      </w:r>
      <w:r w:rsidRPr="00C00255">
        <w:t xml:space="preserve"> vaidmenį komendanto valandos epizode grindė ir liudytojų K. M, M. L</w:t>
      </w:r>
      <w:r>
        <w:t>.</w:t>
      </w:r>
      <w:r w:rsidRPr="00C00255">
        <w:t xml:space="preserve"> bei S. N</w:t>
      </w:r>
      <w:r>
        <w:t>.</w:t>
      </w:r>
      <w:r w:rsidRPr="00C00255">
        <w:t xml:space="preserve"> parodymais dėl 1991 m. sausio 14 d. vykusio susitikimo S. N</w:t>
      </w:r>
      <w:r>
        <w:t>.</w:t>
      </w:r>
      <w:r w:rsidRPr="00C00255">
        <w:t xml:space="preserve"> kabinete, tarp TSRS kariškių ir K. M</w:t>
      </w:r>
      <w:r>
        <w:t>.</w:t>
      </w:r>
      <w:r w:rsidRPr="00C00255">
        <w:t xml:space="preserve"> bei M. L</w:t>
      </w:r>
      <w:r>
        <w:t>.</w:t>
      </w:r>
      <w:r w:rsidRPr="00C00255">
        <w:t>. Tačiau apeliacinės instancijos teismas, vertindamas šiuos parodymus, atkreipia dėmesį į liudytojų parodymų dėl šiame susitikime dalyvavusių TSRS kariškių nevienodumą. Liudytojas K. M</w:t>
      </w:r>
      <w:r>
        <w:t>.</w:t>
      </w:r>
      <w:r w:rsidRPr="00C00255">
        <w:t xml:space="preserve"> teigė, kad susitikime dalyvavo V. V</w:t>
      </w:r>
      <w:r>
        <w:t>.</w:t>
      </w:r>
      <w:r w:rsidRPr="00C00255">
        <w:t xml:space="preserve"> ir </w:t>
      </w:r>
      <w:r>
        <w:t>V. U. 1</w:t>
      </w:r>
      <w:r w:rsidRPr="00C00255">
        <w:t xml:space="preserve"> (t. 756, b. l. 126–129; t. 252, b. l. 32–36) (šiais parodymais apeliaciniame skunde remiasi </w:t>
      </w:r>
      <w:r>
        <w:t>G. B.</w:t>
      </w:r>
      <w:r w:rsidRPr="00C00255">
        <w:t xml:space="preserve"> gynėjas, teigdamas, kad </w:t>
      </w:r>
      <w:r>
        <w:t>G. B.</w:t>
      </w:r>
      <w:r w:rsidRPr="00C00255">
        <w:t xml:space="preserve"> tuo metu nebuvo Vilniaus karinis komendantas). Liudytojas M. L</w:t>
      </w:r>
      <w:r>
        <w:t>.</w:t>
      </w:r>
      <w:r w:rsidRPr="00C00255">
        <w:t xml:space="preserve"> nurodė, kad susitikime dalyvavo V. V</w:t>
      </w:r>
      <w:r>
        <w:t>.</w:t>
      </w:r>
      <w:r w:rsidRPr="00C00255">
        <w:t xml:space="preserve"> (t. 757, b. l. 7–12, t. 252, b. l. 221–224). Liudytojas S. N</w:t>
      </w:r>
      <w:r>
        <w:t>.</w:t>
      </w:r>
      <w:r w:rsidRPr="00C00255">
        <w:t xml:space="preserve"> teigė, kad sausio 14 d. susitikime su M. L</w:t>
      </w:r>
      <w:r>
        <w:t>.</w:t>
      </w:r>
      <w:r w:rsidRPr="00C00255">
        <w:t xml:space="preserve"> ir K. M</w:t>
      </w:r>
      <w:r>
        <w:t>.</w:t>
      </w:r>
      <w:r w:rsidRPr="00C00255">
        <w:t xml:space="preserve"> dalyvavo V. O</w:t>
      </w:r>
      <w:r>
        <w:t>.</w:t>
      </w:r>
      <w:r w:rsidRPr="00C00255">
        <w:t xml:space="preserve"> ir Vilniaus įgulos komendantas </w:t>
      </w:r>
      <w:r>
        <w:t>G. B.</w:t>
      </w:r>
      <w:r w:rsidRPr="00C00255">
        <w:t xml:space="preserve">, pokalbis vyko tarp keturių asmenų, nes liudytojas išėjo iš kabineto (t. 757, b. l. 84–86, t. 474, b. l. 41–44; t. 190, b. l. 175–184). Esant skirtingiems liudytojų parodymams dėl </w:t>
      </w:r>
      <w:r>
        <w:t>V. U. 1</w:t>
      </w:r>
      <w:r w:rsidRPr="00C00255">
        <w:t xml:space="preserve"> ir </w:t>
      </w:r>
      <w:r>
        <w:t>G. B.</w:t>
      </w:r>
      <w:r w:rsidRPr="00C00255">
        <w:t xml:space="preserve"> dalyvavimo minėtame susitikime, teisėjų kolegija, spręsdama dėl šių nuteistųjų dalyvavimo komendanto valandos įvedime ir įgyvendinime, nesivadovauja iš liudytojų parodymų gautais duomenimis apie S. N</w:t>
      </w:r>
      <w:r>
        <w:t>.</w:t>
      </w:r>
      <w:r w:rsidRPr="00C00255">
        <w:t xml:space="preserve"> kabinete 1991 m. sausio 14 d. įvykusiame susitikime dalyvavusius konkrečius TSRS kariuomenės atstovus.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t xml:space="preserve">Apeliacinės instancijos teismo vidinį įsitikinimą, kad realiai komendanto valanda Lietuvoje buvo įvesta būtent </w:t>
      </w:r>
      <w:r>
        <w:t>V. U. 1</w:t>
      </w:r>
      <w:r w:rsidRPr="00C00255">
        <w:t xml:space="preserve"> įsakymu, sustiprina ir paties </w:t>
      </w:r>
      <w:r>
        <w:t>V. U. 1</w:t>
      </w:r>
      <w:r w:rsidRPr="00C00255">
        <w:t xml:space="preserve"> ikiteisminio tyrimo metu duoti parodymai. Iš teisiamajame posėdyje (t. 756, b. l. 24–25) pagarsintų liudytoju apklausto </w:t>
      </w:r>
      <w:r>
        <w:t>V. U. 1</w:t>
      </w:r>
      <w:r w:rsidRPr="00C00255">
        <w:t xml:space="preserve"> parodymų, gautų įvykdžius teisinės pagalbą prašymą, matyti, kad jis pripažino organizavęs komendanto valandos įvedimą, ir parodė, jog tai padarė, vadovaudamasis atitinkamu TSRS gynybos ministro įsakymu. Anot </w:t>
      </w:r>
      <w:r>
        <w:t>V. U. 1</w:t>
      </w:r>
      <w:r w:rsidRPr="00C00255">
        <w:t>, remiantis šiuo įsakymu buvo organizuotas kariškių patruliavimas, turint tikslą apginti civilius gyventojus ir kariškių šeimas nuo galimo smurto. Nurodymų panaudoti ginklus prieš civilius gyventojus nebuvo, šaudmenys jiems nebuvo išduodami, kariškiai visais būdais stengėsi išvengti</w:t>
      </w:r>
      <w:r w:rsidR="00E0397A">
        <w:t xml:space="preserve"> konfliktų su gyventojais (t. </w:t>
      </w:r>
      <w:r w:rsidRPr="00C00255">
        <w:t xml:space="preserve">520, b. l. 325–333, 334–341). </w:t>
      </w:r>
    </w:p>
    <w:p w:rsidR="00DA38E9" w:rsidRPr="005D022C" w:rsidRDefault="00DA38E9" w:rsidP="00DA38E9">
      <w:pPr>
        <w:pStyle w:val="ListParagraph"/>
        <w:numPr>
          <w:ilvl w:val="0"/>
          <w:numId w:val="6"/>
        </w:numPr>
        <w:overflowPunct/>
        <w:autoSpaceDE/>
        <w:autoSpaceDN/>
        <w:adjustRightInd/>
        <w:spacing w:before="120" w:after="120"/>
        <w:ind w:left="992" w:hanging="992"/>
        <w:contextualSpacing w:val="0"/>
      </w:pPr>
      <w:r w:rsidRPr="005D022C">
        <w:t>Taigi,</w:t>
      </w:r>
      <w:r w:rsidRPr="005D022C">
        <w:rPr>
          <w:szCs w:val="24"/>
        </w:rPr>
        <w:t xml:space="preserve"> </w:t>
      </w:r>
      <w:r w:rsidRPr="005D022C">
        <w:t xml:space="preserve">aptarti įrodymai patvirtina, kad </w:t>
      </w:r>
      <w:bookmarkStart w:id="751" w:name="_Hlk63946899"/>
      <w:r w:rsidRPr="005D022C">
        <w:t xml:space="preserve">V. U. 1 neteisėtai Vilniuje ir jo apylinkėse įvedė komendanto valandą ir pavedė TSRS gynybos ministerijos </w:t>
      </w:r>
      <w:r w:rsidRPr="005D022C">
        <w:rPr>
          <w:rFonts w:eastAsia="Calibri"/>
        </w:rPr>
        <w:t>Vilniaus įgulos kariniam komendantui G. B. dalyvauti įgyvendinant komendanto valandos priemones (G. B. vaidmuo išsamiau bus aptartas ir tolesnėse šio teismo sprendimo pastraipose).</w:t>
      </w:r>
      <w:bookmarkEnd w:id="751"/>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5D022C">
        <w:t xml:space="preserve">Apeliacinės instancijos teismas pažymi, kad nuosprendyje kaip ir kaltinamajame akte nurodyta, jog Vilniaus įgulos kariškiai veikė, </w:t>
      </w:r>
      <w:r w:rsidRPr="005D022C">
        <w:rPr>
          <w:rFonts w:eastAsia="Calibri"/>
        </w:rPr>
        <w:t xml:space="preserve">įgyvendindami V. U. 1 ir </w:t>
      </w:r>
      <w:bookmarkStart w:id="752" w:name="_Hlk63946958"/>
      <w:r w:rsidRPr="005D022C">
        <w:rPr>
          <w:rFonts w:eastAsia="Calibri"/>
        </w:rPr>
        <w:t>G. B. neteisėtai įvestą komendanto valandą. Atsižvelgiant į G. B. gynėjo apeliacinio skundo argumentus bei šioje teismo sprendimo dalyje jau aptartus įrodymus apie tai, kad komendanto valanda buvo įvesta V. U. 1 įsakymu, iš nuosprendžio nustatomosios dalies šalintina aplinkybė, kad kariškiai veikė, įgyvendindami G. B. neteisėtai įvestą komendanto valandą, paliekant tik aplinkybę, kad kariškiai veikė, įgyvendindami V. U. 1 neteisėtai įvestą komendanto valandą.</w:t>
      </w:r>
      <w:bookmarkEnd w:id="752"/>
    </w:p>
    <w:p w:rsidR="00DA38E9" w:rsidRPr="00C00255" w:rsidRDefault="00DA38E9" w:rsidP="00DA38E9">
      <w:pPr>
        <w:pStyle w:val="Heading3"/>
        <w:spacing w:before="120" w:after="120"/>
        <w:ind w:firstLine="992"/>
        <w:jc w:val="left"/>
        <w:rPr>
          <w:b w:val="0"/>
          <w:i/>
          <w:sz w:val="24"/>
          <w:lang w:val="lt-LT"/>
        </w:rPr>
      </w:pPr>
      <w:bookmarkStart w:id="753" w:name="_Toc67677407"/>
      <w:bookmarkStart w:id="754" w:name="_Toc67985535"/>
      <w:r w:rsidRPr="00C00255">
        <w:rPr>
          <w:b w:val="0"/>
          <w:i/>
          <w:sz w:val="24"/>
          <w:lang w:val="lt-LT"/>
        </w:rPr>
        <w:t xml:space="preserve">Dėl nuteistojo </w:t>
      </w:r>
      <w:r>
        <w:rPr>
          <w:b w:val="0"/>
          <w:i/>
          <w:sz w:val="24"/>
          <w:lang w:val="lt-LT"/>
        </w:rPr>
        <w:t>G. B.</w:t>
      </w:r>
      <w:r w:rsidRPr="00C00255">
        <w:rPr>
          <w:b w:val="0"/>
          <w:i/>
          <w:sz w:val="24"/>
          <w:lang w:val="lt-LT"/>
        </w:rPr>
        <w:t xml:space="preserve"> vaidmens įgyvendinant komendanto valandą</w:t>
      </w:r>
      <w:bookmarkEnd w:id="753"/>
      <w:bookmarkEnd w:id="754"/>
    </w:p>
    <w:p w:rsidR="00DA38E9" w:rsidRPr="00C00255" w:rsidRDefault="00DA38E9" w:rsidP="00DA38E9">
      <w:pPr>
        <w:pStyle w:val="NormalWeb"/>
        <w:numPr>
          <w:ilvl w:val="0"/>
          <w:numId w:val="6"/>
        </w:numPr>
        <w:spacing w:before="120" w:beforeAutospacing="0" w:after="120" w:afterAutospacing="0"/>
        <w:ind w:left="992" w:hanging="992"/>
        <w:rPr>
          <w:color w:val="000000" w:themeColor="text1"/>
        </w:rPr>
      </w:pPr>
      <w:r w:rsidRPr="00C00255">
        <w:rPr>
          <w:color w:val="000000" w:themeColor="text1"/>
        </w:rPr>
        <w:t xml:space="preserve">Kaip jau minėta, pirmosios instancijos teismo nuosprendžio nustatomojoje dalyje konstatuota, kad </w:t>
      </w:r>
      <w:r>
        <w:rPr>
          <w:color w:val="000000" w:themeColor="text1"/>
        </w:rPr>
        <w:t>G. B.</w:t>
      </w:r>
      <w:r w:rsidRPr="00C00255">
        <w:rPr>
          <w:color w:val="000000" w:themeColor="text1"/>
        </w:rPr>
        <w:t xml:space="preserve"> buvo pasitelktas neteisėtai įvestos komendanto valandos įgyvendinimui ir komendanto valandos metu kariškiai, naudodamiesi karine technika ir 5,45 mm kalibro automatiniais ginklais, vykdydami civilių asmenų teisių suvaržymus, padarė tyčinį sunkų </w:t>
      </w:r>
      <w:r>
        <w:rPr>
          <w:color w:val="000000" w:themeColor="text1"/>
        </w:rPr>
        <w:t>R. D.</w:t>
      </w:r>
      <w:r w:rsidRPr="00C00255">
        <w:rPr>
          <w:color w:val="000000" w:themeColor="text1"/>
        </w:rPr>
        <w:t xml:space="preserve"> sveikatos sutrikdymą ir tyčia nužudė </w:t>
      </w:r>
      <w:r>
        <w:rPr>
          <w:color w:val="000000" w:themeColor="text1"/>
        </w:rPr>
        <w:t>J. T.</w:t>
      </w:r>
      <w:r w:rsidRPr="00C00255">
        <w:rPr>
          <w:color w:val="000000" w:themeColor="text1"/>
        </w:rPr>
        <w:t xml:space="preserve">. Išanalizavęs nuosprendžio motyvus bei byloje surinktus įrodymus, apeliacinės instancijos teismas daro išvadą, kad šios aplinkybės nuosprendyje nustatytos teisingai, o </w:t>
      </w:r>
      <w:r>
        <w:rPr>
          <w:color w:val="000000" w:themeColor="text1"/>
        </w:rPr>
        <w:t>G. B.</w:t>
      </w:r>
      <w:r w:rsidRPr="00C00255">
        <w:rPr>
          <w:color w:val="000000" w:themeColor="text1"/>
        </w:rPr>
        <w:t xml:space="preserve"> gynėjo argumentai, kad po Sausio 13-osios įvykių </w:t>
      </w:r>
      <w:r>
        <w:rPr>
          <w:color w:val="000000" w:themeColor="text1"/>
        </w:rPr>
        <w:t>G. B.</w:t>
      </w:r>
      <w:r w:rsidRPr="00C00255">
        <w:rPr>
          <w:color w:val="000000" w:themeColor="text1"/>
        </w:rPr>
        <w:t xml:space="preserve"> nebebuvo Vilniaus įgulos kariniu komendantu, nes slaptu įsakymu juo buvo paskirtas </w:t>
      </w:r>
      <w:r>
        <w:rPr>
          <w:color w:val="000000" w:themeColor="text1"/>
        </w:rPr>
        <w:t>V. U. 1</w:t>
      </w:r>
      <w:r w:rsidRPr="00C00255">
        <w:rPr>
          <w:color w:val="000000" w:themeColor="text1"/>
        </w:rPr>
        <w:t>, nepagrįsti.</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Gynyba skundo argumentus, kad po Sausio 13-osios įvykių </w:t>
      </w:r>
      <w:r>
        <w:t>G. B.</w:t>
      </w:r>
      <w:r w:rsidRPr="00C00255">
        <w:t xml:space="preserve"> nebeužėmė Vilniaus karinio komendanto pareigų, grindžia </w:t>
      </w:r>
      <w:r>
        <w:t>G. B.</w:t>
      </w:r>
      <w:r w:rsidRPr="00C00255">
        <w:t xml:space="preserve"> šioje byloje ikiteisminio tyrimo metu duotais parodymais, tačiau gynėjas nepamini kitame ikiteisminiame tyrime, vykusiame dėl 1991 m. vasario 12 d. Vilniuje sulaikytų „Ščit“ organizacijos atstovų, </w:t>
      </w:r>
      <w:r>
        <w:t>G. B.</w:t>
      </w:r>
      <w:r w:rsidRPr="00C00255">
        <w:t xml:space="preserve"> duotų parodymų, kurie taip pat yra reikšmingi, sprendžiant dėl </w:t>
      </w:r>
      <w:r>
        <w:t>G. B.</w:t>
      </w:r>
      <w:r w:rsidRPr="00C00255">
        <w:t xml:space="preserve"> po 1991 m. sausio 13 d. eitų pareigų. </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Teisiamajame posėdyje buvo paskelbti </w:t>
      </w:r>
      <w:r>
        <w:t>G. B.</w:t>
      </w:r>
      <w:r w:rsidRPr="00C00255">
        <w:t xml:space="preserve"> parodymai, kur</w:t>
      </w:r>
      <w:r w:rsidR="005E1CD9">
        <w:t>iuos jis davė 2013 m. rugpjūčio </w:t>
      </w:r>
      <w:r w:rsidRPr="00C00255">
        <w:t xml:space="preserve">23 d., įvykdžius teisinės pagalbą prašymą ir jau būdamas įtariamuoju. Tuomet </w:t>
      </w:r>
      <w:r>
        <w:t>G. B.</w:t>
      </w:r>
      <w:r w:rsidRPr="00C00255">
        <w:t xml:space="preserve"> paaiškino, jog 1991 m. sausio pradžioje Vilniaus įgulos komendantu, remiantis slaptu generolo majoro V. O</w:t>
      </w:r>
      <w:r>
        <w:t>.</w:t>
      </w:r>
      <w:r w:rsidRPr="00C00255">
        <w:t xml:space="preserve"> įsakymu, buvo paskirtas generolas majoras </w:t>
      </w:r>
      <w:r>
        <w:t>V. U. 1</w:t>
      </w:r>
      <w:r w:rsidR="005E1CD9">
        <w:t xml:space="preserve"> (t. 756, b. l. </w:t>
      </w:r>
      <w:r w:rsidRPr="00C00255">
        <w:t xml:space="preserve">43–44, t. 524, b. l. 183–189). Analogiškas aplinkybes </w:t>
      </w:r>
      <w:r>
        <w:t>G. B.</w:t>
      </w:r>
      <w:r w:rsidRPr="00C00255">
        <w:t xml:space="preserve"> buvo nurod</w:t>
      </w:r>
      <w:r w:rsidR="005E1CD9">
        <w:t>ęs ir 2009 </w:t>
      </w:r>
      <w:r w:rsidRPr="00C00255">
        <w:t xml:space="preserve">m. rugpjūčio 29 d. vykusios jo kaip liudytojo apklausos metu. </w:t>
      </w:r>
      <w:r>
        <w:t>G. B.</w:t>
      </w:r>
      <w:r w:rsidRPr="00C00255">
        <w:t xml:space="preserve"> teigė, kad po to, kai 1991 m. sausio pradžioje </w:t>
      </w:r>
      <w:r>
        <w:t>V. U. 1</w:t>
      </w:r>
      <w:r w:rsidRPr="00C00255">
        <w:t xml:space="preserve"> buvo paskirtas kariniu komendantu, jis (</w:t>
      </w:r>
      <w:r>
        <w:t>G. B.</w:t>
      </w:r>
      <w:r w:rsidRPr="00C00255">
        <w:t>) tuo metu komendantūroje tarnavo eiliniu, jokių įsakymų niekam nedavė ir nepasirašinėjo jokių dokumentų (</w:t>
      </w:r>
      <w:r w:rsidR="00902A3A">
        <w:t>t. 523, b. l. 194–195). 1991 m. </w:t>
      </w:r>
      <w:r w:rsidRPr="00C00255">
        <w:t>sausio 19 d.</w:t>
      </w:r>
      <w:r w:rsidRPr="00C00255">
        <w:rPr>
          <w:rFonts w:eastAsiaTheme="minorHAnsi"/>
          <w:lang w:eastAsia="en-US"/>
        </w:rPr>
        <w:t xml:space="preserve"> </w:t>
      </w:r>
      <w:r w:rsidRPr="00C00255">
        <w:t xml:space="preserve">apklausiamas liudytoju </w:t>
      </w:r>
      <w:r>
        <w:t>G. B.</w:t>
      </w:r>
      <w:r w:rsidRPr="00C00255">
        <w:t xml:space="preserve"> taip pat buvo nurodęs, kad 1991 m. sausio 13 d. apie 10</w:t>
      </w:r>
      <w:r>
        <w:t> </w:t>
      </w:r>
      <w:r w:rsidRPr="00C00255">
        <w:t xml:space="preserve">val. jam pranešė įsakymą, jog ypatingajam periodui kariniu komendantu paskirtas generolas majoras </w:t>
      </w:r>
      <w:r>
        <w:t>V. U. 1</w:t>
      </w:r>
      <w:r w:rsidRPr="00C00255">
        <w:t xml:space="preserve"> </w:t>
      </w:r>
      <w:r w:rsidRPr="00C00255">
        <w:rPr>
          <w:color w:val="000000" w:themeColor="text1"/>
        </w:rPr>
        <w:t xml:space="preserve">(t. 114, b. l. 152–155). </w:t>
      </w:r>
      <w:r w:rsidRPr="00C00255">
        <w:t>Tik</w:t>
      </w:r>
      <w:r w:rsidRPr="00C00255">
        <w:rPr>
          <w:rFonts w:asciiTheme="minorHAnsi" w:eastAsiaTheme="minorHAnsi" w:hAnsiTheme="minorHAnsi" w:cstheme="minorBidi"/>
          <w:sz w:val="22"/>
          <w:szCs w:val="22"/>
          <w:lang w:eastAsia="en-US"/>
        </w:rPr>
        <w:t xml:space="preserve"> </w:t>
      </w:r>
      <w:r w:rsidRPr="00C00255">
        <w:rPr>
          <w:rFonts w:eastAsiaTheme="minorHAnsi"/>
          <w:lang w:eastAsia="en-US"/>
        </w:rPr>
        <w:t>m</w:t>
      </w:r>
      <w:r w:rsidRPr="00C00255">
        <w:t xml:space="preserve">inėto ikiteisminio tyrimo dėl „Ščit“ organizacijos atstovų sulaikymo metu 1991 m. rugpjūčio 30 d. vykusioje apklausoje </w:t>
      </w:r>
      <w:r>
        <w:t>G. B.</w:t>
      </w:r>
      <w:r w:rsidRPr="00C00255">
        <w:t xml:space="preserve"> nurodė, kad nuo 1989 m. lapkričio mėnesio iki apklausos momento jis ėjo Vilniaus įgulos komendanto pareigas (t. 523, b. l. 28–44). Teisėjų kolegija pažymi, kad šioje apklausoje </w:t>
      </w:r>
      <w:r>
        <w:t>G. B.</w:t>
      </w:r>
      <w:r w:rsidRPr="00C00255">
        <w:t xml:space="preserve"> taip pat nurodė, jog jis vykdė </w:t>
      </w:r>
      <w:r>
        <w:t>V. U. 1</w:t>
      </w:r>
      <w:r w:rsidRPr="00C00255">
        <w:t xml:space="preserve"> įsakymą dėl „Ščit“ atstovų sulaikymo, kad nutarė pasitelkti į pagalbą OMON pareigūnus, kad davė nurodymus sau pavaldiems asmenims dėl minėtų asmenų sulaikymo, t. y. nurodė veiksmus, kurių negalėtų atlikti eilinis komendantūros kariškis. Taigi, paties </w:t>
      </w:r>
      <w:r>
        <w:t>G. B.</w:t>
      </w:r>
      <w:r w:rsidRPr="00C00255">
        <w:t xml:space="preserve"> parodymai dėl jo 1991 m. užimtų pareigų yra nenuoseklūs, tačiau faktą, kad ir po Sausio 13-osios įvykių </w:t>
      </w:r>
      <w:r>
        <w:t>G. B.</w:t>
      </w:r>
      <w:r w:rsidRPr="00C00255">
        <w:t xml:space="preserve"> ėjo Vilniaus karinio komendanto pareigas patvirtina rašytiniai bylos įrodymai bei liudytojų parodymai.</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Kaip jau aptarta šio procesinio sprendimo dalyje </w:t>
      </w:r>
      <w:r w:rsidRPr="00C00255">
        <w:rPr>
          <w:i/>
        </w:rPr>
        <w:t xml:space="preserve">„Dėl nuteistojo </w:t>
      </w:r>
      <w:r>
        <w:rPr>
          <w:i/>
        </w:rPr>
        <w:t>V. U. 1</w:t>
      </w:r>
      <w:r w:rsidRPr="00C00255">
        <w:rPr>
          <w:i/>
        </w:rPr>
        <w:t xml:space="preserve"> vaidmens įvedant ir įgyvendinant komendanto valandą“</w:t>
      </w:r>
      <w:r w:rsidRPr="00C00255">
        <w:t xml:space="preserve"> byloje surinkti rašytiniai įrodymai ir liudytojų parodymai patvirtina, kad </w:t>
      </w:r>
      <w:r>
        <w:t>G. B.</w:t>
      </w:r>
      <w:r w:rsidRPr="00C00255">
        <w:t xml:space="preserve"> kaip Vilniaus karinis komendantas akty</w:t>
      </w:r>
      <w:r w:rsidR="00902A3A">
        <w:t>viai dalyvavo 1991 m. sausio 18 </w:t>
      </w:r>
      <w:r w:rsidRPr="00C00255">
        <w:t xml:space="preserve">d. ir sausio 31 d. vykusiuose susitikimuose su Lietuvos valdžios atstovais dėl įvestos komendanto valandos, šių susitikimų metu teikė savo paaiškinimus dėl patruliavimo tvarkos, patrulių naudojamų šovinių ir pan. Liudytojai patvirtino, kad </w:t>
      </w:r>
      <w:r>
        <w:t>G. B.</w:t>
      </w:r>
      <w:r w:rsidRPr="00C00255">
        <w:t xml:space="preserve"> dalyvavo ir 1991 m. sausio 15 d. Šiaurės miestelyje vykusiame TSRS karininkų ir TSRS deputatų susitikime. Teisėjų kolegijos vertinimu, šios aplinkybės paneigia </w:t>
      </w:r>
      <w:r>
        <w:t>G. B.</w:t>
      </w:r>
      <w:r w:rsidRPr="00C00255">
        <w:t xml:space="preserve"> paaiškinimus, kad jis buvo eilinis kariškis komendantūroje, nes minėti bylos duomenys patvirtina, jog šiuose susitikimuose dalyvavo tik aukšto rango ir aukštas vadovaujančias pareigas užimantys TSRS valdžios ir jėgos struktūrų atstovai.</w:t>
      </w:r>
    </w:p>
    <w:p w:rsidR="00DA38E9" w:rsidRPr="00E0397A" w:rsidRDefault="00DA38E9" w:rsidP="00DA38E9">
      <w:pPr>
        <w:pStyle w:val="NormalWeb"/>
        <w:numPr>
          <w:ilvl w:val="0"/>
          <w:numId w:val="6"/>
        </w:numPr>
        <w:spacing w:before="120" w:beforeAutospacing="0" w:after="120" w:afterAutospacing="0"/>
        <w:ind w:left="992" w:hanging="992"/>
      </w:pPr>
      <w:r w:rsidRPr="005D022C">
        <w:t>Teisiamajame posėdyje apklaustas liudytojas P. L.,</w:t>
      </w:r>
      <w:r w:rsidRPr="00C00255">
        <w:t xml:space="preserve"> </w:t>
      </w:r>
      <w:r w:rsidRPr="005D022C">
        <w:t xml:space="preserve">buvęs </w:t>
      </w:r>
      <w:r w:rsidRPr="005D022C">
        <w:rPr>
          <w:rFonts w:eastAsia="Calibri"/>
        </w:rPr>
        <w:t>Lietuvos Respublikos vidaus reikalų ministro pavaduotojas,</w:t>
      </w:r>
      <w:r w:rsidRPr="005D022C">
        <w:t xml:space="preserve"> taip pat patvirtino, kad jis </w:t>
      </w:r>
      <w:r w:rsidRPr="005D022C">
        <w:rPr>
          <w:rFonts w:eastAsia="Calibri"/>
        </w:rPr>
        <w:t xml:space="preserve">Vilniaus įgulos komendantą G. B. pažinojo, su juo ne kartą bendravo, nes kilus incidentams su kariškiais Lietuvos atstovai visada būdavo nukreipiami aiškintis pas G. B., ir labai aktyviai su G. B. bendravo 1991 m. kovo mėnesį, kai kariškiai buvo sulaikę Krašto apsaugos departamento direktorių A. B. ir jo vairuotoją. Kaip nurodė liudytojas, G. B. tuo metu „griežė pirmu smuiku“, norėjo perimti A. B. bylos tyrimą į savo rankas </w:t>
      </w:r>
      <w:r w:rsidRPr="005D022C">
        <w:t>(t. 761, b. l. 56–58)</w:t>
      </w:r>
      <w:r w:rsidRPr="005D022C">
        <w:rPr>
          <w:rFonts w:eastAsia="Calibri"/>
        </w:rPr>
        <w:t xml:space="preserve">. </w:t>
      </w:r>
      <w:r w:rsidRPr="005D022C">
        <w:t xml:space="preserve">Liudytojas V. L., buvęs </w:t>
      </w:r>
      <w:r w:rsidRPr="005D022C">
        <w:rPr>
          <w:rFonts w:eastAsia="Calibri"/>
        </w:rPr>
        <w:t>Vilniaus miesto milicijos valdybos viršininkas,</w:t>
      </w:r>
      <w:r w:rsidRPr="005D022C">
        <w:t xml:space="preserve"> teisiamajame posėdyje taip pat patvirtino, kad </w:t>
      </w:r>
      <w:r w:rsidRPr="005D022C">
        <w:rPr>
          <w:rFonts w:eastAsia="Calibri"/>
        </w:rPr>
        <w:t xml:space="preserve">Vilniaus miesto kariniu komendantu buvo G. B., su juo bendravo ne kartą, taip pat iš jo perėmė komendantūros pastatą, kai TSRS kariuomenė buvo išvesta iš Lietuvos </w:t>
      </w:r>
      <w:r w:rsidRPr="005D022C">
        <w:t>(t. 761, b. l. 16; t. 680, b. l. 58–59)</w:t>
      </w:r>
      <w:r w:rsidRPr="005D022C">
        <w:rPr>
          <w:rFonts w:eastAsia="Calibri"/>
        </w:rPr>
        <w:t xml:space="preserve">. Teisėjų kolegija, įvertinusi ir gynėjo akcentuojamus šio liudytojo parodymus apie tam tikrą G. B. parodytą palankumą, pavyzdžiui, kad G. B. buvo gana lojalus Lietuvai, perspėdavo apie planuojamas operacijas, perdavė Lietuvai nesuniokotą, geros būklės komendantūros pastatą ir pan., vis dėl to juos vertina tik kaip tam tikrą atskiriems Lietuvos valdžios pareigūnams parodytą palankumą, kuris niekaip neeliminuoja nei G. B. vaidmens įgyvendinant komendanto valandą, nei padarinių civiliams žmonėms, su kuriais TSRS kariškiai komendanto valandos metu elgėsi itin brutaliai. </w:t>
      </w:r>
    </w:p>
    <w:p w:rsidR="00E0397A" w:rsidRDefault="00DA38E9" w:rsidP="00E0397A">
      <w:pPr>
        <w:pStyle w:val="ListParagraph"/>
        <w:numPr>
          <w:ilvl w:val="0"/>
          <w:numId w:val="6"/>
        </w:numPr>
        <w:spacing w:before="120" w:after="120"/>
        <w:ind w:left="992" w:hanging="992"/>
        <w:contextualSpacing w:val="0"/>
        <w:rPr>
          <w:szCs w:val="24"/>
        </w:rPr>
      </w:pPr>
      <w:r w:rsidRPr="00E0397A">
        <w:t xml:space="preserve">Faktą, kad po 1991 m. sausio 13 d. Vilniaus kariniu komendantu buvo G. B. patvirtina ir įvairūs paties G. B. kaip Vilniaus įgulos karinio komendanto pasirašyti dokumentai, pavyzdžiui, </w:t>
      </w:r>
      <w:r w:rsidRPr="00E0397A">
        <w:rPr>
          <w:rFonts w:eastAsia="Calibri"/>
        </w:rPr>
        <w:t xml:space="preserve">1991 m. vasario 15 d., 1991 m. liepos 10 d., 1991 m. liepos 11 d. raštai, adresuoti Vilniaus įgulos kariniam prokurorui (t. 238, b. l. 6, 84, 86, 88), 1991 vasario 20 d., 1991 m. liepos 12 d. rašytiniai paaiškinimai, teikti kariniam prokurorui (t. 523, b. l. 1–24, t. 238, b. l. 37–44, b. l. 93–102), taip pat </w:t>
      </w:r>
      <w:r w:rsidRPr="00E0397A">
        <w:t>1991 m. rugsėjo mėn. tuometinio Vilniaus įgulos viršininko V. F. surašyta G. B. tarnybinė charakteristika, kurioje G. B. pareigos įvardintos kaip Vilniaus įgulos karinis komendantas (t. 523, b. l. 45–46, t. 238, b. l. 166).</w:t>
      </w:r>
      <w:r w:rsidRPr="00C00255">
        <w:rPr>
          <w:szCs w:val="24"/>
        </w:rPr>
        <w:t xml:space="preserve"> Tai, kad </w:t>
      </w:r>
      <w:r>
        <w:rPr>
          <w:szCs w:val="24"/>
        </w:rPr>
        <w:t>G. B.</w:t>
      </w:r>
      <w:r w:rsidRPr="00C00255">
        <w:rPr>
          <w:szCs w:val="24"/>
        </w:rPr>
        <w:t xml:space="preserve"> minimu laiku buvo Vilniaus įgulos kariniu komendantu nurodė ir teisiamajame p</w:t>
      </w:r>
      <w:r w:rsidR="00E0397A">
        <w:rPr>
          <w:szCs w:val="24"/>
        </w:rPr>
        <w:t>osėdyje apklausti liudytojai G. </w:t>
      </w:r>
      <w:r w:rsidRPr="00C00255">
        <w:rPr>
          <w:szCs w:val="24"/>
        </w:rPr>
        <w:t>G</w:t>
      </w:r>
      <w:r>
        <w:rPr>
          <w:szCs w:val="24"/>
        </w:rPr>
        <w:t>.</w:t>
      </w:r>
      <w:r w:rsidRPr="00C00255">
        <w:rPr>
          <w:szCs w:val="24"/>
        </w:rPr>
        <w:t xml:space="preserve"> (t. 757, b. l. 119–120; t.</w:t>
      </w:r>
      <w:r>
        <w:rPr>
          <w:szCs w:val="24"/>
        </w:rPr>
        <w:t> </w:t>
      </w:r>
      <w:r w:rsidRPr="00C00255">
        <w:rPr>
          <w:szCs w:val="24"/>
        </w:rPr>
        <w:t>238, b. l. 224–234), S. S</w:t>
      </w:r>
      <w:r>
        <w:rPr>
          <w:szCs w:val="24"/>
        </w:rPr>
        <w:t>.</w:t>
      </w:r>
      <w:r w:rsidRPr="00C00255">
        <w:rPr>
          <w:szCs w:val="24"/>
        </w:rPr>
        <w:t xml:space="preserve"> (t. 760, b. l. 140–145, t. 477, b. l. 227–229), kurie patvirtino savo parodymus, duotus ikiteisminio tyrimo metu. Teisėjų kolegijos vidinį įsitikinimą dėl šioje byloje nagrinėjamų įvykių metu </w:t>
      </w:r>
      <w:r>
        <w:rPr>
          <w:szCs w:val="24"/>
        </w:rPr>
        <w:t>G. B.</w:t>
      </w:r>
      <w:r w:rsidRPr="00C00255">
        <w:rPr>
          <w:szCs w:val="24"/>
        </w:rPr>
        <w:t xml:space="preserve"> eitų Vilniaus įgulos karinio komendanto pareigų sustiprina ir bylos 238 tome esantys liudytojų, apklaustų ikiteisminiame tyrime dėl 1991 m.</w:t>
      </w:r>
      <w:r>
        <w:rPr>
          <w:szCs w:val="24"/>
        </w:rPr>
        <w:t> </w:t>
      </w:r>
      <w:r w:rsidRPr="00C00255">
        <w:rPr>
          <w:szCs w:val="24"/>
        </w:rPr>
        <w:t xml:space="preserve">vasario 12 d. įvykdyto „Ščit“ atstovų sulaikymo, apklausų protokolai, kuriuose liudytojai </w:t>
      </w:r>
      <w:r>
        <w:rPr>
          <w:szCs w:val="24"/>
        </w:rPr>
        <w:t>G. B.</w:t>
      </w:r>
      <w:r w:rsidRPr="00C00255">
        <w:rPr>
          <w:szCs w:val="24"/>
        </w:rPr>
        <w:t xml:space="preserve"> įvardijo kaip karinį komendantą, davusį įvairius nurodymus, pavyzdžiui, dėl „Ščit“ atstovų sulaikymo, pristatymo į komendantūrą, patalpinimo į kameras ir kt. </w:t>
      </w:r>
    </w:p>
    <w:p w:rsidR="00DA38E9" w:rsidRPr="005D022C" w:rsidRDefault="00DA38E9" w:rsidP="00E0397A">
      <w:pPr>
        <w:pStyle w:val="ListParagraph"/>
        <w:numPr>
          <w:ilvl w:val="0"/>
          <w:numId w:val="6"/>
        </w:numPr>
        <w:spacing w:before="120" w:after="120"/>
        <w:ind w:left="992" w:hanging="992"/>
        <w:contextualSpacing w:val="0"/>
        <w:rPr>
          <w:szCs w:val="24"/>
        </w:rPr>
      </w:pPr>
      <w:r w:rsidRPr="005D022C">
        <w:rPr>
          <w:rFonts w:eastAsia="Calibri"/>
        </w:rPr>
        <w:t xml:space="preserve">Apeliacinės instancijos teismo teisėjų kolegijos vidinį įsitikinimą, kad minėtuose raštuose ir paaiškinimuose G. B. nurodė tikrąsias savo pareigas, sustiprina ir tai, kad 1991 m. rugpjūčio 30 d. vykusios apklausos metu, G. B. ne tik patvirtino faktą, kad nuo 1989 m. pabaigos iki apklausos jis buvo Vilniaus įgulos kariniu komendantu, tačiau tos pačios apklausos metu, į klausimą, kodėl jis ankstesnės apklausos metu buvo nurodęs kitas „Ščit“ atstovų sulaikymo priežastis, G. B. paaiškino, kad ankstesniuose savo paaiškinimuose dėl „Ščit“ atstovų sulaikymo priežasčių jis davė neteisingus parodymus TSRS generalinės prokuratūros tyrimo grupės, tyrusios Sausio 13-osios įvykius, interesais (t. 523, b. l. 28–44; t. 238, b. l. 129–137). </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Pirmosios instancijos teismas išvadą dėl </w:t>
      </w:r>
      <w:r>
        <w:t>G. B.</w:t>
      </w:r>
      <w:r w:rsidRPr="00C00255">
        <w:t xml:space="preserve"> kaltumo, dalyvaujant komendanto valandos įgyvendinime, grindė ir </w:t>
      </w:r>
      <w:r>
        <w:t>G. B.</w:t>
      </w:r>
      <w:r w:rsidRPr="00C00255">
        <w:t xml:space="preserve"> pasisakymais, užfiksuotais spaudos konferencijos metu. Iš kasetėje Nr. 23, paimtoje LKP/TSKP CK 66 kabinete, užfiksuoto vaizdo įrašo apžiūros protokolo matyti, kad vaizdo įraše užfiksuota, kaip nuo įrašo 9:33 min. iki 16:13 min. tikėtina </w:t>
      </w:r>
      <w:r>
        <w:t>G. B.</w:t>
      </w:r>
      <w:r w:rsidRPr="00C00255">
        <w:t xml:space="preserve"> spaudos konferencijos metu pasakoja, kokių teigiamų rezultatų davė patruliavimas: buvo sulaikytų automobilių, kurių vairuotojai neturėjo dokumentų, buvo išgėrę, jis mano, kad patruliavimas gali pasitarnauti ir vagysčių atvejais, tačiau pulkininką neramina incidentai, nukreipti prieš patruliavimo postus prie įvažiavimų ir išvažiavimų į miestą. Spaudos konferencijoje jis aiškino, kad jam yra žinomi trys atvejai, kai patruliniai postai buvo apšaudyti iš automatinių ginklų, apmėtyti akmenimis. Taip pat jam žinomi septyni kartai, kai buvo užgauliojami patruliuojantys kariškiai. Pulkininkas taip pat nurodė, kad budėjimo postų įsteigimas prie įvažiavimų į miestą buvo suderintas su liaudies deputatais, kurie buvo atvykę. Tai suderinta ir su vietine valdžia. Jis teigė ir tai, kad policijos pareigūnai stabdomi bendra tvarka, tačiau iš karto paleidžiami, kai įsitikinama, kad jie policijos atstovai, taip pat nėra sulaikomos ir greitosios pagalbos mašinos. Jo nuomone, viena, ką turi padaryti vairuotojas, tai sustabdyti automobilį prie patikros postų. Nuo minėto įrašo 16:14 min. iki įrašo pabaigos </w:t>
      </w:r>
      <w:r>
        <w:t>G. B.</w:t>
      </w:r>
      <w:r w:rsidRPr="00C00255">
        <w:t xml:space="preserve"> atsako į užduotus klausimus, t. y. kodėl ir kokiu pagrindu kariuomenė patruliuoja, kokius įgaliojimus turi ir atsako į kitus jam užduodamus klausimus. Pulkininkas nurodo įvairius nutikimus, kurių metu nukentėjo kariškiai. Atsakydamas į klausimą dėl galimybės mažinti įtampą tarp kariškių ir gyventojų, </w:t>
      </w:r>
      <w:r>
        <w:t>G. B.</w:t>
      </w:r>
      <w:r w:rsidRPr="00C00255">
        <w:t xml:space="preserve"> nurodo, kad kariškiai kontroliuoja situaciją, tačiau labiausiai pažeidžiami yra veteranai (t. 494, b. l. 41–42). Apeliaciniame skunde gynėjas tokius </w:t>
      </w:r>
      <w:r>
        <w:t>G. B.</w:t>
      </w:r>
      <w:r w:rsidRPr="00C00255">
        <w:t xml:space="preserve"> pasisakymus spaudos konferencijos metu vertina tik kaip atstovo spaudai pranešimą, o ne įrodymą, kad būtent </w:t>
      </w:r>
      <w:r>
        <w:t>G. B.</w:t>
      </w:r>
      <w:r w:rsidRPr="00C00255">
        <w:t xml:space="preserve"> vykdė komendanto valandą. Vis tik teisėjų kolegija sutinka su pirmosios instancijos teismo išvada, kad šiame įraše užfiksuota, kaip Vilniaus įgulos karinis komendantas </w:t>
      </w:r>
      <w:r>
        <w:t>G. B.</w:t>
      </w:r>
      <w:r w:rsidRPr="00C00255">
        <w:t xml:space="preserve"> išdėstė savo kaip aukštesniojo karininko poziciją, pateisinant TSRS kariškių veiksmus ir pritariamą požiūrį dėl kariškių patruliavimo mieste. Apeliacinės instancijos teismo vertinimu, savo nuomonę ir vertinimą dėl kariškių patruliavimo mieste galėjo išdėstyti tik aukštas pareigas užimantis karininkas, o tai taip pat rodo, kad </w:t>
      </w:r>
      <w:r>
        <w:t>G. B.</w:t>
      </w:r>
      <w:r w:rsidRPr="00C00255">
        <w:t xml:space="preserve"> nebuvo eilinis kariškis komendantūroje, o, kaip patvirtina ir kiti byloje surinkti įrodymai, ėjo Vilniaus įgulos karinio komendanto pareigas ir jam pagal pareigas buvo priskirtos vadovaujančios funkcijos, vykdant patruliavimą, asmenų ir automobilių kontrolę, t. y. visų šioje byloje konstatuotų faktinių aplinkybių kontekste iš esmės įgyvendinant komendanto valandą. </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Tokių vadovaujančių karinio komendanto pareigų statusas teisėjų kolegijai akivaizdus ir įvertinus šio kariškio statusą apibrėžusius teisės aktus. Pagal prie bylos pridėto TSRS ginkluotųjų pajėgų įgulos tarnybos ir sargybos statuto nuostatas karinis komendantas turėjo itin plačius įgaliojimus visų įguloje veikiančių kariškių atžvilgiu ir, vykdydamas įgulos viršininko sprendimus, turėjo itin plačią teisę duoti įsakymus įgulos viršininko vardu, jam vėliau apie tai pranešdamas (žr. TSRS ginkluotųjų pajėgų įgulos tarnybos ir sargybos statutą, jo skyrių „Įgulos karo komendantas“ ir 27 p. (t. 506, b. l. 107–120).   </w:t>
      </w:r>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Kaip minėta, 1991 m. sausio 15 d. Vilniaus įgulos viršininko </w:t>
      </w:r>
      <w:r>
        <w:rPr>
          <w:szCs w:val="24"/>
        </w:rPr>
        <w:t>V. U. 1</w:t>
      </w:r>
      <w:r w:rsidRPr="00C00255">
        <w:rPr>
          <w:szCs w:val="24"/>
        </w:rPr>
        <w:t xml:space="preserve"> įsakymu Nr. 3 „Dėl priemonių viešajai tvarkai Vilniaus įguloje palaikyti ir įgulos asmeninės sudėties budrumui didinti” Vilniaus įgulos komendantui įsakyta palaikyti ryšius su teisėsaugos organais, teikti jiems neatidėliotiną pagalbą palaikant visuomeninę tvarką Vilniaus mieste, įsakyta užtikrinti, kad krašto apsaugos departamento darbuotojai į miestą neįvežtų ginklų ir amunicijos (t. 450, b. l. 20–21, t. 203, b. l. 65–71; t. 114, b. l. 160–163). Be to, 1991 m. sausio 18 d. susitikimo metu </w:t>
      </w:r>
      <w:r>
        <w:rPr>
          <w:szCs w:val="24"/>
        </w:rPr>
        <w:t>V. U. 1</w:t>
      </w:r>
      <w:r w:rsidRPr="00C00255">
        <w:rPr>
          <w:szCs w:val="24"/>
        </w:rPr>
        <w:t xml:space="preserve"> pavedė Vilniaus miesto kariniam komendantui </w:t>
      </w:r>
      <w:r>
        <w:rPr>
          <w:szCs w:val="24"/>
        </w:rPr>
        <w:t>G. B.</w:t>
      </w:r>
      <w:r w:rsidRPr="00C00255">
        <w:rPr>
          <w:szCs w:val="24"/>
        </w:rPr>
        <w:t xml:space="preserve"> spręsti klausimą dėl kontrolinių išvažiavimo punktų įrengimo, kurių pagrindinis tikslas kontrolė, ginklų ir šaudmenų konfiskavimas (t. 456, b. l. 283–287; t. 251, b. l. 122–126). Konkrečios karinio komendanto pareigos, užtikrinant kariškių patruliavimą mieste, buvo įtvirtintos ir jau minėtame 1990 m. gruodžio 29 d. TSRS vidaus reikalų ir gynybos ministrų įsakyme „Dėl vidaus reikalų darbuotojų, Tarybinės Armijos ir Karinio jūrų laivyno kariškių bendro patruliavimo organizavimo“. Šios aplinkybės teisėjų kolegijai leidžia daryti išvadą, kad </w:t>
      </w:r>
      <w:r>
        <w:rPr>
          <w:szCs w:val="24"/>
        </w:rPr>
        <w:t>V. U. 1</w:t>
      </w:r>
      <w:r w:rsidRPr="00C00255">
        <w:rPr>
          <w:szCs w:val="24"/>
        </w:rPr>
        <w:t xml:space="preserve"> pavedė </w:t>
      </w:r>
      <w:r>
        <w:rPr>
          <w:szCs w:val="24"/>
        </w:rPr>
        <w:t>G. B.</w:t>
      </w:r>
      <w:r w:rsidRPr="00C00255">
        <w:rPr>
          <w:szCs w:val="24"/>
        </w:rPr>
        <w:t xml:space="preserve"> organizuoti komendanto valandos įgyvendinimo priemones, t. y. </w:t>
      </w:r>
      <w:r w:rsidRPr="00C00255">
        <w:rPr>
          <w:color w:val="000000"/>
          <w:szCs w:val="24"/>
        </w:rPr>
        <w:t xml:space="preserve">nustatyti neteisėtą asmenų judėjimo kontrolę Vilniaus mieste ir jo apylinkėse, asmenų ir transporto priemonių patikrą, o </w:t>
      </w:r>
      <w:r>
        <w:rPr>
          <w:color w:val="000000"/>
          <w:szCs w:val="24"/>
        </w:rPr>
        <w:t>G. B.</w:t>
      </w:r>
      <w:r w:rsidRPr="00C00255">
        <w:rPr>
          <w:color w:val="000000"/>
          <w:szCs w:val="24"/>
        </w:rPr>
        <w:t xml:space="preserve">, veikdamas pagal tokį įgulos viršininko įsakymą, kaip ir numato jo įgaliojimus apibrėžiančios ir jau minėtos </w:t>
      </w:r>
      <w:r w:rsidRPr="00C00255">
        <w:rPr>
          <w:szCs w:val="24"/>
        </w:rPr>
        <w:t xml:space="preserve">TSRS ginkluotųjų pajėgų įgulos tarnybos ir sargybos statuto nuostatos, turėjo teisę duoti įsakymus Vilniaus įgulos kariškiams ne tik savo, bet ir įgulos viršininko, t. y. </w:t>
      </w:r>
      <w:r>
        <w:rPr>
          <w:szCs w:val="24"/>
        </w:rPr>
        <w:t>V. U. 1</w:t>
      </w:r>
      <w:r w:rsidRPr="00C00255">
        <w:rPr>
          <w:szCs w:val="24"/>
        </w:rPr>
        <w:t xml:space="preserve"> vardu.</w:t>
      </w:r>
      <w:r w:rsidRPr="00C00255">
        <w:t xml:space="preserve"> </w:t>
      </w:r>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Faktą, kad Vilniaus įgulos karinė komendantūra, o savo ruožtu ir jai vadovaujantis komendantas (kaip patvirtino jau aptarti įrodymai – </w:t>
      </w:r>
      <w:r>
        <w:rPr>
          <w:szCs w:val="24"/>
        </w:rPr>
        <w:t>G. B.</w:t>
      </w:r>
      <w:r w:rsidRPr="00C00255">
        <w:rPr>
          <w:szCs w:val="24"/>
        </w:rPr>
        <w:t>) dalyvavo komendanto valandos įgyvendinime, be kitų duomenų objektyviai patvirtina ir jau minėtas „Karinės komendantūros kariškių sulaikytų asmenų ir komendanto valandos pažeidėjų sąrašas“, kuriame nurodyti sulaikytų asmenų anketiniai duomenys, kada ir kur jie buvo sulaikyti, kokie iš jų paimti daiktai ir koks dėl sulaikytųjų priimtas sprendimas. Šiame sąraše prie dviejų sulaikytų asmenų (Nr. 3 ir Nr. 4) pažymėta, kad dėl asmens padaryto pažeidimo aiškinosi Vilniaus įgulos karinis komendantas, po aiškinimosi asmenys paleisti (t. 191, b. l. 228–233). Šis sąrašas pasirašytas Vilniaus įgulos karinio komendanto p</w:t>
      </w:r>
      <w:r>
        <w:rPr>
          <w:szCs w:val="24"/>
        </w:rPr>
        <w:t>adėjėjo vyresniojo leitenanto I.</w:t>
      </w:r>
      <w:r w:rsidRPr="00C00255">
        <w:rPr>
          <w:szCs w:val="24"/>
        </w:rPr>
        <w:t xml:space="preserve">, kaip jau minėta, ikiteisminio tyrimo metu patvirtinusio, kad 1991 m. vasario 12 d. Vilniaus įgulos kariniu komendantu buvo </w:t>
      </w:r>
      <w:r>
        <w:rPr>
          <w:szCs w:val="24"/>
        </w:rPr>
        <w:t>G. B.</w:t>
      </w:r>
      <w:r w:rsidRPr="00C00255">
        <w:rPr>
          <w:szCs w:val="24"/>
        </w:rPr>
        <w:t xml:space="preserve"> (t. 238, b. l. 143–144). Byloje kitų sąrašų dėl 1991 m. komendantūroje sulaikytų asmenų nėra, kadangi, kaip nurodyta 1991 m. gruodžio 17 d. Vilniaus įgulos karinės komendantūros karo komendanto papulkininkio V. G</w:t>
      </w:r>
      <w:r>
        <w:rPr>
          <w:szCs w:val="24"/>
        </w:rPr>
        <w:t>.</w:t>
      </w:r>
      <w:r w:rsidRPr="00C00255">
        <w:rPr>
          <w:szCs w:val="24"/>
        </w:rPr>
        <w:t xml:space="preserve"> rašte, nuo 1991 m. sausio 1 d. iki 1991 m. rugpjūčio 21 d. sulaikytų ir į Vilniaus įgulos karinę komendantūrą pristatytų asmenų protokolus sunaikino karo komendantas </w:t>
      </w:r>
      <w:r>
        <w:rPr>
          <w:szCs w:val="24"/>
        </w:rPr>
        <w:t>G. B.</w:t>
      </w:r>
      <w:r w:rsidRPr="00C00255">
        <w:rPr>
          <w:szCs w:val="24"/>
        </w:rPr>
        <w:t xml:space="preserve"> (t. 191, b. l. 104, 105). </w:t>
      </w:r>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Aplinkybę, kad po sulaikymo komendanto valandos metu buvo vežamas į Vilniaus miesto karinę komendantūrą, patvirtino ir teisiamajame posėdyje apklaustas nukentėjusysis </w:t>
      </w:r>
      <w:r>
        <w:rPr>
          <w:szCs w:val="24"/>
        </w:rPr>
        <w:t>V. P.</w:t>
      </w:r>
      <w:r w:rsidRPr="00C00255">
        <w:rPr>
          <w:szCs w:val="24"/>
        </w:rPr>
        <w:t xml:space="preserve"> Nukentėjusysis nurodė, kad 1991 m. sausio 17 d. vakare automobilis, kuriuo jis važiavo su kitais asmenimis, prie Vilniaus buvo sustabdytas TSRS kariškių, kurie jį su kitais asmenimis išvarė iš automobilio, privertė stovėti pakeltomis rankomis, grasino šaunamaisiais ginklais, o vėliau jį nuvežė į Vilniaus miesto karinę komendantūrą, kur j</w:t>
      </w:r>
      <w:r w:rsidR="00E0397A">
        <w:rPr>
          <w:szCs w:val="24"/>
        </w:rPr>
        <w:t>is buvo tardomas (t. 760, b. l. </w:t>
      </w:r>
      <w:r w:rsidRPr="00C00255">
        <w:rPr>
          <w:szCs w:val="24"/>
        </w:rPr>
        <w:t xml:space="preserve">168–169). Aplinkybes apie </w:t>
      </w:r>
      <w:r>
        <w:rPr>
          <w:szCs w:val="24"/>
        </w:rPr>
        <w:t>V. P.</w:t>
      </w:r>
      <w:r w:rsidRPr="00C00255">
        <w:rPr>
          <w:szCs w:val="24"/>
        </w:rPr>
        <w:t xml:space="preserve"> sulaikymą patvirtino ir teisiamajame posėdyje apklaustas nukentėjusysis R</w:t>
      </w:r>
      <w:r>
        <w:rPr>
          <w:szCs w:val="24"/>
        </w:rPr>
        <w:t>. </w:t>
      </w:r>
      <w:r w:rsidRPr="00C00255">
        <w:rPr>
          <w:szCs w:val="24"/>
        </w:rPr>
        <w:t xml:space="preserve">C (t. 760, b. l. 169–172). </w:t>
      </w:r>
    </w:p>
    <w:p w:rsidR="00DA38E9" w:rsidRPr="005D022C" w:rsidRDefault="00DA38E9" w:rsidP="00E0397A">
      <w:pPr>
        <w:pStyle w:val="ListParagraph"/>
        <w:numPr>
          <w:ilvl w:val="0"/>
          <w:numId w:val="6"/>
        </w:numPr>
        <w:spacing w:before="120" w:after="120"/>
        <w:ind w:left="992" w:hanging="992"/>
        <w:contextualSpacing w:val="0"/>
      </w:pPr>
      <w:r w:rsidRPr="005D022C">
        <w:t>Teisėjų kolegija pažymi, kad byloje surinkti įrodymai patvirtina ir faktą, jog Vilniuje ir jo apylinkėse įgyvendinant komendanto valandą Vilniaus įgulos karinė komendantūra veikė išvien su Šiaurės miestelyje dislokuotais kariniais daliniais. Pavyzdžiui, teisiamajame posėdyje apklaustas nukentėjusysis Z. S. nurodė, kad po nežinomų TSRS kariškių įvykdytų sulaikymo ir sumušimo 1991 m. sausio 24 d. pirmiausia jis buvo nuvežtas į Šiaurės miestelį, kur su juo bendravo ir, siekdamas įbauginti, sušaudyti grasino V. U. 1, o vėliau jis (nukentėjusysis) buvo nuvežtas į komendantūrą, esančią T. Ko</w:t>
      </w:r>
      <w:r w:rsidR="00E0397A" w:rsidRPr="005D022C">
        <w:t>sciuškos gatvėje (t. 760, b. l. </w:t>
      </w:r>
      <w:r w:rsidRPr="005D022C">
        <w:t>175–177; t. 500, b. l. 164–167). N</w:t>
      </w:r>
      <w:r w:rsidRPr="005D022C">
        <w:rPr>
          <w:bCs/>
        </w:rPr>
        <w:t>ukentėjusysis S. S. nurodė, kad jis n</w:t>
      </w:r>
      <w:r w:rsidRPr="005D022C">
        <w:t xml:space="preserve">ukentėjo 1991 m. sausio 24 d., kai atvyko pasirūpinti prieš tai TSRS kariškių apšaudytu Lietuvos Aukščiausiosios Tarybos apsaugos skyriui priklausančiu automobiliu, bandė bėgti, buvo apšaudytas trasuojančiomis kulkomis, vėliau gavo buože į galvą, kareiviai jį spardė, pastatę ant kojų įrėmė į kaklą automato vamzdį, sugrūdo į mašiną ir su ten jau buvusiais kitais asmenimis nuvežė į Šiaurės miestelį, kur toliau buvo mušamas kareivių, panašių į Vidurinės Azijos gyventojus. Vėliau iš Šiaurės miestelio jis buvo nuvežtas į T. Kosciuškos gatvę, tačiau ten smurtas prieš jį nebebuvo naudojamas ir kitą rytą jis buvo paleistas (t. 760, b. l. 177–178). </w:t>
      </w:r>
      <w:r w:rsidRPr="005D022C">
        <w:rPr>
          <w:color w:val="000000" w:themeColor="text1"/>
        </w:rPr>
        <w:t xml:space="preserve">Kad prieš sulaikytus asmenis smurtas buvo naudojamas Šiaurės miestelyje, o vėliau asmenys pervežami į komendantūrą, t. y. bendrą TSRS kariškių veikimą, patvirtina ir teisiamajame posėdyje apklaustas nukentėjusysis </w:t>
      </w:r>
      <w:r w:rsidRPr="005D022C">
        <w:rPr>
          <w:rFonts w:eastAsia="SimSun"/>
          <w:bCs/>
          <w:color w:val="000000" w:themeColor="text1"/>
        </w:rPr>
        <w:t>G. M. Jis taip pat nurodė, kad Šiaurės miestelyje mušė azijiečiai. Kai jis buvo sulaikytas, į Šiaurės miestelį buvo atvažiavęs ir Šiaurės miestelio vadas, kurio pavardės nukentėjusysis nežinojo, bet žinojo, kad tai buvo vadas. Vėliau karinėje komendantūroje nukentėjusysis nebebuvo mušamas, nes, kiek suprato, ten dirbo</w:t>
      </w:r>
      <w:r w:rsidRPr="005D022C">
        <w:rPr>
          <w:rFonts w:eastAsia="SimSun"/>
          <w:color w:val="000000" w:themeColor="text1"/>
        </w:rPr>
        <w:t xml:space="preserve"> Lietuvoje gyvenantys karininkai, kurie nelabai norėjo „tepliotis rankų“</w:t>
      </w:r>
      <w:r w:rsidRPr="005D022C">
        <w:rPr>
          <w:rFonts w:eastAsia="SimSun"/>
        </w:rPr>
        <w:t xml:space="preserve"> (t. 76</w:t>
      </w:r>
      <w:r w:rsidR="00E0397A" w:rsidRPr="005D022C">
        <w:rPr>
          <w:rFonts w:eastAsia="SimSun"/>
        </w:rPr>
        <w:t>0, b. l. 180–182, t. 500, b. l. </w:t>
      </w:r>
      <w:r w:rsidRPr="005D022C">
        <w:rPr>
          <w:rFonts w:eastAsia="SimSun"/>
        </w:rPr>
        <w:t xml:space="preserve">161–162). Minėtų nukentėjusiųjų parodymų, </w:t>
      </w:r>
      <w:r w:rsidRPr="005D022C">
        <w:rPr>
          <w:rFonts w:eastAsia="Calibri"/>
        </w:rPr>
        <w:t>kad sulaikyti asmenys buvo vežami į Šiaurės miestelį, paskui į komendantūrą, teisingumą patvirtina teisiamajame posėdyje pagarsinti kai kurių nukentėjusiųjų ikiteisminio tyrimo metu duoti parodymai (pvz., nukentėjusiojo R. V. parodymai (</w:t>
      </w:r>
      <w:r w:rsidRPr="005D022C">
        <w:rPr>
          <w:rFonts w:eastAsia="Calibri"/>
          <w:color w:val="000000" w:themeColor="text1"/>
        </w:rPr>
        <w:t>t. 159, b. l. 126–134</w:t>
      </w:r>
      <w:r w:rsidRPr="005D022C">
        <w:rPr>
          <w:rFonts w:eastAsia="Calibri"/>
        </w:rPr>
        <w:t xml:space="preserve">). </w:t>
      </w:r>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Teisėjų kolegijos vertinimu, aptarti įrodymai patvirtina, kad nuteistasis </w:t>
      </w:r>
      <w:r>
        <w:rPr>
          <w:szCs w:val="24"/>
        </w:rPr>
        <w:t>G. B.</w:t>
      </w:r>
      <w:r w:rsidRPr="00C00255">
        <w:rPr>
          <w:szCs w:val="24"/>
        </w:rPr>
        <w:t xml:space="preserve"> byloje nagrinėjamų įvykių metu ėjo Vilniaus įgulos karinio komendanto pareigas ir, eidamas šias vadovaujančias pareigas, dalyvavo įgyvendinant komendanto valandos priemones, todėl pirmosios instancijos teismo išvada, kad </w:t>
      </w:r>
      <w:r>
        <w:rPr>
          <w:szCs w:val="24"/>
        </w:rPr>
        <w:t>G. B.</w:t>
      </w:r>
      <w:r w:rsidRPr="00C00255">
        <w:rPr>
          <w:szCs w:val="24"/>
        </w:rPr>
        <w:t xml:space="preserve"> komendanto valandos priemonių įgyvendinimui nustatė neteisėtą asmenų judėjimo kontrolę Vilniaus mieste ir jo apylinkėse, asmenų ir transporto priemonių patikrą, yra pagrįsta ir teisinga. </w:t>
      </w:r>
    </w:p>
    <w:p w:rsidR="00DA38E9" w:rsidRPr="00C00255" w:rsidRDefault="00DA38E9" w:rsidP="00DA38E9">
      <w:pPr>
        <w:pStyle w:val="Heading3"/>
        <w:spacing w:before="120" w:after="120"/>
        <w:ind w:left="992"/>
        <w:jc w:val="both"/>
        <w:rPr>
          <w:b w:val="0"/>
          <w:i/>
          <w:sz w:val="24"/>
          <w:szCs w:val="24"/>
          <w:lang w:val="lt-LT"/>
        </w:rPr>
      </w:pPr>
      <w:bookmarkStart w:id="755" w:name="_Toc67677408"/>
      <w:bookmarkStart w:id="756" w:name="_Toc67985536"/>
      <w:r w:rsidRPr="00C00255">
        <w:rPr>
          <w:b w:val="0"/>
          <w:i/>
          <w:sz w:val="24"/>
          <w:szCs w:val="24"/>
          <w:lang w:val="lt-LT"/>
        </w:rPr>
        <w:t>Dėl nenustatytų Vilniaus įgulos kariškių dalyvavimo komendanto valandoje</w:t>
      </w:r>
      <w:bookmarkEnd w:id="755"/>
      <w:bookmarkEnd w:id="756"/>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Pažymėtina, kad dėl komendanto valandos įvedimo kaltinimai buvo pareikšti ir asmenys nuteisti konkrečiai dėl sunkaus </w:t>
      </w:r>
      <w:r>
        <w:rPr>
          <w:szCs w:val="24"/>
        </w:rPr>
        <w:t>R. D.</w:t>
      </w:r>
      <w:r w:rsidRPr="00C00255">
        <w:rPr>
          <w:szCs w:val="24"/>
        </w:rPr>
        <w:t xml:space="preserve"> sveikatos sutrikdymo ir </w:t>
      </w:r>
      <w:r>
        <w:rPr>
          <w:szCs w:val="24"/>
        </w:rPr>
        <w:t>J. T.</w:t>
      </w:r>
      <w:r w:rsidRPr="00C00255">
        <w:rPr>
          <w:szCs w:val="24"/>
        </w:rPr>
        <w:t xml:space="preserve"> nužudymo neteisėtai įvestos komendanto valandos metu, konstatuojant, kad </w:t>
      </w:r>
      <w:r>
        <w:rPr>
          <w:szCs w:val="24"/>
        </w:rPr>
        <w:t>R. D.</w:t>
      </w:r>
      <w:r w:rsidRPr="00C00255">
        <w:rPr>
          <w:szCs w:val="24"/>
        </w:rPr>
        <w:t xml:space="preserve"> sulaikė nenustatyti Vilniaus įgulos kariškiai ir jo sveikatą sunkiai sutrikdė </w:t>
      </w:r>
      <w:r>
        <w:rPr>
          <w:szCs w:val="24"/>
        </w:rPr>
        <w:t>G. B.</w:t>
      </w:r>
      <w:r w:rsidRPr="00C00255">
        <w:rPr>
          <w:szCs w:val="24"/>
        </w:rPr>
        <w:t xml:space="preserve"> pavaldume buvę nenustatyti kariškiai bei konstatuojant, kad </w:t>
      </w:r>
      <w:r>
        <w:rPr>
          <w:szCs w:val="24"/>
        </w:rPr>
        <w:t>J. T.</w:t>
      </w:r>
      <w:r w:rsidRPr="00C00255">
        <w:rPr>
          <w:szCs w:val="24"/>
        </w:rPr>
        <w:t xml:space="preserve"> nušovė nenustatyti Vilniaus įgulos kariškiai.</w:t>
      </w:r>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Teisėjų kolegijos vertinimu, pirmosios instancijos teismo išvados dėl nenustatytų Vilniaus įgulos kariškių dalyvavimo komendanto valandos įgyvendinime yra teisingos ir pagrįstos. Visų pirma, jau minėtas 1991 m. sausio 14 d. </w:t>
      </w:r>
      <w:r>
        <w:rPr>
          <w:szCs w:val="24"/>
        </w:rPr>
        <w:t>V. U. 1</w:t>
      </w:r>
      <w:r w:rsidRPr="00C00255">
        <w:rPr>
          <w:szCs w:val="24"/>
        </w:rPr>
        <w:t xml:space="preserve"> įsakymas Nr. 1 „Dėl komendantinės tarnybos užtikrinimo Vilniaus mieste“ rodo, kad </w:t>
      </w:r>
      <w:r>
        <w:rPr>
          <w:szCs w:val="24"/>
        </w:rPr>
        <w:t>V. U. 1</w:t>
      </w:r>
      <w:r w:rsidRPr="00C00255">
        <w:rPr>
          <w:szCs w:val="24"/>
        </w:rPr>
        <w:t xml:space="preserve"> įsakė kariniam prokurorui ir karinio dalinio 22238 VSK Ypatingos dalies skyriui organizuoti jų darbuotojų budėjimus karinėje komendantūroje (t. 238, b. l. 163), o byloje neginčytinai įrodyta, kad karinis dalinys 22238 priklausė Vilniaus įgulai. </w:t>
      </w:r>
    </w:p>
    <w:p w:rsidR="00DA38E9" w:rsidRPr="00E0397A" w:rsidRDefault="00DA38E9" w:rsidP="00DA38E9">
      <w:pPr>
        <w:pStyle w:val="ListParagraph"/>
        <w:numPr>
          <w:ilvl w:val="0"/>
          <w:numId w:val="6"/>
        </w:numPr>
        <w:spacing w:before="120" w:after="120"/>
        <w:ind w:left="992" w:hanging="992"/>
        <w:contextualSpacing w:val="0"/>
      </w:pPr>
      <w:r w:rsidRPr="00C00255">
        <w:rPr>
          <w:szCs w:val="24"/>
        </w:rPr>
        <w:t xml:space="preserve">Teisėjų kolegija, šio sprendimo dalyje </w:t>
      </w:r>
      <w:r w:rsidRPr="00C00255">
        <w:rPr>
          <w:i/>
          <w:szCs w:val="24"/>
        </w:rPr>
        <w:t>„Nusikalstamų veikų prieš Lietuvos valstybę rengimas, karinės operacijos planavimas“</w:t>
      </w:r>
      <w:r w:rsidRPr="00C00255">
        <w:rPr>
          <w:szCs w:val="24"/>
        </w:rPr>
        <w:t xml:space="preserve"> </w:t>
      </w:r>
      <w:r w:rsidRPr="005D022C">
        <w:rPr>
          <w:szCs w:val="24"/>
        </w:rPr>
        <w:t>jau minėjo byloje esančius duomenis apie išskirtinį Vilniaus įgulos ir jos viršininko vaidmenį ne tik priimant sprendimus dėl komendanto valandos įvedimo, bet ir apskritai visų sausio įvykių metų.</w:t>
      </w:r>
      <w:r w:rsidRPr="005D022C">
        <w:t xml:space="preserve"> </w:t>
      </w:r>
      <w:bookmarkStart w:id="757" w:name="_Hlk63929680"/>
      <w:r w:rsidRPr="005D022C">
        <w:rPr>
          <w:szCs w:val="24"/>
        </w:rPr>
        <w:t xml:space="preserve">1991 m. sausio 14 d. TSRS Aukščiausiosios Tarybos posėdyje padėtį Lietuvoje pristatęs </w:t>
      </w:r>
      <w:r w:rsidRPr="005D022C">
        <w:rPr>
          <w:rFonts w:eastAsia="Calibri"/>
          <w:szCs w:val="24"/>
        </w:rPr>
        <w:t xml:space="preserve">TSRS gynybos ministras </w:t>
      </w:r>
      <w:r w:rsidRPr="005D022C">
        <w:rPr>
          <w:szCs w:val="24"/>
        </w:rPr>
        <w:t>D. J., be kita ko, teigė, kad būtent Vilniaus įgulos viršininkas V. U. 1, veikdamas pagal TSRS kariuomenės statutus, priėmė sprendimą dėl TSRS kariškių veiksmų Vilniuje šio pos</w:t>
      </w:r>
      <w:r w:rsidR="00E0397A" w:rsidRPr="005D022C">
        <w:rPr>
          <w:szCs w:val="24"/>
        </w:rPr>
        <w:t>ėdž</w:t>
      </w:r>
      <w:r w:rsidR="005D022C" w:rsidRPr="005D022C">
        <w:rPr>
          <w:szCs w:val="24"/>
        </w:rPr>
        <w:t xml:space="preserve">io išvakarėse (t. 453, b. l. </w:t>
      </w:r>
      <w:r w:rsidRPr="005D022C">
        <w:rPr>
          <w:szCs w:val="24"/>
        </w:rPr>
        <w:t>60–66; t. 195, b. l. 89–119)</w:t>
      </w:r>
      <w:r w:rsidRPr="005D022C">
        <w:rPr>
          <w:rFonts w:eastAsia="Calibri"/>
          <w:szCs w:val="24"/>
        </w:rPr>
        <w:t xml:space="preserve">. </w:t>
      </w:r>
      <w:r w:rsidRPr="005D022C">
        <w:rPr>
          <w:rFonts w:eastAsia="Calibri"/>
        </w:rPr>
        <w:t xml:space="preserve">Kaip jau šiame sprendime buvo aptarta, karinėje operacijoje užimant Spaudos rūmus, TV bokštą ir LRT, dalyvavo ne tik nuteistojo V. U. 1 vadovautos TSRS GM 107-osios divizijos kariškiai, bet ir TSRS GM oro desanto pajėgos, VSK, VRM kariai. </w:t>
      </w:r>
      <w:bookmarkEnd w:id="757"/>
      <w:r w:rsidRPr="005D022C">
        <w:rPr>
          <w:rFonts w:eastAsia="Calibri"/>
        </w:rPr>
        <w:t xml:space="preserve">Iš TSRS VRM Vidaus kariuomenės vado J. Š.1991 m. vasario 14 d. pasirašytų išvadų „Dėl vidaus kariuomenės dalinių dalyvavimo užtikrinant viešąją tvarką Vilniuje 1991 m. sausio 13 d.“, be kita ko, taip pat matyti, kad TSRS VRM daliniai 1991 m. sausio įvykiuose dalyvavo Vilniaus įgulos viršininko sprendimu (t. 428, b. l. 255–258; t. 115, b. l. 296, 297–300). Iš teisiamajame posėdyje </w:t>
      </w:r>
      <w:r w:rsidRPr="005D022C">
        <w:t xml:space="preserve">2016 m. gegužės 3 d. </w:t>
      </w:r>
      <w:r w:rsidRPr="005D022C">
        <w:rPr>
          <w:rFonts w:eastAsia="Calibri"/>
        </w:rPr>
        <w:t xml:space="preserve">paskelbtų TSRS GM </w:t>
      </w:r>
      <w:r w:rsidRPr="005D022C">
        <w:t xml:space="preserve">Oro desanto pajėgų Pskovo 76-osios oro desanto divizijos </w:t>
      </w:r>
      <w:r w:rsidRPr="005D022C">
        <w:rPr>
          <w:rFonts w:eastAsia="Calibri"/>
        </w:rPr>
        <w:t>234-ojo pulko vado I. K., kurio atžvilgiu ikiteisminio tyrimas buvo nutrauktas, parodymų</w:t>
      </w:r>
      <w:r w:rsidRPr="005D022C">
        <w:t xml:space="preserve">, be kita ko, </w:t>
      </w:r>
      <w:r w:rsidRPr="005D022C">
        <w:rPr>
          <w:rFonts w:eastAsia="Calibri"/>
        </w:rPr>
        <w:t>matyti</w:t>
      </w:r>
      <w:r w:rsidRPr="005D022C">
        <w:t>, kad nors jis tarnavo karinių pajėgų prasme visiškai kitame kariniame dalinyje iš Pskovo, atvykus į Vilnių, įsakymus jam taip pat davė ir Vilniaus įgulos viršininkas („1991 m. sausio 12 d. aš gavau Vilniaus įgulos viršininko įsakymą perimti saugoti Vilniaus m. televizijos bokštą ir valstybinį televizijos ir radijo komitetą“</w:t>
      </w:r>
      <w:r w:rsidRPr="005D022C">
        <w:rPr>
          <w:rFonts w:eastAsia="Calibri"/>
        </w:rPr>
        <w:t xml:space="preserve"> </w:t>
      </w:r>
      <w:r w:rsidRPr="005D022C">
        <w:t>(t. 757, b. l. 71; t. 114, b. l. 182–183; t. 427, b. l. 148–149).</w:t>
      </w:r>
    </w:p>
    <w:p w:rsidR="00DA38E9" w:rsidRPr="005D022C" w:rsidRDefault="00DA38E9" w:rsidP="00DA38E9">
      <w:pPr>
        <w:pStyle w:val="Standard"/>
        <w:widowControl/>
        <w:numPr>
          <w:ilvl w:val="0"/>
          <w:numId w:val="6"/>
        </w:numPr>
        <w:suppressAutoHyphens w:val="0"/>
        <w:overflowPunct w:val="0"/>
        <w:autoSpaceDE w:val="0"/>
        <w:adjustRightInd w:val="0"/>
        <w:spacing w:before="120" w:after="120"/>
        <w:ind w:left="992" w:hanging="992"/>
        <w:jc w:val="both"/>
        <w:textAlignment w:val="auto"/>
      </w:pPr>
      <w:r w:rsidRPr="005D022C">
        <w:rPr>
          <w:rFonts w:cs="Times New Roman"/>
        </w:rPr>
        <w:t xml:space="preserve">Kaip paaiškino teisiamajame posėdyje apklaustas liudytojas S. N., ginkluotosios pajėgos į įgulas yra skirstomos teritoriniu principu ir įgulos vadu yra skiriamas didžiausio toje įguloje esančio karinio dalinio vadas (kaip nagrinėjamu atveju – TSRS GM 107-osios motorizuotų šaulių divizijos (k/d 22238) vadas V. U. 1). Įgulos vadas gali duoti nurodymus ir kitiems įguloje esantiems kariniams daliniams. Liudytojas patvirtino, kad V. U. 1, kaip Vilniaus įgulos viršininkas, galėjo tam tikrais klausimais duoti nurodymus ir kitų karinių dalinių kariškiams, taip pat ir jam, kaip civilinės gynybos štabo viršininkui (t. 757, b. l. 84–86, t. 474, b. l. 41–44). Specialistas </w:t>
      </w:r>
      <w:r w:rsidRPr="005D022C">
        <w:t>J. Andriškevičius taip pat patvirtino, kad V. U. 1 buvo TSRS GM 107-osios motorizuotų šaulių divizijos vadas ir Vilniaus įgulos vadas, o Vilniaus įgulos vadas – tai vyriausias karinis pareigūnas aptariamame teritoriniame vienete, nes jis vadovavo didžiausiam kariniam vienetui, esančiam Vilniaus įguloje (t. 479, b. l. 1–3).</w:t>
      </w:r>
    </w:p>
    <w:p w:rsidR="00DA38E9" w:rsidRPr="00C00255" w:rsidRDefault="00DA38E9" w:rsidP="00DA38E9">
      <w:pPr>
        <w:pStyle w:val="NormalWeb"/>
        <w:numPr>
          <w:ilvl w:val="0"/>
          <w:numId w:val="6"/>
        </w:numPr>
        <w:overflowPunct w:val="0"/>
        <w:autoSpaceDE w:val="0"/>
        <w:adjustRightInd w:val="0"/>
        <w:spacing w:before="120" w:beforeAutospacing="0" w:after="120" w:afterAutospacing="0"/>
        <w:ind w:left="992" w:hanging="992"/>
        <w:rPr>
          <w:rFonts w:eastAsiaTheme="minorHAnsi"/>
          <w:lang w:eastAsia="en-US"/>
        </w:rPr>
      </w:pPr>
      <w:r w:rsidRPr="00E0397A">
        <w:rPr>
          <w:rFonts w:eastAsia="Calibri"/>
        </w:rPr>
        <w:t xml:space="preserve">Tokie paaiškinimai apie Vilniaus įgulos statusą, jos viršininko įgaliojimus ir jam pavaldžius kariškius atitinka ir byloje esančių </w:t>
      </w:r>
      <w:r w:rsidRPr="00E0397A">
        <w:t>TSRS ginkluotųjų pajėgų tarnybos karinių statutų bei TSRS ginkluotųjų pajėgų įgulos tarnybos ir sargybos statuto nuostatas</w:t>
      </w:r>
      <w:r w:rsidRPr="00C00255">
        <w:t xml:space="preserve"> (žr. TSRS ginkluotųjų pajėgų įgulos tarnybos ir sargybos statuto Pirmąją dalį ir, be kita ko, 11, 17, 19, 28 p. (t. 506,</w:t>
      </w:r>
      <w:r>
        <w:t xml:space="preserve"> </w:t>
      </w:r>
      <w:r w:rsidRPr="00C00255">
        <w:t>b.</w:t>
      </w:r>
      <w:r>
        <w:t> </w:t>
      </w:r>
      <w:r w:rsidRPr="00C00255">
        <w:t>l.</w:t>
      </w:r>
      <w:r>
        <w:t> </w:t>
      </w:r>
      <w:r w:rsidRPr="00C00255">
        <w:t xml:space="preserve">107–120). Pats nuteistasis </w:t>
      </w:r>
      <w:r>
        <w:t>V. U. 1</w:t>
      </w:r>
      <w:r w:rsidRPr="00C00255">
        <w:t xml:space="preserve"> apklausiamas ikiteisminio tyrimo metu taip pat nurodė, kad priimdamas sprendimą panaudoti kariškius mieste tvarkai palaikyti, vadovavosi, be kita ko, ir jau minėtu TSRS ginkluotųjų pajėgų įgulos tarnybos ir sargybos statutu. Atsakydamas į klausimą, kas jam davė nurodymą palaikyti tvarką mieste panaudojant kariškius, </w:t>
      </w:r>
      <w:r>
        <w:t>V. U. 1</w:t>
      </w:r>
      <w:r w:rsidRPr="00C00255">
        <w:t xml:space="preserve"> nurodė, kad tai buvo įgulos viršininko pareiga, kad „veiksmai griežtai atitiko &lt;...&gt; Įgulos ir sargybos statuto 19, 28 str.” (t. 756, b. l. 24; t. 114, b. l. 157–159; t. 427, b.</w:t>
      </w:r>
      <w:r>
        <w:t> </w:t>
      </w:r>
      <w:r w:rsidRPr="00C00255">
        <w:t>l.</w:t>
      </w:r>
      <w:r>
        <w:t> </w:t>
      </w:r>
      <w:r w:rsidRPr="00C00255">
        <w:t>126–127).</w:t>
      </w:r>
    </w:p>
    <w:p w:rsidR="00DA38E9" w:rsidRPr="005D022C" w:rsidRDefault="00DA38E9" w:rsidP="00DA38E9">
      <w:pPr>
        <w:pStyle w:val="ListParagraph"/>
        <w:numPr>
          <w:ilvl w:val="0"/>
          <w:numId w:val="6"/>
        </w:numPr>
        <w:spacing w:before="120" w:after="120"/>
        <w:ind w:left="992" w:hanging="992"/>
        <w:contextualSpacing w:val="0"/>
      </w:pPr>
      <w:r w:rsidRPr="005D022C">
        <w:t>Teismo išvadų apie Vilniaus, o ne kurios nors kitos įgulos kariškių dalyvavimą komendanto valandos metu teisingumą patvirtina ir byloje esantys rašytiniai įrodymai. Apie tai, kad komendanto valandos</w:t>
      </w:r>
      <w:r w:rsidRPr="005D022C">
        <w:rPr>
          <w:szCs w:val="24"/>
        </w:rPr>
        <w:t xml:space="preserve"> </w:t>
      </w:r>
      <w:r w:rsidRPr="005D022C">
        <w:t>įgyvendinime dalyvavo Vilniaus įgulai priklausantis karinis dalinys Nr. 73890 (</w:t>
      </w:r>
      <w:r w:rsidRPr="005D022C">
        <w:rPr>
          <w:rFonts w:eastAsia="Calibri"/>
        </w:rPr>
        <w:t xml:space="preserve">TSRS GM </w:t>
      </w:r>
      <w:r w:rsidRPr="005D022C">
        <w:t>Sausumos pajėgų Pabaltijo karinės apygardos 107-osios motorizuotų šaulių divizijos</w:t>
      </w:r>
      <w:r w:rsidRPr="005D022C">
        <w:rPr>
          <w:rFonts w:eastAsia="Calibri"/>
        </w:rPr>
        <w:t xml:space="preserve"> </w:t>
      </w:r>
      <w:r w:rsidRPr="005D022C">
        <w:t>77-as motorizuotų šaulių pulkas, kurio vadas buvo papulkininkis A. G.), patvirtina Vilniaus valstybinio taksi parko atsakymas į prokuratūros užklausimą, Lietuvos Respublikos valstybinio arbitražo 1992 m. balandžio 14 d. sprendimas, mokėjimo reikalavimo Nr. 243 kvitas, iš kurių matyti, kad dėl 1991 m. sausio 14 d. įvykusio eismo įvykio, kai kelyje Vilnius – Kaunas šarvuočiams užtvėrus važiuojamąją kelio dalį į šarvuotį atsitrenkė taksi automobilis, Vilniaus valstybiniam taksi parkui dėl automobilio sugadinimo patirtą žalą atlygino karinis dalinys Nr. 73890 (t. 52, b. l. 250, 254–255, 256–257); 1991 m. kovo 6 d. Vilniaus įgulos karinio prokuroro raštas, adresuotas k/d 22238 vadui, kuriuo prašoma duoti nurodymą kito karinio dalinio vadui išduoti Z. S. automobilį (t. 452, b. l. 7). Be to, nukentėjusysis Z. S. teisiamajame posėdyje nurodė, kad jį po sulaikymo mušė k/d 73890 kariškiai, kuriems buvo iškelta baudžiamoji byla, bet vėliau byla buvo nutraukta, nesant nusikaltimo sudėties (t. 760, b. l. 175–177, t. 500, b. l. 164–167). Teisiamajame posėdyje rašytiniu liudytojo prašymu buvo pagarsinti ir liudytojo A. G., kuris buvo 77-o motorizuotų šaulių pulko (k/d 73890) antrojo bataliono penktosios kuopos pirmojo būrio vadas, ikiteisminio tyrimo metu duoti parodymai. Liudytojas nurodė, kad jam teko girdėti, jog kariai iš pirmojo ir antrojo batalionų per komendanto valandą stovėdavo postuose prie išvažiavimų ir įvažiavimų į miestą. Budėjimo grafikus sudarinėdavo motorizuotų šaulių divizijos štabe. Taip pat girdėjo, kad antrojo bataliono šeštos kuopos kažkurio būrio vadas panaudojo šaunamąjį ginklą, apšaudė nuo patikros sprukusį automobilį ir</w:t>
      </w:r>
      <w:r w:rsidR="005D022C" w:rsidRPr="005D022C">
        <w:t xml:space="preserve"> buvo sužalotas žmogus (t. 757, </w:t>
      </w:r>
      <w:r w:rsidRPr="005D022C">
        <w:t xml:space="preserve">b. l. 168; t. 475 b. l. 149–152). Ikiteisminio tyrimo metu apklaustas liudytojas </w:t>
      </w:r>
      <w:r w:rsidRPr="005D022C">
        <w:rPr>
          <w:rFonts w:eastAsia="Calibri"/>
        </w:rPr>
        <w:t>A. P. taip pat patvirtino, kad tarnaudamas Šiaurės kariniame mie</w:t>
      </w:r>
      <w:r w:rsidR="005D022C" w:rsidRPr="005D022C">
        <w:rPr>
          <w:rFonts w:eastAsia="Calibri"/>
        </w:rPr>
        <w:t>stelyje, žinojo, jog po 1991 m. </w:t>
      </w:r>
      <w:r w:rsidRPr="005D022C">
        <w:rPr>
          <w:rFonts w:eastAsia="Calibri"/>
        </w:rPr>
        <w:t xml:space="preserve">sausio 13 d. nakties įvykių Vilniaus mieste buvo įvesta komendanto valanda. Įsakymo dėl komendanto valandos įvedimo nematė, tačiau karininkai instruktavo eilinius, kaip reikia elgtis jos metu. Į miestą buvo siunčiami patruliai, prie įvažiavimų ir išvažiavimų buvo statomi „blokpostai“, buvo tikrinamos važiuojančios mašinos, žmonių dokumentai, buvo ieškoma ginklų, sprogmenų ir pan. (t. 680, b. l. 85–90). </w:t>
      </w:r>
    </w:p>
    <w:p w:rsidR="00DA38E9" w:rsidRPr="005D022C" w:rsidRDefault="00DA38E9" w:rsidP="00DA38E9">
      <w:pPr>
        <w:pStyle w:val="ListParagraph"/>
        <w:numPr>
          <w:ilvl w:val="0"/>
          <w:numId w:val="6"/>
        </w:numPr>
        <w:spacing w:before="120" w:after="120"/>
        <w:ind w:left="992" w:hanging="992"/>
        <w:contextualSpacing w:val="0"/>
        <w:rPr>
          <w:szCs w:val="24"/>
        </w:rPr>
      </w:pPr>
      <w:r w:rsidRPr="005D022C">
        <w:rPr>
          <w:rFonts w:eastAsia="Calibri"/>
        </w:rPr>
        <w:t>Vilniaus įgulos kariškių dalyvavimą komendanto valandos priemonių įgyvendinime patvirtina ir</w:t>
      </w:r>
      <w:r w:rsidRPr="005D022C">
        <w:rPr>
          <w:rFonts w:eastAsia="Calibri"/>
          <w:szCs w:val="24"/>
        </w:rPr>
        <w:t xml:space="preserve"> t</w:t>
      </w:r>
      <w:r w:rsidRPr="005D022C">
        <w:rPr>
          <w:szCs w:val="24"/>
        </w:rPr>
        <w:t>eisiamajame posėdyje apklausto nukentėjusiojo V. J. parodymai. Nukentėjusysis nurodė, kad jo automobilis su užrašu „Kelių policija“ dieną, kai lydėjo autobusų koloną į Sausio 13-osios aukų laidotuves, pateko į TSRS kariškių pasalą, juos ištraukė iš automobilio, sumušė, atėmė ginklus, išdraskė automobilį, bet jam pavyko pabėgti. Jis įsidėmėjo kariškių BTR numerį, pagal kurį Ukmergėje įsikūrusio karinio dalinio, su kurio kariškiais jis neblogai sutarė, vado pavaduotojas pasakė, kad šis BTR yra iš Šiaurės miestelio. Kartu su minėtu vado pavaduotoju jis važiavo į Šiaurės miestelį atsiimti amunicijos (t. 760, b. l. 172–173).</w:t>
      </w:r>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Vilniaus įgulos kariškių dalyvavimą komendanto valandos vykdyme patvirtina ir tai, kad kaip jau aptarta anksčiau, komendanto valandos įgyvendinime dalyvavo ir Vilniaus įgulos karinės komendantūros kariškiai, kurie apibendrintai taip pat gali būtų įvardinti kaip Vilniaus įgulos kariškiai. Be to, jau minėtame „Karinės komendantūros kariškių sulaikytų asmenų ir komendanto valandos pažeidėjų sąraše“ užfiksuota, kad iš kai kurių sulaikytų asmenų paimti ginklai, šaudmenys buvo perduoti saugoti k/d 22238 (sulaikytieji Nr. 5, 6, 8, 9), karinei prokuratūrai (sulaikytieji Nr. 12, 14, 16) (t. 191, b. l. 228–233). </w:t>
      </w:r>
    </w:p>
    <w:p w:rsidR="00DA38E9" w:rsidRPr="005D022C" w:rsidRDefault="00DA38E9" w:rsidP="00DA38E9">
      <w:pPr>
        <w:pStyle w:val="ListParagraph"/>
        <w:numPr>
          <w:ilvl w:val="0"/>
          <w:numId w:val="6"/>
        </w:numPr>
        <w:spacing w:before="120" w:after="120"/>
        <w:ind w:left="992" w:hanging="992"/>
        <w:contextualSpacing w:val="0"/>
        <w:rPr>
          <w:szCs w:val="24"/>
        </w:rPr>
      </w:pPr>
      <w:r w:rsidRPr="005D022C">
        <w:rPr>
          <w:rFonts w:eastAsia="Calibri"/>
        </w:rPr>
        <w:t xml:space="preserve">Taigi, teisėjų kolegija konstatuoja, kad byloje surinkti įrodymai patvirtina, jog komendanto valandos įgyvendinime dalyvavo Vilniaus įgulos kariškiai, kuriems vadovavo V. U. 1, kaip vyriausias įgulos karinis pareigūnas – Vilniaus įgulos viršininkas, ir G. B. kaip karinis komendantas, </w:t>
      </w:r>
      <w:r w:rsidRPr="005D022C">
        <w:t>veikdamas tiek pagal įgulos viršininko įsakymą, tiek jo vardu, kaip tą numatė jau aptartos TSRS ginkluotųjų pajėgų įgulos tarnybos ir sargybos statuto nuostatos</w:t>
      </w:r>
      <w:r w:rsidRPr="005D022C">
        <w:rPr>
          <w:szCs w:val="24"/>
        </w:rPr>
        <w:t xml:space="preserve">. </w:t>
      </w:r>
    </w:p>
    <w:p w:rsidR="00DA38E9" w:rsidRPr="005D022C" w:rsidRDefault="00DA38E9" w:rsidP="00E0397A">
      <w:pPr>
        <w:pStyle w:val="ListParagraph"/>
        <w:numPr>
          <w:ilvl w:val="0"/>
          <w:numId w:val="6"/>
        </w:numPr>
        <w:spacing w:before="120" w:after="120"/>
        <w:ind w:left="992" w:hanging="992"/>
        <w:contextualSpacing w:val="0"/>
      </w:pPr>
      <w:r w:rsidRPr="005D022C">
        <w:rPr>
          <w:rFonts w:eastAsia="Calibri"/>
        </w:rPr>
        <w:t xml:space="preserve">G. B. gynėjo argumentai, kad tuo metu Lietuvoje buvo dislokuota daug kitų dalinių ir jie taip pat dalyvavo komendanto valandos įgyvendinime, neturi esminės reikšmės, nes TSRS ginkluotųjų pajėgų įgulos, kaip byloje detaliai paaiškino liudytojas S. N. (t. 474, b. l. 42) ir kaip matyti iš </w:t>
      </w:r>
      <w:r w:rsidRPr="005D022C">
        <w:t>TSRS ginkluotųjų pajėgų įgulos tarnybos ir sargybos statuto (t. 506, b. l. 107–120)</w:t>
      </w:r>
      <w:r w:rsidRPr="005D022C">
        <w:rPr>
          <w:rFonts w:eastAsia="Calibri"/>
        </w:rPr>
        <w:t>, tai teritoriniu principu veikiantis karinis vienetas, o ne tam tikrų karinių pajėgų vienetas, todėl komendanto valandos metu veikę kariškiai, net jei buvo iš skirtingų dalinių, buvo pavaldūs Vilniaus įgulai ir Vilniaus įgulos viršininkui, t. y. V. U. 1 (Lietuva buvo paskirstyta įgulomis, TSRS GM 107-oji divizija pagal teritorinį principą priklausė Vilniaus įgulai ir buvo didžiausias karinis vienetas, todėl V. U. 1, kaip didžiausio karinio vieneto vadas buvo ir Vilniaus įgulos viršininkas), bei jo įsakymus įgyvendinusiam ir jo vardu veikusiam Vilniaus įgulos kariniam komendantui G. B..</w:t>
      </w:r>
    </w:p>
    <w:p w:rsidR="00DA38E9" w:rsidRPr="00C00255" w:rsidRDefault="00DA38E9" w:rsidP="00DA38E9">
      <w:pPr>
        <w:pStyle w:val="ListParagraph"/>
        <w:numPr>
          <w:ilvl w:val="0"/>
          <w:numId w:val="6"/>
        </w:numPr>
        <w:spacing w:before="120" w:after="120"/>
        <w:ind w:left="992" w:hanging="992"/>
        <w:contextualSpacing w:val="0"/>
        <w:rPr>
          <w:szCs w:val="24"/>
        </w:rPr>
      </w:pPr>
      <w:r w:rsidRPr="00E0397A">
        <w:rPr>
          <w:rFonts w:eastAsia="Calibri"/>
        </w:rPr>
        <w:t>Šiame kontekste, taip pat vertinant ir nuteistojo B. S. gynėjos argumentus apie kariškių iš Pskovo bei nuteistojo B. S. nedalyvavimą komendanto valandos metu, pastebėtina, kad TSRS VSK specialiosios paskirties grupė „A“ iš Lietuvos lėktuvu išskrido 1991 m. sausio 14 d. (</w:t>
      </w:r>
      <w:r w:rsidRPr="00E0397A">
        <w:t xml:space="preserve">Valstybės saugumo departamento prie Lietuvos Respublikos Vyriausybės 1991 m. liepos 11 d. Lietuvos Respublikos generaliniam prokurorui pateikti duomenys, </w:t>
      </w:r>
      <w:r w:rsidRPr="00E0397A">
        <w:rPr>
          <w:rFonts w:eastAsia="Calibri"/>
        </w:rPr>
        <w:t>charakterizuojantys situaciją Lietuvoje 1991 m. sausio 1–18 dienomis (t. 298, b. l. 89–102), o iš Pskovo perdislokuoti daliniai savo užduotis Vilniuje baigė 1991 m. sausio 17 d. (2014 m. birželio 10 d. specialisto išvada (t. 480, b. l. 41).</w:t>
      </w:r>
      <w:r w:rsidRPr="00E0397A">
        <w:t xml:space="preserve"> </w:t>
      </w:r>
      <w:r w:rsidRPr="00C00255">
        <w:rPr>
          <w:szCs w:val="24"/>
        </w:rPr>
        <w:t xml:space="preserve">Šių dalinių kariams ar jiems vadovavusiems karininkams, kaip apeliacinės instancijos teismo posėdyje pabrėžė ir prokurorai, byloje nebuvo inkriminuoti jokie konkretūs veiksmai po jų išvykimo, vykdant komendanto valandą, todėl ir šia prasme byloje nustatytos faktinės aplinkybės, nurodant, kad komendanto valandos metu veikė būtent nenustatyti teritorinio vieneto, t. y. Vilniaus įgulos kariškiai, o ne kurio nors kito konkretaus karinio dalinio kariškiai, yra pagrįstos. Toks TSRS ginkluotųjų pajėgų suskirstymas teritoriniu principu paaiškina ir kartu paneigia nuteistojo </w:t>
      </w:r>
      <w:r>
        <w:rPr>
          <w:szCs w:val="24"/>
        </w:rPr>
        <w:t>G. B.</w:t>
      </w:r>
      <w:r w:rsidRPr="00C00255">
        <w:rPr>
          <w:szCs w:val="24"/>
        </w:rPr>
        <w:t xml:space="preserve"> gynėjo argumentus apie tariamai esantį loginį prieštaravimą – jei kariškiai nenustatyti, kaip galima nustatyti jiems vadovavusį asmenį, nes visi Vilniaus įgulos kariškiai buvo pavaldūs Vilniaus įgulos viršininkui </w:t>
      </w:r>
      <w:r>
        <w:rPr>
          <w:szCs w:val="24"/>
        </w:rPr>
        <w:t>V. U. 1</w:t>
      </w:r>
      <w:r w:rsidRPr="00C00255">
        <w:rPr>
          <w:szCs w:val="24"/>
        </w:rPr>
        <w:t xml:space="preserve">, o komendanto valandos metu ir vadovaujančius įgaliojimus turėjusiam Vilniaus įgulos kariniam komendantui </w:t>
      </w:r>
      <w:r>
        <w:rPr>
          <w:szCs w:val="24"/>
        </w:rPr>
        <w:t>G. B.</w:t>
      </w:r>
      <w:r w:rsidRPr="00C00255">
        <w:rPr>
          <w:szCs w:val="24"/>
        </w:rPr>
        <w:t>.</w:t>
      </w:r>
    </w:p>
    <w:p w:rsidR="00DA38E9" w:rsidRPr="00C00255" w:rsidRDefault="00DA38E9" w:rsidP="00DA38E9">
      <w:pPr>
        <w:pStyle w:val="Heading3"/>
        <w:spacing w:before="120" w:after="120"/>
        <w:ind w:firstLine="992"/>
        <w:jc w:val="both"/>
        <w:rPr>
          <w:rFonts w:eastAsia="Calibri"/>
          <w:b w:val="0"/>
          <w:i/>
          <w:sz w:val="24"/>
          <w:lang w:val="lt-LT"/>
        </w:rPr>
      </w:pPr>
      <w:bookmarkStart w:id="758" w:name="_Toc67677409"/>
      <w:bookmarkStart w:id="759" w:name="_Toc67985537"/>
      <w:r w:rsidRPr="00C00255">
        <w:rPr>
          <w:b w:val="0"/>
          <w:i/>
          <w:sz w:val="24"/>
          <w:lang w:val="lt-LT"/>
        </w:rPr>
        <w:t xml:space="preserve">Dėl </w:t>
      </w:r>
      <w:r>
        <w:rPr>
          <w:b w:val="0"/>
          <w:i/>
          <w:sz w:val="24"/>
          <w:lang w:val="lt-LT"/>
        </w:rPr>
        <w:t>J. T.</w:t>
      </w:r>
      <w:r w:rsidRPr="00C00255">
        <w:rPr>
          <w:b w:val="0"/>
          <w:i/>
          <w:sz w:val="24"/>
          <w:lang w:val="lt-LT"/>
        </w:rPr>
        <w:t xml:space="preserve"> nužudymo komendanto valandos metu</w:t>
      </w:r>
      <w:bookmarkEnd w:id="758"/>
      <w:bookmarkEnd w:id="759"/>
    </w:p>
    <w:p w:rsidR="00E0397A" w:rsidRPr="005D022C" w:rsidRDefault="00DA38E9" w:rsidP="00E0397A">
      <w:pPr>
        <w:pStyle w:val="NormalWeb"/>
        <w:numPr>
          <w:ilvl w:val="0"/>
          <w:numId w:val="6"/>
        </w:numPr>
        <w:spacing w:before="120" w:beforeAutospacing="0" w:after="120" w:afterAutospacing="0"/>
        <w:ind w:left="992" w:hanging="992"/>
      </w:pPr>
      <w:r w:rsidRPr="005D022C">
        <w:t xml:space="preserve">Iš pirmosios instancijos teismo nuosprendžio nustatomojoje dalyje nurodytų faktinių aplinkybių aprašymo matyti, kad 1991 m. sausio 29 d. apie 2 val. nenustatyti Vilniaus įgulos kariškiai sustabdė J. T. vairuotą automobilį, kuriame buvo dar trys civiliai asmenys. Kai </w:t>
      </w:r>
      <w:r w:rsidRPr="005D022C">
        <w:rPr>
          <w:rFonts w:eastAsia="Calibri"/>
        </w:rPr>
        <w:t>J. T., siekdamas išvengti vykdomo prievartinio šauktinių ėmimo į TSRS kariuomenę, bandė automobiliu pasišalinti iš sulaikymo vietos, nenustatyti kariškiai tyčia iš automatinių ginklų apšaudė J. T. vairuotą automobilį, naudojant tarptautinių sutarčių uždraustus 5,45 mm kalibro šovinius su išcentruota kulka, ir peršovė J. T. galvą, dėl ko pastarasis nuo šautinio galvos sužeidimo mirė, t. y. tyčia nužudė J. T.</w:t>
      </w:r>
      <w:r w:rsidR="00E0397A" w:rsidRPr="005D022C">
        <w:rPr>
          <w:rFonts w:eastAsia="Calibri"/>
        </w:rPr>
        <w:t>.</w:t>
      </w:r>
    </w:p>
    <w:p w:rsidR="00E0397A" w:rsidRDefault="00DA38E9" w:rsidP="00E0397A">
      <w:pPr>
        <w:pStyle w:val="NormalWeb"/>
        <w:numPr>
          <w:ilvl w:val="0"/>
          <w:numId w:val="6"/>
        </w:numPr>
        <w:spacing w:before="120" w:beforeAutospacing="0" w:after="120" w:afterAutospacing="0"/>
        <w:ind w:left="992" w:hanging="992"/>
      </w:pPr>
      <w:r w:rsidRPr="00E0397A">
        <w:rPr>
          <w:rFonts w:eastAsia="Calibri"/>
        </w:rPr>
        <w:t xml:space="preserve">Apeliaciniuose skunduose nėra ginčijamas pats J. T. nužudymo faktas, tačiau teigiama, kad išvada, jog J. T. nužudė Vilniaus įgulos kariškiai yra pagrįsta tik prielaidomis. </w:t>
      </w:r>
    </w:p>
    <w:p w:rsidR="00DA38E9" w:rsidRPr="005D022C" w:rsidRDefault="00DA38E9" w:rsidP="00E0397A">
      <w:pPr>
        <w:pStyle w:val="NormalWeb"/>
        <w:numPr>
          <w:ilvl w:val="0"/>
          <w:numId w:val="6"/>
        </w:numPr>
        <w:spacing w:before="120" w:beforeAutospacing="0" w:after="120" w:afterAutospacing="0"/>
        <w:ind w:left="992" w:hanging="992"/>
      </w:pPr>
      <w:r w:rsidRPr="005D022C">
        <w:rPr>
          <w:rFonts w:eastAsia="Calibri"/>
        </w:rPr>
        <w:t>Vilniaus įgulos kariškių dalyvavimas komendanto valandos užtikrinime ir įgyvendinime jau aptartas ankstesnėje dalyje „</w:t>
      </w:r>
      <w:r w:rsidRPr="005D022C">
        <w:rPr>
          <w:rFonts w:eastAsia="Calibri"/>
          <w:i/>
        </w:rPr>
        <w:t xml:space="preserve">Dėl nenustatytų Vilniaus įgulos kariškių dalyvavimo komendanto valandoje”, </w:t>
      </w:r>
      <w:r w:rsidRPr="005D022C">
        <w:rPr>
          <w:rFonts w:eastAsia="Calibri"/>
        </w:rPr>
        <w:t>o</w:t>
      </w:r>
      <w:r w:rsidRPr="005D022C">
        <w:rPr>
          <w:rFonts w:eastAsia="Calibri"/>
          <w:i/>
        </w:rPr>
        <w:t xml:space="preserve"> </w:t>
      </w:r>
      <w:r w:rsidRPr="005D022C">
        <w:t xml:space="preserve">išvadą, kad būtent šiai įgulai priklausę TSRS kariškiai J. T. vairuojamą automobilį sustabdė, atliko automobilio ir kitų trijų kartu važiavusių civilių asmenų patikrą, juos sulaikė ir apšaudė J. T. vairuotą automobilį, dėl ko J. T. buvo padarytas šautinis galvos sužalojimas, nuo kurio vėliau jis mirė, patvirtina objektyvūs bylos įrodymai. </w:t>
      </w:r>
    </w:p>
    <w:p w:rsidR="00DA38E9" w:rsidRPr="00E0397A" w:rsidRDefault="00DA38E9" w:rsidP="00DA38E9">
      <w:pPr>
        <w:pStyle w:val="NormalWeb"/>
        <w:numPr>
          <w:ilvl w:val="0"/>
          <w:numId w:val="6"/>
        </w:numPr>
        <w:spacing w:before="120" w:beforeAutospacing="0" w:after="120" w:afterAutospacing="0"/>
        <w:ind w:left="992" w:hanging="992"/>
      </w:pPr>
      <w:r w:rsidRPr="00C00255">
        <w:t xml:space="preserve">Aplinkybę, kad </w:t>
      </w:r>
      <w:r>
        <w:t>J. T.</w:t>
      </w:r>
      <w:r w:rsidRPr="00C00255">
        <w:t xml:space="preserve"> vairuotą automobilį patikrinimui sustabdė TSRS kariškiai, o </w:t>
      </w:r>
      <w:r>
        <w:t>J. T.</w:t>
      </w:r>
      <w:r w:rsidRPr="00C00255">
        <w:t xml:space="preserve"> bandant išvažiuoti iš patikros vietos, vienas kariškis iš automato kelis kartus šovė į automobilį, patvirtino teisiamajame posėdyje apklaustas liudytojas R. D</w:t>
      </w:r>
      <w:r>
        <w:t>.</w:t>
      </w:r>
      <w:r w:rsidRPr="00C00255">
        <w:t xml:space="preserve">, važiavęs kartu su </w:t>
      </w:r>
      <w:r>
        <w:t>J. T.</w:t>
      </w:r>
      <w:r w:rsidRPr="00C00255">
        <w:t>. Liudytojas taip pat nurodė, kad patikrinimo poste stovėjo tanketės, o vėliau jis kartu su kitais keleiviais buvo nuvežtas į Vilniaus miesto komendantūrą (t. 760,</w:t>
      </w:r>
      <w:r>
        <w:t xml:space="preserve"> </w:t>
      </w:r>
      <w:r w:rsidRPr="00C00255">
        <w:t>b. l.</w:t>
      </w:r>
      <w:r>
        <w:t> </w:t>
      </w:r>
      <w:r w:rsidRPr="00C00255">
        <w:rPr>
          <w:color w:val="000000" w:themeColor="text1"/>
        </w:rPr>
        <w:t>192–194</w:t>
      </w:r>
      <w:r w:rsidRPr="00C00255">
        <w:t>). Šių liudytojo R. D</w:t>
      </w:r>
      <w:r>
        <w:t>.</w:t>
      </w:r>
      <w:r w:rsidRPr="00C00255">
        <w:t xml:space="preserve"> parodymų patikimumą patvirtina ir kartu važiavusio liudytojo A.</w:t>
      </w:r>
      <w:r>
        <w:t> </w:t>
      </w:r>
      <w:r w:rsidRPr="00C00255">
        <w:rPr>
          <w:color w:val="000000" w:themeColor="text1"/>
        </w:rPr>
        <w:t>K</w:t>
      </w:r>
      <w:r>
        <w:rPr>
          <w:color w:val="000000" w:themeColor="text1"/>
        </w:rPr>
        <w:t>.</w:t>
      </w:r>
      <w:r w:rsidRPr="00C00255">
        <w:rPr>
          <w:color w:val="000000" w:themeColor="text1"/>
        </w:rPr>
        <w:t xml:space="preserve"> (A.</w:t>
      </w:r>
      <w:r>
        <w:rPr>
          <w:color w:val="000000" w:themeColor="text1"/>
        </w:rPr>
        <w:t> </w:t>
      </w:r>
      <w:r w:rsidRPr="00C00255">
        <w:rPr>
          <w:color w:val="000000" w:themeColor="text1"/>
        </w:rPr>
        <w:t>J</w:t>
      </w:r>
      <w:r>
        <w:rPr>
          <w:color w:val="000000" w:themeColor="text1"/>
        </w:rPr>
        <w:t>.</w:t>
      </w:r>
      <w:r w:rsidRPr="00C00255">
        <w:rPr>
          <w:color w:val="000000" w:themeColor="text1"/>
        </w:rPr>
        <w:t xml:space="preserve">) </w:t>
      </w:r>
      <w:r w:rsidRPr="00C00255">
        <w:t>ikiteisminio tyrimo metu duoti parodymai, kurie, liudytojui mirus, buvo paskelbti teisiamajame posėdyje (t. 760, b. l. 164; t</w:t>
      </w:r>
      <w:r>
        <w:t>. 160, b. l. 14). Liudytojas A. </w:t>
      </w:r>
      <w:r w:rsidRPr="00C00255">
        <w:t>K</w:t>
      </w:r>
      <w:r>
        <w:t>.</w:t>
      </w:r>
      <w:r w:rsidRPr="00C00255">
        <w:t xml:space="preserve"> (A. J</w:t>
      </w:r>
      <w:r>
        <w:t>.</w:t>
      </w:r>
      <w:r w:rsidRPr="00C00255">
        <w:t xml:space="preserve">) </w:t>
      </w:r>
      <w:r w:rsidRPr="00E0397A">
        <w:t>taip pat nurodė, kad</w:t>
      </w:r>
      <w:r w:rsidRPr="00E0397A">
        <w:rPr>
          <w:rFonts w:eastAsia="Calibri"/>
        </w:rPr>
        <w:t xml:space="preserve"> sušaudytas automobilis buvo nuvežtas į komendantūrą. Aplinkybę, kad J. T. vairuotas automobilis buvo nuvežtas į Vilniaus miesto komendantūrą patvirtina ir nužudytojo J. T. tėvo A. T. ir motinos G. V. T. ikiteisminio tyrimo metu duoti parodymai, kurie buvo paskelbti teisiamajame posėdyje. Nukentėjusieji nurodė, kad aiškintis dėl J. T. nužudymo važiavo į Vilniaus miesto komendantūrą, ten matė sušaudytą automobilį, kuris vėliau jiems buvo grąžintas. Komendantūroje jų atsiprašė dėl įvykio su sūnumi (t. 760, b. l. 173, t. 160, b. l. 80–81, 83–86, 101</w:t>
      </w:r>
      <w:r w:rsidRPr="00E0397A">
        <w:t xml:space="preserve">–102). </w:t>
      </w:r>
    </w:p>
    <w:p w:rsidR="00DA38E9" w:rsidRPr="00C00255" w:rsidRDefault="00DA38E9" w:rsidP="00DA38E9">
      <w:pPr>
        <w:pStyle w:val="NormalWeb"/>
        <w:numPr>
          <w:ilvl w:val="0"/>
          <w:numId w:val="6"/>
        </w:numPr>
        <w:spacing w:before="120" w:beforeAutospacing="0" w:after="120" w:afterAutospacing="0"/>
        <w:ind w:left="992" w:hanging="992"/>
      </w:pPr>
      <w:r w:rsidRPr="00C00255">
        <w:t>Liudytojų R. D</w:t>
      </w:r>
      <w:r>
        <w:t>.</w:t>
      </w:r>
      <w:r w:rsidRPr="00C00255">
        <w:t xml:space="preserve"> ir A. K</w:t>
      </w:r>
      <w:r>
        <w:t>.</w:t>
      </w:r>
      <w:r w:rsidRPr="00C00255">
        <w:t xml:space="preserve"> (A. J</w:t>
      </w:r>
      <w:r>
        <w:t>.</w:t>
      </w:r>
      <w:r w:rsidRPr="00C00255">
        <w:t xml:space="preserve">) nurodytos aplinkybės, kad į </w:t>
      </w:r>
      <w:r>
        <w:t>J. T.</w:t>
      </w:r>
      <w:r w:rsidRPr="00C00255">
        <w:t xml:space="preserve"> iš automato šovė kariškis, užfiksuotos ir 1991 m. sausio 29 d. milicijos pareigūno pranešime (t. 160, b. l. 13). </w:t>
      </w:r>
      <w:r>
        <w:t>J. T.</w:t>
      </w:r>
      <w:r w:rsidRPr="00C00255">
        <w:t xml:space="preserve"> sužalojimai ir mirties priežastis išdėstyti eksperto išvadoje, kurioje nurodyta, kad </w:t>
      </w:r>
      <w:r>
        <w:t>J. T.</w:t>
      </w:r>
      <w:r w:rsidRPr="00C00255">
        <w:t xml:space="preserve"> mirė nuo šautinio galvos sužeidimo, t. y. kaukolės kaulo lūžių ir galvos smegenų suardymo, sužalojimas padarytas rankinio šaunamojo ginklo šūviu, tai galėjo būti automatas (t. 160, b. l. 29–43). Balistinės ekspertizės metu patvirtinta, kad kulkos dalis, išimta iš </w:t>
      </w:r>
      <w:r>
        <w:t>J. T.</w:t>
      </w:r>
      <w:r w:rsidRPr="00C00255">
        <w:t xml:space="preserve"> galvos, ir dvi kulkos dalys, išimtos iš jo vairuoto automobilio, yra 5,45 mm kalibro šovinių, skirtų automatams „AK–74“ („AKS–74“, „AKS–74U“) ir kulkosvaidžiams „RPK–74“, kulkų šerdys (t. 160, b. l. 68–79).</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TSRS kariuomenės atstovai neneigė fakto, kad patruliavimo metu buvo šaudoma į </w:t>
      </w:r>
      <w:r>
        <w:t>J. T.</w:t>
      </w:r>
      <w:r w:rsidRPr="00C00255">
        <w:t xml:space="preserve"> </w:t>
      </w:r>
      <w:r w:rsidRPr="00DA55E1">
        <w:t>vairuotą automobilį, tačiau siekė pateikti kitokias mirtinų sužalojimų padarymo aplinkybes ir priežastis nei nustatytos byloje. Pabaltijo karinės apygardos štabo karo tarnybos viršininko N. N</w:t>
      </w:r>
      <w:r>
        <w:t>.</w:t>
      </w:r>
      <w:r w:rsidRPr="00DA55E1">
        <w:t xml:space="preserve"> 1991 m. kovo 6 d. pažymoje nurodyta, kad 1991 m. sausio 29 d. kelyje Vilnius–Kaunas budėjo </w:t>
      </w:r>
      <w:r w:rsidRPr="00C00255">
        <w:rPr>
          <w:color w:val="000000" w:themeColor="text1"/>
        </w:rPr>
        <w:t xml:space="preserve">patrulinės tarnybos sargybiniai, kurie sustabdė „Žigulius“. </w:t>
      </w:r>
      <w:r>
        <w:rPr>
          <w:color w:val="000000" w:themeColor="text1"/>
        </w:rPr>
        <w:t>J. T.</w:t>
      </w:r>
      <w:r w:rsidRPr="00C00255">
        <w:rPr>
          <w:color w:val="000000" w:themeColor="text1"/>
        </w:rPr>
        <w:t xml:space="preserve"> vairavo pavogtą automobilį neblaivus</w:t>
      </w:r>
      <w:r w:rsidRPr="00C00255">
        <w:t xml:space="preserve">, turėjo tik vairuotojo pažymėjimą ir bandė pasišalinti iš įvykio vietos, nepaisydamas perspėjamųjų šūvių, po kurių šovus į automobilio ratus, rikošetavusi kulka pataikė jam į pakaušio sritį. Nuvežus jį į ligoninę, gydytojai konstatavo liestinį, nepavojingą gyvybei sužeidimą (t. 156, b. l. 52–55). Teisėjų kolegijos vertinimu, ankščiau aptarti įrodymai paneigia šioje pažymoje nurodytas </w:t>
      </w:r>
      <w:r>
        <w:t>J. T.</w:t>
      </w:r>
      <w:r w:rsidRPr="00C00255">
        <w:t xml:space="preserve"> sustabdymo ir sužalojimo aplinkybes bei tariamą sužalojimų nepavojingumą gyvybei. Teisėjų kolegijos vertinimu, šioje pažymoje, kaip ir dalyje kitų šioje byloje esančių TSRS pareigūnų pažymų, kurios šiame sprendime jau aptartos (pvz., analizuojant A. P. K</w:t>
      </w:r>
      <w:r>
        <w:t>.</w:t>
      </w:r>
      <w:r w:rsidRPr="00C00255">
        <w:t>, I. Š</w:t>
      </w:r>
      <w:r>
        <w:t>.</w:t>
      </w:r>
      <w:r w:rsidRPr="00C00255">
        <w:t>, D. G</w:t>
      </w:r>
      <w:r>
        <w:t>.</w:t>
      </w:r>
      <w:r w:rsidRPr="00C00255">
        <w:t>, V. J. V</w:t>
      </w:r>
      <w:r>
        <w:t>.</w:t>
      </w:r>
      <w:r w:rsidRPr="00C00255">
        <w:t xml:space="preserve"> nužudymų aplinkybes), pateikiant klaidingą informacija, buvo siekiama sumenkinti TSRS kariškių veiksmų pavojingumą, pateisinti kariškių veiksmus bei siekiama netirti tikrųjų TSRS kariškių veiksmų patruliavimo metu, neigiant akivaizdžius faktus dėl asmens mirties bei teigiant melagingus faktus apie automobilio vagystę ir pan.</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Taigi, ankščiau aptarti įrodymai patvirtina, kad pirmosios instancijos teismo išvada, jog </w:t>
      </w:r>
      <w:r>
        <w:t>J. T.</w:t>
      </w:r>
      <w:r w:rsidRPr="00C00255">
        <w:t xml:space="preserve"> mirė nuo šautinio galvos sužalojimo, kurį kaltinime nurodytomis aplinkybėmis padarė nenustatyti TSRS kariškiai, kurie pagal visumą byloje konstatuotų faktinių aplinkybių priklausė būtent Vilniaus įgulai, yra pagrįsta ir teisinga. </w:t>
      </w:r>
    </w:p>
    <w:p w:rsidR="00DA38E9" w:rsidRPr="00C00255" w:rsidRDefault="00DA38E9" w:rsidP="00DA38E9">
      <w:pPr>
        <w:pStyle w:val="Heading3"/>
        <w:spacing w:before="120" w:after="120"/>
        <w:ind w:left="992"/>
        <w:jc w:val="both"/>
        <w:rPr>
          <w:b w:val="0"/>
          <w:i/>
          <w:sz w:val="24"/>
          <w:lang w:val="lt-LT"/>
        </w:rPr>
      </w:pPr>
      <w:bookmarkStart w:id="760" w:name="_Toc67677410"/>
      <w:bookmarkStart w:id="761" w:name="_Toc67985538"/>
      <w:r w:rsidRPr="00C00255">
        <w:rPr>
          <w:b w:val="0"/>
          <w:i/>
          <w:sz w:val="24"/>
          <w:lang w:val="lt-LT"/>
        </w:rPr>
        <w:t xml:space="preserve">Dėl </w:t>
      </w:r>
      <w:r>
        <w:rPr>
          <w:b w:val="0"/>
          <w:i/>
          <w:sz w:val="24"/>
          <w:lang w:val="lt-LT"/>
        </w:rPr>
        <w:t>R. D.</w:t>
      </w:r>
      <w:r w:rsidRPr="00C00255">
        <w:rPr>
          <w:b w:val="0"/>
          <w:i/>
          <w:sz w:val="24"/>
          <w:lang w:val="lt-LT"/>
        </w:rPr>
        <w:t xml:space="preserve"> sunkaus sveikatos sutrikdymo komendanto valandos metu</w:t>
      </w:r>
      <w:bookmarkEnd w:id="760"/>
      <w:bookmarkEnd w:id="761"/>
    </w:p>
    <w:p w:rsidR="00DA38E9" w:rsidRPr="005D022C" w:rsidRDefault="00DA38E9" w:rsidP="00DA38E9">
      <w:pPr>
        <w:pStyle w:val="NormalWeb"/>
        <w:numPr>
          <w:ilvl w:val="0"/>
          <w:numId w:val="6"/>
        </w:numPr>
        <w:spacing w:before="120" w:beforeAutospacing="0" w:after="120" w:afterAutospacing="0"/>
        <w:ind w:left="992" w:hanging="992"/>
      </w:pPr>
      <w:r w:rsidRPr="005D022C">
        <w:t>Pirmosios instancijos teismo nuosprendyje taip pat konstatuota, kad 1991 m. s</w:t>
      </w:r>
      <w:r w:rsidRPr="005D022C">
        <w:rPr>
          <w:rFonts w:eastAsia="Calibri"/>
        </w:rPr>
        <w:t>ausio 13–14 d. naktį per TSRS kariškių vykdomą ir kontroliuojamą komendanto valandą grupė nenustatytų Vilniaus įgulos kariškių Vilniaus mieste neteisėtai sulaikė R. D. ir kariniu automobiliu nuvežė jį į Vilniaus įgulos karinio komendanto G. B. vadovaujamą Vilniaus įgulos karinę komendantūrą, buvusią T. Kosciuškos g. 1, Vilniuje, kur G. B. pavaldume buvę nenustatyti kariškiai R. D. tyčia sudavė daugybinius smūgius kietais bukais daiktais į įvairias kūno vietas, tuo padarydami pastarajam sunkų sveikatos sutrikdymą,</w:t>
      </w:r>
      <w:r w:rsidRPr="005D022C">
        <w:t xml:space="preserve"> taip pat </w:t>
      </w:r>
      <w:r w:rsidRPr="005D022C">
        <w:rPr>
          <w:rFonts w:eastAsia="Calibri"/>
        </w:rPr>
        <w:t>neteisėtai laikė R. D. sulaikytą apie dvi paras, po ko sausio 17 d. apie 1.00 val. jį surištą atvežė į miško masyvą ir paliko ten pavojingoje gyvybei padėtyje.</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Kaip jau minėta, apeliaciniuose skunduose nėra ginčijamas pats </w:t>
      </w:r>
      <w:r>
        <w:t>R. D.</w:t>
      </w:r>
      <w:r w:rsidRPr="00C00255">
        <w:t xml:space="preserve"> sunkaus sveikatos sutrikdymo faktas, tačiau </w:t>
      </w:r>
      <w:r>
        <w:t>G. B.</w:t>
      </w:r>
      <w:r w:rsidRPr="00C00255">
        <w:t xml:space="preserve"> gynėjas teigia, kad byloje tik prielaidomis grindžiamas faktas, jog </w:t>
      </w:r>
      <w:r>
        <w:t>R. D.</w:t>
      </w:r>
      <w:r w:rsidRPr="00C00255">
        <w:t xml:space="preserve"> sulaikė ir sužalojo </w:t>
      </w:r>
      <w:r>
        <w:t>G. B.</w:t>
      </w:r>
      <w:r w:rsidRPr="00C00255">
        <w:t xml:space="preserve"> pavaldūs kariškiai, be to, pasak gynėjo, </w:t>
      </w:r>
      <w:r>
        <w:t>R. D.</w:t>
      </w:r>
      <w:r w:rsidRPr="00C00255">
        <w:t xml:space="preserve"> apskritai galėjo nurodyti melagingas jo sužalojimo aplinkybes, siekdamas įgyti nukentėjusiojo statusą. Apeliacinės instancijos teismas šiuos argumentus atmeta kaip nepagrįstus.</w:t>
      </w:r>
    </w:p>
    <w:p w:rsidR="00DA38E9" w:rsidRPr="005D022C" w:rsidRDefault="00DA38E9" w:rsidP="00DA38E9">
      <w:pPr>
        <w:pStyle w:val="NormalWeb"/>
        <w:numPr>
          <w:ilvl w:val="0"/>
          <w:numId w:val="6"/>
        </w:numPr>
        <w:spacing w:before="120" w:beforeAutospacing="0" w:after="120" w:afterAutospacing="0"/>
        <w:ind w:left="992" w:hanging="992"/>
      </w:pPr>
      <w:r w:rsidRPr="005D022C">
        <w:rPr>
          <w:rFonts w:eastAsia="Calibri"/>
        </w:rPr>
        <w:t xml:space="preserve">Iš nuoseklių nukentėjusiojo R. D. parodymų, duotų </w:t>
      </w:r>
      <w:r w:rsidRPr="005D022C">
        <w:t xml:space="preserve">ikiteisminio tyrimo metu ir teisiamajame posėdyje, matyti, kad 1991 m. sausio 14 d. naktį jis buvo sulaikytas Vilniuje, Šeškinės mikrorajone. Eidamas matė toliau stovintį karinį automobilį ir kariškius, o kitoje kelio pusėje stovėjo automobilis, iš kurio išlipę civiliniais rūbais apsirengę asmenys jį sulaikė. Jis gavo smūgį į galvą, buvo patalpintas į karinio automobilio kėbulą, kur buvo paguldytas ant grindų kartu su dar penkiais ar šešiais žmonėmis, o kariškiai sėdėjo sudėję kojas ant žmonių. Atvežė į komendantūrą, T. Kosciuškos gatvėje, išlaipino, pastatė prie sienos ir liepė nesižvalgyti, prie tos sienos buvo sustatyta 10-15 žmonių. </w:t>
      </w:r>
      <w:r w:rsidRPr="005D022C">
        <w:rPr>
          <w:color w:val="000000"/>
        </w:rPr>
        <w:t xml:space="preserve">Paėmė visus pas jį rastus dokumentus. Karininkas pažiūrėjo į jo karinį bilietą, pasakė: „mes tave apmokėme, o tu dabar tapai kovotoju prieš mus“. </w:t>
      </w:r>
      <w:r w:rsidRPr="005D022C">
        <w:t>Jam buvo suduotas smūgis į dešinę ausį, po to jį įmetė į kamerą su kitais žmonėmis. Vėliau jį išvedė į kabinetą, pasodino ant taburetės, kuri buvo pritvirtinta prie žemės. Prisistatęs KGB majoru (pavardės neprisimena) civiliais rūbais apsirengęs asmuo klausė, kiek savanorių gina Aukščiausiąją Tarybą, kokia jų ginkluotė. Atsakius, kad nieko nežino, pradėjo mušti. Sekančią parą girti karininkai ištempdavo, sakydami: „fašistai į pasivaikščiojimą“, tačiau jis vaikščioti nebegalėjo, nes kojos ir šonkauliai buvo sulaužyti, sulaužyta kaukolė, dešine akimi nebematė, todėl jį ištempę spardydavo. Komendantūroje buvo laikomas dvi paras. Su juo buvo penkiolika žmonių. Galiausiai juos surišo nugaromis, pylė į burną spiritą, aplaistė, pakrovė į karinę mašiną. Kadangi vėl prarado sąmonę, kiek laiko vežė, nežino. Paskui kažkokioje aikštelėje išmetė lauk. Pajutęs, kad rankos atsilaisvino, pradėjo šliaužti. Tai, kad iššliaužė ant kelio, žino tik iš pasakojimų, pats neatsimena, atsibudo ligoninėje po operacijų (t. 760, b. l. 166–167; t. 500, b. l. 158–160; t. 113, b. l. 18–20).</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Apeliacinės instancijos teismas neturi pagrindo netikėti nuosekliais ir išsamiais nukentėjusiojo parodymais, kadangi juos patvirtina ir rašytiniai bylos įrodymai: nukentėjusiojo </w:t>
      </w:r>
      <w:r>
        <w:t>R. D.</w:t>
      </w:r>
      <w:r w:rsidRPr="00C00255">
        <w:t xml:space="preserve"> gydymo stacionare istorijos bei medicininių dokumentų išrašų kopijos, iš kurių matyti, kad </w:t>
      </w:r>
      <w:r>
        <w:t>R. D.</w:t>
      </w:r>
      <w:r w:rsidRPr="00C00255">
        <w:t xml:space="preserve"> nuo pat pradžių, t. y. nuo jo pristatymo į ligoninę 1991 m. sausio 17 d. nurodė tokias pačias jo užpuolimo ir sužalojimo aplinkybes (t. 501, b. l. 175–208), kurias savo pranešime prokurorui pakartojo ir Vilniaus miesto klinikinės ligoninės neurochirurginio skyriaus gydytojas S. Č</w:t>
      </w:r>
      <w:r>
        <w:t>.</w:t>
      </w:r>
      <w:r w:rsidRPr="00C00255">
        <w:t xml:space="preserve"> (t. 113, b. l. 15–16). </w:t>
      </w:r>
      <w:r>
        <w:t>R. D.</w:t>
      </w:r>
      <w:r w:rsidRPr="00C00255">
        <w:t xml:space="preserve"> padaryti sužalojimai bei jų mastas užfiksuoti ir įvertinti teismo medicinos ekspertizės akte (t. 113, b. l. 24–26) bei specialisto išvadoje (t. 466, b. l. 129–130). Nukentėjusiojo </w:t>
      </w:r>
      <w:r>
        <w:t>R. D.</w:t>
      </w:r>
      <w:r w:rsidRPr="00C00255">
        <w:t xml:space="preserve"> parodymus, kad jis karine mašina buvo atvežtas į nuošalią vietą ir ten išmestas, patvirtina ir įvykio vietos apžiūros protokolas, iš kurio matyti, kad toje vietoje, kurioje buvo rastas sunkiai sužalotas </w:t>
      </w:r>
      <w:r>
        <w:t>R. D.</w:t>
      </w:r>
      <w:r w:rsidRPr="00C00255">
        <w:t xml:space="preserve">, buvo rasti krovininio automobilio privažiavimo ir apsisukimo pėdsakai, ištrypta vietovė bei raudonos spalvos dėmės, panašios į kraują (t. 113, b. l. 4–11). Be to, </w:t>
      </w:r>
      <w:r>
        <w:t>R. D.</w:t>
      </w:r>
      <w:r w:rsidRPr="00C00255">
        <w:t xml:space="preserve"> parodymus apie jo sulaikymo ir sužalojimo aplinkybes iš dalies patvirtina ir prieš tai šioje sprendimo dalyje aptarti bei kiti byloje esantys įrodymai apie po 1991 m. sausio 13 d. TSRS kariškių vykdytus neteisėtus asmenų sulaikymus, prieš juos naudotą smurtą, patyčias bei bauginimo priemones.</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Teisėjų kolegija </w:t>
      </w:r>
      <w:r>
        <w:t>G. B.</w:t>
      </w:r>
      <w:r w:rsidRPr="00C00255">
        <w:t xml:space="preserve"> gynėjo apeliacinio skundo teiginius, kad galimai </w:t>
      </w:r>
      <w:r>
        <w:t>R. D.</w:t>
      </w:r>
      <w:r w:rsidRPr="00C00255">
        <w:t xml:space="preserve"> nurodė neteisingas jo sužalojimo aplinkybes, siekdamas įgyti nukentėjusiojo statusą, laiko niekuo nepagrįstais gynybos svarstymais ir juos atmeta. Pažymėtina, kad </w:t>
      </w:r>
      <w:r>
        <w:t>R. D.</w:t>
      </w:r>
      <w:r w:rsidRPr="00C00255">
        <w:t xml:space="preserve"> buvo sulaikytas 1991 m. sausio 14 d., kai situacija dėl Lietuvos nepriklausomybės išsaugojimo dar buvo trapi, tuo metu </w:t>
      </w:r>
      <w:r>
        <w:t>R. D.</w:t>
      </w:r>
      <w:r w:rsidRPr="00C00255">
        <w:t xml:space="preserve"> dar negalėjo objektyviai tikėtis, kad ateityje Lietuvos Respublika turės galimybę skirti ir skirs tam tikras kompensacijas ar išmokas asmenims, nukentėjusiems nuo TSRS agresijos apie kurias svarsto gynyba. Priešingai – </w:t>
      </w:r>
      <w:r>
        <w:t>R. D.</w:t>
      </w:r>
      <w:r w:rsidRPr="00C00255">
        <w:t xml:space="preserve">, nurodydamas gydytojams, o vėliau ir Lietuvos teisėsaugos pareigūnams aplinkybes, kad jį sužalojo TSRS ginkluotųjų pajėgų atstovai, rizikavo ateityje sulaukti priešiškos reakcijos ir neigiamų pasekmių iš TSRS valdžios institucijų ar jėgos struktūrų. Taigi, apeliacinės instancijos teismas neturi pagrindo abejoti nukentėjusiojo parodymais ir rašytiniais bylos įrodymais, patvirtinančiais, kad </w:t>
      </w:r>
      <w:r>
        <w:t>R. D.</w:t>
      </w:r>
      <w:r w:rsidRPr="00C00255">
        <w:t xml:space="preserve"> buvo neteisėtai sulaikytas ir sunkiai sužalotas TSRS kariškių neteisėtai įvestos komendanto valandos metu. </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Nuteistojo </w:t>
      </w:r>
      <w:r>
        <w:t>G. B.</w:t>
      </w:r>
      <w:r w:rsidRPr="00C00255">
        <w:t xml:space="preserve"> gynėjas apeliaciniame skunde nepripažįsta </w:t>
      </w:r>
      <w:r>
        <w:t>G. B.</w:t>
      </w:r>
      <w:r w:rsidRPr="00C00255">
        <w:t xml:space="preserve"> kaltės dėl </w:t>
      </w:r>
      <w:r>
        <w:t>R. D.</w:t>
      </w:r>
      <w:r w:rsidRPr="00C00255">
        <w:t xml:space="preserve"> neteisėto sulaikymo ir sužalojimo, teigdamas, kad byloje nėra duomenų, jog </w:t>
      </w:r>
      <w:r>
        <w:t>G. B.</w:t>
      </w:r>
      <w:r w:rsidRPr="00C00255">
        <w:t xml:space="preserve"> sausio 13–14 d. buvo komendantūroje ir matė </w:t>
      </w:r>
      <w:r>
        <w:t>R. D.</w:t>
      </w:r>
      <w:r w:rsidRPr="00C00255">
        <w:t xml:space="preserve">. Be to, gynėjo teigimu, </w:t>
      </w:r>
      <w:r>
        <w:t>R. D.</w:t>
      </w:r>
      <w:r w:rsidRPr="00C00255">
        <w:t xml:space="preserve"> galimai sulaikė ir prieš jį smurtavo komendantūroje buvę kiti (</w:t>
      </w:r>
      <w:r>
        <w:t>G. B.</w:t>
      </w:r>
      <w:r w:rsidRPr="00C00255">
        <w:t xml:space="preserve"> nepavaldūs) kariškiai. </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Teisėjų kolegija sutinka, kad byloje nėra tiesioginių įrodymų, patvirtinančių, jog </w:t>
      </w:r>
      <w:r>
        <w:t>G. B.</w:t>
      </w:r>
      <w:r w:rsidRPr="00C00255">
        <w:t xml:space="preserve"> fiziškai komendantūroje matė sulaikytąjį </w:t>
      </w:r>
      <w:r>
        <w:t>R. D.</w:t>
      </w:r>
      <w:r w:rsidRPr="00C00255">
        <w:t xml:space="preserve">, tačiau faktą, kad sausio 14–17 dienomis tam tikru laiku </w:t>
      </w:r>
      <w:r>
        <w:t>G. B.</w:t>
      </w:r>
      <w:r w:rsidRPr="00C00255">
        <w:t xml:space="preserve"> buvo</w:t>
      </w:r>
      <w:r w:rsidRPr="00C00255">
        <w:rPr>
          <w:rFonts w:eastAsiaTheme="minorHAnsi"/>
          <w:lang w:eastAsia="en-US"/>
        </w:rPr>
        <w:t xml:space="preserve"> </w:t>
      </w:r>
      <w:r w:rsidRPr="00C00255">
        <w:t>Vilniaus įgulos komendantūroje, patvirtina „Karinės komendantūros kariškių sulaikytų asmenų</w:t>
      </w:r>
      <w:r w:rsidRPr="00C00255">
        <w:rPr>
          <w:color w:val="FF0000"/>
        </w:rPr>
        <w:t xml:space="preserve"> </w:t>
      </w:r>
      <w:r w:rsidRPr="00C00255">
        <w:t xml:space="preserve">ir komendanto valandos pažeidėjų sąrašas“, kurio punktuose Nr. 3 ir Nr. 4 prie šiuose punktuose įvardintų sulaikytų asmenų nurodyta, kad šių sulaikytųjų padarytų pažeidimų aplinkybes 1991 m. sausio 15 d. aiškinosi Vilniaus įgulos karinis komendantas. Taip pat sąrašo punkte Nr. 9 nurodyta, kad 1991 m. sausio 17 d. buvo priimtas karinio komendanto aktas dėl dujų balionėlių perdavimo k/d 22238 (t. 191, b. l. 228–233), kas taip pat liudija, jog tuo metu </w:t>
      </w:r>
      <w:r>
        <w:t>G. B.</w:t>
      </w:r>
      <w:r w:rsidRPr="00C00255">
        <w:t xml:space="preserve"> buvo karinėje komendantūroje. Kaip jau aptarta šio sprendimo dalyje </w:t>
      </w:r>
      <w:r w:rsidRPr="00C00255">
        <w:rPr>
          <w:i/>
        </w:rPr>
        <w:t xml:space="preserve">„Dėl nuteistojo </w:t>
      </w:r>
      <w:r>
        <w:rPr>
          <w:i/>
        </w:rPr>
        <w:t>G. B.</w:t>
      </w:r>
      <w:r w:rsidRPr="00C00255">
        <w:rPr>
          <w:i/>
        </w:rPr>
        <w:t xml:space="preserve"> vaidmens įgyvendinant komendanto valandą“,</w:t>
      </w:r>
      <w:r w:rsidRPr="00C00255">
        <w:t xml:space="preserve"> yra įrodyta, kad tuo metu Vilniaus įgulos kariniu komendantu buvo </w:t>
      </w:r>
      <w:r>
        <w:t>G. B.</w:t>
      </w:r>
      <w:r w:rsidRPr="00C00255">
        <w:t xml:space="preserve">. Be to, bylos duomenys patvirtina, kad </w:t>
      </w:r>
      <w:r>
        <w:t>G. B.</w:t>
      </w:r>
      <w:r w:rsidRPr="00C00255">
        <w:t xml:space="preserve"> gyvenamoji vieta buvo komendantūroje, adresu T. Kosciuškos g. 1, Vilniuje. Tokį savo gyvenamosios vietos adresą nurodė pats </w:t>
      </w:r>
      <w:r>
        <w:t>G. B.</w:t>
      </w:r>
      <w:r w:rsidRPr="00C00255">
        <w:t xml:space="preserve"> apklausiamas ikiteisminio tyrimo metu (1991 m. sausio 19 d. </w:t>
      </w:r>
      <w:r>
        <w:t>G. B.</w:t>
      </w:r>
      <w:r w:rsidRPr="00C00255">
        <w:t xml:space="preserve"> kaip liudytojo apklausos protokola</w:t>
      </w:r>
      <w:r w:rsidR="00DA2EF1">
        <w:t>s (t. 114, b. l. 152–155); 1991 m. </w:t>
      </w:r>
      <w:r w:rsidRPr="00C00255">
        <w:t xml:space="preserve">rugpjūčio 30 d. </w:t>
      </w:r>
      <w:r>
        <w:t>G. B.</w:t>
      </w:r>
      <w:r w:rsidRPr="00C00255">
        <w:t xml:space="preserve"> kaip liudytojo apklausos protokolas (t. 523, b. l. 28–44).  </w:t>
      </w:r>
    </w:p>
    <w:p w:rsidR="00DA38E9" w:rsidRPr="00C00255" w:rsidRDefault="00DA38E9" w:rsidP="00DA38E9">
      <w:pPr>
        <w:pStyle w:val="NormalWeb"/>
        <w:numPr>
          <w:ilvl w:val="0"/>
          <w:numId w:val="6"/>
        </w:numPr>
        <w:spacing w:before="120" w:beforeAutospacing="0" w:after="120" w:afterAutospacing="0"/>
        <w:ind w:left="992" w:hanging="992"/>
        <w:rPr>
          <w:color w:val="000000" w:themeColor="text1"/>
        </w:rPr>
      </w:pPr>
      <w:r w:rsidRPr="00C00255">
        <w:rPr>
          <w:color w:val="000000" w:themeColor="text1"/>
        </w:rPr>
        <w:t xml:space="preserve">Taigi, byloje pasitvirtino pirmosios instancijos teismo konstatuotas faktas, kad </w:t>
      </w:r>
      <w:r>
        <w:rPr>
          <w:color w:val="000000" w:themeColor="text1"/>
        </w:rPr>
        <w:t>G. B.</w:t>
      </w:r>
      <w:r w:rsidRPr="00C00255">
        <w:rPr>
          <w:color w:val="000000" w:themeColor="text1"/>
        </w:rPr>
        <w:t xml:space="preserve"> ir po Sausio 13-osios įvykių, t. y. ir </w:t>
      </w:r>
      <w:r>
        <w:rPr>
          <w:color w:val="000000" w:themeColor="text1"/>
        </w:rPr>
        <w:t>R. D.</w:t>
      </w:r>
      <w:r w:rsidRPr="00C00255">
        <w:rPr>
          <w:color w:val="000000" w:themeColor="text1"/>
        </w:rPr>
        <w:t xml:space="preserve"> neteisėto sulaikymo bei sunkaus jo sveikatos sutrikdymo, ir </w:t>
      </w:r>
      <w:r>
        <w:rPr>
          <w:color w:val="000000" w:themeColor="text1"/>
        </w:rPr>
        <w:t>J. T.</w:t>
      </w:r>
      <w:r w:rsidRPr="00C00255">
        <w:rPr>
          <w:color w:val="000000" w:themeColor="text1"/>
        </w:rPr>
        <w:t xml:space="preserve"> nužudymo metu, ėjo Vilniaus įgulos karinio komendanto pareigas, o jam kaip vyriausiam karinės komendantūros karininkui negalėjo būti nežinoma apie neteisėtai sulaikomus asmenis ir neteisėtus kariškių veiksmus su jais. </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Gynėjo skundo argumentas, kad byloje nagrinėjamų įvykių metu Lietuvoje buvo dislokuota daug įvairaus pavaldumo karinių dalinių, o komendantūroje budėjo ir </w:t>
      </w:r>
      <w:r>
        <w:t>G. B.</w:t>
      </w:r>
      <w:r w:rsidRPr="00C00255">
        <w:t xml:space="preserve"> nepavaldūs k/d 22238 VSK Ypatingosios dalies skyriaus darbuotojai, todėl </w:t>
      </w:r>
      <w:r>
        <w:t>R. D.</w:t>
      </w:r>
      <w:r w:rsidRPr="00C00255">
        <w:t xml:space="preserve"> galėjo sužaloti </w:t>
      </w:r>
      <w:r>
        <w:t>G. B.</w:t>
      </w:r>
      <w:r w:rsidRPr="00C00255">
        <w:t xml:space="preserve"> nepavaldūs asmenys, yra pagrįstas tik iš dalies – kad karinėje komendantūroje budėjo ir kitų skyrių (padalinių) personalas. Tai patvirtina ir paties </w:t>
      </w:r>
      <w:r>
        <w:t>V. U. 1</w:t>
      </w:r>
      <w:r w:rsidRPr="00C00255">
        <w:t xml:space="preserve"> 1991 m. sausio 14 d. įsakymas Nr. 1, kuriuo įsakoma kariniam prokurorui ir karinio dalinio 22238 VSK Ypatingos dalies skyriui organizuoti jų darbuotojų budėjimus karinėje komendantūroje (t. 238, b. l. 163). Tačiau ši aplinkybė, vertinant ją 1990 m. gruodžio 29 d. TSRS vidaus reikalų ir gynybos ministro bendro įsakymo Nr. 493/513 „Dėl vidaus reikalų darbuotojų, Tarybinės Armijos ir Karinio jūrų laivyno kariškių bendro patruliavimo organizavimo“ kontekste, kuriuo kariniam komendantui pavesta </w:t>
      </w:r>
      <w:r w:rsidRPr="00C00255">
        <w:rPr>
          <w:i/>
        </w:rPr>
        <w:t xml:space="preserve">„nustatyti bendrą būrių pasirengimo užduočių vykdymo laiką ir vietą. Patrulių būrius paskirstyti taip, kad labiau tvarką pažeidžiančiose vietose būtų užtikrintas maksimalus jų skaičius; &lt;...&gt; organizuoti karinių dalinių ir padalinių personalo, pasitelkiamo bendram patruliavimui, karinį pasirengimą, įsisavinant &lt;…&gt; patruliavimo ir sargybos tarnybos formas ir metodus, pažeidėjų sulaikymo taktines priemones, bendravimo su civiliais taktiką”, </w:t>
      </w:r>
      <w:r w:rsidRPr="00C00255">
        <w:t>rodo, kad į komendantūrą budėjimams perkelti daliniai iš esmės tapo pavaldūs ir kariniam komendantui, kuris turėjo rūpintis jų kariniu pasirengimu, tarnybos formų, metodų, taktikos įsisavinimu ir pan.</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Nukentėjusiojo </w:t>
      </w:r>
      <w:r>
        <w:t>R. D.</w:t>
      </w:r>
      <w:r w:rsidRPr="00C00255">
        <w:t xml:space="preserve"> parodymai, kad jį komendantūroje tardęs asmuo prisistatė KGB majoru, atitinka minėtą </w:t>
      </w:r>
      <w:r>
        <w:t>V. U. 1</w:t>
      </w:r>
      <w:r w:rsidRPr="00C00255">
        <w:t xml:space="preserve"> įsakymą Nr. 1 dėl VSK Ypatingos dalies skyriaus darbuotojų budėjimo karinėje komendantūroje. Iš prokurorės tarnybiniame pranešime apibendrintai pateiktos TSRS VSK struktūros matyti, kad atskiri VSK (KGB) skyriai buvo ir tarybinės kariuomenės karinėse įgulose, junginiuose ir daliniuose (t. 472, b. l. 16–17). </w:t>
      </w:r>
    </w:p>
    <w:p w:rsidR="00DA38E9" w:rsidRPr="00C00255" w:rsidRDefault="00DA38E9" w:rsidP="00DA38E9">
      <w:pPr>
        <w:pStyle w:val="NormalWeb"/>
        <w:numPr>
          <w:ilvl w:val="0"/>
          <w:numId w:val="6"/>
        </w:numPr>
        <w:spacing w:before="120" w:beforeAutospacing="0" w:after="120" w:afterAutospacing="0"/>
        <w:ind w:left="992" w:hanging="992"/>
      </w:pPr>
      <w:r w:rsidRPr="00C00255">
        <w:t xml:space="preserve">Pažymėtina, kad </w:t>
      </w:r>
      <w:r>
        <w:t>R. D.</w:t>
      </w:r>
      <w:r w:rsidRPr="00C00255">
        <w:t xml:space="preserve"> komendantūroje buvo sulaikytas su grupe kitų asmenų, jis ir kiti asmenys buvo mušami kelis kartus, vėliau surišti po du sulaikytieji karine krovinine mašina buvo išvežti. Taip pat bylos duomenys patvirtina, kad devyniais automato šūviais peršautas </w:t>
      </w:r>
      <w:r>
        <w:t>J. T.</w:t>
      </w:r>
      <w:r w:rsidRPr="00C00255">
        <w:t xml:space="preserve"> automobilis buvo pristatytas į karinę komendantūrą. Teisėjų kolegijos vertinimu, šie neteisėtos TSRS kariškių veiklos mastai ir pobūdis rodo, kad </w:t>
      </w:r>
      <w:r>
        <w:t>G. B.</w:t>
      </w:r>
      <w:r w:rsidRPr="00C00255">
        <w:t xml:space="preserve">, kaip Vilniaus įgulos karinis komendantas pritarė ir pateisino tokius TSRS kariškių veiksmus. Taigi, minėti byloje surinkti įrodymai patvirtina, kad </w:t>
      </w:r>
      <w:r>
        <w:t>R. D.</w:t>
      </w:r>
      <w:r w:rsidRPr="00C00255">
        <w:t xml:space="preserve"> sunkiai sužalojo </w:t>
      </w:r>
      <w:r>
        <w:t>G. B.</w:t>
      </w:r>
      <w:r w:rsidRPr="00C00255">
        <w:t xml:space="preserve"> pavaldume buvę nenustatyti kariškiai.</w:t>
      </w:r>
    </w:p>
    <w:p w:rsidR="00DA38E9" w:rsidRPr="00C00255" w:rsidRDefault="00DA38E9" w:rsidP="00DA38E9">
      <w:pPr>
        <w:pStyle w:val="Heading3"/>
        <w:spacing w:before="120" w:after="120"/>
        <w:ind w:firstLine="992"/>
        <w:jc w:val="both"/>
        <w:rPr>
          <w:b w:val="0"/>
          <w:i/>
          <w:sz w:val="24"/>
          <w:lang w:val="lt-LT"/>
        </w:rPr>
      </w:pPr>
      <w:bookmarkStart w:id="762" w:name="_Toc67677411"/>
      <w:bookmarkStart w:id="763" w:name="_Toc67985539"/>
      <w:r w:rsidRPr="00C00255">
        <w:rPr>
          <w:b w:val="0"/>
          <w:i/>
          <w:sz w:val="24"/>
          <w:lang w:val="lt-LT"/>
        </w:rPr>
        <w:t>Dėl inkriminuotų faktinių aplinkybių, susijusių su komendanto valanda, patikslinimo</w:t>
      </w:r>
      <w:bookmarkEnd w:id="762"/>
      <w:bookmarkEnd w:id="763"/>
      <w:r w:rsidRPr="00C00255">
        <w:rPr>
          <w:b w:val="0"/>
          <w:i/>
          <w:sz w:val="24"/>
          <w:lang w:val="lt-LT"/>
        </w:rPr>
        <w:t xml:space="preserve"> </w:t>
      </w:r>
    </w:p>
    <w:p w:rsidR="00DA38E9" w:rsidRPr="005D022C" w:rsidRDefault="00DA38E9" w:rsidP="00DA38E9">
      <w:pPr>
        <w:pStyle w:val="NormalWeb"/>
        <w:numPr>
          <w:ilvl w:val="0"/>
          <w:numId w:val="6"/>
        </w:numPr>
        <w:spacing w:before="120" w:beforeAutospacing="0" w:after="120" w:afterAutospacing="0"/>
        <w:ind w:left="992" w:hanging="992"/>
        <w:rPr>
          <w:rStyle w:val="Numatytasispastraiposriftas1"/>
        </w:rPr>
      </w:pPr>
      <w:r w:rsidRPr="005D022C">
        <w:rPr>
          <w:rFonts w:eastAsia="Calibri"/>
        </w:rPr>
        <w:t xml:space="preserve">Kaip minėta, prokurorai </w:t>
      </w:r>
      <w:r w:rsidRPr="005D022C">
        <w:t xml:space="preserve">apeliaciniu skundu prašo pirmosios instancijos teismo nuosprendžio dalyje </w:t>
      </w:r>
      <w:r w:rsidRPr="005D022C">
        <w:rPr>
          <w:i/>
        </w:rPr>
        <w:t>„Dėl komendanto valandos įvedimo“</w:t>
      </w:r>
      <w:r w:rsidRPr="005D022C">
        <w:t xml:space="preserve"> konstatuotas faktines aplinkybes patikslinti ir papildyti (detalus prašymo turinys jau buvo aptartas šio skyriaus pradžioje).</w:t>
      </w:r>
    </w:p>
    <w:p w:rsidR="00DA2EF1" w:rsidRPr="005D022C" w:rsidRDefault="00DA38E9" w:rsidP="00DA2EF1">
      <w:pPr>
        <w:pStyle w:val="NormalWeb"/>
        <w:numPr>
          <w:ilvl w:val="0"/>
          <w:numId w:val="6"/>
        </w:numPr>
        <w:spacing w:before="120" w:beforeAutospacing="0" w:after="120" w:afterAutospacing="0"/>
        <w:ind w:left="992" w:hanging="992"/>
        <w:rPr>
          <w:color w:val="000000" w:themeColor="text1"/>
        </w:rPr>
      </w:pPr>
      <w:r w:rsidRPr="005D022C">
        <w:t xml:space="preserve">Apeliacinės instancijos teismo sprendimo dalyje </w:t>
      </w:r>
      <w:r w:rsidRPr="005D022C">
        <w:rPr>
          <w:i/>
        </w:rPr>
        <w:t xml:space="preserve">„Dėl pirmosios instancijos teismo išvadų vertinant TSRS GM ir jai pavaldžių dalinių bei nuteistųjų D. J., V. K. 1, V. U. 1 ir N. A.  veiksmus planuojant karinę operaciją“ </w:t>
      </w:r>
      <w:r w:rsidRPr="005D022C">
        <w:t xml:space="preserve">yra pasisakyta dėl V. U. 1 vadovaujamo vaidmens, rengiantis karinei operacijai, jo dalyvavimo specialiai sukurto vadovavimo karinei operacijai štabo veikloje, aiškaus savo veiksmų suvokimo ir supratimo, kad veikiama, siekiant įgyvendinti TSRS tikslą – grąžinti Lietuvą į TSRS sudėtį. Šiame sprendime taip pat konstatuota, kad vienas iš Prezidentinio valdymo Lietuvoje įvedimo plano punktų buvo ir nepaprastosios padėties teisinio režimo įvedimas, taigi iš esmės ir komendanto valandos įvedimas </w:t>
      </w:r>
      <w:r w:rsidRPr="005D022C">
        <w:rPr>
          <w:color w:val="000000" w:themeColor="text1"/>
        </w:rPr>
        <w:t xml:space="preserve">(t. 201, b. l. 114–123). </w:t>
      </w:r>
    </w:p>
    <w:p w:rsidR="00DA38E9" w:rsidRPr="00DA2EF1" w:rsidRDefault="00DA38E9" w:rsidP="00DA2EF1">
      <w:pPr>
        <w:pStyle w:val="NormalWeb"/>
        <w:numPr>
          <w:ilvl w:val="0"/>
          <w:numId w:val="6"/>
        </w:numPr>
        <w:spacing w:before="120" w:beforeAutospacing="0" w:after="120" w:afterAutospacing="0"/>
        <w:ind w:left="992" w:hanging="992"/>
        <w:rPr>
          <w:color w:val="000000" w:themeColor="text1"/>
        </w:rPr>
      </w:pPr>
      <w:r w:rsidRPr="005D022C">
        <w:rPr>
          <w:rFonts w:eastAsia="Calibri"/>
        </w:rPr>
        <w:t>V. U. 1 bendradarbiavimą su LKP/TSKP vadovais ir jo aktyvų dalyvavimą rengiant karinę operaciją patvirtina ir V. U. 1 1991 m. sausio 15 d. įsakymo Nr. 3 turinys, kuriame tiesiogiai nurodyta, kad 1991 m. sausio įvykių negalima vertinti atsietai nuo situacijos Lietuvoje ir, kaip teigiama įsakyme, antikonstitucinio 1990 m. kovo 11 d. akto dėl nepriklausomybės paskelbimo. Įsakymo rezoliucinėje dalyje V. U. 1, be kita ko, įsako kariuomenės daliniams ir pavaduotojui politikos reikalams ginti TSRS politiką, TSRS Konstituciją ir TSRS Prezidento įsakus. Šiame įsakyme bei jo prieduose V. U. 1 LNGK politiką įvertino kaip „nuoseklią, teisingą ir realistinę“ (t. 203, b. l. 65–68).</w:t>
      </w:r>
    </w:p>
    <w:p w:rsidR="00DA38E9" w:rsidRPr="00C00255" w:rsidRDefault="00DA38E9" w:rsidP="00DA38E9">
      <w:pPr>
        <w:pStyle w:val="ListParagraph"/>
        <w:numPr>
          <w:ilvl w:val="0"/>
          <w:numId w:val="6"/>
        </w:numPr>
        <w:spacing w:before="120" w:after="120"/>
        <w:ind w:left="992" w:hanging="992"/>
        <w:contextualSpacing w:val="0"/>
        <w:rPr>
          <w:color w:val="000000" w:themeColor="text1"/>
          <w:szCs w:val="24"/>
        </w:rPr>
      </w:pPr>
      <w:r w:rsidRPr="00C00255">
        <w:rPr>
          <w:color w:val="000000" w:themeColor="text1"/>
          <w:szCs w:val="24"/>
        </w:rPr>
        <w:t xml:space="preserve">Atsižvelgiant į ankstesnėse šio procesinio dokumento dalyse apeliacinės instancijos teismo išsakytus argumentus, taip pat į tai, kad komendanto valanda buvo paskelbta iš karto po Spaudos rūmų, TV bokšto, LRT pastatų užėmimo, susidūrus su dideliu civilių asmenų aktyvumu, išreiškiant paramą Lietuvos Respublikos nepriklausomybei, akivaizdu, kad </w:t>
      </w:r>
      <w:r>
        <w:rPr>
          <w:color w:val="000000" w:themeColor="text1"/>
          <w:szCs w:val="24"/>
        </w:rPr>
        <w:t>V. U. 1</w:t>
      </w:r>
      <w:r w:rsidRPr="00C00255">
        <w:rPr>
          <w:color w:val="000000" w:themeColor="text1"/>
          <w:szCs w:val="24"/>
        </w:rPr>
        <w:t xml:space="preserve"> veiksmai, įvedant komendanto valandą, buvo bendros karinės operacijos ir bendro plano, kurio pagrindinis tikslas grąžinti Lietuvą į TSRS sudėtį, dalis, ir komendanto valandos įvedimas jau buvo numatytas iš anksčiau kaip Prezidentinio valdymo plano įvedimo dalis, kaip viena iš nepaprastosios padėties priemonių. Be to, ir pats </w:t>
      </w:r>
      <w:r>
        <w:rPr>
          <w:color w:val="000000" w:themeColor="text1"/>
          <w:szCs w:val="24"/>
        </w:rPr>
        <w:t>V. U. 1</w:t>
      </w:r>
      <w:r w:rsidRPr="00C00255">
        <w:rPr>
          <w:color w:val="000000" w:themeColor="text1"/>
          <w:szCs w:val="24"/>
        </w:rPr>
        <w:t xml:space="preserve">, įvykdžius teisinės pagalbos prašymą ir jį apklausus liudytoju, nurodė, kad jis didžiuojasi, jog tomis sąlygomis veikė, siekdamas išsaugoti TSRS vientisumą (t. 756, b. l. 24–25, t. 520, b. l. 325–341). </w:t>
      </w:r>
    </w:p>
    <w:p w:rsidR="00DA38E9" w:rsidRPr="00C00255" w:rsidRDefault="00DA38E9" w:rsidP="00DA38E9">
      <w:pPr>
        <w:pStyle w:val="NormalWeb"/>
        <w:numPr>
          <w:ilvl w:val="0"/>
          <w:numId w:val="6"/>
        </w:numPr>
        <w:spacing w:before="120" w:beforeAutospacing="0" w:after="120" w:afterAutospacing="0"/>
        <w:ind w:left="992" w:hanging="992"/>
        <w:rPr>
          <w:rStyle w:val="Numatytasispastraiposriftas1"/>
        </w:rPr>
      </w:pPr>
      <w:r w:rsidRPr="00C00255">
        <w:t xml:space="preserve">Visa tai leidžia daryti išvadą, kad prokurorų apeliacinio skundo argumentai dėl faktinių aplinkybių papildymo, nustatant, kad </w:t>
      </w:r>
      <w:r>
        <w:t>V. U. 1</w:t>
      </w:r>
      <w:r w:rsidRPr="00C00255">
        <w:t xml:space="preserve"> komendanto valandą įvedė</w:t>
      </w:r>
      <w:r w:rsidRPr="00C00255">
        <w:rPr>
          <w:rStyle w:val="Numatytasispastraiposriftas1"/>
          <w:i/>
          <w:color w:val="000000"/>
          <w:lang w:eastAsia="ar-SA" w:bidi="lt-LT"/>
        </w:rPr>
        <w:t xml:space="preserve">, vykdydamas ir remdamas kitos valstybės – TSRS ir užsienio organizacijos – TSKP bei jos padalinio Lietuvoje – LKP/TSKP politiką dideliu mastu ir sistemingai užpuldinėti civilius, įgyvendindamas </w:t>
      </w:r>
      <w:r>
        <w:rPr>
          <w:rStyle w:val="Numatytasispastraiposriftas1"/>
          <w:i/>
          <w:color w:val="000000"/>
          <w:lang w:eastAsia="ar-SA" w:bidi="lt-LT"/>
        </w:rPr>
        <w:t>D. J.</w:t>
      </w:r>
      <w:r w:rsidRPr="00C00255">
        <w:rPr>
          <w:rStyle w:val="Numatytasispastraiposriftas1"/>
          <w:i/>
          <w:color w:val="000000"/>
          <w:lang w:eastAsia="ar-SA" w:bidi="lt-LT"/>
        </w:rPr>
        <w:t>, V. K</w:t>
      </w:r>
      <w:r>
        <w:rPr>
          <w:rStyle w:val="Numatytasispastraiposriftas1"/>
          <w:i/>
          <w:color w:val="000000"/>
          <w:lang w:eastAsia="ar-SA" w:bidi="lt-LT"/>
        </w:rPr>
        <w:t>.</w:t>
      </w:r>
      <w:r w:rsidRPr="00C00255">
        <w:rPr>
          <w:rStyle w:val="Numatytasispastraiposriftas1"/>
          <w:i/>
          <w:color w:val="000000"/>
          <w:lang w:eastAsia="ar-SA" w:bidi="lt-LT"/>
        </w:rPr>
        <w:t xml:space="preserve">, </w:t>
      </w:r>
      <w:r>
        <w:rPr>
          <w:rStyle w:val="Numatytasispastraiposriftas1"/>
          <w:i/>
          <w:color w:val="000000"/>
          <w:lang w:eastAsia="ar-SA" w:bidi="lt-LT"/>
        </w:rPr>
        <w:t>B. P.</w:t>
      </w:r>
      <w:r w:rsidRPr="00C00255">
        <w:rPr>
          <w:rStyle w:val="Numatytasispastraiposriftas1"/>
          <w:i/>
          <w:color w:val="000000"/>
          <w:lang w:eastAsia="ar-SA" w:bidi="lt-LT"/>
        </w:rPr>
        <w:t>, O. Š</w:t>
      </w:r>
      <w:r>
        <w:rPr>
          <w:rStyle w:val="Numatytasispastraiposriftas1"/>
          <w:i/>
          <w:color w:val="000000"/>
          <w:lang w:eastAsia="ar-SA" w:bidi="lt-LT"/>
        </w:rPr>
        <w:t>.</w:t>
      </w:r>
      <w:r w:rsidRPr="00C00255">
        <w:rPr>
          <w:rStyle w:val="Numatytasispastraiposriftas1"/>
          <w:i/>
          <w:color w:val="000000"/>
          <w:lang w:eastAsia="ar-SA" w:bidi="lt-LT"/>
        </w:rPr>
        <w:t xml:space="preserve"> kartu su nenustatytais asmenimis atitinkamai iš TSRS GM Generalinio štabo, VRM ir VSK štabų parengtą planą, </w:t>
      </w:r>
      <w:r w:rsidRPr="00C00255">
        <w:rPr>
          <w:rStyle w:val="Numatytasispastraiposriftas1"/>
          <w:color w:val="000000"/>
          <w:lang w:eastAsia="ar-SA" w:bidi="lt-LT"/>
        </w:rPr>
        <w:t>taip pat kad komendanto valanda buvo</w:t>
      </w:r>
      <w:r w:rsidRPr="00C00255">
        <w:rPr>
          <w:rStyle w:val="Numatytasispastraiposriftas1"/>
          <w:i/>
          <w:color w:val="000000"/>
          <w:lang w:eastAsia="ar-SA" w:bidi="lt-LT"/>
        </w:rPr>
        <w:t xml:space="preserve"> „viena iš minėtame plane numatytų nepaprastosios padėties priemonių“ </w:t>
      </w:r>
      <w:r w:rsidRPr="00C00255">
        <w:rPr>
          <w:rStyle w:val="Numatytasispastraiposriftas1"/>
          <w:color w:val="000000"/>
          <w:lang w:eastAsia="ar-SA" w:bidi="lt-LT"/>
        </w:rPr>
        <w:t xml:space="preserve">bei, kad </w:t>
      </w:r>
      <w:r>
        <w:rPr>
          <w:rStyle w:val="Numatytasispastraiposriftas1"/>
          <w:color w:val="000000"/>
          <w:lang w:eastAsia="ar-SA" w:bidi="lt-LT"/>
        </w:rPr>
        <w:t>V. U. 1</w:t>
      </w:r>
      <w:r w:rsidRPr="00C00255">
        <w:rPr>
          <w:rStyle w:val="Numatytasispastraiposriftas1"/>
          <w:i/>
          <w:color w:val="000000"/>
          <w:lang w:eastAsia="ar-SA" w:bidi="lt-LT"/>
        </w:rPr>
        <w:t xml:space="preserve">, „prisidengdamas tuo, kad vykdo nusikalstamų struktūrų nuginklavimą, komendanto valandos metu siekė persekioti civilius dėl politinių ir nacionalinių motyvų, juos bauginti, terorizuoti ir neteisėtu būdu pakeisti Lietuvos valstybės konstitucinę santvarką, kėsintis į jos nepriklausomybę ir pažeisti teritorijos vientisumą. Ir kad su </w:t>
      </w:r>
      <w:r>
        <w:rPr>
          <w:rStyle w:val="Numatytasispastraiposriftas1"/>
          <w:i/>
          <w:color w:val="000000"/>
          <w:lang w:eastAsia="ar-SA" w:bidi="lt-LT"/>
        </w:rPr>
        <w:t>G. B.</w:t>
      </w:r>
      <w:r w:rsidRPr="00C00255">
        <w:rPr>
          <w:rStyle w:val="Numatytasispastraiposriftas1"/>
          <w:i/>
          <w:color w:val="000000"/>
          <w:lang w:eastAsia="ar-SA" w:bidi="lt-LT"/>
        </w:rPr>
        <w:t xml:space="preserve"> kartu numatė vykdyti neteisėtą asmenų judėjimo kontrolę, asmenų, transporto priemonių, dokumentų patikrą, intensyvų patruliavimą“, </w:t>
      </w:r>
      <w:r w:rsidRPr="00C00255">
        <w:rPr>
          <w:rStyle w:val="Numatytasispastraiposriftas1"/>
          <w:color w:val="000000"/>
          <w:lang w:eastAsia="ar-SA" w:bidi="lt-LT"/>
        </w:rPr>
        <w:t xml:space="preserve">yra pagrįsti, kadangi šios papildomos aplinkybės tiksliau atskleidžia komendanto valandos įvedimo priežastis ir tikslus. Pagrįstas ir prokurorų prašymas nuosprendyje nurodytą agresijos požymį papildyti ginkluoto konflikto požymiu, kadangi teisėjų kolegijai nekyla abejonių, kad 1991 m. sausio 13 d. rytą, kai buvo įvesta komendanto valanda, ginkluotas konfliktas dar nebuvo pasibaigęs (apie tai plačiau teismas pasisako atskirai kitoje šio sprendimo dalyje). </w:t>
      </w:r>
    </w:p>
    <w:p w:rsidR="00DA38E9" w:rsidRPr="00C00255" w:rsidRDefault="00DA38E9" w:rsidP="00DA38E9">
      <w:pPr>
        <w:pStyle w:val="NormalWeb"/>
        <w:numPr>
          <w:ilvl w:val="0"/>
          <w:numId w:val="6"/>
        </w:numPr>
        <w:spacing w:before="120" w:beforeAutospacing="0" w:after="120" w:afterAutospacing="0"/>
        <w:ind w:left="992" w:hanging="992"/>
        <w:rPr>
          <w:rStyle w:val="Numatytasispastraiposriftas1"/>
        </w:rPr>
      </w:pPr>
      <w:r w:rsidRPr="00C00255">
        <w:rPr>
          <w:rStyle w:val="Numatytasispastraiposriftas1"/>
          <w:color w:val="000000"/>
          <w:lang w:eastAsia="ar-SA" w:bidi="lt-LT"/>
        </w:rPr>
        <w:t xml:space="preserve">Taip pat iš byloje konstatuotų faktinių aplinkybių matyti, kad intensyvių TSRS kariškių vykdytų patruliavimų metu buvo užpuldinėjami, apšaudomi, žalojami daugiausia Lietuvos Respublikos piliečiai, </w:t>
      </w:r>
      <w:r w:rsidRPr="00C00255">
        <w:rPr>
          <w:color w:val="000000"/>
          <w:lang w:eastAsia="ar-SA" w:bidi="lt-LT"/>
        </w:rPr>
        <w:t xml:space="preserve">kurie vengė TSRS karo tarnybos, dirbo Lietuvos Aukščiausiosios Tarybos apsaugos skyriuje, </w:t>
      </w:r>
      <w:r w:rsidRPr="00C00255">
        <w:rPr>
          <w:rStyle w:val="Numatytasispastraiposriftas1"/>
          <w:color w:val="000000"/>
          <w:lang w:eastAsia="ar-SA" w:bidi="lt-LT"/>
        </w:rPr>
        <w:t>taip pat atkurtos nepriklausomos Lietuvos valstybės teisėsaugos institucijose,</w:t>
      </w:r>
      <w:r w:rsidRPr="00C00255">
        <w:rPr>
          <w:color w:val="000000"/>
          <w:lang w:eastAsia="ar-SA" w:bidi="lt-LT"/>
        </w:rPr>
        <w:t xml:space="preserve"> kas rodė aiškias šių asmenų politines pažiūras, t. y. pritarimą Lietuvos nepriklausomybei ir palaikymą Lietuvos Aukščiausiajai Tarybai, </w:t>
      </w:r>
      <w:r w:rsidRPr="00C00255">
        <w:rPr>
          <w:rStyle w:val="Numatytasispastraiposriftas1"/>
          <w:color w:val="000000"/>
          <w:lang w:eastAsia="ar-SA" w:bidi="lt-LT"/>
        </w:rPr>
        <w:t xml:space="preserve">todėl teisėjų kolegijai nekyla abejonių, kad civiliai asmenys buvo persekiojami ir dėl politinių, ir dėl nacionalinių motyvų. </w:t>
      </w:r>
    </w:p>
    <w:p w:rsidR="00DA38E9" w:rsidRPr="00C00255" w:rsidRDefault="00DA38E9" w:rsidP="00DA38E9">
      <w:pPr>
        <w:pStyle w:val="NormalWeb"/>
        <w:numPr>
          <w:ilvl w:val="0"/>
          <w:numId w:val="6"/>
        </w:numPr>
        <w:spacing w:before="120" w:beforeAutospacing="0" w:after="120" w:afterAutospacing="0"/>
        <w:ind w:left="992" w:hanging="992"/>
        <w:rPr>
          <w:rStyle w:val="Numatytasispastraiposriftas1"/>
        </w:rPr>
      </w:pPr>
      <w:r w:rsidRPr="00C00255">
        <w:t>Vertindama prokurorų prašymą faktines aplinkybes papildyti aplinkybe, kad komendanto valanda Lietuvoje buvo įvesta, pažeidžiant</w:t>
      </w:r>
      <w:r w:rsidRPr="00C00255">
        <w:rPr>
          <w:rStyle w:val="Numatytasispastraiposriftas1"/>
          <w:i/>
          <w:color w:val="000000"/>
          <w:lang w:eastAsia="ar-SA" w:bidi="lt-LT"/>
        </w:rPr>
        <w:t xml:space="preserve"> </w:t>
      </w:r>
      <w:r w:rsidRPr="00C00255">
        <w:rPr>
          <w:rStyle w:val="Numatytasispastraiposriftas1"/>
          <w:color w:val="000000"/>
          <w:lang w:eastAsia="ar-SA" w:bidi="lt-LT"/>
        </w:rPr>
        <w:t xml:space="preserve">1990 m. balandžio 3 d. TSRS įstatymą „Dėl nepaprastosios padėties teisinio režimo“, teisėjų kolegija pažymi, kad 1990 m. kovo 11 d. Lietuvai atkūrus nepriklausomybę ir priėmus naują Laikinąjį Pagrindinį Įstatymą, Lietuvoje nustojo galioti TSRS įstatymai. Nuosprendyje nurodžius aplinkybę, kad komendanto valanda buvo įvesta, pažeidžiant minėtą TSRS įstatymą, susidarytų prieštaringas įspūdis, kad tuo atveju, jei komendanto valanda būtų buvusi įvesta, vadovaujantis minėtu TSRS įstatymu, ji būtų buvusi teisėta, nors, kaip minėta, šis įstatymas Lietuvoje negaliojo ir jokie užsienio valstybės valdžios ar ginkluotųjų pajėgų subjektai ar institucijos neturėjo teisės spręsti klausimo dėl ypatingosios padėties nepriklausomoje, suverenioje Lietuvos valstybėje įvedimo bei komendanto valandos paskelbimo. Esant išdėstytoms aplinkybėms, prokuratūros prašymas dėl nuosprendžio nustatomosios dalies papildymo </w:t>
      </w:r>
      <w:r w:rsidRPr="00C00255">
        <w:t>faktinėmis aplinkybėmis, kad komendanto valanda Lietuvoje buvo įvesta, pažeidžiant</w:t>
      </w:r>
      <w:r w:rsidRPr="00C00255">
        <w:rPr>
          <w:rStyle w:val="Numatytasispastraiposriftas1"/>
          <w:i/>
          <w:color w:val="000000"/>
          <w:lang w:eastAsia="ar-SA" w:bidi="lt-LT"/>
        </w:rPr>
        <w:t xml:space="preserve"> </w:t>
      </w:r>
      <w:r w:rsidRPr="00C00255">
        <w:rPr>
          <w:rStyle w:val="Numatytasispastraiposriftas1"/>
          <w:color w:val="000000"/>
          <w:lang w:eastAsia="ar-SA" w:bidi="lt-LT"/>
        </w:rPr>
        <w:t>1990 m. balandžio 3 d. TSRS įstatymą „Dėl nepaprastosios padėties teisinio režimo“, netenkinamas.</w:t>
      </w:r>
    </w:p>
    <w:p w:rsidR="00DA2EF1" w:rsidRDefault="00DA38E9" w:rsidP="00DA2EF1">
      <w:pPr>
        <w:pStyle w:val="NormalWeb"/>
        <w:numPr>
          <w:ilvl w:val="0"/>
          <w:numId w:val="6"/>
        </w:numPr>
        <w:spacing w:before="120" w:beforeAutospacing="0" w:after="120" w:afterAutospacing="0"/>
        <w:ind w:left="992" w:hanging="992"/>
      </w:pPr>
      <w:r w:rsidRPr="00C00255">
        <w:rPr>
          <w:rStyle w:val="Numatytasispastraiposriftas1"/>
        </w:rPr>
        <w:t>Taip pat t</w:t>
      </w:r>
      <w:r w:rsidRPr="00C00255">
        <w:t xml:space="preserve">eisėjų kolegija </w:t>
      </w:r>
      <w:r w:rsidRPr="00C00255">
        <w:rPr>
          <w:color w:val="000000" w:themeColor="text1"/>
        </w:rPr>
        <w:t>nepritaria</w:t>
      </w:r>
      <w:r w:rsidRPr="00C00255">
        <w:rPr>
          <w:color w:val="FF0000"/>
        </w:rPr>
        <w:t xml:space="preserve"> </w:t>
      </w:r>
      <w:r w:rsidRPr="00C00255">
        <w:rPr>
          <w:color w:val="000000" w:themeColor="text1"/>
        </w:rPr>
        <w:t xml:space="preserve">prokuratūros baigiamojoje kalboje apeliacinės instancijos teisme išsakytai pozicijai, kad </w:t>
      </w:r>
      <w:r w:rsidRPr="00C00255">
        <w:t xml:space="preserve">nuosprendžio motyvuojamoji dalis, kurioje apibendrintai trumpai aprašyti visų nuteistųjų padaryti nusikalstami veiksmai ir kurioje pirmosios instancijos teismas konstatavo, jog </w:t>
      </w:r>
      <w:r>
        <w:t>G. B.</w:t>
      </w:r>
      <w:r w:rsidRPr="00C00255">
        <w:rPr>
          <w:color w:val="FF0000"/>
        </w:rPr>
        <w:t xml:space="preserve"> </w:t>
      </w:r>
      <w:r w:rsidRPr="00C00255">
        <w:t>numatytų komendanto valandos priemonių įgyvendinimą pavedė pavaldiems kariškiams, aprūpino juos karine technika ir 5,45 mm kalibro automatiniais ginklais, turėtų būti patikslinta, nurodant, kad „</w:t>
      </w:r>
      <w:r>
        <w:t>G. B.</w:t>
      </w:r>
      <w:r w:rsidRPr="00C00255">
        <w:t xml:space="preserve"> pavaldūs nenustatyti kariškiai neteisėtai įvestos komendanto valandos metu, aprūpinti karine technika ir 5,45 mm kalibro automatiniais ginklais, vykdė neteisėtą asmenų judėjimo kontrolę Vilniaus mieste ir jo apylinkėse, asmenų, transporto priemonių, dokumentų patikrą, intensyvų patruliavimą, kurio metu R</w:t>
      </w:r>
      <w:r>
        <w:t>.</w:t>
      </w:r>
      <w:r w:rsidRPr="00C00255">
        <w:t> D</w:t>
      </w:r>
      <w:r>
        <w:t>.</w:t>
      </w:r>
      <w:r w:rsidRPr="00C00255">
        <w:t xml:space="preserve"> buvo padarytas tyčinis sunkus sveikatos sutrikdymas bei tyčia nužudytas J</w:t>
      </w:r>
      <w:r>
        <w:t>. </w:t>
      </w:r>
      <w:r w:rsidRPr="00C00255">
        <w:t>T</w:t>
      </w:r>
      <w:r>
        <w:t>.</w:t>
      </w:r>
      <w:r w:rsidRPr="00C00255">
        <w:t xml:space="preserve">“. </w:t>
      </w:r>
    </w:p>
    <w:p w:rsidR="00DA38E9" w:rsidRPr="00C00255" w:rsidRDefault="00DA38E9" w:rsidP="00DA2EF1">
      <w:pPr>
        <w:pStyle w:val="NormalWeb"/>
        <w:numPr>
          <w:ilvl w:val="0"/>
          <w:numId w:val="6"/>
        </w:numPr>
        <w:spacing w:before="120" w:beforeAutospacing="0" w:after="120" w:afterAutospacing="0"/>
        <w:ind w:left="992" w:hanging="992"/>
      </w:pPr>
      <w:r w:rsidRPr="005D022C">
        <w:rPr>
          <w:rFonts w:eastAsia="Calibri"/>
        </w:rPr>
        <w:t>Teisėjų kolegijos vertinimu, nuosprendis yra vientisas aktas, kurio visų dalių turinys yra vertinamas bendrai, o nustatant nuteistiesiems inkriminuotų faktinių aplinkybių turinį svarbiausia yra nustatomoji dalis. Ir šiuo atveju, apeliacinės instancijos teismo vertinimu, tarp motyvuojamojoje dalyje apibendrintų G. B. veiksmų ir nustatomojoje dalyje nurodytų faktinių aplinkybių nėra esminių prieštaravimų, kadangi akivaizdu, kad G. B. komendanto valandos priemones galėjo įgyvendinti tik pasitelkdamas jam pavaldžius asmenis, kurie pagal minėtą 1990 m. gruodžio 29 d. įsakymą dėl bendro patruliavimo turėjo būti aprūpinti ginklais ir kovine technika. Tad ši apygardos teismo nuosprendžio motyvuojamoji dalis netikslintina.</w:t>
      </w:r>
    </w:p>
    <w:p w:rsidR="00DA38E9" w:rsidRPr="00C00255" w:rsidRDefault="00DA38E9" w:rsidP="00DA38E9">
      <w:pPr>
        <w:pStyle w:val="ListParagraph"/>
        <w:numPr>
          <w:ilvl w:val="0"/>
          <w:numId w:val="6"/>
        </w:numPr>
        <w:spacing w:before="120" w:after="120"/>
        <w:ind w:left="992" w:hanging="992"/>
        <w:contextualSpacing w:val="0"/>
        <w:rPr>
          <w:szCs w:val="24"/>
        </w:rPr>
      </w:pPr>
      <w:r w:rsidRPr="00C00255">
        <w:rPr>
          <w:szCs w:val="24"/>
        </w:rPr>
        <w:t xml:space="preserve">Nuosprendžio motyvuojamojoje dalyje apibendrintai išdėstant kiekvieno iš nuteistųjų nusikalstamus veiksmus, nurodyta, kad </w:t>
      </w:r>
      <w:r>
        <w:rPr>
          <w:szCs w:val="24"/>
        </w:rPr>
        <w:t>V. U. 1</w:t>
      </w:r>
      <w:r w:rsidRPr="00C00255">
        <w:rPr>
          <w:szCs w:val="24"/>
        </w:rPr>
        <w:t xml:space="preserve"> Vilniuje įvedė komendanto valandą, nustatė neteisėtą asmenų judėjimo kontrolę Vilniaus mieste ir jo apylinkėse, asmenų ir transporto priemonių patikrą (nuosprendžio 874 l., t. 773). Kaip minėta, prokurorai baigiamojoje kalboje, pasakytoje apeliacinės instancijos teisme, teigė, kad </w:t>
      </w:r>
      <w:r>
        <w:rPr>
          <w:szCs w:val="24"/>
        </w:rPr>
        <w:t>V. U. 1</w:t>
      </w:r>
      <w:r w:rsidRPr="00C00255">
        <w:rPr>
          <w:szCs w:val="24"/>
        </w:rPr>
        <w:t xml:space="preserve"> veiksmai nuosprendžio motyvuojamojoje dalyje, apibendrintai nurodant visų nuteistųjų padarytus nusikalstamus veiksmus, turėtų būti įvardinti tiksliau, t. y. nurodant, kad </w:t>
      </w:r>
      <w:r>
        <w:rPr>
          <w:szCs w:val="24"/>
        </w:rPr>
        <w:t>V. U. 1</w:t>
      </w:r>
      <w:r w:rsidRPr="00C00255">
        <w:rPr>
          <w:szCs w:val="24"/>
        </w:rPr>
        <w:t xml:space="preserve">, įgyvendindamas štabų parengtą planą Vilniuje ir jo apylinkėse įvedė komendanto valandą, o jos priemonių įgyvendinimui, pasitelkė Vilniaus įgulos karinį komendantą </w:t>
      </w:r>
      <w:r>
        <w:rPr>
          <w:szCs w:val="24"/>
        </w:rPr>
        <w:t>G. B.</w:t>
      </w:r>
      <w:r w:rsidRPr="00C00255">
        <w:rPr>
          <w:szCs w:val="24"/>
        </w:rPr>
        <w:t xml:space="preserve">. Vykdant komendanto valandą nustatė neteisėtą asmenų judėjimo kontrolę Vilniaus mieste ir jo apylinkėse, asmenų ir transporto priemonių patikrą. Įvestos komendanto valandos metu </w:t>
      </w:r>
      <w:r>
        <w:rPr>
          <w:szCs w:val="24"/>
        </w:rPr>
        <w:t>R. D.</w:t>
      </w:r>
      <w:r w:rsidRPr="00C00255">
        <w:rPr>
          <w:szCs w:val="24"/>
        </w:rPr>
        <w:t xml:space="preserve"> buvo padarytas tyčinis sunkus sveikatos sutrikdymą bei tyčia nužudytas </w:t>
      </w:r>
      <w:r>
        <w:rPr>
          <w:szCs w:val="24"/>
        </w:rPr>
        <w:t>J. T.</w:t>
      </w:r>
      <w:r w:rsidRPr="00C00255">
        <w:rPr>
          <w:szCs w:val="24"/>
        </w:rPr>
        <w:t>.</w:t>
      </w:r>
      <w:r w:rsidRPr="00C00255">
        <w:rPr>
          <w:rFonts w:eastAsia="Calibri"/>
          <w:szCs w:val="24"/>
        </w:rPr>
        <w:t xml:space="preserve"> Kaip jau minėta, t</w:t>
      </w:r>
      <w:r w:rsidRPr="00C00255">
        <w:rPr>
          <w:szCs w:val="24"/>
        </w:rPr>
        <w:t xml:space="preserve">eisėjų kolegijos vertinimu, nuosprendis yra vientisas aktas, kurio visų dalių turinys yra vertinamas bendrai, o nustatant konkrečiam nuteistajam inkriminuotų faktinių aplinkybių turinį svarbiausia yra nustatomoji dalis, todėl nėra pagrindo tikslinti motyvuojamąją dalį dėl </w:t>
      </w:r>
      <w:r>
        <w:rPr>
          <w:szCs w:val="24"/>
        </w:rPr>
        <w:t>V. U. 1</w:t>
      </w:r>
      <w:r w:rsidRPr="00C00255">
        <w:rPr>
          <w:szCs w:val="24"/>
        </w:rPr>
        <w:t xml:space="preserve"> prokurorų prašomomis aplinkybėmis, kadangi šios aplinkybės yra aiškios iš nuosprendžio nustatomosios dalies, kurios patikslinimui ir papildymui pagal prokurorų prašymą teisėjų kolegija jau pritarė. </w:t>
      </w:r>
    </w:p>
    <w:p w:rsidR="00DA38E9" w:rsidRPr="00C00255" w:rsidRDefault="00DA38E9" w:rsidP="00DA38E9">
      <w:pPr>
        <w:pStyle w:val="Heading3"/>
        <w:spacing w:before="120" w:after="120"/>
        <w:ind w:left="992"/>
        <w:jc w:val="both"/>
        <w:rPr>
          <w:i/>
          <w:iCs/>
          <w:sz w:val="24"/>
          <w:lang w:val="lt-LT"/>
        </w:rPr>
      </w:pPr>
      <w:bookmarkStart w:id="764" w:name="_Toc67677412"/>
      <w:bookmarkStart w:id="765" w:name="_Toc67985540"/>
      <w:r w:rsidRPr="00C00255">
        <w:rPr>
          <w:rStyle w:val="Heading3Char"/>
          <w:i/>
          <w:sz w:val="24"/>
          <w:lang w:val="lt-LT"/>
        </w:rPr>
        <w:t>Apibendrinančios išvados dėl faktinių aplinkybių, susijusių su komendanto valandos įvedimu ir įgyvendinimu</w:t>
      </w:r>
      <w:bookmarkEnd w:id="764"/>
      <w:bookmarkEnd w:id="765"/>
    </w:p>
    <w:p w:rsidR="00DA2EF1" w:rsidRPr="00DA2EF1" w:rsidRDefault="00DA38E9" w:rsidP="00DA2EF1">
      <w:pPr>
        <w:pStyle w:val="ListParagraph"/>
        <w:numPr>
          <w:ilvl w:val="0"/>
          <w:numId w:val="6"/>
        </w:numPr>
        <w:spacing w:before="120" w:after="120"/>
        <w:ind w:left="992" w:hanging="992"/>
        <w:contextualSpacing w:val="0"/>
      </w:pPr>
      <w:r w:rsidRPr="00C00255">
        <w:rPr>
          <w:szCs w:val="24"/>
        </w:rPr>
        <w:t xml:space="preserve">Reziumuodama visa tai, kas pasakyta, teisėjų kolegija konstatuoja, kad </w:t>
      </w:r>
      <w:r w:rsidRPr="00C00255">
        <w:rPr>
          <w:color w:val="000000"/>
          <w:szCs w:val="24"/>
          <w:lang w:bidi="lt-LT"/>
        </w:rPr>
        <w:t xml:space="preserve">Vilniaus apygardos teismo 2019 m. kovo 27 d. nuosprendžiu teisingai ir pagrįstai pripažinta, jog nuteistasis </w:t>
      </w:r>
      <w:r>
        <w:rPr>
          <w:szCs w:val="24"/>
        </w:rPr>
        <w:t>V. U. 1</w:t>
      </w:r>
      <w:r w:rsidRPr="00C00255">
        <w:rPr>
          <w:szCs w:val="24"/>
        </w:rPr>
        <w:t xml:space="preserve"> neteisėtai įvedė komendanto valandą ir </w:t>
      </w:r>
      <w:r w:rsidRPr="00DA2EF1">
        <w:t xml:space="preserve">pavedė </w:t>
      </w:r>
      <w:r w:rsidRPr="00DA2EF1">
        <w:rPr>
          <w:rFonts w:eastAsia="Calibri"/>
        </w:rPr>
        <w:t xml:space="preserve">Vilniaus įgulos kariniam komendantui G. B. dalyvauti įgyvendinant komendanto valandos priemones, taip pat, kad </w:t>
      </w:r>
      <w:r w:rsidRPr="00DA2EF1">
        <w:t>nuteistasis G. B. byloje nagrinėjamų įvykių metu ėjo Vilniaus įgulos karinio komendanto pareigas ir eidamas šias vadovaujančias pareigas įgyvendino nuosprendžiu nustatytas komendanto valandos priemones, kad komendanto valandos metu nenustatyti Vilniaus įgulos kariškiai, naudodamiesi karine technika ir 5,45 mm kalibro automatiniais ginklais, vykdydami civilių asmenų teisių suvaržymus, padarė tyčinį sunkų R. D. sveikatos sutrikdymą ir tyčia nužudė J. T.</w:t>
      </w:r>
      <w:r w:rsidRPr="00DA2EF1">
        <w:rPr>
          <w:rFonts w:eastAsia="Calibri"/>
        </w:rPr>
        <w:t>.</w:t>
      </w:r>
      <w:r w:rsidRPr="00DA2EF1" w:rsidDel="001C4351">
        <w:t xml:space="preserve"> </w:t>
      </w:r>
      <w:r w:rsidRPr="00DA2EF1">
        <w:rPr>
          <w:rFonts w:eastAsia="Calibri"/>
        </w:rPr>
        <w:t>Visgi aptariamoje teismo nuosprendžio dalyje yra netikslumų:</w:t>
      </w:r>
    </w:p>
    <w:p w:rsidR="00DA38E9" w:rsidRPr="005D022C" w:rsidRDefault="00DA38E9" w:rsidP="00DA2EF1">
      <w:pPr>
        <w:pStyle w:val="ListParagraph"/>
        <w:numPr>
          <w:ilvl w:val="1"/>
          <w:numId w:val="6"/>
        </w:numPr>
        <w:spacing w:before="120" w:after="120"/>
        <w:ind w:left="992" w:hanging="992"/>
        <w:contextualSpacing w:val="0"/>
      </w:pPr>
      <w:r w:rsidRPr="005D022C">
        <w:rPr>
          <w:rFonts w:eastAsia="Calibri"/>
        </w:rPr>
        <w:t xml:space="preserve">Iš nuosprendžio nustatomosios dalies šalintinos prieštaringos ir neteisingai nurodytos aplinkybės ne tik apie V. U. 1, bet ir apie nuteistojo G. B. dalyvavimą įvedant komendanto valandą („įgyvendindami V. U. 1 ir G. B. neteisėtai įvestą komendanto valandą“), nes komendanto valandą įvedė nuteistasis V. U. 1, o priimant šį sprendimą G. B. nedalyvavo (plačiau žr. šio sprendimo </w:t>
      </w:r>
      <w:r w:rsidRPr="005D022C">
        <w:t>907</w:t>
      </w:r>
      <w:r w:rsidRPr="005D022C">
        <w:rPr>
          <w:rStyle w:val="Numatytasispastraiposriftas1"/>
          <w:color w:val="000000"/>
          <w:szCs w:val="24"/>
          <w:lang w:eastAsia="ar-SA" w:bidi="lt-LT"/>
        </w:rPr>
        <w:t>–</w:t>
      </w:r>
      <w:r w:rsidRPr="005D022C">
        <w:t>928 pastraipas)</w:t>
      </w:r>
      <w:r w:rsidRPr="005D022C">
        <w:rPr>
          <w:rFonts w:eastAsia="Calibri"/>
        </w:rPr>
        <w:t>.</w:t>
      </w:r>
    </w:p>
    <w:p w:rsidR="00DA38E9" w:rsidRPr="00C00255" w:rsidRDefault="00DA38E9" w:rsidP="00DA38E9">
      <w:pPr>
        <w:pStyle w:val="ListParagraph"/>
        <w:numPr>
          <w:ilvl w:val="1"/>
          <w:numId w:val="6"/>
        </w:numPr>
        <w:spacing w:before="120" w:after="120"/>
        <w:ind w:left="992" w:hanging="992"/>
        <w:contextualSpacing w:val="0"/>
        <w:rPr>
          <w:szCs w:val="24"/>
        </w:rPr>
      </w:pPr>
      <w:r w:rsidRPr="00C00255">
        <w:rPr>
          <w:szCs w:val="24"/>
        </w:rPr>
        <w:t xml:space="preserve">Teisėjų kolegija sutinka su prokurorų apeliacinio skundo argumentais dėl faktinių aplinkybių papildymo, nustatant, kad </w:t>
      </w:r>
      <w:r>
        <w:rPr>
          <w:szCs w:val="24"/>
        </w:rPr>
        <w:t>V. U. 1</w:t>
      </w:r>
      <w:r w:rsidRPr="00C00255">
        <w:rPr>
          <w:szCs w:val="24"/>
        </w:rPr>
        <w:t xml:space="preserve"> komendanto valandą įvedė</w:t>
      </w:r>
      <w:r w:rsidRPr="00C00255">
        <w:rPr>
          <w:rStyle w:val="Numatytasispastraiposriftas1"/>
          <w:color w:val="000000"/>
          <w:szCs w:val="24"/>
          <w:lang w:eastAsia="ar-SA" w:bidi="lt-LT"/>
        </w:rPr>
        <w:t xml:space="preserve">, vykdydamas ir remdamas kitos valstybės – TSRS ir užsienio organizacijos – TSKP bei jos padalinio Lietuvoje – LKP/TSKP politiką dideliu mastu ir sistemingai užpuldinėti civilius, įgyvendindamas </w:t>
      </w:r>
      <w:r>
        <w:rPr>
          <w:rStyle w:val="Numatytasispastraiposriftas1"/>
          <w:color w:val="000000"/>
          <w:szCs w:val="24"/>
          <w:lang w:eastAsia="ar-SA" w:bidi="lt-LT"/>
        </w:rPr>
        <w:t>D. J.</w:t>
      </w:r>
      <w:r w:rsidRPr="00C00255">
        <w:rPr>
          <w:rStyle w:val="Numatytasispastraiposriftas1"/>
          <w:color w:val="000000"/>
          <w:szCs w:val="24"/>
          <w:lang w:eastAsia="ar-SA" w:bidi="lt-LT"/>
        </w:rPr>
        <w:t>, V. K</w:t>
      </w:r>
      <w:r>
        <w:rPr>
          <w:rStyle w:val="Numatytasispastraiposriftas1"/>
          <w:color w:val="000000"/>
          <w:szCs w:val="24"/>
          <w:lang w:eastAsia="ar-SA" w:bidi="lt-LT"/>
        </w:rPr>
        <w:t>.</w:t>
      </w:r>
      <w:r w:rsidRPr="00C00255">
        <w:rPr>
          <w:rStyle w:val="Numatytasispastraiposriftas1"/>
          <w:color w:val="000000"/>
          <w:szCs w:val="24"/>
          <w:lang w:eastAsia="ar-SA" w:bidi="lt-LT"/>
        </w:rPr>
        <w:t xml:space="preserve">, </w:t>
      </w:r>
      <w:r>
        <w:rPr>
          <w:rStyle w:val="Numatytasispastraiposriftas1"/>
          <w:color w:val="000000"/>
          <w:szCs w:val="24"/>
          <w:lang w:eastAsia="ar-SA" w:bidi="lt-LT"/>
        </w:rPr>
        <w:t>B. P.</w:t>
      </w:r>
      <w:r w:rsidRPr="00C00255">
        <w:rPr>
          <w:rStyle w:val="Numatytasispastraiposriftas1"/>
          <w:color w:val="000000"/>
          <w:szCs w:val="24"/>
          <w:lang w:eastAsia="ar-SA" w:bidi="lt-LT"/>
        </w:rPr>
        <w:t>, O. Š</w:t>
      </w:r>
      <w:r>
        <w:rPr>
          <w:rStyle w:val="Numatytasispastraiposriftas1"/>
          <w:color w:val="000000"/>
          <w:szCs w:val="24"/>
          <w:lang w:eastAsia="ar-SA" w:bidi="lt-LT"/>
        </w:rPr>
        <w:t>.</w:t>
      </w:r>
      <w:r w:rsidRPr="00C00255">
        <w:rPr>
          <w:rStyle w:val="Numatytasispastraiposriftas1"/>
          <w:color w:val="000000"/>
          <w:szCs w:val="24"/>
          <w:lang w:eastAsia="ar-SA" w:bidi="lt-LT"/>
        </w:rPr>
        <w:t xml:space="preserve"> kartu su nenustatytais asmenimis atitinkamai iš TSRS GM Generalinio štabo, VRM ir VSK štabų parengtą planą, kad komendanto valanda buvo „viena iš minėtame plane numatytų nepaprastosios padėties priemonių“ bei, kad </w:t>
      </w:r>
      <w:r>
        <w:rPr>
          <w:rStyle w:val="Numatytasispastraiposriftas1"/>
          <w:color w:val="000000"/>
          <w:szCs w:val="24"/>
          <w:lang w:eastAsia="ar-SA" w:bidi="lt-LT"/>
        </w:rPr>
        <w:t>V. U. 1</w:t>
      </w:r>
      <w:r w:rsidRPr="00C00255">
        <w:rPr>
          <w:rStyle w:val="Numatytasispastraiposriftas1"/>
          <w:color w:val="000000"/>
          <w:szCs w:val="24"/>
          <w:lang w:eastAsia="ar-SA" w:bidi="lt-LT"/>
        </w:rPr>
        <w:t xml:space="preserve">, „prisidengdamas tuo, kad vykdo nusikalstamų struktūrų nuginklavimą, komendanto valandos metu siekė persekioti civilius dėl politinių ir nacionalinių motyvų, juos bauginti, terorizuoti ir neteisėtu būdu pakeisti Lietuvos valstybės konstitucinę santvarką, kėsintis į jos nepriklausomybę ir pažeisti teritorijos vientisumą. Ir kad su </w:t>
      </w:r>
      <w:r>
        <w:rPr>
          <w:rStyle w:val="Numatytasispastraiposriftas1"/>
          <w:color w:val="000000"/>
          <w:szCs w:val="24"/>
          <w:lang w:eastAsia="ar-SA" w:bidi="lt-LT"/>
        </w:rPr>
        <w:t>G. B.</w:t>
      </w:r>
      <w:r w:rsidRPr="00C00255">
        <w:rPr>
          <w:rStyle w:val="Numatytasispastraiposriftas1"/>
          <w:color w:val="000000"/>
          <w:szCs w:val="24"/>
          <w:lang w:eastAsia="ar-SA" w:bidi="lt-LT"/>
        </w:rPr>
        <w:t xml:space="preserve"> kartu numatė vykdyti neteisėtą asmenų judėjimo kontrolę, asmenų, transporto priemonių, dokumentų patikrą, intensyvų patruliavimą“. Pagrįst</w:t>
      </w:r>
      <w:r w:rsidRPr="00C00255">
        <w:rPr>
          <w:rStyle w:val="Numatytasispastraiposriftas1"/>
          <w:color w:val="000000"/>
          <w:lang w:eastAsia="ar-SA" w:bidi="lt-LT"/>
        </w:rPr>
        <w:t>i</w:t>
      </w:r>
      <w:r w:rsidRPr="00C00255">
        <w:rPr>
          <w:rStyle w:val="Numatytasispastraiposriftas1"/>
          <w:color w:val="000000"/>
          <w:szCs w:val="24"/>
          <w:lang w:eastAsia="ar-SA" w:bidi="lt-LT"/>
        </w:rPr>
        <w:t xml:space="preserve"> ir prokurorų prašyma</w:t>
      </w:r>
      <w:r w:rsidRPr="00C00255">
        <w:rPr>
          <w:rStyle w:val="Numatytasispastraiposriftas1"/>
          <w:color w:val="000000"/>
          <w:lang w:eastAsia="ar-SA" w:bidi="lt-LT"/>
        </w:rPr>
        <w:t>i</w:t>
      </w:r>
      <w:r w:rsidRPr="00C00255">
        <w:rPr>
          <w:rStyle w:val="Numatytasispastraiposriftas1"/>
          <w:color w:val="000000"/>
          <w:szCs w:val="24"/>
          <w:lang w:eastAsia="ar-SA" w:bidi="lt-LT"/>
        </w:rPr>
        <w:t xml:space="preserve"> nuosprendyje nurodytą agresijos požymį papildyti ginkluoto konflikto požymiu, bei pripažinti, kad civiliai asmenys buvo persekiojami ir dėl politinių, ir dėl nacionalinių motyvų </w:t>
      </w:r>
      <w:r w:rsidRPr="00C00255">
        <w:rPr>
          <w:rFonts w:eastAsia="Calibri"/>
          <w:szCs w:val="24"/>
        </w:rPr>
        <w:t>(</w:t>
      </w:r>
      <w:r w:rsidRPr="00C00255">
        <w:rPr>
          <w:szCs w:val="24"/>
        </w:rPr>
        <w:t>plačiau žr. šio sprendimo 973</w:t>
      </w:r>
      <w:r w:rsidRPr="00C00255">
        <w:rPr>
          <w:rStyle w:val="Numatytasispastraiposriftas1"/>
          <w:color w:val="000000"/>
          <w:szCs w:val="24"/>
          <w:lang w:eastAsia="ar-SA" w:bidi="lt-LT"/>
        </w:rPr>
        <w:t>–9</w:t>
      </w:r>
      <w:r w:rsidRPr="00C00255">
        <w:rPr>
          <w:szCs w:val="24"/>
        </w:rPr>
        <w:t>77 pastraipas)</w:t>
      </w:r>
      <w:r w:rsidRPr="00C00255">
        <w:rPr>
          <w:rFonts w:eastAsia="Calibri"/>
          <w:szCs w:val="24"/>
        </w:rPr>
        <w:t>.</w:t>
      </w:r>
    </w:p>
    <w:p w:rsidR="00DA38E9" w:rsidRPr="00C00255" w:rsidRDefault="00DA38E9" w:rsidP="00DA38E9">
      <w:pPr>
        <w:pStyle w:val="Heading2"/>
        <w:spacing w:after="120"/>
        <w:ind w:left="992" w:firstLine="0"/>
        <w:jc w:val="center"/>
        <w:rPr>
          <w:rFonts w:ascii="Times New Roman" w:eastAsia="Times New Roman" w:hAnsi="Times New Roman" w:cs="Times New Roman"/>
          <w:sz w:val="24"/>
          <w:szCs w:val="24"/>
        </w:rPr>
      </w:pPr>
      <w:bookmarkStart w:id="766" w:name="_Toc66718290"/>
      <w:bookmarkStart w:id="767" w:name="_Toc67677413"/>
      <w:bookmarkStart w:id="768" w:name="_Toc67985541"/>
      <w:r w:rsidRPr="00C00255">
        <w:rPr>
          <w:rFonts w:ascii="Times New Roman" w:hAnsi="Times New Roman" w:cs="Times New Roman"/>
          <w:sz w:val="24"/>
          <w:szCs w:val="24"/>
        </w:rPr>
        <w:t>G. DĖL NUSTATYTŲ FAKTINIŲ APLINKYBIŲ KVALIFIKAVIMO IR KITŲ TEISINIO POBŪDŽIO KLAUSIMŲ</w:t>
      </w:r>
      <w:bookmarkEnd w:id="766"/>
      <w:bookmarkEnd w:id="767"/>
      <w:bookmarkEnd w:id="768"/>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Ankstesnėse šio teismo procesinio sprendimo dalyse teisėjų kolegija konstatavo, kad didžioji dauguma Vilniaus apygardos teismo 2019 m. kovo 27 d. nuosprendžiu nustatytų 1991 m. įvykių faktinių aplinkybių pasitvirtino kaip teisingos ir pagrįstos. Šioje dalyje teisėjų kolegija pasisakys dėl byloje konstatuotų faktinių aplinkybių teisinio vertinimo, aptars nuteistiesiems inkriminuotų BK straipsnių grįžtamosios galios klausimą, išanalizuos šiuose BK straipsniuose įtvirtintų nusikalstamų veikų sudėties požymius bei atsakys į esminį apeliaciniuose skunduose keliamą klausimą, ar nuteistųjų veikos atitinka jiems inkriminuotuose BK straipsniuose įtvirtintų nusikalstamų veikų sudėčių požymius ir ar šios BK normos apskritai galėjo būti inkriminuotos šioje byloje. Šioje dalyje </w:t>
      </w:r>
      <w:r w:rsidRPr="00C00255">
        <w:rPr>
          <w:szCs w:val="24"/>
          <w:lang w:eastAsia="lt-LT"/>
        </w:rPr>
        <w:t xml:space="preserve">teisėjų kolegija taip pat pasisakys dėl nacionalinių bendrosios kompetencijos teismų jurisdikcijos nagrinėti šią bylą, dėl atsakomybės už nusikaltimus žmoniškumui ar karo nusikaltimus subjekto, dėl tarptautinių teisės aktų įtakos sprendžiant nuteistųjų baudžiamosios atsakomybės už nusikaltimus žmoniškumui ir karo nusikaltimus klausimą, dėl BK nuostatų, įtvirtinusių atsakomybę už minėtus nusikaltimus, grįžtamosios galios, dėl bendrininkavimo formos, dėl įsakymo vykdymo kaip baudžiamąją atsakomybę šalinančios aplinkybės, dėl asmenų lygybės prieš įstatymą principo pažeidimo, dėl atakos metu šturmuotų objektų statuso ir draudimo jų gynybai naudoti civilius kaip „gyvą skydą“ ir pan. </w:t>
      </w:r>
    </w:p>
    <w:p w:rsidR="00DA38E9" w:rsidRPr="00C00255" w:rsidRDefault="00DA38E9" w:rsidP="00DA38E9">
      <w:pPr>
        <w:pStyle w:val="Heading3"/>
        <w:ind w:left="992"/>
        <w:jc w:val="both"/>
        <w:rPr>
          <w:b w:val="0"/>
          <w:i/>
          <w:sz w:val="24"/>
          <w:szCs w:val="24"/>
          <w:lang w:val="lt-LT"/>
        </w:rPr>
      </w:pPr>
      <w:bookmarkStart w:id="769" w:name="_Toc66718291"/>
      <w:bookmarkStart w:id="770" w:name="_Toc67677414"/>
      <w:bookmarkStart w:id="771" w:name="_Toc67985542"/>
      <w:r w:rsidRPr="00C00255">
        <w:rPr>
          <w:b w:val="0"/>
          <w:i/>
          <w:sz w:val="24"/>
          <w:szCs w:val="24"/>
          <w:lang w:val="lt-LT"/>
        </w:rPr>
        <w:t>Dėl Lietuvos Respublikos bendrosios kompetencijos teismų jurisdikcijos nagrinėti baudžiamąją bylą dėl nusikaltimų žmoniškumui ir karo nusikaltimų</w:t>
      </w:r>
      <w:bookmarkEnd w:id="769"/>
      <w:bookmarkEnd w:id="770"/>
      <w:bookmarkEnd w:id="771"/>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Keliuose apeliaciniuose skunduose teigiama, kad nacionaliniai bendrosios kompetencijos teismai neturi jurisdikcijos nagrinėti baudžiamosios bylos, susijusios su nuteistiesiems pareikštais kaltinimais dėl nusikaltimų žmoniškumui ir karo nusikaltimų, kadangi tokių baudžiamųjų bylų nagrinėjimas yra priskirtas specializuotų tarptautinių teismų jurisdikcijai, t. y. Tarptautiniam Teisingumo Teismui, Tarptautiniam Baudžiamajam Teismui ar specializuotiems karo tribunolams.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Apeliacinės instancijos teismas konstatuoja, kad tokie apeliacinių skundų argumentai yra nepagrįsti ir prieštarauja ne tik Lietuvos Respublikos įstatymams, bet ir tarptautinei teisei bei tarptautinių teismų praktikai. BK 7 straipsnyje įtvirtinta, kad asmenys nepriklausomai nuo to, kokia yra jų pilietybė ir gyvenamoji vieta, nusikaltimo padarymo vieta, už nusikaltimus žmoniškumui ir karo nusikaltimus atsako pagal Lietuvos Respublikos baudžiamąjį kodeksą. BPK 6 straipsnyje nustatyta, kad baudžiamąsias bylas nagrinėja tik teismai. BPK</w:t>
      </w:r>
      <w:r>
        <w:rPr>
          <w:szCs w:val="24"/>
        </w:rPr>
        <w:t> </w:t>
      </w:r>
      <w:r w:rsidRPr="00C00255">
        <w:rPr>
          <w:szCs w:val="24"/>
        </w:rPr>
        <w:t>40</w:t>
      </w:r>
      <w:r>
        <w:rPr>
          <w:szCs w:val="24"/>
        </w:rPr>
        <w:t> </w:t>
      </w:r>
      <w:r w:rsidRPr="00C00255">
        <w:rPr>
          <w:szCs w:val="24"/>
        </w:rPr>
        <w:t>straipsnyje įtvirtinta, kad teismai yra Lietuvos Aukščiausiasis Teismas, Lietuvos apeliacinis teismas, apygardos teismas, apylinkės teismas. Savo ruožtu valstybės tarptautinių sutarčių pagrindu gali pripažinti ir tam tikrų tarptautinių teismų jurisdikciją konkrečiais klausimais, tačiau tai jokiu būdu nepaneigia valstybių nacionalinių teismų jurisdikcijos teisti asmenis, padariusius nusikalstamas veikas, už kurias baudžiamoji atsakomybė yra numatyta nacionaliniuose baudžiamuosiuose įstatymuose.</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Pirmasis tarptautinio baudžiamojo teismo pavyzdys buvo Niurnbergo tarptautinis karinis tribunolas, įsteigtas 1945 m. rugpjūčio 8 d., kuriam valstybių (Antrojo pasaulinio karo nugalėtojų) susitarimu buvo suteikta teisė teisti asmenis už nusikaltimus žmoniškumui ir karo nusikaltimus, padarytus Antrojo pasaulinio karo metu. Tačiau Niurnbergo tarptautinio karinio tribunolo įsteigimas ir jo priimtas nuosprendis dėl konkrečių asmenų patraukimo baudžiamojon atsakomybėn nepašalino atskirų valstybių nacionalinių teismų jurisdikcijos pagal nacionalinius baudžiamuosius įstatymus</w:t>
      </w:r>
      <w:r w:rsidRPr="00C00255">
        <w:t xml:space="preserve"> </w:t>
      </w:r>
      <w:r w:rsidRPr="00C00255">
        <w:rPr>
          <w:szCs w:val="24"/>
        </w:rPr>
        <w:t>baudžiamojon atsakomybėn patraukti ir kitus asmenis, padariusius karo nusikaltimus ar nusikaltimus taikai ar žmoniškumui. 1945 m. rugpjūčio 8 d. Londono susitarimo „Dėl Europos ašies šalių pagrindinių karo nusikaltėlių persekiojimo ir nubaudimo“, prie kurio buvo pridėtas ir Niurnbergo tarptautinio karinio tribunolo statutas, 6 straipsnyje buvo įtvirtinta, kad jokia šio susitarimo nuostata nepaneigia jau įsteigtų ar ateityje būsimų įsteigtų nacionalinių teismų jurisdikcijos ar įgaliojimų karo nusikaltėlių teisimui. Taip pat 1946 m. vasario 13 d. buvo priimta Jungtinių Tautų Generalinės Asamblėjos rezoliucija 3 (I) dėl karo nusikaltėlių ekstradicijos ir nubaudimo, kurioje rekomenduota Jungtinių Tautų valstybėms narėms ir valstybėms, kurios nėra Jungtinių Tautų narėmis, tuoj pat imtis reikalingų priemonių tam, kad būtų sulaikyti karo nusikaltėliai, kurie būtų sugrąžinti į valstybes, kuriose jie padarė nusikaltimus, kad juos nuteistų ir nubaustų teismai pagal tų valstybių įstatymus.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Pažymėtina ir tai, kad Tarptautinio Baudžiamojo Teismo Romos statuto, priimto 1998 m. liepos 17 d., kuriuo buvo įsteigtas Tarptautinis Baudžiamasis Teismas, 17 straipsnis numato tik papildomą šio teismo jurisdikciją greta nacionalinių teismų, t. y. šiame straipsnyje įtvirtinta, kad TBT nusprendžia, jog byla yra nepriimtina, jei bylą tiria arba baudžiamąja tvarka nagrinėja valstybė, kurios jurisdikcijai ji priklauso, išskyrus atvejus, kai valstybė nenori arba tikrai negali atlikti tyrimo ar nagrinėti bylos baudžiamąja tvarka. Šio statuto preambulėje taip pat pabrėžta, kad Tarptautinis Baudžiamasis Teismas papildo nacionalinę baudžiamąją jurisdikciją.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Tai, kad nacionaliniai valstybių teismai turi jurisdikciją baudžiamojon atsakomybėn traukti asmenis už nusikaltimus žmoniškumui ar karo nusikaltimus, įrodo ir EŽTT praktika bylose, kuriose nacionaliniai teismai nuteisė asmenis už nusikaltimus žmoniškumui ar karo nusikaltimus (pvz.,</w:t>
      </w:r>
      <w:r w:rsidRPr="00C00255">
        <w:t xml:space="preserve"> </w:t>
      </w:r>
      <w:r w:rsidRPr="00C00255">
        <w:rPr>
          <w:szCs w:val="24"/>
        </w:rPr>
        <w:t xml:space="preserve">2010 m. gegužės 17 d. sprendimas byloje </w:t>
      </w:r>
      <w:r w:rsidRPr="00C00255">
        <w:rPr>
          <w:i/>
          <w:szCs w:val="24"/>
        </w:rPr>
        <w:t>Kononov prieš Latviją</w:t>
      </w:r>
      <w:r w:rsidRPr="00C00255">
        <w:rPr>
          <w:szCs w:val="24"/>
        </w:rPr>
        <w:t xml:space="preserve">, peticijos Nr. 36376/04, 2006 m. sausio 24 d. sprendimas byloje </w:t>
      </w:r>
      <w:r w:rsidRPr="00C00255">
        <w:rPr>
          <w:i/>
          <w:szCs w:val="24"/>
        </w:rPr>
        <w:t>Penart prieš Estiją</w:t>
      </w:r>
      <w:r w:rsidR="00A93032">
        <w:rPr>
          <w:szCs w:val="24"/>
        </w:rPr>
        <w:t>, peticijos Nr. </w:t>
      </w:r>
      <w:r w:rsidRPr="00C00255">
        <w:rPr>
          <w:szCs w:val="24"/>
        </w:rPr>
        <w:t>14685/06, 2001 m. kovo 22 d. Didžiosios Kolegijos sprendimas</w:t>
      </w:r>
      <w:r w:rsidRPr="00C00255">
        <w:rPr>
          <w:i/>
          <w:szCs w:val="24"/>
        </w:rPr>
        <w:t xml:space="preserve"> K.-H.W prieš Vokietiją</w:t>
      </w:r>
      <w:r w:rsidRPr="00C00255">
        <w:rPr>
          <w:szCs w:val="24"/>
        </w:rPr>
        <w:t xml:space="preserve">, peticijos Nr. 37201/97). Be to, EŽTT savo jurisprudencijoje yra pažymėjęs, kad, pasikeitus valstybės suvereniai valdžiai teritorijos atžvilgiu ar pasikeitus politiniam režimui nacionalinėje teritorijoje, yra visiškai teisėta teisinei valstybei patraukti baudžiamojon atsakomybėn tuos asmenis, kurie nusikaltimus buvo padarę prieš tai buvusio režimo metu (2001 m. kovo 22 d. Didžiosios Kolegijos sprendimas byloje </w:t>
      </w:r>
      <w:r w:rsidRPr="00C00255">
        <w:rPr>
          <w:i/>
          <w:szCs w:val="24"/>
        </w:rPr>
        <w:t>Streletz, Kessler ir Krenz prieš Vokietiją,</w:t>
      </w:r>
      <w:r w:rsidRPr="00C00255">
        <w:rPr>
          <w:szCs w:val="24"/>
        </w:rPr>
        <w:t xml:space="preserve"> peticijos Nr.</w:t>
      </w:r>
      <w:r>
        <w:rPr>
          <w:szCs w:val="24"/>
        </w:rPr>
        <w:t> </w:t>
      </w:r>
      <w:r w:rsidRPr="00C00255">
        <w:rPr>
          <w:szCs w:val="24"/>
        </w:rPr>
        <w:t>34044/96 ir kt.).</w:t>
      </w:r>
    </w:p>
    <w:p w:rsidR="00DA38E9" w:rsidRPr="000A79E4"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Taigi Lietuvos Respublikos teismai turi jurisdikciją spręsti klausimą dėl TSRS kariškiams ir kitiems asmenims šioje byloje reiškiamų kaltinimų padarius nusikaltimus žmoniškumui ir karo nusikaltimus, todėl nėra pagrindo pripažinti pagrįstais nuteistųjų ir (ar) jų gynėjų apeliacinių skundų bei baigiamosiose kalbose itin akcentuotų argumentų, kad baudžiamąją bylą išnagrinėjo tam jurisdikcijos neturintis teismas.</w:t>
      </w:r>
      <w:bookmarkStart w:id="772" w:name="_Toc66718292"/>
      <w:bookmarkStart w:id="773" w:name="_Toc67677415"/>
    </w:p>
    <w:p w:rsidR="00DA38E9" w:rsidRPr="00C00255" w:rsidRDefault="00DA38E9" w:rsidP="00DA38E9">
      <w:pPr>
        <w:pStyle w:val="Heading3"/>
        <w:ind w:left="992"/>
        <w:jc w:val="both"/>
        <w:rPr>
          <w:b w:val="0"/>
          <w:i/>
          <w:sz w:val="24"/>
          <w:szCs w:val="24"/>
          <w:lang w:val="lt-LT"/>
        </w:rPr>
      </w:pPr>
      <w:bookmarkStart w:id="774" w:name="_Toc67985543"/>
      <w:r w:rsidRPr="00C00255">
        <w:rPr>
          <w:b w:val="0"/>
          <w:i/>
          <w:sz w:val="24"/>
          <w:szCs w:val="24"/>
          <w:lang w:val="lt-LT"/>
        </w:rPr>
        <w:t>Dėl valstybės atsakomybės už jos ginkluotųjų pajėgų narių padarytus nusikaltimus žmoniškumui ar karo nusikaltimus bei galimybės baudžiamojon atsakomybėn patraukti ne tik aukščiausio rango karininkus, bet ir žemesnio rango kariškius</w:t>
      </w:r>
      <w:bookmarkEnd w:id="772"/>
      <w:bookmarkEnd w:id="773"/>
      <w:bookmarkEnd w:id="774"/>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Gynyba tiek apeliaciniuose skunduose, tiek viso proceso metu kartojo argumentą, kad už šioje baudžiamojoje byloje nuteistiesiems inkriminuotus nusikaltimus atsakomybėn turėjo būti traukiama valstybė (TSRS ar jos teisių perėmėja – Rusijos Federacija), bet ne atskiri fiziniai asmenys.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Visgi EŽTT sprendime byloje </w:t>
      </w:r>
      <w:r w:rsidRPr="00C00255">
        <w:rPr>
          <w:i/>
          <w:szCs w:val="24"/>
        </w:rPr>
        <w:t>Streletz, Kessler ir Krenz prieš Vokietiją</w:t>
      </w:r>
      <w:r w:rsidRPr="00C00255">
        <w:rPr>
          <w:szCs w:val="24"/>
        </w:rPr>
        <w:t xml:space="preserve"> (Didžiosios Kolegijos 2001 m. kovo 22 d. sprendimas, peticijos Nr. 34044/96 ir kt.), kurioje buvo sprendžiamas klausimas dėl Vokietijos Demokratinės Respublikos pareigūnų veiksmų, susijusių su sienos tarp Vokietijos Demokratinės Respublikos ir Vokietijos Federacinės Respublikos apsauga, įrengiant minas, automatinio šaudymo sistemas bei duodant nurodymus sargybiniams bet kokia kaina saugoti sieną, dėl kurios žuvo keli šimtai žmonių, pažymėjo, kad jei Vokietijos Demokratinė Respublika vis dar egzistuotų, pagal tarptautinę teisę ji būtų atsakinga už atliktus veiksmus, tačiau svarbu nustatyti, ar greta valstybės atsakomybės asmenys turėjo ir asmeninę baudžiamąją atsakomybę. Analogišką išvadą dėl valstybės ir asmeninės fizinio asmens baudžiamosios atsakomybės santykio EŽTT padarė ir sprendime byloje </w:t>
      </w:r>
      <w:r w:rsidRPr="00C00255">
        <w:rPr>
          <w:i/>
          <w:szCs w:val="24"/>
        </w:rPr>
        <w:t>K.-H.W prieš Vokietiją</w:t>
      </w:r>
      <w:r w:rsidRPr="00C00255">
        <w:rPr>
          <w:szCs w:val="24"/>
        </w:rPr>
        <w:t xml:space="preserve"> (Didžiosios Kolegijos 2001 m. kovo 22 d. sprendimas, peticijos Nr. 37201/97).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Taigi, remiantis minėtais EŽTT sprendimais, darytina išvada, kad valstybės atsakomybė ir atskirų fizinių asmenų asmeninė baudžiamoji atsakomybė gali egzistuoti kartu, tik privaloma nustatyti visus būtinus fizinio asmens patraukimo baudžiamojon atsakomybėn elementus.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Daugelis gynėjų taip pat teigė, kad už nuteistiesiems inkriminuotus nusikaltimus baudžiamojon atsakomybėn galėjo būti traukiami tik aukščiausio rango politiniai veikėjai ar aukščiausio rango karininkai, o ne įsakymus vykdę žemesnio rango kariškiai.</w:t>
      </w:r>
      <w:r w:rsidRPr="00C00255">
        <w:rPr>
          <w:color w:val="FF0000"/>
          <w:szCs w:val="24"/>
        </w:rPr>
        <w:t xml:space="preserve"> </w:t>
      </w:r>
      <w:r w:rsidRPr="00C00255">
        <w:rPr>
          <w:color w:val="000000" w:themeColor="text1"/>
          <w:szCs w:val="24"/>
        </w:rPr>
        <w:t>Apeliaciniuose skunduose šį</w:t>
      </w:r>
      <w:r w:rsidRPr="00C00255">
        <w:rPr>
          <w:szCs w:val="24"/>
        </w:rPr>
        <w:t xml:space="preserve"> teiginį bandoma pagrįsti Niurnbergo tarptautinio karinio tribunolo pavyzdžiu, teigiant, kad Niurnbergo tarptautinis karinis tribunolas teisė tik aukščiausius nacistinės Vokietijos valdžios politinius veikėjus bei aukščiausias pareigas kariuomenėje užėmusius asmenis. Tačiau ir šie apeliacinių skundų argumentai pripažįstami nepagrįstais ir atmetami.</w:t>
      </w:r>
      <w:r w:rsidRPr="00C00255">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Niurnbergo tarptautinio karinio tribunolo statuto 6 straipsnio 1 dalyje nustatyta, kad Tribunolas, įsteigtas teisti ir nubausti pagrindinius Europos ašies šalių karo nusikaltėlius, turi galią teisti ir bausti asmenis, kurie, veikdami Europos ašies šalių interesų vardan, veikdami atskirai arba būdami organizacijų nariais, padarė kurį nors iš nusikaltimų, t. y. nusikaltimus taikai, karo nusikaltimus arba nusikaltimus žmoniškumui. Taigi Niurnbergo tarptautinis karinis tribunolas turėjo įgaliojimus teisti bet kurio rango karininkus ar kareivius, tačiau iš esmės paties Niurnbergo tarptautinio karinio tribunolo įsteigimo tikslas buvo nuteisti pagrindinius Europos ašies šalių karo nusikaltėlius, todėl šiame teisminiame procese kaltinimai dėl agresyvaus karo suplanavimo ir sukėlimo, dėl Hagos konvencijose civilizuotų valstybių nustatytų kariavimo papročių nesilaikymo, dėl karo nusikaltimų ir nusikaltimų žmoniškumui buvo pareikšti aukščiausio rango asmenims, Antrojo pasaulinio karo metu vadovavusiems nacistinės Vokietijos politinėms ir karinėms struktūroms. Istoriniai šaltiniai pažymi, kad Antrąjį pasaulinį karą laimėjusioms valstybėms (TSRS, JAV, Jungtinei Karalystei ir Prancūzijai) įsteigus Niurnbergo tarptautinį karinį tribunolą, konkrečių kaltinamųjų sąrašo sudarymas užtruko ir kėlė daug diskusijų, kadangi skirtingos valstybės siūlė kaltinamaisiais pripažinti skirtingą kiekį asmenų (net iki šimto), tačiau galiausiai buvo nuspręsta, kad procesas turi apimti ne daugiau kaip 24 asmenis. Tad natūralu, kad apsisprendus dėl mažesnio skaičiaus kaltinamųjų, Niurnbergo tarptautiniame kariniame tribunole buvo sprendžiamas tik aukščiausių politinių veikėjų bei karininkų baudžiamosios atsakomybės klausimas, tačiau tai jokiu būdu nepaneigė galimybės baudžiamojon atsakomybėn už nusikaltimus taikai, žmoniškumui ar karo nusikaltimus traukti ir kitus žemesnio rango politinių jėgų ar kariuomenės atstovus. Šiame kontekste pažymėtina ir tai, kad dar 1943 m. spalio 30 d. JAV prezidentas Franklinas Ruzveltas, Didžiosios Britanijos premjeras Vinstonas Čerčilis ir TSRS vadovas Josifas Stalinas Maskvoje pasirašė deklaraciją „Dėl hitlerininkų atsakomybės už vykdomus žvėriškumus“, kurioje nurodyta, kad už žudynes ir žiaurumus atsakingų ar laisvanoriškai jose dalyvavusių Vokietijos kariuomenės karininkų ir kareivių, nacionalsocialistų darbininkų partijos narių paieška karui pasibaigus bus vykdoma pagal iš anksto sudarytus sąrašus, o nusikaltėlius suradus, jie bus siunčiami teisti į tas šalis, kuriose įvykdė nusikaltimus, kad būtų nubausti pagal tos šalies įstatymus. Istoriniai šaltiniai patvirtina, kad teisminiai procesai karo nusikaltėliams (tarp jų ir žemesnio rango kariuomenės nariams) vyko visose Vokietijos okupacinėse zonose, JAV, Prancūzijoje, Lenkijoje, Danijoje, kitose Europos šalyse (išsamiau žr. </w:t>
      </w:r>
      <w:r w:rsidRPr="00C00255">
        <w:rPr>
          <w:rFonts w:eastAsia="Batang"/>
          <w:szCs w:val="24"/>
          <w:lang w:eastAsia="lt-LT"/>
        </w:rPr>
        <w:t>[interaktyvūs]. &lt;</w:t>
      </w:r>
      <w:r w:rsidRPr="00C00255">
        <w:rPr>
          <w:szCs w:val="24"/>
        </w:rPr>
        <w:t>https://www.history.com/topics/world-war-ii/nuremberg-trials</w:t>
      </w:r>
      <w:r w:rsidRPr="00C00255">
        <w:rPr>
          <w:rStyle w:val="Hyperlink"/>
          <w:color w:val="auto"/>
          <w:szCs w:val="24"/>
          <w:u w:val="none"/>
        </w:rPr>
        <w:t>&gt;</w:t>
      </w:r>
      <w:r w:rsidRPr="00C00255">
        <w:rPr>
          <w:szCs w:val="24"/>
        </w:rPr>
        <w:t>; &lt;https://www.britannica.com/event/Nurnberg-trials</w:t>
      </w:r>
      <w:r w:rsidRPr="00C00255">
        <w:rPr>
          <w:rStyle w:val="Hyperlink"/>
          <w:color w:val="auto"/>
          <w:szCs w:val="24"/>
          <w:u w:val="none"/>
        </w:rPr>
        <w:t>&gt;</w:t>
      </w:r>
      <w:r w:rsidRPr="00C00255">
        <w:rPr>
          <w:szCs w:val="24"/>
        </w:rPr>
        <w: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Aplinkybę, kad baudžiamojon atsakomybėn gali būti traukiami ne tik vadovaujančias pareigas kariuomenėje užimantys karininkai, bet ir eiliniai kareiviai, patvirtina ir EŽTT praktika. Jau minėtame sprendime byloje</w:t>
      </w:r>
      <w:r w:rsidRPr="00C00255">
        <w:t xml:space="preserve"> </w:t>
      </w:r>
      <w:r w:rsidRPr="00C00255">
        <w:rPr>
          <w:i/>
          <w:szCs w:val="24"/>
        </w:rPr>
        <w:t>K.-H.W prieš Vokietiją</w:t>
      </w:r>
      <w:r w:rsidRPr="00C00255">
        <w:rPr>
          <w:szCs w:val="24"/>
        </w:rPr>
        <w:t xml:space="preserve"> (peticijos Nr. 37201/97) EŽTT konstatavo, kad Žmogaus teisių ir pagrindinių laisvių apsaugos konvencijos nuostatoms neprieštaravo eilinio Vokietijos Demokratinės Respublikos kareivio patraukimas baudžiamojon atsakomybėn už tai, kad jis, vykdydamas įsakymus, nušovė žmones, siekiančius kirsti sieną ir taip išvykti iš Vokietijos Demokratinės Respublikos į Vokietijos Federacinę Respubliką. Šioje byloje EŽTT taip pat pažymėjo, kad eilinių kareivių ir asmenų, davusių įsakymus, baudžiamosios atsakomybės skirtumai, gali būti įvertinti, skiriant bausmes (kas aptariamoje EŽTT byloje ir buvo padaryta – eiliniam kareiviui nacionaliniai teismai skyrė švelnesnę bausmę nei kitoje byloje Vokietijos Demokratinės Respublikos vadovams skirtos bausmės).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Kita vertus, turėdama omenyje minėtą EŽTT praktiką, teisėjų kolegija pabrėžia, jog nagrinėjamoje byloje atsakomybėn nebuvo traukiami įvykiuose dalyvavę žemiausio rango kariškiai, kaip, pavyzdžiui, eiliniai, jefreitoriai ir pan. Žemiausio rango kariškiai, kuriems šioje byloje pareikšti kaltinimai buvo praporščikai, kurie, pagal tuometinį TSRS Ginkluotųjų pajėgų vidaus tarnybos statutą, buvo būtinosios karo tarnybos karininkai ir buvo viršininkais seržantams, viršiloms ir kitiems kareiviams, esantiems su jais tame pačiame dalinyje (t. 506, b. l. 47). Taigi apeliacinių skundų teiginiai apie šioje byloje baudžiamojon atsakomybėn traukiamus eilinius kareivius neatitinka tikrovės.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Kita vertus, teisėjų kolegija jau konstatavo, kad net ir eiliniai kareiviai gali būti traukiami baudžiamojon atsakomybėn už nusikaltimus žmoniškumui ar karo nusikaltimus, todėl nagrinėjamoje baudžiamojoje byloje pagrįstai baudžiamojon atsakomybėn</w:t>
      </w:r>
      <w:r w:rsidRPr="00C00255">
        <w:t xml:space="preserve"> </w:t>
      </w:r>
      <w:r w:rsidRPr="00C00255">
        <w:rPr>
          <w:szCs w:val="24"/>
        </w:rPr>
        <w:t>buvo traukiami net ne eiliniai kareiviai, o žemesnio rango karininkai, vykdę aukštesnio rango karininkų įsakymus.</w:t>
      </w:r>
    </w:p>
    <w:p w:rsidR="00DA38E9" w:rsidRPr="00C00255" w:rsidRDefault="00DA38E9" w:rsidP="00DA38E9">
      <w:pPr>
        <w:pStyle w:val="Heading3"/>
        <w:ind w:left="992"/>
        <w:jc w:val="both"/>
        <w:rPr>
          <w:b w:val="0"/>
          <w:i/>
          <w:sz w:val="24"/>
          <w:lang w:val="lt-LT"/>
        </w:rPr>
      </w:pPr>
      <w:bookmarkStart w:id="775" w:name="_Toc66718293"/>
      <w:bookmarkStart w:id="776" w:name="_Toc67677416"/>
      <w:bookmarkStart w:id="777" w:name="_Toc67985544"/>
      <w:r w:rsidRPr="00C00255">
        <w:rPr>
          <w:b w:val="0"/>
          <w:i/>
          <w:sz w:val="24"/>
          <w:lang w:val="lt-LT"/>
        </w:rPr>
        <w:t>Dėl BK nuostatų, įtvirtinusių atsakomybę už nusikaltimus žmoniškumui ir karo nusikaltimus, grįžtamosios galios (BK 3 straipsnio 3 dalis)</w:t>
      </w:r>
      <w:bookmarkEnd w:id="775"/>
      <w:bookmarkEnd w:id="776"/>
      <w:bookmarkEnd w:id="777"/>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Nemaža dalis apeliantų – nuteistasis </w:t>
      </w:r>
      <w:r>
        <w:rPr>
          <w:szCs w:val="24"/>
        </w:rPr>
        <w:t>A. G. 1</w:t>
      </w:r>
      <w:r w:rsidRPr="00C00255">
        <w:rPr>
          <w:szCs w:val="24"/>
        </w:rPr>
        <w:t xml:space="preserve"> ir kitų nuteistųjų gynėjai skunduose pateikia argumentus ir dėl nepagrįsto nuteistųjų veiksmų kvalifikavimo pagal nusikalstamų veikų padarymo metu negaliojusias baudžiamojo kodekso nuostatas, taip galimai pažeidžiant draudimą asmens baudžiamąją atsakomybę griežtinantį baudžiamąjį įstatymą taikyti</w:t>
      </w:r>
      <w:r w:rsidRPr="00C00255">
        <w:t xml:space="preserve"> </w:t>
      </w:r>
      <w:r w:rsidRPr="00C00255">
        <w:rPr>
          <w:szCs w:val="24"/>
        </w:rPr>
        <w:t>atgaline data.</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Baudžiamoji atsakomybė už nuteistiesiems inkriminuotus nusikaltimus, numatytus BK</w:t>
      </w:r>
      <w:r>
        <w:rPr>
          <w:color w:val="000000" w:themeColor="text1"/>
          <w:szCs w:val="24"/>
        </w:rPr>
        <w:t> </w:t>
      </w:r>
      <w:r w:rsidRPr="00C00255">
        <w:rPr>
          <w:color w:val="000000" w:themeColor="text1"/>
          <w:szCs w:val="24"/>
        </w:rPr>
        <w:t>100</w:t>
      </w:r>
      <w:r>
        <w:rPr>
          <w:color w:val="000000" w:themeColor="text1"/>
          <w:szCs w:val="24"/>
        </w:rPr>
        <w:t> </w:t>
      </w:r>
      <w:r w:rsidRPr="00C00255">
        <w:rPr>
          <w:color w:val="000000" w:themeColor="text1"/>
          <w:szCs w:val="24"/>
        </w:rPr>
        <w:t>straipsnyje, BK 101 straipsnyje, BK 103 straipsnio 1 dalyje, BK 111</w:t>
      </w:r>
      <w:r>
        <w:rPr>
          <w:color w:val="000000" w:themeColor="text1"/>
          <w:szCs w:val="24"/>
        </w:rPr>
        <w:t> </w:t>
      </w:r>
      <w:r w:rsidRPr="00C00255">
        <w:rPr>
          <w:color w:val="000000" w:themeColor="text1"/>
          <w:szCs w:val="24"/>
        </w:rPr>
        <w:t>straipsnio</w:t>
      </w:r>
      <w:r>
        <w:rPr>
          <w:color w:val="000000" w:themeColor="text1"/>
          <w:szCs w:val="24"/>
        </w:rPr>
        <w:t xml:space="preserve"> </w:t>
      </w:r>
      <w:r w:rsidRPr="00C00255">
        <w:rPr>
          <w:color w:val="000000" w:themeColor="text1"/>
          <w:szCs w:val="24"/>
        </w:rPr>
        <w:t>1</w:t>
      </w:r>
      <w:r>
        <w:rPr>
          <w:color w:val="000000" w:themeColor="text1"/>
          <w:szCs w:val="24"/>
        </w:rPr>
        <w:t> </w:t>
      </w:r>
      <w:r w:rsidRPr="00C00255">
        <w:rPr>
          <w:color w:val="000000" w:themeColor="text1"/>
          <w:szCs w:val="24"/>
        </w:rPr>
        <w:t>dalyje ir BK 112 straipsnyje, Lietuvos Respublikos baudžiamajame kodekse buvo įtvirtinta 2003 m. gegužės 1 d. (2000 m. rugsėjo 26 d. įstatymas Nr. VIII-1968), o vėlesnės minėtų BK</w:t>
      </w:r>
      <w:r>
        <w:rPr>
          <w:color w:val="000000" w:themeColor="text1"/>
          <w:szCs w:val="24"/>
        </w:rPr>
        <w:t> </w:t>
      </w:r>
      <w:r w:rsidRPr="00C00255">
        <w:rPr>
          <w:color w:val="000000" w:themeColor="text1"/>
          <w:szCs w:val="24"/>
        </w:rPr>
        <w:t xml:space="preserve">straipsnių (išskyrus BK 112 straipsnį), pagal kurias ir buvo kvalifikuotos nuteistųjų nusikalstamos veikos nagrinėjamoje byloje, redakcijos priimtos 2011 m. kovo 22 d. įstatymu Nr. XI-1291, įsigaliojusiu 2011 m. kovo 31 d. Minėti BK straipsniai nustato atsakomybę už pačius pavojingiausius nusikaltimus, t. y. nusikaltimus žmoniškumui ir karo nusikaltimus.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BK 3 straipsnio 3 dalyje yra nustatyta, kad baudžiamasis įstatymas, nustatantis veikos nusikalstamumą, griežtinantis bausmę arba kitaip sunkinantis nusikalstamą veiką padariusio asmens teisinę padėtį, neturi grįžtamosios galios. Išimtį sudaro šio kodekso normos, nustatančios atsakomybę už genocidą (99 straipsnis), tarptautinės teisės draudžiamą elgesį su žmonėmis (100 straipsnis), tarptautinės humanitarinės teisės saugomų asmenų žudymą (101 straipsnis), civilių trėmimą ar perkėlimą (102 straipsnis), tarptautinės humanitarinės teisės saugomų asmenų žalojimą, kankinimą ar kitokį nežmonišką elgesį su jais ar jų turto apsaugos pažeidimą (103 straipsnis), civilių ar karo belaisvių prievartinį panaudojimą priešo ginkluotosiose pajėgose (105 straipsnis), saugomų objektų naikinimą ar nacionalinių vertybių grobstymą (106 straipsnis), agresiją (110 straipsnis), draudžiamą karo ataką (111 straipsnis), uždraustų karo priemonių naudojimą (112 straipsnis), aplaidų vado pareigų vykdymą (113</w:t>
      </w:r>
      <w:r w:rsidRPr="00C00255">
        <w:rPr>
          <w:color w:val="000000" w:themeColor="text1"/>
          <w:szCs w:val="24"/>
          <w:vertAlign w:val="superscript"/>
        </w:rPr>
        <w:t>1</w:t>
      </w:r>
      <w:r w:rsidR="00A93032">
        <w:rPr>
          <w:color w:val="000000" w:themeColor="text1"/>
          <w:szCs w:val="24"/>
        </w:rPr>
        <w:t> </w:t>
      </w:r>
      <w:r w:rsidRPr="00C00255">
        <w:rPr>
          <w:color w:val="000000" w:themeColor="text1"/>
          <w:szCs w:val="24"/>
        </w:rPr>
        <w:t>straipsnis).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Apeliacinės instancijos teismas, kaip ir pirmosios instancijos teismas, konstatuoja, kad BK 3 straipsnio 3 dalies nuostatos, nustatančios išimtis iš draudimo atgaline data taikyti baudžiamąją atsakomybę griežtinančius įstatymus, atitinka tarptautinės teisės normas bei tarptautinių teismų praktiką. Tokią teisėjų kolegijos poziciją patvirtina tarptautinės teisės aktų ir juose įtvirtintų principų analizė.</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1950 m. Jungtinių Tautų Tarptautinės teisės komisijos patvirtintuose Tarptautinės teisės principuose</w:t>
      </w:r>
      <w:r w:rsidRPr="00C00255">
        <w:rPr>
          <w:color w:val="000000" w:themeColor="text1"/>
          <w:szCs w:val="24"/>
        </w:rPr>
        <w:t>, pripažintuose Niurnbergo tribunolo statute ir nuosprendyje, yra įtvirtintas II principas, numatantis, kad faktas, jog nacionalinė teisė nenustato bausmės už veiką, kuri laikoma nusikaltimu pagal tarptautinę teisę, neatleidžia šią veiką atlikusio asmens nuo atsakomybės pagal tarptautinę teisę.</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Žmogaus teisių ir pagrindinių laisvių apsaugos konvencijos</w:t>
      </w:r>
      <w:r w:rsidRPr="00C00255">
        <w:rPr>
          <w:iCs/>
          <w:color w:val="000000" w:themeColor="text1"/>
          <w:szCs w:val="24"/>
        </w:rPr>
        <w:t xml:space="preserve"> 7 straipsnyje nustatyta, kad: 1. Niekas negali būti nuteistas už veiksmus ar neveikimą, kurie</w:t>
      </w:r>
      <w:r w:rsidRPr="00C00255">
        <w:rPr>
          <w:color w:val="000000" w:themeColor="text1"/>
          <w:szCs w:val="24"/>
        </w:rPr>
        <w:t xml:space="preserve"> pagal jų vykdymo metu galiojusius valstybės vidaus įstatymus arba tarptautinę teisę nebuvo laikomi nusikaltimais; 2. Šis straipsnis nekliudo teisti ir nubausti kiekvieną asmenį už kokius nors veiksmus ar neveikimą, kurie jų padarymo metu buvo laikomi nusikaltimais pagal civilizuotų tautų pripažintus bendruosius teisės principus. EŽTT savo praktikoje akcentuoja, jog Žmogaus teisių ir pagrindinių laisvių apsaugos konvencijos 7 straipsnio 2 dalis buvo įtvirtinta, siekiant pateisinti konkrečiai Antrojo pasaulinio karo metu nusikalstamas veikas padariusių asmenų baudžiamąjį persekiojimą, todėl EŽTT, spręsdamas klausimus dėl grįžtamojo baudžiamąją atsakomybę sunkinančių teisės aktų taikymo, vadovaujasi tik Konvencijos 7 straipsnio 1 dalimi</w:t>
      </w:r>
      <w:r w:rsidRPr="00C00255">
        <w:t xml:space="preserve"> (</w:t>
      </w:r>
      <w:r w:rsidRPr="00C00255">
        <w:rPr>
          <w:color w:val="000000" w:themeColor="text1"/>
          <w:szCs w:val="24"/>
        </w:rPr>
        <w:t xml:space="preserve">2010 m. kovo 17 d. Didžiosios Kolegijos sprendimas byloje </w:t>
      </w:r>
      <w:r w:rsidRPr="00C00255">
        <w:rPr>
          <w:i/>
          <w:color w:val="000000" w:themeColor="text1"/>
          <w:szCs w:val="24"/>
        </w:rPr>
        <w:t>Kononov prieš Latviją</w:t>
      </w:r>
      <w:r w:rsidRPr="00C00255">
        <w:rPr>
          <w:color w:val="000000" w:themeColor="text1"/>
          <w:szCs w:val="24"/>
        </w:rPr>
        <w:t>, peticijos Nr. 36376/04, 186 para.,</w:t>
      </w:r>
      <w:r w:rsidRPr="00C00255">
        <w:t xml:space="preserve"> </w:t>
      </w:r>
      <w:r w:rsidRPr="00C00255">
        <w:rPr>
          <w:color w:val="000000" w:themeColor="text1"/>
          <w:szCs w:val="24"/>
        </w:rPr>
        <w:t xml:space="preserve">2013 m. liepos 18 d. </w:t>
      </w:r>
      <w:r w:rsidRPr="00C00255">
        <w:rPr>
          <w:szCs w:val="24"/>
        </w:rPr>
        <w:t>Didžiosios Kolegijos</w:t>
      </w:r>
      <w:r w:rsidRPr="00C00255">
        <w:t xml:space="preserve"> </w:t>
      </w:r>
      <w:r w:rsidRPr="00C00255">
        <w:rPr>
          <w:color w:val="000000" w:themeColor="text1"/>
          <w:szCs w:val="24"/>
        </w:rPr>
        <w:t xml:space="preserve">sprendimas byloje </w:t>
      </w:r>
      <w:r w:rsidRPr="00C00255">
        <w:rPr>
          <w:i/>
          <w:color w:val="000000" w:themeColor="text1"/>
          <w:szCs w:val="24"/>
        </w:rPr>
        <w:t>Maktouf and Damjanović prieš Bosniją ir Hercegoviną</w:t>
      </w:r>
      <w:r w:rsidRPr="00C00255">
        <w:rPr>
          <w:color w:val="000000" w:themeColor="text1"/>
          <w:szCs w:val="24"/>
        </w:rPr>
        <w:t xml:space="preserve">, peticijos Nr. 2312/08 ir 34179/08). Tačiau atkreiptinas dėmesys į tai, kad Žmogaus teisių ir pagrindinių laisvių apsaugos konvencijos 7 straipsnio 2 dalyje įtvirtinta baudžiamojo įstatymo retrospektyvaus taikymo taisyklė, t. y. kad asmuo gali būti teisiamas ar nubaustas už kokius nors veiksmus ar neveikimą, kurie jų padarymo metu buvo laikomi nusikaltimais pagal civilizuotų tautų visuotinai pripažintus bendruosius teisės principus, po minėtos Konvencijos priėmimo buvo įtvirtinta ir kituose tarptautiniuose teisės aktuose bei </w:t>
      </w:r>
      <w:r w:rsidRPr="00C00255">
        <w:rPr>
          <w:color w:val="000000" w:themeColor="text1"/>
          <w:szCs w:val="24"/>
          <w:lang w:bidi="lt-LT"/>
        </w:rPr>
        <w:t xml:space="preserve">Konstitucinio Teismo </w:t>
      </w:r>
      <w:r w:rsidRPr="00C00255">
        <w:rPr>
          <w:color w:val="000000" w:themeColor="text1"/>
          <w:szCs w:val="24"/>
        </w:rPr>
        <w:t>praktikoje.</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1966 m. gruodžio 19 d. tarptautinio pilietinių ir politinių teisių pakto</w:t>
      </w:r>
      <w:r w:rsidRPr="00C00255">
        <w:rPr>
          <w:iCs/>
          <w:color w:val="000000" w:themeColor="text1"/>
          <w:szCs w:val="24"/>
        </w:rPr>
        <w:t xml:space="preserve"> 15</w:t>
      </w:r>
      <w:r w:rsidRPr="00C00255">
        <w:rPr>
          <w:color w:val="000000" w:themeColor="text1"/>
          <w:szCs w:val="24"/>
        </w:rPr>
        <w:t xml:space="preserve"> straipsnyje nustatyta, kad: 1. Niekas negali būti laikomas kaltu padaręs baudžiamąjį nusikaltimą dėl veikimo ar neveikimo, kuris pagal jo padarymo metu galiojusius nacionalinius įstatymus arba tarptautinę teisę nebuvo laikomas baudžiamuoju nusikaltimu; 2. Jokios šio straipsnio nuostatos nekliudo perduoti teismui ar bausti kiekvieną asmenį už kokį nors veikimą ar neveikimą, kurie jų padarymo metu pagal tarptautinės bendruomenės pripažintus bendruosius teisės principus buvo laikomi baudžiamaisiais nusikaltimais.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Europos Tarybos Parlamentinė Asamblėja 1996 m. birželio 27 d. priėmė rezoliuciją Nr. 1096 dėl priemonių, skirtų panaikinti buvusių komunistinių totalitarinių režimų palikimą</w:t>
      </w:r>
      <w:r w:rsidRPr="00C00255">
        <w:rPr>
          <w:iCs/>
          <w:color w:val="000000" w:themeColor="text1"/>
          <w:szCs w:val="24"/>
        </w:rPr>
        <w:t>, kurios 7</w:t>
      </w:r>
      <w:r>
        <w:rPr>
          <w:iCs/>
          <w:color w:val="000000" w:themeColor="text1"/>
          <w:szCs w:val="24"/>
        </w:rPr>
        <w:t> </w:t>
      </w:r>
      <w:r w:rsidRPr="00C00255">
        <w:rPr>
          <w:iCs/>
          <w:color w:val="000000" w:themeColor="text1"/>
          <w:szCs w:val="24"/>
        </w:rPr>
        <w:t>punkte nustatyta, kad bet kuris asmuo gali būti</w:t>
      </w:r>
      <w:r w:rsidRPr="00C00255">
        <w:rPr>
          <w:color w:val="000000" w:themeColor="text1"/>
          <w:szCs w:val="24"/>
        </w:rPr>
        <w:t xml:space="preserve"> teisiamas ir nubaustas už bet kokį veiksmą ar neveikimą, kuris jo įvykdymo metu pagal nacionalinę teisę nebuvo laikomas nusikaltimu, bet buvo laikomas nusikaltimu pagal civilizuotų tautų pripažintus bendruosius teisės principus.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Taigi konstatuotina, jog minėti tarptautinės teisės aktuose įtvirtinti principai sudaro galimybę valstybių nacionalinėje teisėje numatyti </w:t>
      </w:r>
      <w:r w:rsidRPr="00C00255">
        <w:rPr>
          <w:i/>
          <w:color w:val="000000" w:themeColor="text1"/>
          <w:szCs w:val="24"/>
        </w:rPr>
        <w:t>nullum crimen, nulla poena sine lege</w:t>
      </w:r>
      <w:r w:rsidRPr="00C00255">
        <w:rPr>
          <w:color w:val="000000" w:themeColor="text1"/>
          <w:szCs w:val="24"/>
        </w:rPr>
        <w:t xml:space="preserve"> (nėra nusikaltimo, nėra bausmės be įstatymo) principo išimtį, įtvirtinant, kad nacionaliniai įstatymai, nustatantys baudžiamąją atsakomybę už veikas, kurios yra laikomos nusikaltimais pagal tarptautinę teisę ar tarptautinės bendruomenės pripažintus bendruosius teisės principus, turi grįžtamąją galią.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Šiame kontekste pabrėžtina ir tai, jog tarptautinės teisės šaltiniai yra apibrėžti Tarptautinio Teisingumo Teismo statute, kuris yra Jungtinių Tautų chartijos, priimtos 1945 m. birželio 26 d., dalis. Šio statuto 38 straipsnyje kaip tarptautinės teisės šaltiniai įvardintos bendrosios ir specialiosios tarptautinės konvencijos, tarptautinis paprotys kaip įrodymas visuotinės praktikos, pripažintos teisine norma, ir civilizuotų tautų pripažinti bendrieji teisės principai. Nors prieš tai aptartuose tarptautiniuose teisės aktuose tarptautinės teisės ir civilizuotų tautų pripažintų bendrųjų teisės principų terminai naudojami kaip atskiros sąvokos, vadovaujantis Tarptautinio Teisingumo Teismo statutu, jie abu yra priskiriami prie tarptautinės teisės šaltinių.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2014 m. kovo 18 d. nutarime Konstitucinis Teismas taip pat padarė išvadą, kad pagal visuotinai pripažintas tarptautinės teisės normas yra nustatyta </w:t>
      </w:r>
      <w:r w:rsidRPr="00C00255">
        <w:rPr>
          <w:i/>
          <w:color w:val="000000" w:themeColor="text1"/>
          <w:szCs w:val="24"/>
        </w:rPr>
        <w:t>nullum crimen, nulla poena sine lege</w:t>
      </w:r>
      <w:r w:rsidRPr="00C00255">
        <w:t xml:space="preserve"> </w:t>
      </w:r>
      <w:r w:rsidRPr="00C00255">
        <w:rPr>
          <w:color w:val="000000" w:themeColor="text1"/>
          <w:szCs w:val="24"/>
        </w:rPr>
        <w:t>principo išimtis, pagal kurią baudžiamąją atsakomybę už nusikaltimus pagal tarptautinę teisę ar bendruosius teisės principus nustatantys nacionaliniai įstatymai gali turėti grįžtamąją galią, tačiau tai netaikoma kitiems nusikaltimams, apibrėžiamiems pagal nacionalinę teisę. 2014</w:t>
      </w:r>
      <w:r>
        <w:rPr>
          <w:color w:val="000000" w:themeColor="text1"/>
          <w:szCs w:val="24"/>
        </w:rPr>
        <w:t> </w:t>
      </w:r>
      <w:r w:rsidRPr="00C00255">
        <w:rPr>
          <w:color w:val="000000" w:themeColor="text1"/>
          <w:szCs w:val="24"/>
        </w:rPr>
        <w:t>m.</w:t>
      </w:r>
      <w:r>
        <w:rPr>
          <w:color w:val="000000" w:themeColor="text1"/>
          <w:szCs w:val="24"/>
        </w:rPr>
        <w:t> </w:t>
      </w:r>
      <w:r w:rsidRPr="00C00255">
        <w:rPr>
          <w:color w:val="000000" w:themeColor="text1"/>
          <w:szCs w:val="24"/>
        </w:rPr>
        <w:t>sausio 24 d. nutarime Konstitucinis Teismas pažymėjo, kad pagal Konstitucijos</w:t>
      </w:r>
      <w:r>
        <w:rPr>
          <w:color w:val="000000" w:themeColor="text1"/>
          <w:szCs w:val="24"/>
        </w:rPr>
        <w:t> </w:t>
      </w:r>
      <w:r w:rsidRPr="00C00255">
        <w:rPr>
          <w:color w:val="000000" w:themeColor="text1"/>
          <w:szCs w:val="24"/>
        </w:rPr>
        <w:t>135</w:t>
      </w:r>
      <w:r>
        <w:rPr>
          <w:color w:val="000000" w:themeColor="text1"/>
          <w:szCs w:val="24"/>
        </w:rPr>
        <w:t> </w:t>
      </w:r>
      <w:r w:rsidRPr="00C00255">
        <w:rPr>
          <w:color w:val="000000" w:themeColor="text1"/>
          <w:szCs w:val="24"/>
        </w:rPr>
        <w:t xml:space="preserve">straipsnio 1 dalį Lietuvos Respublika privalo vadovautis visuotinai pripažintais tarptautinės teisės principais ir normomis. Šioje nuostatoje įtvirtintas konstitucinis pagarbos tarptautinei teisei principas, t. y. </w:t>
      </w:r>
      <w:r w:rsidRPr="00C00255">
        <w:rPr>
          <w:i/>
          <w:color w:val="000000" w:themeColor="text1"/>
          <w:szCs w:val="24"/>
        </w:rPr>
        <w:t xml:space="preserve">pacta sunt servanda </w:t>
      </w:r>
      <w:r w:rsidRPr="00C00255">
        <w:rPr>
          <w:color w:val="000000" w:themeColor="text1"/>
          <w:szCs w:val="24"/>
        </w:rPr>
        <w:t xml:space="preserve">principas, reiškia imperatyvą sąžiningai vykdyti pagal tarptautinę teisę, </w:t>
      </w:r>
      <w:r w:rsidRPr="00C00255">
        <w:rPr>
          <w:i/>
          <w:color w:val="000000" w:themeColor="text1"/>
          <w:szCs w:val="24"/>
        </w:rPr>
        <w:t>inter alia</w:t>
      </w:r>
      <w:r w:rsidRPr="00C00255">
        <w:rPr>
          <w:color w:val="000000" w:themeColor="text1"/>
          <w:szCs w:val="24"/>
        </w:rPr>
        <w:t xml:space="preserve"> tarptautines sutartis, prisiimtus Lietuvos Respublikos įsipareigojimus.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Lietuvos Aukščiausiasis Teismas, remdamasis Konstitucinio Teismo išaiškinimais, savo praktikoje taip pat yra pripažinęs, kad </w:t>
      </w:r>
      <w:r w:rsidRPr="00C00255">
        <w:rPr>
          <w:i/>
          <w:color w:val="000000" w:themeColor="text1"/>
          <w:szCs w:val="24"/>
        </w:rPr>
        <w:t>nullum crimen, nulla poena sine lege</w:t>
      </w:r>
      <w:r w:rsidRPr="00C00255">
        <w:rPr>
          <w:color w:val="000000" w:themeColor="text1"/>
          <w:szCs w:val="24"/>
        </w:rPr>
        <w:t xml:space="preserve"> principas nėra absoliutus ir baudžiamuosiuose įstatymuose gali būti nustatyta šio principo išimtis, taikytina nusikaltimams, pripažįstamiems pagal tarptautinę teisę ar bendruosius teisės principus. Kasacinis teismas pažymėjo, kad grįžtamoji baudžiamojo įstatymo galia dėl nusikaltimų žmoniškumui ir karo nusikaltimų iš esmės yra grindžiama tarptautinėje teisėje suformuotu principu, kad baudžiamoji atsakomybė už šiuos nusikaltimus kyla nepriklausomai nuo to, ar padarymo metu jie buvo tokiais laikomi pagal valstybės nacionalinę teisę, jei nusikaltimais jie buvo laikomi pagal tarptautinę teisę ar civilizuotų tautų visuotinai pripažintus bendruosius teisės principus (LAT nutartys baudžiamosiose bylose Nr. 2K-P-18-648/2016, Nr. 2K-214-976/2016, Nr. 2K-7-1-693/2017).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Taigi Lietuvos Respublika, įgyvendindama pagarbos tarptautinei teisei principą, pagrįstai BK 3 straipsnio 3 dalyje įtvirtino baudžiamojo įstatymo normų, nustatančių baudžiamąją atsakomybę už tarptautinėje teisėje pripažįstamus nusikaltimus žmoniškumui ir karo nusikaltimus, grįžtamąją galią.</w:t>
      </w:r>
    </w:p>
    <w:p w:rsidR="00DA38E9" w:rsidRPr="00C00255" w:rsidRDefault="00DA38E9" w:rsidP="00DA38E9">
      <w:pPr>
        <w:pStyle w:val="Heading3"/>
        <w:ind w:left="992"/>
        <w:jc w:val="left"/>
        <w:rPr>
          <w:b w:val="0"/>
          <w:i/>
          <w:sz w:val="24"/>
          <w:lang w:val="lt-LT"/>
        </w:rPr>
      </w:pPr>
      <w:bookmarkStart w:id="778" w:name="_Toc66718294"/>
      <w:bookmarkStart w:id="779" w:name="_Toc67677417"/>
      <w:bookmarkStart w:id="780" w:name="_Toc67985545"/>
      <w:r w:rsidRPr="00C00255">
        <w:rPr>
          <w:b w:val="0"/>
          <w:i/>
          <w:sz w:val="24"/>
          <w:lang w:val="lt-LT"/>
        </w:rPr>
        <w:t>Dėl kreipimosi į Lietuvos Respublikos Konstitucinį Teismą</w:t>
      </w:r>
      <w:bookmarkEnd w:id="778"/>
      <w:bookmarkEnd w:id="779"/>
      <w:bookmarkEnd w:id="780"/>
      <w:r w:rsidRPr="00C00255">
        <w:rPr>
          <w:b w:val="0"/>
          <w:i/>
          <w:sz w:val="24"/>
          <w:lang w:val="lt-LT"/>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Greta apeliacinių skundų argumentų dėl nepagrįsto nuteistųjų veiksmų kvalifikavimo pagal nusikalstamų veikų padarymo metu negaliojusias baudžiamojo kodekso nuostatas, taip galimai pažeidžiant draudimą asmens baudžiamąją atsakomybę griežtinantį baudžiamąjį įstatymą taikyti</w:t>
      </w:r>
      <w:r w:rsidRPr="00C00255">
        <w:t xml:space="preserve"> </w:t>
      </w:r>
      <w:r w:rsidRPr="00C00255">
        <w:rPr>
          <w:szCs w:val="24"/>
        </w:rPr>
        <w:t xml:space="preserve">atgaline data (BK 3 straipsnio 3 dalis), nuteistieji ir (ar) jų gynėjai apeliaciniuose skunduose ir teismo posėdžio metu prašė apeliacinės instancijos teismo kreiptis į Lietuvos Respublikos </w:t>
      </w:r>
      <w:r w:rsidRPr="00C00255">
        <w:rPr>
          <w:color w:val="000000"/>
          <w:szCs w:val="24"/>
          <w:lang w:bidi="lt-LT"/>
        </w:rPr>
        <w:t xml:space="preserve">Konstitucinį Teismą su prašymu ištirti, ar minėta norma – BK 3 straipsnio 3 dalis </w:t>
      </w:r>
      <w:r w:rsidRPr="00C00255">
        <w:rPr>
          <w:rStyle w:val="Bodytext2Italic"/>
          <w:rFonts w:eastAsiaTheme="minorHAnsi"/>
        </w:rPr>
        <w:t>(2011 m. kovo 22 d. įstatymo Nr. XI-1291 redakcija; Žin., 2011, Nr. 38-1805</w:t>
      </w:r>
      <w:r w:rsidRPr="00C00255">
        <w:rPr>
          <w:color w:val="000000"/>
          <w:szCs w:val="24"/>
          <w:lang w:bidi="lt-LT"/>
        </w:rPr>
        <w:t>) tiek, kiek joje įtvirtintas teisinis reglamentavimas, pagal kurį BK 100, 101, 102, 103, 110, 111, 112 straipsniams nustatyta išimtis iš taisyklės, kad veikų nusikalstamumą nustatantis, griežtinantis bausmę arba kitaip nusikalstamą veiką padariusio asmens teisinę padėtį sunkinantis baudžiamasis įstatymas neturi grįžtamosios galios, neprieštarauja 2003 m. rugpjūčio 1 d. įsigaliojusiam Tarptautinio Baudžiamojo Teismo Romos statuto, priimto 1998 m. liepos 17 d., principams ir nuostatoms bei Lietuvos Respublikos Konstitucijos (toliau – ir Konstitucijos) 31</w:t>
      </w:r>
      <w:r>
        <w:rPr>
          <w:color w:val="000000"/>
          <w:szCs w:val="24"/>
          <w:lang w:bidi="lt-LT"/>
        </w:rPr>
        <w:t> </w:t>
      </w:r>
      <w:r w:rsidRPr="00C00255">
        <w:rPr>
          <w:color w:val="000000"/>
          <w:szCs w:val="24"/>
          <w:lang w:bidi="lt-LT"/>
        </w:rPr>
        <w:t>straipsnio 4 dalies, 135 straipsnio 1 dalies ir 138 straipsnio 3 dalies nuostatoms.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 xml:space="preserve">Apeliantų nuomone, BK 3 straipsnio 3 dalies pakeitimai kartu su kitais </w:t>
      </w:r>
      <w:r w:rsidRPr="00A93032">
        <w:rPr>
          <w:rStyle w:val="Bodytext2Italic"/>
          <w:rFonts w:eastAsiaTheme="minorHAnsi"/>
        </w:rPr>
        <w:t>2011 m. kovo 22 d. įstatymu Nr. XI-1291 priimtais BK pakeitimais</w:t>
      </w:r>
      <w:r w:rsidRPr="00C00255">
        <w:rPr>
          <w:rStyle w:val="Bodytext2Italic"/>
          <w:rFonts w:eastAsiaTheme="minorHAnsi"/>
        </w:rPr>
        <w:t xml:space="preserve"> </w:t>
      </w:r>
      <w:r w:rsidRPr="00C00255">
        <w:rPr>
          <w:color w:val="000000"/>
          <w:szCs w:val="24"/>
          <w:shd w:val="clear" w:color="auto" w:fill="FFFFFF"/>
        </w:rPr>
        <w:t>buvo politinio pobūdžio, kuriais siekta išvengti patraukimo baudžiamojon atsakomybėn senaties terminų suėjimo 1991 m. sausio 13-osios įvykių byloje. Detalesnių teisinių argumentų dėl BK 3 straipsnio 3 dalies galimo prieštaravimo Konstitucijos nuostatoms apeliantai iš esmės nepateikė.</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 xml:space="preserve">Apeliacinės instancijos teismo teisėjų kolegija, įvertinusi apeliantų prašymus kreiptis į Konstitucinį Teismą, konstatuoja, kad apeliantų nurodyti argumentai nesuteikia pagrindo išvadai, jog šiuo metu galiojanti BK </w:t>
      </w:r>
      <w:r w:rsidRPr="00C00255">
        <w:rPr>
          <w:color w:val="000000"/>
          <w:szCs w:val="24"/>
          <w:lang w:bidi="lt-LT"/>
        </w:rPr>
        <w:t>3 straipsnio 3 dalis tiek, kiek joje nustatytas reglamentavimas, pagal kurį BK 100, 101, 102, 103, 110, 111, 112 straipsniams nustatyta išimtis iš taisyklės, kad veikų nusikalstamumą nustatantis, griežtinantis bausmę arba kitaip nusikalstamą veiką padariusio asmens teisinę padėtį sunkinantis baudžiamasis įstatymas neturi grįžtamosios galios</w:t>
      </w:r>
      <w:r w:rsidRPr="00C00255">
        <w:rPr>
          <w:color w:val="000000"/>
          <w:szCs w:val="24"/>
          <w:shd w:val="clear" w:color="auto" w:fill="FFFFFF"/>
        </w:rPr>
        <w:t xml:space="preserve">, galėtų prieštarauti Konstitucijos </w:t>
      </w:r>
      <w:r w:rsidRPr="00C00255">
        <w:rPr>
          <w:color w:val="000000"/>
          <w:szCs w:val="24"/>
          <w:lang w:bidi="lt-LT"/>
        </w:rPr>
        <w:t>31 straipsnio 4 dalies, 135 straipsnio 1</w:t>
      </w:r>
      <w:r>
        <w:rPr>
          <w:color w:val="000000"/>
          <w:szCs w:val="24"/>
          <w:lang w:bidi="lt-LT"/>
        </w:rPr>
        <w:t> </w:t>
      </w:r>
      <w:r w:rsidRPr="00C00255">
        <w:rPr>
          <w:color w:val="000000"/>
          <w:szCs w:val="24"/>
          <w:lang w:bidi="lt-LT"/>
        </w:rPr>
        <w:t>dalies ir 138 straipsnio 3 dalies nuostatoms</w:t>
      </w:r>
      <w:r w:rsidRPr="00C00255">
        <w:rPr>
          <w:szCs w:val="24"/>
          <w:lang w:bidi="lt-LT"/>
        </w:rPr>
        <w:t xml:space="preserve">, todėl šioje byloje nėra pagrindo kreiptis į Konstitucinį Teismą. </w:t>
      </w:r>
      <w:r w:rsidRPr="00C00255">
        <w:rPr>
          <w:color w:val="000000"/>
          <w:szCs w:val="24"/>
          <w:shd w:val="clear" w:color="auto" w:fill="FFFFFF"/>
        </w:rPr>
        <w:t xml:space="preserve">Kreipiantis į Konstitucinį Teismą būtina pateikti aiškius teisinius argumentus, kodėl tam tikros normos gali kelti abejonių dėl jų konstitucingumo, tačiau tokius reikalavimus atitinkantys argumentai šiuo konkrečiu atveju nebuvo pateikti. </w:t>
      </w:r>
      <w:r w:rsidRPr="00C00255">
        <w:rPr>
          <w:szCs w:val="24"/>
          <w:lang w:bidi="lt-LT"/>
        </w:rPr>
        <w:t xml:space="preserve">Atitinkamai apeliacinės instancijos teismas neįžvelgia pagrindo abejoti </w:t>
      </w:r>
      <w:r w:rsidRPr="00C00255">
        <w:rPr>
          <w:color w:val="000000"/>
          <w:szCs w:val="24"/>
          <w:lang w:bidi="lt-LT"/>
        </w:rPr>
        <w:t>BK 3 straipsnio 3 dalies nuostatų konstitucingumu, vien jau turėdamas omenyje ankstesnėje šioje teismo sprendimo dalyje minėtus</w:t>
      </w:r>
      <w:r w:rsidRPr="00C00255">
        <w:rPr>
          <w:szCs w:val="24"/>
          <w:lang w:bidi="lt-LT"/>
        </w:rPr>
        <w:t xml:space="preserve"> </w:t>
      </w:r>
      <w:r w:rsidRPr="00C00255">
        <w:rPr>
          <w:szCs w:val="24"/>
        </w:rPr>
        <w:t xml:space="preserve">bendruosius civilizuotų tautų pripažintus teisės principus, pagal kuriuos tokių nuostatų taikymas karo nusikaltimų ir nusikaltimų žmoniškumui atveju yra pagrįstas.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 xml:space="preserve">Konstitucijos 110 straipsnio 2 dalyje įtvirtinta, jog tais atvejais, kai yra pagrindo manyti, kad įstatymas ar kitas teisės aktas, kuris turėtų būti taikomas konkrečioje byloje, prieštarauja Konstitucijai, teisėjas sustabdo šios bylos nagrinėjimą ir kreipiasi į Konstitucinį Teismą, prašydamas spręsti, ar šis įstatymas, ar kitas teisės aktas atitinka Konstituciją. Konstitucinėje jurisprudencijoje išaiškinta, kad pagal Konstituciją teismai, suabejoję Seimo, Respublikos Prezidento ar Vyriausybės išleisto arba referendumu priimto teisės akto (jo dalies) atitiktimi aukštesnės galios teisės aktui, be kita ko, Konstitucijai, ne tik gali, bet ir privalo kreiptis į Konstitucinį Teismą (Konstitucinio Teismo 2006 m. kovo 28 d., 2007 m. spalio 24 d. nutarimai). Teismų praktikoje laikomasi nuostatos, kad toks kreipimasis yra privalomas, kai bylą nagrinėjančiam teismui (bet ne kuriam nors iš proceso dalyvių ar dalyviams) kyla abejonių, ar įstatymas arba kitas teisės aktas, kuris turėtų būti taikomas toje byloje, neprieštarauja Konstitucijai (BPK 381 straipsnio 3 dalis); ir atvirkščiai – teismas negali atidėti, stabdyti bylos nagrinėjimo dėl kreipimosi į Konstitucinį Teismą, jei jis neabejoja byloje taikomų įstatymų ar kitų teisės aktų atitiktimi Konstitucijai (LAT nutartys baudžiamosiose bylose Nr. 2K-278-788/2018, 2K-51-507/2017). Vadovaujantis teismų praktika, nuspręsti, ar konkrečiu atveju reikia kreiptis į Konstitucinį Teismą, yra teismo, nagrinėjančio bylą, prerogatyva (LAT nutartys baudžiamosiose bylose Nr. 2K-111/2010, 2K–33/2005).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Būtent ši apeliacinės instancijos teismo prerogatyva, išnagrinėjus apeliantų prašymus dėl BK</w:t>
      </w:r>
      <w:r>
        <w:rPr>
          <w:color w:val="000000"/>
          <w:szCs w:val="24"/>
          <w:shd w:val="clear" w:color="auto" w:fill="FFFFFF"/>
        </w:rPr>
        <w:t> </w:t>
      </w:r>
      <w:r w:rsidRPr="00C00255">
        <w:rPr>
          <w:color w:val="000000"/>
          <w:szCs w:val="24"/>
          <w:shd w:val="clear" w:color="auto" w:fill="FFFFFF"/>
        </w:rPr>
        <w:t>3 straipsnio 3 dalies galimo prieštaravimo Konstitucijos nuostatoms, leidžia atsisakyti kreiptis į Konstitucinį Teismą. Vien abstraktūs proceso dalyvių išsakyti prašymai dėl kreipimosi į Konstitucinį Teismą, nesant paties teismo įsitikinimo dėl galimo teisės aktų prieštaravimo Konstitucijos nuostatoms, nėra pakankama priežastis stabdyti bylą ir kreiptis į Konstitucinį Teismą.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 xml:space="preserve">Teisėjų kolegija atkreipia dėmesį ir į tai, kad Konstitucinis Teismas 2014 m. kovo 18 d. nutarime jau sprendė klausimą dėl </w:t>
      </w:r>
      <w:r w:rsidRPr="00C00255">
        <w:rPr>
          <w:szCs w:val="24"/>
        </w:rPr>
        <w:t>baudžiamųjų įstatymų, nustatančių atsakomybę už genocidą ir kitus tarptautinius nusikaltimus, grįžtamosios galios atitikimo Konstitucijos 6 straipsniui, 31</w:t>
      </w:r>
      <w:r>
        <w:rPr>
          <w:szCs w:val="24"/>
        </w:rPr>
        <w:t> </w:t>
      </w:r>
      <w:r w:rsidRPr="00C00255">
        <w:rPr>
          <w:szCs w:val="24"/>
        </w:rPr>
        <w:t>straipsnio 2 ir 4 dalims ir konstituciniam teisinės valstybės principui. Šiame nutarime buvo spręstas ir klausimas</w:t>
      </w:r>
      <w:r w:rsidRPr="00C00255">
        <w:rPr>
          <w:color w:val="000000"/>
          <w:szCs w:val="24"/>
          <w:shd w:val="clear" w:color="auto" w:fill="FFFFFF"/>
        </w:rPr>
        <w:t xml:space="preserve"> dėl baudžiamąją atsakomybę griežtinančių nuostatų, susijusių su senaties terminų netaikymu karo nusikaltimams (konkrečiai – BK 99 straipsniui), bei BK 99 straipsnio galimo prieštaravimo Konstitucijai. Konstitucinio Teismo 2014 m. kovo 18 d. nutarime išdėstyti išaiškinimai yra svarbūs, sprendžiant klausimą dėl kreipimosi į Konstitucinį Teismą ir nagrinėjamoje byloje.</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Pirmiausia, Konstitucinio Teismo 2014 m. kovo 18 d. nutarime pakartotos 2014 m. sausio </w:t>
      </w:r>
      <w:r w:rsidRPr="00C00255">
        <w:rPr>
          <w:szCs w:val="24"/>
        </w:rPr>
        <w:t>24 d. nutarimo nuostatos, kad pagal Konstitucijos 135 straipsnio 1 dalį Lietuvos Respublika privalo vadovautis visuotinai pripažintais tarptautinės teisės principais ir normomis. Šioje nuostatoje įtvirtintas konstitucinis pagarbos tarptautinei teisei principas, t. y. principas</w:t>
      </w:r>
      <w:r w:rsidRPr="00C00255">
        <w:rPr>
          <w:i/>
          <w:iCs/>
          <w:szCs w:val="24"/>
        </w:rPr>
        <w:t xml:space="preserve"> pacta sunt servanda</w:t>
      </w:r>
      <w:r w:rsidRPr="00C00255">
        <w:rPr>
          <w:szCs w:val="24"/>
        </w:rPr>
        <w:t xml:space="preserve">, kuris reiškia imperatyvą sąžiningai vykdyti pagal tarptautinę teisę, </w:t>
      </w:r>
      <w:r w:rsidRPr="00C00255">
        <w:rPr>
          <w:iCs/>
          <w:szCs w:val="24"/>
        </w:rPr>
        <w:t>be kita ko,</w:t>
      </w:r>
      <w:r w:rsidRPr="00C00255">
        <w:rPr>
          <w:szCs w:val="24"/>
        </w:rPr>
        <w:t xml:space="preserve"> tarptautines sutartis, prisiimtus Lietuvos Respublikos įsipareigojimus. Šis principas reiškia imperatyvą sąžiningai vykdyti ir tarptautinius įsipareigojimus, kylančius iš visuotinai pripažintų tarptautinės teisės (bendrosios tarptautinės teisės) normų, pagal kurias draudžiami tarptautiniai nusikaltimai.</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Minėtame nutarime taip pat pabrėžta, kad „&lt;...&gt; 1946 m. gruodžio 11 d. Jungtinių Tautų Generalinė Asamblėja priėmė rezoliuciją Nr. 95 (I) dėl Niurnbergo tribunolo statute pripažintų tarptautinės teisės principų patvirtinimo, kurioje patvirtino tarptautinės teisės principus, pripažintus Niurnbergo tribunolo statute ir nuosprendyje. Šie principai išdėstyti 1950</w:t>
      </w:r>
      <w:r>
        <w:rPr>
          <w:szCs w:val="24"/>
        </w:rPr>
        <w:t> </w:t>
      </w:r>
      <w:r w:rsidRPr="00C00255">
        <w:rPr>
          <w:szCs w:val="24"/>
        </w:rPr>
        <w:t>m.</w:t>
      </w:r>
      <w:r>
        <w:rPr>
          <w:szCs w:val="24"/>
        </w:rPr>
        <w:t> </w:t>
      </w:r>
      <w:r w:rsidRPr="00C00255">
        <w:rPr>
          <w:szCs w:val="24"/>
        </w:rPr>
        <w:t xml:space="preserve">Jungtinių Tautų Tarptautinės teisės komisijos patvirtintuose Tarptautinės teisės principuose, pripažintuose Niurnbergo tribunolo statute ir nuosprendyje. Šių principų II principas suformuluotas taip: „faktas, kad nacionalinė teisė nenustato bausmės už veiką, kuri laikoma nusikaltimu pagal tarptautinę teisę, neatleidžia šią veiką atlikusio asmens nuo atsakomybės pagal tarptautinę teisę“. IV principas suformuluotas taip: „faktas, kad asmuo veikė vykdydamas jo vyriausybės ar karinio viršininko įsakymą, neatleidžia jo nuo atsakomybės pagal tarptautinę teisę, jeigu jis iš tikrųjų turėjo moralinio pasirinkimo galimybę“. Taigi, šie principai suponuoja galimybę valstybių nacionalinėje teisėje numatyti principo </w:t>
      </w:r>
      <w:r w:rsidRPr="00C00255">
        <w:rPr>
          <w:i/>
          <w:iCs/>
          <w:szCs w:val="24"/>
        </w:rPr>
        <w:t xml:space="preserve">nullum crimen, nulla poena sine lege </w:t>
      </w:r>
      <w:r w:rsidRPr="00C00255">
        <w:rPr>
          <w:szCs w:val="24"/>
        </w:rPr>
        <w:t>išimtį, įtvirtinant, kad baudžiamąją atsakomybę už nusikaltimus pagal tarptautinę teisę nustatantys nacionaliniai įstatymai gali turėti grįžtamąją galią &lt;...&gt;“.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Konstitucinis Teismas, be kita ko, nurodė ir, kad „&lt;...&gt; Jungtinių Tautų Generalinė Asamblėja 1948 m. gruodžio 10 d. priėmė rezoliuciją 217 A (III), kuria patvirtinta Visuotinė žmogaus teisių deklaracija. Lietuvos Respublika laikytis Visuotinės žmogaus teisių deklaracijos įsipareigojo Lietuvos Laisvės Kovos Sąjūdžio Tarybos 1949 m. vasario 16 d. deklaracijos 22 punktu, Lietuvos Respublikos Aukščiausiosios Tarybos 1991 m. kovo 12 d. nutarimu „Dėl Lietuvos Respublikos prisijungimo prie Tarptautinės žmogaus teisių chartijos dokumentų“. Visuotinės žmogaus teisių deklaracijos 11 straipsnio 2 dalyje nustatyta, kad „niekas negali būti nuteistas už jokį veiksmą ar neveikimą, kuris pagal tuo metu galiojusius valstybės įstatymus arba tarptautinę teisę nebuvo laikomas baudžiamuoju nusikaltimu“. Taigi ši nuostata suponuoja galimybę valstybių nacionalinėje teisėje numatyti principo </w:t>
      </w:r>
      <w:r w:rsidRPr="00C00255">
        <w:rPr>
          <w:i/>
          <w:iCs/>
          <w:szCs w:val="24"/>
        </w:rPr>
        <w:t xml:space="preserve">nullum crimen, nulla poena sine lege </w:t>
      </w:r>
      <w:r w:rsidRPr="00C00255">
        <w:rPr>
          <w:szCs w:val="24"/>
        </w:rPr>
        <w:t>išimtį – nustatyti, kad baudžiamąją atsakomybę už nusikaltimus pagal tarptautinę teisę nustatantys nacionaliniai įstatymai gali turėti grįžtamąją galią. &lt;...&gt;“.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Konstitucinis Teismas minėtame nutarime taip pat pažymėjo, kad tokia principo </w:t>
      </w:r>
      <w:r w:rsidRPr="00C00255">
        <w:rPr>
          <w:i/>
          <w:iCs/>
          <w:szCs w:val="24"/>
        </w:rPr>
        <w:t xml:space="preserve">nullum crimen, nulla poena sine lege </w:t>
      </w:r>
      <w:r w:rsidRPr="00C00255">
        <w:rPr>
          <w:szCs w:val="24"/>
        </w:rPr>
        <w:t>išimtis yra eksplicitiškai nustatyta Tarptautiniame pilietinių ir politinių teisių pakte ir Žmogaus teisių ir pagrindinių laisvių apsaugos konvencijoje. Tarptautinio pilietinių ir politinių teisių pakto šalys yra 167 valstybės, įskaitant Lietuvos Respubliką (Lietuvos Respublika prie šio pakto prisijungė minėtu Aukščiausiosios Tarybos 1991 m. kovo 12 d. nutarimu „Dėl Lietuvos Respublikos prisijungimo prie Tarptautinės žmogaus teisių chartijos dokumentų“, Lietuvos Respublikai jis įsigaliojo 1991 m. lapkričio 20</w:t>
      </w:r>
      <w:r>
        <w:rPr>
          <w:szCs w:val="24"/>
        </w:rPr>
        <w:t> </w:t>
      </w:r>
      <w:r w:rsidRPr="00C00255">
        <w:rPr>
          <w:szCs w:val="24"/>
        </w:rPr>
        <w:t>d.). Žmogaus teisių ir pagrindinių laisvių apsaugos konvencijos šalys yra visos 47 Europos Tarybos valstybės, įskaitant Lietuvos Respubliką (Seimas šią konvenciją ratifikavo 1995 m. balandžio 27 d. įstatymu „Dėl Europos žmogaus teisių ir pagrindinių laisvių apsaugos konvencijos, jos ketvirtojo, septintojo ir vienuoliktojo protokolų ratifikavimo“, Lietuvos Respublikai ji įsigaliojo 1995 m. birželio 20 d.).</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Minėtame Konstitucinio Teismo nutarime cituojamos ir </w:t>
      </w:r>
      <w:r w:rsidRPr="00C00255">
        <w:rPr>
          <w:i/>
          <w:szCs w:val="24"/>
        </w:rPr>
        <w:t>Tarptautinio pilietinių ir politinių teisių pakto</w:t>
      </w:r>
      <w:r w:rsidRPr="00C00255">
        <w:rPr>
          <w:iCs/>
          <w:szCs w:val="24"/>
        </w:rPr>
        <w:t xml:space="preserve"> 15 straipsnio nuostatos: „1. Niekas negali būti laikomas kaltu padaręs baudžiamąjį nusikaltimą dėl veikimo ar neveikimo, kuri</w:t>
      </w:r>
      <w:r w:rsidRPr="00C00255">
        <w:rPr>
          <w:szCs w:val="24"/>
        </w:rPr>
        <w:t xml:space="preserve">s pagal jo padarymo metu galiojusius nacionalinius įstatymus arba tarptautinę teisę nebuvo laikomas baudžiamuoju nusikaltimu. Taip pat negali būti skiriama sunkesnė bausmė negu ta, kuri buvo taikoma baudžiamojo nusikaltimo padarymo metu. Jeigu po nusikaltimo padarymo įstatymas nustato lengvesnę bausmę, tas įstatymas taikomas tam nusikaltusiam asmeniui; 2. Jokios šio straipsnio nuostatos nekliudo perduoti teismui ar bausti kiekvieną asmenį už kokį nors veikimą ar neveikimą, kurie jų padarymo metu pagal tarptautinės bendruomenės pripažintus bendruosius teisės principus buvo laikomi baudžiamaisiais nusikaltimais.“, o taip pat ir </w:t>
      </w:r>
      <w:r w:rsidRPr="00C00255">
        <w:rPr>
          <w:i/>
          <w:szCs w:val="24"/>
        </w:rPr>
        <w:t>Žmogaus teisių ir pagrindinių laisvių apsaugos konvencijos</w:t>
      </w:r>
      <w:r w:rsidRPr="00C00255">
        <w:rPr>
          <w:szCs w:val="24"/>
        </w:rPr>
        <w:t xml:space="preserve"> 7 straipsnio „Nėra bausmės be įstatymo“ nuostatos: „1. Niekas negali būti nuteistas už veiksmus ar neveikimą, kurie remiantis jų padarymo metu galiojusia nacionaline ar tarptautine teise nebuvo laikomi nusikaltimais. Taip pat negali būti skiriama sunkesnė bausmė negu ta, kuri buvo taikoma nusikaltimo padarymo metu. 2. Šis straipsnis nekliudo teisti ir nubausti kiekvieną asmenį už kokius nors veiksmus ar neveikimą, kurie jų padarymo metu pagal civilizuotų tautų pripažintus bendruosius teisės principus buvo laikomi nusikaltimais.“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Konstitucinis Teismas pabrėžė, kad minėtais tarptautinės teisės aktais, be kita ko, buvo siekta sukurti bendros taisyklės </w:t>
      </w:r>
      <w:r w:rsidRPr="00C00255">
        <w:rPr>
          <w:i/>
          <w:iCs/>
          <w:szCs w:val="24"/>
        </w:rPr>
        <w:t>nullum crimen, nulla poena sine lege</w:t>
      </w:r>
      <w:r w:rsidRPr="00C00255">
        <w:rPr>
          <w:szCs w:val="24"/>
        </w:rPr>
        <w:t xml:space="preserve"> išimtį, – nustatyta, kad atsakomybė už veiksmus ar neveikimą, jų padarymo metu laikytus nusikaltimais pagal tarptautines sutartis ir papročius ar bendruosius teisės principus, gali būti taikoma net ir tais atvejais, kai jie nebuvo laikomi nusikaltimais pagal jų padarymo metu galiojusią nacionalinę teisę. Tarptautinio pilietinių ir politinių teisių pakto 15 straipsnio 2 dalies ir Žmogaus teisių ir pagrindinių laisvių apsaugos konvencijos 7 straipsnio 2 dalies nuostatomis siekta patvirtinti Niurnbergo tribunolo suformuluotus principus.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Konstitucinio Teismo 2014 m. kovo 18 d. nutarime nurodyta ir tai, kad EŽTT yra pažymėjęs, jog iš Žmogaus teisių ir pagrindinių laisvių apsaugos konvencijos parengiamųjų dokumentų</w:t>
      </w:r>
      <w:r w:rsidRPr="00C00255">
        <w:rPr>
          <w:i/>
          <w:iCs/>
          <w:szCs w:val="24"/>
        </w:rPr>
        <w:t xml:space="preserve"> </w:t>
      </w:r>
      <w:r w:rsidRPr="00C00255">
        <w:rPr>
          <w:szCs w:val="24"/>
        </w:rPr>
        <w:t xml:space="preserve">matyti, kad šios konvencijos 7 straipsnio 1 dalyje yra įtvirtinta bendra taisyklė, jog baudžiamasis įstatymas neturi grįžtamosios galios, o šio straipsnio 2 dalis tik paaiškina šią taisyklę ir yra įtraukta siekiant užtikrinti, kad nebūtų abejojama baudžiamųjų persekiojimų, vykdytų po Antrojo pasaulinio karo už karo metu padarytus nusikaltimus, teisėtumu; abi Konvencijos 7 straipsnio dalys yra susijusios ir aiškintinos harmoningai (Didžiosios kolegijos 2013 m. liepos 18 d. sprendimas byloje </w:t>
      </w:r>
      <w:r w:rsidRPr="00C00255">
        <w:rPr>
          <w:i/>
          <w:iCs/>
          <w:szCs w:val="24"/>
        </w:rPr>
        <w:t>Maktouf ir Damjanovic prieš Bosniją ir Hercegoviną</w:t>
      </w:r>
      <w:r w:rsidRPr="00C00255">
        <w:rPr>
          <w:szCs w:val="24"/>
        </w:rPr>
        <w:t xml:space="preserve">, 2010 m. gegužės 17 d. sprendimas byloje </w:t>
      </w:r>
      <w:r w:rsidRPr="00C00255">
        <w:rPr>
          <w:i/>
          <w:iCs/>
          <w:szCs w:val="24"/>
        </w:rPr>
        <w:t>Kononov prieš Latviją</w:t>
      </w:r>
      <w:r w:rsidRPr="00C00255">
        <w:rPr>
          <w:szCs w:val="24"/>
        </w:rPr>
        <w:t xml:space="preserve">). Bylose </w:t>
      </w:r>
      <w:r w:rsidRPr="00C00255">
        <w:rPr>
          <w:i/>
          <w:iCs/>
          <w:szCs w:val="24"/>
        </w:rPr>
        <w:t>Kolk ir Kislyiy prieš Estiją</w:t>
      </w:r>
      <w:r w:rsidRPr="00C00255">
        <w:rPr>
          <w:szCs w:val="24"/>
        </w:rPr>
        <w:t xml:space="preserve"> ir </w:t>
      </w:r>
      <w:r w:rsidRPr="00C00255">
        <w:rPr>
          <w:i/>
          <w:iCs/>
          <w:szCs w:val="24"/>
        </w:rPr>
        <w:t xml:space="preserve">Papon prieš Prancūziją (Nr. 2) </w:t>
      </w:r>
      <w:r w:rsidRPr="00C00255">
        <w:rPr>
          <w:szCs w:val="24"/>
        </w:rPr>
        <w:t xml:space="preserve">Europos Žmogaus Teisių Teismas pažymėjo, kad Žmogaus teisių ir pagrindinių laisvių apsaugos konvencijos 7 straipsnio 2 dalis taikytina Niurnbergo tribunolo statute numatytiems nusikaltimams žmoniškumui (2006 m. sausio 17 d. nutarimas dėl priimtinumo byloje </w:t>
      </w:r>
      <w:r w:rsidRPr="00C00255">
        <w:rPr>
          <w:i/>
          <w:iCs/>
          <w:szCs w:val="24"/>
        </w:rPr>
        <w:t>Kolk ir Kislyiy prieš Estiją,</w:t>
      </w:r>
      <w:r w:rsidRPr="00C00255">
        <w:rPr>
          <w:szCs w:val="24"/>
        </w:rPr>
        <w:t xml:space="preserve"> 2001 m. lapkričio 15 d. nutarimas dėl priimtinumo byloje </w:t>
      </w:r>
      <w:r w:rsidRPr="00C00255">
        <w:rPr>
          <w:i/>
          <w:iCs/>
          <w:szCs w:val="24"/>
        </w:rPr>
        <w:t xml:space="preserve">Papon prieš Prancūziją </w:t>
      </w:r>
      <w:r w:rsidRPr="00C00255">
        <w:rPr>
          <w:szCs w:val="24"/>
        </w:rPr>
        <w:t>(Nr. 2)).</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Taip pat minėtame nutarime Konstitucinis Teismas pažymėjo, kad Europos Tarybos Parlamentinė Asamblėja 1996 m. birželio 27 d. priėmė rezoliuciją Nr. 1096 (1996) dėl priemonių, skirtų panaikinti buvusių komunistinių totalitarinių režimų palikimą, kurios 7 punkte nustatyta, kad bet kuris asmuo gali būti teisiamas ir nubaustas už bet kokį veiksmą ar neveikimą, kuris jo įvykdymo metu pagal nacionalinę teisę nebuvo laikomas nusikaltimu, bet buvo laikomas nusikaltimu pagal civilizuotų tautų pripažintus bendruosius teisės principus.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Taigi, teisėjų kolegijos vertinimu, 2014 m. kovo 18 d. nutarime Konstitucinis Teismas padarė išvadą, kad pagal visuotinai pripažintas tarptautinės teisės normas yra nustatyta principo </w:t>
      </w:r>
      <w:r w:rsidRPr="00C00255">
        <w:rPr>
          <w:i/>
          <w:iCs/>
          <w:szCs w:val="24"/>
        </w:rPr>
        <w:t xml:space="preserve">nullum crimen, nulla poena sine lege </w:t>
      </w:r>
      <w:r w:rsidRPr="00C00255">
        <w:rPr>
          <w:szCs w:val="24"/>
        </w:rPr>
        <w:t xml:space="preserve">išimtis, pagal kurią baudžiamąją atsakomybę už nusikaltimus pagal tarptautinę teisę ar bendruosius teisės principus nustatantys nacionaliniai įstatymai gali turėti grįžtamąją galią, tačiau tai netaikoma kitiems nusikaltimams, apibrėžiamiems pagal nacionalinę teisę.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Atkreiptinas dėmesys ir į tai, kad Konstitucinis Teismas konstatavo, kad tokia principo </w:t>
      </w:r>
      <w:r w:rsidRPr="00C00255">
        <w:rPr>
          <w:i/>
          <w:iCs/>
          <w:szCs w:val="24"/>
        </w:rPr>
        <w:t xml:space="preserve">nullum crimen, nulla poena sine lege </w:t>
      </w:r>
      <w:r w:rsidRPr="00C00255">
        <w:rPr>
          <w:szCs w:val="24"/>
        </w:rPr>
        <w:t xml:space="preserve">išimtis taikytina, </w:t>
      </w:r>
      <w:r w:rsidRPr="00C00255">
        <w:rPr>
          <w:i/>
          <w:iCs/>
          <w:szCs w:val="24"/>
        </w:rPr>
        <w:t>inter alia</w:t>
      </w:r>
      <w:r w:rsidRPr="00C00255">
        <w:rPr>
          <w:szCs w:val="24"/>
        </w:rPr>
        <w:t xml:space="preserve"> genocido nusikaltimui, apibrėžiamam pagal visuotinai pripažintas tarptautinės teisės normas. Taip pat Konstitucinis Teismas pažymėjo, kad, pagal visuotinai pripažintas tarptautinės teisės normas, principo </w:t>
      </w:r>
      <w:r w:rsidRPr="00C00255">
        <w:rPr>
          <w:i/>
          <w:szCs w:val="24"/>
        </w:rPr>
        <w:t>nullum crimen, nulla poena sine lege</w:t>
      </w:r>
      <w:r w:rsidRPr="00C00255">
        <w:rPr>
          <w:szCs w:val="24"/>
        </w:rPr>
        <w:t xml:space="preserve"> išimtis, </w:t>
      </w:r>
      <w:r w:rsidRPr="00C00255">
        <w:rPr>
          <w:i/>
          <w:szCs w:val="24"/>
        </w:rPr>
        <w:t>pagal kurią baudžiamąją atsakomybę už nusikaltimus pagal tarptautinę teisę ar bendruosius teisės principus nustatantys nacionaliniai įstatymai gali turėti grįžtamąją galią, taikytina ir nusikaltimams žmoniškumui bei karo nusikaltimams</w:t>
      </w:r>
      <w:r w:rsidRPr="00C00255">
        <w:rPr>
          <w:iCs/>
          <w:szCs w:val="24"/>
        </w:rPr>
        <w:t>,</w:t>
      </w:r>
      <w:r w:rsidRPr="00C00255">
        <w:rPr>
          <w:szCs w:val="24"/>
        </w:rPr>
        <w:t xml:space="preserve"> kurie gali būti nukreipti prieš tam tikras socialines ar politines žmonių grupes (t. y. grupes, kurios nepatenka į saugomų grupių sąrašą pagal genocido apibrėžimą, nustatytą visuotinai pripažintose tarptautinės teisės normose).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Teisėjų kolegija tolesnėse pastraipose pasisakys dėl nuteistiesiems inkriminuotų nusikalstamų veikų vertinimo kaip veikų, jų padarymo metu aiškiai ir numatomai apibrėžtų kaip nusikaltimai pagal tarptautinę teisę ir bendruosius civilizuotų tautų pripažintus teisės principus, todėl, minėto ir nagrinėjamojoje byloje aktualaus Konstitucinio Teismo 2014 m. kovo 28 d. nutarimo kontekste, teisėjų kolegijai nekyla abejonių, kad įstatymų leidėjas BK 3 straipsnio 3 dalyje šioms nusikalstamoms veikoms galėjo numatyti išimtį iš taisyklės, jog įstatymas, sunkinantis nusikalstamą veiką padariusio asmens teisinę padėtį, neturi grįžtamosios galios, ir tokia įstatymo leidėjo valia neprieštarauja Konstitucijos 31 straipsnio 4 daliai („Bausmė gali būti skiriama ar taikoma tik remiantis įstatymu), 135 straipsnio 1 daliai („Lietuvos Respublika, įgyvendindama užsienio politiką, vadovaujasi visuotinai pripažintais tarptautinės teisės principais ir normomis, siekia užtikrinti šalies saugumą ir nepriklausomybę, piliečių gerovę ir pagrindines jų teises bei laisves, prisideda prie teise ir teisingumu pagrįstos tarptautinės tvarkos kūrimo“) ir 138 straipsnio 3 daliai („Tarptautinės sutartys, kurias ratifikavo Lietuvos Respublikos Seimas, yra sudedamoji Lietuvos Respublikos teisinės sistemos dalis“).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Lietuvos Aukščiausiasis Teismas, remdamasis Konstitucinio Teismo išaiškinimais, savo praktikoje taip pat yra pripažinęs, kad principas </w:t>
      </w:r>
      <w:r w:rsidRPr="00C00255">
        <w:rPr>
          <w:i/>
          <w:szCs w:val="24"/>
        </w:rPr>
        <w:t>nullum crimen, nulla poena sine lege</w:t>
      </w:r>
      <w:r w:rsidRPr="00C00255">
        <w:rPr>
          <w:szCs w:val="24"/>
        </w:rPr>
        <w:t xml:space="preserve"> nėra absoliutus ir baudžiamuosiuose įstatymuose gali būti nustatyta šio principo išimtis, taikytina nusikaltimams pagal tarptautinę teisę ar bendruosius teisės principus. Kasacinis teismas pažymėjo, kad grįžtamoji baudžiamojo įstatymo galia dėl nusikaltimų žmoniškumui ir karo nusikaltimų iš esmės yra grindžiama tarptautinėje teisėje suformuotu principu, kad baudžiamoji atsakomybė už šiuos nusikaltimus kyla nepriklausomai nuo to, ar padarymo metu jie buvo tokiais laikomi pagal valstybės nacionalinę teisę, jei nusikaltimais jie buvo laikomi pagal tarptautinę teisę ar civilizuotų tautų visuotinai pripažintus bendruosius teisės principus (LAT nutartys baudžiamosiose bylose Nr. 2K-P-18-648/2016, Nr. 2K-214-976/2016, Nr. 2K-7-1-693/2017). Taigi kasacinės instancijos teismui taip pat nekilo abejonių dėl BK 3 straipsnio 3 dalies nuostatų galimo prieštaravimo Konstitucijai ar tarptautiniams teisės aktams.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Atsižvelgiant į visas išdėstytas aplinkybes, teisėjų kolegijai nekilo abejonių dėl ginčijamų BK nuostatų atitikties Konstitucijai, todėl nėra ir pagrindo tenkinti apeliantų prašymo kreiptis į Konstitucinį Teismą.</w:t>
      </w:r>
    </w:p>
    <w:p w:rsidR="00DA38E9" w:rsidRPr="00C00255" w:rsidRDefault="00DA38E9" w:rsidP="00DA38E9">
      <w:pPr>
        <w:pStyle w:val="Heading3"/>
        <w:ind w:left="992"/>
        <w:jc w:val="both"/>
        <w:rPr>
          <w:b w:val="0"/>
          <w:i/>
          <w:sz w:val="24"/>
          <w:lang w:val="lt-LT"/>
        </w:rPr>
      </w:pPr>
      <w:bookmarkStart w:id="781" w:name="_Toc66718295"/>
      <w:bookmarkStart w:id="782" w:name="_Toc67677418"/>
      <w:bookmarkStart w:id="783" w:name="_Toc67985546"/>
      <w:r w:rsidRPr="00C00255">
        <w:rPr>
          <w:b w:val="0"/>
          <w:i/>
          <w:sz w:val="24"/>
          <w:lang w:val="lt-LT"/>
        </w:rPr>
        <w:t>Dėl nuteistiesiems inkriminuotų nusikaltimų žmoniškumui ir karo nusikaltimų</w:t>
      </w:r>
      <w:bookmarkEnd w:id="781"/>
      <w:bookmarkEnd w:id="782"/>
      <w:bookmarkEnd w:id="783"/>
      <w:r w:rsidRPr="00C00255">
        <w:rPr>
          <w:b w:val="0"/>
          <w:i/>
          <w:sz w:val="24"/>
          <w:lang w:val="lt-LT"/>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Apeliacinės instancijos teismas taip pat pažymi, kad pirmosios instancijos teismas iš esmės padarė teisingas išvadas, kad nuteistiesiems inkriminuoti BK 100 straipsnis, BK 101 straipsnis, BK 103 straipsnio 1 dalis, BK 111 straipsnio 1 dalis ir BK 112 straipsnis turi grįžtamąją galią, jiems netaikomi patraukimo baudžiamojo atsakomybėn senaties terminai bei šie nusikaltimai, už kurių padarymą šioje byloje buvo nuteisti 67 asmenys, 1991 m. buvo aiškiai draudžiami tarptautinėje teisėje, todėl asmenys gali būti traukiami baudžiamojon atsakomybėn už minėtus nusikaltimus, nepaisant to, kad Lietuvos Respublikos BK atsakomybė už juos buvo įtvirtinta vėliau nei buvo padarytos nusikalstamos veikos.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Apeliacinės instancijos teismas pripažįsta, kad kai kuriose pirmosios instancijos teismo nuosprendžio dalyse nusikaltimų žmoniškumui ir karo nusikaltimų sąvokos yra naudojamos ne visiškai tiksliai, visus minėtus nusikaltimus įvardijant tiesiog nusikaltimais žmoniškumui. Tačiau šis netikslumas nepaneigia esminės apygardos teismo išvados, kad nuteistiesiems pagal BK straipsnius inkriminuotos nusikalstamos veikos 1991 metais buvo aiškiai ir numatomai draudžiamos pagal tarptautinę teisę.</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Nusikaltimų žmoniškumui ir karo nusikaltimų samprata bei baudžiamosios atsakomybės už juos principai pirmiausia susiformavo tarptautinėje teisėje. Tarptautinės teisės aktai, skirti baudžiamosios atsakomybės klausimams, nėra tiesiogiai taikomi Lietuvos Respublikos teisėje. Tarptautiniuose teisės aktuose numatytos veikos turi būti perkeltos į nacionalinius teisės aktus. Tai reiškia, kad baudžiamoji atsakomybė už tokias veikas gali būti taikoma tik tokiu atveju, jei minėtos veikos yra kriminalizuotos BK.</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Lietuvos Aukščiausiasis Teismas yra išaiškinęs, kad nusikaltimų žmoniškumui ir karo nusikaltimų sudėtys nėra blanketinės, t. y. teismų praktikoje jos paprastai taikomos be nuorodos į konkrečius tarptautinės teisės aktus, kurių reikalavimai pažeidžiami dėl konkretaus nagrinėjamo nusikaltimo, tačiau formuluojant nusikaltimų žmoniškumui ir karo nusikaltimų sudėtis, daugelis vartojamų sąvokų kyla iš tarptautinės teisės ir turi specifinę reikšmę, kuri nacionalinėje teisėje neapibrėžiama arba konkrečios bylos aplinkybėmis apibrėžta nepakankamai, pavyzdžiui: saugomos grupės samprata, siekio ją sunaikinti aiškinimas genocido nusikaltimo sudėtyje, saugomų asmenų kategorijos nusikaltimų žmoniškumui ir karo nusikaltimų sudėtyse, valstybės ar organizacijos politikos, persekiojimo dėl tarptautinės teisės draudžiamų motyvų požymiai, karo, okupacijos, aneksijos ir kt. požymiai karo nusikaltimų sudėtyse. Kaip pažymėjo LAT, siekiant užtikrinti tinkamą Lietuvos tarptautinių įsipareigojimų vykdymą ir nuoseklų bei numatomą atitinkamų baudžiamosios teisės normų taikymą, jos turėtų būti aiškinamos, atsižvelgiant į tokių nusikaltimų požymių reikšmę, taip pat baudžiamosios atsakomybės principų turinį pagal tarptautinės teisės aktų nuostatas, prireikus – ir į tarptautinių bei kitų teismų praktiką. Priešingu atveju, be grėsmės veiksmingam tarptautinės teisės veikimui, gali kilti </w:t>
      </w:r>
      <w:r w:rsidRPr="00C00255">
        <w:rPr>
          <w:i/>
          <w:color w:val="000000" w:themeColor="text1"/>
          <w:szCs w:val="24"/>
        </w:rPr>
        <w:t xml:space="preserve">nullum crimen sine lege </w:t>
      </w:r>
      <w:r w:rsidRPr="00C00255">
        <w:rPr>
          <w:color w:val="000000" w:themeColor="text1"/>
          <w:szCs w:val="24"/>
        </w:rPr>
        <w:t>principo, taigi ir Žmogaus teisių ir pagrindinių laisvių apsaugos konvencijos 7 straipsnio pažeidimo pavojus. Kasacinis teismas taip pat pažymėjo, kad nesant pakankamai išplėtotos teismų praktikos analizuojamos kategorijos bylose, tarptautinės teisės šaltinių reikšmė, atskleidžiant jose taikomų teisinių sąvokų turinį, gali būti itin svarbi, o aiškinant baudžiamojo įstatymo normas, pirmiausia, turėtų būti atsižvelgiama į konkrečioje baudžiamojoje byloje nagrinėjamos veikos padarymo metu galiojusius ir jai taikytinus tarptautinės teisės šaltinius</w:t>
      </w:r>
      <w:r w:rsidRPr="00C00255">
        <w:t xml:space="preserve"> </w:t>
      </w:r>
      <w:r w:rsidRPr="00C00255">
        <w:rPr>
          <w:szCs w:val="24"/>
        </w:rPr>
        <w:t xml:space="preserve">(LAT nutartis </w:t>
      </w:r>
      <w:r w:rsidRPr="00C00255">
        <w:rPr>
          <w:color w:val="000000" w:themeColor="text1"/>
          <w:szCs w:val="24"/>
        </w:rPr>
        <w:t>baudžiamojoje byloje Nr. 2K-229/2002).</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Nusikaltimų žmoniškumui ir karo nusikaltimų bylose bei nagrinėjamoje byloje yra reikšmingi šie tarptautinės teisės aktai bei juose pateikti nusikaltimų žmoniškumui ir karo nusikaltimų apibrėžimai: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iCs/>
          <w:szCs w:val="24"/>
        </w:rPr>
      </w:pPr>
      <w:r w:rsidRPr="00C00255">
        <w:rPr>
          <w:i/>
          <w:color w:val="000000" w:themeColor="text1"/>
          <w:szCs w:val="24"/>
        </w:rPr>
        <w:t>1907 m. Hagos konvencija (IV) dėl karo sausumoje įstatymų ir papročių bei prie jos pridėtas Reglamentas dėl karo sausumoje įstatymų ir papročių</w:t>
      </w:r>
      <w:r w:rsidRPr="00C00255">
        <w:rPr>
          <w:iCs/>
          <w:color w:val="000000" w:themeColor="text1"/>
          <w:szCs w:val="24"/>
        </w:rPr>
        <w:t>. Pažymėtina, kad šios konvencijos nuostatos yra pripažįstamos paprotine tarptautine teise ir yra privalomos visoms valstybėms.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iCs/>
          <w:szCs w:val="24"/>
        </w:rPr>
      </w:pPr>
      <w:r w:rsidRPr="00C00255">
        <w:rPr>
          <w:i/>
          <w:color w:val="000000" w:themeColor="text1"/>
          <w:szCs w:val="24"/>
        </w:rPr>
        <w:t>1945 m. rugpjūčio 8 d. Niurnbergo tarptautinio karinio tribunolo statutas, pridėtas prie 1945</w:t>
      </w:r>
      <w:r>
        <w:rPr>
          <w:i/>
          <w:color w:val="000000" w:themeColor="text1"/>
          <w:szCs w:val="24"/>
        </w:rPr>
        <w:t> </w:t>
      </w:r>
      <w:r w:rsidRPr="00C00255">
        <w:rPr>
          <w:i/>
          <w:color w:val="000000" w:themeColor="text1"/>
          <w:szCs w:val="24"/>
        </w:rPr>
        <w:t>m.</w:t>
      </w:r>
      <w:r>
        <w:rPr>
          <w:i/>
          <w:color w:val="000000" w:themeColor="text1"/>
          <w:szCs w:val="24"/>
        </w:rPr>
        <w:t> </w:t>
      </w:r>
      <w:r w:rsidRPr="00C00255">
        <w:rPr>
          <w:i/>
          <w:color w:val="000000" w:themeColor="text1"/>
          <w:szCs w:val="24"/>
        </w:rPr>
        <w:t>rugpjūčio 8 d. Londono susitarimo „Dėl Europos ašies šalių pagrindinių karo nusikaltėlių persekiojimo ir nubaudimo“ ir šio tribunolo 1946 m. rugsėjo 30 d.– spalio 1 d. nuosprendis</w:t>
      </w:r>
      <w:r w:rsidRPr="00C00255">
        <w:rPr>
          <w:iCs/>
          <w:color w:val="000000" w:themeColor="text1"/>
          <w:szCs w:val="24"/>
        </w:rPr>
        <w:t xml:space="preserve">: </w:t>
      </w:r>
    </w:p>
    <w:p w:rsidR="00DA38E9" w:rsidRPr="00C00255" w:rsidRDefault="00DA38E9" w:rsidP="00DA38E9">
      <w:pPr>
        <w:pStyle w:val="ListParagraph"/>
        <w:spacing w:before="120" w:after="120"/>
        <w:ind w:left="1296"/>
        <w:contextualSpacing w:val="0"/>
        <w:rPr>
          <w:color w:val="000000" w:themeColor="text1"/>
          <w:sz w:val="20"/>
        </w:rPr>
      </w:pPr>
      <w:r w:rsidRPr="00C00255">
        <w:rPr>
          <w:color w:val="000000" w:themeColor="text1"/>
          <w:sz w:val="20"/>
        </w:rPr>
        <w:t xml:space="preserve">Niurnbergo tarptautinio karinio tribunolo statuto 6 straipsnyje </w:t>
      </w:r>
      <w:r w:rsidRPr="00C00255">
        <w:rPr>
          <w:i/>
          <w:iCs/>
          <w:color w:val="000000" w:themeColor="text1"/>
          <w:sz w:val="20"/>
        </w:rPr>
        <w:t>karo nusikaltimai</w:t>
      </w:r>
      <w:r w:rsidRPr="00C00255">
        <w:rPr>
          <w:color w:val="000000" w:themeColor="text1"/>
          <w:sz w:val="20"/>
        </w:rPr>
        <w:t xml:space="preserve"> apibrėžti kaip karo įstatymų ir papročių pažeidimai, tokie kaip (ir ne tik) žudymas, žiaurus elgesys su civiliais gyventojais ar jų deportacija vergiškiems darbams ar bet kokiam kitam tikslui okupuotoje teritorijoje ar už jos ribų, žudymas ar žiaurus elgesys su karo belaisviais ar asmenimis, esančiais jūroje, įkaitų žudymas, privačios ar viešos nuosavybės grobstymas, beprasmiškas miestų, miestelių ar kaimų griovimas ar niokojimas, nepateisinamas karine būtinybe; </w:t>
      </w:r>
      <w:r w:rsidRPr="00C00255">
        <w:rPr>
          <w:i/>
          <w:iCs/>
          <w:color w:val="000000" w:themeColor="text1"/>
          <w:sz w:val="20"/>
        </w:rPr>
        <w:t xml:space="preserve">nusikaltimai žmoniškumui </w:t>
      </w:r>
      <w:r w:rsidRPr="00C00255">
        <w:rPr>
          <w:color w:val="000000" w:themeColor="text1"/>
          <w:sz w:val="20"/>
        </w:rPr>
        <w:t>apibrėžti kaip civilių gyventojų žudymas, naikinimas, pavergimas, deportacija ir kitoks nežmoniškas elgesys karo metu ar iki jo arba persekiojimas politiniu, rasiniu ar religiniu pagrindu darant bet kokį nusikaltimą, priklausantį Niurnbergo tribunolo jurisdikcijai, nesvarbu, ar pažeidžiant valstybės, kurioje jis buvo įvykdytas, nacionalinę teisę.</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Karo nusikaltimų ir nusikaltimų žmoniškumui apibrėžimai buvo patvirtinti kaip tarptautinės teisės principai </w:t>
      </w:r>
      <w:r w:rsidRPr="00C00255">
        <w:rPr>
          <w:i/>
          <w:color w:val="000000" w:themeColor="text1"/>
          <w:szCs w:val="24"/>
        </w:rPr>
        <w:t xml:space="preserve">1946 m. gruodžio 11 d. Jungtinių Tautų Organizacijos Generalinės Asamblėjos rezoliucija 95 (I) ir išdėstyti kaip VI principas 1950 m. Jungtinių Tautų Tarptautinės teisės komisijos patvirtintuose Tarptautinės teisės principuose, pripažintuose Niurnbergo tribunolo statute ir nuosprendyje (Niurnbergo principuose). </w:t>
      </w:r>
      <w:r w:rsidRPr="00C00255">
        <w:rPr>
          <w:color w:val="000000" w:themeColor="text1"/>
          <w:szCs w:val="24"/>
        </w:rPr>
        <w:t>Šiuose principuose kiek pakoreguotas nusikaltimų žmoniškumui apibrėžimas, nustatant, kad nusikaltimai žmoniškumui yra civilių gyventojų žudymas, naikinimas, pavergimas, deportacija ir kitoks nežmoniškas elgesys arba persekiojimas politiniu, rasiniu ar religiniu pagrindu, kai tokie veiksmai yra atliekami vykdant ar yra susiję su bet kuriuo karo nusikaltimu ar nusikaltimu taikai.</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Pažymėtina, kad Niurnbergo principų universalumas pabrėžiamas EŽTT praktikoje, kurioje pripažįstant nuteisimo už tokius nusikaltimus atitiktį Konvencijos 7 straipsniui, be kita ko, nurodoma, kad atsakomybės už nusikaltimus žmoniškumui taikymas negali būti apribotas tik tam tikrų valstybių piliečiais ir tik veiksmais, įvykdytais Antrojo pasaulinio karo metu (2006 m. sausio 24 d. sprendimas byloje </w:t>
      </w:r>
      <w:r w:rsidRPr="00C00255">
        <w:rPr>
          <w:i/>
          <w:color w:val="000000" w:themeColor="text1"/>
          <w:szCs w:val="24"/>
        </w:rPr>
        <w:t>Penart prieš Estiją</w:t>
      </w:r>
      <w:r w:rsidRPr="00C00255">
        <w:rPr>
          <w:color w:val="000000" w:themeColor="text1"/>
          <w:szCs w:val="24"/>
        </w:rPr>
        <w:t>, peticijos Nr. 14685/06). Dėl Niurnbergo tarptautinio karinio tribunolo statuto 6 straipsnyje įtvirtintos nusikaltimų žmoniškumui sąvokos, kuri siejo šiuos nusikaltimus su karu, EŽTT savo jurisprudencijoje yra pažymėjęs, kad vėlesniais metais (konkrečiai nagrinėtoje byloje – 1956 m.)</w:t>
      </w:r>
      <w:r w:rsidRPr="00C00255">
        <w:t xml:space="preserve"> </w:t>
      </w:r>
      <w:r w:rsidRPr="00C00255">
        <w:rPr>
          <w:color w:val="000000" w:themeColor="text1"/>
          <w:szCs w:val="24"/>
        </w:rPr>
        <w:t xml:space="preserve">vienas iš nusikaltimų žmoniškumui kriterijų – ryšys su ginkluotu konfliktu – nebebuvo aktualus, tačiau kiti elementai vis dar buvo svarbūs, ypač reikalavimas (įvardintas to meto mokslininkų darbuose), kad nagrinėjamas nusikaltimas neturėtų būti atskiras ar pavienis veiksmas, bet turėtų būti „valstybės veiksmų ar politikos“ dalis arba plačiai paplitęs ir sisteminis puolimas prieš civilius gyventojus (2008 m. rugsėjo 19 d. sprendimas byloje </w:t>
      </w:r>
      <w:r w:rsidRPr="00C00255">
        <w:rPr>
          <w:i/>
          <w:color w:val="000000" w:themeColor="text1"/>
          <w:szCs w:val="24"/>
        </w:rPr>
        <w:t>Korbely prieš Vengriją</w:t>
      </w:r>
      <w:r w:rsidRPr="00C00255">
        <w:rPr>
          <w:color w:val="000000" w:themeColor="text1"/>
          <w:szCs w:val="24"/>
        </w:rPr>
        <w:t>, peticijos Nr. 9174/02, 82–84 para.). Tai, kad nusikaltimai žmoniškumui gali būti padaryti ne tik karo, bet ir taikos metu buvo reglamentuota ir Jungtinių Tautų Generalinės Asamblėjos 1968 m. lapkričio 26 d. Konvencijos dėl senaties netaikymo už karo nusikaltimus ir už nusikaltimus žmoniškumui 1 straipsnyje.</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i/>
          <w:color w:val="000000" w:themeColor="text1"/>
          <w:szCs w:val="24"/>
        </w:rPr>
      </w:pPr>
      <w:r w:rsidRPr="005D022C">
        <w:t>Nusikaltimų žmoniškumui ir karo nusikaltimų samprata atskleista ir keturiose 1949 m. rugpjūčio 12 d. Ženevos konvencijose:</w:t>
      </w:r>
      <w:r w:rsidRPr="00C00255">
        <w:rPr>
          <w:color w:val="000000" w:themeColor="text1"/>
          <w:szCs w:val="24"/>
        </w:rPr>
        <w:t xml:space="preserve"> </w:t>
      </w:r>
      <w:r w:rsidRPr="00C00255">
        <w:rPr>
          <w:i/>
          <w:color w:val="000000" w:themeColor="text1"/>
          <w:szCs w:val="24"/>
        </w:rPr>
        <w:t>1949 m. rugpjūčio 12 d. (Pirmoji) Ženevos konvencija dėl sužeistųjų ir ligonių padėties veikiančiose armijose pagerinimo; 1949 m. rugpjūčio 12 d. (Antroji) Ženevos konvencija dėl sužeistųjų, sergančiųjų ir skęstančiųjų ginkluotųjų pajėgų narių jūroje padėties pagerinimo; 1949 m. rugpjūčio 12 d. (Trečioji) Ženevos konvencija dėl elgesio su karo belaisviais; 1949 m. rugpjūčio 12 d. (Ketvirtoji) Ženevos konvencija dėl civilių apsaugos karo metu.</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color w:val="000000" w:themeColor="text1"/>
          <w:szCs w:val="24"/>
        </w:rPr>
        <w:t>Visose keturiose Ženevos konvencijose nėra naudojamas nusikaltimų žmoniškumui ar karo nusikaltimų terminas, tačiau yra įtvirtinta, kad šalys įsipareigoja priimti reikiamus įstatymus, užtikrinančius veiksmingas baudžiamąsias sankcijas asmenims, padariusiems arba įsakiusiems padaryti bet kokius sunkius šių konvencijų pažeidimus. Pažymėtina, kad Ženevos konvencijų Papildomame protokole dėl tarptautinių ginkluotų konfliktų aukų apsaugos (I protokolas), priimtame 1977 m. birželio 8 d., sunkūs Ženevos konvencijų pažeidimai yra įvardijami kaip karo nusikaltimai (85 straipsnio 5 dalis). Be to, visose keturiose 1949 m. rugpjūčio 12 d. Ženevos konvencijose yra pateiktas iš esmės vienodas sunkių pažeidimų apibrėžimas:</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Ženevos Konvencija (Pirmoji) – 50 straipsnis – sunkiais pažeidimais laikomi bet kurie toliau vardijami veiksmai, jei jie atlikti Konvencijos saugomiems asmenims ar nuosavybei: tyčinis nužudymas, kankinimas ar nežmoniškas elgesys, tarp jų ir biologiniai eksperimentai, tyčiniai veiksmai, sukeliantys didelį skausmą ar labai žalojantys kūną ir sveikatą, bei neteisėtas ir beprasmis nuosavybės naikinimas plačiu mastu ir jos pasisavinimas, jei to neverčia daryti karinė būtinybė.</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Ženevos Konvencija (Antroji) – 51 straipsnis – sunkiais pažeidimais laikomi visi toliau vardijami veiksmai, jei jie padaryti Konvencijos saugomiems asmenims arba nuosavybei: tyčinis nužudymas, kankinimas arba nežmoniškas elgesys, tarp jų ir biologiniai eksperimentai, tyčiniai veiksmai, sukeliantys didelį skausmą ar labai žalojantys kūną ar sveikatą, bei neteisėtas ir beprasmis nuosavybės naikinimas plačiu mastu ir jos pasisavinimas, jei to neverčia daryti karinė būtinybė.</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Ženevos Konvencija (Trečioji) – 130 straipsnis – sunkiais pažeidimais laikomi bet kokie toliau vardijami veiksmai, jei jie panaudoti prieš šios Konvencijos saugomus asmenis ar nuosavybę: tyčinis nužudymas, kankinimas ar nežmoniškas elgesys, tarp jų ir biologiniai eksperimentai, tyčiniai veiksmai, sukeliantys didelių kančių ar labai žalojantys kūną ar sveikatą, karo belaisvio vertimas tarnauti priešiškos valstybės kariuomenėje arba sąmoningas karo belaisvio teisės į šioje Konvencijoje numatytą nešališką ir kvalifikuotą teismo procesą atėmimas.</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 xml:space="preserve">Ženevos Konvencija (Ketvirtoji) – 147 straipsnis – sunkūs pažeidimai yra tie, kurie susiję su šiais prieš šios Konvencijos saugomus asmenis ar jų nuosavybę įvykdytais veiksmais: tyčinis nužudymas, kankinimas ar nežmoniškas elgesys, įskaitant biologinius eksperimentus, sąmoningai sukeliančius dideles kančias arba padarančius rimtos žalos kūnui ar sveikatai, neteisėtas Konvencijos saugomo asmens deportavimas, perkėlimas ar areštas, šio asmens privertimas tarnauti priešiškos valstybės ginkluotosiose pajėgose ar sąmoningas atėmimas iš tokio asmens teisės į objektyvų ir normalų teismą, kurį numato ši Konvencija, įkaitų ėmimas, neteisėti ir beprasmiški dideli sugriovimai ir nuosavybės pasisavinimas, nepateisinami karine būtinybe.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color w:val="000000" w:themeColor="text1"/>
          <w:szCs w:val="24"/>
        </w:rPr>
        <w:t>Teisėjų kolegija pažymi, kad būtent Ketvirtojoje Ženevos konvencijoje pateiktas sunkių pažeidimų apibrėžimas yra aktualiausias, sprendžiant šioje baudžiamojoje byloje nuteistų asmenų baudžiamosios atsakomybės klausimą, kadangi jis įvardija tarptautinėje teisėje draudžiamus veiksmus su civiliais asmenimis, o nuteistiesiems inkriminuotų nusikaltimų esmė ir yra tarptautinės teisės aktus pažeidžiantis elgesys būtent su civiliais asmenimis.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iCs/>
          <w:szCs w:val="24"/>
        </w:rPr>
      </w:pPr>
      <w:r w:rsidRPr="00C00255">
        <w:rPr>
          <w:i/>
          <w:color w:val="000000" w:themeColor="text1"/>
          <w:szCs w:val="24"/>
        </w:rPr>
        <w:t>1977 m. birželio 8 d. priimtas 1949 m. rugpjūčio 12 d. Ženevos konvencijų Papildomas protokolas dėl tarptautinių ginkluotų konfliktų aukų apsaugos (I protokolas)</w:t>
      </w:r>
      <w:r w:rsidRPr="00C00255">
        <w:rPr>
          <w:iCs/>
          <w:color w:val="000000" w:themeColor="text1"/>
          <w:szCs w:val="24"/>
        </w:rPr>
        <w:t xml:space="preserve"> praplėtė (detalizavo) sunkių Ženevos konvencijų pažeidimų sąrašą ir, kaip minėta, šiuos pažeidimus įvardijo karo nusikaltimais. </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Šio protokolo 11 straipsnio 2 dalyje nurodyta, kad ypač draudžiama, net ir tokių asmenų sutikimu, juos fiziškai luošinti, atlikti su jais medicininius ir mokslinius eksperimentus, paimti jų audinius ar organus transplantavimui;</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Minėto protokolo 85 straipsnio 3 dalyje įtvirtinta, kad prie 11 straipsnyje apibrėžtų sunkių pažeidimų papildomai priskiriami tokie sunkūs šio protokolo pažeidimai, kurie padaromi tyčia, pažeidžiant atitinkamas šio protokolo nuostatas ir sukelia mirtį arba sunkų kūno ar sveikatos sužalojimą: a) kai puolimo objektu tampa civiliai gyventojai ar pavieniai civiliai; b) kai puolimas pradedamas be atrankos, darant poveikį civiliams gyventojams arba objektams, žinant, kad dėl jo bus pernelyg daug aukų, civilių asmenų sužeidimų ar žalos civiliniams objektams; c) kai pradedamas įmonių ar įrenginių, turinčių pavojingą jėgą, puolimas, žinant, kad dėl to bus pernelyg daug aukų, civilių sužeidimų ir žalos civiliniams objektams; d) kai puolimo objektu tampa neapsaugotos vietovės ir demilitarizuotos zonos; e) kai užpuolamas asmuo, apie kurį žinoma, kad jis yra išėjęs iš rikiuotės (</w:t>
      </w:r>
      <w:r w:rsidRPr="00C00255">
        <w:rPr>
          <w:i/>
          <w:color w:val="000000" w:themeColor="text1"/>
          <w:sz w:val="20"/>
        </w:rPr>
        <w:t>hors de combat</w:t>
      </w:r>
      <w:r w:rsidRPr="00C00255">
        <w:rPr>
          <w:color w:val="000000" w:themeColor="text1"/>
          <w:sz w:val="20"/>
        </w:rPr>
        <w:t xml:space="preserve">); f) kai apgaulingai panaudojama skiriamoji Raudonojo Kryžiaus, Raudonojo Pusmėnulio ar Raudonojo Liūto ir Saulės emblema arba kiti apsauginiai ženklai, pripažinti konvencijų ar šio protokolo. </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Protokolo 85 straipsnio 4 dalyje reglamentuota, kad be sunkių pažeidimų, nurodytų ankstesniuose punktuose ir konvencijose, papildomai sunkiais šio protokolo pažeidimais bus laikomi šie tyčia ir pažeidžiant konvencijas ar šį protokolą padaryti pažeidimai: a) kai okupuojanti valstybė perkelia dalį savo civilių gyventojų į jos okupuotą teritoriją arba kai deportuojami ar perkeliami visi ar dalis okupuotos teritorijos gyventojų toje teritorijoje ar už jos ribų; b) kai nepateisinamai delsiama repatrijuoti karo belaisvius ar civilius; c) kai vykdomas apartheidas ar kiti nežmoniški ir žeminantys veiksmai, įžeidžiantys asmens orumą ir pagrįsti rasine diskriminacija; d) kai puolimo objektu tampa aiškiai atpažįstami istoriniai paminklai, meno kūriniai ar bažnyčios, kurie yra kultūrinis ir dvasinis tautų paveldas ir kuriems specialiu susitarimu, sudarytu, pavyzdžiui, kompetentingos tarptautinės organizacijos, buvo suteikta ypatinga apsauga ir dėl to šis paveldas labai sugriaunamas, kai nėra įrodymų, kad priešiška šalis pažeidė 53 straipsnio b punktą, ir kai tokie istoriniai paminklai, meno kūriniai ir šventyklos nėra visai arti karinių objektų; e) kai iš konvencijų saugomo arba šio straipsnio 2 punkte minimo asmens atimama teisė į nešališką ir įprastą teismą.</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1980 m. Konvencija dėl tam tikrų įprastinių ginklų, kurie gali būti laikomi pernelyg žalojančiais arba veikia nesirinktinai, naudojimo uždraudimo arba apribojimo</w:t>
      </w:r>
      <w:r w:rsidRPr="00C00255">
        <w:rPr>
          <w:iCs/>
          <w:color w:val="000000" w:themeColor="text1"/>
          <w:szCs w:val="24"/>
        </w:rPr>
        <w:t>. Plačiau</w:t>
      </w:r>
      <w:r w:rsidRPr="00C00255">
        <w:rPr>
          <w:color w:val="000000" w:themeColor="text1"/>
          <w:szCs w:val="24"/>
        </w:rPr>
        <w:t xml:space="preserve"> šios konvencijos nuostatos aptariamos šio procesinio dokumento dalyje, kurioje analizuojami BK 112 straipsnyje nustatytos nusikalstamos veikos sudėties požymiai.</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1998 m. liepos 17 d. Tarptautinio Baudžiamojo Teismo Romos statutas</w:t>
      </w:r>
      <w:r w:rsidRPr="00C00255">
        <w:rPr>
          <w:iCs/>
          <w:color w:val="000000" w:themeColor="text1"/>
          <w:szCs w:val="24"/>
        </w:rPr>
        <w:t>, kuriuo buvo įsteigtas Tarptautinis Baudžiamasis Teismas ir kodifikuotos tarptautinės teisės nuostatos dėl nusikaltimų žmoniškumui ir karo nusikaltimų bei asmenų patraukimo baudžiamojon atsakomybėn už</w:t>
      </w:r>
      <w:r w:rsidRPr="00C00255">
        <w:rPr>
          <w:color w:val="000000" w:themeColor="text1"/>
          <w:szCs w:val="24"/>
        </w:rPr>
        <w:t xml:space="preserve"> šiuos nusikaltimus.</w:t>
      </w:r>
      <w:r w:rsidRPr="00C00255">
        <w:t xml:space="preserve"> </w:t>
      </w:r>
      <w:r w:rsidRPr="00C00255">
        <w:rPr>
          <w:color w:val="000000" w:themeColor="text1"/>
          <w:szCs w:val="24"/>
        </w:rPr>
        <w:t xml:space="preserve">Atsižvelgiant į tai, kad Tarptautinio Baudžiamojo Teismo Romos statutas buvo priimtas 1998 m. liepos 17 d., t. y. po 1991 m., svarbu įvertinti šio tarptautinės teisės akto reikšmę nagrinėjamoje baudžiamojoje byloje nuteistų asmenų baudžiamajai atsakomybei (plačiau šis klausimas nagrinėjamas kitoje šio procesinio dokumento dalyje). </w:t>
      </w:r>
    </w:p>
    <w:p w:rsidR="00A93032" w:rsidRPr="00A93032"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Taigi, įvertinus minėtų tarptautinių teisės aktų nuostatas ir BK XV skyriuje „Nusikaltimai žmoniškumui ir karo nusikaltimai“ įtvirtintų BK normų turinį bei aiškinamąjį raštą „Dėl Lietuvos Respublikos baudžiamojo kodekso 3, 7, 95, 100, 101, 102, 103, 105, 106, 109, 111 straipsnių pakeitimo bei papildymo, 104 straipsnio pripažinimo netekusiu galios ir kodekso papildymo 113</w:t>
      </w:r>
      <w:r w:rsidRPr="00C00255">
        <w:rPr>
          <w:color w:val="000000" w:themeColor="text1"/>
          <w:szCs w:val="24"/>
          <w:vertAlign w:val="superscript"/>
        </w:rPr>
        <w:t xml:space="preserve">1 </w:t>
      </w:r>
      <w:r w:rsidRPr="00C00255">
        <w:rPr>
          <w:color w:val="000000" w:themeColor="text1"/>
          <w:szCs w:val="24"/>
        </w:rPr>
        <w:t>straipsniu įstatymo projekto“, darytina išvada, kad Lietuvos Respublikos BK XV skyriuje yra įgyvendinti Lietuvos Respublikos įsipareigojimai pagal įvairias tarptautines sutartis, įskaitant 1949 m. rugpjūčio 12 d. Ženevos konvencijas, jų 1977 m. papildomus protokolus, taip pat 1998 m. Tarptautinio Baudžiamojo Teismo Romos statutą.</w:t>
      </w:r>
    </w:p>
    <w:p w:rsidR="00A93032" w:rsidRPr="005D022C" w:rsidRDefault="00A93032" w:rsidP="00A93032">
      <w:pPr>
        <w:pStyle w:val="ListParagraph"/>
        <w:numPr>
          <w:ilvl w:val="0"/>
          <w:numId w:val="6"/>
        </w:numPr>
        <w:overflowPunct/>
        <w:autoSpaceDE/>
        <w:autoSpaceDN/>
        <w:adjustRightInd/>
        <w:spacing w:before="120" w:after="120"/>
        <w:ind w:left="992" w:hanging="992"/>
        <w:contextualSpacing w:val="0"/>
        <w:rPr>
          <w:szCs w:val="24"/>
        </w:rPr>
      </w:pPr>
      <w:r w:rsidRPr="005D022C">
        <w:t xml:space="preserve">Minėtų teisės aktų kontekste apeliacinės instancijos teismas atkreipia dėmesį ir į tai, kad TSRS pasirašė 1945 m. rugpjūčio 8 d. Londono susitarimą „Dėl Europos ašies šalių pagrindinių karo nusikaltėlių persekiojimo ir nubaudimo“, prie kurio buvo pridėtas Niurnbergo tarptautinio karinio tribunolo statutas. Taip pat TSRS buvo Jungtinių Tautų Organizacijos narė nuo pat jos įsteigimo 1945 metais. TSRS buvo ir Ženevos konferencijos dalyvė bei pasirašė visas keturias Ženevos konvencijas, kurios TSRS ratifikuotos 1954 metais. TSRS 1989 m. rugsėjo 29 d. taip pat ratifikavo Ženevos konvencijų 1977 m. gruodžio 12 d. papildomus protokolus. 1980 m. Konvencija dėl tam tikrų įprastinių ginklų, kurie gali būti laikomi pernelyg žalojančiais arba veikia nesirinktinai, naudojimo uždraudimo arba apribojimo TSRS ratifikuota 1982 m. birželio 10 d. Todėl teisėjų kolegijai nekelia abejonių minėtų tarptautinių teisės aktų privalomumas TSRS kaip valstybei bei jos piliečiams ir šių tarptautinės teisės aktų prieinamumas TSRS piliečiams (ypač užimantiems oficialias pareigas valdžios ar kariuomenės institucijose) šioje byloje nuteistiesiems inkriminuotų nusikalstamų veikų padarymo metu (1991 metais). </w:t>
      </w:r>
      <w:r w:rsidRPr="005D022C">
        <w:rPr>
          <w:i/>
        </w:rPr>
        <w:t>Be to, pažymėtina, kad tarptautinėje teisėje yra pripažįstama, jog Ženevos ir Hagos konvencijų nuostatos tapo paprotine tarptautine teise, todėl šių konvencijų nuostatų privalo laikytis visos valstybės, nepriklausomai nuo to, ar jos yra ratifikavusios minėtas konvencijas, ar ne</w:t>
      </w:r>
      <w:r w:rsidRPr="005D022C">
        <w: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Taip pat ir </w:t>
      </w:r>
      <w:r w:rsidRPr="00C00255">
        <w:rPr>
          <w:szCs w:val="24"/>
        </w:rPr>
        <w:t xml:space="preserve">EŽTT savo praktikoje yra konstatavęs, kad valstybės prisijungimas prie tam tikrų tarptautinių teisės aktų yra pakankamas pagrindas konstatuoti, kad asmuo negalėjo nežinoti dėl jo veiksmų vertinimo kaip nusikaltimų žmoniškumui. Byloje </w:t>
      </w:r>
      <w:r w:rsidRPr="00C00255">
        <w:rPr>
          <w:i/>
          <w:color w:val="000000" w:themeColor="text1"/>
          <w:szCs w:val="24"/>
        </w:rPr>
        <w:t>Penart prieš Estiją</w:t>
      </w:r>
      <w:r w:rsidRPr="00C00255">
        <w:rPr>
          <w:color w:val="000000" w:themeColor="text1"/>
          <w:szCs w:val="24"/>
        </w:rPr>
        <w:t xml:space="preserve"> </w:t>
      </w:r>
      <w:r w:rsidRPr="00C00255">
        <w:rPr>
          <w:szCs w:val="24"/>
        </w:rPr>
        <w:t>(2006 m. sausio 24 d. sprendimas, peticijos Nr. 14685/06), kurioje spręstas klausimas dėl asmens nuteisimo už nusikaltimus žmoniškumui, padarytus 1953–1954 metais, EŽTT nurodė, kad civilių asmenų žudymas nusikaltimų padarymo metu buvo aiškiai apibrėžtas kaip nusikaltimas žmoniškumui 1945 m. Niurnbergo karinio tribunolo statute, 1946 m. gruodžio 11 d. Jungtinių Tautų Generalinės Asamblėjos rezoliucijoje Nr. 95, o vėliau Jungtinių Tautų Tarptautinės teisės komisijos patvirtintuose Niurnbergo principuose. EŽTT pabrėžė, kad TSRS buvo 1945</w:t>
      </w:r>
      <w:r>
        <w:rPr>
          <w:szCs w:val="24"/>
        </w:rPr>
        <w:t> </w:t>
      </w:r>
      <w:r w:rsidRPr="00C00255">
        <w:rPr>
          <w:szCs w:val="24"/>
        </w:rPr>
        <w:t>m. rugpjūčio 8 d. Londono susitarimo, kuriuo patvirtintas Niurnbergo karinio tribunolo statutas, dalyvė, taip pat buvo Jungtinių Tautų Organizacijos nare, todėl TSRS negali teigti, kad minėti Jungtinių Tautų Tarptautinės teisės komisijos patvirtinti principai nebuvo žinomi TSRS valdžios institucijoms. EŽTT nepagrįstais pripažino pareiškėjo teiginius, kad jo veiksmai</w:t>
      </w:r>
      <w:r w:rsidRPr="00C00255">
        <w:t xml:space="preserve"> </w:t>
      </w:r>
      <w:r w:rsidRPr="00C00255">
        <w:rPr>
          <w:szCs w:val="24"/>
        </w:rPr>
        <w:t>jų padarymo metu nebuvo laikomi nusikaltimais žmoniškumui ir kad nebuvo galima pagrįstai tikėtis, kad jis tai žinos.</w:t>
      </w:r>
    </w:p>
    <w:p w:rsidR="00DA38E9" w:rsidRPr="00C00255" w:rsidRDefault="00DA38E9" w:rsidP="00DA38E9">
      <w:pPr>
        <w:pStyle w:val="Heading3"/>
        <w:ind w:left="992"/>
        <w:jc w:val="both"/>
        <w:rPr>
          <w:b w:val="0"/>
          <w:i/>
          <w:sz w:val="24"/>
          <w:lang w:val="lt-LT"/>
        </w:rPr>
      </w:pPr>
      <w:bookmarkStart w:id="784" w:name="_Toc66718296"/>
      <w:bookmarkStart w:id="785" w:name="_Toc67677419"/>
      <w:bookmarkStart w:id="786" w:name="_Toc67985547"/>
      <w:r w:rsidRPr="00C00255">
        <w:rPr>
          <w:b w:val="0"/>
          <w:i/>
          <w:sz w:val="24"/>
          <w:lang w:val="lt-LT"/>
        </w:rPr>
        <w:t>Dėl Tarptautinio Baudžiamojo Teismo Romos statuto reikšmės, sprendžiant nuteistųjų baudžiamosios atsakomybės klausimą</w:t>
      </w:r>
      <w:bookmarkEnd w:id="784"/>
      <w:bookmarkEnd w:id="785"/>
      <w:bookmarkEnd w:id="786"/>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Dalis apeliantų šioje byloje teigia, kad 2011 m. kovo 22 d. įstatymu Nr. XI-1291, kuriuo pakeista dalis BK normų, reglamentuojančių nusikaltimus žmoniškumui ir karo nusikaltimus, buvo įtvirtintos 1998 m. liepos 17 d. Tarptautinio Baudžiamojo Teismo Romos statuto, kuris negaliojo nuteistiesiems inkriminuotų veikų padarymo metu, nuostatos, be to, pačiame Romos statute nustatyta, kad niekas neatsako už elgesį iki šio Statuto įsigaliojimo, todėl nuteistųjų nusikalstamos veikos negalėjo būti kvalifikuotos pagal šioje byloje jiems inkriminuotus BK straipsnius, nustatančius atsakomybę už nusikaltimus žmoniškumui ir karo nusikaltimus. Taip pat kai kuriuose apeliaciniuose skunduose teigiama, kad šioje byloje, taikant Tarptautinio Baudžiamojo Teismo Romos statutą, buvo pažeistas </w:t>
      </w:r>
      <w:r w:rsidRPr="00C00255">
        <w:rPr>
          <w:i/>
          <w:color w:val="000000" w:themeColor="text1"/>
          <w:szCs w:val="24"/>
        </w:rPr>
        <w:t>nullum crimen sine lege</w:t>
      </w:r>
      <w:r w:rsidRPr="00C00255">
        <w:rPr>
          <w:color w:val="000000" w:themeColor="text1"/>
          <w:szCs w:val="24"/>
        </w:rPr>
        <w:t xml:space="preserve"> principas, ypač teisės numatymo ir prieinamumo reikalavimai, o BK 3 straipsnio 3 dalis prieštarauja Romos statuto nuostatoms, įtvirtinančioms, kad niekas neatsako baudžiamąja tvarka už elgesį iki šio Statuto įsigaliojimo.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Tarptautinio Baudžiamojo Teismo Romos statuto 22 straipsnyje „</w:t>
      </w:r>
      <w:r w:rsidRPr="00C00255">
        <w:rPr>
          <w:i/>
          <w:color w:val="000000" w:themeColor="text1"/>
          <w:szCs w:val="24"/>
        </w:rPr>
        <w:t>Nullum crimen sine lege</w:t>
      </w:r>
      <w:r w:rsidRPr="00C00255">
        <w:rPr>
          <w:color w:val="000000" w:themeColor="text1"/>
          <w:szCs w:val="24"/>
        </w:rPr>
        <w:t xml:space="preserve">“ nustatyta, kad pagal šį Statutą asmuo netraukiamas baudžiamojon atsakomybėn, jei tiriamas elgesys padarymo metu nėra pripažįstamas nusikaltimu, priklausančiu Tarptautinio Baudžiamojo Teismo jurisdikcijai, o 24 straipsnyje „Grįžtamosios galios nebuvimas </w:t>
      </w:r>
      <w:r w:rsidRPr="00C00255">
        <w:rPr>
          <w:i/>
          <w:color w:val="000000" w:themeColor="text1"/>
          <w:szCs w:val="24"/>
        </w:rPr>
        <w:t>ratione personae</w:t>
      </w:r>
      <w:r w:rsidRPr="00C00255">
        <w:rPr>
          <w:color w:val="000000" w:themeColor="text1"/>
          <w:szCs w:val="24"/>
        </w:rPr>
        <w:t>“ įtvirtinta, kad pagal šį Statutą niekas neatsako baudžiamąja tvarka už elgesį iki Statuto įsigaliojimo.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Apeliacinės instancijos teismas sutinka su argumentais, kad Tarptautinio Baudžiamojo Teismo Romos statutas buvo priimtas tik po nuteistiesiems inkriminuotų nusikalstamų veikų padarymo ir kad asmenys negali būti traukiami baudžiamojon atsakomybėn pagal šį statutą už nusikalstamas veikas, padarytas iki jo įsigaliojimo (Lietuvos Respublikoje Romos statutas įsigaliojo 2003 m. rugpjūčio 1 d.).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Tačiau teisėjų kolegija, susipažinusi su Romos statuto nuostatomis, konstatuoja, kad šio statuto nuostatos nepaneigia nacionalinių ar kitų tarptautinių teismų jurisdikcijos</w:t>
      </w:r>
      <w:r w:rsidRPr="00C00255">
        <w:t xml:space="preserve"> </w:t>
      </w:r>
      <w:r w:rsidRPr="00C00255">
        <w:rPr>
          <w:szCs w:val="24"/>
        </w:rPr>
        <w:t>pagal kitus nacionalinius ar tarptautinius baudžiamuosius teisės aktus traukti asmenis baudžiamojon atsakomybėn už iki Romos statuto įsigaliojimo padarytus nusikaltimus žmoniškumui ar karo nusikaltimus. Vien tai, kad tam tikros veikos buvo konkrečiai kodifikuotos Romos statute, niekaip nepaneigia fakto, jog baudžiamoji atsakomybė už šias veikas tarptautinėje teisėje buvo numatyta kituose teisės aktuose ir (ar) papročiuose dar iki Romos statuto įsigaliojimo.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Atsižvelgdama į visa tai, teisėjų kolegija daro išvadą, kad </w:t>
      </w:r>
      <w:r w:rsidRPr="00C00255">
        <w:rPr>
          <w:i/>
          <w:szCs w:val="24"/>
        </w:rPr>
        <w:t>Romos statutas ne apskritai neleidžia asmenų bausti už nusikaltimus žmoniškumui ir karo nusikaltimus, padarytus iki jo įsigaliojimo, bet įtvirtina taisyklę, kad asmenys negali būti teisiami konkrečiai pagal šio Statuto nuostatas ir būtent Tarptautiniame Baudžiamajame Teisme</w:t>
      </w:r>
      <w:r w:rsidRPr="00C00255">
        <w:rPr>
          <w:iCs/>
          <w:szCs w:val="24"/>
        </w:rPr>
        <w:t>. Taigi</w:t>
      </w:r>
      <w:r w:rsidRPr="00C00255">
        <w:rPr>
          <w:szCs w:val="24"/>
        </w:rPr>
        <w:t xml:space="preserve"> argumentai, jog BK 3 straipsnio 3</w:t>
      </w:r>
      <w:r>
        <w:rPr>
          <w:szCs w:val="24"/>
        </w:rPr>
        <w:t> </w:t>
      </w:r>
      <w:r w:rsidRPr="00C00255">
        <w:rPr>
          <w:szCs w:val="24"/>
        </w:rPr>
        <w:t xml:space="preserve">dalis prieštarauja Romos statuto nuostatoms, yra teisiškai nepagrįsti ir kyla iš klaidingo Romos statuto 24 straipsnio nuostatų turinio aiškinimo. 1998 m. liepos 17 d. Tarptautinio Baudžiamojo Teismo Romos statutu nagrinėjamoje baudžiamojoje byloje negalima remtis kaip tarptautinės teisės aktu, nustatančiu šioje baudžiamojoje byloje nuteistų asmenų baudžiamąją atsakomybę. Visgi jis svarbus kaip teisės šaltinis, iliustruojantis, kaip šiuolaikinėje tarptautinėje teisėje yra apibrėžiami ir vertinami nusikaltimai žmoniškumui ir karo nusikaltimai. Būtent tokia reikšmė Romos statutui buvo suteikta ir pirmosios instancijos teismo nuosprendyje.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Romos statuto 7 straipsnyje </w:t>
      </w:r>
      <w:r w:rsidRPr="00C00255">
        <w:rPr>
          <w:i/>
          <w:color w:val="000000" w:themeColor="text1"/>
          <w:szCs w:val="24"/>
        </w:rPr>
        <w:t>nusikaltimai žmoniškumui</w:t>
      </w:r>
      <w:r w:rsidRPr="00C00255">
        <w:rPr>
          <w:color w:val="000000" w:themeColor="text1"/>
          <w:szCs w:val="24"/>
        </w:rPr>
        <w:t xml:space="preserve"> apibrėžiami kaip:</w:t>
      </w:r>
    </w:p>
    <w:p w:rsidR="00DA38E9" w:rsidRPr="00C00255" w:rsidRDefault="00DA38E9" w:rsidP="00DA38E9">
      <w:pPr>
        <w:pStyle w:val="ListParagraph"/>
        <w:spacing w:before="120" w:after="120"/>
        <w:ind w:left="1276"/>
        <w:contextualSpacing w:val="0"/>
        <w:rPr>
          <w:szCs w:val="24"/>
        </w:rPr>
      </w:pPr>
      <w:r w:rsidRPr="00C00255">
        <w:rPr>
          <w:i/>
          <w:color w:val="000000" w:themeColor="text1"/>
          <w:sz w:val="20"/>
        </w:rPr>
        <w:t>bet kuri iš toliau išvardytų veikų, kai sąmoningai rengiami didelio masto arba sistemingi civilių užpuolimai</w:t>
      </w:r>
      <w:r w:rsidRPr="00C00255">
        <w:rPr>
          <w:color w:val="000000" w:themeColor="text1"/>
          <w:sz w:val="20"/>
          <w:u w:val="single"/>
        </w:rPr>
        <w:t>:</w:t>
      </w:r>
      <w:bookmarkStart w:id="787" w:name="part_5e739d474c534ab5abb0400baee1bdca"/>
      <w:bookmarkEnd w:id="787"/>
      <w:r w:rsidRPr="00C00255">
        <w:rPr>
          <w:color w:val="000000" w:themeColor="text1"/>
          <w:sz w:val="20"/>
        </w:rPr>
        <w:t xml:space="preserve"> a) nužudymas;</w:t>
      </w:r>
      <w:bookmarkStart w:id="788" w:name="part_5e49fe9df5fa40b989849641462c30c5"/>
      <w:bookmarkEnd w:id="788"/>
      <w:r w:rsidRPr="00C00255">
        <w:rPr>
          <w:color w:val="000000" w:themeColor="text1"/>
          <w:sz w:val="20"/>
        </w:rPr>
        <w:t xml:space="preserve"> b) naikinimas;</w:t>
      </w:r>
      <w:bookmarkStart w:id="789" w:name="part_92bcf95c03d94b7a99b1648839709834"/>
      <w:bookmarkEnd w:id="789"/>
      <w:r w:rsidRPr="00C00255">
        <w:rPr>
          <w:color w:val="000000" w:themeColor="text1"/>
          <w:sz w:val="20"/>
        </w:rPr>
        <w:t xml:space="preserve"> c) pavergimas;</w:t>
      </w:r>
      <w:bookmarkStart w:id="790" w:name="part_a06eba67eb3848a886d24a5e41e9a0ca"/>
      <w:bookmarkEnd w:id="790"/>
      <w:r w:rsidRPr="00C00255">
        <w:rPr>
          <w:color w:val="000000" w:themeColor="text1"/>
          <w:sz w:val="20"/>
        </w:rPr>
        <w:t xml:space="preserve"> d) gyventojų deportavimas arba prievartinis perkėlimas;</w:t>
      </w:r>
      <w:bookmarkStart w:id="791" w:name="part_bd85b8bdad65431e89f1049620017633"/>
      <w:bookmarkEnd w:id="791"/>
      <w:r w:rsidRPr="00C00255">
        <w:rPr>
          <w:color w:val="000000" w:themeColor="text1"/>
          <w:sz w:val="20"/>
        </w:rPr>
        <w:t xml:space="preserve"> e) įkalinimas arba kitoks žiaurus laisvės atėmimas, prieštaraujantis pagrindinėms tarptautinės teisės normoms;</w:t>
      </w:r>
      <w:bookmarkStart w:id="792" w:name="part_4747cdf056044fd795f659ad76319861"/>
      <w:bookmarkEnd w:id="792"/>
      <w:r w:rsidRPr="00C00255">
        <w:rPr>
          <w:color w:val="000000" w:themeColor="text1"/>
          <w:sz w:val="20"/>
        </w:rPr>
        <w:t xml:space="preserve"> f) kankinimas;</w:t>
      </w:r>
      <w:bookmarkStart w:id="793" w:name="part_590f4a8c0817403abb182036f1b16492"/>
      <w:bookmarkEnd w:id="793"/>
      <w:r w:rsidRPr="00C00255">
        <w:rPr>
          <w:color w:val="000000" w:themeColor="text1"/>
          <w:sz w:val="20"/>
        </w:rPr>
        <w:t xml:space="preserve"> g) išžaginimas, įtraukimas į seksualinę vergovę, vertimas užsiimti prostitucija, priverstinis apvaisinimas, priverstinė sterilizacija ar bet kokios kitos sunkios seksualinės prievartos formos;</w:t>
      </w:r>
      <w:bookmarkStart w:id="794" w:name="part_c43836390f094a009cbf03af605a4245"/>
      <w:bookmarkEnd w:id="794"/>
      <w:r w:rsidRPr="00C00255">
        <w:rPr>
          <w:color w:val="000000" w:themeColor="text1"/>
          <w:sz w:val="20"/>
        </w:rPr>
        <w:t xml:space="preserve"> h) kokios nors grupės ar bendrijos persekiojimas politiniais, rasiniais, nacionaliniais, etniniais, kultūriniais, religiniais, lyties, kaip ji apibūdinta šio straipsnio 3 dalyje, ar kitais motyvais, kuriuos, kaip visuotinai pripažinta, draudžia tarptautinė teisė, darant bet kurias šiame punkte nurodytas veikas arba Teismo jurisdikcijai priklausančius nusikaltimus;</w:t>
      </w:r>
      <w:bookmarkStart w:id="795" w:name="part_e9e7d47b92514cc8aff30b558da72b72"/>
      <w:bookmarkEnd w:id="795"/>
      <w:r w:rsidRPr="00C00255">
        <w:rPr>
          <w:color w:val="000000" w:themeColor="text1"/>
          <w:sz w:val="20"/>
        </w:rPr>
        <w:t xml:space="preserve"> i) prievartinis žmonių dingimas;</w:t>
      </w:r>
      <w:bookmarkStart w:id="796" w:name="part_f7df6d3074074e47a909fa0b0e4174b1"/>
      <w:bookmarkEnd w:id="796"/>
      <w:r w:rsidRPr="00C00255">
        <w:rPr>
          <w:color w:val="000000" w:themeColor="text1"/>
          <w:sz w:val="20"/>
        </w:rPr>
        <w:t xml:space="preserve"> j) apartheido nusikaltimas;</w:t>
      </w:r>
      <w:bookmarkStart w:id="797" w:name="part_25cd81d948834ed7880d5629b5aac39e"/>
      <w:bookmarkEnd w:id="797"/>
      <w:r w:rsidRPr="00C00255">
        <w:rPr>
          <w:color w:val="000000" w:themeColor="text1"/>
          <w:sz w:val="20"/>
        </w:rPr>
        <w:t xml:space="preserve"> k) kitos panašios nežmoniškos veikos, kai tyčia sukeliamos didelės kančios, sunkūs kūno sužalojimai arba padaroma didelė žala psichinei ar fizinei sveikatai.</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Atitinkamai Romos statuto 8 straipsnyje </w:t>
      </w:r>
      <w:r w:rsidRPr="00C00255">
        <w:rPr>
          <w:i/>
          <w:color w:val="000000" w:themeColor="text1"/>
          <w:szCs w:val="24"/>
        </w:rPr>
        <w:t>karo nusikaltimai</w:t>
      </w:r>
      <w:r w:rsidRPr="00C00255">
        <w:rPr>
          <w:color w:val="000000" w:themeColor="text1"/>
          <w:szCs w:val="24"/>
        </w:rPr>
        <w:t xml:space="preserve"> apibrėžiami kaip:</w:t>
      </w:r>
    </w:p>
    <w:p w:rsidR="00DA38E9" w:rsidRPr="00C00255" w:rsidRDefault="00DA38E9" w:rsidP="00DA38E9">
      <w:pPr>
        <w:pStyle w:val="ListParagraph"/>
        <w:spacing w:before="120" w:after="120"/>
        <w:ind w:left="1276"/>
        <w:contextualSpacing w:val="0"/>
        <w:rPr>
          <w:szCs w:val="24"/>
        </w:rPr>
      </w:pPr>
      <w:r w:rsidRPr="00C00255">
        <w:rPr>
          <w:color w:val="000000" w:themeColor="text1"/>
          <w:sz w:val="20"/>
        </w:rPr>
        <w:t xml:space="preserve">a) </w:t>
      </w:r>
      <w:r w:rsidRPr="00C00255">
        <w:rPr>
          <w:i/>
          <w:color w:val="000000" w:themeColor="text1"/>
          <w:sz w:val="20"/>
        </w:rPr>
        <w:t>sunkūs 1949 m. rugpjūčio 12 d. Ženevos konvencijų pažeidimai, būtent kurios nors iš šių veikų prieš asmenis arba turtą, saugomus pagal atitinkamos Ženevos konvencijos nuostatas</w:t>
      </w:r>
      <w:r w:rsidRPr="00C00255">
        <w:rPr>
          <w:color w:val="000000" w:themeColor="text1"/>
          <w:sz w:val="20"/>
        </w:rPr>
        <w:t xml:space="preserve">: i) tyčinis nužudymas; ii) kankinimas arba nežmoniškas elgesys, taip pat ir biologiniai eksperimentai; iii) tyčinis didelių kančių sukėlimas arba sunkus sužalojimas ar susargdinimas; iv) neteisėtas ir beprasmis plataus masto turto naikinimas ir nusavinimas, nepateisinamas karine būtinybe; v) karo belaisvio ar kito saugomo asmens vertimas tarnauti priešo valstybės ginkluotosiose pajėgose; vi) tyčinis teisės į teisingą ir teisėtą teismo procesą atėmimas iš karo belaisvio arba kito saugomo asmens; vii) neteisėta deportacija ar perkėlimas arba neteisėtas laisvės atėmimas; viii) įkaitų paėmimas; </w:t>
      </w:r>
    </w:p>
    <w:p w:rsidR="00DA38E9" w:rsidRPr="00C00255" w:rsidRDefault="00DA38E9" w:rsidP="00DA38E9">
      <w:pPr>
        <w:pStyle w:val="ListParagraph"/>
        <w:spacing w:before="120" w:after="120"/>
        <w:ind w:left="1276"/>
        <w:contextualSpacing w:val="0"/>
        <w:rPr>
          <w:szCs w:val="24"/>
        </w:rPr>
      </w:pPr>
      <w:r w:rsidRPr="00C00255">
        <w:rPr>
          <w:color w:val="000000" w:themeColor="text1"/>
          <w:sz w:val="20"/>
        </w:rPr>
        <w:t xml:space="preserve">b) </w:t>
      </w:r>
      <w:r w:rsidRPr="00C00255">
        <w:rPr>
          <w:i/>
          <w:color w:val="000000" w:themeColor="text1"/>
          <w:sz w:val="20"/>
        </w:rPr>
        <w:t>Kiti rimti, tarptautinės teisės nustatytų tarptautinių ginkluotų konfliktų įstatymų ir papročių pažeidimai</w:t>
      </w:r>
      <w:r w:rsidRPr="00C00255">
        <w:rPr>
          <w:color w:val="000000" w:themeColor="text1"/>
          <w:sz w:val="20"/>
        </w:rPr>
        <w:t>, būtent šios veikos: i) tiesiogiai karo veiksmuose nedalyvaujančių visų arba pavienių civilių tyčinis užpuldinėjimas; ii) civilinių objektų, t. y. ne karinių objektų, tyčinis užpuldinėjimas; iii) personalo, įrengimų, medžiagų, padalinių ar transporto priemonių, pagal Jungtinių Tautų Chartiją naudojamų teikiant humanitarinę pagalbą arba vykdant taikos palaikymo misiją, kol jie turi teisę į apsaugą, pagal tarptautinę ginkluotų konfliktų teisę numatytą civiliams ar civiliniams objektams, tyčinis užpuldinėjimas; iv) karo ataka, kai yra žinoma, kad tokia ataka taps atsitiktinės civilių žūties ar suluošinimo priežastimi, padarys žalą civiliniams objektams, ilgalaikę ir didelę žalą gamtinei aplinkai, aiškiai didesnę nei ta, kurios reikia siekiant konkretaus ir tiesioginio laukiamo karinio pranašumo; v) bet kokiu būdu vykdoma ataka prieš neginamus ir nesančius kariniais objektais miestus, kaimus, būstus ar pastatus arba jų apšaudymas; vi) sudėjusio ginklus arba nebegalinčio gintis, savo valia iš mūšio pasitraukusio kombatanto nužudymas arba sužeidimas; vii) neleistinas paliaubų vėliavos, priešo ar Jungtinių Tautų vėliavos, karinių emblemų ir uniformos, taip pat skiriamųjų Ženevos konvencijų nustatytų ženklų panaudojimas, sukėlęs žmonių žūtį arba sunkius sužalojimus; viii) tiesioginis ar netiesioginis okupavusios valstybės civilių gyventojų dalies perkėlimas į jos okupuotą teritoriją arba okupuotos teritorijos visų gyventojų ar jų dalies deportacija arba perkėlimas toje teritorijoje arba už tos teritorijos ribų; ix) tyčinis religijos, švietimo, meno, mokslo ar labdaros objektų, istorijos paminklų, ligoninių ir kitų vietų, kur laikomi ligoniai ir sužeistieji, užpuldinėjimas, jei šie objektai nėra kariniai; x) asmenų, esančių priešo nelaisvėje, fizinis žalojimas arba jų panaudojimas bet kokios rūšies medicininiams ar moksliniams eksperimentams, nepateisinamiems to asmens medicininio, stomatologinio ar klinikinio gydymo būtinumu, kurie yra atliekami ne jo labui ir kurie tampa tokio asmens ar asmenų mirties priežastimi arba sukelia rimtą pavojų sveikatai; xi) klastingas priešo šalies arba armijos asmenų žudymas ar sužeidimas; xii) pareiškimas, kad nebus jokio pasigailėjimo; xiii) priešo turto sunaikinimas arba užvaldymas, nebent tokį sunaikinimą arba užvaldymą diktuoja karinė būtinybė; xiv) pareiškimas, kad priešiškos šalies piliečių teisės ir ieškiniai yra panaikinami, laikinai sustabdomi arba nepriimtini teisme; xv) priešiškos šalies piliečių vertimas dalyvauti karo veiksmuose prieš savo šalį, net jei jie prieš prasidedant karui tarnavo kariaujančiosios pusės karinėse pajėgose; xvi) miesto ar gyvenvietės plėšimas net užėmus juos šturmu; xvii) nuodingųjų medžiagų arba užnuodytų ginklų naudojimas; xviii) troškinančiųjų, nuodingųjų ar kitokių dujų ir bet kokių kitų panašių skysčių, medžiagų ar užtaisų panaudojimas; xix) naudojimas kulkų, kurios lengvai sprogsta ar deformuojasi žmogaus kūne, pavyzdžiui, kulkų su kietu apvalkalu, ne visiškai uždengiančiu kulkos šerdį arba turinčių įpjovas; xx) naudojimas ginklų, šaudmenų ir medžiagų bei kariavimo būdų, kurie sukelia nereikalingus sužalojimus ar kančias arba kurie veikia nesirinktinai, taip pažeidžiant tarptautinės ginkluoto konflikto teisės normas, jei tokie ginklai, šaudmenys, medžiagos ir kariavimo būdai yra visuotinai draudžiami ir, padarius atitinkamus pakeitimus ir papildymus pagal 121 ir 123 straipsnių nuostatas, yra įtraukti į šio Statuto priedą; xxi) pasikėsinimas į asmens orumą, ypač įžeidžiantis ir žeminantis elgesys; xxii) išžaginimas, įtraukimas į seksualinę vergovę, privertimas užsiimti prostitucija, priverstinis apvaisinimas, kaip apibrėžta 7 straipsnio 2 dalies f punkte, priverstinė sterilizacija ir bet kokie kiti seksualinės prievartos būdai, laikomi sunkiais Ženevos konvencijų pažeidimais; xxiii) civilio asmens arba kito saugomo asmens panaudojimas, norint apsaugoti nuo karo veiksmų konkrečius objektus, zonas ar karines pajėgas; xxiv) tyčinis pastatų, medžiagų, medicinos įstaigų, transporto priemonių ir personalo, pagal tarptautinę teisę naudojančių Ženevos konvencijų nustatytas skiriamąsias emblemas, užpuldinėjimas; xxv) tyčinis civilių vertimas badauti kaip kariavimo būdas, atimant iš jų gyvybei palaikyti būtinus reikmenis, taip pat tyčia sudarant kliūtis teikti jiems pagalbą, kaip numatyta Ženevos konvencijose; xxvi) jaunesnių nei penkiolikos metų vaikų ėmimas arba verbavimas į nacionalines ginkluotąsias pajėgas arba jų panaudojimas, kad jie aktyviai dalyvautų karo veiksmuose.</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Kituose Romos statuto 8 straipsnio 2 dalies punktuose yra įvardijamos veikos, kurios laikomos karo nusikaltimais ginkluoto </w:t>
      </w:r>
      <w:r w:rsidRPr="00C00255">
        <w:rPr>
          <w:i/>
          <w:color w:val="000000" w:themeColor="text1"/>
          <w:szCs w:val="24"/>
        </w:rPr>
        <w:t>netarptautinio</w:t>
      </w:r>
      <w:r w:rsidRPr="00C00255">
        <w:rPr>
          <w:color w:val="000000" w:themeColor="text1"/>
          <w:szCs w:val="24"/>
        </w:rPr>
        <w:t xml:space="preserve"> konflikto atveju, tačiau nagrinėjamoje byloje šios nuostatos nėra aktualios, nes nuteistiesiems nėra inkriminuotos veikos padarytos netarptautinio ginkluoto konflikto metu, todėl, siekiant procesinio dokumento neapkrauti pertekline informacija, plačiau šie Romos statute minimi karo nusikaltimai neaprašomi.</w:t>
      </w:r>
    </w:p>
    <w:p w:rsidR="00DA38E9" w:rsidRPr="00C00255" w:rsidRDefault="00DA38E9" w:rsidP="00DA38E9">
      <w:pPr>
        <w:pStyle w:val="Heading3"/>
        <w:ind w:left="992"/>
        <w:jc w:val="both"/>
        <w:rPr>
          <w:b w:val="0"/>
          <w:i/>
          <w:sz w:val="24"/>
          <w:lang w:val="lt-LT"/>
        </w:rPr>
      </w:pPr>
      <w:bookmarkStart w:id="798" w:name="_Toc66718297"/>
      <w:bookmarkStart w:id="799" w:name="_Toc67677420"/>
      <w:bookmarkStart w:id="800" w:name="_Toc67985548"/>
      <w:r w:rsidRPr="00C00255">
        <w:rPr>
          <w:b w:val="0"/>
          <w:i/>
          <w:sz w:val="24"/>
          <w:lang w:val="lt-LT"/>
        </w:rPr>
        <w:t>Dėl BK 100 straipsnyje įtvirtintos nusikalstamos veikos sudėties požymių ir baudžiamosios atsakomybės už ją nustatymo tarptautinėje teisėje 1991 metais</w:t>
      </w:r>
      <w:bookmarkEnd w:id="798"/>
      <w:bookmarkEnd w:id="799"/>
      <w:bookmarkEnd w:id="800"/>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BK 100 straipsnyje „Tarptautinės teisės draudžiamas elgesys su žmonėmis“ (2011 m. kovo 22</w:t>
      </w:r>
      <w:r>
        <w:rPr>
          <w:color w:val="000000" w:themeColor="text1"/>
          <w:szCs w:val="24"/>
        </w:rPr>
        <w:t> </w:t>
      </w:r>
      <w:r w:rsidRPr="00C00255">
        <w:rPr>
          <w:color w:val="000000" w:themeColor="text1"/>
          <w:szCs w:val="24"/>
        </w:rPr>
        <w:t>d. įstatymo Nr. XI-1291 redakcija) yra numatyta baudžiamoji atsakomybė už įvairias alternatyvias veikas, susijusias su tarptautinės teisės draudžiamu elgesiu su žmonėmis, tačiau nagrinėjamoje baudžiamojoje byloje pagal nuteistiesiems pareikštus kaltinimus ir yra aktualūs šie nusikalstamos veikos požymiai – „</w:t>
      </w:r>
      <w:r w:rsidRPr="00C00255">
        <w:rPr>
          <w:i/>
          <w:color w:val="000000" w:themeColor="text1"/>
          <w:szCs w:val="24"/>
        </w:rPr>
        <w:t>tyčia, vykdydamas ar remdamas valstybės ar organizacijos politiką dideliu mastu arba sistemingai užpuldinėti civilius, juos žudė arba sunkiai sutrikdė jų sveikatą, persekiojo kurią nors žmonių grupę ar bendriją dėl politinių ir nacionalinių motyvų</w:t>
      </w:r>
      <w:r w:rsidRPr="00C00255">
        <w:rPr>
          <w:iCs/>
          <w:color w:val="000000" w:themeColor="text1"/>
          <w:szCs w:val="24"/>
        </w:rPr>
        <w:t>“.</w:t>
      </w:r>
      <w:r w:rsidRPr="00C00255">
        <w:rPr>
          <w:color w:val="000000" w:themeColor="text1"/>
          <w:szCs w:val="24"/>
        </w:rPr>
        <w:t xml:space="preserve"> Todėl apeliacinės instancijos teismas plačiau nagrinės būtent šių požymių turinį, jų vertinimą nacionalinėje bei tarptautinėje teisėje ir atsakomybę už juos nusikalstamų veikų padarymo metu.</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BK 100 straipsnyje įtvirtinti nusikaltimai yra priskiriami prie nusikaltimų žmoniškumui. Kaip jau minėta ankstesnėje šio nuosprendžio dalyje, nusikaltimai žmoniškumui pirmą kartą buvo įvardinti 1945 m. rugpjūčio 8 d. Niurnbergo tarptautinio karinio tribunolo statute, o vėliau ir Jungtinių Tautų Tarptautinės teisės komisijos 1950 m. patvirtintuose Niurnbergo principuose. Niurnbergo tarptautinio karinio tribunolo statuto 6 straipsnyje nusikaltimai žmoniškumui apibrėžti kaip civilių gyventojų žudymas, naikinimas, pavergimas, deportacija ir kitoks nežmoniškas elgesys karo metu ar iki jo arba persekiojimas politiniu, rasiniu ar religiniu pagrindu darant bet kokį nusikaltimą, priklausantį Niurnbergo tribunolo jurisdikcijai, nesvarbu, ar pažeidžiant valstybės, kurioje jis buvo įvykdytas, nacionalinę teisę. Niurnbergo principuose nustatyta, kad </w:t>
      </w:r>
      <w:r w:rsidRPr="00C00255">
        <w:rPr>
          <w:i/>
          <w:color w:val="000000" w:themeColor="text1"/>
          <w:szCs w:val="24"/>
        </w:rPr>
        <w:t>nusikaltimai žmoniškumui yra civilių gyventojų žudymas, naikinimas, pavergimas, deportacija ir kitoks nežmoniškas elgesys arba persekiojimas politiniu, rasiniu ar religiniu pagrindu</w:t>
      </w:r>
      <w:r w:rsidRPr="00C00255">
        <w:rPr>
          <w:iCs/>
          <w:color w:val="000000" w:themeColor="text1"/>
          <w:szCs w:val="24"/>
        </w:rPr>
        <w:t>,</w:t>
      </w:r>
      <w:r w:rsidRPr="00C00255">
        <w:rPr>
          <w:color w:val="000000" w:themeColor="text1"/>
          <w:szCs w:val="24"/>
        </w:rPr>
        <w:t xml:space="preserve"> kai tokie veiksmai yra atliekami vykdant ar yra susiję su bet kuriuo karo nusikaltimu ar nusikaltimu taikai.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Kaip jau minėta, dėl Niurnbergo tarptautinio karinio tribunolo statute įtvirtintos nusikaltimų žmoniškumui sąvokos, kuri šiuos nusikaltimus siejo su karu, EŽTT yra pažymėjęs, kad vėlesniais metais vienas iš nusikaltimų žmoniškumui kriterijų – ryšys su ginkluotu konfliktu – nebebuvo aktualus, tačiau kiti elementai vis dar buvo svarbūs, ypač reikalavimas, kad nagrinėjamas nusikaltimas neturėtų būti atskiras ar pavienis veiksmas, bet turėtų būti „</w:t>
      </w:r>
      <w:r w:rsidRPr="00C00255">
        <w:rPr>
          <w:i/>
          <w:color w:val="000000" w:themeColor="text1"/>
          <w:szCs w:val="24"/>
        </w:rPr>
        <w:t>valstybės veiksmų ar politikos“</w:t>
      </w:r>
      <w:r w:rsidRPr="00C00255">
        <w:rPr>
          <w:color w:val="000000" w:themeColor="text1"/>
          <w:szCs w:val="24"/>
        </w:rPr>
        <w:t xml:space="preserve"> </w:t>
      </w:r>
      <w:r w:rsidRPr="00C00255">
        <w:rPr>
          <w:i/>
          <w:color w:val="000000" w:themeColor="text1"/>
          <w:szCs w:val="24"/>
        </w:rPr>
        <w:t>dalis arba plačiai paplitęs ir</w:t>
      </w:r>
      <w:r w:rsidRPr="00C00255">
        <w:rPr>
          <w:color w:val="000000" w:themeColor="text1"/>
          <w:szCs w:val="24"/>
        </w:rPr>
        <w:t xml:space="preserve"> </w:t>
      </w:r>
      <w:r w:rsidRPr="00C00255">
        <w:rPr>
          <w:i/>
          <w:color w:val="000000" w:themeColor="text1"/>
          <w:szCs w:val="24"/>
        </w:rPr>
        <w:t>sisteminis puolimas prieš civilius gyventojus</w:t>
      </w:r>
      <w:r w:rsidRPr="00C00255">
        <w:rPr>
          <w:color w:val="000000" w:themeColor="text1"/>
          <w:szCs w:val="24"/>
        </w:rPr>
        <w:t xml:space="preserve"> (2008 m. rugsėjo 19 d. sprendimas </w:t>
      </w:r>
      <w:r w:rsidRPr="00C00255">
        <w:rPr>
          <w:i/>
          <w:color w:val="000000" w:themeColor="text1"/>
          <w:szCs w:val="24"/>
        </w:rPr>
        <w:t>Korbely prieš Vengriją</w:t>
      </w:r>
      <w:r w:rsidRPr="00C00255">
        <w:rPr>
          <w:color w:val="000000" w:themeColor="text1"/>
          <w:szCs w:val="24"/>
        </w:rPr>
        <w:t>, peticijos Nr. 9174/02, 82-84 para.).</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Apeliacinės instancijos teismas atkreipia dėmesį į tai, kad 1945 m. rugpjūčio 8 d. Niurnbergo tarptautinio karinio tribunolo statute ir Jungtinių Tautų Tarptautinės teisės komisijos 1950</w:t>
      </w:r>
      <w:r>
        <w:rPr>
          <w:color w:val="000000" w:themeColor="text1"/>
          <w:szCs w:val="24"/>
        </w:rPr>
        <w:t> </w:t>
      </w:r>
      <w:r w:rsidRPr="00C00255">
        <w:rPr>
          <w:color w:val="000000" w:themeColor="text1"/>
          <w:szCs w:val="24"/>
        </w:rPr>
        <w:t>m.</w:t>
      </w:r>
      <w:r>
        <w:rPr>
          <w:color w:val="000000" w:themeColor="text1"/>
          <w:szCs w:val="24"/>
        </w:rPr>
        <w:t> </w:t>
      </w:r>
      <w:r w:rsidRPr="00C00255">
        <w:rPr>
          <w:color w:val="000000" w:themeColor="text1"/>
          <w:szCs w:val="24"/>
        </w:rPr>
        <w:t>patvirtintuose Niurnbergo principuose kaip nusikaltimas žmoniškumui įvardijamas civilių gyventojų persekiojimas politiniu, rasiniu ar religiniu pagrindu, tačiau nėra minimas persekiojimas nacionaliniu pagrindu, kaip įtvirtinta BK 100 straipsnyje (2011 m. kovo 22 d. įstatymo Nr. XI-1291 redakcija). Tarptautinio baudžiamojo tribunolo teisti asmenis, atsakingus už genocidą ir kitus sunkius tarptautinės humanitarinės teisės pažeidimus, padarytus Ruandos teritorijoje, ir Ruandos piliečius, atsakingus už genocidą ir kitus panašius pažeidimus, padarytus kaimyninių valstybių teritorijoje, 1994 m. sausio 1–gruodžio 31 d. laikotarpiu, įsteigto 1994 m. lapkričio 8 d. Jungtinių Tautų Saugumo Tarybos rezoliucija Nr.</w:t>
      </w:r>
      <w:r>
        <w:rPr>
          <w:color w:val="000000" w:themeColor="text1"/>
          <w:szCs w:val="24"/>
        </w:rPr>
        <w:t> </w:t>
      </w:r>
      <w:r w:rsidRPr="00C00255">
        <w:rPr>
          <w:color w:val="000000" w:themeColor="text1"/>
          <w:szCs w:val="24"/>
        </w:rPr>
        <w:t xml:space="preserve">955 (toliau – ir Ruandos tribunolas), statute bei Tarptautinio tribunolo teisti asmenis, atsakingus už sunkius tarptautinės humanitarinės teisės pažeidimus, padarytus buvusios Jugoslavijos teritorijoje nuo 1991 m., įsteigto 1993 m. Jungtinių Tautų Saugumo Tarybos rezoliucijomis Nr. 808 ir 827 (toliau – ir Jugoslavijos tribunolas), statute kaip nusikaltimas žmoniškumui taip pat apibrėžtas persekiojimas dėl politinių, rasinių ar religinių priežasčių. Romos statute jau išplėstas šio pobūdžio nusikalstamos veikos aprašymas, 7 straipsnio h punkte nurodant, kad </w:t>
      </w:r>
      <w:r w:rsidRPr="00C00255">
        <w:rPr>
          <w:iCs/>
          <w:color w:val="000000" w:themeColor="text1"/>
          <w:szCs w:val="24"/>
        </w:rPr>
        <w:t>nusikaltimu žmoniškumui laikomas kokios nors grupės ar bendrijos persekiojimas</w:t>
      </w:r>
      <w:r w:rsidRPr="00C00255">
        <w:rPr>
          <w:color w:val="000000" w:themeColor="text1"/>
          <w:szCs w:val="24"/>
        </w:rPr>
        <w:t xml:space="preserve"> politiniais, rasiniais, nacionaliniais, etniniais, kultūriniais, religiniais, lyties ar kitais motyvais, kuriuos, kaip visuotinai pripažinta, draudžia tarptautinė teisė, darant bet kurias šiame punkte nurodytas veikas arba Teismo jurisdikcijai priklausančius nusikaltimus.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Teisėjų kolegijos vertinimu, nors </w:t>
      </w:r>
      <w:r w:rsidRPr="00C00255">
        <w:rPr>
          <w:i/>
          <w:color w:val="000000" w:themeColor="text1"/>
          <w:szCs w:val="24"/>
        </w:rPr>
        <w:t>persekiojimo nacionaliniu pagrindu</w:t>
      </w:r>
      <w:r w:rsidRPr="00C00255">
        <w:rPr>
          <w:color w:val="000000" w:themeColor="text1"/>
          <w:szCs w:val="24"/>
        </w:rPr>
        <w:t xml:space="preserve"> požymis 1991 metais tarptautiniuose aktuose tiesiogiai nebuvo įvardintas kaip nusikaltimo žmoniškumui apibrėžimo dalis, tačiau, pavyzdžiui,</w:t>
      </w:r>
      <w:r w:rsidRPr="00C00255">
        <w:t xml:space="preserve"> </w:t>
      </w:r>
      <w:r w:rsidRPr="00C00255">
        <w:rPr>
          <w:color w:val="000000" w:themeColor="text1"/>
          <w:szCs w:val="24"/>
        </w:rPr>
        <w:t>1948 m. gruodžio 9 d. konvencijoje dėl kelio užkirtimo genocido nusikaltimui ir baudimo už jį</w:t>
      </w:r>
      <w:r w:rsidRPr="00C00255">
        <w:t xml:space="preserve"> </w:t>
      </w:r>
      <w:r w:rsidRPr="00C00255">
        <w:rPr>
          <w:color w:val="000000" w:themeColor="text1"/>
          <w:szCs w:val="24"/>
        </w:rPr>
        <w:t xml:space="preserve">genocidu buvo laikoma veika, kuria siekiama visiškai ar iš dalies sunaikinti kokią nors </w:t>
      </w:r>
      <w:r w:rsidRPr="00C00255">
        <w:rPr>
          <w:i/>
          <w:color w:val="000000" w:themeColor="text1"/>
          <w:szCs w:val="24"/>
        </w:rPr>
        <w:t xml:space="preserve">nacionalinę, </w:t>
      </w:r>
      <w:r w:rsidRPr="00C00255">
        <w:rPr>
          <w:color w:val="000000" w:themeColor="text1"/>
          <w:szCs w:val="24"/>
        </w:rPr>
        <w:t xml:space="preserve">etninę, rasinę ar religinę grupę. Taip pat, Ruandos tribunolo Apeliacinės kolegijos 2015 m. gruodžio 14 d. nuosprendyje byloje </w:t>
      </w:r>
      <w:r w:rsidRPr="00C00255">
        <w:rPr>
          <w:i/>
          <w:color w:val="000000" w:themeColor="text1"/>
          <w:szCs w:val="24"/>
        </w:rPr>
        <w:t>Kaltintojas prieš Nyiramasuhuko ir kitus</w:t>
      </w:r>
      <w:r w:rsidRPr="00C00255">
        <w:rPr>
          <w:color w:val="000000" w:themeColor="text1"/>
          <w:szCs w:val="24"/>
        </w:rPr>
        <w:t xml:space="preserve"> (bylos Nr. ICTR-98-42-A, 2136 para.) pažymėta, kad Ruandos tribunolo statuto 3 straipsnio h punktas apribojo Ruandos tribunolo jurisdikciją teisti asmenis už persekiojimą kaip nusikaltimą žmoniškumui trimis diskriminaciniais pagrindais (politiniais, rasiniais ir religiniais), nors tarptautinėje paprotinėje teisėje persekiojimas kaip nusikaltimas žmoniškumui nėra apribotas tik trimis minėtais diskriminaciniais pagrindais ir Jungtinių Tautų Saugumo Taryba, priimdama Ruandos tribunolo statutą, turėjo teisę įtvirtinti tokius nusikalstamų veikų apibrėžimus, kurie skiriasi nuo paprotinės tarptautinės teisės.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Esant išdėstytoms aplinkybėms, apeliacinės instancijos teismo teisėjų kolegija konstatuoja, kad 1991 metais asmenų persekiojimas tiek politiniais, tiek ir nacionaliniais motyvais tarptautinėje teisėje buvo draudžiamas kaip nusikaltimas žmoniškumui.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
          <w:color w:val="000000" w:themeColor="text1"/>
          <w:szCs w:val="24"/>
        </w:rPr>
        <w:t>Dėl sunkaus sveikatos sutrikdymo</w:t>
      </w:r>
      <w:r w:rsidRPr="00C00255">
        <w:rPr>
          <w:color w:val="000000" w:themeColor="text1"/>
          <w:szCs w:val="24"/>
        </w:rPr>
        <w:t xml:space="preserve"> kaip nusikaltimo žmoniškumui teisėjų kolegija pažymi, kad tarptautinių teismų praktikoje sunkus sveikatos sutrikdymas yra vertinamas kaip kitoks nežmoniškas elgesys. Pavyzdžiui, Ruandos tribunolo Teisminio nagrinėjimo kolegijos 1999 m. gegužės 21 d. nuosprendyje byloje </w:t>
      </w:r>
      <w:r w:rsidRPr="00C00255">
        <w:rPr>
          <w:i/>
          <w:color w:val="000000" w:themeColor="text1"/>
          <w:szCs w:val="24"/>
        </w:rPr>
        <w:t>Kaltintojas prieš Kayishema ir Ruzindana</w:t>
      </w:r>
      <w:r w:rsidRPr="00C00255">
        <w:rPr>
          <w:color w:val="000000" w:themeColor="text1"/>
          <w:szCs w:val="24"/>
        </w:rPr>
        <w:t xml:space="preserve"> (bylos Nr. ICTR-95-1-T, 148–151 para.), atsižvelgiant į Jungtinių Tautų Tarptautinės teisės komisijos komentarą, pažymėta, kad</w:t>
      </w:r>
      <w:r w:rsidRPr="00C00255">
        <w:rPr>
          <w:szCs w:val="24"/>
        </w:rPr>
        <w:t xml:space="preserve"> kitokie nežmoniški veiksmai apima tokius veiksmus, kurie yra tokio paties sunkumo ir pavojingumo kaip ir konkrečiai išvardinti veiksmai (nužudymas, pavergimas, deportacija, kankinimas ir kt.). </w:t>
      </w:r>
      <w:r w:rsidRPr="00C00255">
        <w:rPr>
          <w:color w:val="000000" w:themeColor="text1"/>
          <w:szCs w:val="24"/>
        </w:rPr>
        <w:t>Tai veiksmai ar neveikimas, kurie sąmoningai sukelia sunkių psichinių ar fizinių kančių ar sužeidimų arba sudaro sunkų žmogaus orumo pažeidimą. Taip pat minėtame nuosprendyje pažymėta, kad tai, ar tam tikras veiksmas pasiekia nusikaltimo žmoniškumui lygį, yra sprendžiama besivystant teismų praktikai, byla po bylos.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Taigi iš aptartų tarptautinės teisės šaltinių, darytina išvada, kad 1991 m. civilių asmenų žudymas arba sunkus jų sveikatos sutrikdymas, kurios nors žmonių grupės ar bendrijos persekiojimas dėl politinių ir nacionalinių motyvų, atlikti vykdant ar remiant valstybės ar organizacijos politiką dideliu mastu arba sistemingai užpuldinėti civilius, tarptautinėje teisėje buvo aiškiai ir numatomai apibrėžti kaip nusikaltimai žmoniškumui, todėl pirmosios instancijos teismas pagrįstai padarė išvadą, kad byloje inkriminuojamos veikos gali būti kvalifikuotos pagal nuosprendžio priėmimo metu galiojusią BK 100 straipsnio redakciją ir tuo nėra pažeidžiamas </w:t>
      </w:r>
      <w:r w:rsidRPr="00C00255">
        <w:rPr>
          <w:i/>
          <w:color w:val="000000" w:themeColor="text1"/>
          <w:szCs w:val="24"/>
        </w:rPr>
        <w:t>nullum crimen, nulla poena sine lege</w:t>
      </w:r>
      <w:r w:rsidRPr="00C00255">
        <w:rPr>
          <w:color w:val="000000" w:themeColor="text1"/>
          <w:szCs w:val="24"/>
        </w:rPr>
        <w:t xml:space="preserve"> principas.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Dalis nagrinėjamoje byloje aktualių BK 100 straipsnyje įtvirtintos nusikalstamos veikos sudėties požymių išsamiai aptarti LAT nutartyje baudžiamojoje byloje Nr. 2K-7-1-693/2017. Šioje nutartyje, apibrėždamas konkrečių nusikalstamos veikos požymių turinį, kasacinis teismas rėmėsi tarptautinės teisės aktais bei aktualia tarptautinių teismų praktika. Todėl apeliacinės instancijos teismas pakartotinai nebeanalizuoja kasacinio teismo jau aptartų tarptautinių dokumentų, bet išdėsto esminius jo išaiškinimus dėl atskirų nusikalstamos veikos sudėties požymių.</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Kasacinis teismas pažymėjo, kad šiuolaikinėje tarptautinėje teisėje pripažįstama, jog „</w:t>
      </w:r>
      <w:r w:rsidRPr="00C00255">
        <w:rPr>
          <w:i/>
          <w:color w:val="000000" w:themeColor="text1"/>
          <w:szCs w:val="24"/>
        </w:rPr>
        <w:t>valstybės arba organizacijos politika užpuldinėti civilius</w:t>
      </w:r>
      <w:r w:rsidRPr="00C00255">
        <w:rPr>
          <w:color w:val="000000" w:themeColor="text1"/>
          <w:szCs w:val="24"/>
        </w:rPr>
        <w:t>“ reiškia, kad valstybė arba organizacija aktyviai skatino arba kurstė tokį elgesį, kaip civilių gyventojų užpuolimas. Politika, kuriai esant civiliai gyventojai yra užpuolimo objektas, yra ir valstybės arba organizacijos veikla. Išimtinėmis aplinkybėmis tokia politika gali pasireikšti tyčiniu neveikimu, kuriuo sąmoningai siekiama kurstyti civilių užpuolimą, tačiau apie tokios politikos vykdymą negali būti sprendžiama tik pagal tai, kad vyriausybė ar organizacija neatliko jokių veiksmų. Valstybės politika nebūtinai turi būti aiškiai apibrėžta, formalizuota ar suformuota aukščiausiu valstybės aparato lygmeniu, pakanka ir regiono ar netgi vietos savivaldos lygio valstybės institucijų. Nereikalaujama įrodyti politiką pagrindžiančio motyvo ar tikslo, nors tai gali turėti įrodomosios reikšmės nustatant politikos buvimą. Išvada dėl politikos užpuldinėti civilius buvimo gali būti padaryta, atsižvelgiant į įvairius veiksnius, kurie, vertinami kartu, leidžia nustatyti, kad tokia politika egzistavo, kadangi valstybė ar organizacija, ketinanti raginti užpuldinėti civilius, palyginti retai priima ir išplatina atitinkamą planą. Tokie veiksniai gali būti tai, kad užpuolimas buvo suplanuotas, nukreiptas ir organizuotas; besikartojantis smurto būdas (modelis); viešų ar privačių išteklių panaudojimas politikai vykdyti; valstybės arba organizacijos organizuojama ar koordinuojama parengiamoji veikla ar mobilizacija; valstybės ar organizacijos pajėgų dalyvavimas darant nusikaltimus; valstybei ar organizacijai priskirtini pareiškimai, instrukcijos ar dokumentai, kuriuose toleruojamas (pateisinamas) nusikaltimų padarymas ar raginama juos daryti; politiką pagrindžianti motyvacija. Vertinant politikos požymio buvimą, svarbu atsižvelgti į bendras istorines aplinkybes ir politinį kontekstą, kuriame padaryti nusikaltimai; autonominių politinių ar (ir) karinių struktūrų įsteigimą ir veikimą konkrečioje teritorijoje; bendrąjį politinės programos turinį, kurį gali atskleisti atitinkamų asmenų raštai ir kalbos; žiniasklaidos propagandą; ginkluotųjų pajėgų mobilizavimą; laiko ir geografiniu atžvilgiu besikartojančias karines atakas; ryšius tarp karinės hierarchijos ir politinių struktūrų; smurto mastą; nekarinės paskirties objektų sunaikinimą (LAT nutartis baudžiamojoje byloje Nr. 2K-7-1-693/2017). Taigi valstybės ar organizacijos politikos vykdymo ar rėmimo požymis reiškia, kad BK 100 straipsnyje įvardintos veikos yra padaromos ne kaip konkretaus asmens savarankiškos pasaulėžiūros išdava, bet kaip bendros valstybės ar organizacijos politikos dideliu mastu ar sistemingai užpuldinėti civilius dalis.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
          <w:color w:val="000000" w:themeColor="text1"/>
          <w:szCs w:val="24"/>
        </w:rPr>
        <w:t>Dėl užpuolimo, nukreipto prieš civilius gyventojus</w:t>
      </w:r>
      <w:r w:rsidRPr="00C00255">
        <w:rPr>
          <w:iCs/>
          <w:color w:val="000000" w:themeColor="text1"/>
          <w:szCs w:val="24"/>
        </w:rPr>
        <w:t>, požymio</w:t>
      </w:r>
      <w:r w:rsidRPr="00C00255">
        <w:rPr>
          <w:color w:val="000000" w:themeColor="text1"/>
          <w:szCs w:val="24"/>
        </w:rPr>
        <w:t xml:space="preserve"> kasacinis teismas pažymėjo, kad užpuolimas apibrėžiamas kaip elgesys, susijęs su smurtiniais veiksmais; užpuolimas neapsiriboja ginkluotos jėgos panaudojimu, ir gali apimti situacijas, kuriose su civiliais gyventojais kitaip netinkamai elgiamasi. Romos statute šis apibrėžimas konkretizuotas bei susietas su politikos požymiu. Pagal Statuto 7 straipsnio 2 dalies a punktą „civilių užpuldinėjimas“ (užpuolimas, nukreiptas prieš bet kokius civilius gyventojus) – tai daugybinės šio straipsnio 1 dalyje nurodytos veikos bet kokių civilių atžvilgiu, kai yra vykdoma ar remiama valstybės arba organizacijos politika užpuldinėti civilius. Užpuolimas turi būti nukreiptas prieš bet kokius (t. y. bet kokiai valstybei priklausančius) civilius gyventojus.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
          <w:color w:val="000000" w:themeColor="text1"/>
          <w:szCs w:val="24"/>
        </w:rPr>
        <w:t>Civilių (civilių gyventojų) sąvoka</w:t>
      </w:r>
      <w:r w:rsidRPr="00C00255">
        <w:rPr>
          <w:iCs/>
          <w:color w:val="000000" w:themeColor="text1"/>
          <w:szCs w:val="24"/>
        </w:rPr>
        <w:t xml:space="preserve"> nusikaltimų žmoniškumui kontekste tarptautinėje teisėje nėra apibrėžta. Ši sąvoka susiformavo</w:t>
      </w:r>
      <w:r w:rsidRPr="00C00255">
        <w:rPr>
          <w:color w:val="000000" w:themeColor="text1"/>
          <w:szCs w:val="24"/>
        </w:rPr>
        <w:t xml:space="preserve"> tarptautinėje karo teisėje, kurioje civiliai apibrėžiami priešingai negu kombatantai. Klasikiniai kombatantų požymiai įtvirtinti 1907 m. spalio 18 d. Hagos konvencijos dėl karo sausumoje įstatymų ir papročių reglamento 1 straipsnyje, pagal kurį karo įstatymai, teisės ir pareigos taikomi ne tik armijoms, bet taip pat nereguliariosioms pajėgoms ir savanorių korpusams, atitinkantiems šias sąlygas: 1) būti vadovaujamiems asmens, atsakingo už savo pavaldinius; 2) turėti nustatytą skiriamąjį simbolį, atpažįstamą iš atstumo; 3) atvirai nešioti ginklus; 4) vykdyti operacijas pagal karo įstatymus ir papročius. Taigi asmenys, nepriskiriami kombatantams, turėtų būti laikomi civiliais.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Pagal Ženevos konvencijų 1977 m. I papildomo protokolo 50 straipsnio 1 dalį, civilis yra bet kuris asmuo, nepriklausantis nė vienai kategorijai asmenų, nurodytų Trečiosios Ženevos konvencijos 4 straipsnio A. 1, A. 2, A. 3 ir A. 6 punktuose ir šio protokolo 43 straipsnyje, t. y. nepriklausantis konflikto šalies ginkluotųjų pajėgų ar į jų sudėtį įeinančių savigynos ir savanorių būrių nariams; organizuoto pasipriešinimo judėjimų nariams; neokupuotos šalies gyventojams, kurie priešui artėjant stichiškai griebiasi ginklų ir kt. Ženevos konvencijų 1977 m. I papildomo protokolo 50 straipsnyje įtvirtinta, kad, jei abejojama, ar asmuo yra civilis, jis laikomas civiliu; civilius gyventojus sudaro visi civiliai asmenys, o pavienių asmenų, nelaikomų civiliais, buvimas tarp civilių gyventojų netrukdo pastarųjų laikyti civiliais gyventojais.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Ženevos konvencijų 1977 m. I papildomo protokolo 43 straipsnio (Ginkluotosios pajėgos) 1 dalyje nustatyta, kad konflikto šalies ginkluotąsias pajėgas sudaro visos organizuotos ginkluotosios pajėgos, grupės ir daliniai, kuriems vadovauja asmuo, atsakingas šaliai už savo pavaldinių elgesį, net jei tai šaliai atstovauja vyriausybė ir valdžia, kurios nepripažįsta priešiška šalis. Tokios ginkluotosios pajėgos paklūsta vidaus disciplinos sistemai, kuri, </w:t>
      </w:r>
      <w:r w:rsidRPr="00C00255">
        <w:rPr>
          <w:i/>
          <w:color w:val="000000" w:themeColor="text1"/>
          <w:szCs w:val="24"/>
        </w:rPr>
        <w:t>inter alia</w:t>
      </w:r>
      <w:r w:rsidRPr="00C00255">
        <w:rPr>
          <w:color w:val="000000" w:themeColor="text1"/>
          <w:szCs w:val="24"/>
        </w:rPr>
        <w:t>, privalo užtikrinti tarptautinės teisės normų, taikomų ginkluotų konfliktų metu, laikymąsi. Pagal šio straipsnio 2 dalį konflikto šalies ginkluotųjų pajėgų nariai (išskyrus medicinos ir religinį personalą) yra kombatantai, t. y. turi teisę tiesiogiai dalyvauti karo veiksmuose. Pagal šio straipsnio 3 dalį, konflikto šalis, įtraukusi į savo ginkluotąsias pajėgas paramilitarinę ar ginkluotą teisėsaugos organizaciją, kiekvieną kartą apie tai informuoja kitas konflikto šalis.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Taigi civilių sąvoka karo nusikaltimų kontekste yra išsamiai apibrėžta, bet nusikaltimų žmoniškumui kontekste tarptautinėje teisėje ši sąvoka nėra kodifikuota. Visgi, atsižvelgęs į tarptautinių teismų praktiką, kasacinis teismas pažymėjo, kad civilių sąvokos aiškinimas nusikaltimų žmoniškumui prasme iš esmės yra grindžiamas tarptautinėje humanitarinėje teisėje susiformavusiu apibrėžimu, kadangi Ženevos konvencijų I papildomame protokole įtvirtinti civilių ir civilių gyventojų apibrėžimai gali būti traktuojami kaip atspindintys paprotinę teisę. Taigi darytina išvada, kad ir nusikaltimų žmoniškumui kontekste civilis yra asmuo, kuris nėra ginkluotųjų pajėgų narys. Taip pat kasacinės instancijos teismas pažymėjo, kad, vadovaujantis tarptautinės teisės nuostatomis, neginkluoti valstybės civilinių tarnybų pareigūnai, taip pat ginkluotų teisėsaugos institucijų, neįtrauktų į valstybės ginkluotąsias pajėgas ir faktiškai nedalyvaujančių kariniuose veiksmuose, pareigūnai, kurie laikomi civiliais pagal tarptautinę humanitarinę teisę, nusikaltimų žmoniškumui (šiuo atveju – BK 100 straipsnio) prasme taip pat vertintini kaip civiliai (detaliau žr. LAT nutartį baudžiamojoje byloje Nr. 2K-7-1-693/2017).</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Dėl kito BK 100 straipsnyje įtvirtinto nusikaltimo sudėties požymio – </w:t>
      </w:r>
      <w:r w:rsidRPr="00C00255">
        <w:rPr>
          <w:i/>
          <w:color w:val="000000" w:themeColor="text1"/>
          <w:szCs w:val="24"/>
        </w:rPr>
        <w:t>užpuolimo,</w:t>
      </w:r>
      <w:r w:rsidRPr="00C00255">
        <w:rPr>
          <w:color w:val="000000" w:themeColor="text1"/>
          <w:szCs w:val="24"/>
        </w:rPr>
        <w:t xml:space="preserve"> kasacinis teismas nurodė, kad užpuolimas yra nukreiptas prieš civilius gyventojus tada, kai civiliai gyventojai yra pagrindinis, o ne atsitiktinis užpuolimo taikinys. Sąvokos „gyventojai“ vartojimas nereiškia, kad turi būti užpulti (nukentėti) visi geografinio vieneto (atitinkamos valstybės ar teritorijos), kur vyksta užpuolimas, gyventojai. Užpuolimo metu pakankamai gyventojų (pakankamas jų skaičius)</w:t>
      </w:r>
      <w:r w:rsidRPr="00C00255">
        <w:t xml:space="preserve"> </w:t>
      </w:r>
      <w:r w:rsidRPr="00C00255">
        <w:rPr>
          <w:color w:val="000000" w:themeColor="text1"/>
          <w:szCs w:val="24"/>
        </w:rPr>
        <w:t>turi būti puolama (pasirinkta kaip taikinys) arba gyventojai turi būti užpulti tokiu būdu, kad būtų pagrindas konstatuoti, jog užpuolimas iš tiesų buvo nukreiptas prieš civilius „gyventojus“, o ne ribotą atsitiktinai parinktų asmenų skaičių. Gyventojų požymis skirtas nurodyti kolektyvinio pobūdžio nusikaltimus, taip atmetant pavienes ar izoliuotas veikas, kurios, nors galbūt ir yra laikomos karo nusikaltimais ar nusikaltimais pagal nacionalinius baudžiamuosius įstatymus, nesiekia nusikaltimų žmoniškumui lygio. Izoliuoti nusikaltimai nepatenka į nusikaltimų žmoniškumui sąvoką. Paprastai tam, kad kriminalinis nusikaltimas, baudžiamas tik pagal vidaus teisę, būtų vertinamas kaip nusikaltimas žmoniškumui, taip tapdamas ir tarptautinės teisės dalyku, būtini sistemingi masiniai veiksmai. Tik nusikaltimai, kurie pagal mastą ar žiaurumą arba didelį skaičių ar dėl to, kad įvairiu laiku ir vietose buvo taikomas tas pats nusikaltimo padarymo būdas, sukėlė pavojų tarptautinei bendruomenei arba šokiravo žmonijos sąžinę, pateisina kitų, nei nusikaltimo padarymo vietos ar aukų, valstybių įsikišimą. Taigi nusikaltimų žmoniškumui atveju akcentuojama ne individuali auka (nukentėjusysis), o labiau kolektyvas (bendruomenė), individualiai aukai nukenčiant ne dėl jos individualių savybių, o daugiau dėl priklausomybės civiliams gyventojams, prieš kuriuos nukreiptas užpuolimas. Ši nuostata reiškia, kad veikos turi būti padaromos dideliu mastu ar sistemingai.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
          <w:color w:val="000000" w:themeColor="text1"/>
          <w:szCs w:val="24"/>
        </w:rPr>
        <w:t>Dėl didelio masto arba sistemingumo</w:t>
      </w:r>
      <w:r w:rsidRPr="00C00255">
        <w:rPr>
          <w:color w:val="000000" w:themeColor="text1"/>
          <w:szCs w:val="24"/>
        </w:rPr>
        <w:t xml:space="preserve"> požymių kasacinis teismas pažymėjo, kad civilių gyventojų užpuldinėjimas nusikaltimų žmoniškumui kontekste turi būti didelio masto arba sistemingas, taigi šie požymiai yra alternatyvūs. Sąvoka „didelis mastas“ reiškia, kad užpuolimas vykdomas plačiu mastu (teritorijos požiūriu) ir prieš didelį nukentėjusiųjų (aukų) skaičių. Nusikaltimo didelį mastą gali nulemti bendras veikų prieš žmoniškumą skaičius arba nepaprastas vienos nežmoniškos veikos (įvykio) sunkumas. Plataus masto užpuolimas prieš civilius gyventojus gali būti apibūdinamas kaip masinis, besikartojantis didelio masto veiksmas (akcija, elgesys), vykdomas kolektyviai ir „pakankamai rimtai“ (sunkumo prasme) bei nukreiptas prieš daugelį aukų. Sąvoka „sistemingas“ atskleidžia organizuotą smurtinių veiksmų pobūdį ir tai, jog jie nebuvo atsitiktiniai. Sistemingumą taip pat rodo „nusikaltimų scenarijus“ – tyčinis ir reguliarus analogiško nusikalstamo elgesio pa(si)kartojimas. Vertinimas, kas yra didelio masto ar sistemingas užpuolimas, yra reliatyvus ir priklauso nuo kiekvienos konkrečios bylos aplinkybių. Atliekant šį vertinimą, gali būti atsižvelgiama į užpuolimo padarinius civiliams gyventojams, kurie buvo užpulti, aukų skaičių, veikų pobūdį, politikų arba valdžios pareigūnų (institucijų) dalyvavimą, nusikaltimų „modelio“ (tam tikro analogiško padarymo būdo) buvimą. Konkretaus kaltininko veika ar veikos, kvalifikuojamos kaip nusikaltimas žmoniškumui, turi būti didelio masto ar sistemingo civilių gyventojų užpuolimo dalis, tačiau nebūtinai padarytos intensyviausioje užpuolimo stadijoje ar savaime prilygstančios užpuolimui. Jei konkreti kaltininkui inkriminuojama veika, dėl kurios jis kaltinamas nusikaltimu žmoniškumui, savaime neprilygsta didelio masto ar sistemingam civilių užpuolimui, turi būti nustatyta, kad toks užpuolimas atitinkamu laikotarpiu vyko, taip pat išsiaiškinta, ar veika yra su juo susijusi (jo dalis). Kaltininko veika pagal pobūdį arba padarinius objektyviai turi būti užpuolimo dalimi (detaliau žr. LAT nutartį baudžiamojoje byloje Nr. 2K-7-1-693/2017). Taigi asmuo gali būti pripažintas kaltu įvykdęs nusikaltimą žmoniškumui net jeigu, pavyzdžiui, dalyvauja darant tik vieną nusikaltimą prieš vieną civilį gyventoją, jei toks nusikaltimas yra nuoseklios tam tikrų asmenų, susijusių su kaltininku, nusikalstamo elgesio sistemos dalis.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Pirmosios instancijos teismas nuosprendyje nurodė, kad kaltinamasis gali būti pripažintas kaltu įvykdęs nusikaltimą žmoniškumui nors ir dalyvauja darant tik vieną nusikaltimą prieš </w:t>
      </w:r>
      <w:r w:rsidRPr="00C00255">
        <w:rPr>
          <w:i/>
          <w:color w:val="000000" w:themeColor="text1"/>
          <w:szCs w:val="24"/>
        </w:rPr>
        <w:t>kelis</w:t>
      </w:r>
      <w:r w:rsidRPr="00C00255">
        <w:rPr>
          <w:color w:val="000000" w:themeColor="text1"/>
          <w:szCs w:val="24"/>
        </w:rPr>
        <w:t xml:space="preserve"> civilius gyventojus, jei toks nusikaltimas yra nuoseklios tam tikrų asmenų, susijusių su kaltininku, nusikalstamo elgesio sistemos dalis ir pateikė nuorodą į Tarptautinio Baudžiamojo Teismo 2016 m. kovo 21 d. nuosprendį byloje </w:t>
      </w:r>
      <w:r w:rsidRPr="00C00255">
        <w:rPr>
          <w:i/>
          <w:iCs/>
          <w:color w:val="000000" w:themeColor="text1"/>
          <w:szCs w:val="24"/>
        </w:rPr>
        <w:t>Kaltintojas prieš Jean-Pierre Bemba Gombo</w:t>
      </w:r>
      <w:r w:rsidRPr="00C00255">
        <w:rPr>
          <w:color w:val="000000" w:themeColor="text1"/>
          <w:szCs w:val="24"/>
        </w:rPr>
        <w:t xml:space="preserve">, para. 164–165. Tokia pati nuostata dėl būtinumo, kad nusikaltimas būtų padarytas prieš </w:t>
      </w:r>
      <w:r w:rsidRPr="00C00255">
        <w:rPr>
          <w:i/>
          <w:color w:val="000000" w:themeColor="text1"/>
          <w:szCs w:val="24"/>
        </w:rPr>
        <w:t>kelis</w:t>
      </w:r>
      <w:r w:rsidRPr="00C00255">
        <w:rPr>
          <w:iCs/>
          <w:color w:val="000000" w:themeColor="text1"/>
          <w:szCs w:val="24"/>
        </w:rPr>
        <w:t xml:space="preserve"> c</w:t>
      </w:r>
      <w:r w:rsidRPr="00C00255">
        <w:rPr>
          <w:color w:val="000000" w:themeColor="text1"/>
          <w:szCs w:val="24"/>
        </w:rPr>
        <w:t xml:space="preserve">ivilius yra išdėstyta ir minėtos LAT 2017 m. vasario 28 d. nutarties, priimtos baudžiamojoje byloje Nr. </w:t>
      </w:r>
      <w:r w:rsidRPr="00C00255">
        <w:rPr>
          <w:bCs/>
          <w:color w:val="000000" w:themeColor="text1"/>
          <w:szCs w:val="24"/>
        </w:rPr>
        <w:t>2K-7-1-693/2017, 39 punkte.</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bCs/>
          <w:color w:val="000000" w:themeColor="text1"/>
          <w:szCs w:val="24"/>
        </w:rPr>
        <w:t xml:space="preserve">Iš minėtų pirmosios instancijos teismo ir kasacinio teismo atskirų teiginių gali susidaryti klaidingas įspūdis, kad asmuo gali būti pripažintas kaltu </w:t>
      </w:r>
      <w:r w:rsidRPr="00C00255">
        <w:rPr>
          <w:color w:val="000000" w:themeColor="text1"/>
          <w:szCs w:val="24"/>
        </w:rPr>
        <w:t xml:space="preserve">įvykdęs nusikaltimą žmoniškumui tik tada, jei dalyvauja darant nusikaltimą prieš </w:t>
      </w:r>
      <w:r w:rsidRPr="00C00255">
        <w:rPr>
          <w:i/>
          <w:color w:val="000000" w:themeColor="text1"/>
          <w:szCs w:val="24"/>
        </w:rPr>
        <w:t xml:space="preserve">kelis </w:t>
      </w:r>
      <w:r w:rsidRPr="00C00255">
        <w:rPr>
          <w:color w:val="000000" w:themeColor="text1"/>
          <w:szCs w:val="24"/>
        </w:rPr>
        <w:t xml:space="preserve">civilius asmenis. </w:t>
      </w:r>
      <w:r w:rsidRPr="00C00255">
        <w:rPr>
          <w:bCs/>
          <w:color w:val="000000" w:themeColor="text1"/>
          <w:szCs w:val="24"/>
        </w:rPr>
        <w:t xml:space="preserve">Teisėjų kolegija pažymi, kad tiek pirmosios instancijos teismo, tiek ir kasacinio teismo cituotame </w:t>
      </w:r>
      <w:r w:rsidRPr="00C00255">
        <w:rPr>
          <w:color w:val="000000" w:themeColor="text1"/>
          <w:szCs w:val="24"/>
        </w:rPr>
        <w:t xml:space="preserve">Tarptautinio Baudžiamojo Teismo 2016 m. kovo 21 d. nuosprendyje byloje </w:t>
      </w:r>
      <w:r w:rsidRPr="00C00255">
        <w:rPr>
          <w:i/>
          <w:iCs/>
          <w:color w:val="000000" w:themeColor="text1"/>
          <w:szCs w:val="24"/>
        </w:rPr>
        <w:t>Kaltintojas prieš Jean-Pierre Bemba Gombo</w:t>
      </w:r>
      <w:r w:rsidRPr="00C00255">
        <w:rPr>
          <w:color w:val="000000" w:themeColor="text1"/>
          <w:szCs w:val="24"/>
        </w:rPr>
        <w:t xml:space="preserve">, yra aiškiai įtvirtinta nuostata, kad nusikaltimas žmoniškumui bus ir tada, jei asmuo dalyvauja darant nusikaltimą tik prieš </w:t>
      </w:r>
      <w:r w:rsidRPr="00C00255">
        <w:rPr>
          <w:i/>
          <w:color w:val="000000" w:themeColor="text1"/>
          <w:szCs w:val="24"/>
        </w:rPr>
        <w:t>vieną</w:t>
      </w:r>
      <w:r w:rsidRPr="00C00255">
        <w:rPr>
          <w:color w:val="000000" w:themeColor="text1"/>
          <w:szCs w:val="24"/>
        </w:rPr>
        <w:t xml:space="preserve"> civilį asmenį, jei toks nusikaltimas yra didelio masto ar sistemingo civilių užpuldinėjimo dalis. Pavyzdžiui, 87 paragrafe, aprašant nužudymą kaip nusikaltimą žmoniškumui, nurodyta, kad kaltintojas be pagrįstų abejonių turi įrodyti, jog kaltinamasis nužudė ar sukėlė mirtį </w:t>
      </w:r>
      <w:r w:rsidRPr="00C00255">
        <w:rPr>
          <w:i/>
          <w:color w:val="000000" w:themeColor="text1"/>
          <w:szCs w:val="24"/>
        </w:rPr>
        <w:t>vienam ar daugiau</w:t>
      </w:r>
      <w:r w:rsidRPr="00C00255">
        <w:rPr>
          <w:color w:val="000000" w:themeColor="text1"/>
          <w:szCs w:val="24"/>
        </w:rPr>
        <w:t xml:space="preserve"> asmenų (angl. </w:t>
      </w:r>
      <w:r w:rsidRPr="00C00255">
        <w:rPr>
          <w:i/>
          <w:color w:val="000000" w:themeColor="text1"/>
          <w:szCs w:val="24"/>
        </w:rPr>
        <w:t xml:space="preserve">the prosecution must prove beyond reasonable doubt that a perpetrator killed or caused the death of </w:t>
      </w:r>
      <w:r w:rsidRPr="00C00255">
        <w:rPr>
          <w:bCs/>
          <w:i/>
          <w:color w:val="000000" w:themeColor="text1"/>
          <w:szCs w:val="24"/>
        </w:rPr>
        <w:t>one or more</w:t>
      </w:r>
      <w:r w:rsidRPr="00C00255">
        <w:rPr>
          <w:i/>
          <w:color w:val="000000" w:themeColor="text1"/>
          <w:szCs w:val="24"/>
        </w:rPr>
        <w:t xml:space="preserve"> persons</w:t>
      </w:r>
      <w:r w:rsidRPr="00C00255">
        <w:rPr>
          <w:color w:val="000000" w:themeColor="text1"/>
          <w:szCs w:val="24"/>
        </w:rPr>
        <w:t>). Būtinumas, kad kaltininko veiksmai būtų atlikti kaip didelio masto ar sistemingo civilių užpuldinėjimo dalis yra įtvirtinta minėtos bylos 164 paragrafe.</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Taigi, teisėjų kolegija laikosi Tarptautinio Baudžiamojo Teismo pozicijos, pagal kurią, asmuo gali būti pripažintas kaltu įvykdęs nusikaltimą žmoniškumui, net jeigu dalyvauja darant tik vieną nusikaltimą prieš </w:t>
      </w:r>
      <w:r w:rsidRPr="00C00255">
        <w:rPr>
          <w:i/>
          <w:color w:val="000000" w:themeColor="text1"/>
          <w:szCs w:val="24"/>
        </w:rPr>
        <w:t>vieną</w:t>
      </w:r>
      <w:r w:rsidRPr="00C00255">
        <w:rPr>
          <w:color w:val="000000" w:themeColor="text1"/>
          <w:szCs w:val="24"/>
        </w:rPr>
        <w:t xml:space="preserve"> civilį asmenį, jei toks nusikaltimas yra didelio masto ar sistemingo civilių užpuldinėjimo dalis.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BK 100 straipsnyje įtvirtinti požymiai </w:t>
      </w:r>
      <w:r w:rsidRPr="00C00255">
        <w:rPr>
          <w:i/>
          <w:color w:val="000000" w:themeColor="text1"/>
          <w:szCs w:val="24"/>
        </w:rPr>
        <w:t>žudė, sunkiai sutrikdė sveikatą</w:t>
      </w:r>
      <w:r w:rsidRPr="00C00255">
        <w:rPr>
          <w:color w:val="000000" w:themeColor="text1"/>
          <w:szCs w:val="24"/>
        </w:rPr>
        <w:t xml:space="preserve"> atitinka nusikalstamas veikas, numatytas BK 129 ir 135 straipsniuose, kurių kvalifikavimui būtina nustatyti padarinius, t. y. asmenų mirtį ar sunkų sveikatos sutrikdymą.</w:t>
      </w:r>
      <w:r w:rsidRPr="00C00255">
        <w:t xml:space="preserve"> </w:t>
      </w:r>
      <w:r w:rsidRPr="00C00255">
        <w:rPr>
          <w:color w:val="000000" w:themeColor="text1"/>
          <w:szCs w:val="24"/>
        </w:rPr>
        <w:t>Jau ne kartą šioje teismo procesinio sprendimo dalyje minėtoje kasacinėje nutartyje LAT konstatavo, kad 1991 m. veikos prieš civilius gyventojus, be kita ko, civilių gyventojų žudymas, kuris yra didelio masto arba sistemingo civilių gyventojų užpuolimo dalis (taip pat tais atvejais, kai toks užpuolimas rengiamas vykdant ar remiant valstybės politiką), nesvarbu, ginkluoto konflikto ar taikos metu, tarptautinėje teisėje buvo aiškiai apibrėžtos kaip nusikaltimai žmoniškumui. Tai, kad civilių asmenų žudymas aiškiai buvo pripažintas nusikaltimu žmoniškumui 1945</w:t>
      </w:r>
      <w:r>
        <w:rPr>
          <w:color w:val="000000" w:themeColor="text1"/>
          <w:szCs w:val="24"/>
        </w:rPr>
        <w:t> </w:t>
      </w:r>
      <w:r w:rsidRPr="00C00255">
        <w:rPr>
          <w:color w:val="000000" w:themeColor="text1"/>
          <w:szCs w:val="24"/>
        </w:rPr>
        <w:t xml:space="preserve">m. Niurnbergo tribunolo statuto 6 straipsnyje, savo praktikoje yra konstatavęs ir EŽTT (pvz., 2006 m. sausio 24 d. sprendimas byloje </w:t>
      </w:r>
      <w:r w:rsidRPr="00C00255">
        <w:rPr>
          <w:i/>
          <w:color w:val="000000" w:themeColor="text1"/>
          <w:szCs w:val="24"/>
        </w:rPr>
        <w:t>Penart prieš Estiją</w:t>
      </w:r>
      <w:r w:rsidRPr="00C00255">
        <w:rPr>
          <w:color w:val="000000" w:themeColor="text1"/>
          <w:szCs w:val="24"/>
        </w:rPr>
        <w:t xml:space="preserve">, peticijos Nr. 14685/06, 2008 m. rugsėjo 19 d. sprendimas byloje </w:t>
      </w:r>
      <w:r w:rsidRPr="00C00255">
        <w:rPr>
          <w:i/>
          <w:color w:val="000000" w:themeColor="text1"/>
          <w:szCs w:val="24"/>
        </w:rPr>
        <w:t>Korbely prieš Vengriją</w:t>
      </w:r>
      <w:r w:rsidRPr="00C00255">
        <w:rPr>
          <w:color w:val="000000" w:themeColor="text1"/>
          <w:szCs w:val="24"/>
        </w:rPr>
        <w:t>, peticijos Nr. 9174/02).</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Kitas šioje byloje aktualus BK</w:t>
      </w:r>
      <w:r w:rsidRPr="00C00255">
        <w:rPr>
          <w:b/>
          <w:color w:val="000000" w:themeColor="text1"/>
          <w:szCs w:val="24"/>
        </w:rPr>
        <w:t xml:space="preserve"> </w:t>
      </w:r>
      <w:r w:rsidRPr="00C00255">
        <w:rPr>
          <w:color w:val="000000" w:themeColor="text1"/>
          <w:szCs w:val="24"/>
        </w:rPr>
        <w:t xml:space="preserve">100 straipsnyje įtvirtintos nusikalstamos veikos sudėties požymis – </w:t>
      </w:r>
      <w:r w:rsidRPr="00C00255">
        <w:rPr>
          <w:i/>
          <w:color w:val="000000" w:themeColor="text1"/>
          <w:szCs w:val="24"/>
        </w:rPr>
        <w:t>kurios nors žmonių grupės ar bendrijos persekiojimas dėl politinių ar nacionalinių motyvų</w:t>
      </w:r>
      <w:r w:rsidRPr="00C00255">
        <w:rPr>
          <w:color w:val="000000" w:themeColor="text1"/>
          <w:szCs w:val="24"/>
        </w:rPr>
        <w:t>, LAT nutartyje, priimtoje baudžiamojoje byloje Nr. 2K-7-1-693/2017, nebuvo analizuotas. Savo ruožtu teisėjų kolegija pabrėžia, kad doktrinoje kurios nors žmonių grupės ar bendrijos persekiojimas yra įvardijamas kaip tam tikrų žmogaus teisių ar laisvių atėmimas arba rimtas apribojimas, prieštaraujantis tarptautinei teisei. Žmonių grupės ar bendrijos persekiojimas gali pasireikšti, atimant arba ribojant bet kurias žmogaus politines, ekonomines, socialines ir panašias teises ar laisves, be tarptautinėje teisėje leidžiamo pagrindo, pavyzdžiui, atimant pasyviąją rinkimų teisę, draudžiant vartoti gimtąją kalbą, ribojant teisę kreiptis į teismą ir kt. Politinių motyvų požymis reiškia, kad asmenys yra persekiojami dėl jų politinių pažiūrų, įsitikinimų, vidinių nuostatų. Nacionalinių motyvų požymis reiškia, kad asmenys yra persekiojami dėl jų priklausymo tam tikrai nacijai (tautai), t. y. istoriškai susiklosčiusiai žmonių bendrijai, susidariusiai bendros kalbos, teritorijos, ekonominio gyvenimo, kultūros, tradicijų, psichinės sandaros ir kitų ypatybių bendrumo pagrindu. LAT yra konstatavęs, kad nacionaline grupe laikytina istoriškai susiformavusi žmonių bendrija, priklausanti tam tikrai nacijai (tautai), susidariusi kalbos, teritorijos, socialinio-ekonominio gyvenimo, kultūros, nacionalinės savimonės ir kitų ypatybių bendrumo pagrindu (LAT nutartis baudžiamojoje byloje Nr. 2K-P-18-648/2016).</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Dėl BK 100 straipsnyje numatyto </w:t>
      </w:r>
      <w:r w:rsidRPr="00C00255">
        <w:rPr>
          <w:i/>
          <w:color w:val="000000" w:themeColor="text1"/>
          <w:szCs w:val="24"/>
        </w:rPr>
        <w:t>nusikaltimo subjekto</w:t>
      </w:r>
      <w:r w:rsidRPr="00C00255">
        <w:rPr>
          <w:iCs/>
          <w:color w:val="000000" w:themeColor="text1"/>
          <w:szCs w:val="24"/>
        </w:rPr>
        <w:t xml:space="preserve"> kasacinis teismas nurodė, kad pagal BK 100 straipsnį už tarptautinės teisės draudžiamą</w:t>
      </w:r>
      <w:r w:rsidRPr="00C00255">
        <w:rPr>
          <w:color w:val="000000" w:themeColor="text1"/>
          <w:szCs w:val="24"/>
        </w:rPr>
        <w:t xml:space="preserve"> elgesį su žmonėmis atsako tas, kas tyčia, vykdydamas ar remdamas valstybės ar organizacijos politiką dideliu mastu arba sistemingai užpuldinėti civilius, darė šiame straipsnyje nurodytas veikas ar bent vieną iš jų. Nusikaltimų žmoniškumui subjekto specialiuosius požymius lemia tam tikras asmens ryšys su valstybe ar organizacija, kurios politiką jis įgyvendina, darydamas konkrečias veikas žmoniškumui. Pagal tarptautinę teisę nusikaltimų žmoniškumui subjektais gali būti tiek asmenys, einantys oficialias aukštas pareigas (pavyzdžiui, valstybės vadovas, kiti aukšti pareigūnai), kurie formuoja valstybės ar organizacijos politiką, tiek eiliniai valstybės pareigūnai (pvz., jos organizacijų nariai ir kt.) ar pavieniai asmenys, veikiantys pagal valstybės pareigūnų įsakymą arba faktiškai veikiantys pagal nusikalstamos politikos reikalavimus – darantys konkrečias veikas žmoniškumui, dalyvaudami didelio masto ar sistemingame civilių užpuolime.</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Dėl BK 100 straipsnyje numatyto nusikaltimo </w:t>
      </w:r>
      <w:r w:rsidRPr="00C00255">
        <w:rPr>
          <w:i/>
          <w:color w:val="000000" w:themeColor="text1"/>
          <w:szCs w:val="24"/>
        </w:rPr>
        <w:t>subjektyviojo požymio – kaltės –</w:t>
      </w:r>
      <w:r w:rsidRPr="00C00255">
        <w:rPr>
          <w:color w:val="000000" w:themeColor="text1"/>
          <w:szCs w:val="24"/>
        </w:rPr>
        <w:t xml:space="preserve"> pažymėtina, kad pagal BK 100 straipsnį asmuo atsako tik tuo atveju, jeigu nustatyta jo tiesioginė tyčia veikti prieš civilius, vykdant valstybės politiką dideliu mastu ar sistemingai juos užpuldinėti, ir tai, kad jis žinojo (suvokė) apie didelio masto ar sistemingą užpuolimą, nukreiptą prieš civilius gyventojus, ir apie tai, kad jo veika yra susijusi su šiuo užpuolimu (yra jo dalis). Pagal BK 15 straipsnio 2 dalies nuostatas, nusikaltimas yra padarytas tiesiogine tyčia, jeigu jį darydamas asmuo suvokė pavojingą nusikalstamos veikos pobūdį ir norėjo taip veikti arba jį darydamas asmuo suvokė pavojingą nusikalstamos veikos pobūdį, numatė, kad dėl jo veikimo ar neveikimo gali atsirasti šiame kodekse numatyti padariniai, ir jų norėjo. Kaltės turinys atskleidžiamas ne vien išsiaiškinimu, kaip kaltininkas suvokė bei įvertino savo daromų veiksmų ar neveikimo pobūdį, padarinius, kokios paskatos nulėmė nusikalstamos veikos padarymą ir kokių padarinių šia veika buvo siekiama. Kaltės formą, rūšį, jos turinį – subjektyviuosius (vidinius – psichinius) nusikalstamos veikos požymius, be nurodytų aplinkybių, atskleidžia ir išoriniai (objektyvieji) nusikalstamos veikos požymiai: atlikti veiksmai, jų pobūdis, intensyvumas, būdas, situacija, kuriai esant šie veiksmai buvo padaryti, ir pan. Taigi visi aktualūs ir šioje dalyje aptarti BK 100 straipsnyje numatyto nusikaltimo žmoniškumui sudėties požymiai 1991 m. buvo aiškiai ir numatomai apibrėžti tarptautinėje teisėje, todėl nagrinėjamoje baudžiamojoje byloje gali būti sprendžiamas klausimas dėl nuteistųjų patraukimo baudžiamojon atsakomybėn pagal BK 100 straipsnį. </w:t>
      </w:r>
    </w:p>
    <w:p w:rsidR="00DA38E9" w:rsidRPr="00C00255" w:rsidRDefault="00DA38E9" w:rsidP="00DA38E9">
      <w:pPr>
        <w:pStyle w:val="Heading3"/>
        <w:ind w:left="992"/>
        <w:jc w:val="both"/>
        <w:rPr>
          <w:b w:val="0"/>
          <w:i/>
          <w:sz w:val="24"/>
          <w:lang w:val="lt-LT"/>
        </w:rPr>
      </w:pPr>
      <w:bookmarkStart w:id="801" w:name="_Toc66718298"/>
      <w:bookmarkStart w:id="802" w:name="_Toc67677421"/>
      <w:bookmarkStart w:id="803" w:name="_Toc67985549"/>
      <w:r w:rsidRPr="00C00255">
        <w:rPr>
          <w:b w:val="0"/>
          <w:i/>
          <w:sz w:val="24"/>
          <w:lang w:val="lt-LT"/>
        </w:rPr>
        <w:t>Dėl BK 100 straipsnyje įtvirtintos nusikalstamos veikos sudėties požymių konstatavimo nuteistųjų veikose</w:t>
      </w:r>
      <w:bookmarkEnd w:id="801"/>
      <w:bookmarkEnd w:id="802"/>
      <w:bookmarkEnd w:id="803"/>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Teisėjų kolegija neabejoja, kad šioje byloje nuteisti asmenys savo veikomis realizavo aptartus BK 100 straipsnyje įtvirtinto nusikaltimo sudėties požymius. Prieš pradedant analizuoti konkrečius aptariamo nusikaltimo požymius ir tai, kaip konkrečiai jie pasireiškė nuteistųjų veikose, būtina pabrėžti, kad 1991 m. įvykių metu nuteistieji veikė koordinuotai ir bendrai (veikė pagal operacijos planavimo grupės ir vadovavimo operacijai štabo planą, užimant objektus kariškių veiksmai buvo koordinuojami ir kontroliuojami aukšto rango karininkų ir pan.), siekdami to paties vieno tikslo, ir kiekvieno iš nuteistųjų veiksmai, nepriklausomai nuo jų atlikimo laiko ir konkrečios vykdytos funkcijos (</w:t>
      </w:r>
      <w:r w:rsidRPr="00C00255">
        <w:rPr>
          <w:szCs w:val="24"/>
        </w:rPr>
        <w:t>tai aptarta analizuojant konkrečių nuteistųjų vaidmenį atskiruose epizoduose)</w:t>
      </w:r>
      <w:r w:rsidRPr="00C00255">
        <w:rPr>
          <w:color w:val="000000" w:themeColor="text1"/>
          <w:szCs w:val="24"/>
        </w:rPr>
        <w:t>, buvo būtini nusikalstamo plano įgyvendinimui (dėl nuteistiesiems inkriminuotos bendrininkavimo formos bus pasisakyta atskirai kitoje šio procesinio sprendimo dalyje). Šios aplinkybės itin svarbios konstatuojant, jog visi kartu ir tuo pačiu kiekvienas atskirai šioje byloje baudžiamojon atsakomybėn traukiamas asmuo, veikdami bendrai, realizavo aptariamo nusikaltimo žmoniškumui sudėties požymius.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iCs/>
          <w:szCs w:val="24"/>
        </w:rPr>
      </w:pPr>
      <w:r w:rsidRPr="00C00255">
        <w:rPr>
          <w:color w:val="000000" w:themeColor="text1"/>
          <w:szCs w:val="24"/>
        </w:rPr>
        <w:t>Kaip jau minėta, nagrinėjamoje byloje aktualūs šie BK 100 straipsnyje įtvirtinto nusikaltimo sudėties požymiai – „</w:t>
      </w:r>
      <w:r w:rsidRPr="00C00255">
        <w:rPr>
          <w:i/>
          <w:szCs w:val="24"/>
        </w:rPr>
        <w:t>tyčia, vykdydamas ar remdamas valstybės ar organizacijos politiką dideliu mastu arba sistemingai užpuldinėti civilius, juos žudė arba sunkiai sutrikdė jų sveikatą, persekiojo kurią nors žmonių grupę ar bendriją dėl politinių ir nacionalinių motyvų</w:t>
      </w:r>
      <w:r w:rsidRPr="00C00255">
        <w:rPr>
          <w:iCs/>
          <w:szCs w:val="24"/>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Pirmiausia, teisėjų kolegijai nekyla abejonių, kad nuteistieji </w:t>
      </w:r>
      <w:r w:rsidRPr="00C00255">
        <w:rPr>
          <w:i/>
          <w:color w:val="000000" w:themeColor="text1"/>
          <w:szCs w:val="24"/>
        </w:rPr>
        <w:t>vykdė bei rėmė</w:t>
      </w:r>
      <w:r w:rsidRPr="00C00255">
        <w:rPr>
          <w:color w:val="000000" w:themeColor="text1"/>
          <w:szCs w:val="24"/>
        </w:rPr>
        <w:t xml:space="preserve"> </w:t>
      </w:r>
      <w:r w:rsidRPr="00C00255">
        <w:rPr>
          <w:i/>
          <w:color w:val="000000" w:themeColor="text1"/>
          <w:szCs w:val="24"/>
        </w:rPr>
        <w:t>valstybės ir jos organizacijos politiką dideliu mastu arba sistemingai užpuldinėti civilius</w:t>
      </w:r>
      <w:r w:rsidRPr="00C00255">
        <w:rPr>
          <w:color w:val="000000" w:themeColor="text1"/>
          <w:szCs w:val="24"/>
        </w:rPr>
        <w:t xml:space="preserve">. Apeliacinės instancijos teismas, įvertinęs 1991 m. įvykių aplinkybes, jau konstatavo, kad nuteistieji veikė bendrai ir įgyvendino TSRS ir TSKP politiką, kurios galutinis tikslas buvo grąžinti Lietuvą į TSRS sudėtį. Iš šiame sprendime jau aptarto istorinio ir politinio 1991 m. sausio įvykių konteksto matyti, kad šioje byloje nagrinėjami 1991 m. įvykiai ir karinės jėgos panaudojimas buvo dar viena priemonė, kurios TSRS ėmėsi, kai kitos priemonės pasirodė nepakankamos šiam politiniam tikslui pasiekti. Po 1990 m. kovo 11 d. Nepriklausomybės Akto paskelbimo, TSRS valdžia, siekdama sugrąžinti Lietuvą į savo sudėtį, Lietuvos atžvilgiu taikė ir kitas priemones (pvz., vykdė ekonominę blokadą, taikė diplomatinį spaudimą ir pan.), o galiausiai perėjo prie aktyvių karinių veiksmų. 1991 m. sausio įvykiai, kuriuose dalyvavo ir šioje byloje kaltinami asmenys, buvo visų iki tol Lietuvos Respublikos valdžios institucijų bei piliečių atžvilgiu TSRS taikytų spaudimo priemonių kulminacija, kai, siekiant Lietuvą sugrąžinti į TSRS sudėtį, buvo įkurtas vadovavimo karinei operacijai štabas, mobilizuotos Lietuvos Respublikos teritorijoje buvusios ir dislokuotos papildomos TSRS ginkluotosios karinės pajėgos, kurios, panaudodamos jėgą prieš civilius gyventojus, užėmė strateginius Lietuvos valstybės objektus, įvedė komendanto valandą ir pan. Taigi, istorinis ir politinis įvykių kontekstas neleidžia abejoti, jog nuteistieji vykdė bei rėmė valstybės (TSRS) ir tuo pačiu jos organizacijos (TSKP) politiką sugrąžinti Lietuvą į TSRS sudėtį, tuo pačiu remdami ir vykdydami politiką dideliu mastu ir sistemingai užpuldinėti civilius.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Aplinkybę, kad nuteistieji bendrais ir koordinuotais veiksmais rėmė ir vykdė politiką dideliu mastu ir sistemingai užpuldinėti civilius gyventojus, atskleidžia byloje nustatytos faktinės aplinkybės ir bendras šioje byloje nagrinėjamų įvykių kontekstas. Bylos duomenimis dar iki Spaudos rūmų užėmimo 1991 m. sausio 11 d., Vilniuje vyko įvairios civilių gyventojų akcijos, mitingai. Dėl to vadovavimo operacijai štabas numatė, kad prie planuojamų užimti strateginių objektų gali būti civilių ir tam buvo ruošiamasi (kariškiai buvo instruktuojami kaip veikti susidūrus su minia, nuspręsta kokias priemones naudoti vietoje ir pan.). Kaip vieną iš tiesioginio prezidentinio valdymo įvedimo plano dalių numačius ir komendanto valandos įvedimą Vilniuje ir jo apylinkėse, taip pat buvo ruošiamasi veikti ir prieš civilius, be kita ko, ruošiantis užkirsti kelią bet kokiems civilių protestams ir pasipriešinimui. Tai, kad užpuolimas buvo nukreiptas prieš Lietuvos civilius gyventojus ir kad jis buvo sistemingas, patvirtina ir faktas, kad užimant atskirus objektus, skirtingu laiku ir skirtingose Vilniaus vietose taikytas iš esmės tas pats veikimo būdas, veikiant prieš objektuose ir šalia jų buvusius civilius. TSRS ginkluotosios pajėgos jau sausio 11 d., užimdamos Spaudos rūmus, susidūrė su neginkluotais civiliais, kurie sudarė kliūtį objekto užėmimui, ir prieš juos panaudojo jėgą bei kovines priemones. Nepaisant tokio neginkluotų civilių pasipriešinimo įveikimo, panaudojant pavojingą karinę techniką bei kovinius šaunamuosius ginklus, ir turint duomenų apie civiliams Spaudos rūmų šturmo metu padarytus sužalojimus, sausio 12–13 d. naktį dar gausesnės TSRS karinės pajėgos kartu su draugovininkais ėmėsi vykdyti iš esmės analogiškus, bet savo pobūdžiu dar didesnio masto ir dar pavojingesnius LRT ir TV bokšto užėmimo veiksmus (apie tai patvirtina vien civilių žūties prie šių objektų faktas). Prie kiekvieno iš šių objektų, lyginant su įvykiais prie Spaudos rūmų, susirinko dar didesnė – daugiatūkstantinė neginkluotų civilių minia, apie kurią kariškiai neabejotinai žinojo. Taigi akivaizdu, kad TSRS ir TSKP politika buvo susijusi ir su sistemingu civilių užpuldinėjimu (t. y. ne vienkartiniu puolimu), o vadovavimo operacijai štabo nariai, TSRS karinės pajėgos ir draugovininkai tokią politiką vykdė bei rėmė. Be to, net ir vertinant kiekvieno iš objektų puolimą atskirai, atsižvelgiant į byloje nustatytas aplinkybes dėl minėtuose puolimuose dalyvavusios karinės technikos bei kariškių skaičiaus, dėl naudotos karinės technikos bei ginklų pavojingumo, darytina išvada, kad kiekvieno objekto puolimas buvo didelio masto ir nukreiptas prieš civilius, o tokio puolimo rėmimas ar vykdymas, esant kitiems BK 100 straipsnyje įtvirtintiems objektyviesiems požymiams, užtraukia baudžiamąją atsakomybę pagal šį BK straipsnį.</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Didelį civilių užpuldinėjimo mastą pagrindžia ir byloje nustatytas didelis aukų (nukentėjusiųjų) skaičius. Byloje įrodyta, kad joje minimų objektų puolimo metu ir vykdant komendanto valandą bendrais nuteistųjų veiksmais buvo nužudyta keturiolika civilių ir šimtai civilių patyrė įvairaus masto sveikatos sužalojimus. Užpuldinėjimų sistemingumas ir didelis mastas atsiskleidžia įvykius vertinant ir teritoriniu požiūriu. Teisėjų kolegija pažymi, kad TSRS ginkluotosios pajėgos užėmė objektus ne tik Vilniuje, bet ir kituose miestuose – pavyzdžiui, Prienuose, Alytuje (nors su tuo susiję veiksmai byloje nebuvo laikomi karo nusikaltimais ar nusikaltimais žmoniškumui, bet atskleidžia bendrą TSRS ir jos organizacijų prieš Lietuvą vykdytos operacijos mastą). Be to, jau po objektų užėmimo sausio 13-osios naktį, Vilniuje ir jo apylinkėse buvo įvesta bei įgyvendinta komendanto valanda, kurios metu varžytas šios teritorijos gyventojų laisvas judėjimas ir veiksmų laisvė – kariškiai, pasitelkę kovinę techniką ir kovinius ginklus, vykdė neteisėtą patruliavimą, stabdė ir tikrino automobilius, neteisėtai sulaikinėjo civilius, naudojo prieš juos fizinį smurtą, kas, pagal byloje inkriminuotas aplinkybes, nulėmė, jog vienas civilis buvo nužudytas ir vienam civiliui sunkiai sutrikdyta sveikata. Taigi esant išdėstytoms aplinkybėms, konstatuotina, kad </w:t>
      </w:r>
      <w:r w:rsidRPr="00C00255">
        <w:rPr>
          <w:rFonts w:eastAsiaTheme="majorEastAsia"/>
          <w:bCs/>
          <w:szCs w:val="24"/>
        </w:rPr>
        <w:t xml:space="preserve">nuteistieji, veikdami bendrai ir koordinuotai, neabejotinai rėmė ir vykdė TSRS ir TSKP politiką dideliu mastu ir sistemingai užpuldinėti civilius gyventojus.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Analizuodama atskirų objektų užėmimo 1991 m. sausio 11–13 d. aplinkybes, teisėjų kolegija jau aptarė ir atmetė apeliantų teiginius, kad prie objektų susirinkę civiliai buvo ginkluoti (argumentus dėl to, kad civiliai nebuvo naudojami kaip „gyvasis skydas“, teisėjų kolegija pateiks kitoje šio procesinio sprendimo dalyje). Kitaip tariant, byloje nustatyta, kad prie minėtų pultų objektų šioje byloje nagrinėjamų įvykių metu buvo susirinkę neginkluoti civiliai, neturėję kombatantų statuso (apie šį statusą taip pat bus plačiau pasisakyta kitoje šio procesinio sprendimo dalyje). Taigi, pasitvirtino ir dar vienas iš BK 100 straipsnyje įtvirtintų nusikalstamos veikos požymių, t. y. kad nuteistųjų nusikalstami veiksmai buvo nukreipti prieš civilius asmenis.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Teisėjų kolegija pažymi, kad civilių nužudymo ir sunkaus sveikatos sutrikdymo požymis byloje yra įrodytas ir abejonių nekelia. Nuteistiesiems vykdant ir remiant aptartą TSRS ir TSKP politiką, 1991 m. sausio mėn. bendrais nuteistųjų veiksmais buvo nužudyti 14 civilių, o 32 civiliams sunkiai sutrikdyta sveikata (apie kito laipsnio sužalojimus šioje dalyje nekalbama, nes baudžiamąją atsakomybę pagal BK 100 straipsnį užtraukia tik sunkaus laipsnio sveikatos sutrikdymas).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Teisėjų kolegijos įsitikinimu, nuteistųjų veikose pasitvirtino ir</w:t>
      </w:r>
      <w:r w:rsidRPr="00C00255">
        <w:rPr>
          <w:i/>
          <w:color w:val="000000" w:themeColor="text1"/>
          <w:szCs w:val="24"/>
        </w:rPr>
        <w:t xml:space="preserve"> žmonių grupės ar bendrijos persekiojimo dėl politinių ar nacionalinių motyvų </w:t>
      </w:r>
      <w:r w:rsidRPr="00C00255">
        <w:rPr>
          <w:color w:val="000000" w:themeColor="text1"/>
          <w:szCs w:val="24"/>
        </w:rPr>
        <w:t xml:space="preserve">požymis. </w:t>
      </w:r>
      <w:r w:rsidRPr="00C00255">
        <w:rPr>
          <w:szCs w:val="24"/>
        </w:rPr>
        <w:t xml:space="preserve">Apeliacinės instancijos teismo vertinimu, bendrai veikusių nuteistųjų veikomis Lietuvos žmonės buvo persekiojami – t. y. buvo varžomos jų teisės ir laisvės. Beginkliai civiliai, susirinkę prie jėga užimamų objektų, išreiškė savo poziciją dėl siekio išsaugoti nepriklausomą Lietuvos valstybę bei įtemptą padėtį Lietuvoje objektyviai nušviečiančias nepriklausomas žiniasklaidos priemones (taip iš esmės pademonstravo savo politines pažiūras), tačiau prieš juos buvo panaudota ginkluota jėga. Žmonių teisės ir laisvės 1991 m. įvykių metu buvo varžytos/ribotos ir kitais būdais. Bylos duomenimis, užimant LRT ir TV bokšto pastatus, ten dirbę asmenys tam tikrą laiką buvo laikomi objektų patalpose, taip suvaržant jų judėjimo laisvę. Atitinkamai, sausio 13 d. 5.00 val. Vilniuje ir jo apylinkėse įvedus komendanto valandą, kariškiai šioje teritorijoje vykdė asmenų teisių suvaržymus – stabdė ir tikrino automobilius, neteisėtai sulaikė asmenis ir tam tikrą laiką juos laikė izoliuotus. </w:t>
      </w:r>
      <w:r w:rsidRPr="00C00255">
        <w:rPr>
          <w:szCs w:val="24"/>
          <w:lang w:bidi="lt-LT"/>
        </w:rPr>
        <w:t>Patruliavimų metu buvo užpuldinėjami, apšaudomi, žalojami Lietuvos piliečiai, kurie, be kita ko, vengė TSRS karo tarnybos, dirbo Lietuvos Aukščiausiosios Tarybos apsaugos skyriuje, taip pat atkurtos nepriklausomos Lietuvos valstybės teisėsaugos institucijose, kas rodė aiškias šių asmenų politines pažiūras, t.</w:t>
      </w:r>
      <w:r>
        <w:rPr>
          <w:szCs w:val="24"/>
          <w:lang w:bidi="lt-LT"/>
        </w:rPr>
        <w:t> </w:t>
      </w:r>
      <w:r w:rsidRPr="00C00255">
        <w:rPr>
          <w:szCs w:val="24"/>
          <w:lang w:bidi="lt-LT"/>
        </w:rPr>
        <w:t xml:space="preserve">y. pritarimą Lietuvos nepriklausomybei ir palaikymą Lietuvos Aukščiausiajai Tarybai. </w:t>
      </w:r>
      <w:r w:rsidRPr="00C00255">
        <w:rPr>
          <w:szCs w:val="24"/>
        </w:rPr>
        <w:t>Taigi akivaizdu, kad civiliai aptariamų įvykių metu buvo persekiojami, o byloje nustatytos faktinės aplinkybės patvirtina, kad tai buvo daroma vadovaujantis</w:t>
      </w:r>
      <w:r w:rsidRPr="00C00255">
        <w:rPr>
          <w:color w:val="000000" w:themeColor="text1"/>
          <w:szCs w:val="24"/>
        </w:rPr>
        <w:t xml:space="preserve"> </w:t>
      </w:r>
      <w:r w:rsidRPr="00C00255">
        <w:rPr>
          <w:i/>
          <w:color w:val="000000" w:themeColor="text1"/>
          <w:szCs w:val="24"/>
        </w:rPr>
        <w:t>tiek nacionaliniais, tiek ir politiniais motyvais</w:t>
      </w:r>
      <w:r w:rsidRPr="00C00255">
        <w:rPr>
          <w:color w:val="000000" w:themeColor="text1"/>
          <w:szCs w:val="24"/>
        </w:rPr>
        <w:t xml:space="preserve">. Apeliacinės instancijos teismas jau minėjo, jog 1991 m. įvykius nulėmė TSRS siekis Lietuvą grąžinti į TSRS sudėtį. Taigi TSRS kariniai daliniai veikė prieš Lietuvos gyventojus, kurie per atstovus Aukščiausioje Taryboje kaip tauta 1990 m. kovo 11 d. Nepriklausomybės Aktu išreiškė valią atsiskirti nuo TSRS ir atkurti nepriklausomą suverenią valstybę, o tai ir buvo esmine 1991 m. įvykių bei TSRS karinių pajėgų ir kitų struktūrų jėgos panaudojimo prieš Lietuvos gyventojus priežastimi.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Kaip jau minėta, BK 100 straipsnyje numatyto </w:t>
      </w:r>
      <w:r w:rsidRPr="00C00255">
        <w:rPr>
          <w:i/>
          <w:szCs w:val="24"/>
        </w:rPr>
        <w:t>nusikaltimo subjektu</w:t>
      </w:r>
      <w:r w:rsidRPr="00C00255">
        <w:rPr>
          <w:szCs w:val="24"/>
        </w:rPr>
        <w:t xml:space="preserve"> gali būti pripažinti tiek asmenys, einantys oficialias aukštas pareigas, kurie formuoja valstybės ar organizacijos politiką, tiek eiliniai valstybės pareigūnai (pvz., jos organizacijų nariai ir kt.) ar pavieniai asmenys, veikiantys pagal valstybės pareigūnų įsakymą arba faktiškai veikiantys pagal nusikalstamos politikos reikalavimus – darantys konkrečias veikas žmoniškumui, dalyvaudami didelio masto ar sistemingame civilių užpuolime. </w:t>
      </w:r>
      <w:r w:rsidRPr="00C00255">
        <w:rPr>
          <w:color w:val="000000" w:themeColor="text1"/>
          <w:szCs w:val="24"/>
        </w:rPr>
        <w:t xml:space="preserve">Teisėjų kolegijos vertinimu, visi asmenys, kuriems šioje byloje buvo pareikšti kaltinimai, atitinka aptartus šio nusikaltimo subjekto požymius. Dalis nuteistųjų, kurie planavo bei inicijavo operaciją, buvo TSRS politinių organizacijų nariai ir jose ėjo aukštas pareigas (pvz., LKP/TSKP CK II-asis sekretorius </w:t>
      </w:r>
      <w:r>
        <w:rPr>
          <w:color w:val="000000" w:themeColor="text1"/>
          <w:szCs w:val="24"/>
        </w:rPr>
        <w:t>V. Š. 1</w:t>
      </w:r>
      <w:r w:rsidRPr="00C00255">
        <w:rPr>
          <w:color w:val="000000" w:themeColor="text1"/>
          <w:szCs w:val="24"/>
        </w:rPr>
        <w:t xml:space="preserve"> ir kt.). Dauguma nuteistųjų buvo aukštas pareigas TSRS kariuomenėje užėmę karininkai. Vieni iš jų tiesiogiai dalyvaudami ar iš operacijos vadovavimo štabo </w:t>
      </w:r>
      <w:r w:rsidRPr="00C00255">
        <w:rPr>
          <w:szCs w:val="24"/>
        </w:rPr>
        <w:t xml:space="preserve">vadovavo operacijai užimant objektus Vilniuje, kurios metu sistemingai ir dideliu mastu užpuldinėti civiliai. Kiti TSRS karininkai </w:t>
      </w:r>
      <w:r w:rsidRPr="00C00255">
        <w:rPr>
          <w:rStyle w:val="Numatytasispastraiposriftas1"/>
          <w:color w:val="000000"/>
          <w:szCs w:val="24"/>
        </w:rPr>
        <w:t xml:space="preserve">tiesiogiai dalyvavo objektų užėmime ir vadovavo atskiriems kariniams daliniams ir (ar) pavaldiems kariškiams. </w:t>
      </w:r>
      <w:r w:rsidRPr="00C00255">
        <w:rPr>
          <w:color w:val="000000" w:themeColor="text1"/>
          <w:szCs w:val="24"/>
        </w:rPr>
        <w:t xml:space="preserve">Likę kariškiai taip pat buvo didelio masto ir sistemingo civilių užpuolimo politikos vykdytojai, operacijos metu veikę pagal aukštesnių karininkų įsakymus, tačiau taip pat turėję karininkų statusą ir pagal savo rangą, remiantis TSRS ginkluotųjų pajėgų vidaus tarnybos statutu, buvę žemesnio rango kariškių vadovais. Taigi </w:t>
      </w:r>
      <w:r w:rsidRPr="00C00255">
        <w:rPr>
          <w:szCs w:val="24"/>
        </w:rPr>
        <w:t xml:space="preserve">nagrinėjamoje byloje teisiami asmenys įvykių metu buvo kompetentingi TSRS valstybės pareigūnai (vadovaujamas pareigas einantys karininkai) arba TSRS politinių organizacijų nariai, kurie vykdė TSRS ir TSKP politiką sistemingai bei dideliu mastu užpuldinėti civilius, todėl jie pagal savo statusą bei indėlį bendroje operacijoje (kuris aptartas analizuojant konkrečių nuteistųjų vaidmenį atskiruose epizoduose), laikytini BK 100 straipsnyje įtvirtintos nusikalstamos veikos subjektais.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Pagal BK 100 straipsnį asmuo atsako tuo atveju, jeigu nustatyta jo </w:t>
      </w:r>
      <w:r w:rsidRPr="00C00255">
        <w:rPr>
          <w:i/>
          <w:szCs w:val="24"/>
        </w:rPr>
        <w:t>tiesioginė tyčia</w:t>
      </w:r>
      <w:r w:rsidRPr="00C00255">
        <w:rPr>
          <w:szCs w:val="24"/>
        </w:rPr>
        <w:t xml:space="preserve"> veikti prieš civilius, vykdant valstybės politiką dideliu mastu ar sistemingai juos užpuldinėti, ir tai, kad jis žinojo (suvokė) apie didelio masto ar sistemingą užpuolimą, nukreiptą prieš civilius gyventojus, ir apie tai, kad jo veika yra susijusi su šiuo užpuolimu (yra jo dalis). </w:t>
      </w:r>
      <w:r w:rsidRPr="00C00255">
        <w:rPr>
          <w:color w:val="000000" w:themeColor="text1"/>
          <w:szCs w:val="24"/>
        </w:rPr>
        <w:t>Teisėjų kolegijos vertinimu, visi šioje byloje teisiami asmenys veikė tiesiogine tyčia, kaip tai apibrėžta BK 100 straipsnyje. Kaip jau minėta, tiek k</w:t>
      </w:r>
      <w:r w:rsidRPr="00C00255">
        <w:rPr>
          <w:szCs w:val="24"/>
        </w:rPr>
        <w:t xml:space="preserve">arinę operaciją inicijavę, planavę </w:t>
      </w:r>
      <w:r w:rsidRPr="00C00255">
        <w:rPr>
          <w:color w:val="000000" w:themeColor="text1"/>
          <w:szCs w:val="24"/>
        </w:rPr>
        <w:t xml:space="preserve">asmenys, tiek operacijoje tiesiogiai dalyvavę ir vadovavę TSRS karininkai vykdė TSRS ir TSKP politiką, žinojo apie prie užimtinų objektų esančius civilius gyventojus bei suvokė, kad siekiant įvykdyti iškeltas užduotis (perimti objektus apsaugai, pašalinti iš jų darbuotojus ir pan.), teks veržtis pro civilius asmenis, panaudojant jėgą ir tam iš anksto ruošėsi. Kalbant apie karinę operaciją iniciavusius, ją planavusius asmenis bei kariškių veiksmus prie objektų koordinavusius aukščiausio rango karininkus, pažymėtina, jog jie, dar planuodami atliktinus veiksmus, žinojo, kad puolimas bus nukreiptas prieš civilius, tačiau puolimų vykdymui pasitelkė galingą kovinę techniką, kovinius ginklus, specialiąsias priemones bei didelį skaičių kariškių ir tai rodo, kad šie asmenys suvokė, jog, kaip operacijos iniciatoriai, planuotojai ir vadovai, savo veika reikšmingai prisideda prie sistemingo ir didelio masto civilių užpuolimo vykdymo bei numatė galimas civilių aukas. Atitinkamai vadovaujančias pareigas ėję karininkai, kurie atvyko prie minėtų objektų ir prie jų tiesiogiai matė daugiatūkstantines civilių minias bei turėjo realią galimybę nutraukti suplanuotus puolamuosius veiksmus, tačiau to nepadarė, taip pat suvokė, kad, vykdydami užduotį užimti objektus (be kita ko, pasitelkdami pavaldžius kariškius, galingą karinę techniką, ginklus ir kt. priemones), neišvengiamai puls civilius bei tai, kad kiekvieno jų veiksmai yra susiję su vykdomu sistemingu ir dideliu masto civilių užpuldinėjimu bei numatė galimas civilių aukas. </w:t>
      </w:r>
      <w:r w:rsidRPr="00C00255">
        <w:rPr>
          <w:szCs w:val="24"/>
        </w:rPr>
        <w:t>Teisėjų kolegijos vertinimu, lygiai taip pat ir planuojant įvesti komendanto valandą, numatant patruliavimui pasitelkti šarvuotą karinę techniką, kovinius ginklus bei praktiškai įvedant bei įgyvendinant komendanto valandą (iš esmės tęsiant sistemingą civilių užpuldinėjimą ir jų persekiojimą), buvo veikiama suvokiant pavojingą veiksmų pobūdį ir norint taip elgtis.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Atsižvelgdama į visa tai, teisėjų kolegija konstatuoja, jog nuteistųjų veikose yra nustatyti visi būtinieji šioje dalyje aptarti BK 100 straipsnyje numatyto nusikaltimo žmoniškumui sudėties požymiai, todėl nuteistieji pagrįstai pripažinti kaltais pagal BK 100 straipsnį.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Be to, </w:t>
      </w:r>
      <w:r w:rsidRPr="00C00255">
        <w:rPr>
          <w:szCs w:val="24"/>
        </w:rPr>
        <w:t>teisėjų kolegija sutinka ir su prokuratūros apeliaciniame skunde pateiktu prašymu</w:t>
      </w:r>
      <w:r w:rsidRPr="00C00255">
        <w:rPr>
          <w:color w:val="000000"/>
          <w:szCs w:val="24"/>
        </w:rPr>
        <w:t xml:space="preserve"> patikslinti ir suvienodinti </w:t>
      </w:r>
      <w:r w:rsidRPr="00C00255">
        <w:rPr>
          <w:szCs w:val="24"/>
        </w:rPr>
        <w:t>skundžiamo nuosprendžio nustatomojoje dalyje esantį BK 100 straipsnyje numatyto nusikaltimo sudėties požymių aprašymą. Teisėjų kolegija sutinka su prokurorų argumentais, kad: 1) nuteistieji ne tik rėmė TSRS politiką, bet ir ją vykdė; 2) TSRS politika buvo dideliu mastu ir sistemingai užpuldinėti Lietuvos civilius; 3) žmonių grupės įvykių metu buvo persekiojamos dėl politinių ir nacionalinių motyvų. Aptardamas atskirus BK 100 straipsnyje numatyto nusikaltimo sudėties požymius, apeliacinės instancijos teismas pripažino, jog visi jie nagrinėjamoje byloje įrodyti, todėl minėti prokurorų siūlomi nustatomosios dalies patikslinimai, susiję su BK 100 straipsnio dispozicijoje nurodytų požymių aprašymu, taip pat laikytini pagrįstais.</w:t>
      </w:r>
    </w:p>
    <w:p w:rsidR="00DA38E9" w:rsidRPr="00C00255" w:rsidRDefault="00DA38E9" w:rsidP="00DA38E9">
      <w:pPr>
        <w:pStyle w:val="Heading3"/>
        <w:ind w:left="992"/>
        <w:jc w:val="both"/>
        <w:rPr>
          <w:b w:val="0"/>
          <w:i/>
          <w:sz w:val="24"/>
          <w:lang w:val="lt-LT"/>
        </w:rPr>
      </w:pPr>
      <w:bookmarkStart w:id="804" w:name="_Toc66718299"/>
      <w:bookmarkStart w:id="805" w:name="_Toc67677422"/>
      <w:bookmarkStart w:id="806" w:name="_Toc67985550"/>
      <w:r w:rsidRPr="00C00255">
        <w:rPr>
          <w:b w:val="0"/>
          <w:i/>
          <w:sz w:val="24"/>
          <w:lang w:val="lt-LT"/>
        </w:rPr>
        <w:t>Dėl BK 101 straipsnyje ir BK 103 straipsnio 1 dalyje įtvirtintų nusikalstamų veikų sudėties požymių bei baudžiamosios atsakomybės už jas nustatymo tarptautinėje teisėje 1991 metais</w:t>
      </w:r>
      <w:bookmarkEnd w:id="804"/>
      <w:bookmarkEnd w:id="805"/>
      <w:bookmarkEnd w:id="806"/>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Teisėjų kolegija pažymi, jog dalis BK 101 straipsnyje ir BK 103 straipsnio 1 dalyje numatytų nusikalstamų veikų sudėties požymių (subjektas, kaltė, padarymo laikas, nukentėjusieji, prieš kuriuos nukreipti neteisėti veiksmai) sutampa, skiriasi tik veikos, už kurias numatyta atsakomybė (BK 101 straipsnyje – žudymas, BK 103 straipsnio 1 dalyje – kitos nežmoniško elgesio formos), todėl tapatūs šių nusikalstamų veikų sudėties požymiai bus aptariami bendrai, o vėliau atskirai bus aptarti ir besiskiriantys šių nusikaltimų sudėčių požymiai.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BK 101 straipsnyje „Tarptautinės humanitarinės teisės saugomų asmenų žudymas“ (2011 m. kovo 22 d. įstatymo Nr. XI-1291 redakcija) yra numatyta baudžiamoji atsakomybė už įsakymą, kurstymą ar organizavimą žudyti tarptautinės humanitarinės teisės saugomus asmenis arba šių asmenų žudymą karo, ginkluoto konflikto, agresijos, okupacijos ar aneksijos metu.</w:t>
      </w:r>
      <w:r w:rsidRPr="00C00255">
        <w:t xml:space="preserve"> </w:t>
      </w:r>
      <w:r w:rsidRPr="00C00255">
        <w:rPr>
          <w:color w:val="000000" w:themeColor="text1"/>
          <w:szCs w:val="24"/>
        </w:rPr>
        <w:t>Nagrinėjamoje baudžiamojoje byloje pagal nuteistiesiems pareikštus kaltinimus yra aktualūs šie nusikalstamos veikos požymiai – „</w:t>
      </w:r>
      <w:r w:rsidRPr="00C00255">
        <w:rPr>
          <w:i/>
          <w:color w:val="000000" w:themeColor="text1"/>
          <w:szCs w:val="24"/>
        </w:rPr>
        <w:t>agresijos ir ginkluoto konflikto metu</w:t>
      </w:r>
      <w:r w:rsidRPr="00C00255">
        <w:t xml:space="preserve"> </w:t>
      </w:r>
      <w:r w:rsidRPr="00C00255">
        <w:rPr>
          <w:i/>
          <w:color w:val="000000" w:themeColor="text1"/>
          <w:szCs w:val="24"/>
        </w:rPr>
        <w:t xml:space="preserve">žudė tarptautinės humanitarinės teisės saugomus asmenis“ </w:t>
      </w:r>
      <w:r w:rsidRPr="00C00255">
        <w:rPr>
          <w:color w:val="000000" w:themeColor="text1"/>
          <w:szCs w:val="24"/>
        </w:rPr>
        <w:t xml:space="preserve">(nagrinėjamoje byloje būtent civilius asmenis).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BK 103 straipsnio „Tarptautinės humanitarinės teisės saugomų asmenų žalojimas, kankinimas ar kitoks nežmoniškas elgesys su jais ar jų turto apsaugos pažeidimas“ (2011 m. kovo 22 d. įstatymo Nr. XI-1291 redakcija) 1 dalyje yra numatyta baudžiamoji atsakomybė už karo, ginkluoto konflikto, agresijos, okupacijos ar aneksijos metu padarytas alternatyvias veikas, susijusias su nežmonišku elgesiu su tarptautinės humanitarinės teisės saugomais asmenimis, tačiau nagrinėjamoje baudžiamojoje byloje pagal nuteistiesiems pareikštus kaltinimus yra aktualūs tik šie aptariamos nusikalstamos veikos požymiai – „</w:t>
      </w:r>
      <w:r w:rsidRPr="00C00255">
        <w:rPr>
          <w:i/>
          <w:color w:val="000000" w:themeColor="text1"/>
          <w:szCs w:val="24"/>
        </w:rPr>
        <w:t>agresijos ir ginkluoto konflikto metu</w:t>
      </w:r>
      <w:r w:rsidRPr="00C00255">
        <w:rPr>
          <w:color w:val="000000" w:themeColor="text1"/>
          <w:szCs w:val="24"/>
        </w:rPr>
        <w:t xml:space="preserve"> </w:t>
      </w:r>
      <w:r w:rsidRPr="00C00255">
        <w:rPr>
          <w:i/>
          <w:color w:val="000000" w:themeColor="text1"/>
          <w:szCs w:val="24"/>
        </w:rPr>
        <w:t>nežmoniškai elgėsi su tarptautinės humanitarinės teisės saugomais asmenimis: juos sunkiai sužalojo, naudojo bauginimo ir teroro priemones</w:t>
      </w:r>
      <w:r w:rsidRPr="00C00255">
        <w:rPr>
          <w:i/>
          <w:szCs w:val="24"/>
        </w:rPr>
        <w:t>, neteisėtai suvaržė ir atėmė jų laisvę</w:t>
      </w:r>
      <w:r w:rsidRPr="00C00255">
        <w:rPr>
          <w:color w:val="000000" w:themeColor="text1"/>
          <w:szCs w:val="24"/>
        </w:rPr>
        <w:t>“. Todėl apeliacinės instancijos teismas plačiau nagrinės būtent šių požymių turinį, jų vertinimą nacionalinėje bei tarptautinėje teisėje ir atsakomybę už tokį elgesį nusikalstamų veikų padarymo metu.</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Sprendžiant klausimą, kas yra laikoma tarptautinės humanitarinės teisės saugomais asmenimis, pirmiausia, pastebėtina, kad tarptautinė humanitarinė teisė – tai tarptautinės teisės šaka, kitaip vadinama karo teise arba ginkluotų konfliktų teise. Valstybės privalo laikytis tarptautinės humanitarinės teisės taisyklių, kurios joms yra imperatyvios pagal sutartis arba kurios yra tapusios paprotinėmis tarptautinės teisės normomis. Pagrindinis tarptautinės humanitarinės teisės tikslas – kaip įmanoma sumažinti karinių konfliktų sukeliamas kančias ir praradimus, apsaugoti asmenis, nesančius karinių veiksmų dalyviais,</w:t>
      </w:r>
      <w:r w:rsidRPr="00C00255">
        <w:t xml:space="preserve"> </w:t>
      </w:r>
      <w:r w:rsidRPr="00C00255">
        <w:rPr>
          <w:color w:val="000000" w:themeColor="text1"/>
          <w:szCs w:val="24"/>
        </w:rPr>
        <w:t>nustatant ginkluotame konflikte dalyvaujančių asmenų pareigas ir įtvirtinant apribojimus, taikomus kariavimo priemonėms ir būdams. Sunkiausi tarptautinės humanitarinės teisės pažeidimai yra laikomi karo nusikaltimais. Doktrinoje tarptautinė humanitarinė teisė skirstoma į dvi atšakas: Ženevos teisę ir Hagos teisę. Ženevos teisės pagrindą sudaro karo aukų apsauga – ji gina ne tik civilius asmenis, bet ir karo belaisvius, iš rikiuotės išėjusius kombatantus ir kitus asmenis. Hagos teisė labiau orientuota į kovos metodų bei priemonių reglamentavimą ir yra skirta karinių operacijų organizavimo reglamentavimui.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Nagrinėjamoje byloje nuteistieji pripažinti kaltais dėl tarptautinės humanitarinės teisės saugomų asmenų (konkrečiai – civilių asmenų) žudymo, sunkaus jų sužalojimo,</w:t>
      </w:r>
      <w:r w:rsidRPr="00C00255">
        <w:rPr>
          <w:color w:val="FF0000"/>
          <w:szCs w:val="24"/>
        </w:rPr>
        <w:t xml:space="preserve"> </w:t>
      </w:r>
      <w:r w:rsidRPr="00C00255">
        <w:rPr>
          <w:szCs w:val="24"/>
        </w:rPr>
        <w:t xml:space="preserve">neteisėto laisvės suvaržymo ir atėmimo </w:t>
      </w:r>
      <w:r w:rsidRPr="00C00255">
        <w:rPr>
          <w:color w:val="000000" w:themeColor="text1"/>
          <w:szCs w:val="24"/>
        </w:rPr>
        <w:t>bei bauginimo ir teroro priemonių naudojimo prieš juos. Kaip jau minėta</w:t>
      </w:r>
      <w:r w:rsidRPr="00C00255">
        <w:t xml:space="preserve"> </w:t>
      </w:r>
      <w:r w:rsidRPr="00C00255">
        <w:rPr>
          <w:color w:val="000000" w:themeColor="text1"/>
          <w:szCs w:val="24"/>
        </w:rPr>
        <w:t xml:space="preserve">šio procesinio dokumento dalyje, kurioje aprašyti BK 100 straipsnyje nustatytos nusikalstamos veikos sudėties požymiai, karo teisėje civiliais asmenimis yra laikomi asmenys, kurie nėra priskiriami kombatantams. Iš esmės byloje nėra ginčo, kad </w:t>
      </w:r>
      <w:r w:rsidRPr="00C00255">
        <w:rPr>
          <w:i/>
          <w:color w:val="000000" w:themeColor="text1"/>
          <w:szCs w:val="24"/>
        </w:rPr>
        <w:t>civiliai asmenys yra priskiriami prie tarptautinės humanitarinės teisės saugomų asmenų</w:t>
      </w:r>
      <w:r w:rsidRPr="00C00255">
        <w:rPr>
          <w:color w:val="000000" w:themeColor="text1"/>
          <w:szCs w:val="24"/>
        </w:rPr>
        <w:t>, todėl, nustačius kitus privalomus BK 101 straipsnyje ir BK 103 straipsnio 1 dalyje įtvirtintų nusikalstamų veikų požymius, nuteistieji galėjo būti traukiami baudžiamojon atsakomybėn dėl neteisėto elgesio su tarptautinės humanitarinės teisės saugomais asmenimis.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BK 101 straipsnyje ir BK 103 straipsnio 1 dalyje įtvirtinti nusikaltimai yra priskiriami prie karo nusikaltimų, kurie pagal Lietuvos Respublikos BK nuostatas privalo būti padaryti karo, ginkluoto konflikto, agresijos, okupacijos ar aneksijos metu. 1945 m. rugpjūčio 8 d. Niurnbergo tarptautinio karinio tribunolo statuto 6 straipsnyje karo nusikaltimai buvo apibrėžti kaip karo įstatymų ir papročių pažeidimai, tokie kaip (ir ne tik) </w:t>
      </w:r>
      <w:r w:rsidRPr="00C00255">
        <w:rPr>
          <w:i/>
          <w:color w:val="000000" w:themeColor="text1"/>
          <w:szCs w:val="24"/>
        </w:rPr>
        <w:t xml:space="preserve">žudymas, žiaurus elgesys su civiliais gyventojais </w:t>
      </w:r>
      <w:r w:rsidRPr="00C00255">
        <w:rPr>
          <w:color w:val="000000" w:themeColor="text1"/>
          <w:szCs w:val="24"/>
        </w:rPr>
        <w:t>ar jų deportacija vergiškiems darbams ar bet kokiam kitam tikslui okupuotoje teritorijoje ar už jos ribų, žudymas ar žiaurus elgesys su karo belaisviais ar asmenimis, esančiais jūroje, įkaitų žudymas, privačios ar viešos nuosavybės grobstymas, beprasmiškas miestų, miestelių ar kaimų griovimas ar niokojimas, nepateisinamas karine būtinybe.</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Ženevos konvencijų Papildomame protokole dėl tarptautinių ginkluotų konfliktų aukų apsaugos (I protokolas), priimtame 1977 m. birželio 8 d., sunkūs Ženevos konvencijų pažeidimai yra įvardijami kaip karo nusikaltimai (85 straipsnio 5 dalis). Kadangi nagrinėjamoje byloje asmenys yra kaltinami ir nuteisti dėl karo nusikaltimų, nukreiptų prieš civilius asmenis, padarymo, aktualiausios yra 1949 m. rugpjūčio 12 d. (Ketvirtosios) Ženevos konvencijos dėl civilių apsaugos karo metu nuostatos. Šios konvencijos 147 straipsnyje kaip sunkūs pažeidimai yra įvardinti tokie veiksmai </w:t>
      </w:r>
      <w:r w:rsidRPr="00C00255">
        <w:rPr>
          <w:i/>
          <w:color w:val="000000" w:themeColor="text1"/>
          <w:szCs w:val="24"/>
        </w:rPr>
        <w:t>kaip tyčinis nužudymas, kankinimas ar nežmoniškas elgesys, įskaitant biologinius eksperimentus, sąmoningai sukeliančius dideles kančias arba padarančius rimtos žalos kūnui ar sveikatai</w:t>
      </w:r>
      <w:r w:rsidRPr="00C00255">
        <w:rPr>
          <w:color w:val="000000" w:themeColor="text1"/>
          <w:szCs w:val="24"/>
        </w:rPr>
        <w:t>, neteisėtas Konvencijos saugomo asmens deportavimas, perkėlimas</w:t>
      </w:r>
      <w:r w:rsidRPr="00C00255">
        <w:rPr>
          <w:i/>
          <w:color w:val="000000" w:themeColor="text1"/>
          <w:szCs w:val="24"/>
        </w:rPr>
        <w:t xml:space="preserve"> ar areštas</w:t>
      </w:r>
      <w:r w:rsidRPr="00C00255">
        <w:rPr>
          <w:color w:val="000000" w:themeColor="text1"/>
          <w:szCs w:val="24"/>
        </w:rPr>
        <w:t xml:space="preserve">, šio asmens privertimas tarnauti priešiškos valstybės ginkluotosiose pajėgose ar sąmoningas tokio asmens teisės į objektyvų ir normalų teismą atėmimas, kurį numato ši Konvencija, įkaitų ėmimas, neteisėti ir beprasmiški dideli sugriovimai ir nuosavybės pasisavinimas, nepateisinami karine būtinybe.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Ženevos konvencijų Papildomas protokolas dėl tarptautinių ginkluotų konfliktų aukų apsaugos (I protokolas) praplėtė (detalizavo) sunkių Ženevos konvencijų pažeidimų sąrašą ir, kaip minėta, šiuos pažeidimus įvardijo karo nusikaltimais. Šio protokolo 11 straipsnio 2 dalyje nurodyta, kad ypač draudžiama, net ir tokių asmenų sutikimu, juos </w:t>
      </w:r>
      <w:r w:rsidRPr="00C00255">
        <w:rPr>
          <w:i/>
          <w:color w:val="000000" w:themeColor="text1"/>
          <w:szCs w:val="24"/>
        </w:rPr>
        <w:t>fiziškai luošinti,</w:t>
      </w:r>
      <w:r w:rsidRPr="00C00255">
        <w:rPr>
          <w:color w:val="000000" w:themeColor="text1"/>
          <w:szCs w:val="24"/>
        </w:rPr>
        <w:t xml:space="preserve"> atlikti su jais medicininius ir mokslinius eksperimentus, paimti jų audinius ar organus transplantavimui. 85 straipsnio 3 dalyje įtvirtinta, kad prie 11 straipsnyje apibrėžtų sunkių pažeidimų papildomai priskiriami tokie sunkūs šio protokolo pažeidimai, kurie </w:t>
      </w:r>
      <w:r w:rsidRPr="00C00255">
        <w:rPr>
          <w:i/>
          <w:color w:val="000000" w:themeColor="text1"/>
          <w:szCs w:val="24"/>
        </w:rPr>
        <w:t>padaromi tyčia</w:t>
      </w:r>
      <w:r w:rsidRPr="00C00255">
        <w:rPr>
          <w:color w:val="000000" w:themeColor="text1"/>
          <w:szCs w:val="24"/>
        </w:rPr>
        <w:t xml:space="preserve">, pažeidžiant atitinkamas šio protokolo nuostatas </w:t>
      </w:r>
      <w:r w:rsidRPr="00C00255">
        <w:rPr>
          <w:i/>
          <w:color w:val="000000" w:themeColor="text1"/>
          <w:szCs w:val="24"/>
        </w:rPr>
        <w:t>ir sukelia mirtį arba sunkų kūno ar sveikatos sužalojimą</w:t>
      </w:r>
      <w:r w:rsidRPr="00C00255">
        <w:rPr>
          <w:color w:val="000000" w:themeColor="text1"/>
          <w:szCs w:val="24"/>
        </w:rPr>
        <w:t xml:space="preserve">: a) kai puolimo objektu tampa civiliai gyventojai ar pavieniai civiliai; b) kai puolimas pradedamas be atrankos, darant poveikį civiliams gyventojams arba objektams, žinant, kad dėl jo bus pernelyg daug aukų, civilių asmenų sužeidimų ar žalos civiliniams objektams; &lt;...&gt;. Teisėjų kolegija nebekartoja visų karo nusikaltimų, įvardintų Ženevos konvencijų Papildomame protokole dėl tarptautinių ginkluotų konfliktų aukų apsaugos (I protokolas), nes jie aprašyti ankstesnėje šio sprendimo dalyje ir nėra aktualūs, sprendžiant būtent nagrinėjamoje byloje nuteistiesiems inkriminuotų nusikaltimų požymių buvimo jų veikose klausimą.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Taigi, vadovaudamasis ankstesnėje pastraipoje aptartų tarptautinių teisės aktų nuostatomis, apeliacinės instancijos teismas konstatuoja, kad civilių asmenų žudymas, sunkus jų kūno ar sveikatos sužalojimas</w:t>
      </w:r>
      <w:r w:rsidRPr="00C00255">
        <w:rPr>
          <w:szCs w:val="24"/>
        </w:rPr>
        <w:t>,</w:t>
      </w:r>
      <w:r w:rsidRPr="00C00255">
        <w:t xml:space="preserve"> </w:t>
      </w:r>
      <w:r w:rsidRPr="00C00255">
        <w:rPr>
          <w:szCs w:val="24"/>
        </w:rPr>
        <w:t xml:space="preserve">neteisėtas laisvės suvaržymas ir (ar) atėmimas </w:t>
      </w:r>
      <w:r w:rsidRPr="00C00255">
        <w:rPr>
          <w:color w:val="000000" w:themeColor="text1"/>
          <w:szCs w:val="24"/>
        </w:rPr>
        <w:t>karo ar ginkluotų konfliktų metu 1991 m. tarptautinėje teisėje buvo neabejotinai draudžiamas.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Nagrinėjamoje baudžiamojoje byloje taip pat aktuali ir 1949 m. rugpjūčio 12 d. Ženevos konvencijų Papildomo protokolo dėl tarptautinių ginkluotų konfliktų aukų apsaugos (I protokolo) 51 straipsnio 2 dalis, kurioje nustatyta, kad „Civiliai gyventojai, taip pat pavieniai civiliai neturi būti puolimo objektu. Prievartos aktai ar grasinimai, prievarta siekiant įbauginti civilius gyventojus, draudžiami“, Šios konvencijos nuostatos rodo, kad tarptautinėje teisėje 1991 metais karo ar ginkluotų konfliktų metu buvo draudžiamas ir </w:t>
      </w:r>
      <w:r w:rsidRPr="00C00255">
        <w:rPr>
          <w:i/>
          <w:color w:val="000000" w:themeColor="text1"/>
          <w:szCs w:val="24"/>
        </w:rPr>
        <w:t>bauginimo bei teroro priemonių naudojimas prieš civilius asmenis</w:t>
      </w:r>
      <w:r w:rsidRPr="00C00255">
        <w:rPr>
          <w:color w:val="000000" w:themeColor="text1"/>
          <w:szCs w:val="24"/>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Bauginimo ir teroro</w:t>
      </w:r>
      <w:r w:rsidRPr="00C00255">
        <w:rPr>
          <w:color w:val="000000" w:themeColor="text1"/>
          <w:szCs w:val="24"/>
        </w:rPr>
        <w:t xml:space="preserve"> sąvokos lietuvių kalboje iš esmės yra panašios, reiškiančios siekį gąsdinti, sukelti baimės būseną kitiems asmenims, tik teroro sąvoka yra siejama su prievartos, smurto naudojimu, o bauginimo terminas yra labiau susijęs su psichinės prievartos naudojimu. Konkretus bauginimo bei teroro priemonių sąrašas nei nacionalinėje, nei tarptautinėje teisėje nėra pateiktas, todėl kiekvienu atveju individualiai turi būti vertinama, ar tam tikros kaltinamųjų naudotos priemonės pasiekė karo nusikaltimams būdingą pavojingumo lygį. Kas yra bauginimo ir teroro priemonės karo nusikaltimų kontekste Lietuvos Respublikos teismų praktikoje nebuvo plačiau aiškinta. Visgi, vienoje byloje (Lietuvos apeliacinio teismo 2017 m. sausio 24 d. nuosprendis baudžiamojoje byloje Nr. 1A-32-628/2017), bauginimo ir teroro priemonių panaudojimu pripažintas kaltinamųjų buvimas ginkluotais šaunamaisiais ginklais, šaudymas į pastatus, grasinimas civiliams asmenims šaunamaisiais ginklais, smūgių sudavimas automato buožėmis, rankomis ir panašūs veiksmai.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 xml:space="preserve">Neteisėtas laisvės suvaržymas ir (ar) atėmimas </w:t>
      </w:r>
      <w:r w:rsidRPr="00C00255">
        <w:rPr>
          <w:color w:val="000000" w:themeColor="text1"/>
          <w:szCs w:val="24"/>
        </w:rPr>
        <w:t>kaip karo nusikaltimo požymis Lietuvos teismų praktikoje kol kas nėra nagrinėtas, tačiau aptariant šį požymį kitų nusikalstamų veikų kontekste (pvz., prekybos žmonėmis), kasacinio teismo praktikoje pažymima, kad asmens laisvės varžymas apima ne tik fizinį asmens laisvės suvaržymą, bet ir poveikį asmens valios laisvei. Asmens laisvės suvaržymas (pažeidimas) gali būti susijęs ne tik su visiška, bet ir daline galimybe judėti ar galimybe pasirinkti savo elgesio variantą (LAT nutartys baudžiamosiose bylose Nr. 2K-157-976/2019, 2K-267-648/2019). Tačiau vis tik atsižvelgiant į anksčiau aptartus tarptautinės teisės aktus, į tai, kad Tarptautinio Baudžiamojo Teismo Romos statuto 8</w:t>
      </w:r>
      <w:r>
        <w:rPr>
          <w:color w:val="000000" w:themeColor="text1"/>
          <w:szCs w:val="24"/>
        </w:rPr>
        <w:t> </w:t>
      </w:r>
      <w:r w:rsidRPr="00C00255">
        <w:rPr>
          <w:color w:val="000000" w:themeColor="text1"/>
          <w:szCs w:val="24"/>
        </w:rPr>
        <w:t>straipsnio 2 dalies a punkte, kuriame išdėstyti karo nusikaltimai, kurie yra laikomi sunkiais Ženevos konvencijų pažeidimais, vii papunktyje kaip karo nusikaltimas yra įvardintas neteisėtas laisvės atėmimas (angl. </w:t>
      </w:r>
      <w:r w:rsidRPr="00C00255">
        <w:rPr>
          <w:i/>
          <w:color w:val="000000" w:themeColor="text1"/>
          <w:szCs w:val="24"/>
        </w:rPr>
        <w:t>confinement</w:t>
      </w:r>
      <w:r w:rsidRPr="00C00255">
        <w:rPr>
          <w:color w:val="000000" w:themeColor="text1"/>
          <w:szCs w:val="24"/>
        </w:rPr>
        <w:t>), darytina išvada, kad karo nusikaltimų kontekste požymis „neteisėtas laisvės suvaržymas ar atėmimas“ apima bet kokį asmens (fizinės) laisvės suvaržymą.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1949 m. rugpjūčio 12 d. (Ketvirtosios) Ženevos konvencijos dėl civilių apsaugos karo metu 2 straipsnyje įtvirtinta, kad konvencija taikoma visais atvejais, kai skelbiamas karas arba kyla koks nors kitas ginkluotas dviejų arba kelių aukštųjų susitariančiųjų šalių konfliktas, net jei viena iš jų karo nepripažįsta. Konvencija taip pat taikoma visais atvejais, kai okupuojama visa aukštosios susitariančiosios šalies teritorija arba jos dalis, net jei okupacijai nesipriešinama ginklu. Pirmosios instancijos teismas vienose nuosprendžio dalyse vartojo ginkluoto konflikto, kitose agresijos, o dar kitose – ginkluotos agresijos terminus. Apeliacinės instancijos teismas, bendrai įvertinęs visą nuosprendžio kaip vientiso akto turinį, konstatuoja, kad nuteistieji buvo nuteisti pagal BK 101 straipsnį ir BK 103 straipsnio 1 dalį dėl veikų atliktų </w:t>
      </w:r>
      <w:r w:rsidRPr="00C00255">
        <w:rPr>
          <w:i/>
          <w:color w:val="000000" w:themeColor="text1"/>
          <w:szCs w:val="24"/>
        </w:rPr>
        <w:t>tarptautinio ginkluoto konflikto ir agresijos metu</w:t>
      </w:r>
      <w:r w:rsidRPr="00C00255">
        <w:rPr>
          <w:color w:val="000000" w:themeColor="text1"/>
          <w:szCs w:val="24"/>
        </w:rPr>
        <w:t xml:space="preserve">. </w:t>
      </w:r>
    </w:p>
    <w:p w:rsidR="00A93032" w:rsidRDefault="00DA38E9" w:rsidP="00A93032">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Doktrinoje, apibendrinant įvairiuose tarptautinės humanitarinės teisės šaltiniuose pateikiamą ginkluoto konflikto apibrėžimą, yra teigiama, kad ginkluotas konfliktas yra bet koks nesutarimas tarp a) valstybių; b) tautų, siekiančių nepriklausomybės nuo kolonijinio, svetimšalio ar rasistinio režimo, kuriam spręsti pasitelkiamos ginkluotosios pajėgos, net jeigu viena iš šalių neigia tokį konfliktą (Žilinskas, J. Karo nusikaltimų reglamentavimas Lietuvos Respublikos baudžiamajame kodekse ir jų atitikties tarptautinei teisei problemos. Jurisprudencija, 2006, t. 80, Nr. 2, p. 144–157).</w:t>
      </w:r>
    </w:p>
    <w:p w:rsidR="00DA38E9" w:rsidRPr="00A93032" w:rsidRDefault="00DA38E9" w:rsidP="00A93032">
      <w:pPr>
        <w:pStyle w:val="ListParagraph"/>
        <w:numPr>
          <w:ilvl w:val="1"/>
          <w:numId w:val="6"/>
        </w:numPr>
        <w:overflowPunct/>
        <w:autoSpaceDE/>
        <w:autoSpaceDN/>
        <w:adjustRightInd/>
        <w:spacing w:before="120" w:after="120"/>
        <w:ind w:left="992" w:hanging="992"/>
        <w:contextualSpacing w:val="0"/>
        <w:rPr>
          <w:szCs w:val="24"/>
        </w:rPr>
      </w:pPr>
      <w:r w:rsidRPr="00A93032">
        <w:rPr>
          <w:rFonts w:eastAsia="Calibri"/>
          <w:color w:val="000000"/>
          <w:szCs w:val="24"/>
        </w:rPr>
        <w:t xml:space="preserve">Nors pirmosios instancijos teismas nuosprendyje tiesiogiai ir neįvardijo, kad kilęs ginkluotas konfliktas, kurio metu buvo padarytos nuteistiesiems inkriminuotos nusikalstamos veikos, buvo tarptautinis, iš bylos faktinių aplinkybių, aprašytų nuosprendyje, iš to, kad teismas rėmėsi Ženevos Konvencijų Pirmojo papildomo protokolo nuostatomis, kuris būtent ir reglamentuoja tarptautinius ginkluotus konfliktus, apeliacinės instancijos teismas daro išvadą, kad pirmosios instancijos teismas ginkluotą konfliktą vertino kaip tarptautinį. Apeliacinės instancijos teismas, aptardamas faktines 1991 m. įvykių aplinkybes, taip pat konstatavo, kad ginkluotas konfliktas buvo tarptautinis, nes TSRS, panaudodama savo karinius dalinius, veikė prieš nepriklausomybę dar 1990 m. kovo 11 d. atkūrusią Lietuvos Respubliką ir jos gyventojus. Todėl siekiant teisinio aiškumo, faktinių nusikalstamų veikų aplinkybių aprašymas tikslintinas, vietoj žodžių „ginkluotas konfliktas“, įrašant žodžius „tarptautinis ginkluotas konfliktas“ (kaip to apeliaciniame skunde ir prašė prokurorai).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
          <w:color w:val="000000" w:themeColor="text1"/>
          <w:szCs w:val="24"/>
        </w:rPr>
        <w:t xml:space="preserve">Agresijos </w:t>
      </w:r>
      <w:r w:rsidRPr="00C00255">
        <w:rPr>
          <w:color w:val="000000" w:themeColor="text1"/>
          <w:szCs w:val="24"/>
        </w:rPr>
        <w:t>sąvoka tarptautinėje teisėje, visų pirma, yra vartojama prie nusikaltimų taikai.</w:t>
      </w:r>
      <w:r w:rsidRPr="00C00255">
        <w:rPr>
          <w:szCs w:val="24"/>
        </w:rPr>
        <w:t xml:space="preserve"> Niurnbergo tarptautinio karinio tribunolo statuto 6 straipsnyje kaip vienas iš nusikaltimų taikai yra įvardijamas </w:t>
      </w:r>
      <w:r w:rsidRPr="00C00255">
        <w:rPr>
          <w:color w:val="000000" w:themeColor="text1"/>
          <w:szCs w:val="24"/>
        </w:rPr>
        <w:t xml:space="preserve">agresyvaus karo planavimas, rengimas, inicijavimas ar vykdymas.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color w:val="000000" w:themeColor="text1"/>
          <w:szCs w:val="24"/>
        </w:rPr>
        <w:t>Lietuvos Respublikos 2000 m. liepos 17 d. ginkluotos gynybos ir pasipriešinimo agresijai įstatymo (2020 m. birželio 30 d. įstatymo Nr. XIII-3233 redakcija) 2 straipsnio 1 dalyje agresija apibrėžiama kaip ginkluotos jėgos panaudojimas ar grasinimas panaudoti ją prieš Lietuvos Respublikos suverenitetą, teritorijos vientisumą ar politinę nepriklausomybę. Iš 2000</w:t>
      </w:r>
      <w:r>
        <w:rPr>
          <w:color w:val="000000" w:themeColor="text1"/>
          <w:szCs w:val="24"/>
        </w:rPr>
        <w:t> </w:t>
      </w:r>
      <w:r w:rsidRPr="00C00255">
        <w:rPr>
          <w:color w:val="000000" w:themeColor="text1"/>
          <w:szCs w:val="24"/>
        </w:rPr>
        <w:t>m. liepos 17 d. Lietuvos Respublikos ginkluotos gynybos ir pasipriešinimo agresijai įstatymo aiškinamojo rašto matyti, kad įstatymo projekte, apibrėžiant agresijos sąvoką, naudotasi Jungtinių Tautų Chartijos ir 1974 metų gruodžio 14 d. Jungtinių Tautų Generalinės Asamblėjos rezoliucijos Nr. 3314 (XXIX) dėl agresijos apibrėžimo nuostatomis.</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Jungtinių Tautų Generalinės Asamblėjos rezoliucijos Nr. 3314 (XXIX) 1 straipsnyje nustatyta, kad agresija yra valstybės ginkluotos jėgos panaudojimas prieš kitos valstybės suverenitetą, teritorinį vientisumą ar politinę nepriklausomybę arba bet kokiu kitu būdu, nesuderinamu su Jungtinių Tautų Chartija, kaip nustatoma šiame Apibrėžime. Rezoliucijos 3 straipsnyje nurodyta, kad bet kuris šių aktų, nepriklausomai nuo karo paskelbimo, kvalifikuojamas kaip agresijos aktas: </w:t>
      </w:r>
    </w:p>
    <w:p w:rsidR="00DA38E9" w:rsidRPr="00C00255" w:rsidRDefault="00DA38E9" w:rsidP="00DA38E9">
      <w:pPr>
        <w:pStyle w:val="ListParagraph"/>
        <w:spacing w:before="120" w:after="120"/>
        <w:ind w:left="1276"/>
        <w:contextualSpacing w:val="0"/>
        <w:rPr>
          <w:color w:val="000000" w:themeColor="text1"/>
          <w:sz w:val="20"/>
        </w:rPr>
      </w:pPr>
      <w:r w:rsidRPr="00C00255">
        <w:rPr>
          <w:color w:val="000000" w:themeColor="text1"/>
          <w:sz w:val="20"/>
        </w:rPr>
        <w:t>a) valstybės ginkluotųjų pajėgų įsiveržimas į kitos valstybės teritoriją ar jos užpuolimas, ar bet kokia karinė okupacija, net laikina, įvykdyta taip įsiveržus ar užpuolus, arba bet kokia kitos valstybės teritorijos ar jos dalies aneksija panaudojus jėgą; b) valstybės ginkluotųjų pajėgų įvykdytas kitos valstybės teritorijos bombardavimas ar bet kokių ginklų panaudojimas prieš kitos valstybės teritoriją; c) valstybės ginkluotosiomis pajėgomis įvykdyta kitos valstybės uostų ar pakrančių blokada; d) valstybės ginkluotųjų pajėgų įvykdytas kitos valstybės sausumos, jūrų ar oro pajėgų ar jūrų arba oro laivynų užpuolimas; e) vienos valstybės ginkluotųjų pajėgų, dislokuotų kitos valstybės teritorijoje pagal susitarimą su šia kita jas priimančia valstybe, panaudojimas pažeidžiant šiame susitarime nustatytas sąlygas ar jų buvimo pratęsimas šioje teritorijoje pasibaigus susitarimui; f) vienos valstybės veiksmai, leidžiantys, kad antra valstybė panaudų jai suteiktą šios pirmosios valstybės teritoriją agresijos aktui prieš trečią valstybę vykdyti; g) valstybės ar jos vardu siuntimas ginkluotų gaujų, grupių, nereguliarių pajėgų ar samdinių, vykdančių ginkluotus veiksmus prieš kitą valstybę, turintis tokį sunkų pobūdį, kuris prilygsta aukščiau išdėstytiems aktams, arba jos esminis įsitraukimas į juos. Rezoliucijos 4 straipsnyje pažymėta, kad 3 straipsnyje išdėstytų aktų sąrašas nėra išsamus, ir Saugumo Taryba gali nustatyti, kad kiti aktai sudaro agresiją pagal Chartijos nuostatas.</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color w:val="000000" w:themeColor="text1"/>
          <w:szCs w:val="24"/>
        </w:rPr>
        <w:t>Taigi, 2011 m. kovo 22 d. įstatymu Nr. XI-1291</w:t>
      </w:r>
      <w:r w:rsidRPr="00C00255">
        <w:t xml:space="preserve"> </w:t>
      </w:r>
      <w:r w:rsidRPr="00C00255">
        <w:rPr>
          <w:color w:val="000000" w:themeColor="text1"/>
          <w:szCs w:val="24"/>
        </w:rPr>
        <w:t xml:space="preserve">BK 101 ir 103 straipsniuose įtvirtinus papildomą nusikalstamos veikos padarymo laiką – agresijos metu – nebuvo įtvirtintas visiškai naujas nusikalstamos veikos požymis, kuris nebūtų žinomas tarptautinėje teisėje 1991 m., kadangi, kaip minėta, Lietuvos Respublikos teisinėje sistemoje agresijos sąvoka yra siejama su ginkluotos jėgos panaudojimu prieš Lietuvos Respublikos suverenitetą, teritorijos vientisumą ar politinę nepriklausomybę, o tarptautinėje humanitarinėje teisėje 1991 m. jau buvo aiškiai įtvirtintos nuostatos dėl agresyvaus karo draudimo bei dėl draudžiamo elgesio ginkluotų konfliktų metu.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Pirmosios instancijos teismas konstatavo, kad TSRS ginkluotųjų pajėgų buvimas Lietuvos Respublikos teritorijoje po 1990 m. kovo 11 d. buvo 1940 m. birželio 15 d. TSRS prieš Lietuvos Respubliką įvykdyto agresijos akto tąsa, o pradėjus ginkluotus karinius veiksmus prasidėjo ginkluotas konfliktas, nors Lietuvos ginkluotosios pajėgos ir nesipriešino. Faktas, kad šioje byloje aktualiu laikotarpiu Lietuvos Respublikoje buvo vykdoma TSRS agresija, yra pripažintas ir kasacinio teismo praktikoje (LAT nutartis baudžiamojoje byloje Nr. 2K-7-1-693/2017) bei Konstitucinio Teismo jurisprudencijoje, kuri jau aptarta šiame sprendime, analizuojant istorinį politinį </w:t>
      </w:r>
      <w:r w:rsidRPr="00C00255">
        <w:rPr>
          <w:szCs w:val="24"/>
          <w:lang w:eastAsia="lt-LT"/>
        </w:rPr>
        <w:t>1991 m. sausio – rugpjūčio mėnesių įvykių Lietuvoje kontekstą</w:t>
      </w:r>
      <w:r w:rsidRPr="00C00255">
        <w:rPr>
          <w:color w:val="000000" w:themeColor="text1"/>
          <w:szCs w:val="24"/>
        </w:rPr>
        <w:t xml:space="preserve"> (Konstitucinio teismo </w:t>
      </w:r>
      <w:r w:rsidRPr="00C00255">
        <w:rPr>
          <w:szCs w:val="24"/>
          <w:lang w:eastAsia="lt-LT"/>
        </w:rPr>
        <w:t>2013 m. vasario 22 d., 2014 m. kovo 18 d. nutarimai</w:t>
      </w:r>
      <w:r w:rsidRPr="00C00255">
        <w:rPr>
          <w:color w:val="000000" w:themeColor="text1"/>
          <w:szCs w:val="24"/>
        </w:rPr>
        <w:t xml:space="preserve">). Todėl apeliacinės instancijos teismas nemato teisinių pagrindų nagrinėjamoje byloje nukrypti nuo minėtoje teismų praktikoje jau padarytų išvadų šiuo klausimu.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Su agresijos terminu yra susiję ir dalis apeliacinių skundų argumentų, kuriuose teigiama, kad tarptautinėje teisėje agresijos subjektais pripažįstami tik valstybių vadovai (lyderiai), turintys įgalinimus inicijuoti agresijos aktus, todėl nuteistieji negalėjo būti traukiami baudžiamojon atsakomybėn pagal jiems inkriminuotus BK straipsnius, nes jie nėra jiems inkriminuotų nusikaltimų </w:t>
      </w:r>
      <w:r w:rsidRPr="00C00255">
        <w:rPr>
          <w:i/>
          <w:color w:val="000000" w:themeColor="text1"/>
          <w:szCs w:val="24"/>
        </w:rPr>
        <w:t>subjektai</w:t>
      </w:r>
      <w:r w:rsidRPr="00C00255">
        <w:rPr>
          <w:color w:val="000000" w:themeColor="text1"/>
          <w:szCs w:val="24"/>
        </w:rPr>
        <w:t xml:space="preserve">. </w:t>
      </w:r>
      <w:r w:rsidRPr="00C00255">
        <w:rPr>
          <w:bCs/>
          <w:color w:val="000000"/>
          <w:szCs w:val="24"/>
          <w:lang w:eastAsia="lt-LT"/>
        </w:rPr>
        <w:t>Kad agresijos nusikaltimo subjektais yra laikomi tik vadovaujančias pareigas užimantys asmenys patvirtina ir Tarptautinio Baudžiamojo Teismo Romos statuto 8 </w:t>
      </w:r>
      <w:r w:rsidRPr="00C00255">
        <w:rPr>
          <w:bCs/>
          <w:i/>
          <w:iCs/>
          <w:color w:val="000000"/>
          <w:szCs w:val="24"/>
          <w:lang w:eastAsia="lt-LT"/>
        </w:rPr>
        <w:t xml:space="preserve">bis </w:t>
      </w:r>
      <w:r w:rsidRPr="00C00255">
        <w:rPr>
          <w:bCs/>
          <w:color w:val="000000"/>
          <w:szCs w:val="24"/>
          <w:lang w:eastAsia="lt-LT"/>
        </w:rPr>
        <w:t>straipsnis „</w:t>
      </w:r>
      <w:bookmarkStart w:id="807" w:name="part_0ec8edfe3f4b47afa2f3dfdf3a5ff778"/>
      <w:bookmarkEnd w:id="807"/>
      <w:r w:rsidRPr="00C00255">
        <w:rPr>
          <w:bCs/>
          <w:color w:val="000000"/>
          <w:szCs w:val="24"/>
          <w:lang w:eastAsia="lt-LT"/>
        </w:rPr>
        <w:t xml:space="preserve">Agresijos nusikaltimas“, kuriame nurodyta, kad </w:t>
      </w:r>
      <w:bookmarkStart w:id="808" w:name="part_9bfc8af4d44c415f8b85e5421f3adaf3"/>
      <w:bookmarkEnd w:id="808"/>
      <w:r w:rsidRPr="00C00255">
        <w:rPr>
          <w:color w:val="000000"/>
          <w:szCs w:val="24"/>
          <w:lang w:eastAsia="lt-LT"/>
        </w:rPr>
        <w:t>agresijos nusikaltimas – tai asmens, galinčio veiksmingai kontroliuoti valstybės politinius ar karinius veiksmus ar jiems vadovauti, planuojamas, rengiamas, inicijuojamas ar vykdomas agresijos aktas, kuris savo pobūdžiu, sunkumu ir mastu akivaizdžiai pažeidžia Jungtinių Tautų Chartiją.</w:t>
      </w:r>
      <w:bookmarkStart w:id="809" w:name="part_0665ddb6c76242e3a1ab0c84d00ea2e1"/>
      <w:bookmarkEnd w:id="809"/>
      <w:r w:rsidRPr="00C00255">
        <w:rPr>
          <w:color w:val="000000"/>
          <w:szCs w:val="24"/>
          <w:lang w:eastAsia="lt-LT"/>
        </w:rPr>
        <w:t xml:space="preserve"> </w:t>
      </w:r>
      <w:r w:rsidRPr="00C00255">
        <w:rPr>
          <w:color w:val="000000" w:themeColor="text1"/>
          <w:szCs w:val="24"/>
        </w:rPr>
        <w:t xml:space="preserve">Tačiau apeliacinės instancijos teismas pažymi, kad nagrinėjamoje byloje kaltinamiesiems nebuvo pareikšti kaltinimai pagal BK 110 straipsnį, pagal kurį baudžiamojon atsakomybėn traukiami asmenys, sukėlę agresiją prieš kitą valstybę ar jai vadovavę, t. y. asmenys, užimantys valstybės valdžios institucijose tam tikras pareigas, leidžiančias daryti įtaką valstybės ginkluotųjų pajėgų naudojimui.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Nagrinėjamoje byloje agresija yra vertinama tik kaip požymis, apibūdinantis nusikaltimų, numatytų BK 101 ir 103 straipsniuose, padarymo laiką. Nusikalstamų veikų padarymas agresijos metu jokia apimtimi nešalina žemesnes pareigas ėjusių</w:t>
      </w:r>
      <w:r w:rsidRPr="00C00255">
        <w:rPr>
          <w:szCs w:val="24"/>
        </w:rPr>
        <w:t xml:space="preserve"> asmenų </w:t>
      </w:r>
      <w:r w:rsidRPr="00C00255">
        <w:rPr>
          <w:color w:val="000000" w:themeColor="text1"/>
          <w:szCs w:val="24"/>
        </w:rPr>
        <w:t>atsakomybės už minėtuose straipsniuose nustatytus karo nusikaltimus.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Dažniausiai baudžiamojon atsakomybėn už karo nusikaltimus yra traukiami kariškiai, tačiau, teisėjų kolegijos vertinimu, Lietuvos Respublikos baudžiamajame kodekse XV skyriuje „Nusikaltimai žmoniškumui ir karo nusikaltimai“ naudojamas išsireiškimas „Tas, kas“, o ne sąvoka „karys“, kuri naudojama BK XLVI skyriuje „Nusikaltimai ir baudžiamieji nusižengimai krašto apsaugos tarnybai“, bei tarptautinė praktika šiuo klausimu, leidžia daryti ir išvadą – kad tam tikrais atvejais karo nusikaltimų subjektu gali būti ir civilis asmuo (t. y. ne tik kariškio statusą turintis asmuo). Būtina sąlyga, kad šio asmens nusikalstama veika būtų neatsiejamai susijusi su ginkluotųjų pajėgų veiksmais karo, ginkluoto konflikto, agresijos ir kt. metu ir nukreipta prieš tarptautinės humanitarinės teisės saugomus asmenis ar objektus.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Kad civiliai gali būti traukiami baudžiamojo atsakomybėn už karo nusikaltimų padarymą įrodo ir Niurnbergo tarptautinio karinio tribunolo 1946 m. spalio 1 d. nuosprendis, kuriuo už karo nusikaltimus buvo nuteisti ne tik kariškiai. Pavyzdžiui, už karo nusikaltimų padarymą buvo nuteistas ir Vokietijos užsienio reikalų ministras Joachimas von Ribentropas. </w:t>
      </w:r>
      <w:r w:rsidRPr="00C00255">
        <w:rPr>
          <w:iCs/>
          <w:szCs w:val="24"/>
        </w:rPr>
        <w:t xml:space="preserve">Tarptautinio Raudonojo Kryžiaus komiteto 2005 m. parengtose Paprotinės humanitarinės teisės taisyklėse taip pat pažymima, kad teisės aktų, teismų praktikos, karinių statutų analizė rodo, jog karo nusikaltimais pripažįstami nusikaltimai, įvykdyti ne tik ginkluotųjų pajėgų narių, bet ir civilių (156 taisyklė – </w:t>
      </w:r>
      <w:r w:rsidRPr="00C00255">
        <w:rPr>
          <w:szCs w:val="24"/>
        </w:rPr>
        <w:t xml:space="preserve">(žr. </w:t>
      </w:r>
      <w:r w:rsidRPr="00C00255">
        <w:rPr>
          <w:rFonts w:eastAsia="Batang"/>
          <w:szCs w:val="24"/>
          <w:lang w:eastAsia="lt-LT"/>
        </w:rPr>
        <w:t>[interaktyvus]. &lt;</w:t>
      </w:r>
      <w:r w:rsidRPr="00C00255">
        <w:rPr>
          <w:szCs w:val="24"/>
        </w:rPr>
        <w:t>https://ihl-databases.icrc.org/customary-ihl/eng/docs/v1_rul_rule156</w:t>
      </w:r>
      <w:r w:rsidRPr="00C00255">
        <w:rPr>
          <w:rStyle w:val="Hyperlink"/>
          <w:color w:val="auto"/>
          <w:szCs w:val="24"/>
          <w:u w:val="none"/>
        </w:rPr>
        <w:t>&gt;</w:t>
      </w:r>
      <w:r w:rsidRPr="00C00255">
        <w:rPr>
          <w:szCs w:val="24"/>
        </w:rPr>
        <w: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Atsižvelgiant į šioje sprendimo dalyje aptartų tarptautinės teisės šaltinių visumą, darytina išvada, kad 1991 m. </w:t>
      </w:r>
      <w:r w:rsidRPr="00C00255">
        <w:rPr>
          <w:i/>
          <w:color w:val="000000" w:themeColor="text1"/>
          <w:szCs w:val="24"/>
        </w:rPr>
        <w:t xml:space="preserve">tarptautinės humanitarinės teisės saugomų asmenų (nagrinėjamu atveju – civilių asmenų) žudymas, sunkus jų kūno ar sveikatos sužalojimas, bauginimo ir teroro priemonių naudojimas prieš juos bei neteisėtas jų laisvės atėmimas ar suvaržymas ginkluoto konflikto ar agresijos metu tarptautinėje teisėje </w:t>
      </w:r>
      <w:r w:rsidRPr="00C00255">
        <w:rPr>
          <w:color w:val="000000" w:themeColor="text1"/>
          <w:szCs w:val="24"/>
        </w:rPr>
        <w:t xml:space="preserve">buvo aiškiai ir numatomai apibrėžti kaip karo nusikaltimai, už kuriuos baudžiamojon atsakomybėn gali būti traukiami ne tik kariškiai, bet ir, esant minėtų sąlygų visumai, civiliai, todėl pirmosios instancijos teismas pagrįstai padarė išvadą, kad nuteistųjų nusikalstamos veikos galėjo būti kvalifikuotos pagal nuosprendžio priėmimo metu galiojusio BK 101 straipsnio ir BK 103 straipsnio 1 dalies redakciją (su sąlyga jeigu nuteistųjų padarytose veikose galima įžvelgti šių nusikaltimų požymių visumą) ir tuo nebuvo pažeistas </w:t>
      </w:r>
      <w:r w:rsidRPr="00C00255">
        <w:rPr>
          <w:i/>
          <w:color w:val="000000" w:themeColor="text1"/>
          <w:szCs w:val="24"/>
        </w:rPr>
        <w:t>nullum crimen sine lege</w:t>
      </w:r>
      <w:r w:rsidRPr="00C00255">
        <w:rPr>
          <w:color w:val="000000" w:themeColor="text1"/>
          <w:szCs w:val="24"/>
        </w:rPr>
        <w:t xml:space="preserve"> principas.</w:t>
      </w:r>
    </w:p>
    <w:p w:rsidR="00DA38E9" w:rsidRPr="00C00255" w:rsidRDefault="00DA38E9" w:rsidP="00DA38E9">
      <w:pPr>
        <w:pStyle w:val="Heading3"/>
        <w:spacing w:before="120" w:after="120"/>
        <w:ind w:left="992"/>
        <w:jc w:val="both"/>
        <w:rPr>
          <w:b w:val="0"/>
          <w:i/>
          <w:sz w:val="24"/>
          <w:lang w:val="lt-LT"/>
        </w:rPr>
      </w:pPr>
      <w:bookmarkStart w:id="810" w:name="_Toc66718300"/>
      <w:bookmarkStart w:id="811" w:name="_Toc67677423"/>
      <w:bookmarkStart w:id="812" w:name="_Toc67985551"/>
      <w:r w:rsidRPr="00C00255">
        <w:rPr>
          <w:b w:val="0"/>
          <w:i/>
          <w:sz w:val="24"/>
          <w:lang w:val="lt-LT"/>
        </w:rPr>
        <w:t>Dėl BK 101 straipsnyje ir BK 103 straipsnio 1 dalyje įtvirtintų nusikalstamų veikų sudėties požymių konstatavimo nuteistųjų veikose</w:t>
      </w:r>
      <w:bookmarkEnd w:id="810"/>
      <w:bookmarkEnd w:id="811"/>
      <w:bookmarkEnd w:id="812"/>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Teisėjų kolegija neabejoja, kad šioje byloje nuteisti asmenys veikdami bendrai, realizavo aptariamų karo nusikaltimų (kaip ir vėliau aptartinų BK 111 straipsnio 1 dalyje ir BK 112 straipsnyje įtvirtintų karo nusikaltimų) sudėties požymius.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Apeliacinės instancijos teismo teisėjų kolegija primena, kad nagrinėjamoje byloje aktualūs šie minėtų karo nusikaltimų sudėčių požymiai: a) BK 101 straipsnyje įtvirtinto nusikaltimo atveju – „</w:t>
      </w:r>
      <w:r w:rsidRPr="00C00255">
        <w:rPr>
          <w:i/>
          <w:color w:val="000000" w:themeColor="text1"/>
          <w:szCs w:val="24"/>
        </w:rPr>
        <w:t>agresijos ir ginkluoto konflikto metu</w:t>
      </w:r>
      <w:r w:rsidRPr="00C00255">
        <w:rPr>
          <w:color w:val="000000" w:themeColor="text1"/>
          <w:szCs w:val="24"/>
        </w:rPr>
        <w:t xml:space="preserve"> </w:t>
      </w:r>
      <w:r w:rsidRPr="00C00255">
        <w:rPr>
          <w:i/>
          <w:color w:val="000000" w:themeColor="text1"/>
          <w:szCs w:val="24"/>
        </w:rPr>
        <w:t>žudė tarptautinės humanitarinės teisės saugomus asmenis</w:t>
      </w:r>
      <w:r w:rsidRPr="00C00255">
        <w:rPr>
          <w:color w:val="000000" w:themeColor="text1"/>
          <w:szCs w:val="24"/>
        </w:rPr>
        <w:t>“; b) </w:t>
      </w:r>
      <w:r w:rsidRPr="00C00255">
        <w:rPr>
          <w:szCs w:val="24"/>
        </w:rPr>
        <w:t>BK 103 straipsnio 1 dalyje įtvirtinto nusikaltimo atveju – „</w:t>
      </w:r>
      <w:r w:rsidRPr="00C00255">
        <w:rPr>
          <w:i/>
          <w:color w:val="000000" w:themeColor="text1"/>
          <w:szCs w:val="24"/>
        </w:rPr>
        <w:t>agresijos ir ginkluoto konflikto metu</w:t>
      </w:r>
      <w:r w:rsidRPr="00C00255">
        <w:rPr>
          <w:color w:val="000000" w:themeColor="text1"/>
          <w:szCs w:val="24"/>
        </w:rPr>
        <w:t xml:space="preserve"> </w:t>
      </w:r>
      <w:r w:rsidRPr="00C00255">
        <w:rPr>
          <w:i/>
          <w:color w:val="000000" w:themeColor="text1"/>
          <w:szCs w:val="24"/>
        </w:rPr>
        <w:t>nežmoniškai elgėsi su tarptautinės humanitarinės teisės saugomais asmenimis: juos sunkiai sužalojo, naudojo bauginimo ir teroro priemones</w:t>
      </w:r>
      <w:r w:rsidRPr="00C00255">
        <w:rPr>
          <w:i/>
          <w:szCs w:val="24"/>
        </w:rPr>
        <w:t>, neteisėtai suvaržė ir atėmė jų laisvę</w:t>
      </w:r>
      <w:r w:rsidRPr="00C00255">
        <w:rPr>
          <w:color w:val="000000" w:themeColor="text1"/>
          <w:szCs w:val="24"/>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 xml:space="preserve">Dėl atskirų nuteistiesiems inkriminuotų BK 101 straipsnyje ir BK 103 straipsnio 1 dalyje įtvirtintų nusikalstamų veikų požymių teisėjų kolegija jau pasisakė analizuodama BK 100 straipsnyje numatytos nusikalstamos veikos požymius nuteistųjų veikose.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 xml:space="preserve">Pirmiausia, </w:t>
      </w:r>
      <w:r w:rsidRPr="00C00255">
        <w:rPr>
          <w:szCs w:val="24"/>
        </w:rPr>
        <w:t xml:space="preserve">kaip jau minėta, nuteistųjų nusikalstamos veikos, tiek strateginių objektų puolimo metu, tiek įgyvendinant komendanto valandos priemones, buvo atliktos prieš civilius, o, vadovaujantis tarptautinės teisės aktų nuostatomis, civiliai neabejotinai yra priskiriami prie tarptautinės humanitarinės teisės saugomų asmenų, todėl nuteistųjų veikos atitinka vieną iš BK 101 straipsnyje ir BK 103 straipsnio 1 dalyje įtvirtintų nusikalstamų veikų sudėties požymių – dalyką, t. y. kad nusikalstamos veikos atliktos prieš tarptautinės humanitarinės teisės saugomus asmenis. Be to, byloje iš esmės ir nėra ginčo dėl to, kad </w:t>
      </w:r>
      <w:r w:rsidRPr="00C00255">
        <w:rPr>
          <w:color w:val="000000" w:themeColor="text1"/>
          <w:szCs w:val="24"/>
        </w:rPr>
        <w:t>civiliai asmenys yra priskiriami prie tarptautinės humanitarinės teisės saugomų asmenų (</w:t>
      </w:r>
      <w:r w:rsidRPr="00C00255">
        <w:rPr>
          <w:szCs w:val="24"/>
        </w:rPr>
        <w:t xml:space="preserve">argumentus dėl to, kad įvykių metu civiliai nebuvo naudojami kaip „gyvasis skydas“, teisėjų kolegija pateiks kitoje šio procesinio sprendimo dalyje).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Taip pat, aptardama BK 100 straipsnyje numatyto nusikaltimo sudėties požymius, teisėjų kolegija jau konstatavo, kad byloje yra įrodytas ir abejonių nekelia </w:t>
      </w:r>
      <w:r w:rsidRPr="00C00255">
        <w:rPr>
          <w:i/>
          <w:szCs w:val="24"/>
        </w:rPr>
        <w:t>tarptautinės</w:t>
      </w:r>
      <w:r w:rsidRPr="00C00255">
        <w:rPr>
          <w:szCs w:val="24"/>
        </w:rPr>
        <w:t xml:space="preserve"> </w:t>
      </w:r>
      <w:r w:rsidRPr="00C00255">
        <w:rPr>
          <w:i/>
          <w:szCs w:val="24"/>
        </w:rPr>
        <w:t xml:space="preserve">humanitarinės teisės saugomų asmenų </w:t>
      </w:r>
      <w:r w:rsidRPr="00C00255">
        <w:rPr>
          <w:szCs w:val="24"/>
        </w:rPr>
        <w:t>– šiuo atveju civilių</w:t>
      </w:r>
      <w:r w:rsidRPr="00C00255">
        <w:rPr>
          <w:i/>
          <w:szCs w:val="24"/>
        </w:rPr>
        <w:t xml:space="preserve"> – žudymo</w:t>
      </w:r>
      <w:r w:rsidRPr="00C00255">
        <w:rPr>
          <w:szCs w:val="24"/>
        </w:rPr>
        <w:t xml:space="preserve"> požymis (aktualus BK 101 straipsnyje numatyto nusikaltimo požymis). Kaip jau minėta, 1991 m. sausio įvykių metu Vilniuje ir jo apylinkėse bendrais nuteistųjų veiksmais buvo nužudyti 14 civilių. Visgi teisėjų kolegija negali sutikti su prokurorų teiginiu, kad byloje įrodytas ir „</w:t>
      </w:r>
      <w:r w:rsidRPr="00C00255">
        <w:rPr>
          <w:i/>
          <w:szCs w:val="24"/>
        </w:rPr>
        <w:t>įsakymo bei organizavimo žudyti tarptautinės humanitarinės teisės saugomus asmenis</w:t>
      </w:r>
      <w:r w:rsidRPr="00C00255">
        <w:rPr>
          <w:szCs w:val="24"/>
        </w:rPr>
        <w:t xml:space="preserve">“ požymis. Prokurorai </w:t>
      </w:r>
      <w:r w:rsidRPr="00C00255">
        <w:t>apeliaciniu skundu prašė įrodyta pripažinti ir aplinkybę</w:t>
      </w:r>
      <w:r w:rsidRPr="00C00255">
        <w:rPr>
          <w:rStyle w:val="Numatytasispastraiposriftas1"/>
          <w:color w:val="000000"/>
          <w:szCs w:val="24"/>
          <w:lang w:eastAsia="ar-SA" w:bidi="lt-LT"/>
        </w:rPr>
        <w:t>, jog nuteistieji „</w:t>
      </w:r>
      <w:r w:rsidRPr="00C00255">
        <w:rPr>
          <w:rStyle w:val="Numatytasispastraiposriftas1"/>
          <w:i/>
          <w:color w:val="000000"/>
          <w:szCs w:val="24"/>
          <w:lang w:eastAsia="ar-SA" w:bidi="lt-LT"/>
        </w:rPr>
        <w:t>įsakė, organizavo žudyti tarptautinės humanitarinės teisės saugomus asmenis</w:t>
      </w:r>
      <w:r w:rsidRPr="00C00255">
        <w:rPr>
          <w:rStyle w:val="Numatytasispastraiposriftas1"/>
          <w:color w:val="000000"/>
          <w:szCs w:val="24"/>
          <w:lang w:eastAsia="ar-SA" w:bidi="lt-LT"/>
        </w:rPr>
        <w:t xml:space="preserve">“ (t. 777, b. l. 107–135). Tačiau šių BK 101 straipsnio dispozicijoje apibrėžtų požymių, kuriais prašoma papildyti byloje nustatytas faktines aplinkybės, prokuratūra niekaip nepagrindė. Savo ruožtu </w:t>
      </w:r>
      <w:r w:rsidRPr="00C00255">
        <w:rPr>
          <w:szCs w:val="24"/>
        </w:rPr>
        <w:t xml:space="preserve">apeliacinės instancijos teismas, įvertinęs byloje surinktų duomenų visumą, neįžvelgia pagrindo be abejonių konstatuoti, kad nuteistieji būtų davę aiškų įsakymą žudyti civilius ar organizavę būtent žudymą, todėl prokurorų prašymas pripažinti šiuos požymius įrodytais atmestinas.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Teisėjų kolegijai abejonių nekelia ir tai, kad 1991 m. įvykių metu, nuteistiesiems veikiant bendrai ir koordinuotai, </w:t>
      </w:r>
      <w:r w:rsidRPr="00C00255">
        <w:rPr>
          <w:i/>
          <w:szCs w:val="24"/>
        </w:rPr>
        <w:t>su</w:t>
      </w:r>
      <w:r w:rsidRPr="00C00255">
        <w:rPr>
          <w:szCs w:val="24"/>
        </w:rPr>
        <w:t xml:space="preserve"> </w:t>
      </w:r>
      <w:r w:rsidRPr="00C00255">
        <w:rPr>
          <w:i/>
          <w:szCs w:val="24"/>
        </w:rPr>
        <w:t xml:space="preserve">civiliais buvo nežmoniškai elgiamasi – jie sunkiai sužaloti, jų atžvilgiu naudotos bauginimo ir teroro priemonės bei neteisėtai suvaržyta ir (ar) atimta jų laisvė </w:t>
      </w:r>
      <w:r w:rsidRPr="00C00255">
        <w:rPr>
          <w:szCs w:val="24"/>
        </w:rPr>
        <w:t xml:space="preserve">(BK 103 straipsnio 1 dalis). Dėl kiekvienos nežmoniško elgesio formos teisėjų kolegija pasisakys atskirai.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Pirmiausia teisėjų kolegija pažymi, kad </w:t>
      </w:r>
      <w:r w:rsidRPr="00C00255">
        <w:rPr>
          <w:i/>
          <w:szCs w:val="24"/>
        </w:rPr>
        <w:t>civilių sunkaus sveikatos sutrikdymo (sužalojimo)</w:t>
      </w:r>
      <w:r w:rsidRPr="00C00255">
        <w:rPr>
          <w:szCs w:val="24"/>
        </w:rPr>
        <w:t xml:space="preserve"> požymis byloje yra įrodytas ir abejonių nekelia. Kaip jau minėta, byloje nagrinėjamų įvykių metu bendrais nuteistųjų veiksmais, be kita ko, 32 civiliams buvo sunkiai sutrikdyta sveikata.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 xml:space="preserve">Pasisakydama dėl BK 100 straipsnyje numatyto nusikaltimo požymių, teisėjų kolegija jau minėjo, kad 1991 m. įvykių metu bendrai veikusių nuteistųjų veikomis </w:t>
      </w:r>
      <w:r w:rsidRPr="00C00255">
        <w:rPr>
          <w:i/>
          <w:color w:val="000000" w:themeColor="text1"/>
          <w:szCs w:val="24"/>
        </w:rPr>
        <w:t>civilių laisvės buvo varžomos bei ribojamos</w:t>
      </w:r>
      <w:r w:rsidRPr="00C00255">
        <w:rPr>
          <w:color w:val="000000" w:themeColor="text1"/>
          <w:szCs w:val="24"/>
        </w:rPr>
        <w:t xml:space="preserve">. Civilių fizinės laisvės varžymo bei atėmimo požymiai pasireiškė kariškių veiksmuose, kai jie užpultų objektų patalpose laikinai sulaikė ten buvusius civilius darbuotojus, taip pat šis požymis akivaizdžiai pasireiškė komendanto valandos įgyvendinimo etape, kai Vilniaus mieste ir jo apylinkėse neteisėtai buvo stabdomi, tikrinami ir sulaikomi civiliai asmenys, kurių atžvilgiu tam tikrais atvejais naudotas ir fizinis smurtas. Taigi nuteistiesiems, greta kitų BK 103 straipsnio 1 dalyje įtvirtintų veikų, buvo pagrįstai inkriminuotas ir neteisėtas civilių laisvės suvaržymas ir atėmimas.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Iš byloje nustatytų aplinkybių akivaizdu ir tai, kad TSRS karinės pajėgos prieš civilius naudojo </w:t>
      </w:r>
      <w:r w:rsidRPr="00C00255">
        <w:rPr>
          <w:i/>
          <w:szCs w:val="24"/>
        </w:rPr>
        <w:t>bauginimo ir teroro priemones</w:t>
      </w:r>
      <w:r w:rsidRPr="00C00255">
        <w:rPr>
          <w:szCs w:val="24"/>
        </w:rPr>
        <w:t xml:space="preserve">, kuriomis civiliai buvo gąsdinami bei daroma žala jų psichinei sveikatai. Teisėjų kolegija jau minėjo </w:t>
      </w:r>
      <w:r w:rsidRPr="00C00255">
        <w:rPr>
          <w:color w:val="000000" w:themeColor="text1"/>
          <w:szCs w:val="24"/>
        </w:rPr>
        <w:t xml:space="preserve">Lietuvos apeliacinio teismo 2017 m. sausio 24 d. nuosprendį baudžiamojoje byloje Nr. 1A-32-628/2017, kuriame bauginimo ir teroro priemonių panaudojimu buvo pripažintas kaltinamųjų buvimas ginkluotais šaunamaisiais ginklais, šaudymas į pastatus, grasinimas civiliams asmenims šaunamaisiais ginklais, smūgių sudavimas automato buožėmis, rankomis ir pan. veiksmai. Nagrinėjamoje byloje nustatyti analogiški TSRS ginkluotųjų pajėgų veiksmai prieš civilius, puolant strateginius objektus bei įgyvendinant komendanto valandą, ir juos teisėjų kolegija vertina lygiai taip pat, t. y. kaip bauginimo ir teroro priemones. Be to, teisėjų kolegijos vertinimu, 1991 m. sausio įvykių metu prieš civilius buvo naudojamos ir dar pavojingesnės bauginimo bei teroro priemonės. Strateginių objektų puolimo metu buvo panaudoti ir tankai, kurie pavojingai manevravo tarp civilių, arti jų šaudė išmušamaisiais užtaisais, leido dūmines užsklandas, šalino užtvaras, o TSRS ginkluotosios pajėgos ne tik grasino civiliams šaunamaisiais ginklais, bet ir jais šaudė į civilius, taip pat prieš juos naudojo sprogmenis ir kitas specialiąsias priemones. Apeliacinės instancijos teismo vertinimu, tokių prieš civilius atliktų veiksmų visuma akivaizdžiai rodo, jog civiliai buvo bauginami ir terorizuojami.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color w:val="000000" w:themeColor="text1"/>
          <w:szCs w:val="24"/>
        </w:rPr>
      </w:pPr>
      <w:r w:rsidRPr="00C00255">
        <w:rPr>
          <w:szCs w:val="24"/>
        </w:rPr>
        <w:t>Taigi, teisėjų kolegijos vertinimu, visos skundžiamu nuosprendžiu nuteistiesiems inkriminuotos prieš civilius taikytos nežmoniško elgesio formos pasitvirtino. Nors ne kiekvienas iš nuteistųjų tiesiogiai atliko visus prieš tai aptartus veiksmus (žudymas, sunkus sveikatos sutrikdymas, bauginimo ir teroro priemonių naudojimas, neteisėtas laisvės suvaržymas ir atėmimas), kiekvienas iš jų, atlikdamas jam priskirtas konkrečias užduotis, prisidėjo prie minėtų neteisėtų veiksmų prieš civilius atlikimo ir kiekvieno iš nuteistųjų veiksmai buvo būtina sąlyga bendro nusikalstamo plano įgyvendinimui. Atsižvelgdama į tokią išvadą, teisėjų kolegija sutinka ir su prokurorų prašymu dėl faktinių aplinkybių papildymo ir patikslinimo, nuosekliai nurodant, kad su civiliais aptariamų įvykių metu buvo nežmoniškai elgiamasi: jie sunkiai sužaloti, jų atžvilgiu naudotos bauginimo ir teroro priemonės bei neteisėtai suvaržyta ir (ar) atimta jų laisvė.</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Visgi, panašiai kaip ir pasisakydamas dėl </w:t>
      </w:r>
      <w:r w:rsidRPr="00C00255">
        <w:rPr>
          <w:i/>
          <w:szCs w:val="24"/>
        </w:rPr>
        <w:t>įsakymo ir organizavimo žudyti</w:t>
      </w:r>
      <w:r w:rsidRPr="00C00255">
        <w:rPr>
          <w:szCs w:val="24"/>
        </w:rPr>
        <w:t xml:space="preserve"> civilius požymio, apeliacinės instancijos teismas nesutinka, kad nagrinėjamoje byloje yra įrodytas „</w:t>
      </w:r>
      <w:r w:rsidRPr="00C00255">
        <w:rPr>
          <w:i/>
          <w:szCs w:val="24"/>
        </w:rPr>
        <w:t>įsakymo ir organizavimo nežmoniškai elgtis su tarptautinės humanitarinės teisės saugomais asmenimis</w:t>
      </w:r>
      <w:r w:rsidRPr="00C00255">
        <w:rPr>
          <w:szCs w:val="24"/>
        </w:rPr>
        <w:t xml:space="preserve">“ požymis, kuriuo prokurorai taip pat prašo papildyti nustatytas faktines įvykių aplinkybes. Minėtus nusikalstamos veikos požymius atitinkantys nuteistųjų veiksmai nagrinėjamoje byloje nėra įrodyti (nėra juos patvirtinančių duomenų), o ir prokurorų apeliaciniame skunde neišdėstyti jokie argumentai apie tai, kaip šiuos požymius nuteistieji savo veikomis realizavo. Taigi prokurorų prašymas pripažinti šiuos požymius įrodytais atmestinas.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Sprendžiant, ar pagrįstai nuteistųjų veikos buvo kvalifikuotos pagal BK 101 straipsnį ir BK 103 straipsnio 1 dalį, būtina nustatyti, ar nuteistųjų atliktos konkrečios veikos buvo padarytos tam tikru BK numatytu metu (kaip nagrinėjamu atveju – ginkluoto konflikto ir agresijos metu) bei nustatyti, kad nuteistųjų veiksmai buvo tiesiogiai susiję su minėtu ginkluotu konfliktu ar agresija. Ankstesnėje dalyje aptardama tarptautinėje teisėje įtvirtintus BK 101 straipsnyje ir BK 103 straipsnio 1 dalyje numatytų nusikaltimų požymius, teisėjų kolegija, vadovaudamasi LAT ir Konstitucinio Teismo praktika, jau konstatavo, kad 1991 m. vykdyti neteisėti veiksmai Lietuvos teritorijoje buvo padaryti TSRS vykdyto </w:t>
      </w:r>
      <w:r w:rsidRPr="00C00255">
        <w:rPr>
          <w:i/>
          <w:szCs w:val="24"/>
        </w:rPr>
        <w:t xml:space="preserve">tarptautinio ginkluoto konflikto ir agresijos metu, </w:t>
      </w:r>
      <w:r w:rsidRPr="00C00255">
        <w:rPr>
          <w:szCs w:val="24"/>
        </w:rPr>
        <w:t>veikiant prieš nepriklausomybę atkūrusią Lietuvos valstybę ir lietuvių tautą, kuri ginklu agresorei nesipriešino (TSRS ginkluotųjų pajėgų buvimas Lietuvos teritorijoje po 1991 m. kovo 11 d.</w:t>
      </w:r>
      <w:r w:rsidRPr="00C00255">
        <w:rPr>
          <w:color w:val="000000" w:themeColor="text1"/>
          <w:szCs w:val="24"/>
        </w:rPr>
        <w:t xml:space="preserve"> buvo 1940 m. birželio 15 d. TSRS prieš Lietuvos Respubliką įvykdyto agresijos akto tąsa). Taigi minėtų nusikaltimų padarymo laiko požymis šioje byloje yra įrodytas ir pakartotinai nebebus aptariamas.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Teisėjų kolegijos vertinimu, aptariamuose įvykiuose bendrai ir koordinuotai dalyvavę nuteistieji pagrįstai pripažinti BK 101 straipsnyje ir BK 103 straipsnio 1 dalyje numatytų </w:t>
      </w:r>
      <w:r w:rsidRPr="00C00255">
        <w:rPr>
          <w:i/>
          <w:szCs w:val="24"/>
        </w:rPr>
        <w:t>karo nusikaltimų subjektais</w:t>
      </w:r>
      <w:r w:rsidRPr="00C00255">
        <w:rPr>
          <w:szCs w:val="24"/>
        </w:rPr>
        <w:t xml:space="preserve">. Apeliacinės instancijos teismas ankstesnėje šio procesinio sprendimo dalyje jau minėjo, kad šių nusikaltimų subjektais gali būti pripažinti anaiptol ne tik valstybių vadovai (lyderiai) (kaip teigė dauguma apeliantų), tačiau ir žemesnio rango kariškiai ar, esant nustatytoms sąlygoms, net ir civiliai. Siekiant pripažinti asmenį minėtų nusikaltimų subjektu, svarbiausia nustatyti, jog šio asmens veika yra neatsiejamai susijusi su ginkluotųjų pajėgų veiksmais ginkluoto konflikto ir (ar) agresijos metu ir nukreipta prieš tarptautinės humanitarinės teisės saugomus asmenis. Teisėjų kolegija pažymi, kad visi nuteistieji, buvę TSRS ginkluotųjų pajėgų kariškiais arba šios valstybės organizacijų nariais, 1991 m. veikė bendrai ir koordinuotai bei įgyvendino TSRS politiką užpuldinėti civilius ir tai atliko šios valstybės vykdyto tarptautinio ginkluoto konflikto ir agresijos metu. Taigi jie gali būti pripažįstami aptariamų nusikaltimų subjektais.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Kalbant apie subjektyvųjį šioje sprendimo dalyje aptariamų karo nusikaltimų požymį – kaltę, kaip ir BK 100 straipsnio atveju, pabrėžtina, kad šie nusikaltimai gali būti padaromi tik tiesiogine tyčia, t. y. asmuo suvokia, kad jis veikia prieš tarptautinės humanitarinės teisės saugomus asmenis karo, ginkluoto konflikto, agresijos, okupacijos ar aneksijos metu, suvokia savo veikos pavojingą pobūdį tarptautinės humanitarinės teisės saugomiems asmenims ir tai, kad jo veika yra susijusi su ginkluotu konfliktu, agresija, okupacija, aneksija ar karu ir nori taip veikti. Pirmiausia, byloje esantys duomenys apie faktinius nuteistųjų veiksmus patvirtina, kad visi nuteistieji žinojo, jog dalyvauja ginkluotame konflikte, agresijos metu. Tokį karinę operaciją iniciavusių, planavusių ir jai vadovavusių nuteistųjų žinojimą, be kita ko, patvirtina įvairūs Lietuvos valdžios atstovų raštai, kreipimaisi, prašant nutraukti neteisėtus TSRS ginkluotųjų pajėgų veiksmus nepriklausomybę atkūrusios Lietuvos valstybės teritorijoje, o tiesiogiai karinėje operacijoje dalyvavusių nuteistųjų (kariškių) žinojimą patvirtina ir faktiniai jų veiksmai. Profesionalūs kariškiai (ne šauktiniai kariai, o karininkai – tarnaujantys profesinėje karinėje tarnyboje ir baigę karinius mokslus) bent jau bendrąja prasme aiškiai suvokė, jog įvykių metu yra taikoma agresija tiek prieš civilius, tiek prieš Lietuvos Respublikos suverenitetą bei politinę nepriklausomybę. Tai patvirtina užimant konkrečius Lietuvai svarbius objektus kariškių transliuotas garso įrašas, jog visą valdžią Lietuvoje perima LNGK ir žmonių prašoma nesipriešinti. Iš garso įrašo akivaizdu, kad kariškiai neabejotinai suvokė, jog kiekvieno jų veiksmais yra įgyvendinamas bendras siekis perimti Lietuvos valdžią, be kita ko, taikant agresyvų veikimo prieš civilius gyventojus modelį. Taip pat bylos duomenys patvirtina, kad nuteistieji suvokė, jog atlieka neteisėtus veiksmus prieš neabejotinai tarptautinės humanitarinės teisės saugomus asmenis – civilius. Kalbant apie karinę operaciją iniciavusius, ją planavusius asmenis bei kariškių veiksmus prie objektų koordinavusius aukščiausio rango karininkus, pažymėtina, jog jie, dar planuodami atliktinus veiksmus, žinojo, kad puolimas bus nukreiptas prieš civilius, tačiau puolimų vykdymui pasitelkė galingą kovinę techniką, kovinius ginklus, specialiąsias priemones bei didelį skaičių kariškių ir tai rodo, kad šie asmenys suvokė, jog, kaip operacijos iniciatoriai, planuotojai ir vadovai, savo veika reikšmingai prisideda prie neteisėtų ir draudžiamų veiksmų prieš civilius asmenis bei numatė galimas civilių aukas. Atitinkamai inkriminuotuose įvykiuose dalyvavę ir vadovaujančias pareigas ėję TSRS karininkai žinojo apie prie užimtinų objektų esančius civilius gyventojus bei suvokė, kad siekiant įvykdyti iškeltas užduotis (perimti objektus apsaugai, pašalinti iš jų darbuotojus ir pan.), teks veržtis pro civilius asmenis panaudojant jėgą ir tam iš anksto ruošėsi. Be to, teisėjų kolegijai nekyla abejonių, kad vadovaujančias pareigas ėję karininkai, kurie atvyko prie minėtų objektų ir prie jų tiesiogiai matė daugiatūkstantines civilių minias bei turėjo realią galimybę nutraukti suplanuotus puolamuosius veiksmus, tačiau to nepadarė, taip pat suvokė, kad, vykdydami užduotį užimti objektus (be kita ko, pasitelkdami pavaldžius kariškius, galingą karinę techniką, ginklus ir kt. priemones), neišvengiamai atliks agresijos veiksmus – puls civilius, juos baugins ir terorizuos, neteisėtai suvaržys jų laisvę, bei tai, kad kiekvieno jų veiksmai yra susiję su vykdomais neteisėtais veiksmais prieš tarptautinės humanitarinės teisės saugomus asmenis bei numatė galimas civilių aukas. Lygiai taip pat ir planuojant įvesti komendanto valandą, numatant patruliavimui pasitelkti šarvuotą karinę techniką, kovinius ginklus bei praktiškai įvedant ir įgyvendinant komendanto valandą, buvo veikiama siekiant ne įvesti tariamą tvarką, o netrukus po įvykdytų agresijos veiksmų, turint tikslą užkirsti galimybes civiliams išreikšti protestą prieš tokius veiksmus, palaužti jų valią bei suvokiant pavojingą veiksmų pobūdį ir norint taip elgtis.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 xml:space="preserve">Atsižvelgdama į visa tai, teisėjų kolegija konstatuoja, kad asmenų, kuriems šioje byloje pareikšti kaltinimai, veikose yra nustatyti visi būtinieji šioje dalyje aptarti BK 101 straipsnyje ir BK 103 straipsnio 1 dalyje numatytų karo nusikaltimų sudėties požymiai. </w:t>
      </w:r>
    </w:p>
    <w:p w:rsidR="00DA38E9" w:rsidRPr="00C00255" w:rsidRDefault="00DA38E9" w:rsidP="00DA38E9">
      <w:pPr>
        <w:pStyle w:val="Heading3"/>
        <w:ind w:left="992"/>
        <w:jc w:val="both"/>
        <w:rPr>
          <w:b w:val="0"/>
          <w:i/>
          <w:sz w:val="24"/>
          <w:lang w:val="lt-LT"/>
        </w:rPr>
      </w:pPr>
      <w:bookmarkStart w:id="813" w:name="_Toc66718301"/>
      <w:bookmarkStart w:id="814" w:name="_Toc67677424"/>
      <w:bookmarkStart w:id="815" w:name="_Toc67985552"/>
      <w:r w:rsidRPr="00C00255">
        <w:rPr>
          <w:b w:val="0"/>
          <w:i/>
          <w:sz w:val="24"/>
          <w:lang w:val="lt-LT"/>
        </w:rPr>
        <w:t>Dėl BK 111 straipsnio 1 dalyje įtvirtintos nusikalstamos veikos sudėties požymių ir baudžiamosios atsakomybės už ją nustatymo tarptautinėje teisėje 1991 metais</w:t>
      </w:r>
      <w:bookmarkEnd w:id="813"/>
      <w:bookmarkEnd w:id="814"/>
      <w:bookmarkEnd w:id="815"/>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BK 111 straipsnio „Draudžiama karo ataka“ (2011 m. kovo 22 d. įstatymo Nr. XI-1291 redakcija) 1 dalyje yra numatyta baudžiamoji atsakomybė už įsakymą vykdyti tarptautinės humanitarinės teisės draudžiamą karo ataką ar tokios karo atakos vykdymą, konkrečiai įvardijant prieš kokius objektus ar subjektus vykdoma ataka yra laikoma tarptautinės humanitarinės teisės draudžiama karo ataka. Nagrinėjamoje baudžiamojoje byloje pagal nuteistiesiems pareikštus kaltinimus ir pagal pirmosios instancijos teismo bei apeliacinės instancijos teismo konstatuotas nuteistųjų padarytos nusikalstamos veikos faktines aplinkybes yra aktualūs šie nusikalstamos veikos požymiai – „</w:t>
      </w:r>
      <w:r w:rsidRPr="00C00255">
        <w:rPr>
          <w:i/>
          <w:color w:val="000000" w:themeColor="text1"/>
          <w:szCs w:val="24"/>
        </w:rPr>
        <w:t>įsakė vykdyti ar vykdė tarptautinės humanitarinės teisės draudžiamą karo ataką prieš civilius</w:t>
      </w:r>
      <w:r w:rsidRPr="00C00255">
        <w:rPr>
          <w:color w:val="000000" w:themeColor="text1"/>
          <w:szCs w:val="24"/>
        </w:rPr>
        <w:t>“. Todėl apeliacinės instancijos teismas plačiau nagrinės būtent šių požymių turinį, jų aiškinimą nacionalinėje bei tarptautinėje teisėje ir atsakomybę už juos nusikalstamų veikų padarymo metu.</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1977 m. birželio 8 d. priimto 1949 m. rugpjūčio 12 d. Ženevos konvencijų Papildomo protokolo dėl tarptautinių ginkluotų konfliktų aukų apsaugos (I protokolo) 51 straipsnio 2 dalis numato, kad civiliai gyventojai, taip pat pavieniai civiliai neturi būti puolimo (atakos – angl. </w:t>
      </w:r>
      <w:r w:rsidRPr="00C00255">
        <w:rPr>
          <w:i/>
          <w:color w:val="000000" w:themeColor="text1"/>
          <w:szCs w:val="24"/>
        </w:rPr>
        <w:t>attack</w:t>
      </w:r>
      <w:r w:rsidRPr="00C00255">
        <w:rPr>
          <w:color w:val="000000" w:themeColor="text1"/>
          <w:szCs w:val="24"/>
        </w:rPr>
        <w:t>) objektu; 57 straipsnyje įtvirtinta nuostata, kad atliekant karo veiksmus, būtina nuolat rūpintis, jog būtų tausojami civiliai gyventojai, pavieniai civiliai ir civiliniai objektai, o 85</w:t>
      </w:r>
      <w:r>
        <w:rPr>
          <w:color w:val="000000" w:themeColor="text1"/>
          <w:szCs w:val="24"/>
        </w:rPr>
        <w:t> </w:t>
      </w:r>
      <w:r w:rsidRPr="00C00255">
        <w:rPr>
          <w:color w:val="000000" w:themeColor="text1"/>
          <w:szCs w:val="24"/>
        </w:rPr>
        <w:t xml:space="preserve">straipsnio 3 dalies a punkte kaip sunkus pažeidimas (vadovaujantis 85 straipsnio 5 dalimi, karo nusikaltimas) yra įvardijamas sunkus šio protokolo pažeidimas, kuris padaromas tyčia, pažeidžiant atitinkamas šio protokolo nuostatas ir sukelia mirtį arba sunkų kūno ar sveikatos sužalojimą, kai puolimo objektu tampa civiliai gyventojai ar pavieniai civiliai. Tarptautinio Raudonojo Kryžiaus komiteto 1987 m. išleistame Ženevos konvencijų Papildomo protokolo dėl tarptautinių ginkluotų konfliktų aukų apsaugos (I protokolo) komentare (toliau – ir Papildomo I protokolo komentaras) puolimas (ataka) yra apibūdinamas kaip kovos veiksmai arba kaip ginkluotos jėgos panaudojimas karinei operacijai vykdyti ginkluoto konflikto pradžioje arba jo metu (Papildomo I protokolo komentaro 1880–1882 para. </w:t>
      </w:r>
      <w:r w:rsidRPr="00C00255">
        <w:rPr>
          <w:rFonts w:eastAsia="Batang"/>
          <w:szCs w:val="24"/>
          <w:lang w:eastAsia="lt-LT"/>
        </w:rPr>
        <w:t>[interaktyvus].</w:t>
      </w:r>
      <w:r w:rsidRPr="00C00255">
        <w:rPr>
          <w:color w:val="000000" w:themeColor="text1"/>
          <w:szCs w:val="24"/>
        </w:rPr>
        <w:t>&lt;https://ihl-databases.icrc.org/ihl/INTRO/470&gt;; https://www.loc.gov/rr/ frd/Military_Law/pdf/Commentary_GC_Protocols.pdf&gt;).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Ženevos konvencijų Papildomo protokolo dėl tarptautinių ginkluotų konfliktų aukų apsaugos (I protokolo) 57 straipsnio 1 dalis, nustatanti, kad, atliekant karo veiksmus, būtina nuolat rūpintis, jog būtų tausojami civiliai gyventojai, pavieniai civiliai ir civiliniai objektai, yra taikoma tiek puolimams, atliekamiems per atstumą, tiek ir iš arti vykdomiems puolimams. Papildomo I protokolo komentare (para. 2195–2196) paaiškinta, kad, net ir planuojant ataką iš didelio nuotolio, privaloma ypatingai rūpestingai įvertinti puolamo objekto paskirtį ir galimas civilių aukas, o puolimo vykdomo iš arti metu puolimo organizatoriai ar vykdytojai neabejotinai turi dar tikslesnės informacijos apie puolamo objekto paskirtį, ten esančius civilius ir pan. ir į tai turi atsižvelgti, priimdami sprendimus.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Tai, kokių atsargumo priemonių turi būti imamasis rengiant ir vykdant karo ataką, yra išdėstyta Ženevos konvencijų Papildomo protokolo dėl tarptautinių ginkluotų konfliktų aukų apsaugos (I protokolo) 57 straipsnio 2 dalyje, kurioje nustatyta, kad rengiant puolimą, imamasi šių saugumo priemonių:</w:t>
      </w:r>
    </w:p>
    <w:p w:rsidR="00DA38E9" w:rsidRPr="00C00255" w:rsidRDefault="00DA38E9" w:rsidP="00DA38E9">
      <w:pPr>
        <w:spacing w:before="120" w:after="120"/>
        <w:ind w:left="1276"/>
        <w:rPr>
          <w:color w:val="000000" w:themeColor="text1"/>
          <w:sz w:val="20"/>
        </w:rPr>
      </w:pPr>
      <w:r w:rsidRPr="00C00255">
        <w:rPr>
          <w:color w:val="000000" w:themeColor="text1"/>
          <w:sz w:val="20"/>
        </w:rPr>
        <w:t>„ a) tie, kurie planuoja puolimą arba sprendžia dėl jo vykdymo: i) daro viską, kas tik įmanoma, kad įsitikintų, jog puolimo objektai nėra nei civiliai, nei civiliniai objektai, kurie yra ypač saugomi, bet yra kariniai objektai pagal 52 straipsnio 2 punktą ir, remiantis šio protokolo nuostatomis, juos pulti nėra draudžiama;</w:t>
      </w:r>
    </w:p>
    <w:p w:rsidR="00DA38E9" w:rsidRPr="00C00255" w:rsidRDefault="00DA38E9" w:rsidP="00DA38E9">
      <w:pPr>
        <w:spacing w:after="120"/>
        <w:ind w:left="1276"/>
        <w:rPr>
          <w:color w:val="000000" w:themeColor="text1"/>
          <w:sz w:val="20"/>
        </w:rPr>
      </w:pPr>
      <w:r w:rsidRPr="00C00255">
        <w:rPr>
          <w:color w:val="000000" w:themeColor="text1"/>
          <w:sz w:val="20"/>
        </w:rPr>
        <w:t>ii) rinkdamiesi puolimo metodus ir priemones, imasi visų įmanomų saugumo priemonių, kad būtų išvengta civilių gyventojų atsitiktinių aukų, sužeista kuo mažiau civilių ir nepadaryta žalos (nesužalota) civiliniams objektams, bet kokiu atveju žala turi būti minimali;</w:t>
      </w:r>
    </w:p>
    <w:p w:rsidR="00DA38E9" w:rsidRPr="00C00255" w:rsidRDefault="00DA38E9" w:rsidP="00DA38E9">
      <w:pPr>
        <w:spacing w:after="120"/>
        <w:ind w:left="1276"/>
        <w:rPr>
          <w:color w:val="000000" w:themeColor="text1"/>
          <w:sz w:val="20"/>
        </w:rPr>
      </w:pPr>
      <w:r w:rsidRPr="00C00255">
        <w:rPr>
          <w:color w:val="000000" w:themeColor="text1"/>
          <w:sz w:val="20"/>
        </w:rPr>
        <w:t xml:space="preserve">iii) </w:t>
      </w:r>
      <w:r w:rsidRPr="00C00255">
        <w:rPr>
          <w:i/>
          <w:color w:val="000000" w:themeColor="text1"/>
          <w:sz w:val="20"/>
        </w:rPr>
        <w:t>susilaiko nuo sprendimo pulti, jei, kaip galima tikėtis, bus civilių gyventojų atsitiktinių aukų, civilių sužeidimų ir atsitiktinai padaryta žala civiliniams objektams arba ir viena, ir kita, o tai būtų pernelyg didelis nuostolis, palyginti su konkrečiu ir tiesioginiu tokiu būdu siekiamu kariniu pranašumu</w:t>
      </w:r>
      <w:r w:rsidRPr="00C00255">
        <w:rPr>
          <w:color w:val="000000" w:themeColor="text1"/>
          <w:sz w:val="20"/>
        </w:rPr>
        <w:t>;</w:t>
      </w:r>
    </w:p>
    <w:p w:rsidR="00DA38E9" w:rsidRPr="00C00255" w:rsidRDefault="00DA38E9" w:rsidP="00DA38E9">
      <w:pPr>
        <w:spacing w:after="120"/>
        <w:ind w:left="1276"/>
        <w:rPr>
          <w:color w:val="000000" w:themeColor="text1"/>
          <w:sz w:val="20"/>
        </w:rPr>
      </w:pPr>
      <w:r w:rsidRPr="00C00255">
        <w:rPr>
          <w:color w:val="000000" w:themeColor="text1"/>
          <w:sz w:val="20"/>
        </w:rPr>
        <w:t xml:space="preserve">b) </w:t>
      </w:r>
      <w:r w:rsidRPr="00C00255">
        <w:rPr>
          <w:i/>
          <w:color w:val="000000" w:themeColor="text1"/>
          <w:sz w:val="20"/>
        </w:rPr>
        <w:t>puolimai atšaukiami arba sustabdomi, jeigu tampa aišku, kad objektas nėra karinis, kad jis ypač saugomas arba kad puolimo metu galima laukti civilių gyventojų atsitiktinių aukų, civilių sužeidimų ir žalos civiliniams objektams, arba ir vieno, ir kito, o tai būtų pernelyg didelis nuostolis, palyginti su konkrečiu ir tiesioginiu tokiu būdu siekiamu kariniu pranašumu</w:t>
      </w:r>
      <w:r w:rsidRPr="00C00255">
        <w:rPr>
          <w:color w:val="000000" w:themeColor="text1"/>
          <w:sz w:val="20"/>
        </w:rPr>
        <w:t>;</w:t>
      </w:r>
    </w:p>
    <w:p w:rsidR="00DA38E9" w:rsidRPr="00C00255" w:rsidRDefault="00DA38E9" w:rsidP="00DA38E9">
      <w:pPr>
        <w:spacing w:after="120"/>
        <w:ind w:left="1276"/>
        <w:rPr>
          <w:color w:val="000000" w:themeColor="text1"/>
          <w:sz w:val="20"/>
        </w:rPr>
      </w:pPr>
      <w:r w:rsidRPr="00C00255">
        <w:rPr>
          <w:color w:val="000000" w:themeColor="text1"/>
          <w:sz w:val="20"/>
        </w:rPr>
        <w:t>c) iš anksto ir efektyviai perspėjama apie puolimus, kurių metu gali nukentėti civiliai gyventojai, išskyrus atvejus, kai to padaryti neįmanoma.“</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Minėto protokolo 57 straipsnio 3 dalyje numatyta, kad „Jeigu galima pasirinkti, kurį karinį objektą pulti, tuo atveju, kai bet kurio jų paėmimas suteiktų panašų karinį pranašumą, pasirenkamas tas, kurio puolimas, kaip galima tikėtis, būtų mažiausiai pavojingas civilių gyvybei ir civiliniams objektams.“.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Atitinkamai minėto protokolo 57 straipsnio 4 dalyje nurodoma, kad „4. Kai karinės operacijos vykdomos jūroje arba ore, kiekviena konflikto šalis, žinodama savo teises ir pareigas, nurodytas tarptautinės teisės normose ir taikomas ginkluotų konfliktų metu, privalo imtis visų protingų atsargumo priemonių, kad būtų išvengta civilių gyventojų aukų ir žalos civiliniams objektams.“, o 5 dalyje nustatyta, kad „Nė vienos šio straipsnio nuostatos negalima interpretuoti kaip leidimo pulti civilius gyventojus, pavienius civilius ar civilinius objektus.“</w:t>
      </w:r>
    </w:p>
    <w:p w:rsidR="00A93032" w:rsidRPr="00A93032" w:rsidRDefault="00DA38E9" w:rsidP="00A93032">
      <w:pPr>
        <w:pStyle w:val="ListParagraph"/>
        <w:numPr>
          <w:ilvl w:val="0"/>
          <w:numId w:val="6"/>
        </w:numPr>
        <w:overflowPunct/>
        <w:autoSpaceDE/>
        <w:autoSpaceDN/>
        <w:adjustRightInd/>
        <w:spacing w:before="120" w:after="120"/>
        <w:ind w:left="992" w:hanging="992"/>
        <w:contextualSpacing w:val="0"/>
        <w:rPr>
          <w:szCs w:val="24"/>
        </w:rPr>
      </w:pPr>
      <w:bookmarkStart w:id="816" w:name="_Hlk56608641"/>
      <w:r w:rsidRPr="00C00255">
        <w:rPr>
          <w:color w:val="000000" w:themeColor="text1"/>
          <w:szCs w:val="24"/>
        </w:rPr>
        <w:t xml:space="preserve">Kaip jau minėta ankstesnėse šio sprendimo dalyse, aptariant BK 100 straipsnyje, BK 101 straipsnyje ir BK 103 straipsnio 1 dalyje įtvirtintų nusikalstamų veikų sudėties požymius, </w:t>
      </w:r>
      <w:r w:rsidRPr="00C00255">
        <w:rPr>
          <w:i/>
          <w:color w:val="000000" w:themeColor="text1"/>
          <w:szCs w:val="24"/>
        </w:rPr>
        <w:t xml:space="preserve">tarptautinėje humanitarinėje teisėje civiliais yra laikomi asmenys, kurie nėra priskiriami kombatantams, </w:t>
      </w:r>
      <w:r w:rsidRPr="00C00255">
        <w:rPr>
          <w:color w:val="000000" w:themeColor="text1"/>
          <w:szCs w:val="24"/>
        </w:rPr>
        <w:t>todėl analogiškai civilių terminas yra vertinamas ir BK 111 straipsnio kontekste.</w:t>
      </w:r>
    </w:p>
    <w:p w:rsidR="00A93032" w:rsidRPr="00A93032" w:rsidRDefault="00A93032" w:rsidP="00A93032">
      <w:pPr>
        <w:pStyle w:val="ListParagraph"/>
        <w:numPr>
          <w:ilvl w:val="0"/>
          <w:numId w:val="6"/>
        </w:numPr>
        <w:overflowPunct/>
        <w:autoSpaceDE/>
        <w:autoSpaceDN/>
        <w:adjustRightInd/>
        <w:spacing w:before="120" w:after="120"/>
        <w:ind w:left="992" w:hanging="992"/>
        <w:contextualSpacing w:val="0"/>
        <w:rPr>
          <w:szCs w:val="24"/>
        </w:rPr>
      </w:pPr>
      <w:r w:rsidRPr="00A93032">
        <w:t xml:space="preserve">Taigi minėtos tarptautinės teisės nuostatos rodo, kad 1991 m. karo atakos prieš civilius vykdymas ar įsakymas ją vykdyti aiškiai ir numatomai buvo apibrėžtas kaip karo nusikaltimas, todėl pirmosios instancijos teismas pagrįstai padarė išvadą, kad nuteistųjų nusikalstamos veikos gali būti kvalifikuotos pagal nuosprendžio priėmimo metu galiojusią BK 111 straipsnio 1 dalies redakciją (su sąlyga jeigu nuteistųjų padarytose veikose galima įžvelgti šio nusikaltimų požymių visumą) ir tuo nebuvo pažeistas </w:t>
      </w:r>
      <w:r w:rsidRPr="00A93032">
        <w:rPr>
          <w:i/>
        </w:rPr>
        <w:t>nullum crimen sine lege</w:t>
      </w:r>
      <w:r w:rsidRPr="00A93032">
        <w:t xml:space="preserve"> principas.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Pažymėtina, kad BK 111 straipsnio 1 dalyje numatyta nusikaltimo sudėtis yra formali, todėl draudžiamos karo atakos metu atsiradę padariniai turi būti vertinami kaip savarankiškos nusikalstamos veikos. Ši veika gali būti padaroma tik tiesiogine tyčia.</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Analizuojant BK 111 straipsnio 1 dalyje įtvirtinto nusikaltimo sudėties požymius atskirai būtina aptarti tarptautiniuose teisės aktuose įtvirtintas pareigas asmenims, įsakantiems ar vykdantiems karo atakas, puolamų objektų paskirties, atsargumo priemonių ėmimosi ir kitų apeliaciniuose skunduose nurodytų aplinkybių įtaką, vertinant karo atakos teisėtumą.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Pagal aptarto Papildomo I protokolo 57 straipsnio 2 dalies a punktą, imtis anksčiau 1068.1 pastraipoje išvardintų saugumo priemonių (taip pat ir </w:t>
      </w:r>
      <w:r w:rsidRPr="00C00255">
        <w:rPr>
          <w:i/>
          <w:color w:val="000000" w:themeColor="text1"/>
          <w:szCs w:val="24"/>
        </w:rPr>
        <w:t>susilaikyti nuo puolimo, puolimą atšaukti arba jį sustabdyti</w:t>
      </w:r>
      <w:r w:rsidRPr="00C00255">
        <w:rPr>
          <w:iCs/>
          <w:color w:val="000000" w:themeColor="text1"/>
          <w:szCs w:val="24"/>
        </w:rPr>
        <w:t>)</w:t>
      </w:r>
      <w:r w:rsidRPr="00C00255">
        <w:rPr>
          <w:color w:val="000000" w:themeColor="text1"/>
          <w:szCs w:val="24"/>
        </w:rPr>
        <w:t xml:space="preserve"> yra įpareigoti „</w:t>
      </w:r>
      <w:r w:rsidRPr="00C00255">
        <w:rPr>
          <w:i/>
          <w:color w:val="000000" w:themeColor="text1"/>
          <w:szCs w:val="24"/>
        </w:rPr>
        <w:t>tie, kurie planuoja puolimą arba sprendžia dėl jo vykdymo</w:t>
      </w:r>
      <w:r w:rsidRPr="00C00255">
        <w:rPr>
          <w:color w:val="000000" w:themeColor="text1"/>
          <w:szCs w:val="24"/>
        </w:rPr>
        <w:t xml:space="preserve">“. Atkreiptinas dėmesys į tai, kad rengiant Ženevos konvencijų Papildomo protokolo dėl tarptautinių ginkluotų konfliktų aukų apsaugos (I protokolo) tekstą, buvo kilę diskusijų, ar tokia formuluotė neužkraus atsakomybės pavaldiems karininkams, kurie ne visada gali priimti tam tikrus sprendimus ir kad tokia atsakomybė turėtų būti priskirta aukštesnio rango karininkams. Iš esmės būtent tokį klausimą byloje itin pabrėžia daugelis gynėjų, teigdami, jog jų ginamieji privalėjo vykdyti aukštesnių kariškių duotą įsakymą ir nieko negalėjo padaryti.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Tokių gynybos argumentų kontekste pažymėtina, kad minėto protokolo rengėjai </w:t>
      </w:r>
      <w:r w:rsidRPr="00C00255">
        <w:rPr>
          <w:iCs/>
          <w:color w:val="000000" w:themeColor="text1"/>
          <w:szCs w:val="24"/>
        </w:rPr>
        <w:t xml:space="preserve">siekė apimti visas situacijas, tarp jų ir tas, kurios gali kilti artimų kovos veiksmų metu, kur </w:t>
      </w:r>
      <w:r w:rsidRPr="00C00255">
        <w:rPr>
          <w:i/>
          <w:color w:val="000000" w:themeColor="text1"/>
          <w:szCs w:val="24"/>
        </w:rPr>
        <w:t>vadovaujantys karininkai, net ir tie, kurie yra pavaldūs aukštesniems karininkams</w:t>
      </w:r>
      <w:r w:rsidRPr="00C00255">
        <w:rPr>
          <w:iCs/>
          <w:color w:val="000000" w:themeColor="text1"/>
          <w:szCs w:val="24"/>
        </w:rPr>
        <w:t xml:space="preserve">, </w:t>
      </w:r>
      <w:r w:rsidRPr="00C00255">
        <w:rPr>
          <w:i/>
          <w:color w:val="000000" w:themeColor="text1"/>
          <w:szCs w:val="24"/>
        </w:rPr>
        <w:t>turi priimti svarbius sprendimus (taip pat ir susilaikyti nuo puolimo, jį sustabdyti ar atšaukti),</w:t>
      </w:r>
      <w:r w:rsidRPr="00C00255">
        <w:rPr>
          <w:iCs/>
          <w:color w:val="000000" w:themeColor="text1"/>
          <w:szCs w:val="24"/>
        </w:rPr>
        <w:t xml:space="preserve"> </w:t>
      </w:r>
      <w:r w:rsidRPr="00C00255">
        <w:rPr>
          <w:i/>
          <w:color w:val="000000" w:themeColor="text1"/>
          <w:szCs w:val="24"/>
        </w:rPr>
        <w:t>jei puolimas nėra prieš karinį objektą ir gali lemti atsitiktines civilių aukas</w:t>
      </w:r>
      <w:r w:rsidRPr="00C00255">
        <w:rPr>
          <w:iCs/>
          <w:color w:val="000000" w:themeColor="text1"/>
          <w:szCs w:val="24"/>
        </w:rPr>
        <w:t xml:space="preserve">, </w:t>
      </w:r>
      <w:r w:rsidRPr="00C00255">
        <w:rPr>
          <w:color w:val="000000" w:themeColor="text1"/>
          <w:szCs w:val="24"/>
        </w:rPr>
        <w:t>todėl galiausiai į tekstą įtraukė formuluotę</w:t>
      </w:r>
      <w:r w:rsidRPr="00C00255">
        <w:t xml:space="preserve"> </w:t>
      </w:r>
      <w:r w:rsidRPr="00C00255">
        <w:rPr>
          <w:szCs w:val="24"/>
        </w:rPr>
        <w:t>„</w:t>
      </w:r>
      <w:r w:rsidRPr="00C00255">
        <w:rPr>
          <w:i/>
          <w:color w:val="000000" w:themeColor="text1"/>
          <w:szCs w:val="24"/>
        </w:rPr>
        <w:t xml:space="preserve">kurie planuoja puolimą </w:t>
      </w:r>
      <w:r w:rsidRPr="00C00255">
        <w:rPr>
          <w:b/>
          <w:i/>
          <w:iCs/>
          <w:color w:val="000000" w:themeColor="text1"/>
          <w:szCs w:val="24"/>
        </w:rPr>
        <w:t>arba</w:t>
      </w:r>
      <w:r w:rsidRPr="00C00255">
        <w:rPr>
          <w:b/>
          <w:i/>
          <w:color w:val="000000" w:themeColor="text1"/>
          <w:szCs w:val="24"/>
        </w:rPr>
        <w:t xml:space="preserve"> </w:t>
      </w:r>
      <w:r w:rsidRPr="00C00255">
        <w:rPr>
          <w:b/>
          <w:i/>
          <w:iCs/>
          <w:color w:val="000000" w:themeColor="text1"/>
          <w:szCs w:val="24"/>
        </w:rPr>
        <w:t>sprendžia dėl jo vykdymo</w:t>
      </w:r>
      <w:r w:rsidRPr="00C00255">
        <w:rPr>
          <w:color w:val="000000" w:themeColor="text1"/>
          <w:szCs w:val="24"/>
        </w:rPr>
        <w:t>“</w:t>
      </w:r>
      <w:r w:rsidRPr="00C00255">
        <w:rPr>
          <w:i/>
          <w:color w:val="000000" w:themeColor="text1"/>
          <w:szCs w:val="24"/>
        </w:rPr>
        <w:t>. Kariuomenės aukštieji vadai turi pareigą tinkamai instruktuoti kitus kariuomenės narius, kad šie, net ir būdami žemo rango, galėtų pasielgti tinkamai susidariusioje situacijoje</w:t>
      </w:r>
      <w:r w:rsidRPr="00C00255">
        <w:rPr>
          <w:b/>
          <w:color w:val="000000" w:themeColor="text1"/>
          <w:szCs w:val="24"/>
        </w:rPr>
        <w:t xml:space="preserve"> </w:t>
      </w:r>
      <w:r w:rsidRPr="00C00255">
        <w:rPr>
          <w:color w:val="000000" w:themeColor="text1"/>
          <w:szCs w:val="24"/>
        </w:rPr>
        <w:t>(Papildomo I protokolo komentaro 2197 para.).</w:t>
      </w:r>
      <w:bookmarkEnd w:id="816"/>
      <w:r w:rsidRPr="00C00255">
        <w:rPr>
          <w:color w:val="000000" w:themeColor="text1"/>
          <w:szCs w:val="24"/>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Nagrinėjamos bylos kontekste itin svarbus ir Ženevos konvencijų Papildomo protokolo dėl tarptautinių ginkluotų konfliktų aukų apsaugos (I protokolo) 57 straipsnio 2 dalies b punktas, numatantis, kad „puolimai atšaukiami arba sustabdomi, jeigu tampa aišku, kad objektas nėra karinis, kad jis ypač saugomas arba kad puolimo metu galima laukti civilių gyventojų atsitiktinių aukų, civilių sužeidimų ir žalos civiliniams objektams, arba ir vieno, ir kito, o tai būtų pernelyg didelis nuostolis, palyginti su konkrečiu ir tiesioginiu tokiu būdu siekiamu kariniu pranašumu“. Ši nuostata yra taikoma ne tik tiems asmenims, kurie planuoja ar sprendžia dėl atakų, bet ir, visų pirma, tiems, kurie jas vykdo. Iš esmės būtent vizualinių priemonių pagalba, puolančioji pusė sužino, kad puolamas objektas nėra karinis ar kad jam taikoma speciali apsauga. Gali susidaryti situacija, kai dėl atstumo ar dėl naktį vykdomo puolimo, neįmanoma gerai įžiūrėti puolamo objekto ar subjekto, tačiau tokiu atveju iš puolančiosios pusės yra reikalaujama dar didesnio atsargumo (Papildomo I protokolo komentaro 2220–2221 para.).</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Kai kuriuose apeliaciniuose skunduose teigiama, jog karo ataka nebuvo draudžiama, nes buvo imtasi visų atsargumo priemonių. Atsižvelgiant į prieš tai aptartas tarptautinių teisės aktų nuostatas, pažymėtina, kad apeliantai neatsižvelgia į tai, jog minėtos atsargumo priemonės yra privalomos rengiant ir vykdant tarptautinės humanitarinės teisės nedraudžiamus puolimus, t. y. puolimus prieš karinius objektus. Kaip aiškiai įtvirtinta Papildomo I protokolo 57 straipsnio 5</w:t>
      </w:r>
      <w:r>
        <w:rPr>
          <w:color w:val="000000" w:themeColor="text1"/>
          <w:szCs w:val="24"/>
        </w:rPr>
        <w:t> </w:t>
      </w:r>
      <w:r w:rsidRPr="00C00255">
        <w:rPr>
          <w:color w:val="000000" w:themeColor="text1"/>
          <w:szCs w:val="24"/>
        </w:rPr>
        <w:t>dalyje, nė vienos šio straipsnio nuostatos negalima interpretuoti kaip leidimo pulti civilius gyventojus, pavienius civilius ar civilinius objektus. Nagrinėjamoje byloje nustačius, kad buvo puolami civiliai asmenys bei civiliniai objektai (dėl to plačiau pasisakoma tolesnėse pastraipose), jokios apeliantų minimos priemonės (puolimas naktį, įspėjimas leidžiant garso įrašus ir pan.) nešalina atakos draudžiamumo pagal tarptautinę humanitarinę teisę.</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Šioje vietoje tikslinga atsakyti ir į ne viename apeliaciniame skunde keliamą argumentą, kad nuteistiesiems inkriminuota karo ataka nebuvo draudžiama, nes pulti objektai buvo karinės paskirties.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Civilinių ir karinių objektų atskyrimo principas, kuris reiškia, kad </w:t>
      </w:r>
      <w:r w:rsidRPr="00C00255">
        <w:rPr>
          <w:i/>
          <w:szCs w:val="24"/>
        </w:rPr>
        <w:t>gali būti puolami tik kariniai objektai,</w:t>
      </w:r>
      <w:r w:rsidRPr="00C00255">
        <w:rPr>
          <w:szCs w:val="24"/>
        </w:rPr>
        <w:t xml:space="preserve"> yra vienas iš tarptautinės humanitarinės teisės principų. Ši paprotinė taisyklė buvo aiškiai įtvirtinta </w:t>
      </w:r>
      <w:r w:rsidRPr="00C00255">
        <w:rPr>
          <w:color w:val="000000" w:themeColor="text1"/>
          <w:szCs w:val="24"/>
        </w:rPr>
        <w:t xml:space="preserve">Ženevos konvencijų Papildomo protokolo dėl tarptautinių ginkluotų konfliktų aukų apsaugos (I protokolas) 52 straipsnyje, kurio 1 dalyje nustatyta, kad civiliniai objektai neturi tapti puolimų ar represalijų objektais. </w:t>
      </w:r>
      <w:r w:rsidRPr="00C00255">
        <w:rPr>
          <w:i/>
          <w:color w:val="000000" w:themeColor="text1"/>
          <w:szCs w:val="24"/>
        </w:rPr>
        <w:t>Civiliniai objektai</w:t>
      </w:r>
      <w:r w:rsidRPr="00C00255">
        <w:rPr>
          <w:color w:val="000000" w:themeColor="text1"/>
          <w:szCs w:val="24"/>
        </w:rPr>
        <w:t xml:space="preserve"> yra visi objektai, nesantys 2</w:t>
      </w:r>
      <w:r>
        <w:rPr>
          <w:color w:val="000000" w:themeColor="text1"/>
          <w:szCs w:val="24"/>
        </w:rPr>
        <w:t> </w:t>
      </w:r>
      <w:r w:rsidRPr="00C00255">
        <w:rPr>
          <w:color w:val="000000" w:themeColor="text1"/>
          <w:szCs w:val="24"/>
        </w:rPr>
        <w:t xml:space="preserve">dalyje numatytais kariniais objektais. 52 straipsnio 2 dalyje nustatyta, kad puolami tik kariniai objektai. </w:t>
      </w:r>
      <w:r w:rsidRPr="00C00255">
        <w:rPr>
          <w:i/>
          <w:color w:val="000000" w:themeColor="text1"/>
          <w:szCs w:val="24"/>
        </w:rPr>
        <w:t>Kariniais objektais</w:t>
      </w:r>
      <w:r w:rsidRPr="00C00255">
        <w:rPr>
          <w:color w:val="000000" w:themeColor="text1"/>
          <w:szCs w:val="24"/>
        </w:rPr>
        <w:t xml:space="preserve"> laikomi tie, kurie dėl savo pobūdžio, vietos, paskirties ar panaudojimo efektyviai padeda karo veiksmams ir kurių visiškas ar dalinis sugriovimas, paėmimas ar neutralizavimas tuometinėmis aplinkybėmis suteikia aiškų karinį pranašumą. Tuo atveju, kai abejojama, ar objektas paprastai skirtas civiliniams tikslams, pavyzdžiui, bažnyčia, gyvenamasis namas ar kiti gyvenamieji pastatai arba mokykla, nenaudojami efektyviai padėti karo veiksmams, manoma, kad toks objektas naudojamas civiliniams tikslams (52 straipsnio 3 dalis).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Pažymėtina, jog </w:t>
      </w:r>
      <w:r w:rsidRPr="00C00255">
        <w:rPr>
          <w:szCs w:val="24"/>
          <w:lang w:eastAsia="lt-LT"/>
        </w:rPr>
        <w:t xml:space="preserve">dalyje gynėjų apeliacinių skundų teigiama, kad 1991 m. sausio 11–13 dienomis TSRS ginkluotųjų pajėgų užpulti objektai, t. y. Spaudos rūmų pastatas, LRT pastatai, </w:t>
      </w:r>
      <w:r w:rsidRPr="00C00255">
        <w:rPr>
          <w:szCs w:val="24"/>
        </w:rPr>
        <w:t>TV bokštas, buvo strateginės-karinės paskirties objektai, kurių puolimas pagal tarptautinę humanitarinę teisę nėra draudžiamas.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Tokių skundų argumentų kontekste pabrėžtina, jog kaltinamajame akte ir pirmosios instancijos teismo nuosprendyje šie objektai įvardijami kaip strategiškai svarbūs objektai,</w:t>
      </w:r>
      <w:r w:rsidRPr="00A93032">
        <w:t xml:space="preserve"> </w:t>
      </w:r>
      <w:r w:rsidRPr="00A93032">
        <w:rPr>
          <w:rFonts w:eastAsia="Calibri"/>
        </w:rPr>
        <w:t>strateginiai visuomenės informavimo objektai ir jie nelaikomi karinės paskirties objektais. Apeliacinės instancijos teismas pritaria tokiam minėtų objektų vertinimui ir apeliantų prašymus šturmuotus objektus vertinti kaip strateginius-karinius atmeta toliau išdėstytų motyvų pagrindu.</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szCs w:val="24"/>
        </w:rPr>
        <w:t>Tarptautinio Raudonojo Kryžiaus komiteto 1987 m. išleisto Ženevos konvencijų Papildomo protokolo dėl tarptautinių ginkluotų konfliktų aukų apsaugos (I protokolo) komentare, p</w:t>
      </w:r>
      <w:r w:rsidRPr="00C00255">
        <w:rPr>
          <w:szCs w:val="24"/>
          <w:shd w:val="clear" w:color="auto" w:fill="FFFFFF"/>
        </w:rPr>
        <w:t xml:space="preserve">ažymėta, kad, siekiant konstatuoti, jog objektas yra karinis, turi būti nustatyti abu Papildomo I protokolo 52 straipsnio 2 dalyje įtvirtinti karinių objektų požymiai (pirmas – </w:t>
      </w:r>
      <w:r w:rsidRPr="00C00255">
        <w:rPr>
          <w:szCs w:val="24"/>
        </w:rPr>
        <w:t>efektyvus padėjimas karo veiksmams</w:t>
      </w:r>
      <w:r w:rsidRPr="00C00255">
        <w:rPr>
          <w:szCs w:val="24"/>
          <w:shd w:val="clear" w:color="auto" w:fill="FFFFFF"/>
        </w:rPr>
        <w:t xml:space="preserve"> </w:t>
      </w:r>
      <w:r w:rsidRPr="00C00255">
        <w:rPr>
          <w:szCs w:val="24"/>
        </w:rPr>
        <w:t>dėl objektų pobūdžio, vietos, paskirties ar panaudojimo; antras – aiškaus karinio pranašumo įgijimas, šiuos objektus visiškai ar dalinai sugriovus, paėmus ar neutralizavus).</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szCs w:val="24"/>
          <w:shd w:val="clear" w:color="auto" w:fill="FFFFFF"/>
        </w:rPr>
        <w:t xml:space="preserve">Objekto „pobūdžio“ (angl. </w:t>
      </w:r>
      <w:r w:rsidRPr="00C00255">
        <w:rPr>
          <w:i/>
          <w:szCs w:val="24"/>
          <w:shd w:val="clear" w:color="auto" w:fill="FFFFFF"/>
        </w:rPr>
        <w:t>nature</w:t>
      </w:r>
      <w:r w:rsidRPr="00C00255">
        <w:rPr>
          <w:szCs w:val="24"/>
          <w:shd w:val="clear" w:color="auto" w:fill="FFFFFF"/>
        </w:rPr>
        <w:t xml:space="preserve">) kriterijus reiškia, kad kariniais objektais pagal pobūdį laikomi tie objektai, kurie pagal savo prigimtį efektyviai prisideda prie karinių veiksmų. Pagal savo pobūdį kariniais objektais laikomi visi objektai, kuriuos tiesiogiai naudoja ginkluotosios pajėgos, pavyzdžiui, ginklai, transportas, ginkluotųjų pajėgų užimti pastatai, įtvirtinimai, sandėliai, personalo būstinės, komunikacijų centrai.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szCs w:val="24"/>
          <w:shd w:val="clear" w:color="auto" w:fill="FFFFFF"/>
        </w:rPr>
        <w:t xml:space="preserve">„Vietos“ kriterijus reiškia, kad kariniais objektais pagal vietą laikomi tie objektai, kurie pagal savo pobūdį neatlieka jokių karinių funkcijų, tačiau pagal jų vietą, išsidėstymą šie objektai efektyviai prisideda prie karinių veiksmų, pavyzdžiui, tiltai, tam tikri žemės sklypai.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szCs w:val="24"/>
          <w:shd w:val="clear" w:color="auto" w:fill="FFFFFF"/>
        </w:rPr>
        <w:t xml:space="preserve">„Paskirties“ (angl. </w:t>
      </w:r>
      <w:r w:rsidRPr="00C00255">
        <w:rPr>
          <w:i/>
          <w:szCs w:val="24"/>
          <w:shd w:val="clear" w:color="auto" w:fill="FFFFFF"/>
        </w:rPr>
        <w:t>purpose</w:t>
      </w:r>
      <w:r w:rsidRPr="00C00255">
        <w:rPr>
          <w:szCs w:val="24"/>
          <w:shd w:val="clear" w:color="auto" w:fill="FFFFFF"/>
        </w:rPr>
        <w:t xml:space="preserve">) kriterijus yra susijęs su numatomu, būsimu objekto naudojimu, o „panaudojimo“ (angl. </w:t>
      </w:r>
      <w:r w:rsidRPr="00C00255">
        <w:rPr>
          <w:i/>
          <w:szCs w:val="24"/>
          <w:shd w:val="clear" w:color="auto" w:fill="FFFFFF"/>
        </w:rPr>
        <w:t>use</w:t>
      </w:r>
      <w:r w:rsidRPr="00C00255">
        <w:rPr>
          <w:szCs w:val="24"/>
          <w:shd w:val="clear" w:color="auto" w:fill="FFFFFF"/>
        </w:rPr>
        <w:t xml:space="preserve">) kriterijus susijęs su objekto esama funkcija. Dauguma civilinių objektų gali tapti naudingais ginkluotosioms pajėgoms. Pavyzdžiui, mokykla ar viešbutis yra civilinis objektas, bet jei jame apgyvendinami kariai, toks objektas tampa kariniu. Tačiau visada lieka galioti taisyklė, kad jei kyla abejonių dėl objekto kategorijos, jis laikomas civiliniu objektu. </w:t>
      </w:r>
    </w:p>
    <w:p w:rsidR="00DA38E9" w:rsidRPr="00C00255" w:rsidRDefault="00DA38E9" w:rsidP="00DA38E9">
      <w:pPr>
        <w:pStyle w:val="ListParagraph"/>
        <w:numPr>
          <w:ilvl w:val="2"/>
          <w:numId w:val="6"/>
        </w:numPr>
        <w:overflowPunct/>
        <w:autoSpaceDE/>
        <w:autoSpaceDN/>
        <w:adjustRightInd/>
        <w:spacing w:before="120" w:after="120"/>
        <w:ind w:left="992" w:hanging="992"/>
        <w:contextualSpacing w:val="0"/>
        <w:rPr>
          <w:szCs w:val="24"/>
        </w:rPr>
      </w:pPr>
      <w:r w:rsidRPr="00C00255">
        <w:rPr>
          <w:szCs w:val="24"/>
          <w:shd w:val="clear" w:color="auto" w:fill="FFFFFF"/>
        </w:rPr>
        <w:t xml:space="preserve">Be pobūdžio, vietos, paskirties ir panaudojimo kriterijų, objektą pripažįstant kariniu, turi būti nustatytas ir faktas, kad tokio objekto sugriovimas, paėmimas ar neutralizavimas suteikia aiškų karinį pranašumą būtent </w:t>
      </w:r>
      <w:r w:rsidRPr="00C00255">
        <w:rPr>
          <w:i/>
          <w:szCs w:val="24"/>
          <w:shd w:val="clear" w:color="auto" w:fill="FFFFFF"/>
        </w:rPr>
        <w:t>puolimo metu susiklosčiusioje situacijoje</w:t>
      </w:r>
      <w:r w:rsidRPr="00C00255">
        <w:rPr>
          <w:szCs w:val="24"/>
          <w:shd w:val="clear" w:color="auto" w:fill="FFFFFF"/>
        </w:rPr>
        <w:t xml:space="preserve">. Nėra teisėta pradėti ataką, kuri gali suteikti </w:t>
      </w:r>
      <w:r w:rsidRPr="00C00255">
        <w:rPr>
          <w:i/>
          <w:szCs w:val="24"/>
          <w:shd w:val="clear" w:color="auto" w:fill="FFFFFF"/>
        </w:rPr>
        <w:t>tik potencialų ir neapibrėžtą</w:t>
      </w:r>
      <w:r w:rsidRPr="00C00255">
        <w:rPr>
          <w:szCs w:val="24"/>
          <w:shd w:val="clear" w:color="auto" w:fill="FFFFFF"/>
        </w:rPr>
        <w:t xml:space="preserve"> pranašumą. Asmenys, kurie įsako ar vykdo ataką turi turėti pakankamai informacijos, kad galėtų įvertinti šio reikalavimo įgyvendinimą (</w:t>
      </w:r>
      <w:r w:rsidRPr="00C00255">
        <w:rPr>
          <w:szCs w:val="24"/>
        </w:rPr>
        <w:t>Papildomo I protokolo komentaras, para. 2018–2024)</w:t>
      </w:r>
      <w:r w:rsidRPr="00C00255">
        <w:rPr>
          <w:szCs w:val="24"/>
          <w:shd w:val="clear" w:color="auto" w:fill="FFFFFF"/>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Taigi iš aptartų tarptautinės humanitarinės teisės normų matyti, kad karo ar tarptautinio ginkluoto konflikto metu tam tikri objektai gali būti dvejopos paskirties, t. y. priklausomai nuo konkrečios situacijos, nuo objekto savybių ir konkretaus panaudojimo, tam tikri civiliniai objektai gali tapti kariniais objektais, kurių puolimas nėra draudžiamas. Be to, kaip minėta, kai abejojama, ar objektas yra civilinis ar karinis, preziumuojama, kad toks objektas yra civilinis. </w:t>
      </w:r>
    </w:p>
    <w:p w:rsidR="00DA38E9" w:rsidRPr="005D022C" w:rsidRDefault="00DA38E9" w:rsidP="00DA38E9">
      <w:pPr>
        <w:pStyle w:val="ListParagraph"/>
        <w:numPr>
          <w:ilvl w:val="1"/>
          <w:numId w:val="6"/>
        </w:numPr>
        <w:overflowPunct/>
        <w:autoSpaceDE/>
        <w:autoSpaceDN/>
        <w:adjustRightInd/>
        <w:spacing w:before="120" w:after="120"/>
        <w:ind w:left="992" w:hanging="992"/>
        <w:contextualSpacing w:val="0"/>
      </w:pPr>
      <w:r w:rsidRPr="005D022C">
        <w:t xml:space="preserve">Minėtų teisės normų kontekste pažymėtina, jog pirmosios instancijos teismo posėdyje apklaustas jau ne kartą minėtas karybos specialistas J. Andriškevičius paaiškino, kad tokie objektai kaip nagrinėjamu atveju – </w:t>
      </w:r>
      <w:r w:rsidRPr="005D022C">
        <w:rPr>
          <w:rFonts w:eastAsia="Calibri"/>
        </w:rPr>
        <w:t xml:space="preserve">Spaudos rūmai, </w:t>
      </w:r>
      <w:r w:rsidRPr="005D022C">
        <w:t xml:space="preserve">TV </w:t>
      </w:r>
      <w:r w:rsidRPr="005D022C">
        <w:rPr>
          <w:rFonts w:eastAsia="Calibri"/>
        </w:rPr>
        <w:t xml:space="preserve">bokštas ir LRT – pagal tarptautinę humanitarinę teisę yra saugomi strateginiai objektai, kurie laikomi civilinės-karinės paskirties objektais </w:t>
      </w:r>
      <w:r w:rsidRPr="005D022C">
        <w:t>(t. 761, b. l. 62)</w:t>
      </w:r>
      <w:r w:rsidRPr="005D022C">
        <w:rPr>
          <w:rFonts w:eastAsia="Calibri"/>
        </w:rPr>
        <w:t xml:space="preserve">. Kai kuriuose apeliaciniuose skunduose teigiama, kad specialistas J. Andriškevičius minėtus objektus laikė kariniais objektais. Tačiau, teisėjų kolegijos vertinimu, šis specialisto paaiškinimas tik patvirtina ankstesnę apeliacinio teismo išvadą, kad tam tikri objektai gali būti dvejopos paskirties ir priklausomai nuo konkrečių karo, tarptautinio ginkluoto konflikto aplinkybių iš civilinių gali tapti kariniais objektais. </w:t>
      </w:r>
    </w:p>
    <w:p w:rsidR="00DA38E9" w:rsidRPr="005D022C" w:rsidRDefault="00DA38E9" w:rsidP="00DA38E9">
      <w:pPr>
        <w:pStyle w:val="ListParagraph"/>
        <w:numPr>
          <w:ilvl w:val="1"/>
          <w:numId w:val="6"/>
        </w:numPr>
        <w:overflowPunct/>
        <w:autoSpaceDE/>
        <w:autoSpaceDN/>
        <w:adjustRightInd/>
        <w:spacing w:before="120" w:after="120"/>
        <w:ind w:left="992" w:hanging="992"/>
        <w:contextualSpacing w:val="0"/>
      </w:pPr>
      <w:r w:rsidRPr="005D022C">
        <w:rPr>
          <w:rFonts w:eastAsia="Calibri"/>
        </w:rPr>
        <w:t>Teisėjų kolegijos vertinimu, pagrįstu jau minėtomis tarptautinės humanitarinės teisės normomis ir aktualiais specialisto išaiškinimais, visuomenės informavimo ir ryšių objektai pagal savo pobūdį ir pirminę paskirtį, jei jais nesinaudoja ginkluotosios pajėgos, nėra kariniai objektai. Tokių objektų įvardijimas strateginiais objektais, kaip jie įvardinti kaltinamajame akte ir pirmosios instancijos teismo nuosprendyje, savaime nelemia jų vertinimo kaip karinių objektų, kadangi strateginę reikšmę visuomenės, valstybės gyvenime turi ir tam tikri civiliniai objektai. Žodis „strateginis“ gali reikšti ir „</w:t>
      </w:r>
      <w:r w:rsidRPr="005D022C">
        <w:t>turintis reikšmę bendriesiems karo tikslams“, ir „esminis, labai svarbus bendriesiems tikslams pasiekti“ (žr. pvz., [interaktyvus] www.lietuviuzodynas.lt). Kitaip tariant, o</w:t>
      </w:r>
      <w:r w:rsidRPr="005D022C">
        <w:rPr>
          <w:rFonts w:eastAsia="Calibri"/>
        </w:rPr>
        <w:t>bjektų įvardijimas strateginiais tik parodo šių objektų svarbą. Tai, kad Lietuvos Respublikos teisinėje sistemoje strateginiais objektais yra įvardijami ir civiliniai objektai, įrodo ir 2002 m. spalio 10 d. Lietuvos Respublikos</w:t>
      </w:r>
      <w:r w:rsidRPr="005D022C">
        <w:t xml:space="preserve"> strateginę reikšmę nacionaliniam saugumui turinčių įmonių ir įrenginių bei kitų nacionaliniam saugumui užtikrinti svarbių įmonių įstatymo nuostatos, kuriose ir civiliniai objektai (įvairios įmonės, oro uostai, elektrinės ir pan.) yra laikomi strateginės reikšmės objektais.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rFonts w:eastAsia="Calibri"/>
          <w:szCs w:val="24"/>
        </w:rPr>
        <w:t>Atsižvelgdamas į išdėstytus išaiškinimus, apeliacinės instancijos teismas konstatuoja, kad nuteistiesiems inkriminuotų nusikalstamų veikų metu šturmuotų objektų (</w:t>
      </w:r>
      <w:r w:rsidRPr="00C00255">
        <w:rPr>
          <w:szCs w:val="24"/>
          <w:lang w:eastAsia="lt-LT"/>
        </w:rPr>
        <w:t>Spaudos rūmų, TV</w:t>
      </w:r>
      <w:r w:rsidRPr="00C00255">
        <w:rPr>
          <w:szCs w:val="24"/>
        </w:rPr>
        <w:t> bokšto</w:t>
      </w:r>
      <w:r w:rsidRPr="00C00255">
        <w:rPr>
          <w:szCs w:val="24"/>
          <w:lang w:eastAsia="lt-LT"/>
        </w:rPr>
        <w:t xml:space="preserve"> ir LRT pastato</w:t>
      </w:r>
      <w:r w:rsidRPr="00C00255">
        <w:rPr>
          <w:szCs w:val="24"/>
        </w:rPr>
        <w:t xml:space="preserve">) nėra pagrindo priskirti prie karinių objektų nei pagal minėtų objektų pobūdį, vietą, nei pagal jų paskirtį ar panaudojimą. Nors minėti objektai ir yra priskiriami </w:t>
      </w:r>
      <w:r w:rsidRPr="00C00255">
        <w:rPr>
          <w:szCs w:val="24"/>
          <w:shd w:val="clear" w:color="auto" w:fill="FFFFFF"/>
        </w:rPr>
        <w:t xml:space="preserve">komunikacijos, visuomenės informavimo objektams, tačiau bylos duomenys patvirtinta, kad jie nebuvo naudojami komunikacijos tarp ginkluotųjų pajėgų narių palaikymui, jie buvo skirti ir naudoti tik Lietuvos Respublikos visuomenės informavimui apie bendrai Lietuvoje susiklosčiusią padėtį, ką ir siekė apriboti TSRS karinės pajėgos. Taigi šių objektų užgrobimas TSRS ginkluotosioms pajėgoms nesuteikė jokio aiškaus karinio pranašumo.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Cs/>
          <w:szCs w:val="24"/>
          <w:shd w:val="clear" w:color="auto" w:fill="FFFFFF"/>
        </w:rPr>
        <w:t xml:space="preserve">Tokias teisėjų kolegijos išvadas iš dalies pagrindžia ir atakų prieš civilinius ryšio ir komunikacijų objektus vertinimas tarptautinėje praktikoje. Tarptautinio Raudonojo Kryžiaus komiteto 2005 m. parengtose Paprotinės humanitarinės teisės taisyklėse </w:t>
      </w:r>
      <w:r w:rsidRPr="00C00255">
        <w:rPr>
          <w:iCs/>
          <w:color w:val="000000" w:themeColor="text1"/>
          <w:szCs w:val="24"/>
          <w:shd w:val="clear" w:color="auto" w:fill="FFFFFF"/>
        </w:rPr>
        <w:t>(žr. </w:t>
      </w:r>
      <w:r w:rsidRPr="00C00255">
        <w:rPr>
          <w:rFonts w:eastAsia="Batang"/>
          <w:szCs w:val="24"/>
          <w:lang w:eastAsia="lt-LT"/>
        </w:rPr>
        <w:t>[interaktyvus]. &lt;</w:t>
      </w:r>
      <w:r w:rsidRPr="00235105">
        <w:rPr>
          <w:rStyle w:val="Hyperlink"/>
          <w:iCs/>
          <w:color w:val="000000" w:themeColor="text1"/>
          <w:szCs w:val="24"/>
          <w:u w:val="none"/>
          <w:shd w:val="clear" w:color="auto" w:fill="FFFFFF"/>
        </w:rPr>
        <w:t>https://ihl-databases.icrc.org/customary-ihl/eng/docs/home</w:t>
      </w:r>
      <w:r w:rsidRPr="00C00255">
        <w:rPr>
          <w:rStyle w:val="Hyperlink"/>
          <w:iCs/>
          <w:color w:val="000000" w:themeColor="text1"/>
          <w:szCs w:val="24"/>
          <w:u w:val="none"/>
          <w:shd w:val="clear" w:color="auto" w:fill="FFFFFF"/>
        </w:rPr>
        <w:t>&gt;</w:t>
      </w:r>
      <w:r w:rsidRPr="00C00255">
        <w:rPr>
          <w:rStyle w:val="Hyperlink"/>
          <w:iCs/>
          <w:color w:val="auto"/>
          <w:szCs w:val="24"/>
          <w:u w:val="none"/>
          <w:shd w:val="clear" w:color="auto" w:fill="FFFFFF"/>
        </w:rPr>
        <w:t xml:space="preserve">) taip pat nurodyta, kad dvigubos paskirties objektai, tokie kaip civiliniai transporto ir ryšio objektai, kurie gali būti panaudoti kariniais tikslais, konkrečiai objektų rūšiai priskiriami, atsižvelgiant į karinių objektų apibrėžimą (taisyklė Nr. 8). Prie minėtų taisyklių </w:t>
      </w:r>
      <w:r w:rsidRPr="00C00255">
        <w:rPr>
          <w:iCs/>
          <w:szCs w:val="24"/>
          <w:shd w:val="clear" w:color="auto" w:fill="FFFFFF"/>
        </w:rPr>
        <w:t>Tarptautinis Raudonojo Kryžiaus komitetas yra pateikęs ir praktinių pavyzdžių, iš kurių matyti, kaip tarptautinėje bendruomenėje yra vertinamos atakos, įvykdytos prieš komunikacijų ir ryšių objektus (žr. </w:t>
      </w:r>
      <w:r w:rsidRPr="00C00255">
        <w:rPr>
          <w:rFonts w:eastAsia="Batang"/>
          <w:szCs w:val="24"/>
          <w:lang w:eastAsia="lt-LT"/>
        </w:rPr>
        <w:t>[interaktyvus]. &lt;</w:t>
      </w:r>
      <w:r w:rsidRPr="00C00255">
        <w:rPr>
          <w:iCs/>
          <w:szCs w:val="24"/>
          <w:shd w:val="clear" w:color="auto" w:fill="FFFFFF"/>
        </w:rPr>
        <w:t>https://ihl-databases.icrc.org/customary-ihl/eng/docs/v2_cha_chapter2_rule8</w:t>
      </w:r>
      <w:r w:rsidRPr="00C00255">
        <w:rPr>
          <w:rStyle w:val="Hyperlink"/>
          <w:iCs/>
          <w:color w:val="auto"/>
          <w:szCs w:val="24"/>
          <w:u w:val="none"/>
          <w:shd w:val="clear" w:color="auto" w:fill="FFFFFF"/>
        </w:rPr>
        <w:t>&gt;</w:t>
      </w:r>
      <w:r w:rsidRPr="00C00255">
        <w:rPr>
          <w:iCs/>
          <w:szCs w:val="24"/>
          <w:shd w:val="clear" w:color="auto" w:fill="FFFFFF"/>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iCs/>
          <w:szCs w:val="24"/>
          <w:shd w:val="clear" w:color="auto" w:fill="FFFFFF"/>
        </w:rPr>
        <w:t xml:space="preserve">Pavyzdžiui, tarptautinė nevyriausybinė žmogaus teisių gynimo organizacija „Amnesty </w:t>
      </w:r>
      <w:r w:rsidRPr="00C00255">
        <w:rPr>
          <w:bCs/>
          <w:szCs w:val="24"/>
          <w:lang w:eastAsia="lt-LT"/>
        </w:rPr>
        <w:t xml:space="preserve">International“ 2000 metais pateiktoje ataskaitoje, vadovaudamasi </w:t>
      </w:r>
      <w:r w:rsidRPr="00C00255">
        <w:rPr>
          <w:szCs w:val="24"/>
        </w:rPr>
        <w:t xml:space="preserve">Ženevos konvencijų Papildomo protokolo dėl tarptautinių ginkluotų konfliktų aukų apsaugos (I protokolo) 52 straipsniu, įvertino </w:t>
      </w:r>
      <w:r w:rsidRPr="00C00255">
        <w:rPr>
          <w:bCs/>
          <w:szCs w:val="24"/>
          <w:lang w:eastAsia="lt-LT"/>
        </w:rPr>
        <w:t xml:space="preserve">NATO Serbijoje įvykdytus bombardavimus, kai buvo subombarduotas Serbijos radijo ir televizijos pastatas. Ataskaitoje konstatuota, kad šio </w:t>
      </w:r>
      <w:r w:rsidRPr="00C00255">
        <w:rPr>
          <w:szCs w:val="24"/>
        </w:rPr>
        <w:t>objekto subombardavimas, kurio metu žuvo 16 civilių, pažeidė minėto Papildomo I protokolo 52 straipsnį ir taip buvo padarytas karo nusikaltimas. Ataskaitoje pažymėta, kad vyriausybės propagandos sutrikdymas gali sumenkinti visuomenės ir ginkluotųjų pajėgų dvasinę būklę, bet atakos pateisinimas vien šiuo pagrindu išplečia Papildomo I protokolo 52 straipsnio 2 dalyje naudojamas „efektyvaus padėjimo karo veiksmams“ ir „aiškaus karinio pranašumo“ sąvokas, peržengiant priimtinas šių sąvokų aiškinimo ribas.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shd w:val="clear" w:color="auto" w:fill="FFFFFF"/>
        </w:rPr>
        <w:t>Taigi, atsižvelgdama į visa tai, kas minėta, teisėjų kolegija konstatuoja, kad karo ar tarptautinio ginkluoto konflikto metu, susiklosčius tam tikroms aplinkybėms, civiliniai objektai, susiję su ryšių ir komunikacijų valstybėje užtikrinimu, gali būti pripažinti kariniais (pavyzdžiui, jei jie naudojami bendravimo tarp kariuomenės dalinių užtikrinimui ir pan.). Tačiau nagrinėjamoje byloje, kaip jau minėta, nustatyta, kad tarptautinės humanitarinės teisės draudžiamos atakos metu šturmuoti pastatai jokiems kariniams tikslams nebuvo naudojami, Lietuva TSRS agresijai nesipriešino ginklu, komunikacijos priemonės buvo naudojamos ne kariniais, o tik visuomenės informavimo tikslais, todėl šturmuoti civiliniai objektai pagrįstai nepripažinti kariniais objektais.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Kai kuriuose apeliaciniuose skunduose teigiama, kad 1991 m. įvykiai nelaikytini karo ataka, nes Lietuva nepažymėjo personalo ir objektų civilinės gynybos ženklais ir nuteistieji negalėjo suvokti, kad veika vykdoma karo sąlygomis.</w:t>
      </w:r>
      <w:r w:rsidRPr="00C00255">
        <w:rPr>
          <w:sz w:val="20"/>
        </w:rPr>
        <w:t xml:space="preserve"> </w:t>
      </w:r>
      <w:r w:rsidRPr="00C00255">
        <w:rPr>
          <w:color w:val="000000" w:themeColor="text1"/>
          <w:szCs w:val="24"/>
        </w:rPr>
        <w:t xml:space="preserve">Taigi, anot apeliantų, nenustačius karo sąlygų, negalimas atsakomybės taikymas.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Teisėjų kolegija, nesutikdama su tokiu aiškinimu dėl veikimo karo sąlygomis, kaip, gynėjų nuomone, privalomo nusikalstamos veikos, numatytos BK 111 straipsnio 1 dalyje, požymio, atkreipia dėmesį, kad Ženevos konvencijų Papildomas I protokolas dėl tarptautinių ginkluotų konfliktų aukų apsaugos karo atakos nesieja vien su karu (karo ataka siejama ir su tarptautiniu ginkluotu konfliktu).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Praėjusio amžiaus pradžioje, pavyzdžiui 1907 m. Hagos konvencijoje, buvo naudojamas tik karo terminas, tačiau vėliau tarptautinėje teisėje greta karo buvo pradėtas naudoti ir ginkluoto konflikto terminas. Visų keturių Ženevos konvencijų bendras 2 straipsnis numato, kad „&lt;...&gt; konvencija taikoma visais atvejais, kai skelbiamas karas arba kyla koks nors kitas ginkluotas dviejų arba kelių aukštųjų susitariančiųjų šalių konfliktas, net jei viena iš jų karo nepripažįsta“. 1949 m. rugpjūčio 12 d. Ketvirtoji Ženevos konvencija vadinasi „Ženevos konvencija dėl civilių apsaugos </w:t>
      </w:r>
      <w:r w:rsidRPr="00C00255">
        <w:rPr>
          <w:i/>
          <w:color w:val="000000" w:themeColor="text1"/>
          <w:szCs w:val="24"/>
        </w:rPr>
        <w:t>karo</w:t>
      </w:r>
      <w:r w:rsidRPr="00C00255">
        <w:rPr>
          <w:color w:val="000000" w:themeColor="text1"/>
          <w:szCs w:val="24"/>
        </w:rPr>
        <w:t xml:space="preserve"> metu“, tačiau, kaip minėta, konvencijos 2 straipsnyje įtvirtinta, jog konvencija taikoma ir kilus dviejų ar daugiau šalių ginkluotam konfliktui, t. y. tarptautiniam ginkluotam konfliktui. Ženevos konvencijų Papildomo protokolo dėl tarptautinių ginkluotų konfliktų aukų apsaugos pavadinime iš viso nėra žodžio „karas“, įvardijamas tik „ginkluoto konflikto“ terminas, nors akivaizdu, kad minėto protokolo nuostatos taikomos ir karo atveju. </w:t>
      </w:r>
      <w:bookmarkStart w:id="817" w:name="_Hlk56609314"/>
      <w:r w:rsidRPr="00C00255">
        <w:rPr>
          <w:color w:val="000000" w:themeColor="text1"/>
          <w:szCs w:val="24"/>
        </w:rPr>
        <w:t>Taigi, minėtuose tarptautiniuose teisės aktuose naudojama</w:t>
      </w:r>
      <w:r w:rsidRPr="00C00255">
        <w:rPr>
          <w:i/>
          <w:iCs/>
          <w:color w:val="000000" w:themeColor="text1"/>
          <w:szCs w:val="24"/>
        </w:rPr>
        <w:t xml:space="preserve"> </w:t>
      </w:r>
      <w:r w:rsidRPr="00C00255">
        <w:rPr>
          <w:bCs/>
          <w:i/>
          <w:iCs/>
          <w:color w:val="000000" w:themeColor="text1"/>
          <w:szCs w:val="24"/>
        </w:rPr>
        <w:t>„atakos“ („puolimo“) sąvoka apima ne tik ataką karo metu, bet ir ataką tarptautinio ginkluoto konflikto metu.</w:t>
      </w:r>
      <w:r w:rsidRPr="00C00255">
        <w:rPr>
          <w:color w:val="000000" w:themeColor="text1"/>
          <w:szCs w:val="24"/>
        </w:rPr>
        <w:t xml:space="preserve"> </w:t>
      </w:r>
      <w:bookmarkEnd w:id="817"/>
      <w:r w:rsidRPr="00C00255">
        <w:rPr>
          <w:color w:val="000000" w:themeColor="text1"/>
          <w:szCs w:val="24"/>
        </w:rPr>
        <w:t>Ženevos konvencijų Papildomo protokolo dėl tarptautinių ginkluotų konfliktų aukų apsaugos 1987 m. komentare (para. 62–63) pažymėta, kad konflikto trukmė ar intensyvumas nelemia Ženevos Konvencijų apsaugos netaikymo. Konvencijos apima ir situacijas, kai viena iš ginkluoto konflikto šalių neigia karo padėtį. Net jei visos konflikto šalys neigia karo padėtį, tai nesuteikia joms teisės trukdyti Konvencijų nuostatų taikymui, kadangi šios normos, skirtos ginti asmenis, o ne tarnauti valstybių interesams.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Teisėjų kolegija atkreipia dėmesį ir į tai, kad tiek tarptautinėje teisėje, tiek ir nacionalinėje teisėje karo terminas vartojamas ir apibrėžiant tam tikrą nusikaltimų grupę, t. y. karo nusikaltimus, tačiau iš šiame procesiniame dokumente jau aptartų tarptautinės teisės aktų akivaizdu, kad karo nusikaltimai yra susiję ne tik su veikomis padarytomis karo (klasikine šio termino prasme) metu, </w:t>
      </w:r>
      <w:r w:rsidRPr="00C00255">
        <w:rPr>
          <w:i/>
          <w:color w:val="000000" w:themeColor="text1"/>
          <w:szCs w:val="24"/>
        </w:rPr>
        <w:t>bet ir su neteisėtu elgesiu, atliktu, ginkluotų konfliktų, okupacijos ir pan. metu.</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Lietuvos Respublikos 2000 m. birželio 8 d. karo padėties įstatymo 2 straipsnio 4 dalyje įtvirtinta, kad karas – tai paskelbtas karas ar bet kuris kitas tarptautinis ginkluotas konfliktas, kurio dalyvė yra Lietuvos Respublika. Atkreiptinas dėmesys į tai, kad šis karo apibrėžimas Lietuvos Respublikos teisės aktuose galiojo ir 2003 m. gegužės 1 d., kai įsigaliojo BK 111 straipsnis „Draudžiama karo ataka“. Taigi sisteminis ir lingvistinis minėtų tarptautinių teisės aktų ir Lietuvos Respublikos teisės aktų aiškinimas leidžia daryti išvadą, kad BK</w:t>
      </w:r>
      <w:r>
        <w:rPr>
          <w:color w:val="000000" w:themeColor="text1"/>
          <w:szCs w:val="24"/>
        </w:rPr>
        <w:t> </w:t>
      </w:r>
      <w:r w:rsidRPr="00C00255">
        <w:rPr>
          <w:color w:val="000000" w:themeColor="text1"/>
          <w:szCs w:val="24"/>
        </w:rPr>
        <w:t>111</w:t>
      </w:r>
      <w:r>
        <w:rPr>
          <w:color w:val="000000" w:themeColor="text1"/>
          <w:szCs w:val="24"/>
        </w:rPr>
        <w:t> </w:t>
      </w:r>
      <w:r w:rsidRPr="00C00255">
        <w:rPr>
          <w:color w:val="000000" w:themeColor="text1"/>
          <w:szCs w:val="24"/>
        </w:rPr>
        <w:t xml:space="preserve">straipsnio 1 dalyje vartojama sąvoka karo ataka apima ne tik ataką (puolimą) karo metu, </w:t>
      </w:r>
      <w:r w:rsidRPr="00C00255">
        <w:rPr>
          <w:szCs w:val="24"/>
        </w:rPr>
        <w:t>bet ir kaip nagrinėjamoje byloje – ataką, atliktą tarptautinio ginkluoto konflikto metu.</w:t>
      </w:r>
    </w:p>
    <w:p w:rsidR="00A93032" w:rsidRPr="00A93032" w:rsidRDefault="00DA38E9" w:rsidP="00A93032">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Taigi, apeliacinių skundų argumentai, kad nuteistiesiems negalėjo būti inkriminuotas BK 111 straipsnis (šiuo atveju, šio straipsnio 1 dalis), numatantis baudžiamąją atsakomybę už draudžiamą karo ataką, nes nebuvo galima suvokti, kad veika vykdoma karo sąlygomis, atmetami kaip nepagrįsti, kadangi karo sąlygų konstatavimas nėra būtinas, siekiant nusikalstamą veiką kvalifikuoti pagal BK 111 straipsnį.</w:t>
      </w:r>
    </w:p>
    <w:p w:rsidR="00DA38E9" w:rsidRPr="005D022C"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5D022C">
        <w:t>Taip pat nepagrįstais laikomi ir skundų argumentai, kad 1991 m. įvykiai negali būti laikomi karo ataka dėl personalo ir objektų nepažymėjimo civilinės gynybos ženklais. „Civilinė gynyba“ – tai tam tikrų humanitarinių užduočių, skirtų civiliams gyventojams apginti nuo pavojų ir padėti jiems pašalinti tiesioginius karo veiksmų ar katastrofų padarinius, taip pat sukurti jiems išlikti būtinas sąlygas, vykdymas (Ženevos konvencijų Papildomo protokolo dėl tarptautinių ginkluotų konfliktų aukų apsaugos 61 straipsnis). Šioje byloje nuteistiesiems kaltinimai nebuvo pareikšti dėl karo atakos prieš civilinės gynybos personalą (kaltinimai pareikšti dėl karo atakos prieš civilius), todėl apeliacinės instancijos teismas nemato pagrindo nagrinėti klausimo dėl (ne) privalomumo tam tikrus asmenis ar objektus pažymėti civilinės gynybos ženklais (BPK 255 straipsnis).</w:t>
      </w:r>
    </w:p>
    <w:p w:rsidR="00DA38E9" w:rsidRPr="00C00255" w:rsidRDefault="00DA38E9" w:rsidP="00DA38E9">
      <w:pPr>
        <w:pStyle w:val="Heading3"/>
        <w:ind w:left="992"/>
        <w:jc w:val="both"/>
        <w:rPr>
          <w:b w:val="0"/>
          <w:i/>
          <w:sz w:val="24"/>
          <w:szCs w:val="24"/>
          <w:lang w:val="lt-LT"/>
        </w:rPr>
      </w:pPr>
      <w:bookmarkStart w:id="818" w:name="_Toc66718302"/>
      <w:bookmarkStart w:id="819" w:name="_Toc67677425"/>
      <w:bookmarkStart w:id="820" w:name="_Toc67985553"/>
      <w:r w:rsidRPr="00C00255">
        <w:rPr>
          <w:b w:val="0"/>
          <w:i/>
          <w:color w:val="000000" w:themeColor="text1"/>
          <w:sz w:val="24"/>
          <w:szCs w:val="24"/>
          <w:lang w:val="lt-LT"/>
        </w:rPr>
        <w:t>D</w:t>
      </w:r>
      <w:r w:rsidRPr="00C00255">
        <w:rPr>
          <w:b w:val="0"/>
          <w:i/>
          <w:sz w:val="24"/>
          <w:szCs w:val="24"/>
          <w:lang w:val="lt-LT"/>
        </w:rPr>
        <w:t>ėl BK 111 straipsnio 1 dalyje įtvirtintos nusikalstamos veikos sudėties požymių konstatavimo nuteistųjų veikose</w:t>
      </w:r>
      <w:bookmarkEnd w:id="818"/>
      <w:bookmarkEnd w:id="819"/>
      <w:bookmarkEnd w:id="820"/>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Teisėjų kolegija neabejoja, kad šioje byloje nuteisti asmenys savo veikomis realizavo aptartus BK 111 straipsnio 1 dalyje įtvirtinto karo nusikaltimo sudėties požymius. Kaip ir ankstesnėse dalyse, pabrėžtina, kad 1991 m. nuteistieji veikė koordinuotai ir bendrai, siekdami to paties vieno tikslo, ir kiekvieno iš nuteistųjų veiksmai, nepriklausomai nuo jų atlikimo laiko ir konkrečios vykdytos funkcijos (</w:t>
      </w:r>
      <w:r w:rsidRPr="00C00255">
        <w:rPr>
          <w:szCs w:val="24"/>
        </w:rPr>
        <w:t>tai aptarta analizuojant konkrečių nuteistųjų vaidmenį atskiruose epizoduose)</w:t>
      </w:r>
      <w:r w:rsidRPr="00C00255">
        <w:rPr>
          <w:color w:val="000000" w:themeColor="text1"/>
          <w:szCs w:val="24"/>
        </w:rPr>
        <w:t>, buvo būtini nusikalstamo plano įgyvendinimui.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Nagrinėjamoje byloje aktualūs šie BK 111 straipsnio 1 dalyje įtvirtinto karo nusikaltimo sudėties požymiai: „</w:t>
      </w:r>
      <w:r w:rsidRPr="00C00255">
        <w:rPr>
          <w:i/>
          <w:color w:val="000000" w:themeColor="text1"/>
          <w:szCs w:val="24"/>
        </w:rPr>
        <w:t>įsakė vykdyti ar vykdė tarptautinės humanitarinės teisės draudžiamą karo ataką prieš civilius</w:t>
      </w:r>
      <w:r w:rsidRPr="00C00255">
        <w:rPr>
          <w:color w:val="000000" w:themeColor="text1"/>
          <w:szCs w:val="24"/>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Kaip minėta,</w:t>
      </w:r>
      <w:r w:rsidRPr="00C00255">
        <w:rPr>
          <w:color w:val="000000" w:themeColor="text1"/>
          <w:szCs w:val="24"/>
        </w:rPr>
        <w:t xml:space="preserve"> </w:t>
      </w:r>
      <w:r w:rsidRPr="00C00255">
        <w:rPr>
          <w:i/>
          <w:szCs w:val="24"/>
        </w:rPr>
        <w:t>puolimas (ataka)</w:t>
      </w:r>
      <w:r w:rsidRPr="00C00255">
        <w:rPr>
          <w:szCs w:val="24"/>
        </w:rPr>
        <w:t xml:space="preserve"> tarptautinėje teisėje yra suprantamas kaip kovos veiksmai arba kaip ginkluotos jėgos panaudojimas karinei operacijai vykdyti ginkluoto konflikto pradžioje arba jo metu. Teisėjų kolegijai nekyla abejonių, kad nuteistų</w:t>
      </w:r>
      <w:r w:rsidR="00A93032">
        <w:rPr>
          <w:szCs w:val="24"/>
        </w:rPr>
        <w:t>jų veiksmai, kai 1991 m. sausio </w:t>
      </w:r>
      <w:r w:rsidRPr="00C00255">
        <w:rPr>
          <w:szCs w:val="24"/>
        </w:rPr>
        <w:t>11–13 dienomis Lietuvos valstybei strategiškai svarbūs objektai buvo puolami, pasitelkus galingą karinę techniką, kovinius ginklus, specialiąsias priemones, braunantis per prie objektų susirinkusių žmonių minias ir taip faktiškai puolant ne tik strateginius objektus, bet ir civilius asmenis, o po šių puolimų įvestos komendanto valandos metu patruliuojant, pasitelkus karinę techniką ir kovinius ginklus bei juos panaudojant prieš neteisėtai sulaikomus civilius asmenis, buvo vykdoma karo ataka, kuri pagal puolimo dalyką (civilius asmenis ir civilinius objektus) neabejotinai buvo draudžiama pagal tarptautinės humanitarinės teisės normas.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Apeliaciniuose skunduose ginčijant nuteistųjų veiksmų kvalifikavimą pagal BK 111 straipsnio 1 dalį dažnai kartojamas argumentas, kad pulti objektai buvo kariniai ir kad karo ataka nebuvo </w:t>
      </w:r>
      <w:r w:rsidRPr="00C00255">
        <w:rPr>
          <w:i/>
          <w:szCs w:val="24"/>
        </w:rPr>
        <w:t>nukreipta prieš civilius</w:t>
      </w:r>
      <w:r w:rsidRPr="00C00255">
        <w:rPr>
          <w:szCs w:val="24"/>
        </w:rPr>
        <w:t xml:space="preserve">. Kaip jau pažymėta ankstesnėje dalyje, atliekant karo veiksmus, būtina nuolat rūpintis, kad būtų tausojami civiliai ir jokios atsargumo priemonės nesuteikia teisės vykdyti karo atakos prieš civilius. Tiek vykdant ataką iš arti, tiek iš toli turi būti labai atidžiai įvertinami duomenys apie galimą ataką prieš civilius. Nagrinėjamoje byloje surinktais duomenimis nustatyta, kad puolimai prieš visus objektus, šalia kurių buvo susirinkusi gausi civilių minia, buvo atliekami iš arti, prieš tai atlikus žvalgybinius veiksmus ir turint patikimų duomenų dėl civilių asmenų buvimo prie planuojamų užimti objektų. Taigi, karinę operaciją inicijavę, planavę ir ją koordinavę nuteistieji iš anksto žinojo apie planuojamą puolimą ne tik prieš objektus, bet ir neišvengiamai prieš objektuose buvusius civilius asmenis bei prie objektų susirinkusias gausias civilių minias. Atitinkamai, tiesiogiai puolimuose dalyvavę nuteistieji net iš arti matė, kad puolimą vykdo ne prieš ginkluotąsias pajėgas, bet prieš beginklius civilius. Pažymėtina, kad tarptautinėje teisėje laikomasi pozicijos, kad tuo atveju, kai dėl atstumo ar dėl naktį vykdomo puolimo, neįmanoma gerai įžiūrėti puolamo objekto ar subjekto, iš puolančiosios pusės yra reikalaujama dar didesnio atsargumo. Taigi, teisėjų kolegijai, nekyla abejonių, kad karo ataka buvo nukreipta prieš civilius, todėl nuteistųjų veikoje konstatuojamas ir dar vienas būtinasis BK 111 straipsnio 1 dalyje įtvirtintas požymis – </w:t>
      </w:r>
      <w:r w:rsidRPr="00C00255">
        <w:rPr>
          <w:i/>
          <w:szCs w:val="24"/>
        </w:rPr>
        <w:t>karo atakos vykdymas prieš civilius</w:t>
      </w:r>
      <w:r w:rsidRPr="00C00255">
        <w:rPr>
          <w:szCs w:val="24"/>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Dėl požymio „</w:t>
      </w:r>
      <w:r w:rsidRPr="00C00255">
        <w:rPr>
          <w:i/>
          <w:szCs w:val="24"/>
        </w:rPr>
        <w:t>įsakė vykdyti ar vykdė</w:t>
      </w:r>
      <w:r w:rsidRPr="00C00255">
        <w:rPr>
          <w:szCs w:val="24"/>
        </w:rPr>
        <w:t xml:space="preserve">“ konstatavimo nuteistųjų veikose pažymėtina, kad iš ankstesnėse sprendimo dalyse aptartų faktinių aplinkybių nustatyta, kad bendra nuteistųjų užduotis ir tikslas buvo bet kokiomis priemonėmis užimti strateginius objektus, o vėliau įvesti komendanto valandą ir įgyvendinti jos priemones. Tiek operaciją iniciavusiems, planavusiems ir jai vadovavusiems asmenims, tiek joje dalyvavusiems kitiems vadovaujančias pareigas ėjusiems karininkams buvo žinoma, kad užduočių vykdymo metu jie susidurs su žymiu neginkluotų civilių pasipriešinimu, tačiau nepaisydamas tokio žinojimo, vadovavimo operacijai štabas ir operacijos vadovai savo planų neatšaukė ir nurodė konkrečioms ginkluotosioms pajėgoms vykdyti operaciją, tokiu būdu įsakydami vykdyti draudžiamą karo ataką, kurios metu, panaudojant karinę techniką ir karines priemones, bus puolami ne karinio pobūdžio objektai ir juose esantys bei prie jų susirinkę neginkluoti civiliai, o vėliau, vykdant įvestą komendanto valandą, tomis pačiomis priemonėmis bus tęsiamas civilių užpuldinėjimas. </w:t>
      </w:r>
      <w:r w:rsidRPr="00C00255">
        <w:rPr>
          <w:color w:val="000000" w:themeColor="text1"/>
          <w:szCs w:val="24"/>
        </w:rPr>
        <w:t xml:space="preserve">Atitinkamai byloje nustatyta, kad šioje byloje atsakomybėn traukiami vadovaujančias pareigas ėję karininkai (tarnavę profesinėje karinėje tarnyboje ir baigę karinius mokslus), kurie atvyko prie minėtų objektų, prie jų tiesiogiai matė daugiatūkstantines neginkluotų civilių minias ir turėjo realią galimybę nutraukti planuojamus puolamuosius veiksmus, veikdami kartu su jiems pavaldžiais kariškiais, kuriems turėjo teisę duoti privalomus nurodymus, siekdami įvykdyti jiems iškeltas užduotis, panaudojo savo dispozicijoje turimas kovines priemones prieš neginkluotus civilius. Taigi </w:t>
      </w:r>
      <w:r w:rsidRPr="00C00255">
        <w:rPr>
          <w:szCs w:val="24"/>
        </w:rPr>
        <w:t>įsakymo vykdyti draudžiamą karo ataką ir jos vykdymo požymis bendruose koordinuotuose nuteistųjų veiksmuose pasitvirtino.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Taip pat apeliacinės instancijos teismas daro išvadą, kad nuteistieji atitinka BK 111 straipsnio 1 dalyje įtvirtintos nusikalstamos veikos subjekto požymius. Platesni motyvai šiuo klausimu jau pateikti, pavyzdžiui, 1061.2, 1064.4 pastraipose, todėl nebekartojami.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Kalbant apie subjektyvųjį BK 111 straipsnio 1 dalyje įtvirtinto karo nusikaltimo požymį – kaltę, kaip ir anksčiau aptartų kitų karo nusikaltimų atveju, pabrėžtina, kad šis nusikaltimas gali būti padaromas tik tiesiogine tyčia, t. y. asmuo suvokia, kad jis įsako ar vykdo karo ataką prieš civilius asmenis ir nori taip veikti. Teisėjų kolegijos vertinimu, šio procesinio sprendimo 1081.3 pastraipoje aptartos faktinės aplinkybės vienareikšmiškai rodo, kad nuteistieji veikė tiesiogine tyčia ir šį požymį realizavo.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 xml:space="preserve">Atsižvelgdama į visa tai, teisėjų kolegija konstatuoja, jog asmenų, kuriems šioje byloje pareikšti kaltinimai, veikose yra nustatyti visi būtinieji ir šioje dalyje aptarti BK 111 straipsnio 1 dalyje numatytų karo nusikaltimų sudėties požymiai.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C00255">
        <w:rPr>
          <w:szCs w:val="24"/>
        </w:rPr>
        <w:t xml:space="preserve">Be to, teisėjų kolegija sutinka ir su prokuratūros apeliaciniame skunde pateiktu prašymu </w:t>
      </w:r>
      <w:r w:rsidRPr="00C00255">
        <w:rPr>
          <w:color w:val="000000"/>
          <w:szCs w:val="24"/>
        </w:rPr>
        <w:t xml:space="preserve">patikslinti ir suvienodinti </w:t>
      </w:r>
      <w:r w:rsidRPr="00C00255">
        <w:rPr>
          <w:szCs w:val="24"/>
        </w:rPr>
        <w:t xml:space="preserve">skundžiamo nuosprendžio nustatomojoje dalyje esantį BK 111 straipsnio 1 dalyje numatyto nusikaltimo sudėties požymių aprašymą. Prašoma nuosekliai vartoti bei į minėtą dalį įtraukti „puolimo“ požymį. Teisėjų kolegija pažymi, kad, analizuodama faktines įvykių aplinkybes, šiame procesiniame sprendime vartojo terminus „užgrobimas“, „užėmimas“, „puolimas“, „šturmas“ ir pan., kurie visi, priklausomai nuo konkrečios situacijos, yra tinkami vartoti aprašant faktines aplinkybes, susijusias su objektų užėmimu. Visgi prokurorų siūlomas „puolimo“ požymis labiau atitinka BK 111 straipsnio 1 dalies dispoziciją (puolimas ir ataka laikytini sinonimais) ir apima kolegijos minėtus ir šiame sprendime vartotus terminus. Todėl minėti prokurorų siūlomi nustatomosios dalies patikslinimai, susiję su „puolimo“ požymio aprašymu, laikytini pagrįstais ir toks prokurorų prašymas tenkinamas. </w:t>
      </w:r>
    </w:p>
    <w:p w:rsidR="00DA38E9" w:rsidRPr="00C00255" w:rsidRDefault="00DA38E9" w:rsidP="00DA38E9">
      <w:pPr>
        <w:pStyle w:val="Heading3"/>
        <w:spacing w:before="120" w:after="120"/>
        <w:ind w:left="992"/>
        <w:jc w:val="both"/>
        <w:rPr>
          <w:b w:val="0"/>
          <w:i/>
          <w:sz w:val="24"/>
          <w:lang w:val="lt-LT"/>
        </w:rPr>
      </w:pPr>
      <w:bookmarkStart w:id="821" w:name="_Toc65435069"/>
      <w:bookmarkStart w:id="822" w:name="_Toc66718303"/>
      <w:bookmarkStart w:id="823" w:name="_Toc67677426"/>
      <w:bookmarkStart w:id="824" w:name="_Toc67985554"/>
      <w:r w:rsidRPr="00C00255">
        <w:rPr>
          <w:b w:val="0"/>
          <w:i/>
          <w:sz w:val="24"/>
          <w:lang w:val="lt-LT"/>
        </w:rPr>
        <w:t>Dėl BK 112 straipsnyje įtvirtintos nusikalstamos veikos sudėties požymių ir baudžiamosios atsakomybės už ją nustatymo tarptautinėje teisėje 1991 metais bei šios nusikalstamos veikos sudėties požymių konstatavimo nuteistųjų veikose</w:t>
      </w:r>
      <w:bookmarkEnd w:id="821"/>
      <w:bookmarkEnd w:id="822"/>
      <w:bookmarkEnd w:id="823"/>
      <w:bookmarkEnd w:id="824"/>
    </w:p>
    <w:p w:rsidR="00A93032" w:rsidRPr="005D022C" w:rsidRDefault="00DA38E9" w:rsidP="00A93032">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5D022C">
        <w:rPr>
          <w:color w:val="000000" w:themeColor="text1"/>
          <w:szCs w:val="24"/>
        </w:rPr>
        <w:t>BK 112 straipsnyje „Uždraustų karo priemonių naudojimas“ (2000 m. rugsėjo 26 d. įstatymo Nr. VIII-1968 redakcija) numatyta baudžiamoji atsakomybė už įsakymą karo veiksmuose panaudoti ar panaudojimą uždraustų karo priemonių ar kariavimo būdų, pažeidžiant Lietuvos Respublikos tarptautinių sutarčių ar visuotinai pripažintų tarptautinių papročių dėl karo priemonių ar kariavimo būdų nuostatas. Nagrinėjamoje baudžiamojoje byloje pagal nuteistiesiems pareikštus kaltinimus ir pagal pirmosios instancijos teismo bei apeliacinės instancijos teismo konstatuotas nuteistųjų padarytos nusikalstamos veikos faktines aplinkybes yra aktualūs šie nusikalstamos veikos požymiai – „</w:t>
      </w:r>
      <w:r w:rsidRPr="005D022C">
        <w:rPr>
          <w:i/>
          <w:color w:val="000000" w:themeColor="text1"/>
          <w:szCs w:val="24"/>
        </w:rPr>
        <w:t>įsakė karo veiksmuose panaudoti ir panaudojo tarptautinių sutarčių ar visuotinai pripažintų tarptautinių papročių uždraustas karo priemones</w:t>
      </w:r>
      <w:r w:rsidRPr="005D022C">
        <w:rPr>
          <w:color w:val="000000" w:themeColor="text1"/>
          <w:szCs w:val="24"/>
        </w:rPr>
        <w:t xml:space="preserve">“. </w:t>
      </w:r>
    </w:p>
    <w:p w:rsidR="00A93032" w:rsidRDefault="00DA38E9" w:rsidP="00A93032">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5D022C">
        <w:t>Pirmosios instancijos teismo nuosprendyje BK 112 straipsnyje įtvirtinto nusikaltimo sudėties požymiai nebuvo plačiau nagrinėti,</w:t>
      </w:r>
      <w:r w:rsidRPr="00A93032">
        <w:rPr>
          <w:color w:val="000000" w:themeColor="text1"/>
          <w:szCs w:val="24"/>
        </w:rPr>
        <w:t xml:space="preserve"> </w:t>
      </w:r>
      <w:r w:rsidRPr="005D022C">
        <w:t>neaptarta šio straipsnio grįžtamoji galia, tik, aprašant nusikalstamų veikų padarymo aplinkybes, įvardinta, kad buvo naudotos tarptautinių sutarčių uždraustos karo priemonės – 5,45 mm kalibro šoviniai su išcentruota kulka. Todėl apeliacinės instancijos teismas aptars tarptautinės teisės aktus, kurie galiojo 1991 m. įvykių metu ir reglamentavo draudžiamas karo priemones ar kariavimo būdus (tarp jų ir ekspansyvių (besisukančių) kulkų panaudojimą).</w:t>
      </w:r>
      <w:r w:rsidRPr="00A93032">
        <w:rPr>
          <w:color w:val="000000" w:themeColor="text1"/>
          <w:szCs w:val="24"/>
        </w:rPr>
        <w:t xml:space="preserve"> </w:t>
      </w:r>
    </w:p>
    <w:p w:rsidR="00A93032" w:rsidRPr="005D022C"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5D022C">
        <w:t>Pirmą kartą kulkų, kurios lengvai sprogsta ar deformuojasi žmogaus kūne, naudojimo draudimas tarptautinėje teisėje buvo įtvirtintas 1899 m. liepos 29 d. Hagos deklaracijoje dėl lengvai besisukančių ar susiplojančių kulkų nenaudojimo.</w:t>
      </w:r>
      <w:r w:rsidRPr="005D022C">
        <w:rPr>
          <w:color w:val="000000" w:themeColor="text1"/>
          <w:szCs w:val="24"/>
        </w:rPr>
        <w:t xml:space="preserve"> </w:t>
      </w:r>
      <w:r w:rsidRPr="005D022C">
        <w:t>Šioje deklaracijoje įtvirtinta, kad deklaraciją pasirašiusios valstybės susitaria susilaikyti nuo kulkų, kurios lengvai sprogsta ar deformuojasi žmogaus kūne, pavyzdžiui, kulkų su kietu apvalkalu, kuris ne visiškai uždengia šerdį, arba kulkų su įpjovomis, naudojimo. Rusija ratifikavo šią deklaraciją 1900 m. rugsėjo 4 d. Deklaracija privaloma tik susitariančioms šalims, jų tarpusavio konflikto metu. Tarptautinės teisės doktrinoje ši minėtos deklaracijos nuostata vertinama kaip paprotinės teisės dalis. Tokį vertinimą įrodo ir faktas, kad nuostata dėl draudimo naudoti kulkas, kurios lengvai sprogsta ar deformuojasi žmogaus kūne, neprarado aktualumo ir po beveik 100 metų, kai buvo pažodžiui įtraukta į Tarptautinio Baudžiamojo Teismo Romos statutą.</w:t>
      </w:r>
    </w:p>
    <w:p w:rsidR="00A93032" w:rsidRPr="005D022C"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5D022C">
        <w:rPr>
          <w:color w:val="000000" w:themeColor="text1"/>
          <w:szCs w:val="24"/>
        </w:rPr>
        <w:t>1998 m. Tarptautinio Baudžiamojo Teismo Romos</w:t>
      </w:r>
      <w:r w:rsidRPr="005D022C">
        <w:rPr>
          <w:i/>
          <w:color w:val="000000" w:themeColor="text1"/>
          <w:szCs w:val="24"/>
        </w:rPr>
        <w:t xml:space="preserve"> </w:t>
      </w:r>
      <w:r w:rsidRPr="005D022C">
        <w:rPr>
          <w:color w:val="000000" w:themeColor="text1"/>
          <w:szCs w:val="24"/>
        </w:rPr>
        <w:t>statuto 8 straipsnio 2 dalies b punkto xix papunktyje kaip karo nusikaltimas įvardijamas kulkų, kurios lengvai sprogsta ar deformuojasi žmogaus kūne, pavyzdžiui, kulkų su kietu apvalkalu, ne visiškai uždengiančiu kulkos šerdį arba turinčių įpjovas naudojimas, o xx papunktyje kaip karo nusikaltimas įvardijamas ginklų, šaudmenų ir medžiagų bei kariavimo būdų, kurie sukelia nereikalingus sužalojimus ar kančias arba kurie veikia nesirinktinai, taip pažeidžiant tarptautinės ginkluoto konflikto teisės normas, jei tokie ginklai, šaudmenys, medžiagos ir kariavimo būdai yra visuotinai draudžiami ir, padarius atitinkamus pakeitimus ir papildymus pagal 121 ir 123 straipsnių nuostatas, yra įtraukti į šio Statuto priedą, naudojimas.</w:t>
      </w:r>
    </w:p>
    <w:p w:rsidR="00A93032" w:rsidRPr="005D022C"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5D022C">
        <w:t>Be to, Ženevos konvencijų Papildomo protokolo dėl tarptautinių ginkluotų konfliktų aukų apsaugos 35 straipsnyje nustatyta, kad, kilus bet kokiam ginkluotam konfliktui, konflikto šalių teisė pasirinkti kariavimo metodus ir priemones nėra neribota (35 straipsnio 1 dalis); draudžiama naudoti ginklus, šaudmenis, medžiagas ir kariavimo metodus, galinčius padaryti nereikalingos žalos ir sukelti nereikalingų kančių (35 straipsnio 2 dalis).</w:t>
      </w:r>
    </w:p>
    <w:p w:rsidR="00A93032"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A93032">
        <w:rPr>
          <w:color w:val="000000" w:themeColor="text1"/>
          <w:szCs w:val="24"/>
        </w:rPr>
        <w:t>Jungtinių Tautų 1980 m. spalio 10 d. konvencijos dėl tam tikrų įprastinių ginklų, kurie gali būti laikomi pernelyg žalojančiais arba veikia nesirinktinai, naudojimo uždraudimo arba apribojimo</w:t>
      </w:r>
      <w:r w:rsidRPr="00A93032">
        <w:rPr>
          <w:i/>
          <w:color w:val="000000" w:themeColor="text1"/>
          <w:szCs w:val="24"/>
        </w:rPr>
        <w:t xml:space="preserve"> </w:t>
      </w:r>
      <w:r w:rsidRPr="00A93032">
        <w:rPr>
          <w:color w:val="000000" w:themeColor="text1"/>
          <w:szCs w:val="24"/>
        </w:rPr>
        <w:t>preambulėje nurodyta, kad šalys dėl šios konvencijos susitaria, remdamosi tarptautinės teisės principu, jog ginkluoto konflikto šalių teisė pasirinkti kariavimo būdus ir priemones nėra neribota, bei principu, draudžiančiu ginkluoto konflikto metu naudoti ginklus, šaudmenis bei medžiagas ir kariavimo būdus, savo prigimtimi per daug žalojančius ar sukeliančius nereikalingų kančių.</w:t>
      </w:r>
      <w:r w:rsidRPr="00A93032">
        <w:rPr>
          <w:szCs w:val="24"/>
        </w:rPr>
        <w:t xml:space="preserve"> </w:t>
      </w:r>
      <w:r w:rsidRPr="00A93032">
        <w:rPr>
          <w:i/>
          <w:szCs w:val="24"/>
        </w:rPr>
        <w:t>Taigi per daug žalojančių ir sukeliančių nereikalingų kančių ginklų draudimas yra vienas iš tarptautinės teisės principų.</w:t>
      </w:r>
      <w:r w:rsidRPr="00A93032">
        <w:rPr>
          <w:szCs w:val="24"/>
        </w:rPr>
        <w:t xml:space="preserve"> Prie </w:t>
      </w:r>
      <w:r w:rsidR="00A93032">
        <w:rPr>
          <w:color w:val="000000" w:themeColor="text1"/>
          <w:szCs w:val="24"/>
        </w:rPr>
        <w:t>Jungtinių Tautų 1980 m. </w:t>
      </w:r>
      <w:r w:rsidRPr="00A93032">
        <w:rPr>
          <w:color w:val="000000" w:themeColor="text1"/>
          <w:szCs w:val="24"/>
        </w:rPr>
        <w:t xml:space="preserve">spalio 10 d. konvencijos dėl tam tikrų įprastinių ginklų, kurie gali būti laikomi pernelyg žalojančiais arba veikia nesirinktinai, naudojimo uždraudimo </w:t>
      </w:r>
      <w:r w:rsidRPr="00A93032">
        <w:rPr>
          <w:szCs w:val="24"/>
        </w:rPr>
        <w:t>buvo pridėti atskiri protokolai, kuriais uždrausta naudoti</w:t>
      </w:r>
      <w:r w:rsidRPr="00A93032">
        <w:rPr>
          <w:color w:val="000000"/>
          <w:szCs w:val="24"/>
        </w:rPr>
        <w:t xml:space="preserve"> ginklus, kurie paprastai sužeidžia skeveldromis (dalelėmis) ir kurių žmogaus kūne negalima aptikti rentgeno spinduliais, taip pat uždrausta naudoti minas, minų spąstus, pa</w:t>
      </w:r>
      <w:r w:rsidRPr="00A93032">
        <w:rPr>
          <w:color w:val="000000" w:themeColor="text1"/>
          <w:szCs w:val="24"/>
        </w:rPr>
        <w:t>degamuosius ginklus, apakinančius lazerinius ginklus bei susitarta dėl likusių nuo karo sprogmenų. Apeliacinės instancijos teismas pažymi, kad ši konvencija TSRS buvo ratifikuota 1982 m. birželio 10 d. ir 1991 metais buvo privaloma TSRS ginkluotosioms pajėgoms.</w:t>
      </w:r>
    </w:p>
    <w:p w:rsidR="00A93032"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A93032">
        <w:rPr>
          <w:color w:val="000000" w:themeColor="text1"/>
          <w:szCs w:val="24"/>
        </w:rPr>
        <w:t>Atkreiptinas dėmesys ir į tai, kad Jugoslavijos tribunolo, kuris buvo įsteigtas nagrinėti nusikaltimus, padarytus panašiu laikotarpiu, kaip ir nagrinėjamoje byloje, t. y. padarytus nuo 1991 metų</w:t>
      </w:r>
      <w:r w:rsidRPr="00A93032">
        <w:rPr>
          <w:i/>
          <w:color w:val="000000" w:themeColor="text1"/>
          <w:szCs w:val="24"/>
        </w:rPr>
        <w:t xml:space="preserve">, </w:t>
      </w:r>
      <w:r w:rsidRPr="00A93032">
        <w:rPr>
          <w:color w:val="000000" w:themeColor="text1"/>
          <w:szCs w:val="24"/>
        </w:rPr>
        <w:t>Statuto</w:t>
      </w:r>
      <w:r w:rsidRPr="00A93032">
        <w:rPr>
          <w:i/>
          <w:color w:val="000000" w:themeColor="text1"/>
          <w:szCs w:val="24"/>
        </w:rPr>
        <w:t xml:space="preserve"> </w:t>
      </w:r>
      <w:r w:rsidRPr="00A93032">
        <w:rPr>
          <w:color w:val="000000" w:themeColor="text1"/>
          <w:szCs w:val="24"/>
        </w:rPr>
        <w:t>3 straipsnio a punkte kaip karo nusikaltimas įvardijamas nuodingųjų ginklų ar ginklų, kurie sukelia nebūtinas kančias, naudojimas.</w:t>
      </w:r>
    </w:p>
    <w:p w:rsidR="00DA38E9" w:rsidRPr="00A93032" w:rsidRDefault="00DA38E9" w:rsidP="00A93032">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A93032">
        <w:rPr>
          <w:color w:val="000000" w:themeColor="text1"/>
          <w:szCs w:val="24"/>
        </w:rPr>
        <w:t xml:space="preserve">Iš minėtų tarptautinės teisės aktų turinio, apeliacinės instancijos teismas daro išvadą, kad 1991 m. draudimas tarptautiniuose ginkluotuose konfliktuose naudoti kulkas, kurios lengvai sprogsta ar deformuojasi žmogaus kūne, pavyzdžiui, kulkas su kietu apvalkalu, kuris ne visiškai uždengia šerdį, arba kulkas su įpjovomis, buvo tarptautinės teisės papročiu ir tokių kulkų naudojimas buvo laikomas karo nusikaltimu. Taigi 1991 metais pagal tarptautinės teisės aktus ir papročius buvo draudžiama naudoti tam tikras karo priemones ar kariavimo būdus, todėl BK 112 straipsnis turi grįžtamąją galią ir nuteistųjų veikų kvalifikavimas pagal BK 112 straipsnį buvo galimas ir pagrįstas.  </w:t>
      </w:r>
    </w:p>
    <w:p w:rsidR="00A93032" w:rsidRDefault="00DA38E9" w:rsidP="00A93032">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 xml:space="preserve">Pažymėtina, jog BK 112 straipsnyje įtvirtinta nusikaltimo sudėtis yra formali, nereikalauja konkrečių padarinių atsiradimo. Ši nusikalstama veika gali būti padaroma </w:t>
      </w:r>
      <w:r w:rsidRPr="00C00255">
        <w:rPr>
          <w:i/>
          <w:color w:val="000000" w:themeColor="text1"/>
          <w:szCs w:val="24"/>
        </w:rPr>
        <w:t>tik tiesiogine tyčia</w:t>
      </w:r>
      <w:r w:rsidRPr="00C00255">
        <w:rPr>
          <w:color w:val="000000" w:themeColor="text1"/>
          <w:szCs w:val="24"/>
        </w:rPr>
        <w:t>. Kitaip tariant, siekiant nustatyti, ar pagrįstai nuteistieji nagrinėjamoje byloje patraukti baudžiamojon atsakomybėn pagal BK 112 straipsnio nuostatas, reikia atsakyti į klausimą, ar nuteistieji, kurie veikė koordinuotai ir bendrai bei siekdami to paties tikslo, suvokė, kad dalyvauja įsakant naudoti ir naudojant tarptautinės teisės draudžiamas karo priemones.</w:t>
      </w:r>
    </w:p>
    <w:p w:rsidR="00A93032" w:rsidRPr="005D022C" w:rsidRDefault="00DA38E9" w:rsidP="00A93032">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5D022C">
        <w:rPr>
          <w:szCs w:val="24"/>
        </w:rPr>
        <w:t xml:space="preserve">Pagal byloje nuteistiesiems pareikštus kaltinimus, 1991 m. sausio įvykių metu buvo įsakyta panaudoti ir </w:t>
      </w:r>
      <w:r w:rsidRPr="005D022C">
        <w:rPr>
          <w:color w:val="000000" w:themeColor="text1"/>
          <w:szCs w:val="24"/>
        </w:rPr>
        <w:t>TSRS ginkluotosios pajėgos, užimdamos Lietuvai svarbius objektus (Spaudos rūmus, TV bokštą ir LRT) ir įgyvendindamos sausio 13 d. 5.00 val. Vilniuje ir jo apylinkėse įvestą komendanto valandą, panaudojo</w:t>
      </w:r>
      <w:r w:rsidRPr="005D022C">
        <w:rPr>
          <w:szCs w:val="24"/>
        </w:rPr>
        <w:t xml:space="preserve"> tarptautinių sutarčių ir visuotinai pripažintų tarptautinių papročių uždraustas karo priemones – 5,45 mm kalibro šovinius su išcentruota kulka</w:t>
      </w:r>
      <w:r w:rsidRPr="005D022C">
        <w:rPr>
          <w:color w:val="000000" w:themeColor="text1"/>
          <w:szCs w:val="24"/>
        </w:rPr>
        <w:t xml:space="preserve">. Apeliacinės instancijos teismas neabejoja, kad tiek užimant minėtus objektus, tiek įgyvendinant komendanto valandą minėti šoviniai su išcentruotomis kulkomis buvo panaudoti ir jie laikytini uždrausta karo priemone, todėl, teisėjų kolegijos vertinimu, </w:t>
      </w:r>
      <w:r w:rsidRPr="005D022C">
        <w:rPr>
          <w:szCs w:val="24"/>
        </w:rPr>
        <w:t>nuteistieji savo veikomis realizavo BK 112 straipsnyje numatyto nusikaltimo sudėties požymius ir ši teisės norma jiems inkriminuota pagrįstai.</w:t>
      </w:r>
      <w:r w:rsidRPr="005D022C">
        <w:rPr>
          <w:color w:val="000000" w:themeColor="text1"/>
          <w:szCs w:val="24"/>
        </w:rPr>
        <w:t xml:space="preserve">  </w:t>
      </w:r>
    </w:p>
    <w:p w:rsidR="00A93032" w:rsidRPr="005D022C"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5D022C">
        <w:rPr>
          <w:szCs w:val="24"/>
        </w:rPr>
        <w:t>Tai, kad minėti šoviniai buvo panaudoti 1991 m. įvykių metu, pirmiausia, patvirtina byloje esantys įvykio vietos apžiūros protokolai, kuriuose nurodyta, jog apžiūrėjus Lietuvai strategiškai svarbius objektus ir jų teritoriją, buvo rastas ir paimtas nemažas kovinių šovinių tūtelių skaičius, o tarp jų būta ir 5,45 mm kalibro šovinių tūtelių (prie TV bokšto rastas ir nepanaudotas tokio kalibro kovinis šovinys)</w:t>
      </w:r>
      <w:r w:rsidRPr="005D022C">
        <w:rPr>
          <w:szCs w:val="24"/>
          <w:lang w:eastAsia="lt-LT"/>
        </w:rPr>
        <w:t xml:space="preserve">). Šiame teismo procesiniame sprendime teisėjų kolegija minėjo ir byloje esančias atskirų karinių dalinių vadų pateiktas pažymas, kuriose nurodyta, kad TSRS ginkluotosios pajėgos prie užimamų objektų naudojo ir 5,45 mm kalibro šovinius. Aplinkybę, kad minėtos pajėgos prie užimamų objektų Vilniuje naudojo minėto kalibro šovinius, konstatavo ir specialistas J. Andriškevičius jau ne kartą minėtoje 2014 m. birželio 10 d. išvadoje. Minėtų šovinių panaudojimą užimant objektus ir įgyvendinant komendanto valandą, patvirtina ir ekspertizės aktai bei kiti medicininiai dokumentai, kuriuose užfiksuota, kad įvykių metu šautinius sužalojimus patyrusių asmenų </w:t>
      </w:r>
      <w:r w:rsidRPr="005D022C">
        <w:rPr>
          <w:szCs w:val="24"/>
        </w:rPr>
        <w:t xml:space="preserve">kūnuose buvo rastos 5,45 mm kalibro kulkos ir (ar) jų dalys (skeveldros). Nukentėję asmenys įvardinti ir jų sužalojimus patvirtinantys duomenys analizuoti aptariant atskirus epizodus, todėl šioje dalyje paminėtini tik keletas iš jų: pavyzdžiui, tai prie TV bokšto nukentėję B. J.; V. Š.; prie LRT nukentėjęs E. M.; įgyvendinant komendanto valandą nužudytas J. T.; taip pat prie Spaudos rūmų nukentėjęs V. L., kuris buvo sužeistas būtent 5,45 mm kalibro išcentruota kulka. </w:t>
      </w:r>
    </w:p>
    <w:p w:rsidR="00A93032" w:rsidRPr="00A93032"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A93032">
        <w:rPr>
          <w:szCs w:val="24"/>
        </w:rPr>
        <w:t>Šiame kontekste svarbūs ir specialisto A. Garlos paaiškinimai, kad viešojoje erdvėje 5,45 mm šoviniai, kurių kulka susidūrusi su kliūtimi keičia savo kryptį, vadinami šoviniais su „išcentrine“ kulka, tačiau oficialiai toks pavadinimas jiems nėra suteiktas; tokios kulkos uždraustos dėl savo žalojančio poveikio žmogui. Anot specialisto, kulkos, kurių kalibras 5,45 mm, yra labai pavojingos, nes jų išėjimo anga visada būna didesnė nei įėjimo, o žaizda – dažniausiai būna plėštinė</w:t>
      </w:r>
      <w:r w:rsidRPr="00A93032">
        <w:rPr>
          <w:color w:val="000000"/>
          <w:szCs w:val="24"/>
        </w:rPr>
        <w:t xml:space="preserve">. </w:t>
      </w:r>
    </w:p>
    <w:p w:rsidR="00A93032" w:rsidRPr="00A93032"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A93032">
        <w:rPr>
          <w:szCs w:val="24"/>
        </w:rPr>
        <w:t>Greta minėtų specialisto A. Garlos paaiškinimų apie „išcentrinėmis“ vadinamų kulkų didelį pavojingumą, svarbūs ir teisiamajame posėdyje liudytoju apklausto tuometinio TSRS VRM Vidaus tarnybos karinio dalinio Nr. 7574 ginklų sandėlio viršininko H. N. parodymai, kad po 1989–1990 m. Ferganoje (dabartinė Uzbekija) vykusių neramumų Jungtinių Tautų Organizacija priėmė sprendimą, jog 5,45 mm kulkos yra nehumaniškos ir sukelia per daug žalos, todėl jas reikia keisti (t. 760, b. l. 140–145). Be to, teisiamajame posėdyje liudytoju apklaustas tuometinis TSRS VRM Vidaus kariuomenės karinės dalies Nr. 3404 Artilerinės ginkluotės tarnybos viršininkas R. M. taip pat nurodė, kad prieš 1991 m.</w:t>
      </w:r>
      <w:r w:rsidRPr="00A93032">
        <w:rPr>
          <w:rFonts w:eastAsia="Calibri"/>
          <w:color w:val="000000" w:themeColor="text1"/>
          <w:szCs w:val="24"/>
        </w:rPr>
        <w:t xml:space="preserve"> įvykius jų atskiri daliniai dalyvavo įvykiuose Kaukaze ir po pastarųjų įvykių buvo paskelbta, kad 5,45 mm kalibro kulkos yra nehumaniškos, nes jomis padaromos didžiulės žaizdos ir jų kryptis kinta susidūrus su bet kokia kliūtimi </w:t>
      </w:r>
      <w:r w:rsidRPr="00A93032">
        <w:rPr>
          <w:szCs w:val="24"/>
        </w:rPr>
        <w:t xml:space="preserve">(t. 760, b. l. 140–145). </w:t>
      </w:r>
    </w:p>
    <w:p w:rsidR="00A93032" w:rsidRPr="00A93032"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A93032">
        <w:rPr>
          <w:szCs w:val="24"/>
        </w:rPr>
        <w:t xml:space="preserve">Taigi specialisto A. Garlos paaiškinimai ir žinių ginkluotės srityje turinčių bei šios bylos baigtimi nesuinteresuotų liudytojų parodymai atitinka vieni kitus ir kartu su kitais jau aptartais įrodymais patvirtina teisėjų kolegijos išvadą, kad 1991 metais 5,45 mm kalibro kulkos su išcentruota kulka (ekspansyvios kulkos) tarptautinėje teisėje ir bendruomenėje buvo vertinamos kaip draudžiamos karo priemonės dėl jų nehumaniško ir pernelyg žalojančio pobūdžio ir jog TSRS ginkluotosioms pajėgoms nagrinėjamų 1991 m. įvykių metu šias kulkas buvo įsakyta panaudoti ir šios pajėgos jas panaudojo. Be to, šių šovinių realus pavojingumas atsiskleidžia įvertinus nagrinėjamoje byloje esančius objektyvius duomenis apie 1991 m. civilių patirtų šautinių sužalojimų sunkumą ir TSRS kariškių iššautų kulkų skriejimo trajektorijos nepastovumą. Kitose šio procesinio sprendimo dalyse aptariant atskirus veikos epizodus, jau buvo minėti duomenys apie daliai civilių padarytas šautines žaizdas su didele plėštine išeinamąja žaizda (pvz., V. L., A. R. ir kt.), apie kitų civilių kūnuose po šūvių likusias kulkas ir (ar) jų skeveldras (pvz., B. J., V. Š., A. R. ir kt.). Atitinkamai daugybė liudytojų ir nukentėjusiųjų šioje byloje nurodė apie prie užimamų objektų įvairiomis kryptimis rikošetavusias (atšokusias) kulkas ir nuo jų atskylančias skeveldras, kuriomis buvo sužeisti žmonės. </w:t>
      </w:r>
    </w:p>
    <w:p w:rsidR="00DA38E9" w:rsidRPr="00A93032" w:rsidRDefault="00DA38E9" w:rsidP="00A93032">
      <w:pPr>
        <w:pStyle w:val="ListParagraph"/>
        <w:numPr>
          <w:ilvl w:val="1"/>
          <w:numId w:val="6"/>
        </w:numPr>
        <w:overflowPunct/>
        <w:autoSpaceDE/>
        <w:autoSpaceDN/>
        <w:adjustRightInd/>
        <w:spacing w:before="120" w:after="120"/>
        <w:ind w:left="992" w:hanging="992"/>
        <w:contextualSpacing w:val="0"/>
        <w:rPr>
          <w:color w:val="000000" w:themeColor="text1"/>
          <w:szCs w:val="24"/>
        </w:rPr>
      </w:pPr>
      <w:r w:rsidRPr="00A93032">
        <w:rPr>
          <w:szCs w:val="24"/>
        </w:rPr>
        <w:t xml:space="preserve">Aptarti duomenys kaip nepagrįstus leidžia atmesti dalies gynėjų teiginius, kad siekiant nustatyti, ar 5,45 mm kalibro kulka yra ekspansyvi, byloje būtina atlikti balistinę ekspertizę. Apeliacinės instancijos teismo vertinimu, byloje esantys ir šioje dalyje jau aptarti duomenys neleidžia abejoti tuo, kad minėtos kulkos yra ekspansyvios ir jomis asmenims daroma nereikalinga žala bei sukeliamos nereikalingos kančios. Akivaizdu, kad šoviniui su išcentrine kulka susidūrus su kliūtimi, šios kulkos skriejimo trajektorija tampa nepastovi ir keičia kryptį, o pati kulka dar ir skyla į dalis (skeveldras) bei tokiu būdu pradeda veikti nesirinktinai (t. y. „nesirenkant taikinio“) ir tai nulemia didesnį bei nereikalingą žalos mastą ir aukų skaičių. </w:t>
      </w:r>
    </w:p>
    <w:p w:rsidR="00A93032"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Dalyje apeliacinių skundų akcentuojama, kad tokias kulkas, kokias naudojo nuteistieji, naudoja ir dalis NATO valstybių, policijos dalinių. Atsakant į šį argumentą, teisėjų kolegija primena, kad teismas nagrinėja bylą tik dėl tų asmenų ir dėl tų kaltinimų, dėl kurių byla buvo perduota nagrinėti teisiamajame posėdyje ir nevertina galimos kitų asmenų atsakomybės už galimai padarytas nusikalstamas veikas (BPK 255 straipsnis). Tačiau teisėjų kolegija sutinka, kad tokių kulkų naudojimas kitų šalių ginkluotose pajėgose ar policijos daliniuose gali turėti reikšmės, sprendžiant klausimą dėl tyčinės kaltės buvimo nuteistųjų veiksmuose. Doktrinoje yra pateikiamas aiškinimas, kodėl tokių kulkų naudojimas policijos pajėgose gali būti pateisinamas. Visų pirma, policija naudoja mažesnės galios ginklus nei kariuomenė, todėl analogiškos kulkos, iššautos mažesnės galios ginklais, padaro mažesnę žalą nei analogiškos konstrukcijos kulkos, iššautos galingesniais kariuomenės naudojamais ginklais. Antra, policijos pareigūnai šaunamuosius ginklus prieš asmenis dažniausiai naudoja savigynos tikslais ir nedideliu atstumu, taip siekdami padidinti galimybę kuo greičiau nukenksminti užpuoliką. Be to, tokių kulkų naudojimas sumažina riziką, kad kulkos perskris kiaurai per užpuoliką ir sužeis kitus šalia esančius asmenis. Dėl panašių priežasčių yra pateisinamas ir tokių kulkų naudojimas antiteroristinėse ar įkaitų išvadavimo operacijose, vykdomose ne ginkluotų konfliktų metu (Coupland, R., Loye D.</w:t>
      </w:r>
      <w:r w:rsidRPr="00C00255">
        <w:rPr>
          <w:i/>
          <w:szCs w:val="24"/>
        </w:rPr>
        <w:t xml:space="preserve"> </w:t>
      </w:r>
      <w:r w:rsidRPr="00C00255">
        <w:rPr>
          <w:szCs w:val="24"/>
        </w:rPr>
        <w:t>The 1899 Hague Declaration concerning Expanding Bullets A treaty effective for more than 100 years faces complex contemporary issues</w:t>
      </w:r>
      <w:r w:rsidRPr="00C00255">
        <w:rPr>
          <w:i/>
          <w:szCs w:val="24"/>
        </w:rPr>
        <w:t xml:space="preserve">. Cambridge University Press, </w:t>
      </w:r>
      <w:r w:rsidRPr="00C00255">
        <w:rPr>
          <w:szCs w:val="24"/>
        </w:rPr>
        <w:t>2011.</w:t>
      </w:r>
      <w:r w:rsidRPr="00C00255">
        <w:rPr>
          <w:i/>
          <w:szCs w:val="24"/>
        </w:rPr>
        <w:t xml:space="preserve"> </w:t>
      </w:r>
      <w:r w:rsidRPr="00C00255">
        <w:rPr>
          <w:szCs w:val="24"/>
          <w:lang w:eastAsia="lt-LT"/>
        </w:rPr>
        <w:t>[interaktyvus]</w:t>
      </w:r>
      <w:r w:rsidRPr="00C00255">
        <w:rPr>
          <w:i/>
          <w:szCs w:val="24"/>
        </w:rPr>
        <w:t>. &lt;</w:t>
      </w:r>
      <w:r w:rsidRPr="00C00255">
        <w:rPr>
          <w:szCs w:val="24"/>
        </w:rPr>
        <w:t xml:space="preserve">https://www.icrc.org/en/doc/assets/files/other/irrc_849_coupland_et_loye.pdf&gt;). Šioje byloje jau minėta, kad 5,45 mm kalibro šoviniais su išcentruota kulka buvo šaudoma į neginkluotus civilius (tam tikrais atvejais ir į jų minias), taigi aptariami šoviniai buvo panaudoti visai kitokioje situacijoje nei jos įprastai ir objektyviai pateisinamai naudojamos tam tikrų valstybių policijos pajėgų ir kitų dalinių veikloje. </w:t>
      </w:r>
    </w:p>
    <w:p w:rsidR="00A93032" w:rsidRPr="005D022C"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5D022C">
        <w:rPr>
          <w:szCs w:val="24"/>
        </w:rPr>
        <w:t xml:space="preserve">Atsižvelgdama į visa tai, kas minėta, teisėjų kolegija konstatuoja, jog </w:t>
      </w:r>
      <w:r w:rsidRPr="005D022C">
        <w:rPr>
          <w:rFonts w:eastAsiaTheme="majorEastAsia"/>
          <w:bCs/>
          <w:szCs w:val="24"/>
        </w:rPr>
        <w:t xml:space="preserve">1991 m. </w:t>
      </w:r>
      <w:r w:rsidRPr="005D022C">
        <w:rPr>
          <w:szCs w:val="24"/>
        </w:rPr>
        <w:t xml:space="preserve">nuteistiesiems </w:t>
      </w:r>
      <w:r w:rsidRPr="005D022C">
        <w:rPr>
          <w:rFonts w:eastAsiaTheme="majorEastAsia"/>
          <w:bCs/>
          <w:szCs w:val="24"/>
        </w:rPr>
        <w:t xml:space="preserve">veikiant bendrai ir koordinuotai, </w:t>
      </w:r>
      <w:r w:rsidRPr="005D022C">
        <w:rPr>
          <w:rFonts w:eastAsiaTheme="majorEastAsia"/>
          <w:bCs/>
          <w:i/>
          <w:szCs w:val="24"/>
        </w:rPr>
        <w:t>pažeidžiant tarptautinių sutarčių ir visuotinai pripažintų tarptautinių papročių dėl karo priemonių ar kariavimo būdų nuostatas, tarptautinio ginkluoto konflikto metu</w:t>
      </w:r>
      <w:r w:rsidRPr="005D022C">
        <w:rPr>
          <w:rFonts w:eastAsiaTheme="majorEastAsia"/>
          <w:bCs/>
          <w:szCs w:val="24"/>
        </w:rPr>
        <w:t xml:space="preserve"> (šį požymį teisėjų kolegija konstatavo dar pasisakydama dėl BK 101 straipsnyje ir BK 103 straipsnio 1 dalyje numatytų požymių buvimo nuteistųjų veikose) </w:t>
      </w:r>
      <w:r w:rsidRPr="005D022C">
        <w:rPr>
          <w:rFonts w:eastAsiaTheme="majorEastAsia"/>
          <w:bCs/>
          <w:i/>
          <w:szCs w:val="24"/>
        </w:rPr>
        <w:t>buvo įsakyta panaudoti, o vėliau buvo panaudotos draudžiamos karo priemonės – 5,45 mm kalibro šoviniai su išcentruota kulka</w:t>
      </w:r>
      <w:r w:rsidRPr="005D022C">
        <w:rPr>
          <w:rFonts w:eastAsiaTheme="majorEastAsia"/>
          <w:bCs/>
          <w:szCs w:val="24"/>
        </w:rPr>
        <w:t xml:space="preserve">. Taigi darytina išvada, jog nuteistieji savo veikomis realizavo BK 112 straipsnyje numatyto nusikaltimo sudėties objektyviosios pusės požymius. </w:t>
      </w:r>
    </w:p>
    <w:p w:rsidR="00A93032" w:rsidRPr="005D022C"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5D022C">
        <w:rPr>
          <w:szCs w:val="24"/>
        </w:rPr>
        <w:t xml:space="preserve">Taip pat apeliacinės instancijos teismas daro išvadą, kad nuteistieji atitinka BK 112 straipsnyje įtvirtintos nusikalstamos veikos subjekto požymius. Platesni paaiškinimai dėl karo nusikaltimų subjektų pateikti 1061.2, 1064.4 pastraipose, todėl nebekartojami. </w:t>
      </w:r>
      <w:r w:rsidRPr="005D022C">
        <w:rPr>
          <w:color w:val="000000" w:themeColor="text1"/>
          <w:szCs w:val="24"/>
        </w:rPr>
        <w:t xml:space="preserve">Teisėjų kolegijos vertinimu, visi asmenys, kuriems šioje byloje pareikšti kaltinimai ir kurie veikė koordinuotai ir bendrai (veikė pagal operacijos planavimo grupės ir vadovavimo operacijai štabo planą, užimant objektus kariškių veiksmai buvo koordinuojami ir kontroliuojami aukšto rango karininkų ir pan.), siekdami to paties tikslo, atitinka aptartus šio nusikaltimo subjekto požymius. Dalis nuteistųjų, kurie planavo, inicijavo operaciją ir jai vadovavo, iš anksto numatė ir sprendė, kokie ir kaip ginkluoti TSRS kariniai daliniai pasitelktini siekiant užimti svarbius objektus ir vėliau įgyvendinti komendanto valandą. Kiti šioje byloje nuteisti žemesnio rango kariškiai taip pat turėjo karininkų statusą ir pagal savo rangą, remiantis TSRS ginkluotųjų pajėgų vidaus tarnybos statutu, vadovavo žemesnio rango kariškiams. Taigi visi </w:t>
      </w:r>
      <w:r w:rsidRPr="005D022C">
        <w:rPr>
          <w:szCs w:val="24"/>
        </w:rPr>
        <w:t xml:space="preserve">nagrinėjamoje byloje teisiami asmenys ėjo vadovaujančio pobūdžio pareigas aptariamų įvykių metu, kai buvo įsakyta panaudoti bei buvo panaudotos draudžiamos karo priemonės – 5,45 mm kalibro šoviniai su išcentruota kulka, todėl jie pagal savo statusą bei indėlį bendroje operacijoje, laikytini BK 112 straipsnyje įtvirtintos nusikalstamos veikos subjektais.   </w:t>
      </w:r>
    </w:p>
    <w:p w:rsidR="00DA38E9" w:rsidRPr="005D022C"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5D022C">
        <w:t>BK 112 straipsnyje numatytas karo nusikaltimas gali būti padaromas tik tiesiogine tyčia. Šio nusikaltimo atveju, būtina nustatyti, kad asmuo suvokė, jog dalyvauja įsakant ginkluoto konflikto metu panaudoti ir panaudojant uždraustas karo priemones, bei tai, kad jo veika yra susijusi su šių draudžiamų karo</w:t>
      </w:r>
      <w:r w:rsidRPr="005D022C">
        <w:rPr>
          <w:szCs w:val="24"/>
        </w:rPr>
        <w:t xml:space="preserve"> </w:t>
      </w:r>
      <w:r w:rsidRPr="005D022C">
        <w:t>priemonių panaudojimu (yra tokių veiksmų dalis). Teisėjų kolegijos vertinimu, visi šioje byloje teisiami asmenys veikė tiesiogine tyčia, kaip tai apibrėžta BK 112 straipsnyje. Kalbant apie karinę operaciją iniciavusius, ją planavusius asmenis bei kariškių veiksmus prie objektų koordinavusius aukščiausio rango karininkus, pažymėtina, jog jie, jau planuodami strateginių objektų užėmimo bei komendanto valandos įgyvendinimo Vilniuje veiksmus, numatė, kokios ir kaip ginkluotos TSRS karinės pajėgos vykdys užduotis, kurių metu bus veikiama prieš civilius, ir suvokė, kad siekdamos prasibrauti pro skaitlingą civilių minią ar vykdydamos komendanto valandą, operacijos plane numatytos karinės pajėgos panaudos ir savo dispozicijoje turimas kovines priemones, tarp jų ir 5,45 mm kalibro ginklus su tokio paties kalibro kulkomis, kurios buvo įprastos tuometinėje TSRS kariuomenėje. Atitinkamai vadovaujančias pareigas ėję karininkai (ne eiliniai kareiviai, bet karininko laipsnį turintys kariškiai, įvykių metu turėję pavaldžių kariškių ir galėję jiems duoti atitinkamus įsakymus), kurie atvyko prie minėtų objektų, prie jų tiesiogiai matė daugiatūkstantines civilių minias ir turėjo realią galimybę nutraukti planuojamus puolamuosius veiksmus, taip pat suvokė, kad, vykdydami užduotį užimti objektus, ginkluotųjų pajėgų nariai neišvengiamai panaudos savo dispozicijoje turimas karines priemones bei tai, kad kiekvieno jų veiksmai yra susiję ir draudžiamų karo priemonių – 5,45 mm kalibro šovinių su išcentruota kulka – panaudojimu. Teisėjų kolegijos vertinimu, nuteistųjų eitos vadovaujančio pobūdžio pareigos ir (ar) turėtas karininko laipsnis (karinį laipsnį turėjo net ir nuteistieji tuometiniai LKP/TSKP CK nariai (išskyrus V. Š. 1, bet jis buvo vadovavimo operacijai štabo narys); o šioje byloje atsakomybėn traukiami karininkai – tarnavę profesinėje karinėje tarnyboje ir baigę karinius mokslus) neleidžia abejoti tuo, jog jie suvokė, kad bendros ir koordinuotos operacijos metu, kurios metu veiks skirtingi TSRS ginkluotųjų pajėgų daliniai, kariškiai naudos ir 5,45 mm kalibro kulkas, ir jog šios kulkos yra ekspansyvios – rikošetuojančios, greitai keičiančios kryptį, skylančios į dalis (skeveldras) ir todėl pernelyg bei nereikalingai žalojančios. Taip pat neabejotina, kad šie vadovaujančias pareigas ėję nuteistieji, vertinant jų statusą bei sąsajas su TSRS ginkluotųjų pajėgų sistema, žinojo, jog visai prieš 1991 m. įvykius minėtos kulkos tarptautinėje bendruomenėje buvo paskelbtos nehumaniškomis. Taigi teisėjų kolegija konstatuoja, kad visi šioje byloje teisiami asmenys veikė tiesiogine tyčia ir taip įgyvendino BK 112 straipsnyje numatyto karo nusikaltimo požymius.</w:t>
      </w:r>
      <w:r w:rsidRPr="005D022C">
        <w:rPr>
          <w:color w:val="000000" w:themeColor="text1"/>
          <w:szCs w:val="24"/>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bookmarkStart w:id="825" w:name="_Hlk66781892"/>
      <w:r w:rsidRPr="00C00255">
        <w:rPr>
          <w:color w:val="000000" w:themeColor="text1"/>
          <w:szCs w:val="24"/>
        </w:rPr>
        <w:t>Atsižvelgdama į visa tai, kas minėta, analizuojant BK 100 straipsnyje, BK 101 straipsnyje, BK</w:t>
      </w:r>
      <w:r>
        <w:rPr>
          <w:color w:val="000000" w:themeColor="text1"/>
          <w:szCs w:val="24"/>
        </w:rPr>
        <w:t> </w:t>
      </w:r>
      <w:r w:rsidRPr="00C00255">
        <w:rPr>
          <w:color w:val="000000" w:themeColor="text1"/>
          <w:szCs w:val="24"/>
        </w:rPr>
        <w:t xml:space="preserve">103 straipsnio 1 dalyje, BK 111 straipsnio 1 dalyje ir BK 112 straipsnyje numatytų nusikaltimų žmoniškumui ir karo nusikaltimų sudėties požymių turinį ir šių požymių pasireiškimą šioje byloje atsakomybėn traukiamų asmenų padarytose veikose, teisėjų kolegija konstatuoja, jog nuteistųjų veikos pagrįstai kvalifikuotos pagal visas minėtas atsakomybę už nusikaltimus žmoniškumui ir karo nusikaltimus numatančias bei jiems inkriminuotas BK normas. </w:t>
      </w:r>
      <w:r w:rsidRPr="00C00255">
        <w:rPr>
          <w:szCs w:val="24"/>
        </w:rPr>
        <w:t>Nuteistiesiems inkriminuoti neteisėti veiksmai prieš civilius buvo padaryti ne tik agresijos ir tarptautinio ginkluoto konflikto metu, kas, priklausomai nuo konkrečių objektyvių veiksmų, užtraukia baudžiamąją atsakomybę pagal BK 101 straipsnį (žudymas) ir BK</w:t>
      </w:r>
      <w:r>
        <w:rPr>
          <w:szCs w:val="24"/>
        </w:rPr>
        <w:t> </w:t>
      </w:r>
      <w:r w:rsidRPr="00C00255">
        <w:rPr>
          <w:szCs w:val="24"/>
        </w:rPr>
        <w:t>103</w:t>
      </w:r>
      <w:r>
        <w:rPr>
          <w:szCs w:val="24"/>
        </w:rPr>
        <w:t> </w:t>
      </w:r>
      <w:r w:rsidRPr="00C00255">
        <w:rPr>
          <w:szCs w:val="24"/>
        </w:rPr>
        <w:t>straipsnio 1 dalį (sunkus sveikatos sutrikdymas, bauginimo ir teroro priemonių naudojimas, neteisėtas laisvės suvaržymas ar atėmimas), bet ir remiant bei vykdant TSRS, kaip valstybės, ir TSKP, kaip organizacijos, politiką dideliu mastu ir sistemingai užpuldinėti civilius asmenis, kas pagal konkrečius objektyvius veiksmus (žudymas, sunkus sveikatos sutrikdymas, žmonių grupės persekiojimas dėl nacionalinių ir politinių motyvų) užtraukia baudžiamąją atsakomybę pagal BK 100 straipsnį. Be to, nustatyta, kad neteisėti veiksmai prieš civilius buvo atlikti, vykdant tarptautinės humanitarinės teisės draudžiamą karo ataką, o įsakymas vykdyti draudžiamą karo ataką ar tokios atakos vykdymas, atsižvelgus į šios atakos dalyką, šiuo konkrečiu atveju užtraukia baudžiamąją atsakomybę pagal BK 111 straipsnio</w:t>
      </w:r>
      <w:r>
        <w:rPr>
          <w:szCs w:val="24"/>
        </w:rPr>
        <w:t> </w:t>
      </w:r>
      <w:r w:rsidRPr="00C00255">
        <w:rPr>
          <w:szCs w:val="24"/>
        </w:rPr>
        <w:t>1</w:t>
      </w:r>
      <w:r>
        <w:rPr>
          <w:szCs w:val="24"/>
        </w:rPr>
        <w:t> </w:t>
      </w:r>
      <w:r w:rsidRPr="00C00255">
        <w:rPr>
          <w:szCs w:val="24"/>
        </w:rPr>
        <w:t xml:space="preserve">dalį. Be to, minėtų nusikalstamų veikų padarymo metu buvo naudojamos tarptautinės teisės uždraustos karo priemonės, o tokie veiksmai užtraukią atsakomybę pagal BK 112 straipsnį. </w:t>
      </w:r>
    </w:p>
    <w:p w:rsidR="00DA38E9" w:rsidRPr="00C00255" w:rsidRDefault="00DA38E9" w:rsidP="00DA38E9">
      <w:pPr>
        <w:pStyle w:val="Heading3"/>
        <w:ind w:firstLine="992"/>
        <w:jc w:val="both"/>
        <w:rPr>
          <w:b w:val="0"/>
          <w:i/>
          <w:sz w:val="24"/>
          <w:lang w:val="lt-LT"/>
        </w:rPr>
      </w:pPr>
      <w:bookmarkStart w:id="826" w:name="_Toc65435071"/>
      <w:bookmarkStart w:id="827" w:name="_Toc66718305"/>
      <w:bookmarkStart w:id="828" w:name="_Toc67677427"/>
      <w:bookmarkStart w:id="829" w:name="_Toc67985555"/>
      <w:r w:rsidRPr="00C00255">
        <w:rPr>
          <w:b w:val="0"/>
          <w:i/>
          <w:sz w:val="24"/>
          <w:lang w:val="lt-LT"/>
        </w:rPr>
        <w:t>Dėl idealios nusikalstamų veikų sutapties</w:t>
      </w:r>
      <w:bookmarkEnd w:id="826"/>
      <w:bookmarkEnd w:id="827"/>
      <w:bookmarkEnd w:id="828"/>
      <w:bookmarkEnd w:id="829"/>
      <w:r w:rsidRPr="00C00255">
        <w:rPr>
          <w:b w:val="0"/>
          <w:i/>
          <w:sz w:val="24"/>
          <w:lang w:val="lt-LT"/>
        </w:rPr>
        <w:t xml:space="preserve"> </w:t>
      </w:r>
    </w:p>
    <w:bookmarkEnd w:id="825"/>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Dalyje apeliacinių skundų teigiama, kad nuteistiesiems inkriminuoti ir ankstesnėse šio procesinio sprendimo dalyse analizuoti nusikaltimai nesudaro idealios nusikalstamų veikų sutapties, nes jie skiriasi pagal padarymo laiką, aplinką, aplinkybes, ginamas vertybes.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Teisėjų kolegija pažymi, jog ideali nusikalstamų veikų sutaptis yra tada, kai, esant bendram tikslui, tais pačiais veiksmais, tuo pačiu metu padaroma veika, atitinkanti kelių skirtinguose BK straipsniuose nustatytų nusikalstamų veikų sudėtis. Tai reiškia, kad išsamus vieningą veiką sudarančių faktų teisinis įvertinimas neišvengiamai reikalauja taikyti daugiau negu vieną nusikaltimo ar baudžiamojo nusižengimo sudėtį, iš kurių kiekviena turi skirtingą, savarankišką apibrėžimą baudžiamojo įstatymo tekste.</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Kasacinio teismo praktikoje yra konstatuota, kad n</w:t>
      </w:r>
      <w:r w:rsidRPr="00C00255">
        <w:rPr>
          <w:iCs/>
          <w:szCs w:val="24"/>
          <w:lang w:eastAsia="lt-LT"/>
        </w:rPr>
        <w:t xml:space="preserve">usikalstamų veikų sutaptį galima laikyti idealia ir tuo atveju, jei, įgyvendinant </w:t>
      </w:r>
      <w:r w:rsidRPr="00C00255">
        <w:rPr>
          <w:iCs/>
          <w:spacing w:val="1"/>
          <w:szCs w:val="24"/>
          <w:lang w:eastAsia="lt-LT"/>
        </w:rPr>
        <w:t xml:space="preserve">vieningą sumanymą, </w:t>
      </w:r>
      <w:r w:rsidRPr="00C00255">
        <w:rPr>
          <w:iCs/>
          <w:szCs w:val="24"/>
          <w:lang w:eastAsia="lt-LT"/>
        </w:rPr>
        <w:t xml:space="preserve">padaromos kelios skirtinguose BK straipsniuose numatytos nusikalstamos veikos, kurios iš esmės yra neatskiriamos (būtinos) viso kaltininko sumanymo įgyvendinimo dalys, šios veikos padaromos viena po kitos, per sumanymui įgyvendinti būtiną laiko tarpą </w:t>
      </w:r>
      <w:r w:rsidRPr="00C00255">
        <w:rPr>
          <w:szCs w:val="24"/>
        </w:rPr>
        <w:t>(LAT nutartys baudžiamosiose bylose Nr. 2K-P-78/2012, 2K-207/2013, 2K-98-719/2018, 2K-162-719/2020)</w:t>
      </w:r>
      <w:r w:rsidRPr="00C00255">
        <w:rPr>
          <w:iCs/>
          <w:szCs w:val="24"/>
          <w:lang w:eastAsia="lt-LT"/>
        </w:rPr>
        <w:t>. Sumanymui įgyvendinti būtinas laiko tarpas paprastai nustatomas įvertinus padarytų nusikalstamų veikų specifiką ir kitas byloje nustatytas aplinkybes. Pavyzdžiui, atsižvelgus į padarytų nusikalstamų veikų pobūdį, ir kelių mėnesių laikotarpis, atliekant korupcinio pobūdžio veikas, buvo įvertintas kaip nepaneigiantis padarytų nusikalstamų veikų idealios sutapties (LAT nutartis baudžiamojoje byloje Nr. 2K-345-507/2015).</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Cs/>
          <w:szCs w:val="24"/>
          <w:lang w:eastAsia="lt-LT"/>
        </w:rPr>
        <w:t>Nagrinėjamoje byloje nustatyta, kad visos nuteistiesiems inkriminuotos nusikalstamos veikos buvo atliktos, siekiant palaužti Lietuvos Respublikos pasiryžimą atkurti nepriklausomą Lietuvos Respubliką ir siekiant grąžinti Lietuvos Respubliką į TSRS sudėtį. Šis tikslas apima visas nuteistiesiems inkriminuotas nusikalstamas veikas ir jomis siektus įgyvendinti tarpinius tikslus (</w:t>
      </w:r>
      <w:r w:rsidRPr="00C00255">
        <w:rPr>
          <w:iCs/>
          <w:color w:val="000000" w:themeColor="text1"/>
          <w:szCs w:val="24"/>
        </w:rPr>
        <w:t>užimti Lietuvai strategiškai svarbius objektus, įgyvendinti komendantą valandą ir perimti valdžią), kurių įgyvendinimas buvo būtinas pasiekti minėtam galutiniam tikslui</w:t>
      </w:r>
      <w:r w:rsidRPr="00C00255">
        <w:rPr>
          <w:iCs/>
          <w:szCs w:val="24"/>
          <w:lang w:eastAsia="lt-LT"/>
        </w:rPr>
        <w:t>, todėl atskirų veiksmų atlikimas ne vienu metu, bet per ilgesnį laikotarpį nepaneigia fakto, kad visos nusikalstamos veikos buvo padarytos idealia sutaptimi.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Cs/>
          <w:szCs w:val="24"/>
          <w:lang w:eastAsia="lt-LT"/>
        </w:rPr>
        <w:t xml:space="preserve">Skunduose išdėstyti argumentai, kad nuteistiesiems inkriminuoti nusikaltimai skiriasi pagal ginamas vertybes ir ši aplinkybė neleidžia nusikalstamų veikų vertinti kaip padarytų idealia sutaptimi, taip pat yra nepagrįsti, kadangi nei doktrinoje, nei teismų praktikoje nėra įtvirtinta imperatyvaus reikalavimo, jog, siekiant nusikalstamas veikas kvalifikuoti, kaip padarytas idealia sutaptimi, yra būtina konstatuoti, kad inkriminuotomis nusikalstamomis veikomis ginamos analogiškos vertybės.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Cs/>
          <w:szCs w:val="24"/>
          <w:lang w:eastAsia="lt-LT"/>
        </w:rPr>
        <w:t>Taigi a</w:t>
      </w:r>
      <w:r w:rsidRPr="00C00255">
        <w:rPr>
          <w:szCs w:val="24"/>
        </w:rPr>
        <w:t xml:space="preserve">peliacinės instancijos teismas daro išvadą, kad pirmosios instancijos teismas pagrįstai konstatavo, jog visos nuteistiesiems inkriminuotos nusikalstamos veikos buvo padarytos idealia sutaptimi.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Tarptautinių teismų praktikoje yra keltas ir spręstas klausimas dėl to, ar nėra pažeidžiamas </w:t>
      </w:r>
      <w:r w:rsidRPr="00C00255">
        <w:rPr>
          <w:i/>
          <w:szCs w:val="24"/>
        </w:rPr>
        <w:t>non bis in idem</w:t>
      </w:r>
      <w:r w:rsidRPr="00C00255">
        <w:rPr>
          <w:szCs w:val="24"/>
        </w:rPr>
        <w:t xml:space="preserve"> (draudimo bausti už tą patį elgesį du kartus) principas, kai iš esmės už tuos pačius veiksmus, pavyzdžiui, nužudymą, asmenys yra teisiami už nužudymą kaip už nusikaltimą žmoniškumui ir už nužudymą kaip karo nusikaltimą. Tarptautinio Baudžiamojo Teismo praktikoje yra laikomasi pozicijos, kad nuteisimas už kelis atskirus nusikaltimus, kurių pagrindą sudaro tas pats elgesys, yra galimas, jei kiekvienas iš atskirų nusikaltimų reikalauja įrodyti tam tikrus faktus, kurių nėra kito nusikaltimo sudėtyje. Tai užtikrina, kad kaltinamasis bus nuteistas tik už skirtingus nusikaltimus, bet tuo pačiu toks nuteisimas visiškai atskleis asmens nusikalstamų veiksmų bei kaltės turinį. Pavyzdžiui, nužudymas kaip nusikaltimas žmoniškumui reikalauja sąsajų su didelio masto ar sistemingu civilių užpuldinėjimu, o nužudymas kaip karo nusikaltimas reikalauja, kad auka būtų išėjęs iš rikiuotės kombatantas (</w:t>
      </w:r>
      <w:r w:rsidRPr="00C00255">
        <w:rPr>
          <w:i/>
          <w:szCs w:val="24"/>
        </w:rPr>
        <w:t>hors de combat</w:t>
      </w:r>
      <w:r w:rsidRPr="00C00255">
        <w:rPr>
          <w:szCs w:val="24"/>
        </w:rPr>
        <w:t xml:space="preserve">) ar asmuo, nedalyvaujantis karo veiksmuose, ir kad nužudymas būtų susijęs su ginkluotu konfliktu. Tarptautinis Baudžiamasis Teismas taip pat pažymėjo, kad ir Jugoslavijos bei Ruandos tribunolai yra pripažinę, jog asmenys turi būti nuteisiami už tą patį elgesį kaip už nusikaltimą žmoniškumui ir kaip už karo nusikaltimą, kadangi šie nusikaltimai turi atskirų elementų, kurie turi būti atskirai įrodyti (2016 m. kovo 21 d. Teisminio nagrinėjimo kolegijos nuosprendis byloje </w:t>
      </w:r>
      <w:r w:rsidRPr="00C00255">
        <w:rPr>
          <w:i/>
          <w:szCs w:val="24"/>
        </w:rPr>
        <w:t>Kaltintojas prieš Jean-Pierre Bemba Gombo</w:t>
      </w:r>
      <w:r w:rsidRPr="00C00255">
        <w:rPr>
          <w:szCs w:val="24"/>
        </w:rPr>
        <w:t>, para. 747–750).</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Atsižvelgiant į visa tai, kas minėta, konstatuotina, kad tik nuteistiesiems inkriminuotų BK normų visuma apima visas nuteistųjų padarytas nusikalstamas veikas (nustatytas faktines aplinkybes) ir atskleidžia jų esmę, todėl nuteistųjų veiksmai pagrįstai įvertinti kaip ideali BK 100 straipsnyje, BK 101 straipsnyje, BK 103 straipsnio 1 dalyje, BK 111 straipsnio 1 dalyje ir BK 112 straipsnyje įtvirtintų nusikalstamų veikų sutaptis.</w:t>
      </w:r>
    </w:p>
    <w:p w:rsidR="00DA38E9" w:rsidRPr="00C00255" w:rsidRDefault="00DA38E9" w:rsidP="00DA38E9">
      <w:pPr>
        <w:pStyle w:val="Heading3"/>
        <w:ind w:firstLine="992"/>
        <w:jc w:val="both"/>
        <w:rPr>
          <w:b w:val="0"/>
          <w:i/>
          <w:lang w:val="lt-LT"/>
        </w:rPr>
      </w:pPr>
      <w:bookmarkStart w:id="830" w:name="_Toc65435072"/>
      <w:bookmarkStart w:id="831" w:name="_Toc66718306"/>
      <w:bookmarkStart w:id="832" w:name="_Toc67677428"/>
      <w:bookmarkStart w:id="833" w:name="_Toc67985556"/>
      <w:r w:rsidRPr="00C00255">
        <w:rPr>
          <w:b w:val="0"/>
          <w:i/>
          <w:sz w:val="24"/>
          <w:lang w:val="lt-LT"/>
        </w:rPr>
        <w:t>Dėl draudimo naudoti civilius kaip „gyvą skydą“ karinių objektų gynybai</w:t>
      </w:r>
      <w:bookmarkEnd w:id="830"/>
      <w:bookmarkEnd w:id="831"/>
      <w:bookmarkEnd w:id="832"/>
      <w:bookmarkEnd w:id="833"/>
    </w:p>
    <w:p w:rsidR="00A93032" w:rsidRPr="005D022C"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5D022C">
        <w:rPr>
          <w:szCs w:val="24"/>
        </w:rPr>
        <w:t>Keliuose apeliaciniuose skunduose teigiama, kad pagal tarptautinius teisės aktus yra draudžiama naudoti civilius asmenis, kaip „gyvąjį skydą“, siekiant apsaugoti karinius objektus nuo puolimo. Apeliantų teigimu, Lietuvos Respublikos valdžia kvietė gyventojus ginti pastatus, todėl šioje byloje nagrinėjamų 1991 m. sausio mėn. įvykių metu civiliai gyventojai prarado humanitarinę apsaugą.</w:t>
      </w:r>
    </w:p>
    <w:p w:rsidR="00A93032" w:rsidRPr="005D022C"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5D022C">
        <w:rPr>
          <w:szCs w:val="24"/>
        </w:rPr>
        <w:t>Teisėjų kolegija sutinka su apeliacinių skundų argumentu, kad pagal tarptautinę humanitarinę teisę yra draudžiama civilius naudoti karinių objektų apsaugai, tačiau, atsižvelgusi į šioje byloje nustatytas aplinkybes, konstatuoja, jog tokia situacija nebuvo susiklosčiusi nuteistiesiems inkriminuotų nusikalstamų veikų padarymo metu, todėl nėra pagrindo teigti, kad minėtų nusikalstamų veikų padarymo metu nukentėjusiaisiais tapę civiliai kokia nors apimtimi prarado humanitarinę apsaugą.</w:t>
      </w:r>
    </w:p>
    <w:p w:rsidR="00A93032"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A93032">
        <w:rPr>
          <w:szCs w:val="24"/>
        </w:rPr>
        <w:t xml:space="preserve">Ženevos konvencijų papildomo protokolo </w:t>
      </w:r>
      <w:r w:rsidRPr="00A93032">
        <w:rPr>
          <w:bCs/>
          <w:szCs w:val="24"/>
        </w:rPr>
        <w:t>dėl tarptautinių ginkluotų konfliktų aukų apsaugos (I protokolo)</w:t>
      </w:r>
      <w:r w:rsidRPr="00A93032">
        <w:rPr>
          <w:szCs w:val="24"/>
        </w:rPr>
        <w:t xml:space="preserve"> 51 straipsnio 7 dalyje yra nustatyta, kad civilių gyventojų arba pavienių civilių buvimu ar persikėlimu negalima naudotis, siekiant apsaugoti tam tikrus punktus ar vietoves nuo karo veiksmų, ypač mėginant apsaugoti nuo puolimo karinius objektus arba pridengti karo veiksmus, padėti jiems arba trukdyti. Konflikto šalys neturi vadovauti civilių gyventojų arba atskirų civilių persikėlimui, turėdamos tikslą apginti karinius objektus nuo puolimo arba pridengti karines operacijas.</w:t>
      </w:r>
    </w:p>
    <w:p w:rsidR="00DA38E9" w:rsidRPr="00A93032"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A93032">
        <w:rPr>
          <w:szCs w:val="24"/>
        </w:rPr>
        <w:t>Apeliacinės instancijos teismas jau anksčiau konstatavo, kad nagrinėjamoje byloje aptarti objektai (pastatai), prie kurių susirinkę civiliai asmenys buvo nužudyti ar jiems padaryti įvairaus sunkumo sveikatos sutrikdymai, nėra priskiriami prie karinių objektų, nors ir buvo strateginę reikšmę turintys objektai (išsamios išvados šiuo klausimu išdėstytos analizuojant</w:t>
      </w:r>
      <w:r w:rsidRPr="00A93032">
        <w:rPr>
          <w:i/>
          <w:szCs w:val="24"/>
        </w:rPr>
        <w:t xml:space="preserve"> </w:t>
      </w:r>
      <w:r w:rsidRPr="00A93032">
        <w:rPr>
          <w:szCs w:val="24"/>
        </w:rPr>
        <w:t>BK 111 straipsnio 1 dalyje įtvirtinto nusikaltimo sudėties požymius). Todėl civilių asmenų susirinkimas prie šių pastatų, nepriklausomai nuo to, ar jis atliktas pačių civilių laisvu pasirinkimu ar paskatintas valdžios institucijų raginimo, negali būti laikomas tarptautinės humanitarinės teisės draudžiamu veiksmu, t. y. civilių asmenų naudojimu karinių objektų priedangai ir apsaugai. Teisėjų kolegija pažymi, kad jokie tarptautinės teisės aktai nedraudžia civiliams asmenims susirinkti prie civilinio pobūdžio, kad ir strateginės paskirties pastatų, ir savo fiziniu buvimu išreikšti tam tikrą poziciją (nagrinėjamu atveju – pritarimą laisvos ir nepriklausomos Lietuvos valstybės atkūrimui), tačiau tarptautinės teisės aktai aiškiai draudžia karinius (puolimo) veiksmus prieš tokius civilius asmenis.</w:t>
      </w:r>
    </w:p>
    <w:p w:rsidR="00DA38E9" w:rsidRPr="00C00255" w:rsidRDefault="00DA38E9" w:rsidP="00DA38E9">
      <w:pPr>
        <w:pStyle w:val="Heading3"/>
        <w:spacing w:before="120" w:after="120"/>
        <w:ind w:left="992"/>
        <w:jc w:val="both"/>
        <w:rPr>
          <w:b w:val="0"/>
          <w:i/>
          <w:sz w:val="24"/>
          <w:szCs w:val="24"/>
          <w:lang w:val="lt-LT"/>
        </w:rPr>
      </w:pPr>
      <w:bookmarkStart w:id="834" w:name="_Toc65435073"/>
      <w:bookmarkStart w:id="835" w:name="_Toc66718307"/>
      <w:bookmarkStart w:id="836" w:name="_Toc67677429"/>
      <w:bookmarkStart w:id="837" w:name="_Toc67985557"/>
      <w:r w:rsidRPr="00C00255">
        <w:rPr>
          <w:b w:val="0"/>
          <w:i/>
          <w:sz w:val="24"/>
          <w:lang w:val="lt-LT"/>
        </w:rPr>
        <w:t>Dėl įsakymo vykdymo kaip baudžiamąją atsakomybę šalinančios aplinkybės</w:t>
      </w:r>
      <w:bookmarkEnd w:id="834"/>
      <w:bookmarkEnd w:id="835"/>
      <w:bookmarkEnd w:id="836"/>
      <w:bookmarkEnd w:id="837"/>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Dalyje apeliacinių skundų nurodomas ir argumentas dėl įsakymo vykdymo kaip baudžiamąją atsakomybę šalinančios aplinkybės. Taip pat apeliaciniuose skunduose teigiama, kad nuteistieji negalėjo nepaklusti jiems duotiems įsakymams, nes jie būtų buvę patraukti baudžiamojon atsakomybėn pagal TSRS kariuomenės vidaus teisės aktus. Kitaip tariant, dalis nuteistųjų gynėjų teigia, kad jų ginamųjų situacijoje egzistuoja jų baudžiamąją atsakomybę šalinanti aplinkybė.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Teisėjų kolegija pažymi, kad principas, jog Vyriausybės nurodymų ar vado įsakymo vykdymas neatleidžia asmens nuo baudžiamosios atsakomybės, tačiau tai gali turėti įtakos svarstant dėl švelnesnės bausmės skyrimo, tarptautinėje teisėje buvo įtvirtintas Niurnbergo tarptautinio karinio tribunolo statuto 8 straipsnyje. 1946 m. gruodžio 11 d. Jungtinių Tautų Generalinės Asamblėjos rezoliucija 95 (I) Niurnbergo tarptautinio karinio tribunolo statute įtvirtinti principai buvo įvardinti tarptautinės teisės principais ir Jungtinių Tautų Tarptautinės teisės komisijai pavesta šiuos principus kodifikuoti. Jungtinių Tautų Generalinė Asamblėja 1950 m. patvirtino Jungtinių Tautų Tarptautinės teisės komisijos parengtus Niurnbergo principus, kuriuose įtvirtintas IV principas, numatantis, kad faktas, jog asmuo veikė, vykdydamas Vyriausybės ar vado įsakymą, neatleidžia asmens nuo atsakomybės pagal tarptautinę teisę, jei jis turėjo moralinio pasirinkimo galimybę. Vėliau šiuolaikinėje tarptautinėje teisėje greta moralinio pasirinkimo galimybės buvo įvesta ir „neteisėto įsakymo“ sąvoka. Tai atspindi ir Lietuvos Respublikos BK 33 straipsnio 2 dalis, numatanti, kad asmuo atsako pagal baudžiamąjį įstatymą, jeigu jis įvykdė žinomai nusikalstamą įsakymą, potvarkį ar nurodymą.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Tai, kaip šiuolaikinėje tarptautinėje teisėje yra suprantamas įsakymo vykdymas kaip baudžiamąją atsakomybę šalinanti aplinkybė, iliustruoja ir 1998 m. liepos 17 d. priimto Tarptautinio Baudžiamojo Teismo Romos statuto 33 straipsnis. Jame nustatyta, kad tai, jog Tarptautinio Baudžiamojo Teismo jurisdikcijai priklausantį nusikaltimą asmuo padarė, vykdydamas vyriausybės arba karinio ar civilio vadovo įsakymą, neatleidžia to asmens nuo baudžiamosios atsakomybės, išskyrus atvejus, kai: a) vykdyti tos vyriausybės arba vadovo įsakymus buvo šio asmens pareiga pagal įstatymą; b) šis asmuo nežinojo, kad įsakymas yra neteisėtas; ir c) įsakymas nebuvo akivaizdžiai neteisėtas. Minėto Romos statuto 33 straipsnio 2 dalyje numatyta, kad įsakymai vykdyti genocidą arba nusikaltimus žmoniškumui yra aiškiai neteisėti.</w:t>
      </w:r>
    </w:p>
    <w:p w:rsidR="00A93032"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BK 33 straipsnio 1 dalyje nustatyta, kad asmuo neatsako pagal baudžiamąjį įstatymą už veiką, kurią jis padarė, vykdydamas teisėtą įsakymą, potvarkį ar nurodymą. Tačiau, kaip minėta, ši baudžiamąją atsakomybę šalinanti aplinkybė nėra taikoma, jeigu asmuo įvykdė žinomai nusikalstamą įsakymą, potvarkį ar nurodymą (BK 33 straipsnio 2 dalis).</w:t>
      </w:r>
      <w:r w:rsidRPr="00C00255">
        <w:t xml:space="preserve"> </w:t>
      </w:r>
      <w:r w:rsidRPr="00C00255">
        <w:rPr>
          <w:szCs w:val="24"/>
        </w:rPr>
        <w:t xml:space="preserve">Esant išdėstytoms aplinkybėms, teisėjų kolegija sutinka su apeliacinių skundų teiginiais, kad įsakymo vykdymas tam tikrais atvejais yra baudžiamąją atsakomybę šalinanti aplinkybė, tačiau atkreipia dėmesį į tai, kad baudžiamąją atsakomybę pašalinti gali tik teisėto įsakymo vykdymas. Visgi, teisėjų kolegijos vertinimu, byloje surinkti duomenys ir nustatytos bei šiame teismo procesiniame sprendime jau aptartos faktinės įvykių aplinkybės neleidžia abejoti, kad 1991 m. sausio mėn. įvykių metu nuteistiesiems buvo duotas žinomai neteisėtas įsakymas, kurio akivaizdų neteisėtumą jie suvokė. </w:t>
      </w:r>
    </w:p>
    <w:p w:rsidR="00DA38E9" w:rsidRPr="00A93032" w:rsidRDefault="00DA38E9" w:rsidP="00A93032">
      <w:pPr>
        <w:pStyle w:val="ListParagraph"/>
        <w:numPr>
          <w:ilvl w:val="0"/>
          <w:numId w:val="6"/>
        </w:numPr>
        <w:overflowPunct/>
        <w:autoSpaceDE/>
        <w:autoSpaceDN/>
        <w:adjustRightInd/>
        <w:spacing w:before="120" w:after="120"/>
        <w:ind w:left="992" w:hanging="992"/>
        <w:contextualSpacing w:val="0"/>
        <w:rPr>
          <w:szCs w:val="24"/>
        </w:rPr>
      </w:pPr>
      <w:r w:rsidRPr="005D022C">
        <w:rPr>
          <w:szCs w:val="24"/>
        </w:rPr>
        <w:t>Teisėjų kolegija, aptardama faktines įvykių aplinkybes, jau ne kartą minėjo, kad TSRS kariškiams, kaip ir visos karinės operacijos planuotojams (iniciatoriams), buvo iš anksto žinoma, jog prie planuojamų užimti objektų (Spaudos rūmų, TV bokšto ir LRT pastatų) yra civilių asmenų ir tam buvo ruošiamasi (pvz., kariškiai jau prieš įvykius buvo instruktuoti, kaip elgtis įvykio vietoje, kaip naudoti ginklus; iš anksto kariniams veiksmams buvo parengti tankai ir suformuotos jų įgulos; artimu aptariamiems įvykiams metu Vilniaus mieste prie atitinkamų objektų vyko civilių piketai, demonstracijos; Spaudos rūmų užėmimo metu susidūrus su civilių minia ir nepavykus įvykdyti operacijos, prie šio objekto buvo pasiųsti papildomi daliniai bei tankų ekipažai; žinant apie būsimą susidūrimą su civiliais prie TV bokšto ir LRT buvo pasiųstos dar gausesnės karinės pajėgos nei prie Spaudos rūmų ir pan.). Iš byloje esančių duomenų akivaizdu ir tai, kad atvykę prie užimamų objektų kariškiai matė, kad prie jų yra susirinkęs daugiatūkstantinis civilių skaičius (tai užfiksuota net ir kariškių pokalbiuose radijo ryšiu). Taigi kariškiai suvokė, jog vykdant bendrą užduotį užimti objektus teks jėga veikti prieš civilius asmenis, kurie, kaip jau ne kartą minėta, buvo neginkluoti. Teisėjų kolegijos vertinimu, visos šios aplinkybės byloja apie akivaizdžiai neteisėto įsakymo – t. y. veikti prieš tarptautinės humanitarinės teisės saugomus asmenis – civilius, vykdymą, kurio neteisėtą pobūdį šioje byloje atsakomybėn traukiami ir vadovaujančias pareigas ėję karininkai neabejotinai suvokė. Būtina pažymėti ir tai, kad šioje byloje atsakomybėn traukiami tik tie kariškiai, kurie aptariamų įvykių metu ėjo vadovaujančio pobūdžio pareigas (</w:t>
      </w:r>
      <w:r w:rsidRPr="005D022C">
        <w:rPr>
          <w:color w:val="000000" w:themeColor="text1"/>
          <w:szCs w:val="24"/>
        </w:rPr>
        <w:t>tarnavę profesinėje karinėje tarnyboje ir baigę karinius mokslus)</w:t>
      </w:r>
      <w:r w:rsidRPr="005D022C">
        <w:rPr>
          <w:szCs w:val="24"/>
        </w:rPr>
        <w:t xml:space="preserve"> ir ne tik vykdė įsakymus, tačiau ir patys juos davė pavaldiems kariškiams. Savo jurisprudencijoje EŽTT, spręsdamas dėl kariškių veiksmų, nužudžius kelis civilius, vertinimo karo nusikaltimų kontekste, yra pažymėjęs, kad</w:t>
      </w:r>
      <w:r w:rsidRPr="00A93032">
        <w:rPr>
          <w:szCs w:val="24"/>
        </w:rPr>
        <w:t xml:space="preserve"> </w:t>
      </w:r>
      <w:r w:rsidRPr="00A93032">
        <w:rPr>
          <w:i/>
          <w:szCs w:val="24"/>
        </w:rPr>
        <w:t xml:space="preserve">asmenys, užsiimantys profesionalia veikla, atlikdami savo pareigas, turi veikti su dideliu atsargumu, ir iš jų gali būti tikimasi ypatingo atidumo, įvertinant galimą jų veiklos riziką. </w:t>
      </w:r>
      <w:r w:rsidRPr="00A93032">
        <w:rPr>
          <w:szCs w:val="24"/>
        </w:rPr>
        <w:t xml:space="preserve">Taip pat šioje byloje EŽTT nurodė, kad iš vadovaujančio kariškio pagrįstai buvo galima tikėtis ypatingo atsargumo, įvertinant galimą jo vykdomos operacijos riziką. EŽTT padarė išvadą, kad </w:t>
      </w:r>
      <w:r w:rsidRPr="00A93032">
        <w:rPr>
          <w:i/>
          <w:szCs w:val="24"/>
        </w:rPr>
        <w:t xml:space="preserve">atliktų veiksmų neteisėtas pobūdis (civilių nužudymas), net ir esant labai paviršutiniškam pareiškėjo požiūriui, turėjo leisti nustatyti, kad jo veiksmai gali būti vertinami kaip prieštaraujantys karo įstatymams ir papročiams ir yra rizika, kad jie bus laikomi karo nusikaltimais </w:t>
      </w:r>
      <w:r w:rsidRPr="00A93032">
        <w:rPr>
          <w:szCs w:val="24"/>
        </w:rPr>
        <w:t>(EŽTT Didžiosios Kolegijos 2010 m. gegužės 17 d. sprendimas byloje</w:t>
      </w:r>
      <w:r w:rsidRPr="00A93032">
        <w:rPr>
          <w:i/>
          <w:szCs w:val="24"/>
        </w:rPr>
        <w:t xml:space="preserve"> Kononov prieš Latviją, </w:t>
      </w:r>
      <w:r w:rsidRPr="00A93032">
        <w:rPr>
          <w:szCs w:val="24"/>
        </w:rPr>
        <w:t>peticijos Nr. 36376/04, 235, 238 para</w:t>
      </w:r>
      <w:r w:rsidRPr="00A93032">
        <w:rPr>
          <w:i/>
          <w:szCs w:val="24"/>
        </w:rPr>
        <w:t>.)</w:t>
      </w:r>
      <w:r w:rsidRPr="00A93032">
        <w:rPr>
          <w:szCs w:val="24"/>
        </w:rPr>
        <w: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Be to, EŽTT jurisprudencijoje suformuluota nuostata, pagal kurią net ir eilinis kareivis, dėl politinio režimo esantis sudėtingoje situacijoje, negali aklai paklusti įsakymams, akivaizdžiai pažeidžiantiems fundamentaliąsias žmogaus teises (2001 m. kovo 22 d. Didžiosios Kolegijos sprendimas</w:t>
      </w:r>
      <w:r w:rsidRPr="00C00255">
        <w:rPr>
          <w:i/>
          <w:szCs w:val="24"/>
        </w:rPr>
        <w:t xml:space="preserve"> </w:t>
      </w:r>
      <w:r w:rsidRPr="00C00255">
        <w:rPr>
          <w:szCs w:val="24"/>
        </w:rPr>
        <w:t>byloje</w:t>
      </w:r>
      <w:r w:rsidRPr="00C00255">
        <w:rPr>
          <w:i/>
          <w:szCs w:val="24"/>
        </w:rPr>
        <w:t xml:space="preserve"> K.-H. W. prieš Vokietiją,</w:t>
      </w:r>
      <w:r w:rsidRPr="00C00255">
        <w:rPr>
          <w:szCs w:val="24"/>
        </w:rPr>
        <w:t xml:space="preserve"> peticijos Nr. 37201/97). Taip pat EŽTT yra pažymėjęs, kad valstybės praktika, kai yra toleruojamos ar skatinamos tam tikros veikos, kurios buvo laikomos nusikaltimais pagal nacionalinės ar tarptautinės teisės aktus, ir nebaudžiamumo jausmas, kurį tokia praktika sukelia tokių veikų kaltininkams, neužkerta kelio patraukti juos atsakomybėn ir nubausti (2001 m. kovo 22 d. Didžiosios Kolegijos sprendimas byloje </w:t>
      </w:r>
      <w:r w:rsidRPr="00C00255">
        <w:rPr>
          <w:i/>
          <w:szCs w:val="24"/>
        </w:rPr>
        <w:t>Streletz, Kessler ir Krenz prieš Vokietiją</w:t>
      </w:r>
      <w:r w:rsidRPr="00C00255">
        <w:rPr>
          <w:szCs w:val="24"/>
        </w:rPr>
        <w:t xml:space="preserve">, peticijos Nr. 34044/96, 77–79 para., 2015 m. spalio 20 d. Didžiosios Kolegijos sprendimas byloje </w:t>
      </w:r>
      <w:r w:rsidRPr="00C00255">
        <w:rPr>
          <w:i/>
          <w:szCs w:val="24"/>
        </w:rPr>
        <w:t>Vasiliauskas prieš Lietuvą</w:t>
      </w:r>
      <w:r w:rsidRPr="00C00255">
        <w:rPr>
          <w:szCs w:val="24"/>
        </w:rPr>
        <w:t>, peticijos Nr.</w:t>
      </w:r>
      <w:r>
        <w:rPr>
          <w:szCs w:val="24"/>
        </w:rPr>
        <w:t> </w:t>
      </w:r>
      <w:r w:rsidRPr="00C00255">
        <w:rPr>
          <w:szCs w:val="24"/>
        </w:rPr>
        <w:t xml:space="preserve">35343/05, 158 para.). Tai, kad įsakymo vykdymas, net ir esant griežtiems pavaldumo santykiams, nepanaikina atsakomybės už nusikaltimus žmoniškumui, patvirtina ir Lietuvos Aukščiausiojo Teismo praktika (LAT nutartys baudžiamosiose bylose Nr. 2K-214-976/2016, 2K-P-18-648/2016, 2K-7-1-693/2017).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Turint omenyje visa tai, kas minėta, nuteistųjų ir (ar) jų gynėjų teiginiai, kad nuteistieji turi būti atleisti nuo baudžiamosios atsakomybės, nes jie veikė vykdydami aukštesnių karininkų įsakymus, atmetami kaip nepagrįsti.</w:t>
      </w:r>
    </w:p>
    <w:p w:rsidR="00DA38E9" w:rsidRPr="00C00255" w:rsidRDefault="00DA38E9" w:rsidP="00DA38E9">
      <w:pPr>
        <w:pStyle w:val="Heading3"/>
        <w:spacing w:before="120" w:after="120"/>
        <w:ind w:firstLine="992"/>
        <w:jc w:val="both"/>
        <w:rPr>
          <w:b w:val="0"/>
          <w:i/>
          <w:sz w:val="24"/>
          <w:lang w:val="lt-LT"/>
        </w:rPr>
      </w:pPr>
      <w:bookmarkStart w:id="838" w:name="_Toc65435074"/>
      <w:bookmarkStart w:id="839" w:name="_Toc66718308"/>
      <w:bookmarkStart w:id="840" w:name="_Toc67677430"/>
      <w:bookmarkStart w:id="841" w:name="_Toc67985558"/>
      <w:r w:rsidRPr="00C00255">
        <w:rPr>
          <w:b w:val="0"/>
          <w:i/>
          <w:sz w:val="24"/>
          <w:lang w:val="lt-LT"/>
        </w:rPr>
        <w:t>Dėl kombatantų statuso suteikimo nuteistiesiems</w:t>
      </w:r>
      <w:bookmarkEnd w:id="838"/>
      <w:bookmarkEnd w:id="839"/>
      <w:bookmarkEnd w:id="840"/>
      <w:bookmarkEnd w:id="841"/>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Dalyje apeliacinių skundų prie prašymų nuteistuosius atleisti nuo baudžiamosios atsakomybės, jiems veikus, vykdant įsakymą, nurodomas ir teiginys, kad nuteistiesiems turėjo būti suteiktas kombatanto statusas, dėl kurio jie turėjo būti atleisti nuo baudžiamosios atsakomybės.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Pirmosios instancijos teismo nuosprendyje iš esmės konstatuota, jog nuteistieji negalėjo būti pripažinti kombatantais (</w:t>
      </w:r>
      <w:r w:rsidRPr="00C00255">
        <w:rPr>
          <w:color w:val="000000"/>
          <w:szCs w:val="24"/>
        </w:rPr>
        <w:t>nuosprendžio 857 l., t. 773</w:t>
      </w:r>
      <w:r w:rsidRPr="00C00255">
        <w:rPr>
          <w:szCs w:val="24"/>
        </w:rPr>
        <w:t>). Visgi, teisėjų kolegijos vertinimu, pirmosios instancijos teismas netiksliai įvardijo kombatantų terminą ir nepagrįstai sutapatino tarptautinėje teisėje naudojamus skirtingus terminus „kombatantas“ ir „</w:t>
      </w:r>
      <w:r w:rsidRPr="00C00255">
        <w:rPr>
          <w:i/>
          <w:szCs w:val="24"/>
        </w:rPr>
        <w:t>hors de combat</w:t>
      </w:r>
      <w:r w:rsidRPr="00C00255">
        <w:rPr>
          <w:szCs w:val="24"/>
        </w:rPr>
        <w:t>“ (prancūzų kalba).</w:t>
      </w:r>
      <w:r w:rsidRPr="00C00255">
        <w:t xml:space="preserve"> </w:t>
      </w:r>
      <w:r w:rsidRPr="00C00255">
        <w:rPr>
          <w:szCs w:val="24"/>
        </w:rPr>
        <w:t>1949 m. rugpjūčio 12 d. Ženevos konvencijų Papildomo protokolo dėl tarptautinių ginkluotų konfliktų aukų apsaugos (I protokolo), priimto 1977 m. birželio 8 d., 43 straipsnio 2 dalyje nurodyta, kad konflikto šalies ginkluotųjų pajėgų nariai (išskyrus medicinos ir religinį personalą) yra kombatantai, t. y. turi teisę tiesiogiai dalyvauti karo veiksmuose. Tuo tarpu 1949 m. rugpjūčio 12 d. Ženevos konvencijose ir jos papildomuose protokoluose naudojamas prancūziškas terminas „</w:t>
      </w:r>
      <w:r w:rsidRPr="00C00255">
        <w:rPr>
          <w:i/>
          <w:szCs w:val="24"/>
        </w:rPr>
        <w:t>hors de combat</w:t>
      </w:r>
      <w:r w:rsidRPr="00C00255">
        <w:rPr>
          <w:szCs w:val="24"/>
        </w:rPr>
        <w:t>“ reiškia tuos kombatantus, kurie yra išėję iš rikiuotės ir nebegali vykdyti savo kaip ginkluotųjų pajėgų narių pareigų (pavyzdžiui, yra ligoti, sužeisti, paimti į nelaisvę ir panašiai).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Pirmosios instancijos teismo nuosprendžio motyvuojamojoje dalyje, atsakant į nuteistųjų ir gynėjų prašymus pripažinti, kad nuteistieji buvo kombatantai ir dėl to jie negali būti traukiami baudžiamojon atsakomybėn, nurodyta, kad: „Analizuojant Ženevos konvencijos ir jos papildomų protokolų nuostatas dėl kombatantų (</w:t>
      </w:r>
      <w:r w:rsidRPr="00C00255">
        <w:rPr>
          <w:i/>
          <w:szCs w:val="24"/>
        </w:rPr>
        <w:t>hors de combat</w:t>
      </w:r>
      <w:r w:rsidRPr="00C00255">
        <w:rPr>
          <w:szCs w:val="24"/>
        </w:rPr>
        <w:t>) statuso atkreiptinas dėmesys į tai, kad Konvencijoje aiškiai nurodyta, kad „su asmenimis, aktyviai nedalyvaujančiais karo veiksmuose, įskaitant ir ginkluotų pajėgų narius, sudėjusius ginklus, taip pat tapusiais kombatantais dėl ligos, sužeidimų, sulaikymo arba kokios nors kitos priežasties, visada turi būti elgiamasi humaniškai ir t. t. Byloje nėra duomenų, kad kuris nors iš kaltinamų kariškių 1991 m. nebūtų dalyvavęs karinėje atakoje, atsisakęs vykdyti aiškiai neteisėtą įsakymą ar kombatantu tapęs dėl ligos ir/ar kitų priežasčių, kad su juo būtų elgiamasi nehumaniškai, todėl nesuprantamais ir nepaaiškinamais laikytini kaltinamųjų gynėjų argumentai, jog teismo nagrinėjamojoje byloje kaltinamiems kariškiams turėtų būti suteiktas kombatanto statusas.“ (</w:t>
      </w:r>
      <w:r w:rsidRPr="00C00255">
        <w:rPr>
          <w:color w:val="000000"/>
          <w:szCs w:val="24"/>
        </w:rPr>
        <w:t xml:space="preserve">nuosprendžio 857 l., t. 773). </w:t>
      </w:r>
      <w:r w:rsidRPr="00C00255">
        <w:rPr>
          <w:szCs w:val="24"/>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Pagal tarptautinę teisę pripažįstama, kad teisėti ginkluotųjų pajėgų nariai (kombatantai) turi teisę naudoti ginkluotą jėgą, laikantis privalomų kariavimo taisyklių, ir jie nėra atsakingi už padarytą žalą, tačiau tai nepaneigia kombatantų atsakomybės už padarytus nusikaltimus žmoniškumui ar karo nusikaltimus. Todėl kombatantas, peržengęs leistinas ginkluotos jėgos naudojimo ribas, gali būti pripažintas kaltu, padaręs nusikaltimą žmoniškumui ar karo nusikaltimą, nors kombatanto statuso dėl to jis nepraranda. 1949 m. rugpjūčio 12 d. Ženevos konvencijų Papildomo protokolo dėl tarptautinių ginkluotų konfliktų aukų apsaugos (I protokolo), 44 straipsnio 2 dalyje nurodyta, kad, nors visi kombatantai privalo laikytis tarptautinės teisės normų, taikomų vykstant ginkluotiems konfliktams, šių normų pažeidimas neatima iš kombatanto teisės būti kombatantu ar, jeigu jis patenka į priešiškos šalies nelaisvę, jo teisės būti karo belaisviu.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Nagrinėjamoje byloje nustatyta, kad nuteistieji (išskyrus, </w:t>
      </w:r>
      <w:r>
        <w:rPr>
          <w:szCs w:val="24"/>
        </w:rPr>
        <w:t>V. Š. 1</w:t>
      </w:r>
      <w:r w:rsidRPr="00C00255">
        <w:rPr>
          <w:szCs w:val="24"/>
        </w:rPr>
        <w:t xml:space="preserve">) </w:t>
      </w:r>
      <w:r w:rsidRPr="00C00255">
        <w:rPr>
          <w:color w:val="000000" w:themeColor="text1"/>
          <w:szCs w:val="24"/>
        </w:rPr>
        <w:t xml:space="preserve">priklausė TSRS ginkluotosioms pajėgoms ir jie kaip kariuomenės nariai turėjo teisę dalyvauti ginkluotuose konfliktuose. Taigi dėl šių priežasčių minėti TSRS kariškiai laikytini kombatantais (t. y. </w:t>
      </w:r>
      <w:r w:rsidRPr="00C00255">
        <w:rPr>
          <w:szCs w:val="24"/>
        </w:rPr>
        <w:t xml:space="preserve">turinčiais teisę </w:t>
      </w:r>
      <w:r w:rsidRPr="00C00255">
        <w:rPr>
          <w:color w:val="000000" w:themeColor="text1"/>
          <w:szCs w:val="24"/>
        </w:rPr>
        <w:t xml:space="preserve">į humanišką elgesį, tapus iš rikiuotės išėjusiais kombatantais, būti pripažintiems karo belaisviais ir pan.), skirtingai nei nurodė pirmosios instancijos teismas. Nepaisant to, kombatantų statusas jokiu būdu nešalina šių kariškių atsakomybės už konstatuotas 1991 m. įvykdytas tarptautinėje teisėje pripažįstamas pačias pavojingiausias nusikalstamas veikas, t. y. nusikaltimus žmoniškumui ir karo nusikaltimus.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Taigi darytina išvada, kad TSRS kariškiai, 1991 m. įvykdę nusikaltimus žmoniškumui ir karo nusikaltimus, gali būti traukiami baudžiamojon atsakomybėn, nepaisant jų, kaip kombatantų, statuso. </w:t>
      </w:r>
    </w:p>
    <w:p w:rsidR="00DA38E9" w:rsidRPr="00C00255" w:rsidRDefault="00DA38E9" w:rsidP="00DA38E9">
      <w:pPr>
        <w:pStyle w:val="Heading3"/>
        <w:spacing w:before="120" w:after="120"/>
        <w:ind w:firstLine="992"/>
        <w:jc w:val="both"/>
        <w:rPr>
          <w:b w:val="0"/>
          <w:i/>
          <w:lang w:val="lt-LT"/>
        </w:rPr>
      </w:pPr>
      <w:bookmarkStart w:id="842" w:name="_Toc65435075"/>
      <w:bookmarkStart w:id="843" w:name="_Toc66718309"/>
      <w:bookmarkStart w:id="844" w:name="_Toc67677431"/>
      <w:bookmarkStart w:id="845" w:name="_Toc67985559"/>
      <w:r w:rsidRPr="00C00255">
        <w:rPr>
          <w:b w:val="0"/>
          <w:i/>
          <w:sz w:val="24"/>
          <w:lang w:val="lt-LT"/>
        </w:rPr>
        <w:t>Dėl bendrininkavimo formos (bendrininkų grupės ar organizuotos grupės)</w:t>
      </w:r>
      <w:bookmarkEnd w:id="842"/>
      <w:bookmarkEnd w:id="843"/>
      <w:bookmarkEnd w:id="844"/>
      <w:bookmarkEnd w:id="845"/>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Nagrinėjamoje byloje visiems nuteistiesiems kaltinimai buvo pareikšti veikus organizuota grupe ir kaltinamajame akte jų nusikalstamos veikos papildomai kvalifikuotos pagal BK 25 straipsnio 3 dalį. Pirmosios instancijos teismas konstatavo, kad nuteistieji jiems inkriminuotus nusikaltimus padarė veikdami ne organizuota, bet bendrininkų grupe, ir pašalino nuorodą į BK 25 straipsnio 3 dalį.</w:t>
      </w:r>
    </w:p>
    <w:p w:rsidR="00DA38E9" w:rsidRPr="005D022C" w:rsidRDefault="00DA38E9" w:rsidP="00DA38E9">
      <w:pPr>
        <w:pStyle w:val="ListParagraph"/>
        <w:numPr>
          <w:ilvl w:val="0"/>
          <w:numId w:val="6"/>
        </w:numPr>
        <w:overflowPunct/>
        <w:autoSpaceDE/>
        <w:autoSpaceDN/>
        <w:adjustRightInd/>
        <w:spacing w:before="120" w:after="120"/>
        <w:ind w:left="992" w:hanging="992"/>
        <w:contextualSpacing w:val="0"/>
      </w:pPr>
      <w:r w:rsidRPr="005D022C">
        <w:t xml:space="preserve">Pirmosios instancijos teismas nepripažino asmenų veikimo organizuota grupe, motyvuodamas tuo, kad byloje nėra jokių duomenų, patvirtinančių, jog kaltinamieji buvo iš anksto susitarę įvykdyti nusikaltimus žmoniškumui, kad kiekvienas iš kaltinamųjų žinojo ar turėjo žinoti, jog veikia organizuota grupe, taip pat nėra jokių įrodymų, patvirtinančių, kad kaltinamieji turėjo vieningą tikslą – </w:t>
      </w:r>
      <w:r w:rsidRPr="005D022C">
        <w:rPr>
          <w:rFonts w:eastAsia="Calibri"/>
        </w:rPr>
        <w:t xml:space="preserve">bauginti valstybės gyventojus ir juos žudyti bei žaloti. </w:t>
      </w:r>
      <w:r w:rsidRPr="005D022C">
        <w:t xml:space="preserve">Pirmosios instancijos teismas atsižvelgė į tai, kad </w:t>
      </w:r>
      <w:r w:rsidRPr="005D022C">
        <w:rPr>
          <w:rFonts w:eastAsia="Calibri"/>
        </w:rPr>
        <w:t xml:space="preserve">daugumai kaltinamųjų buvo nurodytos kitos perdislokavimo į Lietuvos Respubliką priežastys, kad prieš karinės operacijos pradžią dauguma kaltinamųjų nežinojo į kokį objektą vyksta ir tik atvykę prie objekto gaudavo konkrečias užduotis. Pirmosios instancijos teismo vertinimu, bylos duomenys patvirtina, kad kariškiams buvo nurodyta perimti apsaugai objektus iš ekstremistiškai nusiteikusių grupuočių, atjungti aparatūrą, kad nebūtų transliuojamos laidos, kurių turinys nukreiptas prieš TSRS, ir tuo tikslu kaltinamieji kartu su kitais kariškiais, iš pastatų išvarė darbuotojus, vaikė iš užgrobiamų objektų teritorijų civilius žmones. Kariškiams buvo leista panaudoti šaunamuosius ginklus, t. y. išvaikant civilius asmenis šaudyti tuščiais šoviniais į orą ir į žemę, o kovinius šovinius panaudoti, esant pavojui sveikatai ar gyvybei. Nuosprendyje pažymėta, kad tokių nurodymų, net jei jie ir buvo duoti, nebuvo laikomasi ir kariškiai, vykdydami įsakymus užimti pastatus ir pašalinti civilius iš pastatų, šturmo metu savo iniciatyva šaudė koviniais šoviniais tiek pastatų prieigose, tiek ir jų viduje. </w:t>
      </w:r>
      <w:r w:rsidRPr="005D022C">
        <w:t>P</w:t>
      </w:r>
      <w:r w:rsidRPr="005D022C">
        <w:rPr>
          <w:rFonts w:eastAsia="Calibri"/>
        </w:rPr>
        <w:t xml:space="preserve">irmosios instancijos teismas konstatavo, kad </w:t>
      </w:r>
      <w:r w:rsidRPr="005D022C">
        <w:t xml:space="preserve">1991 m. sausio mėnesį Vilniuje vykdytos karinės operacijos eiga buvo reglamentuota, koordinuojama ir vykdoma dalyvaujant įvairių jėgos struktūrų pareigūnams, todėl kiekvieno iš kaltinamųjų veiksmai atitinka objektyvius vykdytojo veiksmus, kurie atskirai pagal BK 24 straipsnį nekvalifikuojami. Taigi pirmosios instancijos teismas nuteistųjų veiksmus vertino kaip padarytus bendravykdytojų, veikiant bendrininkų grupe, kas pripažinta ir nuteistųjų atsakomybę sunkinančia aplinkybe. </w:t>
      </w:r>
      <w:r w:rsidRPr="005D022C">
        <w:rPr>
          <w:rFonts w:eastAsia="Calibri"/>
        </w:rPr>
        <w:t>Pirmosios instancijos teismo vertinimu, kaltinamiesiems negalėjo būti kvalifikuotas veikimas organizuota grupe dar ir todėl, kad nusikalstamų veikų padarymo metu galiojusiame 1961 m. BK nebuvo nustatyta tokia bendrininkavimo forma kaip organizuota grupė.</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Prokurorai apeliaciniu skundu prašo nuteistųjų veiksmus kvalifikuoti kaip padarytus organizuota grupe ir nesutinka su pirmosios instancijos teismo išvadomis, kad byloje nėra duomenų, jog nuteistieji buvo iš anksto susitarę vykdyti jiems inkriminuotus nusikaltimus, </w:t>
      </w:r>
      <w:r w:rsidRPr="00C00255">
        <w:rPr>
          <w:color w:val="000000" w:themeColor="text1"/>
          <w:szCs w:val="24"/>
        </w:rPr>
        <w:t>kad nėra duomenų, jog nuteistieji turėjo bendrą tikslą – bauginti valstybės gyventojus, juos žudyti bei žaloti, ir</w:t>
      </w:r>
      <w:r w:rsidRPr="00C00255">
        <w:rPr>
          <w:szCs w:val="24"/>
        </w:rPr>
        <w:t xml:space="preserve"> jog 1961 m. BK nebuvo numatyta tokia bendrininkavimo forma kaip organizuota grupė.</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Apeliacinės instancijos teismas, ištyręs nuteistiesiems inkriminuotų nusikalstamų veikų padarymo faktines aplinkybes bei dalį jų patikslinęs, apibrėžęs konkrečių nuteistųjų padarytus individualius veiksmus bei jų teisinę kvalifikaciją, atsižvelgęs į bendrininkavimo formų – bendrininkų ir organizuotos grupės – požymius ir ypatumus, daro išvadą, kad pirmosios instancijos teismas, nors ir išdėstydamas prieštaringus argumentus apie vadovaujančių kariškių ribotą operacijos ir jų veiksmų suvokimą, neteisingą 1961 m. BK nuostatų vertinimą ir pan., pagrįstai konstatavo, jog nuteistieji jiems inkriminuotas nusikalstamas veikas padarė veikdami ne organizuota, bet bendrininkų grupe.</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Cs/>
          <w:color w:val="000000" w:themeColor="text1"/>
          <w:szCs w:val="24"/>
        </w:rPr>
        <w:t>Analizuojamo klausimo kontekste svarbi ir tarptautinių teismų, sprendžiančių asmenų baudžiamosios atsakomybės už nusikaltimus žmoniškumui ir karo nusikaltimus, praktika, vertinant bendrininkų baudžiamosios atsakomybės klausimus.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1F1E1D"/>
          <w:szCs w:val="24"/>
          <w:shd w:val="clear" w:color="auto" w:fill="FFFFFF"/>
        </w:rPr>
        <w:t xml:space="preserve">Niurnbergo tarptautinio karinio tribunolo statuto 6 straipsnyje, kuriame išvardinti nusikaltimai žmoniškumui, taikai bei karo nusikaltimai, buvo nustatyta, kad vadai, organizatoriai, kurstytojai ir bendrininkai, dalyvaujantys kuriant ar vykdant bendrą planą ar sąmokslą padaryti bet kurį šiame straipsnyje aprašytą nusikaltimą, yra atsakingi už visus bet kurio asmens veiksmus, vykdant šį planą (angl. </w:t>
      </w:r>
      <w:r w:rsidRPr="00C00255">
        <w:rPr>
          <w:i/>
          <w:color w:val="1F1E1D"/>
          <w:szCs w:val="24"/>
          <w:shd w:val="clear" w:color="auto" w:fill="FFFFFF"/>
        </w:rPr>
        <w:t>leaders, organizers, instigators and accomplices participating in the formulation or execution of a common plan or conspiracy to commit any of the foregoing crimes are responsible for all acts performed by any persons in execution of such plan</w:t>
      </w:r>
      <w:r w:rsidRPr="00C00255">
        <w:rPr>
          <w:color w:val="1F1E1D"/>
          <w:szCs w:val="24"/>
          <w:shd w:val="clear" w:color="auto" w:fill="FFFFFF"/>
        </w:rPr>
        <w:t xml:space="preserve">). Taigi Niurnbergo tarptautinio karinio tribunolo statutas įvedė bendro plano sąvoką (doktriną), vienijančią visų bendrininkų veiksmus.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A93032">
        <w:rPr>
          <w:rFonts w:eastAsia="Calibri"/>
        </w:rPr>
        <w:t>Jugoslavijos tribunolo statuto 7 straipsnio („Individuali baudžiamoji atsakomybė“) 1 dalyje įtvirtinta, kad asmuo, kuris planavo, kurstė, įsakė, įvykdė ar kitaip padėjo planuojant, rengiant ar vykdant Statuto 2–5 straipsniuose įtvirtintus nusikaltimus, yra individualiai atsakingas už nusikaltimą (angl.</w:t>
      </w:r>
      <w:r w:rsidRPr="00C00255">
        <w:rPr>
          <w:rFonts w:eastAsia="Calibri"/>
          <w:color w:val="000000"/>
          <w:szCs w:val="24"/>
        </w:rPr>
        <w:t xml:space="preserve"> </w:t>
      </w:r>
      <w:r w:rsidRPr="00C00255">
        <w:rPr>
          <w:rFonts w:eastAsia="Calibri"/>
          <w:i/>
          <w:color w:val="000000"/>
          <w:szCs w:val="24"/>
        </w:rPr>
        <w:t>a</w:t>
      </w:r>
      <w:r w:rsidRPr="00C00255">
        <w:rPr>
          <w:i/>
          <w:szCs w:val="24"/>
        </w:rPr>
        <w:t xml:space="preserve"> person who planned, instigated, ordered, committed or otherwise aided and abetted in the planning, preparation or execution of a crime referred to in articles 2 to 5 of the present Statute, shall be individually responsible for the crime). </w:t>
      </w:r>
      <w:r w:rsidRPr="00C00255">
        <w:rPr>
          <w:szCs w:val="24"/>
        </w:rPr>
        <w:t>Plėtodamas savo jurisprudenciją, Jugoslavijos tribunolas išaiškino, kad Jugoslavijos tribunolo statuto 7</w:t>
      </w:r>
      <w:r>
        <w:rPr>
          <w:szCs w:val="24"/>
        </w:rPr>
        <w:t> </w:t>
      </w:r>
      <w:r w:rsidRPr="00C00255">
        <w:rPr>
          <w:szCs w:val="24"/>
        </w:rPr>
        <w:t xml:space="preserve">straipsnio 1 dalyje yra įtvirtinta bendros nusikalstamos grupės (angl. </w:t>
      </w:r>
      <w:r w:rsidRPr="00C00255">
        <w:rPr>
          <w:i/>
          <w:szCs w:val="24"/>
        </w:rPr>
        <w:t>joint criminal enterprise – JCE</w:t>
      </w:r>
      <w:r w:rsidRPr="00C00255">
        <w:rPr>
          <w:szCs w:val="24"/>
        </w:rPr>
        <w:t xml:space="preserve">) doktrina. Bendra nusikalstama grupė – tai baudžiamosios atsakomybės rūšis, įtvirtinta Jugoslavijos tribunolo statuto 7 straipsnio 1 dalyje, kuri užtraukia individualią baudžiamąją atsakomybę už dalyvavimą bendros nusikalstamos grupės veikloje, siekiant daryti nusikaltimą (Jugoslavijos tribunolo Teisminio nagrinėjimo kolegijos </w:t>
      </w:r>
      <w:r w:rsidRPr="00C00255">
        <w:rPr>
          <w:szCs w:val="24"/>
          <w:lang w:eastAsia="lt-LT"/>
        </w:rPr>
        <w:t>2001</w:t>
      </w:r>
      <w:r>
        <w:rPr>
          <w:szCs w:val="24"/>
          <w:lang w:eastAsia="lt-LT"/>
        </w:rPr>
        <w:t> </w:t>
      </w:r>
      <w:r w:rsidRPr="00C00255">
        <w:rPr>
          <w:szCs w:val="24"/>
          <w:lang w:eastAsia="lt-LT"/>
        </w:rPr>
        <w:t>rugpjūčio</w:t>
      </w:r>
      <w:r>
        <w:rPr>
          <w:szCs w:val="24"/>
          <w:lang w:eastAsia="lt-LT"/>
        </w:rPr>
        <w:t> </w:t>
      </w:r>
      <w:r w:rsidRPr="00C00255">
        <w:rPr>
          <w:szCs w:val="24"/>
          <w:lang w:eastAsia="lt-LT"/>
        </w:rPr>
        <w:t>2</w:t>
      </w:r>
      <w:r>
        <w:rPr>
          <w:szCs w:val="24"/>
          <w:lang w:eastAsia="lt-LT"/>
        </w:rPr>
        <w:t> </w:t>
      </w:r>
      <w:r w:rsidRPr="00C00255">
        <w:rPr>
          <w:szCs w:val="24"/>
          <w:lang w:eastAsia="lt-LT"/>
        </w:rPr>
        <w:t xml:space="preserve">d. nuosprendis byloje </w:t>
      </w:r>
      <w:r w:rsidRPr="00C00255">
        <w:rPr>
          <w:i/>
          <w:szCs w:val="24"/>
          <w:lang w:eastAsia="lt-LT"/>
        </w:rPr>
        <w:t xml:space="preserve">Kaltintojas prieš </w:t>
      </w:r>
      <w:r w:rsidRPr="00C00255">
        <w:rPr>
          <w:i/>
          <w:szCs w:val="24"/>
        </w:rPr>
        <w:t>Radislav Krsti</w:t>
      </w:r>
      <w:r w:rsidRPr="00C00255">
        <w:rPr>
          <w:i/>
          <w:iCs/>
          <w:szCs w:val="24"/>
          <w:lang w:eastAsia="lt-LT"/>
        </w:rPr>
        <w:t>ć</w:t>
      </w:r>
      <w:r w:rsidRPr="00C00255">
        <w:rPr>
          <w:szCs w:val="24"/>
        </w:rPr>
        <w:t xml:space="preserve">, bylos Nr. IT-98-33-T, para. </w:t>
      </w:r>
      <w:r w:rsidRPr="00C00255">
        <w:rPr>
          <w:szCs w:val="24"/>
          <w:lang w:eastAsia="lt-LT"/>
        </w:rPr>
        <w:t xml:space="preserve">601). Bendrą nusikalstamą grupę vienija bendras tikslas. Be to, iš Jugoslavijos tribunolo jurisprudencijos matyti, kad, konstatuojant, jog asmuo veikė bendroje nusikalstamoje grupėje, turi būti nustatytas asmens siekis būti šios grupės nariu ir pritarimas šios grupės nusikalstamiems tikslams </w:t>
      </w:r>
      <w:r w:rsidRPr="00C00255">
        <w:rPr>
          <w:szCs w:val="24"/>
        </w:rPr>
        <w:t xml:space="preserve">(Jugoslavijos tribunolo Apeliacinės kolegijos 1999 m. liepos 15 d. nuosprendis byloje </w:t>
      </w:r>
      <w:r w:rsidRPr="00C00255">
        <w:rPr>
          <w:rStyle w:val="Emphasis"/>
          <w:szCs w:val="24"/>
        </w:rPr>
        <w:t>Kaltintojas prieš Tadić</w:t>
      </w:r>
      <w:r w:rsidRPr="00C00255">
        <w:rPr>
          <w:szCs w:val="24"/>
        </w:rPr>
        <w:t>, bylos Nr. IT-94-1-A, para. 220).</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Tarptautinio Baudžiamojo Teismo Romos statute, priimtame 1998 m. liepos 17 d., individuali baudžiamoji atsakomybė yra reglamentuota itin išsamiai, konkrečiai įvardijant įvairias asmenų dalyvavimo darant nusikaltimus formas. Romos statuto 25 straipsnio 3 dalyje nustatyta, kad:</w:t>
      </w:r>
    </w:p>
    <w:p w:rsidR="00DA38E9" w:rsidRPr="00C00255" w:rsidRDefault="00DA38E9" w:rsidP="00DA38E9">
      <w:pPr>
        <w:pStyle w:val="ListParagraph"/>
        <w:spacing w:before="120" w:after="120"/>
        <w:ind w:left="1276"/>
        <w:contextualSpacing w:val="0"/>
        <w:rPr>
          <w:szCs w:val="24"/>
        </w:rPr>
      </w:pPr>
      <w:r w:rsidRPr="00C00255">
        <w:rPr>
          <w:color w:val="000000"/>
          <w:sz w:val="20"/>
          <w:lang w:eastAsia="lt-LT"/>
        </w:rPr>
        <w:t>„Pagal šį Statutą asmuo traukiamas baudžiamojon atsakomybėn ir yra baudžiamas už Teismo jurisdikcijai priklausantį nusikaltimą, jeigu jis:</w:t>
      </w:r>
      <w:bookmarkStart w:id="846" w:name="part_1702409121ff4611866f8af5fe90bde3"/>
      <w:bookmarkEnd w:id="846"/>
      <w:r w:rsidRPr="00C00255">
        <w:rPr>
          <w:color w:val="000000"/>
          <w:sz w:val="20"/>
          <w:lang w:eastAsia="lt-LT"/>
        </w:rPr>
        <w:t xml:space="preserve"> a) padaro tokį nusikaltimą vienas, kartu su kitu asmeniu arba per jį nepriklausomai nuo to, ar kitas asmuo traukiamas baudžiamojon atsakomybėn;</w:t>
      </w:r>
      <w:bookmarkStart w:id="847" w:name="part_85c8d40aca12426da7c203ae6f55959f"/>
      <w:bookmarkEnd w:id="847"/>
      <w:r w:rsidRPr="00C00255">
        <w:rPr>
          <w:color w:val="000000"/>
          <w:sz w:val="20"/>
          <w:lang w:eastAsia="lt-LT"/>
        </w:rPr>
        <w:t xml:space="preserve"> b) įsako, sukursto arba paskatina padaryti tokį nusikaltimą, jeigu toks nusikaltimas padaromas arba jeigu pasikėsinama jį padaryti;</w:t>
      </w:r>
      <w:bookmarkStart w:id="848" w:name="part_ce07ba751e814182a9777501615cdb49"/>
      <w:bookmarkEnd w:id="848"/>
      <w:r w:rsidRPr="00C00255">
        <w:rPr>
          <w:color w:val="000000"/>
          <w:sz w:val="20"/>
          <w:lang w:eastAsia="lt-LT"/>
        </w:rPr>
        <w:t xml:space="preserve"> c) kad būtų lengviau padaryti tokį nusikaltimą, padeda, kursto ar kokiu nors kitokiu būdu talkina darant ar pasikėsinant daryti nusikaltimą, taip pat parūpina priemones jam padaryti;</w:t>
      </w:r>
      <w:bookmarkStart w:id="849" w:name="part_7e80d142f6d54ab7991e2f991f51cc06"/>
      <w:bookmarkEnd w:id="849"/>
      <w:r w:rsidRPr="00C00255">
        <w:rPr>
          <w:color w:val="000000"/>
          <w:sz w:val="20"/>
          <w:lang w:eastAsia="lt-LT"/>
        </w:rPr>
        <w:t xml:space="preserve"> d) kokiu nors kitu būdu prisideda prie to, kad tokį nusikaltimą padarytų arba pasikėsintų jį padaryti bendrą tikslą turinti asmenų grupė. Tokia pagalba yra tyčinė ir:</w:t>
      </w:r>
      <w:bookmarkStart w:id="850" w:name="part_d631e5aafcbd4e94b81bc0003d1bff35"/>
      <w:bookmarkEnd w:id="850"/>
      <w:r w:rsidRPr="00C00255">
        <w:rPr>
          <w:color w:val="000000"/>
          <w:sz w:val="20"/>
          <w:lang w:eastAsia="lt-LT"/>
        </w:rPr>
        <w:t xml:space="preserve"> i) ja siekiama prisidėti prie grupės nusikalstamos veiklos arba nusikalstamo ketinimo, kai tokios veiklos ar ketinimo dalimi yra Teismo jurisdikcijai priklausančio nusikaltimo padarymas, arba</w:t>
      </w:r>
      <w:bookmarkStart w:id="851" w:name="part_a65e34f1b66f4f7793c3befb100b7e0a"/>
      <w:bookmarkEnd w:id="851"/>
      <w:r w:rsidRPr="00C00255">
        <w:rPr>
          <w:color w:val="000000"/>
          <w:sz w:val="20"/>
          <w:lang w:eastAsia="lt-LT"/>
        </w:rPr>
        <w:t xml:space="preserve"> ii) ji teikiama žinant apie grupės ketinimą padaryti nusikaltimą;</w:t>
      </w:r>
      <w:bookmarkStart w:id="852" w:name="part_8ad9454be4264c558fa405db1fe960dc"/>
      <w:bookmarkEnd w:id="852"/>
      <w:r w:rsidRPr="00C00255">
        <w:rPr>
          <w:color w:val="000000"/>
          <w:sz w:val="20"/>
          <w:lang w:eastAsia="lt-LT"/>
        </w:rPr>
        <w:t xml:space="preserve"> e) genocido atveju, tiesiogiai ir viešai kitus kursto padaryti šį nusikaltimą;</w:t>
      </w:r>
      <w:bookmarkStart w:id="853" w:name="part_413974115d954952b2366643be1da69d"/>
      <w:bookmarkEnd w:id="853"/>
      <w:r w:rsidRPr="00C00255">
        <w:rPr>
          <w:color w:val="000000"/>
          <w:sz w:val="20"/>
          <w:lang w:eastAsia="lt-LT"/>
        </w:rPr>
        <w:t xml:space="preserve"> f) pasikėsinama padaryti tokį nusikaltimą ir imasi veiksmų, kurie gali būti vertinami kaip rimtas žingsnis pradedant daryti nusikaltimą, tačiau nusikaltimas nepadaromas dėl aplinkybių, nepriklausančių nuo asmens ketinimų. Tačiau asmuo, kuris atsisako bandymo padaryti nusikaltimą arba kitu būdu neleidžia pabaigti nusikaltimo, pagal šį Statutą nėra baudžiamas dėl kėsinimosi padaryti šį nusikaltimą, jeigu toks asmuo visiškai ir savanoriškai atsisako nusikalstamo tikslo.“</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Taigi Romos statute aiškiai nustatytos individualios asmenų baudžiamosios atsakomybės sąlygos, įtvirtinant ir naują tarptautinėje teisėje netiesioginio vykdytojo (vykdytojo per kitą asmenį) atsakomybės doktriną. Ši vykdytojo per kitą asmenį doktrina leidžia atskirti pagrindinių ir pagalbinių asmenų atsakomybę kolektyviniuose, kelių lygmenų nusikaltimuose. Pagal Tarptautinio Baudžiamojo Teismo praktiką netiesioginio vykdytojo konstatavimui yra reikalaujama nustatyti, kad egzistuoja organizuotas jėgos aparatas (angl. </w:t>
      </w:r>
      <w:r w:rsidRPr="00C00255">
        <w:rPr>
          <w:i/>
          <w:szCs w:val="24"/>
        </w:rPr>
        <w:t>organised apparatus of power</w:t>
      </w:r>
      <w:r w:rsidRPr="00C00255">
        <w:rPr>
          <w:szCs w:val="24"/>
        </w:rPr>
        <w:t>), kurio viduje veikia tiesioginiai ir netiesioginiai vykdytojai ir kuris leidžia netiesioginiams vykdytojams užtikrinti nusikaltimų padarymą (</w:t>
      </w:r>
      <w:r w:rsidRPr="00C00255">
        <w:rPr>
          <w:i/>
          <w:szCs w:val="24"/>
        </w:rPr>
        <w:t xml:space="preserve">Klamberg M., Commentary on the Law of the International Criminal Court (liet. Tarptautinio Baudžiamojo Teismo teisės komentaras), 2017 m., p. 261 </w:t>
      </w:r>
      <w:r w:rsidRPr="00C00255">
        <w:rPr>
          <w:szCs w:val="24"/>
        </w:rPr>
        <w:t xml:space="preserve">[interaktyvus]. &lt;https://www.legal-tools.org/doc/aa0e2b/pdf/&gt;). Jugoslavijos tribunolo išplėtota bendros nusikalstamos grupės (angl. </w:t>
      </w:r>
      <w:r w:rsidRPr="00C00255">
        <w:rPr>
          <w:i/>
          <w:szCs w:val="24"/>
        </w:rPr>
        <w:t>joint criminal enterprise</w:t>
      </w:r>
      <w:r w:rsidRPr="00C00255">
        <w:rPr>
          <w:szCs w:val="24"/>
        </w:rPr>
        <w:t xml:space="preserve">) doktrina Tarptautinio Baudžiamojo Teismo praktikoje nebuvo perimta. Sprendžiant dėl bendrininkų individualios atsakomybės, Tarptautinio Baudžiamojo Teismo praktikoje yra naudojama bendravykdytojo (angl. </w:t>
      </w:r>
      <w:r w:rsidRPr="00C00255">
        <w:rPr>
          <w:i/>
          <w:szCs w:val="24"/>
        </w:rPr>
        <w:t>co-perpetrator</w:t>
      </w:r>
      <w:r w:rsidRPr="00C00255">
        <w:rPr>
          <w:szCs w:val="24"/>
        </w:rPr>
        <w:t>) sąvoka, kurią apibūdina atskirų nusikalstamų užduočių pasiskirstymas tarp atskirų bendravykdytojų, kuriuos sieja bendras planas ar susitarimas. Kiekvienas bendravykdytojas vykdo tam tikrą užduotį, kuri prisideda prie nusikaltimo padarymo ir be kurios nebūtų įmanoma padaryti nusikaltimo (</w:t>
      </w:r>
      <w:r w:rsidRPr="00C00255">
        <w:rPr>
          <w:i/>
          <w:szCs w:val="24"/>
        </w:rPr>
        <w:t xml:space="preserve">Klamberg M., Commentary on the Law of the International Criminal Court (liet. Tarptautinio Baudžiamojo Teismo teisės komentaras), 2017 m., p. 262 </w:t>
      </w:r>
      <w:r w:rsidRPr="00C00255">
        <w:rPr>
          <w:szCs w:val="24"/>
        </w:rPr>
        <w:t xml:space="preserve">[interaktyvus]. &lt;https://www.legal-tools.org/doc/aa0e2b/pdf/&gt;).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Cs/>
          <w:color w:val="000000" w:themeColor="text1"/>
          <w:szCs w:val="24"/>
        </w:rPr>
        <w:t xml:space="preserve">Teisėjų kolegijos vertinimu, </w:t>
      </w:r>
      <w:r w:rsidRPr="00C00255">
        <w:rPr>
          <w:szCs w:val="24"/>
        </w:rPr>
        <w:t>iš aptartos tarptautinių teismų jurisprudencijos matyti, kad tarptautinių baudžiamųjų teismų praktikoje bendrininkavimo klausimas yra keliamas, siekiant pagrįsti konkrečių asmenų individualią baudžiamąją atsakomybę, traukiant juos baudžiamojon atsakomybėn už konkrečiuose statutuose (Jugoslavijos statutas, Romos statutas ir kt.) įtvirtintus nusikaltimus žmoniškumui ir karo nusikaltimus. Nei minėtuose statutuose, nei tarptautinių baudžiamųjų teismų praktikoje nėra išskiriama atskirų bendrininkavimo formų, tačiau nustatant kaltininko individualią baudžiamąją atsakomybę už bendrininkų padarytus nusikaltimus, akcentuojamas nusikaltimą padariusio asmens suvokimas, kad jis priklauso tam tikrai grupei, turinčiai bendrą nusikalstamą planą, ir kaltininko suvokimas, kad jis savo veiksmais prisideda prie bendro nusikalstamo plano įgyvendinimo.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Teisėjų kolegija pabrėžia, kad minėta tarptautinių teismų praktika yra reikšminga ir vertinant apeliacinių skundų argumentus apie tai, kad kariuomenė (ar karinis junginys) apskritai negali būti laikoma nusikalstama grupuote dėl, pavyzdžiui, veikimo karinių statutų pagrindu. Iš aptartos praktikos akivaizdu, kad tokie daliniai ir jų nariai pripažįstami bendrininkais (t. y. kaip veikę nusikalstamoje grupėje), todėl priešingos gynybinės versijos atmestinos kaip deklaratyvios ir neobjektyvios.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iCs/>
          <w:color w:val="000000" w:themeColor="text1"/>
          <w:szCs w:val="24"/>
        </w:rPr>
        <w:t xml:space="preserve">Nagrinėjamoje baudžiamojoje byloje asmenys kaltinti pagal Lietuvos Respublikos baudžiamojo kodekso nuostatas, todėl </w:t>
      </w:r>
      <w:r w:rsidRPr="00C00255">
        <w:rPr>
          <w:szCs w:val="24"/>
        </w:rPr>
        <w:t>sprendžiant dėl jų bendrininkavimo formos</w:t>
      </w:r>
      <w:r w:rsidRPr="00C00255">
        <w:rPr>
          <w:iCs/>
          <w:color w:val="000000" w:themeColor="text1"/>
          <w:szCs w:val="24"/>
        </w:rPr>
        <w:t xml:space="preserve"> turi būti vadovaujamasi</w:t>
      </w:r>
      <w:r w:rsidRPr="00C00255">
        <w:rPr>
          <w:szCs w:val="24"/>
        </w:rPr>
        <w:t xml:space="preserve"> Lietuvos Respublikos BK nuostatomis.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Kaip jau minėta, pirmosios instancijos teismas kaip vieną iš </w:t>
      </w:r>
      <w:r w:rsidRPr="00C00255">
        <w:rPr>
          <w:color w:val="000000" w:themeColor="text1"/>
          <w:szCs w:val="24"/>
        </w:rPr>
        <w:t>motyvų, kodėl nuteistųjų veikos negali būti papildomai kvalifikuotos pagal BK 25 straipsnio 3 dalį (veikimas organizuota grupe) nurodė tai, kad 1961 m. BK nebuvo numatyta tokia bendrininkavimo forma kaip organizuota grupė.</w:t>
      </w:r>
      <w:r w:rsidRPr="00C00255">
        <w:rPr>
          <w:szCs w:val="24"/>
        </w:rPr>
        <w:t xml:space="preserve"> Prokurorai ginčija tokią pirmosios instancijos teismo išvadą ir teigia, kad tokios grupės požymiai buvo įtvirtinti ne tik dabar galiojančiame, bet ir 1961 m. BK.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Iš nusikalstamų veikų padarymo metu galiojusių 1961 m. BK nuostatų matyti, kad organizuotos grupės sąvoka jame buvo vartojama. Pavyzdžiui, 1961 m. BK 41 straipsnio 1 dalies 2 punkte kaip atsakomybę sunkinanti aplinkybė buvo įtvirtinta aplinkybė, kad nusikaltimą padarė organizuota grupė, 150 straipsnio 3 dalyje numatyta prievartavimo nusikaltimo kvalifikuojanti sudėtis, t. y. kad prievartavimas, padarytas organizuotos grupės &lt;...&gt;. Taigi vien šios aplinkybės rodo, kad išvada, jog 1961 m. BK nebuvo įtvirtinta tokia bendrininkavimo forma kaip organizuota grupė, nėra pagrįsta. Be to,</w:t>
      </w:r>
      <w:r w:rsidRPr="00C00255">
        <w:rPr>
          <w:color w:val="000000"/>
          <w:szCs w:val="24"/>
        </w:rPr>
        <w:t xml:space="preserve"> apeliacinės instancijos teismas, atsižvelgęs į naujausią pastarųjų metų Lietuvos Aukščiausiojo Teismo praktiką (</w:t>
      </w:r>
      <w:r w:rsidRPr="00C00255">
        <w:rPr>
          <w:szCs w:val="24"/>
        </w:rPr>
        <w:t xml:space="preserve">nutartys baudžiamosiose bylose Nr. 2K-178-303/2019, 2K-200-1073/2019, 2K-78-648/2020, 2K-6-1073/2020), daro išvadą, kad ir pagal 1961 m. BK, ir pagal 2000 m. BK organizuotos grupės požymiai teismų praktikoje yra aiškinami iš esmės vienodai, todėl nėra pagrindo konstatuoti, jog prokurorų nuteistiesiems prašoma inkriminuoti BK 25 straipsnio 3 dalis (tiek 2000 m. rugsėjo 26 d. įstatymo Nr. VIII-1968 redakcija, tiek ir 2013 m. liepos 2 d. įstatymo Nr. XII-497 redakcija), kurioje įtvirtinti organizuotos grupės požymiai, galėtų pasunkinti asmenų padėtį ir todėl neturi grįžtamosios galios.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Dėl kitos bendrininkavimo formos – bendrininkų grupės – vertinimo pagal skirtingus baudžiamuosius kodeksus (1961 m. BK ir 2000 m. BK) byloje ginčo nėra, tačiau teisėjų kolegija pažymi, kad pagal kasacinio teismo praktiką BK 25 straipsnio 2 dalimi galima vadovautis, sprendžiant asmenų, padariusių nusikalstamas veikas, galiojant 1961 m. BK, baudžiamosios atsakomybės klausimus (LAT nutartys baudžiamosiose bylose Nr. 2K-628/2003, 2K-508/2003). Taip pat ir 2000 m. BK 24 straipsnio normos, apibrėžiančios bendrininkavimą ir bendrininkų rūšis, iš esmės nesiskiria nuo 1961 m. BK 18 straipsnio, reglamentavusio bendrininkavimo sampratą ir bendrininkų rūšis.</w:t>
      </w:r>
    </w:p>
    <w:p w:rsidR="005D022C" w:rsidRPr="005D022C" w:rsidRDefault="00DA38E9" w:rsidP="005D022C">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Taigi, e</w:t>
      </w:r>
      <w:r w:rsidRPr="00C00255">
        <w:rPr>
          <w:color w:val="000000" w:themeColor="text1"/>
          <w:szCs w:val="24"/>
        </w:rPr>
        <w:t>sant išdėstytoms aplinkybėms, apeliacinės instancijos teismas konstatuoja, kad organizuota grupė (kaip ir bendrininkų grupė), kaip bendrininkavimo forma buvo įtvirtinta ir 1961 m. BK. Visgi teisėjų kolegija sutinka su esmine pirmosios instancijos teismo išvada, kad nuteistieji faktiškai veikė ne organizuota (kaip teigia prokurorai), bet bendrininkų grupe.</w:t>
      </w:r>
    </w:p>
    <w:p w:rsidR="002C1EDB" w:rsidRPr="002C1EDB" w:rsidRDefault="005D022C" w:rsidP="002C1EDB">
      <w:pPr>
        <w:pStyle w:val="ListParagraph"/>
        <w:numPr>
          <w:ilvl w:val="1"/>
          <w:numId w:val="6"/>
        </w:numPr>
        <w:overflowPunct/>
        <w:autoSpaceDE/>
        <w:autoSpaceDN/>
        <w:adjustRightInd/>
        <w:spacing w:before="120" w:after="120"/>
        <w:ind w:left="992" w:hanging="992"/>
        <w:contextualSpacing w:val="0"/>
        <w:rPr>
          <w:szCs w:val="24"/>
        </w:rPr>
      </w:pPr>
      <w:r w:rsidRPr="005D022C">
        <w:t>Pagal BK 24 straipsnio 1 dalį bendrininkavimas yra tyčinis bendras dviejų ar daugiau tarpusavyje susitarusių pakaltinamų ir sulaukusių BK 13 straipsnyje nustatyto amžiaus asmenų dalyvavimas darant nusikalstamą veiką. Pagrindžiant kaltininko baudžiamąją atsakomybę už bendrininkavimą darant konkrečią nusikalstamą veiką, turi būti konstatuota ne tik nusikalstamos veikos, dėl kurios padarymo yra sujungiamos kelių asmenų pastangos, sudėtis, numatyta konkrečiame BK specialiosios dalies straipsnyje, bet kartu ir tos veikos darymo formos – bendrininkavimo – objektyviųjų ir subjektyviųjų požymių visuma (bendrininkavimo sudėtis), numatyta atitinkamose BK 24, 25 straipsnių nuostatose. Objektyvieji bendrininkavimo požymiai yra kelių asmenų dalyvavimas padarant nusikalstamą veiką ir jų veikos bendrumas, subjektyvieji – tyčia (savo veiksmų bendrumo suvokimas) ir susitarimas daryti nusikalstamą veiką. Taigi, kiekvieno bendrininkavimo atveju yra bent dviejų asmenų susitarimas veikti bendrai, kiekvienas bendrininkas suvokia, jog kėsinasi į tą patį objektą, taip pat supranta ir kitus bendrai daromos veikos sudėties, numatytos BK specialiojoje dalyje, požymius ir t. t. Subjektyviojo bendrininkavimo požymio (tyčios) esmė yra ta, kad kiekvienas bendrininkas suvokia, jog jis dalyvauja bendrai su kitais asmenimis padarant jam inkriminuotą nusikaltimą. Tyčia padaryti nusikalstamą veiką bendrininkaujant yra susitarimo, kuris sudaromas tarp bendrininkų iki veikos padarymo ar jos metu, pasekmė. Tokia bendrininkavimo samprata nereikalauja, kad visi bendrininkai visiškai realizuotų jiems inkriminuoto nusikaltimo sudėtį, tačiau reikalauja, jog būtų nustatyta bendrininkavimo sudėtis. Nuo subjektyviojo požymio (susitarimo) iš esmės priklauso ir objektyviojo požymio – veikos bendrumo – konstatavimas, nes nesant susitarimo negalima kalbėti apie kelių asmenų veikos bendrumo faktą. Įstatymas nenurodo, kaip bendrininkai turi susitarti dėl bendros nusikalstamos veikos, kad būtų konstatuotas bendrininkų susitarimas. Vadinasi, kiekvieno bendrininkavimo atveju teismas privalo konstatuoti šį būtiną bendrininkavimo požymį, atsižvelgęs į konkrečios bylos aplinkybes. Bendrininkų susitarimas gali būti išreikštas bet kokia forma – žodžiu, raštu ar konkliudentiniais veiksmais (gestu, mimika ir pan.), todėl įrodinėjant susitarimo buvimą nėra būtina nustatyti, kad visi bendrininkai buvo išsamiai aptarę nusikalstamos veikos detales. Bendrininkų susitarimas gali įvykti bet kurioje nusikalstamos veikos stadijoje, t. y. iki bus pasiektas norimas rezultatas (LAT nutartis baudžiamojoje byloje Nr. 2K-186-303/2017).</w:t>
      </w:r>
    </w:p>
    <w:p w:rsidR="002C1EDB" w:rsidRPr="002C1EDB" w:rsidRDefault="00DA38E9" w:rsidP="002C1EDB">
      <w:pPr>
        <w:pStyle w:val="ListParagraph"/>
        <w:numPr>
          <w:ilvl w:val="1"/>
          <w:numId w:val="6"/>
        </w:numPr>
        <w:overflowPunct/>
        <w:autoSpaceDE/>
        <w:autoSpaceDN/>
        <w:adjustRightInd/>
        <w:spacing w:before="120" w:after="120"/>
        <w:ind w:left="992" w:hanging="992"/>
        <w:contextualSpacing w:val="0"/>
        <w:rPr>
          <w:szCs w:val="24"/>
        </w:rPr>
      </w:pPr>
      <w:r w:rsidRPr="002C1EDB">
        <w:t xml:space="preserve">Atsižvelgiant į bendrininkų tarpusavio susitarimo pobūdį, jų ryšius, veiksmų bendrumą, suderinamumo lygį, organizuotumo laipsnį, išskiriamos šios bendrininkavimo formos: bendrininkų grupė, organizuota grupė, nusikalstamas susivienijimas (pastaroji forma šioje byloje nėra aktuali, todėl nusikalstamo susivienijimo požymiai išsamiau nenagrinėjami). </w:t>
      </w:r>
    </w:p>
    <w:p w:rsidR="002C1EDB" w:rsidRPr="002C1EDB" w:rsidRDefault="002C1EDB" w:rsidP="002C1EDB">
      <w:pPr>
        <w:pStyle w:val="ListParagraph"/>
        <w:numPr>
          <w:ilvl w:val="1"/>
          <w:numId w:val="6"/>
        </w:numPr>
        <w:overflowPunct/>
        <w:autoSpaceDE/>
        <w:autoSpaceDN/>
        <w:adjustRightInd/>
        <w:spacing w:before="120" w:after="120"/>
        <w:ind w:left="992" w:hanging="992"/>
        <w:contextualSpacing w:val="0"/>
        <w:rPr>
          <w:szCs w:val="24"/>
        </w:rPr>
      </w:pPr>
      <w:r w:rsidRPr="002C1EDB">
        <w:t xml:space="preserve">Bendrininkų grupė yra tada, kai bet kurioje nusikalstamos veikos stadijoje du ar daugiau asmenų susitaria nusikalstamą veiką daryti, tęsti ar užbaigti, jei bent du iš jų yra vykdytojai (BK 25 straipsnio 2 dalis). Būtinas bendrininkų grupės požymis yra tas, kad joje turi būti bent du vykdytojai, t. y. mažiausiai du bendrininkai turi įvykdyti objektyviuosius bendros nusikalstamos veikos sudėties požymius (ar jų dalį). Nustačius asmenų susitarimą veikti bendrai, jų suvokimą, kad kėsinasi į tą patį objektą, bei kitus bendrininkavimo subjektyviuosius požymius, taip pat konstatavus, kad bendrais veiksmais asmenys realizavo bent dalį bendros nusikalstamos veikos sudėties objektyviųjų požymių, laikoma, kad tokie asmenys veikė kaip bendravykdytojai (BK 24 straipsnio 3 dalis; LAT nutartys baudžiamosiose bylose Nr. 2K-P-218/2009, 2K-186-303/2017).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Organizuota grupė – tai bendrininkavimo forma, kai bet kurioje nusikalstamos veikos stadijoje du ar daugiau asmenų susitaria daryti kelis nusikaltimus arba vieną apysunkį, sunkų ar labai sunkų nusikaltimą ir kiekvienas grupės narys, darydamas nusikaltimą, atlieka tam tikrą užduotį ar turi skirtingą vaidmenį (BK 25 straipsnio 3 dalis – 2013 m. liepos 2 d. įstatymo Nr. XII-497 redakcija).</w:t>
      </w:r>
      <w:r w:rsidRPr="00C00255">
        <w:rPr>
          <w:i/>
          <w:sz w:val="20"/>
        </w:rPr>
        <w:t xml:space="preserve"> </w:t>
      </w:r>
      <w:r w:rsidRPr="00C00255">
        <w:rPr>
          <w:szCs w:val="24"/>
        </w:rPr>
        <w:t>Atkreiptinas dėmesys, kad iki 2013 m. liepos 13 d. galiojo kita BK</w:t>
      </w:r>
      <w:r>
        <w:rPr>
          <w:szCs w:val="24"/>
        </w:rPr>
        <w:t> </w:t>
      </w:r>
      <w:r w:rsidRPr="00C00255">
        <w:rPr>
          <w:szCs w:val="24"/>
        </w:rPr>
        <w:t>25</w:t>
      </w:r>
      <w:r>
        <w:rPr>
          <w:szCs w:val="24"/>
        </w:rPr>
        <w:t> </w:t>
      </w:r>
      <w:r w:rsidRPr="00C00255">
        <w:rPr>
          <w:szCs w:val="24"/>
        </w:rPr>
        <w:t>straipsnio</w:t>
      </w:r>
      <w:r>
        <w:rPr>
          <w:szCs w:val="24"/>
        </w:rPr>
        <w:t xml:space="preserve"> </w:t>
      </w:r>
      <w:r w:rsidRPr="00C00255">
        <w:rPr>
          <w:szCs w:val="24"/>
        </w:rPr>
        <w:t>3</w:t>
      </w:r>
      <w:r>
        <w:rPr>
          <w:szCs w:val="24"/>
        </w:rPr>
        <w:t> </w:t>
      </w:r>
      <w:r w:rsidRPr="00C00255">
        <w:rPr>
          <w:szCs w:val="24"/>
        </w:rPr>
        <w:t>dalies redakcija (2000 m. rugsėjo 26 d. įstatymas Nr. VIII-1968), numačiusi, kad o</w:t>
      </w:r>
      <w:r w:rsidRPr="00C00255">
        <w:rPr>
          <w:color w:val="000000"/>
          <w:szCs w:val="24"/>
          <w:shd w:val="clear" w:color="auto" w:fill="FFFFFF"/>
        </w:rPr>
        <w:t>rganizuota grupė yra tada, kai bet kurioje nusikalstamos veikos stadijoje du ar daugiau asmenų susitaria daryti kelis nusikaltimus arba vieną sunkų ar labai sunkų nusikaltimą ir kiekvienas grupės narys, darydamas nusikaltimą, atlieka tam tikrą užduotį ar turi skirtingą vaidmenį. Kadangi 2013 metais atlikti pakeitimai susiję tik su susitarimu daryti vieną apysunkį nusikaltimą, o organizuotos grupės vertinimas, susitariant daryti sunkius ir labai sunkius nusikaltimus (tik jie aktualūs nagrinėjamoje byloje), nekito, nagrinėjamoje byloje minėti BK 25 straipsnio 3 dalies pakeitimai neturi esminės reikšmės ir galima vadovautis teismų praktika, suformuluota, galiojant abiem aptariamo straipsnio redakcijoms.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Sprendžiant organizuotos grupės buvimo klausimą, atsižvelgiama į apgalvotos nusikalstamos veikos mechanizmo sudėtingumą, veikų padarymo intensyvumą, narių pasiskirstymą vaidmenimis, kiekvieno iš bendrininkų konkrečios užduoties atlikimą siekiant bendro tikslo (LAT nutartys baudžiamosiose bylose Nr. 2K-403/2011, 2K-453/2012, 2K-35/2013). Organizuotą grupę, be susitarimo ir tyčios požymių, išskiria būtent vaidmenų ar užduočių pasiskirstymas, kuriam būdingas nevienlaikiškumas (LAT nutartis baudžiamojoje byloje Nr. 2K-304-942/2015). Nors organizuotai grupei būdingas išankstinis susitarimas, tačiau jis turi pasižymėti nelaikinumu, negali būti vienkartinio pobūdžio, taip pat turi būti nustatytas pastovumas, pasireiškiantis grupės nusikalstamų ryšių ilgalaikiškumu ir tvirtumu, o paprasto bendrininkavimo atveju susitarimas gali įvykti bet kuriuo metu. Sprendžiant klausimą dėl organizuotos grupės buvimo, būtina atsižvelgti į rengto ar padaryto nusikaltimo pobūdį ir sudėtingumą, ar grupės nariai aptarė jo padarymo būdą, vietą, laiką ir kitus svarbius momentus, susitarė dėl kiekvieno užduoties ar vaidmens, numatė priemones, padedančias paslėpti nusikaltimo pėdsakus bei išvengti atsakomybės, ir pan. Atribojant organizuotą grupę nuo bendrininkų grupės, turi būti vertinamas organizuotumo lygis (LAT nutartys baudžiamosiose bylose Nr. 2K-70/2014, 2K-159-746/2015, 2K-297-942/2017). Teismų praktikoje taip pat akcentuota, kad sprendžiant klausimą dėl organizuotos grupės buvimo, svarbus aspektas yra asmens, dalyvaujančio nusikaltime, </w:t>
      </w:r>
      <w:r w:rsidRPr="00C00255">
        <w:rPr>
          <w:i/>
          <w:szCs w:val="24"/>
        </w:rPr>
        <w:t>suvokimas priklausant grupei, turinčiai tikslą daryti nusikaltimus, t. y. svarbu, kad asmuo suvoktų priklausąs tokiai grupei</w:t>
      </w:r>
      <w:r w:rsidRPr="00C00255">
        <w:rPr>
          <w:szCs w:val="24"/>
        </w:rPr>
        <w:t xml:space="preserve"> (LAT nutartys baudžiamosiose bylose Nr. 2K-304-942/2015, 2K-7-29-942/2016, 2K-109-746/2017, 2K-178-303/2019).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Taigi organizuotos grupės nariai iš anksto aptaria, suderina svarbiausius bendros nusikalstamos veikos momentus: parengiamas nusikaltimo (nusikaltimų) padarymo planas, numatomas nusikaltimo (nusikaltimų) padarymo (ir slėpimo) mechanizmas, bendrininkams nurodomos užduotys, paskirstomi vaidmenys, susitariama dėl nusikaltimo (nusikaltimų) padarymo būdo, vietos, laiko ir pan. Toks išankstinis susitarimas dėl bendros nusikalstamos veikos suformuoja tarp bendrininkų tvirtus, </w:t>
      </w:r>
      <w:r w:rsidRPr="00C00255">
        <w:rPr>
          <w:i/>
          <w:szCs w:val="24"/>
        </w:rPr>
        <w:t>netrumpalaikius</w:t>
      </w:r>
      <w:r w:rsidRPr="00C00255">
        <w:rPr>
          <w:szCs w:val="24"/>
        </w:rPr>
        <w:t xml:space="preserve"> ryšius (LAT nutartys baudžiamojoje byloje Nr. 2K-200-1073/2019, Nr. 2K-90-895/2020). Nebūtina, kad kiekvienas grupės narys tiesiogiai realizuotų BK specialiosios dalies straipsnyje nustatytus objektyviuosius nusikaltimo sudėties požymius, tačiau tokie organizuota grupe veikiantys bendrininkai nepriklausomai nuo jų vaidmens laikomi nusikaltimo vykdytojais ir kvalifikuojant jų padarytas veikas BK 24 straipsniu nesiremiama (LAT nutartys baudžiamosiose bylose Nr. 2K-481/2007, 2K-257-719/2019).</w:t>
      </w:r>
    </w:p>
    <w:p w:rsidR="007A28A5" w:rsidRPr="007A28A5" w:rsidRDefault="00DA38E9" w:rsidP="007A28A5">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Apeliacinės instancijos teismas pažymi, kad kasacinio teismo praktikoje yra konstatuota, jog </w:t>
      </w:r>
      <w:r w:rsidRPr="00C00255">
        <w:rPr>
          <w:color w:val="000000" w:themeColor="text1"/>
          <w:szCs w:val="24"/>
          <w:lang w:eastAsia="lt-LT"/>
        </w:rPr>
        <w:t xml:space="preserve">ir bendrininkų grupė gali susidaryti bet kokio pavojingumo tyčiniam nusikaltimui padaryti. Ir nors iš anksto numatytas detalus nusikalstamos veikos padarymo planas, glaudžių ryšių tarp bendrininkų nustatymas, vaidmenų pasiskirstymas ir kt. nėra būtini bendrininkų grupės požymiai, tačiau bendrininkų grupės nariai taip pat gali tarpusavyje susitarti dėl numatytos bendros nusikalstamos veikos darymo, dėl jos padarymo būdų, priemonių, įrankių, dėl pasinaudojimo nusikalstamais padariniais, jų slėpimo ir kt. Todėl, </w:t>
      </w:r>
      <w:r w:rsidRPr="00C00255">
        <w:rPr>
          <w:i/>
          <w:color w:val="000000" w:themeColor="text1"/>
          <w:szCs w:val="24"/>
          <w:lang w:eastAsia="lt-LT"/>
        </w:rPr>
        <w:t>nenustačius byloje atitinkamo kaltininkų organizuotumo lygio, bendrai nusikalstamai veikai suformuotų tarp bendrininkų tvirtų, besitęsiančių nusikalstamų ryšių, jų suvokimo sukūrus organizuotą grupę ar priklausant jai, vien pagal prieš tai nurodytus ir iš esmės abiem bendrininkavimo formoms būdingus (nors, kaip minėta, bendrininkų grupei nebūtinus) požymius konstatuoti organizuotos grupės požymio negalima</w:t>
      </w:r>
      <w:r w:rsidRPr="00C00255">
        <w:rPr>
          <w:color w:val="000000" w:themeColor="text1"/>
          <w:szCs w:val="24"/>
          <w:lang w:eastAsia="lt-LT"/>
        </w:rPr>
        <w:t xml:space="preserve"> </w:t>
      </w:r>
      <w:r w:rsidRPr="00C00255">
        <w:rPr>
          <w:iCs/>
          <w:color w:val="000000" w:themeColor="text1"/>
          <w:szCs w:val="24"/>
        </w:rPr>
        <w:t xml:space="preserve">(LAT nutartis baudžiamojoje byloje Nr. </w:t>
      </w:r>
      <w:r w:rsidRPr="00C00255">
        <w:rPr>
          <w:color w:val="000000" w:themeColor="text1"/>
          <w:szCs w:val="24"/>
        </w:rPr>
        <w:t>2K-160-303/2018).</w:t>
      </w:r>
    </w:p>
    <w:p w:rsidR="00DA38E9"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t>Taigi, pagal teismų praktikoje atskleistą organizuotos grupės būtinųjų požymių turinį, s</w:t>
      </w:r>
      <w:r w:rsidRPr="007A28A5">
        <w:rPr>
          <w:rFonts w:eastAsia="Calibri"/>
        </w:rPr>
        <w:t>iekiant konstatuoti, kad kaltininkai nusikalstamas veikas padarė, veikdami organizuota grupe, greta kitų požymių reikia nustatyti aukštą grupės organizuotumo lygį, grupės pastovumą (nevienlaikiškumą), bendro nusikalstamo tikslo siekimą bei nusikalstamą veiką bendrai su kitais asmenimis padariusio asmens suvokimą, kad jis priklauso ne bet kokiai, o BK 25 straipsnio 3 dalyje numatytiems nusikaltimams daryti suburtai organizuotai grupei.</w:t>
      </w:r>
      <w:r w:rsidRPr="007A28A5">
        <w:rPr>
          <w:rFonts w:eastAsia="Calibri"/>
          <w:szCs w:val="24"/>
        </w:rPr>
        <w:t xml:space="preserve"> </w:t>
      </w:r>
      <w:r w:rsidRPr="007A28A5">
        <w:rPr>
          <w:szCs w:val="24"/>
        </w:rPr>
        <w:t xml:space="preserve">Teisėjų kolegijai nekyla abejonių, kad profesionali tam tikros valstybės kariuomenė (kaip šiuo atveju – atskiri TSRS ginkluotųjų pajėgų daliniai), savaime yra aukšto organizuotumo lygio organizacija, kadangi kariuomenės sklandus funkcionavimas yra neatsiejamas nuo pavaldumo ir paklusnumo principų bei griežto kariuomenės vidaus taisyklių (statutų) laikymosi. Tačiau, teisėjų kolegijos vertinimu, vien organizuotumo (tam tikro jo lygio) požymio buvimas neleidžia daryti išvadų apie organizuotą grupę BK prasme. Kaip jau minėta, organizuotos grupės nariai turi suvokti, kad jie priklauso grupei, kurios tikslas daryti tam tikrus nusikaltimus. Šiuo konkrečiu atveju visi kariškiai puikiai suvokė, kad priklauso organizuotai kariuomenei, o ne grupei, kurios tikslas daryti nusikaltimus. Taigi nagrinėjamoje byloje nėra jokio pagrindo konstatuoti, kad tarp visų nuteistųjų buvo susiklostę tvirti, nevienkartiniai, besitęsiantys </w:t>
      </w:r>
      <w:r w:rsidRPr="007A28A5">
        <w:rPr>
          <w:i/>
          <w:szCs w:val="24"/>
        </w:rPr>
        <w:t>nusikalstami</w:t>
      </w:r>
      <w:r w:rsidRPr="007A28A5">
        <w:rPr>
          <w:szCs w:val="24"/>
        </w:rPr>
        <w:t xml:space="preserve"> ryšiai, rodantys aukštą būtent nusikalstamos grupės organizuotumo lygį, sudarantį sąlygas susidariusiai grupei sėkmingai vykdyti nusikalstamas veikas ir siekti bendro nusikalstamo tikslo.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bookmarkStart w:id="854" w:name="_Hlk24110657"/>
      <w:r w:rsidRPr="00C00255">
        <w:rPr>
          <w:color w:val="000000" w:themeColor="text1"/>
          <w:szCs w:val="24"/>
          <w:lang w:eastAsia="lt-LT"/>
        </w:rPr>
        <w:t>Taigi byloje nenustačius tarp bendrininkų susiformavusių tvirtų, besitęsiančių nusikalstamų ryšių, skirtų bendrai nusikalstamai veikai daryti, taip pat nenustačius bendrininkų suvokimo sukūrus organizuotą grupę bei priklausymo jai, nėra pagrindo nuteistųjų veiksmus vertinti kaip padarytus, veikiant organizuota grupe.</w:t>
      </w:r>
      <w:bookmarkEnd w:id="854"/>
      <w:r w:rsidRPr="00C00255">
        <w:rPr>
          <w:color w:val="000000" w:themeColor="text1"/>
          <w:szCs w:val="24"/>
          <w:lang w:eastAsia="lt-LT"/>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lang w:eastAsia="lt-LT"/>
        </w:rPr>
        <w:t>Minėtų išvadų kontekste, a</w:t>
      </w:r>
      <w:r w:rsidRPr="00C00255">
        <w:rPr>
          <w:szCs w:val="24"/>
        </w:rPr>
        <w:t xml:space="preserve">peliacinės instancijos teismas konstatuoja, kad pirmosios instancijos teismas pagrįstai visų nuteistųjų veiksmus vertino kaip padarytus veikiant bendrininkų grupe. Visi nuteistieji iš esmės </w:t>
      </w:r>
      <w:r w:rsidRPr="00C00255">
        <w:rPr>
          <w:szCs w:val="24"/>
          <w:lang w:eastAsia="lt-LT"/>
        </w:rPr>
        <w:t xml:space="preserve">veikė kartu, realizuodami atskirus jiems inkriminuotų nusikalstamų veikų objektyviuosius </w:t>
      </w:r>
      <w:r w:rsidRPr="005E1CD9">
        <w:rPr>
          <w:szCs w:val="24"/>
          <w:lang w:eastAsia="lt-LT"/>
        </w:rPr>
        <w:t xml:space="preserve">požymius, žodžiu ar konkliudentiniais veiksmais pritardami vienas kito nusikalstamiems veiksmams (t. y. matydami </w:t>
      </w:r>
      <w:r w:rsidRPr="00C00255">
        <w:rPr>
          <w:color w:val="000000"/>
          <w:szCs w:val="24"/>
          <w:lang w:eastAsia="lt-LT"/>
        </w:rPr>
        <w:t xml:space="preserve">kitų nuteistųjų atliekamus neteisėtus jiems inkriminuotus veiksmus prieš civilius asmenis ar apie juos žinodami ir turėdami galią juos nutraukti, jų nestabdė, nesistengė suteikti nukentėjusiesiems pagalbos, nenutraukė savo dalyvavimo bendruose veiksmuose – taigi, taip pritarė bendrai daromiems nusikaltimams žmoniškumui ir karo nusikaltimams). </w:t>
      </w:r>
    </w:p>
    <w:p w:rsidR="00DA38E9" w:rsidRPr="002C1EDB"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2C1EDB">
        <w:t>Apeliaciniuose skunduose iš esmės nėra ginčijama pirmosios instancijos teismo išvada, kad visi nuteistieji bendroje operacijoje veikė kaip bendravykdytojai. Savo ruožtu teisėjų kolegija neįžvelgia objektyvaus pagrindo šiuo klausimu daryti kitokių išvadų ir konstatuoja, kad tokia pirmosios instancijos teismo išvada objektyviai pasitvirtino.</w:t>
      </w:r>
      <w:r w:rsidRPr="002C1EDB">
        <w:rPr>
          <w:color w:val="000000"/>
          <w:szCs w:val="24"/>
          <w:lang w:eastAsia="lt-LT"/>
        </w:rPr>
        <w:t xml:space="preserve"> </w:t>
      </w:r>
      <w:r w:rsidRPr="002C1EDB">
        <w:t>K</w:t>
      </w:r>
      <w:r w:rsidRPr="002C1EDB">
        <w:rPr>
          <w:rFonts w:eastAsia="Calibri"/>
        </w:rPr>
        <w:t>aip minėta, kiekvieno iš nuteistųjų veiksmai buvo būtini bendro nusikalstamo sumanymo įgyvendinimui ir buvo neatsiejamai susiję su nuteistiesiems inkriminuotose BK normose įtvirtintų objektyvių veikų atlikimu ir pasekmių kilimu. Be nusikalstamo plano iniciatorių, nebūtų buvęs pradėtas karinės operacijos planavimas, be planuotojų ir koordinatorių nebūtų suplanuoti konkretūs kariniai veiksmai, nebūtų paskirti kariniai daliniai operacijos vykdymui, nebūtų jiems suteikta karinė technika ir ginkluotė, o be tiesioginių karinių veiksmų vykdytojų, tarp jų ir be šioje byloje atsakomybėn traukiamų vadovaujančias pareigas ėjusių karininkų, nebūtų praktiškai įgyvendinta iniciatorių ir planuotojų suplanuota karinė operacija, todėl visų nuteistųjų veiksmų vertinimas kaip bendravykdytojų yra teisingas.</w:t>
      </w:r>
      <w:r w:rsidRPr="002C1EDB">
        <w:rPr>
          <w:rFonts w:eastAsia="Calibri"/>
          <w:szCs w:val="24"/>
        </w:rPr>
        <w:t xml:space="preserve"> </w:t>
      </w:r>
    </w:p>
    <w:p w:rsidR="007A28A5" w:rsidRPr="007A28A5" w:rsidRDefault="007A28A5" w:rsidP="007A28A5">
      <w:pPr>
        <w:pStyle w:val="Heading3"/>
        <w:spacing w:before="120" w:after="120"/>
        <w:ind w:left="992"/>
        <w:jc w:val="both"/>
        <w:rPr>
          <w:rFonts w:eastAsia="Calibri"/>
          <w:b w:val="0"/>
          <w:i/>
          <w:sz w:val="24"/>
        </w:rPr>
      </w:pPr>
      <w:r w:rsidRPr="007A28A5">
        <w:rPr>
          <w:rFonts w:eastAsia="Calibri"/>
          <w:b w:val="0"/>
          <w:i/>
          <w:sz w:val="24"/>
        </w:rPr>
        <w:t>Dėl karo padėties nepaskelbimo Lietuvos Respublikoje</w:t>
      </w:r>
    </w:p>
    <w:p w:rsidR="007A28A5" w:rsidRPr="002C1EDB"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2C1EDB">
        <w:rPr>
          <w:rFonts w:eastAsia="Calibri"/>
          <w:color w:val="000000"/>
          <w:szCs w:val="24"/>
        </w:rPr>
        <w:t>Kelių gynėjų apeliaciniuose skunduose teigiama, kad nuteistųjų veiksmuose nėra jiems inkriminuotų nusikaltimų sudėties, kadangi Lietuvos Respublika 1991 m. nepaskelbė karo padėties, nepranešė tarptautinei bendruomenei apie TSRS karą prieš ją ir okupaciją.</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rFonts w:eastAsia="Calibri"/>
          <w:color w:val="000000"/>
          <w:szCs w:val="24"/>
        </w:rPr>
        <w:t xml:space="preserve">Teisėjų kolegija tokius apeliacinių skundų argumentus atmeta kaip nepagrįstus, kadangi karo padėties paskelbimas yra išimtinė valstybių teisė, o ne pareiga, t. y. valdžios institucijos savarankiškai priima sprendimą dėl karo padėties įvedimo, įvertinusios valstybei kilusią grėsmę ir susidariusią konkrečią padėtį. </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rFonts w:eastAsia="Calibri"/>
          <w:color w:val="000000"/>
          <w:szCs w:val="24"/>
        </w:rPr>
        <w:t>Tai įrodo ir byloje nagrinėjamų įvykių metu bei vėliau Lietuvoje galioję aukščiausios teisinės galios aktai. Aukščiausioji Taryba 1990 m. kovo 11 d. nedelsiant po nepriklausomos Lietuvos valstybės atkūrimo priėmė įstatymą dėl 1938 m. gegužės 12 d. Lietuvos Konstitucijos galiojimo atstatymo, kuriuo nutarė atnaujinti 1938 m. Konstitucijos veikimą ir nutraukti sovietinių konstitucijų (Lietuvos TSR ir TSRS), taip pat TSRS įstatymų galiojimą Lietuvoje ir iš karto po to priėmė įstatymą dėl Lietuvos Respublikos Laikinojo Pagrindinio Įstatymo. 1938 m. gegužės 12 d. Konstitucijos 141 straipsnyje buvo įtvirtinta, kad dėl mobilizacijos, karo ir taikos sprendžia Respublikos Prezidentas Ministrų Tarybos pasiūlymu. Esant Seimui, taikai spręsti reikalingas Seimo sutikimas.</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rFonts w:eastAsia="Calibri"/>
          <w:color w:val="000000"/>
          <w:szCs w:val="24"/>
        </w:rPr>
        <w:t xml:space="preserve">Lietuvos Respublikos Konstitucijos, priimtos 1992 m. spalio 25 d., 142 straipsnyje įtvirtinta: „Seimas įveda karo padėtį, skelbia mobilizaciją ar demobilizaciją, priima sprendimą panaudoti ginkluotąsias pajėgas, kai prireikia ginti Tėvynę arba vykdyti Lietuvos valstybės tarptautinius įsipareigojimus. Ginkluoto užpuolimo atveju, kai kyla grėsmė valstybės suverenumui ar teritorijos vientisumui, Respublikos Prezidentas nedelsdamas priima sprendimą dėl gynybos nuo ginkluotos agresijos, įveda karo padėtį visoje Valstybėje ar jos dalyje, skelbia mobilizaciją ir teikia šiuos sprendimus tvirtinti artimiausiam Seimo posėdžiui, o tarp Seimo sesijų – nedelsdamas šaukia neeilinę Seimo sesiją. Seimas patvirtina arba panaikina Respublikos Prezidento sprendimą.“ </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rFonts w:eastAsia="Calibri"/>
          <w:color w:val="000000"/>
          <w:szCs w:val="24"/>
        </w:rPr>
        <w:t>Be to, kaip jau minėta,</w:t>
      </w:r>
      <w:r w:rsidRPr="007A28A5">
        <w:rPr>
          <w:rFonts w:eastAsia="Calibri"/>
          <w:szCs w:val="24"/>
        </w:rPr>
        <w:t xml:space="preserve"> </w:t>
      </w:r>
      <w:r w:rsidRPr="007A28A5">
        <w:rPr>
          <w:rFonts w:eastAsia="Calibri"/>
          <w:color w:val="000000"/>
          <w:szCs w:val="24"/>
        </w:rPr>
        <w:t>1949 m. rugpjūčio 12 d. Ženevos konvencija dėl civilių apsaugos karo metu</w:t>
      </w:r>
      <w:r w:rsidRPr="007A28A5">
        <w:rPr>
          <w:rFonts w:eastAsia="Calibri"/>
          <w:szCs w:val="24"/>
        </w:rPr>
        <w:t xml:space="preserve"> taikoma v</w:t>
      </w:r>
      <w:r w:rsidRPr="007A28A5">
        <w:rPr>
          <w:rFonts w:eastAsia="Calibri"/>
          <w:color w:val="000000"/>
          <w:szCs w:val="24"/>
        </w:rPr>
        <w:t>isais atvejais, kai skelbiamas karas arba kyla koks nors kitas ginkluotas dviejų arba kelių aukštųjų susitariančiųjų šalių konfliktas, net jei viena iš jų karo nepripažįsta (2 straipsnis). Todėl faktas, jog Lietuvos Respublikos valdžios institucijos 1991 metais nepriėmė sprendimo gintis</w:t>
      </w:r>
      <w:r w:rsidRPr="007A28A5">
        <w:rPr>
          <w:rFonts w:eastAsia="Calibri"/>
          <w:szCs w:val="24"/>
        </w:rPr>
        <w:t xml:space="preserve"> </w:t>
      </w:r>
      <w:r w:rsidRPr="007A28A5">
        <w:rPr>
          <w:rFonts w:eastAsia="Calibri"/>
          <w:color w:val="000000"/>
          <w:szCs w:val="24"/>
        </w:rPr>
        <w:t>nuo TSRS agresijos, panaudojant ginkluotą jėgą, ir Lietuvos Respublikoje neįvedė karo padėties, jokia apimtimi nešalina nuteistųjų baudžiamosios atsakomybės už jų padarytus nusikaltimus žmoniškumui ir karo nusikaltimus.</w:t>
      </w:r>
    </w:p>
    <w:p w:rsidR="00DA38E9"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rFonts w:eastAsia="Calibri"/>
          <w:color w:val="000000"/>
          <w:szCs w:val="24"/>
        </w:rPr>
        <w:t>Apeliacinių skundų argumentas dėl Lietuvos Respublikos nepranešimo tarptautinei bendruomenei apie jos okupaciją yra nelogiškas ir nereikalaujantis atskiros analizės, kadangi 1990 m. kovo 11 d. Aukščiausiajai Tarybai priėmus Lietuvos nepriklausomos valstybės atstatymo aktą, kuriuo Lietuvos Respublika vėl buvo paskelbta nepriklausoma ir suverenia valstybe, nuo 1940 m. TSRS vykdyta Lietuvos Respublikos okupacija pasibaigė. Taigi, Lietuvos Respublikos valdžios institucijos neturėjo jokios prievolės tarptautinei bendruomenei pranešti apie okupaciją, kuri teisine prasme jau buvo pasibaigusi.</w:t>
      </w:r>
    </w:p>
    <w:p w:rsidR="00DA38E9" w:rsidRPr="00C00255" w:rsidRDefault="00DA38E9" w:rsidP="00DA38E9">
      <w:pPr>
        <w:pStyle w:val="Heading3"/>
        <w:spacing w:before="120" w:after="120"/>
        <w:ind w:firstLine="992"/>
        <w:jc w:val="both"/>
        <w:rPr>
          <w:b w:val="0"/>
          <w:i/>
          <w:sz w:val="24"/>
          <w:lang w:val="lt-LT"/>
        </w:rPr>
      </w:pPr>
      <w:bookmarkStart w:id="855" w:name="_Toc65435077"/>
      <w:bookmarkStart w:id="856" w:name="_Toc66718311"/>
      <w:bookmarkStart w:id="857" w:name="_Toc67677433"/>
      <w:bookmarkStart w:id="858" w:name="_Toc67985561"/>
      <w:r w:rsidRPr="00C00255">
        <w:rPr>
          <w:b w:val="0"/>
          <w:i/>
          <w:sz w:val="24"/>
          <w:lang w:val="lt-LT"/>
        </w:rPr>
        <w:t>Dėl asmenų lygybės prieš įstatymą principo pažeidimo</w:t>
      </w:r>
      <w:bookmarkEnd w:id="855"/>
      <w:bookmarkEnd w:id="856"/>
      <w:bookmarkEnd w:id="857"/>
      <w:bookmarkEnd w:id="858"/>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Dalyje apeliacinių skundų teigiama, kad kvalifikuojant nagrinėjamoje byloje aptariamuose įvykiuose dalyvavusių asmenų veikas ir sprendžiant klausimą, kurie iš minėtų asmenų turi būti patraukti baudžiamojon atsakomybėn, buvo pažeistas asmenų lygybės prieš įstatymą principas. Pasak apeliantų, šis principas buvo pažeistas keliais aspektais: Vilniaus apygardos teismo 1999 m. rugpjūčio 23 d. nuosprendžiu M. B</w:t>
      </w:r>
      <w:r>
        <w:rPr>
          <w:szCs w:val="24"/>
        </w:rPr>
        <w:t>.</w:t>
      </w:r>
      <w:r w:rsidRPr="00C00255">
        <w:rPr>
          <w:szCs w:val="24"/>
        </w:rPr>
        <w:t>, J.</w:t>
      </w:r>
      <w:r>
        <w:rPr>
          <w:szCs w:val="24"/>
        </w:rPr>
        <w:t> </w:t>
      </w:r>
      <w:r w:rsidRPr="00C00255">
        <w:rPr>
          <w:szCs w:val="24"/>
        </w:rPr>
        <w:t>K</w:t>
      </w:r>
      <w:r>
        <w:rPr>
          <w:szCs w:val="24"/>
        </w:rPr>
        <w:t>.</w:t>
      </w:r>
      <w:r w:rsidRPr="00C00255">
        <w:rPr>
          <w:szCs w:val="24"/>
        </w:rPr>
        <w:t xml:space="preserve"> ir kiti asmenys už analogiškas veikas buvo nuteisti pagal kitus BK straipsnius, o ne kaip šioje baudžiamojoje byloje pagal BK straipsnius, nustatančius baudžiamąją atsakomybę už nusikaltimus žmoniškumui bei karo nusikaltimus;</w:t>
      </w:r>
      <w:r w:rsidRPr="00C00255">
        <w:rPr>
          <w:rFonts w:eastAsiaTheme="minorHAnsi"/>
          <w:iCs/>
          <w:szCs w:val="24"/>
        </w:rPr>
        <w:t xml:space="preserve"> </w:t>
      </w:r>
      <w:r w:rsidRPr="00C00255">
        <w:rPr>
          <w:iCs/>
          <w:szCs w:val="24"/>
        </w:rPr>
        <w:t xml:space="preserve">bylą išnagrinėjus kartu su </w:t>
      </w:r>
      <w:r>
        <w:rPr>
          <w:iCs/>
          <w:szCs w:val="24"/>
        </w:rPr>
        <w:t>M. B.</w:t>
      </w:r>
      <w:r w:rsidRPr="00C00255">
        <w:rPr>
          <w:iCs/>
          <w:szCs w:val="24"/>
        </w:rPr>
        <w:t xml:space="preserve">, </w:t>
      </w:r>
      <w:r>
        <w:rPr>
          <w:iCs/>
          <w:szCs w:val="24"/>
        </w:rPr>
        <w:t>J. K.</w:t>
      </w:r>
      <w:r w:rsidRPr="00C00255">
        <w:rPr>
          <w:iCs/>
          <w:szCs w:val="24"/>
        </w:rPr>
        <w:t xml:space="preserve"> ir kitų politinių veikėjų byla, nuteistiesiems būtų buvę pritaikyti nusikalstamų veikų padarymo metu galiojusio 1961 m. BK straipsniai, kuriuose buvo numatyta švelnesnė baudžiamoji atsakomybė;</w:t>
      </w:r>
      <w:r w:rsidRPr="00C00255">
        <w:rPr>
          <w:szCs w:val="24"/>
        </w:rPr>
        <w:t xml:space="preserve"> baudžiamojon atsakomybėn buvo patraukti tik karininkai, bet ne eiliniai kareiviai, nuo kurių tiesiogiai nukentėjo civiliai asmenys; neišskyrus tikslių kariškių vaidmenų, dalis kaltų kariškių liko nenuteisti, tačiau buvo nuteisti kariškiai, kurie neturėjo būti patraukti baudžiamojon atsakomybėn; daliai tokias pačias funkcijas atlikusių kariškių (tanko vairuotojų-mechanikų) buvo pareikšti kaltinimai, o daliai suteiktas tik liudytojo statusas; vienas asmuo, vairavęs tanką, nėra traukiamas baudžiamojon atsakomybėn, nors tame pačiame tanke važiavęs kitas asmuo pripažintas kaltinamuoju ir nuteistas.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Lygybės prieš įstatymą (lygybės įstatymui) principas yra įtvirtintas Lietuvos Respublikos Konstitucijos 29 straipsnio 1 dalyje, kurioje nustatyta, kad įstatymui, teismui ir kitoms valstybės institucijoms ar pareigūnams visi asmenys yra lygūs. Kaip savo jurisprudencijoje yra pažymėjęs Lietuvos Respublikos Konstitucinis Teismas, lygybės įstatymui principas teisėje reiškia „lygų matą“, kai reikia tą pačią normą taikyti skirtingiems asmenims. Šio principo turinį būtent baudžiamojoje teisėje Konstitucinis Teismas atskleidė 1997 m. lapkričio 13 d. nutarime „Dėl nepilnamečių asmenų grupės padaryto nusikaltimo“. Konstitucinis Teismas nurodė, kad lygybės įstatymui principas baudžiamojoje teisėje reiškia, jog už padarytą nusikaltimą yra nustatyti vienodi atsakomybės pagrindai. Pagal baudžiamąją teisę lygybės įstatymui principas realizuojamas pripažįstant, kad nusikaltimo sudėtis yra vienintelis patraukimo baudžiamojon atsakomybėn pagrindas. Nusikaltimo požymių visuma, aprašyta įstatyme, apibūdina veiką kaip nusikaltimą ir tuo atžvilgiu nusikaltimo sudėtis tampa „lygiu matu“ visiems tam tikrą veiką padariusiems asmenims. Kitaip tariant, jeigu veikoje trūksta bent vieno įstatyme aprašyto nusikaltimo sudėties požymio, asmuo negali būti patrauktas baudžiamojon atsakomybėn. Kita vertus, jeigu asmens veika atitinka įstatyme aprašytus nusikaltimo požymius, jokios kitos asmens savybės, socialinė padėtis ir panašiai negali turėti reikšmės tokį asmenį patraukiant baudžiamojon atsakomybėn. Tai lemia ypatingą tikslaus nusikaltimo požymių formulavimo reikšmę. Tačiau vienodas patraukimo baudžiamojon atsakomybėn pagrindas nereiškia, kad visiems asmenims, padariusiems tokį pat nusikaltimą, turi būti paskirta ir vienoda bausmė. Įstatymuose yra nustatyta, kad skiriant bausmę atsižvelgiama į padaryto nusikaltimo pobūdį, kaltininko asmenybę, kaltės laipsnį, atsakomybę lengvinančias ar sunkinančias aplinkybes ir tuo remiantis bausmė turi būti individualizuota. Bausmės individualizavimas nepažeidžia asmens lygybės įstatymui principo.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Taigi baudžiamojoje teisėje asmenų lygybės prieš įstatymą principas reiškia, jog už padarytą nusikalstamą veiką visiems asmenims yra nustatyti vienodi baudžiamosios atsakomybės pagrindai. Šioje byloje visų nuteistųjų baudžiamosios atsakomybės pagrindas yra jų padarytos veikos, kuriose konstatuotos nusikaltimų žmoniškumui ir karo nusikaltimų sudėtys, numatytos BK 100 ir BK 101 straipsniuose, BK 103 straipsnio 1 dalyje, BK 111 straipsnio 1 dalyje bei BK 112 straipsnyje.</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Apeliaciniuose skunduose yra pateikiamas kitoks lygybės prieš įstatymą principo turinio aiškinimas, iš esmės klaidingai teigiant, kad jei nors vienas asmuo už tam tikrus nusikalstamus veiksmus</w:t>
      </w:r>
      <w:r w:rsidRPr="00C00255">
        <w:t xml:space="preserve"> </w:t>
      </w:r>
      <w:r w:rsidRPr="00C00255">
        <w:rPr>
          <w:szCs w:val="24"/>
        </w:rPr>
        <w:t xml:space="preserve">yra nepatraukiamas baudžiamojon atsakomybėn, už analogiškus nusikalstamus veiksmus baudžiamojon atsakomybėn negali būti patraukti ir kiti asmenys, nors jų veiksmuose ir konstatuojamos tam tikrų nusikalstamų veikų sudėtys.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Teisėjų kolegija pažymi, kad konkrečios bylos nagrinėjimo teisme ribos nustatomos prokuroro kaltinamajame akte, o perdavus bylą į teismą – teisėjo nutartyje perduoti bylą nagrinėti teisiamajame posėdyje. Byla teisme nagrinėjama tik dėl tų kaltinamųjų ir tik dėl tų nusikalstamų veikų, dėl kurių ji perduota nagrinėti teisiamajame posėdyje (BPK 255 straipsnio 1 dalis). Iš šios teisės normos matyti, kad bylos nagrinėjimo teisme ribos apibrėžtos pagal subjektus (asmenis, dėl kurių nagrinėjama byla) ir dalyką (faktinį ir teisinį bylos turinį). Ši imperatyvi nuostata teismų praktikoje suprantama kaip draudimas teismui išnagrinėti bylą ir priimti nuosprendį dėl tų asmenų, kurie nėra kaltinamieji, ar pripažinti juos kaltais dėl tų nusikalstamų veikų, dėl kurių jie neperduoti teismui.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Kaltinimų pareiškimas konkretiems asmenims pagal Konstituciją priklauso prokuratūros prerogatyvai. Kaltinimai gali būti pareikšti ne visiems asmenims iš karto, gali būti išskiriamos kelios baudžiamosios bylos, tam tikriems asmenims kaltinimai gali būti nepareiškiami, nes nepakanka įrodymų dėl konkrečių asmenų kaltės ir pan. Teismas, nagrinėjantis baudžiamąją bylą, vadovaudamasi lygybės prieš įstatymą principu, privalo užtikrinti, kad kaltais būtų pripažinti tik tie asmenys, kurių veikos atitinka BK įtvirtintų nusikalstamų veikų sudėties požymius.</w:t>
      </w:r>
      <w:r w:rsidRPr="00C00255">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Pirmosios instancijos teismas pagrįstai bylą nagrinėjo tik dėl tų kaltinamųjų ir dėl tų nusikalstamų veikų, dėl kurių byla perduota nagrinėti teisiamajame posėdyje, kadangi nepriklausomai nuo to, ar galimai nusikalstamas veikas byloje aptariamų įvykių metu padarė ir kiti kariškiai, nagrinėjamoje byloje yra sprendžiamas klausimas dėl konkrečių 67 asmenų kaltės, padarius jiems inkriminuotus nusikaltimus žmoniškumui ir karo nusikaltimus. Kitų galimai nusikalstamas veikas padariusių kariškių veiksmų teisinis vertinimas nei patvirtintų, nei paneigtų šioje byloje kaltintų asmenų kaltės dėl jiems inkriminuotų nusikaltimų, nes sprendžiant, ar asmens veikoje yra tam tikros nusikalstamos veikos požymiai, turi būti individualiai įvertinti kiekvieno asmens veiksmai.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Pažymėtina ir tai, jog kasacinio teismo praktika formuojama ta linkme, kad neišsamiai atlikto ikiteisminio tyrimo faktas arba tai, kad kaltinimai nebuvo pareikšti kitiems asmenims, tikėtina, dalyvavusiems nusikalstamoje veikoje, savaime nesuteikia teismui teisės grąžinti bylą prokurorui (LAT nutartis baudžiamojoje byloje Nr. 2K-33-303/2017).</w:t>
      </w:r>
      <w:r w:rsidRPr="00C00255">
        <w:t xml:space="preserve"> </w:t>
      </w:r>
      <w:r w:rsidRPr="00C00255">
        <w:rPr>
          <w:szCs w:val="24"/>
        </w:rPr>
        <w:t>Taip pat teisėjų kolegija atkreipia dėmesį į tai, kad teismas, bylos nagrinėjimo metu nustatęs, kad nusikalstamą veiką gali būti padaręs kitas asmuo, apie ką anksčiau nebuvo žinoma, gali motyvuota nutartimi apie tai pranešti prokurorui (BPK 257 straipsnio 1 dalis).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Taigi nei įstatyme, nei teismų praktikoje nėra draudimo teismui nagrinėti baudžiamąją bylą, kurioje kaltinimai pareikšti tik daliai, o ne visiems asmenims, galimai dalyvavusiems nusikalstamoje veikoje. Todėl nuteistųjų gynėjų teiginiai, kad nagrinėjamoje byloje buvo pažeistas lygybės prieš įstatymą principas, nes ne visi galimai nusikalstamas veikas padarę kariškiai buvo patraukti baudžiamojon atsakomybėn, yra atmetami kaip neturintys reikšmės sprendžiant dėl šioje byloje kaltintų asmenų atsakomybės.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Apeliacinių skundų argumentai, kad lygybės prieš įstatymą principas buvo pažeistas ir dėl to, jog nagrinėjamoje baudžiamojoje byloje nuteistieji buvo pripažinti kaltais pagal kitus BK</w:t>
      </w:r>
      <w:r>
        <w:rPr>
          <w:szCs w:val="24"/>
        </w:rPr>
        <w:t> straipsnius nei asmenys (M. B.</w:t>
      </w:r>
      <w:r w:rsidRPr="00C00255">
        <w:rPr>
          <w:szCs w:val="24"/>
        </w:rPr>
        <w:t>, J.</w:t>
      </w:r>
      <w:r>
        <w:rPr>
          <w:szCs w:val="24"/>
        </w:rPr>
        <w:t> </w:t>
      </w:r>
      <w:r w:rsidRPr="00C00255">
        <w:rPr>
          <w:szCs w:val="24"/>
        </w:rPr>
        <w:t>K</w:t>
      </w:r>
      <w:r>
        <w:rPr>
          <w:szCs w:val="24"/>
        </w:rPr>
        <w:t>.</w:t>
      </w:r>
      <w:r w:rsidRPr="00C00255">
        <w:rPr>
          <w:szCs w:val="24"/>
        </w:rPr>
        <w:t xml:space="preserve"> ir kiti) už analogiškus veiksmus pripažinti kaltais Vilniaus apygardos teismo 1999 m. rugpjūčio 23 d. nuosprendžiu, taip pat atmetami kaip nepagrįsti. Teisėjų kolegija primena, kad baudžiamoji atsakomybė už šioje baudžiamojoje byloje nuteistiesiems inkriminuotus nusikaltimus žmoniškumui ir karo nusikaltimus,</w:t>
      </w:r>
      <w:r w:rsidRPr="00C00255">
        <w:t xml:space="preserve"> </w:t>
      </w:r>
      <w:r w:rsidRPr="00C00255">
        <w:rPr>
          <w:szCs w:val="24"/>
        </w:rPr>
        <w:t xml:space="preserve">numatytus BK 100 straipsnyje, BK 101 straipsnyje, BK 103 straipsnio 1 dalyje, BK 111 straipsnio 1 dalyje ir BK 112 straipsnyje, Lietuvos Respublikos baudžiamajame kodekse buvo įtvirtinta 2003 m. gegužės 1 d. (2000 m. rugsėjo 26 d. įstatymas Nr. VIII-1968). Todėl sprendžiant asmenų baudžiamosios atsakomybės klausimus iki 2003 m. gegužės 1 d. buvo vadovautasi tuo metu galiojusio BK nuostatomis. Tai, kad </w:t>
      </w:r>
      <w:r>
        <w:rPr>
          <w:szCs w:val="24"/>
        </w:rPr>
        <w:t>M. B.</w:t>
      </w:r>
      <w:r w:rsidRPr="00C00255">
        <w:rPr>
          <w:szCs w:val="24"/>
        </w:rPr>
        <w:t xml:space="preserve"> ir kitų asmenų veiksmai buvo kvalifikuoti pagal kitus tuo metu galiojusio BK straipsnius, jokia apimtimi nepaneigia šioje baudžiamojoje byloje teismo padarytų išvadų dėl inkriminuotų nusikalstamų veikų požymių buvimo nuteistųjų veikoje teisingumo. Taip pat nepagrįsti ir gynybos argumentai, kad nuteistuosius traukiant baudžiamojon atsakomybėn ne kartu su </w:t>
      </w:r>
      <w:r>
        <w:rPr>
          <w:szCs w:val="24"/>
        </w:rPr>
        <w:t>M. B.</w:t>
      </w:r>
      <w:r w:rsidRPr="00C00255">
        <w:rPr>
          <w:szCs w:val="24"/>
        </w:rPr>
        <w:t xml:space="preserve">, </w:t>
      </w:r>
      <w:r>
        <w:rPr>
          <w:szCs w:val="24"/>
        </w:rPr>
        <w:t>J. K.</w:t>
      </w:r>
      <w:r w:rsidRPr="00C00255">
        <w:rPr>
          <w:szCs w:val="24"/>
        </w:rPr>
        <w:t xml:space="preserve"> ir kt. byloje baudžiamojon atsakomybėn patrauktais asmenimis, nuteistiesiems buvo pritaikyta griežtesnė baudžiamoji atsakomybė. Pažymėtina, kad </w:t>
      </w:r>
      <w:r>
        <w:rPr>
          <w:szCs w:val="24"/>
        </w:rPr>
        <w:t>M. B.</w:t>
      </w:r>
      <w:r w:rsidRPr="00C00255">
        <w:rPr>
          <w:szCs w:val="24"/>
        </w:rPr>
        <w:t xml:space="preserve">, </w:t>
      </w:r>
      <w:r>
        <w:rPr>
          <w:szCs w:val="24"/>
        </w:rPr>
        <w:t>J. K.</w:t>
      </w:r>
      <w:r w:rsidRPr="00C00255">
        <w:rPr>
          <w:szCs w:val="24"/>
        </w:rPr>
        <w:t xml:space="preserve"> ir kt. byloje greta kitų BK straipsnių kaltinimai kaltinamiesiems buvo pareikšti ir pagal BK 105 straipsnį, kurio sankcijoje kaip viena iš bausmių buvo numatyta laisvės atėmimo iki gyvos galvos bausmė, t. y. tokia pati griežčiausia bausmė, kokia gali būti skiriama ir pagal nagrinėjamoje baudžiamojoje byloje nuteistiesiems inkriminuotus 2000 m. BK straipsnius. Taigi, ir minėtu aspektu gynybos skundai dėl lygybės prieš įstatymą principo pažeidimo yra atmetami.</w:t>
      </w:r>
    </w:p>
    <w:p w:rsidR="00DA38E9" w:rsidRPr="00C00255" w:rsidRDefault="00DA38E9" w:rsidP="00DA38E9">
      <w:pPr>
        <w:pStyle w:val="Heading3"/>
        <w:spacing w:before="120" w:after="120"/>
        <w:ind w:left="992"/>
        <w:jc w:val="both"/>
        <w:rPr>
          <w:b w:val="0"/>
          <w:i/>
          <w:sz w:val="24"/>
          <w:lang w:val="lt-LT"/>
        </w:rPr>
      </w:pPr>
      <w:bookmarkStart w:id="859" w:name="_Toc66718312"/>
      <w:bookmarkStart w:id="860" w:name="_Toc67677434"/>
      <w:bookmarkStart w:id="861" w:name="_Toc67985562"/>
      <w:r w:rsidRPr="00C00255">
        <w:rPr>
          <w:b w:val="0"/>
          <w:i/>
          <w:sz w:val="24"/>
          <w:lang w:val="lt-LT"/>
        </w:rPr>
        <w:t>Dėl kaltinimų buvusiam TSRS vadovui M. G</w:t>
      </w:r>
      <w:r>
        <w:rPr>
          <w:b w:val="0"/>
          <w:i/>
          <w:sz w:val="24"/>
          <w:lang w:val="lt-LT"/>
        </w:rPr>
        <w:t>.</w:t>
      </w:r>
      <w:bookmarkEnd w:id="859"/>
      <w:bookmarkEnd w:id="860"/>
      <w:bookmarkEnd w:id="861"/>
      <w:r w:rsidRPr="00C00255">
        <w:rPr>
          <w:b w:val="0"/>
          <w:i/>
          <w:sz w:val="24"/>
          <w:lang w:val="lt-LT"/>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Bylos nagrinėjimo apeliacinės instancijos teisme metu buvo gautas nukentėjusiojo </w:t>
      </w:r>
      <w:r>
        <w:rPr>
          <w:szCs w:val="24"/>
        </w:rPr>
        <w:t>R. P.</w:t>
      </w:r>
      <w:r w:rsidRPr="00C00255">
        <w:rPr>
          <w:szCs w:val="24"/>
        </w:rPr>
        <w:t xml:space="preserve"> ir jo atstovo advokato A. Butos prašymas priimti atskirąją nutartį ir pranešti prokuratūrai dėl galimai byloje nagrinėjamų įvykių metu tuometinio TSRS vyr</w:t>
      </w:r>
      <w:r w:rsidR="00CF2534">
        <w:rPr>
          <w:szCs w:val="24"/>
        </w:rPr>
        <w:t>iausiojo karinių pajėgų vado M. </w:t>
      </w:r>
      <w:r w:rsidRPr="00C00255">
        <w:rPr>
          <w:szCs w:val="24"/>
        </w:rPr>
        <w:t>G</w:t>
      </w:r>
      <w:r>
        <w:rPr>
          <w:szCs w:val="24"/>
        </w:rPr>
        <w:t>.</w:t>
      </w:r>
      <w:r w:rsidRPr="00C00255">
        <w:rPr>
          <w:szCs w:val="24"/>
        </w:rPr>
        <w:t xml:space="preserve"> padarytos nusikalstamos veikos, mažų mažiausiai vertintinos pagal BK 113</w:t>
      </w:r>
      <w:r w:rsidRPr="00C00255">
        <w:rPr>
          <w:szCs w:val="24"/>
          <w:vertAlign w:val="superscript"/>
        </w:rPr>
        <w:t xml:space="preserve">1 </w:t>
      </w:r>
      <w:r w:rsidRPr="00C00255">
        <w:rPr>
          <w:szCs w:val="24"/>
        </w:rPr>
        <w:t>straipsnį (aplaidus vado pareigų atlikimas) (t. 795, b. l. 180–188). Prašyme iš esmės teigiama, kad nagrinėjamoje byloje yra duomenų ir netiesioginių įrodymų, leidžiančių jei ir ne pareikšti konkrečius įtarimus ar kaltinimus M. G</w:t>
      </w:r>
      <w:r>
        <w:rPr>
          <w:szCs w:val="24"/>
        </w:rPr>
        <w:t>.</w:t>
      </w:r>
      <w:r w:rsidRPr="00C00255">
        <w:rPr>
          <w:szCs w:val="24"/>
        </w:rPr>
        <w:t>, tai bent jau pradėti ikiteisminį tyrimą jo atžvilgiu pagal BK 113</w:t>
      </w:r>
      <w:r w:rsidRPr="00C00255">
        <w:rPr>
          <w:szCs w:val="24"/>
          <w:vertAlign w:val="superscript"/>
        </w:rPr>
        <w:t xml:space="preserve">1 </w:t>
      </w:r>
      <w:r w:rsidRPr="00C00255">
        <w:rPr>
          <w:szCs w:val="24"/>
        </w:rPr>
        <w:t xml:space="preserve">straipsnį.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Byloje yra duomenų apie tuometinio TSRS vadovo ir vyriausiojo karinių pajėgų vado poziciją nepriklausomybę paskelbusios Lietuvos atžvilgiu, apie siekį gražinti padėtį TSRS į buvusią iki 1990 m. kovo 11 d. Lietuvos nepriklausomos valstybės atkūrimo akto</w:t>
      </w:r>
      <w:r w:rsidRPr="00C00255">
        <w:rPr>
          <w:sz w:val="20"/>
        </w:rPr>
        <w:t xml:space="preserve"> </w:t>
      </w:r>
      <w:r w:rsidRPr="00C00255">
        <w:rPr>
          <w:szCs w:val="24"/>
        </w:rPr>
        <w:t>paskelbimo, taip pat ir apie tai, jog jam buvo žinoma apie galimą TSRS kariškių ir karinės jėgos panaudojimą Lietuvoje. Tačiau šie byloje esantys duomenys apie nurodytas aplinkybes yra surinkti iki bylos perdavimo teismui, t. y. buvo ir yra žinomi prokuratūrai.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Kaip jau ne kartą minėta šiame apeliacinės instancijos teismo sprendime, vadovaujantis BPK</w:t>
      </w:r>
      <w:r>
        <w:rPr>
          <w:szCs w:val="24"/>
        </w:rPr>
        <w:t> </w:t>
      </w:r>
      <w:r w:rsidRPr="00C00255">
        <w:rPr>
          <w:szCs w:val="24"/>
        </w:rPr>
        <w:t>255 straipsnio 1 dalies nuostatomis, byla teisme nagrinėjama tik dėl tų kaltinamųjų ir tik dėl tų nusikalstamų veikų, dėl kurių ji perduota nagrinėti teisiamajame posėdyje. Baudžiamojo persekiojimo pradėjimas, jo vykdymas ir kontrolė yra išimtinai prokuroro kompetencija, ir tik jis gali nuspręsti, kam surašyti kaltinamąjį aktą (BPK 170 straipsnio 4 dalis). Bylos nagrinėjimo pirmosios ir apeliacinės instancijos teismuose metu nebuvo gauta naujų reikšmingų duomenų ir nepaaiškėjo naujų aplinkybių apie galimą M. G</w:t>
      </w:r>
      <w:r>
        <w:rPr>
          <w:szCs w:val="24"/>
        </w:rPr>
        <w:t>.</w:t>
      </w:r>
      <w:r w:rsidRPr="00C00255">
        <w:rPr>
          <w:szCs w:val="24"/>
        </w:rPr>
        <w:t xml:space="preserve"> vaidmenį byloje nagrinėjamų įvykių metu. Nukentėjusiųjų keliamu klausimu byloje yra priimtas Lietuvos Respublikos generalinės prokuratūros 2016 m. gegužės 6 d. nutarimas atsisakyti pradėti ikiteisminį tyrimą dėl M. G</w:t>
      </w:r>
      <w:r>
        <w:rPr>
          <w:szCs w:val="24"/>
        </w:rPr>
        <w:t>.</w:t>
      </w:r>
      <w:r w:rsidRPr="00C00255">
        <w:rPr>
          <w:szCs w:val="24"/>
        </w:rPr>
        <w:t xml:space="preserve"> galimai padarytos nusikalstamos veikos (t. 795, b. l. 189–194). Šio nutarimo pagrįstumas ir teisėtumas buvo patikrintas dviejų grandžių teismuose, t. y. Vilniaus miesto apylinkės teismo ikiteisminio tyrimo teisėjo (t. 795, b. l. 196–199) ir Vilniaus apygardos teismo (t. 795, b. l. 201–207), kurie pareiškėjų skundus atmetė.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Teismo ir prokuroro kompetencija įstatymu yra aiškiai atribota. Prokuroras, vykdydamas savo funkcijas, yra nepriklausomas ir klauso tik įstatymo (Konstitucijos 118 straipsnio 3 dalis; LAT</w:t>
      </w:r>
      <w:r>
        <w:rPr>
          <w:szCs w:val="24"/>
        </w:rPr>
        <w:t> </w:t>
      </w:r>
      <w:r w:rsidRPr="00C00255">
        <w:rPr>
          <w:szCs w:val="24"/>
        </w:rPr>
        <w:t xml:space="preserve">nutartis baudžiamojoje byloje Nr. 2K-144-788/2017). Tai reiškia, kad prokuroras savarankiškai sprendžia dėl ikiteisminio tyrimo pradėjimo ir jo užbaigimo bei kaltinamojo akto surašymo.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Taigi apeliacinės instancijos teismas, nenustatęs naujų aplinkybių ir negavęs naujų, anksčiau netirtų ir nevertintų reikšmingų duomenų apie galimą TSRS vadovo vaidmenį byloje nagrinėjamų įvykių metu, neturi pagrindo priimti nukentėjusiųjų prašomo sprendimo bei atskirąja nutartimi pranešti prokurorams apie tai, kas jiems jau yra žinoma, ar kitaip priversti prokurorus pradėti prašomą ikiteisminį tyrimą. </w:t>
      </w:r>
    </w:p>
    <w:p w:rsidR="00DA38E9" w:rsidRPr="00C00255" w:rsidRDefault="00DA38E9" w:rsidP="00DA38E9">
      <w:pPr>
        <w:pStyle w:val="Heading2"/>
        <w:spacing w:after="120"/>
        <w:ind w:firstLine="992"/>
        <w:jc w:val="center"/>
        <w:rPr>
          <w:rFonts w:ascii="Times New Roman" w:hAnsi="Times New Roman" w:cs="Times New Roman"/>
          <w:sz w:val="24"/>
          <w:lang w:bidi="lt-LT"/>
        </w:rPr>
      </w:pPr>
      <w:bookmarkStart w:id="862" w:name="_Toc67677435"/>
      <w:bookmarkStart w:id="863" w:name="_Toc67985563"/>
      <w:r w:rsidRPr="00C00255">
        <w:rPr>
          <w:rFonts w:ascii="Times New Roman" w:hAnsi="Times New Roman" w:cs="Times New Roman"/>
          <w:sz w:val="24"/>
          <w:lang w:bidi="lt-LT"/>
        </w:rPr>
        <w:t>H. APELIACINĖS INSTANCIJOS TEISMO ĮRODYTOMIS PRIPAŽINTOS APLINKYBĖS</w:t>
      </w:r>
      <w:bookmarkEnd w:id="862"/>
      <w:bookmarkEnd w:id="863"/>
    </w:p>
    <w:p w:rsidR="00DA38E9" w:rsidRPr="00C00255" w:rsidRDefault="00DA38E9" w:rsidP="00DA38E9">
      <w:pPr>
        <w:pStyle w:val="Standard"/>
        <w:numPr>
          <w:ilvl w:val="0"/>
          <w:numId w:val="6"/>
        </w:numPr>
        <w:tabs>
          <w:tab w:val="left" w:pos="992"/>
        </w:tabs>
        <w:spacing w:before="120" w:after="120"/>
        <w:ind w:left="992" w:hanging="992"/>
        <w:jc w:val="both"/>
      </w:pPr>
      <w:r w:rsidRPr="00C00255">
        <w:rPr>
          <w:rFonts w:cs="Times New Roman"/>
          <w:bCs/>
          <w:color w:val="000000"/>
          <w:lang w:eastAsia="ar-SA" w:bidi="lt-LT"/>
        </w:rPr>
        <w:t>Teisėjų kolegija, atsižvelgdama į šiame sprendime jau išdėstytus argumentus ir nustatytas aplinkybes, atsižvelgdama į apeliantų apeliaciniuose skunduose išsakytą kritiką bei prašymus dėl įrodytomis pripažintų aplinkybių aprašymo, įžvelgia būtinybę suformuluoti ir nurodyti naują visų šiame sprendime jau aptartų apeliacinės instancijos teismo įrodytomis pripažintų aplinkybių aprašymą, kuriame be jau minėtų teismo išvadų, teisėjų kolegija atsisakys</w:t>
      </w:r>
      <w:r w:rsidRPr="00C00255">
        <w:t xml:space="preserve"> aiškiai perteklinių ir nusikalstamos veikos sudėties požymių niekaip neatspindinčių aplinkybių aprašymo, taip pat ištaisys aiškiai netikslias ar klaidingas formuluotes, kurias apeliaciniuose skunduose pagrįstai nurodė apeliantai, bei aiškias rašybos ar stiliaus klaidas. </w:t>
      </w:r>
    </w:p>
    <w:p w:rsidR="00DA38E9" w:rsidRPr="00C00255" w:rsidRDefault="00DA38E9" w:rsidP="00DA38E9">
      <w:pPr>
        <w:pStyle w:val="Standard"/>
        <w:numPr>
          <w:ilvl w:val="0"/>
          <w:numId w:val="6"/>
        </w:numPr>
        <w:tabs>
          <w:tab w:val="left" w:pos="993"/>
        </w:tabs>
        <w:spacing w:before="120" w:after="120"/>
        <w:ind w:left="992" w:hanging="992"/>
        <w:jc w:val="both"/>
        <w:rPr>
          <w:i/>
          <w:iCs/>
        </w:rPr>
      </w:pPr>
      <w:r w:rsidRPr="00C00255">
        <w:t xml:space="preserve">Apeliacinės instancijos teismas išnagrinėjęs baudžiamąją bylą pripažino įrodytomis šias nuteistųjų nusikalstamų veikų aplinkybes: </w:t>
      </w:r>
    </w:p>
    <w:p w:rsidR="00DA38E9" w:rsidRPr="00C00255" w:rsidRDefault="00DA38E9" w:rsidP="00DA38E9">
      <w:pPr>
        <w:pStyle w:val="Standard"/>
        <w:tabs>
          <w:tab w:val="left" w:pos="993"/>
        </w:tabs>
        <w:spacing w:before="120" w:after="120"/>
        <w:ind w:left="993" w:firstLine="0"/>
        <w:jc w:val="both"/>
        <w:rPr>
          <w:i/>
        </w:rPr>
      </w:pPr>
      <w:r>
        <w:t>V. Š. 1</w:t>
      </w:r>
      <w:r w:rsidRPr="00C00255">
        <w:t xml:space="preserve">, </w:t>
      </w:r>
      <w:r>
        <w:t>A. N. 1</w:t>
      </w:r>
      <w:r w:rsidRPr="00C00255">
        <w:t xml:space="preserve">, </w:t>
      </w:r>
      <w:r>
        <w:t>R. J. 1</w:t>
      </w:r>
      <w:r w:rsidRPr="00C00255">
        <w:t xml:space="preserve">, </w:t>
      </w:r>
      <w:r>
        <w:t>D. J.</w:t>
      </w:r>
      <w:r w:rsidRPr="00C00255">
        <w:t xml:space="preserve"> (byla nutraukiama, jam mirus ir jo kaltės klausimas nesprendžiamas), </w:t>
      </w:r>
      <w:r>
        <w:t>M. G.</w:t>
      </w:r>
      <w:r w:rsidRPr="00C00255">
        <w:t xml:space="preserve">, </w:t>
      </w:r>
      <w:r>
        <w:t>J. Č.</w:t>
      </w:r>
      <w:r w:rsidRPr="00C00255">
        <w:t xml:space="preserve">, </w:t>
      </w:r>
      <w:r>
        <w:t>N. D.</w:t>
      </w:r>
      <w:r w:rsidRPr="00C00255">
        <w:t xml:space="preserve">, </w:t>
      </w:r>
      <w:r>
        <w:t>V. S. 1</w:t>
      </w:r>
      <w:r w:rsidRPr="00C00255">
        <w:t xml:space="preserve">, </w:t>
      </w:r>
      <w:r>
        <w:t>V. K. 1</w:t>
      </w:r>
      <w:r w:rsidRPr="00C00255">
        <w:t xml:space="preserve">, </w:t>
      </w:r>
      <w:r>
        <w:t>G. G.</w:t>
      </w:r>
      <w:r w:rsidRPr="00C00255">
        <w:t xml:space="preserve">, </w:t>
      </w:r>
      <w:r>
        <w:t>V. S. 2</w:t>
      </w:r>
      <w:r w:rsidRPr="00C00255">
        <w:t xml:space="preserve">, </w:t>
      </w:r>
      <w:r>
        <w:t>V. D.</w:t>
      </w:r>
      <w:r w:rsidRPr="00C00255">
        <w:t xml:space="preserve">, </w:t>
      </w:r>
      <w:r>
        <w:t>B. S.</w:t>
      </w:r>
      <w:r w:rsidRPr="00C00255">
        <w:t xml:space="preserve">, </w:t>
      </w:r>
      <w:r>
        <w:t>V. S. 3</w:t>
      </w:r>
      <w:r w:rsidRPr="00C00255">
        <w:t xml:space="preserve">, </w:t>
      </w:r>
      <w:r>
        <w:t>S. P.</w:t>
      </w:r>
      <w:r w:rsidRPr="00C00255">
        <w:t xml:space="preserve">, </w:t>
      </w:r>
      <w:r>
        <w:t>S. K.</w:t>
      </w:r>
      <w:r w:rsidRPr="00C00255">
        <w:t xml:space="preserve">, </w:t>
      </w:r>
      <w:r>
        <w:t>J. G.</w:t>
      </w:r>
      <w:r w:rsidRPr="00C00255">
        <w:t xml:space="preserve">, </w:t>
      </w:r>
      <w:r>
        <w:t>I. Š.</w:t>
      </w:r>
      <w:r w:rsidRPr="00C00255">
        <w:t xml:space="preserve">, </w:t>
      </w:r>
      <w:r>
        <w:t>A. G. 2</w:t>
      </w:r>
      <w:r w:rsidRPr="00C00255">
        <w:t xml:space="preserve">, </w:t>
      </w:r>
      <w:r>
        <w:t>A. Z.</w:t>
      </w:r>
      <w:r w:rsidRPr="00C00255">
        <w:t xml:space="preserve">, </w:t>
      </w:r>
      <w:r>
        <w:t>V. K. 2</w:t>
      </w:r>
      <w:r w:rsidRPr="00C00255">
        <w:t xml:space="preserve">, </w:t>
      </w:r>
      <w:r>
        <w:t>R. J. 2</w:t>
      </w:r>
      <w:r w:rsidRPr="00C00255">
        <w:t xml:space="preserve">, </w:t>
      </w:r>
      <w:r>
        <w:t>S. G.</w:t>
      </w:r>
      <w:r w:rsidRPr="00C00255">
        <w:t xml:space="preserve">, </w:t>
      </w:r>
      <w:r>
        <w:t>S. M.</w:t>
      </w:r>
      <w:r w:rsidRPr="00C00255">
        <w:t xml:space="preserve">, </w:t>
      </w:r>
      <w:r>
        <w:t>K. U.</w:t>
      </w:r>
      <w:r w:rsidRPr="00C00255">
        <w:t xml:space="preserve">, </w:t>
      </w:r>
      <w:r>
        <w:t>A. F. 1</w:t>
      </w:r>
      <w:r w:rsidRPr="00C00255">
        <w:t xml:space="preserve">, </w:t>
      </w:r>
      <w:r>
        <w:t>A. N. 2</w:t>
      </w:r>
      <w:r w:rsidRPr="00C00255">
        <w:t xml:space="preserve">, </w:t>
      </w:r>
      <w:r>
        <w:t>E. M.</w:t>
      </w:r>
      <w:r w:rsidRPr="00C00255">
        <w:t xml:space="preserve">, </w:t>
      </w:r>
      <w:r>
        <w:t>V. G.</w:t>
      </w:r>
      <w:r w:rsidRPr="00C00255">
        <w:t xml:space="preserve">, </w:t>
      </w:r>
      <w:r>
        <w:t>A. S.</w:t>
      </w:r>
      <w:r w:rsidRPr="00C00255">
        <w:t xml:space="preserve">, </w:t>
      </w:r>
      <w:r>
        <w:t>A. L.</w:t>
      </w:r>
      <w:r w:rsidRPr="00C00255">
        <w:t xml:space="preserve">, </w:t>
      </w:r>
      <w:r>
        <w:t>J. J.</w:t>
      </w:r>
      <w:r w:rsidRPr="00C00255">
        <w:t xml:space="preserve">, </w:t>
      </w:r>
      <w:r>
        <w:t>A. F. 2</w:t>
      </w:r>
      <w:r w:rsidRPr="00C00255">
        <w:t xml:space="preserve">, </w:t>
      </w:r>
      <w:r>
        <w:t>A. I.</w:t>
      </w:r>
      <w:r w:rsidRPr="00C00255">
        <w:t xml:space="preserve">, </w:t>
      </w:r>
      <w:r>
        <w:t>A. C.</w:t>
      </w:r>
      <w:r w:rsidRPr="00C00255">
        <w:t xml:space="preserve">, </w:t>
      </w:r>
      <w:r>
        <w:t>A. Ž.</w:t>
      </w:r>
      <w:r w:rsidRPr="00C00255">
        <w:t xml:space="preserve">, </w:t>
      </w:r>
      <w:r>
        <w:t>V. U. 1</w:t>
      </w:r>
      <w:r w:rsidRPr="00C00255">
        <w:t xml:space="preserve">, </w:t>
      </w:r>
      <w:r>
        <w:t>G. B.</w:t>
      </w:r>
      <w:r w:rsidRPr="00C00255">
        <w:t xml:space="preserve">, </w:t>
      </w:r>
      <w:r>
        <w:t>G. I.</w:t>
      </w:r>
      <w:r w:rsidRPr="00C00255">
        <w:t xml:space="preserve">, </w:t>
      </w:r>
      <w:r>
        <w:t>N. A.</w:t>
      </w:r>
      <w:r w:rsidRPr="00C00255">
        <w:t xml:space="preserve">, </w:t>
      </w:r>
      <w:r>
        <w:t>V. U. 2</w:t>
      </w:r>
      <w:r w:rsidRPr="00C00255">
        <w:t xml:space="preserve">, </w:t>
      </w:r>
      <w:r>
        <w:t>V. S. 4</w:t>
      </w:r>
      <w:r w:rsidRPr="00C00255">
        <w:t xml:space="preserve">, </w:t>
      </w:r>
      <w:r>
        <w:t>V. Š. 3</w:t>
      </w:r>
      <w:r w:rsidRPr="00C00255">
        <w:t xml:space="preserve">, </w:t>
      </w:r>
      <w:r>
        <w:t>V. P.</w:t>
      </w:r>
      <w:r w:rsidRPr="00C00255">
        <w:t xml:space="preserve">, </w:t>
      </w:r>
      <w:r>
        <w:t>S. V.</w:t>
      </w:r>
      <w:r w:rsidRPr="00C00255">
        <w:t xml:space="preserve">, </w:t>
      </w:r>
      <w:r>
        <w:t>E. R.</w:t>
      </w:r>
      <w:r w:rsidRPr="00C00255">
        <w:t xml:space="preserve">, </w:t>
      </w:r>
      <w:r>
        <w:t>J. O.</w:t>
      </w:r>
      <w:r w:rsidRPr="00C00255">
        <w:t xml:space="preserve">, </w:t>
      </w:r>
      <w:r>
        <w:t>A. G. 1</w:t>
      </w:r>
      <w:r w:rsidRPr="00C00255">
        <w:t xml:space="preserve">, </w:t>
      </w:r>
      <w:r>
        <w:t>A. B.</w:t>
      </w:r>
      <w:r w:rsidRPr="00C00255">
        <w:t xml:space="preserve">, </w:t>
      </w:r>
      <w:r>
        <w:t>O. A.</w:t>
      </w:r>
      <w:r w:rsidRPr="00C00255">
        <w:t xml:space="preserve">, </w:t>
      </w:r>
      <w:r>
        <w:t>N. S.</w:t>
      </w:r>
      <w:r w:rsidRPr="00C00255">
        <w:t xml:space="preserve">, </w:t>
      </w:r>
      <w:r>
        <w:t>A. U.</w:t>
      </w:r>
      <w:r w:rsidRPr="00C00255">
        <w:t xml:space="preserve">, </w:t>
      </w:r>
      <w:r>
        <w:t>A. K.</w:t>
      </w:r>
      <w:r w:rsidRPr="00C00255">
        <w:t xml:space="preserve">, </w:t>
      </w:r>
      <w:r>
        <w:t>D. F.</w:t>
      </w:r>
      <w:r w:rsidRPr="00C00255">
        <w:t xml:space="preserve">, </w:t>
      </w:r>
      <w:r>
        <w:t>J. M.</w:t>
      </w:r>
      <w:r w:rsidRPr="00C00255">
        <w:t xml:space="preserve">, </w:t>
      </w:r>
      <w:r>
        <w:t>D. B.</w:t>
      </w:r>
      <w:r w:rsidRPr="00C00255">
        <w:t xml:space="preserve">, </w:t>
      </w:r>
      <w:r>
        <w:t>N. O.</w:t>
      </w:r>
      <w:r w:rsidRPr="00C00255">
        <w:t xml:space="preserve">, </w:t>
      </w:r>
      <w:r>
        <w:t>A. K. 2</w:t>
      </w:r>
      <w:r w:rsidRPr="00C00255">
        <w:t xml:space="preserve">, </w:t>
      </w:r>
      <w:r>
        <w:t>A. R.</w:t>
      </w:r>
      <w:r w:rsidRPr="00C00255">
        <w:t xml:space="preserve">, </w:t>
      </w:r>
      <w:r>
        <w:t>S. F.</w:t>
      </w:r>
      <w:r w:rsidRPr="00C00255">
        <w:t xml:space="preserve">, </w:t>
      </w:r>
      <w:r>
        <w:t>V. R.</w:t>
      </w:r>
      <w:r w:rsidRPr="00C00255">
        <w:t xml:space="preserve">, </w:t>
      </w:r>
      <w:r>
        <w:t>V. Š.</w:t>
      </w:r>
      <w:r w:rsidRPr="00C00255">
        <w:t xml:space="preserve">, </w:t>
      </w:r>
      <w:r>
        <w:t>V. M.</w:t>
      </w:r>
      <w:r w:rsidRPr="00C00255">
        <w:t xml:space="preserve">, </w:t>
      </w:r>
      <w:r>
        <w:t>G. P.</w:t>
      </w:r>
      <w:r w:rsidRPr="00C00255">
        <w:t xml:space="preserve">, </w:t>
      </w:r>
      <w:r>
        <w:t>O. M.</w:t>
      </w:r>
      <w:r w:rsidRPr="00C00255">
        <w:t xml:space="preserve">, </w:t>
      </w:r>
      <w:r>
        <w:t>M. </w:t>
      </w:r>
      <w:r w:rsidR="006F072D">
        <w:t>C.</w:t>
      </w:r>
      <w:r w:rsidRPr="00C00255">
        <w:t xml:space="preserve">, </w:t>
      </w:r>
      <w:r>
        <w:t>J. S.</w:t>
      </w:r>
      <w:r w:rsidRPr="00C00255">
        <w:t xml:space="preserve"> </w:t>
      </w:r>
      <w:r w:rsidRPr="00C00255">
        <w:rPr>
          <w:rStyle w:val="Numatytasispastraiposriftas1"/>
          <w:i/>
          <w:iCs/>
          <w:lang w:eastAsia="ar-SA" w:bidi="lt-LT"/>
        </w:rPr>
        <w:t>veikdami bendrininkų grupe</w:t>
      </w:r>
      <w:r>
        <w:rPr>
          <w:rStyle w:val="Numatytasispastraiposriftas1"/>
          <w:i/>
          <w:iCs/>
          <w:lang w:eastAsia="ar-SA" w:bidi="lt-LT"/>
        </w:rPr>
        <w:t>,</w:t>
      </w:r>
      <w:r w:rsidRPr="00C00255">
        <w:rPr>
          <w:rStyle w:val="Numatytasispastraiposriftas1"/>
          <w:i/>
          <w:iCs/>
          <w:lang w:eastAsia="ar-SA" w:bidi="lt-LT"/>
        </w:rPr>
        <w:t xml:space="preserve"> tyčia, vykdydami ir remdami kitos valstybės TSRS ir organizacijos TSKP politiką dideliu mastu ir sistemingai užpuldinėti civilius, persekiojo civilius dėl politinių ir nacionalinių motyvų, juos žudė, sunkiai sutrikdė jų sveikatą, agresijos ir tarptautinio ginkluoto konflikto metu žudė tarptautinės humanitarinės teisės saugomus asmenis, nežmoniškai elgėsi su tarptautinės humanitarinės teisės saugomais asmenimis, juos sunkiai sužalojo, naudojo bauginimo ir teroro priemones, neteisėtai suvaržė ir atėmė jų laisvę, įsakė vykdyti ir vykdė tarptautinės humanitarinės teisės draudžiamą karo ataką prieš civilius, pažeisdami Lietuvos Respublikos tarptautinių sutarčių ir visuotinai pripažintų tarptautinių papročių (toliau – ir tarptautinės teisės) dėl karo priemonių nuostatas, įsakė karo veiksmuose panaudoti ir panaudojo uždraustas karo priemones. Tokiais veiksmais nuteistieji padarė nusikalstamas veikas, numatytas </w:t>
      </w:r>
      <w:r w:rsidRPr="00C00255">
        <w:rPr>
          <w:i/>
          <w:iCs/>
        </w:rPr>
        <w:t>BK 100 straipsnyje (</w:t>
      </w:r>
      <w:r w:rsidRPr="00C00255">
        <w:rPr>
          <w:rFonts w:eastAsia="Calibri"/>
          <w:i/>
          <w:iCs/>
          <w:szCs w:val="20"/>
          <w:lang w:eastAsia="en-US"/>
        </w:rPr>
        <w:t>2011 m. kovo 22 d. įstatymo Nr. XI-1291 redakcija)</w:t>
      </w:r>
      <w:r w:rsidRPr="00C00255">
        <w:rPr>
          <w:i/>
          <w:iCs/>
        </w:rPr>
        <w:t>, BK 101 straipsnyje (</w:t>
      </w:r>
      <w:r w:rsidRPr="00C00255">
        <w:rPr>
          <w:rFonts w:eastAsia="Calibri"/>
          <w:i/>
          <w:iCs/>
          <w:szCs w:val="20"/>
          <w:lang w:eastAsia="en-US"/>
        </w:rPr>
        <w:t>2011 m. kovo 22 d. įstatymo Nr. XI-1291 redakcija)</w:t>
      </w:r>
      <w:r w:rsidRPr="00C00255">
        <w:rPr>
          <w:i/>
          <w:iCs/>
        </w:rPr>
        <w:t>, BK 103</w:t>
      </w:r>
      <w:r>
        <w:rPr>
          <w:i/>
          <w:iCs/>
        </w:rPr>
        <w:t> </w:t>
      </w:r>
      <w:r w:rsidRPr="00C00255">
        <w:rPr>
          <w:i/>
          <w:iCs/>
        </w:rPr>
        <w:t>straipsnio 1 dalyje (</w:t>
      </w:r>
      <w:r w:rsidRPr="00C00255">
        <w:rPr>
          <w:rFonts w:eastAsia="Calibri"/>
          <w:i/>
          <w:iCs/>
          <w:szCs w:val="20"/>
          <w:lang w:eastAsia="en-US"/>
        </w:rPr>
        <w:t>2011 m. kovo 22 d. įstatymo Nr. XI-1291 redakcija)</w:t>
      </w:r>
      <w:r w:rsidRPr="00C00255">
        <w:rPr>
          <w:i/>
          <w:iCs/>
        </w:rPr>
        <w:t>, BK 111 straipsnio 1 dalyje (</w:t>
      </w:r>
      <w:r w:rsidRPr="00C00255">
        <w:rPr>
          <w:rFonts w:eastAsia="Calibri"/>
          <w:i/>
          <w:iCs/>
          <w:szCs w:val="20"/>
          <w:lang w:eastAsia="en-US"/>
        </w:rPr>
        <w:t>2011 m. kovo 22 d. įstatymo Nr. XI-1291 redakcija)</w:t>
      </w:r>
      <w:r w:rsidRPr="00C00255">
        <w:rPr>
          <w:i/>
          <w:iCs/>
        </w:rPr>
        <w:t xml:space="preserve"> ir BK 112 straipsnyje </w:t>
      </w:r>
      <w:r w:rsidRPr="00C00255">
        <w:rPr>
          <w:i/>
          <w:color w:val="000000" w:themeColor="text1"/>
        </w:rPr>
        <w:t>(2000 m. rugsėjo 26 d. įstatymo Nr. VIII-1968 redakcija)</w:t>
      </w:r>
      <w:r w:rsidRPr="00C00255">
        <w:rPr>
          <w:i/>
        </w:rPr>
        <w:t>.</w:t>
      </w:r>
    </w:p>
    <w:p w:rsidR="00DA38E9" w:rsidRPr="00C00255" w:rsidRDefault="00DA38E9" w:rsidP="00DA38E9">
      <w:pPr>
        <w:pStyle w:val="Standard"/>
        <w:tabs>
          <w:tab w:val="left" w:pos="993"/>
        </w:tabs>
        <w:spacing w:before="120" w:after="120"/>
        <w:ind w:left="993" w:firstLine="0"/>
        <w:jc w:val="both"/>
        <w:rPr>
          <w:rStyle w:val="Heading3Char"/>
          <w:rFonts w:eastAsia="SimSun, 宋体"/>
          <w:i/>
          <w:iCs/>
          <w:sz w:val="24"/>
          <w:lang w:val="lt-LT"/>
        </w:rPr>
      </w:pPr>
      <w:bookmarkStart w:id="864" w:name="_Toc67677436"/>
      <w:bookmarkStart w:id="865" w:name="_Toc67985564"/>
      <w:r w:rsidRPr="00C00255">
        <w:rPr>
          <w:rStyle w:val="Heading3Char"/>
          <w:rFonts w:eastAsia="Calibri"/>
          <w:sz w:val="24"/>
          <w:lang w:val="lt-LT"/>
        </w:rPr>
        <w:t>Nusikalstamų veiksmų prieš Lietuvos valstybę rengimas, karinės operacijos planavimas</w:t>
      </w:r>
      <w:bookmarkEnd w:id="864"/>
      <w:bookmarkEnd w:id="865"/>
    </w:p>
    <w:p w:rsidR="00DA38E9" w:rsidRPr="00C00255" w:rsidRDefault="00DA38E9" w:rsidP="00DA38E9">
      <w:pPr>
        <w:pStyle w:val="Standard"/>
        <w:tabs>
          <w:tab w:val="left" w:pos="993"/>
        </w:tabs>
        <w:spacing w:before="120" w:after="120"/>
        <w:ind w:left="993" w:firstLine="0"/>
        <w:jc w:val="both"/>
        <w:rPr>
          <w:i/>
          <w:iCs/>
        </w:rPr>
      </w:pPr>
      <w:r>
        <w:rPr>
          <w:i/>
          <w:iCs/>
        </w:rPr>
        <w:t>D. J.</w:t>
      </w:r>
      <w:r w:rsidRPr="00C00255">
        <w:rPr>
          <w:i/>
          <w:iCs/>
        </w:rPr>
        <w:t xml:space="preserve">, kurio atžvilgiu procesas nutrauktinas jam mirus, </w:t>
      </w:r>
      <w:r>
        <w:rPr>
          <w:i/>
          <w:iCs/>
        </w:rPr>
        <w:t>M. G.</w:t>
      </w:r>
      <w:r w:rsidRPr="00C00255">
        <w:rPr>
          <w:i/>
          <w:iCs/>
        </w:rPr>
        <w:t xml:space="preserve">, </w:t>
      </w:r>
      <w:r>
        <w:rPr>
          <w:i/>
          <w:iCs/>
        </w:rPr>
        <w:t>V. U. 1</w:t>
      </w:r>
      <w:r w:rsidRPr="00C00255">
        <w:rPr>
          <w:i/>
          <w:iCs/>
        </w:rPr>
        <w:t xml:space="preserve">, </w:t>
      </w:r>
      <w:r>
        <w:rPr>
          <w:i/>
          <w:iCs/>
        </w:rPr>
        <w:t>V. K. 1</w:t>
      </w:r>
      <w:r w:rsidRPr="00C00255">
        <w:rPr>
          <w:i/>
          <w:iCs/>
        </w:rPr>
        <w:t xml:space="preserve">, </w:t>
      </w:r>
      <w:r>
        <w:rPr>
          <w:i/>
          <w:iCs/>
        </w:rPr>
        <w:t>N. D.</w:t>
      </w:r>
      <w:r w:rsidRPr="00C00255">
        <w:rPr>
          <w:i/>
          <w:iCs/>
        </w:rPr>
        <w:t xml:space="preserve">, </w:t>
      </w:r>
      <w:r>
        <w:rPr>
          <w:i/>
          <w:iCs/>
        </w:rPr>
        <w:t>V. S. 1</w:t>
      </w:r>
      <w:r w:rsidRPr="00C00255">
        <w:rPr>
          <w:i/>
          <w:iCs/>
        </w:rPr>
        <w:t xml:space="preserve">, </w:t>
      </w:r>
      <w:r>
        <w:rPr>
          <w:i/>
          <w:iCs/>
        </w:rPr>
        <w:t>A. Ž.</w:t>
      </w:r>
      <w:r w:rsidRPr="00C00255">
        <w:rPr>
          <w:i/>
          <w:iCs/>
        </w:rPr>
        <w:t xml:space="preserve">, </w:t>
      </w:r>
      <w:r>
        <w:rPr>
          <w:i/>
          <w:iCs/>
        </w:rPr>
        <w:t>A. N. 1</w:t>
      </w:r>
      <w:r w:rsidRPr="00C00255">
        <w:rPr>
          <w:i/>
          <w:iCs/>
        </w:rPr>
        <w:t xml:space="preserve"> ir </w:t>
      </w:r>
      <w:r>
        <w:rPr>
          <w:i/>
          <w:iCs/>
        </w:rPr>
        <w:t>V. Š. 1</w:t>
      </w:r>
      <w:r w:rsidRPr="00C00255">
        <w:rPr>
          <w:i/>
          <w:iCs/>
        </w:rPr>
        <w:t xml:space="preserve"> suplanavo </w:t>
      </w:r>
      <w:r w:rsidRPr="00C00255">
        <w:rPr>
          <w:rStyle w:val="Numatytasispastraiposriftas1"/>
          <w:i/>
          <w:iCs/>
        </w:rPr>
        <w:t xml:space="preserve">1991 m. Vilniuje įvykdytą </w:t>
      </w:r>
      <w:r w:rsidRPr="00C00255">
        <w:rPr>
          <w:i/>
          <w:iCs/>
        </w:rPr>
        <w:t>karinę operaciją ir atliko parengiamuosius nusikaltimų prieš Lietuvos valstybę veiksmus šiomis aplinkybėmis:</w:t>
      </w:r>
    </w:p>
    <w:p w:rsidR="00DA38E9" w:rsidRPr="00C00255" w:rsidRDefault="00DA38E9" w:rsidP="00DA38E9">
      <w:pPr>
        <w:pStyle w:val="Standard"/>
        <w:tabs>
          <w:tab w:val="left" w:pos="993"/>
        </w:tabs>
        <w:spacing w:before="120" w:after="120"/>
        <w:ind w:left="993" w:firstLine="0"/>
        <w:jc w:val="both"/>
        <w:rPr>
          <w:rFonts w:eastAsia="Times New Roman"/>
          <w:i/>
          <w:iCs/>
        </w:rPr>
      </w:pPr>
      <w:r w:rsidRPr="00C00255">
        <w:rPr>
          <w:rFonts w:eastAsia="Times New Roman" w:cs="Times New Roman"/>
          <w:i/>
          <w:iCs/>
        </w:rPr>
        <w:t>1989 metų pabaigoje</w:t>
      </w:r>
      <w:r w:rsidRPr="00C00255">
        <w:rPr>
          <w:rFonts w:eastAsia="Times New Roman"/>
        </w:rPr>
        <w:t xml:space="preserve"> </w:t>
      </w:r>
      <w:r w:rsidRPr="00C00255">
        <w:rPr>
          <w:rFonts w:eastAsia="Times New Roman"/>
          <w:i/>
          <w:iCs/>
        </w:rPr>
        <w:t>LKP/TSKP vykdė tik TSRS ir TSKP vadovybės nurodymus, priešinosi Lietuvos nepriklausomos valstybės atkūrimui, priešiškai sutiko 1990 m. kovo 11 d. Nepriklausomybės Aktą. Po Lietuvos nepriklausomybės paskelbimo LKP/TSKP tapo užsienio valstybės organizacijos – TSKP – padaliniu Lietuvoje, kuris nepakluso Lietuvos Respublikos įstatymams ir vykdė užsienio organizacijos užduotis.</w:t>
      </w:r>
    </w:p>
    <w:p w:rsidR="00DA38E9" w:rsidRPr="00C00255" w:rsidRDefault="00DA38E9" w:rsidP="00DA38E9">
      <w:pPr>
        <w:pStyle w:val="Standard"/>
        <w:tabs>
          <w:tab w:val="left" w:pos="993"/>
        </w:tabs>
        <w:spacing w:before="120" w:after="120"/>
        <w:ind w:left="993" w:firstLine="0"/>
        <w:jc w:val="both"/>
        <w:rPr>
          <w:i/>
          <w:iCs/>
        </w:rPr>
      </w:pPr>
      <w:r w:rsidRPr="00C00255">
        <w:rPr>
          <w:i/>
          <w:iCs/>
          <w:color w:val="000000"/>
          <w:lang w:eastAsia="ar-SA" w:bidi="lt-LT"/>
        </w:rPr>
        <w:t xml:space="preserve">Siekdami grąžinti Lietuvą į TSRS sudėtį, LKP/TSKP vadovai, LKP/TSKP CK II sekretorius </w:t>
      </w:r>
      <w:r>
        <w:rPr>
          <w:i/>
          <w:iCs/>
          <w:color w:val="000000"/>
          <w:lang w:eastAsia="ar-SA" w:bidi="lt-LT"/>
        </w:rPr>
        <w:t>V. Š. 1</w:t>
      </w:r>
      <w:r w:rsidRPr="00C00255">
        <w:rPr>
          <w:i/>
          <w:iCs/>
          <w:color w:val="000000"/>
          <w:lang w:eastAsia="ar-SA" w:bidi="lt-LT"/>
        </w:rPr>
        <w:t xml:space="preserve">, LKP/TSKP CK sekretorius generolas majoras </w:t>
      </w:r>
      <w:r>
        <w:rPr>
          <w:i/>
          <w:iCs/>
          <w:color w:val="000000"/>
          <w:lang w:eastAsia="ar-SA" w:bidi="lt-LT"/>
        </w:rPr>
        <w:t>A. N. 1</w:t>
      </w:r>
      <w:r w:rsidRPr="00C00255">
        <w:rPr>
          <w:i/>
          <w:iCs/>
          <w:color w:val="000000"/>
          <w:lang w:eastAsia="ar-SA" w:bidi="lt-LT"/>
        </w:rPr>
        <w:t>, tvirtindami, kad Lietuvoje veikia TSRS ir Lietuvos TSR Konstitucijos, reikalavo įgyvendinti TSRS liaudies deputatų suvažiavimų nutarimus dėl Lietuvos, įvesti prezidentinį valdymą, steigė politines organizacijas savo planams įgyvendinti, ruošė ir platino propagandinius dokumentus.</w:t>
      </w:r>
    </w:p>
    <w:p w:rsidR="00DA38E9" w:rsidRPr="00C00255" w:rsidRDefault="00DA38E9" w:rsidP="00DA38E9">
      <w:pPr>
        <w:pStyle w:val="Sraopastraipa1"/>
        <w:spacing w:before="120" w:after="120"/>
        <w:ind w:left="992" w:firstLine="1"/>
        <w:jc w:val="both"/>
        <w:rPr>
          <w:rFonts w:eastAsia="Times New Roman"/>
          <w:b w:val="0"/>
          <w:i/>
          <w:iCs/>
        </w:rPr>
      </w:pPr>
      <w:r w:rsidRPr="00C00255">
        <w:rPr>
          <w:rStyle w:val="Numatytasispastraiposriftas1"/>
          <w:b w:val="0"/>
          <w:i/>
          <w:iCs/>
          <w:color w:val="000000"/>
          <w:lang w:eastAsia="ar-SA" w:bidi="lt-LT"/>
        </w:rPr>
        <w:t xml:space="preserve">LKP/TSKP nariai </w:t>
      </w:r>
      <w:r>
        <w:rPr>
          <w:rStyle w:val="Numatytasispastraiposriftas1"/>
          <w:b w:val="0"/>
          <w:i/>
          <w:iCs/>
          <w:color w:val="000000"/>
          <w:lang w:eastAsia="ar-SA" w:bidi="lt-LT"/>
        </w:rPr>
        <w:t>V. Š. 1</w:t>
      </w:r>
      <w:r w:rsidRPr="00C00255">
        <w:rPr>
          <w:rStyle w:val="Numatytasispastraiposriftas1"/>
          <w:b w:val="0"/>
          <w:i/>
          <w:iCs/>
          <w:color w:val="000000"/>
          <w:lang w:eastAsia="ar-SA" w:bidi="lt-LT"/>
        </w:rPr>
        <w:t xml:space="preserve">, </w:t>
      </w:r>
      <w:r>
        <w:rPr>
          <w:rStyle w:val="Numatytasispastraiposriftas1"/>
          <w:b w:val="0"/>
          <w:i/>
          <w:iCs/>
          <w:color w:val="000000"/>
          <w:lang w:eastAsia="ar-SA" w:bidi="lt-LT"/>
        </w:rPr>
        <w:t>A. N. 1</w:t>
      </w:r>
      <w:r w:rsidRPr="00C00255">
        <w:rPr>
          <w:rStyle w:val="Numatytasispastraiposriftas1"/>
          <w:b w:val="0"/>
          <w:i/>
          <w:iCs/>
          <w:color w:val="000000"/>
          <w:lang w:eastAsia="ar-SA" w:bidi="lt-LT"/>
        </w:rPr>
        <w:t xml:space="preserve"> kartu su kitais </w:t>
      </w:r>
      <w:r w:rsidRPr="00C00255">
        <w:rPr>
          <w:rFonts w:eastAsia="Times New Roman"/>
          <w:b w:val="0"/>
          <w:i/>
          <w:iCs/>
        </w:rPr>
        <w:t xml:space="preserve">1999 m. rugpjūčio 23 d. Vilniaus apygardos teismo nuosprendžiu nuteistais </w:t>
      </w:r>
      <w:r w:rsidRPr="00C00255">
        <w:rPr>
          <w:rStyle w:val="Numatytasispastraiposriftas1"/>
          <w:b w:val="0"/>
          <w:i/>
          <w:iCs/>
          <w:color w:val="000000"/>
          <w:lang w:eastAsia="ar-SA" w:bidi="lt-LT"/>
        </w:rPr>
        <w:t>LKP/TSKP CK vadovais kūrė TSRS prezidentinio valdymo įvedimo Lietuvoje planą, kurio pagrindines nuostatas išdėstė dokumente, pavadintame „TSRS prezidentinio valdymo įvedimo Lietuvoje planas“. Šiame plane numatė kitos valstybės – TSRS – Prezidento įsaku Lietuvos Respublikos teritorijoje įvesti TSRS prezidentinį valdymą, sustabdyti visų lygių vykdomųjų valstybės organų veiklą ir paleisti Ministrų Tarybą, o visą valdžią perduoti Lietuvos TSR Prezidentiniam valstybiniam komitetui, kuris savo nutarimu skiria Lietuvos TSR Ministrų kabinetą, šio kabineto įgaliotinius miestuose, rajonuose, organizacijose ir svarbiuose pagrindiniuose objektuose bei kitus pareigūnus. Plane taip pat numatė, kad TSRS Gynybos ministerija skiria savo įgaliotinį respublikai, kuris kontroliuos esamą padėtį ir, panaudodamas turimas žinioje karines jėgas, užtikrins svarbių civilinių ir karinių objektų saugumą, padės Prezidentiniam komitetui ypatingais atvejais. Be to, pagal šį planą parinko kandidatus į nurodytas pareigybes, paruošė ir sudarė priemonių planą, kad užtikrinti saugų šio prezidentinio valdymo įvedimą. Vilniaus, Kauno, Klaipėdos, Šiaulių ir Panevėžio miestuose parinko objektus, kuriuos būtina užgrobti, paruošė jų užgrobimo planus ir paskyrė už tai atsakingus asmenis, o su kitos valstybės – TSRS GM, TSRS VSK, TSRS VRM skirtais atstovais susitarė dėl šių priemonių įgyvendinimo. Taip pat numatė panaudoti politines-propagandines priemones įvedant TSRS prezidentinį valdymą ir numatė įvesti Ypatingosios padėties teisinį režimą.</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xml:space="preserve">1990 metų pabaigoje </w:t>
      </w:r>
      <w:r>
        <w:rPr>
          <w:rFonts w:eastAsia="Times New Roman"/>
          <w:b w:val="0"/>
          <w:i/>
          <w:iCs/>
        </w:rPr>
        <w:t>D. J.</w:t>
      </w:r>
      <w:r w:rsidRPr="00C00255">
        <w:rPr>
          <w:rFonts w:eastAsia="Times New Roman"/>
          <w:b w:val="0"/>
          <w:i/>
          <w:iCs/>
        </w:rPr>
        <w:t xml:space="preserve"> nurodė Vilniuje, TSRS GM Sausumos pajėgų Pabaltijo karinės apygardos 107-osios motorizuotų šaulių divizijos dislokavimo vietoje įkurti vadovavimo karinei operacijai štabą. Vadovavimo štabo nariais buvo paskirti: </w:t>
      </w:r>
      <w:r>
        <w:rPr>
          <w:rFonts w:eastAsia="Times New Roman"/>
          <w:b w:val="0"/>
          <w:i/>
          <w:iCs/>
        </w:rPr>
        <w:t>N. D.</w:t>
      </w:r>
      <w:r w:rsidRPr="00C00255">
        <w:rPr>
          <w:rFonts w:eastAsia="Times New Roman"/>
          <w:b w:val="0"/>
          <w:i/>
          <w:iCs/>
        </w:rPr>
        <w:t xml:space="preserve">, </w:t>
      </w:r>
      <w:r>
        <w:rPr>
          <w:rFonts w:eastAsia="Times New Roman"/>
          <w:b w:val="0"/>
          <w:i/>
          <w:iCs/>
        </w:rPr>
        <w:t>V. K. 1</w:t>
      </w:r>
      <w:r w:rsidRPr="00C00255">
        <w:rPr>
          <w:rFonts w:eastAsia="Times New Roman"/>
          <w:b w:val="0"/>
          <w:i/>
          <w:iCs/>
        </w:rPr>
        <w:t xml:space="preserve">, </w:t>
      </w:r>
      <w:r>
        <w:rPr>
          <w:rFonts w:eastAsia="Times New Roman"/>
          <w:b w:val="0"/>
          <w:i/>
          <w:iCs/>
        </w:rPr>
        <w:t>V. U. 1</w:t>
      </w:r>
      <w:r w:rsidRPr="00C00255">
        <w:rPr>
          <w:rFonts w:eastAsia="Times New Roman"/>
          <w:b w:val="0"/>
          <w:i/>
          <w:iCs/>
        </w:rPr>
        <w:t xml:space="preserve">, </w:t>
      </w:r>
      <w:r>
        <w:rPr>
          <w:rFonts w:eastAsia="Times New Roman"/>
          <w:b w:val="0"/>
          <w:i/>
          <w:iCs/>
        </w:rPr>
        <w:t>V. S. 1</w:t>
      </w:r>
      <w:r w:rsidRPr="00C00255">
        <w:rPr>
          <w:rFonts w:eastAsia="Times New Roman"/>
          <w:b w:val="0"/>
          <w:i/>
          <w:iCs/>
        </w:rPr>
        <w:t xml:space="preserve">, </w:t>
      </w:r>
      <w:r>
        <w:rPr>
          <w:rFonts w:eastAsia="Times New Roman"/>
          <w:b w:val="0"/>
          <w:i/>
          <w:iCs/>
        </w:rPr>
        <w:t xml:space="preserve">A. Ž. </w:t>
      </w:r>
      <w:r w:rsidRPr="00C00255">
        <w:rPr>
          <w:rFonts w:eastAsia="Times New Roman"/>
          <w:b w:val="0"/>
          <w:i/>
          <w:iCs/>
        </w:rPr>
        <w:t xml:space="preserve">, </w:t>
      </w:r>
      <w:r>
        <w:rPr>
          <w:rFonts w:eastAsia="Times New Roman"/>
          <w:b w:val="0"/>
          <w:i/>
          <w:iCs/>
        </w:rPr>
        <w:t>V. Š. 1</w:t>
      </w:r>
      <w:r w:rsidRPr="00C00255">
        <w:rPr>
          <w:rFonts w:eastAsia="Times New Roman"/>
          <w:b w:val="0"/>
          <w:i/>
          <w:iCs/>
        </w:rPr>
        <w:t xml:space="preserve">, </w:t>
      </w:r>
      <w:r>
        <w:rPr>
          <w:rFonts w:eastAsia="Times New Roman"/>
          <w:b w:val="0"/>
          <w:i/>
          <w:iCs/>
        </w:rPr>
        <w:t>A. N. 1</w:t>
      </w:r>
      <w:r w:rsidRPr="00C00255">
        <w:rPr>
          <w:rFonts w:eastAsia="Times New Roman"/>
          <w:b w:val="0"/>
          <w:i/>
          <w:iCs/>
        </w:rPr>
        <w:t xml:space="preserve"> ir kiti asmenys, kurių atsakomybės klausimas šioje byloje nebuvo sprendžiamas. Štabas turėjo apjungti ir koordinuoti skirtingų kariuomenės rūšių veiksmus, tikslinti būsimos karinės operacijos vietų žemėlapius, sudaryti prieigų prie objektų schemas ir maršrutus, apskaičiuoti atvykimui į užimamus objektus ir karinės operacijos vykdymui būtiną laiką, nuolat stebėti strateginius objektus, detalizuoti vedlių ir draugovininkų buvimo vietas bei vaidmenį, nustatyti papildomai užimtinus objektus, konkretizuoti operacijoje dalyvaujančių kariuomenės rūšių veiksmus kiekviename iš užimamų objektų.</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xml:space="preserve">LKP/TSKP CK, kurios nariais buvo </w:t>
      </w:r>
      <w:r>
        <w:rPr>
          <w:rFonts w:eastAsia="Times New Roman"/>
          <w:b w:val="0"/>
          <w:i/>
          <w:iCs/>
        </w:rPr>
        <w:t>V. Š. 1</w:t>
      </w:r>
      <w:r w:rsidRPr="00C00255">
        <w:rPr>
          <w:rFonts w:eastAsia="Times New Roman"/>
          <w:b w:val="0"/>
          <w:i/>
          <w:iCs/>
        </w:rPr>
        <w:t xml:space="preserve"> ir </w:t>
      </w:r>
      <w:r>
        <w:rPr>
          <w:rFonts w:eastAsia="Times New Roman"/>
          <w:b w:val="0"/>
          <w:i/>
          <w:iCs/>
        </w:rPr>
        <w:t>A. N. 1</w:t>
      </w:r>
      <w:r w:rsidRPr="00C00255">
        <w:rPr>
          <w:rFonts w:eastAsia="Times New Roman"/>
          <w:b w:val="0"/>
          <w:i/>
          <w:iCs/>
        </w:rPr>
        <w:t xml:space="preserve">, per savo įkurtas masines informavimo priemones LNGK vardu nuo 1991 m. sausio 12 iki 19 dienos skelbė dokumentus, kuriais buvo siekiama atkurti TSRS ir LTSR Konstitucijų veikimą Lietuvoje, įvesti komendanto valandą ir tiesioginį TSRS prezidentinį valdymą, kreipimųsi į TSRS Aukščiausiąją Tarybą, TSRS gyventojus ir tautas, Lietuvos Respublikos gyventojus, TSRS prezidentą </w:t>
      </w:r>
      <w:r>
        <w:rPr>
          <w:rFonts w:eastAsia="Times New Roman"/>
          <w:b w:val="0"/>
          <w:i/>
          <w:iCs/>
        </w:rPr>
        <w:t>M. G.</w:t>
      </w:r>
      <w:r w:rsidRPr="00C00255">
        <w:rPr>
          <w:rFonts w:eastAsia="Times New Roman"/>
          <w:b w:val="0"/>
          <w:i/>
          <w:iCs/>
        </w:rPr>
        <w:t xml:space="preserve"> ir TSRS AT pirmininką tekstus bei LNGK nutarimą „Dėl komendanto valandos įvedimo respublikoje“.</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xml:space="preserve">1991 m. sausio 8 d. šį planą įteikus TSRS vadovybei, 1991 m. sausio 10 d., TSRS prezidentas </w:t>
      </w:r>
      <w:r>
        <w:rPr>
          <w:rFonts w:eastAsia="Times New Roman"/>
          <w:b w:val="0"/>
          <w:i/>
          <w:iCs/>
        </w:rPr>
        <w:t>M. G.</w:t>
      </w:r>
      <w:r w:rsidRPr="00C00255">
        <w:rPr>
          <w:rFonts w:eastAsia="Times New Roman"/>
          <w:b w:val="0"/>
          <w:i/>
          <w:iCs/>
        </w:rPr>
        <w:t xml:space="preserve"> pareikalavo Lietuvos Respublikos Aukščiausiosios Tarybos nedelsiant atstatyti TSRS ir Lietuvos TSR Konstitucijų galiojimą Lietuvoje.</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xml:space="preserve">TSRS gynybos ministro </w:t>
      </w:r>
      <w:r>
        <w:rPr>
          <w:rFonts w:eastAsia="Times New Roman"/>
          <w:b w:val="0"/>
          <w:i/>
          <w:iCs/>
        </w:rPr>
        <w:t>D. J.</w:t>
      </w:r>
      <w:r w:rsidRPr="00C00255">
        <w:rPr>
          <w:rFonts w:eastAsia="Times New Roman"/>
          <w:b w:val="0"/>
          <w:i/>
          <w:iCs/>
        </w:rPr>
        <w:t xml:space="preserve"> ir TSRS VSK pirmininko V. K</w:t>
      </w:r>
      <w:r>
        <w:rPr>
          <w:rFonts w:eastAsia="Times New Roman"/>
          <w:b w:val="0"/>
          <w:i/>
          <w:iCs/>
        </w:rPr>
        <w:t>.</w:t>
      </w:r>
      <w:r w:rsidRPr="00C00255">
        <w:rPr>
          <w:rFonts w:eastAsia="Times New Roman"/>
          <w:b w:val="0"/>
          <w:i/>
          <w:iCs/>
        </w:rPr>
        <w:t xml:space="preserve"> (ikiteisminis tyrimas nutrauktas mirus) nurodymu, karinės operacijos vykdymui į Vilnių buvo perdislokuoti šie kariniai vienetai ir junginiai, padidintas Lietuvoje esančių kariškių skaičius:</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- 1991 m. sausio 6 d. į Vilniuje dislokuotą TSRS GM Sausumos pajėgų Pabaltijo karinės apygardos 107-ąją motorizuotų šaulių diviziją perkelta ne mažiau kaip devyni šimtai devyniolika jungtinio pulko karininkų ir kareivių su karine ekipuote ir technika iš TSRS GM Oro desanto pajėgų 76-osios oro desanto divizijos;</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sausio 11 - 12 naktį dviem TSRS VSK pasienio tarnybos lėktuvais „TU - 134A“ į Vilnių perkelti ne mažiau kaip šešiasdešimt septyni TSRS VSK specialiosios paskirties grupės „A“ kariškiai;</w:t>
      </w:r>
    </w:p>
    <w:p w:rsidR="00DA38E9" w:rsidRPr="00C00255" w:rsidRDefault="00DA38E9" w:rsidP="00DA38E9">
      <w:pPr>
        <w:pStyle w:val="Sraopastraipa1"/>
        <w:spacing w:before="120" w:after="120"/>
        <w:ind w:left="992" w:firstLine="1"/>
        <w:jc w:val="both"/>
        <w:rPr>
          <w:rFonts w:eastAsia="Times New Roman"/>
          <w:b w:val="0"/>
          <w:i/>
          <w:iCs/>
        </w:rPr>
      </w:pPr>
      <w:bookmarkStart w:id="866" w:name="_Hlk61516425"/>
      <w:r>
        <w:rPr>
          <w:rStyle w:val="Numatytasispastraiposriftas1"/>
          <w:b w:val="0"/>
          <w:i/>
          <w:iCs/>
        </w:rPr>
        <w:t>D. J.</w:t>
      </w:r>
      <w:r w:rsidRPr="00C00255">
        <w:rPr>
          <w:rStyle w:val="Numatytasispastraiposriftas1"/>
          <w:b w:val="0"/>
          <w:i/>
          <w:iCs/>
        </w:rPr>
        <w:t>, pasinaudodamas užimamomis TSRS gynybos ministro pareigomis, savo pavaduotojui ir TSRS GM Oro desanto pajėgų vado pareigas užimančiam generolui pulkininkui V.</w:t>
      </w:r>
      <w:r>
        <w:rPr>
          <w:rStyle w:val="Numatytasispastraiposriftas1"/>
          <w:b w:val="0"/>
          <w:i/>
          <w:iCs/>
        </w:rPr>
        <w:t> </w:t>
      </w:r>
      <w:r w:rsidRPr="00C00255">
        <w:rPr>
          <w:rStyle w:val="Numatytasispastraiposriftas1"/>
          <w:b w:val="0"/>
          <w:i/>
          <w:iCs/>
        </w:rPr>
        <w:t>A</w:t>
      </w:r>
      <w:r>
        <w:rPr>
          <w:rStyle w:val="Numatytasispastraiposriftas1"/>
          <w:b w:val="0"/>
          <w:i/>
          <w:iCs/>
        </w:rPr>
        <w:t>.</w:t>
      </w:r>
      <w:r w:rsidRPr="00C00255">
        <w:rPr>
          <w:rStyle w:val="Numatytasispastraiposriftas1"/>
          <w:b w:val="0"/>
          <w:i/>
          <w:iCs/>
        </w:rPr>
        <w:t xml:space="preserve"> (ikiteisminis tyrimas nutrauktas mirus) davė įsakymą dėl karinės operacijos organizavimo ir vykdymo. Pastarasis šį ministro įsakymą perdavė savo pavaldiniui TSRS GM Oro desanto pajėgų 76-osios oro desanto divizijos </w:t>
      </w:r>
      <w:r w:rsidRPr="00C00255">
        <w:rPr>
          <w:rStyle w:val="Numatytasispastraiposriftas1"/>
          <w:b w:val="0"/>
          <w:bCs/>
          <w:i/>
          <w:iCs/>
        </w:rPr>
        <w:t>vadui</w:t>
      </w:r>
      <w:r w:rsidRPr="008268B8">
        <w:rPr>
          <w:rStyle w:val="Numatytasispastraiposriftas1"/>
          <w:b w:val="0"/>
          <w:bCs/>
          <w:i/>
          <w:iCs/>
        </w:rPr>
        <w:t>.</w:t>
      </w:r>
    </w:p>
    <w:bookmarkEnd w:id="866"/>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Vykdydamas oro desanto divizijos vado įsakymą, TSRS GM Oro desanto pajėgų 76-osios oro desanto divizijos</w:t>
      </w:r>
      <w:r w:rsidRPr="00C00255" w:rsidDel="00D01903">
        <w:rPr>
          <w:rFonts w:eastAsia="Times New Roman"/>
          <w:i/>
          <w:iCs/>
        </w:rPr>
        <w:t xml:space="preserve"> </w:t>
      </w:r>
      <w:r w:rsidRPr="00C00255">
        <w:rPr>
          <w:rFonts w:eastAsia="Times New Roman"/>
          <w:b w:val="0"/>
          <w:i/>
          <w:iCs/>
        </w:rPr>
        <w:t>vado pavaduotojas</w:t>
      </w:r>
      <w:r w:rsidRPr="00C00255">
        <w:rPr>
          <w:rFonts w:eastAsia="Times New Roman"/>
          <w:i/>
          <w:iCs/>
        </w:rPr>
        <w:t xml:space="preserve"> </w:t>
      </w:r>
      <w:r>
        <w:rPr>
          <w:rFonts w:eastAsia="Times New Roman"/>
          <w:b w:val="0"/>
          <w:i/>
          <w:iCs/>
        </w:rPr>
        <w:t>V. K. 1</w:t>
      </w:r>
      <w:r w:rsidRPr="00C00255">
        <w:rPr>
          <w:rFonts w:eastAsia="Times New Roman"/>
          <w:b w:val="0"/>
          <w:i/>
          <w:iCs/>
        </w:rPr>
        <w:t xml:space="preserve"> nurodymus perdavė savo pavaldiniams, kurie tiesiogiai koordinavo karinius veiksmus, jiems vadovavo bei dalyvavo karinėje operacijoje, o būtent:</w:t>
      </w:r>
      <w:r w:rsidRPr="00C00255">
        <w:rPr>
          <w:rStyle w:val="Numatytasispastraiposriftas1"/>
          <w:b w:val="0"/>
          <w:i/>
          <w:iCs/>
        </w:rPr>
        <w:t xml:space="preserve"> įsakymai dėl kiekvieno iš užimamų objekto</w:t>
      </w:r>
      <w:r w:rsidRPr="00C00255">
        <w:rPr>
          <w:rStyle w:val="Numatytasispastraiposriftas1"/>
          <w:b w:val="0"/>
          <w:bCs/>
          <w:i/>
          <w:iCs/>
          <w:color w:val="FF0000"/>
        </w:rPr>
        <w:t xml:space="preserve"> </w:t>
      </w:r>
      <w:r w:rsidRPr="00C00255">
        <w:rPr>
          <w:rStyle w:val="Numatytasispastraiposriftas1"/>
          <w:b w:val="0"/>
          <w:i/>
          <w:iCs/>
        </w:rPr>
        <w:t>puolimo</w:t>
      </w:r>
      <w:r w:rsidRPr="00C00255">
        <w:rPr>
          <w:rStyle w:val="Numatytasispastraiposriftas1"/>
          <w:i/>
          <w:iCs/>
        </w:rPr>
        <w:t xml:space="preserve"> </w:t>
      </w:r>
      <w:r w:rsidRPr="00C00255">
        <w:rPr>
          <w:rStyle w:val="Numatytasispastraiposriftas1"/>
          <w:b w:val="0"/>
          <w:i/>
          <w:iCs/>
        </w:rPr>
        <w:t>bei operacijos vykdymo eigos duoti TSRS GM Oro desanto pajėgų 76-osios oro desanto divizijos kariškiams: I. K</w:t>
      </w:r>
      <w:r>
        <w:rPr>
          <w:rStyle w:val="Numatytasispastraiposriftas1"/>
          <w:b w:val="0"/>
          <w:i/>
          <w:iCs/>
        </w:rPr>
        <w:t>.</w:t>
      </w:r>
      <w:r w:rsidRPr="00C00255">
        <w:rPr>
          <w:rStyle w:val="Numatytasispastraiposriftas1"/>
          <w:b w:val="0"/>
          <w:i/>
          <w:iCs/>
        </w:rPr>
        <w:t xml:space="preserve"> (ikiteisminis tyrimas nutrauktas mirus), </w:t>
      </w:r>
      <w:r>
        <w:rPr>
          <w:rStyle w:val="Numatytasispastraiposriftas1"/>
          <w:b w:val="0"/>
          <w:i/>
          <w:iCs/>
        </w:rPr>
        <w:t>G. G.</w:t>
      </w:r>
      <w:r w:rsidRPr="00C00255">
        <w:rPr>
          <w:rStyle w:val="Numatytasispastraiposriftas1"/>
          <w:b w:val="0"/>
          <w:i/>
          <w:iCs/>
        </w:rPr>
        <w:t xml:space="preserve">, </w:t>
      </w:r>
      <w:r>
        <w:rPr>
          <w:rStyle w:val="Numatytasispastraiposriftas1"/>
          <w:b w:val="0"/>
          <w:i/>
          <w:iCs/>
        </w:rPr>
        <w:t>V. S. 2</w:t>
      </w:r>
      <w:r w:rsidRPr="00C00255">
        <w:rPr>
          <w:rStyle w:val="Numatytasispastraiposriftas1"/>
          <w:b w:val="0"/>
          <w:i/>
          <w:iCs/>
        </w:rPr>
        <w:t xml:space="preserve">, </w:t>
      </w:r>
      <w:r>
        <w:rPr>
          <w:rStyle w:val="Numatytasispastraiposriftas1"/>
          <w:b w:val="0"/>
          <w:i/>
          <w:iCs/>
        </w:rPr>
        <w:t>V. D.</w:t>
      </w:r>
      <w:r w:rsidRPr="00C00255">
        <w:rPr>
          <w:rStyle w:val="Numatytasispastraiposriftas1"/>
          <w:b w:val="0"/>
          <w:i/>
          <w:iCs/>
        </w:rPr>
        <w:t xml:space="preserve">, </w:t>
      </w:r>
      <w:r>
        <w:rPr>
          <w:rStyle w:val="Numatytasispastraiposriftas1"/>
          <w:b w:val="0"/>
          <w:i/>
          <w:iCs/>
        </w:rPr>
        <w:t>B. S.</w:t>
      </w:r>
      <w:r w:rsidRPr="00C00255">
        <w:rPr>
          <w:rStyle w:val="Numatytasispastraiposriftas1"/>
          <w:b w:val="0"/>
          <w:i/>
          <w:iCs/>
        </w:rPr>
        <w:t xml:space="preserve">, </w:t>
      </w:r>
      <w:r>
        <w:rPr>
          <w:rStyle w:val="Numatytasispastraiposriftas1"/>
          <w:b w:val="0"/>
          <w:i/>
          <w:iCs/>
        </w:rPr>
        <w:t>V. S. 3</w:t>
      </w:r>
      <w:r w:rsidRPr="00C00255">
        <w:rPr>
          <w:rStyle w:val="Numatytasispastraiposriftas1"/>
          <w:b w:val="0"/>
          <w:i/>
          <w:iCs/>
        </w:rPr>
        <w:t xml:space="preserve">, </w:t>
      </w:r>
      <w:r>
        <w:rPr>
          <w:rStyle w:val="Numatytasispastraiposriftas1"/>
          <w:b w:val="0"/>
          <w:i/>
          <w:iCs/>
        </w:rPr>
        <w:t>S. P.</w:t>
      </w:r>
      <w:r w:rsidRPr="00C00255">
        <w:rPr>
          <w:rStyle w:val="Numatytasispastraiposriftas1"/>
          <w:b w:val="0"/>
          <w:i/>
          <w:iCs/>
        </w:rPr>
        <w:t xml:space="preserve">, </w:t>
      </w:r>
      <w:r>
        <w:rPr>
          <w:rStyle w:val="Numatytasispastraiposriftas1"/>
          <w:b w:val="0"/>
          <w:i/>
          <w:iCs/>
        </w:rPr>
        <w:t>S. K.</w:t>
      </w:r>
      <w:r w:rsidRPr="00C00255">
        <w:rPr>
          <w:rStyle w:val="Numatytasispastraiposriftas1"/>
          <w:b w:val="0"/>
          <w:i/>
          <w:iCs/>
        </w:rPr>
        <w:t xml:space="preserve">, </w:t>
      </w:r>
      <w:r>
        <w:rPr>
          <w:rStyle w:val="Numatytasispastraiposriftas1"/>
          <w:b w:val="0"/>
          <w:i/>
          <w:iCs/>
        </w:rPr>
        <w:t>J. G.</w:t>
      </w:r>
      <w:r w:rsidRPr="00C00255">
        <w:rPr>
          <w:rStyle w:val="Numatytasispastraiposriftas1"/>
          <w:b w:val="0"/>
          <w:i/>
          <w:iCs/>
        </w:rPr>
        <w:t xml:space="preserve">, </w:t>
      </w:r>
      <w:r>
        <w:rPr>
          <w:rStyle w:val="Numatytasispastraiposriftas1"/>
          <w:b w:val="0"/>
          <w:i/>
          <w:iCs/>
        </w:rPr>
        <w:t>I. Š.</w:t>
      </w:r>
      <w:r w:rsidRPr="00C00255">
        <w:rPr>
          <w:rStyle w:val="Numatytasispastraiposriftas1"/>
          <w:b w:val="0"/>
          <w:i/>
          <w:iCs/>
        </w:rPr>
        <w:t xml:space="preserve">, </w:t>
      </w:r>
      <w:r>
        <w:rPr>
          <w:rStyle w:val="Numatytasispastraiposriftas1"/>
          <w:b w:val="0"/>
          <w:i/>
          <w:iCs/>
        </w:rPr>
        <w:t>A. G. 2</w:t>
      </w:r>
      <w:r w:rsidRPr="00C00255">
        <w:rPr>
          <w:rStyle w:val="Numatytasispastraiposriftas1"/>
          <w:b w:val="0"/>
          <w:i/>
          <w:iCs/>
        </w:rPr>
        <w:t xml:space="preserve">, </w:t>
      </w:r>
      <w:r>
        <w:rPr>
          <w:rStyle w:val="Numatytasispastraiposriftas1"/>
          <w:b w:val="0"/>
          <w:i/>
          <w:iCs/>
        </w:rPr>
        <w:t>A. Z.</w:t>
      </w:r>
      <w:r w:rsidRPr="00C00255">
        <w:rPr>
          <w:rStyle w:val="Numatytasispastraiposriftas1"/>
          <w:b w:val="0"/>
          <w:i/>
          <w:iCs/>
        </w:rPr>
        <w:t xml:space="preserve">, </w:t>
      </w:r>
      <w:r>
        <w:rPr>
          <w:rStyle w:val="Numatytasispastraiposriftas1"/>
          <w:b w:val="0"/>
          <w:i/>
          <w:iCs/>
        </w:rPr>
        <w:t>V. K. 2</w:t>
      </w:r>
      <w:r w:rsidRPr="00C00255">
        <w:rPr>
          <w:rStyle w:val="Numatytasispastraiposriftas1"/>
          <w:b w:val="0"/>
          <w:i/>
          <w:iCs/>
        </w:rPr>
        <w:t xml:space="preserve">, </w:t>
      </w:r>
      <w:r>
        <w:rPr>
          <w:rStyle w:val="Numatytasispastraiposriftas1"/>
          <w:b w:val="0"/>
          <w:i/>
          <w:iCs/>
        </w:rPr>
        <w:t>R. J. 2</w:t>
      </w:r>
      <w:r w:rsidRPr="00C00255">
        <w:rPr>
          <w:rStyle w:val="Numatytasispastraiposriftas1"/>
          <w:b w:val="0"/>
          <w:i/>
          <w:iCs/>
        </w:rPr>
        <w:t xml:space="preserve">, </w:t>
      </w:r>
      <w:r>
        <w:rPr>
          <w:rStyle w:val="Numatytasispastraiposriftas1"/>
          <w:b w:val="0"/>
          <w:i/>
          <w:iCs/>
        </w:rPr>
        <w:t>S. G.</w:t>
      </w:r>
      <w:r w:rsidRPr="00C00255">
        <w:rPr>
          <w:rStyle w:val="Numatytasispastraiposriftas1"/>
          <w:b w:val="0"/>
          <w:i/>
          <w:iCs/>
        </w:rPr>
        <w:t xml:space="preserve">, </w:t>
      </w:r>
      <w:r>
        <w:rPr>
          <w:rStyle w:val="Numatytasispastraiposriftas1"/>
          <w:b w:val="0"/>
          <w:i/>
          <w:iCs/>
        </w:rPr>
        <w:t>S. M.</w:t>
      </w:r>
      <w:r w:rsidRPr="00C00255">
        <w:rPr>
          <w:rStyle w:val="Numatytasispastraiposriftas1"/>
          <w:b w:val="0"/>
          <w:i/>
          <w:iCs/>
        </w:rPr>
        <w:t xml:space="preserve">, </w:t>
      </w:r>
      <w:r>
        <w:rPr>
          <w:rStyle w:val="Numatytasispastraiposriftas1"/>
          <w:b w:val="0"/>
          <w:i/>
          <w:iCs/>
        </w:rPr>
        <w:t>K. U.</w:t>
      </w:r>
      <w:r w:rsidRPr="00C00255">
        <w:rPr>
          <w:rStyle w:val="Numatytasispastraiposriftas1"/>
          <w:b w:val="0"/>
          <w:i/>
          <w:iCs/>
        </w:rPr>
        <w:t xml:space="preserve">, </w:t>
      </w:r>
      <w:r>
        <w:rPr>
          <w:rStyle w:val="Numatytasispastraiposriftas1"/>
          <w:b w:val="0"/>
          <w:i/>
          <w:iCs/>
        </w:rPr>
        <w:t>A. F. 1</w:t>
      </w:r>
      <w:r w:rsidRPr="00C00255">
        <w:rPr>
          <w:rStyle w:val="Numatytasispastraiposriftas1"/>
          <w:b w:val="0"/>
          <w:i/>
          <w:iCs/>
        </w:rPr>
        <w:t xml:space="preserve">, </w:t>
      </w:r>
      <w:r>
        <w:rPr>
          <w:rStyle w:val="Numatytasispastraiposriftas1"/>
          <w:b w:val="0"/>
          <w:i/>
          <w:iCs/>
        </w:rPr>
        <w:t>A. N. 2</w:t>
      </w:r>
      <w:r w:rsidRPr="00C00255">
        <w:rPr>
          <w:rStyle w:val="Numatytasispastraiposriftas1"/>
          <w:b w:val="0"/>
          <w:i/>
          <w:iCs/>
        </w:rPr>
        <w:t xml:space="preserve">, </w:t>
      </w:r>
      <w:r>
        <w:rPr>
          <w:rStyle w:val="Numatytasispastraiposriftas1"/>
          <w:b w:val="0"/>
          <w:i/>
          <w:iCs/>
        </w:rPr>
        <w:t>E. M.</w:t>
      </w:r>
      <w:r w:rsidRPr="00C00255">
        <w:rPr>
          <w:rStyle w:val="Numatytasispastraiposriftas1"/>
          <w:b w:val="0"/>
          <w:i/>
          <w:iCs/>
        </w:rPr>
        <w:t xml:space="preserve">, </w:t>
      </w:r>
      <w:r>
        <w:rPr>
          <w:rStyle w:val="Numatytasispastraiposriftas1"/>
          <w:b w:val="0"/>
          <w:i/>
          <w:iCs/>
        </w:rPr>
        <w:t>V. G.</w:t>
      </w:r>
      <w:r w:rsidRPr="00C00255">
        <w:rPr>
          <w:rStyle w:val="Numatytasispastraiposriftas1"/>
          <w:b w:val="0"/>
          <w:i/>
          <w:iCs/>
        </w:rPr>
        <w:t xml:space="preserve">, </w:t>
      </w:r>
      <w:r>
        <w:rPr>
          <w:rStyle w:val="Numatytasispastraiposriftas1"/>
          <w:b w:val="0"/>
          <w:i/>
          <w:iCs/>
        </w:rPr>
        <w:t>A. S.</w:t>
      </w:r>
      <w:r w:rsidRPr="00C00255">
        <w:rPr>
          <w:rStyle w:val="Numatytasispastraiposriftas1"/>
          <w:b w:val="0"/>
          <w:i/>
          <w:iCs/>
        </w:rPr>
        <w:t xml:space="preserve">, </w:t>
      </w:r>
      <w:r>
        <w:rPr>
          <w:rStyle w:val="Numatytasispastraiposriftas1"/>
          <w:b w:val="0"/>
          <w:i/>
          <w:iCs/>
        </w:rPr>
        <w:t>A. L.</w:t>
      </w:r>
      <w:r w:rsidRPr="00C00255">
        <w:rPr>
          <w:rStyle w:val="Numatytasispastraiposriftas1"/>
          <w:b w:val="0"/>
          <w:i/>
          <w:iCs/>
        </w:rPr>
        <w:t xml:space="preserve">, </w:t>
      </w:r>
      <w:r>
        <w:rPr>
          <w:rStyle w:val="Numatytasispastraiposriftas1"/>
          <w:b w:val="0"/>
          <w:i/>
          <w:iCs/>
        </w:rPr>
        <w:t>J. J.</w:t>
      </w:r>
      <w:r w:rsidRPr="00C00255">
        <w:rPr>
          <w:rStyle w:val="Numatytasispastraiposriftas1"/>
          <w:b w:val="0"/>
          <w:i/>
          <w:iCs/>
        </w:rPr>
        <w:t xml:space="preserve">, </w:t>
      </w:r>
      <w:r>
        <w:rPr>
          <w:rStyle w:val="Numatytasispastraiposriftas1"/>
          <w:b w:val="0"/>
          <w:i/>
          <w:iCs/>
        </w:rPr>
        <w:t>A. F. 2</w:t>
      </w:r>
      <w:r w:rsidRPr="00C00255">
        <w:rPr>
          <w:rStyle w:val="Numatytasispastraiposriftas1"/>
          <w:b w:val="0"/>
          <w:i/>
          <w:iCs/>
        </w:rPr>
        <w:t xml:space="preserve">, </w:t>
      </w:r>
      <w:r>
        <w:rPr>
          <w:rStyle w:val="Numatytasispastraiposriftas1"/>
          <w:b w:val="0"/>
          <w:i/>
          <w:iCs/>
        </w:rPr>
        <w:t>A. I.</w:t>
      </w:r>
      <w:r w:rsidRPr="00C00255">
        <w:rPr>
          <w:rStyle w:val="Numatytasispastraiposriftas1"/>
          <w:b w:val="0"/>
          <w:i/>
          <w:iCs/>
        </w:rPr>
        <w:t xml:space="preserve"> ir </w:t>
      </w:r>
      <w:r>
        <w:rPr>
          <w:rStyle w:val="Numatytasispastraiposriftas1"/>
          <w:b w:val="0"/>
          <w:i/>
          <w:iCs/>
        </w:rPr>
        <w:t>A. C.</w:t>
      </w:r>
      <w:r w:rsidRPr="00C00255">
        <w:rPr>
          <w:rStyle w:val="Numatytasispastraiposriftas1"/>
          <w:b w:val="0"/>
          <w:i/>
          <w:iCs/>
        </w:rPr>
        <w:t>.</w:t>
      </w:r>
    </w:p>
    <w:p w:rsidR="00DA38E9" w:rsidRPr="00C00255" w:rsidRDefault="00DA38E9" w:rsidP="00DA38E9">
      <w:pPr>
        <w:pStyle w:val="Sraopastraipa1"/>
        <w:spacing w:before="120" w:after="120"/>
        <w:ind w:left="992" w:firstLine="1"/>
        <w:jc w:val="both"/>
        <w:rPr>
          <w:rFonts w:eastAsia="Times New Roman"/>
          <w:b w:val="0"/>
          <w:i/>
          <w:iCs/>
        </w:rPr>
      </w:pPr>
      <w:r w:rsidRPr="00C00255">
        <w:rPr>
          <w:rStyle w:val="Numatytasispastraiposriftas1"/>
          <w:b w:val="0"/>
          <w:i/>
          <w:iCs/>
        </w:rPr>
        <w:t xml:space="preserve">Be to, </w:t>
      </w:r>
      <w:r>
        <w:rPr>
          <w:rStyle w:val="Numatytasispastraiposriftas1"/>
          <w:b w:val="0"/>
          <w:i/>
          <w:iCs/>
        </w:rPr>
        <w:t>D. J.</w:t>
      </w:r>
      <w:r w:rsidRPr="00C00255">
        <w:rPr>
          <w:rStyle w:val="Numatytasispastraiposriftas1"/>
          <w:b w:val="0"/>
          <w:i/>
          <w:iCs/>
        </w:rPr>
        <w:t>, pasinaudodamas užimamomis pareigomis, įsakymus bei nurodymus dėl karinės operacijos Lietuvoje vykdymo ir vadovavimo jai davė ir TSRS GM Sausumos pajėgų Pabaltijo karinės apygardos vado pavaduotojui V. O</w:t>
      </w:r>
      <w:r>
        <w:rPr>
          <w:rStyle w:val="Numatytasispastraiposriftas1"/>
          <w:b w:val="0"/>
          <w:i/>
          <w:iCs/>
        </w:rPr>
        <w:t>.</w:t>
      </w:r>
      <w:r w:rsidRPr="00C00255">
        <w:rPr>
          <w:rStyle w:val="Numatytasispastraiposriftas1"/>
          <w:b w:val="0"/>
          <w:i/>
          <w:iCs/>
        </w:rPr>
        <w:t xml:space="preserve"> (ikiteisminis tyrimas nutrauktas mirus), kuris nurodymus dėl karinės operacijos vykdymo perdavė jo pavaldume buvusiam TSRS GM Sausumos pajėgų Pabaltijo karinės apygardos 107-osios motorizuotų šaulių divizijos vadui </w:t>
      </w:r>
      <w:r>
        <w:rPr>
          <w:rStyle w:val="Numatytasispastraiposriftas1"/>
          <w:b w:val="0"/>
          <w:i/>
          <w:iCs/>
        </w:rPr>
        <w:t>V. U. 1</w:t>
      </w:r>
      <w:r w:rsidRPr="00C00255">
        <w:rPr>
          <w:rStyle w:val="Numatytasispastraiposriftas1"/>
          <w:b w:val="0"/>
          <w:i/>
          <w:iCs/>
        </w:rPr>
        <w:t xml:space="preserve">. </w:t>
      </w:r>
      <w:bookmarkStart w:id="867" w:name="_Hlk61516490"/>
      <w:r w:rsidRPr="00C00255">
        <w:rPr>
          <w:rStyle w:val="Numatytasispastraiposriftas1"/>
          <w:b w:val="0"/>
          <w:i/>
          <w:iCs/>
        </w:rPr>
        <w:t>Vykdydamas</w:t>
      </w:r>
      <w:r w:rsidRPr="00C00255">
        <w:rPr>
          <w:rStyle w:val="Numatytasispastraiposriftas1"/>
          <w:i/>
          <w:iCs/>
        </w:rPr>
        <w:t xml:space="preserve"> </w:t>
      </w:r>
      <w:r w:rsidRPr="00C00255">
        <w:rPr>
          <w:rStyle w:val="Numatytasispastraiposriftas1"/>
          <w:b w:val="0"/>
          <w:i/>
          <w:iCs/>
        </w:rPr>
        <w:t>TSRS GM Sausumos pajėgų Pabaltijo karinės apygardos vado pavaduotojo V. O</w:t>
      </w:r>
      <w:r>
        <w:rPr>
          <w:rStyle w:val="Numatytasispastraiposriftas1"/>
          <w:b w:val="0"/>
          <w:i/>
          <w:iCs/>
        </w:rPr>
        <w:t>.</w:t>
      </w:r>
      <w:r w:rsidRPr="00C00255">
        <w:rPr>
          <w:rStyle w:val="Numatytasispastraiposriftas1"/>
          <w:i/>
          <w:iCs/>
        </w:rPr>
        <w:t xml:space="preserve"> </w:t>
      </w:r>
      <w:bookmarkEnd w:id="867"/>
      <w:r w:rsidRPr="00C00255">
        <w:rPr>
          <w:rStyle w:val="Numatytasispastraiposriftas1"/>
          <w:b w:val="0"/>
          <w:i/>
          <w:iCs/>
        </w:rPr>
        <w:t xml:space="preserve">nurodymus, </w:t>
      </w:r>
      <w:r>
        <w:rPr>
          <w:rStyle w:val="Numatytasispastraiposriftas1"/>
          <w:b w:val="0"/>
          <w:i/>
          <w:iCs/>
        </w:rPr>
        <w:t>V. U. 1</w:t>
      </w:r>
      <w:r w:rsidRPr="00C00255">
        <w:rPr>
          <w:rStyle w:val="Numatytasispastraiposriftas1"/>
          <w:b w:val="0"/>
          <w:i/>
          <w:iCs/>
        </w:rPr>
        <w:t xml:space="preserve"> nurodymus dėl tiesioginio dalyvavimo karinėje operacijoje ir vadovavimo jai bei</w:t>
      </w:r>
      <w:r w:rsidRPr="00C00255">
        <w:rPr>
          <w:rStyle w:val="Numatytasispastraiposriftas1"/>
          <w:b w:val="0"/>
          <w:iCs/>
        </w:rPr>
        <w:t xml:space="preserve"> </w:t>
      </w:r>
      <w:r w:rsidRPr="00C00255">
        <w:rPr>
          <w:rStyle w:val="Numatytasispastraiposriftas1"/>
          <w:b w:val="0"/>
          <w:i/>
          <w:iCs/>
        </w:rPr>
        <w:t>dėl puolimo</w:t>
      </w:r>
      <w:r w:rsidRPr="00C00255">
        <w:rPr>
          <w:rStyle w:val="Numatytasispastraiposriftas1"/>
          <w:b w:val="0"/>
          <w:i/>
          <w:iCs/>
          <w:color w:val="FF0000"/>
        </w:rPr>
        <w:t xml:space="preserve"> </w:t>
      </w:r>
      <w:r w:rsidRPr="00C00255">
        <w:rPr>
          <w:rStyle w:val="Numatytasispastraiposriftas1"/>
          <w:b w:val="0"/>
          <w:i/>
          <w:iCs/>
        </w:rPr>
        <w:t xml:space="preserve">veiksmų koordinavimo perdavė pavaldumo tvarka paklūstantiems kariškiams: </w:t>
      </w:r>
      <w:r>
        <w:rPr>
          <w:rStyle w:val="Numatytasispastraiposriftas1"/>
          <w:b w:val="0"/>
          <w:i/>
          <w:iCs/>
        </w:rPr>
        <w:t>N. A.</w:t>
      </w:r>
      <w:r w:rsidRPr="00C00255">
        <w:rPr>
          <w:rStyle w:val="Numatytasispastraiposriftas1"/>
          <w:b w:val="0"/>
          <w:i/>
          <w:iCs/>
        </w:rPr>
        <w:t xml:space="preserve">, </w:t>
      </w:r>
      <w:r>
        <w:rPr>
          <w:rStyle w:val="Numatytasispastraiposriftas1"/>
          <w:b w:val="0"/>
          <w:i/>
          <w:iCs/>
        </w:rPr>
        <w:t>J. O.</w:t>
      </w:r>
      <w:r w:rsidRPr="00C00255">
        <w:rPr>
          <w:rStyle w:val="Numatytasispastraiposriftas1"/>
          <w:b w:val="0"/>
          <w:i/>
          <w:iCs/>
        </w:rPr>
        <w:t xml:space="preserve">, </w:t>
      </w:r>
      <w:r>
        <w:rPr>
          <w:rStyle w:val="Numatytasispastraiposriftas1"/>
          <w:b w:val="0"/>
          <w:i/>
          <w:iCs/>
        </w:rPr>
        <w:t>V. U. 2</w:t>
      </w:r>
      <w:r w:rsidRPr="00C00255">
        <w:rPr>
          <w:rStyle w:val="Numatytasispastraiposriftas1"/>
          <w:b w:val="0"/>
          <w:i/>
          <w:iCs/>
        </w:rPr>
        <w:t xml:space="preserve">, </w:t>
      </w:r>
      <w:r>
        <w:rPr>
          <w:rStyle w:val="Numatytasispastraiposriftas1"/>
          <w:b w:val="0"/>
          <w:i/>
          <w:iCs/>
        </w:rPr>
        <w:t>V. S. 4</w:t>
      </w:r>
      <w:r w:rsidRPr="00C00255">
        <w:rPr>
          <w:rStyle w:val="Numatytasispastraiposriftas1"/>
          <w:b w:val="0"/>
          <w:i/>
          <w:iCs/>
        </w:rPr>
        <w:t xml:space="preserve">, </w:t>
      </w:r>
      <w:r>
        <w:rPr>
          <w:rStyle w:val="Numatytasispastraiposriftas1"/>
          <w:b w:val="0"/>
          <w:i/>
          <w:iCs/>
        </w:rPr>
        <w:t>V. Š. 3</w:t>
      </w:r>
      <w:r w:rsidRPr="00C00255">
        <w:rPr>
          <w:rStyle w:val="Numatytasispastraiposriftas1"/>
          <w:b w:val="0"/>
          <w:i/>
          <w:iCs/>
        </w:rPr>
        <w:t xml:space="preserve"> </w:t>
      </w:r>
      <w:r>
        <w:rPr>
          <w:rStyle w:val="Numatytasispastraiposriftas1"/>
          <w:b w:val="0"/>
          <w:i/>
          <w:iCs/>
        </w:rPr>
        <w:t>S. V.</w:t>
      </w:r>
      <w:r w:rsidRPr="00C00255">
        <w:rPr>
          <w:rStyle w:val="Numatytasispastraiposriftas1"/>
          <w:b w:val="0"/>
          <w:i/>
          <w:iCs/>
        </w:rPr>
        <w:t xml:space="preserve">, </w:t>
      </w:r>
      <w:r>
        <w:rPr>
          <w:rStyle w:val="Numatytasispastraiposriftas1"/>
          <w:b w:val="0"/>
          <w:i/>
          <w:iCs/>
        </w:rPr>
        <w:t>V. P.</w:t>
      </w:r>
      <w:r w:rsidRPr="00C00255">
        <w:rPr>
          <w:rStyle w:val="Numatytasispastraiposriftas1"/>
          <w:b w:val="0"/>
          <w:i/>
          <w:iCs/>
        </w:rPr>
        <w:t xml:space="preserve">, </w:t>
      </w:r>
      <w:r>
        <w:rPr>
          <w:rStyle w:val="Numatytasispastraiposriftas1"/>
          <w:b w:val="0"/>
          <w:i/>
          <w:iCs/>
        </w:rPr>
        <w:t>E. R.</w:t>
      </w:r>
      <w:r w:rsidRPr="00C00255">
        <w:rPr>
          <w:rStyle w:val="Numatytasispastraiposriftas1"/>
          <w:b w:val="0"/>
          <w:i/>
          <w:iCs/>
        </w:rPr>
        <w:t xml:space="preserve">, </w:t>
      </w:r>
      <w:r>
        <w:rPr>
          <w:rStyle w:val="Numatytasispastraiposriftas1"/>
          <w:b w:val="0"/>
          <w:i/>
          <w:iCs/>
        </w:rPr>
        <w:t>A. G. 1</w:t>
      </w:r>
      <w:r w:rsidRPr="00C00255">
        <w:rPr>
          <w:rStyle w:val="Numatytasispastraiposriftas1"/>
          <w:b w:val="0"/>
          <w:i/>
          <w:iCs/>
        </w:rPr>
        <w:t xml:space="preserve">, </w:t>
      </w:r>
      <w:r>
        <w:rPr>
          <w:rStyle w:val="Numatytasispastraiposriftas1"/>
          <w:b w:val="0"/>
          <w:i/>
          <w:iCs/>
        </w:rPr>
        <w:t>A. B.</w:t>
      </w:r>
      <w:r w:rsidRPr="00C00255">
        <w:rPr>
          <w:rStyle w:val="Numatytasispastraiposriftas1"/>
          <w:b w:val="0"/>
          <w:i/>
          <w:iCs/>
        </w:rPr>
        <w:t xml:space="preserve">, </w:t>
      </w:r>
      <w:r>
        <w:rPr>
          <w:rStyle w:val="Numatytasispastraiposriftas1"/>
          <w:b w:val="0"/>
          <w:i/>
          <w:iCs/>
        </w:rPr>
        <w:t>O. A.</w:t>
      </w:r>
      <w:r w:rsidRPr="00C00255">
        <w:rPr>
          <w:rStyle w:val="Numatytasispastraiposriftas1"/>
          <w:b w:val="0"/>
          <w:i/>
          <w:iCs/>
        </w:rPr>
        <w:t xml:space="preserve">, </w:t>
      </w:r>
      <w:r>
        <w:rPr>
          <w:rStyle w:val="Numatytasispastraiposriftas1"/>
          <w:b w:val="0"/>
          <w:i/>
          <w:iCs/>
        </w:rPr>
        <w:t>N. S.</w:t>
      </w:r>
      <w:r w:rsidRPr="00C00255">
        <w:rPr>
          <w:rStyle w:val="Numatytasispastraiposriftas1"/>
          <w:b w:val="0"/>
          <w:i/>
          <w:iCs/>
        </w:rPr>
        <w:t xml:space="preserve">, </w:t>
      </w:r>
      <w:r>
        <w:rPr>
          <w:rStyle w:val="Numatytasispastraiposriftas1"/>
          <w:b w:val="0"/>
          <w:i/>
          <w:iCs/>
        </w:rPr>
        <w:t>A. U.</w:t>
      </w:r>
      <w:r w:rsidRPr="00C00255">
        <w:rPr>
          <w:rStyle w:val="Numatytasispastraiposriftas1"/>
          <w:b w:val="0"/>
          <w:i/>
          <w:iCs/>
        </w:rPr>
        <w:t xml:space="preserve">, </w:t>
      </w:r>
      <w:r>
        <w:rPr>
          <w:rStyle w:val="Numatytasispastraiposriftas1"/>
          <w:b w:val="0"/>
          <w:i/>
          <w:iCs/>
        </w:rPr>
        <w:t>A. K.</w:t>
      </w:r>
      <w:r w:rsidRPr="00C00255">
        <w:rPr>
          <w:rStyle w:val="Numatytasispastraiposriftas1"/>
          <w:b w:val="0"/>
          <w:i/>
          <w:iCs/>
        </w:rPr>
        <w:t xml:space="preserve">, </w:t>
      </w:r>
      <w:r>
        <w:rPr>
          <w:rStyle w:val="Numatytasispastraiposriftas1"/>
          <w:b w:val="0"/>
          <w:i/>
          <w:iCs/>
        </w:rPr>
        <w:t>D. F.</w:t>
      </w:r>
      <w:r w:rsidRPr="00C00255">
        <w:rPr>
          <w:rStyle w:val="Numatytasispastraiposriftas1"/>
          <w:b w:val="0"/>
          <w:i/>
          <w:iCs/>
        </w:rPr>
        <w:t xml:space="preserve">, </w:t>
      </w:r>
      <w:r>
        <w:rPr>
          <w:rStyle w:val="Numatytasispastraiposriftas1"/>
          <w:b w:val="0"/>
          <w:i/>
          <w:iCs/>
        </w:rPr>
        <w:t>J. M.</w:t>
      </w:r>
      <w:r w:rsidRPr="00C00255">
        <w:rPr>
          <w:rStyle w:val="Numatytasispastraiposriftas1"/>
          <w:b w:val="0"/>
          <w:i/>
          <w:iCs/>
        </w:rPr>
        <w:t xml:space="preserve">, </w:t>
      </w:r>
      <w:r>
        <w:rPr>
          <w:rStyle w:val="Numatytasispastraiposriftas1"/>
          <w:b w:val="0"/>
          <w:i/>
          <w:iCs/>
        </w:rPr>
        <w:t>D. B.</w:t>
      </w:r>
      <w:r w:rsidRPr="00C00255">
        <w:rPr>
          <w:rStyle w:val="Numatytasispastraiposriftas1"/>
          <w:b w:val="0"/>
          <w:i/>
          <w:iCs/>
        </w:rPr>
        <w:t xml:space="preserve">, </w:t>
      </w:r>
      <w:r>
        <w:rPr>
          <w:rStyle w:val="Numatytasispastraiposriftas1"/>
          <w:b w:val="0"/>
          <w:i/>
          <w:iCs/>
        </w:rPr>
        <w:t>N. O.</w:t>
      </w:r>
      <w:r w:rsidRPr="00C00255">
        <w:rPr>
          <w:rStyle w:val="Numatytasispastraiposriftas1"/>
          <w:b w:val="0"/>
          <w:i/>
          <w:iCs/>
        </w:rPr>
        <w:t xml:space="preserve">, </w:t>
      </w:r>
      <w:r>
        <w:rPr>
          <w:rStyle w:val="Numatytasispastraiposriftas1"/>
          <w:b w:val="0"/>
          <w:i/>
          <w:iCs/>
        </w:rPr>
        <w:t>A. K. 2</w:t>
      </w:r>
      <w:r w:rsidRPr="00C00255">
        <w:rPr>
          <w:rStyle w:val="Numatytasispastraiposriftas1"/>
          <w:b w:val="0"/>
          <w:i/>
          <w:iCs/>
        </w:rPr>
        <w:t xml:space="preserve">, </w:t>
      </w:r>
      <w:r>
        <w:rPr>
          <w:rStyle w:val="Numatytasispastraiposriftas1"/>
          <w:b w:val="0"/>
          <w:i/>
          <w:iCs/>
        </w:rPr>
        <w:t>A. R.</w:t>
      </w:r>
      <w:r w:rsidRPr="00C00255">
        <w:rPr>
          <w:rStyle w:val="Numatytasispastraiposriftas1"/>
          <w:b w:val="0"/>
          <w:i/>
          <w:iCs/>
        </w:rPr>
        <w:t>.</w:t>
      </w:r>
    </w:p>
    <w:p w:rsidR="00DA38E9" w:rsidRPr="00C00255" w:rsidRDefault="00DA38E9" w:rsidP="00DA38E9">
      <w:pPr>
        <w:pStyle w:val="Sraopastraipa1"/>
        <w:spacing w:before="120" w:after="120"/>
        <w:ind w:left="992" w:firstLine="1"/>
        <w:jc w:val="both"/>
        <w:rPr>
          <w:rFonts w:eastAsia="Times New Roman"/>
          <w:b w:val="0"/>
          <w:i/>
          <w:iCs/>
          <w:strike/>
        </w:rPr>
      </w:pPr>
      <w:r w:rsidRPr="00C00255">
        <w:rPr>
          <w:rFonts w:eastAsia="Times New Roman"/>
          <w:b w:val="0"/>
          <w:i/>
          <w:iCs/>
        </w:rPr>
        <w:t>TSRS VSK pirmininkas V. K</w:t>
      </w:r>
      <w:r>
        <w:rPr>
          <w:rFonts w:eastAsia="Times New Roman"/>
          <w:b w:val="0"/>
          <w:i/>
          <w:iCs/>
        </w:rPr>
        <w:t>.</w:t>
      </w:r>
      <w:r w:rsidRPr="00C00255">
        <w:rPr>
          <w:rFonts w:eastAsia="Times New Roman"/>
          <w:b w:val="0"/>
          <w:i/>
          <w:iCs/>
        </w:rPr>
        <w:t xml:space="preserve"> (ikiteisminis tyrimas nutrauktas mirus), pasinaudodamas savo tarnybine padėtimi, karinės operacijos koordinatoriais ir vykdytojais paskyrė TSRS VSK 3-iosios vyriausiosios valdybos viršininko pavaduotoją generolą majorą J</w:t>
      </w:r>
      <w:r>
        <w:rPr>
          <w:rFonts w:eastAsia="Times New Roman"/>
          <w:b w:val="0"/>
          <w:i/>
          <w:iCs/>
        </w:rPr>
        <w:t>.</w:t>
      </w:r>
      <w:r w:rsidRPr="00C00255">
        <w:rPr>
          <w:rFonts w:eastAsia="Times New Roman"/>
          <w:b w:val="0"/>
          <w:i/>
          <w:iCs/>
        </w:rPr>
        <w:t> K</w:t>
      </w:r>
      <w:r>
        <w:rPr>
          <w:rFonts w:eastAsia="Times New Roman"/>
          <w:b w:val="0"/>
          <w:i/>
          <w:iCs/>
        </w:rPr>
        <w:t>.</w:t>
      </w:r>
      <w:r w:rsidRPr="00C00255">
        <w:rPr>
          <w:rFonts w:eastAsia="Times New Roman"/>
          <w:b w:val="0"/>
          <w:i/>
          <w:iCs/>
        </w:rPr>
        <w:t xml:space="preserve"> (ikiteisminis tyrimas nutrauktas mirus) ir TSRS VSK specialiosios paskirties grupės „A“ viršininko pavaduotoją </w:t>
      </w:r>
      <w:r>
        <w:rPr>
          <w:rFonts w:eastAsia="Times New Roman"/>
          <w:b w:val="0"/>
          <w:i/>
          <w:iCs/>
        </w:rPr>
        <w:t xml:space="preserve">M. G. </w:t>
      </w:r>
      <w:r w:rsidRPr="00C00255">
        <w:rPr>
          <w:rFonts w:eastAsia="Times New Roman"/>
          <w:b w:val="0"/>
          <w:i/>
          <w:iCs/>
        </w:rPr>
        <w:t xml:space="preserve">. </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Veikdamas kartu su kitais jėgos struktūrų vadovais, TSRS vidaus reikalų ministras B</w:t>
      </w:r>
      <w:r>
        <w:rPr>
          <w:rFonts w:eastAsia="Times New Roman"/>
          <w:b w:val="0"/>
          <w:i/>
          <w:iCs/>
        </w:rPr>
        <w:t>.</w:t>
      </w:r>
      <w:r w:rsidRPr="00C00255">
        <w:rPr>
          <w:rFonts w:eastAsia="Times New Roman"/>
          <w:b w:val="0"/>
          <w:i/>
          <w:iCs/>
        </w:rPr>
        <w:t> P</w:t>
      </w:r>
      <w:r>
        <w:rPr>
          <w:rFonts w:eastAsia="Times New Roman"/>
          <w:b w:val="0"/>
          <w:i/>
          <w:iCs/>
        </w:rPr>
        <w:t xml:space="preserve">. </w:t>
      </w:r>
      <w:r w:rsidRPr="00C00255">
        <w:rPr>
          <w:rFonts w:eastAsia="Times New Roman"/>
          <w:b w:val="0"/>
          <w:i/>
          <w:iCs/>
        </w:rPr>
        <w:t xml:space="preserve">(ikiteisminis tyrimas nutrauktas mirus), pasinaudodamas savo tarnybine padėtimi, įsakymus dėl karinės operacijos Lietuvoje organizavimo davė savo pavaduotojui </w:t>
      </w:r>
      <w:r>
        <w:rPr>
          <w:rFonts w:eastAsia="Times New Roman"/>
          <w:b w:val="0"/>
          <w:i/>
          <w:iCs/>
        </w:rPr>
        <w:t>N. D.</w:t>
      </w:r>
      <w:r w:rsidRPr="00C00255">
        <w:rPr>
          <w:rFonts w:eastAsia="Times New Roman"/>
          <w:b w:val="0"/>
          <w:i/>
          <w:iCs/>
        </w:rPr>
        <w:t xml:space="preserve">, kuris ministro įsakymą, pavaldumo tvarka, perdavė TSRS VRM Šiaurės vakarų ir Pabaltijo vidaus kariuomenės valdybos viršininkui </w:t>
      </w:r>
      <w:r>
        <w:rPr>
          <w:rFonts w:eastAsia="Times New Roman"/>
          <w:b w:val="0"/>
          <w:i/>
          <w:iCs/>
        </w:rPr>
        <w:t>V. S. 1</w:t>
      </w:r>
      <w:r w:rsidRPr="00C00255">
        <w:rPr>
          <w:rFonts w:eastAsia="Times New Roman"/>
          <w:b w:val="0"/>
          <w:i/>
          <w:iCs/>
        </w:rPr>
        <w:t xml:space="preserve">. Pastarasis kartu su jo pavaldume esančiu TSRS VRM Šiaurės vakarų ir Pabaltijo vidaus kariuomenės valdybos 42-osios divizijos vadu </w:t>
      </w:r>
      <w:r>
        <w:rPr>
          <w:rFonts w:eastAsia="Times New Roman"/>
          <w:b w:val="0"/>
          <w:i/>
          <w:iCs/>
        </w:rPr>
        <w:t>A. Ž.</w:t>
      </w:r>
      <w:r w:rsidRPr="00C00255">
        <w:rPr>
          <w:rFonts w:eastAsia="Times New Roman"/>
          <w:b w:val="0"/>
          <w:i/>
          <w:iCs/>
        </w:rPr>
        <w:t xml:space="preserve">, vykdydami vadovybės įsakymus, nurodymus dėl tiesioginio dalyvavimo karinėje operacijoje bei konkrečių veiksmų atlikimo perdavė kitiems divizijos kariškiams: </w:t>
      </w:r>
      <w:r>
        <w:rPr>
          <w:rFonts w:eastAsia="Times New Roman"/>
          <w:b w:val="0"/>
          <w:i/>
          <w:iCs/>
        </w:rPr>
        <w:t>S. F.</w:t>
      </w:r>
      <w:r w:rsidRPr="00C00255">
        <w:rPr>
          <w:rFonts w:eastAsia="Times New Roman"/>
          <w:b w:val="0"/>
          <w:i/>
          <w:iCs/>
        </w:rPr>
        <w:t xml:space="preserve">, </w:t>
      </w:r>
      <w:r>
        <w:rPr>
          <w:rFonts w:eastAsia="Times New Roman"/>
          <w:b w:val="0"/>
          <w:i/>
          <w:iCs/>
        </w:rPr>
        <w:t>V. R.</w:t>
      </w:r>
      <w:r w:rsidRPr="00C00255">
        <w:rPr>
          <w:rFonts w:eastAsia="Times New Roman"/>
          <w:b w:val="0"/>
          <w:i/>
          <w:iCs/>
        </w:rPr>
        <w:t xml:space="preserve">, </w:t>
      </w:r>
      <w:r>
        <w:rPr>
          <w:rFonts w:eastAsia="Times New Roman"/>
          <w:b w:val="0"/>
          <w:i/>
          <w:iCs/>
        </w:rPr>
        <w:t>V. Š.</w:t>
      </w:r>
      <w:r w:rsidRPr="00C00255">
        <w:rPr>
          <w:rFonts w:eastAsia="Times New Roman"/>
          <w:b w:val="0"/>
          <w:i/>
          <w:iCs/>
        </w:rPr>
        <w:t xml:space="preserve">, </w:t>
      </w:r>
      <w:r>
        <w:rPr>
          <w:rFonts w:eastAsia="Times New Roman"/>
          <w:b w:val="0"/>
          <w:i/>
          <w:iCs/>
        </w:rPr>
        <w:t>O. M.</w:t>
      </w:r>
      <w:r w:rsidRPr="00C00255">
        <w:rPr>
          <w:rFonts w:eastAsia="Times New Roman"/>
          <w:b w:val="0"/>
          <w:i/>
          <w:iCs/>
        </w:rPr>
        <w:t xml:space="preserve">, </w:t>
      </w:r>
      <w:r>
        <w:rPr>
          <w:rFonts w:eastAsia="Times New Roman"/>
          <w:b w:val="0"/>
          <w:i/>
          <w:iCs/>
        </w:rPr>
        <w:t>V. M.</w:t>
      </w:r>
      <w:r w:rsidRPr="00C00255">
        <w:rPr>
          <w:rFonts w:eastAsia="Times New Roman"/>
          <w:b w:val="0"/>
          <w:i/>
          <w:iCs/>
        </w:rPr>
        <w:t xml:space="preserve">, </w:t>
      </w:r>
      <w:r>
        <w:rPr>
          <w:rFonts w:eastAsia="Times New Roman"/>
          <w:b w:val="0"/>
          <w:i/>
          <w:iCs/>
        </w:rPr>
        <w:t>G. P.</w:t>
      </w:r>
      <w:r w:rsidRPr="00C00255">
        <w:rPr>
          <w:rFonts w:eastAsia="Times New Roman"/>
          <w:b w:val="0"/>
          <w:i/>
          <w:iCs/>
        </w:rPr>
        <w:t xml:space="preserve">, </w:t>
      </w:r>
      <w:r>
        <w:rPr>
          <w:rFonts w:eastAsia="Times New Roman"/>
          <w:b w:val="0"/>
          <w:i/>
          <w:iCs/>
        </w:rPr>
        <w:t>M. </w:t>
      </w:r>
      <w:r w:rsidR="006F072D">
        <w:rPr>
          <w:rFonts w:eastAsia="Times New Roman"/>
          <w:b w:val="0"/>
          <w:i/>
          <w:iCs/>
        </w:rPr>
        <w:t>C.</w:t>
      </w:r>
      <w:r w:rsidRPr="00C00255">
        <w:rPr>
          <w:rFonts w:eastAsia="Times New Roman"/>
          <w:b w:val="0"/>
          <w:i/>
          <w:iCs/>
        </w:rPr>
        <w:t xml:space="preserve">, </w:t>
      </w:r>
      <w:r>
        <w:rPr>
          <w:rFonts w:eastAsia="Times New Roman"/>
          <w:b w:val="0"/>
          <w:i/>
          <w:iCs/>
        </w:rPr>
        <w:t>J. S.</w:t>
      </w:r>
      <w:r w:rsidRPr="00C00255">
        <w:rPr>
          <w:rFonts w:eastAsia="Times New Roman"/>
          <w:b w:val="0"/>
          <w:i/>
          <w:iCs/>
        </w:rPr>
        <w:t>.</w:t>
      </w:r>
    </w:p>
    <w:p w:rsidR="00DA38E9" w:rsidRPr="00C00255" w:rsidRDefault="00DA38E9" w:rsidP="00DA38E9">
      <w:pPr>
        <w:pStyle w:val="Sraopastraipa1"/>
        <w:spacing w:before="120" w:after="120"/>
        <w:ind w:left="992" w:firstLine="1"/>
        <w:jc w:val="both"/>
        <w:rPr>
          <w:rFonts w:eastAsia="Times New Roman"/>
          <w:b w:val="0"/>
          <w:i/>
          <w:iCs/>
        </w:rPr>
      </w:pPr>
      <w:bookmarkStart w:id="868" w:name="_Hlk61516592"/>
      <w:r w:rsidRPr="00C00255">
        <w:rPr>
          <w:rStyle w:val="Numatytasispastraiposriftas1"/>
          <w:b w:val="0"/>
          <w:i/>
          <w:iCs/>
        </w:rPr>
        <w:t xml:space="preserve">TSRS gynybos ministro </w:t>
      </w:r>
      <w:r>
        <w:rPr>
          <w:rStyle w:val="Numatytasispastraiposriftas1"/>
          <w:b w:val="0"/>
          <w:i/>
          <w:iCs/>
        </w:rPr>
        <w:t>D. J.</w:t>
      </w:r>
      <w:r w:rsidRPr="00C00255">
        <w:rPr>
          <w:rStyle w:val="Numatytasispastraiposriftas1"/>
          <w:b w:val="0"/>
          <w:i/>
          <w:iCs/>
        </w:rPr>
        <w:t xml:space="preserve">, TSRS vidaus reikalų ministro </w:t>
      </w:r>
      <w:r>
        <w:rPr>
          <w:rStyle w:val="Numatytasispastraiposriftas1"/>
          <w:b w:val="0"/>
          <w:i/>
          <w:iCs/>
        </w:rPr>
        <w:t>B. P.</w:t>
      </w:r>
      <w:r w:rsidRPr="00C00255">
        <w:rPr>
          <w:rStyle w:val="Numatytasispastraiposriftas1"/>
          <w:b w:val="0"/>
          <w:i/>
          <w:iCs/>
        </w:rPr>
        <w:t xml:space="preserve"> ir TSRS VSK pirmininko V.</w:t>
      </w:r>
      <w:r>
        <w:rPr>
          <w:rStyle w:val="Numatytasispastraiposriftas1"/>
          <w:b w:val="0"/>
          <w:i/>
          <w:iCs/>
        </w:rPr>
        <w:t> </w:t>
      </w:r>
      <w:r w:rsidRPr="00C00255">
        <w:rPr>
          <w:rStyle w:val="Numatytasispastraiposriftas1"/>
          <w:b w:val="0"/>
          <w:i/>
          <w:iCs/>
        </w:rPr>
        <w:t xml:space="preserve">K, kurių atžvilgiu ikiteisminis tyrimas nutrauktas, įkurtas vadovavimo karinei operacijai štabas, atsižvelgdamas į užimtinų objektų strateginę reikšmę ir Lietuvos nepriklausomybės rėmėjų, pasiryžusių ginti šiuos objektus, skaičių, karo atakose dalyvaujančias karines pajėgas (karinę techniką ir kariškių skaičių) paskirstė į užimamus objektus, konkretizavo kariuomenės rūšių užduotis ir veiksmus, paskyrė kariniams veiksmams vadovaujančius bei už veiksmų koordinavimą atsakingus karininkus, įsakė apie karinių operacijų eigą ir rezultatus informuoti vadovavimo štabą </w:t>
      </w:r>
      <w:bookmarkEnd w:id="868"/>
      <w:r w:rsidRPr="00C00255">
        <w:rPr>
          <w:rStyle w:val="Numatytasispastraiposriftas1"/>
          <w:b w:val="0"/>
          <w:i/>
          <w:iCs/>
        </w:rPr>
        <w:t>ir nutarė pradėti ginkluotą konfliktą, kurio metu užimti numatytus strateginius objektus, o Spaudos rūmus, TV bokštą bei LRT užimti vykdant tarptautinės humanitarinės teisės draudžiamas karo atakas nukreiptas prieš civilius. Rengiant karinę operaciją buvo siekiama remti ir vykdyti TSRS ir TSKP politiką dideliu mastu ir sistemingai užpuldinėti civilius, juos žudant, sunkiai sutrikdant jų sveikatą, persekiojant civilius dėl politinių ir nacionalinių motyvų. Karinę operaciją numatyta</w:t>
      </w:r>
      <w:r w:rsidRPr="00C00255">
        <w:rPr>
          <w:rStyle w:val="Numatytasispastraiposriftas1"/>
          <w:bCs/>
          <w:i/>
          <w:iCs/>
        </w:rPr>
        <w:t xml:space="preserve"> </w:t>
      </w:r>
      <w:r w:rsidRPr="00C00255">
        <w:rPr>
          <w:rStyle w:val="Numatytasispastraiposriftas1"/>
          <w:b w:val="0"/>
          <w:i/>
          <w:iCs/>
        </w:rPr>
        <w:t>vykdyti naudojant bauginimo ir teroro priemones, neteisėtai atimant ar suvaržant žmonių laisvę, panaudojant uždraustas karo priemones, o</w:t>
      </w:r>
      <w:r w:rsidRPr="00C00255">
        <w:rPr>
          <w:rStyle w:val="Numatytasispastraiposriftas1"/>
          <w:i/>
          <w:iCs/>
        </w:rPr>
        <w:t xml:space="preserve"> </w:t>
      </w:r>
      <w:r w:rsidRPr="00C00255">
        <w:rPr>
          <w:rStyle w:val="Numatytasispastraiposriftas1"/>
          <w:b w:val="0"/>
          <w:i/>
          <w:iCs/>
        </w:rPr>
        <w:t>būtent:</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xml:space="preserve">- Spaudos rūmų užėmimui paskirta </w:t>
      </w:r>
      <w:r w:rsidRPr="00C00255">
        <w:rPr>
          <w:rStyle w:val="Numatytasispastraiposriftas1"/>
          <w:b w:val="0"/>
          <w:i/>
          <w:iCs/>
        </w:rPr>
        <w:t>TSRS GM Oro desanto pajėgų 76-osios oro desanto divizijos</w:t>
      </w:r>
      <w:r w:rsidRPr="00C00255">
        <w:rPr>
          <w:rFonts w:eastAsia="Times New Roman"/>
          <w:b w:val="0"/>
          <w:i/>
          <w:iCs/>
        </w:rPr>
        <w:t xml:space="preserve"> kariškių grupė, vadovaujama </w:t>
      </w:r>
      <w:r>
        <w:rPr>
          <w:rFonts w:eastAsia="Times New Roman"/>
          <w:b w:val="0"/>
          <w:i/>
          <w:iCs/>
        </w:rPr>
        <w:t>V. K. 1</w:t>
      </w:r>
      <w:r w:rsidRPr="00C00255">
        <w:rPr>
          <w:rFonts w:eastAsia="Times New Roman"/>
          <w:b w:val="0"/>
          <w:i/>
          <w:iCs/>
        </w:rPr>
        <w:t xml:space="preserve"> ir </w:t>
      </w:r>
      <w:r w:rsidRPr="00C00255">
        <w:rPr>
          <w:rStyle w:val="Numatytasispastraiposriftas1"/>
          <w:b w:val="0"/>
          <w:i/>
          <w:iCs/>
        </w:rPr>
        <w:t xml:space="preserve">TSRS GM Sausumos pajėgų Pabaltijo karinės apygardos </w:t>
      </w:r>
      <w:r w:rsidRPr="00C00255">
        <w:rPr>
          <w:rFonts w:eastAsia="Times New Roman"/>
          <w:b w:val="0"/>
          <w:i/>
          <w:iCs/>
        </w:rPr>
        <w:t xml:space="preserve">107-osios motorizuotų šaulių divizijos 106-ojo tankų pulko jungtiniai ekipažai, vadovaujami </w:t>
      </w:r>
      <w:r>
        <w:rPr>
          <w:rFonts w:eastAsia="Times New Roman"/>
          <w:b w:val="0"/>
          <w:i/>
          <w:iCs/>
        </w:rPr>
        <w:t xml:space="preserve">G. I. </w:t>
      </w:r>
      <w:r w:rsidRPr="00C00255">
        <w:rPr>
          <w:rFonts w:eastAsia="Times New Roman"/>
          <w:b w:val="0"/>
          <w:i/>
          <w:iCs/>
        </w:rPr>
        <w:t>;</w:t>
      </w:r>
    </w:p>
    <w:p w:rsidR="00DA38E9" w:rsidRPr="00C00255" w:rsidRDefault="00DA38E9" w:rsidP="00DA38E9">
      <w:pPr>
        <w:pStyle w:val="Sraopastraipa1"/>
        <w:spacing w:before="120" w:after="120"/>
        <w:ind w:left="992" w:firstLine="1"/>
        <w:jc w:val="both"/>
        <w:rPr>
          <w:rFonts w:eastAsia="Times New Roman"/>
          <w:b w:val="0"/>
          <w:i/>
          <w:iCs/>
        </w:rPr>
      </w:pPr>
      <w:r w:rsidRPr="00C00255">
        <w:rPr>
          <w:rFonts w:eastAsia="Times New Roman"/>
          <w:b w:val="0"/>
          <w:i/>
          <w:iCs/>
        </w:rPr>
        <w:t xml:space="preserve">- TV bokšto ir LRT užėmimui paskirti trys šimtai keturi TSRS GM </w:t>
      </w:r>
      <w:r w:rsidRPr="00C00255">
        <w:rPr>
          <w:rStyle w:val="Numatytasispastraiposriftas1"/>
          <w:b w:val="0"/>
          <w:i/>
          <w:iCs/>
        </w:rPr>
        <w:t xml:space="preserve">Oro desanto pajėgų </w:t>
      </w:r>
      <w:r w:rsidRPr="00C00255">
        <w:rPr>
          <w:rFonts w:eastAsia="Times New Roman"/>
          <w:b w:val="0"/>
          <w:i/>
          <w:iCs/>
        </w:rPr>
        <w:t xml:space="preserve">76-osios oro desanto divizijos kariškiai, vadovaujami TSRS GM Oro desanto pajėgų 76-osios oro desanto divizijos vado pavaduotojo </w:t>
      </w:r>
      <w:r>
        <w:rPr>
          <w:rFonts w:eastAsia="Times New Roman"/>
          <w:b w:val="0"/>
          <w:i/>
          <w:iCs/>
        </w:rPr>
        <w:t>V. K. 1</w:t>
      </w:r>
      <w:r w:rsidRPr="00C00255">
        <w:rPr>
          <w:rFonts w:eastAsia="Times New Roman"/>
          <w:b w:val="0"/>
          <w:i/>
          <w:iCs/>
        </w:rPr>
        <w:t xml:space="preserve">; dvidešimt vienas TSRS GM </w:t>
      </w:r>
      <w:r w:rsidRPr="00C00255">
        <w:rPr>
          <w:rStyle w:val="Numatytasispastraiposriftas1"/>
          <w:b w:val="0"/>
          <w:i/>
          <w:iCs/>
        </w:rPr>
        <w:t xml:space="preserve">Sausumos pajėgų Pabaltijo karinės apygardos </w:t>
      </w:r>
      <w:r w:rsidRPr="00C00255">
        <w:rPr>
          <w:rFonts w:eastAsia="Times New Roman"/>
          <w:b w:val="0"/>
          <w:i/>
          <w:iCs/>
        </w:rPr>
        <w:t xml:space="preserve">107-osios motorizuotų šaulių divizijos 106-ojo tankų pulko kariškis ir 77-ojo motorizuotų šaulių pulko tankų bataliono kariškiai, vadovaujami TSRS GM Sausumos pajėgų Pabaltijo karinės apygardos 107-osios motorizuotų šaulių divizijos vado </w:t>
      </w:r>
      <w:r>
        <w:rPr>
          <w:rFonts w:eastAsia="Times New Roman"/>
          <w:b w:val="0"/>
          <w:i/>
          <w:iCs/>
        </w:rPr>
        <w:t>V. U. 1</w:t>
      </w:r>
      <w:r w:rsidRPr="00C00255">
        <w:rPr>
          <w:rFonts w:eastAsia="Times New Roman"/>
          <w:b w:val="0"/>
          <w:i/>
          <w:iCs/>
        </w:rPr>
        <w:t xml:space="preserve">; penkiasdešimt keturi TSRS VSK specialiosios paskirties grupės „A“ kariškiai, vadovaujami vado pavaduotojo </w:t>
      </w:r>
      <w:r>
        <w:rPr>
          <w:rFonts w:eastAsia="Times New Roman"/>
          <w:b w:val="0"/>
          <w:i/>
          <w:iCs/>
        </w:rPr>
        <w:t xml:space="preserve">M. G. </w:t>
      </w:r>
      <w:r w:rsidRPr="00C00255">
        <w:rPr>
          <w:rFonts w:eastAsia="Times New Roman"/>
          <w:b w:val="0"/>
          <w:i/>
          <w:iCs/>
        </w:rPr>
        <w:t xml:space="preserve">; šešiasdešimt trys kariškiai iš TSRS VRM Šiaurės vakarų ir Pabaltijo vidaus kariuomenės valdybos 42-osios divizijos, konvojaus ir milicijos pulkų, vadovaujami TSRS VRM Šiaurės vakarų ir Pabaltijo vidaus kariuomenės valdybos 42-osios divizijos vado </w:t>
      </w:r>
      <w:r>
        <w:rPr>
          <w:rFonts w:eastAsia="Times New Roman"/>
          <w:b w:val="0"/>
          <w:i/>
          <w:iCs/>
        </w:rPr>
        <w:t>A. Ž.</w:t>
      </w:r>
      <w:r w:rsidRPr="00C00255">
        <w:rPr>
          <w:rFonts w:eastAsia="Times New Roman"/>
          <w:b w:val="0"/>
          <w:i/>
          <w:iCs/>
        </w:rPr>
        <w:t xml:space="preserve">, bei draugovininkai, vadovaujami </w:t>
      </w:r>
      <w:r>
        <w:rPr>
          <w:rFonts w:eastAsia="Times New Roman"/>
          <w:b w:val="0"/>
          <w:i/>
          <w:iCs/>
        </w:rPr>
        <w:t>R. J. 1</w:t>
      </w:r>
      <w:r w:rsidRPr="00C00255">
        <w:rPr>
          <w:rFonts w:eastAsia="Times New Roman"/>
          <w:b w:val="0"/>
          <w:i/>
          <w:iCs/>
        </w:rPr>
        <w:t>, ir kt.</w:t>
      </w:r>
    </w:p>
    <w:p w:rsidR="00DA38E9" w:rsidRPr="00C00255" w:rsidRDefault="00DA38E9" w:rsidP="00DA38E9">
      <w:pPr>
        <w:pStyle w:val="Standard"/>
        <w:tabs>
          <w:tab w:val="left" w:pos="993"/>
        </w:tabs>
        <w:spacing w:before="120" w:after="120"/>
        <w:ind w:left="993" w:firstLine="0"/>
        <w:jc w:val="center"/>
        <w:rPr>
          <w:i/>
          <w:iCs/>
        </w:rPr>
      </w:pPr>
      <w:r w:rsidRPr="00C00255">
        <w:rPr>
          <w:rFonts w:eastAsia="Times New Roman"/>
          <w:b/>
        </w:rPr>
        <w:t>Spaudos rūmų, TV bokšto ir LRT užėmimas</w:t>
      </w:r>
    </w:p>
    <w:p w:rsidR="00DA38E9" w:rsidRPr="002C1EDB" w:rsidRDefault="00DA38E9" w:rsidP="00DA38E9">
      <w:pPr>
        <w:pStyle w:val="Sraopastraipa1"/>
        <w:spacing w:before="120" w:after="120"/>
        <w:ind w:left="992" w:firstLine="1"/>
        <w:jc w:val="both"/>
        <w:rPr>
          <w:rFonts w:eastAsia="Times New Roman"/>
          <w:b w:val="0"/>
          <w:i/>
          <w:iCs/>
          <w:strike/>
        </w:rPr>
      </w:pPr>
      <w:r w:rsidRPr="002C1EDB">
        <w:rPr>
          <w:rFonts w:eastAsia="Times New Roman"/>
          <w:b w:val="0"/>
          <w:i/>
          <w:iCs/>
        </w:rPr>
        <w:t xml:space="preserve">Bendrus kariškių veiksmus užimant Spaudos rūmus, TV bokštą ir LRT koordinavo TSRS VSK specialiosios paskirties grupės „A“ vado pavaduotojas M. G., TSRS GM </w:t>
      </w:r>
      <w:r w:rsidRPr="002C1EDB">
        <w:rPr>
          <w:rStyle w:val="Numatytasispastraiposriftas1"/>
          <w:b w:val="0"/>
          <w:i/>
          <w:iCs/>
        </w:rPr>
        <w:t>Oro desanto pajėgų</w:t>
      </w:r>
      <w:r w:rsidRPr="002C1EDB">
        <w:rPr>
          <w:rFonts w:eastAsia="Times New Roman"/>
          <w:b w:val="0"/>
          <w:i/>
          <w:iCs/>
        </w:rPr>
        <w:t xml:space="preserve"> 76-osios oro desanto divizijos vado pavaduotojas V. K. 1, TSRS GM </w:t>
      </w:r>
      <w:r w:rsidRPr="002C1EDB">
        <w:rPr>
          <w:rStyle w:val="Numatytasispastraiposriftas1"/>
          <w:b w:val="0"/>
          <w:i/>
          <w:iCs/>
        </w:rPr>
        <w:t>Sausumos pajėgų Pabaltijo karinės apygardos</w:t>
      </w:r>
      <w:r w:rsidRPr="002C1EDB">
        <w:rPr>
          <w:rFonts w:eastAsia="Times New Roman"/>
          <w:b w:val="0"/>
          <w:i/>
          <w:iCs/>
        </w:rPr>
        <w:t xml:space="preserve"> 107-osios motorizuotų šaulių divizijos vadas V. U. 1 ir TSRS VRM Šiaurės vakarų ir Pabaltijo vidaus kariuomenės valdybos 42-osios divizijos vadas A. Ž.. Koordinatorių veiksmus kontroliavo vadovavimo operacijai štabo nariai N. D. ir V. S. 1, kartu su kitais štabo nariais, kurių atžvilgiu tyrimas nutrauktas jiems mirus. Draugovininkų veiksmus kontroliavo ir koordinavo vadovavimo štabo nariai A. N. 1 ir V. Š. 1.</w:t>
      </w:r>
    </w:p>
    <w:p w:rsidR="00DA38E9" w:rsidRPr="00C00255" w:rsidRDefault="00DA38E9" w:rsidP="00DA38E9">
      <w:pPr>
        <w:pStyle w:val="Sraopastraipa1"/>
        <w:spacing w:before="120" w:after="120"/>
        <w:ind w:left="992" w:firstLine="1"/>
        <w:jc w:val="both"/>
        <w:rPr>
          <w:rStyle w:val="Numatytasispastraiposriftas1"/>
          <w:b w:val="0"/>
          <w:i/>
          <w:iCs/>
          <w:color w:val="000000"/>
        </w:rPr>
      </w:pPr>
      <w:r w:rsidRPr="00C00255">
        <w:rPr>
          <w:rStyle w:val="Numatytasispastraiposriftas1"/>
          <w:b w:val="0"/>
          <w:i/>
          <w:iCs/>
          <w:color w:val="000000"/>
        </w:rPr>
        <w:t xml:space="preserve">Bendrininkų grupės nariai, įgyvendindami vadovavimo karinei operacijai štabo patvirtintus planus, naudodami </w:t>
      </w:r>
      <w:r w:rsidRPr="00C00255">
        <w:rPr>
          <w:rStyle w:val="Numatytasispastraiposriftas1"/>
          <w:b w:val="0"/>
          <w:i/>
          <w:iCs/>
        </w:rPr>
        <w:t xml:space="preserve">tarptautinės teisės </w:t>
      </w:r>
      <w:r w:rsidRPr="00C00255">
        <w:rPr>
          <w:rStyle w:val="Numatytasispastraiposriftas1"/>
          <w:b w:val="0"/>
          <w:i/>
          <w:iCs/>
          <w:color w:val="000000"/>
        </w:rPr>
        <w:t>uždraustas karo ir bauginimo priemones, 1991 m. sausio mėnesį vykdė tarptautinės humanitarinės teisės draudžiamas karo atakas prieš civilius, kurių metu juos nužudė, sunkiai sutrikdė jų sveikatą ir padarė įvairaus sunkumo kūno sužalojimus bei jėga užėmė strateginės reikšmės objektus ir pastatus.</w:t>
      </w:r>
    </w:p>
    <w:p w:rsidR="00DA38E9" w:rsidRPr="00C00255" w:rsidRDefault="00DA38E9" w:rsidP="00DA38E9">
      <w:pPr>
        <w:pStyle w:val="ListParagraph"/>
        <w:spacing w:before="120" w:after="120"/>
        <w:ind w:left="992"/>
        <w:contextualSpacing w:val="0"/>
        <w:rPr>
          <w:szCs w:val="24"/>
        </w:rPr>
      </w:pPr>
      <w:r w:rsidRPr="00C00255">
        <w:rPr>
          <w:rStyle w:val="Numatytasispastraiposriftas1"/>
          <w:i/>
          <w:color w:val="000000"/>
          <w:lang w:eastAsia="ar-SA" w:bidi="lt-LT"/>
        </w:rPr>
        <w:t>TSRS agresija ir tarptautinis ginkluotas konfliktas prieš Lietuvą, paskelbusią apie savo nepriklausomybės atkūrimą, pradėti vykdyti 1991 m. sausio 11 d., kai, be kitų Lietuvos objektų, buvo</w:t>
      </w:r>
      <w:r w:rsidRPr="00C00255">
        <w:rPr>
          <w:szCs w:val="24"/>
        </w:rPr>
        <w:t xml:space="preserve"> </w:t>
      </w:r>
      <w:r w:rsidRPr="00C00255">
        <w:rPr>
          <w:i/>
          <w:iCs/>
          <w:szCs w:val="24"/>
        </w:rPr>
        <w:t xml:space="preserve">užimti </w:t>
      </w:r>
      <w:r w:rsidRPr="00C00255">
        <w:rPr>
          <w:i/>
          <w:iCs/>
          <w:lang w:eastAsia="lt-LT"/>
        </w:rPr>
        <w:t xml:space="preserve">Spaudos rūmai </w:t>
      </w:r>
      <w:r w:rsidRPr="00C00255">
        <w:rPr>
          <w:rFonts w:eastAsia="Calibri"/>
          <w:i/>
          <w:iCs/>
          <w:szCs w:val="24"/>
        </w:rPr>
        <w:t>(įvykių metu – Lietuvos Respublikos Valstybinė leidybos įmonė „Spauda“), esantys Laisvės pr. (įvykių metu – Kosmonautų pr.) Nr. 60, Vilniuje.</w:t>
      </w:r>
    </w:p>
    <w:p w:rsidR="00DA38E9" w:rsidRPr="002C1EDB" w:rsidRDefault="00DA38E9" w:rsidP="00DA38E9">
      <w:pPr>
        <w:pStyle w:val="Standard"/>
        <w:tabs>
          <w:tab w:val="left" w:pos="993"/>
        </w:tabs>
        <w:spacing w:before="120" w:after="120"/>
        <w:ind w:left="993" w:firstLine="0"/>
        <w:jc w:val="both"/>
        <w:rPr>
          <w:rStyle w:val="Heading3Char"/>
          <w:rFonts w:eastAsia="SimSun, 宋体"/>
          <w:i/>
          <w:iCs/>
          <w:sz w:val="24"/>
          <w:lang w:val="lt-LT"/>
        </w:rPr>
      </w:pPr>
      <w:bookmarkStart w:id="869" w:name="_Toc67677437"/>
      <w:bookmarkStart w:id="870" w:name="_Toc67985565"/>
      <w:r w:rsidRPr="002C1EDB">
        <w:rPr>
          <w:rStyle w:val="Heading3Char"/>
          <w:rFonts w:eastAsia="Calibri"/>
          <w:bCs/>
          <w:sz w:val="24"/>
          <w:lang w:val="lt-LT"/>
        </w:rPr>
        <w:t>Spaudos rūmų užėmimas</w:t>
      </w:r>
      <w:bookmarkEnd w:id="869"/>
      <w:bookmarkEnd w:id="870"/>
    </w:p>
    <w:p w:rsidR="00DA38E9" w:rsidRPr="00C00255" w:rsidRDefault="00DA38E9" w:rsidP="00DA38E9">
      <w:pPr>
        <w:pStyle w:val="ListParagraph"/>
        <w:spacing w:before="120" w:after="120"/>
        <w:ind w:left="993"/>
        <w:contextualSpacing w:val="0"/>
        <w:rPr>
          <w:rFonts w:eastAsia="Calibri"/>
          <w:i/>
          <w:iCs/>
          <w:szCs w:val="24"/>
        </w:rPr>
      </w:pPr>
      <w:r w:rsidRPr="00C00255">
        <w:rPr>
          <w:i/>
          <w:iCs/>
          <w:szCs w:val="24"/>
          <w:lang w:eastAsia="lt-LT"/>
        </w:rPr>
        <w:t>Užimant Spaudos rūmus tiesiogiai karo atakoje prie Spaudos rūmų dalyvavo šie nuteistieji:</w:t>
      </w:r>
      <w:r w:rsidRPr="00C00255">
        <w:rPr>
          <w:i/>
          <w:iCs/>
          <w:color w:val="C00000"/>
          <w:szCs w:val="24"/>
          <w:lang w:eastAsia="lt-LT"/>
        </w:rPr>
        <w:t xml:space="preserve"> </w:t>
      </w:r>
      <w:r>
        <w:rPr>
          <w:i/>
          <w:iCs/>
          <w:szCs w:val="24"/>
          <w:lang w:eastAsia="lt-LT"/>
        </w:rPr>
        <w:t>V. K. 1</w:t>
      </w:r>
      <w:r w:rsidRPr="00C00255">
        <w:rPr>
          <w:i/>
          <w:iCs/>
          <w:szCs w:val="24"/>
          <w:lang w:eastAsia="lt-LT"/>
        </w:rPr>
        <w:t xml:space="preserve">, </w:t>
      </w:r>
      <w:r>
        <w:rPr>
          <w:i/>
          <w:iCs/>
          <w:szCs w:val="24"/>
          <w:lang w:eastAsia="lt-LT"/>
        </w:rPr>
        <w:t>V. S. 2</w:t>
      </w:r>
      <w:r w:rsidRPr="00C00255">
        <w:rPr>
          <w:i/>
          <w:iCs/>
          <w:szCs w:val="24"/>
          <w:lang w:eastAsia="lt-LT"/>
        </w:rPr>
        <w:t xml:space="preserve">, </w:t>
      </w:r>
      <w:r>
        <w:rPr>
          <w:i/>
          <w:iCs/>
          <w:szCs w:val="24"/>
          <w:lang w:eastAsia="lt-LT"/>
        </w:rPr>
        <w:t>V. D.</w:t>
      </w:r>
      <w:r w:rsidRPr="00C00255">
        <w:rPr>
          <w:i/>
          <w:iCs/>
          <w:szCs w:val="24"/>
          <w:lang w:eastAsia="lt-LT"/>
        </w:rPr>
        <w:t xml:space="preserve">, </w:t>
      </w:r>
      <w:r>
        <w:rPr>
          <w:i/>
          <w:iCs/>
          <w:szCs w:val="24"/>
          <w:lang w:eastAsia="lt-LT"/>
        </w:rPr>
        <w:t>A. G. 2</w:t>
      </w:r>
      <w:r w:rsidRPr="00C00255">
        <w:rPr>
          <w:i/>
          <w:iCs/>
          <w:szCs w:val="24"/>
          <w:lang w:eastAsia="lt-LT"/>
        </w:rPr>
        <w:t xml:space="preserve">, </w:t>
      </w:r>
      <w:r>
        <w:rPr>
          <w:i/>
          <w:iCs/>
          <w:szCs w:val="24"/>
          <w:lang w:eastAsia="lt-LT"/>
        </w:rPr>
        <w:t>E. M.</w:t>
      </w:r>
      <w:r w:rsidRPr="00C00255">
        <w:rPr>
          <w:i/>
          <w:iCs/>
          <w:szCs w:val="24"/>
          <w:lang w:eastAsia="lt-LT"/>
        </w:rPr>
        <w:t xml:space="preserve">, </w:t>
      </w:r>
      <w:r>
        <w:rPr>
          <w:i/>
          <w:iCs/>
          <w:szCs w:val="24"/>
          <w:lang w:eastAsia="lt-LT"/>
        </w:rPr>
        <w:t>S. M.</w:t>
      </w:r>
      <w:r w:rsidRPr="00C00255">
        <w:rPr>
          <w:i/>
          <w:iCs/>
          <w:szCs w:val="24"/>
          <w:lang w:eastAsia="lt-LT"/>
        </w:rPr>
        <w:t xml:space="preserve">, </w:t>
      </w:r>
      <w:r>
        <w:rPr>
          <w:i/>
          <w:iCs/>
          <w:szCs w:val="24"/>
          <w:lang w:eastAsia="lt-LT"/>
        </w:rPr>
        <w:t>V. K. 2</w:t>
      </w:r>
      <w:r w:rsidRPr="00C00255">
        <w:rPr>
          <w:i/>
          <w:iCs/>
          <w:szCs w:val="24"/>
          <w:lang w:eastAsia="lt-LT"/>
        </w:rPr>
        <w:t xml:space="preserve"> </w:t>
      </w:r>
      <w:r w:rsidRPr="00C00255">
        <w:rPr>
          <w:szCs w:val="24"/>
        </w:rPr>
        <w:t>(</w:t>
      </w:r>
      <w:r w:rsidRPr="00C00255">
        <w:rPr>
          <w:rFonts w:eastAsia="Calibri"/>
        </w:rPr>
        <w:t xml:space="preserve">TSRS GM Oro desanto pajėgų 76-osios oro desanto divizijos kariškiai), </w:t>
      </w:r>
      <w:r>
        <w:rPr>
          <w:i/>
          <w:iCs/>
          <w:szCs w:val="24"/>
          <w:lang w:eastAsia="lt-LT"/>
        </w:rPr>
        <w:t>G. I.</w:t>
      </w:r>
      <w:r w:rsidRPr="00C00255">
        <w:rPr>
          <w:i/>
          <w:iCs/>
          <w:szCs w:val="24"/>
          <w:lang w:eastAsia="lt-LT"/>
        </w:rPr>
        <w:t xml:space="preserve">, </w:t>
      </w:r>
      <w:r>
        <w:rPr>
          <w:i/>
          <w:iCs/>
          <w:szCs w:val="24"/>
          <w:lang w:eastAsia="lt-LT"/>
        </w:rPr>
        <w:t>V. U. 2</w:t>
      </w:r>
      <w:r w:rsidRPr="00C00255">
        <w:rPr>
          <w:i/>
          <w:iCs/>
          <w:szCs w:val="24"/>
          <w:lang w:eastAsia="lt-LT"/>
        </w:rPr>
        <w:t xml:space="preserve">, </w:t>
      </w:r>
      <w:r>
        <w:rPr>
          <w:i/>
          <w:iCs/>
          <w:szCs w:val="24"/>
          <w:lang w:eastAsia="lt-LT"/>
        </w:rPr>
        <w:t>A. B.</w:t>
      </w:r>
      <w:r w:rsidRPr="00C00255">
        <w:rPr>
          <w:i/>
          <w:iCs/>
          <w:szCs w:val="24"/>
          <w:lang w:eastAsia="lt-LT"/>
        </w:rPr>
        <w:t xml:space="preserve">, </w:t>
      </w:r>
      <w:r>
        <w:rPr>
          <w:i/>
          <w:iCs/>
          <w:szCs w:val="24"/>
          <w:lang w:eastAsia="lt-LT"/>
        </w:rPr>
        <w:t>A. R.</w:t>
      </w:r>
      <w:r w:rsidRPr="00C00255">
        <w:rPr>
          <w:i/>
          <w:iCs/>
          <w:szCs w:val="24"/>
          <w:lang w:eastAsia="lt-LT"/>
        </w:rPr>
        <w:t xml:space="preserve">, </w:t>
      </w:r>
      <w:r>
        <w:rPr>
          <w:i/>
          <w:iCs/>
          <w:szCs w:val="24"/>
          <w:lang w:eastAsia="lt-LT"/>
        </w:rPr>
        <w:t>V. P.</w:t>
      </w:r>
      <w:r w:rsidRPr="00C00255">
        <w:rPr>
          <w:i/>
          <w:iCs/>
          <w:szCs w:val="24"/>
          <w:lang w:eastAsia="lt-LT"/>
        </w:rPr>
        <w:t xml:space="preserve">, </w:t>
      </w:r>
      <w:r>
        <w:rPr>
          <w:i/>
          <w:iCs/>
          <w:szCs w:val="24"/>
          <w:lang w:eastAsia="lt-LT"/>
        </w:rPr>
        <w:t>N. O.</w:t>
      </w:r>
      <w:r w:rsidRPr="00C00255">
        <w:rPr>
          <w:i/>
          <w:iCs/>
          <w:szCs w:val="24"/>
          <w:lang w:eastAsia="lt-LT"/>
        </w:rPr>
        <w:t xml:space="preserve">, </w:t>
      </w:r>
      <w:r>
        <w:rPr>
          <w:i/>
          <w:iCs/>
          <w:szCs w:val="24"/>
          <w:lang w:eastAsia="lt-LT"/>
        </w:rPr>
        <w:t>A. U.</w:t>
      </w:r>
      <w:r w:rsidRPr="00C00255">
        <w:rPr>
          <w:i/>
          <w:iCs/>
          <w:szCs w:val="24"/>
          <w:lang w:eastAsia="lt-LT"/>
        </w:rPr>
        <w:t xml:space="preserve">, </w:t>
      </w:r>
      <w:r>
        <w:rPr>
          <w:i/>
          <w:iCs/>
          <w:szCs w:val="24"/>
          <w:lang w:eastAsia="lt-LT"/>
        </w:rPr>
        <w:t>E. R.</w:t>
      </w:r>
      <w:r w:rsidRPr="00C00255">
        <w:rPr>
          <w:i/>
          <w:iCs/>
          <w:szCs w:val="24"/>
          <w:lang w:eastAsia="lt-LT"/>
        </w:rPr>
        <w:t xml:space="preserve">, </w:t>
      </w:r>
      <w:r>
        <w:rPr>
          <w:i/>
          <w:iCs/>
          <w:szCs w:val="24"/>
          <w:lang w:eastAsia="lt-LT"/>
        </w:rPr>
        <w:t>A. K. 2</w:t>
      </w:r>
      <w:r w:rsidRPr="00C00255">
        <w:rPr>
          <w:i/>
          <w:iCs/>
          <w:szCs w:val="24"/>
          <w:lang w:eastAsia="lt-LT"/>
        </w:rPr>
        <w:t xml:space="preserve"> ir </w:t>
      </w:r>
      <w:r>
        <w:rPr>
          <w:i/>
          <w:iCs/>
          <w:szCs w:val="24"/>
          <w:lang w:eastAsia="lt-LT"/>
        </w:rPr>
        <w:t>N. S.</w:t>
      </w:r>
      <w:r w:rsidRPr="00C00255">
        <w:rPr>
          <w:i/>
          <w:iCs/>
          <w:szCs w:val="24"/>
          <w:lang w:eastAsia="lt-LT"/>
        </w:rPr>
        <w:t xml:space="preserve"> (TSRS GM Sausumos pajėgų Pabaltijo karinės apygardos 107</w:t>
      </w:r>
      <w:r w:rsidRPr="00C00255">
        <w:rPr>
          <w:i/>
          <w:iCs/>
        </w:rPr>
        <w:t>-osios</w:t>
      </w:r>
      <w:r w:rsidRPr="00C00255">
        <w:rPr>
          <w:rFonts w:eastAsia="Calibri"/>
          <w:i/>
          <w:iCs/>
          <w:szCs w:val="24"/>
        </w:rPr>
        <w:t xml:space="preserve"> motorizuotų šaulių divizijos kariškiai)</w:t>
      </w:r>
      <w:r w:rsidRPr="00C00255">
        <w:rPr>
          <w:i/>
          <w:iCs/>
          <w:szCs w:val="24"/>
          <w:lang w:eastAsia="lt-LT"/>
        </w:rPr>
        <w:t>, v</w:t>
      </w:r>
      <w:r w:rsidRPr="00C00255">
        <w:rPr>
          <w:rFonts w:eastAsia="Calibri"/>
          <w:i/>
          <w:iCs/>
          <w:szCs w:val="24"/>
        </w:rPr>
        <w:t xml:space="preserve">ykdydami ir remdami kitos valstybės – TSRS ir jos organizacijos TSKP politiką </w:t>
      </w:r>
      <w:r w:rsidRPr="00C00255">
        <w:rPr>
          <w:rStyle w:val="Numatytasispastraiposriftas1"/>
          <w:i/>
          <w:iCs/>
          <w:color w:val="000000"/>
          <w:szCs w:val="24"/>
          <w:lang w:eastAsia="ar-SA" w:bidi="lt-LT"/>
        </w:rPr>
        <w:t xml:space="preserve">dideliu mastu ir sistemingai užpuldinėti civilius </w:t>
      </w:r>
      <w:r w:rsidRPr="00C00255">
        <w:rPr>
          <w:rFonts w:eastAsia="Calibri"/>
          <w:i/>
          <w:iCs/>
          <w:szCs w:val="24"/>
        </w:rPr>
        <w:t xml:space="preserve">bei įgyvendindami vadovavimo štabo pagal </w:t>
      </w:r>
      <w:r>
        <w:rPr>
          <w:rFonts w:eastAsia="Calibri"/>
          <w:i/>
          <w:iCs/>
          <w:szCs w:val="24"/>
        </w:rPr>
        <w:t>D. J.</w:t>
      </w:r>
      <w:r w:rsidRPr="00C00255">
        <w:rPr>
          <w:rFonts w:eastAsia="Calibri"/>
          <w:i/>
          <w:iCs/>
          <w:szCs w:val="24"/>
        </w:rPr>
        <w:t xml:space="preserve">, </w:t>
      </w:r>
      <w:r>
        <w:rPr>
          <w:rFonts w:eastAsia="Calibri"/>
          <w:i/>
          <w:iCs/>
          <w:szCs w:val="24"/>
        </w:rPr>
        <w:t>B. P.</w:t>
      </w:r>
      <w:r w:rsidRPr="00C00255">
        <w:rPr>
          <w:rFonts w:eastAsia="Calibri"/>
          <w:i/>
          <w:iCs/>
          <w:szCs w:val="24"/>
        </w:rPr>
        <w:t>, V. K</w:t>
      </w:r>
      <w:r>
        <w:rPr>
          <w:rFonts w:eastAsia="Calibri"/>
          <w:i/>
          <w:iCs/>
          <w:szCs w:val="24"/>
        </w:rPr>
        <w:t>.</w:t>
      </w:r>
      <w:r w:rsidRPr="00C00255">
        <w:rPr>
          <w:rFonts w:eastAsia="Calibri"/>
          <w:i/>
          <w:iCs/>
          <w:szCs w:val="24"/>
        </w:rPr>
        <w:t xml:space="preserve"> ir O. Š</w:t>
      </w:r>
      <w:r>
        <w:rPr>
          <w:rFonts w:eastAsia="Calibri"/>
          <w:i/>
          <w:iCs/>
          <w:szCs w:val="24"/>
        </w:rPr>
        <w:t>.</w:t>
      </w:r>
      <w:r w:rsidRPr="00C00255">
        <w:rPr>
          <w:rFonts w:eastAsia="Calibri"/>
          <w:i/>
          <w:iCs/>
          <w:szCs w:val="24"/>
        </w:rPr>
        <w:t xml:space="preserve">, kurių atžvilgiu procesas nutrauktas, ir kitų nenustatytų asmenų iniciatyva parengtą ir patvirtintą planą, TSRS agresijos ir tarptautinio ginkluoto konflikto metu, dalyvaujant apie dviem šimtams kariškių iš </w:t>
      </w:r>
      <w:r w:rsidRPr="00C00255">
        <w:rPr>
          <w:rStyle w:val="Numatytasispastraiposriftas1"/>
          <w:i/>
          <w:iCs/>
        </w:rPr>
        <w:t>TSRS GM Oro desanto pajėgų 76-osios oro desanto divizijos</w:t>
      </w:r>
      <w:r w:rsidRPr="00C00255">
        <w:rPr>
          <w:i/>
          <w:iCs/>
        </w:rPr>
        <w:t xml:space="preserve">, kuriems vadovavo </w:t>
      </w:r>
      <w:r>
        <w:rPr>
          <w:i/>
          <w:iCs/>
        </w:rPr>
        <w:t>V. K. 1</w:t>
      </w:r>
      <w:r w:rsidRPr="00C00255">
        <w:rPr>
          <w:i/>
          <w:iCs/>
        </w:rPr>
        <w:t xml:space="preserve">, ir dvylikai kariškių iš </w:t>
      </w:r>
      <w:r w:rsidRPr="00C00255">
        <w:rPr>
          <w:rStyle w:val="Numatytasispastraiposriftas1"/>
          <w:i/>
          <w:iCs/>
        </w:rPr>
        <w:t xml:space="preserve">TSRS GM Sausumos pajėgų Pabaltijo karinės apygardos </w:t>
      </w:r>
      <w:r w:rsidRPr="00C00255">
        <w:rPr>
          <w:i/>
          <w:iCs/>
        </w:rPr>
        <w:t>107-osios</w:t>
      </w:r>
      <w:r w:rsidRPr="00C00255">
        <w:rPr>
          <w:rFonts w:eastAsia="Calibri"/>
          <w:i/>
          <w:iCs/>
          <w:szCs w:val="24"/>
        </w:rPr>
        <w:t xml:space="preserve"> motorizuotų šaulių divizijos 106-ojo tankų pulko, kuriems vadovavo </w:t>
      </w:r>
      <w:r>
        <w:rPr>
          <w:rFonts w:eastAsia="Calibri"/>
          <w:i/>
          <w:iCs/>
          <w:szCs w:val="24"/>
        </w:rPr>
        <w:t>G. I.</w:t>
      </w:r>
      <w:r w:rsidRPr="00C00255">
        <w:rPr>
          <w:rFonts w:eastAsia="Calibri"/>
          <w:i/>
          <w:iCs/>
          <w:szCs w:val="24"/>
        </w:rPr>
        <w:t xml:space="preserve">, įvykdė tarptautinės humanitarinės teisės draudžiamą karo ataką prieš Spaudos rūmų pastate dirbusius ir jį gynusius civilius, kurios metu nežmoniškai elgėsi su tarptautinės humanitarinės teisės saugomais asmenimis, persekiojo civilius dėl politinių ir nacionalinių motyvų, sunkiai sutrikdė jų sveikatą, susargdino, o taip pat naudojo bauginimo ir teroro priemones bei tarptautinės teisės uždraustas karo priemones. </w:t>
      </w:r>
    </w:p>
    <w:p w:rsidR="00DA38E9" w:rsidRPr="00C00255" w:rsidRDefault="00DA38E9" w:rsidP="00DA38E9">
      <w:pPr>
        <w:pStyle w:val="ListParagraph"/>
        <w:spacing w:before="120" w:after="120"/>
        <w:ind w:left="992"/>
        <w:contextualSpacing w:val="0"/>
        <w:rPr>
          <w:rFonts w:eastAsia="Calibri"/>
          <w:i/>
          <w:iCs/>
          <w:szCs w:val="24"/>
        </w:rPr>
      </w:pPr>
      <w:r w:rsidRPr="00C00255">
        <w:rPr>
          <w:i/>
          <w:iCs/>
          <w:szCs w:val="24"/>
          <w:lang w:eastAsia="lt-LT"/>
        </w:rPr>
        <w:t xml:space="preserve">1991 m. </w:t>
      </w:r>
      <w:r w:rsidRPr="00C00255">
        <w:rPr>
          <w:rFonts w:eastAsia="Calibri"/>
          <w:i/>
          <w:iCs/>
          <w:szCs w:val="24"/>
        </w:rPr>
        <w:t xml:space="preserve">sausio 11 d., apie 12 val., TSRS GM Oro desanto pajėgų 76-osios oro desanto divizijos 237-ojo pulko kariškių grupė, vadovaujama </w:t>
      </w:r>
      <w:r>
        <w:rPr>
          <w:rFonts w:eastAsia="Calibri"/>
          <w:i/>
          <w:iCs/>
          <w:szCs w:val="24"/>
        </w:rPr>
        <w:t>V. K. 1</w:t>
      </w:r>
      <w:r w:rsidRPr="00C00255">
        <w:rPr>
          <w:rFonts w:eastAsia="Calibri"/>
          <w:i/>
          <w:iCs/>
          <w:szCs w:val="24"/>
        </w:rPr>
        <w:t xml:space="preserve">, prie Spaudos rūmų (įvykių metu – Lietuvos Respublikos Valstybinė leidybos įmonė „Spauda“), esančių Laisvės pr. (įvykių metu – Kosmonautų pr.) Nr. 60, Vilniuje, atvyko desanto kovinėmis mašinomis BMD, kurių borto numeriai 211, 212, 213, 221, 229 ir vadavietei skirta BMD, kurios borto numeris 601, trimis URAL automobiliais, skirtais kariškiams pervežti, bei dviem automobiliais UAZ. Išsilaipinę iš BMD bei URAL automobilių, </w:t>
      </w:r>
      <w:r w:rsidRPr="00C00255">
        <w:rPr>
          <w:rStyle w:val="Numatytasispastraiposriftas1"/>
          <w:i/>
          <w:iCs/>
          <w:color w:val="000000"/>
          <w:szCs w:val="24"/>
          <w:lang w:eastAsia="ar-SA" w:bidi="lt-LT"/>
        </w:rPr>
        <w:t>pradėjo tarptautinės humanitarinės teisės draudžiamą karo ataką prieš civilius, siekusius taikiu būdu užkirsti kelią TSRS ir TSKP vykdomai politikai – grąžinti Lietuvą į TSRS sudėtį. Kariškiai</w:t>
      </w:r>
      <w:r w:rsidRPr="00C00255">
        <w:rPr>
          <w:rFonts w:eastAsia="Calibri"/>
          <w:i/>
          <w:iCs/>
          <w:szCs w:val="24"/>
        </w:rPr>
        <w:t xml:space="preserve"> pasidalinę į dvi grupes į Spaudos rūmus veržėsi pro centrinį ir tarnybinį įėjimus. Oro desanto kariškiai,</w:t>
      </w:r>
      <w:r w:rsidRPr="00C00255">
        <w:rPr>
          <w:rStyle w:val="Numatytasispastraiposriftas1"/>
          <w:i/>
          <w:iCs/>
          <w:color w:val="000000"/>
          <w:lang w:eastAsia="ar-SA" w:bidi="lt-LT"/>
        </w:rPr>
        <w:t xml:space="preserve"> </w:t>
      </w:r>
      <w:r w:rsidRPr="00C00255">
        <w:rPr>
          <w:rStyle w:val="Numatytasispastraiposriftas1"/>
          <w:i/>
          <w:iCs/>
          <w:color w:val="000000"/>
          <w:szCs w:val="24"/>
          <w:lang w:eastAsia="ar-SA" w:bidi="lt-LT"/>
        </w:rPr>
        <w:t xml:space="preserve">persekiodami civilius dėl politinių ir nacionalinių motyvų ir nežmoniškai su jais elgdamiesi, </w:t>
      </w:r>
      <w:r w:rsidRPr="00C00255">
        <w:rPr>
          <w:rFonts w:eastAsia="Calibri"/>
          <w:i/>
          <w:iCs/>
          <w:szCs w:val="24"/>
        </w:rPr>
        <w:t>ginkluoti automatais AKS-74 ir AKS-74U, kulkosvaidžiais RPK-74 ir RPKS-74, skirtais šaudyti 5,45 mm šoviniais, snaiperiniais ginklais SVD, stumdydami, smūgiuodami kumščiais ir ginklais suduodami nenustatytą skaičių smūgių civiliams, juos baugino ir terorizavo.</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Šios karinės operacijos metu daliai kariškių patekus į civilių saugomą pastatą pro tarnybinį įėjimą, o likusiai kariškių daliai tebesiveržiant pro centrinį įėjimą, operacijai vadovavęs </w:t>
      </w:r>
      <w:r>
        <w:rPr>
          <w:rFonts w:eastAsia="Calibri"/>
          <w:i/>
          <w:iCs/>
          <w:szCs w:val="24"/>
        </w:rPr>
        <w:t>V. K. 1</w:t>
      </w:r>
      <w:r w:rsidRPr="00C00255">
        <w:rPr>
          <w:rFonts w:eastAsia="Calibri"/>
          <w:i/>
          <w:iCs/>
          <w:szCs w:val="24"/>
        </w:rPr>
        <w:t xml:space="preserve"> tyčia, iš automatinio ginklo AKS-74, naudodamas tarptautinės teisės uždraustą karo priemonę – 5,45 mm kalibro šovinius su išcentruota kulka, iššovė seriją šūvių į Spaudos rūmus gynusį ir vandens srovę į puolančius kariškius nukreipusį Krašto apsaugos departamento darbuotoją V</w:t>
      </w:r>
      <w:r>
        <w:rPr>
          <w:rFonts w:eastAsia="Calibri"/>
          <w:i/>
          <w:iCs/>
          <w:szCs w:val="24"/>
        </w:rPr>
        <w:t>. </w:t>
      </w:r>
      <w:r w:rsidRPr="00C00255">
        <w:rPr>
          <w:rFonts w:eastAsia="Calibri"/>
          <w:i/>
          <w:iCs/>
          <w:szCs w:val="24"/>
        </w:rPr>
        <w:t>L</w:t>
      </w:r>
      <w:r>
        <w:rPr>
          <w:rFonts w:eastAsia="Calibri"/>
          <w:i/>
          <w:iCs/>
          <w:szCs w:val="24"/>
        </w:rPr>
        <w:t>.</w:t>
      </w:r>
      <w:r w:rsidRPr="00C00255">
        <w:rPr>
          <w:rFonts w:eastAsia="Calibri"/>
          <w:i/>
          <w:iCs/>
          <w:szCs w:val="24"/>
        </w:rPr>
        <w:t xml:space="preserve">, tuo padarydamas jam sunkų sveikatos sutrikdymą, pasireiškusį kiauriniu šautiniu veido kairės pusės sužalojimu: viršutinio žandikaulio, kairio skruostikaulio, kairio skruosto nervo, kairės ausies landos sužalojimais, kairės akies tinklainės plyšimu ir galvos smegenų sukrėtimu, dėl ko </w:t>
      </w:r>
      <w:r>
        <w:rPr>
          <w:rFonts w:eastAsia="Calibri"/>
          <w:i/>
          <w:iCs/>
          <w:szCs w:val="24"/>
        </w:rPr>
        <w:t>V. L.</w:t>
      </w:r>
      <w:r w:rsidRPr="00C00255">
        <w:rPr>
          <w:rFonts w:eastAsia="Calibri"/>
          <w:i/>
          <w:iCs/>
          <w:szCs w:val="24"/>
        </w:rPr>
        <w:t xml:space="preserve"> sumažėjo regėjimas kaire akimi, jis apkurto kaire ausimi ir jam išsivystė psicho organinis sindromas.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Civiliams aktyviai priešinantis, vadovavimo operacijai štabas, reaguodamas į susidariusią padėtį, įsakė TSRS GM Oro desanto pajėgų 76-osios oro desanto divizijos 234-ojo pulko vadui I. K</w:t>
      </w:r>
      <w:r>
        <w:rPr>
          <w:rFonts w:eastAsia="Calibri"/>
          <w:i/>
          <w:iCs/>
          <w:szCs w:val="24"/>
        </w:rPr>
        <w:t>.</w:t>
      </w:r>
      <w:r w:rsidRPr="00C00255">
        <w:rPr>
          <w:rFonts w:eastAsia="Calibri"/>
          <w:i/>
          <w:iCs/>
          <w:szCs w:val="24"/>
        </w:rPr>
        <w:t>, kurio atžvilgiu ikiteisminis tyrimas nutrauktas, ir TSRS GM</w:t>
      </w:r>
      <w:r w:rsidRPr="00C00255">
        <w:rPr>
          <w:rFonts w:eastAsiaTheme="minorHAnsi"/>
          <w:i/>
          <w:iCs/>
          <w:szCs w:val="24"/>
        </w:rPr>
        <w:t xml:space="preserve"> </w:t>
      </w:r>
      <w:r w:rsidRPr="00C00255">
        <w:rPr>
          <w:rFonts w:eastAsia="Calibri"/>
          <w:i/>
          <w:iCs/>
          <w:szCs w:val="24"/>
        </w:rPr>
        <w:t xml:space="preserve">Sausumos pajėgų Pabaltijo karinės apygardos 107-osios motorizuotų šaulių divizijos 106-ojo tankų pulko vadui </w:t>
      </w:r>
      <w:r>
        <w:rPr>
          <w:rFonts w:eastAsia="Calibri"/>
          <w:i/>
          <w:iCs/>
          <w:szCs w:val="24"/>
        </w:rPr>
        <w:t xml:space="preserve">N. A. </w:t>
      </w:r>
      <w:r w:rsidRPr="00C00255">
        <w:rPr>
          <w:rFonts w:eastAsia="Calibri"/>
          <w:i/>
          <w:iCs/>
          <w:szCs w:val="24"/>
        </w:rPr>
        <w:t xml:space="preserve">pavesti pavaldiems kariškiams dalyvauti </w:t>
      </w:r>
      <w:r>
        <w:rPr>
          <w:rFonts w:eastAsia="Calibri"/>
          <w:i/>
          <w:iCs/>
          <w:szCs w:val="24"/>
        </w:rPr>
        <w:t>V. K. 1</w:t>
      </w:r>
      <w:r w:rsidRPr="00C00255">
        <w:rPr>
          <w:rFonts w:eastAsia="Calibri"/>
          <w:i/>
          <w:iCs/>
          <w:szCs w:val="24"/>
        </w:rPr>
        <w:t xml:space="preserve"> vadovaujamoje karo atakoje prie Spaudos rūmų.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Vykdydami šį įsakymą, TSRS GM Oro desanto pajėgų 76-osios oro desanto divizijos 234-ojo pulko trečiojo bataliono kariškiai, vadovaujami </w:t>
      </w:r>
      <w:r>
        <w:rPr>
          <w:rFonts w:eastAsia="Calibri"/>
          <w:i/>
          <w:iCs/>
          <w:szCs w:val="24"/>
        </w:rPr>
        <w:t>V. S. 2</w:t>
      </w:r>
      <w:r w:rsidRPr="00C00255">
        <w:rPr>
          <w:rFonts w:eastAsia="Calibri"/>
          <w:i/>
          <w:iCs/>
          <w:szCs w:val="24"/>
        </w:rPr>
        <w:t xml:space="preserve"> ir jam pavaldžių </w:t>
      </w:r>
      <w:r>
        <w:rPr>
          <w:rFonts w:eastAsia="Calibri"/>
          <w:i/>
          <w:iCs/>
          <w:szCs w:val="24"/>
        </w:rPr>
        <w:t>V. D.</w:t>
      </w:r>
      <w:r w:rsidRPr="00C00255">
        <w:rPr>
          <w:rFonts w:eastAsia="Calibri"/>
          <w:i/>
          <w:iCs/>
          <w:szCs w:val="24"/>
        </w:rPr>
        <w:t xml:space="preserve">, </w:t>
      </w:r>
      <w:r>
        <w:rPr>
          <w:rFonts w:eastAsia="Calibri"/>
          <w:i/>
          <w:iCs/>
          <w:szCs w:val="24"/>
        </w:rPr>
        <w:t>A. G. 2</w:t>
      </w:r>
      <w:r w:rsidRPr="00C00255">
        <w:rPr>
          <w:rFonts w:eastAsia="Calibri"/>
          <w:i/>
          <w:iCs/>
          <w:szCs w:val="24"/>
        </w:rPr>
        <w:t xml:space="preserve">, </w:t>
      </w:r>
      <w:r>
        <w:rPr>
          <w:rFonts w:eastAsia="Calibri"/>
          <w:i/>
          <w:iCs/>
          <w:szCs w:val="24"/>
        </w:rPr>
        <w:t>S. M.</w:t>
      </w:r>
      <w:r w:rsidRPr="00C00255">
        <w:rPr>
          <w:rFonts w:eastAsia="Calibri"/>
          <w:i/>
          <w:iCs/>
          <w:szCs w:val="24"/>
        </w:rPr>
        <w:t xml:space="preserve">, </w:t>
      </w:r>
      <w:r>
        <w:rPr>
          <w:rFonts w:eastAsia="Calibri"/>
          <w:i/>
          <w:iCs/>
          <w:szCs w:val="24"/>
        </w:rPr>
        <w:t>V. K. 2</w:t>
      </w:r>
      <w:r w:rsidRPr="00C00255">
        <w:rPr>
          <w:rFonts w:eastAsia="Calibri"/>
          <w:i/>
          <w:iCs/>
          <w:szCs w:val="24"/>
        </w:rPr>
        <w:t xml:space="preserve">, </w:t>
      </w:r>
      <w:r>
        <w:rPr>
          <w:rFonts w:eastAsia="Calibri"/>
          <w:i/>
          <w:iCs/>
          <w:szCs w:val="24"/>
        </w:rPr>
        <w:t>E. M.</w:t>
      </w:r>
      <w:r w:rsidRPr="00C00255">
        <w:rPr>
          <w:rFonts w:eastAsia="Calibri"/>
          <w:i/>
          <w:iCs/>
          <w:szCs w:val="24"/>
        </w:rPr>
        <w:t>, ginkluoti automatiniais ginklais, trimis URAL automobiliais atvyko prie Spaudos rūmų.</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TSRS GM Sausumos pajėgų Pabaltijo karinės apygardos 107-osios motorizuotų šaulių divizijos 106-ojo tankų pulko vado </w:t>
      </w:r>
      <w:r>
        <w:rPr>
          <w:rFonts w:eastAsia="Calibri"/>
          <w:i/>
          <w:iCs/>
          <w:szCs w:val="24"/>
        </w:rPr>
        <w:t xml:space="preserve">N. A. </w:t>
      </w:r>
      <w:r w:rsidRPr="00C00255">
        <w:rPr>
          <w:rFonts w:eastAsia="Calibri"/>
          <w:i/>
          <w:iCs/>
          <w:szCs w:val="24"/>
        </w:rPr>
        <w:t xml:space="preserve">nurodymu, prie Spaudos rūmų atvyko keturi 106-ojo tankų pulko tankai, vadovaujami </w:t>
      </w:r>
      <w:r>
        <w:rPr>
          <w:rFonts w:eastAsia="Calibri"/>
          <w:i/>
          <w:iCs/>
          <w:szCs w:val="24"/>
        </w:rPr>
        <w:t>G. I.</w:t>
      </w:r>
      <w:r w:rsidRPr="00C00255">
        <w:rPr>
          <w:rFonts w:eastAsia="Calibri"/>
          <w:i/>
          <w:iCs/>
          <w:szCs w:val="24"/>
        </w:rPr>
        <w:t xml:space="preserve">: tankas Nr. 511, kurio ekipaže buvo: tanko vadas </w:t>
      </w:r>
      <w:r>
        <w:rPr>
          <w:rFonts w:eastAsia="Calibri"/>
          <w:i/>
          <w:iCs/>
          <w:szCs w:val="24"/>
        </w:rPr>
        <w:t>V. U. 2</w:t>
      </w:r>
      <w:r w:rsidRPr="00C00255">
        <w:rPr>
          <w:rFonts w:eastAsia="Calibri"/>
          <w:i/>
          <w:iCs/>
          <w:szCs w:val="24"/>
        </w:rPr>
        <w:t xml:space="preserve">, taikytojas </w:t>
      </w:r>
      <w:r>
        <w:rPr>
          <w:rFonts w:eastAsia="Calibri"/>
          <w:i/>
          <w:iCs/>
          <w:szCs w:val="24"/>
        </w:rPr>
        <w:t>A. B.</w:t>
      </w:r>
      <w:r w:rsidRPr="00C00255">
        <w:rPr>
          <w:rFonts w:eastAsia="Calibri"/>
          <w:i/>
          <w:iCs/>
          <w:szCs w:val="24"/>
        </w:rPr>
        <w:t xml:space="preserve"> ir mechanikas-vairuotojas </w:t>
      </w:r>
      <w:r>
        <w:rPr>
          <w:rFonts w:eastAsia="Calibri"/>
          <w:i/>
          <w:iCs/>
          <w:szCs w:val="24"/>
        </w:rPr>
        <w:t>A. R.</w:t>
      </w:r>
      <w:r w:rsidRPr="00C00255">
        <w:rPr>
          <w:rFonts w:eastAsia="Calibri"/>
          <w:i/>
          <w:iCs/>
          <w:szCs w:val="24"/>
        </w:rPr>
        <w:t xml:space="preserve">; tankas Nr. 571, kurio ekipaže buvo: tanko vadas </w:t>
      </w:r>
      <w:r>
        <w:rPr>
          <w:rFonts w:eastAsia="Calibri"/>
          <w:i/>
          <w:iCs/>
          <w:szCs w:val="24"/>
        </w:rPr>
        <w:t>V. P.</w:t>
      </w:r>
      <w:r w:rsidRPr="00C00255">
        <w:rPr>
          <w:rFonts w:eastAsia="Calibri"/>
          <w:i/>
          <w:iCs/>
          <w:szCs w:val="24"/>
        </w:rPr>
        <w:t xml:space="preserve">, taikytojas </w:t>
      </w:r>
      <w:r>
        <w:rPr>
          <w:rFonts w:eastAsia="Calibri"/>
          <w:i/>
          <w:iCs/>
          <w:szCs w:val="24"/>
        </w:rPr>
        <w:t>N. O.</w:t>
      </w:r>
      <w:r w:rsidRPr="00C00255">
        <w:rPr>
          <w:rFonts w:eastAsia="Calibri"/>
          <w:i/>
          <w:iCs/>
          <w:szCs w:val="24"/>
        </w:rPr>
        <w:t xml:space="preserve"> ir mechanikas-vairuotojas </w:t>
      </w:r>
      <w:r>
        <w:rPr>
          <w:rFonts w:eastAsia="Calibri"/>
          <w:i/>
          <w:iCs/>
          <w:szCs w:val="24"/>
        </w:rPr>
        <w:t>A. U.</w:t>
      </w:r>
      <w:r w:rsidRPr="00C00255">
        <w:rPr>
          <w:rFonts w:eastAsia="Calibri"/>
          <w:i/>
          <w:iCs/>
          <w:szCs w:val="24"/>
        </w:rPr>
        <w:t xml:space="preserve">; tankas Nr. 574, kurio ekipaže buvo: tanko vadas </w:t>
      </w:r>
      <w:r>
        <w:rPr>
          <w:rFonts w:eastAsia="Calibri"/>
          <w:i/>
          <w:iCs/>
          <w:szCs w:val="24"/>
        </w:rPr>
        <w:t>E. R.</w:t>
      </w:r>
      <w:r w:rsidRPr="00C00255">
        <w:rPr>
          <w:rFonts w:eastAsia="Calibri"/>
          <w:i/>
          <w:iCs/>
          <w:szCs w:val="24"/>
        </w:rPr>
        <w:t xml:space="preserve">, taikytojas </w:t>
      </w:r>
      <w:r>
        <w:rPr>
          <w:rFonts w:eastAsia="Calibri"/>
          <w:i/>
          <w:iCs/>
          <w:szCs w:val="24"/>
        </w:rPr>
        <w:t>A. K. 2</w:t>
      </w:r>
      <w:r w:rsidRPr="00C00255">
        <w:rPr>
          <w:rFonts w:eastAsia="Calibri"/>
          <w:i/>
          <w:iCs/>
          <w:szCs w:val="24"/>
        </w:rPr>
        <w:t xml:space="preserve"> ir mechanikas-vairuotojas </w:t>
      </w:r>
      <w:r>
        <w:rPr>
          <w:rFonts w:eastAsia="Calibri"/>
          <w:i/>
          <w:iCs/>
          <w:szCs w:val="24"/>
        </w:rPr>
        <w:t>N. S.</w:t>
      </w:r>
      <w:r w:rsidRPr="00C00255">
        <w:rPr>
          <w:rFonts w:eastAsia="Calibri"/>
          <w:i/>
          <w:iCs/>
          <w:szCs w:val="24"/>
        </w:rPr>
        <w:t>; tankas Nr.</w:t>
      </w:r>
      <w:r>
        <w:rPr>
          <w:rFonts w:eastAsia="Calibri"/>
          <w:i/>
          <w:iCs/>
          <w:szCs w:val="24"/>
        </w:rPr>
        <w:t> </w:t>
      </w:r>
      <w:r w:rsidRPr="00C00255">
        <w:rPr>
          <w:rFonts w:eastAsia="Calibri"/>
          <w:i/>
          <w:iCs/>
          <w:szCs w:val="24"/>
        </w:rPr>
        <w:t>119, kurio ekipažo nariai nenustatyti.</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Pagal operacijai vadovavusio </w:t>
      </w:r>
      <w:r>
        <w:rPr>
          <w:rFonts w:eastAsia="Calibri"/>
          <w:i/>
          <w:iCs/>
          <w:szCs w:val="24"/>
        </w:rPr>
        <w:t>V. K. 1</w:t>
      </w:r>
      <w:r w:rsidRPr="00C00255">
        <w:rPr>
          <w:rFonts w:eastAsia="Calibri"/>
          <w:i/>
          <w:iCs/>
          <w:szCs w:val="24"/>
        </w:rPr>
        <w:t xml:space="preserve"> nurodymą atvykę keturi T-72 tankai ir apie šimtas kariškių iš TSRS GM Oro desanto pajėgų 76-osios oro desanto divizijos 234-ojo pulko trečiojo bataliono, išsirikiavo priešais centrinį Spaudos rūmų įėjimą ir pagal komandą pradėjo pakartotinę Spaudos rūmų ataką bei rūmus gynusių civilių puolimą, terorizavimą bei bauginimą. Puolimo metu tankai nemažiau kaip vieną kartą iššovė tuščiais užtaisais, tuo padarydami A</w:t>
      </w:r>
      <w:r>
        <w:rPr>
          <w:rFonts w:eastAsia="Calibri"/>
          <w:i/>
          <w:iCs/>
          <w:szCs w:val="24"/>
        </w:rPr>
        <w:t xml:space="preserve">. </w:t>
      </w:r>
      <w:r w:rsidRPr="00C00255">
        <w:rPr>
          <w:rFonts w:eastAsia="Calibri"/>
          <w:i/>
          <w:iCs/>
          <w:szCs w:val="24"/>
        </w:rPr>
        <w:t>Š</w:t>
      </w:r>
      <w:r>
        <w:rPr>
          <w:rFonts w:eastAsia="Calibri"/>
          <w:i/>
          <w:iCs/>
          <w:szCs w:val="24"/>
        </w:rPr>
        <w:t>.</w:t>
      </w:r>
      <w:r w:rsidRPr="00C00255">
        <w:rPr>
          <w:rFonts w:eastAsia="Calibri"/>
          <w:i/>
          <w:iCs/>
          <w:szCs w:val="24"/>
        </w:rPr>
        <w:t xml:space="preserve"> akustinę traumą, dėl ko, išsivysčius klausos didelio laipsnio netekimui su kairės ausies kurtumu, pastarasis neteko 30 ir daugiau procentų bendro darbingumo.</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Prie Spaudos rūmų buvę TSRS GM Oro desanto pajėgų 76-osios oro desanto divizijos 234-ojo ir 237-ojo pulkų kariškiai, gavę operacijai vadovavusio </w:t>
      </w:r>
      <w:r>
        <w:rPr>
          <w:rFonts w:eastAsia="Calibri"/>
          <w:i/>
          <w:iCs/>
          <w:szCs w:val="24"/>
        </w:rPr>
        <w:t>V. K. 1</w:t>
      </w:r>
      <w:r w:rsidRPr="00C00255">
        <w:rPr>
          <w:rFonts w:eastAsia="Calibri"/>
          <w:i/>
          <w:iCs/>
          <w:szCs w:val="24"/>
        </w:rPr>
        <w:t xml:space="preserve"> įsakymą, būdami ginkluoti minėtais ginklais ir šaudydami iš automatų AKS-74 ir AKS-74U tuščiais bei koviniais 5,45 mm kalibro šoviniais, kurių naudojimą draudžia tarptautinė teisė bei panaudodami artimos kovos veiksmus (stumdydami, smūgiuodami kumščiais ir kojomis, suduodami ginklais nenustatytą skaičių smūgių civiliams į įvairias kūno dalis), taip baugindami bei terorizuodami, atstūmė civilius nuo Spaudos rūmų pastato.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Karo atakos metu prie Spaudos rūmų dalyvavę kariškiai bendrais veiksmais užgrobė Spaudos rūmus, karo atakos metu naudojant bauginimo, teroro bei tarptautinės teisės uždraustas karo priemones, sutrikdė civilių asmenų sveikatą, padarydami įvairaus laipsnio kūno sužalojimus rūmus gynusiems civiliams asmenims: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S</w:t>
      </w:r>
      <w:r>
        <w:rPr>
          <w:rFonts w:eastAsia="Calibri"/>
          <w:i/>
          <w:iCs/>
          <w:szCs w:val="24"/>
        </w:rPr>
        <w:t>. </w:t>
      </w:r>
      <w:r w:rsidRPr="00C00255">
        <w:rPr>
          <w:rFonts w:eastAsia="Calibri"/>
          <w:i/>
          <w:iCs/>
          <w:szCs w:val="24"/>
        </w:rPr>
        <w:t>A</w:t>
      </w:r>
      <w:r>
        <w:rPr>
          <w:rFonts w:eastAsia="Calibri"/>
          <w:i/>
          <w:iCs/>
          <w:szCs w:val="24"/>
        </w:rPr>
        <w:t>.</w:t>
      </w:r>
      <w:r w:rsidRPr="00C00255">
        <w:rPr>
          <w:rFonts w:eastAsia="Calibri"/>
          <w:i/>
          <w:iCs/>
          <w:szCs w:val="24"/>
        </w:rPr>
        <w:t>, V</w:t>
      </w:r>
      <w:r>
        <w:rPr>
          <w:rFonts w:eastAsia="Calibri"/>
          <w:i/>
          <w:iCs/>
          <w:szCs w:val="24"/>
        </w:rPr>
        <w:t>.</w:t>
      </w:r>
      <w:r w:rsidRPr="00C00255">
        <w:rPr>
          <w:rFonts w:eastAsia="Calibri"/>
          <w:i/>
          <w:iCs/>
          <w:szCs w:val="24"/>
        </w:rPr>
        <w:t xml:space="preserve"> V</w:t>
      </w:r>
      <w:r>
        <w:rPr>
          <w:rFonts w:eastAsia="Calibri"/>
          <w:i/>
          <w:iCs/>
          <w:szCs w:val="24"/>
        </w:rPr>
        <w:t>.</w:t>
      </w:r>
      <w:r w:rsidRPr="00C00255">
        <w:rPr>
          <w:rFonts w:eastAsia="Calibri"/>
          <w:i/>
          <w:iCs/>
          <w:szCs w:val="24"/>
        </w:rPr>
        <w:t>, V</w:t>
      </w:r>
      <w:r>
        <w:rPr>
          <w:rFonts w:eastAsia="Calibri"/>
          <w:i/>
          <w:iCs/>
          <w:szCs w:val="24"/>
        </w:rPr>
        <w:t xml:space="preserve">. </w:t>
      </w:r>
      <w:r w:rsidRPr="00C00255">
        <w:rPr>
          <w:rFonts w:eastAsia="Calibri"/>
          <w:i/>
          <w:iCs/>
          <w:szCs w:val="24"/>
        </w:rPr>
        <w:t>B</w:t>
      </w:r>
      <w:r>
        <w:rPr>
          <w:rFonts w:eastAsia="Calibri"/>
          <w:i/>
          <w:iCs/>
          <w:szCs w:val="24"/>
        </w:rPr>
        <w:t>.</w:t>
      </w:r>
      <w:r w:rsidRPr="00C00255">
        <w:rPr>
          <w:rFonts w:eastAsia="Calibri"/>
          <w:i/>
          <w:iCs/>
          <w:szCs w:val="24"/>
        </w:rPr>
        <w:t>, P</w:t>
      </w:r>
      <w:r>
        <w:rPr>
          <w:rFonts w:eastAsia="Calibri"/>
          <w:i/>
          <w:iCs/>
          <w:szCs w:val="24"/>
        </w:rPr>
        <w:t>.</w:t>
      </w:r>
      <w:r w:rsidRPr="00C00255">
        <w:rPr>
          <w:rFonts w:eastAsia="Calibri"/>
          <w:i/>
          <w:iCs/>
          <w:szCs w:val="24"/>
        </w:rPr>
        <w:t> U</w:t>
      </w:r>
      <w:r>
        <w:rPr>
          <w:rFonts w:eastAsia="Calibri"/>
          <w:i/>
          <w:iCs/>
          <w:szCs w:val="24"/>
        </w:rPr>
        <w:t>.</w:t>
      </w:r>
      <w:r w:rsidRPr="00C00255">
        <w:rPr>
          <w:rFonts w:eastAsia="Calibri"/>
          <w:i/>
          <w:iCs/>
          <w:szCs w:val="24"/>
        </w:rPr>
        <w:t>, R</w:t>
      </w:r>
      <w:r>
        <w:rPr>
          <w:rFonts w:eastAsia="Calibri"/>
          <w:i/>
          <w:iCs/>
          <w:szCs w:val="24"/>
        </w:rPr>
        <w:t xml:space="preserve">. </w:t>
      </w:r>
      <w:r w:rsidRPr="00C00255">
        <w:rPr>
          <w:rFonts w:eastAsia="Calibri"/>
          <w:i/>
          <w:iCs/>
          <w:szCs w:val="24"/>
        </w:rPr>
        <w:t>D</w:t>
      </w:r>
      <w:r>
        <w:rPr>
          <w:rFonts w:eastAsia="Calibri"/>
          <w:i/>
          <w:iCs/>
          <w:szCs w:val="24"/>
        </w:rPr>
        <w:t>.</w:t>
      </w:r>
      <w:r w:rsidRPr="00C00255">
        <w:rPr>
          <w:rFonts w:eastAsia="Calibri"/>
          <w:i/>
          <w:iCs/>
          <w:szCs w:val="24"/>
        </w:rPr>
        <w:t>, V</w:t>
      </w:r>
      <w:r>
        <w:rPr>
          <w:rFonts w:eastAsia="Calibri"/>
          <w:i/>
          <w:iCs/>
          <w:szCs w:val="24"/>
        </w:rPr>
        <w:t xml:space="preserve">. </w:t>
      </w:r>
      <w:r w:rsidRPr="00C00255">
        <w:rPr>
          <w:rFonts w:eastAsia="Calibri"/>
          <w:i/>
          <w:iCs/>
          <w:szCs w:val="24"/>
        </w:rPr>
        <w:t>I</w:t>
      </w:r>
      <w:r>
        <w:rPr>
          <w:rFonts w:eastAsia="Calibri"/>
          <w:i/>
          <w:iCs/>
          <w:szCs w:val="24"/>
        </w:rPr>
        <w:t>.</w:t>
      </w:r>
      <w:r w:rsidRPr="00C00255">
        <w:rPr>
          <w:rFonts w:eastAsia="Calibri"/>
          <w:i/>
          <w:iCs/>
          <w:szCs w:val="24"/>
        </w:rPr>
        <w:t>, M</w:t>
      </w:r>
      <w:r>
        <w:rPr>
          <w:rFonts w:eastAsia="Calibri"/>
          <w:i/>
          <w:iCs/>
          <w:szCs w:val="24"/>
        </w:rPr>
        <w:t xml:space="preserve">. </w:t>
      </w:r>
      <w:r w:rsidRPr="00C00255">
        <w:rPr>
          <w:rFonts w:eastAsia="Calibri"/>
          <w:i/>
          <w:iCs/>
          <w:szCs w:val="24"/>
        </w:rPr>
        <w:t>J</w:t>
      </w:r>
      <w:r>
        <w:rPr>
          <w:rFonts w:eastAsia="Calibri"/>
          <w:i/>
          <w:iCs/>
          <w:szCs w:val="24"/>
        </w:rPr>
        <w:t>.</w:t>
      </w:r>
      <w:r w:rsidRPr="00C00255">
        <w:rPr>
          <w:rFonts w:eastAsia="Calibri"/>
          <w:i/>
          <w:iCs/>
          <w:szCs w:val="24"/>
        </w:rPr>
        <w:t>, D</w:t>
      </w:r>
      <w:r>
        <w:rPr>
          <w:rFonts w:eastAsia="Calibri"/>
          <w:i/>
          <w:iCs/>
          <w:szCs w:val="24"/>
        </w:rPr>
        <w:t>.</w:t>
      </w:r>
      <w:r w:rsidRPr="00C00255">
        <w:rPr>
          <w:rFonts w:eastAsia="Calibri"/>
          <w:i/>
          <w:iCs/>
          <w:szCs w:val="24"/>
        </w:rPr>
        <w:t> L</w:t>
      </w:r>
      <w:r>
        <w:rPr>
          <w:rFonts w:eastAsia="Calibri"/>
          <w:i/>
          <w:iCs/>
          <w:szCs w:val="24"/>
        </w:rPr>
        <w:t>.</w:t>
      </w:r>
      <w:r w:rsidRPr="00C00255">
        <w:rPr>
          <w:rFonts w:eastAsia="Calibri"/>
          <w:i/>
          <w:iCs/>
          <w:szCs w:val="24"/>
        </w:rPr>
        <w:t>, K</w:t>
      </w:r>
      <w:r>
        <w:rPr>
          <w:rFonts w:eastAsia="Calibri"/>
          <w:i/>
          <w:iCs/>
          <w:szCs w:val="24"/>
        </w:rPr>
        <w:t>.</w:t>
      </w:r>
      <w:r w:rsidRPr="00C00255">
        <w:rPr>
          <w:rFonts w:eastAsia="Calibri"/>
          <w:i/>
          <w:iCs/>
          <w:szCs w:val="24"/>
        </w:rPr>
        <w:t> K</w:t>
      </w:r>
      <w:r>
        <w:rPr>
          <w:rFonts w:eastAsia="Calibri"/>
          <w:i/>
          <w:iCs/>
          <w:szCs w:val="24"/>
        </w:rPr>
        <w:t>.</w:t>
      </w:r>
      <w:r w:rsidRPr="00C00255">
        <w:rPr>
          <w:rFonts w:eastAsia="Calibri"/>
          <w:i/>
          <w:iCs/>
          <w:szCs w:val="24"/>
        </w:rPr>
        <w:t>, J</w:t>
      </w:r>
      <w:r>
        <w:rPr>
          <w:rFonts w:eastAsia="Calibri"/>
          <w:i/>
          <w:iCs/>
          <w:szCs w:val="24"/>
        </w:rPr>
        <w:t xml:space="preserve">. </w:t>
      </w:r>
      <w:r w:rsidRPr="00C00255">
        <w:rPr>
          <w:rFonts w:eastAsia="Calibri"/>
          <w:i/>
          <w:iCs/>
          <w:szCs w:val="24"/>
        </w:rPr>
        <w:t>P</w:t>
      </w:r>
      <w:r>
        <w:rPr>
          <w:rFonts w:eastAsia="Calibri"/>
          <w:i/>
          <w:iCs/>
          <w:szCs w:val="24"/>
        </w:rPr>
        <w:t>.</w:t>
      </w:r>
      <w:r w:rsidRPr="00C00255">
        <w:rPr>
          <w:rFonts w:eastAsia="Calibri"/>
          <w:i/>
          <w:iCs/>
          <w:szCs w:val="24"/>
        </w:rPr>
        <w:t>, E</w:t>
      </w:r>
      <w:r>
        <w:rPr>
          <w:rFonts w:eastAsia="Calibri"/>
          <w:i/>
          <w:iCs/>
          <w:szCs w:val="24"/>
        </w:rPr>
        <w:t xml:space="preserve">. </w:t>
      </w:r>
      <w:r w:rsidRPr="00C00255">
        <w:rPr>
          <w:rFonts w:eastAsia="Calibri"/>
          <w:i/>
          <w:iCs/>
          <w:szCs w:val="24"/>
        </w:rPr>
        <w:t>M</w:t>
      </w:r>
      <w:r>
        <w:rPr>
          <w:rFonts w:eastAsia="Calibri"/>
          <w:i/>
          <w:iCs/>
          <w:szCs w:val="24"/>
        </w:rPr>
        <w:t>.,</w:t>
      </w:r>
      <w:r w:rsidRPr="00C00255">
        <w:rPr>
          <w:rFonts w:eastAsia="Calibri"/>
          <w:i/>
          <w:iCs/>
          <w:szCs w:val="24"/>
        </w:rPr>
        <w:t xml:space="preserve"> G</w:t>
      </w:r>
      <w:r>
        <w:rPr>
          <w:rFonts w:eastAsia="Calibri"/>
          <w:i/>
          <w:iCs/>
          <w:szCs w:val="24"/>
        </w:rPr>
        <w:t>.</w:t>
      </w:r>
      <w:r w:rsidRPr="00C00255">
        <w:rPr>
          <w:rFonts w:eastAsia="Calibri"/>
          <w:i/>
          <w:iCs/>
          <w:szCs w:val="24"/>
        </w:rPr>
        <w:t> P</w:t>
      </w:r>
      <w:r>
        <w:rPr>
          <w:rFonts w:eastAsia="Calibri"/>
          <w:i/>
          <w:iCs/>
          <w:szCs w:val="24"/>
        </w:rPr>
        <w:t>.</w:t>
      </w:r>
      <w:r w:rsidRPr="00C00255">
        <w:rPr>
          <w:rFonts w:eastAsia="Calibri"/>
          <w:i/>
          <w:iCs/>
          <w:szCs w:val="24"/>
        </w:rPr>
        <w:t>, P</w:t>
      </w:r>
      <w:r>
        <w:rPr>
          <w:rFonts w:eastAsia="Calibri"/>
          <w:i/>
          <w:iCs/>
          <w:szCs w:val="24"/>
        </w:rPr>
        <w:t xml:space="preserve">. </w:t>
      </w:r>
      <w:r w:rsidRPr="00C00255">
        <w:rPr>
          <w:rFonts w:eastAsia="Calibri"/>
          <w:i/>
          <w:iCs/>
          <w:szCs w:val="24"/>
        </w:rPr>
        <w:t>M</w:t>
      </w:r>
      <w:r>
        <w:rPr>
          <w:rFonts w:eastAsia="Calibri"/>
          <w:i/>
          <w:iCs/>
          <w:szCs w:val="24"/>
        </w:rPr>
        <w:t>.</w:t>
      </w:r>
      <w:r w:rsidRPr="00C00255">
        <w:rPr>
          <w:rFonts w:eastAsia="Calibri"/>
          <w:i/>
          <w:iCs/>
          <w:szCs w:val="24"/>
        </w:rPr>
        <w:t>, V</w:t>
      </w:r>
      <w:r>
        <w:rPr>
          <w:rFonts w:eastAsia="Calibri"/>
          <w:i/>
          <w:iCs/>
          <w:szCs w:val="24"/>
        </w:rPr>
        <w:t>. </w:t>
      </w:r>
      <w:r w:rsidRPr="00C00255">
        <w:rPr>
          <w:rFonts w:eastAsia="Calibri"/>
          <w:i/>
          <w:iCs/>
          <w:szCs w:val="24"/>
        </w:rPr>
        <w:t>P</w:t>
      </w:r>
      <w:r>
        <w:rPr>
          <w:rFonts w:eastAsia="Calibri"/>
          <w:i/>
          <w:iCs/>
          <w:szCs w:val="24"/>
        </w:rPr>
        <w:t>.</w:t>
      </w:r>
      <w:r w:rsidRPr="00C00255">
        <w:rPr>
          <w:rFonts w:eastAsia="Calibri"/>
          <w:i/>
          <w:iCs/>
          <w:szCs w:val="24"/>
        </w:rPr>
        <w:t>, A</w:t>
      </w:r>
      <w:r>
        <w:rPr>
          <w:rFonts w:eastAsia="Calibri"/>
          <w:i/>
          <w:iCs/>
          <w:szCs w:val="24"/>
        </w:rPr>
        <w:t>. </w:t>
      </w:r>
      <w:r w:rsidRPr="00C00255">
        <w:rPr>
          <w:rFonts w:eastAsia="Calibri"/>
          <w:i/>
          <w:iCs/>
          <w:szCs w:val="24"/>
        </w:rPr>
        <w:t>P</w:t>
      </w:r>
      <w:r>
        <w:rPr>
          <w:rFonts w:eastAsia="Calibri"/>
          <w:i/>
          <w:iCs/>
          <w:szCs w:val="24"/>
        </w:rPr>
        <w:t xml:space="preserve">., A. </w:t>
      </w:r>
      <w:r w:rsidRPr="00C00255">
        <w:rPr>
          <w:rFonts w:eastAsia="Calibri"/>
          <w:i/>
          <w:iCs/>
          <w:szCs w:val="24"/>
        </w:rPr>
        <w:t>R</w:t>
      </w:r>
      <w:r>
        <w:rPr>
          <w:rFonts w:eastAsia="Calibri"/>
          <w:i/>
          <w:iCs/>
          <w:szCs w:val="24"/>
        </w:rPr>
        <w:t>.</w:t>
      </w:r>
      <w:r w:rsidRPr="00C00255">
        <w:rPr>
          <w:rFonts w:eastAsia="Calibri"/>
          <w:i/>
          <w:iCs/>
          <w:szCs w:val="24"/>
        </w:rPr>
        <w:t>, A</w:t>
      </w:r>
      <w:r>
        <w:rPr>
          <w:rFonts w:eastAsia="Calibri"/>
          <w:i/>
          <w:iCs/>
          <w:szCs w:val="24"/>
        </w:rPr>
        <w:t xml:space="preserve">. </w:t>
      </w:r>
      <w:r w:rsidRPr="00C00255">
        <w:rPr>
          <w:rFonts w:eastAsia="Calibri"/>
          <w:i/>
          <w:iCs/>
          <w:szCs w:val="24"/>
        </w:rPr>
        <w:t>P</w:t>
      </w:r>
      <w:r>
        <w:rPr>
          <w:rFonts w:eastAsia="Calibri"/>
          <w:i/>
          <w:iCs/>
          <w:szCs w:val="24"/>
        </w:rPr>
        <w:t>.</w:t>
      </w:r>
      <w:r w:rsidRPr="00C00255">
        <w:rPr>
          <w:rFonts w:eastAsia="Calibri"/>
          <w:i/>
          <w:iCs/>
          <w:szCs w:val="24"/>
        </w:rPr>
        <w:t>, S</w:t>
      </w:r>
      <w:r>
        <w:rPr>
          <w:rFonts w:eastAsia="Calibri"/>
          <w:i/>
          <w:iCs/>
          <w:szCs w:val="24"/>
        </w:rPr>
        <w:t xml:space="preserve">. </w:t>
      </w:r>
      <w:r w:rsidRPr="00C00255">
        <w:rPr>
          <w:rFonts w:eastAsia="Calibri"/>
          <w:i/>
          <w:iCs/>
          <w:szCs w:val="24"/>
        </w:rPr>
        <w:t>S</w:t>
      </w:r>
      <w:r>
        <w:rPr>
          <w:rFonts w:eastAsia="Calibri"/>
          <w:i/>
          <w:iCs/>
          <w:szCs w:val="24"/>
        </w:rPr>
        <w:t>.</w:t>
      </w:r>
      <w:r w:rsidRPr="00C00255">
        <w:rPr>
          <w:rFonts w:eastAsia="Calibri"/>
          <w:i/>
          <w:iCs/>
          <w:szCs w:val="24"/>
        </w:rPr>
        <w:t>, A</w:t>
      </w:r>
      <w:r>
        <w:rPr>
          <w:rFonts w:eastAsia="Calibri"/>
          <w:i/>
          <w:iCs/>
          <w:szCs w:val="24"/>
        </w:rPr>
        <w:t xml:space="preserve">. </w:t>
      </w:r>
      <w:r w:rsidRPr="00C00255">
        <w:rPr>
          <w:rFonts w:eastAsia="Calibri"/>
          <w:i/>
          <w:iCs/>
          <w:szCs w:val="24"/>
        </w:rPr>
        <w:t>S</w:t>
      </w:r>
      <w:r>
        <w:rPr>
          <w:rFonts w:eastAsia="Calibri"/>
          <w:i/>
          <w:iCs/>
          <w:szCs w:val="24"/>
        </w:rPr>
        <w:t>.</w:t>
      </w:r>
      <w:r w:rsidRPr="00C00255">
        <w:rPr>
          <w:rFonts w:eastAsia="Calibri"/>
          <w:i/>
          <w:iCs/>
          <w:szCs w:val="24"/>
        </w:rPr>
        <w:t>, R</w:t>
      </w:r>
      <w:r>
        <w:rPr>
          <w:rFonts w:eastAsia="Calibri"/>
          <w:i/>
          <w:iCs/>
          <w:szCs w:val="24"/>
        </w:rPr>
        <w:t xml:space="preserve">. </w:t>
      </w:r>
      <w:r w:rsidRPr="00C00255">
        <w:rPr>
          <w:rFonts w:eastAsia="Calibri"/>
          <w:i/>
          <w:iCs/>
          <w:szCs w:val="24"/>
        </w:rPr>
        <w:t>S</w:t>
      </w:r>
      <w:r>
        <w:rPr>
          <w:rFonts w:eastAsia="Calibri"/>
          <w:i/>
          <w:iCs/>
          <w:szCs w:val="24"/>
        </w:rPr>
        <w:t>.</w:t>
      </w:r>
      <w:r w:rsidRPr="00C00255">
        <w:rPr>
          <w:rFonts w:eastAsia="Calibri"/>
          <w:i/>
          <w:iCs/>
          <w:szCs w:val="24"/>
        </w:rPr>
        <w:t>, A</w:t>
      </w:r>
      <w:r>
        <w:rPr>
          <w:rFonts w:eastAsia="Calibri"/>
          <w:i/>
          <w:iCs/>
          <w:szCs w:val="24"/>
        </w:rPr>
        <w:t>.</w:t>
      </w:r>
      <w:r w:rsidRPr="00C00255">
        <w:rPr>
          <w:rFonts w:eastAsia="Calibri"/>
          <w:i/>
          <w:iCs/>
          <w:szCs w:val="24"/>
        </w:rPr>
        <w:t> S</w:t>
      </w:r>
      <w:r>
        <w:rPr>
          <w:rFonts w:eastAsia="Calibri"/>
          <w:i/>
          <w:iCs/>
          <w:szCs w:val="24"/>
        </w:rPr>
        <w:t>.</w:t>
      </w:r>
      <w:r w:rsidRPr="00C00255">
        <w:rPr>
          <w:rFonts w:eastAsia="Calibri"/>
          <w:i/>
          <w:iCs/>
          <w:szCs w:val="24"/>
        </w:rPr>
        <w:t>, A</w:t>
      </w:r>
      <w:r>
        <w:rPr>
          <w:rFonts w:eastAsia="Calibri"/>
          <w:i/>
          <w:iCs/>
          <w:szCs w:val="24"/>
        </w:rPr>
        <w:t>.</w:t>
      </w:r>
      <w:r w:rsidRPr="00C00255">
        <w:rPr>
          <w:rFonts w:eastAsia="Calibri"/>
          <w:i/>
          <w:iCs/>
          <w:szCs w:val="24"/>
        </w:rPr>
        <w:t> Š</w:t>
      </w:r>
      <w:r>
        <w:rPr>
          <w:rFonts w:eastAsia="Calibri"/>
          <w:i/>
          <w:iCs/>
          <w:szCs w:val="24"/>
        </w:rPr>
        <w:t>.</w:t>
      </w:r>
      <w:r w:rsidRPr="00C00255">
        <w:rPr>
          <w:rFonts w:eastAsia="Calibri"/>
          <w:i/>
          <w:iCs/>
          <w:szCs w:val="24"/>
        </w:rPr>
        <w:t>, V</w:t>
      </w:r>
      <w:r>
        <w:rPr>
          <w:rFonts w:eastAsia="Calibri"/>
          <w:i/>
          <w:iCs/>
          <w:szCs w:val="24"/>
        </w:rPr>
        <w:t xml:space="preserve">. </w:t>
      </w:r>
      <w:r w:rsidRPr="00C00255">
        <w:rPr>
          <w:rFonts w:eastAsia="Calibri"/>
          <w:i/>
          <w:iCs/>
          <w:szCs w:val="24"/>
        </w:rPr>
        <w:t>S</w:t>
      </w:r>
      <w:r>
        <w:rPr>
          <w:rFonts w:eastAsia="Calibri"/>
          <w:i/>
          <w:iCs/>
          <w:szCs w:val="24"/>
        </w:rPr>
        <w:t>.</w:t>
      </w:r>
      <w:r w:rsidRPr="00C00255">
        <w:rPr>
          <w:rFonts w:eastAsia="Calibri"/>
          <w:i/>
          <w:iCs/>
          <w:szCs w:val="24"/>
        </w:rPr>
        <w:t>, H</w:t>
      </w:r>
      <w:r>
        <w:rPr>
          <w:rFonts w:eastAsia="Calibri"/>
          <w:i/>
          <w:iCs/>
          <w:szCs w:val="24"/>
        </w:rPr>
        <w:t>.</w:t>
      </w:r>
      <w:r w:rsidRPr="00C00255">
        <w:rPr>
          <w:rFonts w:eastAsia="Calibri"/>
          <w:i/>
          <w:iCs/>
          <w:szCs w:val="24"/>
        </w:rPr>
        <w:t>-A</w:t>
      </w:r>
      <w:r>
        <w:rPr>
          <w:rFonts w:eastAsia="Calibri"/>
          <w:i/>
          <w:iCs/>
          <w:szCs w:val="24"/>
        </w:rPr>
        <w:t>.</w:t>
      </w:r>
      <w:r w:rsidRPr="00C00255">
        <w:rPr>
          <w:rFonts w:eastAsia="Calibri"/>
          <w:i/>
          <w:iCs/>
          <w:szCs w:val="24"/>
        </w:rPr>
        <w:t> Š</w:t>
      </w:r>
      <w:r>
        <w:rPr>
          <w:rFonts w:eastAsia="Calibri"/>
          <w:i/>
          <w:iCs/>
          <w:szCs w:val="24"/>
        </w:rPr>
        <w:t>.</w:t>
      </w:r>
      <w:r w:rsidRPr="00C00255">
        <w:rPr>
          <w:rFonts w:eastAsia="Calibri"/>
          <w:i/>
          <w:iCs/>
          <w:szCs w:val="24"/>
        </w:rPr>
        <w:t>, A</w:t>
      </w:r>
      <w:r>
        <w:rPr>
          <w:rFonts w:eastAsia="Calibri"/>
          <w:i/>
          <w:iCs/>
          <w:szCs w:val="24"/>
        </w:rPr>
        <w:t xml:space="preserve">. </w:t>
      </w:r>
      <w:r w:rsidRPr="00C00255">
        <w:rPr>
          <w:rFonts w:eastAsia="Calibri"/>
          <w:i/>
          <w:iCs/>
          <w:szCs w:val="24"/>
        </w:rPr>
        <w:t>V</w:t>
      </w:r>
      <w:r>
        <w:rPr>
          <w:rFonts w:eastAsia="Calibri"/>
          <w:i/>
          <w:iCs/>
          <w:szCs w:val="24"/>
        </w:rPr>
        <w:t>.</w:t>
      </w:r>
      <w:r w:rsidRPr="00C00255">
        <w:rPr>
          <w:rFonts w:eastAsia="Calibri"/>
          <w:i/>
          <w:iCs/>
          <w:szCs w:val="24"/>
        </w:rPr>
        <w:t>, S</w:t>
      </w:r>
      <w:r>
        <w:rPr>
          <w:rFonts w:eastAsia="Calibri"/>
          <w:i/>
          <w:iCs/>
          <w:szCs w:val="24"/>
        </w:rPr>
        <w:t xml:space="preserve">. </w:t>
      </w:r>
      <w:r w:rsidRPr="00C00255">
        <w:rPr>
          <w:rFonts w:eastAsia="Calibri"/>
          <w:i/>
          <w:iCs/>
          <w:szCs w:val="24"/>
        </w:rPr>
        <w:t>L</w:t>
      </w:r>
      <w:r>
        <w:rPr>
          <w:rFonts w:eastAsia="Calibri"/>
          <w:i/>
          <w:iCs/>
          <w:szCs w:val="24"/>
        </w:rPr>
        <w:t>.</w:t>
      </w:r>
      <w:r w:rsidRPr="00C00255">
        <w:rPr>
          <w:rFonts w:eastAsia="Calibri"/>
          <w:i/>
          <w:iCs/>
          <w:szCs w:val="24"/>
        </w:rPr>
        <w:t>, V</w:t>
      </w:r>
      <w:r>
        <w:rPr>
          <w:rFonts w:eastAsia="Calibri"/>
          <w:i/>
          <w:iCs/>
          <w:szCs w:val="24"/>
        </w:rPr>
        <w:t xml:space="preserve">. </w:t>
      </w:r>
      <w:r w:rsidRPr="00C00255">
        <w:rPr>
          <w:rFonts w:eastAsia="Calibri"/>
          <w:i/>
          <w:iCs/>
          <w:szCs w:val="24"/>
        </w:rPr>
        <w:t>Ž</w:t>
      </w:r>
      <w:r>
        <w:rPr>
          <w:rFonts w:eastAsia="Calibri"/>
          <w:i/>
          <w:iCs/>
          <w:szCs w:val="24"/>
        </w:rPr>
        <w:t>.</w:t>
      </w:r>
      <w:r w:rsidRPr="00C00255">
        <w:rPr>
          <w:rFonts w:eastAsia="Calibri"/>
          <w:i/>
          <w:iCs/>
          <w:szCs w:val="24"/>
        </w:rPr>
        <w:t>, A</w:t>
      </w:r>
      <w:r>
        <w:rPr>
          <w:rFonts w:eastAsia="Calibri"/>
          <w:i/>
          <w:iCs/>
          <w:szCs w:val="24"/>
        </w:rPr>
        <w:t xml:space="preserve">. </w:t>
      </w:r>
      <w:r w:rsidRPr="00C00255">
        <w:rPr>
          <w:rFonts w:eastAsia="Calibri"/>
          <w:i/>
          <w:iCs/>
          <w:szCs w:val="24"/>
        </w:rPr>
        <w:t>V</w:t>
      </w:r>
      <w:r>
        <w:rPr>
          <w:rFonts w:eastAsia="Calibri"/>
          <w:i/>
          <w:iCs/>
          <w:szCs w:val="24"/>
        </w:rPr>
        <w:t>.</w:t>
      </w:r>
      <w:r w:rsidRPr="00C00255">
        <w:rPr>
          <w:rFonts w:eastAsia="Calibri"/>
          <w:i/>
          <w:iCs/>
          <w:szCs w:val="24"/>
        </w:rPr>
        <w:t>, V</w:t>
      </w:r>
      <w:r>
        <w:rPr>
          <w:rFonts w:eastAsia="Calibri"/>
          <w:i/>
          <w:iCs/>
          <w:szCs w:val="24"/>
        </w:rPr>
        <w:t xml:space="preserve">. </w:t>
      </w:r>
      <w:r w:rsidRPr="00C00255">
        <w:rPr>
          <w:rFonts w:eastAsia="Calibri"/>
          <w:i/>
          <w:iCs/>
          <w:szCs w:val="24"/>
        </w:rPr>
        <w:t>B</w:t>
      </w:r>
      <w:r>
        <w:rPr>
          <w:rFonts w:eastAsia="Calibri"/>
          <w:i/>
          <w:iCs/>
          <w:szCs w:val="24"/>
        </w:rPr>
        <w:t>.</w:t>
      </w:r>
      <w:r w:rsidRPr="00C00255">
        <w:rPr>
          <w:rFonts w:eastAsia="Calibri"/>
          <w:i/>
          <w:iCs/>
          <w:szCs w:val="24"/>
        </w:rPr>
        <w:t>, T</w:t>
      </w:r>
      <w:r>
        <w:rPr>
          <w:rFonts w:eastAsia="Calibri"/>
          <w:i/>
          <w:iCs/>
          <w:szCs w:val="24"/>
        </w:rPr>
        <w:t>. </w:t>
      </w:r>
      <w:r w:rsidRPr="00C00255">
        <w:rPr>
          <w:rFonts w:eastAsia="Calibri"/>
          <w:i/>
          <w:iCs/>
          <w:szCs w:val="24"/>
        </w:rPr>
        <w:t>Ž</w:t>
      </w:r>
      <w:r>
        <w:rPr>
          <w:rFonts w:eastAsia="Calibri"/>
          <w:i/>
          <w:iCs/>
          <w:szCs w:val="24"/>
        </w:rPr>
        <w:t>.</w:t>
      </w:r>
      <w:r w:rsidRPr="00C00255">
        <w:rPr>
          <w:rFonts w:eastAsia="Calibri"/>
          <w:i/>
          <w:iCs/>
          <w:szCs w:val="24"/>
        </w:rPr>
        <w:t>, I</w:t>
      </w:r>
      <w:r>
        <w:rPr>
          <w:rFonts w:eastAsia="Calibri"/>
          <w:i/>
          <w:iCs/>
          <w:szCs w:val="24"/>
        </w:rPr>
        <w:t xml:space="preserve">. </w:t>
      </w:r>
      <w:r w:rsidRPr="00C00255">
        <w:rPr>
          <w:rFonts w:eastAsia="Calibri"/>
          <w:i/>
          <w:iCs/>
          <w:szCs w:val="24"/>
        </w:rPr>
        <w:t>D</w:t>
      </w:r>
      <w:r>
        <w:rPr>
          <w:rFonts w:eastAsia="Calibri"/>
          <w:i/>
          <w:iCs/>
          <w:szCs w:val="24"/>
        </w:rPr>
        <w:t xml:space="preserve">. </w:t>
      </w:r>
      <w:r w:rsidRPr="00C00255">
        <w:rPr>
          <w:rFonts w:eastAsia="Calibri"/>
          <w:i/>
          <w:iCs/>
          <w:color w:val="000000" w:themeColor="text1"/>
          <w:szCs w:val="24"/>
        </w:rPr>
        <w:t>(trisdešimt vienam asmeniui)</w:t>
      </w:r>
      <w:r w:rsidRPr="00C00255">
        <w:rPr>
          <w:rFonts w:eastAsia="Calibri"/>
          <w:i/>
          <w:iCs/>
          <w:szCs w:val="24"/>
        </w:rPr>
        <w:t xml:space="preserve"> buvo padaryti </w:t>
      </w:r>
      <w:r w:rsidRPr="00C00255">
        <w:rPr>
          <w:rFonts w:eastAsia="Calibri"/>
          <w:i/>
          <w:iCs/>
          <w:color w:val="000000" w:themeColor="text1"/>
          <w:szCs w:val="24"/>
        </w:rPr>
        <w:t>tyčiniai nesunkūs sveikatos sutrikdymai</w:t>
      </w:r>
      <w:r w:rsidRPr="00C00255">
        <w:rPr>
          <w:rFonts w:eastAsia="Calibri"/>
          <w:i/>
          <w:iCs/>
          <w:szCs w:val="24"/>
        </w:rPr>
        <w:t xml:space="preserve">; </w:t>
      </w:r>
    </w:p>
    <w:p w:rsidR="00DA38E9" w:rsidRPr="00C00255" w:rsidRDefault="00DA38E9" w:rsidP="00DA38E9">
      <w:pPr>
        <w:pStyle w:val="ListParagraph"/>
        <w:spacing w:before="120" w:after="120"/>
        <w:ind w:left="992"/>
        <w:contextualSpacing w:val="0"/>
        <w:rPr>
          <w:rFonts w:eastAsia="Calibri"/>
          <w:i/>
          <w:iCs/>
          <w:color w:val="000000" w:themeColor="text1"/>
          <w:szCs w:val="24"/>
        </w:rPr>
      </w:pPr>
      <w:r w:rsidRPr="00C00255">
        <w:rPr>
          <w:rFonts w:eastAsia="Calibri"/>
          <w:i/>
          <w:iCs/>
          <w:szCs w:val="24"/>
        </w:rPr>
        <w:t>- G</w:t>
      </w:r>
      <w:r>
        <w:rPr>
          <w:rFonts w:eastAsia="Calibri"/>
          <w:i/>
          <w:iCs/>
          <w:szCs w:val="24"/>
        </w:rPr>
        <w:t>.</w:t>
      </w:r>
      <w:r w:rsidRPr="00C00255">
        <w:rPr>
          <w:rFonts w:eastAsia="Calibri"/>
          <w:i/>
          <w:iCs/>
          <w:szCs w:val="24"/>
        </w:rPr>
        <w:t xml:space="preserve"> A</w:t>
      </w:r>
      <w:r>
        <w:rPr>
          <w:rFonts w:eastAsia="Calibri"/>
          <w:i/>
          <w:iCs/>
          <w:szCs w:val="24"/>
        </w:rPr>
        <w:t>.</w:t>
      </w:r>
      <w:r w:rsidRPr="00C00255">
        <w:rPr>
          <w:rFonts w:eastAsia="Calibri"/>
          <w:i/>
          <w:iCs/>
          <w:szCs w:val="24"/>
        </w:rPr>
        <w:t>, V</w:t>
      </w:r>
      <w:r>
        <w:rPr>
          <w:rFonts w:eastAsia="Calibri"/>
          <w:i/>
          <w:iCs/>
          <w:szCs w:val="24"/>
        </w:rPr>
        <w:t>. K.</w:t>
      </w:r>
      <w:r w:rsidRPr="00C00255">
        <w:rPr>
          <w:rFonts w:eastAsia="Calibri"/>
          <w:i/>
          <w:iCs/>
          <w:szCs w:val="24"/>
        </w:rPr>
        <w:t>, S</w:t>
      </w:r>
      <w:r>
        <w:rPr>
          <w:rFonts w:eastAsia="Calibri"/>
          <w:i/>
          <w:iCs/>
          <w:szCs w:val="24"/>
        </w:rPr>
        <w:t xml:space="preserve">. </w:t>
      </w:r>
      <w:r w:rsidRPr="00C00255">
        <w:rPr>
          <w:rFonts w:eastAsia="Calibri"/>
          <w:i/>
          <w:iCs/>
          <w:szCs w:val="24"/>
        </w:rPr>
        <w:t>G</w:t>
      </w:r>
      <w:r>
        <w:rPr>
          <w:rFonts w:eastAsia="Calibri"/>
          <w:i/>
          <w:iCs/>
          <w:szCs w:val="24"/>
        </w:rPr>
        <w:t>.</w:t>
      </w:r>
      <w:r w:rsidRPr="00C00255">
        <w:rPr>
          <w:rFonts w:eastAsia="Calibri"/>
          <w:i/>
          <w:iCs/>
          <w:szCs w:val="24"/>
        </w:rPr>
        <w:t>, V</w:t>
      </w:r>
      <w:r>
        <w:rPr>
          <w:rFonts w:eastAsia="Calibri"/>
          <w:i/>
          <w:iCs/>
          <w:szCs w:val="24"/>
        </w:rPr>
        <w:t xml:space="preserve">. </w:t>
      </w:r>
      <w:r w:rsidRPr="00C00255">
        <w:rPr>
          <w:rFonts w:eastAsia="Calibri"/>
          <w:i/>
          <w:iCs/>
          <w:szCs w:val="24"/>
        </w:rPr>
        <w:t>K</w:t>
      </w:r>
      <w:r>
        <w:rPr>
          <w:rFonts w:eastAsia="Calibri"/>
          <w:i/>
          <w:iCs/>
          <w:szCs w:val="24"/>
        </w:rPr>
        <w:t xml:space="preserve">., A. </w:t>
      </w:r>
      <w:r w:rsidRPr="00C00255">
        <w:rPr>
          <w:rFonts w:eastAsia="Calibri"/>
          <w:i/>
          <w:iCs/>
          <w:szCs w:val="24"/>
        </w:rPr>
        <w:t>V</w:t>
      </w:r>
      <w:r>
        <w:rPr>
          <w:rFonts w:eastAsia="Calibri"/>
          <w:i/>
          <w:iCs/>
          <w:szCs w:val="24"/>
        </w:rPr>
        <w:t xml:space="preserve">. </w:t>
      </w:r>
      <w:r w:rsidRPr="00C00255">
        <w:rPr>
          <w:rFonts w:eastAsia="Calibri"/>
          <w:i/>
          <w:iCs/>
          <w:szCs w:val="24"/>
        </w:rPr>
        <w:t>Z</w:t>
      </w:r>
      <w:r>
        <w:rPr>
          <w:rFonts w:eastAsia="Calibri"/>
          <w:i/>
          <w:iCs/>
          <w:szCs w:val="24"/>
        </w:rPr>
        <w:t>.</w:t>
      </w:r>
      <w:r w:rsidRPr="00C00255">
        <w:rPr>
          <w:rFonts w:eastAsia="Calibri"/>
          <w:i/>
          <w:iCs/>
          <w:szCs w:val="24"/>
        </w:rPr>
        <w:t>, M</w:t>
      </w:r>
      <w:r>
        <w:rPr>
          <w:rFonts w:eastAsia="Calibri"/>
          <w:i/>
          <w:iCs/>
          <w:szCs w:val="24"/>
        </w:rPr>
        <w:t xml:space="preserve">. </w:t>
      </w:r>
      <w:r w:rsidRPr="00C00255">
        <w:rPr>
          <w:rFonts w:eastAsia="Calibri"/>
          <w:i/>
          <w:iCs/>
          <w:szCs w:val="24"/>
        </w:rPr>
        <w:t>K</w:t>
      </w:r>
      <w:r>
        <w:rPr>
          <w:rFonts w:eastAsia="Calibri"/>
          <w:i/>
          <w:iCs/>
          <w:szCs w:val="24"/>
        </w:rPr>
        <w:t>.</w:t>
      </w:r>
      <w:r w:rsidRPr="00C00255">
        <w:rPr>
          <w:rFonts w:eastAsia="Calibri"/>
          <w:i/>
          <w:iCs/>
          <w:szCs w:val="24"/>
        </w:rPr>
        <w:t>, S</w:t>
      </w:r>
      <w:r>
        <w:rPr>
          <w:rFonts w:eastAsia="Calibri"/>
          <w:i/>
          <w:iCs/>
          <w:szCs w:val="24"/>
        </w:rPr>
        <w:t xml:space="preserve">. </w:t>
      </w:r>
      <w:r w:rsidRPr="00C00255">
        <w:rPr>
          <w:rFonts w:eastAsia="Calibri"/>
          <w:i/>
          <w:iCs/>
          <w:szCs w:val="24"/>
        </w:rPr>
        <w:t>Z</w:t>
      </w:r>
      <w:r>
        <w:rPr>
          <w:rFonts w:eastAsia="Calibri"/>
          <w:i/>
          <w:iCs/>
          <w:szCs w:val="24"/>
        </w:rPr>
        <w:t>.</w:t>
      </w:r>
      <w:r w:rsidRPr="00C00255">
        <w:rPr>
          <w:rFonts w:eastAsia="Calibri"/>
          <w:i/>
          <w:iCs/>
          <w:szCs w:val="24"/>
        </w:rPr>
        <w:t>, V</w:t>
      </w:r>
      <w:r>
        <w:rPr>
          <w:rFonts w:eastAsia="Calibri"/>
          <w:i/>
          <w:iCs/>
          <w:szCs w:val="24"/>
        </w:rPr>
        <w:t>. M.</w:t>
      </w:r>
      <w:r w:rsidRPr="00C00255">
        <w:rPr>
          <w:rFonts w:eastAsia="Calibri"/>
          <w:i/>
          <w:iCs/>
          <w:szCs w:val="24"/>
        </w:rPr>
        <w:t>, A</w:t>
      </w:r>
      <w:r>
        <w:rPr>
          <w:rFonts w:eastAsia="Calibri"/>
          <w:i/>
          <w:iCs/>
          <w:szCs w:val="24"/>
        </w:rPr>
        <w:t xml:space="preserve">. </w:t>
      </w:r>
      <w:r w:rsidRPr="00C00255">
        <w:rPr>
          <w:rFonts w:eastAsia="Calibri"/>
          <w:i/>
          <w:iCs/>
          <w:szCs w:val="24"/>
        </w:rPr>
        <w:t>B</w:t>
      </w:r>
      <w:r>
        <w:rPr>
          <w:rFonts w:eastAsia="Calibri"/>
          <w:i/>
          <w:iCs/>
          <w:szCs w:val="24"/>
        </w:rPr>
        <w:t>.</w:t>
      </w:r>
      <w:r w:rsidRPr="00C00255">
        <w:rPr>
          <w:rFonts w:eastAsia="Calibri"/>
          <w:i/>
          <w:iCs/>
          <w:szCs w:val="24"/>
        </w:rPr>
        <w:t>, V</w:t>
      </w:r>
      <w:r>
        <w:rPr>
          <w:rFonts w:eastAsia="Calibri"/>
          <w:i/>
          <w:iCs/>
          <w:szCs w:val="24"/>
        </w:rPr>
        <w:t xml:space="preserve">. </w:t>
      </w:r>
      <w:r w:rsidRPr="00C00255">
        <w:rPr>
          <w:rFonts w:eastAsia="Calibri"/>
          <w:i/>
          <w:iCs/>
          <w:szCs w:val="24"/>
        </w:rPr>
        <w:t>C</w:t>
      </w:r>
      <w:r>
        <w:rPr>
          <w:rFonts w:eastAsia="Calibri"/>
          <w:i/>
          <w:iCs/>
          <w:szCs w:val="24"/>
        </w:rPr>
        <w:t>.</w:t>
      </w:r>
      <w:r w:rsidRPr="00C00255">
        <w:rPr>
          <w:rFonts w:eastAsia="Calibri"/>
          <w:i/>
          <w:iCs/>
          <w:szCs w:val="24"/>
        </w:rPr>
        <w:t>, A</w:t>
      </w:r>
      <w:r>
        <w:rPr>
          <w:rFonts w:eastAsia="Calibri"/>
          <w:i/>
          <w:iCs/>
          <w:szCs w:val="24"/>
        </w:rPr>
        <w:t>. M.</w:t>
      </w:r>
      <w:r w:rsidRPr="00C00255">
        <w:rPr>
          <w:rFonts w:eastAsia="Calibri"/>
          <w:i/>
          <w:iCs/>
          <w:szCs w:val="24"/>
        </w:rPr>
        <w:t>, A</w:t>
      </w:r>
      <w:r>
        <w:rPr>
          <w:rFonts w:eastAsia="Calibri"/>
          <w:i/>
          <w:iCs/>
          <w:szCs w:val="24"/>
        </w:rPr>
        <w:t>. J.</w:t>
      </w:r>
      <w:r w:rsidRPr="00C00255">
        <w:rPr>
          <w:rFonts w:eastAsia="Calibri"/>
          <w:i/>
          <w:iCs/>
          <w:szCs w:val="24"/>
        </w:rPr>
        <w:t>, J</w:t>
      </w:r>
      <w:r>
        <w:rPr>
          <w:rFonts w:eastAsia="Calibri"/>
          <w:i/>
          <w:iCs/>
          <w:szCs w:val="24"/>
        </w:rPr>
        <w:t xml:space="preserve">. </w:t>
      </w:r>
      <w:r w:rsidRPr="00C00255">
        <w:rPr>
          <w:rFonts w:eastAsia="Calibri"/>
          <w:i/>
          <w:iCs/>
          <w:szCs w:val="24"/>
        </w:rPr>
        <w:t>V</w:t>
      </w:r>
      <w:r>
        <w:rPr>
          <w:rFonts w:eastAsia="Calibri"/>
          <w:i/>
          <w:iCs/>
          <w:szCs w:val="24"/>
        </w:rPr>
        <w:t>. P.</w:t>
      </w:r>
      <w:r w:rsidRPr="00C00255">
        <w:rPr>
          <w:rFonts w:eastAsia="Calibri"/>
          <w:i/>
          <w:iCs/>
          <w:szCs w:val="24"/>
        </w:rPr>
        <w:t>, A</w:t>
      </w:r>
      <w:r>
        <w:rPr>
          <w:rFonts w:eastAsia="Calibri"/>
          <w:i/>
          <w:iCs/>
          <w:szCs w:val="24"/>
        </w:rPr>
        <w:t>. </w:t>
      </w:r>
      <w:r w:rsidRPr="00C00255">
        <w:rPr>
          <w:rFonts w:eastAsia="Calibri"/>
          <w:i/>
          <w:iCs/>
          <w:szCs w:val="24"/>
        </w:rPr>
        <w:t>K</w:t>
      </w:r>
      <w:r>
        <w:rPr>
          <w:rFonts w:eastAsia="Calibri"/>
          <w:i/>
          <w:iCs/>
          <w:szCs w:val="24"/>
        </w:rPr>
        <w:t>.</w:t>
      </w:r>
      <w:r w:rsidRPr="00C00255">
        <w:rPr>
          <w:rFonts w:eastAsia="Calibri"/>
          <w:i/>
          <w:iCs/>
          <w:szCs w:val="24"/>
        </w:rPr>
        <w:t>, L</w:t>
      </w:r>
      <w:r>
        <w:rPr>
          <w:rFonts w:eastAsia="Calibri"/>
          <w:i/>
          <w:iCs/>
          <w:szCs w:val="24"/>
        </w:rPr>
        <w:t xml:space="preserve">. </w:t>
      </w:r>
      <w:r w:rsidRPr="00C00255">
        <w:rPr>
          <w:rFonts w:eastAsia="Calibri"/>
          <w:i/>
          <w:iCs/>
          <w:szCs w:val="24"/>
        </w:rPr>
        <w:t>Z</w:t>
      </w:r>
      <w:r>
        <w:rPr>
          <w:rFonts w:eastAsia="Calibri"/>
          <w:i/>
          <w:iCs/>
          <w:szCs w:val="24"/>
        </w:rPr>
        <w:t>.</w:t>
      </w:r>
      <w:r w:rsidRPr="00C00255">
        <w:rPr>
          <w:rFonts w:eastAsia="Calibri"/>
          <w:i/>
          <w:iCs/>
          <w:szCs w:val="24"/>
        </w:rPr>
        <w:t xml:space="preserve"> (dabar K</w:t>
      </w:r>
      <w:r>
        <w:rPr>
          <w:rFonts w:eastAsia="Calibri"/>
          <w:i/>
          <w:iCs/>
          <w:szCs w:val="24"/>
        </w:rPr>
        <w:t>.</w:t>
      </w:r>
      <w:r w:rsidRPr="00C00255">
        <w:rPr>
          <w:rFonts w:eastAsia="Calibri"/>
          <w:i/>
          <w:iCs/>
          <w:szCs w:val="24"/>
        </w:rPr>
        <w:t>), Ž</w:t>
      </w:r>
      <w:r>
        <w:rPr>
          <w:rFonts w:eastAsia="Calibri"/>
          <w:i/>
          <w:iCs/>
          <w:szCs w:val="24"/>
        </w:rPr>
        <w:t xml:space="preserve">. </w:t>
      </w:r>
      <w:r w:rsidRPr="00C00255">
        <w:rPr>
          <w:rFonts w:eastAsia="Calibri"/>
          <w:i/>
          <w:iCs/>
          <w:szCs w:val="24"/>
        </w:rPr>
        <w:t>M</w:t>
      </w:r>
      <w:r>
        <w:rPr>
          <w:rFonts w:eastAsia="Calibri"/>
          <w:i/>
          <w:iCs/>
          <w:szCs w:val="24"/>
        </w:rPr>
        <w:t>.</w:t>
      </w:r>
      <w:r w:rsidRPr="00C00255">
        <w:rPr>
          <w:rFonts w:eastAsia="Calibri"/>
          <w:i/>
          <w:iCs/>
          <w:szCs w:val="24"/>
        </w:rPr>
        <w:t>, R</w:t>
      </w:r>
      <w:r>
        <w:rPr>
          <w:rFonts w:eastAsia="Calibri"/>
          <w:i/>
          <w:iCs/>
          <w:szCs w:val="24"/>
        </w:rPr>
        <w:t xml:space="preserve">. </w:t>
      </w:r>
      <w:r w:rsidRPr="00C00255">
        <w:rPr>
          <w:rFonts w:eastAsia="Calibri"/>
          <w:i/>
          <w:iCs/>
          <w:szCs w:val="24"/>
        </w:rPr>
        <w:t>J</w:t>
      </w:r>
      <w:r>
        <w:rPr>
          <w:rFonts w:eastAsia="Calibri"/>
          <w:i/>
          <w:iCs/>
          <w:szCs w:val="24"/>
        </w:rPr>
        <w:t>.</w:t>
      </w:r>
      <w:r w:rsidRPr="00C00255">
        <w:rPr>
          <w:rFonts w:eastAsia="Calibri"/>
          <w:i/>
          <w:iCs/>
          <w:szCs w:val="24"/>
        </w:rPr>
        <w:t>, L</w:t>
      </w:r>
      <w:r>
        <w:rPr>
          <w:rFonts w:eastAsia="Calibri"/>
          <w:i/>
          <w:iCs/>
          <w:szCs w:val="24"/>
        </w:rPr>
        <w:t>.</w:t>
      </w:r>
      <w:r w:rsidRPr="00C00255">
        <w:rPr>
          <w:rFonts w:eastAsia="Calibri"/>
          <w:i/>
          <w:iCs/>
          <w:szCs w:val="24"/>
        </w:rPr>
        <w:t xml:space="preserve"> J</w:t>
      </w:r>
      <w:r>
        <w:rPr>
          <w:rFonts w:eastAsia="Calibri"/>
          <w:i/>
          <w:iCs/>
          <w:szCs w:val="24"/>
        </w:rPr>
        <w:t xml:space="preserve">. </w:t>
      </w:r>
      <w:r w:rsidRPr="00C00255">
        <w:rPr>
          <w:rFonts w:eastAsia="Calibri"/>
          <w:i/>
          <w:iCs/>
          <w:szCs w:val="24"/>
        </w:rPr>
        <w:t>S</w:t>
      </w:r>
      <w:r>
        <w:rPr>
          <w:rFonts w:eastAsia="Calibri"/>
          <w:i/>
          <w:iCs/>
          <w:szCs w:val="24"/>
        </w:rPr>
        <w:t>.</w:t>
      </w:r>
      <w:r w:rsidRPr="00C00255">
        <w:rPr>
          <w:rFonts w:eastAsia="Calibri"/>
          <w:i/>
          <w:iCs/>
          <w:szCs w:val="24"/>
        </w:rPr>
        <w:t xml:space="preserve"> (dabar P</w:t>
      </w:r>
      <w:r>
        <w:rPr>
          <w:rFonts w:eastAsia="Calibri"/>
          <w:i/>
          <w:iCs/>
          <w:szCs w:val="24"/>
        </w:rPr>
        <w:t>.</w:t>
      </w:r>
      <w:r w:rsidRPr="00C00255">
        <w:rPr>
          <w:rFonts w:eastAsia="Calibri"/>
          <w:i/>
          <w:iCs/>
          <w:szCs w:val="24"/>
        </w:rPr>
        <w:t>), G</w:t>
      </w:r>
      <w:r>
        <w:rPr>
          <w:rFonts w:eastAsia="Calibri"/>
          <w:i/>
          <w:iCs/>
          <w:szCs w:val="24"/>
        </w:rPr>
        <w:t xml:space="preserve">. </w:t>
      </w:r>
      <w:r w:rsidRPr="00C00255">
        <w:rPr>
          <w:rFonts w:eastAsia="Calibri"/>
          <w:i/>
          <w:iCs/>
          <w:szCs w:val="24"/>
        </w:rPr>
        <w:t>J</w:t>
      </w:r>
      <w:r>
        <w:rPr>
          <w:rFonts w:eastAsia="Calibri"/>
          <w:i/>
          <w:iCs/>
          <w:szCs w:val="24"/>
        </w:rPr>
        <w:t>.</w:t>
      </w:r>
      <w:r w:rsidRPr="00C00255">
        <w:rPr>
          <w:rFonts w:eastAsia="Calibri"/>
          <w:i/>
          <w:iCs/>
          <w:szCs w:val="24"/>
        </w:rPr>
        <w:t>, B</w:t>
      </w:r>
      <w:r>
        <w:rPr>
          <w:rFonts w:eastAsia="Calibri"/>
          <w:i/>
          <w:iCs/>
          <w:szCs w:val="24"/>
        </w:rPr>
        <w:t xml:space="preserve">. </w:t>
      </w:r>
      <w:r w:rsidRPr="00C00255">
        <w:rPr>
          <w:rFonts w:eastAsia="Calibri"/>
          <w:i/>
          <w:iCs/>
          <w:szCs w:val="24"/>
        </w:rPr>
        <w:t>S</w:t>
      </w:r>
      <w:r>
        <w:rPr>
          <w:rFonts w:eastAsia="Calibri"/>
          <w:i/>
          <w:iCs/>
          <w:szCs w:val="24"/>
        </w:rPr>
        <w:t>.</w:t>
      </w:r>
      <w:r w:rsidRPr="00C00255">
        <w:rPr>
          <w:rFonts w:eastAsia="Calibri"/>
          <w:i/>
          <w:iCs/>
          <w:szCs w:val="24"/>
        </w:rPr>
        <w:t>, R</w:t>
      </w:r>
      <w:r>
        <w:rPr>
          <w:rFonts w:eastAsia="Calibri"/>
          <w:i/>
          <w:iCs/>
          <w:szCs w:val="24"/>
        </w:rPr>
        <w:t xml:space="preserve">. </w:t>
      </w:r>
      <w:r w:rsidRPr="00C00255">
        <w:rPr>
          <w:rFonts w:eastAsia="Calibri"/>
          <w:i/>
          <w:iCs/>
          <w:szCs w:val="24"/>
        </w:rPr>
        <w:t>K</w:t>
      </w:r>
      <w:r>
        <w:rPr>
          <w:rFonts w:eastAsia="Calibri"/>
          <w:i/>
          <w:iCs/>
          <w:szCs w:val="24"/>
        </w:rPr>
        <w:t>.</w:t>
      </w:r>
      <w:r w:rsidRPr="00C00255">
        <w:rPr>
          <w:rFonts w:eastAsia="Calibri"/>
          <w:i/>
          <w:iCs/>
          <w:szCs w:val="24"/>
        </w:rPr>
        <w:t>, F</w:t>
      </w:r>
      <w:r>
        <w:rPr>
          <w:rFonts w:eastAsia="Calibri"/>
          <w:i/>
          <w:iCs/>
          <w:szCs w:val="24"/>
        </w:rPr>
        <w:t>. Š.</w:t>
      </w:r>
      <w:r w:rsidRPr="00C00255">
        <w:rPr>
          <w:rFonts w:eastAsia="Calibri"/>
          <w:i/>
          <w:iCs/>
          <w:szCs w:val="24"/>
        </w:rPr>
        <w:t>, J</w:t>
      </w:r>
      <w:r>
        <w:rPr>
          <w:rFonts w:eastAsia="Calibri"/>
          <w:i/>
          <w:iCs/>
          <w:szCs w:val="24"/>
        </w:rPr>
        <w:t>. K., M. </w:t>
      </w:r>
      <w:r w:rsidRPr="00C00255">
        <w:rPr>
          <w:rFonts w:eastAsia="Calibri"/>
          <w:i/>
          <w:iCs/>
          <w:szCs w:val="24"/>
        </w:rPr>
        <w:t>Š</w:t>
      </w:r>
      <w:r>
        <w:rPr>
          <w:rFonts w:eastAsia="Calibri"/>
          <w:i/>
          <w:iCs/>
          <w:szCs w:val="24"/>
        </w:rPr>
        <w:t>.</w:t>
      </w:r>
      <w:r w:rsidRPr="00C00255">
        <w:rPr>
          <w:rFonts w:eastAsia="Calibri"/>
          <w:i/>
          <w:iCs/>
          <w:szCs w:val="24"/>
        </w:rPr>
        <w:t xml:space="preserve"> (</w:t>
      </w:r>
      <w:r w:rsidRPr="00C00255">
        <w:rPr>
          <w:rFonts w:eastAsia="Calibri"/>
          <w:i/>
          <w:iCs/>
          <w:color w:val="000000" w:themeColor="text1"/>
          <w:szCs w:val="24"/>
        </w:rPr>
        <w:t>dvidešimt keturiems asmenims) buvo padaryti tyčiniai nežymūs sveikatos sutrikdymai.</w:t>
      </w:r>
    </w:p>
    <w:p w:rsidR="00DA38E9" w:rsidRPr="00C00255" w:rsidRDefault="00DA38E9" w:rsidP="00DA38E9">
      <w:pPr>
        <w:pStyle w:val="Standard"/>
        <w:tabs>
          <w:tab w:val="left" w:pos="993"/>
        </w:tabs>
        <w:spacing w:before="120" w:after="120"/>
        <w:ind w:left="993" w:firstLine="0"/>
        <w:jc w:val="center"/>
        <w:rPr>
          <w:rStyle w:val="Heading3Char"/>
          <w:rFonts w:eastAsia="SimSun, 宋体"/>
          <w:b w:val="0"/>
          <w:i/>
          <w:iCs/>
          <w:sz w:val="24"/>
          <w:lang w:val="lt-LT"/>
        </w:rPr>
      </w:pPr>
      <w:bookmarkStart w:id="871" w:name="_Toc67677438"/>
      <w:bookmarkStart w:id="872" w:name="_Toc67985566"/>
      <w:r w:rsidRPr="00C00255">
        <w:rPr>
          <w:rStyle w:val="Heading3Char"/>
          <w:rFonts w:eastAsia="Calibri"/>
          <w:bCs/>
          <w:sz w:val="24"/>
          <w:lang w:val="lt-LT"/>
        </w:rPr>
        <w:t>TV bokšto ir LRT užėmimas</w:t>
      </w:r>
      <w:bookmarkEnd w:id="871"/>
      <w:bookmarkEnd w:id="872"/>
    </w:p>
    <w:p w:rsidR="00DA38E9" w:rsidRPr="00C00255" w:rsidRDefault="00DA38E9" w:rsidP="00DA38E9">
      <w:pPr>
        <w:spacing w:before="120" w:after="120"/>
        <w:ind w:left="993"/>
        <w:rPr>
          <w:rFonts w:eastAsia="Calibri"/>
          <w:i/>
          <w:iCs/>
        </w:rPr>
      </w:pPr>
      <w:r w:rsidRPr="00C00255">
        <w:rPr>
          <w:rFonts w:eastAsia="Calibri"/>
          <w:i/>
          <w:iCs/>
        </w:rPr>
        <w:t xml:space="preserve">Tęsiant nusikaltimus žmoniškumui </w:t>
      </w:r>
      <w:r w:rsidRPr="00C00255">
        <w:rPr>
          <w:rStyle w:val="Numatytasispastraiposriftas1"/>
          <w:i/>
          <w:iCs/>
          <w:lang w:eastAsia="ar-SA" w:bidi="lt-LT"/>
        </w:rPr>
        <w:t>ir karo nusikaltimus, TSRS vykdomos agresijos ir tarptautinio ginkluoto konflikto metu</w:t>
      </w:r>
      <w:r w:rsidRPr="00C00255">
        <w:rPr>
          <w:rFonts w:eastAsia="Calibri"/>
          <w:i/>
          <w:iCs/>
        </w:rPr>
        <w:t>, 1991 m. sausio 12 d. vakare, tiksliai nenustatytu laiku, vadovavimo štabo įsakymu buvo toliau vykdomos tarptautinės humanitarinės teisės draudžiamos karo atakos prieš civilius ir užimami strateginiai visuomenės informavimo objektai – TV bokštas ir LRT.</w:t>
      </w:r>
    </w:p>
    <w:p w:rsidR="00DA38E9" w:rsidRPr="00C00255" w:rsidRDefault="00DA38E9" w:rsidP="00DA38E9">
      <w:pPr>
        <w:pStyle w:val="Standard"/>
        <w:tabs>
          <w:tab w:val="left" w:pos="993"/>
        </w:tabs>
        <w:spacing w:before="120" w:after="120"/>
        <w:ind w:left="993" w:firstLine="0"/>
        <w:jc w:val="both"/>
        <w:rPr>
          <w:rStyle w:val="Heading3Char"/>
          <w:rFonts w:eastAsia="SimSun, 宋体"/>
          <w:b w:val="0"/>
          <w:i/>
          <w:iCs/>
          <w:lang w:val="lt-LT"/>
        </w:rPr>
      </w:pPr>
      <w:r w:rsidRPr="00C00255">
        <w:rPr>
          <w:rFonts w:cs="Times New Roman"/>
          <w:i/>
          <w:iCs/>
          <w:lang w:eastAsia="ar-SA" w:bidi="lt-LT"/>
        </w:rPr>
        <w:t>Vadovavimo štabas paskirstė karines pajėgas į užimtinus objektus, nurodė užduotis, paskyrė kariniams veiksmams vadovaujančius ir už karinių veiksmų koordinavimą atsakingus asmenis, kuriems įsakė informuoti vadovavimo štabą apie karinių operacijų eigą ir rezultatus bei koordinavo ir kontroliavo bendrus kariškių veiksmus užimant TV bokštą ir LRT.</w:t>
      </w:r>
    </w:p>
    <w:p w:rsidR="00DA38E9" w:rsidRPr="00C00255" w:rsidRDefault="00DA38E9" w:rsidP="00DA38E9">
      <w:pPr>
        <w:pStyle w:val="Standard"/>
        <w:tabs>
          <w:tab w:val="left" w:pos="993"/>
        </w:tabs>
        <w:spacing w:before="120" w:after="120"/>
        <w:ind w:left="993" w:firstLine="0"/>
        <w:jc w:val="both"/>
        <w:rPr>
          <w:rStyle w:val="Heading3Char"/>
          <w:rFonts w:eastAsia="SimSun, 宋体"/>
          <w:b w:val="0"/>
          <w:i/>
          <w:iCs/>
          <w:sz w:val="24"/>
          <w:szCs w:val="24"/>
          <w:lang w:val="lt-LT"/>
        </w:rPr>
      </w:pPr>
      <w:bookmarkStart w:id="873" w:name="_Toc67677439"/>
      <w:bookmarkStart w:id="874" w:name="_Toc67985567"/>
      <w:r w:rsidRPr="00C00255">
        <w:rPr>
          <w:rStyle w:val="Heading3Char"/>
          <w:rFonts w:eastAsia="SimSun, 宋体"/>
          <w:sz w:val="24"/>
          <w:szCs w:val="24"/>
          <w:lang w:val="lt-LT"/>
        </w:rPr>
        <w:t>TV bokšto užėmimas</w:t>
      </w:r>
      <w:bookmarkEnd w:id="873"/>
      <w:bookmarkEnd w:id="874"/>
    </w:p>
    <w:p w:rsidR="00DA38E9" w:rsidRPr="00C00255" w:rsidRDefault="00DA38E9" w:rsidP="00DA38E9">
      <w:pPr>
        <w:pStyle w:val="ListParagraph"/>
        <w:spacing w:before="120" w:after="120"/>
        <w:ind w:left="992"/>
        <w:contextualSpacing w:val="0"/>
        <w:rPr>
          <w:i/>
          <w:iCs/>
          <w:szCs w:val="24"/>
        </w:rPr>
      </w:pPr>
      <w:r w:rsidRPr="00C00255">
        <w:rPr>
          <w:i/>
          <w:iCs/>
          <w:szCs w:val="24"/>
          <w:lang w:eastAsia="lt-LT"/>
        </w:rPr>
        <w:t xml:space="preserve">Užimant TV bokštą tiesiogiai karo atakoje prie TV bokšto dalyvavo šie nuteistieji: </w:t>
      </w:r>
      <w:r>
        <w:rPr>
          <w:i/>
          <w:iCs/>
          <w:szCs w:val="24"/>
          <w:lang w:eastAsia="lt-LT"/>
        </w:rPr>
        <w:t>V. S. 2</w:t>
      </w:r>
      <w:r w:rsidRPr="00C00255">
        <w:rPr>
          <w:i/>
          <w:iCs/>
          <w:szCs w:val="24"/>
          <w:lang w:eastAsia="lt-LT"/>
        </w:rPr>
        <w:t xml:space="preserve">, </w:t>
      </w:r>
      <w:r>
        <w:rPr>
          <w:i/>
          <w:iCs/>
          <w:szCs w:val="24"/>
          <w:lang w:eastAsia="lt-LT"/>
        </w:rPr>
        <w:t>V. D.</w:t>
      </w:r>
      <w:r w:rsidRPr="00C00255">
        <w:rPr>
          <w:i/>
          <w:iCs/>
          <w:szCs w:val="24"/>
          <w:lang w:eastAsia="lt-LT"/>
        </w:rPr>
        <w:t xml:space="preserve">, </w:t>
      </w:r>
      <w:r>
        <w:rPr>
          <w:i/>
          <w:iCs/>
          <w:szCs w:val="24"/>
          <w:lang w:eastAsia="lt-LT"/>
        </w:rPr>
        <w:t>A. G. 2</w:t>
      </w:r>
      <w:r w:rsidRPr="00C00255">
        <w:rPr>
          <w:i/>
          <w:iCs/>
          <w:szCs w:val="24"/>
          <w:lang w:eastAsia="lt-LT"/>
        </w:rPr>
        <w:t xml:space="preserve">, </w:t>
      </w:r>
      <w:r>
        <w:rPr>
          <w:i/>
          <w:iCs/>
          <w:szCs w:val="24"/>
          <w:lang w:eastAsia="lt-LT"/>
        </w:rPr>
        <w:t>E. M.</w:t>
      </w:r>
      <w:r w:rsidRPr="00C00255">
        <w:rPr>
          <w:i/>
          <w:iCs/>
          <w:szCs w:val="24"/>
        </w:rPr>
        <w:t xml:space="preserve">, </w:t>
      </w:r>
      <w:r>
        <w:rPr>
          <w:i/>
          <w:iCs/>
          <w:szCs w:val="24"/>
          <w:lang w:eastAsia="lt-LT"/>
        </w:rPr>
        <w:t>V. K. 2</w:t>
      </w:r>
      <w:r w:rsidRPr="00C00255">
        <w:rPr>
          <w:i/>
          <w:iCs/>
          <w:szCs w:val="24"/>
          <w:lang w:eastAsia="lt-LT"/>
        </w:rPr>
        <w:t xml:space="preserve">, </w:t>
      </w:r>
      <w:r>
        <w:rPr>
          <w:i/>
          <w:iCs/>
          <w:szCs w:val="24"/>
          <w:lang w:eastAsia="lt-LT"/>
        </w:rPr>
        <w:t>S. K.</w:t>
      </w:r>
      <w:r w:rsidRPr="00C00255">
        <w:rPr>
          <w:i/>
          <w:iCs/>
          <w:szCs w:val="24"/>
          <w:lang w:eastAsia="lt-LT"/>
        </w:rPr>
        <w:t xml:space="preserve">, </w:t>
      </w:r>
      <w:r>
        <w:rPr>
          <w:i/>
          <w:iCs/>
          <w:szCs w:val="24"/>
        </w:rPr>
        <w:t>A. Z.</w:t>
      </w:r>
      <w:r w:rsidRPr="00C00255">
        <w:rPr>
          <w:i/>
          <w:iCs/>
          <w:szCs w:val="24"/>
        </w:rPr>
        <w:t xml:space="preserve"> ir </w:t>
      </w:r>
      <w:r>
        <w:rPr>
          <w:i/>
          <w:iCs/>
          <w:szCs w:val="24"/>
          <w:lang w:eastAsia="lt-LT"/>
        </w:rPr>
        <w:t>A. L.</w:t>
      </w:r>
      <w:r w:rsidRPr="00C00255">
        <w:rPr>
          <w:i/>
          <w:iCs/>
          <w:szCs w:val="24"/>
          <w:lang w:eastAsia="lt-LT"/>
        </w:rPr>
        <w:t xml:space="preserve"> </w:t>
      </w:r>
      <w:r w:rsidRPr="00C00255">
        <w:rPr>
          <w:i/>
          <w:iCs/>
          <w:szCs w:val="24"/>
        </w:rPr>
        <w:t>(</w:t>
      </w:r>
      <w:r w:rsidRPr="00C00255">
        <w:rPr>
          <w:rFonts w:eastAsia="Calibri"/>
          <w:i/>
          <w:iCs/>
        </w:rPr>
        <w:t xml:space="preserve">TSRS GM Oro desanto pajėgų 76-osios oro desanto divizijos kariškiai), </w:t>
      </w:r>
      <w:r>
        <w:rPr>
          <w:i/>
          <w:iCs/>
          <w:szCs w:val="24"/>
          <w:lang w:eastAsia="lt-LT"/>
        </w:rPr>
        <w:t>N. A.</w:t>
      </w:r>
      <w:r w:rsidRPr="00C00255">
        <w:rPr>
          <w:i/>
          <w:iCs/>
          <w:szCs w:val="24"/>
          <w:lang w:eastAsia="lt-LT"/>
        </w:rPr>
        <w:t xml:space="preserve">, </w:t>
      </w:r>
      <w:r>
        <w:rPr>
          <w:i/>
          <w:iCs/>
          <w:szCs w:val="24"/>
          <w:lang w:eastAsia="lt-LT"/>
        </w:rPr>
        <w:t>O. A.</w:t>
      </w:r>
      <w:r w:rsidRPr="00C00255">
        <w:rPr>
          <w:i/>
          <w:iCs/>
          <w:szCs w:val="24"/>
          <w:lang w:eastAsia="lt-LT"/>
        </w:rPr>
        <w:t xml:space="preserve">, </w:t>
      </w:r>
      <w:r>
        <w:rPr>
          <w:i/>
          <w:iCs/>
          <w:szCs w:val="24"/>
          <w:lang w:eastAsia="lt-LT"/>
        </w:rPr>
        <w:t>V. S. 4</w:t>
      </w:r>
      <w:r w:rsidRPr="00C00255">
        <w:rPr>
          <w:i/>
          <w:iCs/>
          <w:szCs w:val="24"/>
          <w:lang w:eastAsia="lt-LT"/>
        </w:rPr>
        <w:t xml:space="preserve">, </w:t>
      </w:r>
      <w:r>
        <w:rPr>
          <w:i/>
          <w:iCs/>
          <w:szCs w:val="24"/>
          <w:lang w:eastAsia="lt-LT"/>
        </w:rPr>
        <w:t>S. V.</w:t>
      </w:r>
      <w:r w:rsidRPr="00C00255">
        <w:rPr>
          <w:i/>
          <w:iCs/>
          <w:szCs w:val="24"/>
          <w:lang w:eastAsia="lt-LT"/>
        </w:rPr>
        <w:t xml:space="preserve">, </w:t>
      </w:r>
      <w:r>
        <w:rPr>
          <w:i/>
          <w:iCs/>
          <w:szCs w:val="24"/>
          <w:lang w:eastAsia="lt-LT"/>
        </w:rPr>
        <w:t>A. K.</w:t>
      </w:r>
      <w:r w:rsidRPr="00C00255">
        <w:rPr>
          <w:i/>
          <w:iCs/>
          <w:szCs w:val="24"/>
          <w:lang w:eastAsia="lt-LT"/>
        </w:rPr>
        <w:t xml:space="preserve">, </w:t>
      </w:r>
      <w:r>
        <w:rPr>
          <w:i/>
          <w:iCs/>
          <w:szCs w:val="24"/>
          <w:lang w:eastAsia="lt-LT"/>
        </w:rPr>
        <w:t>V. Š. 3</w:t>
      </w:r>
      <w:r w:rsidRPr="00C00255">
        <w:rPr>
          <w:i/>
          <w:iCs/>
          <w:szCs w:val="24"/>
          <w:lang w:eastAsia="lt-LT"/>
        </w:rPr>
        <w:t xml:space="preserve">, </w:t>
      </w:r>
      <w:r>
        <w:rPr>
          <w:i/>
          <w:iCs/>
          <w:szCs w:val="24"/>
          <w:lang w:eastAsia="lt-LT"/>
        </w:rPr>
        <w:t>A. G. 1</w:t>
      </w:r>
      <w:r w:rsidRPr="00C00255">
        <w:rPr>
          <w:i/>
          <w:iCs/>
          <w:szCs w:val="24"/>
          <w:lang w:eastAsia="lt-LT"/>
        </w:rPr>
        <w:t xml:space="preserve">, </w:t>
      </w:r>
      <w:r>
        <w:rPr>
          <w:i/>
          <w:iCs/>
          <w:szCs w:val="24"/>
          <w:lang w:eastAsia="lt-LT"/>
        </w:rPr>
        <w:t>J. M.</w:t>
      </w:r>
      <w:r w:rsidRPr="00C00255">
        <w:rPr>
          <w:i/>
          <w:iCs/>
          <w:szCs w:val="24"/>
          <w:lang w:eastAsia="lt-LT"/>
        </w:rPr>
        <w:t xml:space="preserve">, </w:t>
      </w:r>
      <w:r>
        <w:rPr>
          <w:i/>
          <w:iCs/>
          <w:szCs w:val="24"/>
          <w:lang w:eastAsia="lt-LT"/>
        </w:rPr>
        <w:t>D. B.</w:t>
      </w:r>
      <w:r w:rsidRPr="00C00255">
        <w:rPr>
          <w:i/>
          <w:iCs/>
          <w:szCs w:val="24"/>
          <w:lang w:eastAsia="lt-LT"/>
        </w:rPr>
        <w:t xml:space="preserve"> (</w:t>
      </w:r>
      <w:r w:rsidRPr="00C00255">
        <w:rPr>
          <w:rFonts w:eastAsia="Calibri"/>
          <w:i/>
          <w:iCs/>
          <w:szCs w:val="24"/>
        </w:rPr>
        <w:t xml:space="preserve">TSRS GM </w:t>
      </w:r>
      <w:r w:rsidRPr="00C00255">
        <w:rPr>
          <w:i/>
          <w:iCs/>
          <w:lang w:eastAsia="lt-LT"/>
        </w:rPr>
        <w:t xml:space="preserve">Sausumos pajėgų </w:t>
      </w:r>
      <w:r w:rsidRPr="00C00255">
        <w:rPr>
          <w:i/>
          <w:iCs/>
          <w:szCs w:val="24"/>
          <w:lang w:eastAsia="lt-LT"/>
        </w:rPr>
        <w:t xml:space="preserve">Pabaltijo karinės apygardos </w:t>
      </w:r>
      <w:r w:rsidRPr="00C00255">
        <w:rPr>
          <w:rFonts w:eastAsia="Calibri"/>
          <w:i/>
          <w:iCs/>
          <w:szCs w:val="24"/>
        </w:rPr>
        <w:t xml:space="preserve">107-osios motorizuotų šaulių divizijos 106-ojo tankų pulko kariškiai) ir </w:t>
      </w:r>
      <w:r>
        <w:rPr>
          <w:i/>
          <w:iCs/>
          <w:szCs w:val="24"/>
        </w:rPr>
        <w:t xml:space="preserve">M. G. </w:t>
      </w:r>
      <w:r w:rsidRPr="00C00255">
        <w:rPr>
          <w:i/>
          <w:iCs/>
          <w:szCs w:val="24"/>
        </w:rPr>
        <w:t xml:space="preserve">(TSRS VSK specialiosios paskirties grupės „A“ kariškis).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Karo atakoje dalyvavusiems kariniams padaliniams, t. y. šimtas šešiasdešimt penkiems kariškiams iš TSRS GM Oro desanto pajėgų 76-osios oro desanto divizijos jungtinio karinio vieneto, dvidešimt devyniems kariškiams iš TSRS VSK specialiosios paskirties grupės „A“, dvylikai kariškių iš TSRS GM</w:t>
      </w:r>
      <w:r w:rsidRPr="00C00255">
        <w:rPr>
          <w:rFonts w:eastAsiaTheme="minorHAnsi"/>
          <w:i/>
          <w:iCs/>
          <w:szCs w:val="24"/>
        </w:rPr>
        <w:t xml:space="preserve"> </w:t>
      </w:r>
      <w:r w:rsidRPr="00C00255">
        <w:rPr>
          <w:rFonts w:eastAsia="Calibri"/>
          <w:i/>
          <w:iCs/>
          <w:szCs w:val="24"/>
        </w:rPr>
        <w:t xml:space="preserve">Sausumos pajėgų Pabaltijo karinės apygardos 107-osios motorizuotų šaulių divizijos 106-ojo tankų pulko, tiksliai nenustatytam skaičiui kariškių iš TSRS GM Sausumos pajėgų Pabaltijo karinės apygardos 107-osios motorizuotų šaulių divizijos 77-ojo motorizuotų šaulių pulko, karo atakos prie TV bokšto metu vadovavo ir jų veiksmus koordinavo TSRS GM Oro desanto pajėgų 76-osios oro desanto divizijos 234-ojo pulko 3-iojo bataliono vadas </w:t>
      </w:r>
      <w:r>
        <w:rPr>
          <w:rFonts w:eastAsia="Calibri"/>
          <w:i/>
          <w:iCs/>
          <w:szCs w:val="24"/>
        </w:rPr>
        <w:t>V. S. 2</w:t>
      </w:r>
      <w:r w:rsidRPr="00C00255">
        <w:rPr>
          <w:rFonts w:eastAsia="Calibri"/>
          <w:i/>
          <w:iCs/>
          <w:szCs w:val="24"/>
        </w:rPr>
        <w:t xml:space="preserve"> kartu su šios divizijos 234-ojo pulko vadu I. K</w:t>
      </w:r>
      <w:r>
        <w:rPr>
          <w:rFonts w:eastAsia="Calibri"/>
          <w:i/>
          <w:iCs/>
          <w:szCs w:val="24"/>
        </w:rPr>
        <w:t>.</w:t>
      </w:r>
      <w:r w:rsidRPr="00C00255">
        <w:rPr>
          <w:rFonts w:eastAsia="Calibri"/>
          <w:i/>
          <w:iCs/>
          <w:szCs w:val="24"/>
        </w:rPr>
        <w:t xml:space="preserve"> (ikiteisminis tyrimas nutrauktas), kuris savo veiksmus ryšio priemonėmis tiesiogiai derino su vadovavimo štabe buvusiu TSRS GM Oro desanto pajėgų 76-osios oro desanto divizijos vado pavaduotoju </w:t>
      </w:r>
      <w:r>
        <w:rPr>
          <w:rFonts w:eastAsia="Calibri"/>
          <w:i/>
          <w:iCs/>
          <w:szCs w:val="24"/>
        </w:rPr>
        <w:t>V. K. 1</w:t>
      </w:r>
      <w:r w:rsidRPr="00C00255">
        <w:rPr>
          <w:rFonts w:eastAsia="Calibri"/>
          <w:i/>
          <w:iCs/>
          <w:szCs w:val="24"/>
        </w:rPr>
        <w:t xml:space="preserve">.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Pagal vadovavimo štabo užduotį, </w:t>
      </w:r>
      <w:r w:rsidRPr="00C00255">
        <w:rPr>
          <w:rStyle w:val="Numatytasispastraiposriftas1"/>
          <w:i/>
          <w:iCs/>
          <w:szCs w:val="24"/>
          <w:lang w:eastAsia="ar-SA" w:bidi="lt-LT"/>
        </w:rPr>
        <w:t>1991 m. sausio 13 d., apie 1.30 val.,</w:t>
      </w:r>
      <w:r w:rsidRPr="00C00255">
        <w:rPr>
          <w:rFonts w:asciiTheme="minorHAnsi" w:eastAsia="Calibri" w:hAnsiTheme="minorHAnsi" w:cstheme="minorBidi"/>
          <w:i/>
          <w:iCs/>
          <w:sz w:val="22"/>
          <w:szCs w:val="24"/>
        </w:rPr>
        <w:t xml:space="preserve"> </w:t>
      </w:r>
      <w:r w:rsidRPr="00C00255">
        <w:rPr>
          <w:i/>
          <w:iCs/>
          <w:szCs w:val="24"/>
          <w:lang w:eastAsia="ar-SA" w:bidi="lt-LT"/>
        </w:rPr>
        <w:t>TSRS GM Sausumos pajėgų Pabaltijo karinės apygardos 107-osios motorizuotų šaulių divizijos</w:t>
      </w:r>
      <w:r w:rsidRPr="00C00255">
        <w:rPr>
          <w:rStyle w:val="Numatytasispastraiposriftas1"/>
          <w:i/>
          <w:iCs/>
          <w:szCs w:val="24"/>
          <w:lang w:eastAsia="ar-SA" w:bidi="lt-LT"/>
        </w:rPr>
        <w:t xml:space="preserve"> 77–ojo motorizuotų šaulių pulko kariškiai prie TV bokšto atvyko iš priešingos, nei numatytas puolimas pusės, ne mažiau kaip trimis tankais T-72, kurių borto numeriai 220, 221 ir 223, ne mažiau kaip viena priešlėktuvinės gynybos sistema ŠILKA (ZSU 23-4)</w:t>
      </w:r>
      <w:r w:rsidRPr="00C00255">
        <w:rPr>
          <w:rStyle w:val="Numatytasispastraiposriftas1"/>
          <w:i/>
          <w:iCs/>
          <w:lang w:eastAsia="ar-SA" w:bidi="lt-LT"/>
        </w:rPr>
        <w:t xml:space="preserve"> </w:t>
      </w:r>
      <w:r w:rsidRPr="00C00255">
        <w:rPr>
          <w:rFonts w:eastAsia="Calibri"/>
          <w:i/>
          <w:iCs/>
          <w:szCs w:val="24"/>
        </w:rPr>
        <w:t>ir ne mažiau kaip penkiais BTR, vieno iš kurių borto numeris 201. Atvykę Žvaigždžių (dabar L. Asanavičiūtės) gatve ir sustoję prie tilto, esančio Sudervės (dabar Sausio 13-osios g. ir V. Maciulevičiaus g.) bei Žvaigždžių (dabar L. Asanavičiūtės) gatvių sankryžoje, turėjo nukreipti susirinkusių civilių dėmesį nuo Sudervės gatve (dabar Sausio 13-osios g.) atvykstančios kitos draudžiamoje karo atakoje dalyvausiančios TSRS kariškių kolonos.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Įgyvendindami šią užduotį, trys TSRS GM</w:t>
      </w:r>
      <w:r w:rsidRPr="00C00255">
        <w:rPr>
          <w:rFonts w:asciiTheme="minorHAnsi" w:eastAsiaTheme="minorEastAsia" w:hAnsiTheme="minorHAnsi" w:cstheme="minorBidi"/>
          <w:i/>
          <w:iCs/>
          <w:sz w:val="22"/>
          <w:szCs w:val="24"/>
          <w:lang w:eastAsia="ar-SA" w:bidi="lt-LT"/>
        </w:rPr>
        <w:t xml:space="preserve"> </w:t>
      </w:r>
      <w:r w:rsidRPr="00C00255">
        <w:rPr>
          <w:rFonts w:eastAsia="Calibri"/>
          <w:i/>
          <w:iCs/>
          <w:szCs w:val="24"/>
          <w:lang w:bidi="lt-LT"/>
        </w:rPr>
        <w:t>Sausumos pajėgų Pabaltijo karinės apygardos</w:t>
      </w:r>
      <w:r w:rsidRPr="00C00255">
        <w:rPr>
          <w:rFonts w:eastAsia="Calibri"/>
          <w:i/>
          <w:iCs/>
          <w:szCs w:val="24"/>
        </w:rPr>
        <w:t xml:space="preserve"> 107-osios motorizuotų šaulių divizijos 77-ojo motorizuotų šaulių pulko, civilių dėmesį nukreipiančiosios kolonos tankai T-72, kurių borto Nr. 220, Nr. 221 ir Nr. 223, draudžiamos karo atakos metu šaudė iš tankų pabūklų tuščiais užtaisais, skleidė dūmines užsklandas, karinės technikos žibintais apšvietė civilius, pavojingai manevruojant važinėjo Sudervės gatve (dabar Sausio 13-osios g.) ir šalino civilius bei esančias užtvaras. Priešlėktuvinės gynybos sistema ŠILKA šaudė 23 mm kalibro šoviniais TV bokšto pusėn. Kai civiliai bėgo į nukreipiančios karinės technikos kolonos pusę, apie 2 val. iš kitos pusės Sudervės gatve (dabar Sausio 13-osios g.) atvyko puolančioji kolona, kuriai vadovavo </w:t>
      </w:r>
      <w:r>
        <w:rPr>
          <w:rFonts w:eastAsia="Calibri"/>
          <w:i/>
          <w:iCs/>
          <w:szCs w:val="24"/>
        </w:rPr>
        <w:t>V. S. 2</w:t>
      </w:r>
      <w:r w:rsidRPr="00C00255">
        <w:rPr>
          <w:rFonts w:eastAsia="Calibri"/>
          <w:i/>
          <w:iCs/>
          <w:szCs w:val="24"/>
        </w:rPr>
        <w:t xml:space="preserve">.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Puolančiąją koloną sudarė TSRS GM </w:t>
      </w:r>
      <w:r w:rsidRPr="00C00255">
        <w:rPr>
          <w:rFonts w:eastAsia="Calibri"/>
          <w:i/>
          <w:iCs/>
          <w:szCs w:val="24"/>
          <w:lang w:bidi="lt-LT"/>
        </w:rPr>
        <w:t xml:space="preserve">Sausumos pajėgų Pabaltijo karinės apygardos </w:t>
      </w:r>
      <w:r w:rsidRPr="00C00255">
        <w:rPr>
          <w:rFonts w:eastAsia="Calibri"/>
          <w:i/>
          <w:iCs/>
          <w:szCs w:val="24"/>
        </w:rPr>
        <w:t xml:space="preserve">107-osios motorizuotų šaulių divizijos 106-ojo tankų pulko keturi tankai T-72, kurių borto numeriai 502, 513, 541 ir 544, TSRS GM Oro desanto pajėgų 76-osios oro desanto divizijos jungtinio pulko 17 BMD, kurių borto numeriai 281, 295, 283, 284, 286, 289, 291, 292, 294, 296, 242, 243, 246, 247, 248, 258 ir 259, viena BMD KŠM, kurios borto Nr. 600, du automobiliai URAL, skirti kariams pervežti, kurių vieno valst. Nr. 23-04 OF, du automobiliai ZIL-131, kurių vieno valst. Nr. 23-30 OF ir kuris buvo skirtas techniniam aptarnavimui, viena BTR-D, kurios borto Nr. 670, ir nenustatytam kariniam daliniui priklausanti patruliavimo mašina – BRDM.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Keturi puolančiosios kolonos tankai su 12-a kariškių iš TSRS GM </w:t>
      </w:r>
      <w:r w:rsidRPr="00C00255">
        <w:rPr>
          <w:rFonts w:eastAsia="Calibri"/>
          <w:i/>
          <w:iCs/>
          <w:szCs w:val="24"/>
          <w:lang w:bidi="lt-LT"/>
        </w:rPr>
        <w:t xml:space="preserve">Sausumos pajėgų Pabaltijo karinės apygardos </w:t>
      </w:r>
      <w:r w:rsidRPr="00C00255">
        <w:rPr>
          <w:rFonts w:eastAsia="Calibri"/>
          <w:i/>
          <w:iCs/>
          <w:szCs w:val="24"/>
        </w:rPr>
        <w:t xml:space="preserve">107-osios motorizuotų šaulių divizijos 106-ojo tankų pulko prie TV bokšto atvyko iš Sudervės g. (dabar Sausio 13-osios g.) pusės, šalino kelyje buvusias užtvaras, keliose vietose išgriovė TV bokšto teritoriją juosiančią tvorą ir padarė kelią iš paskos važiuojančiai karinės technikos kolonai, šaudė iš tankų pabūklų tuščiais užtaisais, skleidė dūmines užsklandas, apšvietė karinės technikos žibintais civilius, pavojingai manevruodami važinėjo TV bokšto teritorijoje šalino civilius iš teritorijos ir TV bokšto prieigų.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Kolonos vadas </w:t>
      </w:r>
      <w:r>
        <w:rPr>
          <w:rFonts w:eastAsia="Calibri"/>
          <w:i/>
          <w:iCs/>
          <w:szCs w:val="24"/>
        </w:rPr>
        <w:t>V. S. 2</w:t>
      </w:r>
      <w:r w:rsidRPr="00C00255">
        <w:rPr>
          <w:rFonts w:eastAsia="Calibri"/>
          <w:i/>
          <w:iCs/>
          <w:szCs w:val="24"/>
        </w:rPr>
        <w:t xml:space="preserve">, gavęs informaciją iš kolonos priekyje BMD 281, važiuojančio </w:t>
      </w:r>
      <w:r>
        <w:rPr>
          <w:rFonts w:eastAsia="Calibri"/>
          <w:i/>
          <w:iCs/>
          <w:szCs w:val="24"/>
        </w:rPr>
        <w:t>V. D.</w:t>
      </w:r>
      <w:r w:rsidRPr="00C00255">
        <w:rPr>
          <w:rFonts w:eastAsia="Calibri"/>
          <w:i/>
          <w:iCs/>
          <w:szCs w:val="24"/>
        </w:rPr>
        <w:t xml:space="preserve"> apie tai, kad kolonos kelyje yra užtvarų iš transporto priemonių, tankų pulko vadui </w:t>
      </w:r>
      <w:r>
        <w:rPr>
          <w:rFonts w:eastAsia="Calibri"/>
          <w:i/>
          <w:iCs/>
          <w:szCs w:val="24"/>
        </w:rPr>
        <w:t xml:space="preserve">N. A. </w:t>
      </w:r>
      <w:r w:rsidRPr="00C00255">
        <w:rPr>
          <w:rFonts w:eastAsia="Calibri"/>
          <w:i/>
          <w:iCs/>
          <w:szCs w:val="24"/>
        </w:rPr>
        <w:t xml:space="preserve"> nurodė jas pašalinti. </w:t>
      </w:r>
      <w:r>
        <w:rPr>
          <w:rFonts w:eastAsia="Calibri"/>
          <w:i/>
          <w:iCs/>
          <w:szCs w:val="24"/>
        </w:rPr>
        <w:t xml:space="preserve">N. A. </w:t>
      </w:r>
      <w:r w:rsidRPr="00C00255">
        <w:rPr>
          <w:rFonts w:eastAsia="Calibri"/>
          <w:i/>
          <w:iCs/>
          <w:szCs w:val="24"/>
        </w:rPr>
        <w:t xml:space="preserve"> nurodymu, jo vadovaujamas tankas, borto Nr. 502, kurio ekipaže buvo taikytojas </w:t>
      </w:r>
      <w:r>
        <w:rPr>
          <w:rFonts w:eastAsia="Calibri"/>
          <w:i/>
          <w:iCs/>
          <w:szCs w:val="24"/>
        </w:rPr>
        <w:t>O. A.</w:t>
      </w:r>
      <w:r w:rsidRPr="00C00255">
        <w:rPr>
          <w:rFonts w:eastAsia="Calibri"/>
          <w:i/>
          <w:iCs/>
          <w:szCs w:val="24"/>
        </w:rPr>
        <w:t xml:space="preserve"> ir mechanikas-vairuotojas </w:t>
      </w:r>
      <w:r>
        <w:rPr>
          <w:rFonts w:eastAsia="Calibri"/>
          <w:i/>
          <w:iCs/>
          <w:szCs w:val="24"/>
        </w:rPr>
        <w:t>V. S. 4</w:t>
      </w:r>
      <w:r w:rsidRPr="00C00255">
        <w:rPr>
          <w:rFonts w:eastAsia="Calibri"/>
          <w:i/>
          <w:iCs/>
          <w:szCs w:val="24"/>
        </w:rPr>
        <w:t xml:space="preserve">, kartu su </w:t>
      </w:r>
      <w:r>
        <w:rPr>
          <w:rFonts w:eastAsia="Calibri"/>
          <w:i/>
          <w:iCs/>
          <w:szCs w:val="24"/>
        </w:rPr>
        <w:t>S. V.</w:t>
      </w:r>
      <w:r w:rsidRPr="00C00255">
        <w:rPr>
          <w:rFonts w:eastAsia="Calibri"/>
          <w:i/>
          <w:iCs/>
          <w:szCs w:val="24"/>
        </w:rPr>
        <w:t xml:space="preserve"> vadovaujamo tanko, kurio borto Nr. 513, ekipažu, kurį sudarė taikytojas I. B</w:t>
      </w:r>
      <w:r>
        <w:rPr>
          <w:rFonts w:eastAsia="Calibri"/>
          <w:i/>
          <w:iCs/>
          <w:szCs w:val="24"/>
        </w:rPr>
        <w:t>.</w:t>
      </w:r>
      <w:r w:rsidRPr="00C00255">
        <w:rPr>
          <w:rFonts w:eastAsia="Calibri"/>
          <w:i/>
          <w:iCs/>
          <w:szCs w:val="24"/>
        </w:rPr>
        <w:t xml:space="preserve">, kurio atžvilgiu baudžiamasis procesas nutrauktas, ir mechanikas-vairuotojas </w:t>
      </w:r>
      <w:r>
        <w:rPr>
          <w:rFonts w:eastAsia="Calibri"/>
          <w:i/>
          <w:iCs/>
          <w:szCs w:val="24"/>
        </w:rPr>
        <w:t>A. K.</w:t>
      </w:r>
      <w:r w:rsidRPr="00C00255">
        <w:rPr>
          <w:rFonts w:eastAsia="Calibri"/>
          <w:i/>
          <w:iCs/>
          <w:szCs w:val="24"/>
        </w:rPr>
        <w:t xml:space="preserve">, šalino kliūtis ir sukėlė pavojų civilių gyvybei ir sveikatai.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Vienas iš užtvaras šalinusių tankų, stumdamas nuo pravažiavimo smėlio barstytuvą ZIL-130 KDM, kurio valst. Nr. 29-04 LIČ (raidės rusiškos), prie jo prispaudė nukentėjusįjį A</w:t>
      </w:r>
      <w:r>
        <w:rPr>
          <w:rFonts w:eastAsia="Calibri"/>
          <w:i/>
          <w:iCs/>
          <w:szCs w:val="24"/>
        </w:rPr>
        <w:t xml:space="preserve">. </w:t>
      </w:r>
      <w:r w:rsidRPr="00C00255">
        <w:rPr>
          <w:rFonts w:eastAsia="Calibri"/>
          <w:i/>
          <w:iCs/>
          <w:szCs w:val="24"/>
        </w:rPr>
        <w:t>P</w:t>
      </w:r>
      <w:r>
        <w:rPr>
          <w:rFonts w:eastAsia="Calibri"/>
          <w:i/>
          <w:iCs/>
          <w:szCs w:val="24"/>
        </w:rPr>
        <w:t xml:space="preserve">. </w:t>
      </w:r>
      <w:r w:rsidRPr="00C00255">
        <w:rPr>
          <w:rFonts w:eastAsia="Calibri"/>
          <w:i/>
          <w:iCs/>
          <w:szCs w:val="24"/>
        </w:rPr>
        <w:t>K</w:t>
      </w:r>
      <w:r>
        <w:rPr>
          <w:rFonts w:eastAsia="Calibri"/>
          <w:i/>
          <w:iCs/>
          <w:szCs w:val="24"/>
        </w:rPr>
        <w:t>.,</w:t>
      </w:r>
      <w:r w:rsidRPr="00C00255">
        <w:rPr>
          <w:rFonts w:eastAsia="Calibri"/>
          <w:i/>
          <w:iCs/>
          <w:szCs w:val="24"/>
        </w:rPr>
        <w:t xml:space="preserve"> kuris dėl nuo visumos traumų galvoje, kūne ir galūnėse bei daugybės skeleto kaulų lūžių ir traumų sukelto šoko komplikacijos, galvos smegenų, plaučių pabrinkimo ir vidinės kraujosruvos mirė, t. y. nukentėjusįjį tyčia nužudė. </w:t>
      </w:r>
    </w:p>
    <w:p w:rsidR="00DA38E9" w:rsidRPr="00C00255" w:rsidRDefault="00DA38E9" w:rsidP="00DA38E9">
      <w:pPr>
        <w:pStyle w:val="ListParagraph"/>
        <w:spacing w:before="120" w:after="120"/>
        <w:ind w:left="992"/>
        <w:contextualSpacing w:val="0"/>
        <w:rPr>
          <w:rFonts w:eastAsia="Calibri"/>
          <w:i/>
          <w:iCs/>
          <w:szCs w:val="24"/>
        </w:rPr>
      </w:pPr>
      <w:r>
        <w:rPr>
          <w:rFonts w:eastAsia="Calibri"/>
          <w:i/>
          <w:iCs/>
          <w:szCs w:val="24"/>
        </w:rPr>
        <w:t>N. A.</w:t>
      </w:r>
      <w:r w:rsidRPr="00C00255">
        <w:rPr>
          <w:rFonts w:eastAsia="Calibri"/>
          <w:i/>
          <w:iCs/>
          <w:szCs w:val="24"/>
        </w:rPr>
        <w:t xml:space="preserve">vadovaujamam tankui Nr. 502, kurio ekipaže buvo </w:t>
      </w:r>
      <w:r>
        <w:rPr>
          <w:rFonts w:eastAsia="Calibri"/>
          <w:i/>
          <w:iCs/>
          <w:szCs w:val="24"/>
        </w:rPr>
        <w:t>O. A.</w:t>
      </w:r>
      <w:r w:rsidRPr="00C00255">
        <w:rPr>
          <w:rFonts w:eastAsia="Calibri"/>
          <w:i/>
          <w:iCs/>
          <w:szCs w:val="24"/>
        </w:rPr>
        <w:t xml:space="preserve"> ir </w:t>
      </w:r>
      <w:r>
        <w:rPr>
          <w:rFonts w:eastAsia="Calibri"/>
          <w:i/>
          <w:iCs/>
          <w:szCs w:val="24"/>
        </w:rPr>
        <w:t>V. S. 4</w:t>
      </w:r>
      <w:r w:rsidRPr="00C00255">
        <w:rPr>
          <w:rFonts w:eastAsia="Calibri"/>
          <w:i/>
          <w:iCs/>
          <w:szCs w:val="24"/>
        </w:rPr>
        <w:t xml:space="preserve">, bei </w:t>
      </w:r>
      <w:r>
        <w:rPr>
          <w:rFonts w:eastAsia="Calibri"/>
          <w:i/>
          <w:iCs/>
          <w:szCs w:val="24"/>
        </w:rPr>
        <w:t>S. V.</w:t>
      </w:r>
      <w:r w:rsidRPr="00C00255">
        <w:rPr>
          <w:rFonts w:eastAsia="Calibri"/>
          <w:i/>
          <w:iCs/>
          <w:szCs w:val="24"/>
        </w:rPr>
        <w:t xml:space="preserve"> vadovaujamam tankui Nr. 513, kurio ekipaže buvo vairuotojas-mechanikas </w:t>
      </w:r>
      <w:r>
        <w:rPr>
          <w:rFonts w:eastAsia="Calibri"/>
          <w:i/>
          <w:iCs/>
          <w:szCs w:val="24"/>
        </w:rPr>
        <w:t>A. K.</w:t>
      </w:r>
      <w:r w:rsidRPr="00C00255">
        <w:rPr>
          <w:rFonts w:eastAsia="Calibri"/>
          <w:i/>
          <w:iCs/>
          <w:szCs w:val="24"/>
        </w:rPr>
        <w:t xml:space="preserve">, pašalinus užtvaras, šie tankai bei už jų važiavęs </w:t>
      </w:r>
      <w:r>
        <w:rPr>
          <w:rFonts w:eastAsia="Calibri"/>
          <w:i/>
          <w:iCs/>
          <w:szCs w:val="24"/>
        </w:rPr>
        <w:t>V. Š. 3</w:t>
      </w:r>
      <w:r w:rsidRPr="00C00255">
        <w:rPr>
          <w:rFonts w:eastAsia="Calibri"/>
          <w:i/>
          <w:iCs/>
          <w:szCs w:val="24"/>
        </w:rPr>
        <w:t xml:space="preserve"> vadovaujamas tankas Nr. 541, kurio taikytoju buvo </w:t>
      </w:r>
      <w:r>
        <w:rPr>
          <w:rFonts w:eastAsia="Calibri"/>
          <w:i/>
          <w:iCs/>
          <w:szCs w:val="24"/>
        </w:rPr>
        <w:t>A. G. 1</w:t>
      </w:r>
      <w:r w:rsidRPr="00C00255">
        <w:rPr>
          <w:rFonts w:eastAsia="Calibri"/>
          <w:i/>
          <w:iCs/>
          <w:szCs w:val="24"/>
        </w:rPr>
        <w:t>, o mechaniku-vairuotoju buvo V. P</w:t>
      </w:r>
      <w:r>
        <w:rPr>
          <w:rFonts w:eastAsia="Calibri"/>
          <w:i/>
          <w:iCs/>
          <w:szCs w:val="24"/>
        </w:rPr>
        <w:t>.</w:t>
      </w:r>
      <w:r w:rsidRPr="00C00255">
        <w:rPr>
          <w:rFonts w:eastAsia="Calibri"/>
          <w:i/>
          <w:iCs/>
          <w:szCs w:val="24"/>
        </w:rPr>
        <w:t xml:space="preserve">, kurio atžvilgiu baudžiamasis persekiojimas už nusikaltimus žmoniškumui ir karo nusikaltimus nebuvo vykdomas, TV bokšto rytų pusėje išlaužė tvorą ir pavojingai manevruodami įvažiavo į bokšto teritoriją, kurioje buvo puolamą objektą gynusi daugiatūkstantinė civilių minia. Tankų Nr. 513 ir 541 ekipažai ne mažiau kaip po du kartus iššovė iš pabūklų tuščiais užtaisais, leido dūmines užsklandas, karinės technikos šviesos prietaisais švietė į civilius ir puolamą objektą bei aplink esančius pastatus, taip civilius baugindami bei terorizuodami. </w:t>
      </w:r>
    </w:p>
    <w:p w:rsidR="00DA38E9" w:rsidRPr="00C00255" w:rsidRDefault="00DA38E9" w:rsidP="00DA38E9">
      <w:pPr>
        <w:pStyle w:val="ListParagraph"/>
        <w:spacing w:before="120" w:after="120"/>
        <w:ind w:left="992"/>
        <w:contextualSpacing w:val="0"/>
        <w:rPr>
          <w:rFonts w:eastAsia="Calibri"/>
          <w:i/>
          <w:iCs/>
          <w:szCs w:val="24"/>
        </w:rPr>
      </w:pPr>
      <w:r>
        <w:rPr>
          <w:rFonts w:eastAsia="Calibri"/>
          <w:i/>
          <w:iCs/>
          <w:szCs w:val="24"/>
        </w:rPr>
        <w:t xml:space="preserve">N. A. </w:t>
      </w:r>
      <w:r w:rsidRPr="00C00255">
        <w:rPr>
          <w:rFonts w:eastAsia="Calibri"/>
          <w:i/>
          <w:iCs/>
          <w:szCs w:val="24"/>
        </w:rPr>
        <w:t>vadovaujamas tankas Nr. 502, pavojingai manevruodamas civilių minioje, juos baugindamas bei terorizuodamas, ne mažiau kaip vieną kartą iššovė iš pabūklo tuščiu užtaisu pietinėje TV bokšto pusėje, korpusu išdaužė TV bokšto pastato pirmajame aukšte esančios konferencijų salės langus ir toliau pavojingai manevruodamas šalia puolamo objekto, užvažiavo ant nukentėjusiosios L</w:t>
      </w:r>
      <w:r>
        <w:rPr>
          <w:rFonts w:eastAsia="Calibri"/>
          <w:i/>
          <w:iCs/>
          <w:szCs w:val="24"/>
        </w:rPr>
        <w:t xml:space="preserve">. </w:t>
      </w:r>
      <w:r w:rsidRPr="00C00255">
        <w:rPr>
          <w:rFonts w:eastAsia="Calibri"/>
          <w:i/>
          <w:iCs/>
          <w:szCs w:val="24"/>
        </w:rPr>
        <w:t>A</w:t>
      </w:r>
      <w:r>
        <w:rPr>
          <w:rFonts w:eastAsia="Calibri"/>
          <w:i/>
          <w:iCs/>
          <w:szCs w:val="24"/>
        </w:rPr>
        <w:t>.</w:t>
      </w:r>
      <w:r w:rsidRPr="00C00255">
        <w:rPr>
          <w:rFonts w:eastAsia="Calibri"/>
          <w:i/>
          <w:iCs/>
          <w:szCs w:val="24"/>
        </w:rPr>
        <w:t xml:space="preserve">, dėl ko pastaroji nuo stipraus dubens ir kojų suspaudimo, sulaužant dubens kaulus ir daugybiniai sužalojant dubens-pilvo apatinės dalies bei kojų minkštuosius audinius, sukėlus labai didelį nukraujavimą iš suplėšytų dubens audinių ir nekompensuojamą trauminį šoką, mirė, t. y. nukentėjusioji buvo tyčia nužudyta.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Tuo pačiu metu </w:t>
      </w:r>
      <w:r>
        <w:rPr>
          <w:rFonts w:eastAsia="Calibri"/>
          <w:i/>
          <w:iCs/>
          <w:szCs w:val="24"/>
        </w:rPr>
        <w:t xml:space="preserve">N. A. </w:t>
      </w:r>
      <w:r w:rsidRPr="00C00255">
        <w:rPr>
          <w:rFonts w:eastAsia="Calibri"/>
          <w:i/>
          <w:iCs/>
          <w:szCs w:val="24"/>
        </w:rPr>
        <w:t>vadovaujamas tankas Nr. 502 užvažiavo ir ant nukentėjusiųjų L</w:t>
      </w:r>
      <w:r>
        <w:rPr>
          <w:rFonts w:eastAsia="Calibri"/>
          <w:i/>
          <w:iCs/>
          <w:szCs w:val="24"/>
        </w:rPr>
        <w:t>. </w:t>
      </w:r>
      <w:r w:rsidRPr="00C00255">
        <w:rPr>
          <w:rFonts w:eastAsia="Calibri"/>
          <w:i/>
          <w:iCs/>
          <w:szCs w:val="24"/>
        </w:rPr>
        <w:t>T</w:t>
      </w:r>
      <w:r>
        <w:rPr>
          <w:rFonts w:eastAsia="Calibri"/>
          <w:i/>
          <w:iCs/>
          <w:szCs w:val="24"/>
        </w:rPr>
        <w:t>. </w:t>
      </w:r>
      <w:r w:rsidRPr="00C00255">
        <w:rPr>
          <w:rFonts w:eastAsia="Calibri"/>
          <w:i/>
          <w:iCs/>
          <w:szCs w:val="24"/>
        </w:rPr>
        <w:t>(Š</w:t>
      </w:r>
      <w:r>
        <w:rPr>
          <w:rFonts w:eastAsia="Calibri"/>
          <w:i/>
          <w:iCs/>
          <w:szCs w:val="24"/>
        </w:rPr>
        <w:t>.</w:t>
      </w:r>
      <w:r w:rsidRPr="00C00255">
        <w:rPr>
          <w:rFonts w:eastAsia="Calibri"/>
          <w:i/>
          <w:iCs/>
          <w:szCs w:val="24"/>
        </w:rPr>
        <w:t>), A</w:t>
      </w:r>
      <w:r>
        <w:rPr>
          <w:rFonts w:eastAsia="Calibri"/>
          <w:i/>
          <w:iCs/>
          <w:szCs w:val="24"/>
        </w:rPr>
        <w:t xml:space="preserve">. </w:t>
      </w:r>
      <w:r w:rsidRPr="00C00255">
        <w:rPr>
          <w:rFonts w:eastAsia="Calibri"/>
          <w:i/>
          <w:iCs/>
          <w:szCs w:val="24"/>
        </w:rPr>
        <w:t>M</w:t>
      </w:r>
      <w:r>
        <w:rPr>
          <w:rFonts w:eastAsia="Calibri"/>
          <w:i/>
          <w:iCs/>
          <w:szCs w:val="24"/>
        </w:rPr>
        <w:t xml:space="preserve">. </w:t>
      </w:r>
      <w:r w:rsidRPr="00C00255">
        <w:rPr>
          <w:rFonts w:eastAsia="Calibri"/>
          <w:i/>
          <w:iCs/>
          <w:szCs w:val="24"/>
        </w:rPr>
        <w:t>P</w:t>
      </w:r>
      <w:r>
        <w:rPr>
          <w:rFonts w:eastAsia="Calibri"/>
          <w:i/>
          <w:iCs/>
          <w:szCs w:val="24"/>
        </w:rPr>
        <w:t>.</w:t>
      </w:r>
      <w:r w:rsidRPr="00C00255">
        <w:rPr>
          <w:rFonts w:eastAsia="Calibri"/>
          <w:i/>
          <w:iCs/>
          <w:szCs w:val="24"/>
        </w:rPr>
        <w:t xml:space="preserve"> ir A</w:t>
      </w:r>
      <w:r>
        <w:rPr>
          <w:rFonts w:eastAsia="Calibri"/>
          <w:i/>
          <w:iCs/>
          <w:szCs w:val="24"/>
        </w:rPr>
        <w:t>.</w:t>
      </w:r>
      <w:r w:rsidRPr="00C00255">
        <w:rPr>
          <w:rFonts w:eastAsia="Calibri"/>
          <w:i/>
          <w:iCs/>
          <w:szCs w:val="24"/>
        </w:rPr>
        <w:t> S</w:t>
      </w:r>
      <w:r>
        <w:rPr>
          <w:rFonts w:eastAsia="Calibri"/>
          <w:i/>
          <w:iCs/>
          <w:szCs w:val="24"/>
        </w:rPr>
        <w:t>.</w:t>
      </w:r>
      <w:r w:rsidRPr="00C00255">
        <w:rPr>
          <w:rFonts w:eastAsia="Calibri"/>
          <w:i/>
          <w:iCs/>
          <w:szCs w:val="24"/>
        </w:rPr>
        <w:t xml:space="preserve">, dėl ko pastariesiems buvo padaryti tyčiniai sunkūs sveikatos sutrikdymai: </w:t>
      </w:r>
      <w:r w:rsidRPr="00824F15">
        <w:rPr>
          <w:rFonts w:eastAsia="Calibri"/>
          <w:i/>
          <w:iCs/>
          <w:szCs w:val="24"/>
        </w:rPr>
        <w:t>L. T. (Š.)</w:t>
      </w:r>
      <w:r w:rsidRPr="00C00255">
        <w:rPr>
          <w:rFonts w:eastAsia="Calibri"/>
          <w:i/>
          <w:iCs/>
          <w:szCs w:val="24"/>
        </w:rPr>
        <w:t xml:space="preserve"> – atviras dešinio šlaunikaulio lūžimas, traiškytos dešinės šlaunies ir dešinės blauzdos žaizdos, kairės šlaunies ir kairės blauzdos minkštų audinių suspaudimas; A. M. P</w:t>
      </w:r>
      <w:r>
        <w:rPr>
          <w:rFonts w:eastAsia="Calibri"/>
          <w:i/>
          <w:iCs/>
          <w:szCs w:val="24"/>
        </w:rPr>
        <w:t>.</w:t>
      </w:r>
      <w:r w:rsidRPr="00C00255">
        <w:rPr>
          <w:rFonts w:eastAsia="Calibri"/>
          <w:i/>
          <w:iCs/>
          <w:szCs w:val="24"/>
        </w:rPr>
        <w:t xml:space="preserve"> – plėštinės žaizdos kairėje blauzdoje su skeveldriniu atviru blauzdikaulio ir dvigubu atviru šeivikaulio lūžiais ir plačios daugybinės poodinės kraujosruvos dešinėje blauzdoje ir šlaunyje, A. S</w:t>
      </w:r>
      <w:r>
        <w:rPr>
          <w:rFonts w:eastAsia="Calibri"/>
          <w:i/>
          <w:iCs/>
          <w:szCs w:val="24"/>
        </w:rPr>
        <w:t>.</w:t>
      </w:r>
      <w:r w:rsidRPr="00C00255">
        <w:rPr>
          <w:rFonts w:eastAsia="Calibri"/>
          <w:i/>
          <w:iCs/>
          <w:szCs w:val="24"/>
        </w:rPr>
        <w:t xml:space="preserve"> – daugybinės plėštinės-traiškytos žaizdos abiejų kojų blauzdose su atvirais kairio blauzdikaulio ir šeivikaulio vamzdinių dalių bei uždaru dešinio šeivikaulio viršutinio galo lūžiais. Atsitraukus nuo puolamo objekto iš tanko buvo leidžiamos dūminės užsklandos, karinės technikos šviesos prietaisais šviečiama į civilius, užimamą objektą ir aplink esančius pastatus, taip civiliai buvo bauginami bei terorizuojami.</w:t>
      </w:r>
    </w:p>
    <w:p w:rsidR="00DA38E9" w:rsidRPr="00C00255" w:rsidRDefault="00DA38E9" w:rsidP="00DA38E9">
      <w:pPr>
        <w:pStyle w:val="ListParagraph"/>
        <w:spacing w:before="120" w:after="120"/>
        <w:ind w:left="992"/>
        <w:contextualSpacing w:val="0"/>
        <w:rPr>
          <w:rFonts w:eastAsia="Calibri"/>
          <w:i/>
          <w:iCs/>
          <w:szCs w:val="24"/>
        </w:rPr>
      </w:pPr>
      <w:r>
        <w:rPr>
          <w:rFonts w:eastAsia="Calibri"/>
          <w:i/>
          <w:iCs/>
          <w:szCs w:val="24"/>
        </w:rPr>
        <w:t>J. M.</w:t>
      </w:r>
      <w:r w:rsidRPr="00C00255">
        <w:rPr>
          <w:rFonts w:eastAsia="Calibri"/>
          <w:i/>
          <w:iCs/>
          <w:szCs w:val="24"/>
        </w:rPr>
        <w:t xml:space="preserve"> vadovaujamas tankas, kurio borto Nr. 544 ir kurio ekipaže buvo taikytojas </w:t>
      </w:r>
      <w:r>
        <w:rPr>
          <w:rFonts w:eastAsia="Calibri"/>
          <w:i/>
          <w:iCs/>
          <w:szCs w:val="24"/>
        </w:rPr>
        <w:t>D. B.</w:t>
      </w:r>
      <w:r w:rsidRPr="00C00255">
        <w:rPr>
          <w:rFonts w:eastAsia="Calibri"/>
          <w:i/>
          <w:iCs/>
          <w:szCs w:val="24"/>
        </w:rPr>
        <w:t>, taip pat mechanikas-vairuotojas S. D</w:t>
      </w:r>
      <w:r>
        <w:rPr>
          <w:rFonts w:eastAsia="Calibri"/>
          <w:i/>
          <w:iCs/>
          <w:szCs w:val="24"/>
        </w:rPr>
        <w:t>.</w:t>
      </w:r>
      <w:r w:rsidRPr="00C00255">
        <w:rPr>
          <w:rFonts w:eastAsia="Calibri"/>
          <w:i/>
          <w:iCs/>
          <w:szCs w:val="24"/>
        </w:rPr>
        <w:t xml:space="preserve">, kurio atžvilgiu baudžiamasis persekiojimas už nusikaltimus žmoniškumui ir karo nusikaltimus nebuvo vykdomas, išlaužęs TV bokšto teritoriją juosiančią tvorą ir pavojingai manevruodamas tarp ten esančių civilių, įvažiavo į teritoriją, kur ne mažiau kaip tris kartus iššovė iš pabūklo tuščiais užtaisais, leido dūmines užsklandas.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Išlaužus TV bokšto rytinėje bei pietrytinėje pusėse esančios tvoros dalis, į užimamo objekto teritoriją įvažiavo likusi kolonos dalis: BMD, kurių borto numeriai 281, 295, 283, 284, 286, 289, 291, 292, 294, 296, 242, 243, 246, 247, 248, 258 ir 259, viena BMD KŠM, kurios borto Nr. 600, du automobiliai URAL, skirti kariams pervežti, kurių vieno valst. Nr. 23-04 OF, du automobiliai ZIL-131, kurių vieno valst. Nr. 23-30 OF ir kuris buvo skirtas techniniam aptarnavimui, viena BTR-D, kurios borto numeris 670, ir BRDM.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Tarptautinės humanitarinės teisės draudžiamos karo atakos metu, vienam iš keturių tankų T-72 iššovus iš tanko pabūklo išmušamuoju garsiniu užtaisu ir nuo šūvio bangos R. J</w:t>
      </w:r>
      <w:r>
        <w:rPr>
          <w:rFonts w:eastAsia="Calibri"/>
          <w:i/>
          <w:iCs/>
          <w:szCs w:val="24"/>
        </w:rPr>
        <w:t>.</w:t>
      </w:r>
      <w:r w:rsidRPr="00C00255">
        <w:rPr>
          <w:rFonts w:eastAsia="Calibri"/>
          <w:i/>
          <w:iCs/>
          <w:szCs w:val="24"/>
        </w:rPr>
        <w:t xml:space="preserve"> nugriuvus ant žemės, jį pervažiavo TV bokšto teritorijoje pavojingai manevravusi vikšrinė karinė technika, dėl ko pastarasis nuo stipraus kūno suspaudimo tarp kietų bukų daiktų, daugybinių kaukolės ir kitų skeleto kaulų lūžimų, vidaus organų plyšimų, ūmaus nukraujavimo į pilvo ir krūtinės ertmes mirė, t. y. nukentėjusysis buvo tyčia nužudytas.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Tęsdami TSRS GM Sausumos pajėgų Pabaltijo karinės apygardos 107-osios motorizuotų šaulių divizijos 77-ojo motorizuotų šaulių pulko ir 106-ojo tankų pulko pradėtą tarptautinės humanitarinės teisės draudžiamą karo ataką, kariškiai iš TSRS GM Oro desanto pajėgų 76-osios oro desanto divizijos 234-ojo pulko 2-ojo bataliono 4-osios ir 5-osios kuopų, 3-iojo bataliono 8-osios ir 9-osios kuopų bei 3-iojo savaeigės artilerijos diviziono 3-iosios savaeigės artilerijos baterijos, pasidalinę į dvi dalis turėjo pulti TV bokštą: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aštuoniasdešimt penki kariškiai iš TSRS GM</w:t>
      </w:r>
      <w:r w:rsidRPr="00C00255">
        <w:rPr>
          <w:rFonts w:asciiTheme="minorHAnsi" w:eastAsia="Calibri" w:hAnsiTheme="minorHAnsi" w:cstheme="minorBidi"/>
          <w:i/>
          <w:iCs/>
          <w:sz w:val="22"/>
          <w:szCs w:val="24"/>
        </w:rPr>
        <w:t xml:space="preserve"> </w:t>
      </w:r>
      <w:r w:rsidRPr="00C00255">
        <w:rPr>
          <w:rFonts w:eastAsia="Calibri"/>
          <w:i/>
          <w:iCs/>
          <w:szCs w:val="24"/>
        </w:rPr>
        <w:t xml:space="preserve">Oro desanto pajėgų 76-osios oro desanto divizijos 234-ojo pulko 2-ojo bataliono 4-osios ir 5-osios kuopų bei 3-iojo savaeigės artilerijos diviziono 3-iosios savaeigės baterijos, vadovaujami </w:t>
      </w:r>
      <w:r>
        <w:rPr>
          <w:rFonts w:eastAsia="Calibri"/>
          <w:i/>
          <w:iCs/>
          <w:szCs w:val="24"/>
        </w:rPr>
        <w:t>A. L.</w:t>
      </w:r>
      <w:r w:rsidRPr="00C00255">
        <w:rPr>
          <w:rFonts w:eastAsia="Calibri"/>
          <w:i/>
          <w:iCs/>
          <w:szCs w:val="24"/>
        </w:rPr>
        <w:t xml:space="preserve"> </w:t>
      </w:r>
      <w:r>
        <w:rPr>
          <w:rFonts w:eastAsia="Calibri"/>
          <w:i/>
          <w:iCs/>
          <w:szCs w:val="24"/>
        </w:rPr>
        <w:t>A. Z.</w:t>
      </w:r>
      <w:r w:rsidRPr="00C00255">
        <w:rPr>
          <w:rFonts w:eastAsia="Calibri"/>
          <w:i/>
          <w:iCs/>
          <w:szCs w:val="24"/>
        </w:rPr>
        <w:t xml:space="preserve"> ir kitų kariškių, turėjo iki puolamo objekto prasibrauti iš pietinės pusės ir kartu su TV bokšto teritorijoje pavojingai manevruojančia karine technika pašalinti civilius iš TV bokšto teritorijos;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 aštuoniasdešimt kariškių iš TSRS GM Oro desanto pajėgų 76-osios oro desanto divizijos 234-ojo pulko 3-iojo bataliono 8-osios ir 9-osios kuopų, vadovaujami </w:t>
      </w:r>
      <w:r>
        <w:rPr>
          <w:rFonts w:eastAsia="Calibri"/>
          <w:i/>
          <w:iCs/>
          <w:szCs w:val="24"/>
        </w:rPr>
        <w:t>V. D.</w:t>
      </w:r>
      <w:r w:rsidRPr="00C00255">
        <w:rPr>
          <w:rFonts w:eastAsia="Calibri"/>
          <w:i/>
          <w:iCs/>
          <w:szCs w:val="24"/>
        </w:rPr>
        <w:t xml:space="preserve">, </w:t>
      </w:r>
      <w:r>
        <w:rPr>
          <w:rFonts w:eastAsia="Calibri"/>
          <w:i/>
          <w:iCs/>
          <w:szCs w:val="24"/>
        </w:rPr>
        <w:t>S. K.</w:t>
      </w:r>
      <w:r w:rsidRPr="00C00255">
        <w:rPr>
          <w:rFonts w:eastAsia="Calibri"/>
          <w:i/>
          <w:iCs/>
          <w:szCs w:val="24"/>
        </w:rPr>
        <w:t xml:space="preserve">, </w:t>
      </w:r>
      <w:r>
        <w:rPr>
          <w:rFonts w:eastAsia="Calibri"/>
          <w:i/>
          <w:iCs/>
          <w:szCs w:val="24"/>
        </w:rPr>
        <w:t>A. G. 2</w:t>
      </w:r>
      <w:r w:rsidRPr="00C00255">
        <w:rPr>
          <w:rFonts w:eastAsia="Calibri"/>
          <w:i/>
          <w:iCs/>
          <w:szCs w:val="24"/>
        </w:rPr>
        <w:t xml:space="preserve">, </w:t>
      </w:r>
      <w:r>
        <w:rPr>
          <w:rFonts w:eastAsia="Calibri"/>
          <w:i/>
          <w:iCs/>
          <w:szCs w:val="24"/>
        </w:rPr>
        <w:t>V. K. 2</w:t>
      </w:r>
      <w:r w:rsidRPr="00C00255">
        <w:rPr>
          <w:rFonts w:eastAsia="Calibri"/>
          <w:i/>
          <w:iCs/>
          <w:szCs w:val="24"/>
        </w:rPr>
        <w:t xml:space="preserve">, </w:t>
      </w:r>
      <w:r>
        <w:rPr>
          <w:rFonts w:eastAsia="Calibri"/>
          <w:i/>
          <w:iCs/>
          <w:szCs w:val="24"/>
        </w:rPr>
        <w:t>E. M.</w:t>
      </w:r>
      <w:r w:rsidRPr="00C00255">
        <w:rPr>
          <w:rFonts w:eastAsia="Calibri"/>
          <w:i/>
          <w:iCs/>
          <w:szCs w:val="24"/>
        </w:rPr>
        <w:t xml:space="preserve"> ir kitų karininkų, turėjo iki puolamo objekto prasibrauti iš šiaurinės pusės ir kartu su TV bokšto teritorijoje pavojingai manevruojančia karine technika pašalinti civilius iš TV bokšto teritorijos;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 septyniolika TSRS GM Oro desanto pajėgų 76-osios oro desanto divizijos 234-ojo pulko 3-iojo bataliono 8-osios kuopos kariškių, vadovaujami </w:t>
      </w:r>
      <w:r>
        <w:rPr>
          <w:rFonts w:eastAsia="Calibri"/>
          <w:i/>
          <w:iCs/>
          <w:szCs w:val="24"/>
        </w:rPr>
        <w:t>E. M.</w:t>
      </w:r>
      <w:r w:rsidRPr="00C00255">
        <w:rPr>
          <w:rFonts w:eastAsia="Calibri"/>
          <w:i/>
          <w:iCs/>
          <w:szCs w:val="24"/>
        </w:rPr>
        <w:t xml:space="preserve">, turėjo užimti puolamo objekto pirmą aukštą ir iš ten pašalinti civilius,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 dešimt kariškių iš TSRS GM Oro desanto pajėgų 76-osios oro desanto divizijos 234-ojo pulko 3-iojo bataliono 9-osios kuopos ir minėtos baterijos, vadovaujami </w:t>
      </w:r>
      <w:r>
        <w:rPr>
          <w:rFonts w:eastAsia="Calibri"/>
          <w:i/>
          <w:iCs/>
          <w:szCs w:val="24"/>
        </w:rPr>
        <w:t>V. K. 2</w:t>
      </w:r>
      <w:r w:rsidRPr="00C00255">
        <w:rPr>
          <w:rFonts w:eastAsia="Calibri"/>
          <w:i/>
          <w:iCs/>
          <w:szCs w:val="24"/>
        </w:rPr>
        <w:t>, turėjo atjungti TV bokšto 20 aukšte buvusią gaisro gesinimo aparatūrą.</w:t>
      </w:r>
    </w:p>
    <w:p w:rsidR="00DA38E9" w:rsidRPr="00C00255" w:rsidRDefault="00DA38E9" w:rsidP="00DA38E9">
      <w:pPr>
        <w:pStyle w:val="ListParagraph"/>
        <w:spacing w:before="120" w:after="120"/>
        <w:ind w:left="992"/>
        <w:contextualSpacing w:val="0"/>
        <w:rPr>
          <w:rFonts w:eastAsia="Calibri"/>
          <w:i/>
          <w:iCs/>
          <w:szCs w:val="24"/>
        </w:rPr>
      </w:pPr>
      <w:r>
        <w:rPr>
          <w:rFonts w:eastAsia="Calibri"/>
          <w:i/>
          <w:iCs/>
          <w:szCs w:val="24"/>
        </w:rPr>
        <w:t>V. S. 2</w:t>
      </w:r>
      <w:r w:rsidRPr="00C00255">
        <w:rPr>
          <w:rFonts w:eastAsia="Calibri"/>
          <w:i/>
          <w:iCs/>
          <w:szCs w:val="24"/>
        </w:rPr>
        <w:t>, kartu su vadovaujančiais operacijai karininkais I. K</w:t>
      </w:r>
      <w:r>
        <w:rPr>
          <w:rFonts w:eastAsia="Calibri"/>
          <w:i/>
          <w:iCs/>
          <w:szCs w:val="24"/>
        </w:rPr>
        <w:t>.</w:t>
      </w:r>
      <w:r w:rsidRPr="00C00255">
        <w:rPr>
          <w:rFonts w:eastAsia="Calibri"/>
          <w:i/>
          <w:iCs/>
          <w:szCs w:val="24"/>
        </w:rPr>
        <w:t xml:space="preserve"> ir B. M</w:t>
      </w:r>
      <w:r>
        <w:rPr>
          <w:rFonts w:eastAsia="Calibri"/>
          <w:i/>
          <w:iCs/>
          <w:szCs w:val="24"/>
        </w:rPr>
        <w:t>.</w:t>
      </w:r>
      <w:r w:rsidRPr="00C00255">
        <w:rPr>
          <w:rFonts w:eastAsia="Calibri"/>
          <w:i/>
          <w:iCs/>
          <w:szCs w:val="24"/>
        </w:rPr>
        <w:t xml:space="preserve">, kurių atžvilgiu procesas nutrauktas, prie TV bokšto šiaurinės dalies turėjo atvykti vadovavimo štabo mašina BMD KŠM, kurios borto Nr. 600, ir ryšio priemonėmis įgyvendinti jiems pavestas vadovavimo operacijai funkcijas. Ryšių priemonių ir patikimo ryšio veikimą operacijos metu užtikrino kariškiai iš TSRS GM Oro desanto pajėgų 76-osios oro desanto divizijos 234-ojo pulko ryšių kuopos.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TSRS VSK specialiosios paskirties grupės „A“ kariškiams vadovavusio ir jų veiksmus koordinavusio </w:t>
      </w:r>
      <w:r>
        <w:rPr>
          <w:rFonts w:eastAsia="Calibri"/>
          <w:i/>
          <w:iCs/>
          <w:szCs w:val="24"/>
        </w:rPr>
        <w:t xml:space="preserve">M. G. </w:t>
      </w:r>
      <w:r w:rsidRPr="00C00255">
        <w:rPr>
          <w:rFonts w:eastAsia="Calibri"/>
          <w:i/>
          <w:iCs/>
          <w:szCs w:val="24"/>
        </w:rPr>
        <w:t xml:space="preserve"> paskirtas atsakingas asmuo grupės „A“ kariškius padalino į dalis ir paskyrė užduotis: užimti TV bokštą ir patikrinti patalpas, pašalinti ten esančius civilius, atjungti siųstuvus, kilnojamos televizijos stoties aparatinę, ryšių aparatinę, radijo relinės stoties aparatūrą ir užtikrinti atjungtos TV aparatūros ir gaisro gesinimo aparatūros apsaugą.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Tęsdami nusikalstamą veiką ir vykdydami operacijai vadovavusių aukštesniųjų vadų įsakymus, TSRS VSK specialiosios paskirties grupės „A“ kariškiai, kartu su kariškiais iš TSRS GM Oro desanto pajėgų 76-osios oro desanto divizijos 234-ojo pulko 2-ojo bataliono 4-osios ir 5-osios kuopų, 3-iojo bataliono 8-osios ir 9-osios kuopų bei 3-iojo savaeigės artilerijos diviziono 3-iosios savaeigės baterijos, išsilaipinę TV bokšto teritorijoje, brovėsi į civilių ginamą objektą ir prieš jį gynusius civilius panaudojo ginklus, kovinius veiksmus: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 TSRS VSK specialiosios paskirties grupės „A“ kariškiai prieš civilius naudojo granatsvaidžius RGS-50, šviesos ir garso granatas GSZ, specialiąsias priemones – specialius skysčio pistoletus PSŽ;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 TSRS GM Oro desanto pajėgų 76-osios oro desanto divizijos jungtinio karinio vieneto kariškiai prieš civilius naudojo imitacines priemones – dūminius užtaisus DM-11, dūmines granatas RDG-2x, šaudė 7,62 mm kalibro SVD šautuvais, o kartu su TSRS VSK specialiosios paskirties grupės „A“ kariškiais, šaudydami į civilius ir užimamą pastatą iš 5,45 mm kalibro automatinių ginklų, naudojo tarptautinės teisės uždraustas karo priemones – 5,45 mm kalibro šovinius su išcentruota kulka;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 visi kariškiai prieš civilius naudojo tiek garsinius, tiek ir kovinius šaudmenis bei artimos kovos veiksmus – stumdydami, smūgiuodami kumščiais, spardydami kojomis ir ginklais bei kitomis kūno sužalojimams daryti jų pačių pritaikytomis priemonėmis suduodami civiliams į įvairias kūno dalis nenustatytą skaičių smūgių.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TSRS VSK specialiosios paskirties grupės „A“ ir TSRS GM Oro desanto pajėgų 76-osios oro desanto divizijos jungtinio karinio vieneto kariškiai, pasinaudodami bendrai veikusių TSRS GM Sausumos pajėgų Pabaltijo karinės apygardos 107-osios motorizuotų šaulių divizijos 106-ojo tankų pulko kariškių tankų šūviais, tankų bei BMD pavojingu manevravimu, prasibrovė iki puolamo objekto, kur kiekvienas padalinys pradėjo įgyvendinti pavestas užduotis.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Puolimo metu nenustatytas TSRS VSK specialiosios paskirties grupės „A“ kariškis tyčia iš automatinio ginklo AKS-74 iššovė seriją šūvių į TV bokštą gynusį ir vandens srovę į puolančius kariškius nukreipusį, I</w:t>
      </w:r>
      <w:r>
        <w:rPr>
          <w:rFonts w:eastAsia="Calibri"/>
          <w:i/>
          <w:iCs/>
          <w:szCs w:val="24"/>
        </w:rPr>
        <w:t xml:space="preserve">. </w:t>
      </w:r>
      <w:r w:rsidRPr="00C00255">
        <w:rPr>
          <w:rFonts w:eastAsia="Calibri"/>
          <w:i/>
          <w:iCs/>
          <w:szCs w:val="24"/>
        </w:rPr>
        <w:t>Š</w:t>
      </w:r>
      <w:r>
        <w:rPr>
          <w:rFonts w:eastAsia="Calibri"/>
          <w:i/>
          <w:iCs/>
          <w:szCs w:val="24"/>
        </w:rPr>
        <w:t>.</w:t>
      </w:r>
      <w:r w:rsidRPr="00C00255">
        <w:rPr>
          <w:rFonts w:eastAsia="Calibri"/>
          <w:i/>
          <w:iCs/>
          <w:szCs w:val="24"/>
        </w:rPr>
        <w:t>, o, šiam nugriuvus, automato buože sudavė smūgį į galvą, padarydamas nukentėjusiajam plėštinę žaizdą galvos pakaušio srityje kairėje pusėje, septynias įeinamąsias ir septynias išeinamąsias šautines žaizdas, kraujo išsiliejimą galvos minkštuose audiniuose, smilkinio srityje dešinėje pusėje ir momenėlio – smilkinio – pakaušio srityje kairėje pusėje, kaukolės pamato ir skliauto daugiaskeveldrinius lūžius, kietojo smegenų aptraukalo plyšimą ir kraujo išsiliejimą po juo, totalinį subarachnoidalinį kraujo išsiliejimą, galvos smegenų sumušimą, jų traumatišką sužalojimą ir dalinį pašalinimą, plonojo žarnyno kilpų sužalojimą, kraujo išsiliejimą į kairiojo inksto vartus ir už pilvaplėvės, kairiojo dilbio kaulo daugiaskeveldrinius lūžius, kraujosruvą viršutiniame voke dešinėje pusėje, dėl ko nuo kaukolės pamato ir skliauto daugiaskeveldrinio lūžio, pažeidžiant galvos smegenis, pilvo aklino kulkinio šautinio sužeidimo, pažeidžiant plonojo žarnyno kilpas, krūtinės, rankų ir kojų kiauryminių kulkinių sužeidimų, komplikuotais ūmiu kraujo nutekėjimu, I. Š</w:t>
      </w:r>
      <w:r>
        <w:rPr>
          <w:rFonts w:eastAsia="Calibri"/>
          <w:i/>
          <w:iCs/>
          <w:szCs w:val="24"/>
        </w:rPr>
        <w:t>.</w:t>
      </w:r>
      <w:r w:rsidRPr="00C00255">
        <w:rPr>
          <w:rFonts w:eastAsia="Calibri"/>
          <w:i/>
          <w:iCs/>
          <w:szCs w:val="24"/>
        </w:rPr>
        <w:t xml:space="preserve"> mirė, t. y. taip jį tyčia nužudė.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TSRS VSK specialiosios paskirties grupės „A“ kariškiams braunantis laiptais, vienas iš jų tyčia automato buože smūgiavo į galvą ir kitas kūno vietas nukentėjusiajam J</w:t>
      </w:r>
      <w:r>
        <w:rPr>
          <w:rFonts w:eastAsia="Calibri"/>
          <w:i/>
          <w:iCs/>
          <w:szCs w:val="24"/>
        </w:rPr>
        <w:t xml:space="preserve">. </w:t>
      </w:r>
      <w:r w:rsidRPr="00C00255">
        <w:rPr>
          <w:rFonts w:eastAsia="Calibri"/>
          <w:i/>
          <w:iCs/>
          <w:szCs w:val="24"/>
        </w:rPr>
        <w:t>G</w:t>
      </w:r>
      <w:r>
        <w:rPr>
          <w:rFonts w:eastAsia="Calibri"/>
          <w:i/>
          <w:iCs/>
          <w:szCs w:val="24"/>
        </w:rPr>
        <w:t>.</w:t>
      </w:r>
      <w:r w:rsidRPr="00C00255">
        <w:rPr>
          <w:rFonts w:eastAsia="Calibri"/>
          <w:i/>
          <w:iCs/>
          <w:szCs w:val="24"/>
        </w:rPr>
        <w:t>, tuo padarydamas muštinę žaizdą kaktos dešinėje pusėje su galvos smegenų sumušimu ir kraujo išsiliejimu po jų voratinkliniu dangalu, dešinio inksto sumušimą, ūmų trauminį dešinės vidinės ausies uždegimą, plyšus būgneliui, ir abipusį klausos nervų uždegimą, sukėlusius sunkią, gyvybei pavojingą šokinę būklę, dėl ko nukentėjusysis neteko 30 ir daugiau procentų bendro darbingumo.</w:t>
      </w:r>
    </w:p>
    <w:p w:rsidR="00DA38E9" w:rsidRPr="00C00255" w:rsidRDefault="00DA38E9" w:rsidP="00DA38E9">
      <w:pPr>
        <w:pStyle w:val="ListParagraph"/>
        <w:spacing w:before="120" w:after="120"/>
        <w:ind w:left="992"/>
        <w:contextualSpacing w:val="0"/>
        <w:rPr>
          <w:i/>
          <w:iCs/>
        </w:rPr>
      </w:pPr>
      <w:r w:rsidRPr="00C00255">
        <w:rPr>
          <w:i/>
          <w:iCs/>
        </w:rPr>
        <w:t xml:space="preserve">TSRS VSK specialiosios paskirties grupės „A“ kariškių grupė prasibrovė iki trečiojo, vėliau iki aštuntojo aukšto, pašalino iš ten civilius, palikdami sargybą užtikrino išjungtų siųstuvų apsaugą, pro trečio aukšto langus šaudė į TV bokšto teritoriją, šeštame aukšte atjungė kilnojamos televizijos stoties aparatinę. Kiti keturi grupės „A“ kariškiai, prasibrovę iki antrojo aukšto, atjungė ryšių aparatinę ir pašalino ten buvusius civilius. Kiti šeši grupės „A“ kariškiai, patekę į TV bokšto dvidešimt pirmą aukštą, pašalino du civilius ir išstatydami sargybos postus užtikrino apsaugą jau atjungtai radijo relinės stoties aparatūrai. </w:t>
      </w:r>
    </w:p>
    <w:p w:rsidR="00DA38E9" w:rsidRPr="00C00255" w:rsidRDefault="00DA38E9" w:rsidP="00DA38E9">
      <w:pPr>
        <w:pStyle w:val="ListParagraph"/>
        <w:spacing w:before="120" w:after="120"/>
        <w:ind w:left="992"/>
        <w:contextualSpacing w:val="0"/>
        <w:rPr>
          <w:i/>
          <w:iCs/>
        </w:rPr>
      </w:pPr>
      <w:r w:rsidRPr="00C00255">
        <w:rPr>
          <w:i/>
          <w:iCs/>
        </w:rPr>
        <w:t xml:space="preserve">Apie dešimt kariškių iš TSRS GM Oro desanto pajėgų </w:t>
      </w:r>
      <w:r w:rsidRPr="00C00255">
        <w:rPr>
          <w:rFonts w:eastAsia="Calibri"/>
          <w:i/>
          <w:iCs/>
          <w:szCs w:val="24"/>
        </w:rPr>
        <w:t>76-osios oro desanto divizijos</w:t>
      </w:r>
      <w:r w:rsidRPr="00C00255">
        <w:rPr>
          <w:i/>
          <w:iCs/>
        </w:rPr>
        <w:t xml:space="preserve"> 234-ojo pulko 9-osios kuopos, vadovaujami </w:t>
      </w:r>
      <w:r>
        <w:rPr>
          <w:i/>
          <w:iCs/>
        </w:rPr>
        <w:t>V. K. 2</w:t>
      </w:r>
      <w:r w:rsidRPr="00C00255">
        <w:rPr>
          <w:i/>
          <w:iCs/>
        </w:rPr>
        <w:t xml:space="preserve">, patekę į TV bokšto dvidešimtą aukštą, išstatydami sargybos postus, užtikrino ten buvusios gaisro gesinimo aparatūros apsaugą. Aštuoniasdešimt penki kariškiai iš TSRS GM Oro desanto pajėgų </w:t>
      </w:r>
      <w:r w:rsidRPr="00C00255">
        <w:rPr>
          <w:rFonts w:eastAsia="Calibri"/>
          <w:i/>
          <w:iCs/>
          <w:szCs w:val="24"/>
        </w:rPr>
        <w:t>76-osios oro desanto divizijos</w:t>
      </w:r>
      <w:r w:rsidRPr="00C00255">
        <w:rPr>
          <w:i/>
          <w:iCs/>
        </w:rPr>
        <w:t xml:space="preserve"> 234-ojo pulko 2-ojo bataliono 4-osios ir 5-osios kuopų bei 3-iojo savaeigės artilerijos diviziono 3-iosios savaeigės baterijos, vadovaujami </w:t>
      </w:r>
      <w:r>
        <w:rPr>
          <w:i/>
          <w:iCs/>
        </w:rPr>
        <w:t>A. Z.</w:t>
      </w:r>
      <w:r w:rsidRPr="00C00255">
        <w:rPr>
          <w:i/>
          <w:iCs/>
        </w:rPr>
        <w:t xml:space="preserve">, </w:t>
      </w:r>
      <w:r>
        <w:rPr>
          <w:i/>
          <w:iCs/>
        </w:rPr>
        <w:t>A. L.</w:t>
      </w:r>
      <w:r w:rsidRPr="00C00255">
        <w:rPr>
          <w:i/>
          <w:iCs/>
        </w:rPr>
        <w:t xml:space="preserve"> ir kitų kariškių, iki puolamo objekto prasibrovė iš pietinės pusės ir veikdami kartu su pavojingai manevruojančiomis BMD, naudodami artimos kovos veiksmus ir mušdami žmones rankomis bei kojomis ir automatų buožėmis, šalino civilius iš TV bokšto teritorijos.</w:t>
      </w:r>
    </w:p>
    <w:p w:rsidR="00DA38E9" w:rsidRPr="00C00255" w:rsidRDefault="00DA38E9" w:rsidP="00DA38E9">
      <w:pPr>
        <w:pStyle w:val="ListParagraph"/>
        <w:spacing w:before="120" w:after="120"/>
        <w:ind w:left="992"/>
        <w:contextualSpacing w:val="0"/>
        <w:rPr>
          <w:i/>
          <w:iCs/>
        </w:rPr>
      </w:pPr>
      <w:r w:rsidRPr="00C00255">
        <w:rPr>
          <w:i/>
          <w:iCs/>
        </w:rPr>
        <w:t xml:space="preserve">Tuo metu aštuoniasdešimt kariškių iš TSRS GM Oro desanto pajėgų </w:t>
      </w:r>
      <w:r w:rsidRPr="00C00255">
        <w:rPr>
          <w:rFonts w:eastAsia="Calibri"/>
          <w:i/>
          <w:iCs/>
          <w:szCs w:val="24"/>
        </w:rPr>
        <w:t>76-osios oro desanto divizijos</w:t>
      </w:r>
      <w:r w:rsidRPr="00C00255">
        <w:rPr>
          <w:i/>
          <w:iCs/>
        </w:rPr>
        <w:t xml:space="preserve"> 234-ojo pulko 3-iojo bataliono 8-osios ir 9-osios kuopų, vadovaujami </w:t>
      </w:r>
      <w:r>
        <w:rPr>
          <w:i/>
          <w:iCs/>
        </w:rPr>
        <w:t>V. D.</w:t>
      </w:r>
      <w:r w:rsidRPr="00C00255">
        <w:rPr>
          <w:i/>
          <w:iCs/>
        </w:rPr>
        <w:t xml:space="preserve">, </w:t>
      </w:r>
      <w:r>
        <w:rPr>
          <w:i/>
          <w:iCs/>
        </w:rPr>
        <w:t>S. K.</w:t>
      </w:r>
      <w:r w:rsidRPr="00C00255">
        <w:rPr>
          <w:i/>
          <w:iCs/>
        </w:rPr>
        <w:t xml:space="preserve">, </w:t>
      </w:r>
      <w:r>
        <w:rPr>
          <w:i/>
          <w:iCs/>
        </w:rPr>
        <w:t>A. G. 2</w:t>
      </w:r>
      <w:r w:rsidRPr="00C00255">
        <w:rPr>
          <w:i/>
          <w:iCs/>
        </w:rPr>
        <w:t xml:space="preserve"> ir kitų karininkų, iki puolamo objekto prasibrovė iš šiaurinės pusės, ir veikdami kartu su pavojingai manevruojančiomis BMD, naudodami artimos kovos veiksmus, mušdami žmones rankomis bei kojomis ir automatų buožėmis, stūmė civilius nuo TV bokšto ir iš jo teritorijos.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Tarptautinės humanitarinės teisės draudžiamos karo atakos metu, puolančiajai tankų, BMD, BTR-D ir kitos karinės technikos kolonai bei kariškiams iš minėtų padalinių bei iš TSRS VSK specialiosios paskirties grupės „A“ šturmuojant TV bokštą, nukreipiančiosios karinės technikos kolonos tankai T-72, kurių borto numeriai 220, 221, 223, tiltu per buvusį Kosmonautų prospektą (dabar Laisvės pr.) privažiavo prie TV bokšto administracinio pastato, kur šaudė iš pabūklų tuščiais užtaisais, leido dūmines užsklandas, karinės technikos šviesos prožektoriais švietė į civilius, užimamą objektą ir aplink esančius gyvenamuosius namus, pavojingai manevruodami, važinėjo prie užimamo objekto administracinio pastato, taip baugindami ir terorizuodami civilius. Vienas iš minėtų tankų užtvėrė privažiavimą prie TV bokšto nuo minėto tilto pusės. </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 xml:space="preserve">Tęsdami teroro ir bauginimo veiksmus bei vykdydami vadovavimo štabo planą, nenustatyti kariškiai per BRDM garsiakalbius leido garso įrašą, kuriame buvo įrašytas vieno iš LKP/TSKP CK vadovų, </w:t>
      </w:r>
      <w:r w:rsidRPr="00C00255">
        <w:rPr>
          <w:i/>
          <w:iCs/>
        </w:rPr>
        <w:t xml:space="preserve">1999 m. rugpjūčio 23 d. Vilniaus apygardos teismo nuosprendžiu nuteisto </w:t>
      </w:r>
      <w:r>
        <w:rPr>
          <w:rFonts w:eastAsia="Calibri"/>
          <w:i/>
          <w:iCs/>
          <w:szCs w:val="24"/>
        </w:rPr>
        <w:t>J. </w:t>
      </w:r>
      <w:r w:rsidRPr="00C00255">
        <w:rPr>
          <w:rFonts w:eastAsia="Calibri"/>
          <w:i/>
          <w:iCs/>
          <w:szCs w:val="24"/>
        </w:rPr>
        <w:t>J</w:t>
      </w:r>
      <w:r>
        <w:rPr>
          <w:rFonts w:eastAsia="Calibri"/>
          <w:i/>
          <w:iCs/>
          <w:szCs w:val="24"/>
        </w:rPr>
        <w:t>.</w:t>
      </w:r>
      <w:r w:rsidRPr="00C00255">
        <w:rPr>
          <w:rFonts w:eastAsia="Calibri"/>
          <w:i/>
          <w:iCs/>
          <w:szCs w:val="24"/>
        </w:rPr>
        <w:t>, kreipimasis rusų ir lietuvių kalbomis LNGK vardu, kad visą valdžią Lietuvoje perima LNGK, bet koks pasipriešinimas yra beprasmiškas, jis nuves prie brolžudiško karo, civiliams buvo liepiama skirstytis.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Pagal LKP/TSKP nurodymus, autobusu PAZ ir sunkvežimiu, kurių valstybiniai numeriai nenustatyti, prie TSRS kariškių tarptautinės humanitarinės teisės draudžiamos karo atakos metu puolamo TV bokšto atvykęs draugovininkų būrys naudojo artimos kovos veiksmus – sudavė civiliams smūgius rankomis ir atsivežtomis priemonėmis, spardė kojomis, t. y. civilių atžvilgiu naudojo fizinį smurtą, pavojingą jų gyvybei. Draugovininkai, prasibrovę į TV bokštą, prisijungė prie TSRS karinių struktūrų vykdomos karo atakos ir kartu su kariškiais šalino iš patalpų civilius, užtikrino TV bokšto ir jo teritorijoje esančių pastatų apsaugą nuo civilių.</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Karo atakos prie TV bokšto metu TSRS GM Oro desanto pajėgų 76-osios oro desanto divizijos ir kiti kariškiai, panaudoję šaunamuosius ginklus, specialiąsias priemones ir artimos kovos veiksmus, bendrais veiksmais:</w:t>
      </w:r>
    </w:p>
    <w:p w:rsidR="00DA38E9" w:rsidRPr="00C00255" w:rsidRDefault="00DA38E9" w:rsidP="00DA38E9">
      <w:pPr>
        <w:pStyle w:val="ListParagraph"/>
        <w:spacing w:before="120" w:after="120"/>
        <w:ind w:left="992"/>
        <w:contextualSpacing w:val="0"/>
        <w:rPr>
          <w:rFonts w:eastAsia="Calibri"/>
          <w:i/>
          <w:iCs/>
          <w:szCs w:val="24"/>
        </w:rPr>
      </w:pPr>
      <w:r w:rsidRPr="00C00255">
        <w:rPr>
          <w:rFonts w:eastAsia="Calibri"/>
          <w:i/>
          <w:iCs/>
          <w:szCs w:val="24"/>
        </w:rPr>
        <w:t>tyčia nužudė: V</w:t>
      </w:r>
      <w:r>
        <w:rPr>
          <w:rFonts w:eastAsia="Calibri"/>
          <w:i/>
          <w:iCs/>
          <w:szCs w:val="24"/>
        </w:rPr>
        <w:t xml:space="preserve">. </w:t>
      </w:r>
      <w:r w:rsidRPr="00C00255">
        <w:rPr>
          <w:rFonts w:eastAsia="Calibri"/>
          <w:i/>
          <w:iCs/>
          <w:szCs w:val="24"/>
        </w:rPr>
        <w:t>D</w:t>
      </w:r>
      <w:r>
        <w:rPr>
          <w:rFonts w:eastAsia="Calibri"/>
          <w:i/>
          <w:iCs/>
          <w:szCs w:val="24"/>
        </w:rPr>
        <w:t>.</w:t>
      </w:r>
      <w:r w:rsidRPr="00C00255">
        <w:rPr>
          <w:rFonts w:eastAsia="Calibri"/>
          <w:i/>
          <w:iCs/>
          <w:szCs w:val="24"/>
        </w:rPr>
        <w:t>, kuris mirė šaunamojo ginklo kulkai prasiskverbus į krūtinės ląstą ir akliniu sužeidimu pažeidus plautį bei širdį ir dėl to prasidėjus masyviam vidiniam kraujavimui; D</w:t>
      </w:r>
      <w:r>
        <w:rPr>
          <w:rFonts w:eastAsia="Calibri"/>
          <w:i/>
          <w:iCs/>
          <w:szCs w:val="24"/>
        </w:rPr>
        <w:t xml:space="preserve">. </w:t>
      </w:r>
      <w:r w:rsidRPr="00C00255">
        <w:rPr>
          <w:rFonts w:eastAsia="Calibri"/>
          <w:i/>
          <w:iCs/>
          <w:szCs w:val="24"/>
        </w:rPr>
        <w:t>G</w:t>
      </w:r>
      <w:r>
        <w:rPr>
          <w:rFonts w:eastAsia="Calibri"/>
          <w:i/>
          <w:iCs/>
          <w:szCs w:val="24"/>
        </w:rPr>
        <w:t>.</w:t>
      </w:r>
      <w:r w:rsidRPr="00C00255">
        <w:rPr>
          <w:rFonts w:eastAsia="Calibri"/>
          <w:i/>
          <w:iCs/>
          <w:szCs w:val="24"/>
        </w:rPr>
        <w:t>, kuris mirė nuo daugybinių šautinių kūno sužalojimų, pažeidusių jo plaučius, šlaunies arteriją ir veną bei dėl to kilus kraujosruvai; R</w:t>
      </w:r>
      <w:r>
        <w:rPr>
          <w:rFonts w:eastAsia="Calibri"/>
          <w:i/>
          <w:iCs/>
          <w:szCs w:val="24"/>
        </w:rPr>
        <w:t xml:space="preserve">. </w:t>
      </w:r>
      <w:r w:rsidRPr="00C00255">
        <w:rPr>
          <w:rFonts w:eastAsia="Calibri"/>
          <w:i/>
          <w:iCs/>
          <w:szCs w:val="24"/>
        </w:rPr>
        <w:t>J</w:t>
      </w:r>
      <w:r>
        <w:rPr>
          <w:rFonts w:eastAsia="Calibri"/>
          <w:i/>
          <w:iCs/>
          <w:szCs w:val="24"/>
        </w:rPr>
        <w:t>.</w:t>
      </w:r>
      <w:r w:rsidRPr="00C00255">
        <w:rPr>
          <w:rFonts w:eastAsia="Calibri"/>
          <w:i/>
          <w:iCs/>
          <w:szCs w:val="24"/>
        </w:rPr>
        <w:t>, kuris mirė nuo šautinio kiauryminio dešinės šlaunies sužalojimo su šlaunies arterijų ir venos pažeidimu, įvykus ūmiam masyviam išoriniam nukraujavimui, išsivysčius ūmiai vidaus organų mažakraujystei, sutrikus kraujo krešėjimui; V</w:t>
      </w:r>
      <w:r>
        <w:rPr>
          <w:rFonts w:eastAsia="Calibri"/>
          <w:i/>
          <w:iCs/>
          <w:szCs w:val="24"/>
        </w:rPr>
        <w:t xml:space="preserve">. </w:t>
      </w:r>
      <w:r w:rsidRPr="00C00255">
        <w:rPr>
          <w:rFonts w:eastAsia="Calibri"/>
          <w:i/>
          <w:iCs/>
          <w:szCs w:val="24"/>
        </w:rPr>
        <w:t>M</w:t>
      </w:r>
      <w:r>
        <w:rPr>
          <w:rFonts w:eastAsia="Calibri"/>
          <w:i/>
          <w:iCs/>
          <w:szCs w:val="24"/>
        </w:rPr>
        <w:t>.</w:t>
      </w:r>
      <w:r w:rsidRPr="00C00255">
        <w:rPr>
          <w:rFonts w:eastAsia="Calibri"/>
          <w:i/>
          <w:iCs/>
          <w:szCs w:val="24"/>
        </w:rPr>
        <w:t>, kuris mirė dėl ūmios anemijos, kuri ištiko dėl kaklo minkštųjų audinių, kairiosios miego arterijos vidinės sienelės bei kairiojo plaučio šautinio sužeidimo; T</w:t>
      </w:r>
      <w:r>
        <w:rPr>
          <w:rFonts w:eastAsia="Calibri"/>
          <w:i/>
          <w:iCs/>
          <w:szCs w:val="24"/>
        </w:rPr>
        <w:t>. M.</w:t>
      </w:r>
      <w:r w:rsidRPr="00C00255">
        <w:rPr>
          <w:rFonts w:eastAsia="Calibri"/>
          <w:i/>
          <w:iCs/>
          <w:szCs w:val="24"/>
        </w:rPr>
        <w:t>, kuris mirė nuo dvigubo kiaurinio šautinio krūtinės ląstos sužalojimo, sužalojant krūtinkaulį, VIII, IX, X kairės pusės šonkaulius, širdį bei abu plaučius; A</w:t>
      </w:r>
      <w:r>
        <w:rPr>
          <w:rFonts w:eastAsia="Calibri"/>
          <w:i/>
          <w:iCs/>
          <w:szCs w:val="24"/>
        </w:rPr>
        <w:t>.</w:t>
      </w:r>
      <w:r w:rsidRPr="00C00255">
        <w:rPr>
          <w:rFonts w:eastAsia="Calibri"/>
          <w:i/>
          <w:iCs/>
          <w:szCs w:val="24"/>
        </w:rPr>
        <w:t> J</w:t>
      </w:r>
      <w:r>
        <w:rPr>
          <w:rFonts w:eastAsia="Calibri"/>
          <w:i/>
          <w:iCs/>
          <w:szCs w:val="24"/>
        </w:rPr>
        <w:t>.</w:t>
      </w:r>
      <w:r w:rsidRPr="00C00255">
        <w:rPr>
          <w:rFonts w:eastAsia="Calibri"/>
          <w:i/>
          <w:iCs/>
          <w:szCs w:val="24"/>
        </w:rPr>
        <w:t> P</w:t>
      </w:r>
      <w:r>
        <w:rPr>
          <w:rFonts w:eastAsia="Calibri"/>
          <w:i/>
          <w:iCs/>
          <w:szCs w:val="24"/>
        </w:rPr>
        <w:t>.</w:t>
      </w:r>
      <w:r w:rsidRPr="00C00255">
        <w:rPr>
          <w:rFonts w:eastAsia="Calibri"/>
          <w:i/>
          <w:iCs/>
          <w:szCs w:val="24"/>
        </w:rPr>
        <w:t>, kuris mirė nuo kiaurinio šautinio krūtinės sužalojimo su abiejų plaučių ir širdies stambiųjų kraujagyslių pažeidimais, įvykus ūmiam nukraujavimui; V</w:t>
      </w:r>
      <w:r>
        <w:rPr>
          <w:rFonts w:eastAsia="Calibri"/>
          <w:i/>
          <w:iCs/>
          <w:szCs w:val="24"/>
        </w:rPr>
        <w:t xml:space="preserve">. </w:t>
      </w:r>
      <w:r w:rsidRPr="00C00255">
        <w:rPr>
          <w:rFonts w:eastAsia="Calibri"/>
          <w:i/>
          <w:iCs/>
          <w:szCs w:val="24"/>
        </w:rPr>
        <w:t>J</w:t>
      </w:r>
      <w:r>
        <w:rPr>
          <w:rFonts w:eastAsia="Calibri"/>
          <w:i/>
          <w:iCs/>
          <w:szCs w:val="24"/>
        </w:rPr>
        <w:t xml:space="preserve">. </w:t>
      </w:r>
      <w:r w:rsidRPr="00C00255">
        <w:rPr>
          <w:rFonts w:eastAsia="Calibri"/>
          <w:i/>
          <w:iCs/>
          <w:szCs w:val="24"/>
        </w:rPr>
        <w:t>V</w:t>
      </w:r>
      <w:r>
        <w:rPr>
          <w:rFonts w:eastAsia="Calibri"/>
          <w:i/>
          <w:iCs/>
          <w:szCs w:val="24"/>
        </w:rPr>
        <w:t>.</w:t>
      </w:r>
      <w:r w:rsidRPr="00C00255">
        <w:rPr>
          <w:rFonts w:eastAsia="Calibri"/>
          <w:i/>
          <w:iCs/>
          <w:szCs w:val="24"/>
        </w:rPr>
        <w:t>, kuris mirė dėl to, kad po plaučių ir širdies keturių šautinių sužeidimų kilo ūmus nukraujavimas; V</w:t>
      </w:r>
      <w:r>
        <w:rPr>
          <w:rFonts w:eastAsia="Calibri"/>
          <w:i/>
          <w:iCs/>
          <w:szCs w:val="24"/>
        </w:rPr>
        <w:t xml:space="preserve">. </w:t>
      </w:r>
      <w:r w:rsidRPr="00C00255">
        <w:rPr>
          <w:rFonts w:eastAsia="Calibri"/>
          <w:i/>
          <w:iCs/>
          <w:szCs w:val="24"/>
        </w:rPr>
        <w:t>K</w:t>
      </w:r>
      <w:r>
        <w:rPr>
          <w:rFonts w:eastAsia="Calibri"/>
          <w:i/>
          <w:iCs/>
          <w:szCs w:val="24"/>
        </w:rPr>
        <w:t>.</w:t>
      </w:r>
      <w:r w:rsidRPr="00C00255">
        <w:rPr>
          <w:rFonts w:eastAsia="Calibri"/>
          <w:i/>
          <w:iCs/>
          <w:szCs w:val="24"/>
        </w:rPr>
        <w:t>, kuris mirė dėl išplėstinio išmatinio pilvaplėvės uždegimo, žaizdų supūliavimo, stafilokokinio sepsio, gyvybiškai svarbių organų funkcijų išsekimo, kuriuos sukėlė šautinės kiaurinės pilvo kairės pusės ir kairio sėdmens žaizdos su daugybiniais vidaus organų sužalojimais;</w:t>
      </w:r>
    </w:p>
    <w:p w:rsidR="00DA38E9" w:rsidRPr="00C00255" w:rsidRDefault="00DA38E9" w:rsidP="00DA38E9">
      <w:pPr>
        <w:spacing w:before="120" w:after="120"/>
        <w:ind w:left="992"/>
        <w:rPr>
          <w:rFonts w:eastAsia="Calibri"/>
          <w:i/>
          <w:iCs/>
        </w:rPr>
      </w:pPr>
      <w:r w:rsidRPr="00C00255">
        <w:rPr>
          <w:rFonts w:eastAsia="Calibri"/>
          <w:i/>
          <w:iCs/>
        </w:rPr>
        <w:t xml:space="preserve">padarė tyčinius sunkius sveikatos sutrikdymus: </w:t>
      </w:r>
      <w:r w:rsidRPr="00C00255">
        <w:rPr>
          <w:i/>
          <w:iCs/>
        </w:rPr>
        <w:t>M</w:t>
      </w:r>
      <w:r>
        <w:rPr>
          <w:i/>
          <w:iCs/>
        </w:rPr>
        <w:t>.</w:t>
      </w:r>
      <w:r w:rsidRPr="00C00255">
        <w:rPr>
          <w:i/>
          <w:iCs/>
        </w:rPr>
        <w:t xml:space="preserve"> A</w:t>
      </w:r>
      <w:r>
        <w:rPr>
          <w:i/>
          <w:iCs/>
        </w:rPr>
        <w:t>.</w:t>
      </w:r>
      <w:r w:rsidRPr="00C00255">
        <w:rPr>
          <w:i/>
          <w:iCs/>
        </w:rPr>
        <w:t xml:space="preserve">, kuris dėl padaryto abiejų ausų garsą suvokiančios sistemos pakenkimo su bendru klausos netekimu 51,8 proc. prarado didelę dalį – daugiau nei 30 proc. bendro darbingumo; </w:t>
      </w:r>
      <w:r w:rsidRPr="00C00255">
        <w:rPr>
          <w:rFonts w:eastAsia="Calibri"/>
          <w:i/>
          <w:iCs/>
        </w:rPr>
        <w:t>V</w:t>
      </w:r>
      <w:r>
        <w:rPr>
          <w:rFonts w:eastAsia="Calibri"/>
          <w:i/>
          <w:iCs/>
        </w:rPr>
        <w:t xml:space="preserve">. </w:t>
      </w:r>
      <w:r w:rsidRPr="00C00255">
        <w:rPr>
          <w:rFonts w:eastAsia="Calibri"/>
          <w:i/>
          <w:iCs/>
        </w:rPr>
        <w:t>B</w:t>
      </w:r>
      <w:r>
        <w:rPr>
          <w:rFonts w:eastAsia="Calibri"/>
          <w:i/>
          <w:iCs/>
        </w:rPr>
        <w:t>.</w:t>
      </w:r>
      <w:r w:rsidRPr="00C00255">
        <w:rPr>
          <w:rFonts w:eastAsia="Calibri"/>
          <w:i/>
          <w:iCs/>
        </w:rPr>
        <w:t xml:space="preserve">, kuriai dėl padarytos akustinės traumos išsivystė kurtumas ir pastaroji neteko 50 proc. bendro pastovaus darbingumo; </w:t>
      </w:r>
      <w:r w:rsidRPr="00C00255">
        <w:rPr>
          <w:i/>
          <w:iCs/>
        </w:rPr>
        <w:t>E</w:t>
      </w:r>
      <w:r>
        <w:rPr>
          <w:i/>
          <w:iCs/>
        </w:rPr>
        <w:t xml:space="preserve">. </w:t>
      </w:r>
      <w:r w:rsidRPr="00C00255">
        <w:rPr>
          <w:i/>
          <w:iCs/>
        </w:rPr>
        <w:t>M</w:t>
      </w:r>
      <w:r>
        <w:rPr>
          <w:i/>
          <w:iCs/>
        </w:rPr>
        <w:t>.</w:t>
      </w:r>
      <w:r w:rsidRPr="00C00255">
        <w:rPr>
          <w:i/>
          <w:iCs/>
        </w:rPr>
        <w:t xml:space="preserve"> (dabar M</w:t>
      </w:r>
      <w:r>
        <w:rPr>
          <w:i/>
          <w:iCs/>
        </w:rPr>
        <w:t>.</w:t>
      </w:r>
      <w:r w:rsidRPr="00C00255">
        <w:rPr>
          <w:i/>
          <w:iCs/>
        </w:rPr>
        <w:t>–T</w:t>
      </w:r>
      <w:r>
        <w:rPr>
          <w:i/>
          <w:iCs/>
        </w:rPr>
        <w:t>.</w:t>
      </w:r>
      <w:r w:rsidRPr="00C00255">
        <w:rPr>
          <w:i/>
          <w:iCs/>
        </w:rPr>
        <w:t xml:space="preserve">), kuri dėl galvos smegenų sukrėtimo su ūmiu trauminiu abipusiu klausos nervų uždegimu, kuris komplikavosi išreikštu astenovegetaciniu ir vestibuliniu sindromais, antrine traumine epilepsija ir trauminiu apkurtimu dešine bei prikurtimu kaire ausimis, tapo nedarbinga, netekdama 30 ir daugiau proc. bendro darbingumo; </w:t>
      </w:r>
      <w:r w:rsidRPr="00C00255">
        <w:rPr>
          <w:rFonts w:eastAsia="Calibri"/>
          <w:i/>
          <w:iCs/>
        </w:rPr>
        <w:t>A</w:t>
      </w:r>
      <w:r>
        <w:rPr>
          <w:rFonts w:eastAsia="Calibri"/>
          <w:i/>
          <w:iCs/>
        </w:rPr>
        <w:t xml:space="preserve">. </w:t>
      </w:r>
      <w:r w:rsidRPr="00C00255">
        <w:rPr>
          <w:rFonts w:eastAsia="Calibri"/>
          <w:i/>
          <w:iCs/>
        </w:rPr>
        <w:t>Š</w:t>
      </w:r>
      <w:r>
        <w:rPr>
          <w:rFonts w:eastAsia="Calibri"/>
          <w:i/>
          <w:iCs/>
        </w:rPr>
        <w:t>.</w:t>
      </w:r>
      <w:r w:rsidRPr="00C00255">
        <w:rPr>
          <w:rFonts w:eastAsia="Calibri"/>
          <w:i/>
          <w:iCs/>
        </w:rPr>
        <w:t>, kuris dėl akustinės traumos išsivysčiusio didelio laipsnio klausos netekimo su kairės ausies kurtumu neteko 30 ir daugiau proc. bendro darbingumo; B</w:t>
      </w:r>
      <w:r>
        <w:rPr>
          <w:rFonts w:eastAsia="Calibri"/>
          <w:i/>
          <w:iCs/>
        </w:rPr>
        <w:t xml:space="preserve">. </w:t>
      </w:r>
      <w:r w:rsidRPr="00C00255">
        <w:rPr>
          <w:rFonts w:eastAsia="Calibri"/>
          <w:i/>
          <w:iCs/>
        </w:rPr>
        <w:t>M</w:t>
      </w:r>
      <w:r>
        <w:rPr>
          <w:rFonts w:eastAsia="Calibri"/>
          <w:i/>
          <w:iCs/>
        </w:rPr>
        <w:t>.</w:t>
      </w:r>
      <w:r w:rsidRPr="00C00255">
        <w:rPr>
          <w:rFonts w:eastAsia="Calibri"/>
          <w:i/>
          <w:iCs/>
        </w:rPr>
        <w:t xml:space="preserve"> (dabar S</w:t>
      </w:r>
      <w:r>
        <w:rPr>
          <w:rFonts w:eastAsia="Calibri"/>
          <w:i/>
          <w:iCs/>
        </w:rPr>
        <w:t>.</w:t>
      </w:r>
      <w:r w:rsidRPr="00C00255">
        <w:rPr>
          <w:rFonts w:eastAsia="Calibri"/>
          <w:i/>
          <w:iCs/>
        </w:rPr>
        <w:t xml:space="preserve">), kuri dėl galvos sumušimo su kraujosruvomis veido minkštuose audiniuose, pakaušyje ir akių vokuose, odos nubrozdinimais kaktoje, galvos smegenų sukrėtimu ir kraujo išsiliejimu akių stiklakūniuose (t. y. dėl akių traumos) neteko daugiau kaip 30 proc. bendro darbingumo; </w:t>
      </w:r>
      <w:r w:rsidRPr="00C00255">
        <w:rPr>
          <w:i/>
          <w:iCs/>
        </w:rPr>
        <w:t>L</w:t>
      </w:r>
      <w:r>
        <w:rPr>
          <w:i/>
          <w:iCs/>
        </w:rPr>
        <w:t xml:space="preserve">. </w:t>
      </w:r>
      <w:r w:rsidRPr="00C00255">
        <w:rPr>
          <w:i/>
          <w:iCs/>
        </w:rPr>
        <w:t>G</w:t>
      </w:r>
      <w:r>
        <w:rPr>
          <w:i/>
          <w:iCs/>
        </w:rPr>
        <w:t>.</w:t>
      </w:r>
      <w:r w:rsidRPr="00C00255">
        <w:rPr>
          <w:i/>
          <w:iCs/>
        </w:rPr>
        <w:t>, kuri dėl galvos sumušimo, pasireiškusio muštinėmis kaktos ir viršugalvio kairės pusės žaizdomis ir galvos smegenų sukrėtimu, ir akustinės traumos, sukėlusios abipusį klausos nervų uždegimą, neteko daugiau kaip trečdalio bendro darbingumo;</w:t>
      </w:r>
      <w:r w:rsidRPr="00C00255">
        <w:rPr>
          <w:rFonts w:eastAsia="Calibri"/>
          <w:i/>
          <w:iCs/>
        </w:rPr>
        <w:t xml:space="preserve"> </w:t>
      </w:r>
      <w:r>
        <w:rPr>
          <w:rFonts w:eastAsia="Calibri"/>
          <w:i/>
          <w:iCs/>
        </w:rPr>
        <w:t xml:space="preserve">R. </w:t>
      </w:r>
      <w:r w:rsidRPr="00C00255">
        <w:rPr>
          <w:rFonts w:eastAsia="Calibri"/>
          <w:i/>
          <w:iCs/>
        </w:rPr>
        <w:t>G</w:t>
      </w:r>
      <w:r>
        <w:rPr>
          <w:rFonts w:eastAsia="Calibri"/>
          <w:i/>
          <w:iCs/>
        </w:rPr>
        <w:t>.</w:t>
      </w:r>
      <w:r w:rsidRPr="00C00255">
        <w:rPr>
          <w:rFonts w:eastAsia="Calibri"/>
          <w:i/>
          <w:iCs/>
        </w:rPr>
        <w:t>, kuris dėl kiaurinio šautinio kairės šlaunies ir aklo šautinio dešinės šlaunies sužalojimo, sukėlusių dalinį kairės kojos paralyžių su kojos funkcijos apribojimu, neteko 30 ir daugiau proc. bendro darbingumo; Č</w:t>
      </w:r>
      <w:r>
        <w:rPr>
          <w:rFonts w:eastAsia="Calibri"/>
          <w:i/>
          <w:iCs/>
        </w:rPr>
        <w:t>. </w:t>
      </w:r>
      <w:r w:rsidRPr="00C00255">
        <w:rPr>
          <w:rFonts w:eastAsia="Calibri"/>
          <w:i/>
          <w:iCs/>
        </w:rPr>
        <w:t>K</w:t>
      </w:r>
      <w:r>
        <w:rPr>
          <w:rFonts w:eastAsia="Calibri"/>
          <w:i/>
          <w:iCs/>
        </w:rPr>
        <w:t>.</w:t>
      </w:r>
      <w:r w:rsidRPr="00C00255">
        <w:rPr>
          <w:rFonts w:eastAsia="Calibri"/>
          <w:i/>
          <w:iCs/>
        </w:rPr>
        <w:t>, kuriam padarė kiaurinį šautinį kairės blauzdos apatinio trečdalio sužalojimą su atvirais skeveldriniais kairio blauzdikaulio ir šeivikaulio lūžiais; O</w:t>
      </w:r>
      <w:r>
        <w:rPr>
          <w:rFonts w:eastAsia="Calibri"/>
          <w:i/>
          <w:iCs/>
        </w:rPr>
        <w:t xml:space="preserve">. </w:t>
      </w:r>
      <w:r w:rsidRPr="00C00255">
        <w:rPr>
          <w:rFonts w:eastAsia="Calibri"/>
          <w:i/>
          <w:iCs/>
        </w:rPr>
        <w:t>V</w:t>
      </w:r>
      <w:r>
        <w:rPr>
          <w:rFonts w:eastAsia="Calibri"/>
          <w:i/>
          <w:iCs/>
        </w:rPr>
        <w:t xml:space="preserve">. </w:t>
      </w:r>
      <w:r w:rsidRPr="00C00255">
        <w:rPr>
          <w:rFonts w:eastAsia="Calibri"/>
          <w:i/>
          <w:iCs/>
        </w:rPr>
        <w:t>R</w:t>
      </w:r>
      <w:r>
        <w:rPr>
          <w:rFonts w:eastAsia="Calibri"/>
          <w:i/>
          <w:iCs/>
        </w:rPr>
        <w:t>.</w:t>
      </w:r>
      <w:r w:rsidRPr="00C00255">
        <w:rPr>
          <w:rFonts w:eastAsia="Calibri"/>
          <w:i/>
          <w:iCs/>
        </w:rPr>
        <w:t>, kuri dėl poodinės kraujosruvos galvoje, galvos smegenų sumušimo, abipusio klausos nervų uždegimo, dešinio peties sąnario trauminio uždegimo su dešinės rankos žasto nervinio pluošto uždegimu ir galvos smegenų traumos, dėl ko išsivystė vestibulinis astenodepresinis stresinis sindromas, tapo neįgali; A</w:t>
      </w:r>
      <w:r>
        <w:rPr>
          <w:rFonts w:eastAsia="Calibri"/>
          <w:i/>
          <w:iCs/>
        </w:rPr>
        <w:t xml:space="preserve">. </w:t>
      </w:r>
      <w:r w:rsidRPr="00C00255">
        <w:rPr>
          <w:rFonts w:eastAsia="Calibri"/>
          <w:i/>
          <w:iCs/>
        </w:rPr>
        <w:t>R</w:t>
      </w:r>
      <w:r>
        <w:rPr>
          <w:rFonts w:eastAsia="Calibri"/>
          <w:i/>
          <w:iCs/>
        </w:rPr>
        <w:t>.</w:t>
      </w:r>
      <w:r w:rsidRPr="00C00255">
        <w:rPr>
          <w:rFonts w:eastAsia="Calibri"/>
          <w:i/>
          <w:iCs/>
        </w:rPr>
        <w:t>, kuriam padarė šautinį kiaurinį dešinės šlaunies sužalojimą su įėjimo anga šlaunies apatinio trečdalio priekinio paviršiaus vidinėje pusėje ir išėjimo anga išoriniame paviršiuje aukščiau įėjimo angos bei įėjimo angašlaunies viršutiniame trečdalyje ties kirkšnimi ir išėjimo anga užpakaliniame paviršiuje ties sėdmenimi, su atviru skeveldriniu tarpgumburiniu dešinio šlaunikaulio lūžiu; A</w:t>
      </w:r>
      <w:r>
        <w:rPr>
          <w:rFonts w:eastAsia="Calibri"/>
          <w:i/>
          <w:iCs/>
        </w:rPr>
        <w:t xml:space="preserve">. </w:t>
      </w:r>
      <w:r w:rsidRPr="00C00255">
        <w:rPr>
          <w:rFonts w:eastAsia="Calibri"/>
          <w:i/>
          <w:iCs/>
        </w:rPr>
        <w:t>R</w:t>
      </w:r>
      <w:r>
        <w:rPr>
          <w:rFonts w:eastAsia="Calibri"/>
          <w:i/>
          <w:iCs/>
        </w:rPr>
        <w:t>.</w:t>
      </w:r>
      <w:r w:rsidRPr="00C00255">
        <w:rPr>
          <w:rFonts w:eastAsia="Calibri"/>
          <w:i/>
          <w:iCs/>
        </w:rPr>
        <w:t>, kuriam padarė muštines galvos viršugalvio kairės pusės ir pakaušio kairės pusės žaizdas ir atvirą pakauškaulio lūžį su galvos smegenų sumušimu, sukėlusį ūmų kraujavimą iš žaizdų ir II laipsnio trauminį šoką; J</w:t>
      </w:r>
      <w:r>
        <w:rPr>
          <w:rFonts w:eastAsia="Calibri"/>
          <w:i/>
          <w:iCs/>
        </w:rPr>
        <w:t xml:space="preserve">. </w:t>
      </w:r>
      <w:r w:rsidRPr="00C00255">
        <w:rPr>
          <w:rFonts w:eastAsia="Calibri"/>
          <w:i/>
          <w:iCs/>
        </w:rPr>
        <w:t>S</w:t>
      </w:r>
      <w:r>
        <w:rPr>
          <w:rFonts w:eastAsia="Calibri"/>
          <w:i/>
          <w:iCs/>
        </w:rPr>
        <w:t>.</w:t>
      </w:r>
      <w:r w:rsidRPr="00C00255">
        <w:rPr>
          <w:rFonts w:eastAsia="Calibri"/>
          <w:i/>
          <w:iCs/>
        </w:rPr>
        <w:t>, kuriam padarė kiaurinį šautinį nugaros dešinės pusės sužalojimą, dėl ko įvykus randiniui (fibroziniui) šonkaulio išsigimimui, susiformavo auglys (pašalintas operacijos metu) ir pastarasis neteko 30 ir daugiau proc. bendro darbingumo; E</w:t>
      </w:r>
      <w:r>
        <w:rPr>
          <w:rFonts w:eastAsia="Calibri"/>
          <w:i/>
          <w:iCs/>
        </w:rPr>
        <w:t xml:space="preserve">. </w:t>
      </w:r>
      <w:r w:rsidRPr="00C00255">
        <w:rPr>
          <w:rFonts w:eastAsia="Calibri"/>
          <w:i/>
          <w:iCs/>
        </w:rPr>
        <w:t>S</w:t>
      </w:r>
      <w:r>
        <w:rPr>
          <w:rFonts w:eastAsia="Calibri"/>
          <w:i/>
          <w:iCs/>
        </w:rPr>
        <w:t>.</w:t>
      </w:r>
      <w:r w:rsidRPr="00C00255">
        <w:rPr>
          <w:rFonts w:eastAsia="Calibri"/>
          <w:i/>
          <w:iCs/>
        </w:rPr>
        <w:t>, kuris dėl padaryto kiaurinio šautinio kairės šlaunies viršutinio trečdalio ir kairio sėdmens sužalojimo su kairio sėdimojo nervo pakenkimu ir šlaunies raumenų atrofija neteko 30 ir daugiau proc. bendro darbingumo; A</w:t>
      </w:r>
      <w:r>
        <w:rPr>
          <w:rFonts w:eastAsia="Calibri"/>
          <w:i/>
          <w:iCs/>
        </w:rPr>
        <w:t xml:space="preserve">. </w:t>
      </w:r>
      <w:r w:rsidRPr="00C00255">
        <w:rPr>
          <w:rFonts w:eastAsia="Calibri"/>
          <w:i/>
          <w:iCs/>
        </w:rPr>
        <w:t>Š</w:t>
      </w:r>
      <w:r>
        <w:rPr>
          <w:rFonts w:eastAsia="Calibri"/>
          <w:i/>
          <w:iCs/>
        </w:rPr>
        <w:t>.</w:t>
      </w:r>
      <w:r w:rsidRPr="00C00255">
        <w:rPr>
          <w:rFonts w:eastAsia="Calibri"/>
          <w:i/>
          <w:iCs/>
        </w:rPr>
        <w:t>, kuriam padarė kiaurinį šautinį kairio alkūnės sąnario sužalojimą, kiauryminę muštą-plėštą kairio pašonkaulio žaizdą, kairio X šonkaulio atvirą lūžimą ir kairio inksto plyšimą; V</w:t>
      </w:r>
      <w:r>
        <w:rPr>
          <w:rFonts w:eastAsia="Calibri"/>
          <w:i/>
          <w:iCs/>
        </w:rPr>
        <w:t xml:space="preserve">. </w:t>
      </w:r>
      <w:r w:rsidRPr="00C00255">
        <w:rPr>
          <w:rFonts w:eastAsia="Calibri"/>
          <w:i/>
          <w:iCs/>
        </w:rPr>
        <w:t>Š</w:t>
      </w:r>
      <w:r>
        <w:rPr>
          <w:rFonts w:eastAsia="Calibri"/>
          <w:i/>
          <w:iCs/>
        </w:rPr>
        <w:t>.</w:t>
      </w:r>
      <w:r w:rsidRPr="00C00255">
        <w:rPr>
          <w:rFonts w:eastAsia="Calibri"/>
          <w:i/>
          <w:iCs/>
        </w:rPr>
        <w:t xml:space="preserve">, kuris dėl šautinio kiaurinio burnos sužalojimo su kiaurine žaizda viršutinės lūpos dešinėje pusėje, skeveldriniu dešiniu viršutinio žandikaulio vainikinio krašto lūžiu ir šešių dantų išmušimu bei plėštinėmis žaizdomis burnos prieangyje ir liežuvyje, komplikavusis pastovia trišakio ir liežuvinio ryklės nervų neuralgija, neteko 30 ir daugiau proc. bendro darbingumo; </w:t>
      </w:r>
      <w:r>
        <w:rPr>
          <w:rFonts w:eastAsia="Calibri"/>
          <w:i/>
          <w:iCs/>
        </w:rPr>
        <w:t xml:space="preserve">L. </w:t>
      </w:r>
      <w:r w:rsidRPr="00C00255">
        <w:rPr>
          <w:rFonts w:eastAsia="Calibri"/>
          <w:i/>
          <w:iCs/>
        </w:rPr>
        <w:t>Ž</w:t>
      </w:r>
      <w:r>
        <w:rPr>
          <w:rFonts w:eastAsia="Calibri"/>
          <w:i/>
          <w:iCs/>
        </w:rPr>
        <w:t>.</w:t>
      </w:r>
      <w:r w:rsidRPr="00C00255">
        <w:rPr>
          <w:rFonts w:eastAsia="Calibri"/>
          <w:i/>
          <w:iCs/>
        </w:rPr>
        <w:t>, kuriam dėl psichinės traumos išsivysčius reaktyvinei būsenai, žymiai sutriko psichinė sveikata ir socialinė adaptacija; V</w:t>
      </w:r>
      <w:r>
        <w:rPr>
          <w:rFonts w:eastAsia="Calibri"/>
          <w:i/>
          <w:iCs/>
        </w:rPr>
        <w:t xml:space="preserve">. </w:t>
      </w:r>
      <w:r w:rsidRPr="00C00255">
        <w:rPr>
          <w:rFonts w:eastAsia="Calibri"/>
          <w:i/>
          <w:iCs/>
        </w:rPr>
        <w:t>L</w:t>
      </w:r>
      <w:r>
        <w:rPr>
          <w:rFonts w:eastAsia="Calibri"/>
          <w:i/>
          <w:iCs/>
        </w:rPr>
        <w:t>.</w:t>
      </w:r>
      <w:r w:rsidRPr="00C00255">
        <w:rPr>
          <w:rFonts w:eastAsia="Calibri"/>
          <w:i/>
          <w:iCs/>
        </w:rPr>
        <w:t>, kuriai psichinės sveikatos sutrikimas – ilgalaikis asmenybės pakitimas – sukėlė stabilų asmenybės sutrikimą, prilyginamą ilgai trunkančiai ligai; R</w:t>
      </w:r>
      <w:r>
        <w:rPr>
          <w:rFonts w:eastAsia="Calibri"/>
          <w:i/>
          <w:iCs/>
        </w:rPr>
        <w:t xml:space="preserve">. </w:t>
      </w:r>
      <w:r w:rsidRPr="00C00255">
        <w:rPr>
          <w:rFonts w:eastAsia="Calibri"/>
          <w:i/>
          <w:iCs/>
        </w:rPr>
        <w:t>Š</w:t>
      </w:r>
      <w:r>
        <w:rPr>
          <w:rFonts w:eastAsia="Calibri"/>
          <w:i/>
          <w:iCs/>
        </w:rPr>
        <w:t>.</w:t>
      </w:r>
      <w:r w:rsidRPr="00C00255">
        <w:rPr>
          <w:rFonts w:eastAsia="Calibri"/>
          <w:i/>
          <w:iCs/>
        </w:rPr>
        <w:t>, kuriai padarytas psichikos sveikatos sutrikimas – potrauminio streso sutrikimas, kuris tęsėsi 4 mėnesius ir pilnai sutrikdė jos darbingumą tuo laikotarpiu; E</w:t>
      </w:r>
      <w:r>
        <w:rPr>
          <w:rFonts w:eastAsia="Calibri"/>
          <w:i/>
          <w:iCs/>
        </w:rPr>
        <w:t>.</w:t>
      </w:r>
      <w:r w:rsidRPr="00C00255">
        <w:rPr>
          <w:rFonts w:eastAsia="Calibri"/>
          <w:i/>
          <w:iCs/>
        </w:rPr>
        <w:t> T</w:t>
      </w:r>
      <w:r>
        <w:rPr>
          <w:rFonts w:eastAsia="Calibri"/>
          <w:i/>
          <w:iCs/>
        </w:rPr>
        <w:t>.</w:t>
      </w:r>
      <w:r w:rsidRPr="00C00255">
        <w:rPr>
          <w:rFonts w:eastAsia="Calibri"/>
          <w:i/>
          <w:iCs/>
        </w:rPr>
        <w:t xml:space="preserve">, kuri dėl akustinės traumos – progresavusio abipusio klausos nervų uždegimo su garsą suvokiančios sistemos pakenkimu ir labai didelio laipsnio prikurtimu – neteko 30 ir daugiau proc. bendro darbingumo. </w:t>
      </w:r>
    </w:p>
    <w:p w:rsidR="00DA38E9" w:rsidRPr="00C00255" w:rsidRDefault="00DA38E9" w:rsidP="00DA38E9">
      <w:pPr>
        <w:spacing w:before="120" w:after="120"/>
        <w:ind w:left="992"/>
        <w:rPr>
          <w:rFonts w:eastAsia="Calibri"/>
          <w:i/>
          <w:iCs/>
        </w:rPr>
      </w:pPr>
      <w:r w:rsidRPr="00C00255">
        <w:rPr>
          <w:rFonts w:eastAsia="Calibri"/>
          <w:i/>
          <w:iCs/>
        </w:rPr>
        <w:t xml:space="preserve">Karo atakos prie TV bokšto metu dalyvavę visi karinių struktūrų kariškiai bendrais veiksmais užgrobė TV bokštą, o jį gynusiems civiliams padarė šiuos sveikatos sutrikdymus: </w:t>
      </w:r>
    </w:p>
    <w:p w:rsidR="00DA38E9" w:rsidRPr="00C00255" w:rsidRDefault="00DA38E9" w:rsidP="00DA38E9">
      <w:pPr>
        <w:spacing w:before="120" w:after="120"/>
        <w:ind w:left="992"/>
        <w:rPr>
          <w:rFonts w:eastAsia="Calibri"/>
          <w:i/>
          <w:iCs/>
        </w:rPr>
      </w:pPr>
      <w:r w:rsidRPr="00C00255">
        <w:rPr>
          <w:rFonts w:eastAsia="Calibri"/>
          <w:i/>
          <w:iCs/>
        </w:rPr>
        <w:t xml:space="preserve">tyčinius nesunkius sveikatos sutrikdymus dviem šimtams aštuoniasdešimt aštuoniems civiliams: </w:t>
      </w:r>
      <w:r>
        <w:rPr>
          <w:rFonts w:eastAsia="Calibri"/>
          <w:i/>
          <w:iCs/>
        </w:rPr>
        <w:t>(duomenys neskelbtini)</w:t>
      </w:r>
      <w:r w:rsidRPr="00C00255">
        <w:rPr>
          <w:rFonts w:eastAsia="Calibri"/>
          <w:i/>
          <w:iCs/>
        </w:rPr>
        <w:t>;</w:t>
      </w:r>
    </w:p>
    <w:p w:rsidR="00DA38E9" w:rsidRPr="00C00255" w:rsidRDefault="00DA38E9" w:rsidP="00DA38E9">
      <w:pPr>
        <w:spacing w:before="120" w:after="120"/>
        <w:ind w:left="992"/>
        <w:rPr>
          <w:rStyle w:val="Heading3Char"/>
          <w:rFonts w:eastAsia="SimSun, 宋体" w:cs="Mangal"/>
          <w:b w:val="0"/>
          <w:bCs/>
          <w:i/>
          <w:iCs/>
          <w:lang w:val="lt-LT" w:eastAsia="zh-CN"/>
        </w:rPr>
      </w:pPr>
      <w:r w:rsidRPr="00C00255">
        <w:rPr>
          <w:rFonts w:eastAsia="Calibri"/>
          <w:i/>
          <w:iCs/>
        </w:rPr>
        <w:t xml:space="preserve">tyčinius nežymius sveikatos sutrikdymus dviem šimtams penkiasdešimt civilių: </w:t>
      </w:r>
      <w:r>
        <w:rPr>
          <w:rFonts w:eastAsia="Calibri"/>
          <w:i/>
          <w:iCs/>
        </w:rPr>
        <w:t>(duomenys neskelbtini)</w:t>
      </w:r>
      <w:r w:rsidRPr="00C00255">
        <w:rPr>
          <w:rFonts w:eastAsia="Calibri"/>
          <w:i/>
          <w:iCs/>
        </w:rPr>
        <w:t>.</w:t>
      </w:r>
    </w:p>
    <w:p w:rsidR="00DA38E9" w:rsidRPr="00C00255" w:rsidRDefault="00DA38E9" w:rsidP="00DA38E9">
      <w:pPr>
        <w:pStyle w:val="Standard"/>
        <w:tabs>
          <w:tab w:val="left" w:pos="993"/>
        </w:tabs>
        <w:spacing w:before="120" w:after="120"/>
        <w:ind w:left="993" w:firstLine="0"/>
        <w:jc w:val="both"/>
        <w:rPr>
          <w:i/>
          <w:iCs/>
        </w:rPr>
      </w:pPr>
      <w:r w:rsidRPr="00C00255">
        <w:rPr>
          <w:b/>
        </w:rPr>
        <w:t>LRT užėmimas</w:t>
      </w:r>
    </w:p>
    <w:p w:rsidR="00DA38E9" w:rsidRPr="00C00255" w:rsidRDefault="00DA38E9" w:rsidP="00DA38E9">
      <w:pPr>
        <w:spacing w:before="120" w:after="120"/>
        <w:ind w:left="993"/>
        <w:rPr>
          <w:i/>
          <w:iCs/>
        </w:rPr>
      </w:pPr>
      <w:r w:rsidRPr="00C00255">
        <w:rPr>
          <w:i/>
          <w:iCs/>
        </w:rPr>
        <w:t xml:space="preserve">Užimant LRT tiesiogiai karo atakoje prie LRT dalyvavo šie nuteistieji: </w:t>
      </w:r>
      <w:r>
        <w:rPr>
          <w:rFonts w:eastAsia="Calibri"/>
          <w:i/>
          <w:iCs/>
        </w:rPr>
        <w:t>S. P.</w:t>
      </w:r>
      <w:r w:rsidRPr="00C00255">
        <w:rPr>
          <w:rFonts w:eastAsia="Calibri"/>
          <w:i/>
          <w:iCs/>
        </w:rPr>
        <w:t xml:space="preserve">, </w:t>
      </w:r>
      <w:r>
        <w:rPr>
          <w:rFonts w:eastAsia="Calibri"/>
          <w:i/>
          <w:iCs/>
        </w:rPr>
        <w:t>G. G.</w:t>
      </w:r>
      <w:r w:rsidRPr="00C00255">
        <w:rPr>
          <w:rFonts w:eastAsia="Calibri"/>
          <w:i/>
          <w:iCs/>
        </w:rPr>
        <w:t xml:space="preserve">, </w:t>
      </w:r>
      <w:r>
        <w:rPr>
          <w:rFonts w:eastAsia="Calibri"/>
          <w:i/>
          <w:iCs/>
        </w:rPr>
        <w:t>J. G.</w:t>
      </w:r>
      <w:r w:rsidRPr="00C00255">
        <w:rPr>
          <w:rFonts w:eastAsia="Calibri"/>
          <w:i/>
          <w:iCs/>
        </w:rPr>
        <w:t xml:space="preserve">, </w:t>
      </w:r>
      <w:r>
        <w:rPr>
          <w:rFonts w:eastAsia="Calibri"/>
          <w:i/>
          <w:iCs/>
        </w:rPr>
        <w:t>I. Š.</w:t>
      </w:r>
      <w:r w:rsidRPr="00C00255">
        <w:rPr>
          <w:rFonts w:eastAsia="Calibri"/>
          <w:i/>
          <w:iCs/>
        </w:rPr>
        <w:t xml:space="preserve">, </w:t>
      </w:r>
      <w:r>
        <w:rPr>
          <w:rFonts w:eastAsia="Calibri"/>
          <w:i/>
          <w:iCs/>
        </w:rPr>
        <w:t>A. F. 1</w:t>
      </w:r>
      <w:r w:rsidRPr="00C00255">
        <w:rPr>
          <w:rFonts w:eastAsia="Calibri"/>
          <w:i/>
          <w:iCs/>
        </w:rPr>
        <w:t xml:space="preserve">, </w:t>
      </w:r>
      <w:r>
        <w:rPr>
          <w:rFonts w:eastAsia="Calibri"/>
          <w:i/>
          <w:iCs/>
        </w:rPr>
        <w:t>K. U.</w:t>
      </w:r>
      <w:r w:rsidRPr="00C00255">
        <w:rPr>
          <w:rFonts w:eastAsia="Calibri"/>
          <w:i/>
          <w:iCs/>
        </w:rPr>
        <w:t xml:space="preserve">, </w:t>
      </w:r>
      <w:r>
        <w:rPr>
          <w:rFonts w:eastAsia="Calibri"/>
          <w:i/>
          <w:iCs/>
        </w:rPr>
        <w:t>A. F. 2</w:t>
      </w:r>
      <w:r w:rsidRPr="00C00255">
        <w:rPr>
          <w:rFonts w:eastAsia="Calibri"/>
          <w:i/>
          <w:iCs/>
        </w:rPr>
        <w:t xml:space="preserve">, </w:t>
      </w:r>
      <w:r>
        <w:rPr>
          <w:rFonts w:eastAsia="Calibri"/>
          <w:i/>
          <w:iCs/>
        </w:rPr>
        <w:t>J. J.</w:t>
      </w:r>
      <w:r w:rsidRPr="00C00255">
        <w:rPr>
          <w:rFonts w:eastAsia="Calibri"/>
          <w:i/>
          <w:iCs/>
        </w:rPr>
        <w:t xml:space="preserve">, </w:t>
      </w:r>
      <w:r>
        <w:rPr>
          <w:rFonts w:eastAsia="Calibri"/>
          <w:i/>
          <w:iCs/>
        </w:rPr>
        <w:t>A. I.</w:t>
      </w:r>
      <w:r w:rsidRPr="00C00255">
        <w:rPr>
          <w:rFonts w:eastAsia="Calibri"/>
          <w:i/>
          <w:iCs/>
        </w:rPr>
        <w:t xml:space="preserve">, </w:t>
      </w:r>
      <w:r>
        <w:rPr>
          <w:rFonts w:eastAsia="Calibri"/>
          <w:i/>
          <w:iCs/>
        </w:rPr>
        <w:t>V. S. 3</w:t>
      </w:r>
      <w:r w:rsidRPr="00C00255">
        <w:rPr>
          <w:rFonts w:eastAsia="Calibri"/>
          <w:i/>
          <w:iCs/>
        </w:rPr>
        <w:t xml:space="preserve">, </w:t>
      </w:r>
      <w:r>
        <w:rPr>
          <w:rFonts w:eastAsia="Calibri"/>
          <w:i/>
          <w:iCs/>
        </w:rPr>
        <w:t>S. M.</w:t>
      </w:r>
      <w:r w:rsidRPr="00C00255">
        <w:rPr>
          <w:rFonts w:eastAsia="Calibri"/>
          <w:i/>
          <w:iCs/>
        </w:rPr>
        <w:t xml:space="preserve">, </w:t>
      </w:r>
      <w:r>
        <w:rPr>
          <w:rFonts w:eastAsia="Calibri"/>
          <w:i/>
          <w:iCs/>
        </w:rPr>
        <w:t>A. N. 2</w:t>
      </w:r>
      <w:r w:rsidRPr="00C00255">
        <w:rPr>
          <w:rFonts w:eastAsia="Calibri"/>
          <w:i/>
          <w:iCs/>
        </w:rPr>
        <w:t xml:space="preserve">, </w:t>
      </w:r>
      <w:r>
        <w:rPr>
          <w:rFonts w:eastAsia="Calibri"/>
          <w:i/>
          <w:iCs/>
        </w:rPr>
        <w:t>A. S.</w:t>
      </w:r>
      <w:r w:rsidRPr="00C00255">
        <w:rPr>
          <w:rFonts w:eastAsia="Calibri"/>
          <w:i/>
          <w:iCs/>
        </w:rPr>
        <w:t xml:space="preserve">, </w:t>
      </w:r>
      <w:r>
        <w:rPr>
          <w:rFonts w:eastAsia="Calibri"/>
          <w:i/>
          <w:iCs/>
        </w:rPr>
        <w:t>A. C.</w:t>
      </w:r>
      <w:r w:rsidRPr="00C00255">
        <w:rPr>
          <w:rFonts w:eastAsia="Calibri"/>
          <w:i/>
          <w:iCs/>
        </w:rPr>
        <w:t xml:space="preserve">, </w:t>
      </w:r>
      <w:r>
        <w:rPr>
          <w:rFonts w:eastAsia="Calibri"/>
          <w:i/>
          <w:iCs/>
        </w:rPr>
        <w:t>B. S.</w:t>
      </w:r>
      <w:r w:rsidRPr="00C00255">
        <w:rPr>
          <w:rFonts w:eastAsia="Calibri"/>
          <w:i/>
          <w:iCs/>
        </w:rPr>
        <w:t xml:space="preserve">, </w:t>
      </w:r>
      <w:r>
        <w:rPr>
          <w:rFonts w:eastAsia="Calibri"/>
          <w:i/>
          <w:iCs/>
        </w:rPr>
        <w:t>S. G.</w:t>
      </w:r>
      <w:r w:rsidRPr="00C00255">
        <w:rPr>
          <w:rFonts w:eastAsia="Calibri"/>
          <w:i/>
          <w:iCs/>
        </w:rPr>
        <w:t xml:space="preserve">, </w:t>
      </w:r>
      <w:r>
        <w:rPr>
          <w:rFonts w:eastAsia="Calibri"/>
          <w:i/>
          <w:iCs/>
        </w:rPr>
        <w:t>V. G.</w:t>
      </w:r>
      <w:r w:rsidRPr="00C00255">
        <w:rPr>
          <w:rFonts w:eastAsia="Calibri"/>
          <w:i/>
          <w:iCs/>
        </w:rPr>
        <w:t xml:space="preserve">, </w:t>
      </w:r>
      <w:r>
        <w:rPr>
          <w:rFonts w:eastAsia="Calibri"/>
          <w:i/>
          <w:iCs/>
        </w:rPr>
        <w:t>R. J. 2</w:t>
      </w:r>
      <w:r w:rsidRPr="00C00255">
        <w:rPr>
          <w:i/>
          <w:iCs/>
        </w:rPr>
        <w:t xml:space="preserve"> (</w:t>
      </w:r>
      <w:r w:rsidRPr="00C00255">
        <w:rPr>
          <w:rFonts w:eastAsia="Calibri"/>
          <w:i/>
          <w:iCs/>
        </w:rPr>
        <w:t xml:space="preserve">TSRS GM Oro desanto pajėgų 76-osios oro desanto divizijos kariškiai), </w:t>
      </w:r>
      <w:r>
        <w:rPr>
          <w:rFonts w:eastAsia="Calibri"/>
          <w:i/>
          <w:iCs/>
        </w:rPr>
        <w:t>V. P.</w:t>
      </w:r>
      <w:r w:rsidRPr="00C00255">
        <w:rPr>
          <w:rFonts w:eastAsia="Calibri"/>
          <w:i/>
          <w:iCs/>
        </w:rPr>
        <w:t xml:space="preserve">, </w:t>
      </w:r>
      <w:r>
        <w:rPr>
          <w:rFonts w:eastAsia="Calibri"/>
          <w:i/>
          <w:iCs/>
        </w:rPr>
        <w:t>N. O.</w:t>
      </w:r>
      <w:r w:rsidRPr="00C00255">
        <w:rPr>
          <w:rFonts w:eastAsia="Calibri"/>
          <w:i/>
          <w:iCs/>
        </w:rPr>
        <w:t xml:space="preserve">, </w:t>
      </w:r>
      <w:r>
        <w:rPr>
          <w:rFonts w:eastAsia="Calibri"/>
          <w:i/>
          <w:iCs/>
        </w:rPr>
        <w:t>A. U.</w:t>
      </w:r>
      <w:r w:rsidRPr="00C00255">
        <w:rPr>
          <w:rFonts w:eastAsia="Calibri"/>
          <w:i/>
          <w:iCs/>
        </w:rPr>
        <w:t xml:space="preserve">, </w:t>
      </w:r>
      <w:r>
        <w:rPr>
          <w:rFonts w:eastAsia="Calibri"/>
          <w:i/>
          <w:iCs/>
        </w:rPr>
        <w:t>J. O.</w:t>
      </w:r>
      <w:r w:rsidRPr="00C00255">
        <w:rPr>
          <w:rFonts w:eastAsia="Calibri"/>
          <w:i/>
          <w:iCs/>
        </w:rPr>
        <w:t xml:space="preserve">, </w:t>
      </w:r>
      <w:r>
        <w:rPr>
          <w:rFonts w:eastAsia="Calibri"/>
          <w:i/>
          <w:iCs/>
        </w:rPr>
        <w:t>D. F.</w:t>
      </w:r>
      <w:r w:rsidRPr="00C00255">
        <w:rPr>
          <w:rFonts w:eastAsia="Calibri"/>
          <w:i/>
          <w:iCs/>
        </w:rPr>
        <w:t xml:space="preserve">, </w:t>
      </w:r>
      <w:r>
        <w:rPr>
          <w:rFonts w:eastAsia="Calibri"/>
          <w:i/>
          <w:iCs/>
        </w:rPr>
        <w:t>E. R.</w:t>
      </w:r>
      <w:r w:rsidRPr="00C00255">
        <w:rPr>
          <w:rFonts w:eastAsia="Calibri"/>
          <w:i/>
          <w:iCs/>
        </w:rPr>
        <w:t xml:space="preserve">, </w:t>
      </w:r>
      <w:r>
        <w:rPr>
          <w:rFonts w:eastAsia="Calibri"/>
          <w:i/>
          <w:iCs/>
        </w:rPr>
        <w:t>A. K. 2</w:t>
      </w:r>
      <w:r w:rsidRPr="00C00255">
        <w:rPr>
          <w:rFonts w:eastAsia="Calibri"/>
          <w:i/>
          <w:iCs/>
        </w:rPr>
        <w:t xml:space="preserve">, </w:t>
      </w:r>
      <w:r>
        <w:rPr>
          <w:rFonts w:eastAsia="Calibri"/>
          <w:i/>
          <w:iCs/>
        </w:rPr>
        <w:t>N. S.</w:t>
      </w:r>
      <w:r w:rsidRPr="00C00255">
        <w:rPr>
          <w:rFonts w:eastAsia="Calibri"/>
          <w:i/>
          <w:iCs/>
        </w:rPr>
        <w:t xml:space="preserve"> </w:t>
      </w:r>
      <w:r w:rsidRPr="00C00255">
        <w:rPr>
          <w:i/>
          <w:iCs/>
        </w:rPr>
        <w:t>(</w:t>
      </w:r>
      <w:r w:rsidRPr="00C00255">
        <w:rPr>
          <w:rFonts w:eastAsia="Calibri"/>
          <w:i/>
          <w:iCs/>
        </w:rPr>
        <w:t xml:space="preserve">TSRS GM </w:t>
      </w:r>
      <w:r w:rsidRPr="00C00255">
        <w:rPr>
          <w:i/>
          <w:iCs/>
        </w:rPr>
        <w:t xml:space="preserve">Sausumos pajėgų Pabaltijo karinės apygardos </w:t>
      </w:r>
      <w:r w:rsidRPr="00C00255">
        <w:rPr>
          <w:rFonts w:eastAsia="Calibri"/>
          <w:i/>
          <w:iCs/>
        </w:rPr>
        <w:t xml:space="preserve">107-osios motorizuotų šaulių divizijos 106-ojo tankų pulko kariškiai), </w:t>
      </w:r>
      <w:r>
        <w:rPr>
          <w:i/>
          <w:iCs/>
        </w:rPr>
        <w:t>J. Č.</w:t>
      </w:r>
      <w:r w:rsidRPr="00C00255">
        <w:rPr>
          <w:i/>
          <w:iCs/>
        </w:rPr>
        <w:t xml:space="preserve"> (TSRS VSK specialiosios paskirties grupės „A“ kariškiai), </w:t>
      </w:r>
      <w:r>
        <w:rPr>
          <w:rFonts w:eastAsia="Calibri"/>
          <w:i/>
          <w:iCs/>
        </w:rPr>
        <w:t>S. F.</w:t>
      </w:r>
      <w:r w:rsidRPr="00C00255">
        <w:rPr>
          <w:rFonts w:eastAsia="Calibri"/>
          <w:i/>
          <w:iCs/>
        </w:rPr>
        <w:t xml:space="preserve">, </w:t>
      </w:r>
      <w:r>
        <w:rPr>
          <w:rFonts w:eastAsia="Calibri"/>
          <w:i/>
          <w:iCs/>
        </w:rPr>
        <w:t>O. M.</w:t>
      </w:r>
      <w:r w:rsidRPr="00C00255">
        <w:rPr>
          <w:rFonts w:eastAsia="Calibri"/>
          <w:i/>
          <w:iCs/>
        </w:rPr>
        <w:t xml:space="preserve">, </w:t>
      </w:r>
      <w:r>
        <w:rPr>
          <w:rFonts w:eastAsia="Calibri"/>
          <w:i/>
          <w:iCs/>
        </w:rPr>
        <w:t>V. M.</w:t>
      </w:r>
      <w:r w:rsidRPr="00C00255">
        <w:rPr>
          <w:rFonts w:eastAsia="Calibri"/>
          <w:i/>
          <w:iCs/>
        </w:rPr>
        <w:t xml:space="preserve">, </w:t>
      </w:r>
      <w:r>
        <w:rPr>
          <w:rFonts w:eastAsia="Calibri"/>
          <w:i/>
          <w:iCs/>
        </w:rPr>
        <w:t>M. </w:t>
      </w:r>
      <w:r w:rsidR="006F072D">
        <w:rPr>
          <w:rFonts w:eastAsia="Calibri"/>
          <w:i/>
          <w:iCs/>
        </w:rPr>
        <w:t>C.</w:t>
      </w:r>
      <w:r w:rsidRPr="00C00255">
        <w:rPr>
          <w:rFonts w:eastAsia="Calibri"/>
          <w:i/>
          <w:iCs/>
        </w:rPr>
        <w:t xml:space="preserve">, </w:t>
      </w:r>
      <w:r>
        <w:rPr>
          <w:rFonts w:eastAsia="Calibri"/>
          <w:i/>
          <w:iCs/>
        </w:rPr>
        <w:t>J. S.</w:t>
      </w:r>
      <w:r w:rsidRPr="00C00255">
        <w:rPr>
          <w:rFonts w:eastAsia="Calibri"/>
          <w:i/>
          <w:iCs/>
        </w:rPr>
        <w:t xml:space="preserve">, </w:t>
      </w:r>
      <w:r>
        <w:rPr>
          <w:rFonts w:eastAsia="Calibri"/>
          <w:i/>
          <w:iCs/>
        </w:rPr>
        <w:t>V. Š.</w:t>
      </w:r>
      <w:r w:rsidRPr="00C00255">
        <w:rPr>
          <w:rFonts w:eastAsia="Calibri"/>
          <w:i/>
          <w:iCs/>
        </w:rPr>
        <w:t xml:space="preserve">, </w:t>
      </w:r>
      <w:r>
        <w:rPr>
          <w:rFonts w:eastAsia="Calibri"/>
          <w:i/>
          <w:iCs/>
        </w:rPr>
        <w:t>V. R.</w:t>
      </w:r>
      <w:r w:rsidRPr="00C00255">
        <w:rPr>
          <w:rFonts w:eastAsia="Calibri"/>
          <w:i/>
          <w:iCs/>
        </w:rPr>
        <w:t xml:space="preserve">, </w:t>
      </w:r>
      <w:r>
        <w:rPr>
          <w:rFonts w:eastAsia="Calibri"/>
          <w:i/>
          <w:iCs/>
        </w:rPr>
        <w:t>G. P.</w:t>
      </w:r>
      <w:r w:rsidRPr="00C00255">
        <w:rPr>
          <w:rFonts w:eastAsia="Calibri"/>
          <w:i/>
          <w:iCs/>
        </w:rPr>
        <w:t xml:space="preserve"> (TSRS VRM Šiaurės vakarų ir Pabaltijo vidaus kariuomenės valdybos 42-osios divizijos kariškiai) ir </w:t>
      </w:r>
      <w:r>
        <w:rPr>
          <w:i/>
          <w:iCs/>
        </w:rPr>
        <w:t>R. J. 1</w:t>
      </w:r>
      <w:r w:rsidRPr="00C00255">
        <w:rPr>
          <w:i/>
          <w:iCs/>
        </w:rPr>
        <w:t xml:space="preserve"> (LKP/TSKP CK Politinio </w:t>
      </w:r>
      <w:r w:rsidRPr="00C00255">
        <w:rPr>
          <w:rFonts w:eastAsia="Calibri"/>
          <w:i/>
          <w:iCs/>
        </w:rPr>
        <w:t>–</w:t>
      </w:r>
      <w:r w:rsidRPr="00C00255">
        <w:rPr>
          <w:i/>
          <w:iCs/>
        </w:rPr>
        <w:t xml:space="preserve"> teisinio skyriaus konsultantas).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Vykdant tarptautinės humanitarinės teisės draudžiamas karo atakas prieš civilius, veiksmų koordinavimas ir vadovavimas LRT puolime dalyvaujantiems kariniams padaliniams, buvo pavestas </w:t>
      </w:r>
      <w:bookmarkStart w:id="875" w:name="_Hlk67583472"/>
      <w:r w:rsidRPr="00C00255">
        <w:rPr>
          <w:rFonts w:cs="Times New Roman"/>
          <w:i/>
          <w:iCs/>
        </w:rPr>
        <w:t xml:space="preserve">TSRS GM Oro desanto pajėgų 76-osios oro desanto divizijos 234-ojo pulko žvalgybos viršininkui </w:t>
      </w:r>
      <w:bookmarkEnd w:id="875"/>
      <w:r>
        <w:rPr>
          <w:rFonts w:cs="Times New Roman"/>
          <w:i/>
          <w:iCs/>
        </w:rPr>
        <w:t>S. P.</w:t>
      </w:r>
      <w:r w:rsidRPr="00C00255">
        <w:rPr>
          <w:rFonts w:cs="Times New Roman"/>
          <w:i/>
          <w:iCs/>
        </w:rPr>
        <w:t xml:space="preserve">, kuris savo veiksmus ryšio priemonėmis tiesiogiai derino su TSRS GM Oro desanto pajėgų 76-osios oro desanto divizijos vado pavaduotoju </w:t>
      </w:r>
      <w:r>
        <w:rPr>
          <w:rFonts w:cs="Times New Roman"/>
          <w:i/>
          <w:iCs/>
        </w:rPr>
        <w:t>V. K. 1</w:t>
      </w:r>
      <w:r w:rsidRPr="00C00255">
        <w:rPr>
          <w:rFonts w:cs="Times New Roman"/>
          <w:i/>
          <w:iCs/>
        </w:rPr>
        <w:t xml:space="preserve">, esančiu vadovavimo štabe. </w:t>
      </w:r>
      <w:bookmarkStart w:id="876" w:name="_Hlk63805693"/>
      <w:r w:rsidRPr="00C00255">
        <w:rPr>
          <w:rFonts w:cs="Times New Roman"/>
          <w:i/>
          <w:iCs/>
        </w:rPr>
        <w:t xml:space="preserve">Atsakingu už šios operacijos įvykdymą buvo paskirtas TSRS GM Oro desanto pajėgų 76-osios oro desanto divizijos 234-ojo pulko štabo viršininkas </w:t>
      </w:r>
      <w:r>
        <w:rPr>
          <w:rFonts w:cs="Times New Roman"/>
          <w:i/>
          <w:iCs/>
        </w:rPr>
        <w:t>G. G.</w:t>
      </w:r>
      <w:r w:rsidRPr="00C00255">
        <w:rPr>
          <w:rFonts w:cs="Times New Roman"/>
          <w:i/>
          <w:iCs/>
        </w:rPr>
        <w:t>.</w:t>
      </w:r>
    </w:p>
    <w:bookmarkEnd w:id="876"/>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Pagal vadovavimo štabo suformuotą užduotį prie pastatų susirinkusius civilius, kurie siekė taikiu būdu užkirsti kelią TSRS ir TSKP vykdomai politikai – grąžinti Lietuvą į TSRS sudėtį, buvo numatyta pašalinti panaudojant teroro ir bauginimo priemones, kurias turėjo naudoti visi operacijoje dalyvaujantys padaliniai: TSRS GM Sausumos pajėgų Pabaltijo karinės apygardos 107-osios motorizuotų šaulių divizijos kariškiai prie LRT turėjo atvykti tankais T-72, jais išgriauti užtvaras, šaudyti iš tankų pabūklų į civilių minią tuščiais užtaisais, skleisti dūminę užsklandą, karinės technikos prožektoriais apšviesti civilius, pavojingai manevruojant tankais T-72 važinėti aplink pastatus ir šalinti civilius. TSRS GM Oro desanto pajėgų 76-osios oro desanto divizijos, TSRS VRM Šiaurės vakarų ir Pabaltijo vidaus kariuomenės valdybos 42-osios divizijos ir TSRS VSK specialiosios paskirties grupės „A“ kariškiai prie LRT turėjo atvykti karine technika BTR, BRDM, URAL, ZIL-131 ir BMD, ja išgriauti užtvaras, pavojingai manevruojant važinėti aplink pastatus ir bauginti civilius, siekiant pašalinti juos iš užimamų objektų teritorijos, prieš civilius naudoti sprogstamuosius įtaisus, specialiąsias ir imitacines priemones, šaudyti garsiniais ir koviniais šoviniais, naudoti artimos kovos veiksmus </w:t>
      </w:r>
      <w:bookmarkStart w:id="877" w:name="_Hlk66810778"/>
      <w:r w:rsidRPr="00C00255">
        <w:rPr>
          <w:rFonts w:cs="Times New Roman"/>
          <w:i/>
          <w:iCs/>
        </w:rPr>
        <w:t>–</w:t>
      </w:r>
      <w:bookmarkEnd w:id="877"/>
      <w:r w:rsidRPr="00C00255">
        <w:rPr>
          <w:rFonts w:cs="Times New Roman"/>
          <w:i/>
          <w:iCs/>
        </w:rPr>
        <w:t xml:space="preserve"> stumdyti, smūgiuoti kumščiais, kojomis ir turimais ginklais bei kitomis kūno sužalojimams daryti jų pačių pritaikytomis priemonėmis. TSRS GM Oro desanto pajėgų 76-osios oro desanto divizijos padaliniai kartu su TSRS VRM Šiaurės vakarų ir Pabaltijo vidaus kariuomenės valdybos 42-osios divizijos</w:t>
      </w:r>
      <w:r w:rsidRPr="00C00255" w:rsidDel="001E5E7C">
        <w:rPr>
          <w:rFonts w:cs="Times New Roman"/>
          <w:i/>
          <w:iCs/>
        </w:rPr>
        <w:t xml:space="preserve"> </w:t>
      </w:r>
      <w:r w:rsidRPr="00C00255">
        <w:rPr>
          <w:rFonts w:cs="Times New Roman"/>
          <w:i/>
          <w:iCs/>
        </w:rPr>
        <w:t>padaliniais turėjo prasibrauti iki užimamo objekto ir padaryti taip vadinamą „koridorių“, kuriuo TSRS VSK specialiosios paskirties grupės „A“ kariškiai galėtų patekti į užimamo objekto vidų ir nusigavus iki studijų, išjungti radijo ir televizijos transliavimą užtikrinančius įrenginius bei nutraukti objekte ruošiamas ir transliuojamas laidas. Jiems iš paskos į užimamo objekto vidų turėjo brautis ir TSRS GM Oro desanto pajėgų 76-osios oro desanto divizijos bei TSRS VRM Šiaurės vakarų ir Pabaltijo vidaus kariuomenės valdybos 42-osios divizijos padaliniai, kurie turėjo šalinti ten buvusius civilius ir užtikrinti užgrobto objekto apsaugą viduje ir išorėje. LRT puolime dalyvavo maždaug šimtas trisdešimt aštuoni kariškiai iš TSRS GM Oro desanto pajėgų 76-osios oro desanto divizijos jungtinio karinio vieneto, dvidešimt penki kariškiai iš TSRS VSK specialiosios paskirties grupės „A“, devyni kariškiai iš TSRS GM Sausumos pajėgų Pabaltijo karinės apygardos 107-osios motorizuotų šaulių divizijos ir šešiasdešimt trys kariškiai iš TSRS VRM</w:t>
      </w:r>
      <w:r w:rsidRPr="00C00255">
        <w:rPr>
          <w:rFonts w:asciiTheme="minorHAnsi" w:eastAsiaTheme="minorEastAsia" w:hAnsiTheme="minorHAnsi" w:cs="Times New Roman"/>
          <w:i/>
          <w:iCs/>
          <w:kern w:val="0"/>
          <w:sz w:val="22"/>
          <w:szCs w:val="22"/>
          <w:lang w:eastAsia="en-US"/>
        </w:rPr>
        <w:t xml:space="preserve"> </w:t>
      </w:r>
      <w:r w:rsidRPr="00C00255">
        <w:rPr>
          <w:rFonts w:cs="Times New Roman"/>
          <w:i/>
          <w:iCs/>
        </w:rPr>
        <w:t xml:space="preserve">Šiaurės vakarų ir Pabaltijo vidaus kariuomenės valdybos 42-osios divizijos.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Įgyvendinant pavestas užduotis, 1991 m. sausio 13 d., apie 2.00 val., prie LRT, esančios Konarskio g. 49, Vilniuje, pirmi atvyko dvidešimt penki TSR VSK specialiosios paskirties grupės „A“ kariškiai, vadovaujami </w:t>
      </w:r>
      <w:r>
        <w:rPr>
          <w:rFonts w:cs="Times New Roman"/>
          <w:i/>
          <w:iCs/>
        </w:rPr>
        <w:t xml:space="preserve">M. G. </w:t>
      </w:r>
      <w:r w:rsidRPr="00C00255">
        <w:rPr>
          <w:rFonts w:cs="Times New Roman"/>
          <w:i/>
          <w:iCs/>
        </w:rPr>
        <w:t xml:space="preserve">paskirto atsakingo asmens – </w:t>
      </w:r>
      <w:r>
        <w:rPr>
          <w:rFonts w:cs="Times New Roman"/>
          <w:i/>
          <w:iCs/>
        </w:rPr>
        <w:t>J. Č.</w:t>
      </w:r>
      <w:r w:rsidRPr="00C00255">
        <w:rPr>
          <w:rFonts w:cs="Times New Roman"/>
          <w:i/>
          <w:iCs/>
        </w:rPr>
        <w:t>, šešiasdešimt trys TSRS VRM</w:t>
      </w:r>
      <w:r w:rsidRPr="00C00255">
        <w:rPr>
          <w:rFonts w:asciiTheme="minorHAnsi" w:eastAsiaTheme="minorEastAsia" w:hAnsiTheme="minorHAnsi" w:cs="Times New Roman"/>
          <w:i/>
          <w:iCs/>
          <w:kern w:val="0"/>
          <w:sz w:val="22"/>
          <w:szCs w:val="22"/>
          <w:lang w:eastAsia="en-US"/>
        </w:rPr>
        <w:t xml:space="preserve"> </w:t>
      </w:r>
      <w:r w:rsidRPr="00C00255">
        <w:rPr>
          <w:rFonts w:cs="Times New Roman"/>
          <w:i/>
          <w:iCs/>
        </w:rPr>
        <w:t xml:space="preserve">Šiaurės vakarų ir Pabaltijo vidaus kariuomenės valdybos 42-osios divizijos kariškiai, vadovaujami </w:t>
      </w:r>
      <w:r>
        <w:rPr>
          <w:rFonts w:cs="Times New Roman"/>
          <w:i/>
          <w:iCs/>
        </w:rPr>
        <w:t xml:space="preserve">A. Ž. </w:t>
      </w:r>
      <w:r w:rsidRPr="00C00255">
        <w:rPr>
          <w:rFonts w:cs="Times New Roman"/>
          <w:i/>
          <w:iCs/>
        </w:rPr>
        <w:t xml:space="preserve">paskirto atsakingo asmens – divizijos vado pavaduotojo ir konvojaus pulko vado </w:t>
      </w:r>
      <w:r>
        <w:rPr>
          <w:rFonts w:cs="Times New Roman"/>
          <w:i/>
          <w:iCs/>
        </w:rPr>
        <w:t>S. F.</w:t>
      </w:r>
      <w:r w:rsidRPr="00C00255">
        <w:rPr>
          <w:rFonts w:cs="Times New Roman"/>
          <w:i/>
          <w:iCs/>
        </w:rPr>
        <w:t xml:space="preserve">, trisdešimt vienas kariškis iš TSRS GM Oro desanto pajėgų 76-osios divizijos 237-ojo pulko 1-ojo bataliono 1-osios ir 2-osios kuopų, vadovaujami </w:t>
      </w:r>
      <w:r>
        <w:rPr>
          <w:rFonts w:cs="Times New Roman"/>
          <w:i/>
          <w:iCs/>
        </w:rPr>
        <w:t>V. K. 1</w:t>
      </w:r>
      <w:r w:rsidRPr="00C00255">
        <w:rPr>
          <w:rFonts w:cs="Times New Roman"/>
          <w:i/>
          <w:iCs/>
        </w:rPr>
        <w:t xml:space="preserve"> ir </w:t>
      </w:r>
      <w:r>
        <w:rPr>
          <w:rFonts w:cs="Times New Roman"/>
          <w:i/>
          <w:iCs/>
        </w:rPr>
        <w:t>S. P.</w:t>
      </w:r>
      <w:r w:rsidRPr="00C00255">
        <w:rPr>
          <w:rFonts w:cs="Times New Roman"/>
          <w:i/>
          <w:iCs/>
        </w:rPr>
        <w:t xml:space="preserve"> paskirto atsakingo asmens – kuopos vado </w:t>
      </w:r>
      <w:r>
        <w:rPr>
          <w:rFonts w:cs="Times New Roman"/>
          <w:i/>
          <w:iCs/>
        </w:rPr>
        <w:t>J. G.</w:t>
      </w:r>
      <w:r w:rsidRPr="00C00255">
        <w:rPr>
          <w:rFonts w:cs="Times New Roman"/>
          <w:i/>
          <w:iCs/>
        </w:rPr>
        <w:t xml:space="preserve">.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Dvidešimt TSRS VSK specialiosios paskirties grupės „A“ kariškių atvyko automobiliu ZIL-131, penki TSRS VSK specialiosios paskirties grupės „A“ kariškiai atvyko kartu su trisdešimt vienu TSRS GM Oro desanto pajėgų 76-osios oro desanto divizijos jungtinio karinio vieneto kariškiu URAL automobiliu, k/n 00-65 EF (rusiškos raidės), o TSRS VRM Šiaurės vakarų ir Pabaltijo vidaus kariuomenės valdybos 42-osios divizijos kariškiai atvyko vadavietės mašina KŠM GAZ-66, k/n 72-23 KI (rusiškos raidės), šešiais šarvuotais transporteriais BTR, kurių borto numeriai 225, 243, 239, 604, 602 ir 237, bei kovine žvalgybos ir patruliavimo mašina BRDM, kurios borto Nr. 250. Atvykę kariškiai karinę techniką (KŠM, BTR ir BRDM), kaip bauginimo ir teroro priemones prieš civilius ir kaip užtvarą atskirti puolamą objektą nuo civilių, išrikiavo priešais keturių aukštų LRT Radijo pastatą.</w:t>
      </w:r>
    </w:p>
    <w:p w:rsidR="00DA38E9" w:rsidRPr="00C00255" w:rsidRDefault="00DA38E9" w:rsidP="00DA38E9">
      <w:pPr>
        <w:pStyle w:val="Standard"/>
        <w:tabs>
          <w:tab w:val="left" w:pos="8245"/>
        </w:tabs>
        <w:spacing w:before="120" w:after="120"/>
        <w:ind w:left="993" w:firstLine="0"/>
        <w:jc w:val="both"/>
        <w:rPr>
          <w:rFonts w:cs="Times New Roman"/>
          <w:i/>
          <w:iCs/>
        </w:rPr>
      </w:pPr>
      <w:bookmarkStart w:id="878" w:name="_Hlk63282477"/>
      <w:r>
        <w:rPr>
          <w:rFonts w:cs="Times New Roman"/>
          <w:i/>
          <w:iCs/>
        </w:rPr>
        <w:t>J. Č.</w:t>
      </w:r>
      <w:r w:rsidRPr="00C00255">
        <w:rPr>
          <w:rFonts w:cs="Times New Roman"/>
          <w:i/>
          <w:iCs/>
        </w:rPr>
        <w:t xml:space="preserve"> TSRS VSK specialiosios paskirties grupės „A“ kariškius padalino į dvi dalis: penki TSRS VSK specialiosios paskirties grupės </w:t>
      </w:r>
      <w:bookmarkStart w:id="879" w:name="_Hlk62575196"/>
      <w:r w:rsidRPr="00C00255">
        <w:rPr>
          <w:rFonts w:cs="Times New Roman"/>
          <w:i/>
          <w:iCs/>
        </w:rPr>
        <w:t>„A“ kariškiai</w:t>
      </w:r>
      <w:bookmarkEnd w:id="879"/>
      <w:r w:rsidRPr="00C00255">
        <w:rPr>
          <w:rFonts w:cs="Times New Roman"/>
          <w:i/>
          <w:iCs/>
        </w:rPr>
        <w:t xml:space="preserve">, vadovaujami paskirto atsakingo asmens, kartu su penkiasdešimt dviem TSRS VRM Šiaurės vakarų ir Pabaltijo vidaus kariuomenės valdybos 42-osios divizijos konvojaus pulko mokomosios specialiosios paskirties kuopos kariškiais, vadovaujamais konvojaus pulko vado </w:t>
      </w:r>
      <w:r>
        <w:rPr>
          <w:rFonts w:cs="Times New Roman"/>
          <w:i/>
          <w:iCs/>
        </w:rPr>
        <w:t>S. F.</w:t>
      </w:r>
      <w:r w:rsidRPr="00C00255">
        <w:rPr>
          <w:rFonts w:cs="Times New Roman"/>
          <w:i/>
          <w:iCs/>
        </w:rPr>
        <w:t xml:space="preserve">, mokomosios specialiosios paskirties kuopos vado </w:t>
      </w:r>
      <w:r>
        <w:rPr>
          <w:rFonts w:cs="Times New Roman"/>
          <w:i/>
          <w:iCs/>
        </w:rPr>
        <w:t>O. M.</w:t>
      </w:r>
      <w:r w:rsidRPr="00C00255">
        <w:rPr>
          <w:rFonts w:cs="Times New Roman"/>
          <w:i/>
          <w:iCs/>
        </w:rPr>
        <w:t xml:space="preserve">, jo pavaduotojo </w:t>
      </w:r>
      <w:r>
        <w:rPr>
          <w:rFonts w:cs="Times New Roman"/>
          <w:i/>
          <w:iCs/>
        </w:rPr>
        <w:t>V. M.</w:t>
      </w:r>
      <w:r w:rsidRPr="00C00255">
        <w:rPr>
          <w:rFonts w:cs="Times New Roman"/>
          <w:i/>
          <w:iCs/>
        </w:rPr>
        <w:t xml:space="preserve">, būrių vadų </w:t>
      </w:r>
      <w:r>
        <w:rPr>
          <w:rFonts w:cs="Times New Roman"/>
          <w:i/>
          <w:iCs/>
        </w:rPr>
        <w:t>M. </w:t>
      </w:r>
      <w:r w:rsidR="006F072D">
        <w:rPr>
          <w:rFonts w:cs="Times New Roman"/>
          <w:i/>
          <w:iCs/>
        </w:rPr>
        <w:t>C.</w:t>
      </w:r>
      <w:r w:rsidRPr="00C00255">
        <w:rPr>
          <w:rFonts w:cs="Times New Roman"/>
          <w:i/>
          <w:iCs/>
        </w:rPr>
        <w:t xml:space="preserve"> ir kt., instruktoriaus </w:t>
      </w:r>
      <w:r>
        <w:rPr>
          <w:rFonts w:cs="Times New Roman"/>
          <w:i/>
          <w:iCs/>
        </w:rPr>
        <w:t>J. S.</w:t>
      </w:r>
      <w:r w:rsidRPr="00C00255">
        <w:rPr>
          <w:rFonts w:cs="Times New Roman"/>
          <w:i/>
          <w:iCs/>
        </w:rPr>
        <w:t xml:space="preserve"> bei už jų veiksmus atsakingo kariškio, ir dvidešimt keturiais kariškiais iš </w:t>
      </w:r>
      <w:bookmarkStart w:id="880" w:name="_Hlk62575226"/>
      <w:r w:rsidRPr="00C00255">
        <w:rPr>
          <w:rFonts w:cs="Times New Roman"/>
          <w:i/>
          <w:iCs/>
        </w:rPr>
        <w:t>TSRS GM Oro desanto pajėgų 76-osios oro desanto divizijos jungtinio karinio vieneto</w:t>
      </w:r>
      <w:bookmarkEnd w:id="880"/>
      <w:r w:rsidRPr="00C00255">
        <w:rPr>
          <w:rFonts w:cs="Times New Roman"/>
          <w:i/>
          <w:iCs/>
        </w:rPr>
        <w:t xml:space="preserve">, vadovaujamais – 237-ojo pulko 1-ojo bataliono 1-osios kuopos vado </w:t>
      </w:r>
      <w:r>
        <w:rPr>
          <w:rFonts w:cs="Times New Roman"/>
          <w:i/>
          <w:iCs/>
        </w:rPr>
        <w:t>J. G.</w:t>
      </w:r>
      <w:r w:rsidRPr="00C00255">
        <w:rPr>
          <w:rFonts w:cs="Times New Roman"/>
          <w:i/>
          <w:iCs/>
        </w:rPr>
        <w:t xml:space="preserve">, jo pavaduotojo </w:t>
      </w:r>
      <w:r>
        <w:rPr>
          <w:rFonts w:cs="Times New Roman"/>
          <w:i/>
          <w:iCs/>
        </w:rPr>
        <w:t>I. Š.</w:t>
      </w:r>
      <w:r w:rsidRPr="00C00255">
        <w:rPr>
          <w:rFonts w:cs="Times New Roman"/>
          <w:i/>
          <w:iCs/>
        </w:rPr>
        <w:t xml:space="preserve">, kuopos būrio vado </w:t>
      </w:r>
      <w:r>
        <w:rPr>
          <w:rFonts w:cs="Times New Roman"/>
          <w:i/>
          <w:iCs/>
        </w:rPr>
        <w:t>A. F. 1</w:t>
      </w:r>
      <w:r w:rsidRPr="00C00255">
        <w:rPr>
          <w:rFonts w:cs="Times New Roman"/>
          <w:i/>
          <w:iCs/>
        </w:rPr>
        <w:t xml:space="preserve">, 2-osios kuopos vado </w:t>
      </w:r>
      <w:r>
        <w:rPr>
          <w:rFonts w:cs="Times New Roman"/>
          <w:i/>
          <w:iCs/>
        </w:rPr>
        <w:t>K. U.</w:t>
      </w:r>
      <w:r w:rsidRPr="00C00255">
        <w:rPr>
          <w:rFonts w:cs="Times New Roman"/>
          <w:i/>
          <w:iCs/>
        </w:rPr>
        <w:t xml:space="preserve">, jo pavaduotojo </w:t>
      </w:r>
      <w:r>
        <w:rPr>
          <w:rFonts w:cs="Times New Roman"/>
          <w:i/>
          <w:iCs/>
        </w:rPr>
        <w:t>A. F. 2</w:t>
      </w:r>
      <w:r w:rsidRPr="00C00255">
        <w:rPr>
          <w:rFonts w:cs="Times New Roman"/>
          <w:i/>
          <w:iCs/>
        </w:rPr>
        <w:t xml:space="preserve">, kuopos būrio vado </w:t>
      </w:r>
      <w:r>
        <w:rPr>
          <w:rFonts w:cs="Times New Roman"/>
          <w:i/>
          <w:iCs/>
        </w:rPr>
        <w:t>J. J.</w:t>
      </w:r>
      <w:r w:rsidRPr="00C00255">
        <w:rPr>
          <w:rFonts w:cs="Times New Roman"/>
          <w:i/>
          <w:iCs/>
        </w:rPr>
        <w:t xml:space="preserve">, pulko slaptosios tarnybos viršininko </w:t>
      </w:r>
      <w:r>
        <w:rPr>
          <w:rFonts w:cs="Times New Roman"/>
          <w:i/>
          <w:iCs/>
        </w:rPr>
        <w:t>A. I.</w:t>
      </w:r>
      <w:r w:rsidRPr="00C00255">
        <w:rPr>
          <w:rFonts w:cs="Times New Roman"/>
          <w:i/>
          <w:iCs/>
        </w:rPr>
        <w:t xml:space="preserve">, </w:t>
      </w:r>
      <w:bookmarkStart w:id="881" w:name="_Hlk62575162"/>
      <w:r w:rsidRPr="00C00255">
        <w:rPr>
          <w:rFonts w:cs="Times New Roman"/>
          <w:i/>
          <w:iCs/>
        </w:rPr>
        <w:t>pradėjo LRT Radijo pastate dirbusių ir pastatą gynusių civilių puolimą.</w:t>
      </w:r>
    </w:p>
    <w:bookmarkEnd w:id="878"/>
    <w:bookmarkEnd w:id="881"/>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Tarptautinės humanitarinės teisės draudžiamos karo atakos metu vienas iš nenustatytų kariškių, būdamas KŠM, koordinavo ir prižiūrėjo TSRS VRM Šiaurės vakarų ir Pabaltijo vidaus kariuomenės valdybos 42-osios divizijos kariškių veiksmus prie LRT, ir ryšio priemonėmis veiksmus derino su operacijai vadovavusiais – </w:t>
      </w:r>
      <w:r>
        <w:rPr>
          <w:rFonts w:cs="Times New Roman"/>
          <w:i/>
          <w:iCs/>
        </w:rPr>
        <w:t>S. P.</w:t>
      </w:r>
      <w:r w:rsidRPr="00C00255">
        <w:rPr>
          <w:rFonts w:cs="Times New Roman"/>
          <w:i/>
          <w:iCs/>
        </w:rPr>
        <w:t xml:space="preserve"> ir TSRS VRM Šiaurės vakarų Pabaltijo vidaus kariuomenės valdybos viršininku </w:t>
      </w:r>
      <w:r>
        <w:rPr>
          <w:rFonts w:cs="Times New Roman"/>
          <w:i/>
          <w:iCs/>
        </w:rPr>
        <w:t>V. S. 1</w:t>
      </w:r>
      <w:r w:rsidRPr="00C00255">
        <w:rPr>
          <w:rFonts w:cs="Times New Roman"/>
          <w:i/>
          <w:iCs/>
        </w:rPr>
        <w:t xml:space="preserve">. </w:t>
      </w:r>
      <w:bookmarkStart w:id="882" w:name="_Hlk62682422"/>
      <w:r w:rsidRPr="00C00255">
        <w:rPr>
          <w:rFonts w:cs="Times New Roman"/>
          <w:i/>
          <w:iCs/>
        </w:rPr>
        <w:t xml:space="preserve">Ryšių priemonių ir patikimo ryšio veikimą operacijos metu užtikrino ne mažiau kaip keturi kariškiai iš konvojaus pulko ryšių kuopos, vadovaujami TSRS VRM Šiaurės vakarų ir Pabaltijo vidaus kariuomenės valdybos 42-osios divizijos konvojaus pulko ryšių tarnybos viršininko </w:t>
      </w:r>
      <w:r>
        <w:rPr>
          <w:rFonts w:cs="Times New Roman"/>
          <w:i/>
          <w:iCs/>
        </w:rPr>
        <w:t>V. Š.</w:t>
      </w:r>
      <w:r w:rsidRPr="00C00255">
        <w:rPr>
          <w:rFonts w:cs="Times New Roman"/>
          <w:i/>
          <w:iCs/>
        </w:rPr>
        <w:t xml:space="preserve">. </w:t>
      </w:r>
    </w:p>
    <w:bookmarkEnd w:id="882"/>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Vykdydami ir remdami kitos valstybės TSRS ir organizacijos TSKP politiką dideliu mastu ir sistemingai užpuldinėti civilius bei įgyvendindami operacijos planavimo grupės ir vadovavimo štabo, pagal </w:t>
      </w:r>
      <w:r>
        <w:rPr>
          <w:rFonts w:cs="Times New Roman"/>
          <w:i/>
          <w:iCs/>
        </w:rPr>
        <w:t>D. J.</w:t>
      </w:r>
      <w:r w:rsidRPr="00C00255">
        <w:rPr>
          <w:rFonts w:cs="Times New Roman"/>
          <w:i/>
          <w:iCs/>
        </w:rPr>
        <w:t xml:space="preserve"> (kartu su </w:t>
      </w:r>
      <w:r>
        <w:rPr>
          <w:rFonts w:cs="Times New Roman"/>
          <w:i/>
          <w:iCs/>
        </w:rPr>
        <w:t>B. P.</w:t>
      </w:r>
      <w:r w:rsidRPr="00C00255">
        <w:rPr>
          <w:rFonts w:cs="Times New Roman"/>
          <w:i/>
          <w:iCs/>
        </w:rPr>
        <w:t>, V. K</w:t>
      </w:r>
      <w:r>
        <w:rPr>
          <w:rFonts w:cs="Times New Roman"/>
          <w:i/>
          <w:iCs/>
        </w:rPr>
        <w:t>.</w:t>
      </w:r>
      <w:r w:rsidRPr="00C00255">
        <w:rPr>
          <w:rFonts w:cs="Times New Roman"/>
          <w:i/>
          <w:iCs/>
        </w:rPr>
        <w:t>, O. Š</w:t>
      </w:r>
      <w:r>
        <w:rPr>
          <w:rFonts w:cs="Times New Roman"/>
          <w:i/>
          <w:iCs/>
        </w:rPr>
        <w:t>.</w:t>
      </w:r>
      <w:r w:rsidRPr="00C00255">
        <w:rPr>
          <w:rFonts w:cs="Times New Roman"/>
          <w:i/>
          <w:iCs/>
        </w:rPr>
        <w:t xml:space="preserve">) parengtą ir patvirtintą planą, kariškiai tęsė tarptautinės humanitarinės teisės draudžiamą karo ataką prieš civilius, kurios metu nežmoniškai elgėsi su tarptautinės humanitarinės teisės saugomais asmenimis, persekiojo civilius dėl politinių ir nacionalinių motyvų, juos žudė, sunkiai sutrikdė jų sveikatą, padarė sunkius ir kito laipsnio sveikatos sutrikdymus, panaudojo bauginimo ir teroro priemones bei tarptautinės teisės uždraustas karo priemones.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Vykdydami gautą užduotį – užimti LRT Radijo pastatą ir patekus į studijas išjungti radijo transliavimą užtikrinančius įrenginius, nutraukti objekte ruošiamas ir transliuojamas radijo laidas, bei pašalinti civilius – kariškiai prieš civilius panaudojo artimos kovos veiksmus – stumdė, mušė kumščiais, spardė kojomis bei turimais ginklais ir kitomis kūno sužalojimams daryti pritaikytomis priemonėmis sudavė nenustatytą skaičių smūgių, naudojo garsinius ir kovinius šaudmenis.</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TSRS VSK specialiosios paskirties grupės „A“ kariškiai prieš civilius, susirinkusius prie LRT Radijo pastato ir pastate, naudojo granatsvaidžius RGS-50, šviesos ir garso granatas GSZ, specialiąsias priemones – specialius skysčio pistoletus PSŽ; TSRS VRM Šiaurės vakarų ir Pabaltijo vidaus kariuomenės valdybos 42-osios divizijos konvojaus pulko mokomosios specialiosios paskirties kuopos kariškiai prieš civilius naudojo šviesos ir garso granatas „Zaria“, specialiąsias priemones „Čeriomucha“, gumines lazdas PR-73, imitacines priemones – imitacinius sprogstamuosius įtaisus, dūminius užtaisus DM-11; TSRS GM Oro desanto pajėgų 76-osios oro desanto divizijos jungtinio karinio vieneto kariškiai naudojo imitacines priemones – dūminius užtaisus DM-11, dūmines granatas RDG-2x (ginklų ir spec. priemonių pavadinimuose naudojamos rusiškos raidės). Be to, </w:t>
      </w:r>
      <w:bookmarkStart w:id="883" w:name="_Hlk62508777"/>
      <w:r w:rsidRPr="00C00255">
        <w:rPr>
          <w:rFonts w:cs="Times New Roman"/>
          <w:i/>
          <w:iCs/>
        </w:rPr>
        <w:t>TSRS VRM Šiaurės vakarų ir Pabaltijo vidaus kariuomenės valdybos 42-osios divizijos konvojaus pulko mokomosios specialiosios paskirties kuopos kariškiai į civilius šaudė iš 7,62 mm kalibro SVD šautuvų ir automatinių ginklų AKMS</w:t>
      </w:r>
      <w:bookmarkEnd w:id="883"/>
      <w:r w:rsidRPr="00C00255">
        <w:rPr>
          <w:rFonts w:cs="Times New Roman"/>
          <w:i/>
          <w:iCs/>
        </w:rPr>
        <w:t xml:space="preserve">, TSRS GM Oro desanto pajėgų 76-osios oro desanto divizijos jungtinio vieneto kariškiai į civilius šaudė iš 7,62 mm kalibro SVD šautuvų, o kartu su TSRS VSK specialiosios paskirties grupės „A“ kariškiais, šaudydami į civilius ir užimamą pastatą iš 5,45 mm kalibro automatinių ginklų, naudojo tarptautinės teisės uždraustas karo priemones – 5,45 mm kalibro šovinius su išcentruota kulka. </w:t>
      </w:r>
    </w:p>
    <w:p w:rsidR="00DA38E9" w:rsidRPr="00C00255" w:rsidRDefault="00DA38E9" w:rsidP="00DA38E9">
      <w:pPr>
        <w:pStyle w:val="Standard"/>
        <w:tabs>
          <w:tab w:val="left" w:pos="8245"/>
        </w:tabs>
        <w:spacing w:before="120" w:after="120"/>
        <w:ind w:left="993" w:firstLine="0"/>
        <w:jc w:val="both"/>
        <w:rPr>
          <w:rFonts w:cs="Times New Roman"/>
          <w:i/>
          <w:iCs/>
        </w:rPr>
      </w:pPr>
      <w:bookmarkStart w:id="884" w:name="_Hlk63282697"/>
      <w:r w:rsidRPr="00C00255">
        <w:rPr>
          <w:rFonts w:cs="Times New Roman"/>
          <w:i/>
          <w:iCs/>
        </w:rPr>
        <w:t xml:space="preserve">Kita, maždaug dvidešimties kariškių dalis iš TSRS VSK specialiosios paskirties grupės „A“, vadovaujama </w:t>
      </w:r>
      <w:r>
        <w:rPr>
          <w:rFonts w:cs="Times New Roman"/>
          <w:i/>
          <w:iCs/>
        </w:rPr>
        <w:t>J. Č.</w:t>
      </w:r>
      <w:r w:rsidRPr="00C00255">
        <w:rPr>
          <w:rFonts w:cs="Times New Roman"/>
          <w:i/>
          <w:iCs/>
        </w:rPr>
        <w:t xml:space="preserve"> ir kt., pradėjo civilių, susirinkusių prie devynių aukštų LRT Televizijos pastato ir jame dirbusių asmenų, puolimą. </w:t>
      </w:r>
      <w:bookmarkEnd w:id="884"/>
      <w:r w:rsidRPr="00C00255">
        <w:rPr>
          <w:rFonts w:cs="Times New Roman"/>
          <w:i/>
          <w:iCs/>
        </w:rPr>
        <w:t>Karo atakos prieš civilius metu naudojo granatsvaidžius RGS-50, šviesos ir garso granatas GSZ, specialiąsias priemones – specialius skysčio pistoletus PSŽ, o šaudydami į civilius, užimamą pastatą ir jo viduje iš 5,45 mm kalibro automatinių ginklų, naudojo tarptautinės teisės uždraustas karo priemones – 5,45 mm kalibro šovinius su išcentruota kulka. Prieš civilius kariškiai taip pat naudojo garsinius ir kovinius šaudmenis, artimos kovos veiksmus – stumdė, smūgiavo kumščiais, spardė kojomis, ginklais ir kitomis turimomis priemonėmis sudavė civiliams į įvairias kūno dalis nenustatytą skaičių smūgių. Taip baugindami bei terorizuodami pastatą gynusius civilius, kariškiai brovėsi į devynių aukštų LRT Televizijos pastatą, kad, patekus iki studijų, esančių LRT televizijos aparatinių ir studijų komplekse – LRT TASK, išjungti televizijos transliavimą užtikrinančius įrenginius, nutraukti objekte ruošiamas ir transliuojamas televizijos laidas bei iš minėtų pastatų pašalinti civilius.</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LRT Televizijos pastate kariškiai pasidalino į dvi dalis: viena kariškių dalis liko devynių aukštų pastate ir pradėjo civilių puolimą, o kita dalis, lydima nenustatyto Lietuvos VSK darbuotojo, prasibrovė į LRT TASK ir, patekę į studiją, aparatinėje išjungė prietaisus, pašalino iš patalpų civilius ir nutraukė TV laidų ruošimą bei transliavimą.</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Puolimo metu į S. Konarskio gatvę, nuo sankryžos su K. Požėlos (dabar V. Pietario) gatve, atvyko kita kariškių dalis. Pirmieji į S. Konarskio gatvę trimis tankais T-72, kurių borto Nr. 559, Nr. 571 ir Nr. 574, atvyko TSRS GM Sausumos pajėgų Pabaltijo karinės apygardos 107-osios motorizuotų šaulių divizijos 106-ojo tankų pulko kariškiai. Tankams kolonoje vadovavo </w:t>
      </w:r>
      <w:r>
        <w:rPr>
          <w:rFonts w:cs="Times New Roman"/>
          <w:i/>
          <w:iCs/>
        </w:rPr>
        <w:t xml:space="preserve">V. P. </w:t>
      </w:r>
      <w:r w:rsidRPr="00C00255">
        <w:rPr>
          <w:rFonts w:cs="Times New Roman"/>
          <w:i/>
          <w:iCs/>
        </w:rPr>
        <w:t xml:space="preserve"> – tanko Nr. 571 vadas, tanko ekipažą sudarė: taikytojas </w:t>
      </w:r>
      <w:r>
        <w:rPr>
          <w:rFonts w:cs="Times New Roman"/>
          <w:i/>
          <w:iCs/>
        </w:rPr>
        <w:t>N. O.</w:t>
      </w:r>
      <w:r w:rsidRPr="00C00255">
        <w:rPr>
          <w:rFonts w:cs="Times New Roman"/>
          <w:i/>
          <w:iCs/>
        </w:rPr>
        <w:t xml:space="preserve"> ir mechanikas-vairuotojas </w:t>
      </w:r>
      <w:r>
        <w:rPr>
          <w:rFonts w:cs="Times New Roman"/>
          <w:i/>
          <w:iCs/>
        </w:rPr>
        <w:t>A. U.</w:t>
      </w:r>
      <w:r w:rsidRPr="00C00255">
        <w:rPr>
          <w:rFonts w:cs="Times New Roman"/>
          <w:i/>
          <w:iCs/>
        </w:rPr>
        <w:t xml:space="preserve">. Pirmasis atvažiavo tankas Nr. 559, kurio vadas </w:t>
      </w:r>
      <w:r>
        <w:rPr>
          <w:rFonts w:cs="Times New Roman"/>
          <w:i/>
          <w:iCs/>
        </w:rPr>
        <w:t>J. O.</w:t>
      </w:r>
      <w:r w:rsidRPr="00C00255">
        <w:rPr>
          <w:rFonts w:cs="Times New Roman"/>
          <w:i/>
          <w:iCs/>
        </w:rPr>
        <w:t xml:space="preserve">, taikytojas </w:t>
      </w:r>
      <w:r>
        <w:rPr>
          <w:rFonts w:cs="Times New Roman"/>
          <w:i/>
          <w:iCs/>
        </w:rPr>
        <w:t>D. F.</w:t>
      </w:r>
      <w:r w:rsidRPr="00C00255">
        <w:rPr>
          <w:rFonts w:cs="Times New Roman"/>
          <w:i/>
          <w:iCs/>
        </w:rPr>
        <w:t xml:space="preserve"> ir mechanikas-vairuotojas A. R</w:t>
      </w:r>
      <w:r>
        <w:rPr>
          <w:rFonts w:cs="Times New Roman"/>
          <w:i/>
          <w:iCs/>
        </w:rPr>
        <w:t>.</w:t>
      </w:r>
      <w:r w:rsidRPr="00C00255">
        <w:rPr>
          <w:rFonts w:cs="Times New Roman"/>
          <w:i/>
          <w:iCs/>
        </w:rPr>
        <w:t xml:space="preserve"> (jo atžvilgiu baudžiamasis persekiojimas už nusikaltimus žmoniškumui ir karo nusikaltimus nevykdomas). Trečiuoju kolonoje judėjo tankas Nr. 574, jo vadas </w:t>
      </w:r>
      <w:r>
        <w:rPr>
          <w:rFonts w:cs="Times New Roman"/>
          <w:i/>
          <w:iCs/>
        </w:rPr>
        <w:t>E. R.</w:t>
      </w:r>
      <w:r w:rsidRPr="00C00255">
        <w:rPr>
          <w:rFonts w:cs="Times New Roman"/>
          <w:i/>
          <w:iCs/>
        </w:rPr>
        <w:t xml:space="preserve">, taikytojas </w:t>
      </w:r>
      <w:r>
        <w:rPr>
          <w:rFonts w:cs="Times New Roman"/>
          <w:i/>
          <w:iCs/>
        </w:rPr>
        <w:t>A. K. 2</w:t>
      </w:r>
      <w:r w:rsidRPr="00C00255">
        <w:rPr>
          <w:rFonts w:cs="Times New Roman"/>
          <w:i/>
          <w:iCs/>
        </w:rPr>
        <w:t xml:space="preserve"> ir mechanikas-vairuotojas </w:t>
      </w:r>
      <w:r>
        <w:rPr>
          <w:rFonts w:cs="Times New Roman"/>
          <w:i/>
          <w:iCs/>
        </w:rPr>
        <w:t>N. S.</w:t>
      </w:r>
      <w:r w:rsidRPr="00C00255">
        <w:rPr>
          <w:rFonts w:cs="Times New Roman"/>
          <w:i/>
          <w:iCs/>
        </w:rPr>
        <w:t xml:space="preserve">.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Tankų ir BMD, kurių borto numeriai 211, 203, 206, 271, 274, 273, 276, 277, bei dviejų karinių automobilių URAL (vieno iš jų Nr. 23-00 OF) kolonai ir LRT užgrobimo operacijai vadovavo TSRS GM Oro desanto pajėgų 76-osios oro desanto divizijos 234-ojo pulko štabo žvalgybos viršininkas </w:t>
      </w:r>
      <w:r>
        <w:rPr>
          <w:rFonts w:cs="Times New Roman"/>
          <w:i/>
          <w:iCs/>
        </w:rPr>
        <w:t>S. P.</w:t>
      </w:r>
      <w:r w:rsidRPr="00C00255">
        <w:rPr>
          <w:rFonts w:cs="Times New Roman"/>
          <w:i/>
          <w:iCs/>
        </w:rPr>
        <w:t xml:space="preserve">. Atsakingu už šios operacijos įvykdymą buvo paskirtas TSRS GM Oro desanto pajėgų 76-osios oro desanto divizijos 234-ojo pulko štabo viršininkas </w:t>
      </w:r>
      <w:r>
        <w:rPr>
          <w:rFonts w:cs="Times New Roman"/>
          <w:i/>
          <w:iCs/>
        </w:rPr>
        <w:t>G. G.</w:t>
      </w:r>
      <w:r w:rsidRPr="00C00255">
        <w:rPr>
          <w:rFonts w:cs="Times New Roman"/>
          <w:i/>
          <w:iCs/>
        </w:rPr>
        <w:t>.</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Pagal vadovavimo štabo paskirtas užduotis, šimtas septyni kariškiai iš 234-ojo pulko, priklausančio TSRS GM Oro desanto pajėgų 76-osios oro desanto divizijos jungtiniam kariniam vienetui, pasiskirstę į tris grupes, puolė kitas LRT dalis: devynių aukštų LRT Televizijos pastatą, LRT TASK ir LRT Techninį pastatą. Vykdydami užduotis S. Konarskio gatvėje, tankai T-72 ne mažiau kaip 7 kartus iššovė iš pabūklų tuščiais užtaisais, taip baugindami, terorizuodami ir siekdami sutrikdyti civilius. Taip pat tankai leido dūmines užsklandas, karinės technikos šviesos prietaisais švietė į civilius, užimamus objektus ir aplink esančius gyvenamuosius namus, civilių minią iš teritorijos šalino važinėdami ir pavojingai manevruodami po užimamų objektų teritoriją.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Tęsdami teroro ir bauginimo veiksmus, TSRS VRM Šiaurės vakarų ir Pabaltijo vidaus kariuomenės valdybos 42-osios divizijos karininkai </w:t>
      </w:r>
      <w:r>
        <w:rPr>
          <w:rFonts w:cs="Times New Roman"/>
          <w:i/>
          <w:iCs/>
        </w:rPr>
        <w:t>V. R.</w:t>
      </w:r>
      <w:r w:rsidRPr="00C00255">
        <w:rPr>
          <w:rFonts w:cs="Times New Roman"/>
          <w:i/>
          <w:iCs/>
        </w:rPr>
        <w:t xml:space="preserve"> ir </w:t>
      </w:r>
      <w:r>
        <w:rPr>
          <w:rFonts w:cs="Times New Roman"/>
          <w:i/>
          <w:iCs/>
        </w:rPr>
        <w:t>G. P.</w:t>
      </w:r>
      <w:r w:rsidRPr="00C00255">
        <w:rPr>
          <w:rFonts w:cs="Times New Roman"/>
          <w:i/>
          <w:iCs/>
        </w:rPr>
        <w:t xml:space="preserve"> po antrojo tankų šūvio iš BRDM leido garso įrašą, kuriame buvo įrašytas kreipimasis rusų ir lietuvių kalbomis LNGK vardu, kad visą valdžią Lietuvoje perima LNGK, bet koks pasipriešinimas yra beprasmiškas ir nuves prie brolžudiško karo, civiliams buvo liepiama skirstytis.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Tuo metu tankų, kurių borto Nr. 559 ir Nr. 571, ekipažai, pavojingai manevruodami, privažiavo prie devynių aukštų LRT Televizijos pastato ir tanko Nr. 559 ekipažas išlaužė LRT juosiančios tvoros dalį ir kartu su BMD Nr. 277 privažiavo prie puolamo devynių aukštų LRT Televizijos pastato. Iš paskos atvažiavo KŠM GAZ-66, kurioje buvo karo atakai vadovaujantis </w:t>
      </w:r>
      <w:r>
        <w:rPr>
          <w:rFonts w:cs="Times New Roman"/>
          <w:i/>
          <w:iCs/>
        </w:rPr>
        <w:t>S. P.</w:t>
      </w:r>
      <w:r w:rsidRPr="00C00255">
        <w:rPr>
          <w:rFonts w:cs="Times New Roman"/>
          <w:i/>
          <w:iCs/>
        </w:rPr>
        <w:t>, trys kariškiai iš TSRS GM Oro desanto pajėgų 76-osios oro desanto divizijos 234-ojo pulko ryšių kuopos ir kariškis, užtikrinantis ryšių priemonių ir patikimo ryšio veikimą operacijos metu, o tanko Nr. 571 ekipažas užtvėrė išlaužtą įvažiavimą.</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Karinėmis desanto mašinomis BMD, kurių borto numeriai 271, 274, 273, 276 ir 277, ir kariniu automobiliu URAL, k/n 23-00 OF, atvyko trisdešimt devyni kariškiai iš TSRS GM Oro desanto pajėgų 76-osios oro desanto divizijos 234-ojo pulko 3-iojo bataliono 7-osios kuopos, vadovaujami </w:t>
      </w:r>
      <w:r>
        <w:rPr>
          <w:rFonts w:cs="Times New Roman"/>
          <w:i/>
          <w:iCs/>
        </w:rPr>
        <w:t>S. M.</w:t>
      </w:r>
      <w:r w:rsidRPr="00C00255">
        <w:rPr>
          <w:rFonts w:cs="Times New Roman"/>
          <w:i/>
          <w:iCs/>
        </w:rPr>
        <w:t xml:space="preserve">, </w:t>
      </w:r>
      <w:r>
        <w:rPr>
          <w:rFonts w:cs="Times New Roman"/>
          <w:i/>
          <w:iCs/>
        </w:rPr>
        <w:t>V. S. 3</w:t>
      </w:r>
      <w:r w:rsidRPr="00C00255">
        <w:rPr>
          <w:rFonts w:cs="Times New Roman"/>
          <w:i/>
          <w:iCs/>
        </w:rPr>
        <w:t xml:space="preserve">, </w:t>
      </w:r>
      <w:r>
        <w:rPr>
          <w:rFonts w:cs="Times New Roman"/>
          <w:i/>
          <w:iCs/>
        </w:rPr>
        <w:t>A. N. 2</w:t>
      </w:r>
      <w:r w:rsidRPr="00C00255">
        <w:rPr>
          <w:rFonts w:cs="Times New Roman"/>
          <w:i/>
          <w:iCs/>
        </w:rPr>
        <w:t xml:space="preserve">, </w:t>
      </w:r>
      <w:r>
        <w:rPr>
          <w:rFonts w:cs="Times New Roman"/>
          <w:i/>
          <w:iCs/>
        </w:rPr>
        <w:t>A. S.</w:t>
      </w:r>
      <w:r w:rsidRPr="00C00255">
        <w:rPr>
          <w:rFonts w:cs="Times New Roman"/>
          <w:i/>
          <w:iCs/>
        </w:rPr>
        <w:t xml:space="preserve">, </w:t>
      </w:r>
      <w:r>
        <w:rPr>
          <w:rFonts w:cs="Times New Roman"/>
          <w:i/>
          <w:iCs/>
        </w:rPr>
        <w:t>A. C.</w:t>
      </w:r>
      <w:r w:rsidRPr="00C00255">
        <w:rPr>
          <w:rFonts w:cs="Times New Roman"/>
          <w:i/>
          <w:iCs/>
        </w:rPr>
        <w:t xml:space="preserve">, kurie vykdė užduotį kartu su </w:t>
      </w:r>
      <w:r>
        <w:rPr>
          <w:rFonts w:cs="Times New Roman"/>
          <w:i/>
          <w:iCs/>
        </w:rPr>
        <w:t>G. G.</w:t>
      </w:r>
      <w:r w:rsidRPr="00C00255">
        <w:rPr>
          <w:rFonts w:cs="Times New Roman"/>
          <w:i/>
          <w:iCs/>
        </w:rPr>
        <w:t xml:space="preserve"> prasibrauti į devynių aukštų LRT Televizijos pastatą, blokuoti visus įėjimus ir išėjimus, pašalinti civilius ir LRT direktoriaus kabinete atjungti teletaipą. Atvykę kariškiai BMD išrikiavo priešais puolamą pastatą, nukreipė pabūklus bei karinės technikos apšvietimo prietaisus į objektą ir išsilaipinę prisijungė prie TSRS VSK specialiosios paskirties grupės „A“ pradėtos tarptautinės humanitarinės teisės draudžiamos karo atakos. Karinės atakos metu kariškiai nežmoniškai elgėsi su tarptautinės humanitarinės teisės saugomais asmenimis – persekiojo civilius dėl politinių ir nacionalinių motyvų, juos žudė, sunkiai sutrikdė jų sveikatą, naudojo bauginimo ir teroro bei tarptautinės teisės uždraustas karo priemones, o būtent: šaudydami į civilius ir užimamus pastatus bei jų viduje, į greta esančius gyvenamuosius namus 7,62 mm kalibro SVD šautuvais bei 5,45 mm kalibro automatiniais ginklais, panaudojo tarptautinių sutarčių uždraustas karo priemones – 5,45 mm kalibro šovinius su išcentruota kulka. Naudodami garsinius ir kovinius šaudmenis bei artimos kovos veiksmus, kariškiai įsibrovė į civilių ginamą devynių aukštų LRT Televizijos pastatą, kuriame buvo TSRS VSK specialiosios paskirties grupės „A“ kariškiai. </w:t>
      </w:r>
    </w:p>
    <w:p w:rsidR="00DA38E9" w:rsidRPr="00C00255" w:rsidRDefault="00DA38E9" w:rsidP="00DA38E9">
      <w:pPr>
        <w:pStyle w:val="Standard"/>
        <w:tabs>
          <w:tab w:val="left" w:pos="8245"/>
        </w:tabs>
        <w:spacing w:before="120" w:after="120"/>
        <w:ind w:left="993" w:firstLine="0"/>
        <w:jc w:val="both"/>
        <w:rPr>
          <w:rFonts w:cs="Times New Roman"/>
          <w:i/>
          <w:iCs/>
        </w:rPr>
      </w:pPr>
      <w:bookmarkStart w:id="885" w:name="_Hlk63868669"/>
      <w:r w:rsidRPr="00C00255">
        <w:rPr>
          <w:rFonts w:cs="Times New Roman"/>
          <w:i/>
          <w:iCs/>
        </w:rPr>
        <w:t xml:space="preserve">Byloje nenustatyta kariškių grupė brovėsi į devynių aukštų LRT Televizijos pastatą, kuriame, naudodami artimos kovos priemones ir būdus, tikrino patalpas, šalino iš jų civilius. </w:t>
      </w:r>
      <w:bookmarkStart w:id="886" w:name="_Hlk63368003"/>
      <w:r w:rsidRPr="00C00255">
        <w:rPr>
          <w:rFonts w:cs="Times New Roman"/>
          <w:i/>
          <w:iCs/>
        </w:rPr>
        <w:t>Kita kariškių dalis, pagal TSRS VSK specialiosios paskirties grupės „A“ kariškio (asmenybė nenustatyta) nurodymą, liko prie įėjimo į pastatą, kur, šaudydami aukščiau nurodytais garsiniais ir koviniais šoviniais, naudodami artimos kovos būdus ir priemones, stūmė nuo pastato civilius, taip pat apšaudė gyvenamuosius namus ir juose esančius civilius.</w:t>
      </w:r>
    </w:p>
    <w:bookmarkEnd w:id="885"/>
    <w:bookmarkEnd w:id="886"/>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Vykdydami operacijos štabo planą, K. Požėlos (dabar V. Pietario) gatve BMD, kurių borto Nr. 203, Nr. 206 ir Nr. 211, ir kariniu automobiliu URAL, prie LRT atvyko trečioji karinės kolonos TSRS GM Oro desanto pajėgų 76-osios oro desanto divizijos 234-ojo pulko kariškių dalis. BMD Nr. 206 išlaužus tvorą, karinė technika privažiavo prie keturių aukštų LRT Radijo pastato. Išsilaipinę kariškiai, pasidalino į dvi dalis: dvidešimt trys kariškiai iš TSRS GM Oro desanto pajėgų 76-osios oro desanto divizijos 234-ojo pulko savaeigės artilerijos diviziono 1-osios savaeigės artilerijos baterijos, vadovaujami </w:t>
      </w:r>
      <w:r>
        <w:rPr>
          <w:rFonts w:cs="Times New Roman"/>
          <w:i/>
          <w:iCs/>
        </w:rPr>
        <w:t>B. S.</w:t>
      </w:r>
      <w:r w:rsidRPr="00C00255">
        <w:rPr>
          <w:rFonts w:cs="Times New Roman"/>
          <w:i/>
          <w:iCs/>
        </w:rPr>
        <w:t xml:space="preserve">, </w:t>
      </w:r>
      <w:r>
        <w:rPr>
          <w:rFonts w:cs="Times New Roman"/>
          <w:i/>
          <w:iCs/>
        </w:rPr>
        <w:t>S. G.</w:t>
      </w:r>
      <w:r w:rsidRPr="00C00255">
        <w:rPr>
          <w:rFonts w:cs="Times New Roman"/>
          <w:i/>
          <w:iCs/>
        </w:rPr>
        <w:t xml:space="preserve">, </w:t>
      </w:r>
      <w:r>
        <w:rPr>
          <w:rFonts w:cs="Times New Roman"/>
          <w:i/>
          <w:iCs/>
        </w:rPr>
        <w:t>V. G.</w:t>
      </w:r>
      <w:r w:rsidRPr="00C00255">
        <w:rPr>
          <w:rFonts w:cs="Times New Roman"/>
          <w:i/>
          <w:iCs/>
        </w:rPr>
        <w:t xml:space="preserve">, bei dvidešimt šeši kariškiai iš TSRS GM Oro desanto pajėgų 76-osios oro desanto divizijos 234-ojo pulko žvalgybos kuopos, vadovaujami </w:t>
      </w:r>
      <w:r>
        <w:rPr>
          <w:rFonts w:cs="Times New Roman"/>
          <w:i/>
          <w:iCs/>
        </w:rPr>
        <w:t>R. J. 2</w:t>
      </w:r>
      <w:r w:rsidRPr="00C00255">
        <w:rPr>
          <w:rFonts w:cs="Times New Roman"/>
          <w:i/>
          <w:iCs/>
        </w:rPr>
        <w:t>, tęsė tarptautinės humanitarinės teisės draudžiamą karo ataką, kurios metu nežmoniškai elgėsi su tarptautinės humanitarinės teisės saugomais asmenimis: persekiojo civilius dėl politinių ir nacionalinių motyvų, juos žudė, sunkiai sutrikdė jų sveikatą, naudojo bauginimo ir teroro priemones bei tarptautinės teisės uždraustas karo priemones, o būtent:</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dvidešimt trijų kariškių grupė, vadovaujama </w:t>
      </w:r>
      <w:r>
        <w:rPr>
          <w:rFonts w:cs="Times New Roman"/>
          <w:i/>
          <w:iCs/>
        </w:rPr>
        <w:t>B. S.</w:t>
      </w:r>
      <w:r w:rsidRPr="00C00255">
        <w:rPr>
          <w:rFonts w:cs="Times New Roman"/>
          <w:i/>
          <w:iCs/>
        </w:rPr>
        <w:t xml:space="preserve">, dalyvavo užgrobiant LRT TASK pastatą, šalino civilius darbuotojus, atjungė transliavimą užtikrinančius įrenginius. Šios užduoties vykdymui atakoje dalyvavę kariškiai buvo padalinti į dvi dalis, iš kurių viena grupė, vadovaujama </w:t>
      </w:r>
      <w:r>
        <w:rPr>
          <w:rFonts w:cs="Times New Roman"/>
          <w:i/>
          <w:iCs/>
        </w:rPr>
        <w:t>V. G.</w:t>
      </w:r>
      <w:r w:rsidRPr="00C00255">
        <w:rPr>
          <w:rFonts w:cs="Times New Roman"/>
          <w:i/>
          <w:iCs/>
        </w:rPr>
        <w:t xml:space="preserve">, įsibrovusi į pastatą, padėjo TSRS VSK specialiosios paskirties grupės „A“ kariškiams išjungti televizijos transliavimą užtikrinančius įrenginius bei nutraukti objekte ruošiamas ir transliuojamas televizijos laidas, pašalinti civilius iš pastato, tikrinti patalpas pastate. Kita kariškių grupė, vadovaujama </w:t>
      </w:r>
      <w:r>
        <w:rPr>
          <w:rFonts w:cs="Times New Roman"/>
          <w:i/>
          <w:iCs/>
        </w:rPr>
        <w:t>B. S.</w:t>
      </w:r>
      <w:r w:rsidRPr="00C00255">
        <w:rPr>
          <w:rFonts w:cs="Times New Roman"/>
          <w:i/>
          <w:iCs/>
        </w:rPr>
        <w:t xml:space="preserve"> ir </w:t>
      </w:r>
      <w:r>
        <w:rPr>
          <w:rFonts w:cs="Times New Roman"/>
          <w:i/>
          <w:iCs/>
        </w:rPr>
        <w:t>S. G.</w:t>
      </w:r>
      <w:r w:rsidRPr="00C00255">
        <w:rPr>
          <w:rFonts w:cs="Times New Roman"/>
          <w:i/>
          <w:iCs/>
        </w:rPr>
        <w:t>, neradusi vidinio praėjimo iš LRT TASK į keturių aukštų LRT Radijo pastatą, vykdydami karo atakos eigoje gautą nurodymą, vidiniu pastatus jungiančiu koridoriumi prasibrovė iki devynių aukštų LRT Televizijos pastato. Patekusi į pastatą prisijungė prie TSRS GM Oro desanto pajėgų 76-osios oro desanto divizijos 234-ojo pulko 3-iojo bataliono 7-osios kuopos kariškių ir kartu šaudė pastato viduje ir išorėje į civilius, greta esančius gyvenamuosius namus 7,62 mm kalibro SVD šautuvais bei 5,45 mm kalibro automatiniais ginklais, t. y. naudojo tarptautinės teisės uždraustas karo priemones – 5,45 mm kalibro šovinius su išcentruota kulka. Karo atakos metu kariškiai naudojo tiek garsinius, tiek ir kovinius šaudmenis, artimos kovos veiksmus – stumdė, smūgiavo kumščiais, spardė kojomis ir sudavė ginklais ir kitomis kūno sužalojimams daryti pritaikytomis priemonėmis</w:t>
      </w:r>
      <w:r w:rsidRPr="00C00255">
        <w:rPr>
          <w:rFonts w:eastAsiaTheme="minorEastAsia" w:cs="Times New Roman"/>
          <w:i/>
          <w:iCs/>
          <w:kern w:val="0"/>
          <w:lang w:eastAsia="en-US" w:bidi="ar-SA"/>
        </w:rPr>
        <w:t xml:space="preserve"> civiliams</w:t>
      </w:r>
      <w:r w:rsidRPr="00C00255">
        <w:rPr>
          <w:rFonts w:asciiTheme="minorHAnsi" w:eastAsiaTheme="minorEastAsia" w:hAnsiTheme="minorHAnsi" w:cs="Times New Roman"/>
          <w:i/>
          <w:iCs/>
          <w:kern w:val="0"/>
          <w:sz w:val="22"/>
          <w:szCs w:val="22"/>
          <w:lang w:eastAsia="en-US" w:bidi="ar-SA"/>
        </w:rPr>
        <w:t xml:space="preserve"> </w:t>
      </w:r>
      <w:r w:rsidRPr="00C00255">
        <w:rPr>
          <w:rFonts w:cs="Times New Roman"/>
          <w:i/>
          <w:iCs/>
        </w:rPr>
        <w:t>nenustatytą skaičių smūgių į įvairias kūno dalis.</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Dvidešimt šešių kariškių grupė, vadovaujama </w:t>
      </w:r>
      <w:r>
        <w:rPr>
          <w:rFonts w:cs="Times New Roman"/>
          <w:i/>
          <w:iCs/>
        </w:rPr>
        <w:t>R. J. 2</w:t>
      </w:r>
      <w:r w:rsidRPr="00C00255">
        <w:rPr>
          <w:rFonts w:cs="Times New Roman"/>
          <w:i/>
          <w:iCs/>
        </w:rPr>
        <w:t xml:space="preserve">, vykdydama užduotį, įsibrovė į LRT Techninį pastatą ir pašalino iš jo civilį. Ryšio priemonėmis gavęs </w:t>
      </w:r>
      <w:r>
        <w:rPr>
          <w:rFonts w:cs="Times New Roman"/>
          <w:i/>
          <w:iCs/>
        </w:rPr>
        <w:t>G. G.</w:t>
      </w:r>
      <w:r w:rsidRPr="00C00255">
        <w:rPr>
          <w:rFonts w:cs="Times New Roman"/>
          <w:i/>
          <w:iCs/>
        </w:rPr>
        <w:t xml:space="preserve"> nurodymą, </w:t>
      </w:r>
      <w:r>
        <w:rPr>
          <w:rFonts w:cs="Times New Roman"/>
          <w:i/>
          <w:iCs/>
        </w:rPr>
        <w:t>R. J. 2</w:t>
      </w:r>
      <w:r w:rsidRPr="00C00255">
        <w:rPr>
          <w:rFonts w:cs="Times New Roman"/>
          <w:i/>
          <w:iCs/>
        </w:rPr>
        <w:t xml:space="preserve"> su dalimi jo vadovaujamų kariškių prisijungė prie kariškių iš TSRS GM Oro desanto pajėgų 76-osios oro desanto divizijos 237-ojo pulko 1-ojo bataliono 1-osios ir 2-osios kuopų ir kitų kariškių, užgrobusių keturių aukštų LRT Radijo pastatą.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Keturi kariškiai užtikrino aptvertos LRT teritorijos dalies, esančios prie užgrobtų LRT Radijo ir LRT Techninio pastatų, apsaugą, o kiti kariškiai šaudė LRT Radijo pastato viduje ir išorėje į civilius, greta esančius gyvenamuosius namus iš 7,62 mm kalibro SVD šautuvų bei 5,45 mm kalibro automatinių ginklų, taip naudodami tarptautinės teisės uždraustas karo priemones – 5,45 mm kalibro šovinius su išcentruota kulka. Karo atakos metu kariškiai naudojo tiek garsinius, tiek ir kovinius šaudmenis bei artimos kovos veiksmus – stumdė, smūgiavo kumščiais, spardė kojomis ir sudavė ginklais bei kitomis kūno sužalojimams daryti pritaikytomis priemonėmis nenustatytą skaičių smūgių civiliams į įvairias kūno dalis.</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Tanko Nr. 574 ekipažas, puolimo pradžioje užtvėręs S. Konarskio gatvę sankryžoje su K. Požėlos (dabar V. Pietario) gatve, užtikrindamas LRT puolamų objektų apsaugą, įvažiavo į saugomą LRT teritorijos dalį.</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1991 m. sausio 13 d., apie 1.30 val., TSRS VSK specialiosios paskirties grupės „A“ ir nenustatyti kariškiai, po Lietuvos radijo ir televizijos centro radijofonijos cecho, esančio Vilniuje, Tujų g. 2, užgrobimo, apie 2.00 val., pagal TSRS VSK specialiosios paskirties grupės „A“ veiksmus koordinavusio ir jiems vadovavusio </w:t>
      </w:r>
      <w:r>
        <w:rPr>
          <w:rFonts w:cs="Times New Roman"/>
          <w:i/>
          <w:iCs/>
        </w:rPr>
        <w:t xml:space="preserve">M. G. </w:t>
      </w:r>
      <w:r w:rsidRPr="00C00255">
        <w:rPr>
          <w:rFonts w:cs="Times New Roman"/>
          <w:i/>
          <w:iCs/>
        </w:rPr>
        <w:t xml:space="preserve"> nurodymą, atvyko prie LRT ir prisijungė prie kitų </w:t>
      </w:r>
      <w:r>
        <w:rPr>
          <w:rFonts w:cs="Times New Roman"/>
          <w:i/>
          <w:iCs/>
        </w:rPr>
        <w:t>J. Č.</w:t>
      </w:r>
      <w:r w:rsidRPr="00C00255">
        <w:rPr>
          <w:rFonts w:cs="Times New Roman"/>
          <w:i/>
          <w:iCs/>
        </w:rPr>
        <w:t xml:space="preserve"> vadovaujamų TSRS VSK specialiosios paskirties grupės „A“ kariškių ir kartu prieš civilius asmenis naudojo tas pačias bauginimo ir teroro bei tarptautinės teisės uždraustas karo priemones.</w:t>
      </w:r>
    </w:p>
    <w:p w:rsidR="00DA38E9" w:rsidRPr="00C00255" w:rsidRDefault="00DA38E9" w:rsidP="00DA38E9">
      <w:pPr>
        <w:pStyle w:val="Standard"/>
        <w:tabs>
          <w:tab w:val="left" w:pos="8245"/>
        </w:tabs>
        <w:spacing w:before="120" w:after="120"/>
        <w:ind w:left="993" w:firstLine="0"/>
        <w:jc w:val="both"/>
        <w:rPr>
          <w:rFonts w:cs="Times New Roman"/>
          <w:i/>
          <w:iCs/>
        </w:rPr>
      </w:pPr>
      <w:bookmarkStart w:id="887" w:name="_Hlk63283309"/>
      <w:r w:rsidRPr="00C00255">
        <w:rPr>
          <w:rFonts w:cs="Times New Roman"/>
          <w:i/>
          <w:iCs/>
        </w:rPr>
        <w:t>1991 m. sausio 13 d., apie 1.30 val., LKP/TSKP Vilniaus miesto komitete, Gedimino pr. 36, Vilniuje, draugovininkams pagal vadovavimo štabo planą ir nusikaltimų žmoniškumui bei karo nusikaltimų kurstytojų (</w:t>
      </w:r>
      <w:r>
        <w:rPr>
          <w:rFonts w:cs="Times New Roman"/>
          <w:i/>
          <w:iCs/>
        </w:rPr>
        <w:t>M. B., J. K., J. J.</w:t>
      </w:r>
      <w:r w:rsidRPr="00C00255">
        <w:rPr>
          <w:rFonts w:cs="Times New Roman"/>
          <w:i/>
          <w:iCs/>
        </w:rPr>
        <w:t xml:space="preserve">, kurie nuteisti Vilniaus apygardos teismo 1999 m. rugpjūčio 23 d. nuosprendžiu) bei </w:t>
      </w:r>
      <w:r>
        <w:rPr>
          <w:rFonts w:cs="Times New Roman"/>
          <w:i/>
          <w:iCs/>
        </w:rPr>
        <w:t>V. Š. 1</w:t>
      </w:r>
      <w:r w:rsidRPr="00C00255">
        <w:rPr>
          <w:rFonts w:cs="Times New Roman"/>
          <w:i/>
          <w:iCs/>
        </w:rPr>
        <w:t xml:space="preserve"> ir </w:t>
      </w:r>
      <w:r>
        <w:rPr>
          <w:rFonts w:cs="Times New Roman"/>
          <w:i/>
          <w:iCs/>
        </w:rPr>
        <w:t>A. N. 1</w:t>
      </w:r>
      <w:r w:rsidRPr="00C00255">
        <w:rPr>
          <w:rFonts w:cs="Times New Roman"/>
          <w:i/>
          <w:iCs/>
        </w:rPr>
        <w:t xml:space="preserve"> nurodymą, perduotą per </w:t>
      </w:r>
      <w:r>
        <w:rPr>
          <w:rFonts w:cs="Times New Roman"/>
          <w:i/>
          <w:iCs/>
        </w:rPr>
        <w:t>R. J. 1</w:t>
      </w:r>
      <w:r w:rsidRPr="00C00255">
        <w:rPr>
          <w:rFonts w:cs="Times New Roman"/>
          <w:i/>
          <w:iCs/>
        </w:rPr>
        <w:t xml:space="preserve">, buvo pavesta vykti į TSRS kariškių puolamus TV bokštą bei LRT ir padėti juos užgrobti. Vykdant šį nurodymą, apie 2.15 val. iš LKP/TSKP Vilniaus miesto komiteto dviem autobusais, vienu mikroautobusu ir lengvuoju automobiliu prie LRT atvyko apie šimtas draugovininkų, su savimi turėdami priemones, pritaikytas žmonėms žaloti. Draugovininkų grupė, kuriai vadovavo </w:t>
      </w:r>
      <w:r>
        <w:rPr>
          <w:rFonts w:cs="Times New Roman"/>
          <w:i/>
          <w:iCs/>
        </w:rPr>
        <w:t>R. J. 1</w:t>
      </w:r>
      <w:r w:rsidRPr="00C00255">
        <w:rPr>
          <w:rFonts w:cs="Times New Roman"/>
          <w:i/>
          <w:iCs/>
        </w:rPr>
        <w:t xml:space="preserve">, prisijungė prie TSRS karinių struktūrų vykdomos tarptautinės humanitarinės teisės draudžiamos karo atakos prieš civilius. Karo atakos metu kartu su aukščiau nurodytomis TSRS karinėmis struktūromis, draugovininkai puldami prie užgrobiamų LRT pastatų ir braudamiesi pro civilius, naudojo artimos kovos veiksmus – sudavė civiliams smūgius rankomis, kojomis ir atsivežtomis priemonėmis, t. y. civilių atžvilgiu naudojo fizinį smurtą, pavojingą jų gyvybei. Prasibrovę pro civilius, </w:t>
      </w:r>
      <w:r>
        <w:rPr>
          <w:rFonts w:cs="Times New Roman"/>
          <w:i/>
          <w:iCs/>
        </w:rPr>
        <w:t>R. J. 1</w:t>
      </w:r>
      <w:r w:rsidRPr="00C00255">
        <w:rPr>
          <w:rFonts w:cs="Times New Roman"/>
          <w:i/>
          <w:iCs/>
        </w:rPr>
        <w:t xml:space="preserve"> nurodymu, draugovininkai išsirikiavo priešais TSRS karinių struktūrų puolamus LRT pastatus ir kartu su kariškiais vykdė minėtų objektų apsaugą nuo civilių.</w:t>
      </w:r>
    </w:p>
    <w:bookmarkEnd w:id="887"/>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Tarptautinės humanitarinės teisės draudžiamos karo atakos prieš civilius metu joje dalyvavę bendrai veikę asmenys žudė civilius, sunkiai sutrikdė jų sveikatą.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TSRS VSK specialiosios paskirties grupės „A“ ir TSRS VRM Šiaurės vakarų ir Pabaltijo vidaus kariuomenės valdybos 42-osios divizijos konvojaus pulko mokomosios specialiosios paskirties kuopos kariškiai, panaudoję šviesos ir garso sprogstamąjį įtaisą, prie LRT Radijo pastato:</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nužudė A</w:t>
      </w:r>
      <w:r>
        <w:rPr>
          <w:rFonts w:cs="Times New Roman"/>
          <w:i/>
          <w:iCs/>
        </w:rPr>
        <w:t xml:space="preserve">. </w:t>
      </w:r>
      <w:r w:rsidRPr="00C00255">
        <w:rPr>
          <w:rFonts w:cs="Times New Roman"/>
          <w:i/>
          <w:iCs/>
        </w:rPr>
        <w:t>K</w:t>
      </w:r>
      <w:r>
        <w:rPr>
          <w:rFonts w:cs="Times New Roman"/>
          <w:i/>
          <w:iCs/>
        </w:rPr>
        <w:t>.</w:t>
      </w:r>
      <w:r w:rsidRPr="00C00255">
        <w:rPr>
          <w:rFonts w:cs="Times New Roman"/>
          <w:i/>
          <w:iCs/>
        </w:rPr>
        <w:t xml:space="preserve">, mirusį nuo ūmaus kraujo netekimo, įvykusio nuo krūtinės ląstos traumos, dešinės pusės šonkaulių sutrupinimo ir dešinės pusės plaučio viduriniosios ir apatiniosios skilties suknežinimo;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sunkiai sutrikdė K</w:t>
      </w:r>
      <w:r>
        <w:rPr>
          <w:rFonts w:cs="Times New Roman"/>
          <w:i/>
          <w:iCs/>
        </w:rPr>
        <w:t>.</w:t>
      </w:r>
      <w:r w:rsidRPr="00C00255">
        <w:rPr>
          <w:rFonts w:cs="Times New Roman"/>
          <w:i/>
          <w:iCs/>
        </w:rPr>
        <w:t xml:space="preserve"> B</w:t>
      </w:r>
      <w:r>
        <w:rPr>
          <w:rFonts w:cs="Times New Roman"/>
          <w:i/>
          <w:iCs/>
        </w:rPr>
        <w:t>.</w:t>
      </w:r>
      <w:r w:rsidRPr="00C00255">
        <w:rPr>
          <w:rFonts w:cs="Times New Roman"/>
          <w:i/>
          <w:iCs/>
        </w:rPr>
        <w:t xml:space="preserve"> ir A</w:t>
      </w:r>
      <w:r>
        <w:rPr>
          <w:rFonts w:cs="Times New Roman"/>
          <w:i/>
          <w:iCs/>
        </w:rPr>
        <w:t>. V.</w:t>
      </w:r>
      <w:r w:rsidRPr="00C00255">
        <w:rPr>
          <w:rFonts w:cs="Times New Roman"/>
          <w:i/>
          <w:iCs/>
        </w:rPr>
        <w:t xml:space="preserve"> sveikatą. K. B</w:t>
      </w:r>
      <w:r>
        <w:rPr>
          <w:rFonts w:cs="Times New Roman"/>
          <w:i/>
          <w:iCs/>
        </w:rPr>
        <w:t>.</w:t>
      </w:r>
      <w:r w:rsidRPr="00C00255">
        <w:rPr>
          <w:rFonts w:cs="Times New Roman"/>
          <w:i/>
          <w:iCs/>
        </w:rPr>
        <w:t xml:space="preserve"> padarė daugybines plėštines žaizdas ir odos nubrozdinimus veide, krūtinėje, pilve-gaktoje, kojų šlaunyse ir blauzdose, plaštakose su veido odos impregnacija suodžiais (paraku) ir veido plaukų nudegimu, dešinės akies ragenos nudegimą, trauminį abiejų ausų būgnelių plyšimą ir klausos nervų pakenkimą su jų uždegimu bei viso kūno sumušimu ir sukrėtimu su plaučių audinio sumušimu ir plyšimu, ir keturių dantų lūžimu. A. V</w:t>
      </w:r>
      <w:r>
        <w:rPr>
          <w:rFonts w:cs="Times New Roman"/>
          <w:i/>
          <w:iCs/>
        </w:rPr>
        <w:t>.</w:t>
      </w:r>
      <w:r w:rsidRPr="00C00255">
        <w:rPr>
          <w:rFonts w:cs="Times New Roman"/>
          <w:i/>
          <w:iCs/>
        </w:rPr>
        <w:t xml:space="preserve"> padarė dešiniosios akies tinklainės didelės jos dalies atsisluoksniavimą ir kraujo išsiliejimą į stiklakūnį bei nežymų kairiosios akies tinklainės atsisluoksniavimą, dėl ko nukentėjusysis neteko regos dešine akimi, o kairiosios akies rega sumažėjo nuo 1,0 iki 0,9 D.</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Karo atakos metu visų karinių struktūrų kariškiai: </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sudavę civiliams smūgius kumščiais, kojomis, ginklais bei kitomis priemonėmis, bendrais veiksmais sunkiai sutrikdė P</w:t>
      </w:r>
      <w:r>
        <w:rPr>
          <w:rFonts w:cs="Times New Roman"/>
          <w:i/>
          <w:iCs/>
        </w:rPr>
        <w:t xml:space="preserve">. L. </w:t>
      </w:r>
      <w:r w:rsidRPr="00C00255">
        <w:rPr>
          <w:rFonts w:cs="Times New Roman"/>
          <w:i/>
          <w:iCs/>
        </w:rPr>
        <w:t>ir V</w:t>
      </w:r>
      <w:r>
        <w:rPr>
          <w:rFonts w:cs="Times New Roman"/>
          <w:i/>
          <w:iCs/>
        </w:rPr>
        <w:t xml:space="preserve">. </w:t>
      </w:r>
      <w:r w:rsidRPr="00C00255">
        <w:rPr>
          <w:rFonts w:cs="Times New Roman"/>
          <w:i/>
          <w:iCs/>
        </w:rPr>
        <w:t>B</w:t>
      </w:r>
      <w:r>
        <w:rPr>
          <w:rFonts w:cs="Times New Roman"/>
          <w:i/>
          <w:iCs/>
        </w:rPr>
        <w:t>.</w:t>
      </w:r>
      <w:r w:rsidRPr="00C00255">
        <w:rPr>
          <w:rFonts w:cs="Times New Roman"/>
          <w:i/>
          <w:iCs/>
        </w:rPr>
        <w:t xml:space="preserve"> sveikatą. P. L</w:t>
      </w:r>
      <w:r>
        <w:rPr>
          <w:rFonts w:cs="Times New Roman"/>
          <w:i/>
          <w:iCs/>
        </w:rPr>
        <w:t>.</w:t>
      </w:r>
      <w:r w:rsidRPr="00C00255">
        <w:rPr>
          <w:rFonts w:cs="Times New Roman"/>
          <w:i/>
          <w:iCs/>
        </w:rPr>
        <w:t xml:space="preserve"> prie LRT Radijo pastato padarė uždarą dešinio inksto plyšimą, o V. B</w:t>
      </w:r>
      <w:r>
        <w:rPr>
          <w:rFonts w:cs="Times New Roman"/>
          <w:i/>
          <w:iCs/>
        </w:rPr>
        <w:t>.</w:t>
      </w:r>
      <w:r w:rsidRPr="00C00255">
        <w:rPr>
          <w:rFonts w:cs="Times New Roman"/>
          <w:i/>
          <w:iCs/>
        </w:rPr>
        <w:t xml:space="preserve"> LRT teritorijoje padarė muštinę viršugalvio kairės pusės žaizdą su atviru įspaustiniu kairio momenkaulio lūžiu, galvos smegenų sumušimą ir pakraujavimą po smegenų voratinkliniu dangalu, nubrozdino veidą ir padarė kraujosruvą dešiniajame žaste;</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panaudoję šaunamuosius ginklus, bendrais veiksmais sunkiai sutrikdė V</w:t>
      </w:r>
      <w:r>
        <w:rPr>
          <w:rFonts w:cs="Times New Roman"/>
          <w:i/>
          <w:iCs/>
        </w:rPr>
        <w:t>.</w:t>
      </w:r>
      <w:r w:rsidRPr="00C00255">
        <w:rPr>
          <w:rFonts w:cs="Times New Roman"/>
          <w:i/>
          <w:iCs/>
        </w:rPr>
        <w:t> B</w:t>
      </w:r>
      <w:r>
        <w:rPr>
          <w:rFonts w:cs="Times New Roman"/>
          <w:i/>
          <w:iCs/>
        </w:rPr>
        <w:t>.</w:t>
      </w:r>
      <w:r w:rsidRPr="00C00255">
        <w:rPr>
          <w:rFonts w:cs="Times New Roman"/>
          <w:i/>
          <w:iCs/>
        </w:rPr>
        <w:t xml:space="preserve"> sveikatą. Nukentėjusiajam LRT patalpose padarė kiauryminį šautinį dešinės šlaunies viršutinio trečdalio sužalojimą su įėjimo anga šlaunies priekiniame paviršiuje ir išėjimo anga jos užpakaliniame paviršiuje prie sėdmens bei atviru skeveldriniu pergumburiniu dešinio šlaunikaulio lūžiu;</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panaudoję šaunamuosius ginklus, šviesos ir garso sprogstamuosius įtaisus, sunkiai sutrikdė K</w:t>
      </w:r>
      <w:r>
        <w:rPr>
          <w:rFonts w:cs="Times New Roman"/>
          <w:i/>
          <w:iCs/>
        </w:rPr>
        <w:t>. </w:t>
      </w:r>
      <w:r w:rsidRPr="00C00255">
        <w:rPr>
          <w:rFonts w:cs="Times New Roman"/>
          <w:i/>
          <w:iCs/>
        </w:rPr>
        <w:t>Č</w:t>
      </w:r>
      <w:r>
        <w:rPr>
          <w:rFonts w:cs="Times New Roman"/>
          <w:i/>
          <w:iCs/>
        </w:rPr>
        <w:t>.</w:t>
      </w:r>
      <w:r w:rsidRPr="00C00255">
        <w:rPr>
          <w:rFonts w:cs="Times New Roman"/>
          <w:i/>
          <w:iCs/>
        </w:rPr>
        <w:t xml:space="preserve"> sveikatą. Nukentėjusiajai padarė šautinį abiejų šlaunų, kairės blauzdos ir abiejų pėdų sužalojimą, kairės blauzdos kaulo atvirą skeveldrinį lūžimą.</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Karo atakos metu dalyvavę nenustatyti draugovininkai, sudavę civiliams smūgius rankomis, kojomis ir kitomis priemonėmis, LRT teritorijoje sunkiai sutrikdė A</w:t>
      </w:r>
      <w:r>
        <w:rPr>
          <w:rFonts w:cs="Times New Roman"/>
          <w:i/>
          <w:iCs/>
        </w:rPr>
        <w:t xml:space="preserve">. </w:t>
      </w:r>
      <w:r w:rsidRPr="00C00255">
        <w:rPr>
          <w:rFonts w:cs="Times New Roman"/>
          <w:i/>
          <w:iCs/>
        </w:rPr>
        <w:t>K</w:t>
      </w:r>
      <w:r>
        <w:rPr>
          <w:rFonts w:cs="Times New Roman"/>
          <w:i/>
          <w:iCs/>
        </w:rPr>
        <w:t>.</w:t>
      </w:r>
      <w:r w:rsidRPr="00C00255">
        <w:rPr>
          <w:rFonts w:cs="Times New Roman"/>
          <w:i/>
          <w:iCs/>
        </w:rPr>
        <w:t xml:space="preserve"> sveikatą. Nukentėjusiajam padarė stiprų veido sumušimą su smegenų sumušimu, dešiniojo smilkinkaulio ir kaukolės pamato vidurinės daubos lūžimą dešinėje, kairio momenkaulio įskilimą, nosikaulių lūžimą, trišakio nervo 2-osios šakos neuralgiją, muštinę žaizdą nosies nugarėlėje, kraujosruvas veido dešinėje pusėje.</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Karo atakos prie LRT metu dalyvavę visi karinių struktūrų kariškiai bendrais veiksmais užgrobė LRT pastatus, o juos gynusiems civiliams padarė tyčinius sveikatos sutrikdymus:</w:t>
      </w:r>
    </w:p>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nesunkius sveikatos sutrikdymus padarė šimtui aštuoniems civiliams</w:t>
      </w:r>
      <w:r w:rsidRPr="00C00255">
        <w:rPr>
          <w:rFonts w:eastAsia="Calibri" w:cs="Times New Roman"/>
          <w:i/>
          <w:iCs/>
        </w:rPr>
        <w:t xml:space="preserve">: </w:t>
      </w:r>
      <w:bookmarkStart w:id="888" w:name="_Hlk66830249"/>
      <w:r>
        <w:rPr>
          <w:rFonts w:eastAsia="Calibri" w:cs="Times New Roman"/>
          <w:i/>
          <w:iCs/>
        </w:rPr>
        <w:t>(duomenys neskelbtini).</w:t>
      </w:r>
    </w:p>
    <w:bookmarkEnd w:id="888"/>
    <w:p w:rsidR="00DA38E9" w:rsidRPr="00C00255" w:rsidRDefault="00DA38E9" w:rsidP="00DA38E9">
      <w:pPr>
        <w:pStyle w:val="Standard"/>
        <w:tabs>
          <w:tab w:val="left" w:pos="8245"/>
        </w:tabs>
        <w:spacing w:before="120" w:after="120"/>
        <w:ind w:left="993" w:firstLine="0"/>
        <w:jc w:val="both"/>
        <w:rPr>
          <w:rFonts w:cs="Times New Roman"/>
          <w:i/>
          <w:iCs/>
        </w:rPr>
      </w:pPr>
      <w:r w:rsidRPr="00C00255">
        <w:rPr>
          <w:rFonts w:cs="Times New Roman"/>
          <w:i/>
          <w:iCs/>
        </w:rPr>
        <w:t xml:space="preserve">nežymius sveikatos sutrikdymus padarė devyniasdešimt penkiems civiliams: </w:t>
      </w:r>
      <w:bookmarkStart w:id="889" w:name="_Hlk66831618"/>
      <w:r>
        <w:rPr>
          <w:rFonts w:cs="Times New Roman"/>
          <w:i/>
          <w:iCs/>
        </w:rPr>
        <w:t>(duomenys neskelbtini).</w:t>
      </w:r>
    </w:p>
    <w:bookmarkEnd w:id="889"/>
    <w:p w:rsidR="00DA38E9" w:rsidRPr="00C00255" w:rsidRDefault="00DA38E9" w:rsidP="00DA38E9">
      <w:pPr>
        <w:pStyle w:val="Standard"/>
        <w:tabs>
          <w:tab w:val="left" w:pos="993"/>
        </w:tabs>
        <w:spacing w:before="120" w:after="120"/>
        <w:ind w:left="993" w:firstLine="0"/>
        <w:jc w:val="both"/>
        <w:rPr>
          <w:i/>
          <w:iCs/>
        </w:rPr>
      </w:pPr>
      <w:r w:rsidRPr="00C00255">
        <w:rPr>
          <w:b/>
        </w:rPr>
        <w:t>Komendanto valandos įvedimas ir įgyvendinimas</w:t>
      </w:r>
    </w:p>
    <w:p w:rsidR="00DA38E9" w:rsidRPr="00C00255" w:rsidRDefault="00DA38E9" w:rsidP="00DA38E9">
      <w:pPr>
        <w:pStyle w:val="Standard"/>
        <w:tabs>
          <w:tab w:val="left" w:pos="993"/>
        </w:tabs>
        <w:spacing w:before="120" w:after="120"/>
        <w:ind w:left="993" w:firstLine="0"/>
        <w:jc w:val="both"/>
        <w:rPr>
          <w:i/>
          <w:iCs/>
        </w:rPr>
      </w:pPr>
      <w:r>
        <w:rPr>
          <w:rStyle w:val="Numatytasispastraiposriftas1"/>
          <w:i/>
          <w:iCs/>
          <w:color w:val="000000"/>
          <w:lang w:eastAsia="ar-SA" w:bidi="lt-LT"/>
        </w:rPr>
        <w:t>V. U. 1</w:t>
      </w:r>
      <w:r w:rsidRPr="00C00255">
        <w:rPr>
          <w:rStyle w:val="Numatytasispastraiposriftas1"/>
          <w:i/>
          <w:iCs/>
          <w:color w:val="000000"/>
          <w:lang w:eastAsia="ar-SA" w:bidi="lt-LT"/>
        </w:rPr>
        <w:t xml:space="preserve"> ir </w:t>
      </w:r>
      <w:r>
        <w:rPr>
          <w:rStyle w:val="Numatytasispastraiposriftas1"/>
          <w:i/>
          <w:iCs/>
          <w:color w:val="000000"/>
          <w:lang w:eastAsia="ar-SA" w:bidi="lt-LT"/>
        </w:rPr>
        <w:t>G. B.</w:t>
      </w:r>
      <w:r w:rsidRPr="00C00255">
        <w:rPr>
          <w:rStyle w:val="Numatytasispastraiposriftas1"/>
          <w:i/>
          <w:iCs/>
          <w:color w:val="000000"/>
          <w:lang w:eastAsia="ar-SA" w:bidi="lt-LT"/>
        </w:rPr>
        <w:t xml:space="preserve"> tarptautinio ginkluoto konflikto ir agresijos metu, įgyvendino komendanto valandą šiomis aplinkybėmis:</w:t>
      </w:r>
    </w:p>
    <w:p w:rsidR="00DA38E9" w:rsidRPr="00C00255" w:rsidRDefault="00DA38E9" w:rsidP="00DA38E9">
      <w:pPr>
        <w:spacing w:before="120" w:after="120"/>
        <w:ind w:left="993"/>
        <w:rPr>
          <w:rFonts w:eastAsia="Calibri"/>
          <w:i/>
          <w:iCs/>
          <w:strike/>
        </w:rPr>
      </w:pPr>
      <w:r>
        <w:rPr>
          <w:rFonts w:eastAsia="Calibri"/>
          <w:i/>
          <w:iCs/>
        </w:rPr>
        <w:t>V. U. 1</w:t>
      </w:r>
      <w:r w:rsidRPr="00C00255">
        <w:rPr>
          <w:rStyle w:val="Numatytasispastraiposriftas1"/>
          <w:i/>
          <w:iCs/>
          <w:color w:val="000000"/>
          <w:lang w:eastAsia="ar-SA" w:bidi="lt-LT"/>
        </w:rPr>
        <w:t xml:space="preserve"> tarptautinio ginkluoto konflikto ir agresijos metu, vykdydamas ir remdamas kitos valstybės – TSRS ir užsienio organizacijos – TSKP bei jos padalinio Lietuvoje – LKP/TSKP politiką dideliu mastu ir sistemingai užpuldinėti civilius, įgyvendindamas TSRS gynybos ministro </w:t>
      </w:r>
      <w:r>
        <w:rPr>
          <w:rStyle w:val="Numatytasispastraiposriftas1"/>
          <w:i/>
          <w:iCs/>
          <w:color w:val="000000"/>
          <w:lang w:eastAsia="ar-SA" w:bidi="lt-LT"/>
        </w:rPr>
        <w:t>D. J.</w:t>
      </w:r>
      <w:r w:rsidRPr="00C00255">
        <w:rPr>
          <w:rStyle w:val="Numatytasispastraiposriftas1"/>
          <w:i/>
          <w:iCs/>
          <w:color w:val="000000"/>
          <w:lang w:eastAsia="ar-SA" w:bidi="lt-LT"/>
        </w:rPr>
        <w:t xml:space="preserve">, TSRS vidaus reikalų ministro </w:t>
      </w:r>
      <w:r>
        <w:rPr>
          <w:rStyle w:val="Numatytasispastraiposriftas1"/>
          <w:i/>
          <w:iCs/>
          <w:color w:val="000000"/>
          <w:lang w:eastAsia="ar-SA" w:bidi="lt-LT"/>
        </w:rPr>
        <w:t>B. P.</w:t>
      </w:r>
      <w:r w:rsidRPr="00C00255">
        <w:rPr>
          <w:rStyle w:val="Numatytasispastraiposriftas1"/>
          <w:i/>
          <w:iCs/>
          <w:color w:val="000000"/>
          <w:lang w:eastAsia="ar-SA" w:bidi="lt-LT"/>
        </w:rPr>
        <w:t>, TSRS VSK pirmininko V. K</w:t>
      </w:r>
      <w:r>
        <w:rPr>
          <w:rStyle w:val="Numatytasispastraiposriftas1"/>
          <w:i/>
          <w:iCs/>
          <w:color w:val="000000"/>
          <w:lang w:eastAsia="ar-SA" w:bidi="lt-LT"/>
        </w:rPr>
        <w:t>.</w:t>
      </w:r>
      <w:r w:rsidRPr="00C00255">
        <w:rPr>
          <w:rStyle w:val="Numatytasispastraiposriftas1"/>
          <w:i/>
          <w:iCs/>
          <w:color w:val="000000"/>
          <w:lang w:eastAsia="ar-SA" w:bidi="lt-LT"/>
        </w:rPr>
        <w:t xml:space="preserve">, </w:t>
      </w:r>
      <w:r w:rsidRPr="00C00255">
        <w:rPr>
          <w:i/>
          <w:iCs/>
          <w:color w:val="000000"/>
          <w:lang w:eastAsia="ar-SA" w:bidi="lt-LT"/>
        </w:rPr>
        <w:t>TSRS TSKP CK sekretoriaus O. Š</w:t>
      </w:r>
      <w:r>
        <w:rPr>
          <w:i/>
          <w:iCs/>
          <w:color w:val="000000"/>
          <w:lang w:eastAsia="ar-SA" w:bidi="lt-LT"/>
        </w:rPr>
        <w:t>.</w:t>
      </w:r>
      <w:r w:rsidRPr="00C00255">
        <w:rPr>
          <w:i/>
          <w:iCs/>
          <w:color w:val="000000"/>
          <w:lang w:eastAsia="ar-SA" w:bidi="lt-LT"/>
        </w:rPr>
        <w:t>, kurių atžvilgiu baudžiamasis procesas nutrauktas jiems mirus, ir kitų nenustatytų</w:t>
      </w:r>
      <w:r w:rsidRPr="00C00255">
        <w:rPr>
          <w:rStyle w:val="Numatytasispastraiposriftas1"/>
          <w:i/>
          <w:iCs/>
          <w:color w:val="000000"/>
          <w:lang w:eastAsia="ar-SA" w:bidi="lt-LT"/>
        </w:rPr>
        <w:t xml:space="preserve"> asmenų, parengtą planą 1991 m. </w:t>
      </w:r>
      <w:r w:rsidRPr="00C00255">
        <w:rPr>
          <w:rFonts w:eastAsia="Calibri"/>
          <w:i/>
          <w:iCs/>
        </w:rPr>
        <w:t xml:space="preserve">sausio 13 d. 5.00 val., pagal tos pačios dienos LNGK nutarimą, Vilniuje ir jo apylinkėse įvedė </w:t>
      </w:r>
      <w:r w:rsidRPr="00C00255">
        <w:rPr>
          <w:rStyle w:val="Numatytasispastraiposriftas1"/>
          <w:i/>
          <w:iCs/>
          <w:color w:val="000000"/>
          <w:lang w:eastAsia="ar-SA" w:bidi="lt-LT"/>
        </w:rPr>
        <w:t xml:space="preserve">vieną iš minėtame plane numatytų nepaprastosios padėties priemonių – </w:t>
      </w:r>
      <w:r w:rsidRPr="00C00255">
        <w:rPr>
          <w:rFonts w:eastAsia="Calibri"/>
          <w:i/>
          <w:iCs/>
        </w:rPr>
        <w:t xml:space="preserve">komendanto valandą. </w:t>
      </w:r>
      <w:r>
        <w:rPr>
          <w:rStyle w:val="Numatytasispastraiposriftas1"/>
          <w:i/>
          <w:iCs/>
          <w:color w:val="000000"/>
          <w:lang w:eastAsia="ar-SA" w:bidi="lt-LT"/>
        </w:rPr>
        <w:t>V. U. 1</w:t>
      </w:r>
      <w:r w:rsidRPr="00C00255">
        <w:rPr>
          <w:rStyle w:val="Numatytasispastraiposriftas1"/>
          <w:i/>
          <w:iCs/>
          <w:color w:val="000000"/>
          <w:lang w:eastAsia="ar-SA" w:bidi="lt-LT"/>
        </w:rPr>
        <w:t>, prisidengdamas tuo, kad vykdo nusikalstamų struktūrų nuginklavimą, komendanto valandos metu siekė persekioti civilius dėl politinių ir nacionalinių motyvų, juos bauginti, terorizuoti ir neteisėtu būdu pakeisti Lietuvos valstybės konstitucinę santvarką, kėsintis į jos nepriklausomybę ir pažeisti teritorijos vientisumą. Komendanto valandos</w:t>
      </w:r>
      <w:r w:rsidRPr="00C00255">
        <w:rPr>
          <w:rFonts w:eastAsia="Calibri"/>
          <w:i/>
          <w:iCs/>
        </w:rPr>
        <w:t xml:space="preserve"> priemonių įgyvendinimui (pavaldumo tvarka) </w:t>
      </w:r>
      <w:r>
        <w:rPr>
          <w:rFonts w:eastAsia="Calibri"/>
          <w:i/>
          <w:iCs/>
        </w:rPr>
        <w:t>V. U. 1</w:t>
      </w:r>
      <w:r w:rsidRPr="00C00255">
        <w:rPr>
          <w:rFonts w:eastAsia="Calibri"/>
          <w:i/>
          <w:iCs/>
        </w:rPr>
        <w:t xml:space="preserve"> pasitelkė Vilniaus įgulos karinį komendantą pulkininką </w:t>
      </w:r>
      <w:r>
        <w:rPr>
          <w:rFonts w:eastAsia="Calibri"/>
          <w:i/>
          <w:iCs/>
        </w:rPr>
        <w:t>G. B.</w:t>
      </w:r>
      <w:r w:rsidRPr="00C00255">
        <w:rPr>
          <w:rFonts w:eastAsia="Calibri"/>
          <w:i/>
          <w:iCs/>
        </w:rPr>
        <w:t>,</w:t>
      </w:r>
      <w:r w:rsidRPr="00C00255">
        <w:rPr>
          <w:rStyle w:val="Numatytasispastraiposriftas1"/>
          <w:i/>
          <w:iCs/>
          <w:color w:val="000000"/>
          <w:lang w:eastAsia="ar-SA" w:bidi="lt-LT"/>
        </w:rPr>
        <w:t xml:space="preserve"> su kuriuo kartu numatė vykdyti neteisėtą asmenų judėjimo kontrolę, asmenų, transporto priemonių, dokumentų patikrą, intensyvų patruliavimą</w:t>
      </w:r>
      <w:r w:rsidRPr="00C00255">
        <w:rPr>
          <w:rFonts w:eastAsia="Calibri"/>
          <w:i/>
          <w:iCs/>
        </w:rPr>
        <w:t xml:space="preserve">. </w:t>
      </w:r>
    </w:p>
    <w:p w:rsidR="00DA38E9" w:rsidRPr="00C00255" w:rsidRDefault="00DA38E9" w:rsidP="00DA38E9">
      <w:pPr>
        <w:spacing w:before="120" w:after="120"/>
        <w:ind w:left="993"/>
        <w:rPr>
          <w:rFonts w:eastAsia="Calibri"/>
          <w:i/>
          <w:iCs/>
        </w:rPr>
      </w:pPr>
      <w:r w:rsidRPr="00C00255">
        <w:rPr>
          <w:rFonts w:eastAsia="Calibri"/>
          <w:i/>
          <w:iCs/>
        </w:rPr>
        <w:t>Neteisėtai įvestos komendanto valandos metu nenustatyti Vilniaus įgulos kariškiai, naudodamiesi karine technika ir 5,45 mm kalibro automatiniais ginklais, vykdydami civilių asmenų teisių suvaržymus, padarė tyčinį sunkų R</w:t>
      </w:r>
      <w:r>
        <w:rPr>
          <w:rFonts w:eastAsia="Calibri"/>
          <w:i/>
          <w:iCs/>
        </w:rPr>
        <w:t>. </w:t>
      </w:r>
      <w:r w:rsidRPr="00C00255">
        <w:rPr>
          <w:rFonts w:eastAsia="Calibri"/>
          <w:i/>
          <w:iCs/>
        </w:rPr>
        <w:t>D</w:t>
      </w:r>
      <w:r>
        <w:rPr>
          <w:rFonts w:eastAsia="Calibri"/>
          <w:i/>
          <w:iCs/>
        </w:rPr>
        <w:t>.</w:t>
      </w:r>
      <w:r w:rsidRPr="00C00255">
        <w:rPr>
          <w:rFonts w:eastAsia="Calibri"/>
          <w:i/>
          <w:iCs/>
        </w:rPr>
        <w:t xml:space="preserve"> sveikatos sutrikdymą ir tyčia nužudė </w:t>
      </w:r>
      <w:r>
        <w:rPr>
          <w:rFonts w:eastAsia="Calibri"/>
          <w:i/>
          <w:iCs/>
        </w:rPr>
        <w:t>J. T.</w:t>
      </w:r>
      <w:r w:rsidRPr="00C00255">
        <w:rPr>
          <w:rFonts w:eastAsia="Calibri"/>
          <w:i/>
          <w:iCs/>
        </w:rPr>
        <w:t>.</w:t>
      </w:r>
    </w:p>
    <w:p w:rsidR="00DA38E9" w:rsidRPr="00C00255" w:rsidRDefault="00DA38E9" w:rsidP="00DA38E9">
      <w:pPr>
        <w:spacing w:before="120" w:after="120"/>
        <w:ind w:left="993"/>
        <w:rPr>
          <w:rFonts w:eastAsia="Calibri"/>
          <w:i/>
          <w:iCs/>
        </w:rPr>
      </w:pPr>
      <w:r w:rsidRPr="00C00255">
        <w:rPr>
          <w:rFonts w:eastAsia="Calibri"/>
          <w:i/>
          <w:iCs/>
        </w:rPr>
        <w:t xml:space="preserve">Sausio 13 – 14 d. naktį, TSRS kariškių vykdomos ir kontroliuojamos komendanto valandos metu, grupė nenustatytų Vilniaus įgulos kariškių, Vilniaus mieste, Šeškinės mikrorajone, prie autobusų stotelės „Ukmergės“, neteisėtai sulaikė </w:t>
      </w:r>
      <w:r>
        <w:rPr>
          <w:rFonts w:eastAsia="Calibri"/>
          <w:i/>
          <w:iCs/>
        </w:rPr>
        <w:t>R. D.</w:t>
      </w:r>
      <w:r w:rsidRPr="00C00255">
        <w:rPr>
          <w:rFonts w:eastAsia="Calibri"/>
          <w:i/>
          <w:iCs/>
        </w:rPr>
        <w:t xml:space="preserve"> ir kariniu automobiliu ZIL, numeris nenustatytas, nuvežė jį į Vilniaus įgulos karinio komendanto </w:t>
      </w:r>
      <w:r>
        <w:rPr>
          <w:rFonts w:eastAsia="Calibri"/>
          <w:i/>
          <w:iCs/>
        </w:rPr>
        <w:t>G. B.</w:t>
      </w:r>
      <w:r w:rsidRPr="00C00255">
        <w:rPr>
          <w:rFonts w:eastAsia="Calibri"/>
          <w:i/>
          <w:iCs/>
        </w:rPr>
        <w:t xml:space="preserve"> vadovaujamą Vilniaus įgulos karinę komendantūrą, buvusią T. Kosciuškos g. 1, Vilniuje, kur laikė izoliuotą apie dvi paras. </w:t>
      </w:r>
    </w:p>
    <w:p w:rsidR="00DA38E9" w:rsidRPr="00C00255" w:rsidRDefault="00DA38E9" w:rsidP="00DA38E9">
      <w:pPr>
        <w:spacing w:before="120" w:after="120"/>
        <w:ind w:left="993"/>
        <w:rPr>
          <w:rFonts w:eastAsia="Calibri"/>
          <w:i/>
          <w:iCs/>
        </w:rPr>
      </w:pPr>
      <w:r>
        <w:rPr>
          <w:rFonts w:eastAsia="Calibri"/>
          <w:i/>
          <w:iCs/>
        </w:rPr>
        <w:t>G. B.</w:t>
      </w:r>
      <w:r w:rsidRPr="00C00255">
        <w:rPr>
          <w:rFonts w:eastAsia="Calibri"/>
          <w:i/>
          <w:iCs/>
        </w:rPr>
        <w:t xml:space="preserve"> pavaldume buvę nenustatyti Vilniaus įgulos kariškiai neteisėtai sulaikytam </w:t>
      </w:r>
      <w:r>
        <w:rPr>
          <w:rFonts w:eastAsia="Calibri"/>
          <w:i/>
          <w:iCs/>
        </w:rPr>
        <w:t>R. D.</w:t>
      </w:r>
      <w:r w:rsidRPr="00C00255">
        <w:rPr>
          <w:rFonts w:eastAsia="Calibri"/>
          <w:i/>
          <w:iCs/>
        </w:rPr>
        <w:t xml:space="preserve"> tyčia sudavė daugybinius smūgius kietais bukais daiktais į įvairias kūno vietas, tuo pastarajam padarydami sunkų sveikatos sutrikdymą – muštines dešinio antakio ir nosies žaizdas su aplinkinėmis poodinėmis kraujosruvomis, dešinės akiduobės viršutinės sienelės ir kaukolės pamato bei nosies kaulų lūžius, kraujo išsiliejimą po galvos smegenų voratinkliniu dangalu ir galvos smegenų sukrėtimą, abipusį trauminį viduriniųjų ausų uždegimą, daugybines poodines kraujosruvas veide, rankose, kojose, nugaroje, juosmenyje su inkstų sumušimu ir X-o dešinės pusės šonkaulio lūžiu. Sausio 17 d., apie 1 val., surištą </w:t>
      </w:r>
      <w:r>
        <w:rPr>
          <w:rFonts w:eastAsia="Calibri"/>
          <w:i/>
          <w:iCs/>
        </w:rPr>
        <w:t>R. D.</w:t>
      </w:r>
      <w:r w:rsidRPr="00C00255">
        <w:rPr>
          <w:rFonts w:eastAsia="Calibri"/>
          <w:i/>
          <w:iCs/>
        </w:rPr>
        <w:t xml:space="preserve"> nenustatyti TSRS kariškiai atvežė į miško masyvą, esantį šiaurinėje plento Vilnius-Kaunas pusėje, apie 600 metrų nuo posūkio į Trakus ir sudavę smūgį į galvą, paliko pavojingoje gyvybei padėtyje.</w:t>
      </w:r>
    </w:p>
    <w:p w:rsidR="00DA38E9" w:rsidRPr="00C00255" w:rsidRDefault="00DA38E9" w:rsidP="00DA38E9">
      <w:pPr>
        <w:spacing w:before="120" w:after="120"/>
        <w:ind w:left="993"/>
        <w:rPr>
          <w:rFonts w:eastAsia="Calibri"/>
          <w:i/>
          <w:iCs/>
        </w:rPr>
      </w:pPr>
      <w:r w:rsidRPr="00C00255">
        <w:rPr>
          <w:rFonts w:eastAsia="Calibri"/>
          <w:i/>
          <w:iCs/>
        </w:rPr>
        <w:t xml:space="preserve">Sausio 28 d., maždaug dešimt nenustatytų Vilniaus įgulos kariškių, ginkluotų 5,45 mm kalibro automatiniais ginklais, įgyvendindami </w:t>
      </w:r>
      <w:r>
        <w:rPr>
          <w:rFonts w:eastAsia="Calibri"/>
          <w:i/>
          <w:iCs/>
        </w:rPr>
        <w:t>V. U. 1</w:t>
      </w:r>
      <w:r w:rsidRPr="00C00255">
        <w:rPr>
          <w:rFonts w:eastAsia="Calibri"/>
          <w:i/>
          <w:iCs/>
        </w:rPr>
        <w:t xml:space="preserve"> neteisėtai įvestą komendanto valandą, apie 22 val., ne mažiau kaip dviem BTR, kurių numeriai nenustatyti, atvyko į buvusį patikros postą, įrengtą 15-ajame kelio Vilnius-Kaunas kilometre, ties Gariūnų turgaviete ir stabdė pravažiuojančius automobilius bei tikrino civilius asmenis, juos terorizavo ir baugino taip persekiodami civilius dėl politinių ir nacionalinių motyvų. </w:t>
      </w:r>
    </w:p>
    <w:p w:rsidR="00DA38E9" w:rsidRPr="00C00255" w:rsidRDefault="00DA38E9" w:rsidP="00DA38E9">
      <w:pPr>
        <w:spacing w:before="120" w:after="120"/>
        <w:ind w:left="993"/>
        <w:rPr>
          <w:rFonts w:eastAsia="Calibri"/>
          <w:i/>
          <w:iCs/>
        </w:rPr>
      </w:pPr>
      <w:r w:rsidRPr="00C00255">
        <w:rPr>
          <w:rFonts w:eastAsia="Calibri"/>
          <w:i/>
          <w:iCs/>
        </w:rPr>
        <w:t xml:space="preserve">Sausio 29 d., apie 2 val., nenustatyti kariškiai sustabdė </w:t>
      </w:r>
      <w:r>
        <w:rPr>
          <w:rFonts w:eastAsia="Calibri"/>
          <w:i/>
          <w:iCs/>
        </w:rPr>
        <w:t>J. T.</w:t>
      </w:r>
      <w:r w:rsidRPr="00C00255">
        <w:rPr>
          <w:rFonts w:eastAsia="Calibri"/>
          <w:i/>
          <w:iCs/>
        </w:rPr>
        <w:t xml:space="preserve"> vairuojamą automobilį VAZ-2101, valst. Nr. 27-85 LIJA (raidės rusų kalba), važiuojantį link Kauno, kuriame buvo dar trys civiliai asmenys. Kariškiams atlikus automobilio bei jame važiavusių asmenų kratą ir juos sulaikius, </w:t>
      </w:r>
      <w:r>
        <w:rPr>
          <w:rFonts w:eastAsia="Calibri"/>
          <w:i/>
          <w:iCs/>
        </w:rPr>
        <w:t>J. T.</w:t>
      </w:r>
      <w:r w:rsidRPr="00C00255">
        <w:rPr>
          <w:rFonts w:eastAsia="Calibri"/>
          <w:i/>
          <w:iCs/>
        </w:rPr>
        <w:t xml:space="preserve">, siekdamas išvengti vykdomo prievartinio šauktinių ėmimo į TSRS kariuomenę, bandė automobiliu pasišalinti iš sulaikymo vietos. Nenustatyti kariškiai tyčia iš automatinių ginklų apšaudė </w:t>
      </w:r>
      <w:r>
        <w:rPr>
          <w:rFonts w:eastAsia="Calibri"/>
          <w:i/>
          <w:iCs/>
        </w:rPr>
        <w:t>J. T.</w:t>
      </w:r>
      <w:r w:rsidRPr="00C00255">
        <w:rPr>
          <w:rFonts w:eastAsia="Calibri"/>
          <w:i/>
          <w:iCs/>
        </w:rPr>
        <w:t xml:space="preserve"> vairuojamą automobilį, naudojant tarptautinės teisės uždraustus 5,45 mm kalibro šovinius su išcentruota kulka, ir peršovė </w:t>
      </w:r>
      <w:r>
        <w:rPr>
          <w:rFonts w:eastAsia="Calibri"/>
          <w:i/>
          <w:iCs/>
        </w:rPr>
        <w:t>J. T.</w:t>
      </w:r>
      <w:r w:rsidRPr="00C00255">
        <w:rPr>
          <w:rFonts w:eastAsia="Calibri"/>
          <w:i/>
          <w:iCs/>
        </w:rPr>
        <w:t xml:space="preserve"> galvą, dėl ko pastarasis nuo šautinio galvos sužeidimo – kaukolės kaulo lūžių, galvos smegenų suardymo mirė, t. y. </w:t>
      </w:r>
      <w:r>
        <w:rPr>
          <w:rFonts w:eastAsia="Calibri"/>
          <w:i/>
          <w:iCs/>
        </w:rPr>
        <w:t>J. T.</w:t>
      </w:r>
      <w:r w:rsidRPr="00C00255">
        <w:rPr>
          <w:rFonts w:eastAsia="Calibri"/>
          <w:i/>
          <w:iCs/>
        </w:rPr>
        <w:t xml:space="preserve"> tyčia nužudė. </w:t>
      </w:r>
    </w:p>
    <w:p w:rsidR="00DA38E9" w:rsidRPr="00C00255" w:rsidRDefault="00DA38E9" w:rsidP="00DA38E9">
      <w:pPr>
        <w:spacing w:before="120" w:after="120"/>
        <w:ind w:left="993"/>
        <w:rPr>
          <w:rFonts w:eastAsia="Calibri"/>
          <w:i/>
          <w:iCs/>
        </w:rPr>
      </w:pPr>
      <w:r w:rsidRPr="00C00255">
        <w:rPr>
          <w:rFonts w:eastAsia="Calibri"/>
          <w:i/>
          <w:iCs/>
        </w:rPr>
        <w:t xml:space="preserve">Nenustatyti Vilniaus įgulos kariškiai, ginkluoti 5,45 mm kalibro automatiniais ginklais, įgyvendindami </w:t>
      </w:r>
      <w:r>
        <w:rPr>
          <w:rFonts w:eastAsia="Calibri"/>
          <w:i/>
          <w:iCs/>
        </w:rPr>
        <w:t>V. U. 1</w:t>
      </w:r>
      <w:r w:rsidRPr="00C00255">
        <w:rPr>
          <w:rFonts w:eastAsia="Calibri"/>
          <w:i/>
          <w:iCs/>
        </w:rPr>
        <w:t xml:space="preserve"> įvestą komendanto valandą, nuo 1991 m. sausio 13 d., 5.00 val. iki 1991 m. rugpjūčio 23 d. Vilniuje ir jo apylinkėse, vykdydami asmenų teisių suvaržymus:</w:t>
      </w:r>
    </w:p>
    <w:p w:rsidR="00DA38E9" w:rsidRDefault="00DA38E9" w:rsidP="00DA38E9">
      <w:pPr>
        <w:spacing w:before="120" w:after="120"/>
        <w:ind w:left="993"/>
        <w:rPr>
          <w:rFonts w:eastAsia="Calibri"/>
          <w:i/>
          <w:iCs/>
        </w:rPr>
      </w:pPr>
      <w:r w:rsidRPr="00C00255">
        <w:rPr>
          <w:rFonts w:eastAsia="Calibri"/>
          <w:i/>
          <w:iCs/>
        </w:rPr>
        <w:t xml:space="preserve">- neteisėtai sulaikė </w:t>
      </w:r>
      <w:r w:rsidRPr="002F0588">
        <w:rPr>
          <w:rFonts w:eastAsia="Calibri"/>
          <w:i/>
          <w:iCs/>
        </w:rPr>
        <w:t>B. K., V. J., S. G., R. C., V. P., R. V. K., A. J. (A. J.), G. M. (G. M.), I. B. (I. B.), K. B., M. P., G. M, o pastarųjų atžvilgiu dar panaudojo ir fizinį smurtą, tuo padarydami M. P. nesunkų, o G. M. nežymų sveikatos sutrikdymą</w:t>
      </w:r>
      <w:r w:rsidRPr="00C00255">
        <w:rPr>
          <w:rFonts w:eastAsia="Calibri"/>
          <w:i/>
          <w:iCs/>
        </w:rPr>
        <w:t>;</w:t>
      </w:r>
    </w:p>
    <w:p w:rsidR="00DA38E9" w:rsidRPr="00C00255" w:rsidRDefault="00DA38E9" w:rsidP="00DA38E9">
      <w:pPr>
        <w:spacing w:before="120" w:after="120"/>
        <w:ind w:left="993"/>
        <w:rPr>
          <w:rFonts w:eastAsia="Calibri"/>
          <w:i/>
          <w:iCs/>
        </w:rPr>
      </w:pPr>
      <w:r w:rsidRPr="00C00255">
        <w:rPr>
          <w:rFonts w:eastAsia="Calibri"/>
          <w:i/>
          <w:iCs/>
        </w:rPr>
        <w:t xml:space="preserve">- apšaudė </w:t>
      </w:r>
      <w:r w:rsidRPr="00264ADA">
        <w:rPr>
          <w:rFonts w:eastAsia="Calibri"/>
          <w:i/>
          <w:iCs/>
        </w:rPr>
        <w:t>A. B., A. B., P. B., Z. S., G. T., L. J., A. B., V. R., S. S., D. M., R. V., R. A., S. S., R. ir V. B., A. Š., A. P., o Z. S., S. S., D. M., R. V., R. A., S. S., R. B., V. B. dar neteisėtai ir sulaikė, panaudojo prieš juos fizinį smurtą, padarydami Z. S., S. S., D. M., R. A., S. S., R. B. ir V. B. nesunkius sveikatos sutrikdymus, o R. V. – nežymų sveikatos sutrikdymą. Apšaudymo metu A. Š. padarė nesunkų sveikatos sutrikdymą</w:t>
      </w:r>
      <w:r w:rsidRPr="00C00255">
        <w:rPr>
          <w:rFonts w:eastAsia="Calibri"/>
          <w:i/>
          <w:iCs/>
        </w:rPr>
        <w:t>.</w:t>
      </w:r>
    </w:p>
    <w:p w:rsidR="00DA38E9" w:rsidRPr="002C1EDB"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2C1EDB">
        <w:rPr>
          <w:rFonts w:eastAsia="Calibri"/>
        </w:rPr>
        <w:t xml:space="preserve">Teisėjų kolegija pažymi, kad šiose jau nurodytose aplinkybėse atsispindi ir visos ankstesnėse sprendimo dalyse detaliai nurodytos ir aptartos apeliacinės instancijos teismo išvados, kuriomis apeliacinės instancijos teismas keitė ar tikslino atskiras pirmosios instancijos teismo neteisingai nustatytas aplinkybes, todėl visos apeliacinės instancijos teismo pakeistos ar patikslintos aplinkybės nei atskirai (pvz., dėl atskirų aplinkybių pašalinimo, patikslinimo ir pan.), nei visos kartu dar kartą </w:t>
      </w:r>
      <w:r w:rsidRPr="002C1EDB">
        <w:rPr>
          <w:rFonts w:eastAsia="Calibri"/>
          <w:i/>
          <w:iCs/>
        </w:rPr>
        <w:t>nebus kartojamos apeliacinės instancijos teismo sprendimo rezoliucinėje dalyje.</w:t>
      </w:r>
      <w:r w:rsidRPr="002C1EDB">
        <w:rPr>
          <w:rFonts w:eastAsia="Calibri"/>
        </w:rPr>
        <w:t xml:space="preserve"> Tokia teismo pozicija grindžiama tiek BPK 305 straipsnio nuostatų aiškinimu, pagal kurį įrodytomis pripažintos aplinkybės išdėstomos teismo nuosprendžio aprašomojoje dalyje (BPK 305 straipsnio 1 dalies 1 punktas), tiek teismų praktika, kurioje, be kita ko, nurodoma, kad </w:t>
      </w:r>
      <w:r w:rsidRPr="002C1EDB">
        <w:t>„Apeliacinės instancijos teismas savo sprendimo rezoliucinėje dalyje neturi nurodyti apie pirmosios instancijos teismo nuosprendžio aprašomosios dalies pakeitimus, apie tai užtenka nurodyti priimamo dokumento aprašomojoje dalyje“ (LAT nutartis baudžiamojoje byloje Nr. 2K-149/2013) bei „</w:t>
      </w:r>
      <w:r w:rsidRPr="002C1EDB">
        <w:rPr>
          <w:spacing w:val="1"/>
        </w:rPr>
        <w:t xml:space="preserve">nepriimtina, kad nusikalstamos veikos aprašymas pateikiamas rezoliucinėje nutarties dalyje“ (LAT nutartis baudžiamojoje byloje Nr. </w:t>
      </w:r>
      <w:r w:rsidRPr="002C1EDB">
        <w:t>2K-293-222/2017) ir pan.</w:t>
      </w:r>
    </w:p>
    <w:p w:rsidR="00DA38E9" w:rsidRPr="00C00255" w:rsidRDefault="00DA38E9" w:rsidP="00DA38E9">
      <w:pPr>
        <w:pStyle w:val="Heading2"/>
        <w:spacing w:after="120"/>
        <w:jc w:val="center"/>
        <w:rPr>
          <w:rFonts w:ascii="Times New Roman" w:hAnsi="Times New Roman" w:cs="Times New Roman"/>
          <w:b w:val="0"/>
          <w:sz w:val="22"/>
          <w:szCs w:val="24"/>
        </w:rPr>
      </w:pPr>
      <w:bookmarkStart w:id="890" w:name="_Toc66862775"/>
      <w:bookmarkStart w:id="891" w:name="_Toc67677440"/>
      <w:bookmarkStart w:id="892" w:name="_Toc67985568"/>
      <w:r w:rsidRPr="00C00255">
        <w:rPr>
          <w:rStyle w:val="Heading2Char"/>
          <w:rFonts w:ascii="Times New Roman" w:hAnsi="Times New Roman" w:cs="Times New Roman"/>
          <w:b/>
          <w:sz w:val="24"/>
        </w:rPr>
        <w:t>Y.</w:t>
      </w:r>
      <w:r w:rsidRPr="00C00255">
        <w:rPr>
          <w:rFonts w:ascii="Times New Roman" w:hAnsi="Times New Roman" w:cs="Times New Roman"/>
          <w:b w:val="0"/>
          <w:sz w:val="22"/>
          <w:szCs w:val="24"/>
        </w:rPr>
        <w:t> </w:t>
      </w:r>
      <w:r w:rsidRPr="00C00255">
        <w:rPr>
          <w:rStyle w:val="Heading2Char"/>
          <w:rFonts w:ascii="Times New Roman" w:hAnsi="Times New Roman" w:cs="Times New Roman"/>
          <w:b/>
          <w:sz w:val="24"/>
        </w:rPr>
        <w:t>DĖL APELIANTŲ ARGUMENTŲ, SUSIJUSIŲ SU BAUDŽIAMOJO PROCESO TEISĖS PAŽEIDIMAIS</w:t>
      </w:r>
      <w:bookmarkEnd w:id="890"/>
      <w:bookmarkEnd w:id="891"/>
      <w:bookmarkEnd w:id="892"/>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Nagrinėjamoje byloje pateiktuose apeliaciniuose skunduose apeliantai pirmosios instancijos teismo nuosprendį ginčijo keldami ir procesinio pobūdžio klausimus, susijusius su atskirų baudžiamąjį procesą reglamentuojančių BPK nuostatų, proceso dalyvių teisių ar procesinių principų pažeidimais. Šių klausimų spektras pakankamai platus, jie siejami tiek su ikiteisminio tyrimo stadijoje padarytais pažeidimais, tiek su teisminio nagrinėjimo metu pažeistomis proceso taisyklėmis, tiek su visu kaip vientisu ir netinkamu procesu šioje byloje. Apeliaciniuose skunduose nurodomi šie baudžiamojo proceso teisės pažeidimai: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Ikiteisminio tyrimo metu įvairiais aspektais pažeistos nuteistųjų teisės (pvz., atskiriems įtariamiesiems surašant nutarimą dėl pripažinimo įtariamuoju nebuvo užtikrinta gynyba; įtarimai pareikšti nuo įvykių praėjus daugiau nei 20 metų; įtariamieji apklausti kaip liudytojai, neįspėti apie teisę atsisakyti duoti parodymus; įtariamiesiems nebuvo žinoma apie įtarimus ir procesą; jie negalėjo pasinaudoti teise susipažinti su ikiteisminio tyrimo medžiaga, nes jiems nepranešta apie tyrimo pabaigą ir pan.); įrodymai rinkti pažeidžiant BPK nuostatas ir tarptautinius susitarimus (pvz., prokurorai nesilaikė Lietuvos ir TSRS prokuratūrų bendradarbiavimo sutarties, nes Lietuvos prokuratūrai TSRS pareigūnų surinkti duomenys buvo pateikti ne įstatymų numatyta tvarka; prokurorai draudė nukentėjusiųjų artimiesiems vykti į apklausas TSRS; neleido ekspertui iš Maskvos dalyvauti sužalotų asmenų teismo medicinos tyrimuose ir pan.); tyrimas atliktas tendencingai ir neišsamiai; reiškiant kaltinimus pažeistas asmenų lygybės prieš įstatymą principas; daliai panašius ar pavojingesnius veiksmus atlikusių asmenų kaltinimai nebuvo reiškiami (pvz., neatlikti procesiniai veiksmai TSRS prezidento </w:t>
      </w:r>
      <w:r>
        <w:rPr>
          <w:szCs w:val="24"/>
        </w:rPr>
        <w:t>M. G.</w:t>
      </w:r>
      <w:r w:rsidRPr="00C00255">
        <w:rPr>
          <w:szCs w:val="24"/>
        </w:rPr>
        <w:t xml:space="preserve"> atžvilgiu ir pan.); pranešimas apie įtarimą ir pareikštas kaltinimas nėra teisiškai identiški; prokurorai tinkamai neindividualizavo kaltinimų ir neįvykdė BPK</w:t>
      </w:r>
      <w:r>
        <w:rPr>
          <w:szCs w:val="24"/>
        </w:rPr>
        <w:t> </w:t>
      </w:r>
      <w:r w:rsidRPr="00C00255">
        <w:rPr>
          <w:szCs w:val="24"/>
        </w:rPr>
        <w:t>219</w:t>
      </w:r>
      <w:r>
        <w:rPr>
          <w:szCs w:val="24"/>
        </w:rPr>
        <w:t> </w:t>
      </w:r>
      <w:r w:rsidRPr="00C00255">
        <w:rPr>
          <w:szCs w:val="24"/>
        </w:rPr>
        <w:t>straipsnio reikalavimų keliamų kaltinamajam aktui; įtariamiesiems nežinant apie įtarimus ir procesą, byla apskritai negalėjo būti perduota teismui.</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rStyle w:val="CharStyle25"/>
          <w:szCs w:val="24"/>
        </w:rPr>
      </w:pPr>
      <w:r w:rsidRPr="00C00255">
        <w:rPr>
          <w:szCs w:val="24"/>
        </w:rPr>
        <w:t>Teisminio bylos nagrinėjimo metu buvo pažeistos BPK 246 straipsnio nuostatos, nes nesant duomenų, kad kaltinamiesiems žinoma apie procesą ir jie jo vengia, nebuvo pagrindo bylą nagrinėti kaltinamiesiems nedalyvaujant, be to, nacionalinis bendrosios kompetencijos teismas apskritai nebuvo kompetentingas nagrinėti bylą dėl karo nusikaltimų – tai turėjo atlikti specializuota tarptautinė institucija – karo tribunolas, Tarptautinis Teisingumo Teismas arba Tarptautinis Baudžiamasis Teismas; teismo nuosprendis surašytas pažeidžiant BPK</w:t>
      </w:r>
      <w:r>
        <w:rPr>
          <w:szCs w:val="24"/>
        </w:rPr>
        <w:t> </w:t>
      </w:r>
      <w:r w:rsidRPr="00C00255">
        <w:rPr>
          <w:szCs w:val="24"/>
        </w:rPr>
        <w:t>305</w:t>
      </w:r>
      <w:r>
        <w:rPr>
          <w:szCs w:val="24"/>
        </w:rPr>
        <w:t> </w:t>
      </w:r>
      <w:r w:rsidRPr="00C00255">
        <w:rPr>
          <w:szCs w:val="24"/>
        </w:rPr>
        <w:t xml:space="preserve">straipsnio nuostatas (jis neaiškus, prieštaringas, nemotyvuotas, neindividualizuotas, pagrįstas bendromis frazėmis, jame neišdėstytos įrodytomis pripažintos aplinkybės, nenurodyta, kodėl vadovautasi vienais įrodymais, o kiti atmesti, iš jo nesuprantama, kuri veika, kaip kvalifikuota ir pan.); bylą išnagrinėjęs pirmosios instancijos teismas ir pirmininkaujanti teisėja buvo šališki (pirmininkaujanti teisėja turėjo išankstinį nusistatymą, apie kurį liudija publikacija teismų leidinyje TEISMAI.LT; teismas netenkino gynybos prašymų arba tenkino formaliai; nuosprendyje nepasisakyta dėl gynybos argumentų; įrodymai vertinti selektyviai, prioritetas suteiktas kaltinantiems duomenims, teismo išvados neatitinka bylos aplinkybių); teismas pažeidė nekaltumo prezumpcijos principą, nes nepašalinus prieštaravimų asmenų parodymuose, visas abejones turėjo vertinti kaltinamųjų naudai ir negalėjo apkaltinamojo nuosprendžio grįsti prielaidomis (apeliantų teigimu, tokiu būdu buvo pažeistas ir </w:t>
      </w:r>
      <w:r w:rsidRPr="00C00255">
        <w:rPr>
          <w:i/>
          <w:szCs w:val="24"/>
        </w:rPr>
        <w:t xml:space="preserve">in dubio pro reo </w:t>
      </w:r>
      <w:r w:rsidRPr="00C00255">
        <w:rPr>
          <w:szCs w:val="24"/>
        </w:rPr>
        <w:t>principas); tirdamas ir vertindamas įrodymus teismas taip pat pažeidė BPK 20 ir kitų straipsnių nuostatas (pvz., įrodymais pripažino ir rėmėsi kaltinamųjų parodymais, kuriuos jie davė apklausti kaip liudytojai, neįspėti apie teisę atsisakyti duoti parodymus; kaltinamųjų parodymai nelaikytini įrodymais ir dėl to, kad jie nebuvo ištirti teismo posėdyje – jie perskaityti, tačiau kaltinamieji posėdyje neapklausti ir parodymų nepatvirtino; teismo posėdyje nepatikrinti ir dalies liudytojų parodymai; neteisėtais kaltinamųjų parodymais</w:t>
      </w:r>
      <w:r w:rsidRPr="00C00255">
        <w:rPr>
          <w:i/>
          <w:szCs w:val="24"/>
        </w:rPr>
        <w:t xml:space="preserve"> </w:t>
      </w:r>
      <w:r w:rsidRPr="00C00255">
        <w:rPr>
          <w:szCs w:val="24"/>
        </w:rPr>
        <w:t xml:space="preserve">pagrįstas ir svarbiausias įrodymų šaltinis – 2014 m. birželio 10 d. karo specialisto J. Andriškevičiaus išvada; teismas pažeidė BPK 279 ir 283 straipsnių nuostatas, nes nukentėjusiuosius apklausė nepašalinęs kitų, dar neapklaustų nukentėjusiųjų iš teismo posėdžių salės ir pan.); teisminio nagrinėjimo metu įrodymų tyrimas buvo neišsamus (pvz., nepagrįstai atsisakyta prijungti prie bylos kitoje byloje apklaustų liudytojų parodymus apie nagrinėjamus įvykius ir šaudymą į TSRS kariškius; neištirta vaizdo ir foto medžiaga, kuria grįsta kaltinamųjų kaltė; neišsamiai apklaustas specialistas J. Andriškevičius; neatlikti specialistų tyrimai, aiškinantis apie inkriminuotų kulkų pavojingumą ir draudžiamą pobūdį ir pan.); teismas neužtikrino tinkamo proceso ir baigiamųjų kalbų metu, nes </w:t>
      </w:r>
      <w:r w:rsidRPr="00C00255">
        <w:rPr>
          <w:rStyle w:val="CharStyle25"/>
          <w:color w:val="000000"/>
          <w:szCs w:val="24"/>
          <w:lang w:eastAsia="lt-LT"/>
        </w:rPr>
        <w:t xml:space="preserve">atskiriems gynėjams neleido be pertraukinėjimų ir apribojimų pasakyti baigiamąją kalbą ir taip ginčyti kaltinimo argumentų (tokius argumentus pateikia nuteistojo </w:t>
      </w:r>
      <w:r>
        <w:rPr>
          <w:rStyle w:val="CharStyle25"/>
          <w:color w:val="000000"/>
          <w:szCs w:val="24"/>
          <w:lang w:eastAsia="lt-LT"/>
        </w:rPr>
        <w:t>V. S. 3</w:t>
      </w:r>
      <w:r w:rsidRPr="00C00255">
        <w:rPr>
          <w:rStyle w:val="CharStyle25"/>
          <w:color w:val="000000"/>
          <w:szCs w:val="24"/>
          <w:lang w:eastAsia="lt-LT"/>
        </w:rPr>
        <w:t xml:space="preserve"> gynėja); be to, išnagrinėjęs bylą, teismas </w:t>
      </w:r>
      <w:r w:rsidRPr="00C00255">
        <w:rPr>
          <w:szCs w:val="24"/>
        </w:rPr>
        <w:t>atskirais aspektais peržengė teisminio nagrinėjimo ribas (pvz., nuosprendyje konstatavo pakeistas kaltinimo formuluotes; pasisakė apie aplinkybes, kurių nebuvo nurodyta kaltinamajame akte bei kurios nebuvo tirtos teisme (tokius argumentus nurodė ne tik gynyba, bet ir kaltinimas)).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Vertindami visą procesą kaip visumą, nuteistųjų gynėjai, be kita ko, teigė, kad vykstantis baudžiamasis procesas yra politinio pobūdžio ir tendencingas (pvz., byloje inkriminuotos nusikalstamos veikos baudžiamajame įstatyme numatytos tik 2011 m. siekiant tęsti procesą nuteistųjų atžvilgiu ir pan.); baudžiamojo proceso trukmė byloje yra pernelyg ilga ir pažeidė nuteistųjų teisę į greitą procesą; viso proceso metu buvo varžoma nuteistųjų teisė į gynybą (pažeista EŽTK 6 straipsnyje garantuojama kaltinamojo teisė žinoti jam pareikštą kaltinimą, gauti išsamią informaciją apie jam inkriminuojamos nusikalstamos veikos aprašymą, jos kvalifikavimą ir pan.).</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Teismų praktikoje ne kartą pasisakyta, kad </w:t>
      </w:r>
      <w:r w:rsidRPr="00C00255">
        <w:rPr>
          <w:color w:val="000000"/>
          <w:szCs w:val="24"/>
          <w:shd w:val="clear" w:color="auto" w:fill="FFFFFF"/>
        </w:rPr>
        <w:t xml:space="preserve">bendrosios kompetencijos teismų instancinės sistemos paskirtis – sudaryti prielaidas aukštesnės instancijos teismuose ištaisyti bet kurias fakto (t. y. teisiškai reikšmingų faktų nustatymo ir vertinimo) ar bet kurias teisės (t. y. teisės taikymo) klaidas, kurias dėl kokių nors priežasčių gali padaryti žemesnės instancijos teismas, ir neleisti, kad kokioje nors bendrosios kompetencijos teismų nagrinėtoje civilinėje, baudžiamojoje ar kitos kategorijos byloje būtų įvykdytas neteisingumas, priešingu atveju būtų nukrypta nuo konstitucinio teisinės valstybės principo, pažeista asmens konstitucinė teisė į tinkamą teismo procesą (Konstitucinio Teismo 2006 m. kovo 28 d., 2006 m. rugsėjo 21 d., 2007 m. spalio 24 d., 2008 m. sausio 24 d. nutarimai, LAT nutartys baudžiamosiose bylose Nr. 2K-P-135-648/2016, 2K-190-648/2018; </w:t>
      </w:r>
      <w:r w:rsidRPr="00C00255">
        <w:rPr>
          <w:szCs w:val="24"/>
          <w:shd w:val="clear" w:color="auto" w:fill="FFFFFF"/>
        </w:rPr>
        <w:t>2K-251-495/2020</w:t>
      </w:r>
      <w:r w:rsidRPr="00C00255">
        <w:rPr>
          <w:color w:val="000000"/>
          <w:szCs w:val="24"/>
          <w:shd w:val="clear" w:color="auto" w:fill="FFFFFF"/>
        </w:rPr>
        <w: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szCs w:val="24"/>
          <w:shd w:val="clear" w:color="auto" w:fill="FFFFFF"/>
        </w:rPr>
        <w:t>Iš šių nuostatų sekanti apeliacinės instancijos teismo paskirtis ir Konstitucinio Teismo jurisprudencijoje bei kasacinio teismo praktikoje išplėtotas aktyvaus teismo ir iš esmės neribotos apeliacijos požymius atitinkantis apeliacijos modelis, ją suprantant kaip bylos nagrinėjimą iš naujo ar pakartotinai (numatant plačias teises teikti ir nagrinėti naujus įrodymus, prašyti keisti kaltinimą apeliacinės instancijos teisme, priimti iš esmės naują sprendimą ir pan.), įpareigoja apeliacinės instancijos teismą užtikrinti, kad apeliacinio proceso metu, laikantis visų teisės reikalavimų ir principų, būtų patikrintas pirmosios instancijos teismo sprendimo teisėtumas ir pagrįstumas bei byloje būtų priimtas toks baigiamasis aktas, kuriuo būtų ištaisytos bet kurios pirmosios instancijos teismo padarytos fakto ar teisės klaidos, o pats sprendimas būtų teisingas, pagrįstas, aiškus ir įtikinamas.</w:t>
      </w:r>
    </w:p>
    <w:p w:rsidR="00DA38E9" w:rsidRPr="00C00255" w:rsidRDefault="00DA38E9" w:rsidP="00DA38E9">
      <w:pPr>
        <w:numPr>
          <w:ilvl w:val="0"/>
          <w:numId w:val="6"/>
        </w:numPr>
        <w:spacing w:before="120" w:after="120"/>
        <w:ind w:left="992" w:hanging="992"/>
        <w:rPr>
          <w:color w:val="000000" w:themeColor="text1"/>
        </w:rPr>
      </w:pPr>
      <w:r w:rsidRPr="00C00255">
        <w:rPr>
          <w:color w:val="000000" w:themeColor="text1"/>
        </w:rPr>
        <w:t xml:space="preserve">Ankstesnėse šio sprendimo dalyse teismas jau pasisakė apie atskirus pirmosios instancijos teismo nuosprendžio trūkumus ir pripažino, kad teismo nuosprendį atskirais aspektais itin sudėtinga suprasti, kad jis nėra pakankamai aiškus, kad jame atskiros teismo išvados skirtingose nuosprendžio dalyse yra prieštaringos, nustatytos ir faktinėms aplinkybėms prieštaraujančios teismo išvados, kad teismo nuosprendžio motyvuojamoji dalis pakankamai lakoniška, taigi nuosprendyje neišvengta nuosprendžio surašymo, faktinių aplinkybių konstatavimo, motyvavimo, įrodymų vertinimo klaidų.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 xml:space="preserve">Akivaizdu, kad daugelį jau minėtų pirmosios instancijos teismo nuosprendžio trūkumų lėmė bylos pobūdis, apimtis, kaltinimo ir keliamų fakto bei teisės klausimų sudėtingumas, todėl apeliacinės instancijos teismas, atsižvelgdamas į apeliacinių skundų argumentus </w:t>
      </w:r>
      <w:r w:rsidRPr="00C00255">
        <w:rPr>
          <w:szCs w:val="24"/>
        </w:rPr>
        <w:t xml:space="preserve">dėl byloje skundžiamo nuosprendžio ydingumo, sudėtingumo, apimties, kitų BPK 305 straipsnio reikalavimų pažeidimų, taip pat įvertindamas faktą, kad daugelis kaltinamųjų nedalyvavo procese, siekdamas užtikrinti jau minėtą apeliacijos paskirtį ir nustatyti visas byloje galimai padarytas klaidas, iš naujo įvertino </w:t>
      </w:r>
      <w:r w:rsidRPr="00C00255">
        <w:rPr>
          <w:color w:val="000000" w:themeColor="text1"/>
          <w:szCs w:val="24"/>
        </w:rPr>
        <w:t xml:space="preserve">byloje ištirtus įrodymus ir </w:t>
      </w:r>
      <w:r w:rsidRPr="00C00255">
        <w:rPr>
          <w:szCs w:val="24"/>
        </w:rPr>
        <w:t xml:space="preserve">peržiūrėjo visas byloje nustatytas faktines aplinkybes </w:t>
      </w:r>
      <w:r w:rsidRPr="00C00255">
        <w:rPr>
          <w:color w:val="000000" w:themeColor="text1"/>
          <w:szCs w:val="24"/>
        </w:rPr>
        <w:t>(pasisakydamas ir dėl tų nuteistųjų, kurie nebuvo padavę apeliacinių skundų, vaidmens aptariamuose įvykiuose).</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themeColor="text1"/>
          <w:szCs w:val="24"/>
        </w:rPr>
      </w:pPr>
      <w:r w:rsidRPr="00C00255">
        <w:rPr>
          <w:color w:val="000000" w:themeColor="text1"/>
          <w:szCs w:val="24"/>
        </w:rPr>
        <w:t>Apeliacinės instancijos teismo teisėjų kolegija, kaip jau buvo minėta, nustatė, kad esminės pirmosios instancijos teismo išvados dėl nuteistiesiems inkriminuotų nusikalstamų veikų ir nuteistųjų pripažinimo kaltais pagrįstos. Atskirų teismo nuosprendyje nustatytų faktinių aplinkybių pašalinimas (pvz., pripažinimas, kad atskiri asmenys, priešingai nei nustatė teismas, nedalyvavo planuojant karinę operaciją ir pan.) ar atskirų teismo išvadų pripažinimas nepagrįstomis bei neteisingomis (tokios apeliacinės instancijos teismo išvados nurodytos apibendrinančiose išvadose atskiruose šio sprendimo skyriuose) nesudarė pagrindo paneigti ar pakeisti pirmosios instancijos teismo išvadų dėl atskirų asmenų kaltės pagal jiems inkriminuotas ir atskiruose BK straipsniuose numatytas nusikalstamas veikas. Nepaisant jau minėtų skundžiamo nuosprendžio trūkumų ir byloje padarytų BPK 305 straipsnio reikalavimų pažeidimų, teisėjų kolegija neįžvelgė jokio pagrindo visą teismo nuosprendį laikyti neteisingu, jį naikinti ar keisti visa apimtimi</w:t>
      </w:r>
      <w:r w:rsidRPr="00C00255">
        <w:rPr>
          <w:color w:val="000000"/>
          <w:szCs w:val="24"/>
          <w:shd w:val="clear" w:color="auto" w:fill="FFFFFF"/>
        </w:rPr>
        <w:t>.</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Apeliacinės instancijos teismas, išnagrinėjęs šią bylą, nenustatė ir tokių įstatyme numatytų baudžiamojo proceso pažeidimų, kurie gali būti ištaisomi tik perduodant bylą į pirmesnę proceso stadiją (tokius pagrindus numato BPK 326 straipsnio 1 dalies 4 ir 5 punktai), o tai reiškia, kad visas nustatytas pirmosios instancijos teismo padarytas klaidas ir byloje padarytus pažeidimus, apeliacinės instancijos teismas galėjo ištaisyti apeliacinio proceso metu ir šiuo teismo sprendimu. </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pPr>
      <w:r w:rsidRPr="00C00255">
        <w:rPr>
          <w:szCs w:val="24"/>
        </w:rPr>
        <w:t xml:space="preserve">Teisėjų kolegija, suprasdama apeliantų argumentus dėl įstatyme įtvirtinto pakankamai trumpo termino apeliaciniams skundams paduoti, ribotos galimybės per 20 dienų terminą susipažinti su nagrinėjamoje byloje priimtu išties labai didelės apimties skundžiamu teismo nuosprendžiu ir jį pagrindžiančiais įrodymais, dar iki bylos nagrinėjimo apeliacinės instancijos teisme pradžios suteikė proceso dalyviams pakankamai daug laiko susipažinti su bylos medžiaga, leido tinkamai pasirengti bylos nagrinėjimui apeliacinės instancijos teisme. Atitinkamai teismo posėdžių metu teisėjų kolegija suteikė galimybę pasisakyti ir išklausė visų, net ir nuosprendžio neskundusių, proceso dalyvių argumentus dėl būtinybės byloje atlikti įrodymų tyrimą (tokių prašymų buvo, tačiau jie buvo labai siauros apimties, nereikalaujantys jokių naujų įrodymų tyrimo veiksmų, ar net nesusiję su būtinybe atlikti įrodymų tyrimą (pvz., dėl kreipimosi į Konstitucinį Teismą (plačiau apie tai pasisakyta 2020 m. rugsėjo 16 d. teismo priimtoje protokolinėje nutartyje)), išklausiusi gynybos baigiamąsias kalbas, pasiūlė prokurorams atsikirtimų metu konstruktyviai bei išsamiai pasisakyti dėl gynybos keliamų klausimų, dar kartą klausė gynybos argumentų ir pan. Taigi, teisėjų kolegija jau proceso metu vertino byloje apeliantų keltus klausimus dėl galimų baudžiamojo proceso teisės pažeidimų, suteikiant gynybai visas būtinas procesines garantijas tinkamai realizuoti savo teises, bylą nagrinėjant apeliacinės instancijos teisme. </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pPr>
      <w:r w:rsidRPr="007A28A5">
        <w:rPr>
          <w:szCs w:val="24"/>
        </w:rPr>
        <w:t>Teisėjų kolegija, ankstesnėse šio sprendimo dalyse aptardama byloje nustatytas faktines aplinkybes, pasisakydama dėl veikų kvalifikavimo ir analizuodama byloje pateiktus proceso dalyvių apeliacinių skundų argumentus, jau pasisakė dėl daugelio apeliantų akcentuotų baudžiamojo proceso teisės pažeidimų bei jų įtakos vertinant įrodymus, darant teismo išvadas ir priimant teismo sprendimą. Teisėjų kolegija ne kartą pasisakė apie</w:t>
      </w:r>
      <w:bookmarkStart w:id="893" w:name="_Hlk65599804"/>
      <w:r w:rsidRPr="007A28A5">
        <w:rPr>
          <w:szCs w:val="24"/>
        </w:rPr>
        <w:t xml:space="preserve"> gynybos itin dažnai keltą klausimą vertinant pačių nuteistųjų ir kitų buvusių TSRS kariškių parodymus apklausiant juos liudytojais (šio sprendimo 116 ir kt. pastraipos); apie TSRS pareigūnų surašytų dokumentų vertinimą (šio sprendimo 190 ir kt. pastraipos); </w:t>
      </w:r>
      <w:r w:rsidRPr="007A28A5">
        <w:t xml:space="preserve">apie atskirų asmenų </w:t>
      </w:r>
      <w:r w:rsidRPr="007A28A5">
        <w:rPr>
          <w:rFonts w:eastAsia="Calibri"/>
        </w:rPr>
        <w:t xml:space="preserve">kitame ikiteisminiame tyrime duotų parodymų vertinimą šioje byloje (šio sprendimo 284 pastraipa apie nuteistojo A. B. ir kitų tanko Nr. 511 įgulos narių – nuteistųjų A. R. ir V. U. 2 – parodymų vertinimą); apie netinkamai atliktą specialisto J. Andriškevičiaus apklausą pirmosios instancijos teisme, kai buvo nutraukti gynybos (konkrečiai, E. R. gynėjos) klausimai, specialisto prašant nurodyti konkrečius vaizdo įrašus ir vietas, susijusias su tankų veiksmais (šio sprendimo 339 pastraipa); apie nepakankamą byloje esančios vaizdinės medžiagos ištyrimą teisminio nagrinėjimo metu (šio sprendimo 297 ir kt. pastraipos); apie nepakankamą bylos aplinkybių ištyrimą, neišreikalaujant ir prie nagrinėjamos baudžiamosios neprijungiant kitoje </w:t>
      </w:r>
      <w:r w:rsidRPr="007A28A5">
        <w:rPr>
          <w:lang w:bidi="lt-LT"/>
        </w:rPr>
        <w:t xml:space="preserve">baudžiamojoje byloje Nr. </w:t>
      </w:r>
      <w:r w:rsidRPr="007A28A5">
        <w:rPr>
          <w:lang w:eastAsia="ru-RU" w:bidi="ru-RU"/>
        </w:rPr>
        <w:t>1-410-88/2011 duotų proceso dalyvių parodymų (</w:t>
      </w:r>
      <w:r w:rsidRPr="007A28A5">
        <w:rPr>
          <w:rFonts w:eastAsia="Calibri"/>
        </w:rPr>
        <w:t>šio sprendimo 560–561 pastraipos); apie nuteistuosius teisinančių įrodymų neįvertinimą (šio sprendimo 385, 517, 800 ir kt. pastraipos); apie asmenų lygybės prieš įstatymą principo laikymąsi ir gynėjų dažnai keltą ne visų kariškių patraukimo atsakomybėn klausimą (šio sprendimo 1141–1150 pastraipos); apie nuteistojo O. M. anketinius duomenis (pavardės) ir jo asmenybės tinkamą nustatymą (šio sprendimo 604 pastraipa); apie neatliktą specialistų tyrimą, siekiant išsiaiškinti dėl inkriminuotų kulkų pavojingumo ir draudžiamo pobūdžio (šio sprendimo 1090.5 pastraipa), apie byloje peržengtas kaltinimo ribas (šio sprendimo 787, 846 ir kt. pastraipos); apie nuteistųjų kaltės pagrindimą prielaidomis, taip pažeidžiant nekaltumo prezumpciją ir</w:t>
      </w:r>
      <w:r w:rsidRPr="007A28A5">
        <w:rPr>
          <w:rFonts w:eastAsia="Calibri"/>
          <w:szCs w:val="24"/>
        </w:rPr>
        <w:t xml:space="preserve"> </w:t>
      </w:r>
      <w:r w:rsidRPr="007A28A5">
        <w:rPr>
          <w:rFonts w:eastAsia="Calibri"/>
          <w:i/>
          <w:szCs w:val="24"/>
        </w:rPr>
        <w:t xml:space="preserve">in dubio pro reo </w:t>
      </w:r>
      <w:r w:rsidRPr="007A28A5">
        <w:rPr>
          <w:rFonts w:eastAsia="Calibri"/>
          <w:szCs w:val="24"/>
        </w:rPr>
        <w:t xml:space="preserve">principą </w:t>
      </w:r>
      <w:r w:rsidRPr="007A28A5">
        <w:rPr>
          <w:rFonts w:eastAsia="Calibri"/>
        </w:rPr>
        <w:t xml:space="preserve">(buvo įvardinti ir aptarti nuteistųjų dalyvavimą ir jų vaidmenį tiriamuose įvykiuose pagrindžiantys konkretūs ir pakankami įrodymai ir pan. (šio sprendimo 625 ir kt. pastraipos), apie pirmosios instancijos teismo nuosprendžio nustatomosios dalies neaiškumą, prieštaringumą ir kitus nuosprendžio trūkumus (šio sprendimo 81–83 ir kt. pastraipos), todėl šiais aspektais plačiau nesikartos arba juos aptars tik tiek, kiek tai būtina, analizuojant kitus plačiau neaptartus apeliacinių skundų aspektus. </w:t>
      </w:r>
      <w:bookmarkEnd w:id="893"/>
    </w:p>
    <w:p w:rsidR="00DA38E9" w:rsidRPr="00C00255" w:rsidRDefault="00DA38E9" w:rsidP="007A28A5">
      <w:pPr>
        <w:pStyle w:val="ListParagraph"/>
        <w:numPr>
          <w:ilvl w:val="0"/>
          <w:numId w:val="6"/>
        </w:numPr>
        <w:overflowPunct/>
        <w:autoSpaceDE/>
        <w:autoSpaceDN/>
        <w:adjustRightInd/>
        <w:spacing w:before="120" w:after="120"/>
        <w:ind w:left="992" w:hanging="992"/>
        <w:contextualSpacing w:val="0"/>
      </w:pPr>
      <w:r w:rsidRPr="007A28A5">
        <w:rPr>
          <w:rFonts w:eastAsia="Calibri"/>
          <w:szCs w:val="24"/>
        </w:rPr>
        <w:t>Dalis jau minėtų, o taip pat ir kitų byloje akcentuojamų ir plačiau neaptartų baudžiamojo proceso teisės pažeidimų pagal apeliaciniuose skunduose keliamų klausimų svarbą ir skirtingus nurodomų pažeidimų aspektus reikalauja detalesnio dėmesio, todėl teisėjų kolegija juos aptars ir atskirai.</w:t>
      </w:r>
    </w:p>
    <w:p w:rsidR="00DA38E9" w:rsidRPr="00C00255" w:rsidRDefault="00DA38E9" w:rsidP="00DA38E9">
      <w:pPr>
        <w:pStyle w:val="Heading3"/>
        <w:spacing w:before="120" w:after="120"/>
        <w:ind w:left="992"/>
        <w:jc w:val="both"/>
        <w:rPr>
          <w:b w:val="0"/>
          <w:i/>
          <w:sz w:val="24"/>
          <w:lang w:val="lt-LT"/>
        </w:rPr>
      </w:pPr>
      <w:bookmarkStart w:id="894" w:name="_Toc66862776"/>
      <w:bookmarkStart w:id="895" w:name="_Toc67677441"/>
      <w:bookmarkStart w:id="896" w:name="_Toc67985569"/>
      <w:r w:rsidRPr="00C00255">
        <w:rPr>
          <w:b w:val="0"/>
          <w:i/>
          <w:sz w:val="24"/>
          <w:lang w:val="lt-LT"/>
        </w:rPr>
        <w:t>Dėl kaltinamojo akto atitikimo BPK 219 straipsnio reikalavimams ir prašymų grąžinti bylą prokurorui ar teismui nagrinėti iš naujo</w:t>
      </w:r>
      <w:bookmarkEnd w:id="894"/>
      <w:bookmarkEnd w:id="895"/>
      <w:bookmarkEnd w:id="896"/>
      <w:r w:rsidRPr="00C00255">
        <w:rPr>
          <w:b w:val="0"/>
          <w:i/>
          <w:sz w:val="24"/>
          <w:lang w:val="lt-LT"/>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Dalis gynėjų apeliaciniuose skunduose teigia, kad ikiteisminio tyrimo metu buvo surašytas BPK 219 straipsnio reikalavimų neatitinkantis kaltinamasis aktas ir dėl to pažeista nuteistųjų teisė į gynybą, o nuteistojo </w:t>
      </w:r>
      <w:r>
        <w:rPr>
          <w:szCs w:val="24"/>
        </w:rPr>
        <w:t>V. K. 1</w:t>
      </w:r>
      <w:r w:rsidRPr="00C00255">
        <w:rPr>
          <w:szCs w:val="24"/>
        </w:rPr>
        <w:t xml:space="preserve"> gynėja dėl kaltinamojo akto trūkumų prašo bylą grąžinti prokurorui. Apeliaciniuose skunduose esminiais kaltinamojo akto trūkumais įvardijama tai, kad visiems nuteistiesiems buvo pareikštas vienodas kaltinimas, nepakankamai individualizuoti atskirų kaltinamųjų veiksmai, už kuriuos jie traukiami baudžiamojon atsakomybėn,</w:t>
      </w:r>
      <w:r w:rsidRPr="00C00255">
        <w:t xml:space="preserve"> </w:t>
      </w:r>
      <w:r w:rsidRPr="00C00255">
        <w:rPr>
          <w:szCs w:val="24"/>
        </w:rPr>
        <w:t>neaišku kokius veiksmus atliko kiekvienas nuteistasis ir kokios pasekmės dėl jų kilo, neišdėstyti konkrečių kaltinamųjų kaltę pagrindžiantys įrodymai.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BPK 326 straipsnio 1 dalies 5 punkte nustatyta, kad apeliacinės instancijos teismas, išnagrinėjęs baudžiamąją bylą apeliacine tvarka, priima nutartį panaikinti nuosprendį ir perduoti bylą prokurorui, kai ikiteisminio tyrimo metu buvo surašytas iš esmės BPK 219 straipsnio reikalavimų neatitinkantis kaltinamasis aktas ir tai trukdo nagrinėti bylą. BPK 219 straipsnio 3 punkte nustatyta, kad kaltinamajame akte nurodomas nusikalstamos veikos aprašymas: padarytos nusikalstamos veikos vieta, laikas, būdai, padariniai ir kitos svarbios aplinkybės; duomenys apie nukentėjusįjį (vardas, pavardė ir gimimo data); įtariamojo atsakomybę lengvinančios ir sunkinančios aplinkybės. Iš kaltinamajame akte išdėstyto nusikalstamos veikos aprašymo turi būti aiškios kaltininkui inkriminuojamos nusikalstamos veikos aplinkybės (tiek, kiek jos nustatytos ikiteisminio tyrimo duomenimis), iš kurių sprendžiama apie jos sudėtį sudarančių požymių buvimą ar nebuvimą. Nusikalstamos veikos faktinių aplinkybių išdėstymą lemia BK specialiosios dalies straipsnio dispozicijoje nurodyti veikos požymiai, todėl kaltinamajame akte turi būti nurodyti tie faktai (aplinkybės), kurie yra būtini tam, kad nekiltų abejonių dėl jų teisinio vertinimo taikant baudžiamąjį įstatymą. Teismų praktikoje pripažįstama, kad kaltinamasis aktas neatitinka BPK 219 straipsnyje nustatytų reikalavimų, kai </w:t>
      </w:r>
      <w:bookmarkStart w:id="897" w:name="_Hlk66637542"/>
      <w:r w:rsidRPr="00C00255">
        <w:rPr>
          <w:szCs w:val="24"/>
        </w:rPr>
        <w:t>jame nenurodytos arba neteisingai nurodytos BPK 219 straipsnio 3 punkte išvardytos ar kitos svarbios veikos faktinės aplinkybės</w:t>
      </w:r>
      <w:bookmarkEnd w:id="897"/>
      <w:r w:rsidRPr="00C00255">
        <w:rPr>
          <w:szCs w:val="24"/>
        </w:rPr>
        <w:t>, turinčios atitikti baudžiamajame įstatyme įtvirtintus nusikalstamos veikos požymius, ir šie trūkumai trukdo teismui nagrinėti bylą, ir (ar) dėl to suvaržoma kaltinamojo teisė į gynybą, be to, šių trūkumų negalima ištaisyti nagrinėjant bylą teisme (LAT nutartys baudžiamosiose bylose Nr. 2K-141-693/2018, 2K-264-689/2018, 2K-61-689/2020).</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Jau ankstesnėse šio sprendimo dalyse apeliacinės instancijos teismas išreiškė poziciją, kad kaltinamasis aktas šioje byloje yra itin didelės apimties, sudėtingas, jame pateikiamos ir perteklinės faktinės aplinkybės, tiesiogiai nesusijusios su nuteistiesiems inkriminuotomis nusikalstamomis veikomis, tačiau išsamiau iliustruojančios šioje byloje nagrinėjamų įvykių kontekstą. Prokurorų pasirinktas inkriminuotų nusikalstamų veikų dėstymo būdas, kai visiems kaltinamiesiems buvo išdėstytas vienodas kaltinimas, apimantis visus nuteistiesiems inkriminuojamų nusikalstamų veikų etapus (planavimą, organizavimą, koordinavimą, vykdymą, pasekmes), iš tiesų apsunkino kaltinimą, tačiau tokį kaltinimų dėstymo būdą iš dalies nulėmė kaltinamiesiems inkriminuojamų nusikalstamų veikų pobūdis (inkriminuotas bendras kaltinamųjų veikimas, net jei atskiri asmenys tiesiogiai nedalyvavo atskiruose karinės operacijos etapuose); dauguma kaltinamųjų – profesionalūs kariškiai, veikę karinėje struktūroje, kurioje egzistuoja subordinacijos santykiai). Teisėjų kolegijos vertinimu, kitokia kaltinimo konstrukcija, jei kaltinamajame akte kiekvienam kaltinamajam pareikštame kaltinime būtų nurodyti tik asmeniškai konkretaus kaltinamojo atlikti veiksmai, kaltinimas nebūtų tikslus, kadangi kaltinamųjų atliktų veiksmų teisinis vertinimas šioje baudžiamojoje byloje yra neatsiejamas ir nuo kitų kartu tam tikra forma veikusių kaltinamųjų veiksmų. Todėl kaltinime turėjo būti atskleista visa karinės operacijos eiga, atskiros jos stadijos, ryšiai tarp atskirų kaltinamųjų, karinių dalinių ir pan., tačiau pripažintina, kad galėjo būti išvengta perteklinių aplinkybių aprašymo.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iCs/>
          <w:szCs w:val="24"/>
        </w:rPr>
      </w:pPr>
      <w:r w:rsidRPr="00C00255">
        <w:rPr>
          <w:szCs w:val="24"/>
        </w:rPr>
        <w:t xml:space="preserve">Teisėjų kolegijos vertinimu, kaltinamajame akte yra nurodyti visi pagal BPK 219 straipsnį privalomi kaltinamojo akto turinio elementai, o vien prokuratūros pasirinkta sudėtinga šių turinio elementų išdėstymo forma nelemia esminių kaltinamojo akto trūkumų, kurie trukdytų nagrinėti bylą teisme, todėl nėra pagrindo konstatuoti, kad šioje baudžiamojoje byloje surašytas kaltinamasis aktas iš esmės neatitinka BPK 219 straipsnio reikalavimų ir kad sudėtinga kaltinamojo akto struktūra </w:t>
      </w:r>
      <w:r w:rsidRPr="00C00255">
        <w:rPr>
          <w:iCs/>
          <w:szCs w:val="24"/>
        </w:rPr>
        <w:t>suvaržė kaltinamųjų teisę į gynybą</w:t>
      </w:r>
      <w:r w:rsidRPr="00C00255">
        <w:rPr>
          <w:szCs w:val="24"/>
        </w:rPr>
        <w:t xml:space="preserve">. Be to, teisėjų kolegija atkreipia dėmesį ir į tai, kad nagrinėjant bylą apygardos teisme 2016 m. vasario 8 d. vykusiame teisiamajame posėdyje, prokurorams perskaičius kaltinamąjį aktą (sutrumpintai išdėsčius turinį ir nurodžius kaltinimo esmę), teisiamajame posėdyje dalyvavę kaltinamieji </w:t>
      </w:r>
      <w:r>
        <w:rPr>
          <w:szCs w:val="24"/>
        </w:rPr>
        <w:t xml:space="preserve">G. I. </w:t>
      </w:r>
      <w:r w:rsidRPr="00C00255">
        <w:rPr>
          <w:szCs w:val="24"/>
        </w:rPr>
        <w:t xml:space="preserve"> ir </w:t>
      </w:r>
      <w:r>
        <w:rPr>
          <w:szCs w:val="24"/>
        </w:rPr>
        <w:t>J. M.</w:t>
      </w:r>
      <w:r w:rsidRPr="00C00255">
        <w:rPr>
          <w:szCs w:val="24"/>
        </w:rPr>
        <w:t xml:space="preserve"> nurodė supratę kuo kaltinami. Kitų kaltinamųjų gynėjai taip pat neišreiškė jokių abejonių dėl nuteistiesiems pareikšto kaltinimo (t. 756, b. l. 16–21). Taigi kaltinimas, nepaisant jo sudėtingumo, buvo suprantamas, todėl pirmosios instancijos teismas, remdamasis byloje surinktais ir teisme ištirtais įrodymais, </w:t>
      </w:r>
      <w:r w:rsidRPr="00C00255">
        <w:rPr>
          <w:iCs/>
          <w:szCs w:val="24"/>
        </w:rPr>
        <w:t xml:space="preserve">nustatęs, kad nuteistieji padarė jiems inkriminuotas nusikalstamas veikas, </w:t>
      </w:r>
      <w:r w:rsidRPr="00C00255">
        <w:rPr>
          <w:szCs w:val="24"/>
        </w:rPr>
        <w:t>priėmė skundžiamą nuosprendį, kuriame inkriminuotų nusikalstamų veikų aplinkybės aprašytos, stengiantis išlaikyti prokurorų pateikto kaltinimo konstrukciją, nekeičiant jos iš esmės (toks reikalavimas nurodomas ir teismų praktikoje, nes teismo nuosprendyje i</w:t>
      </w:r>
      <w:r w:rsidRPr="00C00255">
        <w:rPr>
          <w:bCs/>
          <w:szCs w:val="24"/>
        </w:rPr>
        <w:t>šdėstomos nusikalstamos veikos padarymo faktinės aplinkybės negali iš esmės skirtis nuo nusikalstamos veikos aprašymo kaltinamajame akte ar nustatyta tvarka teisme pakeisto kaltinimo (BPK 256 straipsnis)</w:t>
      </w:r>
      <w:r w:rsidRPr="00C00255">
        <w:rPr>
          <w:bCs/>
          <w:szCs w:val="24"/>
          <w:lang w:eastAsia="lt-LT"/>
        </w:rPr>
        <w:t xml:space="preserve"> (LAT</w:t>
      </w:r>
      <w:r w:rsidRPr="00C00255">
        <w:rPr>
          <w:bCs/>
          <w:szCs w:val="24"/>
        </w:rPr>
        <w:t xml:space="preserve"> nutartis baudžiamojoje byloje Nr. 2K-153/2008 ir </w:t>
      </w:r>
      <w:r w:rsidRPr="00C00255">
        <w:rPr>
          <w:szCs w:val="24"/>
        </w:rPr>
        <w:t xml:space="preserve">2020 m. spalio 27 d. Baudžiamojo proceso kodekso normų, reglamentuojančių nuosprendžių surašymą, apžvalgos (BPK 302–305, 307 straipsniai) (Teismų praktika Nr. 53) 8.1.3 p.)). Taigi, jokių kliūčių nagrinėti bylą apygardos teisme dėl kaltinamojo akto trūkumų nebuvo, o jos gražinimas prokurorams būtų aiškiai nepagrįstas ir reikštų proceso vilkinimą, todėl </w:t>
      </w:r>
      <w:r w:rsidRPr="00C00255">
        <w:rPr>
          <w:iCs/>
          <w:szCs w:val="24"/>
        </w:rPr>
        <w:t>prašymas dėl nuosprendžio panaikinimo ir bylos perdavimo prokurorui atmestinas.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Nuteistojo </w:t>
      </w:r>
      <w:r>
        <w:rPr>
          <w:szCs w:val="24"/>
        </w:rPr>
        <w:t>J. O.</w:t>
      </w:r>
      <w:r w:rsidRPr="00C00255">
        <w:rPr>
          <w:szCs w:val="24"/>
        </w:rPr>
        <w:t xml:space="preserve"> gynėjas apeliaciniame skunde,</w:t>
      </w:r>
      <w:r w:rsidRPr="00C00255">
        <w:t xml:space="preserve"> </w:t>
      </w:r>
      <w:r w:rsidRPr="00C00255">
        <w:rPr>
          <w:szCs w:val="24"/>
        </w:rPr>
        <w:t xml:space="preserve">prašydamas panaikinti pirmosios instancijos teismo nuosprendį ir bylą perduoti nagrinėti iš naujo, nurodė ir tai, kad baudžiamoji byla negalėjo būti išnagrinėta, neįvertinus </w:t>
      </w:r>
      <w:r>
        <w:rPr>
          <w:szCs w:val="24"/>
        </w:rPr>
        <w:t>M. G.</w:t>
      </w:r>
      <w:r w:rsidRPr="00C00255">
        <w:rPr>
          <w:szCs w:val="24"/>
        </w:rPr>
        <w:t xml:space="preserve"> veiksmų baudžiamųjų įstatymų kontekste, nes tuometis TSRS vadovas </w:t>
      </w:r>
      <w:r>
        <w:rPr>
          <w:szCs w:val="24"/>
        </w:rPr>
        <w:t>M. G.</w:t>
      </w:r>
      <w:r w:rsidRPr="00C00255">
        <w:rPr>
          <w:szCs w:val="24"/>
        </w:rPr>
        <w:t xml:space="preserve"> taip pat vykdė tas pačias veikas ir darė įtaką dėl inkriminuotų nusikaltimų darymo.</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pPr>
      <w:r w:rsidRPr="00C00255">
        <w:rPr>
          <w:szCs w:val="24"/>
        </w:rPr>
        <w:t>Šiame sprendime teisėjų kolegija jau minėjo, kad konkrečios bylos nagrinėjimo teisme ribos nustatomos prokuroro surašytame kaltinamajame akte, o perdavus bylą į teismą – teisėjo nutartyje perduoti bylą nagrinėti teisiamajame posėdyje, kad byla teisme nagrinėjama tik dėl tų kaltinamųjų ir tik dėl tų nusikalstamų veikų, dėl kurių ji perduota nagrinėti teisiamajame posėdyje (plačiau apie tai pasisakyta šio sprendimo dalyse „</w:t>
      </w:r>
      <w:r w:rsidRPr="00C00255">
        <w:rPr>
          <w:i/>
          <w:szCs w:val="24"/>
        </w:rPr>
        <w:t>Dėl asmenų lygybės prieš įstatymą principo pažeidimo</w:t>
      </w:r>
      <w:r w:rsidRPr="00C00255">
        <w:rPr>
          <w:szCs w:val="24"/>
        </w:rPr>
        <w:t>“ i</w:t>
      </w:r>
      <w:r w:rsidRPr="00C00255">
        <w:t>r „</w:t>
      </w:r>
      <w:r w:rsidRPr="00C00255">
        <w:rPr>
          <w:i/>
          <w:szCs w:val="24"/>
        </w:rPr>
        <w:t xml:space="preserve">Dėl kaltinimų buvusiam TSRS vadovui </w:t>
      </w:r>
      <w:r>
        <w:rPr>
          <w:i/>
          <w:szCs w:val="24"/>
        </w:rPr>
        <w:t>M. G.</w:t>
      </w:r>
      <w:r w:rsidRPr="00C00255">
        <w:rPr>
          <w:szCs w:val="24"/>
        </w:rPr>
        <w:t>“).</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Vien ta aplinkybė, kad baudžiamojoje byloje nebuvo išspręstas, pasak gynėjo, galimai nusikalstamas veikas taip pat padariusio </w:t>
      </w:r>
      <w:r>
        <w:rPr>
          <w:szCs w:val="24"/>
        </w:rPr>
        <w:t>M. G.</w:t>
      </w:r>
      <w:r w:rsidRPr="00C00255">
        <w:rPr>
          <w:szCs w:val="24"/>
        </w:rPr>
        <w:t xml:space="preserve"> atsakomybės klausimas, teisėjų kolegijai nesuteikia pagrindo konstatuoti, kad pirmosios instancijos teismas negalėjo pagal byloje surinktus įrodymus ir nustatytas faktines aplinkybes spręsti klausimo dėl nuteistojo </w:t>
      </w:r>
      <w:r>
        <w:rPr>
          <w:szCs w:val="24"/>
        </w:rPr>
        <w:t>J. O.</w:t>
      </w:r>
      <w:r w:rsidRPr="00C00255">
        <w:rPr>
          <w:szCs w:val="24"/>
        </w:rPr>
        <w:t xml:space="preserve"> (kaip ir kitų nuteistųjų) baudžiamosios atsakomybės pagal jam inkriminuotas nusikalstamas veikas. Be to, pažymėtina, kad BPK 326 straipsnio 1 dalies 4 punkte yra išdėstyti atvejai, kuriais apeliacinės instancijos teismas gali priimti sprendimą panaikinti nuosprendį ir perduoti bylą iš naujo nagrinėti pirmosios instancijos teismui: bylą išnagrinėjo šališkas teismas; pažeistos teismingumo taisyklės; paaiškėja, kad nuteistajam turėjo būti taikytos priverčiamosios medicinos priemonės; nustatyta, kad veikos faktinės aplinkybės iš esmės skiriasi nuo pirmosios instancijos teismo nustatytųjų, ir tai gali lemti nuteistojo padėties pabloginimą ir bylos nagrinėjimo apeliacine tvarka ribų peržengimą. Taigi, baudžiamojo proceso įstatymas nesuteikia apeliacinės instancijos teismui teisės grąžinti bylą iš naujo nagrinėti pirmosios instancijos teismui, nustačius, kad baudžiamojoje byloje kaltinimai nebuvo pareikšti kitiems, galimai kartu nusikalstamas veikas padariusiems asmenims, todėl </w:t>
      </w:r>
      <w:r>
        <w:rPr>
          <w:szCs w:val="24"/>
        </w:rPr>
        <w:t>J. O.</w:t>
      </w:r>
      <w:r w:rsidRPr="00C00255">
        <w:rPr>
          <w:szCs w:val="24"/>
        </w:rPr>
        <w:t xml:space="preserve"> gynėjo prašymas dėl bylos gražinimo pirmosios instancijos teismui nagrinėti iš naujo atmetamas.</w:t>
      </w:r>
    </w:p>
    <w:p w:rsidR="00DA38E9" w:rsidRPr="00C00255" w:rsidRDefault="00DA38E9" w:rsidP="00DA38E9">
      <w:pPr>
        <w:pStyle w:val="Heading3"/>
        <w:spacing w:before="120" w:after="120"/>
        <w:ind w:firstLine="992"/>
        <w:jc w:val="both"/>
        <w:rPr>
          <w:b w:val="0"/>
          <w:i/>
          <w:sz w:val="24"/>
          <w:lang w:val="lt-LT"/>
        </w:rPr>
      </w:pPr>
      <w:bookmarkStart w:id="898" w:name="_Toc66862777"/>
      <w:bookmarkStart w:id="899" w:name="_Toc67677442"/>
      <w:bookmarkStart w:id="900" w:name="_Toc67985570"/>
      <w:r w:rsidRPr="00C00255">
        <w:rPr>
          <w:b w:val="0"/>
          <w:i/>
          <w:sz w:val="24"/>
          <w:lang w:val="lt-LT"/>
        </w:rPr>
        <w:t>Dėl pirmosios instancijos teismo šališkumo ir proceso politinio pobūdžio</w:t>
      </w:r>
      <w:bookmarkEnd w:id="898"/>
      <w:bookmarkEnd w:id="899"/>
      <w:bookmarkEnd w:id="900"/>
      <w:r w:rsidRPr="00C00255">
        <w:rPr>
          <w:b w:val="0"/>
          <w:i/>
          <w:sz w:val="24"/>
          <w:lang w:val="lt-LT"/>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Dalyje apeliacinių skundų teigiama, kad pirmosios instancijos teismas buvo šališkas. Teismo šališkumas apeliaciniuose skunduose grindžiamas šiais motyvais: teisėjų kolegijos pirmininkė teisėja Ainora Kornelija Macevičienė turėjo išankstinį nusistatymą dėl bylos baigties ir apie tai liudija publikacija žurnale TEISMAI.LT; teismas netenkino gynybos prašymų arba juos tenkino tik formaliai; nuosprendyje teismas nepasisakė dėl gynybos argumentų; įrodymus vertino selektyviai, prioritetą suteikdamas kaltinantiems duomenims; teismo išvados neatitinka faktinių bylos aplinkybių. Šie apeliacinių skundų argumentai atmetami kaip nepagrįsti.</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Lietuvos Respublikos Konstitucijos 31 straipsnio 2 dalyje ir Žmogaus teisių ir pagrindinių laisvių apsaugos konvencijos 6 straipsnio 1 dalyje įtvirtinta asmens, kaltinamo padarius nusikalstamą veiką, teisė, kad jo bylą viešai ir teisingai išnagrinėtų nepriklausomas ir nešališkas teismas. Teismo nešališkumo principo esmė – nagrinėjantis bylą teismas negali turėti ir rodyti bet kokio palankumo vienai iš proceso šalių. Baudžiamajame procese teismo nešališkumo principas pirmiausia suvokiamas kaip suinteresuotų bylos baigtimi proceso dalyvių, ypač kaltinamojo, garantija į tai, kad baudžiamoji byla būtų išnagrinėta teismo, neturinčio ir neišreiškiančio jokio išankstinio nusistatymo dėl proceso dalyvių (LAT nutartys baudžiamosiose bylose Nr. 2K-388/2014, 2K-181-648/2019). Teismų praktikoje yra išaiškinta, kad teismo nešališkumo reikalavimas turi du aspektus – objektyvųjį ir subjektyvųjį. Vertinant nešališkumą subjektyviuoju (kitaip dar vadinamą asmeniniu) aspektu, turi būti nustatyta, ar yra realių faktų, kurie kelia abejonių dėl teisėjo nešališkumo ar rodo bylą nagrinėjusio teisėjo asmeninį tendencingumą. Objektyvus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(LAT nutartys baudžiamosiose bylose Nr. 2K-132/2015, 2K-7-124-648/2015, 2K-181-648/2019).</w:t>
      </w:r>
      <w:r w:rsidRPr="00C00255">
        <w:t xml:space="preserve"> </w:t>
      </w:r>
      <w:r w:rsidRPr="00C00255">
        <w:rPr>
          <w:szCs w:val="24"/>
        </w:rPr>
        <w:t>Nagrinėjamoje byloje nėra jokio pagrindo konstatuoti nei apkaltinamąjį nuosprendį priėmusio teismo ar atskirų teisėjų tendencingumo, nei daryti išvadų apie nešališkumo principo pažeidimą objektyviuoju aspektu.</w:t>
      </w:r>
    </w:p>
    <w:p w:rsidR="00DA38E9" w:rsidRPr="00C00255" w:rsidRDefault="00DA38E9" w:rsidP="00DA38E9">
      <w:pPr>
        <w:pStyle w:val="ListParagraph"/>
        <w:numPr>
          <w:ilvl w:val="0"/>
          <w:numId w:val="6"/>
        </w:numPr>
        <w:tabs>
          <w:tab w:val="left" w:pos="1843"/>
        </w:tabs>
        <w:overflowPunct/>
        <w:autoSpaceDE/>
        <w:autoSpaceDN/>
        <w:adjustRightInd/>
        <w:spacing w:before="120" w:after="120"/>
        <w:ind w:left="992" w:hanging="992"/>
        <w:contextualSpacing w:val="0"/>
        <w:rPr>
          <w:szCs w:val="24"/>
          <w:lang w:bidi="lt-LT"/>
        </w:rPr>
      </w:pPr>
      <w:r w:rsidRPr="00C00255">
        <w:rPr>
          <w:szCs w:val="24"/>
          <w:lang w:bidi="lt-LT"/>
        </w:rPr>
        <w:t>BPK 58 straipsnio 1 dalis reglamentuoja bendruosius nušalinimo pagrindus, dėl kurių BPK 57 straipsnio 2 dalyje išvardyti asmenys, taip pat teisėjas, negali dalyvauti baudžiamajame procese. BPK 58 straipsnio 1 dalies 4 punkte nustatyta, kad vienas iš nušalinimo pagrindų yra, kai proceso dalyviai motyvuotai nurodo kitokias, į BPK 58 straipsnio 1 dalies 1–3 punktų reguliavimo sritį nepatenkančias, aplinkybes, keliančias pagrįstų abejonių BPK 57 straipsnio 2 dalyje nurodyto asmens nešališkumu. Šios BPK normos turinys reiškia, kad baudžiamojo proceso įstatymas nepateikia baigtinio nušalinimą pagrindžiančių aplinkybių sąrašo ir BPK</w:t>
      </w:r>
      <w:r>
        <w:rPr>
          <w:szCs w:val="24"/>
          <w:lang w:bidi="lt-LT"/>
        </w:rPr>
        <w:t> </w:t>
      </w:r>
      <w:r w:rsidRPr="00C00255">
        <w:rPr>
          <w:szCs w:val="24"/>
          <w:lang w:bidi="lt-LT"/>
        </w:rPr>
        <w:t>57</w:t>
      </w:r>
      <w:r>
        <w:rPr>
          <w:szCs w:val="24"/>
          <w:lang w:bidi="lt-LT"/>
        </w:rPr>
        <w:t> </w:t>
      </w:r>
      <w:r w:rsidRPr="00C00255">
        <w:rPr>
          <w:szCs w:val="24"/>
          <w:lang w:bidi="lt-LT"/>
        </w:rPr>
        <w:t>straipsnio 2 dalyje išvardinti asmenys, taip pat teisėjas, privalo nusišalinti dėl bet kokios pagrįstų abejonių jo nešališkumu keliančios aplinkybės, jeigu ją argumentuotai nurodo proceso dalyviai. Šiuo aspektu atsižvelgiama į konkretaus teisėjo asmeninį nusistatymą ir elgesį, t. y. į tai, ar jis konkrečioje byloje yra asmeniškai iš anksto nusistatęs ar tendencingas. EŽTT praktikoje suformuotas principas, kad asmeninis teisėjo nešališkumas turi būti preziumuojamas, kiekvienas teisėjas laikomas nešališku, kol nėra įrodyta priešingai (EŽTT</w:t>
      </w:r>
      <w:r>
        <w:rPr>
          <w:szCs w:val="24"/>
          <w:lang w:bidi="lt-LT"/>
        </w:rPr>
        <w:t> </w:t>
      </w:r>
      <w:r w:rsidRPr="00C00255">
        <w:rPr>
          <w:szCs w:val="24"/>
          <w:lang w:bidi="lt-LT"/>
        </w:rPr>
        <w:t xml:space="preserve">sprendimas byloje </w:t>
      </w:r>
      <w:r w:rsidRPr="00C00255">
        <w:rPr>
          <w:i/>
          <w:iCs/>
          <w:szCs w:val="24"/>
          <w:lang w:bidi="lt-LT"/>
        </w:rPr>
        <w:t>Micallef prieš Maltą</w:t>
      </w:r>
      <w:r w:rsidRPr="00C00255">
        <w:rPr>
          <w:szCs w:val="24"/>
          <w:lang w:bidi="lt-LT"/>
        </w:rPr>
        <w:t>, peticijos</w:t>
      </w:r>
      <w:r w:rsidRPr="00C00255">
        <w:t xml:space="preserve"> </w:t>
      </w:r>
      <w:r w:rsidRPr="00C00255">
        <w:rPr>
          <w:szCs w:val="24"/>
          <w:lang w:bidi="lt-LT"/>
        </w:rPr>
        <w:t xml:space="preserve">Nr. 17056/06 ir kt.). </w:t>
      </w:r>
    </w:p>
    <w:p w:rsidR="00DA38E9" w:rsidRPr="00C00255" w:rsidRDefault="00DA38E9" w:rsidP="00DA38E9">
      <w:pPr>
        <w:pStyle w:val="ListParagraph"/>
        <w:numPr>
          <w:ilvl w:val="1"/>
          <w:numId w:val="6"/>
        </w:numPr>
        <w:tabs>
          <w:tab w:val="left" w:pos="1843"/>
        </w:tabs>
        <w:overflowPunct/>
        <w:autoSpaceDE/>
        <w:autoSpaceDN/>
        <w:adjustRightInd/>
        <w:spacing w:before="120" w:after="120"/>
        <w:ind w:left="992" w:hanging="992"/>
        <w:contextualSpacing w:val="0"/>
        <w:rPr>
          <w:szCs w:val="24"/>
          <w:lang w:bidi="lt-LT"/>
        </w:rPr>
      </w:pPr>
      <w:r w:rsidRPr="00C00255">
        <w:rPr>
          <w:szCs w:val="24"/>
          <w:lang w:bidi="lt-LT"/>
        </w:rPr>
        <w:t xml:space="preserve">Nuteistojo </w:t>
      </w:r>
      <w:r>
        <w:rPr>
          <w:szCs w:val="24"/>
          <w:lang w:bidi="lt-LT"/>
        </w:rPr>
        <w:t>E. R.</w:t>
      </w:r>
      <w:r w:rsidRPr="00C00255">
        <w:rPr>
          <w:szCs w:val="24"/>
          <w:lang w:bidi="lt-LT"/>
        </w:rPr>
        <w:t xml:space="preserve"> gynėjos ir nuteistojo </w:t>
      </w:r>
      <w:r>
        <w:rPr>
          <w:szCs w:val="24"/>
          <w:lang w:bidi="lt-LT"/>
        </w:rPr>
        <w:t>A. G. 1</w:t>
      </w:r>
      <w:r w:rsidRPr="00C00255">
        <w:rPr>
          <w:szCs w:val="24"/>
          <w:lang w:bidi="lt-LT"/>
        </w:rPr>
        <w:t xml:space="preserve"> bei jo gynėjo apeliaciniuose skunduose pirmosios instancijos teismo šališkumas grindžiamas bylą nagrinėjusios teisėjos A. K. Macevičienės interviu, duoto žurnalui „TEISMAI.LT“ (2016 m. kovas, Nr. 1(21), 19 p.), metu neva šios teisėjos išsakytu teiginiu, kad „baudžiamojon atsakomybėn patraukti asmenys bus teisiami už akių ir visą likusį gyvenimą pragyvens savo šalyje, iš kurios negalės išvykti“. Apeliacinės instancijos teismas, susipažino su Lietuvos teismų internetiniame puslapyje pateikta minėto žurnalo elektronine versija ir jo 19 puslapyje išspausdintu interviu su teisėja A. K. Macevičiene </w:t>
      </w:r>
      <w:r w:rsidRPr="00C00255">
        <w:rPr>
          <w:szCs w:val="24"/>
        </w:rPr>
        <w:t xml:space="preserve">(žr. </w:t>
      </w:r>
      <w:r w:rsidRPr="00C00255">
        <w:rPr>
          <w:rFonts w:eastAsia="Batang"/>
          <w:szCs w:val="24"/>
          <w:lang w:eastAsia="lt-LT"/>
        </w:rPr>
        <w:t xml:space="preserve">[interaktyvus] </w:t>
      </w:r>
      <w:r w:rsidRPr="00C00255">
        <w:t>https://www.teismai.lt/data/public/uploads/2020/12/zurnalas_teismai.lt_nr1_web_kovas.pdf</w:t>
      </w:r>
      <w:r w:rsidRPr="00C00255">
        <w:rPr>
          <w:szCs w:val="24"/>
          <w:lang w:bidi="lt-LT"/>
        </w:rPr>
        <w:t>). Šiame interviu pateiktas toks nagrinėjamo klausimo kontekste svarbus tekstas:</w:t>
      </w:r>
    </w:p>
    <w:p w:rsidR="00DA38E9" w:rsidRPr="00C00255" w:rsidRDefault="00DA38E9" w:rsidP="00DA38E9">
      <w:pPr>
        <w:pStyle w:val="ListParagraph"/>
        <w:spacing w:before="120" w:after="120"/>
        <w:ind w:left="1276"/>
        <w:contextualSpacing w:val="0"/>
        <w:rPr>
          <w:sz w:val="20"/>
          <w:lang w:bidi="lt-LT"/>
        </w:rPr>
      </w:pPr>
      <w:r w:rsidRPr="00C00255">
        <w:rPr>
          <w:sz w:val="20"/>
          <w:lang w:bidi="lt-LT"/>
        </w:rPr>
        <w:t>„&lt;...&gt; 1996 m. Sausio 13-osios byloje kaltinti asmenys buvo iš Lietuvos, o šiuo metu tik vienas iš 65</w:t>
      </w:r>
      <w:r>
        <w:rPr>
          <w:sz w:val="20"/>
          <w:lang w:bidi="lt-LT"/>
        </w:rPr>
        <w:t> </w:t>
      </w:r>
      <w:r w:rsidRPr="00C00255">
        <w:rPr>
          <w:sz w:val="20"/>
          <w:lang w:bidi="lt-LT"/>
        </w:rPr>
        <w:t>kaltinamųjų gyvena Lietuvoje. „Vienas yra sulaikytas pagal Europos arešto orderį, o visi kiti yra ne Lietuvos, o Rusijos, Ukrainos, Baltarusijos piliečiai“, – pasakoja teisėja. Ši byla Vilniaus apygardos teisme nagrinėjama kaltinamiesiems nedalyvaujant teismo posėdžiuose. „Rusija ir Baltarusija nebendradarbiauja, jos neinformuoja savo piliečių. Kaltinamiesiems apie teismo posėdžius pranešta per Lietuvos Respublikos teisingumo ministeriją, papildomai išsiuntus šaukimus kaltinamųjų gyvenamosios vietos adresu. Jiems pranešta, kad, nusprendus dalyvauti teismo posėdžiuose, bus stabdomas Europos arešto orderių vykdymas garantuojant nevaržomą kaltinamųjų atvykimą į Lietuvą ir judėjimą Lietuvos Respublikoje. Su mumis bendradarbiauja tik Ukraina, kurios piliečiams yra žinoma apie bylą, jiems įteikti dokumentai, tačiau tos šalies įstatymuose nėra tokio straipsnio kaip ekstradicija, kuriuo remiantis šalis galėtų išduoti savo piliečius. Dėl šių priežasčių baudžiamojon atsakomybėn patraukti asmenys bus teisiami už akių“, – bylos detales pateikia teisėja A. K. Macevičienė. Teisėja teigia, jog prognozuoti, kaip seksis nagrinėti bylą, dar sunku: „Šioje byloje labai didelis apklausiamų asmenų skaičius (apie 1 500), tikėtina, kad jis gali dar labiau išaugti, kai šių metų spalį po pertraukos byloje vėl bus siunčiami šaukimai – gal šįkart kažkas atvyks.“ Nepaisant to manoma, jog bylos nagrinėjimas turėtų trukti nuo 2 iki 3 metų, o šiuo metu teisėjai tęsia įrodymų tyrimą, garsina kaltinamųjų, nedalyvaujančių procese, parodymus, duotus ikiteisminio tyrimo metu.“</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lang w:bidi="lt-LT"/>
        </w:rPr>
      </w:pPr>
      <w:r w:rsidRPr="00C00255">
        <w:rPr>
          <w:szCs w:val="24"/>
          <w:lang w:bidi="lt-LT"/>
        </w:rPr>
        <w:t xml:space="preserve">Taigi, iš pateikto interviu teksto matyti, kad teisėja A. K. Macevičienė iš tiesų pasakė, jog „baudžiamojon atsakomybėn patraukti asmenys bus teisiami už akių“, tačiau gynėjų minima frazė, kad „visą likusį gyvenimą pragyvens savo šalyje, iš kurios negalės išvykti“ nebuvo išsakyta. Likusiame tekste teisėja pasakoja apie didelę bylos apimtį, apie sudėtingą teismo posėdžių organizavimą dėl didelio gynėjų skaičiaus, apie Rusijos Federacijos ir Baltarusijos Respublikos institucijų nebendradarbiavimą, siekiant informuoti kaltinamuosius apie bylos nagrinėjimą. Esant išdėstytoms aplinkybėms, teisėjų kolegija konstatuoja, kad aptariamame interviu teisėja A. K. Macevičienė neišsakė jokių teiginių, leidžiančių daryti išvadą apie jos ar kitų Vilniaus apygardos teismo teisėjų kolegijos narių galimą šališkumą. Jokių kitų subjektyviųjų šališkumo kriterijų nuteistojo </w:t>
      </w:r>
      <w:r>
        <w:rPr>
          <w:szCs w:val="24"/>
          <w:lang w:bidi="lt-LT"/>
        </w:rPr>
        <w:t>E. R.</w:t>
      </w:r>
      <w:r w:rsidRPr="00C00255">
        <w:rPr>
          <w:szCs w:val="24"/>
          <w:lang w:bidi="lt-LT"/>
        </w:rPr>
        <w:t xml:space="preserve"> gynėja nenurodė, taip pat nebuvo pateikta jokių įrodymų, kurie galėtų sukelti abejonių dėl Vilniaus apygardos teismo teisėjų tendencingumo nagrinėjant šią baudžiamąją bylą.</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Teismas turi būti nešališkas ir objektyviąja prasme, t. y. jis turi pateikti pakankamas garantijas, pašalinančias bet kokią su tuo susijusią pagrįstą abejonę. Kasacinis teismas yra ne kartą pasisakęs, kad nešališkumo principas negali būti suprantamas pernelyg plačiai. Teismo padarytos teisės aiškinimo ir taikymo klaidos, baudžiamojo proceso įstatymo pažeidimai, net jei jie ir esminiai, nėra pakankamas pagrindas konstatuoti, kad teismas nagrinėjo bylą šališkai (LAT nutartys baudžiamosiose bylose Nr. 2K-45-303/2018, 2K-211-895/2018). Nesant konkrečių bylą nagrinėjančio teismo šališkumo požymių, jo konstatavimas neturėtų būti siejamas su priimto nuosprendžio motyvacijos stoka, įrodymų tyrimo rezultatų įvertinimu, kitokiais teismo sprendimo surašymo trūkumais (LAT nutartys baudžiamosiose bylose Nr. 2K-486/2014, 2K-45-303/2018, 2K-181-648/2019, Nr. 2K-101-303/2020).</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Šiame sprendime apeliacinės instancijos teismas konstatavo tam tikras pirmosios instancijos teismo padarytas teisės aiškinimo, motyvavimo, įrodymų vertinimo klaidas, tam tikras teismo išvadas įvertino kaip neatitinkančias faktinių bylos aplinkybių, tačiau to negalima vertinti kaip teismo šališkumo.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bCs/>
          <w:szCs w:val="24"/>
        </w:rPr>
        <w:t xml:space="preserve">Apeliaciniuose skunduose pateikiami teiginiai dėl gynybos pateiktų prašymų netenkinimo ar tik formalaus tenkinimo, dėl neišsamaus bylos išnagrinėjimo (pvz., nepasisakė dėl gynybos argumentų ir pan.) taip pat negali būti pripažinti pagrindu spręsti apie teismo šališkumą. </w:t>
      </w:r>
      <w:r w:rsidRPr="00C00255">
        <w:rPr>
          <w:szCs w:val="24"/>
        </w:rPr>
        <w:t>Teisėjų kolegija pažymi, kad nuteistieji ir jų gynėjai pateiktuose skunduose tik abstrakčiai nurodė dėl bylos nagrinėjimo metu pateiktų prašymų netenkinimo ar formalaus jų tenkinimo, tačiau nepateikė jokių konkrečių faktų ir argumentų, kurie rodytų apie teismo šališkumą. Susipažinęs su teisiamojo posėdžio protokolais, tokių faktų nenustatė ir apeliacinės instancijos teismas. Šiame kontekste, atkreiptinas dėmesys į tai, kad bylos nagrinėjimo teisme metu prašymų sprendimas yra priskirtas bylą nagrinėjančio teismo diskrecijai, prieš priimdamas sprendimą dėl konkretaus prašymo, teismas privalo išklausyti bylos nagrinėjime teisme dalyvaujančių asmenų nuomones (BPK 253 ir 270 straipsniai) ir tinkamai argumentuoti savo sprendimus dėl byloje pareikštų prašymų (LAT nutartys baudžiamosiose bylose Nr. 2K-263-697/2017, 2K-220-689/2018, 2K-116-942/2019). Taigi, bylą nagrinėjantis teismas turi teisę proceso dalyvių pateiktus prašymus tenkinti, atmesti ar tenkinti juos iš dalies, ir neprivalo visų gynybos prašymų tenkinti vien tam, kad nekiltų abejonių dėl jo nešališkumo. Teisėjų kolegijos įsitikinimu, pirmosios instancijos teismas, nagrinėdamas byloje pateiktus prašymus, sprendė juos pagal prašymų turinį, bylos medžiagą, teisę ir teismo vidinį įsitikinimą, o ne turėdamas išankstinį nusistatymą ar būdamas šališkas. Taigi, pirmosios instancijos teismas buvo nešališkas, o nuteistųjų teisė į nešališką teismą nebuvo pažeista.</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Kai kurių nuteistųjų gynėjai tiek pirmosios instancijos teisme, tiek ir apeliaciniuose skunduose, be kita ko, teigė, kad baudžiamasis procesas yra tendencingas, politinio pobūdžio, o 2011 m. BK pakeitimai buvo padaryti, siekiant bet kokiomis priemonėmis tęsti baudžiamąjį procesą nuteistųjų atžvilgiu. Teisėjų kolegija šiuos apeliacinių skundų argumentus atmeta kaip niekuo nepagrįstas prielaidas ir konstatuoja, kad baudžiamasis procesas byloje vyko renkant objektyvius įrodymus ir laikantis ne tik Lietuvos, bet ir tarptautinės teisės reikalavimų.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Iš bylos medžiagos matyti, kad Lietuvos Respublikos teisėsaugos institucijos ikiteisminio tyrimo metu ne kartą teikė teisinės pagalbos prašymus, siekdamos išsiaiškinti kaltinamųjų poziciją nagrinėjamais klausimais bei surinkti papildomus ikiteisminio tyrimo duomenis. Dalis byloje surinktų duomenų buvo ir kitoje, ne tik Lietuvos teismuose, bet ir EŽTT išnagrinėtoje </w:t>
      </w:r>
      <w:r>
        <w:rPr>
          <w:szCs w:val="24"/>
        </w:rPr>
        <w:t>M. B.</w:t>
      </w:r>
      <w:r w:rsidRPr="00C00255">
        <w:rPr>
          <w:szCs w:val="24"/>
        </w:rPr>
        <w:t xml:space="preserve">, </w:t>
      </w:r>
      <w:r>
        <w:rPr>
          <w:szCs w:val="24"/>
        </w:rPr>
        <w:t>J. K.</w:t>
      </w:r>
      <w:r w:rsidRPr="00C00255">
        <w:rPr>
          <w:szCs w:val="24"/>
        </w:rPr>
        <w:t xml:space="preserve"> ir kt. byloje, tačiau procesas joje nebuvo įvertintas kaip neteisėtas ar tendencingas.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Baudžiamoji byla pirmosios instancijos teisme buvo nagrinėjama, iš esmės laikantis BPK reikalavimų, teismo išvados pagrįstos konkrečiomis teisės normomis, galiojusiomis bylos nagrinėjimo metu, pateikiant teisinius argumentus dėl šių normų taikymo kaltinamiesiems, o konkrečių BK straipsnių pakeitimai buvo sąlygojami pakankamai sudėtingų tarptautinės teisės reikalavimų. Vien tik tai, kad šioje baudžiamojoje byloje yra nagrinėjamos nusikalstamos veikos, kurios glaudžiai susijusios su dviejų valstybių (Lietuvos ir TSRS / Rusijos Federacijos) santykiais, jų bendra istorine ir politine praeitimi, nedaro šio baudžiamojo proceso nei politiniu, nei neteisėtu. Kaip jau minėta, panašias savo pobūdžiu bylas Lietuvos Respublikos teismai nagrinėjo ir anksčiau, tačiau joks teismų tendencingumas jose kaltintų asmenų atžvilgiu nebuvo įžvelgtas (teismų sprendimai jau minėtoje </w:t>
      </w:r>
      <w:r>
        <w:rPr>
          <w:szCs w:val="24"/>
        </w:rPr>
        <w:t>M. B.</w:t>
      </w:r>
      <w:r w:rsidRPr="00C00255">
        <w:rPr>
          <w:szCs w:val="24"/>
        </w:rPr>
        <w:t xml:space="preserve">, </w:t>
      </w:r>
      <w:r>
        <w:rPr>
          <w:szCs w:val="24"/>
        </w:rPr>
        <w:t>J. K.</w:t>
      </w:r>
      <w:r w:rsidRPr="00C00255">
        <w:rPr>
          <w:szCs w:val="24"/>
        </w:rPr>
        <w:t xml:space="preserve"> ir kt. byloje; taip pat </w:t>
      </w:r>
      <w:r w:rsidRPr="00C00255">
        <w:rPr>
          <w:bCs/>
          <w:szCs w:val="24"/>
        </w:rPr>
        <w:t>K</w:t>
      </w:r>
      <w:r>
        <w:rPr>
          <w:bCs/>
          <w:szCs w:val="24"/>
        </w:rPr>
        <w:t>.</w:t>
      </w:r>
      <w:r w:rsidRPr="00C00255">
        <w:rPr>
          <w:bCs/>
          <w:szCs w:val="24"/>
        </w:rPr>
        <w:t> M</w:t>
      </w:r>
      <w:r>
        <w:rPr>
          <w:bCs/>
          <w:szCs w:val="24"/>
        </w:rPr>
        <w:t>.</w:t>
      </w:r>
      <w:r w:rsidRPr="00C00255">
        <w:rPr>
          <w:bCs/>
          <w:szCs w:val="24"/>
        </w:rPr>
        <w:t xml:space="preserve"> byloje, kurioje pastarasis už nusikaltimą, įvykdytą 1991 metais, buvo nuteistas pagal </w:t>
      </w:r>
      <w:bookmarkStart w:id="901" w:name="ned8c949a-b62f-4fa3-994f-707824189f7b"/>
      <w:r w:rsidRPr="00C00255">
        <w:rPr>
          <w:bCs/>
          <w:szCs w:val="24"/>
        </w:rPr>
        <w:t xml:space="preserve">tą pačią </w:t>
      </w:r>
      <w:bookmarkStart w:id="902" w:name="pned8c949a-b62f-4fa3-994f-707824189f7b"/>
      <w:bookmarkEnd w:id="901"/>
      <w:bookmarkEnd w:id="902"/>
      <w:r w:rsidRPr="00C00255">
        <w:rPr>
          <w:szCs w:val="24"/>
        </w:rPr>
        <w:t>BK</w:t>
      </w:r>
      <w:r w:rsidRPr="00C00255">
        <w:rPr>
          <w:color w:val="000000"/>
          <w:szCs w:val="24"/>
          <w:shd w:val="clear" w:color="auto" w:fill="FFFFFF"/>
        </w:rPr>
        <w:t> </w:t>
      </w:r>
      <w:bookmarkStart w:id="903" w:name="pn445a73c6-a12a-4d96-9fb5-2a87b54c88e9"/>
      <w:bookmarkEnd w:id="903"/>
      <w:r w:rsidRPr="00C00255">
        <w:rPr>
          <w:szCs w:val="24"/>
        </w:rPr>
        <w:t>100</w:t>
      </w:r>
      <w:r w:rsidRPr="00C00255">
        <w:rPr>
          <w:color w:val="000000"/>
          <w:szCs w:val="24"/>
          <w:shd w:val="clear" w:color="auto" w:fill="FFFFFF"/>
        </w:rPr>
        <w:t xml:space="preserve"> straipsnio redakciją, kuri inkriminuota ir šioje byloje (LAT nutartis baudžiamojoje </w:t>
      </w:r>
      <w:r w:rsidRPr="00C00255">
        <w:rPr>
          <w:bCs/>
          <w:szCs w:val="24"/>
        </w:rPr>
        <w:t>byloje Nr.</w:t>
      </w:r>
      <w:r w:rsidRPr="00C00255">
        <w:rPr>
          <w:color w:val="000000"/>
          <w:szCs w:val="24"/>
          <w:shd w:val="clear" w:color="auto" w:fill="FFFFFF"/>
        </w:rPr>
        <w:t xml:space="preserve"> 2K-7-1-693/2017</w:t>
      </w:r>
      <w:r w:rsidRPr="00C00255">
        <w:rPr>
          <w:bCs/>
          <w:szCs w:val="24"/>
        </w:rPr>
        <w:t>).</w:t>
      </w:r>
      <w:r w:rsidRPr="00C00255">
        <w:rPr>
          <w:szCs w:val="24"/>
        </w:rPr>
        <w:t xml:space="preserve"> </w:t>
      </w:r>
    </w:p>
    <w:p w:rsidR="00DA38E9" w:rsidRPr="00C00255" w:rsidRDefault="00DA38E9" w:rsidP="00DA38E9">
      <w:pPr>
        <w:pStyle w:val="Heading3"/>
        <w:spacing w:before="120" w:after="120"/>
        <w:ind w:left="992"/>
        <w:jc w:val="both"/>
        <w:rPr>
          <w:b w:val="0"/>
          <w:i/>
          <w:sz w:val="24"/>
          <w:szCs w:val="28"/>
          <w:lang w:val="lt-LT"/>
        </w:rPr>
      </w:pPr>
      <w:bookmarkStart w:id="904" w:name="_Toc66862778"/>
      <w:bookmarkStart w:id="905" w:name="_Toc67677443"/>
      <w:bookmarkStart w:id="906" w:name="_Toc67985571"/>
      <w:r w:rsidRPr="00C00255">
        <w:rPr>
          <w:b w:val="0"/>
          <w:i/>
          <w:sz w:val="24"/>
          <w:lang w:val="lt-LT"/>
        </w:rPr>
        <w:t>Dėl teisės į gynybą, baudžiamojo proceso kaltinamiesiems nedalyvaujant ir kitų nuteistųjų teisių suvaržymo</w:t>
      </w:r>
      <w:bookmarkEnd w:id="904"/>
      <w:bookmarkEnd w:id="905"/>
      <w:bookmarkEnd w:id="906"/>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Kaip jau minėta, nemaža dalis apeliantų teigia, kad proceso metu buvo padaryta įvairių pažeidimų, kuriais suvaržyta nuteistųjų teisė į gynybą. Ši teisė suprantama pakankamai plačiai, kaip visuma įtariamajam ir kaltinamajam įstatymo suteiktų teisių gintis nuo įtarimo ar pareikšto kaltinimo (Konstitucinio Teismo 1994 m. lapkričio 18 d. nutarimas), todėl įvairūs šios teisės suvaržymo aspektai, kaip persipinantys ir su kitais ginčijamais klausimais, šiame sprendime iš dalies jau buvo aptari (pvz., analizuojant atskirus įrodymų vertinimo aspektus, apeliantų argumentus dėl asmenų lygybės prieš įstatymą principo pažeidimų, kaltinimo ribų peržengimo ir kaltinimo sudėtingumo, aptariant proceso organizavimo apeliacinės instancijos teisme eigą ir siekį suteikti daugiau laiko gynybai ir kt.), taip pat bus aptarti ir kitose šio sprendimo dalyse.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Nemaža dalis apeliacinių skundų argumentų, kuriais grindžiami teisės į gynybą pažeidimai, yra susiję su įvairiais nuteistųjų nedalyvavimo procese aspektais. Nurodoma, kad nuteistiesiems nebuvo įteiktos nutartys, kuriomis jie pripažinti įtariamaisiais, neįteikti pranešimai apie ikiteisminio tyrimo pabaigą bei kaltinamasis aktas, be to, nuteistieji nebuvo informuoti apie bylos nagrinėjimą teisme ir tai, pasak gynybos, lėmė ne tik teisės į gynybą pažeidimą, bet ir apskritai viso baudžiamojo proceso neteisėtumą.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Nuteistojo </w:t>
      </w:r>
      <w:r>
        <w:rPr>
          <w:szCs w:val="24"/>
        </w:rPr>
        <w:t>V. S. 2</w:t>
      </w:r>
      <w:r w:rsidRPr="00C00255">
        <w:rPr>
          <w:szCs w:val="24"/>
        </w:rPr>
        <w:t xml:space="preserve"> gynėjas kaip teisės į gynybą pažeidimą nurodo faktą, kad surašant nutarimą dėl </w:t>
      </w:r>
      <w:r>
        <w:rPr>
          <w:szCs w:val="24"/>
        </w:rPr>
        <w:t>V. S. 2</w:t>
      </w:r>
      <w:r w:rsidRPr="00C00255">
        <w:rPr>
          <w:szCs w:val="24"/>
        </w:rPr>
        <w:t xml:space="preserve"> pripažinimo įtariamuoju nebuvo užtikrinta gynyba, nes nebuvo paskirtas gynėjas. Atsakant į šį apeliacinio skundo argumentą, visų pirma, pažymėtina, kad įtariamuoju laikomas asmuo, sulaikytas įtariant, kad jis padarė nusikalstamą veiką, arba asmuo, apklausiamas apie veiką, kurios padarymu jis įtariamas, arba į apklausą šaukiamas asmuo, kuriam yra surašytas pranešimas apie įtarimą (BPK 21 straipsnio 2 dalis). Minėto straipsnio 3 dalyje nustatyta, kad kai asmuo slapstosi ar jo buvimo vieta nežinoma, įtariamuoju jis pripažįstamas prokuroro nutarimu ar ikiteisminio tyrimo teisėjo nutartimi, o neatidėliotinais atvejais – ikiteisminio tyrimo pareigūno nutarimu (2010 m. rugsėjo 21 d. įstatymo Nr. XI-1014 redakcija, įsigaliojusi nuo 2010 m. spalio 1 d.). Pranešimas apie įtarimą ar prokuroro nutarimas, o tam tikrais atvejais ikiteisminio tyrimo teisėjo nutartis pripažinti asmenį įtariamuoju įtariamajam turi būti įteikti prieš pirmąją apklausą (BPK 187 straipsnis), o pagal BPK 50 straipsnio nuostatas įtariamasis turi teisę turėti gynėją nuo jo sulaikymo ar pirmosios apklausos momento. BPK 51 straipsnio 1 dalies 6 punktas numato būtiną gynėjo dalyvavimą „šio Kodekso XXXII skyriuje nustatyta tvarka nagrinėjant bylą kaltinamajam nedalyvaujant“, tačiau ir šiuo atveju kalbama apie kaltinamąjį ir apie bylos nagrinėjimą teisme, taigi, BPK nėra įtvirtintas reikalavimas, kad gynėjas visais atvejais privalo dalyvauti surašant pranešimą apie įtarimą ar priimant nutarimą, o tam tikrais atvejais ikiteisminio tyrimo teisėjui priimant nutartį dėl pripažinimo įtariamuoju. Konkrečių asmenų pripažinimas įtariamaisiais yra ikiteisminio tyrimo pareigūnų prerogatyva ir tik po asmens pripažinimo įtariamuoju pastarasis įgyja jam, kaip įtariamajam, garantuojamas BPK 21 straipsnio 4 dalyje įtvirtintas teises, tarp jų ir teisę turėti gynėją. Teisėjų kolegija pabrėžia, kad </w:t>
      </w:r>
      <w:r>
        <w:rPr>
          <w:szCs w:val="24"/>
        </w:rPr>
        <w:t>V. S. 2</w:t>
      </w:r>
      <w:r w:rsidRPr="00C00255">
        <w:rPr>
          <w:szCs w:val="24"/>
        </w:rPr>
        <w:t xml:space="preserve"> nagrinėjamojoje byloje ikiteisminio tyrimo teisėjo nutartimi buvo pripažintas įtariamuoju, tačiau, dėl objektyvių priežasčių, jis įtariamuoju nebuvo apklaustas, taigi atsižvelgiant į visa tai, nuteistojo </w:t>
      </w:r>
      <w:r>
        <w:rPr>
          <w:szCs w:val="24"/>
        </w:rPr>
        <w:t>V. S. 2</w:t>
      </w:r>
      <w:r w:rsidRPr="00C00255">
        <w:rPr>
          <w:szCs w:val="24"/>
        </w:rPr>
        <w:t xml:space="preserve"> gynėjo apeliacinio skundo argumentas dėl teisės į gynybą pažeidimo atmestinas kaip nepagrįstas.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Nuteistųjų </w:t>
      </w:r>
      <w:r>
        <w:rPr>
          <w:szCs w:val="24"/>
        </w:rPr>
        <w:t>B. S.</w:t>
      </w:r>
      <w:r w:rsidRPr="00C00255">
        <w:rPr>
          <w:szCs w:val="24"/>
        </w:rPr>
        <w:t xml:space="preserve">, </w:t>
      </w:r>
      <w:r>
        <w:rPr>
          <w:szCs w:val="24"/>
        </w:rPr>
        <w:t>V. S. 2</w:t>
      </w:r>
      <w:r w:rsidRPr="00C00255">
        <w:rPr>
          <w:szCs w:val="24"/>
        </w:rPr>
        <w:t xml:space="preserve"> ir </w:t>
      </w:r>
      <w:r>
        <w:rPr>
          <w:szCs w:val="24"/>
        </w:rPr>
        <w:t>V. S. 3</w:t>
      </w:r>
      <w:r w:rsidRPr="00C00255">
        <w:rPr>
          <w:szCs w:val="24"/>
        </w:rPr>
        <w:t xml:space="preserve"> gynėjai teigia, kad nuteistųjų teisė į gynybą buvo pažeista, nes jiems nebuvo įteiktas nei pranešimas apie įtarimą, nei kaltinamasis aktas. Nuteistojo </w:t>
      </w:r>
      <w:r>
        <w:rPr>
          <w:szCs w:val="24"/>
        </w:rPr>
        <w:t>J. G.</w:t>
      </w:r>
      <w:r w:rsidRPr="00C00255">
        <w:rPr>
          <w:szCs w:val="24"/>
        </w:rPr>
        <w:t xml:space="preserve"> gynėjas taip pat teigia, kad pirmosios instancijos teismas neatsižvelgė į tai, kad nuteistasis nebuvo tinkamai informuotas apie jam pareikštus įtarimus ir kaltinimus, be to, </w:t>
      </w:r>
      <w:r>
        <w:rPr>
          <w:szCs w:val="24"/>
        </w:rPr>
        <w:t>J. G.</w:t>
      </w:r>
      <w:r w:rsidRPr="00C00255">
        <w:rPr>
          <w:szCs w:val="24"/>
        </w:rPr>
        <w:t xml:space="preserve"> pranešimas apie įtarimą ir pareikštas kaltinimas nėra teisiškai identiški, todėl kaltinimo modifikacijos, nežinant, ar imtasi priemonių tinkamai informuoti nuteistąjį apie pakitusias inkriminuojamas aplinkybes, iš kaltinimo šalintinos. Nuteistojo </w:t>
      </w:r>
      <w:r>
        <w:rPr>
          <w:szCs w:val="24"/>
        </w:rPr>
        <w:t>A. K. 2</w:t>
      </w:r>
      <w:r w:rsidRPr="00C00255">
        <w:rPr>
          <w:szCs w:val="24"/>
        </w:rPr>
        <w:t xml:space="preserve"> gynėja teigia, kad nuteistasis negalėjo pasinaudoti teise susipažinti su tyrimo medžiaga, nes jam nepranešta apie ikiteisminio tyrimo pabaigą.</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Apeliacinės instancijos teismas pripažįsta faktą, kad byloje nėra duomenų, jog minėtiems nuteistiesiems buvo įteiktos ikiteisminio tyrimo teisėjo nutartys dėl pripažinimo įtariamaisiais, pranešimai apie ikiteisminio tyrimo pabaigą ar kaltinamasis aktas, tačiau teisėjų kolegija nesutinka su gynėjų argumentu, kad taip buvo suvaržyta nuteistųjų teisė į gynybą.</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Nuteistasis </w:t>
      </w:r>
      <w:r>
        <w:rPr>
          <w:szCs w:val="24"/>
        </w:rPr>
        <w:t>V. S. 2</w:t>
      </w:r>
      <w:r w:rsidRPr="00C00255">
        <w:rPr>
          <w:szCs w:val="24"/>
        </w:rPr>
        <w:t xml:space="preserve"> dėl šioje byloje nagrinėjamų nusikalstamų veikų įtariamuoju buvo pripažintas ikiteisminio tyrimo teisėjo 2013 m. gegužės 17 d. nutartimi (t. 582, b. l. 141–167), kuri Lietuvos Respublikos generalinės prokuratūros 2013 m. liepos 29 d. raštu dėl teisinės pagalbos baudžiamojoje byloje Nr. 09-1-031-99 (t. 583, b. l. 2) buvo išsiųsta Rusijos Federacijos generalinei prokuratūrai, prašant minėtą nutartį įteikti </w:t>
      </w:r>
      <w:r>
        <w:rPr>
          <w:szCs w:val="24"/>
        </w:rPr>
        <w:t>V. S. 2</w:t>
      </w:r>
      <w:r w:rsidRPr="00C00255">
        <w:rPr>
          <w:szCs w:val="24"/>
        </w:rPr>
        <w:t xml:space="preserve">. Tačiau Rusijos Federacijos generalinė prokuratūra atsisakė šį teisinės pagalbos prašymą įvykdyti, motyvuodama tuo, kad tokio teisinės pagalbos prašymo įvykdymas gali padaryti žalos esminiams Rusijos Federacijos interesams ir prieštarauja pagrindiniams Rusijos Federacijos įstatymų principams (t. 583, b. l. 80–81). Analogiškais motyvais buvo netenkintas ir Lietuvos Respublikos generalinės prokuratūros prašymas, pateiktas Rusijos Federacijos generalinei prokuratūrai, dėl pranešimo apie ikiteisminio tyrimo pabaigą įteikimo įtariamajam </w:t>
      </w:r>
      <w:r>
        <w:rPr>
          <w:szCs w:val="24"/>
        </w:rPr>
        <w:t>V. S. 2</w:t>
      </w:r>
      <w:r w:rsidRPr="00C00255">
        <w:rPr>
          <w:szCs w:val="24"/>
        </w:rPr>
        <w:t xml:space="preserve"> (t. 583, b. l. 207–208). Tiesiogiai </w:t>
      </w:r>
      <w:r>
        <w:rPr>
          <w:szCs w:val="24"/>
        </w:rPr>
        <w:t>V. S. 2</w:t>
      </w:r>
      <w:r w:rsidRPr="00C00255">
        <w:rPr>
          <w:szCs w:val="24"/>
        </w:rPr>
        <w:t xml:space="preserve"> paskutiniu žinomu jo gyvenamosios vietos adresu siųstas pranešimas apie ikiteisminio tyrimo pabaigą taip pat grįžo neįteiktas (t. 583, b. l. 191). Analogiškai ir nuteistųjų </w:t>
      </w:r>
      <w:r>
        <w:rPr>
          <w:szCs w:val="24"/>
        </w:rPr>
        <w:t>B. S.</w:t>
      </w:r>
      <w:r w:rsidRPr="00C00255">
        <w:rPr>
          <w:szCs w:val="24"/>
        </w:rPr>
        <w:t xml:space="preserve">, </w:t>
      </w:r>
      <w:r>
        <w:rPr>
          <w:szCs w:val="24"/>
        </w:rPr>
        <w:t>V. S. 3</w:t>
      </w:r>
      <w:r w:rsidRPr="00C00255">
        <w:rPr>
          <w:szCs w:val="24"/>
        </w:rPr>
        <w:t xml:space="preserve">, </w:t>
      </w:r>
      <w:r>
        <w:rPr>
          <w:szCs w:val="24"/>
        </w:rPr>
        <w:t>A. K. 2</w:t>
      </w:r>
      <w:r w:rsidRPr="00C00255">
        <w:rPr>
          <w:szCs w:val="24"/>
        </w:rPr>
        <w:t xml:space="preserve">, </w:t>
      </w:r>
      <w:r>
        <w:rPr>
          <w:szCs w:val="24"/>
        </w:rPr>
        <w:t>J. G.</w:t>
      </w:r>
      <w:r w:rsidRPr="00C00255">
        <w:rPr>
          <w:szCs w:val="24"/>
        </w:rPr>
        <w:t xml:space="preserve"> atveju Rusijos Federacijai neįvykdžius teisinės pagalbos prašymų, nuteistiesiems </w:t>
      </w:r>
      <w:r>
        <w:rPr>
          <w:szCs w:val="24"/>
        </w:rPr>
        <w:t>B. S.</w:t>
      </w:r>
      <w:r w:rsidRPr="00C00255">
        <w:rPr>
          <w:szCs w:val="24"/>
        </w:rPr>
        <w:t xml:space="preserve">, </w:t>
      </w:r>
      <w:r>
        <w:rPr>
          <w:szCs w:val="24"/>
        </w:rPr>
        <w:t>V. S. 3</w:t>
      </w:r>
      <w:r w:rsidRPr="00C00255">
        <w:rPr>
          <w:szCs w:val="24"/>
        </w:rPr>
        <w:t xml:space="preserve">, </w:t>
      </w:r>
      <w:r>
        <w:rPr>
          <w:szCs w:val="24"/>
        </w:rPr>
        <w:t>A. K. 2</w:t>
      </w:r>
      <w:r w:rsidRPr="00C00255">
        <w:rPr>
          <w:szCs w:val="24"/>
        </w:rPr>
        <w:t xml:space="preserve"> ir </w:t>
      </w:r>
      <w:r>
        <w:rPr>
          <w:szCs w:val="24"/>
        </w:rPr>
        <w:t>J. G.</w:t>
      </w:r>
      <w:r w:rsidRPr="00C00255">
        <w:rPr>
          <w:szCs w:val="24"/>
        </w:rPr>
        <w:t xml:space="preserve"> nebuvo įteiktos ikiteisminio tyrimo teisėjo nutartys dėl jų pripažinimo įtariamaisiais bei neįteikti pranešimai apie ikiteisminio tyrimo pabaigą (t. 587, b. l. 2–41, 80–81, 190–196, 202–203 – duomenys dėl </w:t>
      </w:r>
      <w:r>
        <w:rPr>
          <w:szCs w:val="24"/>
        </w:rPr>
        <w:t>B. S.</w:t>
      </w:r>
      <w:r w:rsidRPr="00C00255">
        <w:rPr>
          <w:szCs w:val="24"/>
        </w:rPr>
        <w:t xml:space="preserve">; t. 589, b. l. 2–41, 80–81, 196–206, 208–209 – duomenys dėl </w:t>
      </w:r>
      <w:r>
        <w:rPr>
          <w:szCs w:val="24"/>
        </w:rPr>
        <w:t>V. S. 3</w:t>
      </w:r>
      <w:r w:rsidRPr="00C00255">
        <w:rPr>
          <w:szCs w:val="24"/>
        </w:rPr>
        <w:t xml:space="preserve">; t. 570, b. l. 2–41, 80–81, 192–203 – duomenys dėl </w:t>
      </w:r>
      <w:r>
        <w:rPr>
          <w:szCs w:val="24"/>
        </w:rPr>
        <w:t>A. K. 2</w:t>
      </w:r>
      <w:r w:rsidRPr="00C00255">
        <w:rPr>
          <w:szCs w:val="24"/>
        </w:rPr>
        <w:t xml:space="preserve">; t. 592, b. l. 197–236, 275–276; t. 593, b. l. 124–135 – duomenys dėl </w:t>
      </w:r>
      <w:r>
        <w:rPr>
          <w:szCs w:val="24"/>
        </w:rPr>
        <w:t>J. G.</w:t>
      </w:r>
      <w:r w:rsidRPr="00C00255">
        <w:rPr>
          <w:szCs w:val="24"/>
        </w:rPr>
        <w:t xml:space="preserve">). </w:t>
      </w:r>
      <w:r>
        <w:rPr>
          <w:szCs w:val="24"/>
        </w:rPr>
        <w:t>B. S.</w:t>
      </w:r>
      <w:r w:rsidRPr="00C00255">
        <w:rPr>
          <w:szCs w:val="24"/>
        </w:rPr>
        <w:t xml:space="preserve"> ir </w:t>
      </w:r>
      <w:r>
        <w:rPr>
          <w:szCs w:val="24"/>
        </w:rPr>
        <w:t>V. S. 3</w:t>
      </w:r>
      <w:r w:rsidRPr="00C00255">
        <w:rPr>
          <w:szCs w:val="24"/>
        </w:rPr>
        <w:t xml:space="preserve"> tiesiogiai paskutiniu žinomu jų gyvenamosios vietos adresu buvo išsiųsti pranešimai apie ikiteisminio tyrimo pabaigą, tačiau duomenų, ar šie pranešimai buvo įteikti adresatams, byloje nėra (t. 587, b. l. 187–188; t. 589, b. l. 193), o </w:t>
      </w:r>
      <w:r>
        <w:rPr>
          <w:szCs w:val="24"/>
        </w:rPr>
        <w:t>J. G.</w:t>
      </w:r>
      <w:r w:rsidRPr="00C00255">
        <w:rPr>
          <w:szCs w:val="24"/>
        </w:rPr>
        <w:t xml:space="preserve"> tiesiogiai siųstas pranešimas apie ikiteisminio tyrimo pabaigą grįžo neįteiktas (t. 593, b. l. 111–120).</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 xml:space="preserve">Surašius kaltinamąjį aktą, į Rusijos Federacijos generalinę prokuratūrą taip pat buvo išsiųsti teisinės pagalbos prašymai dėl kaltinamųjų aktų įteikimo kaltinamiesiems, tarp jų </w:t>
      </w:r>
      <w:r>
        <w:rPr>
          <w:color w:val="000000" w:themeColor="text1"/>
          <w:szCs w:val="24"/>
        </w:rPr>
        <w:t>B. S.</w:t>
      </w:r>
      <w:r w:rsidRPr="00C00255">
        <w:rPr>
          <w:color w:val="000000" w:themeColor="text1"/>
          <w:szCs w:val="24"/>
        </w:rPr>
        <w:t xml:space="preserve">, </w:t>
      </w:r>
      <w:r>
        <w:rPr>
          <w:color w:val="000000" w:themeColor="text1"/>
          <w:szCs w:val="24"/>
        </w:rPr>
        <w:t>V. S. 2</w:t>
      </w:r>
      <w:r w:rsidRPr="00C00255">
        <w:rPr>
          <w:color w:val="000000" w:themeColor="text1"/>
          <w:szCs w:val="24"/>
        </w:rPr>
        <w:t xml:space="preserve">, </w:t>
      </w:r>
      <w:r>
        <w:rPr>
          <w:color w:val="000000" w:themeColor="text1"/>
          <w:szCs w:val="24"/>
        </w:rPr>
        <w:t>V. S. 3</w:t>
      </w:r>
      <w:r w:rsidRPr="00C00255">
        <w:rPr>
          <w:color w:val="000000" w:themeColor="text1"/>
          <w:szCs w:val="24"/>
        </w:rPr>
        <w:t xml:space="preserve">, </w:t>
      </w:r>
      <w:r>
        <w:rPr>
          <w:color w:val="000000" w:themeColor="text1"/>
          <w:szCs w:val="24"/>
        </w:rPr>
        <w:t>J. G.</w:t>
      </w:r>
      <w:r w:rsidRPr="00C00255">
        <w:rPr>
          <w:color w:val="000000" w:themeColor="text1"/>
          <w:szCs w:val="24"/>
        </w:rPr>
        <w:t xml:space="preserve"> (t. 696, b. l. 48–70, t. 697, b. l. 89–110, 155–176, 177–198), tačiau pastariesiems kaltinamieji aktai nebuvo įteikti (t. 716, b. l. 2–3; t. 720, b.</w:t>
      </w:r>
      <w:r>
        <w:rPr>
          <w:color w:val="000000" w:themeColor="text1"/>
          <w:szCs w:val="24"/>
        </w:rPr>
        <w:t> </w:t>
      </w:r>
      <w:r w:rsidRPr="00C00255">
        <w:rPr>
          <w:color w:val="000000" w:themeColor="text1"/>
          <w:szCs w:val="24"/>
        </w:rPr>
        <w:t>l.</w:t>
      </w:r>
      <w:r>
        <w:rPr>
          <w:color w:val="000000" w:themeColor="text1"/>
          <w:szCs w:val="24"/>
        </w:rPr>
        <w:t> </w:t>
      </w:r>
      <w:r w:rsidRPr="00C00255">
        <w:rPr>
          <w:color w:val="000000" w:themeColor="text1"/>
          <w:szCs w:val="24"/>
        </w:rPr>
        <w:t>48–49, t. 715, b. l. 117–118, 186–187).</w:t>
      </w:r>
      <w:r w:rsidRPr="00C00255">
        <w:rPr>
          <w:color w:val="FF0000"/>
          <w:szCs w:val="24"/>
        </w:rPr>
        <w:t xml:space="preserve">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color w:val="000000" w:themeColor="text1"/>
          <w:szCs w:val="24"/>
        </w:rPr>
        <w:t>Iš minėtų aplinkybių dėl teisinės pagalbos prašymų siuntimo Rusijos Federacijos generalinei prokuratūrai apeliacinės instancijos teismas konstatuoja, kad Lietuvos Respublikos generalinė prokuratūra tinkamai įgyvendino ikiteisminio tyrimo veiks</w:t>
      </w:r>
      <w:r w:rsidR="005E1CD9">
        <w:rPr>
          <w:color w:val="000000" w:themeColor="text1"/>
          <w:szCs w:val="24"/>
        </w:rPr>
        <w:t>mų atlikimo metu galiojusių BPK </w:t>
      </w:r>
      <w:r w:rsidRPr="00C00255">
        <w:rPr>
          <w:color w:val="000000" w:themeColor="text1"/>
          <w:szCs w:val="24"/>
        </w:rPr>
        <w:t xml:space="preserve">187 straipsnio 3 dalies (2010 m. gruodžio </w:t>
      </w:r>
      <w:r w:rsidRPr="00C00255">
        <w:rPr>
          <w:szCs w:val="24"/>
        </w:rPr>
        <w:t xml:space="preserve">23 d. įstatymo </w:t>
      </w:r>
      <w:r w:rsidR="005E1CD9">
        <w:rPr>
          <w:szCs w:val="24"/>
        </w:rPr>
        <w:t>Nr. XI-1269 redakcija), BPK 218 </w:t>
      </w:r>
      <w:r w:rsidRPr="00C00255">
        <w:rPr>
          <w:szCs w:val="24"/>
        </w:rPr>
        <w:t>straipsnio 8 dalies (2013 m. liepos 2 d. įstatym</w:t>
      </w:r>
      <w:r w:rsidR="005E1CD9">
        <w:rPr>
          <w:szCs w:val="24"/>
        </w:rPr>
        <w:t>o Nr. XII-498 redakcija) ir BPK 220 </w:t>
      </w:r>
      <w:r w:rsidRPr="00C00255">
        <w:rPr>
          <w:szCs w:val="24"/>
        </w:rPr>
        <w:t>straipsnio 6 dalies</w:t>
      </w:r>
      <w:r w:rsidRPr="00C00255">
        <w:t xml:space="preserve"> (</w:t>
      </w:r>
      <w:r w:rsidRPr="00C00255">
        <w:rPr>
          <w:szCs w:val="24"/>
        </w:rPr>
        <w:t xml:space="preserve">2010 m. gruodžio 23 d. įstatymo Nr. XI-1269 redakcija) nuostatų reikalavimus, t. y. kad ikiteisminio tyrimo teisėjo nutartis pripažinti įtariamuoju užsienio valstybės pilietį dėl nusikaltimo, už kurį numatyta atsakomybė Lietuvos Respublikos tarptautinių sutarčių ir BK 7 straipsnio pagrindais, kai asmuo yra ne Lietuvos Respublikos teritorijoje ir negali būti išduotas ar perduotas Lietuvos Respublikai, taip pat tokiam asmeniui pranešimas apie ikiteisminio tyrimo pabaigą bei kaltinamasis aktas siunčiami Lietuvos Respublikos tarptautinėse sutartyse numatytoms centrinėms susižinojimo įstaigoms užsienio valstybėje (nagrinėjamu atveju – Rusijos Federacijos generalinei prokuratūrai).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color w:val="000000" w:themeColor="text1"/>
          <w:szCs w:val="24"/>
        </w:rPr>
        <w:t>Taip pat nustatyta, kad minėtiems nuteistiesiems (kaip beje ir visiems kitiems nuteistiesiems šioje byloje) buvo paskirti gynėjai, kuriems įteikti pranešimai apie ikiteisminio tyrimo pabaigą ir jie supažindinti su visa ikiteisminio tyrimo medžiaga (t. 589, b. l. 190, 219 (</w:t>
      </w:r>
      <w:r>
        <w:rPr>
          <w:color w:val="000000" w:themeColor="text1"/>
          <w:szCs w:val="24"/>
        </w:rPr>
        <w:t>V. S. 3</w:t>
      </w:r>
      <w:r w:rsidRPr="00C00255">
        <w:rPr>
          <w:color w:val="000000" w:themeColor="text1"/>
          <w:szCs w:val="24"/>
        </w:rPr>
        <w:t xml:space="preserve"> gynėjas); t. 587, b. l. 184, 213 (</w:t>
      </w:r>
      <w:r>
        <w:rPr>
          <w:color w:val="000000" w:themeColor="text1"/>
          <w:szCs w:val="24"/>
        </w:rPr>
        <w:t>B. S.</w:t>
      </w:r>
      <w:r w:rsidRPr="00C00255">
        <w:rPr>
          <w:color w:val="000000" w:themeColor="text1"/>
          <w:szCs w:val="24"/>
        </w:rPr>
        <w:t xml:space="preserve"> gynėjas); t. 583, b. l. 186, 218 (</w:t>
      </w:r>
      <w:r>
        <w:rPr>
          <w:color w:val="000000" w:themeColor="text1"/>
          <w:szCs w:val="24"/>
        </w:rPr>
        <w:t>V. S. 2</w:t>
      </w:r>
      <w:r w:rsidRPr="00C00255">
        <w:rPr>
          <w:color w:val="000000" w:themeColor="text1"/>
          <w:szCs w:val="24"/>
        </w:rPr>
        <w:t xml:space="preserve"> gynėjas); t. 570, b. l. 186, 187 (</w:t>
      </w:r>
      <w:r>
        <w:rPr>
          <w:color w:val="000000" w:themeColor="text1"/>
          <w:szCs w:val="24"/>
        </w:rPr>
        <w:t>A. K. 2</w:t>
      </w:r>
      <w:r w:rsidRPr="00C00255">
        <w:rPr>
          <w:color w:val="000000" w:themeColor="text1"/>
          <w:szCs w:val="24"/>
        </w:rPr>
        <w:t xml:space="preserve"> gynėjas); t. 593, b. l. 108, 145 (</w:t>
      </w:r>
      <w:r>
        <w:rPr>
          <w:color w:val="000000" w:themeColor="text1"/>
          <w:szCs w:val="24"/>
        </w:rPr>
        <w:t>J. G.</w:t>
      </w:r>
      <w:r w:rsidRPr="00C00255">
        <w:rPr>
          <w:color w:val="000000" w:themeColor="text1"/>
          <w:szCs w:val="24"/>
        </w:rPr>
        <w:t xml:space="preserve"> gynėjas)). Tolesnėse baudžiamojo proceso stadijose nuteistųjų interesus taip pat atstovavo ir jų teises aktyviai gynė jiems paskirti gynėjai (aktyvų gynybos veikimą, be kita ko, rodo ir minėtų nuteistųjų gynėjų pateikti apeliaciniai skundai). Be to, pažymėtina, kad pagal BPK nuostatas nuteistasis, kurio byla buvo išnagrinėta jam nedalyvaujant, bet kuriuo baudžiamojo proceso metu (net ir sprendimo vykdymo procese) gali pateikti apeliacinį skundą (BPK</w:t>
      </w:r>
      <w:r>
        <w:rPr>
          <w:color w:val="000000" w:themeColor="text1"/>
          <w:szCs w:val="24"/>
        </w:rPr>
        <w:t> </w:t>
      </w:r>
      <w:r w:rsidRPr="00C00255">
        <w:rPr>
          <w:color w:val="000000" w:themeColor="text1"/>
          <w:szCs w:val="24"/>
        </w:rPr>
        <w:t>438</w:t>
      </w:r>
      <w:r>
        <w:rPr>
          <w:color w:val="000000" w:themeColor="text1"/>
          <w:szCs w:val="24"/>
        </w:rPr>
        <w:t> </w:t>
      </w:r>
      <w:r w:rsidRPr="00C00255">
        <w:rPr>
          <w:color w:val="000000" w:themeColor="text1"/>
          <w:szCs w:val="24"/>
        </w:rPr>
        <w:t>straipsnio 1 dalis), o tai taip pat laikytina papildoma nuteistojo teisių (tarp jų ir teisės į gynybą) užtikrinimo garantija. Taigi, šioje byloje tiesioginis pranešimo apie ikiteisminio tyrimo pabaigą ir kaltinamojo akto neįteikimas kaltinamiesiems nelėmė jų teisės į gynybą pažeidimo. Šių išvadų kontekste</w:t>
      </w:r>
      <w:r w:rsidRPr="00C00255">
        <w:rPr>
          <w:szCs w:val="24"/>
        </w:rPr>
        <w:t xml:space="preserve"> nepagrįstais laikytini ir nuteistojo </w:t>
      </w:r>
      <w:r>
        <w:rPr>
          <w:szCs w:val="24"/>
        </w:rPr>
        <w:t>J. G.</w:t>
      </w:r>
      <w:r w:rsidRPr="00C00255">
        <w:rPr>
          <w:szCs w:val="24"/>
        </w:rPr>
        <w:t xml:space="preserve"> gynėjo argumentai, kad kaltinamajame akte, lyginant su pranešimu apie įtarimą, esantys skirtumai negali būti inkriminuoti nuteistiesiems, nes jie nebuvo supažindinti su kaltinimo modifikacijomis. Kaip jau minėta, su šiais abejais procesiniais dokumentais (pranešimu apie įtarimą ir kaltinamuoju aktu) buvo supažindintas nuteistojo </w:t>
      </w:r>
      <w:r>
        <w:rPr>
          <w:szCs w:val="24"/>
        </w:rPr>
        <w:t>J. G.</w:t>
      </w:r>
      <w:r w:rsidRPr="00C00255">
        <w:rPr>
          <w:szCs w:val="24"/>
        </w:rPr>
        <w:t xml:space="preserve"> gynėjas, kuriam buvo žinoma, kuo konkrečiai yra kaltinamas jo ginamasis, todėl kaltinamajame akte išdėstytos nusikalstamos veikos galėjo būti inkriminuotos nuteistiesiems.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themeColor="text1"/>
        </w:rPr>
      </w:pPr>
      <w:r w:rsidRPr="00C00255">
        <w:rPr>
          <w:color w:val="000000" w:themeColor="text1"/>
          <w:szCs w:val="24"/>
        </w:rPr>
        <w:t xml:space="preserve">Taip pat apeliacinės instancijos teismas nepagrįstais laiko ir nuteistųjų </w:t>
      </w:r>
      <w:r>
        <w:rPr>
          <w:szCs w:val="24"/>
        </w:rPr>
        <w:t>J. S.</w:t>
      </w:r>
      <w:r w:rsidRPr="00C00255">
        <w:rPr>
          <w:szCs w:val="24"/>
        </w:rPr>
        <w:t xml:space="preserve"> bei </w:t>
      </w:r>
      <w:r>
        <w:rPr>
          <w:szCs w:val="24"/>
        </w:rPr>
        <w:t>V. K. 1</w:t>
      </w:r>
      <w:r w:rsidRPr="00C00255">
        <w:rPr>
          <w:szCs w:val="24"/>
        </w:rPr>
        <w:t xml:space="preserve"> gynėjų argumentus, kad baudžiamoji byla negalėjo būti perduota nagrinėti teisme, nesant duomenų, kad nuteistiesiems buvo žinoma apie jiems pareikštus įtarimus ir procesą. Kaip jau minėta, Lietuvos Respublikos generalinė prokuratūra, užbaigusi ikiteisminį tyrimą ir surašiusi kaltinamąjį aktą, tinkamai įgyvendino BPK 220 straipsnio 6 dalies (2010 m. gruodžio 23 d. įstatymo Nr. XI-1269 redakcija) reikalavimus ir kaltinamąjį aktą išsiuntė Rusijos Federacijos generalinei prokuratūrai, taigi, ėmėsi visų privalomų priemonių informuoti kaltinamuosius apie jų atžvilgiu vykstantį baudžiamąjį procesą ir priimtą kaltinamąjį aktą.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bookmarkStart w:id="907" w:name="_Hlk65835252"/>
      <w:r w:rsidRPr="00C00255">
        <w:rPr>
          <w:szCs w:val="24"/>
        </w:rPr>
        <w:t xml:space="preserve">Nuteistųjų </w:t>
      </w:r>
      <w:bookmarkStart w:id="908" w:name="_Hlk66210137"/>
      <w:r>
        <w:rPr>
          <w:szCs w:val="24"/>
        </w:rPr>
        <w:t>V. K. 1</w:t>
      </w:r>
      <w:r w:rsidRPr="00C00255">
        <w:rPr>
          <w:szCs w:val="24"/>
        </w:rPr>
        <w:t xml:space="preserve">, </w:t>
      </w:r>
      <w:r>
        <w:rPr>
          <w:szCs w:val="24"/>
        </w:rPr>
        <w:t>V. M.</w:t>
      </w:r>
      <w:r w:rsidRPr="00C00255">
        <w:rPr>
          <w:szCs w:val="24"/>
        </w:rPr>
        <w:t xml:space="preserve">, </w:t>
      </w:r>
      <w:r>
        <w:rPr>
          <w:szCs w:val="24"/>
        </w:rPr>
        <w:t>A. U.</w:t>
      </w:r>
      <w:r w:rsidRPr="00C00255">
        <w:rPr>
          <w:szCs w:val="24"/>
        </w:rPr>
        <w:t xml:space="preserve">, </w:t>
      </w:r>
      <w:r>
        <w:rPr>
          <w:szCs w:val="24"/>
        </w:rPr>
        <w:t>A. K. 2</w:t>
      </w:r>
      <w:r w:rsidRPr="00C00255">
        <w:rPr>
          <w:szCs w:val="24"/>
        </w:rPr>
        <w:t xml:space="preserve">, </w:t>
      </w:r>
      <w:r>
        <w:rPr>
          <w:szCs w:val="24"/>
        </w:rPr>
        <w:t>E. M.</w:t>
      </w:r>
      <w:r w:rsidRPr="00C00255">
        <w:rPr>
          <w:szCs w:val="24"/>
        </w:rPr>
        <w:t xml:space="preserve">, </w:t>
      </w:r>
      <w:r>
        <w:rPr>
          <w:szCs w:val="24"/>
        </w:rPr>
        <w:t>A. K.</w:t>
      </w:r>
      <w:r w:rsidRPr="00C00255">
        <w:rPr>
          <w:szCs w:val="24"/>
        </w:rPr>
        <w:t xml:space="preserve">, </w:t>
      </w:r>
      <w:r>
        <w:rPr>
          <w:szCs w:val="24"/>
        </w:rPr>
        <w:t>D. F.</w:t>
      </w:r>
      <w:r w:rsidRPr="00C00255">
        <w:rPr>
          <w:szCs w:val="24"/>
        </w:rPr>
        <w:t xml:space="preserve">, </w:t>
      </w:r>
      <w:r>
        <w:rPr>
          <w:szCs w:val="24"/>
        </w:rPr>
        <w:t>J. S.</w:t>
      </w:r>
      <w:r w:rsidRPr="00C00255">
        <w:rPr>
          <w:szCs w:val="24"/>
        </w:rPr>
        <w:t xml:space="preserve">, </w:t>
      </w:r>
      <w:r>
        <w:rPr>
          <w:szCs w:val="24"/>
        </w:rPr>
        <w:t>J. G.</w:t>
      </w:r>
      <w:r w:rsidRPr="00C00255">
        <w:rPr>
          <w:szCs w:val="24"/>
        </w:rPr>
        <w:t xml:space="preserve">, </w:t>
      </w:r>
      <w:r>
        <w:rPr>
          <w:szCs w:val="24"/>
        </w:rPr>
        <w:t>B. S.</w:t>
      </w:r>
      <w:r w:rsidRPr="00C00255">
        <w:rPr>
          <w:szCs w:val="24"/>
        </w:rPr>
        <w:t xml:space="preserve"> ir </w:t>
      </w:r>
      <w:r>
        <w:rPr>
          <w:szCs w:val="24"/>
        </w:rPr>
        <w:t>V. S. 3</w:t>
      </w:r>
      <w:r w:rsidRPr="00C00255">
        <w:rPr>
          <w:szCs w:val="24"/>
        </w:rPr>
        <w:t xml:space="preserve"> </w:t>
      </w:r>
      <w:bookmarkEnd w:id="908"/>
      <w:r w:rsidRPr="00C00255">
        <w:rPr>
          <w:szCs w:val="24"/>
        </w:rPr>
        <w:t xml:space="preserve">gynėjai apeliaciniuose skunduose iš esmės panašiai teigia, kad baudžiamąją bylą išnagrinėjus nedalyvaujant jų ginamiesiems buvo pažeistos BPK 246 straipsnio nuostatos ir nuteistųjų teisės, įtvirtintos BPK 22 straipsnio 3 dalyje, nes nuteistieji nežinojo apie vykstantį procesą ir nėra objektyvių duomenų, kad jie vengė dalyvauti procese, kadangi su teisinės pagalbos prašymais buvo kreiptasi į atitinkamas valstybes, kurios šių pašymų neįvykdė ir nepranešė nuteistiesiems apie jiems pareikštą įtarimą (kaltinimą). Be to, dalies gynėjų (nuteistųjų </w:t>
      </w:r>
      <w:bookmarkStart w:id="909" w:name="_Hlk66213499"/>
      <w:r>
        <w:rPr>
          <w:szCs w:val="24"/>
        </w:rPr>
        <w:t>E. M.</w:t>
      </w:r>
      <w:r w:rsidRPr="00C00255">
        <w:rPr>
          <w:szCs w:val="24"/>
        </w:rPr>
        <w:t xml:space="preserve">, </w:t>
      </w:r>
      <w:r>
        <w:rPr>
          <w:szCs w:val="24"/>
        </w:rPr>
        <w:t>A. K.</w:t>
      </w:r>
      <w:r w:rsidRPr="00C00255">
        <w:rPr>
          <w:szCs w:val="24"/>
        </w:rPr>
        <w:t xml:space="preserve">, </w:t>
      </w:r>
      <w:r>
        <w:rPr>
          <w:szCs w:val="24"/>
        </w:rPr>
        <w:t>D. F.</w:t>
      </w:r>
      <w:bookmarkEnd w:id="909"/>
      <w:r w:rsidRPr="00C00255">
        <w:rPr>
          <w:szCs w:val="24"/>
        </w:rPr>
        <w:t xml:space="preserve">) teigimu, ikiteisminio tyrimo ir bylos nagrinėjimo metu nebuvo nustatyti jų ginamųjų anketiniai duomenys, todėl nėra aišku, ar nuteistieji nėra mirę. Nuteistojo </w:t>
      </w:r>
      <w:r>
        <w:rPr>
          <w:szCs w:val="24"/>
        </w:rPr>
        <w:t>V. K. 1</w:t>
      </w:r>
      <w:r w:rsidRPr="00C00255">
        <w:rPr>
          <w:szCs w:val="24"/>
        </w:rPr>
        <w:t xml:space="preserve"> gynėja, be kita ko, teigia ir tai, kad neaišku, ar būtent </w:t>
      </w:r>
      <w:r>
        <w:rPr>
          <w:szCs w:val="24"/>
        </w:rPr>
        <w:t>V. K. 1</w:t>
      </w:r>
      <w:r w:rsidRPr="00C00255">
        <w:rPr>
          <w:szCs w:val="24"/>
        </w:rPr>
        <w:t xml:space="preserve"> buvo įteiktas pranešimas apie bylos nagrinėjimą Vilniaus apygardos teisme.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Baudžiamoji byla Vilniaus apygardos teisme iš tiesų buvo išnagrinėta nedalyvaujant daugeliui nuteistųjų, taip pat ir minėtiesiems nuteistiesiems </w:t>
      </w:r>
      <w:r>
        <w:rPr>
          <w:szCs w:val="24"/>
        </w:rPr>
        <w:t>V. K. 1</w:t>
      </w:r>
      <w:bookmarkStart w:id="910" w:name="_Hlk66210879"/>
      <w:r w:rsidRPr="00C00255">
        <w:rPr>
          <w:szCs w:val="24"/>
        </w:rPr>
        <w:t xml:space="preserve">, </w:t>
      </w:r>
      <w:r>
        <w:rPr>
          <w:szCs w:val="24"/>
        </w:rPr>
        <w:t>V. M.</w:t>
      </w:r>
      <w:r w:rsidRPr="00C00255">
        <w:rPr>
          <w:szCs w:val="24"/>
        </w:rPr>
        <w:t xml:space="preserve">, </w:t>
      </w:r>
      <w:r>
        <w:rPr>
          <w:szCs w:val="24"/>
        </w:rPr>
        <w:t>A. U.</w:t>
      </w:r>
      <w:r w:rsidRPr="00C00255">
        <w:rPr>
          <w:szCs w:val="24"/>
        </w:rPr>
        <w:t xml:space="preserve">, </w:t>
      </w:r>
      <w:r>
        <w:rPr>
          <w:szCs w:val="24"/>
        </w:rPr>
        <w:t>A. K. 2</w:t>
      </w:r>
      <w:r w:rsidRPr="00C00255">
        <w:rPr>
          <w:szCs w:val="24"/>
        </w:rPr>
        <w:t xml:space="preserve">, </w:t>
      </w:r>
      <w:r>
        <w:rPr>
          <w:szCs w:val="24"/>
        </w:rPr>
        <w:t>E. M.</w:t>
      </w:r>
      <w:r w:rsidRPr="00C00255">
        <w:rPr>
          <w:szCs w:val="24"/>
        </w:rPr>
        <w:t xml:space="preserve">, </w:t>
      </w:r>
      <w:r>
        <w:rPr>
          <w:szCs w:val="24"/>
        </w:rPr>
        <w:t>A. K.</w:t>
      </w:r>
      <w:r w:rsidRPr="00C00255">
        <w:rPr>
          <w:szCs w:val="24"/>
        </w:rPr>
        <w:t xml:space="preserve">, </w:t>
      </w:r>
      <w:r>
        <w:rPr>
          <w:szCs w:val="24"/>
        </w:rPr>
        <w:t>D. F.</w:t>
      </w:r>
      <w:r w:rsidRPr="00C00255">
        <w:rPr>
          <w:szCs w:val="24"/>
        </w:rPr>
        <w:t xml:space="preserve">, </w:t>
      </w:r>
      <w:r>
        <w:rPr>
          <w:szCs w:val="24"/>
        </w:rPr>
        <w:t>J. S.</w:t>
      </w:r>
      <w:r w:rsidRPr="00C00255">
        <w:rPr>
          <w:szCs w:val="24"/>
        </w:rPr>
        <w:t xml:space="preserve">, </w:t>
      </w:r>
      <w:r>
        <w:rPr>
          <w:szCs w:val="24"/>
        </w:rPr>
        <w:t>J. G.</w:t>
      </w:r>
      <w:r w:rsidRPr="00C00255">
        <w:rPr>
          <w:szCs w:val="24"/>
        </w:rPr>
        <w:t xml:space="preserve">, </w:t>
      </w:r>
      <w:r>
        <w:rPr>
          <w:szCs w:val="24"/>
        </w:rPr>
        <w:t>B. S.</w:t>
      </w:r>
      <w:r w:rsidRPr="00C00255">
        <w:rPr>
          <w:szCs w:val="24"/>
        </w:rPr>
        <w:t xml:space="preserve">, </w:t>
      </w:r>
      <w:r>
        <w:rPr>
          <w:szCs w:val="24"/>
        </w:rPr>
        <w:t>V. S. 3</w:t>
      </w:r>
      <w:bookmarkEnd w:id="910"/>
      <w:r w:rsidRPr="00C00255">
        <w:rPr>
          <w:szCs w:val="24"/>
        </w:rPr>
        <w:t>, tačiau teisėjų kolegija nesutinka su gynėjų apeliacinių skundų argumentu, kad taip buvo suvaržytos nuteistųjų teisės į teisingą baudžiamosios bylos išnagrinėjimą.</w:t>
      </w:r>
    </w:p>
    <w:bookmarkEnd w:id="907"/>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BPK 433 straipsnyje nustatyta, kad byla nedalyvaujant kaltinamajam gali būti nagrinėjama šio Kodekso 246 straipsnyje nustatytu atveju. BPK 246 straipsnio 1 dalyje įtvirtinta, kad byla pirmosios instancijos teismo posėdyje nagrinėjama dalyvaujant kaltinamajam. Kaltinamajam atvykti į teismą privaloma. Nagrinėti bylą, kai nedalyvauja kaltinamasis, leidžiama tik tuo atveju, jeigu kaltinamasis yra ne Lietuvos Respublikos teritorijoje ir vengia atvykti į teismą. Taigi, BPK nuostatos sudaro sąlygas tam tikrais atvejais vykti ir baudžiamajam procesui </w:t>
      </w:r>
      <w:r w:rsidRPr="00C00255">
        <w:rPr>
          <w:i/>
          <w:iCs/>
          <w:szCs w:val="24"/>
        </w:rPr>
        <w:t>in absentia</w:t>
      </w:r>
      <w:r w:rsidRPr="00C00255">
        <w:rPr>
          <w:szCs w:val="24"/>
        </w:rPr>
        <w:t xml:space="preserve">, t. y. kaltinamajam nedalyvaujant.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Žmogaus teisių ir pagrindinių laisvių apsaugos konvencijos 6 straipsnio 1 dalyje ir 3 dalyje įtvirtintos kaltinamojo teisės, taip pat ir teisė dalyvauti teisminiame bylos nagrinėjime. Tačiau ir pagal Konvenciją ši teisė nėra absoliuti, t. y. galimas baudžiamosios bylos nagrinėjimas </w:t>
      </w:r>
      <w:r w:rsidRPr="00C00255">
        <w:rPr>
          <w:i/>
          <w:iCs/>
          <w:szCs w:val="24"/>
        </w:rPr>
        <w:t>in absentia</w:t>
      </w:r>
      <w:r w:rsidRPr="00C00255">
        <w:rPr>
          <w:szCs w:val="24"/>
        </w:rPr>
        <w:t xml:space="preserve">. Tai ne kartą yra pažymėjęs EŽTT savo praktikoje. Teisėjų kolegija sutinka, kad procesas </w:t>
      </w:r>
      <w:r w:rsidRPr="00C00255">
        <w:rPr>
          <w:i/>
          <w:iCs/>
          <w:szCs w:val="24"/>
        </w:rPr>
        <w:t>in absentia</w:t>
      </w:r>
      <w:r w:rsidRPr="00C00255">
        <w:rPr>
          <w:szCs w:val="24"/>
        </w:rPr>
        <w:t xml:space="preserve"> neišvengiamai yra susijęs su kaltinamojo teisių varžymu, tačiau vis tik tokiu būdu yra užtikrinamas teisingumo vykdymas, nes priešingu atveju, kaip ir yra pripažinęs EŽTT, nesant galimybės vykti procesui </w:t>
      </w:r>
      <w:r w:rsidRPr="00C00255">
        <w:rPr>
          <w:i/>
          <w:iCs/>
          <w:szCs w:val="24"/>
        </w:rPr>
        <w:t>in absentia</w:t>
      </w:r>
      <w:r w:rsidRPr="00C00255">
        <w:rPr>
          <w:szCs w:val="24"/>
        </w:rPr>
        <w:t>, būtų užkirstas kelias įvykdyti teisingumą (</w:t>
      </w:r>
      <w:bookmarkStart w:id="911" w:name="_Hlk66267679"/>
      <w:r w:rsidRPr="00C00255">
        <w:rPr>
          <w:szCs w:val="24"/>
        </w:rPr>
        <w:t xml:space="preserve">EŽTT sprendimai bylose </w:t>
      </w:r>
      <w:r w:rsidRPr="00C00255">
        <w:rPr>
          <w:i/>
          <w:iCs/>
          <w:szCs w:val="24"/>
        </w:rPr>
        <w:t>Colozza prieš Italiją</w:t>
      </w:r>
      <w:r w:rsidRPr="00C00255">
        <w:rPr>
          <w:szCs w:val="24"/>
        </w:rPr>
        <w:t xml:space="preserve">, peticijos Nr. 9024/80; </w:t>
      </w:r>
      <w:bookmarkStart w:id="912" w:name="_Hlk66269413"/>
      <w:r w:rsidRPr="00C00255">
        <w:rPr>
          <w:i/>
          <w:iCs/>
          <w:szCs w:val="24"/>
        </w:rPr>
        <w:t>Sanader prieš Kroatiją</w:t>
      </w:r>
      <w:r w:rsidRPr="00C00255">
        <w:rPr>
          <w:szCs w:val="24"/>
        </w:rPr>
        <w:t>, peticijos Nr. 66408/12</w:t>
      </w:r>
      <w:bookmarkEnd w:id="911"/>
      <w:bookmarkEnd w:id="912"/>
      <w:r w:rsidRPr="00C00255">
        <w:rPr>
          <w:szCs w:val="24"/>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EŽTT praktikoje išskirta, kad esant teisėtiems pagrindams ir papildomoms kaltinamojo teisių apsaugos priemonėms, procesas </w:t>
      </w:r>
      <w:r w:rsidRPr="00C00255">
        <w:rPr>
          <w:i/>
          <w:iCs/>
          <w:szCs w:val="24"/>
        </w:rPr>
        <w:t>in absentia</w:t>
      </w:r>
      <w:r w:rsidRPr="00C00255">
        <w:rPr>
          <w:szCs w:val="24"/>
        </w:rPr>
        <w:t xml:space="preserve"> gali būti taikomas nepažeidžiant kaltinamojo teisės dalyvauti teisminiame bylos nagrinėjime. </w:t>
      </w:r>
      <w:r w:rsidRPr="00C00255">
        <w:rPr>
          <w:color w:val="000000" w:themeColor="text1"/>
          <w:szCs w:val="24"/>
        </w:rPr>
        <w:t xml:space="preserve">EŽTT nagrinėtose bylose šiuo atveju buvo išskirtos </w:t>
      </w:r>
      <w:r w:rsidRPr="00C00255">
        <w:rPr>
          <w:i/>
          <w:iCs/>
          <w:color w:val="000000" w:themeColor="text1"/>
          <w:szCs w:val="24"/>
        </w:rPr>
        <w:t>in absentia</w:t>
      </w:r>
      <w:r w:rsidRPr="00C00255">
        <w:rPr>
          <w:color w:val="000000" w:themeColor="text1"/>
          <w:szCs w:val="24"/>
        </w:rPr>
        <w:t xml:space="preserve"> taikymo </w:t>
      </w:r>
      <w:bookmarkStart w:id="913" w:name="_Hlk66178965"/>
      <w:r w:rsidRPr="00C00255">
        <w:rPr>
          <w:color w:val="000000" w:themeColor="text1"/>
          <w:szCs w:val="24"/>
        </w:rPr>
        <w:t>sąlygos –</w:t>
      </w:r>
      <w:bookmarkEnd w:id="913"/>
      <w:r w:rsidRPr="00C00255">
        <w:rPr>
          <w:color w:val="000000" w:themeColor="text1"/>
          <w:szCs w:val="24"/>
        </w:rPr>
        <w:t xml:space="preserve"> </w:t>
      </w:r>
      <w:bookmarkStart w:id="914" w:name="_Hlk66263389"/>
      <w:r w:rsidRPr="00C00255">
        <w:rPr>
          <w:color w:val="000000" w:themeColor="text1"/>
          <w:szCs w:val="24"/>
        </w:rPr>
        <w:t>kaltinamojo teisė būti informuotam apie</w:t>
      </w:r>
      <w:r w:rsidRPr="00C00255">
        <w:rPr>
          <w:color w:val="000000" w:themeColor="text1"/>
        </w:rPr>
        <w:t xml:space="preserve"> </w:t>
      </w:r>
      <w:r w:rsidRPr="00C00255">
        <w:rPr>
          <w:color w:val="000000" w:themeColor="text1"/>
          <w:szCs w:val="24"/>
        </w:rPr>
        <w:t>baudžiamąjį procesą jo atžvilgiu</w:t>
      </w:r>
      <w:bookmarkEnd w:id="914"/>
      <w:r w:rsidRPr="00C00255">
        <w:rPr>
          <w:color w:val="000000" w:themeColor="text1"/>
          <w:szCs w:val="24"/>
        </w:rPr>
        <w:t xml:space="preserve"> (esant realiai galimybei jam pranešti ar sužinoti) (EŽTT sprendimai bylose </w:t>
      </w:r>
      <w:r w:rsidRPr="00C00255">
        <w:rPr>
          <w:i/>
          <w:iCs/>
          <w:color w:val="000000" w:themeColor="text1"/>
          <w:szCs w:val="24"/>
        </w:rPr>
        <w:t>Sanader prieš Kroatiją</w:t>
      </w:r>
      <w:r w:rsidRPr="00C00255">
        <w:rPr>
          <w:color w:val="000000" w:themeColor="text1"/>
          <w:szCs w:val="24"/>
        </w:rPr>
        <w:t xml:space="preserve">, peticijos Nr. 66408/12; </w:t>
      </w:r>
      <w:r w:rsidRPr="00C00255">
        <w:rPr>
          <w:i/>
          <w:iCs/>
          <w:color w:val="000000" w:themeColor="text1"/>
          <w:szCs w:val="24"/>
        </w:rPr>
        <w:t>Lena Atanasova prieš Bulgariją</w:t>
      </w:r>
      <w:r w:rsidRPr="00C00255">
        <w:rPr>
          <w:color w:val="000000" w:themeColor="text1"/>
          <w:szCs w:val="24"/>
        </w:rPr>
        <w:t>, peticijos Nr.</w:t>
      </w:r>
      <w:r w:rsidRPr="00C00255">
        <w:rPr>
          <w:color w:val="000000" w:themeColor="text1"/>
        </w:rPr>
        <w:t> </w:t>
      </w:r>
      <w:r w:rsidRPr="00C00255">
        <w:rPr>
          <w:color w:val="000000" w:themeColor="text1"/>
          <w:szCs w:val="24"/>
        </w:rPr>
        <w:t xml:space="preserve">52009/07); kaltinamojo teisė turėti gynėją (EŽTT sprendimai bylose </w:t>
      </w:r>
      <w:r w:rsidRPr="00C00255">
        <w:rPr>
          <w:i/>
          <w:iCs/>
          <w:color w:val="000000" w:themeColor="text1"/>
          <w:szCs w:val="24"/>
        </w:rPr>
        <w:t>Krombach prieš Prancūziją</w:t>
      </w:r>
      <w:r w:rsidRPr="00C00255">
        <w:rPr>
          <w:color w:val="000000" w:themeColor="text1"/>
          <w:szCs w:val="24"/>
        </w:rPr>
        <w:t>, peticijos Nr. 29</w:t>
      </w:r>
      <w:r w:rsidRPr="00C00255">
        <w:rPr>
          <w:szCs w:val="24"/>
        </w:rPr>
        <w:t xml:space="preserve">731/96; </w:t>
      </w:r>
      <w:r w:rsidRPr="00C00255">
        <w:rPr>
          <w:i/>
          <w:iCs/>
          <w:szCs w:val="24"/>
        </w:rPr>
        <w:t>Poitrimol prieš Prancūziją</w:t>
      </w:r>
      <w:r w:rsidRPr="00C00255">
        <w:rPr>
          <w:szCs w:val="24"/>
        </w:rPr>
        <w:t xml:space="preserve">, peticijos Nr. 14032/88 ir kt.); kaltinamojo teisės į bylos peržiūrėjimą užtikrinimas, t. y. asmuo, nuteistas </w:t>
      </w:r>
      <w:r w:rsidRPr="00C00255">
        <w:rPr>
          <w:i/>
          <w:iCs/>
          <w:szCs w:val="24"/>
        </w:rPr>
        <w:t>in absentia</w:t>
      </w:r>
      <w:r w:rsidRPr="00C00255">
        <w:rPr>
          <w:szCs w:val="24"/>
        </w:rPr>
        <w:t xml:space="preserve">, sužinojęs apie procesą (kai jam apie tai anksčiau nebuvo žinoma), pagal nacionalinę teisę turi turėti realią galimybę pasiekti, kad jam pareikšti kaltinimai būtų iš naujo išnagrinėti iš esmės fakto ir teisės aspektais, nes priešinga situacija reikštų teisingumo neužtikrinimą (EŽTT sprendimai bylose </w:t>
      </w:r>
      <w:r w:rsidRPr="00C00255">
        <w:rPr>
          <w:i/>
          <w:iCs/>
          <w:szCs w:val="24"/>
        </w:rPr>
        <w:t>Sejdovic prieš Italiją</w:t>
      </w:r>
      <w:r w:rsidRPr="00C00255">
        <w:rPr>
          <w:szCs w:val="24"/>
        </w:rPr>
        <w:t xml:space="preserve">, peticijos Nr. 56581/00; </w:t>
      </w:r>
      <w:r w:rsidRPr="00C00255">
        <w:rPr>
          <w:i/>
          <w:iCs/>
          <w:szCs w:val="24"/>
        </w:rPr>
        <w:t>Maleki prieš Italiją</w:t>
      </w:r>
      <w:r w:rsidRPr="00C00255">
        <w:rPr>
          <w:szCs w:val="24"/>
        </w:rPr>
        <w:t xml:space="preserve">, peticijos Nr. 699/1996; </w:t>
      </w:r>
      <w:r w:rsidRPr="00C00255">
        <w:rPr>
          <w:i/>
          <w:iCs/>
          <w:szCs w:val="24"/>
        </w:rPr>
        <w:t>Colozza prieš Italiją</w:t>
      </w:r>
      <w:r w:rsidRPr="00C00255">
        <w:rPr>
          <w:szCs w:val="24"/>
        </w:rPr>
        <w:t xml:space="preserve">, peticijos Nr. 9024/80; </w:t>
      </w:r>
      <w:r w:rsidRPr="00C00255">
        <w:rPr>
          <w:i/>
          <w:iCs/>
          <w:szCs w:val="24"/>
        </w:rPr>
        <w:t>Demebukov prieš Bulgariją</w:t>
      </w:r>
      <w:r w:rsidRPr="00C00255">
        <w:rPr>
          <w:szCs w:val="24"/>
        </w:rPr>
        <w:t xml:space="preserve">, peticijos Nr. 68020/01 ir kt.). Teisėjų kolegija pažymi, kad pagal BPK 438 straipsnio 1 dalies nuostatas nuteistasis, kurio byla buvo išnagrinėta jam nedalyvaujant, bet kuriuo baudžiamojo proceso metu (net ir sprendimo vykdymo procese) gali pateikti apeliacinį skundą. Taigi, nacionalinėje teisėje yra užtikrintas EŽTT jurisprudencijoje įtvirtinto reikalavimo dėl nuteistojo veiksmingos galimybės sužinojus apie įvykusį procesą </w:t>
      </w:r>
      <w:r w:rsidRPr="00C00255">
        <w:rPr>
          <w:i/>
          <w:szCs w:val="24"/>
        </w:rPr>
        <w:t>in absentia</w:t>
      </w:r>
      <w:r w:rsidRPr="00C00255">
        <w:rPr>
          <w:szCs w:val="24"/>
        </w:rPr>
        <w:t xml:space="preserve"> bet kuriuo metu reikalauti naujo bylos nagrinėjimo laikymasis.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Taip pat Lietuvos nacionalinėje teisėje įgyvendintas ir kitas EŽTT įtvirtintas reikalavimas procesui </w:t>
      </w:r>
      <w:r w:rsidRPr="00C00255">
        <w:rPr>
          <w:i/>
          <w:szCs w:val="24"/>
        </w:rPr>
        <w:t>in absentia</w:t>
      </w:r>
      <w:r w:rsidRPr="00C00255">
        <w:rPr>
          <w:szCs w:val="24"/>
        </w:rPr>
        <w:t xml:space="preserve">, t. y. būtinas gynėjo dalyvavimas (BPK 51 straipsnio 1 dalies 6 punktas ir 435 straipsnis). Iš baudžiamosios bylos medžiagos matyti, kad bylą nagrinėjant pirmosios instancijos teisme, nuteistųjų teisė turėti gynėją buvo užtikrinta tinkamai. Vilniaus apygardos teismo 2016 m. sausio 7 d. nutartimi visiems minėtiems nuteistiesiems buvo paskirti gynėjai (t. 709, b. l. 4–6), vėlesnėmis teismo nutartimis taip pat buvo paskirti ir papildomi gynėjai (kaip minėta, gynėjai buvo paskirti ir ikiteisminio tyrimo metu). Be to, šiame kontekste teisėjų kolegija pažymi, kad BPK 48 straipsnio 2 dalies 1 punkte gynėjas įpareigojamas panaudoti visas įstatymuose nurodytas gynybos priemones ir būdus, kad būtų nustatytos aplinkybės, teisinančios ginamąjį ar lengvinančios jo atsakomybę, ir teikti ginamajam reikiamą teisinę pagalbą, o Lietuvos Respublikos advokatūros įstatymo 39 straipsnio 1 dalis įpareigoja advokatą sąžiningai atlikti savo pareigas. Iš bylos medžiagos matyti, kad nuteistiesiems paskirti gynėjai, aktyviai dalyvavo bylą nagrinėjant pirmosios instancijos teisme, tinkamai užtikrindami kaltinamųjų interesų apsaugą, be kita ko, ir pateikiant apeliacinius skundus. Taigi proceso metu buvo užtikrinta nuteistųjų teisė į gynybą – jų interesus gynė advokatai, taip pat užtikrinta jų teisė paduoti apeliacinius skundus, aktyviai dalyvauti apeliacinio proceso metu ir pasisakyti, net ir tais klausimais, kurie nebuvo nurodyti apeliaciniuose skunduose, leista pasisakyti ir gynėjams, kurie apskritai nepadavė apeliacinių skundų, todėl teigti, kad gynybos teisės šiuo atveju buvo suvaržytos, pagrindo nėra.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Dėl trečiojo EŽTT praktikoje suformuoto reikalavimo procesui </w:t>
      </w:r>
      <w:r w:rsidRPr="00C00255">
        <w:rPr>
          <w:i/>
          <w:szCs w:val="24"/>
        </w:rPr>
        <w:t>in absentia</w:t>
      </w:r>
      <w:r w:rsidRPr="00C00255">
        <w:rPr>
          <w:szCs w:val="24"/>
        </w:rPr>
        <w:t xml:space="preserve"> – kaltinamojo teisės būti informuotam apie baudžiamąjį procesą jo atžvilgiu, esant realiai galimybei jam pranešti ar sužinoti, pažymėtina, kad pirmosios instancijos teismas ėmėsi visų protingų ir būtinų priemonių siekiant nuteistuosius informuoti apie jiems reiškiamus kaltinimus ir jų atžvilgiu vykstantį baudžiamąjį procesą. Pirmosios instancijos teismas 2015 m. spalio 27 d. nutartyje, perduodant bylą teisiamajam posėdžiui, nutarė kaltinamiesiems užsienio valstybių piliečiams įteikti pranešimus apie teisiamojo posėdžio laiką tarptautinėse sutartyse ir BPK nustatyta tvarka (t. 703, b. l. 58–65). Vilniaus apygardos teismas Lietuvos Respublikos teisingumo ministerijai išsiuntė pranešimus, be kita ko, dėl </w:t>
      </w:r>
      <w:bookmarkStart w:id="915" w:name="_Hlk66198065"/>
      <w:r w:rsidRPr="00C00255">
        <w:rPr>
          <w:szCs w:val="24"/>
        </w:rPr>
        <w:t xml:space="preserve">nuteistiesiems </w:t>
      </w:r>
      <w:r>
        <w:rPr>
          <w:szCs w:val="24"/>
        </w:rPr>
        <w:t>V. K. 1</w:t>
      </w:r>
      <w:r w:rsidRPr="00C00255">
        <w:rPr>
          <w:szCs w:val="24"/>
        </w:rPr>
        <w:t xml:space="preserve"> (t. 704, b. l. 177–183), </w:t>
      </w:r>
      <w:r>
        <w:rPr>
          <w:szCs w:val="24"/>
        </w:rPr>
        <w:t>V. M.</w:t>
      </w:r>
      <w:r w:rsidRPr="00C00255">
        <w:rPr>
          <w:szCs w:val="24"/>
        </w:rPr>
        <w:t xml:space="preserve"> (t. 703, b. l. 132–138), </w:t>
      </w:r>
      <w:r>
        <w:rPr>
          <w:szCs w:val="24"/>
        </w:rPr>
        <w:t>A. U.</w:t>
      </w:r>
      <w:r w:rsidRPr="00C00255">
        <w:rPr>
          <w:szCs w:val="24"/>
        </w:rPr>
        <w:t xml:space="preserve"> (t. 704, b. l. 112–118), </w:t>
      </w:r>
      <w:r>
        <w:rPr>
          <w:szCs w:val="24"/>
        </w:rPr>
        <w:t>J. S.</w:t>
      </w:r>
      <w:r w:rsidRPr="00C00255">
        <w:rPr>
          <w:szCs w:val="24"/>
        </w:rPr>
        <w:t xml:space="preserve"> (t. 704, b. l. 49–56), </w:t>
      </w:r>
      <w:r>
        <w:rPr>
          <w:szCs w:val="24"/>
        </w:rPr>
        <w:t>J. G.</w:t>
      </w:r>
      <w:r w:rsidRPr="00C00255">
        <w:rPr>
          <w:szCs w:val="24"/>
        </w:rPr>
        <w:t xml:space="preserve"> (t. 703, b. l. 81–87), </w:t>
      </w:r>
      <w:r>
        <w:rPr>
          <w:szCs w:val="24"/>
        </w:rPr>
        <w:t>B. S.</w:t>
      </w:r>
      <w:r w:rsidRPr="00C00255">
        <w:rPr>
          <w:szCs w:val="24"/>
        </w:rPr>
        <w:t xml:space="preserve"> (t. 703, b. l. 125–131), </w:t>
      </w:r>
      <w:r>
        <w:rPr>
          <w:szCs w:val="24"/>
        </w:rPr>
        <w:t>V. S. 3</w:t>
      </w:r>
      <w:r w:rsidRPr="00C00255">
        <w:rPr>
          <w:szCs w:val="24"/>
        </w:rPr>
        <w:t xml:space="preserve"> (t. 703, b. l. 88–94), </w:t>
      </w:r>
      <w:r>
        <w:rPr>
          <w:szCs w:val="24"/>
        </w:rPr>
        <w:t>A. K. 2</w:t>
      </w:r>
      <w:r w:rsidR="007A28A5">
        <w:rPr>
          <w:szCs w:val="24"/>
        </w:rPr>
        <w:t xml:space="preserve"> (t. </w:t>
      </w:r>
      <w:r w:rsidRPr="00C00255">
        <w:rPr>
          <w:szCs w:val="24"/>
        </w:rPr>
        <w:t xml:space="preserve">707, b. l. 161–167), </w:t>
      </w:r>
      <w:r>
        <w:rPr>
          <w:szCs w:val="24"/>
        </w:rPr>
        <w:t>E. M.</w:t>
      </w:r>
      <w:r w:rsidRPr="00C00255">
        <w:rPr>
          <w:szCs w:val="24"/>
        </w:rPr>
        <w:t xml:space="preserve"> (t. 707, b. l. 85–91), </w:t>
      </w:r>
      <w:r>
        <w:rPr>
          <w:szCs w:val="24"/>
        </w:rPr>
        <w:t>A. K.</w:t>
      </w:r>
      <w:r w:rsidRPr="00C00255">
        <w:rPr>
          <w:szCs w:val="24"/>
        </w:rPr>
        <w:t xml:space="preserve"> (t. 707, b. l. 21–26) ir </w:t>
      </w:r>
      <w:r>
        <w:rPr>
          <w:szCs w:val="24"/>
        </w:rPr>
        <w:t>D. F.</w:t>
      </w:r>
      <w:r w:rsidR="007A28A5">
        <w:rPr>
          <w:szCs w:val="24"/>
        </w:rPr>
        <w:t xml:space="preserve"> (t. 707, </w:t>
      </w:r>
      <w:r w:rsidRPr="00C00255">
        <w:rPr>
          <w:szCs w:val="24"/>
        </w:rPr>
        <w:t xml:space="preserve">b. l. 57–63) dokumentų (teisminio pavedimo dėl dokumentų įteikimo, teismo šaukimo – pranešimo baudžiamojoje byloje, patvirtinimo apie dokumentų įteikimą) įteikimo baudžiamojoje byloje. </w:t>
      </w:r>
      <w:bookmarkEnd w:id="915"/>
      <w:r w:rsidRPr="00C00255">
        <w:rPr>
          <w:szCs w:val="24"/>
        </w:rPr>
        <w:t xml:space="preserve">Taip pat byloje nuteistiesiems </w:t>
      </w:r>
      <w:r>
        <w:rPr>
          <w:szCs w:val="24"/>
        </w:rPr>
        <w:t>V. K. 1</w:t>
      </w:r>
      <w:r w:rsidRPr="00C00255">
        <w:rPr>
          <w:szCs w:val="24"/>
        </w:rPr>
        <w:t xml:space="preserve"> (t. 705, b. l. 61–64), </w:t>
      </w:r>
      <w:r>
        <w:rPr>
          <w:szCs w:val="24"/>
        </w:rPr>
        <w:t>V. M.</w:t>
      </w:r>
      <w:r w:rsidR="007A28A5">
        <w:rPr>
          <w:szCs w:val="24"/>
        </w:rPr>
        <w:t xml:space="preserve"> (t. 705, </w:t>
      </w:r>
      <w:r w:rsidRPr="00C00255">
        <w:rPr>
          <w:szCs w:val="24"/>
        </w:rPr>
        <w:t xml:space="preserve">b. l. 53–56), </w:t>
      </w:r>
      <w:r>
        <w:rPr>
          <w:szCs w:val="24"/>
        </w:rPr>
        <w:t>A. U.</w:t>
      </w:r>
      <w:r w:rsidRPr="00C00255">
        <w:rPr>
          <w:szCs w:val="24"/>
        </w:rPr>
        <w:t xml:space="preserve"> (t. 705, b. l. 161–164), </w:t>
      </w:r>
      <w:r>
        <w:rPr>
          <w:szCs w:val="24"/>
        </w:rPr>
        <w:t>J. S.</w:t>
      </w:r>
      <w:r w:rsidRPr="00C00255">
        <w:rPr>
          <w:szCs w:val="24"/>
        </w:rPr>
        <w:t xml:space="preserve"> (t. 705, b. l. 129–132), </w:t>
      </w:r>
      <w:r>
        <w:rPr>
          <w:szCs w:val="24"/>
        </w:rPr>
        <w:t>J. G.</w:t>
      </w:r>
      <w:r w:rsidR="007A28A5">
        <w:rPr>
          <w:szCs w:val="24"/>
        </w:rPr>
        <w:t xml:space="preserve"> (t. 705, b. l. </w:t>
      </w:r>
      <w:r w:rsidRPr="00C00255">
        <w:rPr>
          <w:szCs w:val="24"/>
        </w:rPr>
        <w:t xml:space="preserve">117–120), </w:t>
      </w:r>
      <w:r>
        <w:rPr>
          <w:szCs w:val="24"/>
        </w:rPr>
        <w:t>B. S.</w:t>
      </w:r>
      <w:r w:rsidRPr="00C00255">
        <w:rPr>
          <w:szCs w:val="24"/>
        </w:rPr>
        <w:t xml:space="preserve"> (t. 705, b. l. 153–156), </w:t>
      </w:r>
      <w:r>
        <w:rPr>
          <w:szCs w:val="24"/>
        </w:rPr>
        <w:t>V. S. 3</w:t>
      </w:r>
      <w:r w:rsidRPr="00C00255">
        <w:rPr>
          <w:szCs w:val="24"/>
        </w:rPr>
        <w:t xml:space="preserve"> (t. 705, b. l. 45–48), </w:t>
      </w:r>
      <w:r>
        <w:rPr>
          <w:szCs w:val="24"/>
        </w:rPr>
        <w:t>A. K. 2</w:t>
      </w:r>
      <w:r w:rsidR="007A28A5">
        <w:rPr>
          <w:szCs w:val="24"/>
        </w:rPr>
        <w:t xml:space="preserve"> (t. 707, </w:t>
      </w:r>
      <w:r w:rsidRPr="00C00255">
        <w:rPr>
          <w:szCs w:val="24"/>
        </w:rPr>
        <w:t xml:space="preserve">b. l. 161–167) nustatytais gyvenamųjų vietų adresais buvo išsiųsti teismo šaukimai. Iš teismo šaukimo įteikimo pažymų matyti, kad nuteistiesiems </w:t>
      </w:r>
      <w:bookmarkStart w:id="916" w:name="_Hlk66210321"/>
      <w:r>
        <w:rPr>
          <w:szCs w:val="24"/>
        </w:rPr>
        <w:t>V. K. 1</w:t>
      </w:r>
      <w:r w:rsidRPr="00C00255">
        <w:rPr>
          <w:szCs w:val="24"/>
        </w:rPr>
        <w:t xml:space="preserve">, </w:t>
      </w:r>
      <w:r>
        <w:rPr>
          <w:szCs w:val="24"/>
        </w:rPr>
        <w:t>B. S.</w:t>
      </w:r>
      <w:r w:rsidRPr="00C00255">
        <w:rPr>
          <w:szCs w:val="24"/>
        </w:rPr>
        <w:t xml:space="preserve">, </w:t>
      </w:r>
      <w:r>
        <w:rPr>
          <w:szCs w:val="24"/>
        </w:rPr>
        <w:t>A. U.</w:t>
      </w:r>
      <w:r w:rsidRPr="00C00255">
        <w:rPr>
          <w:szCs w:val="24"/>
        </w:rPr>
        <w:t xml:space="preserve"> </w:t>
      </w:r>
      <w:bookmarkEnd w:id="916"/>
      <w:r w:rsidRPr="00C00255">
        <w:rPr>
          <w:szCs w:val="24"/>
        </w:rPr>
        <w:t xml:space="preserve">registruota siunta išsiųsti teismo šaukimai buvo įteikti </w:t>
      </w:r>
      <w:bookmarkStart w:id="917" w:name="_Hlk66199539"/>
      <w:r w:rsidRPr="00C00255">
        <w:rPr>
          <w:szCs w:val="24"/>
        </w:rPr>
        <w:t>(t. 1, proceso dalyvių duomenys 7, 11, 12 l.)</w:t>
      </w:r>
      <w:bookmarkEnd w:id="917"/>
      <w:r w:rsidRPr="00C00255">
        <w:rPr>
          <w:szCs w:val="24"/>
        </w:rPr>
        <w:t xml:space="preserve">. Teisėjų kolegija neturi pagrindo abejoti, kad teismo šaukimai buvo įteikti minėtiems nuteistiesiems, nes teismo šaukimo įteikimo pažymos yra pasirašytos gavėjų (šaukimo įteikimo pažymose nenurodyta, jog siunta įteikta kitam asmeniui, o ne gavėjui). Kitiems šioje pastraipoje nurodytiems nuteistiesiems išsiųsti teismo šaukimai grįžo neįteikti arba apie jų įteikimą duomenų nepateikta (t. 1, proceso dalyvių duomenys 28, 54, 117 l.). Iš byloje pateiktų duomenų taip pat matyti, kad informacija apie šios baudžiamosios bylos teisminio nagrinėjimo pradžią, nurodant ir kaltinamųjų asmenybes, buvo išplatinta Rusijos Federacijos ir Baltarusijos Respublikos visuomenės informavimo priemonėse (t. 713, b. l. 53–100). Be to, byloje yra objektyvių duomenų, kad ši informacija tapo žinoma nuteistiesiems (pvz., nuteistajam </w:t>
      </w:r>
      <w:r>
        <w:rPr>
          <w:szCs w:val="24"/>
        </w:rPr>
        <w:t>M. G.</w:t>
      </w:r>
      <w:r w:rsidRPr="00C00255">
        <w:rPr>
          <w:szCs w:val="24"/>
        </w:rPr>
        <w:t>, kuris žinojimą apie vykstantį procesą patvirtino Rusijos Federacijos laikraščiui duotame interviu (t. 713, b. l. 52–54)).</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Svarbu pažymėti ir tai, kad dar tyrimo metu, ikiteisminio tyrimo teisėjo nutartimis nuteistuosius pripažinus įtariamaisiais, šios nutartys Lietuvos Respublikos generalinės prokuratūros raštais dėl teisinės pagalbos baudžiamojoje byloje Nr. 09-1-031-99 buvo išsiųstos Rusijos Federacijos generalinei prokuratūrai, prašant nutartis įteikti nuteistiesiems </w:t>
      </w:r>
      <w:r>
        <w:rPr>
          <w:szCs w:val="24"/>
        </w:rPr>
        <w:t>V. K. 1</w:t>
      </w:r>
      <w:r w:rsidR="007A28A5">
        <w:rPr>
          <w:szCs w:val="24"/>
        </w:rPr>
        <w:t xml:space="preserve"> (t. </w:t>
      </w:r>
      <w:r w:rsidRPr="00C00255">
        <w:rPr>
          <w:szCs w:val="24"/>
        </w:rPr>
        <w:t>576, b. l. 37–63, 111</w:t>
      </w:r>
      <w:bookmarkStart w:id="918" w:name="_Hlk66203120"/>
      <w:r w:rsidRPr="00C00255">
        <w:rPr>
          <w:szCs w:val="24"/>
        </w:rPr>
        <w:t>–</w:t>
      </w:r>
      <w:bookmarkEnd w:id="918"/>
      <w:r w:rsidRPr="00C00255">
        <w:rPr>
          <w:szCs w:val="24"/>
        </w:rPr>
        <w:t xml:space="preserve">187); </w:t>
      </w:r>
      <w:r>
        <w:rPr>
          <w:szCs w:val="24"/>
        </w:rPr>
        <w:t>V. M.</w:t>
      </w:r>
      <w:r w:rsidRPr="00C00255">
        <w:rPr>
          <w:szCs w:val="24"/>
        </w:rPr>
        <w:t xml:space="preserve"> (t. 642, b. l. 146–215; t. 643, b. l. 2–82); </w:t>
      </w:r>
      <w:bookmarkStart w:id="919" w:name="_Hlk66205577"/>
      <w:r>
        <w:rPr>
          <w:szCs w:val="24"/>
        </w:rPr>
        <w:t>A. U.</w:t>
      </w:r>
      <w:r w:rsidR="007A28A5">
        <w:rPr>
          <w:szCs w:val="24"/>
        </w:rPr>
        <w:t xml:space="preserve"> (t. 554, b. l. </w:t>
      </w:r>
      <w:r w:rsidRPr="00C00255">
        <w:rPr>
          <w:szCs w:val="24"/>
        </w:rPr>
        <w:t>131–203, 207</w:t>
      </w:r>
      <w:bookmarkStart w:id="920" w:name="_Hlk66206307"/>
      <w:r w:rsidRPr="00C00255">
        <w:rPr>
          <w:szCs w:val="24"/>
        </w:rPr>
        <w:t>–</w:t>
      </w:r>
      <w:bookmarkEnd w:id="920"/>
      <w:r w:rsidRPr="00C00255">
        <w:rPr>
          <w:szCs w:val="24"/>
        </w:rPr>
        <w:t xml:space="preserve">281); </w:t>
      </w:r>
      <w:bookmarkStart w:id="921" w:name="_Hlk66205974"/>
      <w:bookmarkEnd w:id="919"/>
      <w:r>
        <w:rPr>
          <w:szCs w:val="24"/>
        </w:rPr>
        <w:t>A. K. 2</w:t>
      </w:r>
      <w:r w:rsidRPr="00C00255">
        <w:rPr>
          <w:szCs w:val="24"/>
        </w:rPr>
        <w:t xml:space="preserve"> (t. 569, b. l. 127–199; t. 570, b. l. </w:t>
      </w:r>
      <w:bookmarkStart w:id="922" w:name="_Hlk66206600"/>
      <w:r w:rsidRPr="00C00255">
        <w:rPr>
          <w:szCs w:val="24"/>
        </w:rPr>
        <w:t>2–78</w:t>
      </w:r>
      <w:bookmarkEnd w:id="922"/>
      <w:r w:rsidRPr="00C00255">
        <w:rPr>
          <w:szCs w:val="24"/>
        </w:rPr>
        <w:t xml:space="preserve">); </w:t>
      </w:r>
      <w:bookmarkStart w:id="923" w:name="_Hlk66206331"/>
      <w:r>
        <w:rPr>
          <w:szCs w:val="24"/>
        </w:rPr>
        <w:t>E. M.</w:t>
      </w:r>
      <w:r w:rsidR="007A28A5">
        <w:rPr>
          <w:szCs w:val="24"/>
        </w:rPr>
        <w:t xml:space="preserve"> (t. 612, </w:t>
      </w:r>
      <w:r w:rsidRPr="00C00255">
        <w:rPr>
          <w:szCs w:val="24"/>
        </w:rPr>
        <w:t xml:space="preserve">b. l. 103–164; t. 613, b. l. 2–78); </w:t>
      </w:r>
      <w:bookmarkStart w:id="924" w:name="_Hlk66206622"/>
      <w:bookmarkEnd w:id="923"/>
      <w:r>
        <w:rPr>
          <w:szCs w:val="24"/>
        </w:rPr>
        <w:t>A. K.</w:t>
      </w:r>
      <w:r w:rsidRPr="00C00255">
        <w:rPr>
          <w:szCs w:val="24"/>
        </w:rPr>
        <w:t xml:space="preserve"> (t. 556, b. l. 118–190; t. 557, b. l.</w:t>
      </w:r>
      <w:bookmarkStart w:id="925" w:name="_Hlk66207098"/>
      <w:r w:rsidRPr="00C00255">
        <w:rPr>
          <w:szCs w:val="24"/>
        </w:rPr>
        <w:t> 2</w:t>
      </w:r>
      <w:bookmarkStart w:id="926" w:name="_Hlk66207407"/>
      <w:r w:rsidRPr="00C00255">
        <w:rPr>
          <w:szCs w:val="24"/>
        </w:rPr>
        <w:t>–</w:t>
      </w:r>
      <w:bookmarkEnd w:id="926"/>
      <w:r w:rsidRPr="00C00255">
        <w:rPr>
          <w:szCs w:val="24"/>
        </w:rPr>
        <w:t>78</w:t>
      </w:r>
      <w:bookmarkEnd w:id="925"/>
      <w:r w:rsidRPr="00C00255">
        <w:rPr>
          <w:szCs w:val="24"/>
        </w:rPr>
        <w:t xml:space="preserve">); </w:t>
      </w:r>
      <w:bookmarkEnd w:id="924"/>
      <w:r>
        <w:rPr>
          <w:szCs w:val="24"/>
        </w:rPr>
        <w:t>D. F.</w:t>
      </w:r>
      <w:r w:rsidRPr="00C00255">
        <w:rPr>
          <w:szCs w:val="24"/>
        </w:rPr>
        <w:t xml:space="preserve"> (t. 558, b. l. 121–196; t. 559, b. l. 2–78); </w:t>
      </w:r>
      <w:bookmarkStart w:id="927" w:name="_Hlk66207435"/>
      <w:r>
        <w:rPr>
          <w:szCs w:val="24"/>
        </w:rPr>
        <w:t>J. S.</w:t>
      </w:r>
      <w:r w:rsidRPr="00C00255">
        <w:rPr>
          <w:szCs w:val="24"/>
        </w:rPr>
        <w:t xml:space="preserve"> (t. 653, b. l. 156–225; t. 654, b. l. 2</w:t>
      </w:r>
      <w:bookmarkStart w:id="928" w:name="_Hlk66207794"/>
      <w:r w:rsidRPr="00C00255">
        <w:rPr>
          <w:szCs w:val="24"/>
        </w:rPr>
        <w:t>–</w:t>
      </w:r>
      <w:bookmarkEnd w:id="928"/>
      <w:r w:rsidRPr="00C00255">
        <w:rPr>
          <w:szCs w:val="24"/>
        </w:rPr>
        <w:t xml:space="preserve">83); </w:t>
      </w:r>
      <w:bookmarkStart w:id="929" w:name="_Hlk66207819"/>
      <w:bookmarkEnd w:id="927"/>
      <w:r>
        <w:rPr>
          <w:szCs w:val="24"/>
        </w:rPr>
        <w:t>J. G.</w:t>
      </w:r>
      <w:r w:rsidR="007A28A5">
        <w:rPr>
          <w:szCs w:val="24"/>
        </w:rPr>
        <w:t xml:space="preserve"> (t. </w:t>
      </w:r>
      <w:r w:rsidRPr="00C00255">
        <w:rPr>
          <w:szCs w:val="24"/>
        </w:rPr>
        <w:t xml:space="preserve">592, b. l. 123–195, 197–273); </w:t>
      </w:r>
      <w:bookmarkStart w:id="930" w:name="_Hlk66208128"/>
      <w:r>
        <w:rPr>
          <w:szCs w:val="24"/>
        </w:rPr>
        <w:t>B. S.</w:t>
      </w:r>
      <w:r w:rsidRPr="00C00255">
        <w:rPr>
          <w:szCs w:val="24"/>
        </w:rPr>
        <w:t xml:space="preserve"> (t. 586, b. l. 103–175; t. 587, b. l. 2–78);</w:t>
      </w:r>
      <w:bookmarkEnd w:id="930"/>
      <w:r w:rsidRPr="00C00255">
        <w:rPr>
          <w:szCs w:val="24"/>
        </w:rPr>
        <w:t xml:space="preserve"> </w:t>
      </w:r>
      <w:bookmarkStart w:id="931" w:name="_Hlk66208345"/>
      <w:r>
        <w:rPr>
          <w:szCs w:val="24"/>
        </w:rPr>
        <w:t>V. S. 3</w:t>
      </w:r>
      <w:r w:rsidRPr="00C00255">
        <w:rPr>
          <w:szCs w:val="24"/>
        </w:rPr>
        <w:t xml:space="preserve"> (t. 588, b. l. 86–160; t. 589, b. l. 2–78</w:t>
      </w:r>
      <w:bookmarkEnd w:id="921"/>
      <w:bookmarkEnd w:id="929"/>
      <w:bookmarkEnd w:id="931"/>
      <w:r w:rsidRPr="00C00255">
        <w:rPr>
          <w:szCs w:val="24"/>
        </w:rPr>
        <w:t>), tačiau Rusijos Federacijos generalinė prokuratūra atsisakė šiuos teisinės pagalbos prašymus įvykdyti, motyvuodama tuo, kad remiantis 1959 m. balandžio 20 d. Europos konvencijos 2 straipsnio b punktu bei 1992 m. liepos 21 d. Lietuvos Respublikos ir Rusijos Federacijos sutarties 18 straipsniu, įvykdyti Lietuvos Respublikos teisinės pagalbos prašymų neįmanoma, nes tai gali padaryti žalos esminiams Rusijos Federacijos interesams ir prieštarauja pagrindiniams Rusijos įstatymų principams, kadangi baudžiamąjį persekiojimą Lietuva vykdo taikydama atgalinę baudžiamojo įstatymo, nustatančio veikos nusikalstamumą, griežtinančio bausmę, galią priešingai visuotinai pripažintiems baudžiamojo proceso principams (t. 576, 189–190 (dėl </w:t>
      </w:r>
      <w:r>
        <w:rPr>
          <w:szCs w:val="24"/>
        </w:rPr>
        <w:t>V. K. 1</w:t>
      </w:r>
      <w:r w:rsidRPr="00C00255">
        <w:rPr>
          <w:szCs w:val="24"/>
        </w:rPr>
        <w:t>);</w:t>
      </w:r>
      <w:r w:rsidRPr="00C00255">
        <w:t xml:space="preserve"> </w:t>
      </w:r>
      <w:r w:rsidRPr="00C00255">
        <w:rPr>
          <w:szCs w:val="24"/>
        </w:rPr>
        <w:t xml:space="preserve">t. 643, b. l. 84–85 (dėl </w:t>
      </w:r>
      <w:r>
        <w:rPr>
          <w:szCs w:val="24"/>
        </w:rPr>
        <w:t>V. M.</w:t>
      </w:r>
      <w:r w:rsidRPr="00C00255">
        <w:rPr>
          <w:szCs w:val="24"/>
        </w:rPr>
        <w:t>); t. 554, b. l. 283–284 (dėl </w:t>
      </w:r>
      <w:r>
        <w:rPr>
          <w:szCs w:val="24"/>
        </w:rPr>
        <w:t>A. U.</w:t>
      </w:r>
      <w:r w:rsidRPr="00C00255">
        <w:rPr>
          <w:szCs w:val="24"/>
        </w:rPr>
        <w:t xml:space="preserve">); t. 570, b. l. 80–81 (dėl </w:t>
      </w:r>
      <w:r>
        <w:rPr>
          <w:szCs w:val="24"/>
        </w:rPr>
        <w:t>A. K. 2</w:t>
      </w:r>
      <w:r w:rsidRPr="00C00255">
        <w:rPr>
          <w:szCs w:val="24"/>
        </w:rPr>
        <w:t>); t. 613, b. l. 80–81 (dėl </w:t>
      </w:r>
      <w:r>
        <w:rPr>
          <w:szCs w:val="24"/>
        </w:rPr>
        <w:t>E. M.</w:t>
      </w:r>
      <w:r w:rsidRPr="00C00255">
        <w:rPr>
          <w:szCs w:val="24"/>
        </w:rPr>
        <w:t>);</w:t>
      </w:r>
      <w:r w:rsidRPr="00C00255">
        <w:t xml:space="preserve"> </w:t>
      </w:r>
      <w:r w:rsidRPr="00C00255">
        <w:rPr>
          <w:szCs w:val="24"/>
        </w:rPr>
        <w:t xml:space="preserve">t. 557, b. l. 80–81 (dėl </w:t>
      </w:r>
      <w:r>
        <w:rPr>
          <w:szCs w:val="24"/>
        </w:rPr>
        <w:t>A. K.</w:t>
      </w:r>
      <w:r w:rsidRPr="00C00255">
        <w:rPr>
          <w:szCs w:val="24"/>
        </w:rPr>
        <w:t>);</w:t>
      </w:r>
      <w:r w:rsidRPr="00C00255">
        <w:t xml:space="preserve"> </w:t>
      </w:r>
      <w:r w:rsidRPr="00C00255">
        <w:rPr>
          <w:szCs w:val="24"/>
        </w:rPr>
        <w:t xml:space="preserve">t. 559, b. l. 80–81 (dėl </w:t>
      </w:r>
      <w:r>
        <w:rPr>
          <w:szCs w:val="24"/>
        </w:rPr>
        <w:t>D. F.</w:t>
      </w:r>
      <w:r w:rsidRPr="00C00255">
        <w:rPr>
          <w:szCs w:val="24"/>
        </w:rPr>
        <w:t>);</w:t>
      </w:r>
      <w:r w:rsidRPr="00C00255">
        <w:t xml:space="preserve"> </w:t>
      </w:r>
      <w:r w:rsidRPr="00C00255">
        <w:rPr>
          <w:szCs w:val="24"/>
        </w:rPr>
        <w:t xml:space="preserve">t. 654, b. l. 85–86 (dėl </w:t>
      </w:r>
      <w:r>
        <w:rPr>
          <w:szCs w:val="24"/>
        </w:rPr>
        <w:t>J. S.</w:t>
      </w:r>
      <w:r w:rsidRPr="00C00255">
        <w:rPr>
          <w:szCs w:val="24"/>
        </w:rPr>
        <w:t xml:space="preserve">); t. 592, b. l. 275–276 (dėl </w:t>
      </w:r>
      <w:r>
        <w:rPr>
          <w:szCs w:val="24"/>
        </w:rPr>
        <w:t>J. G.</w:t>
      </w:r>
      <w:r w:rsidRPr="00C00255">
        <w:rPr>
          <w:szCs w:val="24"/>
        </w:rPr>
        <w:t xml:space="preserve">); t. 587, b. l. 80–81 (dėl </w:t>
      </w:r>
      <w:r>
        <w:rPr>
          <w:szCs w:val="24"/>
        </w:rPr>
        <w:t>B. S.</w:t>
      </w:r>
      <w:r w:rsidRPr="00C00255">
        <w:rPr>
          <w:szCs w:val="24"/>
        </w:rPr>
        <w:t xml:space="preserve">); t. 589, b. l. 80–81 (dėl </w:t>
      </w:r>
      <w:r>
        <w:rPr>
          <w:szCs w:val="24"/>
        </w:rPr>
        <w:t>V. S. 3</w:t>
      </w:r>
      <w:r w:rsidRPr="00C00255">
        <w:rPr>
          <w:szCs w:val="24"/>
        </w:rPr>
        <w:t xml:space="preserve">)). Analogiškais motyvais buvo netenkinti ir Lietuvos Respublikos generalinės prokuratūros prašymai, pateikti Rusijos Federacijos generalinei prokuratūrai, dėl pranešimo apie ikiteisminio tyrimo pabaigą ir kaltinamojo akto įteikimo nuteistiesiems </w:t>
      </w:r>
      <w:r>
        <w:rPr>
          <w:szCs w:val="24"/>
        </w:rPr>
        <w:t>V. K. 1</w:t>
      </w:r>
      <w:r w:rsidRPr="00C00255">
        <w:rPr>
          <w:szCs w:val="24"/>
        </w:rPr>
        <w:t xml:space="preserve"> (t. 576, b. l. 307–308; t. 720, b. l. 25–26), </w:t>
      </w:r>
      <w:r>
        <w:rPr>
          <w:szCs w:val="24"/>
        </w:rPr>
        <w:t>V. M.</w:t>
      </w:r>
      <w:r w:rsidRPr="00C00255">
        <w:rPr>
          <w:szCs w:val="24"/>
        </w:rPr>
        <w:t xml:space="preserve"> (t. 643, b. l. 198</w:t>
      </w:r>
      <w:bookmarkStart w:id="932" w:name="_Hlk66274751"/>
      <w:r w:rsidRPr="00C00255">
        <w:rPr>
          <w:szCs w:val="24"/>
        </w:rPr>
        <w:t>–</w:t>
      </w:r>
      <w:bookmarkEnd w:id="932"/>
      <w:r w:rsidRPr="00C00255">
        <w:rPr>
          <w:szCs w:val="24"/>
        </w:rPr>
        <w:t xml:space="preserve">208; t. 717, b. l. 140–141), </w:t>
      </w:r>
      <w:r>
        <w:rPr>
          <w:szCs w:val="24"/>
        </w:rPr>
        <w:t>A. U.</w:t>
      </w:r>
      <w:r w:rsidRPr="00C00255">
        <w:rPr>
          <w:szCs w:val="24"/>
        </w:rPr>
        <w:t xml:space="preserve"> (t. 555, b. l. 123</w:t>
      </w:r>
      <w:bookmarkStart w:id="933" w:name="_Hlk66203399"/>
      <w:r w:rsidRPr="00C00255">
        <w:rPr>
          <w:szCs w:val="24"/>
        </w:rPr>
        <w:t>–</w:t>
      </w:r>
      <w:bookmarkEnd w:id="933"/>
      <w:r w:rsidRPr="00C00255">
        <w:rPr>
          <w:szCs w:val="24"/>
        </w:rPr>
        <w:t xml:space="preserve">133; t. 719, b. l. 163–164), </w:t>
      </w:r>
      <w:r>
        <w:rPr>
          <w:szCs w:val="24"/>
        </w:rPr>
        <w:t>J. S.</w:t>
      </w:r>
      <w:r w:rsidRPr="00C00255">
        <w:rPr>
          <w:szCs w:val="24"/>
        </w:rPr>
        <w:t xml:space="preserve"> (t. 654, b. l. 202–212; t. 717, b. l. 186–187), </w:t>
      </w:r>
      <w:r>
        <w:rPr>
          <w:szCs w:val="24"/>
        </w:rPr>
        <w:t>J. G.</w:t>
      </w:r>
      <w:r w:rsidRPr="00C00255">
        <w:rPr>
          <w:szCs w:val="24"/>
        </w:rPr>
        <w:t xml:space="preserve"> (t. 593, b. l. 124–135; t. 715, b. l. 186–187), </w:t>
      </w:r>
      <w:r>
        <w:rPr>
          <w:szCs w:val="24"/>
        </w:rPr>
        <w:t>B. S.</w:t>
      </w:r>
      <w:r w:rsidRPr="00C00255">
        <w:rPr>
          <w:szCs w:val="24"/>
        </w:rPr>
        <w:t xml:space="preserve"> (t. 587, b. l. 202–212; t.</w:t>
      </w:r>
      <w:r>
        <w:rPr>
          <w:szCs w:val="24"/>
        </w:rPr>
        <w:t> </w:t>
      </w:r>
      <w:r w:rsidRPr="00C00255">
        <w:rPr>
          <w:szCs w:val="24"/>
        </w:rPr>
        <w:t xml:space="preserve">716, b. l. 2–3), </w:t>
      </w:r>
      <w:r>
        <w:rPr>
          <w:szCs w:val="24"/>
        </w:rPr>
        <w:t>V. S. 3</w:t>
      </w:r>
      <w:r w:rsidRPr="00C00255">
        <w:rPr>
          <w:szCs w:val="24"/>
        </w:rPr>
        <w:t xml:space="preserve"> (t. 589, b. l. 208–218; t. 715, b. l. 117–118), </w:t>
      </w:r>
      <w:r>
        <w:rPr>
          <w:szCs w:val="24"/>
        </w:rPr>
        <w:t>A. K. 2</w:t>
      </w:r>
      <w:r w:rsidRPr="00C00255">
        <w:rPr>
          <w:szCs w:val="24"/>
        </w:rPr>
        <w:t xml:space="preserve"> (t. 570, b. l. 202–212; t. 719, b. l. 94–95), </w:t>
      </w:r>
      <w:r>
        <w:rPr>
          <w:szCs w:val="24"/>
        </w:rPr>
        <w:t>E. M.</w:t>
      </w:r>
      <w:r w:rsidRPr="00C00255">
        <w:rPr>
          <w:szCs w:val="24"/>
        </w:rPr>
        <w:t xml:space="preserve"> (t. 613, b. l. 201–211; t. 729, b. l. 94–95), </w:t>
      </w:r>
      <w:r>
        <w:rPr>
          <w:szCs w:val="24"/>
        </w:rPr>
        <w:t>A. K.</w:t>
      </w:r>
      <w:r w:rsidRPr="00C00255">
        <w:rPr>
          <w:szCs w:val="24"/>
        </w:rPr>
        <w:t xml:space="preserve"> (t. 557, b. l. 205–215; t. 718, b. l. 140–141), </w:t>
      </w:r>
      <w:r>
        <w:rPr>
          <w:szCs w:val="24"/>
        </w:rPr>
        <w:t>D. F.</w:t>
      </w:r>
      <w:r w:rsidRPr="00C00255">
        <w:rPr>
          <w:szCs w:val="24"/>
        </w:rPr>
        <w:t xml:space="preserve"> (t. 559, b. l. 204–212; t. 719, b. l. 140</w:t>
      </w:r>
      <w:bookmarkStart w:id="934" w:name="_Hlk66275435"/>
      <w:r w:rsidRPr="00C00255">
        <w:rPr>
          <w:szCs w:val="24"/>
        </w:rPr>
        <w:t>–</w:t>
      </w:r>
      <w:bookmarkEnd w:id="934"/>
      <w:r w:rsidRPr="00C00255">
        <w:rPr>
          <w:szCs w:val="24"/>
        </w:rPr>
        <w:t xml:space="preserve">141). Iš baudžiamosios bylos medžiagos taip pat matyti, kad ikiteisminio tyrimo metu buvo paskelbtos visų nuteistųjų paieškos ir jų atžvilgiu išduoti Europos arešto orderiai, kurie buvo perduoti vykdyti atsakingoms institucijoms. Atsižvelgusi į išdėstytas aplinkybes, teisėjų kolegija kaip nepagrįstus atmeta ir nuteistųjų </w:t>
      </w:r>
      <w:r>
        <w:rPr>
          <w:szCs w:val="24"/>
        </w:rPr>
        <w:t>E. M.</w:t>
      </w:r>
      <w:r w:rsidRPr="00C00255">
        <w:rPr>
          <w:szCs w:val="24"/>
        </w:rPr>
        <w:t xml:space="preserve">, </w:t>
      </w:r>
      <w:r>
        <w:rPr>
          <w:szCs w:val="24"/>
        </w:rPr>
        <w:t>A. K.</w:t>
      </w:r>
      <w:r w:rsidRPr="00C00255">
        <w:rPr>
          <w:szCs w:val="24"/>
        </w:rPr>
        <w:t xml:space="preserve"> ir </w:t>
      </w:r>
      <w:r>
        <w:rPr>
          <w:szCs w:val="24"/>
        </w:rPr>
        <w:t>D. F.</w:t>
      </w:r>
      <w:r w:rsidRPr="00C00255">
        <w:rPr>
          <w:szCs w:val="24"/>
        </w:rPr>
        <w:t xml:space="preserve"> gynėjų apeliacinių skundų argumentus dėl nenustatytų tikslių šių nuteistųjų anketinių duomenų (galimai, kad jie net gali būti mirę), nes iš baudžiamojoje byloje pateiktų duomenų matyti, kad atliekant nuteistųjų, taip pat ir </w:t>
      </w:r>
      <w:r>
        <w:rPr>
          <w:szCs w:val="24"/>
        </w:rPr>
        <w:t>E. M.</w:t>
      </w:r>
      <w:r w:rsidRPr="00C00255">
        <w:rPr>
          <w:szCs w:val="24"/>
        </w:rPr>
        <w:t xml:space="preserve">, </w:t>
      </w:r>
      <w:r>
        <w:rPr>
          <w:szCs w:val="24"/>
        </w:rPr>
        <w:t>A. K.</w:t>
      </w:r>
      <w:r w:rsidRPr="00C00255">
        <w:rPr>
          <w:szCs w:val="24"/>
        </w:rPr>
        <w:t xml:space="preserve">, </w:t>
      </w:r>
      <w:r>
        <w:rPr>
          <w:szCs w:val="24"/>
        </w:rPr>
        <w:t>D. F.</w:t>
      </w:r>
      <w:r w:rsidRPr="00C00255">
        <w:rPr>
          <w:szCs w:val="24"/>
        </w:rPr>
        <w:t xml:space="preserve"> paiešką, buvo aiškintasi ir dėl galimo šių nuteistųjų mirties fakto, tačiau tokių duomenų nebuvo gauta (pvz., t. 711, b. l. 84).</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Teisėjų kolegija pažymi, kad kiekvienu atveju klausimą, ar galima nagrinėti bylą nedalyvaujant kaltinamajam, teismas išsprendžia rengdamas bylą nagrinėti teisme. Taigi, nepaisant to, kad BPK 246 straipsnyje yra nustatyta, jog nagrinėti bylą, kai nedalyvauja kaltinamasis, leidžiama tik tuo atveju, jeigu kaltinamasis yra ne Lietuvos Respublikos teritorijoje ir vengia atvykti į teismą, klausimą, ar įmanomas efektyvus bylos nagrinėjimas kaltinamajam nedalyvaujant, sprendžia teismas. Kaip matyti, Vilniaus apygardos teismas 2016 m. sausio 29 d. nutartimi, įvertinęs visas pirmiau aptartas aplinkybes dėl ikiteisminio tyrimo metu ir pasirengiant baudžiamosios bylos nagrinėjimui pirmosios instancijos teisme atliktų veiksmų, siekiant nuteistuosius tinkamai informuoti apie baudžiamosios bylos nagrinėjimą teisme, taip pat siekdamas užtikrinti žmogaus teises ir laisves, kitas Konstitucijos saugomas ir ginamas vertybes, kiekvieno asmens ir visuomenės veiksmingą apsaugą (ir nuo nusikalstamų kėsinimųsi), nutarė baudžiamąją bylą nagrinėti kaltinamiesiems nedalyvaujant (t. 713, b. l. 107–112).</w:t>
      </w:r>
      <w:r w:rsidRPr="00C00255">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color w:val="000000"/>
          <w:szCs w:val="24"/>
        </w:rPr>
      </w:pPr>
      <w:r w:rsidRPr="00C00255">
        <w:rPr>
          <w:szCs w:val="24"/>
        </w:rPr>
        <w:t>Apeliacinės instancijos teismo vertinimu, skirtingai nei nurodo nuteistųjų gynėjai, nagrinėjamoje byloje tiek ikiteisminio tyrimo metu, tiek teisminio bylos nagrinėjimo metu buvo imtasi visų galimų protingų procesinių priemonių tinkamai informuoti, be kita ko, nuteistuosius</w:t>
      </w:r>
      <w:r w:rsidRPr="00C00255">
        <w:t xml:space="preserve"> </w:t>
      </w:r>
      <w:r>
        <w:rPr>
          <w:szCs w:val="24"/>
        </w:rPr>
        <w:t>V. K. 1</w:t>
      </w:r>
      <w:r w:rsidRPr="00C00255">
        <w:rPr>
          <w:szCs w:val="24"/>
        </w:rPr>
        <w:t xml:space="preserve">, </w:t>
      </w:r>
      <w:r>
        <w:rPr>
          <w:szCs w:val="24"/>
        </w:rPr>
        <w:t>V. M.</w:t>
      </w:r>
      <w:r w:rsidRPr="00C00255">
        <w:rPr>
          <w:szCs w:val="24"/>
        </w:rPr>
        <w:t xml:space="preserve">, </w:t>
      </w:r>
      <w:r>
        <w:rPr>
          <w:szCs w:val="24"/>
        </w:rPr>
        <w:t>A. U.</w:t>
      </w:r>
      <w:r w:rsidRPr="00C00255">
        <w:rPr>
          <w:szCs w:val="24"/>
        </w:rPr>
        <w:t xml:space="preserve">, </w:t>
      </w:r>
      <w:r>
        <w:rPr>
          <w:szCs w:val="24"/>
        </w:rPr>
        <w:t>A. K. 2</w:t>
      </w:r>
      <w:r w:rsidRPr="00C00255">
        <w:rPr>
          <w:szCs w:val="24"/>
        </w:rPr>
        <w:t xml:space="preserve">, </w:t>
      </w:r>
      <w:r>
        <w:rPr>
          <w:szCs w:val="24"/>
        </w:rPr>
        <w:t>E. M.</w:t>
      </w:r>
      <w:r w:rsidRPr="00C00255">
        <w:rPr>
          <w:szCs w:val="24"/>
        </w:rPr>
        <w:t xml:space="preserve">, </w:t>
      </w:r>
      <w:r>
        <w:rPr>
          <w:szCs w:val="24"/>
        </w:rPr>
        <w:t>A. K.</w:t>
      </w:r>
      <w:r w:rsidRPr="00C00255">
        <w:rPr>
          <w:szCs w:val="24"/>
        </w:rPr>
        <w:t xml:space="preserve">, </w:t>
      </w:r>
      <w:r>
        <w:rPr>
          <w:szCs w:val="24"/>
        </w:rPr>
        <w:t>D. F.</w:t>
      </w:r>
      <w:r w:rsidRPr="00C00255">
        <w:rPr>
          <w:szCs w:val="24"/>
        </w:rPr>
        <w:t xml:space="preserve">, </w:t>
      </w:r>
      <w:r>
        <w:rPr>
          <w:szCs w:val="24"/>
        </w:rPr>
        <w:t>J. S.</w:t>
      </w:r>
      <w:r w:rsidRPr="00C00255">
        <w:rPr>
          <w:szCs w:val="24"/>
        </w:rPr>
        <w:t xml:space="preserve">, </w:t>
      </w:r>
      <w:r>
        <w:rPr>
          <w:szCs w:val="24"/>
        </w:rPr>
        <w:t>J. G.</w:t>
      </w:r>
      <w:r w:rsidRPr="00C00255">
        <w:rPr>
          <w:szCs w:val="24"/>
        </w:rPr>
        <w:t xml:space="preserve">, </w:t>
      </w:r>
      <w:r>
        <w:rPr>
          <w:szCs w:val="24"/>
        </w:rPr>
        <w:t>B. S.</w:t>
      </w:r>
      <w:r w:rsidRPr="00C00255">
        <w:rPr>
          <w:szCs w:val="24"/>
        </w:rPr>
        <w:t xml:space="preserve">, </w:t>
      </w:r>
      <w:r>
        <w:rPr>
          <w:szCs w:val="24"/>
        </w:rPr>
        <w:t>V. S. 3</w:t>
      </w:r>
      <w:r w:rsidRPr="00C00255">
        <w:rPr>
          <w:szCs w:val="24"/>
        </w:rPr>
        <w:t xml:space="preserve"> apie tyrimą ir baudžiamosios bylos nagrinėjimą teisme, t. y. prieš sprendžiant klausimą dėl bylos nagrinėjimo kaltinamiesiems nedalyvaujant buvo išnaudotos visos galimos ir protingos kaltinamųjų dalyvavimą byloje užtikrinančios priemonės. Šiuo atveju svarbu ir tai, kad nors daugumai nuteistųjų oficialiai ir nebuvo įteikti pranešimai apie jų atžvilgiu vykstantį baudžiamąjį procesą Lietuvos Respublikoje, tačiau pats proceso aktualumas ne tik Lietuvos Respublikoje, bet ir užsienio valstybėse, ypač Rusijos Federacijoje ir Baltarusijos Respublikoje, ne kartą buvo aprašytas ir aptartas visuomenės informavimo priemonėse, pateikiant ir kaltinamųjų duomenis. Taigi, apygardos teismo išvada dėl bylos nagrinėjimo kaltinamiesiems nedalyvaujant iš esmės atitinka EŽTT jurisprudencijoje suformuluotą nuostatą, pagal kurią konstatuota, kad byla pagrįstai buvo išnagrinėta </w:t>
      </w:r>
      <w:r w:rsidRPr="00C00255">
        <w:rPr>
          <w:i/>
          <w:iCs/>
          <w:szCs w:val="24"/>
        </w:rPr>
        <w:t>in absentia</w:t>
      </w:r>
      <w:r w:rsidRPr="00C00255">
        <w:rPr>
          <w:szCs w:val="24"/>
        </w:rPr>
        <w:t>, nes valdžios institucijos ėmėsi visų protingų ir būtinų priemonių, siekdamos užtikrinti, kad asmuo dalyvautų teismo posėdžiuose, bet negalėjo jo rasti (</w:t>
      </w:r>
      <w:bookmarkStart w:id="935" w:name="_Hlk66269444"/>
      <w:r w:rsidRPr="00C00255">
        <w:rPr>
          <w:szCs w:val="24"/>
        </w:rPr>
        <w:t xml:space="preserve">EŽTT sprendimai bylose </w:t>
      </w:r>
      <w:r w:rsidRPr="00C00255">
        <w:rPr>
          <w:i/>
          <w:iCs/>
          <w:szCs w:val="24"/>
        </w:rPr>
        <w:t>Lena Atanasova prieš Bulgariją</w:t>
      </w:r>
      <w:r w:rsidRPr="00C00255">
        <w:rPr>
          <w:szCs w:val="24"/>
        </w:rPr>
        <w:t>, peticijos Nr. 52009/07</w:t>
      </w:r>
      <w:bookmarkEnd w:id="935"/>
      <w:r w:rsidRPr="00C00255">
        <w:rPr>
          <w:szCs w:val="24"/>
        </w:rPr>
        <w:t>;</w:t>
      </w:r>
      <w:r w:rsidRPr="00C00255">
        <w:rPr>
          <w:i/>
          <w:iCs/>
          <w:szCs w:val="24"/>
        </w:rPr>
        <w:t xml:space="preserve"> Salikh prieš Uzbekistaną</w:t>
      </w:r>
      <w:r w:rsidRPr="00C00255">
        <w:rPr>
          <w:szCs w:val="24"/>
        </w:rPr>
        <w:t xml:space="preserve">, peticijos Nr. 1382/2005).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Apeliacinės instancijos teismo vertinimu, tokia teismo pozicija atitinka ne tik EŽTT, bet ir Europos Sąjungos Teisingumo Teismo (toliau – ESTT) jurisprudenciją, pagal kurią </w:t>
      </w:r>
      <w:r w:rsidRPr="00C00255">
        <w:rPr>
          <w:color w:val="000000"/>
          <w:szCs w:val="24"/>
        </w:rPr>
        <w:t xml:space="preserve">įtariamųjų ir </w:t>
      </w:r>
      <w:r w:rsidRPr="00C00255">
        <w:rPr>
          <w:i/>
          <w:iCs/>
          <w:color w:val="000000"/>
          <w:szCs w:val="24"/>
        </w:rPr>
        <w:t>kaltinamųjų teisė dalyvauti nagrinėjant bylą teisme nėra absoliuti</w:t>
      </w:r>
      <w:r w:rsidRPr="00C00255">
        <w:rPr>
          <w:color w:val="000000"/>
          <w:szCs w:val="24"/>
        </w:rPr>
        <w:t xml:space="preserve"> </w:t>
      </w:r>
      <w:r w:rsidRPr="00C00255">
        <w:rPr>
          <w:i/>
          <w:iCs/>
          <w:color w:val="000000"/>
          <w:szCs w:val="24"/>
        </w:rPr>
        <w:t>ir kad tam tikromis sąlygomis įtariamieji ir kaltinamieji gali aiškiai arba nebyliai (tiesiogiai arba</w:t>
      </w:r>
      <w:r w:rsidRPr="00C00255">
        <w:rPr>
          <w:color w:val="000000"/>
          <w:szCs w:val="24"/>
        </w:rPr>
        <w:t xml:space="preserve"> </w:t>
      </w:r>
      <w:r w:rsidRPr="00C00255">
        <w:rPr>
          <w:i/>
          <w:iCs/>
          <w:color w:val="000000"/>
          <w:szCs w:val="24"/>
        </w:rPr>
        <w:t xml:space="preserve">netiesiogiai) šios teisės atsisakyti </w:t>
      </w:r>
      <w:r w:rsidRPr="00C00255">
        <w:rPr>
          <w:iCs/>
          <w:color w:val="000000"/>
          <w:szCs w:val="24"/>
        </w:rPr>
        <w:t>(</w:t>
      </w:r>
      <w:r w:rsidRPr="00C00255">
        <w:rPr>
          <w:color w:val="000000"/>
          <w:szCs w:val="24"/>
        </w:rPr>
        <w:t xml:space="preserve">ESTT 2020 m. vasario 13 d. sprendimą byloje Nr. C-688/1), nes šiuo konkrečiu atveju visos jau minėtos aplinkybės ir Rusijos Federacijos bei Baltarusijos Respublikos nebendradarbiavimas bei pozicija dėl nagrinėjamos bylos leido teismui spręsti, kad kaltinamiesiems buvo žinoma apie vykstantį procesą ir jie aiškiai neketina atvykti į Lietuvą, taip pat Lietuvai jie ne tik nebus išduoti, bet bus imtasi visų galimų priemonių, jog Lietuvos teisėsaugos institucijos negalėtų vykdyti proceso jų atžvilgiu. Teisėjų kolegijos vertinimu, nei nacionalinės, nei tarptautinės teisės reikalavimų ar teismų jurisprudencijos negalima aiškinti taip, kad, </w:t>
      </w:r>
      <w:r w:rsidRPr="00C00255">
        <w:rPr>
          <w:szCs w:val="24"/>
        </w:rPr>
        <w:t xml:space="preserve">egzistuojant nepaneigiamam viešajam interesui spręsti klausimą dėl galimai pačius pavojingiausius nusikaltimus padariusių asmenų patraukimo baudžiamojon atsakomybėn, </w:t>
      </w:r>
      <w:r w:rsidRPr="00C00255">
        <w:rPr>
          <w:color w:val="000000"/>
          <w:szCs w:val="24"/>
        </w:rPr>
        <w:t xml:space="preserve">būtų paneigta galimybė įvykdyti teisingumą situacijose, kai jam tiesiogiai ar netiesiogiai aiškiai trukdoma ar bandoma jo išvengti. Atsižvelgiant į visa tai, </w:t>
      </w:r>
      <w:r w:rsidRPr="00C00255">
        <w:rPr>
          <w:szCs w:val="24"/>
        </w:rPr>
        <w:t xml:space="preserve">teisėjų kolegija konstatuoja, kad nagrinėjamoje byloje teisminis bylos nagrinėjimas pagrįstai vyko </w:t>
      </w:r>
      <w:r w:rsidRPr="00C00255">
        <w:rPr>
          <w:i/>
          <w:iCs/>
          <w:szCs w:val="24"/>
        </w:rPr>
        <w:t xml:space="preserve">in absentia </w:t>
      </w:r>
      <w:r w:rsidRPr="00C00255">
        <w:rPr>
          <w:szCs w:val="24"/>
        </w:rPr>
        <w:t>ir procesas atitiko tiek Žmogaus teisių ir pagrindinių laisvių apsaugos konvencijos 6 straipsnio reikalavimus, tiek BPK 246 straipsnio 1 dalyje įtvirtintas bylos nagrinėjimo nedalyvaujant kaltinamajam sąlygas.</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Teisėjų kolegija neįžvelgė teisės į gynybą pažeidimų, įvertinusi ir kitus nuteistųjų gynėjų argumentus apie netinkamą procesą pirmosios instancijos teisme. Dėl daugelio iš jų, taip pat ir dėl atskirų gynėjų argumentų, susijusių su kaltinimo sudėtingumu, dėl kaltinimo pakeitimo teismo nuosprendyje pakeičiant bendrininkavimo formą ir pan. teismas jau pasisakė, todėl plačiau nesikartoja.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Be jau aptartų argumentų, nuteistojo </w:t>
      </w:r>
      <w:r>
        <w:rPr>
          <w:szCs w:val="24"/>
        </w:rPr>
        <w:t>V. S. 3</w:t>
      </w:r>
      <w:r w:rsidRPr="00C00255">
        <w:rPr>
          <w:szCs w:val="24"/>
        </w:rPr>
        <w:t xml:space="preserve"> gynėja L. Kuprusevičienė apeliaciniame skunde nurodė, kad baigiamųjų kalbų metu jai nebuvo leista ginčyti kaltinimo argumentų ir taip teismas neužtikrino teisės į gynybą ir rungtynišką procesą. Baigiamosios kalbos yra teisiamajame posėdyje dalyvaujančio byloje prokuroro, nukentėjusiojo arba jo atstovo, civilinio ieškovo, civilinio atsakovo arba jų atstovų, gynėjo arba gynėjo neturinčio kaltinamojo pasakytos kalbos (BPK 293 straipsnio 2 dalis). Įstatymas draudžia teismui riboti baigiamųjų kalbų ar paskutinio žodžio trukmę, tačiau kartu įstatymas numato teismui teisę nutraukti baigiamąją kalbą, jeigu ši aiškiai nesusijusi su nagrinėjama byla. Baigiamųjų kalbu metu taikomos ir bendrosios nagrinėjimo teisme nuostatos, pagal kurias teisiamojo posėdžio pirmininkas „šalina iš nagrinėjimo teisme visa, kas nesusiję su byla ir kas nepagrįstai užtęsia bylos nagrinėjimą“ (BPK 241 straipsnio 2 dalis). Perklausius 2018 m. gegužės 28 d. teisiamojo posėdžio garso įrašą, nustatyta, kad, gynėja skaitydama raštu parašytą savo baigiamąją kalbą, išsakė savo poziciją dėl jos ginamajam pareikštų kaltinimų ir byloje ištirtų įrodymų, jų vertinimo, pakankamumo bei kitų aplinkybių ir jos baigiamoji kalba buvo sustabdyta, paprašant pasisakyti apie aplinkybes, susijusias su jos ginamajam pareikšto kaltinimo esme, tik tada, kai gynėja pradėjo kalbėti apie okupacijos požymį, posėdžio pirmininkė atkreipė gynėjos dėmesį, kad kaltinimai dėl to nėra pareikšti. Nepaisant to, pirmosios instancijos teismas nenutraukė gynėjos baigiamosios kalbos, leido ją tęsti ir gynėja pasisakė visais pageidaujamais aspektais. Atsižvelgiant į tai, taip pat įvertinant visų nuteistųjų gynėjų galimybes skųsti teismo sprendimą, nurodant ir tuos argumentus, dėl kurių nepasisakė pirmosios instancijos teisme, jų teisę pasisakyti apeliacinės instancijos teisme, teisėjų kolegija neįžvelgia jokio pagrindo sutikti su gynėjos argumentais apie šiuo aspektu pažeistas jos ir jos ginamojo teises. </w:t>
      </w:r>
    </w:p>
    <w:p w:rsidR="00DA38E9" w:rsidRPr="00C00255" w:rsidRDefault="00DA38E9" w:rsidP="00DA38E9">
      <w:pPr>
        <w:pStyle w:val="Heading3"/>
        <w:spacing w:before="120" w:after="120"/>
        <w:ind w:left="992"/>
        <w:jc w:val="both"/>
        <w:rPr>
          <w:b w:val="0"/>
          <w:i/>
          <w:sz w:val="24"/>
          <w:lang w:val="lt-LT"/>
        </w:rPr>
      </w:pPr>
      <w:bookmarkStart w:id="936" w:name="_Toc67677444"/>
      <w:bookmarkStart w:id="937" w:name="_Toc67985572"/>
      <w:bookmarkStart w:id="938" w:name="_Toc66862781"/>
      <w:r w:rsidRPr="00C00255">
        <w:rPr>
          <w:b w:val="0"/>
          <w:i/>
          <w:sz w:val="24"/>
          <w:lang w:val="lt-LT"/>
        </w:rPr>
        <w:t>Dėl netinkamo įrodymų vertinimo ir neleistinų įrodymų</w:t>
      </w:r>
      <w:bookmarkEnd w:id="936"/>
      <w:bookmarkEnd w:id="937"/>
      <w:r w:rsidRPr="00C00255">
        <w:rPr>
          <w:b w:val="0"/>
          <w:i/>
          <w:sz w:val="24"/>
          <w:lang w:val="lt-LT"/>
        </w:rPr>
        <w:t xml:space="preserve">  </w:t>
      </w:r>
      <w:bookmarkEnd w:id="938"/>
    </w:p>
    <w:p w:rsidR="007A28A5" w:rsidRPr="002C1EDB"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2C1EDB">
        <w:rPr>
          <w:color w:val="000000" w:themeColor="text1"/>
          <w:szCs w:val="24"/>
        </w:rPr>
        <w:t xml:space="preserve">Kaip jau minėta, daugumoje apeliacinių skundų yra keliami klausimai dėl baudžiamojo proceso teisės pažeidimų, susijusių su netinkamu pirmosios instancijos teismo atliktu įrodymų vertinimu bei skundžiamo nuosprendžio pagrindimu neleistinais įrodymais ir (ar) prielaidomis. </w:t>
      </w:r>
    </w:p>
    <w:p w:rsidR="007A28A5" w:rsidRPr="002C1EDB"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2C1EDB">
        <w:t>Šių apeliantų argumentų kontekste pažymėtina, kad, remiantis BPK 20 straipsnio 5 dalimi, teisėjai įrodymus vertina pagal savo vidinį įsitikinimą, pagrįstą išsamiu ir nešališku visų bylos aplinkybių išnagrinėjimu,</w:t>
      </w:r>
      <w:r w:rsidRPr="002C1EDB">
        <w:rPr>
          <w:color w:val="000000"/>
          <w:szCs w:val="24"/>
          <w:shd w:val="clear" w:color="auto" w:fill="FFFFFF"/>
        </w:rPr>
        <w:t xml:space="preserve"> </w:t>
      </w:r>
      <w:r w:rsidRPr="002C1EDB">
        <w:t>vadovaudamiesi įstatymu. Taigi įstatyme nustatyta išskirtinė bylą nagrinėjančio teismo kompetencija nuspręsti, kurie iš byloje esančių duomenų turi įrodomąją vertę ir ar jų pakanka nustatyti, ar asmens veiksmai turi visus konkrečios nusikalstamos veikos sudėties požymius. Įrodymų vertinimas ir jais pagrįstų išvadų byloje sprendžiamais klausimais darymas yra teismo, priimančio baigiamąjį aktą, prerogatyva (LAT nutartis baudžiamojoje byloje Nr. 2K-P-89/2014). Proceso dalyviai gali teismui teikti pasiūlymus dėl duomenų pripažinimo ar nepripažinimo įrodymais ir dėl išvadų, darytinų vertinant įrodymus, tačiau tokių proceso dalyvių pasiūlymų atmetimas savaime nėra joks baudžiamojo proceso įstatymo pažeidimas, jeigu teismo sprendimas yra motyvuotas ir pagrįstas.</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color w:val="000000" w:themeColor="text1"/>
          <w:szCs w:val="24"/>
        </w:rPr>
        <w:t xml:space="preserve">Atsižvelgiant į ankstesnėse šio sprendimo dalyse apeliacinės instancijos teismo jau padarytas išvadas dėl faktinių aplinkybių konstatavimo bei teisinio kvalifikavimo ir apibendrinant ankstesnėse dalyse jau išsakytus teisėjų kolegijos vertinimus dėl duomenų pripažinimo įrodymais bei nuosprendžio išvadų pagrįstumo, daroma išvada, kad pirmosios instancijos teismas, vertindamas įrodymus, nepažeidė nekaltumo prezumpcijos ar </w:t>
      </w:r>
      <w:r w:rsidRPr="007A28A5">
        <w:rPr>
          <w:i/>
          <w:color w:val="000000" w:themeColor="text1"/>
          <w:szCs w:val="24"/>
        </w:rPr>
        <w:t>in dubio pro reo</w:t>
      </w:r>
      <w:r w:rsidRPr="007A28A5">
        <w:rPr>
          <w:color w:val="000000" w:themeColor="text1"/>
          <w:szCs w:val="24"/>
        </w:rPr>
        <w:t xml:space="preserve"> (visos abejonės vertinamos kaltinamojo naudai) principų. Nors apeliacinės instancijos teismas ir nustatė tam tikras klaidas, konstatuojant faktines bylos aplinkybes, pripažino, kad nuosprendžio motyvuojamoji dalis yra gana lakoniška ir joje nepateikti išsamūs argumentai dėl įrodymų vertinimo, tačiau šie trūkumai neleidžia daryti išvados, jog pirmosios instancijos teismo nuosprendis buvo grįstas vien prielaidomis ir (ar) tik pačių nuteistųjų parodymais – nuosprendyje įvertinta įrodymų visuma, o ne tik, kaip klaidingai teigia dauguma apeliantų, nuteistuosius kaltinantys įrodymai. </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color w:val="000000" w:themeColor="text1"/>
          <w:szCs w:val="24"/>
        </w:rPr>
        <w:t xml:space="preserve">Teisėjų kolegija pažymi, kad draudimas grįsti apkaltinamąjį nuosprendį prielaidomis yra pažeidžiamas tik tada, kai apkaltinamasis nuosprendis priimamas neišsiaiškinus visų reikšmingų aplinkybių, būtinų teisingai išnagrinėti bylą. Aptariamu atveju pirmosios instancijos teismas, siekdamas nustatyti šioje byloje tiesą, nustatė esmines teisiškai reikšmingas aplinkybes ir tai patvirtina faktas, kad apeliacinės instancijos teismas, iš esmės iš naujo atlikęs savarankišką visų byloje surinktų duomenų ir faktinių aplinkybių vertinimą, konstatavo, jog esminės pirmosios instancijos teismo išvados dėl byloje nagrinėjamų faktinių aplinkybių ir nuteistųjų nusikalstamų veikų kvalifikavimo pasitvirtino. </w:t>
      </w:r>
    </w:p>
    <w:p w:rsid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szCs w:val="24"/>
        </w:rPr>
        <w:t xml:space="preserve">Vienas iš pagrindinių daugelyje apeliacinių skundų ir viso proceso metu akcentuotų gynybos argumentų, susijusių su netinkamai atliktu įrodymų vertinimu ir neleistinų įrodymų panaudojimu – teismo nuosprendžio pagrindimas pačių nuteistųjų ir kitų kariškių parodymais, kurie nebuvo apklausti teisme. </w:t>
      </w:r>
    </w:p>
    <w:p w:rsidR="007A28A5" w:rsidRP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color w:val="000000" w:themeColor="text1"/>
          <w:szCs w:val="24"/>
        </w:rPr>
        <w:t xml:space="preserve">Iš pirmosios instancijos teismo nuosprendžio iš tiesų galima spręsti, kad pirmosios instancijos teismas nukrypo nuo teismų praktikoje suformuluotų įrodymų vertinimo taisyklių ir nepagrįstai nuteistųjų ir kitų ikiteisminio tyrimo metu apklaustų kariškių parodymus vertino kaip savarankiškus įrodymus, tačiau nesutiktina su apeliaciniuose skunduose ir viso apeliacinio proceso metu kartotais argumentais, kad byloje jokia apimtimi nebuvo galima remtis tokiais nuteistųjų ar kitų liudytojų, kurie vėliau teisiamajame posėdyje nebuvo apklausti dėl objektyvių priežasčių, parodymais. Apeliacinės instancijos teismas šiame sprendime jau minėjo, kad tokių parodymų vertinimas tuo atveju, kai jie buvo paskelbti teismo posėdyje, yra galimas ir, kad </w:t>
      </w:r>
      <w:r w:rsidRPr="007A28A5">
        <w:rPr>
          <w:rFonts w:eastAsia="Calibri"/>
          <w:szCs w:val="24"/>
        </w:rPr>
        <w:t>tokių duomenų</w:t>
      </w:r>
      <w:r w:rsidRPr="007A28A5">
        <w:rPr>
          <w:color w:val="000000"/>
          <w:szCs w:val="24"/>
          <w:shd w:val="clear" w:color="auto" w:fill="FFFFFF"/>
        </w:rPr>
        <w:t xml:space="preserve"> analizė bendrame bylos duomenų kontekste gali turėti reikšmės formuojantis teismo vidiniam įsitikinimui ir galutiniam įrodymų įvertinimui </w:t>
      </w:r>
      <w:r w:rsidRPr="007A28A5">
        <w:rPr>
          <w:szCs w:val="24"/>
        </w:rPr>
        <w:t>(LAT nutartis baudžiamojoje byloje Nr. 2K-79-697/2020). Taigi, t</w:t>
      </w:r>
      <w:r w:rsidRPr="007A28A5">
        <w:rPr>
          <w:color w:val="000000" w:themeColor="text1"/>
          <w:szCs w:val="24"/>
        </w:rPr>
        <w:t xml:space="preserve">okie duomenys gali būti reikšmingi tikrinant kitus byloje esančius įrodymus, vadovaujantis BPK 276 straipsnio 4 dalimi, ir gali būti svarbūs formuojantis teismo vidiniam įsitikinimui dėl kitų byloje surinktų įrodymų ir įrodymų visumos vertinimo.  </w:t>
      </w:r>
    </w:p>
    <w:p w:rsidR="007A28A5"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7A28A5">
        <w:rPr>
          <w:szCs w:val="24"/>
        </w:rPr>
        <w:t xml:space="preserve">Dauguma gynėjų teigė ir tai, kad pirmosios instancijos teismas pažeidė BPK 20 ir 301 straipsnių nuostatas, nes įrodymais pripažino kaltinamųjų parodymus, kuriuos jie davė ikiteisminio tyrimo metu, apklausiant juos liudytojais, t. y. neįspėjus apie teisę neduoti parodymų prieš save. Teisėjų kolegija sutinka, kad kaltinamųjų, apklaustų liudytojais, parodymų vertinimas kaip savarankiškų įrodymų iš tiesų negalimas, tačiau šioje konkrečioje byloje pirmosios instancijos teismas, atsižvelgdamas į bylos pobūdį ir gynėjų argumentus remiantis tokiais parodymais, negalėjo jų visiškai nutylėti ir niekaip nevertinti. </w:t>
      </w:r>
    </w:p>
    <w:p w:rsidR="007A28A5" w:rsidRPr="002C1EDB" w:rsidRDefault="00DA38E9" w:rsidP="007A28A5">
      <w:pPr>
        <w:pStyle w:val="ListParagraph"/>
        <w:numPr>
          <w:ilvl w:val="0"/>
          <w:numId w:val="6"/>
        </w:numPr>
        <w:overflowPunct/>
        <w:autoSpaceDE/>
        <w:autoSpaceDN/>
        <w:adjustRightInd/>
        <w:spacing w:before="120" w:after="120"/>
        <w:ind w:left="992" w:hanging="992"/>
        <w:contextualSpacing w:val="0"/>
        <w:rPr>
          <w:szCs w:val="24"/>
        </w:rPr>
      </w:pPr>
      <w:r w:rsidRPr="002C1EDB">
        <w:rPr>
          <w:szCs w:val="24"/>
        </w:rPr>
        <w:t xml:space="preserve">Darydamas tokias išvadas, apeliacinės instancijos teismas pažymi ir tai, kad tokio pobūdžio bylose įrodymų vertinimo taisyklės, vertinant ne tik asmenų parodymus, bet ir kitus duomenis, turi tam tikrą specifiką ir ne visais aspektais yra tokios pat griežtos. Tarptautinėje praktikoje yra pripažįstama, jog </w:t>
      </w:r>
      <w:r w:rsidRPr="002C1EDB">
        <w:rPr>
          <w:i/>
          <w:szCs w:val="24"/>
        </w:rPr>
        <w:t>tiriant nusikaltimus, padarytus ginkluoto konflikto metu, įrodymų rinkimas ir reikalavimai nusikalstamų veikų tyrimui nėra visiškai tokie patys, kaip tiriant įprastus nusikaltimus, padarytus taikos metu</w:t>
      </w:r>
      <w:r w:rsidRPr="002C1EDB">
        <w:rPr>
          <w:szCs w:val="24"/>
        </w:rPr>
        <w:t xml:space="preserve">. Ne visada galima tikėtis, kad tyrimo, atlikto ginkluoto konflikto kontekste, forma atitiks tuos pačius reikalavimus kaip ir taikos metu teisėsaugos institucijų atliktas tyrimas. Daug tyrimo veiksmų (ekspertizių atlikimas, ekspertų dalyvavimas tiriant nusikaltimo vietą) ginkluoto konflikto metu gali būti sunkiai įgyvendinami arba iš viso neįmanomi (EŽTT 2021 m. sausio 21 d. Didžiosios Kolegijos sprendimo byloje </w:t>
      </w:r>
      <w:r w:rsidRPr="002C1EDB">
        <w:rPr>
          <w:i/>
          <w:szCs w:val="24"/>
        </w:rPr>
        <w:t>Gruzija prieš Rusiją II</w:t>
      </w:r>
      <w:r w:rsidRPr="002C1EDB">
        <w:rPr>
          <w:szCs w:val="24"/>
        </w:rPr>
        <w:t>, Nr. 38263/08, 318 paragrafe cituojama Esekso universiteto Žmogaus teisių centro išvada). Šioje byloje ikiteisminio tyrimo duomenų rinkimas, ypatingai iš karto po nagrinėjamų įvykių, ar daliai šaltinių esant TSRS, taip pat buvo itin sudėtingas, todėl teisėjų kolegija negali to nevertinti, darydama teismo išvadas ir spręsdama apie atskirų duomenų svarbą, tikrinant kitus byloje esančius įrodymus ir nustatant bylai reikšmingas aplinkybes.</w:t>
      </w:r>
    </w:p>
    <w:p w:rsidR="007A28A5" w:rsidRPr="002C1EDB" w:rsidRDefault="007A28A5" w:rsidP="007A28A5">
      <w:pPr>
        <w:pStyle w:val="ListParagraph"/>
        <w:numPr>
          <w:ilvl w:val="0"/>
          <w:numId w:val="6"/>
        </w:numPr>
        <w:overflowPunct/>
        <w:autoSpaceDE/>
        <w:autoSpaceDN/>
        <w:adjustRightInd/>
        <w:spacing w:before="120" w:after="120"/>
        <w:ind w:left="992" w:hanging="992"/>
        <w:contextualSpacing w:val="0"/>
        <w:rPr>
          <w:szCs w:val="24"/>
        </w:rPr>
      </w:pPr>
      <w:r w:rsidRPr="002C1EDB">
        <w:rPr>
          <w:szCs w:val="24"/>
        </w:rPr>
        <w:t>Nagrinėjamoje byloje tiek prokuratūra ikiteisminio tyrimo metu, tiek ir pirmosios instancijos teismas susidūrė su labai ribotu, o tam tikrais atvejais ir absoliučiu nebendradarbiavimu, teikiant teisinę pagalbą Lietuvos Respublikos teisėsaugos institucijoms, iš valstybių, kuriose gyvena nuteistieji (Rusijos Federacijos, Baltarusijos Respublikos), pusės. Išnaudojus visas įmanomas priemones, siekiant byloje įtariamaisiais / kaltinamaisiais pripažintus asmenis apklausti kaip įtariamuosius / kaltinamuosius, tačiau nepavykus atlikti tokių apklausų, pirmosios instancijos teismas dėl objektyvių priežasčių neturėjo galimybės iš kitų šaltinių, nei įtariamųjų, apklaustų liudytojais, apklausų protokolų, gauti duomenų apie pačių baudžiamojon atsakomybėn traukiamų asmenų poziciją dėl jiems inkriminuotų nusikalstamų veikų ir byloje pareikštų kaltinimų. Be to, atkreiptinas dėmesys ir į tai, kad daugelį savo apeliacinių skundų argumentų (dėl kaltės nepripažinimo, nedalyvavimo byloje nagrinėjamuose įvykiuose, tyčios nebuvimo, siekio išvengti civilių aukų, aukštesnių vadų įsakymo vykdymo, karo atakos tikslo nežinojimo, smurtinių veiksmų nenaudojimo ir pan.) gynėjai grindžia būtent nuteistųjų, ikiteisminio tyrimo metu apklaustų liudytojais, parodymais. Pažymėtina ir tai, kad šiuose parodymuose nuteistieji išdėstė ne tik save kaltinančias, bet ir teisinančias aplinkybes. Atsižvelgdamas į visa tai, apeliacinės instancijos teismas konstatuoja, kad itin atidus tokių asmenų parodymų vertinimas, tikrinant kitus byloje surinktus įrodymus, buvo galimas. Visgi net ir darant tokią išvadą, pabrėžtina, kad apeliacinės instancijos teismas, iš naujo peržiūrėjęs bylą ir savarankiškai įvertinęs byloje surinktus duomenis, nei vieno iš nuteistųjų kaltės nagrinėjamoje baudžiamojoje byloje negrindžia įtariamųjų, apklaustų liudytojais, duotais parodymais – nuteistųjų kaltę dėl jiems inkriminuotų nusikalstamų veikų patvirtina kitų byloje esančių objektyvių įrodymų visuma, tarp kurių itin didelę reikšmę turi ne asmenų parodymai, o objektyviai faktines aplinkybes atspindintys duomenys, vaizdo ir garso įrašai, įvairūs dokumentai, daiktiniai įrodymai, specialistų išvados, ekspertizės ir pan.</w:t>
      </w:r>
    </w:p>
    <w:p w:rsidR="00DA38E9" w:rsidRPr="00C00255" w:rsidRDefault="00DA38E9" w:rsidP="00DA38E9">
      <w:pPr>
        <w:pStyle w:val="ListParagraph"/>
        <w:numPr>
          <w:ilvl w:val="0"/>
          <w:numId w:val="6"/>
        </w:numPr>
        <w:overflowPunct/>
        <w:autoSpaceDE/>
        <w:autoSpaceDN/>
        <w:adjustRightInd/>
        <w:spacing w:before="120" w:after="120"/>
        <w:ind w:left="987" w:hanging="987"/>
        <w:contextualSpacing w:val="0"/>
        <w:rPr>
          <w:color w:val="000000" w:themeColor="text1"/>
          <w:szCs w:val="24"/>
        </w:rPr>
      </w:pPr>
      <w:r w:rsidRPr="00C00255">
        <w:rPr>
          <w:color w:val="000000" w:themeColor="text1"/>
          <w:szCs w:val="24"/>
        </w:rPr>
        <w:t>Šiame kontekste atsakytina ir į bent keliuose apeliaciniuose skunduose nurodytą argumentą, kad neteisėtais kaltinamųjų parodymais</w:t>
      </w:r>
      <w:r w:rsidRPr="00C00255">
        <w:rPr>
          <w:i/>
          <w:color w:val="000000" w:themeColor="text1"/>
          <w:szCs w:val="24"/>
        </w:rPr>
        <w:t xml:space="preserve"> </w:t>
      </w:r>
      <w:r w:rsidRPr="00C00255">
        <w:rPr>
          <w:color w:val="000000" w:themeColor="text1"/>
          <w:szCs w:val="24"/>
        </w:rPr>
        <w:t>yra</w:t>
      </w:r>
      <w:r w:rsidRPr="00C00255">
        <w:rPr>
          <w:i/>
          <w:color w:val="000000" w:themeColor="text1"/>
          <w:szCs w:val="24"/>
        </w:rPr>
        <w:t xml:space="preserve"> </w:t>
      </w:r>
      <w:r w:rsidRPr="00C00255">
        <w:rPr>
          <w:color w:val="000000" w:themeColor="text1"/>
          <w:szCs w:val="24"/>
        </w:rPr>
        <w:t xml:space="preserve">pagrįstas ir svarbiausias įrodymų šaltinis byloje – 2014 m. birželio 10 d. karo specialisto J. Andriškevičiaus išvada. Pirmiausia, pažymėtina, kad minėta specialisto išvada buvo pateikta jau po specialisto apklausų apie byloje surinktą itin gausią vaizdinę ir kitą medžiagą. Dėl tokių duomenų gausos byloje vėliau pateikta specialisto išvada ne tik iš dalies pakartojo specialisto apklausų metu nurodytus duomenis apie užfiksuotą karinę techniką, kariškių veiksmų pobūdį ir pan., bet ir apibendrino byloje surinktus duomenis pagal specialisto turimas karybos žinias. Taigi, byloje pateikta specialisto išvada pirmiausia buvo pagrįsta iš objektyvių duomenų šaltinių gautais duomenimis (pvz., vaizdo, garso įrašų, fotonuotraukų, dokumentų ir pan.), todėl įvairių kariškių parodymai yra tik vienas iš šaltinių, kurie buvo vertinti pateikiant specialisto išvadą. Pastebėtina ir tai, kad byloje pateiktoje išvadoje visuomet buvo nurodyta, kokiais duomenų šaltiniais remdamasis specialistas darė atitinkamas išvadas, todėl teismas, darydamas savo išvadas, turėjo galimybę įvertinti tokios išvados patikimumą, net ir nevertinant konkrečių ikiteisminio tyrimo metu liudytojais apklaustų kariškių parodymų, kurie minimi specialisto išvadoje. </w:t>
      </w:r>
    </w:p>
    <w:p w:rsidR="00DA38E9" w:rsidRPr="00C00255" w:rsidRDefault="00DA38E9" w:rsidP="00DA38E9">
      <w:pPr>
        <w:pStyle w:val="ListParagraph"/>
        <w:numPr>
          <w:ilvl w:val="0"/>
          <w:numId w:val="6"/>
        </w:numPr>
        <w:overflowPunct/>
        <w:autoSpaceDE/>
        <w:autoSpaceDN/>
        <w:adjustRightInd/>
        <w:spacing w:before="120" w:after="120"/>
        <w:ind w:left="987" w:hanging="987"/>
        <w:contextualSpacing w:val="0"/>
        <w:rPr>
          <w:color w:val="000000" w:themeColor="text1"/>
          <w:szCs w:val="24"/>
        </w:rPr>
      </w:pPr>
      <w:r w:rsidRPr="00C00255">
        <w:rPr>
          <w:szCs w:val="24"/>
        </w:rPr>
        <w:t>Atsižvelgiant į visa tai, kas pasakyta, teisėjų kolegija daro išvadą, kad pirmosios instancijos teismas nuosprendyje tiek kai kurių kaltinamųjų, tiek liudytojų ikiteisminio tyrimo metu duotus parodymus nepagrįstai vertino kaip savarankiškus, nuteistųjų kaltę pagrindžiančius, įrodymus, tačiau pirmosios instancijos teismui atlikus baudžiamojo proceso įstatymo leidžiamus procesinius veiksmus, tai yra laikantis BPK 276 straipsnio 4</w:t>
      </w:r>
      <w:r w:rsidRPr="00C00255">
        <w:t> </w:t>
      </w:r>
      <w:r w:rsidRPr="00C00255">
        <w:rPr>
          <w:szCs w:val="24"/>
        </w:rPr>
        <w:t xml:space="preserve">dalies reikalavimų teisiamajame posėdyje perskaičius tiek kaltinamųjų, tiek liudytojų ikiteisminio tyrimo metu duotus parodymus ir skundžiamame nuosprendyje išdėsčius taip pat ir kitus nuteistųjų kaltę pagrindžiančių įrodymus, o apeliacinės instancijos teismui, atlikus iš esmės naują įrodymų vertinimą, nurodant, kuriais įrodymais grindžiama nuteistųjų kaltė, o kurie duomenys tik leidžia patikrinti ir visumoje patvirtina kitų įrodymų teisingumą, patikimumą ir formuoja teismo vidinį įsitikinimą, bet nėra savarankiški nuteistųjų kaltę pagrindžiantys įrodymai, minėti įrodymų vertinimo trūkumai buvo ištaisyti ir vertinant procesą kaip visumą, nuteistųjų teisė į tinkamą teisinį procesą ir teisingą teismą jau aptartais įrodymų vertinimo aspektais nebuvo pažeista. </w:t>
      </w:r>
    </w:p>
    <w:p w:rsidR="00DA38E9" w:rsidRPr="00C00255" w:rsidRDefault="00DA38E9" w:rsidP="00DA38E9">
      <w:pPr>
        <w:numPr>
          <w:ilvl w:val="0"/>
          <w:numId w:val="6"/>
        </w:numPr>
        <w:spacing w:before="120" w:after="120"/>
        <w:ind w:left="987" w:hanging="987"/>
      </w:pPr>
      <w:r w:rsidRPr="00C00255">
        <w:t xml:space="preserve">Nuteistųjų </w:t>
      </w:r>
      <w:r>
        <w:t>V. S. 2</w:t>
      </w:r>
      <w:r w:rsidRPr="00C00255">
        <w:t xml:space="preserve"> ir </w:t>
      </w:r>
      <w:r>
        <w:t>S. P.</w:t>
      </w:r>
      <w:r w:rsidRPr="00C00255">
        <w:t xml:space="preserve"> gynėjai, nesutikdami su byloje atliktu įrodymų vertinimu, nurodo ir tai, kad TSRS prokuratūros tyrime surinkti duomenys nelaikytini įrodymais, nes šie duomenys Lietuvos prokuratūrai atsiųsti ne įstatymų nustatyta tvarka. TSRS prokuratūra negalėjo Lietuvai perduoti tyrimo medžiagos dėl savo pačios piliečių, kadangi 1991 m. galiojusiuose teisės aktuose nebuvo reglamentuotas bylos perdavimas kitai valstybei. Šie gynėjų argumentai atmetami, kaip nesuteikiantys pagrindo abejoti iš TSRS prokuratūros gautų duomenų patikimumu ir pripažinimo įrodymais pagrįstumu.</w:t>
      </w:r>
    </w:p>
    <w:p w:rsidR="00DA38E9" w:rsidRPr="00C00255" w:rsidRDefault="00DA38E9" w:rsidP="00DA38E9">
      <w:pPr>
        <w:numPr>
          <w:ilvl w:val="1"/>
          <w:numId w:val="6"/>
        </w:numPr>
        <w:spacing w:before="120" w:after="120"/>
        <w:ind w:left="987" w:hanging="987"/>
      </w:pPr>
      <w:r w:rsidRPr="00C00255">
        <w:t>Iš byloje esančių duomenų matyti, kad TSRS prokuratūra 1991 m. rugsėjo 26 d. raštu, vykdydama tos pačios dienos TSRS ir Lietuvos Respublikos generalinių prokurorų susitarimą dėl bendradarbiavimo, perdavė Lietuvos Respublikos generalinei prokuratūrai baudžiamosios bylos Nr. 18/5918-91 medžiagą dėl Sausio įvykių Vilniuje (t. 1, b. l. 84–85, 144–146), ir ši baudžiamoji byla buvo sujungta su Lietuvos Respublikoje dėl tų pačių įvykių atliekamu ikiteisminiu tyrimu Nr. 09-2-002-91, suteikiant tyrimui pastarąjį numerį (t. 1, b. l. 83).</w:t>
      </w:r>
    </w:p>
    <w:p w:rsidR="00DA38E9" w:rsidRPr="00C00255" w:rsidRDefault="00DA38E9" w:rsidP="00DA38E9">
      <w:pPr>
        <w:numPr>
          <w:ilvl w:val="1"/>
          <w:numId w:val="6"/>
        </w:numPr>
        <w:spacing w:before="120" w:after="120"/>
        <w:ind w:left="987" w:hanging="987"/>
      </w:pPr>
      <w:r w:rsidRPr="00C00255">
        <w:t xml:space="preserve">Pagal BPK 20 straipsnį, įrodymais gali būti pripažinti duomenys, gauti iš įvairių šaltinių, o tai ar konkrečius duomenis galima laikyti įrodymais, kiekvienu atveju sprendžia bylą nagrinėjantis teismas. Lietuvos Respublikos teisės aktai nedraudžia įrodymais pripažinti kitos valstybės teisėsaugos institucijų surinktus duomenis. Vien tai, kad TSRS prokuratūra pagal TSRS ir Lietuvos Respublikos generalinių prokurorų susitarimą perdavė Lietuvos Respublikos prokuratūrai ikiteisminio tyrimo medžiagą dėl 1991 m. sausio mėnesio įvykių Vilniuje, galimai, pasak gynėjų, pažeisdama tuo metu galiojusius TSRS teisės aktus, draudžiančius perduoti ikiteisminio tyrimo dėl TSRS piliečių medžiagą kitoms valstybėms, savaime nedaro perduotos tyrimo medžiagos neteisėtos ir nedraudžia bylą nagrinėjančiam teismui šioje medžiagoje esančius duomenis pripažinti įrodymais. Pažymėtina, kad šiais duomenimis vadovautasi ir ne kartą jau minėtoje </w:t>
      </w:r>
      <w:r>
        <w:t>M. B.</w:t>
      </w:r>
      <w:r w:rsidRPr="00C00255">
        <w:t xml:space="preserve">, </w:t>
      </w:r>
      <w:r>
        <w:t>J. K.</w:t>
      </w:r>
      <w:r w:rsidRPr="00C00255">
        <w:t xml:space="preserve"> ir kitų byloje, kuri nagrinėta ne tik trijų instancijų Lietuvos Respublikos teismuose, bet ir EŽTT. Šioje byloje nekilo abejonių dėl aptariamų duomenų, užfiksuotų iš TSRS perimtoje ikiteisminio tyrimo medžiagoje, pripažinimo įrodymais ir jais buvo vadovautasi. Taigi, apeliacinės instancijos teismas ir nagrinėjamoje byloje nemato pagrindo kitaip vertinti iš TSRS prokuratūros gautos ikiteisminio tyrimo medžiagos.</w:t>
      </w:r>
    </w:p>
    <w:p w:rsidR="00DA38E9" w:rsidRPr="00C00255" w:rsidRDefault="00DA38E9" w:rsidP="00DA38E9">
      <w:pPr>
        <w:numPr>
          <w:ilvl w:val="0"/>
          <w:numId w:val="6"/>
        </w:numPr>
        <w:spacing w:before="120" w:after="120"/>
        <w:ind w:left="987" w:hanging="987"/>
      </w:pPr>
      <w:r>
        <w:t>V. U. 1</w:t>
      </w:r>
      <w:r w:rsidRPr="00C00255">
        <w:t xml:space="preserve"> gynėjas apeliaciniame skunde teigia ir tai, kad Lietuvos Respublikos prokurorai draudė nukentėjusiųjų artimiesiems vykti į apklausas TSRS, taip pat kūnų tyrimuose draudė dalyvauti Maskvos ekspertui, nesilaikė Lietuvos ir TSRS prokuratūrų bendradarbiavimo sutarties, tiriant Sausio 13-osios įvykius. Žuvusiųjų žmonoms buvo uždrausta duoti parodymus TSRS prokurorams, siekiant nuslėpti tikrąsias žūties aplinkybes, nors buvo susitarimas dėl bendro šios bylos tyrimo. Gynėjas kaip įrodymą dėl draudimo žuvusiųjų artimiesiems dalyvauti TSRS prokuratūros apklausose nurodė bylos 134-ojo tomo 54-ąjį lapą ir 136-ojo tomo 19-ąjį lapą. </w:t>
      </w:r>
    </w:p>
    <w:p w:rsidR="00DA38E9" w:rsidRPr="00C00255" w:rsidRDefault="00DA38E9" w:rsidP="00DA38E9">
      <w:pPr>
        <w:numPr>
          <w:ilvl w:val="1"/>
          <w:numId w:val="6"/>
        </w:numPr>
        <w:spacing w:before="120" w:after="120"/>
        <w:ind w:left="987" w:hanging="987"/>
      </w:pPr>
      <w:r w:rsidRPr="00C00255">
        <w:t>Teisėjų kolegija nustatė, kad viename iš minėtų bylos lapų yra TSRS prokuratūros tyrimo grupės liudytojui V. K</w:t>
      </w:r>
      <w:r>
        <w:t>.</w:t>
      </w:r>
      <w:r w:rsidRPr="00C00255">
        <w:t xml:space="preserve"> siųstas šaukimas atvykti į apklausą (t. 134, b. l. 54), o kitame – TSRS prokuratūros tyrimo grupės tyrėjo ataskaita vyresniajam tyrėjui, kad telefonu susisiekus su žuvusiojo I. Š</w:t>
      </w:r>
      <w:r>
        <w:t>.</w:t>
      </w:r>
      <w:r w:rsidRPr="00C00255">
        <w:t xml:space="preserve"> mama N. Š</w:t>
      </w:r>
      <w:r>
        <w:t>.</w:t>
      </w:r>
      <w:r w:rsidRPr="00C00255">
        <w:t xml:space="preserve"> ir siekiant susitarti dėl jos apklausos, ji pasakė, kad parodymus jau davė Lietuvos Respublikos prokuratūrai (t. 136, b. l. 19). Taigi, </w:t>
      </w:r>
      <w:r>
        <w:t>V. U. 1</w:t>
      </w:r>
      <w:r w:rsidRPr="00C00255">
        <w:t xml:space="preserve"> gynėjo nurodyti dokumentai jokia apimtimi nepagrindžia jo teiginių dėl Lietuvos Respublikos prokuratūros taikytų kokių nors draudimų proceso dalyviams dalyvauti kituose tyrimuose atliekamuose procesiniuose veiksmuose. Be to, priešingai, byloje yra duomenų, kad TSRS prokuratūros tyrimo grupės atstovai 1991 metais apklausė ir kai kurių žuvusiųjų artimuosius (pvz., žuvusiosios L. A</w:t>
      </w:r>
      <w:r>
        <w:t>.</w:t>
      </w:r>
      <w:r w:rsidRPr="00C00255">
        <w:t xml:space="preserve"> giminaičius liudytojus S. A</w:t>
      </w:r>
      <w:r>
        <w:t>.</w:t>
      </w:r>
      <w:r w:rsidRPr="00C00255">
        <w:t xml:space="preserve"> ir A. A</w:t>
      </w:r>
      <w:r>
        <w:t>.</w:t>
      </w:r>
      <w:r w:rsidRPr="00C00255">
        <w:t xml:space="preserve"> (t. 134, b. l. 3–5, 10–11), žuvusiojo A. P. K</w:t>
      </w:r>
      <w:r>
        <w:t>.</w:t>
      </w:r>
      <w:r w:rsidRPr="00C00255">
        <w:t xml:space="preserve"> sūnų G. K</w:t>
      </w:r>
      <w:r>
        <w:t>.</w:t>
      </w:r>
      <w:r w:rsidRPr="00C00255">
        <w:t xml:space="preserve"> (t. 135, b. l. 42–43)), tai taip pat paneigia gynėjo teiginius, kad žuvusiųjų artimiesiems buvo draudžiama dalyvauti apklausose, vykdomose TSRS prokuratūros. Kita vertus, tuo metu Lietuvos Respublika jau buvo nepriklausoma valstybė, joje veikė nepriklausoma Lietuvos Respublikos prokuratūra, todėl liudytojai ir nukentėjusieji neturėjo pareigos vykdyti jokių TSRS teisės aktų reikalavimų ar TSRS pareigūnų nurodymų ir tiesiogiai parodymus duoti būtent TSRS prokuratūros atstovams dėl įvykių, kurie įvyko ir buvo tiriami Lietuvos Respublikos teritorijoje.</w:t>
      </w:r>
    </w:p>
    <w:p w:rsidR="00DA38E9" w:rsidRPr="00C00255" w:rsidRDefault="00DA38E9" w:rsidP="00DA38E9">
      <w:pPr>
        <w:numPr>
          <w:ilvl w:val="1"/>
          <w:numId w:val="6"/>
        </w:numPr>
        <w:spacing w:before="120" w:after="120"/>
        <w:ind w:left="987" w:hanging="987"/>
      </w:pPr>
      <w:r w:rsidRPr="00C00255">
        <w:t xml:space="preserve">Taip pat nuteistojo </w:t>
      </w:r>
      <w:r>
        <w:t>V. U. 1</w:t>
      </w:r>
      <w:r w:rsidRPr="00C00255">
        <w:t xml:space="preserve"> gynėjas nepagrindė savo apeliacinio skundo teiginių, kad Maskvos ekspertui buvo draudžiama dalyvauti kūnų tyrimuose ir nenurodė, kokią reikšmę ši aplinkybė gali turėti, vertinant byloje surinktus duomenis. Nuteistojo gynėjo keliamos versijos dėl asmenų patirtų sužalojimų pobūdžio byloje buvo patikrintos, atmestos ir šiame sprendime jau aptartos. Todėl gynėjo argumentai dėl aptartų tariamų baudžiamojo proceso pažeidimų atmetami kaip nepagrįsti ir neturintys įtakos pirmosios instancijos teismo priimto nuosprendžio teisėtumui bei pagrįstumui. </w:t>
      </w:r>
    </w:p>
    <w:p w:rsidR="00DA38E9" w:rsidRPr="00C00255" w:rsidRDefault="00DA38E9" w:rsidP="00DA38E9">
      <w:pPr>
        <w:pStyle w:val="ListParagraph"/>
        <w:numPr>
          <w:ilvl w:val="0"/>
          <w:numId w:val="6"/>
        </w:numPr>
        <w:overflowPunct/>
        <w:autoSpaceDE/>
        <w:autoSpaceDN/>
        <w:adjustRightInd/>
        <w:spacing w:before="120" w:after="120"/>
        <w:ind w:left="987" w:hanging="987"/>
        <w:contextualSpacing w:val="0"/>
        <w:rPr>
          <w:szCs w:val="24"/>
        </w:rPr>
      </w:pPr>
      <w:r w:rsidRPr="00C00255">
        <w:rPr>
          <w:szCs w:val="24"/>
        </w:rPr>
        <w:t xml:space="preserve">Nuteistasis </w:t>
      </w:r>
      <w:r>
        <w:rPr>
          <w:szCs w:val="24"/>
        </w:rPr>
        <w:t>A. G. 1</w:t>
      </w:r>
      <w:r w:rsidRPr="00C00255">
        <w:rPr>
          <w:szCs w:val="24"/>
        </w:rPr>
        <w:t xml:space="preserve"> bei jo gynėjas apeliaciniame skunde nesutiko su byloje atliktu įrodymų vertinimu ir ginčydami nukentėjusiųjų parodymus. Apeliantai teigė, kad pirmosios instancijos teismas pažeidė BPK 279 ir 283 straipsnių nuostatas, nes nukentėjusiuosius teisiamajame posėdyje apklausė, iš teismo posėdžių salės nepašalinęs dar neapklaustų kitų nukentėjusiųjų. Šie gynėjo argumentai dėl BPK normų pažeidimo yra nepagrįsti ir atmetami. Pagal BPK nuostatas nukentėjusiojo ir liudytojo procesinis statusas baudžiamajame procese yra skirtingas. Liudytojas neturi procesinio suinteresuotumo bylos baigtimi ir yra kviečiamas į teismo posėdį tik pateikti tam tikras jam žinomas aplinkybes apie inkrimin</w:t>
      </w:r>
      <w:r w:rsidR="005E1CD9">
        <w:rPr>
          <w:szCs w:val="24"/>
        </w:rPr>
        <w:t>uotą nusikalstamą veiką (BPK 78 </w:t>
      </w:r>
      <w:r w:rsidRPr="00C00255">
        <w:rPr>
          <w:szCs w:val="24"/>
        </w:rPr>
        <w:t>straipsnis), o nukentėjusysis yra proceso dalyvis, kuriam nusikalstama veika buvo padaryta tam tikra žala ir kuris turi teisę dalyvauti bylą nagrinėjant teisme (BPK</w:t>
      </w:r>
      <w:r>
        <w:rPr>
          <w:szCs w:val="24"/>
        </w:rPr>
        <w:t> </w:t>
      </w:r>
      <w:r w:rsidRPr="00C00255">
        <w:rPr>
          <w:szCs w:val="24"/>
        </w:rPr>
        <w:t>28</w:t>
      </w:r>
      <w:r>
        <w:rPr>
          <w:szCs w:val="24"/>
        </w:rPr>
        <w:t> </w:t>
      </w:r>
      <w:r w:rsidRPr="00C00255">
        <w:rPr>
          <w:szCs w:val="24"/>
        </w:rPr>
        <w:t xml:space="preserve">straipsnis). Nukentėjusysis turi teisę užduoti klausimus kitiems proceso dalyviams, tarp jų ir kitiems nukentėjusiesiems (BPK 275 straipsnis), teikti teismui prašymus (dėl įrodymų tyrimo, nusikalstamos veikos perkvalifikavimo ir kt.), paaiškinimus, apskųsti procesinius sprendimus ir pan. BPK 283 straipsnio 2 dalyje įtvirtinta nuostata, kad nukentėjusysis apklausiamas, laikantis visų taisyklių, reglamentuojančių liudytojo apklausą (viena iš jų – kad dar neapklausti liudytojai pašalinami iš teismo posėdžių salės). Tačiau iš anksčiau minėtų BPK įtvirtintų nukentėjusiojo, kaip baudžiamojo proceso dalyvio, teisių akivaizdu, kad nukentėjusieji iki jų apklausos neturi būti pašalinami iš teismo posėdžių salės ir, kad neturi būti apklausiami po vieną, nes tokiu atveju būtų paneigta nukentėjusiojo teisė dalyvauti baudžiamajame procese ir taip ginti savo teises bei interesus. Taigi, pirmosios instancijos teismas, apklausdamas nukentėjusiuosius, prieš tai iš teismo posėdžių salės nepašalinęs dar neapklaustų nukentėjusiųjų, nepadarė baudžiamojo proceso įstatymo pažeidimo – priešingai, neatlikdamas tokio veiksmo, teismas laikėsi BPK nuostatų ir užtikrino nukentėjusiųjų teisių bei teisėtų interesų įgyvendinimą. </w:t>
      </w:r>
    </w:p>
    <w:p w:rsidR="00DA38E9" w:rsidRPr="00C00255" w:rsidRDefault="00DA38E9" w:rsidP="00DA38E9">
      <w:pPr>
        <w:numPr>
          <w:ilvl w:val="0"/>
          <w:numId w:val="6"/>
        </w:numPr>
        <w:spacing w:before="120" w:after="120"/>
        <w:ind w:left="987" w:hanging="987"/>
        <w:rPr>
          <w:color w:val="000000" w:themeColor="text1"/>
        </w:rPr>
      </w:pPr>
      <w:r w:rsidRPr="00C00255">
        <w:rPr>
          <w:color w:val="000000" w:themeColor="text1"/>
        </w:rPr>
        <w:t xml:space="preserve">Be jau aptartų gynybos argumentų, susijusių su netinkamu įrodymų vertinimu, teismas šiame sprendime, analizuodamas atskiras faktines aplinkybes ir juos pagrindžiančius įrodymus, jau pasisakė ir apie kitus esminius gynybos argumentus, susijusius su netinkamu įrodymų vertinimu (pvz., apie negalimą byloje esančių TSRS pareigūnų pasirašytų dokumentų vertinimą; apie nepakankamą ir neišsamų byloje esančių vaizdo įrašų tyrimą ir peržiūrėjimą teisme, apie neišsamų byloje aptariamų 5,45 mm kalibro šovinių ir kitų svarbių duomenų tyrimą, apie netinkamą specialisto J. Andriškevičiaus apklausą teisme ir pan.), tačiau šių argumentų dar kartą ir atskirai vertinti nėra pagrindo. </w:t>
      </w:r>
    </w:p>
    <w:p w:rsidR="00DA38E9" w:rsidRPr="00C00255" w:rsidRDefault="00DA38E9" w:rsidP="00DA38E9">
      <w:pPr>
        <w:pStyle w:val="Heading3"/>
        <w:spacing w:before="120" w:after="120"/>
        <w:ind w:left="992" w:hanging="5"/>
        <w:jc w:val="both"/>
        <w:rPr>
          <w:rFonts w:asciiTheme="majorHAnsi" w:hAnsiTheme="majorHAnsi" w:cstheme="majorBidi"/>
          <w:b w:val="0"/>
          <w:i/>
          <w:sz w:val="24"/>
          <w:szCs w:val="28"/>
          <w:lang w:val="lt-LT"/>
        </w:rPr>
      </w:pPr>
      <w:bookmarkStart w:id="939" w:name="_Toc66862784"/>
      <w:bookmarkStart w:id="940" w:name="_Toc67677445"/>
      <w:bookmarkStart w:id="941" w:name="_Toc67985573"/>
      <w:r w:rsidRPr="00C00255">
        <w:rPr>
          <w:b w:val="0"/>
          <w:i/>
          <w:sz w:val="24"/>
          <w:lang w:val="lt-LT"/>
        </w:rPr>
        <w:t>Dėl kaltinimo ribų peržengimo teisme</w:t>
      </w:r>
      <w:bookmarkEnd w:id="939"/>
      <w:bookmarkEnd w:id="940"/>
      <w:bookmarkEnd w:id="941"/>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Kelių nuteistųjų gynėjai apeliaciniuose skunduose nurodo, kad pirmosios instancijos teismas, konstatuodamas, jog nuteistieji veikė ne organizuota grupe, bet bendrininkų grupe, taip pat nustatydamas kai kurias pakeistas kaltinimo formuluotes, peržengė kaltinimo ribas ir taip pažeidė BPK 255 straipsnio nuostatas bei suvaržė nuteistųjų teisę į gynybą. Prokurorai taip pat įžvelgė kaltinimo ribų peržengimą dalyje dėl civilinio ieškinio, kurioje pirmosios instancijos teismas pasisakė dėl nuteistiesiems neinkriminuotų faktinių aplinkybių (kariškių padaryto turto sugadinimo ir sunaikinimo).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Pagal BPK 255 straipsnio 1 dalį byla teisme nagrinėjama tik dėl tų kaltinamųjų ir tik dėl tų nusikalstamų veikų, dėl kurių ji perduota nagrinėti teisiamajame posėdyje. BPK 255 straipsnio 2 dalyje nurodyta, kad kaltinamasis negali būti nuteistas dėl nusikalstamos veikos, kuri buvo perkvalifikuota, arba dėl nusikalstamos veikos, kurios faktinės aplinkybės iš esmės skiriasi nuo kaltinamajame akte išdėstytų, jeigu apie tokią galimybę teisiamajame posėdyje jam iš anksto nebuvo pranešta. Kaltinime nurodytų nusikalstamų veikų esminių faktinių aplinkybių ir veikų kvalifikavimo pakeitimo teisme tvarka įtvirtinta BPK 256 straipsnyje.</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Teismas, nustatęs kitokias nusikalstamos veikos faktines aplinkybes, nei nurodytos kaltinamajame akte, kiekvienu konkrečiu atveju sprendžia, ar šios naujos aplinkybės iš esmės skiriasi nuo nurodytų kaltinamajame akte, ar skiriasi ne iš esmės; ar keičiant nusikalstamos veikos faktines aplinkybes asmens teisė į gynybą būtų suvaržyta; ar yra pagrindas manyti, kad gynyba dėl pasikeitusių nusikalstamos veikos faktinių aplinkybių galėtų būti kitokia. Teismų praktikoje laikomasi nuoseklios pozicijos, kad faktinės aplinkybės iš esmės skiriasi nuo kaltinamajame akte išdėstytųjų tada, kai prisideda tos pačios nusikalstamos veikos epizodai, iš esmės pasikeičia nusikalstamų veikų apimtis, nusikalstamos veikos padarymo laikas, vieta, būdas bei pan. ir jeigu tai turi įtakos veikos kvalifikavimui, bausmei ar kitaip suvaržo kaltinamojo teisę į gynybą (t. y. ar bendriausia prasme gynyba dėl pakeisto kaltinimo būtų kitokia) (Konstitucinio Teismo 2013 m. lapkričio 15 d. nutarimas, LAT nutartys baudžiamosiose bylose Nr. 2K-P-1/2014, 2K-262/2014, 2K-265-693/2015, 2K-61-689/2020).</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Nuteistojo </w:t>
      </w:r>
      <w:r>
        <w:rPr>
          <w:szCs w:val="24"/>
        </w:rPr>
        <w:t>V. Š. 1</w:t>
      </w:r>
      <w:r w:rsidRPr="00C00255">
        <w:rPr>
          <w:szCs w:val="24"/>
        </w:rPr>
        <w:t xml:space="preserve"> gynėja nurodo, kad jos ginamasis buvo kaltinamas tuo, kad veikė organizuota grupe kaip karinės operacijos Lietuvoje kurstytojas ir tiesiogiai nerealizavo nusikaltimų objektyviosios pusės požymių. Pasak gynėjos, teismas, savo iniciatyva, iš anksto apie tokią galimybę neinformavęs proceso dalyvių, kitaip, nei buvo nurodyta kaltinamajame akte, pripažinęs, kad </w:t>
      </w:r>
      <w:r>
        <w:rPr>
          <w:szCs w:val="24"/>
        </w:rPr>
        <w:t>V. Š. 1</w:t>
      </w:r>
      <w:r w:rsidRPr="00C00255">
        <w:rPr>
          <w:szCs w:val="24"/>
        </w:rPr>
        <w:t xml:space="preserve"> veikė bendrininkų grupe ir realizavo nusikaltimų objektyviosios pusės požymius, išplėtė kaltinimo ribas bei pažeidė nuteistojo teisę į gynybą.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Iš tiesų pirmosios instancijos teismas, išnagrinėjęs bylą, konstatavo, kad nusikalstamos veikos buvo padarytos kita bendrininkavimo forma, nei buvo nurodyta kaltinamajame akte ir apie tokią perkvalifikavimo galimybę prieš tai teisiamajame posėdyje proceso dalyvių neinformavo. Visgi toks BPK 255 straipsnio 2 dalies ir BPK 256 straipsnio 2 ir 3 dalyse nustatytų reikalavimų nesilaikymas, turint omenyje faktą, kad esminės kaltinime inkriminuotos faktinės aplinkybės nesikeitė, kad būtent pagal jas buvo daromos teismo išvados apie konkrečią bendrininkavimo formą, kad tokiomis teismo išvadomis buvo pašvelninta nuteistųjų teisinė padėtis, kad gynyba ginčijo kaltinimą visa apimtimi ir gynėsi nuo kaltinimo dėl bendrininkavimo apskritai, be kita ko, teigiant, kad bendrininkavimas negalimas, nes asmenys buvo kariškiai ir tarnavo TSRS kariuomenėje, neleidžia daryti išvados, kad tokiu būdu byloje buvo padaryti esminiai baudžiamojo proceso teisės pažeidimai, dėl kurių buvo suvaržytos įstatymų garantuotos kaltinamojo teisės ar kurie sukliudė teismui išsamiai ir nešališkai išnagrinėti bylą ir priimti teisingą nuosprendį ar nutartį (BPK 369 straipsnio 3 dalis).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Tiek teisės doktrinoje, tiek teismų praktikoje pripažįstama, kad esminiu BPK pažeidimu (dėl kurio, be kita ko, pirmosios instancijos teismo nuosprendis panaikinamas ir priimamas naujas nuosprendis) laikomas ne bet koks baudžiamojo proceso teisės pažeidimas. Tokiu gali būti pripažįstamas tik toks pažeidimas, kuris </w:t>
      </w:r>
      <w:r w:rsidRPr="00C00255">
        <w:rPr>
          <w:color w:val="000000"/>
          <w:szCs w:val="24"/>
          <w:shd w:val="clear" w:color="auto" w:fill="FFFFFF"/>
        </w:rPr>
        <w:t>lėmė ar galėjo lemti neteisingą bylos išnagrinėjimą iš esmės, t. y. neteisingo teismo nuosprendžio priėmimą</w:t>
      </w:r>
      <w:r w:rsidRPr="00C00255">
        <w:rPr>
          <w:rFonts w:ascii="Arial" w:hAnsi="Arial" w:cs="Arial"/>
          <w:color w:val="000000"/>
          <w:sz w:val="23"/>
          <w:szCs w:val="23"/>
          <w:shd w:val="clear" w:color="auto" w:fill="FFFFFF"/>
        </w:rPr>
        <w:t xml:space="preserve"> </w:t>
      </w:r>
      <w:r w:rsidRPr="00C00255">
        <w:rPr>
          <w:color w:val="000000"/>
          <w:szCs w:val="24"/>
          <w:shd w:val="clear" w:color="auto" w:fill="FFFFFF"/>
        </w:rPr>
        <w:t>(</w:t>
      </w:r>
      <w:r w:rsidRPr="00C00255">
        <w:rPr>
          <w:szCs w:val="24"/>
        </w:rPr>
        <w:t>„</w:t>
      </w:r>
      <w:r w:rsidRPr="00C00255">
        <w:rPr>
          <w:i/>
          <w:iCs/>
          <w:szCs w:val="24"/>
        </w:rPr>
        <w:t>Būtina esminio baudžiamojo proceso įstatymo pažeidimo sąlyga yra tai, kad šis pažeidimas sukliudė teismui visapusiškai išnagrinėti bylą ir paveikė teisėto bei pagrįsto nuosprendžio priėmimą</w:t>
      </w:r>
      <w:r w:rsidRPr="00C00255">
        <w:rPr>
          <w:szCs w:val="24"/>
        </w:rPr>
        <w:t xml:space="preserve">“ (LAT nutartis baudžiamojoje byloje Nr. 2K-408/2002); </w:t>
      </w:r>
      <w:r w:rsidRPr="00C00255">
        <w:rPr>
          <w:i/>
          <w:iCs/>
          <w:szCs w:val="24"/>
        </w:rPr>
        <w:t xml:space="preserve">„&lt;...&gt; </w:t>
      </w:r>
      <w:r w:rsidRPr="00C00255">
        <w:rPr>
          <w:szCs w:val="24"/>
        </w:rPr>
        <w:t>kasacinės instancijos teismas, &lt;...&gt;, peržiūri, ar buvo tinkamai pritaikytas baudžiamasis įstatymas ar nepadaryti</w:t>
      </w:r>
      <w:r w:rsidRPr="00C00255">
        <w:rPr>
          <w:i/>
          <w:iCs/>
          <w:szCs w:val="24"/>
        </w:rPr>
        <w:t xml:space="preserve"> esminiai BPK pažeidimai, kurie turėjo įtakos teisingam nuosprendžio priėmimui.“ </w:t>
      </w:r>
      <w:r w:rsidRPr="00C00255">
        <w:rPr>
          <w:szCs w:val="24"/>
        </w:rPr>
        <w:t>(LAT nutartis baudžiamojoje byloje Nr. 2K-99/2014); „</w:t>
      </w:r>
      <w:r w:rsidRPr="00C00255">
        <w:rPr>
          <w:i/>
          <w:iCs/>
          <w:color w:val="000000"/>
          <w:szCs w:val="24"/>
          <w:shd w:val="clear" w:color="auto" w:fill="FFFFFF"/>
        </w:rPr>
        <w:t>Dėl to, ar pažeidimas konkrečiu atveju laikytinas esminiu, teismas sprendžia atsižvelgdamas į pažeidimo sukeltas pasekmes kaltinamojo teisėms ar galutinio teismo sprendimo tinkamam išnagrinėjimui</w:t>
      </w:r>
      <w:r w:rsidRPr="00C00255">
        <w:rPr>
          <w:color w:val="000000"/>
          <w:szCs w:val="24"/>
          <w:shd w:val="clear" w:color="auto" w:fill="FFFFFF"/>
        </w:rPr>
        <w:t xml:space="preserve"> (LAT nutartis baudžiamojoje byloje Nr. 2K</w:t>
      </w:r>
      <w:r w:rsidRPr="00C00255">
        <w:rPr>
          <w:szCs w:val="24"/>
          <w:shd w:val="clear" w:color="auto" w:fill="FFFFFF"/>
        </w:rPr>
        <w:t>-7-</w:t>
      </w:r>
      <w:r w:rsidRPr="00C00255">
        <w:rPr>
          <w:color w:val="000000"/>
          <w:szCs w:val="24"/>
          <w:shd w:val="clear" w:color="auto" w:fill="FFFFFF"/>
        </w:rPr>
        <w:t>648/2019)</w:t>
      </w:r>
      <w:r w:rsidRPr="00C00255">
        <w:rPr>
          <w:rFonts w:ascii="Arial" w:hAnsi="Arial" w:cs="Arial"/>
          <w:color w:val="000000"/>
          <w:sz w:val="23"/>
          <w:szCs w:val="23"/>
          <w:shd w:val="clear" w:color="auto" w:fill="FFFFFF"/>
        </w:rPr>
        <w:t xml:space="preserve">; </w:t>
      </w:r>
      <w:r w:rsidRPr="00C00255">
        <w:rPr>
          <w:color w:val="000000"/>
          <w:szCs w:val="24"/>
          <w:shd w:val="clear" w:color="auto" w:fill="FFFFFF"/>
        </w:rPr>
        <w:t>„</w:t>
      </w:r>
      <w:r w:rsidRPr="00C00255">
        <w:rPr>
          <w:i/>
          <w:iCs/>
          <w:color w:val="000000"/>
          <w:szCs w:val="24"/>
          <w:shd w:val="clear" w:color="auto" w:fill="FFFFFF"/>
        </w:rPr>
        <w:t>Esminį baudžiamojo proceso teisės pažeidimą galima konstatuoti tik tada, kai nustatomas priežastinis ryšys tarp padaryto baudžiamojo proceso teisės pažeidimo ir neteisingo teismo sprendimo priėmimo (neteisingo bylos išnagrinėjimo)</w:t>
      </w:r>
      <w:r w:rsidRPr="00C00255">
        <w:rPr>
          <w:color w:val="000000"/>
          <w:szCs w:val="24"/>
          <w:shd w:val="clear" w:color="auto" w:fill="FFFFFF"/>
        </w:rPr>
        <w:t>.</w:t>
      </w:r>
      <w:bookmarkStart w:id="942" w:name="n33fdd28b-3027-4d48-bc10-9b21d4e8c8f7"/>
      <w:r w:rsidRPr="00C00255">
        <w:rPr>
          <w:color w:val="000000"/>
          <w:szCs w:val="24"/>
          <w:shd w:val="clear" w:color="auto" w:fill="FFFFFF"/>
        </w:rPr>
        <w:t xml:space="preserve"> </w:t>
      </w:r>
      <w:r w:rsidRPr="00C00255">
        <w:rPr>
          <w:szCs w:val="24"/>
          <w:shd w:val="clear" w:color="auto" w:fill="FFFFFF"/>
        </w:rPr>
        <w:t>BPK</w:t>
      </w:r>
      <w:bookmarkStart w:id="943" w:name="pn33fdd28b-3027-4d48-bc10-9b21d4e8c8f7"/>
      <w:bookmarkEnd w:id="942"/>
      <w:bookmarkEnd w:id="943"/>
      <w:r w:rsidRPr="00C00255">
        <w:rPr>
          <w:color w:val="000000"/>
          <w:szCs w:val="24"/>
          <w:shd w:val="clear" w:color="auto" w:fill="FFFFFF"/>
        </w:rPr>
        <w:t> </w:t>
      </w:r>
      <w:bookmarkStart w:id="944" w:name="n63b8d67c-405b-4a44-a715-5db4d3fca43f"/>
      <w:r w:rsidRPr="00C00255">
        <w:rPr>
          <w:szCs w:val="24"/>
          <w:shd w:val="clear" w:color="auto" w:fill="FFFFFF"/>
        </w:rPr>
        <w:t>369</w:t>
      </w:r>
      <w:bookmarkStart w:id="945" w:name="pn63b8d67c-405b-4a44-a715-5db4d3fca43f"/>
      <w:bookmarkEnd w:id="944"/>
      <w:bookmarkEnd w:id="945"/>
      <w:r w:rsidRPr="00C00255">
        <w:rPr>
          <w:color w:val="000000"/>
          <w:szCs w:val="24"/>
          <w:shd w:val="clear" w:color="auto" w:fill="FFFFFF"/>
        </w:rPr>
        <w:t xml:space="preserve"> straipsnio 3 dalies prasme baudžiamojo proceso teisės pažeidimas trukdo priimti teisingą sprendimą, t. y. priežastinis ryšys tarp baudžiamojo proceso teisės pažeidimo ir neteisingo teismo sprendimo priėmimo (neteisingo bylos išnagrinėjimo) yra tada, kai negalima atmesti galimybės, kad, nepadarius baudžiamojo proceso teisės pažeidimo, byla būtų išnagrinėta kitaip. Priežastinio ryšio tarp baudžiamojo proceso teisės pažeidimo ir neteisingo teismo sprendimo priėmimo nėra tada, kai yra visiškai akivaizdu, kad baudžiamojo proceso teisės pažeidimas neturėjo jokios įtakos teismo sprendimui.“ (LAT nutartis baudžiamojoje byloje Nr. 2K-301-942/2015, taip pat Nr. 2K-553-942/2015 ir pan.).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Aptariamo klausimo kontekste pabrėžtina ir tai, kad nuteistieji ir jų gynėjai ginčija teismo nuosprendį apeliacinės instancijos teisme, taip pat ir pasisakydami dėl pirmosios instancijos teismo išvadų, susijusių su bendrininkavimo formos pakeitimu, todėl vertinant procesą kaip visumą, nuteistųjų teisė į gynybą ir aptariamu aspektu nebuvo pažeista.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Toks susidariusios situacijos teisinis vertinimas atitinka ir Lietuvos Aukščiausiojo Teismo poziciją panašiose situacijose (pvz., LAT nutartyje baudžiamojoje byloje Nr. 2K-61-689/2020 neįžvelgta esminio baudžiamojo proceso teisės pažeidimo situacijoje, kai pirmosios instancijos teismas, </w:t>
      </w:r>
      <w:r w:rsidRPr="00C00255">
        <w:rPr>
          <w:color w:val="000000"/>
          <w:szCs w:val="24"/>
          <w:shd w:val="clear" w:color="auto" w:fill="FFFFFF"/>
        </w:rPr>
        <w:t>iš anksto neinformavęs proceso dalyvių, kitaip nei buvo nurodyta kaltinamajame akte, aprašė nusikalstamos veikos (piktnaudžiavimo tarnyba) faktines aplinkybes, taip pat perkvalifikavo nuteistiesiems inkriminuotą piktnaudžiavimą tarnyba, padarytą veikiant organizuota grupe, į piktnaudžiavimą tarnyba, padarytą veikiant bendrininkų grupe)</w:t>
      </w:r>
      <w:r w:rsidRPr="00C00255">
        <w:rPr>
          <w:szCs w:val="24"/>
        </w:rPr>
        <w:t xml:space="preserve">.   </w:t>
      </w:r>
      <w:bookmarkStart w:id="946" w:name="pnc1bc6619-018f-4e4d-8cd5-abef796962fa"/>
      <w:bookmarkStart w:id="947" w:name="pn776311a3-865a-49f5-90d4-8fdb0b986e80"/>
      <w:bookmarkStart w:id="948" w:name="pnd39eb611-29d4-4c3b-a5f4-b6bc9e7906be"/>
      <w:bookmarkStart w:id="949" w:name="pn346003b0-c8f1-4b6a-91c2-b0b6a5ba5656"/>
      <w:bookmarkStart w:id="950" w:name="pnc87444df-eef2-4705-a2e3-af92f4716687"/>
      <w:bookmarkStart w:id="951" w:name="pnc28658e4-b20f-4a7e-b57c-9ce0c58bc578"/>
      <w:bookmarkEnd w:id="946"/>
      <w:bookmarkEnd w:id="947"/>
      <w:bookmarkEnd w:id="948"/>
      <w:bookmarkEnd w:id="949"/>
      <w:bookmarkEnd w:id="950"/>
      <w:bookmarkEnd w:id="951"/>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Nuteistojo </w:t>
      </w:r>
      <w:r>
        <w:rPr>
          <w:szCs w:val="24"/>
        </w:rPr>
        <w:t>S. M.</w:t>
      </w:r>
      <w:r w:rsidRPr="00C00255">
        <w:rPr>
          <w:szCs w:val="24"/>
        </w:rPr>
        <w:t xml:space="preserve"> gynėjas teigė, kad teismas išėjo iš kaltinimo ribų, savavališkai kaltinamajame akte, epizode dėl Spaudos rūmų užėmimo, vartotą žodį „buvo“ pakeisdamas į žodį „dalyvavo“, nors žodis „būti“ nereiškia „dalyvauti“. Teisėjų kolegija šį gynėjo skundo argumentą atmeta kaip nepagrįstą, kadangi žodžiai „būti“ ir „dalyvauti“ gali turėti ir analogišką reikšmę. Lietuvių kalbos žodyne kaip viena iš žodžio „būti“ reikšmių yra pateikta reikšmė „dalyvauti“</w:t>
      </w:r>
      <w:r w:rsidRPr="00C00255">
        <w:t xml:space="preserve"> </w:t>
      </w:r>
      <w:r w:rsidRPr="00C00255">
        <w:rPr>
          <w:szCs w:val="24"/>
        </w:rPr>
        <w:t>(pvz., žiūrėti</w:t>
      </w:r>
      <w:r w:rsidRPr="00C00255">
        <w:t xml:space="preserve"> </w:t>
      </w:r>
      <w:r w:rsidRPr="00C00255">
        <w:rPr>
          <w:szCs w:val="24"/>
        </w:rPr>
        <w:t xml:space="preserve">https://www.lietuviuzodynas.lt/zodynas/Buti), todėl kaltinamajame akte vartojamo žodžio pakeitimas kitu, tą pačią reikšmę turinčiu, žodžiu, negali būti vertinamas kaip kaltinimo ribų peržengimas. Šio skundo kontekste pažymėtina, kad BPK nuostatos nedraudžia teismui, išnagrinėjus bylą, pagal byloje surinktus įrodymus patikslinti tam tikras faktines aplinkybes, taip pat iš kaltinimo pašalinti įrodymais nepatvirtintas faktines aplinkybes. Tokios teismo atliekamos korekcijos (faktinių aplinkybių patikslinimas, bet ne iš esmės naujų ar skirtingų konstatavimas) nelaikytinos kaltinimo ribų peržengimu, bet priešingai – jos yra viena iš būtinų teisingo teismo sprendimo priėmimo sąlygų.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Nuteistojo </w:t>
      </w:r>
      <w:r>
        <w:rPr>
          <w:szCs w:val="24"/>
        </w:rPr>
        <w:t>J. J.</w:t>
      </w:r>
      <w:r w:rsidRPr="00C00255">
        <w:rPr>
          <w:szCs w:val="24"/>
        </w:rPr>
        <w:t xml:space="preserve"> gynėja apeliaciniame skunde kaltinimo ribų peržengimą grindžia faktu, kad pirmosios instancijos teismas dėl jos ginamojo atsisakė dalies kaltinimų ir paliko tik tuos kaltinimus, kurie susiję su LRT užgrobimu (nuosprendžio 514–818 lapai), taip pat </w:t>
      </w:r>
      <w:r>
        <w:rPr>
          <w:szCs w:val="24"/>
        </w:rPr>
        <w:t>J. J.</w:t>
      </w:r>
      <w:r w:rsidRPr="00C00255">
        <w:rPr>
          <w:szCs w:val="24"/>
        </w:rPr>
        <w:t xml:space="preserve"> veiksmus sukonkretino iki Pskovo 76-osios oro desanto divizijos kariškių veiksmų užimant LRT, nepasisakė dėl visų kitų </w:t>
      </w:r>
      <w:r>
        <w:rPr>
          <w:szCs w:val="24"/>
        </w:rPr>
        <w:t>J. J.</w:t>
      </w:r>
      <w:r w:rsidRPr="00C00255">
        <w:rPr>
          <w:szCs w:val="24"/>
        </w:rPr>
        <w:t xml:space="preserve"> pareikštų kaltinimų. Teisėjų kolegija, aptardama LRT užėmimo aplinkybes ir </w:t>
      </w:r>
      <w:r>
        <w:rPr>
          <w:szCs w:val="24"/>
        </w:rPr>
        <w:t>J. J.</w:t>
      </w:r>
      <w:r w:rsidRPr="00C00255">
        <w:rPr>
          <w:szCs w:val="24"/>
        </w:rPr>
        <w:t xml:space="preserve"> vaidmenį, jau pasisakė, kad </w:t>
      </w:r>
      <w:r w:rsidRPr="00C00255">
        <w:rPr>
          <w:szCs w:val="24"/>
          <w:lang w:bidi="lt-LT"/>
        </w:rPr>
        <w:t xml:space="preserve">kaltinamajame akte </w:t>
      </w:r>
      <w:r>
        <w:rPr>
          <w:szCs w:val="24"/>
          <w:lang w:bidi="lt-LT"/>
        </w:rPr>
        <w:t>J. J.</w:t>
      </w:r>
      <w:r w:rsidRPr="00C00255">
        <w:rPr>
          <w:szCs w:val="24"/>
          <w:lang w:bidi="lt-LT"/>
        </w:rPr>
        <w:t xml:space="preserve"> iš esmės ir tebuvo inkriminuoti jo veiksmai prie LRT, atlikti veikiant minėtos divizijos sudėtyje (inkriminuotos nusikalstamos veikos aprašyme dar kartą jis paminėtas tik tuo aspektu, jog buvo vienu iš šios divizijos karininkų, kuriuos aukščiausias divizijos pareigūnas įtraukė į veikusios grupės sudėtį)</w:t>
      </w:r>
      <w:r w:rsidRPr="00C00255">
        <w:rPr>
          <w:szCs w:val="24"/>
        </w:rPr>
        <w:t xml:space="preserve">. Taigi apygardos teismas pasisakė dėl visų </w:t>
      </w:r>
      <w:r>
        <w:rPr>
          <w:szCs w:val="24"/>
        </w:rPr>
        <w:t>J. J.</w:t>
      </w:r>
      <w:r w:rsidRPr="00C00255">
        <w:rPr>
          <w:szCs w:val="24"/>
        </w:rPr>
        <w:t xml:space="preserve"> kaltinime inkriminuotų faktinių aplinkybių pagrįstumo ir dėl nuteistojo </w:t>
      </w:r>
      <w:r>
        <w:rPr>
          <w:szCs w:val="24"/>
        </w:rPr>
        <w:t>J. J.</w:t>
      </w:r>
      <w:r w:rsidRPr="00C00255">
        <w:rPr>
          <w:szCs w:val="24"/>
        </w:rPr>
        <w:t xml:space="preserve"> jokia apimtimi kaltinimo ribų neperžengė.</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Nuteistojo </w:t>
      </w:r>
      <w:r>
        <w:rPr>
          <w:szCs w:val="24"/>
        </w:rPr>
        <w:t>V. G.</w:t>
      </w:r>
      <w:r w:rsidRPr="00C00255">
        <w:rPr>
          <w:szCs w:val="24"/>
        </w:rPr>
        <w:t xml:space="preserve"> gynėja, išsakydama skundo argumentus dėl peržengtų kaltinimo ribų, nurodė, kad kaltinime </w:t>
      </w:r>
      <w:r>
        <w:rPr>
          <w:szCs w:val="24"/>
        </w:rPr>
        <w:t>V. G.</w:t>
      </w:r>
      <w:r w:rsidRPr="00C00255">
        <w:rPr>
          <w:szCs w:val="24"/>
        </w:rPr>
        <w:t xml:space="preserve"> veiksmai buvo apibrėžti siauriau, nei nustatė teismas (kaltinime nebuvo inkriminuota, kad </w:t>
      </w:r>
      <w:r>
        <w:rPr>
          <w:szCs w:val="24"/>
        </w:rPr>
        <w:t>V. G.</w:t>
      </w:r>
      <w:r w:rsidRPr="00C00255">
        <w:rPr>
          <w:szCs w:val="24"/>
        </w:rPr>
        <w:t xml:space="preserve"> vadovavo karinei operacijai prie LRT, išrikiavo ir nukreipė pabūklus bei karinės operacijos apšvietimo prietaisus į puolamą pastatą, išlaužė duris ir blokavo įėjimus). Teisėjų kolegija, aptardama LRT užėmimo aplinkybes ir </w:t>
      </w:r>
      <w:r>
        <w:rPr>
          <w:szCs w:val="24"/>
        </w:rPr>
        <w:t>V. G.</w:t>
      </w:r>
      <w:r w:rsidRPr="00C00255">
        <w:rPr>
          <w:szCs w:val="24"/>
        </w:rPr>
        <w:t xml:space="preserve"> vaidmenį, jau pasisakė, kad skundžiamo nuosprendžio nustatomojoje dalyje </w:t>
      </w:r>
      <w:r>
        <w:rPr>
          <w:szCs w:val="24"/>
        </w:rPr>
        <w:t>V. G.</w:t>
      </w:r>
      <w:r w:rsidRPr="00C00255">
        <w:rPr>
          <w:szCs w:val="24"/>
        </w:rPr>
        <w:t xml:space="preserve"> veiksmai buvo išdėstyti teisingai, tačiau motyvuojamojoje dalyje pirmosios instancijos teismas iš tiesų išdėstė aplinkybes, kurių </w:t>
      </w:r>
      <w:r>
        <w:rPr>
          <w:szCs w:val="24"/>
        </w:rPr>
        <w:t>V. G.</w:t>
      </w:r>
      <w:r w:rsidRPr="00C00255">
        <w:rPr>
          <w:szCs w:val="24"/>
        </w:rPr>
        <w:t xml:space="preserve"> neatliko, todėl apeliacinės instancijos teismas, vertindamas </w:t>
      </w:r>
      <w:r>
        <w:rPr>
          <w:szCs w:val="24"/>
        </w:rPr>
        <w:t>V. G.</w:t>
      </w:r>
      <w:r w:rsidRPr="00C00255">
        <w:rPr>
          <w:szCs w:val="24"/>
        </w:rPr>
        <w:t xml:space="preserve"> faktiškai atliktus veiksmus, minėtomis netiksliomis aplinkybėmis nesiremia.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Apeliaciniame skunde prokurorai pažymėjo, kad pirmosios instancijos teismas, motyvuodamas savo sprendimą dėl Lietuvos valstybei padarytos turtinės žalos nepriteisimo iš nuteistųjų, pasisakė dėl faktinių aplinkybių, kurios nebuvo inkriminuotos nuteistiesiems ir nebuvo nagrinėtos teisme (dėl to, kad TSRS kariškiai sunaikino ir sugadino turtą), taip peržengdamas kaltinimo ribas. Apeliacinės instancijos teismas su tokiais prokurorų argumentais iš dalies sutinka. Visgi atkreipia dėmesį ir į tai, kad tokie teiginiai apie TSRS kariškių sugadintą ir sunaikintą turtą buvo nurodyti </w:t>
      </w:r>
      <w:r>
        <w:rPr>
          <w:szCs w:val="24"/>
        </w:rPr>
        <w:t>M. B.</w:t>
      </w:r>
      <w:r w:rsidRPr="00C00255">
        <w:rPr>
          <w:szCs w:val="24"/>
        </w:rPr>
        <w:t xml:space="preserve">, </w:t>
      </w:r>
      <w:r>
        <w:rPr>
          <w:szCs w:val="24"/>
        </w:rPr>
        <w:t>J. K.</w:t>
      </w:r>
      <w:r w:rsidRPr="00C00255">
        <w:rPr>
          <w:szCs w:val="24"/>
        </w:rPr>
        <w:t xml:space="preserve"> ir kt. byloje priimtame nuosprendyje, kuriuo pirmosios instancijos teismas vadovavosi iš esmės tik spręsdamas klausimą dėl prokuratūros pareikšto civilinio ieškinio. Plačiau apie prokurorų nurodomus argumentus ir minėtos išvados reikšmę, sprendžiant civilinio ieškinio klausimus, teismas pasisakys atskirai. </w:t>
      </w:r>
    </w:p>
    <w:p w:rsidR="00DA38E9" w:rsidRPr="00C00255" w:rsidRDefault="00DA38E9" w:rsidP="00DA38E9">
      <w:pPr>
        <w:pStyle w:val="Heading3"/>
        <w:spacing w:before="120" w:after="120"/>
        <w:ind w:firstLine="992"/>
        <w:jc w:val="both"/>
        <w:rPr>
          <w:b w:val="0"/>
          <w:i/>
          <w:sz w:val="24"/>
          <w:szCs w:val="28"/>
          <w:lang w:val="lt-LT"/>
        </w:rPr>
      </w:pPr>
      <w:bookmarkStart w:id="952" w:name="_Toc66862786"/>
      <w:bookmarkStart w:id="953" w:name="_Toc67677446"/>
      <w:bookmarkStart w:id="954" w:name="_Toc67985574"/>
      <w:r w:rsidRPr="00C00255">
        <w:rPr>
          <w:b w:val="0"/>
          <w:i/>
          <w:sz w:val="24"/>
          <w:lang w:val="lt-LT"/>
        </w:rPr>
        <w:t>Dėl pernelyg ilgos baudžiamojo proceso trukmės</w:t>
      </w:r>
      <w:bookmarkEnd w:id="952"/>
      <w:bookmarkEnd w:id="953"/>
      <w:bookmarkEnd w:id="954"/>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Dalyje apeliacinių skundų, o taip pat ir gynybos baigiamųjų kalbų, kaip baudžiamojo proceso teisės pažeidimas įvardijama pernelyg ilga baudžiamojo proceso trukmė, pabrėžiant, kad įtarimai asmenims pareikšti nuo įvykių praėjus daugiau nei dvidešimčiai metų, kad bandymas nustatyti tiesą po nepateisinamai ilgai vykusio tyrimo, pažeidžia ir kaltinamųjų teisę į gynybą ir pan. Apeliacinės instancijos teismas sutinka, kad viso proceso šioje byloje trukmė buvo labai ilga, tačiau priešingai, nei teigė dalis gynėjų, neįžvelgia jokio pagrindo išvadai, kad procesas šioje byloje buvo vilkinamas.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Teisėjų kolegija, vertindama gynybos argumentus dėl per ilgo ikiteisminio tyrimo, pažymi, kad pernelyg ilga ir konkretaus persekiojamo asmens teises nepagrįstai varžančio ikiteisminio tyrimo trukmė yra siejama ne apskritai su visa ikiteisminio tyrimo trukme nuo jo pradėjimo, gavus duomenų apie galimai padarytas nusikalstamas veikas, bet su ikiteisminio tyrimo trukme nuo pirmosios įtariamojo apklausos (pranešimo apie įtarimą jam paskelbimo), t. y. nuo momento, kai asmuo sužino, kad yra įtariamas nusikalstamos veikos padarymu ir patenka į netikrumo dėl savo ateities būseną. Minėtų nuostatų kontekste būtina pažymėti, kad nuteistieji šioje byloje įtariamaisiais buvo pripažinti 2013 metais ir vėliau, jiems už akių paskirtos kardomosios priemonės suėmimai, todėl nuteistiesiems aktuali baudžiamojo proceso trukmė turi būti skaičiuojama būtent nuo šio laikotarpio. Nuteistasis </w:t>
      </w:r>
      <w:r>
        <w:rPr>
          <w:szCs w:val="24"/>
        </w:rPr>
        <w:t>J. M.</w:t>
      </w:r>
      <w:r w:rsidRPr="00C00255">
        <w:rPr>
          <w:szCs w:val="24"/>
        </w:rPr>
        <w:t xml:space="preserve"> buvo sulaikytas 2014</w:t>
      </w:r>
      <w:r>
        <w:rPr>
          <w:szCs w:val="24"/>
        </w:rPr>
        <w:t> </w:t>
      </w:r>
      <w:r w:rsidRPr="00C00255">
        <w:rPr>
          <w:szCs w:val="24"/>
        </w:rPr>
        <w:t>m.</w:t>
      </w:r>
      <w:r>
        <w:rPr>
          <w:szCs w:val="24"/>
        </w:rPr>
        <w:t> </w:t>
      </w:r>
      <w:r w:rsidRPr="00C00255">
        <w:rPr>
          <w:szCs w:val="24"/>
        </w:rPr>
        <w:t xml:space="preserve">kovo 12 d., o nuteistajam </w:t>
      </w:r>
      <w:r>
        <w:rPr>
          <w:szCs w:val="24"/>
        </w:rPr>
        <w:t>G. I.</w:t>
      </w:r>
      <w:r w:rsidRPr="00C00255">
        <w:rPr>
          <w:szCs w:val="24"/>
        </w:rPr>
        <w:t>, 2013 m. balandžio 24 d. paskirtos švelnesnės kardomosios priemonės – dokumentų paėmimas ir rašytinis pasižadėjimas neišvykti. Taigi visas baudžiamasis procesas nuo asmenų pripažinimo įtariamaisiais iki nuosprendžio įsiteisėjimo truko apie 8 metus.</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Tokia baudžiamojo proceso trukmė EŽTT ir Lietuvos teismų praktikoje traktuojama kaip labai ilga ir gali būti pateisinama tik išskirtiniais atvejais (pvz., LAT nutartys baudžiamosiose bylose Nr. 2K-147-677/2015, 2K-358/2011, 2K-31-511/2018), tačiau apeliacinės instancijos teismo vertinimu, nagrinėjamoje byloje ir susiklostė išskirtinės aplinkybės, kurios neduoda pagrindo konstatuoti, kad baudžiamojo proceso trukmė nagrinėjamoje byloje buvo pernelyg ilga. Šioje byloje kaltais pripažinti 67 asmenys (užsienio valstybės piliečiai, dėl kurių buvo teikta daug teisinės pagalbos prašymų, tačiau didžioji dauguma netenkinta dėl užsienio valstybių nebendradarbiavimo), bylą sudaro apie 800 tomų, byloje yra itin didelis apklausiamų liudytojų bei nukentėjusiųjų skaičius, dėl didelio byloje nuteistuosius atstovavusių gynėjų skaičiaus bylos nagrinėjimo grafiko suderinimas buvo apsunkintas, tačiau nepaisant to, byla buvo nagrinėjama labai intensyviai ir imantis išskirtinių organizacinių priemonių. Be to, byloje keliami sudėtingi fakto ir teisės klausimai, pirmosios instancijos teismo nuosprendį sudaro daugiau nei 900 lapų, pateikta virš 60 apeliacinių skundų. Perdavus bylą apeliacinės instancijos teismui, byla kurį laiką negalėjo būti nagrinėjama dėl karantino, esant COVID-19 pandemijai, tačiau tai buvo daroma ir įvertinus gynėjų nusiskundimus bei prašymus atidėti bylos nagrinėjimą (gynėjai teigė, kad nespėjo detaliai išanalizuoti itin didelės apimties nuosprendžio, susipažinti su nuosprendį pagrindžiančiais bylos duomenimis ir pasiruošti apeliaciniam procesui). Suteikus gynybai būtina laiką, bylos nagrinėjimas toliau buvo organizuojamas pagal iš anksto suderintą ir itin intensyvų grafiką, atskiriems gynėjams netgi nuogąstaujant dėl pernelyg greito proceso, todėl teisėjų kolegija, vertindama visą bylos procesą kaip visumą, neįžvelgia jokių nepateisinamų delsimų.</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Nagrinėjamo klausimo kontekste teisėjų kolegija pažymi ir tai, kad genocido, civilių asmenų trėmimo, vykdytų Antrojo pasaulinio karo metu ar netrukus po jo, bylose įtarimai asmenims taip pat yra pareiškiami nuo įvykių praėjus keliems dešimtmečiams, bet vien ši aplinkybė nelemia baudžiamojo proceso įstatymo pažeidimų konstatavimo. Taigi ilgesnė ir žymi ikiteisminio tyrimo trukmė (o taip pat ir proceso pradžia praėjus žymiam laikui nuo įvykių) aptariamos kategorijos bylose yra įprasta ir objektyviai pateisinama. </w:t>
      </w:r>
    </w:p>
    <w:p w:rsidR="00DA38E9" w:rsidRPr="00C00255"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C00255">
        <w:rPr>
          <w:szCs w:val="24"/>
        </w:rPr>
        <w:t xml:space="preserve">Sutiktina, kad nuo nusikalstamos veikos padarymo iki teisminio bylos nagrinėjimo praėjus ilgam laiko tarpui, tikrųjų bylos aplinkybių nustatymas byloje gali būti apsunkintas dėl kai kurių proceso dalyvių mirties, žmogaus atminties ypatybių, tam tikrų duomenų galimo praradimo, tačiau šios aplinkybės gali lemti ne tik tam tikrus sunkumus gynybai, siekiant ginčyti konkrečius byloje esančius duomenis, bet ir sunkumus kaltintojams įrodinėjant nusikalstamą veiką. Nepaisant visų šių sunkumų, galutinį sprendimą byloje priima bylą nagrinėjantis teismas, objektyviai įvertinęs visus byloje surinktus įrodymus ir atitinkamai priimantis išteisinamąjį ar apkaltinamąjį nuosprendį. Todėl nėra pagrindo konstatuoti, kad vien faktas, jog byla teisme yra nagrinėjama po ilgai trukusio ikiteisminio tyrimo, pažeidžia baudžiamojon atsakomybėn traukiamų asmenų teisę į gynybą ar teisę į rungtynišką procesą. </w:t>
      </w:r>
    </w:p>
    <w:p w:rsidR="00DA38E9" w:rsidRPr="00C00255" w:rsidRDefault="00DA38E9" w:rsidP="00DA38E9">
      <w:pPr>
        <w:pStyle w:val="Heading2"/>
        <w:jc w:val="center"/>
        <w:rPr>
          <w:rFonts w:ascii="Times New Roman" w:hAnsi="Times New Roman" w:cs="Times New Roman"/>
          <w:sz w:val="24"/>
          <w:szCs w:val="24"/>
        </w:rPr>
      </w:pPr>
      <w:bookmarkStart w:id="955" w:name="_Toc67677447"/>
      <w:bookmarkStart w:id="956" w:name="_Toc67985575"/>
      <w:r w:rsidRPr="00C00255">
        <w:rPr>
          <w:rFonts w:ascii="Times New Roman" w:hAnsi="Times New Roman" w:cs="Times New Roman"/>
          <w:sz w:val="24"/>
          <w:szCs w:val="24"/>
        </w:rPr>
        <w:t>J. DĖL NUTEISTIESIEMS SKIRTINŲ BAUSMIŲ</w:t>
      </w:r>
      <w:bookmarkEnd w:id="955"/>
      <w:bookmarkEnd w:id="956"/>
    </w:p>
    <w:p w:rsidR="00DA38E9" w:rsidRPr="002C1EDB" w:rsidRDefault="00DA38E9" w:rsidP="00DA38E9">
      <w:pPr>
        <w:numPr>
          <w:ilvl w:val="0"/>
          <w:numId w:val="6"/>
        </w:numPr>
        <w:spacing w:before="120" w:after="120"/>
        <w:ind w:left="992" w:hanging="992"/>
      </w:pPr>
      <w:r w:rsidRPr="002C1EDB">
        <w:t>Bausmių skyrimo klausimas yra vienas iš pagrindinių tiek gynybos, tiek ir prokuratūros apeliacinių skundų aspektų, kurio teisingas išsprendimas turi esminę reikšmę teisingumo įgyvendinimui nagrinėjamoje byloje.</w:t>
      </w:r>
    </w:p>
    <w:p w:rsidR="00DA38E9" w:rsidRPr="00C00255" w:rsidRDefault="00DA38E9" w:rsidP="00DA38E9">
      <w:pPr>
        <w:numPr>
          <w:ilvl w:val="0"/>
          <w:numId w:val="6"/>
        </w:numPr>
        <w:spacing w:before="120" w:after="120"/>
        <w:ind w:left="992" w:hanging="992"/>
      </w:pPr>
      <w:r w:rsidRPr="00C00255">
        <w:t xml:space="preserve">Pirmosios instancijos teismas, nustatydamas nuteistiesiems skirtinas bausmes, atsižvelgė į padarytų nusikalstamų veikų mastą ir pobūdį (į tai, kad nusikalstami veiksmai buvo </w:t>
      </w:r>
      <w:r w:rsidRPr="00C00255">
        <w:rPr>
          <w:iCs/>
        </w:rPr>
        <w:t>iš anksto suplanuoti, jiems kruopščiai rengtasi, žvalgyti objektai, paskirstytos konkrečios užduotys ir karinės pajėgos, nusikaltimais padaryta neatitaisoma žala)</w:t>
      </w:r>
      <w:r w:rsidRPr="00C00255">
        <w:t>, į atsakomybę lengvinančių aplinkybių nebuvimą bei į nustatytas tris atsakomybę sunkinančias aplinkybes, į tai, kad byloje nėra duomenų, jog nuteistieji per ilgą laiką, praėjusį nuo nusikalstamų veikų padarymo, būtų padarę naujas nusikalstamas veikas ar teisės pažeidimus, į tai, kad nuteistieji yra ne Lietuvos Respublikos piliečiai, jie negyvena Lietuvoje, todėl jiems skirtinos bausmės iš esmės sietinos tik su vienu iš bausmės tikslų – teisingumo principo įgyvendinimu. Taip pat pirmosios instancijos teismas atsižvelgė į faktą, kad nuo nusikalstamų veikų padarymo praėjo ilgas laiko tarpas. Be to, pirmosios instancijos teismo vertinimu, byloje iš esmės nebuvo galimybių konkretizuoti, dėl kurio iš nuteistųjų veiksmų kilo sunkiausios pasekmės (civilių nužudymai bei kūno sužalojimai), todėl visos abejonės aiškinamos jų naudai. Įvertinęs minėtų aplinkybių visumą, pirmosios instancijos teismas nusprendė, kad nuteistiesiems turi būti skiriamos terminuotos laisvės atėmimo bausmės, lygios minimaliems ar artimos minimaliems BK</w:t>
      </w:r>
      <w:r>
        <w:t> </w:t>
      </w:r>
      <w:r w:rsidRPr="00C00255">
        <w:t>straipsnių, įtvirtinančių baudžiamąją atsakomybę už nuteistiesiems inkriminuotus nusikaltimus, sankcijose nustatytiems terminuoto laisvės atėmimo bausmės dydžiams. Atsižvelgęs į laiką, praėjusį nuo nusikalstamų veikų padarymo, į nuteistųjų padarytų nusikalstamų veikų apimtį ir pavojingumą, pirmosios instancijos teismas padarė išvadą, kad atskiriems nuteistiesiems yra pagrindas taikyti BK 54 straipsnio 3 dalies nuostatas ir, vadovaujantis teisingumo principu, jiems skirti mažesnes bausmes nei sankcijose nustatytos minimalios bausmės.</w:t>
      </w:r>
    </w:p>
    <w:p w:rsidR="00DA38E9" w:rsidRPr="00C00255" w:rsidRDefault="00DA38E9" w:rsidP="00DA38E9">
      <w:pPr>
        <w:numPr>
          <w:ilvl w:val="0"/>
          <w:numId w:val="6"/>
        </w:numPr>
        <w:spacing w:before="120" w:after="120"/>
        <w:ind w:left="992" w:hanging="992"/>
      </w:pPr>
      <w:r w:rsidRPr="00C00255">
        <w:t xml:space="preserve">Prokurorai apeliaciniame skunde įvairiais motyvais prašė sugriežtinti bausmes penkiolikai nuteistųjų: </w:t>
      </w:r>
      <w:r>
        <w:t>D. J.</w:t>
      </w:r>
      <w:r w:rsidRPr="00C00255">
        <w:t xml:space="preserve">, </w:t>
      </w:r>
      <w:r>
        <w:t>N. D.</w:t>
      </w:r>
      <w:r w:rsidRPr="00C00255">
        <w:t xml:space="preserve">, </w:t>
      </w:r>
      <w:r>
        <w:t>V. S. 1</w:t>
      </w:r>
      <w:r w:rsidRPr="00C00255">
        <w:t xml:space="preserve">, </w:t>
      </w:r>
      <w:r>
        <w:t>V. K. 1</w:t>
      </w:r>
      <w:r w:rsidRPr="00C00255">
        <w:t xml:space="preserve">, </w:t>
      </w:r>
      <w:r>
        <w:t xml:space="preserve">A. Ž. </w:t>
      </w:r>
      <w:r w:rsidRPr="00C00255">
        <w:t xml:space="preserve">, </w:t>
      </w:r>
      <w:r>
        <w:t>S. F.</w:t>
      </w:r>
      <w:r w:rsidRPr="00C00255">
        <w:t xml:space="preserve">, </w:t>
      </w:r>
      <w:r>
        <w:t>R. J. 2</w:t>
      </w:r>
      <w:r w:rsidRPr="00C00255">
        <w:t xml:space="preserve">, </w:t>
      </w:r>
      <w:r>
        <w:t>J. J.</w:t>
      </w:r>
      <w:r w:rsidRPr="00C00255">
        <w:t xml:space="preserve">, </w:t>
      </w:r>
      <w:r>
        <w:t>A. F. 2</w:t>
      </w:r>
      <w:r w:rsidRPr="00C00255">
        <w:t xml:space="preserve">, </w:t>
      </w:r>
      <w:r>
        <w:t>A. I.</w:t>
      </w:r>
      <w:r w:rsidRPr="00C00255">
        <w:t xml:space="preserve">, </w:t>
      </w:r>
      <w:r>
        <w:t>A. C.</w:t>
      </w:r>
      <w:r w:rsidRPr="00C00255">
        <w:t xml:space="preserve">, </w:t>
      </w:r>
      <w:r>
        <w:t>G. B.</w:t>
      </w:r>
      <w:r w:rsidRPr="00C00255">
        <w:t xml:space="preserve">, </w:t>
      </w:r>
      <w:r>
        <w:t>G. I.</w:t>
      </w:r>
      <w:r w:rsidRPr="00C00255">
        <w:t xml:space="preserve">, </w:t>
      </w:r>
      <w:r>
        <w:t>J. M.</w:t>
      </w:r>
      <w:r w:rsidRPr="00C00255">
        <w:t xml:space="preserve"> ir </w:t>
      </w:r>
      <w:r>
        <w:t>V. M.</w:t>
      </w:r>
      <w:r w:rsidRPr="00C00255">
        <w:t xml:space="preserve">. Nuteistajam </w:t>
      </w:r>
      <w:r>
        <w:t>D. J.</w:t>
      </w:r>
      <w:r w:rsidRPr="00C00255">
        <w:t xml:space="preserve"> mirus, prokurorai savo prašymo dėl griežtesnės bausmės skyrimo </w:t>
      </w:r>
      <w:r>
        <w:t>D. J.</w:t>
      </w:r>
      <w:r w:rsidRPr="00C00255">
        <w:t xml:space="preserve"> atsisakė ir prašė jo atžvilgiu procesą nutraukti. </w:t>
      </w:r>
    </w:p>
    <w:p w:rsidR="00DA38E9" w:rsidRPr="00C00255" w:rsidRDefault="00DA38E9" w:rsidP="00DA38E9">
      <w:pPr>
        <w:numPr>
          <w:ilvl w:val="1"/>
          <w:numId w:val="6"/>
        </w:numPr>
        <w:spacing w:before="120" w:after="120"/>
        <w:ind w:left="992" w:hanging="992"/>
      </w:pPr>
      <w:r w:rsidRPr="00C00255">
        <w:t xml:space="preserve">Nuteistiesiems </w:t>
      </w:r>
      <w:r>
        <w:t>N. D.</w:t>
      </w:r>
      <w:r w:rsidRPr="00C00255">
        <w:t xml:space="preserve">, </w:t>
      </w:r>
      <w:r>
        <w:t>V. S. 1</w:t>
      </w:r>
      <w:r w:rsidRPr="00C00255">
        <w:t xml:space="preserve">, </w:t>
      </w:r>
      <w:r>
        <w:t>V. K. 1</w:t>
      </w:r>
      <w:r w:rsidRPr="00C00255">
        <w:t xml:space="preserve">, </w:t>
      </w:r>
      <w:r>
        <w:t xml:space="preserve">A. Ž. </w:t>
      </w:r>
      <w:r w:rsidRPr="00C00255">
        <w:t xml:space="preserve"> ir </w:t>
      </w:r>
      <w:r>
        <w:t>S. F.</w:t>
      </w:r>
      <w:r w:rsidRPr="00C00255">
        <w:t xml:space="preserve"> griežtesnių bausmių skyrimą prokurorai motyvuoja tuo, kad pirmosios instancijos teismas nepakankamai atsižvelgė į šių nuteistųjų išskirtinai reikšmingą vaidmenį visoje karinėje operacijoje, į tai, kad nebuvo nustatyta nuteistųjų atsakomybę lengvinančių aplinkybių, tačiau konstatuotos net trys baudžiamąją atsakomybę sunkinančios aplinkybės. Taip pat, pasak prokurorų, vien nuteistųjų garbus amžius nuosprendžio priėmimo metu ar jaunas amžius nusikalstamų veikų padarymo metu negali lemti minimalių ar artimų minimalioms terminuotų laisvės atėmimo bausmių už </w:t>
      </w:r>
      <w:bookmarkStart w:id="957" w:name="_Hlk67397034"/>
      <w:r w:rsidRPr="00C00255">
        <w:t xml:space="preserve">nusikaltimus žmoniškumui ir karo nusikaltimus </w:t>
      </w:r>
      <w:bookmarkEnd w:id="957"/>
      <w:r w:rsidRPr="00C00255">
        <w:t xml:space="preserve">skyrimo.  </w:t>
      </w:r>
    </w:p>
    <w:p w:rsidR="00DA38E9" w:rsidRPr="005E1CD9" w:rsidRDefault="00DA38E9" w:rsidP="00DA38E9">
      <w:pPr>
        <w:numPr>
          <w:ilvl w:val="1"/>
          <w:numId w:val="6"/>
        </w:numPr>
        <w:spacing w:before="120" w:after="120"/>
        <w:ind w:left="992" w:hanging="992"/>
      </w:pPr>
      <w:r w:rsidRPr="005E1CD9">
        <w:t xml:space="preserve">Nepagrįstą BK 54 straipsnio 3 dalies nuostatų taikymą nuteistiesiems R. J. 2, J. J., A. F. 2, A. I., A. C., G. B., </w:t>
      </w:r>
      <w:r w:rsidR="005E1CD9">
        <w:t>G. I.</w:t>
      </w:r>
      <w:r w:rsidRPr="005E1CD9">
        <w:t>, J. M. ir V. M. bei būtinumą šiems nuteistiesiems skirti griežtesnes bausmes prokurorai motyvuoja tuo, kad nenustatyta jokių išimtinių aplinkybių, leidžiančių nuteistiesiems skirti mažesnes bausmes nei sankcijose nustatytos minimalios bausmės. Prokurorų įsitikinimu, pirmosios instancijos teismo nuosprendyje nurodytos aplinkybės – nuteistųjų jaunas amžius nusikaltimų padarymo metu, sveikatos būklė ir panašios aplinkybės – nėra išskirtinės ir negali nulemti švelnesnės bausmės skyrimo, neatsižvelgiant į kitas svarbias aplinkybes. Be to, pirmosios instancijos teismas buvo nenuoseklus ir skirtingiems nuteistiesiems už toje pačioje vietoje ir tuo pačiu metu atliktus tokius pačius veiksmus paskyrė skirtingas bausmes (vienu atveju – 10 metų laisvės atėmimo bausmę, kitu atveju – mažesnes laisvės atėmimo bausmes). Prokurorų apeliaciniame skunde akcentuojama ir tai, kad tokio pobūdžio, sudėtingumo ir apimties baudžiamosiose bylose ilga baudžiamojo proceso trukmė nėra išimtinė aplinkybė, todėl, skirdamas bausmes atskiriems nuteistiesiems, pirmosios instancijos teismas nepagrįstai atsižvelgė į laiką, praėjusį nuo nusikalstamų veikų padarymo.</w:t>
      </w:r>
    </w:p>
    <w:p w:rsidR="00DA38E9" w:rsidRPr="00C00255" w:rsidRDefault="00DA38E9" w:rsidP="00DA38E9">
      <w:pPr>
        <w:numPr>
          <w:ilvl w:val="0"/>
          <w:numId w:val="6"/>
        </w:numPr>
        <w:spacing w:before="120" w:after="120"/>
        <w:ind w:left="992" w:hanging="992"/>
      </w:pPr>
      <w:r w:rsidRPr="00C00255">
        <w:t xml:space="preserve">Dalis nuteistųjų ir (ar) jų gynėjų nuteistiesiems skirtas bausmes ginčija kaip per griežtas, teigdami, kad pirmosios instancijos teismas neįvertino nuteistųjų asmenybių, jų padarytų veikų pavojingumo, atsakomybę lengvinančių aplinkybių ir pan. Konkretūs gynėjų argumentai dėl bausmių sušvelninimo bus aptarti atskirai, pasisakant dėl kiekvienam nuteistajam paskirtos bausmės pagrįstumo bei teisingumo. </w:t>
      </w:r>
    </w:p>
    <w:p w:rsidR="00DA38E9" w:rsidRPr="00C00255" w:rsidRDefault="00DA38E9" w:rsidP="00DA38E9">
      <w:pPr>
        <w:numPr>
          <w:ilvl w:val="0"/>
          <w:numId w:val="6"/>
        </w:numPr>
        <w:spacing w:before="120" w:after="120"/>
        <w:ind w:left="992" w:hanging="992"/>
      </w:pPr>
      <w:r w:rsidRPr="00C00255">
        <w:t xml:space="preserve">Apeliacinės instancijos teismas sutinka su dalimi prokurorų motyvų ir konstatuoja, kad nuteistiesiems </w:t>
      </w:r>
      <w:r>
        <w:t>N. D.</w:t>
      </w:r>
      <w:r w:rsidRPr="00C00255">
        <w:t xml:space="preserve">, </w:t>
      </w:r>
      <w:r>
        <w:t>V. S. 1</w:t>
      </w:r>
      <w:r w:rsidRPr="00C00255">
        <w:t xml:space="preserve">, </w:t>
      </w:r>
      <w:r>
        <w:t xml:space="preserve">A. Ž. </w:t>
      </w:r>
      <w:r w:rsidRPr="00C00255">
        <w:t>, </w:t>
      </w:r>
      <w:r>
        <w:t>V. K. 1</w:t>
      </w:r>
      <w:r w:rsidRPr="00C00255">
        <w:t xml:space="preserve">, </w:t>
      </w:r>
      <w:r w:rsidR="005E1CD9">
        <w:t>G. I.</w:t>
      </w:r>
      <w:r w:rsidRPr="00C00255">
        <w:t xml:space="preserve">, </w:t>
      </w:r>
      <w:r>
        <w:t>J. M.</w:t>
      </w:r>
      <w:r w:rsidRPr="00C00255">
        <w:t xml:space="preserve">, </w:t>
      </w:r>
      <w:r>
        <w:t>S. F.</w:t>
      </w:r>
      <w:r w:rsidRPr="00C00255">
        <w:t xml:space="preserve">, </w:t>
      </w:r>
      <w:r>
        <w:t>A. F. 2</w:t>
      </w:r>
      <w:r w:rsidRPr="00C00255">
        <w:t xml:space="preserve">, </w:t>
      </w:r>
      <w:r>
        <w:t>J. J.</w:t>
      </w:r>
      <w:r w:rsidRPr="00C00255">
        <w:t xml:space="preserve">, </w:t>
      </w:r>
      <w:r>
        <w:t>A. I.</w:t>
      </w:r>
      <w:r w:rsidRPr="00C00255">
        <w:t xml:space="preserve">, </w:t>
      </w:r>
      <w:r>
        <w:t>A. C.</w:t>
      </w:r>
      <w:r w:rsidRPr="00C00255">
        <w:t xml:space="preserve">, </w:t>
      </w:r>
      <w:r>
        <w:t>R. J. 2</w:t>
      </w:r>
      <w:r w:rsidRPr="00C00255">
        <w:t xml:space="preserve">, </w:t>
      </w:r>
      <w:r>
        <w:t>V. M.</w:t>
      </w:r>
      <w:r w:rsidRPr="00C00255">
        <w:t xml:space="preserve"> ir </w:t>
      </w:r>
      <w:r>
        <w:t>G. B.</w:t>
      </w:r>
      <w:r w:rsidRPr="00C00255">
        <w:t xml:space="preserve"> už tam tikras nusikalstamas veikas paskirtos bausmės yra neteisingos, aiškiai per švelnios ir turi būti griežtinamos. Teisėjų kolegija taip pat sutinka su nuteistųjų </w:t>
      </w:r>
      <w:r>
        <w:t>E. M.</w:t>
      </w:r>
      <w:r w:rsidRPr="00C00255">
        <w:t xml:space="preserve"> ir </w:t>
      </w:r>
      <w:r>
        <w:t>A. S.</w:t>
      </w:r>
      <w:r w:rsidRPr="00C00255">
        <w:t xml:space="preserve"> gynėjų skundų argumentais dėl per griežtos bausmės paskyrimo jų ginamiesiems. Visiems kitiems nuteistiesiems paskirtos bausmės yra teisingos ir jų švelninti nėra pagrindo. Pažymėtina, kad, atsižvelgiant į apeliacinės instancijos teismo išvadas, teisėjų kolegija įvertino ir bausmes, paskirtas nuteistiesiems, dėl kurių nebuvo pateikti apeliaciniai skundai.</w:t>
      </w:r>
    </w:p>
    <w:p w:rsidR="00DA38E9" w:rsidRPr="00C00255" w:rsidRDefault="00DA38E9" w:rsidP="00DA38E9">
      <w:pPr>
        <w:numPr>
          <w:ilvl w:val="0"/>
          <w:numId w:val="6"/>
        </w:numPr>
        <w:spacing w:before="120" w:after="120"/>
        <w:ind w:left="992" w:hanging="992"/>
      </w:pPr>
      <w:r w:rsidRPr="00C00255">
        <w:t xml:space="preserve">BK 41 straipsnio 2 dalis nustato, kad bausmės paskirtis yra 1) sulaikyti asmenis nuo nusikalstamų veikų darymo; 2) nubausti nusikalstamą veiką padariusį asmenį; 3) atimti ar apriboti nuteistam asmeniui galimybę daryti naujas nusikalstamas veikas; 4) paveikti bausmę atlikusius asmenis, kad laikytųsi įstatymų ir vėl nenusikalstų; 5) užtikrinti teisingumo principo įgyvendinimą. Bendruosius bausmės skyrimo pagrindus nustato BK 54 straipsnis. Teismas skiria bausmę pagal šio kodekso specialiosios dalies straipsnio, numatančio atsakomybę už padarytą nusikalstamą veiką, sankciją, laikydamasis šio kodekso bendrosios dalies nuostatų (BK 54 straipsnio 1 dalis). Skirdamas bausmę, teismas atsižvelgia į: 1) padarytos nusikalstamos veikos pavojingumo laipsnį; 2) kaltės formą ir rūšį; 3) padarytos nusikalstamos veikos motyvus ir tikslus; 4) nusikalstamos veikos stadiją; 5) kaltininko asmenybę; 6) asmens, kaip bendrininko, dalyvavimo darant nusikalstamą veiką formą ir rūšį; 7) atsakomybę lengvinančias bei sunkinančias aplinkybes 8) nusikalstama veika padarytą žalą (BK 54 straipsnio 2 dalis). BK 61 straipsnio 2 dalis nustato teismui pareigą skiriant bausmę įvertinti ne tik atsakomybę lengvinančias ir (ar) atsakomybę sunkinančias aplinkybes, jų kiekį, pobūdį ir tarpusavio santykį, bet ir kitas BK 54 straipsnio 2 dalyje numatytas aplinkybes. </w:t>
      </w:r>
    </w:p>
    <w:p w:rsidR="00DA38E9" w:rsidRPr="00C00255" w:rsidRDefault="00DA38E9" w:rsidP="00DA38E9">
      <w:pPr>
        <w:numPr>
          <w:ilvl w:val="0"/>
          <w:numId w:val="6"/>
        </w:numPr>
        <w:spacing w:before="120" w:after="120"/>
        <w:ind w:left="992" w:hanging="992"/>
      </w:pPr>
      <w:r w:rsidRPr="00C00255">
        <w:t>BK 41 straipsnio 2 dalies 5 punkte pabrėžiama, kad bausmė turi užtikrinti teisingumo principo įgyvendinimą. Teisingumas reiškia, kad pripažintam kaltu asmeniui skiriama bausmė turi būti adekvati (proporcinga) padarytai nusikalstamai veikai: bausmė už nusikalstamą veiką turi atitikti tos veikos pavojingumo pobūdį bei laipsnį, be to, būtina atsižvelgti į kaltininko asmenybę, jo elgesį prieš nusikalstamos veikos padarymą, nusikalstamos veikos darymo metu ir po jos. Taigi, teisingumo principas yra bendrasis teisės principas, kuris, skiriant bausmes, įgauna specifinį turinį, nulemtą būtinybės kaltininkui paskirti tinkamai individualizuotą bausmę, nenukrypti nuo susiklosčiusios bausmių skyrimo praktikos bei atsižvelgti į baudžiamajame įstatyme įtvirtintus bylai reikšmingus kriterijus (LAT nutartys baudžiamosiose bylose Nr. 2K-603/2010, 2K-68-942/2016, 2K-98-1073/2019).</w:t>
      </w:r>
    </w:p>
    <w:p w:rsidR="00DA38E9" w:rsidRPr="00C00255" w:rsidRDefault="00DA38E9" w:rsidP="00DA38E9">
      <w:pPr>
        <w:numPr>
          <w:ilvl w:val="0"/>
          <w:numId w:val="6"/>
        </w:numPr>
        <w:spacing w:before="120" w:after="120"/>
        <w:ind w:left="992" w:hanging="992"/>
      </w:pPr>
      <w:r w:rsidRPr="00C00255">
        <w:t>BK 54 straipsnio 3 dalis nustato, kad jeigu straipsnio sankcijoje nustatytos bausmės paskyrimas aiškiai prieštarautų teisingumo principui, teismas, vadovaudamasis bausmės paskirtimi, gali motyvuotai paskirti švelnesnę bausmę. BK 54 straipsnio 3 dalyje įtvirtintas bausmės švelninimo pagrindas sietinas su aplinkybių, apibūdinančių nusikalstamos veikos pavojingumą ir šią veiką padariusį asmenį, visumos vertinimu bei išvada, kad bendros bausmės skyrimo taisyklės nėra pakankamos teisingumo principui įgyvendinti ir teisingai bausmei paskirti. Pagal teismų praktiką, teismas, švelnindamas bausmę BK 54 straipsnio 3 dalies pagrindu, taip pat turi nurodyti, kokios yra išimtinės aplinkybės, rodančios, kad straipsnio sankcijoje nustatytos bausmės paskyrimas asmeniui už nusikalstamos veikos padarymą aiškiai prieštarautų teisingumo principui (LAT nutartys baudžiamosiose bylose Nr. 2K-300/2012, 2K-544/2014, 2K-P-89/2014, 2K-432/2014, 2K-36-489/2020).</w:t>
      </w:r>
    </w:p>
    <w:p w:rsidR="00DA38E9" w:rsidRPr="00C00255" w:rsidRDefault="00DA38E9" w:rsidP="00DA38E9">
      <w:pPr>
        <w:numPr>
          <w:ilvl w:val="0"/>
          <w:numId w:val="6"/>
        </w:numPr>
        <w:spacing w:before="120" w:after="120"/>
        <w:ind w:left="992" w:hanging="992"/>
      </w:pPr>
      <w:r w:rsidRPr="00C00255">
        <w:t>Spręsdamas dėl nuteistiesiems skirtinų bausmių dydžių, apeliacinės instancijos teismas, pažymi, kad nustatytos nusikalstamos veikos buvo padarytos prieš Lietuvą ir civilius jos gyventojus, be to, ne tik agresijos ir tarptautinio ginkluoto konflikto metu, bet ir remiant bei vykdant TSRS, kaip valstybės, ir TSKP, kaip organizacijos, politiką dideliu mastu ir sistemingai užpuldinėti civilius asmenis dėl nacionalinių ir politinių motyvų, vykdant draudžiamą karo ataką ir panaudojant uždraustas karo priemones. Dėl padarytų nusikaltimų net keturiolika asmenų buvo nužudyti, daugiau nei aštuoniems šimtams asmenų padaryti įvairaus pobūdžio sužalojimai. Nusikaltimai padaryti nuteistiesiems veikiant koordinuotai, bendrininkų grupe, įgyvendinant tą patį nusikalstamą sumanymą ir kiekvieno iš nuteistųjų veiksmams esant būtinai sąlygai nusikalstamo plano įgyvendinimui bei pasekmių kilimui. Atsižvelgiant į tai, teisėjų kolegija, spręsdama dėl atskiriems nuteistiesiems skirtinų bausmių, visų pirma, akcentuoja bausmių individualizavimo svarbą. Teisingos bausmės parinkimui itin aktualus kiekvieno iš nuteistųjų karinio rango, vaidmens, atliktų funkcijų reikšmingumo bendrame nusikalstamame plane įvertinimas. EŽTT savo jurisprudencijoje yra konstatavęs, kad skirtingos nusikaltimus žmoniškumui ar karo nusikaltimus padariusių asmenų eitos pareigos, kariniai laipsniai nešalina individualios asmenų baudžiamosios atsakomybės, tačiau gali turėti įtakos, sprendžiant dėl nuteistiesiems skirtinų bausmių dydžio (</w:t>
      </w:r>
      <w:r w:rsidRPr="00C00255">
        <w:rPr>
          <w:i/>
        </w:rPr>
        <w:t>2001 m. kovo 22 d. Didžiosios Kolegijos sprendimas K.-H.W prieš Vokietiją, peticijos Nr. 37201/97</w:t>
      </w:r>
      <w:r w:rsidRPr="00C00255">
        <w:t>). Kasacinio teismo praktikoje taip pat pripažįstama, kad teismas, skirdamas bausmę kiekvienam iš bendrininkų, turi įvertinti bendrininko vaidmenį ir bendrininkų grupės organizuotumo laipsnį. Neatsižvelgus į bendrininkų vaidmenį, darant nusikalstamą veiką, gali būti netinkamai pritaikytas BK 54 straipsnio 2 dalies 6 punktas. Tinkamas bendrininko vaidmens ir bendrininkavimo formos įvertinimas kartu su kitomis aplinkybėmis, svarbiomis teisingai bausmei skirti, yra svarbus, sprendžiant dėl BK 54 straipsnio 3 dalies taikymo vienam ar keliems asmenims, kuriems yra inkriminuota ta pati veika (LAT nutartys baudžiamosiose bylose Nr. 2K-249-895/2017, 2K-237-689/2018, 2K-49-976/2020). Be to, spręsdama klausimą dėl nuteistiesiems skirtinų bausmių, teisėjų kolegija atsižvelgia ir į tai, kad dauguma nuteistųjų veikė kaip kariškiai ir vykdydami įsakymą, nors ir neteisėtą. Principas, kad Vyriausybės nurodymų ar vado įsakymo vykdymas neatleidžia asmens nuo baudžiamosios atsakomybės, tačiau tai gali turėti įtakos svarstant dėl švelnesnės bausmės skyrimo, tarptautinėje teisėje buvo įtvirtintas dar Niurnbergo tarptautinio karinio tribunolo statuto 8</w:t>
      </w:r>
      <w:r>
        <w:t> </w:t>
      </w:r>
      <w:r w:rsidRPr="00C00255">
        <w:t>straipsnyje.</w:t>
      </w:r>
    </w:p>
    <w:p w:rsidR="00DA38E9" w:rsidRPr="00C00255" w:rsidRDefault="00DA38E9" w:rsidP="00DA38E9">
      <w:pPr>
        <w:numPr>
          <w:ilvl w:val="0"/>
          <w:numId w:val="6"/>
        </w:numPr>
        <w:spacing w:before="120" w:after="120"/>
        <w:ind w:left="992" w:hanging="992"/>
      </w:pPr>
      <w:r w:rsidRPr="00C00255">
        <w:t xml:space="preserve">Taigi, vertindamas nuteistiesiems šioje byloje skirtas bausmes ir siekdamas užtikrinti teisingumo bei bausmės individualizavimo principo įgyvendinimą, apeliacinės instancijos teismas laikėsi principo, kad karinę operaciją inicijavę, planavę, aukščiausiu lygiu jos įgyvendinimą koordinavę (vadovavimo operacijai štabo nariai), taip pat, vykdant atskiras karinės operacijos dalis, jungtinėms ginkluotosioms pajėgoms vadovavę aukščiausio rango karininkai bei karininkai, kurių konkretūs, ypatingai pavojingi veiksmai tiesiogiai lėmė sunkiausių padarinių atsiradimą, turi būti baudžiami griežčiau nei kiti nuteistieji, kurių vadovaujamas vaidmuo buvo mažesnės reikšmės ir, pagal byloje surinktus duomenis, negalima spręsti, kad konkrečiai jų veiksmai tiesiogiai lėmė sunkiausių padarinių atsiradimą. Taip pat teisėjų kolegija, vertindama nuteistiesiems paskirtų bausmių pagrįstumą, atsižvelgė ir į tai, kokia konkrečiai buvo atskirų nuteistųjų atliktų veiksmų apimtis bendroje karinėje operacijoje, ar jie dalyvavo tik planuojant karinę operaciją, ar tuo pačiu dalyvavo ir atskirų (vieno ar kelių) objektų šturmo metu bei įgyvendinant komendanto valandą, kokią karinę techniką ir ginkluotę jie buvo pasitelkę bei kokios konkrečios užduoties vykdymą jie atliko. </w:t>
      </w:r>
    </w:p>
    <w:p w:rsidR="00DA38E9" w:rsidRPr="00C00255" w:rsidRDefault="00DA38E9" w:rsidP="00DA38E9">
      <w:pPr>
        <w:numPr>
          <w:ilvl w:val="0"/>
          <w:numId w:val="6"/>
        </w:numPr>
        <w:spacing w:before="120" w:after="120"/>
        <w:ind w:left="992" w:hanging="992"/>
      </w:pPr>
      <w:r w:rsidRPr="00C00255">
        <w:t xml:space="preserve">Šiame kontekste pažymėtina, kad pirmosios instancijos teismas, kaip vieną iš motyvų dėl visiems nuteistiesiems skirtinų minimalių ar artimų minimalioms terminuotų laisvės atėmimo bausmių, nurodė tai, kad kaltinamieji yra ne Lietuvos Respublikos piliečiai, gyvenantys ne Lietuvoje, todėl jiems skirtinos bausmės iš esmės sietinos tik su vienu iš bausmės tikslų – teisingumo principo įgyvendinimu (taip iš esmės teismas išdėstė savo nuomonę dėl realaus bausmių įvykdymo negalimumo). Apeliacinės instancijos teismo vertinimu, tokia pirmosios instancijos teismo prezumpcija dėl bausmės įvykdymo negalimumo nėra objektyviai pagrįsta ir be pagrindo eliminuoja vieną iš nuteistiesiems skiriamų bausmių tikslų, t. y. nubaudimo tikslą. Vien aplinkybė, kad nuteistieji yra užsienio piliečiai, negyvenantys Lietuvoje (išskyrus </w:t>
      </w:r>
      <w:r>
        <w:t>J. M.</w:t>
      </w:r>
      <w:r w:rsidRPr="00C00255">
        <w:t xml:space="preserve"> ir </w:t>
      </w:r>
      <w:r>
        <w:t>G. I.</w:t>
      </w:r>
      <w:r w:rsidRPr="00C00255">
        <w:t xml:space="preserve">) neleidžia teigti, kad ateityje, iki apkaltinamojo nuosprendžio vykdymo senaties termino suėjimo (BK 96 straipsnis), nebus galimybės realiai įvykdyti nuosprendžio bent kai kuriems nuteistiesiems. Todėl, teisėjų kolegijos vertinimu, skiriant bausmes nuteistiesiems, turi būti atsižvelgiama ir į nubaudimo tikslo įgyvendinimą, o ne tik į siekį skiriamomis bausmėmis užtikrinti teisingumo principo įgyvendinimą. </w:t>
      </w:r>
    </w:p>
    <w:p w:rsidR="00DA38E9" w:rsidRPr="00C00255" w:rsidRDefault="00DA38E9" w:rsidP="00DA38E9">
      <w:pPr>
        <w:numPr>
          <w:ilvl w:val="0"/>
          <w:numId w:val="6"/>
        </w:numPr>
        <w:spacing w:before="120" w:after="120"/>
        <w:ind w:left="992" w:hanging="992"/>
      </w:pPr>
      <w:r w:rsidRPr="00C00255">
        <w:t>Vertindamas, ar pagrįstai pirmosios instancijos teismas kai kurių nuteistųjų atžvilgiu taikė BK 54 straipsnio 3 dalies normas, apeliacinės instancijos teismas, visų pirma, įvertino tai, kad pirmosios instancijos teismas šių BK normų netaikė vadovavimo operacijai štabo nariams ar esmines vadovavimo funkcijas atlikusiems karininkams. Taigi pirmosios instancijos teismas iš esmės padarė išvadą, kad konkrečių nuteistųjų veiksmų pavojingumas, mastas, reikšmingumas bendram nusikalstamo sumanymo įgyvendinimui panaikina galimybę šiems nuteistiesiems taikyti BK 54 straipsnio 3 dalį. Taip pat apeliacinės instancijos teismo teisėjų kolegija įvertino ir faktą, kad prokurorai, ginčydami BK 54 straipsnio 3 dalies normų taikymą kai kuriems nuteistiesiems, teigdami, kad nuteistųjų jaunas amžius nusikalstamų veikų padarymo metu ar ilga ikiteisminio trukmė šioje itin didelės apimties, sudėtingoje byloje negali būti laikomos išskirtinėmis aplinkybėmis, leidžiančiomis skirti švelnesnes, nei sankcijose nustatytos minimalios, bausmes, nėra iki galo nuoseklūs, kadangi keliems kitiems nuteistiesiems (</w:t>
      </w:r>
      <w:r>
        <w:t>V. U. 2</w:t>
      </w:r>
      <w:r w:rsidRPr="00C00255">
        <w:t xml:space="preserve">, </w:t>
      </w:r>
      <w:r>
        <w:t>A. B.</w:t>
      </w:r>
      <w:r w:rsidRPr="00C00255">
        <w:t xml:space="preserve">, </w:t>
      </w:r>
      <w:r>
        <w:t>A. R.</w:t>
      </w:r>
      <w:r w:rsidRPr="00C00255">
        <w:t xml:space="preserve">, </w:t>
      </w:r>
      <w:r>
        <w:t>V. Š.</w:t>
      </w:r>
      <w:r w:rsidRPr="00C00255">
        <w:t xml:space="preserve">, </w:t>
      </w:r>
      <w:r>
        <w:t>V. R.</w:t>
      </w:r>
      <w:r w:rsidRPr="00C00255">
        <w:t xml:space="preserve"> ir </w:t>
      </w:r>
      <w:r>
        <w:t>G. P.</w:t>
      </w:r>
      <w:r w:rsidRPr="00C00255">
        <w:t>) iš esmės analogiškais motyvais, vadovaujantis BK 54 straipsnio 3 dalimi, paskirtų švelnesnių bausmių neginčija ir neprašo jų griežtinti. Taip iš esmės patys prokurorai pripažįsta, kad tam tikrais atvejais šios aplinkybės visų kitų aplinkybių kontekste gali būti reikšmingos švelnesnės bausmės skyrimui.</w:t>
      </w:r>
    </w:p>
    <w:p w:rsidR="00DA38E9" w:rsidRPr="00C00255" w:rsidRDefault="00DA38E9" w:rsidP="00DA38E9">
      <w:pPr>
        <w:numPr>
          <w:ilvl w:val="0"/>
          <w:numId w:val="6"/>
        </w:numPr>
        <w:spacing w:before="120" w:after="120"/>
        <w:ind w:left="992" w:hanging="992"/>
      </w:pPr>
      <w:r w:rsidRPr="00C00255">
        <w:t>Kaip minėta, prokurorų apeliaciniame skunde BK 54 straipsnio 3 dalies taikymo pažeidimai motyvuojami tuo, kad šioje konkrečioje byloje nei ilga baudžiamojo proceso trukmė, nei nuteistųjų jaunas amžius nusikalstamų veikų padarymo metu ar sveikatos būklė negali būti laikomos išimtinėmis aplinkybėmis, nustatant nuteistiesiems skirtinų bausmių dydžius. Apeliacinės instancijos teismas pripažįsta, kad pirmosios instancijos teismo motyvai dėl BK 54 straipsnio 3 dalies taikymo nuteistiesiems yra gana lakoniški, tačiau pirmosios instancijos teismo sprendimas daliai nuteistųjų skirti švelnesnes, nei įstatymo numatyta, laisvės atėmimo bausmes yra pagrįstas ir teisingas.</w:t>
      </w:r>
    </w:p>
    <w:p w:rsidR="00DA38E9" w:rsidRPr="00C00255" w:rsidRDefault="00DA38E9" w:rsidP="00DA38E9">
      <w:pPr>
        <w:pStyle w:val="ListParagraph"/>
        <w:numPr>
          <w:ilvl w:val="1"/>
          <w:numId w:val="6"/>
        </w:numPr>
        <w:spacing w:before="120" w:after="120"/>
        <w:ind w:left="992" w:hanging="992"/>
        <w:contextualSpacing w:val="0"/>
        <w:rPr>
          <w:szCs w:val="24"/>
        </w:rPr>
      </w:pPr>
      <w:r w:rsidRPr="00C00255">
        <w:rPr>
          <w:szCs w:val="24"/>
        </w:rPr>
        <w:t xml:space="preserve">Apeliacinės instancijos teismas sutinka, kad vien nuteistojo jaunas amžius nusikalstamų veikų padarymo metu negali būti vertinamas kaip išimtinė aplinkybė, lemianti švelnesnės bausmės skyrimą, tačiau ši aplinkybė, vertinant ją visumoje su kitomis bausmės skyrimui reikšmingomis aplinkybėmis, gali būti svarbi, formuojantis teismo vidiniam įsitikinimui dėl švelnesnės bausmės nuteistajam skyrimo. </w:t>
      </w:r>
    </w:p>
    <w:p w:rsidR="00DA38E9" w:rsidRPr="00C00255" w:rsidRDefault="00DA38E9" w:rsidP="00DA38E9">
      <w:pPr>
        <w:pStyle w:val="ListParagraph"/>
        <w:numPr>
          <w:ilvl w:val="1"/>
          <w:numId w:val="6"/>
        </w:numPr>
        <w:spacing w:before="120" w:after="120"/>
        <w:ind w:left="992" w:hanging="992"/>
        <w:contextualSpacing w:val="0"/>
        <w:rPr>
          <w:szCs w:val="24"/>
        </w:rPr>
      </w:pPr>
      <w:r w:rsidRPr="00C00255">
        <w:rPr>
          <w:szCs w:val="24"/>
        </w:rPr>
        <w:t xml:space="preserve">Prokurorų motyvas, kad ilga baudžiamojo proceso trukmė, kaip ir nuteistųjų jaunas amžius nusikalstamų veikų padarymo metu, nagrinėjamoje byloje negali būti laikoma išimtine aplinkybe BK 54 straipsnio 3 dalies taikymui, taip pat yra nepagrįstas. </w:t>
      </w:r>
    </w:p>
    <w:p w:rsidR="00DA38E9" w:rsidRPr="00C00255" w:rsidRDefault="00DA38E9" w:rsidP="00DA38E9">
      <w:pPr>
        <w:pStyle w:val="ListParagraph"/>
        <w:numPr>
          <w:ilvl w:val="1"/>
          <w:numId w:val="6"/>
        </w:numPr>
        <w:spacing w:before="120" w:after="120"/>
        <w:ind w:left="992" w:hanging="992"/>
        <w:contextualSpacing w:val="0"/>
        <w:rPr>
          <w:szCs w:val="24"/>
        </w:rPr>
      </w:pPr>
      <w:r w:rsidRPr="00C00255">
        <w:rPr>
          <w:szCs w:val="24"/>
        </w:rPr>
        <w:t xml:space="preserve">Kaip minėta, taikydamas BK 54 straipsnio 3 dalį, teismas turi nurodyti, kokios yra </w:t>
      </w:r>
      <w:r w:rsidRPr="00C00255">
        <w:rPr>
          <w:i/>
          <w:szCs w:val="24"/>
        </w:rPr>
        <w:t xml:space="preserve">reikšmingos </w:t>
      </w:r>
      <w:r w:rsidRPr="00C00255">
        <w:rPr>
          <w:szCs w:val="24"/>
        </w:rPr>
        <w:t>(išimtinės) aplinkybės, dėl kurių straipsnio sankcijoje nustatytos bausmės paskyrimas konkrečiam asmeniui už konkrečios nusikalstamos veikos padarymą aiškiai prieštarautų teisingumo principui (LAT nutartis baudžiamojoje byloje Nr. 2K-208-976/2019). Nėra reikalaujama nustatyti kokias nors išskirtinai ypatingas aplinkybes, tačiau konkrečioje byloje visų šių aplinkybių visuma turi lemti teismo išvadą, kad sankcijoje nustatytos bausmės (net ir minimalios) skyrimas nuteistajam prieštarautų teisingumo principui.</w:t>
      </w:r>
    </w:p>
    <w:p w:rsidR="00DA38E9" w:rsidRPr="00C00255" w:rsidRDefault="00DA38E9" w:rsidP="00DA38E9">
      <w:pPr>
        <w:numPr>
          <w:ilvl w:val="1"/>
          <w:numId w:val="6"/>
        </w:numPr>
        <w:spacing w:before="120" w:after="120"/>
        <w:ind w:left="992" w:hanging="992"/>
      </w:pPr>
      <w:r w:rsidRPr="00C00255">
        <w:t>BPK 44 straipsnio 5 dalyje nustatyta, kad kiekvienas nusikalstamos veikos padarymu kaltinamas asmuo turi teisę, kad jo bylą per kuo trumpiausią laiką lygybės ir viešumo sąlygomis teisingai išnagrinėtų nepriklausomas ir nešališkas teismas. Žmogaus teisių ir pagrindinių laisvių apsaugos konvencijos 6 straipsnio 1 dalis nustato, kad kai yra sprendžiamas asmeniui pareikšto kokio nors baudžiamojo kaltinimo klausimas, toks asmuo turi teisę, kad bylą per kuo trumpiausią laiką viešai ir teisingai išnagrinėtų pagal įstatymą įsteigtas nepriklausomas ir nešališkas teismas. Teismų praktikoje laikomasi nuostatos, kad pernelyg ilga baudžiamojo proceso trukmė, priklausomai nuo baudžiamojoje byloje nustatytų bausmei skirti reikšmingų aplinkybių (BK 54 straipsnio 2 dalis ir kt.) ir teisės į bylos nagrinėjimą per įmanomai trumpiausią laiką pažeidimo aplinkybių, gali būti pagrindas švelninti bausmę pagal atitinkamo BK specialiosios dalies straipsnio sankcijos ribas (BK 41 straipsnio 2 dalies 5</w:t>
      </w:r>
      <w:r>
        <w:t> </w:t>
      </w:r>
      <w:r w:rsidRPr="00C00255">
        <w:t>punktas) (LAT nutartys baudžiamosiose bylose Nr. 2K-256/2009, 2K-503/2010, 2K-7-109/2013 ir kt.) arba gali būti skiriama švelnesnė, nei sankcijoje nurodyta, bausmė (BK</w:t>
      </w:r>
      <w:r>
        <w:t> </w:t>
      </w:r>
      <w:r w:rsidRPr="00C00255">
        <w:t>54</w:t>
      </w:r>
      <w:r>
        <w:t> </w:t>
      </w:r>
      <w:r w:rsidRPr="00C00255">
        <w:t xml:space="preserve">straipsnio 3 dalis), jei, atsižvelgus į nusikalstamos veikos pavojingumą, kaltininko asmenybę ir bylos išnagrinėjimo per įmanomai trumpiausią laiką reikalavimo pažeidimo aplinkybes, nusprendžiama, kad pernelyg ilga proceso trukmė yra išimtinė aplinkybė, dėl kurios straipsnio sankcijoje nurodytos bausmės paskyrimas aiškiai prieštarautų teisingumo principui (LAT nutartys baudžiamosiose bylose Nr. 2K-192/2011, 2K-7-45/2007, 2K-107-489/2017, 2K-215-895/2019). </w:t>
      </w:r>
    </w:p>
    <w:p w:rsidR="00DA38E9" w:rsidRPr="00C00255" w:rsidRDefault="00DA38E9" w:rsidP="00DA38E9">
      <w:pPr>
        <w:numPr>
          <w:ilvl w:val="1"/>
          <w:numId w:val="6"/>
        </w:numPr>
        <w:spacing w:before="120" w:after="120"/>
        <w:ind w:left="992" w:hanging="992"/>
      </w:pPr>
      <w:r w:rsidRPr="00C00255">
        <w:t xml:space="preserve">Nuteistieji šioje byloje įtariamaisiais buvo pripažinti 2013 metais ir vėliau jiems už akių paskirtos kardomosios priemonės suėmimai, todėl nuteistiesiems aktuali baudžiamojo proceso trukmė turi būti skaičiuojama būtent nuo šio laikotarpio. </w:t>
      </w:r>
      <w:r w:rsidRPr="00C00255">
        <w:rPr>
          <w:bCs/>
        </w:rPr>
        <w:t xml:space="preserve">Nuteistasis </w:t>
      </w:r>
      <w:r>
        <w:rPr>
          <w:bCs/>
        </w:rPr>
        <w:t>J. M.</w:t>
      </w:r>
      <w:r w:rsidRPr="00C00255">
        <w:rPr>
          <w:bCs/>
        </w:rPr>
        <w:t xml:space="preserve"> buvo sulaikytas 2014 m. kovo 12 d., o nuteistajam </w:t>
      </w:r>
      <w:r>
        <w:rPr>
          <w:bCs/>
        </w:rPr>
        <w:t xml:space="preserve">G. I. </w:t>
      </w:r>
      <w:r w:rsidRPr="00C00255">
        <w:rPr>
          <w:bCs/>
        </w:rPr>
        <w:t>2013 m. balandžio 24 d. paskirtos švelnesnės kardomosios priemonės – dokumentų paėmimas ir rašytinis pasižadėjimas neišvykti. Teisėjų kolegija atskiroje šio sprendimo dalyje dėl proceso trukmės jau pasisakė, kad nors proceso trukmė šioje byloje buvo iš tiesų labai ilga, nepateisinamo delsimo ar proceso vilkinimo joje nebuvo.</w:t>
      </w:r>
    </w:p>
    <w:p w:rsidR="00495B43" w:rsidRDefault="00DA38E9" w:rsidP="00495B43">
      <w:pPr>
        <w:numPr>
          <w:ilvl w:val="1"/>
          <w:numId w:val="6"/>
        </w:numPr>
        <w:spacing w:before="120" w:after="120"/>
        <w:ind w:left="992" w:hanging="992"/>
      </w:pPr>
      <w:r w:rsidRPr="00C00255">
        <w:rPr>
          <w:bCs/>
        </w:rPr>
        <w:t xml:space="preserve">Pažymėtina ir tai, kad pirmosios instancijos teismas, skirdamas bausmes, nevertino baudžiamojo proceso trukmės kaip pernelyg ilgos, bet atsižvelgė į itin ilgą laiko tarpą, praėjusį nuo nusikalstamų veikų padarymo iki apkaltinamojo nuosprendžio priėmimo (28 metai). Apeliacinės instancijos teismo vertinimu, net ir nekonstatavus pernelyg ilgos baudžiamojo proceso trukmės, ilgas laiko tarpas praėjęs nuo nusikalstamos veikos padarymo iki apkaltinamojo nuosprendžio priėmimo gali būti vertinamas, kaip reikšminga aplinkybė, sprendžiant klausimą dėl nuteistiesiems skirtinų bausmių dydžio. Kasacinis teismas savo jurisprudencijoje, spręsdamas klausimą dėl asmens atsakomybės už nusikaltimo žmoniškumui, numatyto BK 99 straipsnyje, padarymą, ilgą laiko tarpą, praėjusį nuo nusikaltimo padarymo iki asmens pripažinimo kaltu, laikė reikšminga aplinkybe, sprendžiant klausimą dėl BK 54 straipsnio 3 dalies taikymo (LAT nutartis baudžiamojoje byloje Nr. 2K-P-18-648/2016). </w:t>
      </w:r>
    </w:p>
    <w:p w:rsidR="00DA38E9" w:rsidRPr="002C1EDB" w:rsidRDefault="00DA38E9" w:rsidP="00495B43">
      <w:pPr>
        <w:numPr>
          <w:ilvl w:val="0"/>
          <w:numId w:val="6"/>
        </w:numPr>
        <w:spacing w:before="120" w:after="120"/>
        <w:ind w:left="992" w:hanging="992"/>
      </w:pPr>
      <w:r w:rsidRPr="002C1EDB">
        <w:t>Taigi, apeliacinės instancijos teismas, tiek svarstydamas klausimą dėl BK 54 straipsnio 3 dalies taikymo kai kuriems nuteistiesiems, tiek spręsdamas klausimą dėl nuteistiesiems skirtinų bausmių sankcijų ribose, daro išvadą, kad šioje konkrečioje byloje praėjęs ilgas laiko tarpas nuo nusikalstamų veikų padarymo iki nuosprendžio įsiteisėjimo (30 metų) bei byloje nuteistų kariškių veikimas, vykdant įsakymus (išskyrus atvejus, kai pagal byloje nustatytas aplinkybes atskirų nuteistųjų itin aukštas karinis laipsnis ir konkretūs vadovaujantys veiksmai rodo jų aiškią savarankišką valią bei jų pačių įsakymus veikti itin pavojingai), net ir nesant nuteistųjų atsakomybę lengvinančių aplinkybių bei esant trims atsakomybę sunkinančioms aplinkybėms, pateisina nuteistiesiems skiriamas artimas vidurkiui ar net minimalias sankcijose nustatytas bausmes, kurių dydis konkretiems nuteistiesiems individualizuojamas, akcentuojant jų karinėje operacijoje atliktų veiksmų pavojingumą, mastą bei užimtas pareigas. Atsižvelgdamas į tai, kas išdėstyta, apeliacinės instancijos teismas toliau atskirai pasisakys dėl kiekvienam iš nuteistųjų skirtų bausmių pagrįstumo ir teisingumo.</w:t>
      </w:r>
    </w:p>
    <w:p w:rsidR="00DA38E9" w:rsidRPr="00C00255" w:rsidRDefault="00DA38E9" w:rsidP="00DA38E9">
      <w:pPr>
        <w:pStyle w:val="Heading3"/>
        <w:spacing w:before="120" w:after="120"/>
        <w:ind w:firstLine="992"/>
        <w:jc w:val="both"/>
        <w:rPr>
          <w:b w:val="0"/>
          <w:i/>
          <w:sz w:val="24"/>
          <w:lang w:val="lt-LT"/>
        </w:rPr>
      </w:pPr>
      <w:bookmarkStart w:id="958" w:name="_Toc67677448"/>
      <w:bookmarkStart w:id="959" w:name="_Toc67985576"/>
      <w:r w:rsidRPr="00C00255">
        <w:rPr>
          <w:b w:val="0"/>
          <w:i/>
          <w:sz w:val="24"/>
          <w:lang w:val="lt-LT"/>
        </w:rPr>
        <w:t>Dėl bausmių karinės operacijos iniciatoriams, planuotojams ir koordinatoriams</w:t>
      </w:r>
      <w:bookmarkEnd w:id="958"/>
      <w:bookmarkEnd w:id="959"/>
      <w:r w:rsidRPr="00C00255">
        <w:rPr>
          <w:b w:val="0"/>
          <w:i/>
          <w:sz w:val="24"/>
          <w:lang w:val="lt-LT"/>
        </w:rPr>
        <w:t xml:space="preserve"> </w:t>
      </w:r>
    </w:p>
    <w:p w:rsidR="00DA38E9" w:rsidRPr="00C00255" w:rsidRDefault="00DA38E9" w:rsidP="00DA38E9">
      <w:pPr>
        <w:pStyle w:val="ListParagraph"/>
        <w:numPr>
          <w:ilvl w:val="0"/>
          <w:numId w:val="6"/>
        </w:numPr>
        <w:spacing w:before="120" w:after="120"/>
        <w:ind w:left="992" w:hanging="992"/>
        <w:contextualSpacing w:val="0"/>
        <w:rPr>
          <w:rFonts w:eastAsia="Calibri"/>
        </w:rPr>
      </w:pPr>
      <w:r w:rsidRPr="00C00255">
        <w:rPr>
          <w:szCs w:val="24"/>
        </w:rPr>
        <w:t xml:space="preserve">Apeliacinės instancijos teismas šiame procesiniame sprendime konstatavo, kad 1991 m. sausio mėnesį Vilniuje įvykdytą karinę operaciją planavo devyni šioje byloje nuteisti asmenys – </w:t>
      </w:r>
      <w:r>
        <w:rPr>
          <w:szCs w:val="24"/>
        </w:rPr>
        <w:t>D. J.</w:t>
      </w:r>
      <w:r w:rsidRPr="00C00255">
        <w:rPr>
          <w:szCs w:val="24"/>
        </w:rPr>
        <w:t xml:space="preserve">, </w:t>
      </w:r>
      <w:r>
        <w:rPr>
          <w:szCs w:val="24"/>
        </w:rPr>
        <w:t>N. D.</w:t>
      </w:r>
      <w:r w:rsidRPr="00C00255">
        <w:rPr>
          <w:szCs w:val="24"/>
        </w:rPr>
        <w:t xml:space="preserve">, </w:t>
      </w:r>
      <w:r>
        <w:rPr>
          <w:szCs w:val="24"/>
        </w:rPr>
        <w:t>V. S. 1</w:t>
      </w:r>
      <w:r w:rsidRPr="00C00255">
        <w:rPr>
          <w:szCs w:val="24"/>
        </w:rPr>
        <w:t xml:space="preserve">, </w:t>
      </w:r>
      <w:r>
        <w:rPr>
          <w:szCs w:val="24"/>
        </w:rPr>
        <w:t>A. Ž.</w:t>
      </w:r>
      <w:r w:rsidRPr="00C00255">
        <w:rPr>
          <w:szCs w:val="24"/>
        </w:rPr>
        <w:t xml:space="preserve">, </w:t>
      </w:r>
      <w:r>
        <w:rPr>
          <w:szCs w:val="24"/>
        </w:rPr>
        <w:t xml:space="preserve">M. G. </w:t>
      </w:r>
      <w:r w:rsidRPr="00C00255">
        <w:rPr>
          <w:szCs w:val="24"/>
        </w:rPr>
        <w:t xml:space="preserve">, </w:t>
      </w:r>
      <w:r>
        <w:rPr>
          <w:szCs w:val="24"/>
        </w:rPr>
        <w:t>V. U. 1</w:t>
      </w:r>
      <w:r w:rsidRPr="00C00255">
        <w:rPr>
          <w:szCs w:val="24"/>
        </w:rPr>
        <w:t xml:space="preserve">, </w:t>
      </w:r>
      <w:r>
        <w:rPr>
          <w:szCs w:val="24"/>
        </w:rPr>
        <w:t>V. K. 1</w:t>
      </w:r>
      <w:r w:rsidRPr="00C00255">
        <w:rPr>
          <w:szCs w:val="24"/>
        </w:rPr>
        <w:t xml:space="preserve">, </w:t>
      </w:r>
      <w:r>
        <w:rPr>
          <w:szCs w:val="24"/>
        </w:rPr>
        <w:t>V. Š. 1</w:t>
      </w:r>
      <w:r w:rsidRPr="00C00255">
        <w:rPr>
          <w:szCs w:val="24"/>
        </w:rPr>
        <w:t xml:space="preserve"> ir </w:t>
      </w:r>
      <w:r>
        <w:rPr>
          <w:szCs w:val="24"/>
        </w:rPr>
        <w:t>A. N. 1</w:t>
      </w:r>
      <w:r w:rsidRPr="00C00255">
        <w:rPr>
          <w:szCs w:val="24"/>
        </w:rPr>
        <w:t xml:space="preserve">. Teisėjų kolegija, įvertinusi šioje byloje nuteistų LKP/TSKP narių, t. y. </w:t>
      </w:r>
      <w:r>
        <w:rPr>
          <w:szCs w:val="24"/>
        </w:rPr>
        <w:t>V. Š. 1</w:t>
      </w:r>
      <w:r w:rsidRPr="00C00255">
        <w:rPr>
          <w:szCs w:val="24"/>
        </w:rPr>
        <w:t xml:space="preserve"> ir </w:t>
      </w:r>
      <w:r>
        <w:rPr>
          <w:szCs w:val="24"/>
        </w:rPr>
        <w:t>A. N. 1</w:t>
      </w:r>
      <w:r w:rsidRPr="00C00255">
        <w:rPr>
          <w:szCs w:val="24"/>
        </w:rPr>
        <w:t xml:space="preserve">, vaidmenį inicijuojant karinę operaciją, atsižvelgė ir į faktą, kad pastarieji nebuvo vieninteliai šios antivalstybinę veiklą vykdžiusios ir prie karinės operacijos inicijavimo prisidėjusios organizacijos nariai, be to, jų vaidmuo, sprendžiant dėl konkrečių TSRS karinių pajėgų ir ginkluotės panaudojimo, buvo mažesnis nei kitų TSRS politinę valią vykdžiusių aukščiausių TSRS kariškių, kurie, kaip operacijos planuotojai ir koordinatoriai, parengė karinės operacijos planą, suplanavo konkrečius atliktinus karinius veiksmus, paskyrė karinius dalinius operacijos vykdymui, numatė, kokias priemones ir ginklus šie daliniai naudos, ir pan. Visa tai teisėjų kolegijai leidžia konstatuoti, kad minėtų nuteistųjų (kariškių) veikos bendroje nusikalstamoje veikoje buvo išskirtinai pavojingos bei sudarė sąlygas kitų nuteistųjų nusikalstamiems veiksmams. Todėl šioje byloje nuteistiems karinę operaciją suplanavusiems kariškiams skirtinos didesnės nei minimalios sankcijose įtvirtintos ir tarpusavyje suderintos laisvės atėmimo bausmės, t. y. karinės operacijos metu išskirtinai pavojingus veiksmus atlikusiems nuteistiesiems skirtinos bausmės turi būti kiek griežtesnės nei kitiems įvykiuose dalyvavusiems nuteistiesiems paskirtos bausmės. Atsižvelgdama į tai, teisėjų kolegija iš esmės sutinka ir su prokurorų prašymais daugumai minėtų nuteistųjų skirti griežtesnes laisvės atėmimo bausmes nei paskirtosios pirmosios instancijos teismo. Toliau apeliacinės instancijos teismas pasisakys dėl kiekvienam iš minėtų nuteistųjų skirtinų bausmių (išskyrus dėl nuteistojo </w:t>
      </w:r>
      <w:r>
        <w:rPr>
          <w:szCs w:val="24"/>
        </w:rPr>
        <w:t>D. J.</w:t>
      </w:r>
      <w:r w:rsidRPr="00C00255">
        <w:rPr>
          <w:szCs w:val="24"/>
        </w:rPr>
        <w:t xml:space="preserve">, kuris proceso metu mirė ir apkaltinamasis nuosprendis jo atžvilgiu naikintinas bei baudžiamoji byla nutrauktina (BPK 326 straipsnio 1 dalies 2 punktas ir BPK 327 straipsnio 1 punktas)). </w:t>
      </w:r>
    </w:p>
    <w:p w:rsidR="00DA38E9" w:rsidRPr="00C00255" w:rsidRDefault="00DA38E9" w:rsidP="00DA38E9">
      <w:pPr>
        <w:pStyle w:val="Heading4"/>
        <w:spacing w:before="120" w:after="120"/>
        <w:ind w:firstLine="992"/>
        <w:rPr>
          <w:rFonts w:ascii="Times New Roman" w:hAnsi="Times New Roman"/>
          <w:b w:val="0"/>
          <w:i/>
          <w:sz w:val="24"/>
        </w:rPr>
      </w:pPr>
      <w:r w:rsidRPr="00C00255">
        <w:rPr>
          <w:rFonts w:ascii="Times New Roman" w:hAnsi="Times New Roman"/>
          <w:b w:val="0"/>
          <w:i/>
          <w:sz w:val="24"/>
        </w:rPr>
        <w:t xml:space="preserve">Dėl nuteistiesiems </w:t>
      </w:r>
      <w:r>
        <w:rPr>
          <w:rFonts w:ascii="Times New Roman" w:hAnsi="Times New Roman"/>
          <w:b w:val="0"/>
          <w:i/>
          <w:sz w:val="24"/>
        </w:rPr>
        <w:t>N. D.</w:t>
      </w:r>
      <w:r w:rsidRPr="00C00255">
        <w:rPr>
          <w:rFonts w:ascii="Times New Roman" w:hAnsi="Times New Roman"/>
          <w:b w:val="0"/>
          <w:i/>
          <w:sz w:val="24"/>
        </w:rPr>
        <w:t xml:space="preserve">, </w:t>
      </w:r>
      <w:r>
        <w:rPr>
          <w:rFonts w:ascii="Times New Roman" w:hAnsi="Times New Roman"/>
          <w:b w:val="0"/>
          <w:i/>
          <w:sz w:val="24"/>
        </w:rPr>
        <w:t>V. S. 1</w:t>
      </w:r>
      <w:r w:rsidRPr="00C00255">
        <w:rPr>
          <w:rFonts w:ascii="Times New Roman" w:hAnsi="Times New Roman"/>
          <w:b w:val="0"/>
          <w:i/>
          <w:sz w:val="24"/>
        </w:rPr>
        <w:t xml:space="preserve"> ir </w:t>
      </w:r>
      <w:r>
        <w:rPr>
          <w:rFonts w:ascii="Times New Roman" w:hAnsi="Times New Roman"/>
          <w:b w:val="0"/>
          <w:i/>
          <w:sz w:val="24"/>
        </w:rPr>
        <w:t xml:space="preserve">A. Ž. </w:t>
      </w:r>
      <w:r w:rsidRPr="00C00255">
        <w:rPr>
          <w:rFonts w:ascii="Times New Roman" w:hAnsi="Times New Roman"/>
          <w:b w:val="0"/>
          <w:i/>
          <w:sz w:val="24"/>
        </w:rPr>
        <w:t xml:space="preserve">skirtinų bausmių </w:t>
      </w:r>
    </w:p>
    <w:p w:rsidR="00DA38E9" w:rsidRPr="00C00255" w:rsidRDefault="00DA38E9" w:rsidP="00DA38E9">
      <w:pPr>
        <w:numPr>
          <w:ilvl w:val="0"/>
          <w:numId w:val="6"/>
        </w:numPr>
        <w:spacing w:before="120" w:after="120"/>
        <w:ind w:left="992" w:hanging="992"/>
      </w:pPr>
      <w:r w:rsidRPr="00C00255">
        <w:t xml:space="preserve">Teisėjų kolegija sutinka su prokurorų pozicija, kad nuteistiesiems </w:t>
      </w:r>
      <w:r>
        <w:t>N. D.</w:t>
      </w:r>
      <w:r w:rsidRPr="00C00255">
        <w:rPr>
          <w:i/>
        </w:rPr>
        <w:t xml:space="preserve"> </w:t>
      </w:r>
      <w:r>
        <w:rPr>
          <w:iCs/>
        </w:rPr>
        <w:t>V. S. 1</w:t>
      </w:r>
      <w:r w:rsidRPr="00C00255">
        <w:rPr>
          <w:iCs/>
        </w:rPr>
        <w:t xml:space="preserve"> ir </w:t>
      </w:r>
      <w:r>
        <w:rPr>
          <w:iCs/>
        </w:rPr>
        <w:t xml:space="preserve">A. Ž. </w:t>
      </w:r>
      <w:r w:rsidRPr="00C00255">
        <w:t xml:space="preserve"> paskirtos bausmės yra per švelnios ir neatspindi jų vaidmens bendrai vykdytoje bei koordinuotoje karinėje operacijoje, jų užimtų pareigų ir turėto statuso.</w:t>
      </w:r>
    </w:p>
    <w:p w:rsidR="00495B43" w:rsidRDefault="00DA38E9" w:rsidP="00495B43">
      <w:pPr>
        <w:numPr>
          <w:ilvl w:val="1"/>
          <w:numId w:val="6"/>
        </w:numPr>
        <w:spacing w:before="120" w:after="120"/>
        <w:ind w:left="992" w:hanging="992"/>
      </w:pPr>
      <w:r w:rsidRPr="00C00255">
        <w:t xml:space="preserve">Skundžiamu nuosprendžiu nuteistajam TSRS VRM ministro pavaduotojui generolui leitenantui </w:t>
      </w:r>
      <w:r>
        <w:t>N. D.</w:t>
      </w:r>
      <w:r w:rsidRPr="00C00255">
        <w:t xml:space="preserve"> už padarytus nusikaltimus žmoniškumui ir karo nusikaltimus paskirta galutinė subendrinta 10 metų terminuoto laisvės atėmimo bausmė. Tokį sprendimą Vilniaus apygardos teismas motyvavo tuo, kad </w:t>
      </w:r>
      <w:r>
        <w:t>N. D.</w:t>
      </w:r>
      <w:r w:rsidRPr="00C00255">
        <w:t xml:space="preserve"> „buvo vienas iš karinės operacijos planavimo vadovų ir koordinatorių, kad šiuo metu yra 86 metų amžiaus, todėl jam skirtinos minimalios laisvės atėmimo bausmės“ (nuosprendžio 880 l.). Teisėjų kolegijos vertinimu, pasisakydamas dėl </w:t>
      </w:r>
      <w:r>
        <w:t>N. D.</w:t>
      </w:r>
      <w:r w:rsidRPr="00C00255">
        <w:t xml:space="preserve"> skirtinos bausmės, pirmosios instancijos teismas šio nuteistojo vaidmenį 1991 m. sausio mėn. įvykiuose aprašė iš esmės teisingai. Pažymėtina, kad nuteistojo </w:t>
      </w:r>
      <w:r>
        <w:t>N. D.</w:t>
      </w:r>
      <w:r w:rsidRPr="00C00255">
        <w:t xml:space="preserve"> gynėjas apeliaciniame skunde dėl jo ginamajam paskirtos bausmės tiesiogiai nepasisakė ir prašė jį išteisinti. Prokurorai apeliaciniu skundu prašė </w:t>
      </w:r>
      <w:r>
        <w:t>N. D.</w:t>
      </w:r>
      <w:r w:rsidRPr="00C00255">
        <w:t xml:space="preserve"> paskirtas laisvės atėmimo bausmes ir subendrintą bausmę sugriežtinti (paskirti subendrintą 15 metų laisvės atėmimo bausmę), motyvuodami tuo, kad būtent jis įsakė pavaldiems VRM kariškiams dalyvauti karinėje operacijoje, o vien tai, kad nuosprendžio priėmimo metu nuteistajam buvo 86 metai, nesudaro pagrindo jam skirti minimalios laisvės atėmimo bausmės. </w:t>
      </w:r>
    </w:p>
    <w:p w:rsidR="00DA38E9" w:rsidRPr="002C1EDB" w:rsidRDefault="00DA38E9" w:rsidP="00495B43">
      <w:pPr>
        <w:numPr>
          <w:ilvl w:val="1"/>
          <w:numId w:val="6"/>
        </w:numPr>
        <w:spacing w:before="120" w:after="120"/>
        <w:ind w:left="992" w:hanging="992"/>
      </w:pPr>
      <w:r w:rsidRPr="002C1EDB">
        <w:t xml:space="preserve">Iš skundžiamo nuosprendžio matyti, kad N. D. paskirtą subendrintą 10 metų laisvės atėmimo bausmę iš esmės lėmė griežčiausia paskirta bausmė pagal BK 101 straipsnį ir tik jo garbaus amžiaus aplinkybė, kuri, teisėjų kolegijos vertinimu, buvo pernelyg sureikšminta, tinkamai neįvertinant kitų svarbių bylos aplinkybių. Pirmosios instancijos teismas, vertinant ir visiems kitiems nuteistiesiems paskirtas bausmes, nepakankamai įvertino aplinkybę, kad N. D. įvykių metu ėjo TSRS VRM ministro pavaduotojo pareigas, turėjo itin aukštą generolo leitenanto laipsnį ir apskritai pagal užimtas pareigas buvo aukščiausias TSRS VRM pareigūnas, įvykių metu buvęs Vilniuje. Taigi pagal karinį laipsnį ir užimtas pareigas jam buvo pavaldūs visi įvykiuose dalyvavę VRM kariškiai. Be to, </w:t>
      </w:r>
      <w:r w:rsidRPr="002C1EDB">
        <w:rPr>
          <w:rFonts w:eastAsia="Calibri"/>
          <w:iCs/>
        </w:rPr>
        <w:t>būtent N. D. nurodymu kiti aukšto rango TSRS VRM karininkai – nuteistieji V. S. 1 ir A. Ž. – paskyrė pavaldžius VRM kariškius dalyvauti užimant LRT. Atsižvelgiant į tokį N. D. vaidmenį aptariamuose įvykiuose, konstatuotina, kad nuteistajam pagal BK 100 straipsnį, BK 101 straipsnį ir BK 103 straipsnio 1 dalį paskirtos laisvės atėmimo bausmės yra akivaizdžiai neproporcingos bei neteisingos – tokio pat dydžio bausmės (tiek už atskirus nusikaltimus, tiek subendrintos) paskirtos ir daug žemesnio rango karininkams.</w:t>
      </w:r>
      <w:r w:rsidRPr="002C1EDB">
        <w:t xml:space="preserve"> </w:t>
      </w:r>
      <w:r w:rsidRPr="002C1EDB">
        <w:rPr>
          <w:rFonts w:eastAsia="Calibri"/>
          <w:iCs/>
        </w:rPr>
        <w:t>Taigi teisėjų kolegija,</w:t>
      </w:r>
      <w:r w:rsidRPr="002C1EDB">
        <w:t xml:space="preserve"> iš dalies tenkindama prokurorų apeliacinį skundą,</w:t>
      </w:r>
      <w:r w:rsidRPr="002C1EDB">
        <w:rPr>
          <w:rFonts w:eastAsia="Calibri"/>
          <w:iCs/>
        </w:rPr>
        <w:t xml:space="preserve"> įžvelgia pagrindą N. D. pagal BK </w:t>
      </w:r>
      <w:r w:rsidRPr="002C1EDB">
        <w:t xml:space="preserve">100 straipsnį, BK 101 straipsnį ir BK 103 straipsnio 1 dalį </w:t>
      </w:r>
      <w:r w:rsidRPr="002C1EDB">
        <w:rPr>
          <w:rFonts w:eastAsia="Calibri"/>
          <w:iCs/>
        </w:rPr>
        <w:t xml:space="preserve">paskirtas bausmes sugriežtinti </w:t>
      </w:r>
      <w:r w:rsidRPr="002C1EDB">
        <w:t>taip</w:t>
      </w:r>
      <w:r w:rsidRPr="002C1EDB">
        <w:rPr>
          <w:rFonts w:eastAsia="Calibri"/>
          <w:iCs/>
        </w:rPr>
        <w:t xml:space="preserve">: </w:t>
      </w:r>
    </w:p>
    <w:p w:rsidR="00DA38E9" w:rsidRPr="002C1EDB" w:rsidRDefault="00DA38E9" w:rsidP="00DA38E9">
      <w:pPr>
        <w:numPr>
          <w:ilvl w:val="2"/>
          <w:numId w:val="6"/>
        </w:numPr>
        <w:spacing w:before="120" w:after="120"/>
        <w:ind w:left="992" w:hanging="992"/>
      </w:pPr>
      <w:r w:rsidRPr="002C1EDB">
        <w:rPr>
          <w:rFonts w:eastAsia="Calibri"/>
        </w:rPr>
        <w:t xml:space="preserve">pagal BK </w:t>
      </w:r>
      <w:r w:rsidRPr="002C1EDB">
        <w:t xml:space="preserve">100 straipsnį paskirtą 10 (dešimties) metų laisvės atėmimo bausmę padidinti iki laisvės atėmimo 12 (dvylikai) metų; </w:t>
      </w:r>
    </w:p>
    <w:p w:rsidR="00DA38E9" w:rsidRPr="002C1EDB" w:rsidRDefault="00DA38E9" w:rsidP="00DA38E9">
      <w:pPr>
        <w:numPr>
          <w:ilvl w:val="2"/>
          <w:numId w:val="6"/>
        </w:numPr>
        <w:spacing w:before="120" w:after="120"/>
        <w:ind w:left="992" w:hanging="992"/>
      </w:pPr>
      <w:r w:rsidRPr="002C1EDB">
        <w:t xml:space="preserve">pagal BK 101 straipsnį paskirtą 10 (dešimties) metų laisvės atėmimo bausmę padidinti iki laisvės atėmimo 13 (trylikai) metų; </w:t>
      </w:r>
    </w:p>
    <w:p w:rsidR="00DA38E9" w:rsidRPr="002C1EDB" w:rsidRDefault="00DA38E9" w:rsidP="00DA38E9">
      <w:pPr>
        <w:numPr>
          <w:ilvl w:val="2"/>
          <w:numId w:val="6"/>
        </w:numPr>
        <w:spacing w:before="120" w:after="120"/>
        <w:ind w:left="992" w:hanging="992"/>
      </w:pPr>
      <w:r w:rsidRPr="002C1EDB">
        <w:t xml:space="preserve">pagal BK 103 straipsnio 1 dalį paskirtą 6 (šešerių) metų laisvės atėmimo bausmę padidinti iki laisvės atėmimo 7 (septyneriems) metams ir 6 (šešiems) mėnesiams. </w:t>
      </w:r>
    </w:p>
    <w:p w:rsidR="00DA38E9" w:rsidRPr="002C1EDB" w:rsidRDefault="00DA38E9" w:rsidP="00DA38E9">
      <w:pPr>
        <w:numPr>
          <w:ilvl w:val="1"/>
          <w:numId w:val="6"/>
        </w:numPr>
        <w:spacing w:before="120" w:after="120"/>
        <w:ind w:left="992" w:hanging="992"/>
      </w:pPr>
      <w:r w:rsidRPr="002C1EDB">
        <w:t>Teisėjų kolegijos vertinimu N. D. paskirtų bausmių pagal BK 111 straipsnio 1 dalį – laisvės atėmimo 6 metams ir pagal BK 112 straipsnį – laisvės atėmimo 5 metams, atsižvelgiant į proporcingumo principą, griežtinti nėra pagrindo, kadangi tokių paskirtų bausmių prokurorai neginčija kitų ne mažiau pavojingai veikusių nuteistųjų atžvilgiu (pvz., tokios bausmės už šias veikas paskirtos ir griežčiau nubaustam V. U. 1)</w:t>
      </w:r>
      <w:r w:rsidRPr="002C1EDB">
        <w:rPr>
          <w:rFonts w:eastAsia="Calibri"/>
          <w:iCs/>
        </w:rPr>
        <w:t>.</w:t>
      </w:r>
      <w:r w:rsidRPr="002C1EDB">
        <w:rPr>
          <w:rFonts w:eastAsia="Calibri"/>
        </w:rPr>
        <w:t xml:space="preserve"> Esant idealiai nusikalstamų veikų sutapčiai, N. D. skirtina galutinė subendrinta bausmė – laisvės atėmimas 13 (trylikai) metų</w:t>
      </w:r>
      <w:r w:rsidRPr="002C1EDB">
        <w:rPr>
          <w:rFonts w:eastAsia="Calibri"/>
          <w:iCs/>
        </w:rPr>
        <w:t xml:space="preserve">. </w:t>
      </w:r>
      <w:bookmarkStart w:id="960" w:name="pnf9380ca1-f29c-4a57-bced-9504e49c5d7d"/>
      <w:bookmarkStart w:id="961" w:name="pne0fd7705-88ae-4967-ba7c-fd7e3a4d6d60"/>
      <w:bookmarkEnd w:id="960"/>
      <w:bookmarkEnd w:id="961"/>
    </w:p>
    <w:p w:rsidR="00495B43" w:rsidRPr="002C1EDB" w:rsidRDefault="00DA38E9" w:rsidP="00495B43">
      <w:pPr>
        <w:numPr>
          <w:ilvl w:val="0"/>
          <w:numId w:val="6"/>
        </w:numPr>
        <w:spacing w:before="120" w:after="120"/>
        <w:ind w:left="992" w:hanging="992"/>
      </w:pPr>
      <w:bookmarkStart w:id="962" w:name="_Toc67677449"/>
      <w:r w:rsidRPr="002C1EDB">
        <w:rPr>
          <w:rFonts w:eastAsiaTheme="minorHAnsi"/>
        </w:rPr>
        <w:t xml:space="preserve">Kaip ir N. D., skundžiamu nuosprendžiu V. S. 1 ir A. Ž. </w:t>
      </w:r>
      <w:bookmarkEnd w:id="962"/>
      <w:r w:rsidRPr="002C1EDB">
        <w:t>už padarytus nusikaltimus buvo paskirta galutinė subendrinta 10 metų laisvės atėmimo bausmė. Nuteistųjų V. S. 1 ir A. Ž.  gynėjai apeliaciniuose skunduose dėl jų ginamiesiems skirtinos bausmės nepasisakė ir prašė juos išteisinti. Prokurorai apeliaciniu skundu prašė V. S. 1 ir A. Ž.  už atskirus nusikaltimus paskirtas laisvės atėmimo bausmes ir subendrintą bausmę sugriežtinti (paskirti subendrintą 14 metų laisvės atėmimo bausmę).</w:t>
      </w:r>
    </w:p>
    <w:p w:rsidR="00495B43" w:rsidRPr="002C1EDB" w:rsidRDefault="00495B43" w:rsidP="00495B43">
      <w:pPr>
        <w:numPr>
          <w:ilvl w:val="1"/>
          <w:numId w:val="6"/>
        </w:numPr>
        <w:spacing w:before="120" w:after="120"/>
        <w:ind w:left="992" w:hanging="992"/>
      </w:pPr>
      <w:r w:rsidRPr="002C1EDB">
        <w:t>Pasisakydamas dėl TSRS VRM Šiaurės vakarų ir Pabaltijo vidaus kariuomenės valdybos viršininkui generolui V. S. 1 skirtinos bausmės, pirmosios instancijos teismas nurodė, kad šis nuteistasis „skirstė kariškius ir karinę techniką į užgrobiamus objektus, davė konkrečias užduotis bei kontroliavo jų vykdymą, tiesiogiai vadovavo RTV komiteto (LRT) pastatų šturmui, kad šiuo metu yra 80 metų amžiaus“ (nuosprendžio 880 l.). Teisėjų kolegija pažymi, kad aptartas nuteistojo vaidmuo 1991 m. sausio mėn. įvykiuose pasitvirtino kaip objektyvus. Prokurorai pabrėžia, kad V. S. 1, gavęs įsakymą iš N. D. dėl LRT užėmimo, kartu su A. Ž.  nusprendė panaudoti TSR VRM Vidaus kariuomenės 42-osios divizijos konvojaus pulko mokomosios specialiosios paskirties kuopą bei davė konkrečias užduotis ir kontroliavo jų vykdymą, todėl vien jo amžius negali būti pagrindu skirti minimalią laisvės atėmimo bausmę.</w:t>
      </w:r>
      <w:bookmarkStart w:id="963" w:name="_Toc67677450"/>
    </w:p>
    <w:p w:rsidR="00DA38E9" w:rsidRPr="002C1EDB" w:rsidRDefault="00DA38E9" w:rsidP="00495B43">
      <w:pPr>
        <w:numPr>
          <w:ilvl w:val="1"/>
          <w:numId w:val="6"/>
        </w:numPr>
        <w:spacing w:before="120" w:after="120"/>
        <w:ind w:left="992" w:hanging="992"/>
      </w:pPr>
      <w:r w:rsidRPr="002C1EDB">
        <w:rPr>
          <w:rFonts w:eastAsiaTheme="minorHAnsi"/>
        </w:rPr>
        <w:t>Teisėjų kolegijos vertinimu, subendrintos 10 metų laisvės atėmimo bausmės skyrimą V. S. 1 iš esmės lėmė</w:t>
      </w:r>
      <w:bookmarkEnd w:id="963"/>
      <w:r w:rsidRPr="002C1EDB">
        <w:rPr>
          <w:rFonts w:eastAsiaTheme="minorHAnsi"/>
        </w:rPr>
        <w:t xml:space="preserve"> </w:t>
      </w:r>
      <w:r w:rsidRPr="002C1EDB">
        <w:t xml:space="preserve">griežčiausia paskirta bausmė pagal BK 101 straipsnį ir jo garbus amžius nuosprendžio priėmimo metu, tačiau ir šiuo atveju negali būti pernelyg sureikšmintas nuteistojo amžius. Teisėjų kolegijos įsitikinimu, skiriant bausmę V. S. 1, nepakankamai įvertintos jo eitos aukščiausios karinės pareigos TSRS VRM padalinyje Šiaurės vakarų ir Pabaltijo regione, generolo laipsnis ir apskritai faktas, kad jis pagal pareigas buvo antras aukščiausias TSRS VRM pareigūnas, įvykių metu buvęs Vilniuje. Be to, </w:t>
      </w:r>
      <w:r w:rsidRPr="002C1EDB">
        <w:rPr>
          <w:rFonts w:eastAsia="Calibri"/>
        </w:rPr>
        <w:t xml:space="preserve">būtent nuteistasis V. S. 1 (kartu su A. Ž.) </w:t>
      </w:r>
      <w:r w:rsidRPr="002C1EDB">
        <w:t xml:space="preserve">davė nurodymus pavaldžiam S. F. dėl tiesioginio TSRS VRM kariškių dalyvavimo užimant LRT pastatus bei konkrečių veiksmų atlikimo, o šios operacijos </w:t>
      </w:r>
      <w:r w:rsidRPr="002C1EDB">
        <w:rPr>
          <w:rFonts w:eastAsia="Calibri"/>
        </w:rPr>
        <w:t xml:space="preserve">metu ir pats </w:t>
      </w:r>
      <w:r w:rsidRPr="002C1EDB">
        <w:t xml:space="preserve">vadovavo TSRS VRM Vidaus kariuomenės 42-osios divizijos kariškiams. </w:t>
      </w:r>
      <w:r w:rsidRPr="002C1EDB">
        <w:rPr>
          <w:rFonts w:eastAsia="Calibri"/>
        </w:rPr>
        <w:t xml:space="preserve">Atsižvelgdama į reikšmingą V. S. 1 vaidmenį įvykiuose ir itin aukštą jo statusą, teisėjų kolegija, panašiai kaip ir N. D. atveju, konstatuoja, kad V. S. 1 paskirta minimali terminuota, t. y. 10 metų, laisvės atėmimo bausmė už pavojingiausią nusikalstamą veiką, numatytą BK 101 straipsnyje, taip pat ir bausmės už BK 100 straipsnyje bei BK 103 straipsnio 1 dalyje numatytus nusikaltimus bei subendrinta 10 metų laisvės atėmimo bausmė yra akivaizdžiai neproporcingos ir neteisingos. Turint omenyje tai, kad V. S. 1 operacijoje veikė N. D. nurodymu ir buvo jam pavaldus, V. S. 1 už nusikalstamas veikas, numatytas BK 100 straipsnyje, BK 101 straipsnyje ir BK 103 straipsnio 1 dalyje) tikslinga skirti kiek švelnesnes bausmes nei N. D.. Taigi teisėjų kolegija, kaip ir N. D., </w:t>
      </w:r>
      <w:r w:rsidRPr="002C1EDB">
        <w:t xml:space="preserve">iš dalies tenkindama prokurorų apeliacinį skundą, </w:t>
      </w:r>
      <w:r w:rsidRPr="002C1EDB">
        <w:rPr>
          <w:rFonts w:eastAsia="Calibri"/>
        </w:rPr>
        <w:t xml:space="preserve">įžvelgia pagrindą V. S. 1 pagal BK </w:t>
      </w:r>
      <w:r w:rsidRPr="002C1EDB">
        <w:t xml:space="preserve">100 straipsnį, BK 101 straipsnį ir BK 103 straipsnio 1 dalį paskirtas bausmes sugriežtinti taip: </w:t>
      </w:r>
    </w:p>
    <w:p w:rsidR="00DA38E9" w:rsidRPr="002C1EDB" w:rsidRDefault="00DA38E9" w:rsidP="00DA38E9">
      <w:pPr>
        <w:numPr>
          <w:ilvl w:val="2"/>
          <w:numId w:val="6"/>
        </w:numPr>
        <w:spacing w:before="120" w:after="120"/>
        <w:ind w:left="992" w:hanging="992"/>
      </w:pPr>
      <w:r w:rsidRPr="002C1EDB">
        <w:rPr>
          <w:rFonts w:eastAsia="Calibri"/>
          <w:iCs/>
        </w:rPr>
        <w:t xml:space="preserve">pagal BK </w:t>
      </w:r>
      <w:r w:rsidRPr="002C1EDB">
        <w:t xml:space="preserve">100 straipsnį paskirtą 10 (dešimties) metų laisvės atėmimo bausmę padidinti iki laisvės atėmimo 11 (vienuolikai) metų; </w:t>
      </w:r>
    </w:p>
    <w:p w:rsidR="00DA38E9" w:rsidRPr="002C1EDB" w:rsidRDefault="00DA38E9" w:rsidP="00DA38E9">
      <w:pPr>
        <w:numPr>
          <w:ilvl w:val="2"/>
          <w:numId w:val="6"/>
        </w:numPr>
        <w:spacing w:before="120" w:after="120"/>
        <w:ind w:left="992" w:hanging="992"/>
      </w:pPr>
      <w:r w:rsidRPr="002C1EDB">
        <w:t xml:space="preserve">pagal BK 101 straipsnį paskirtą 10 (dešimties) metų laisvės atėmimo bausmę padidinti iki laisvės atėmimo 12 (dvylikai) metų; </w:t>
      </w:r>
    </w:p>
    <w:p w:rsidR="00DA38E9" w:rsidRPr="002C1EDB" w:rsidRDefault="00DA38E9" w:rsidP="00DA38E9">
      <w:pPr>
        <w:numPr>
          <w:ilvl w:val="2"/>
          <w:numId w:val="6"/>
        </w:numPr>
        <w:spacing w:before="120" w:after="120"/>
        <w:ind w:left="992" w:hanging="992"/>
      </w:pPr>
      <w:r w:rsidRPr="002C1EDB">
        <w:t xml:space="preserve">pagal BK 103 straipsnio 1 dalį paskirtą 6 (šešerių) metų laisvės atėmimo bausmę padidinti iki laisvės atėmimo 6 (šešeriems) metams ir 6 (šešiems) mėnesiams. </w:t>
      </w:r>
    </w:p>
    <w:p w:rsidR="00DA38E9" w:rsidRPr="00C00255" w:rsidRDefault="00DA38E9" w:rsidP="00DA38E9">
      <w:pPr>
        <w:numPr>
          <w:ilvl w:val="1"/>
          <w:numId w:val="6"/>
        </w:numPr>
        <w:spacing w:before="120" w:after="120"/>
        <w:ind w:left="992" w:hanging="992"/>
      </w:pPr>
      <w:r w:rsidRPr="002C1EDB">
        <w:t>Teisėjų kolegija,</w:t>
      </w:r>
      <w:r w:rsidRPr="00C00255">
        <w:t xml:space="preserve"> </w:t>
      </w:r>
      <w:r w:rsidRPr="002C1EDB">
        <w:t xml:space="preserve">kaip ir aptartu N. D. atveju, neįžvelgia pagrindo V. S. 1 keisti bausmių, paskirtų pagal BK 111 straipsnio 1 dalį (laisvės atėmimo 6 metams) ir pagal BK 112 straipsnį (laisvės atėmimo 5 metams), nes jos teisingos ir atitinka kitiems panašius veiksmus atlikusiems nuteistiesiems paskirtas bausmes. </w:t>
      </w:r>
      <w:r w:rsidRPr="002C1EDB">
        <w:rPr>
          <w:rFonts w:eastAsia="Calibri"/>
        </w:rPr>
        <w:t xml:space="preserve">Esant idealiai nusikalstamų veikų sutapčiai, V. S. 1 skirtina galutinė subendrinta bausmė – laisvės atėmimas 12 (dvylikai) metų. </w:t>
      </w:r>
    </w:p>
    <w:p w:rsidR="00495B43" w:rsidRPr="002C1EDB" w:rsidRDefault="00DA38E9" w:rsidP="00495B43">
      <w:pPr>
        <w:numPr>
          <w:ilvl w:val="0"/>
          <w:numId w:val="6"/>
        </w:numPr>
        <w:spacing w:before="120" w:after="120"/>
        <w:ind w:left="992" w:hanging="992"/>
      </w:pPr>
      <w:r w:rsidRPr="002C1EDB">
        <w:rPr>
          <w:rFonts w:eastAsia="Calibri"/>
        </w:rPr>
        <w:t xml:space="preserve">Teisėjų kolegijos įsitikinimu, nuteistojo A. Ž. vaidmuo ir statusas įvykių metu buvo panašus į V. S. 1, todėl ir A. Ž. atsakomybės mastas, siekiant užtikrinti proporcingumo ir teisingumo principų įgyvendinimą, negali skirtis. </w:t>
      </w:r>
    </w:p>
    <w:p w:rsidR="00495B43" w:rsidRPr="002C1EDB" w:rsidRDefault="00DA38E9" w:rsidP="00495B43">
      <w:pPr>
        <w:numPr>
          <w:ilvl w:val="1"/>
          <w:numId w:val="6"/>
        </w:numPr>
        <w:spacing w:before="120" w:after="120"/>
        <w:ind w:left="992" w:hanging="992"/>
      </w:pPr>
      <w:r w:rsidRPr="002C1EDB">
        <w:rPr>
          <w:rFonts w:eastAsia="Calibri"/>
        </w:rPr>
        <w:t>Pirmosios instancijos teismas, skirdamas bausmes A. Ž., nurodė, kad ji</w:t>
      </w:r>
      <w:r w:rsidRPr="002C1EDB">
        <w:t>s „</w:t>
      </w:r>
      <w:r w:rsidRPr="002C1EDB">
        <w:rPr>
          <w:rFonts w:eastAsia="Calibri"/>
        </w:rPr>
        <w:t>buvo vadovavimo karinei operacijai štabo nariu, paskirstė kariškius į užimamus objektus, konkretizavo kariuomenės rūšių užduotis ir veiksmus, paskyrė kariniams veiksmams vadovaujančius bei už veiksmų koordinavimą atsakingus karininkus, davė nurodymus dėl dalyvavimo karinėje operacijoje, paskelbė kovinę parengtį divizijos padaliniuose, koordinavo kariškių veiksmus objektų šturmo metu, davė nurodymus dėl ginklų pagrobimo iš Medžiotojų žvejų draugijos sandėlio ir kt. objektų, vadovavo ir koordinavo TV bokšto bei RTV (LRT) šturmui, jo nusikalstamų veiksmų apimtis didelė, tačiau šiuo metu yra</w:t>
      </w:r>
      <w:r w:rsidR="00495B43" w:rsidRPr="002C1EDB">
        <w:rPr>
          <w:rFonts w:eastAsia="Calibri"/>
        </w:rPr>
        <w:t xml:space="preserve"> (duomenys neskelbtini)</w:t>
      </w:r>
      <w:r w:rsidRPr="002C1EDB">
        <w:rPr>
          <w:rFonts w:eastAsia="Calibri"/>
        </w:rPr>
        <w:t xml:space="preserve"> metų amžiaus“ (nuosprendžio 885 l.). Teisėjų kolegija sutinka, kad daugumą šių veiksmų A. Ž. atliko. Visgi, kaip minėta šiame sprendime, nuteistasis nedalyvavo užimant TV bokštą, ginklų pagrobimas iš Medžiotojų žvejų draugijos sandėlio jam nebuvo inkriminuotas, o aplinkybė, kad būtent jis paskelbė kovinę parengtį divizijos padaliniuose, iš nuosprendžio pašalinta. Tačiau, net ir eliminavus minėtus veiksmus, A. Ž. veikimas bendroje operacijoje buvo plataus masto ir itin pavojingas, todėl teisėjų kolegija sutinka su prokurorų prašymu griežtinti A. Ž. paskirtas bausmes.</w:t>
      </w:r>
    </w:p>
    <w:p w:rsidR="00DA38E9" w:rsidRPr="00C00255" w:rsidRDefault="00DA38E9" w:rsidP="00495B43">
      <w:pPr>
        <w:numPr>
          <w:ilvl w:val="1"/>
          <w:numId w:val="6"/>
        </w:numPr>
        <w:spacing w:before="120" w:after="120"/>
        <w:ind w:left="992" w:hanging="992"/>
      </w:pPr>
      <w:r w:rsidRPr="002C1EDB">
        <w:rPr>
          <w:rFonts w:eastAsia="Calibri"/>
        </w:rPr>
        <w:t xml:space="preserve">Kaip ir nuteistųjų N. D. bei V. S. 1 atveju, teisėjų kolegijos vertinimu, A. Ž. skiriant bausmes buvo pernelyg sureikšmintas jo garbus amžius, tinkamai neįvertinant </w:t>
      </w:r>
      <w:r w:rsidRPr="002C1EDB">
        <w:t xml:space="preserve">jo vaidmens bendroje karinėje operacijoje, jo užimtų pareigų ir statuso. A. Ž. įvykių metu buvo TSRS VRM Vidaus kariuomenės 42-osios divizijos vadas, turėjo aukštą generolo majoro laipsnį ir pagal pareigas buvo trečias aukščiausias TSRS VRM pareigūnas, įvykių metu buvęs Vilniuje. </w:t>
      </w:r>
      <w:r w:rsidRPr="002C1EDB">
        <w:rPr>
          <w:rFonts w:eastAsia="Calibri"/>
        </w:rPr>
        <w:t xml:space="preserve">Būtent nuteistasis A. Ž. (kartu su V. S. 1) </w:t>
      </w:r>
      <w:r w:rsidRPr="002C1EDB">
        <w:t xml:space="preserve">davė nurodymus pavaldžiam S. F. dėl tiesioginio TSRS VRM kariškių dalyvavimo užimant LRT pastatus bei konkrečių veiksmų atlikimo, o LRT užėmimo metu koordinavo bendrus kariškių veiksmus. </w:t>
      </w:r>
      <w:r w:rsidRPr="002C1EDB">
        <w:rPr>
          <w:rFonts w:eastAsia="Calibri"/>
        </w:rPr>
        <w:t>Atsižvelgdama į tokį A. Ž.  vaidmenį įvykiuose ir itin aukštą jo statusą, taip pat įvertindama byloje esančius duomenis apie jo ir V. S. 1 kartu priimtus sprendimus dėl TSRS VRM kariškių panaudojimo karinės operacijos metu, teisėjų kolegija,</w:t>
      </w:r>
      <w:r w:rsidRPr="002C1EDB">
        <w:t xml:space="preserve"> iš dalies tenkindama prokurorų apeliacinį skundą,</w:t>
      </w:r>
      <w:r w:rsidRPr="002C1EDB">
        <w:rPr>
          <w:rFonts w:eastAsia="Calibri"/>
        </w:rPr>
        <w:t xml:space="preserve"> įžvelgia pagrindą A. Ž. skirti tokias pačias bausmes kaip ir V. S. 1, t. y. bausmes, paskirtas pagal BK </w:t>
      </w:r>
      <w:r w:rsidRPr="002C1EDB">
        <w:t>100 straipsnį, BK 101 straipsnį ir BK 103 straipsnio 1 dalį, sugriežtinti taip</w:t>
      </w:r>
      <w:r w:rsidRPr="002C1EDB">
        <w:rPr>
          <w:rFonts w:eastAsia="Calibri"/>
        </w:rPr>
        <w:t>:</w:t>
      </w:r>
      <w:r w:rsidRPr="00495B43">
        <w:rPr>
          <w:rFonts w:eastAsia="Calibri"/>
          <w:iCs/>
        </w:rPr>
        <w:t xml:space="preserve"> </w:t>
      </w:r>
    </w:p>
    <w:p w:rsidR="00DA38E9" w:rsidRPr="002C1EDB" w:rsidRDefault="00DA38E9" w:rsidP="00DA38E9">
      <w:pPr>
        <w:numPr>
          <w:ilvl w:val="2"/>
          <w:numId w:val="6"/>
        </w:numPr>
        <w:spacing w:before="120" w:after="120"/>
        <w:ind w:left="992" w:hanging="992"/>
      </w:pPr>
      <w:r w:rsidRPr="002C1EDB">
        <w:rPr>
          <w:rFonts w:eastAsia="Calibri"/>
        </w:rPr>
        <w:t>pagal BK</w:t>
      </w:r>
      <w:r w:rsidRPr="00495B43">
        <w:rPr>
          <w:rFonts w:eastAsia="Calibri"/>
        </w:rPr>
        <w:t xml:space="preserve"> </w:t>
      </w:r>
      <w:r w:rsidRPr="002C1EDB">
        <w:t xml:space="preserve">100 straipsnį paskirtą 10 (dešimties) metų laisvės atėmimo bausmę padidinti iki laisvės atėmimo 11 (vienuolikai) metų; </w:t>
      </w:r>
    </w:p>
    <w:p w:rsidR="00DA38E9" w:rsidRPr="002C1EDB" w:rsidRDefault="00DA38E9" w:rsidP="00DA38E9">
      <w:pPr>
        <w:numPr>
          <w:ilvl w:val="2"/>
          <w:numId w:val="6"/>
        </w:numPr>
        <w:spacing w:before="120" w:after="120"/>
        <w:ind w:left="992" w:hanging="992"/>
      </w:pPr>
      <w:r w:rsidRPr="002C1EDB">
        <w:t xml:space="preserve">pagal BK 101 straipsnį paskirtą 10 (dešimties) metų laisvės atėmimo bausmę padidinti iki laisvės atėmimo 12 (dvylikai) metų; </w:t>
      </w:r>
    </w:p>
    <w:p w:rsidR="00DA38E9" w:rsidRPr="002C1EDB" w:rsidRDefault="00DA38E9" w:rsidP="00DA38E9">
      <w:pPr>
        <w:numPr>
          <w:ilvl w:val="2"/>
          <w:numId w:val="6"/>
        </w:numPr>
        <w:spacing w:before="120" w:after="120"/>
        <w:ind w:left="992" w:hanging="992"/>
      </w:pPr>
      <w:r w:rsidRPr="002C1EDB">
        <w:t xml:space="preserve">pagal BK 103 straipsnio 1 dalį paskirtą 6 (šešerių) metų laisvės atėmimo bausmę padidinti iki laisvės atėmimo 6 (šešeriems) metams ir 6 (šešiems) mėnesiams. </w:t>
      </w:r>
    </w:p>
    <w:p w:rsidR="00DA38E9" w:rsidRPr="00C00255" w:rsidRDefault="00DA38E9" w:rsidP="00DA38E9">
      <w:pPr>
        <w:numPr>
          <w:ilvl w:val="1"/>
          <w:numId w:val="6"/>
        </w:numPr>
        <w:spacing w:before="120" w:after="120"/>
        <w:ind w:left="992" w:hanging="992"/>
      </w:pPr>
      <w:r w:rsidRPr="002C1EDB">
        <w:t>Bausmių,</w:t>
      </w:r>
      <w:r w:rsidRPr="00495B43">
        <w:t xml:space="preserve"> </w:t>
      </w:r>
      <w:r w:rsidRPr="002C1EDB">
        <w:t xml:space="preserve">paskirtų pagal BK 111 straipsnio 1 dalį (laisvės atėmimo 6 metams) ir pagal BK 112 straipsnį (laisvės atėmimo 5 metams), griežtinti kaip ir N. D. bei V. S. 1 atveju, nėra pagrindo. </w:t>
      </w:r>
      <w:r w:rsidRPr="002C1EDB">
        <w:rPr>
          <w:rFonts w:eastAsia="Calibri"/>
        </w:rPr>
        <w:t xml:space="preserve">Esant idealiai nusikalstamų veikų sutapčiai, A. Ž. skirtina galutinė subendrinta bausmė – laisvės atėmimas 12 (dvylikai) metų. </w:t>
      </w:r>
    </w:p>
    <w:p w:rsidR="00DA38E9" w:rsidRPr="00C00255" w:rsidRDefault="00DA38E9" w:rsidP="00DA38E9">
      <w:pPr>
        <w:pStyle w:val="Heading4"/>
        <w:spacing w:before="120" w:after="120"/>
        <w:ind w:left="992"/>
        <w:rPr>
          <w:rFonts w:ascii="Times New Roman" w:hAnsi="Times New Roman"/>
          <w:i/>
          <w:sz w:val="24"/>
          <w:szCs w:val="20"/>
        </w:rPr>
      </w:pPr>
      <w:r w:rsidRPr="00C00255">
        <w:rPr>
          <w:rFonts w:ascii="Times New Roman" w:hAnsi="Times New Roman"/>
          <w:b w:val="0"/>
          <w:i/>
          <w:sz w:val="24"/>
        </w:rPr>
        <w:t xml:space="preserve">Dėl nuteistiesiems </w:t>
      </w:r>
      <w:r>
        <w:rPr>
          <w:rFonts w:ascii="Times New Roman" w:hAnsi="Times New Roman"/>
          <w:b w:val="0"/>
          <w:i/>
          <w:sz w:val="24"/>
        </w:rPr>
        <w:t>M. G.</w:t>
      </w:r>
      <w:r w:rsidRPr="00C00255">
        <w:rPr>
          <w:rFonts w:ascii="Times New Roman" w:hAnsi="Times New Roman"/>
          <w:b w:val="0"/>
          <w:i/>
          <w:sz w:val="24"/>
        </w:rPr>
        <w:t xml:space="preserve">, </w:t>
      </w:r>
      <w:r>
        <w:rPr>
          <w:rFonts w:ascii="Times New Roman" w:hAnsi="Times New Roman"/>
          <w:b w:val="0"/>
          <w:i/>
          <w:sz w:val="24"/>
        </w:rPr>
        <w:t>V. U. 1</w:t>
      </w:r>
      <w:r w:rsidRPr="00C00255">
        <w:rPr>
          <w:rFonts w:ascii="Times New Roman" w:hAnsi="Times New Roman"/>
          <w:b w:val="0"/>
          <w:i/>
          <w:sz w:val="24"/>
        </w:rPr>
        <w:t xml:space="preserve"> ir </w:t>
      </w:r>
      <w:r>
        <w:rPr>
          <w:rFonts w:ascii="Times New Roman" w:hAnsi="Times New Roman"/>
          <w:b w:val="0"/>
          <w:i/>
          <w:sz w:val="24"/>
        </w:rPr>
        <w:t>V. K. 1</w:t>
      </w:r>
      <w:r w:rsidRPr="00C00255">
        <w:rPr>
          <w:rFonts w:ascii="Times New Roman" w:hAnsi="Times New Roman"/>
          <w:b w:val="0"/>
          <w:i/>
          <w:sz w:val="24"/>
        </w:rPr>
        <w:t xml:space="preserve"> skirtinų bausmių</w:t>
      </w:r>
    </w:p>
    <w:p w:rsidR="00495B43" w:rsidRPr="002C1EDB" w:rsidRDefault="00495B43" w:rsidP="00495B43">
      <w:pPr>
        <w:pStyle w:val="ListParagraph"/>
        <w:numPr>
          <w:ilvl w:val="0"/>
          <w:numId w:val="6"/>
        </w:numPr>
        <w:spacing w:before="120" w:after="120"/>
        <w:ind w:left="992" w:hanging="992"/>
        <w:contextualSpacing w:val="0"/>
        <w:rPr>
          <w:rStyle w:val="Heading3Char"/>
          <w:rFonts w:eastAsia="Calibri"/>
          <w:b w:val="0"/>
          <w:sz w:val="24"/>
          <w:lang w:val="lt-LT" w:eastAsia="en-US"/>
        </w:rPr>
      </w:pPr>
      <w:r w:rsidRPr="002C1EDB">
        <w:rPr>
          <w:rStyle w:val="Heading3Char"/>
          <w:rFonts w:eastAsiaTheme="minorHAnsi"/>
          <w:b w:val="0"/>
          <w:sz w:val="24"/>
          <w:szCs w:val="24"/>
          <w:lang w:val="lt-LT"/>
        </w:rPr>
        <w:t xml:space="preserve">Karinėje operacijoje, kaip jos koordinatoriai, be prieš tai aptarto TSRS VRM Vidaus kariuomenės 42-osios divizijos vado A. Ž., veikė ir kitų trijų jėgos struktūrų karininkai. Tai TSRS VSK specialiosios paskirties grupės „A“ viršininko pavaduotojas papulkininkis M. G., TSRS GM Sausumos pajėgų Pabaltijo karinės apygardos 107-osios motorizuotų šaulių divizijos vadas generolas majoras V. U. 1 ir TSRS GM Oro desanto pajėgų 76-osios oro desanto divizijos vado pavaduotojas pulkininkas V. K. 1. Teisėjų kolegija, išnagrinėjusi bylą ir įvertinusi apeliacinių skundų argumentus bei šių nuteistųjų pavojingumą, neįžvelgia pagrindo keisti pirmosios instancijos teismo nuosprendžiu paskirtų bausmių nuteistiesiems M. G. ir V. U. 1, tačiau sutinka su prokurorų pozicija dėl bausmių, paskirtų už pavojingiausias nusikalstamas veikas, griežtinimo nuteistajam V. K. 1. </w:t>
      </w:r>
    </w:p>
    <w:p w:rsidR="00DA38E9" w:rsidRPr="005E1CD9" w:rsidRDefault="00DA38E9" w:rsidP="00DA38E9">
      <w:pPr>
        <w:pStyle w:val="ListParagraph"/>
        <w:numPr>
          <w:ilvl w:val="0"/>
          <w:numId w:val="6"/>
        </w:numPr>
        <w:overflowPunct/>
        <w:autoSpaceDE/>
        <w:autoSpaceDN/>
        <w:adjustRightInd/>
        <w:spacing w:before="120" w:after="120"/>
        <w:ind w:left="992" w:hanging="992"/>
        <w:contextualSpacing w:val="0"/>
        <w:rPr>
          <w:szCs w:val="24"/>
        </w:rPr>
      </w:pPr>
      <w:bookmarkStart w:id="964" w:name="_Toc67677452"/>
      <w:r w:rsidRPr="005E1CD9">
        <w:rPr>
          <w:rFonts w:eastAsiaTheme="minorHAnsi"/>
        </w:rPr>
        <w:t>Skundžiamu nuosprendžiu</w:t>
      </w:r>
      <w:bookmarkEnd w:id="964"/>
      <w:r w:rsidRPr="005E1CD9">
        <w:rPr>
          <w:rFonts w:eastAsiaTheme="minorHAnsi"/>
        </w:rPr>
        <w:t xml:space="preserve"> </w:t>
      </w:r>
      <w:r w:rsidRPr="005E1CD9">
        <w:t xml:space="preserve">TSRS VSK specialiosios paskirties grupės „A“ viršininko pavaduotojui papulkininkiui </w:t>
      </w:r>
      <w:r w:rsidRPr="005E1CD9">
        <w:rPr>
          <w:rFonts w:eastAsiaTheme="minorHAnsi"/>
        </w:rPr>
        <w:t xml:space="preserve">M. G. už inkriminuotus nusikaltimus buvo paskirta galutinė subendrinta 12 metų laisvės atėmimo bausmė. M. G. gynėjas apeliaciniame skunde nepateikė argumentų dėl jo ginamajam skirtos bausmės </w:t>
      </w:r>
      <w:r w:rsidRPr="005E1CD9">
        <w:t>ir prašė jį išteisinti (apeliacinio proceso metu M. G. gynėjas savo baigiamojoje kalboje teigė, kad byloje buvo pagrindas konstatuoti BK 59 straipsnio 8 punkte numatytą lengvinančią aplinkybę (veika padaryta pažeidžiant profesinės pareigos vykdymo, teisėtumo sąlygas) ir taikyti BK 30 straipsnio 1 dalies nuostatas, kad asmuo pagal BK neatsako už žalą, kurią padarė vykdydamas profesines pareigas, jeigu jis neviršijo įstatymų ar kitų teisės aktų reikalavimų)</w:t>
      </w:r>
      <w:r w:rsidRPr="005E1CD9">
        <w:rPr>
          <w:rFonts w:eastAsiaTheme="minorHAnsi"/>
        </w:rPr>
        <w:t>. Prokurorai apeliaciniu skundu neginčijo pirmosios instancijos teismo M. G. paskirtos bausmės. Teisėjų kolegijos vertinimu,</w:t>
      </w:r>
      <w:r w:rsidRPr="005E1CD9">
        <w:t xml:space="preserve"> turint omenyje reikšmingą M. G. vaidmenį bendroje karinėje operacijoje, jo užimtas pareigas,</w:t>
      </w:r>
      <w:r w:rsidRPr="005E1CD9">
        <w:rPr>
          <w:rFonts w:eastAsiaTheme="minorHAnsi"/>
        </w:rPr>
        <w:t xml:space="preserve"> jam </w:t>
      </w:r>
      <w:r w:rsidRPr="005E1CD9">
        <w:t xml:space="preserve">paskirta bausmė laikytina teisinga bei proporcinga. M. G. buvo vienas iš karinės operacijos koordinatorių (kaip ir A. Ž., kuriam šiuo sprendimu skirtina subendrinta 12 metų laisvės atėmimo bausmė), o taip pat ir pats tiesiogiai dalyvavo bei asmeniškai vadovavo pavaldiems TSRS VSK </w:t>
      </w:r>
      <w:bookmarkStart w:id="965" w:name="_Hlk67395334"/>
      <w:r w:rsidRPr="005E1CD9">
        <w:t xml:space="preserve">specialiosios paskirties grupės </w:t>
      </w:r>
      <w:bookmarkEnd w:id="965"/>
      <w:r w:rsidRPr="005E1CD9">
        <w:t>„A“ kariškiams užimant TV bokštą, kai tiesioginiais TSRS VSK specialiosios paskirties grupės „A“ kariškio veiksmais buvo nužudytas I. Š., o veikiant bendrai su kitais kariškiais sužaloti ir kiti nuosprendyje nurodyti nukentėjusieji. M. G. taip pat vadovavo ir davė nurodymus jam pavaldžiam J. Č. bei koordinavo jo ir kitų TSRS VSK specialiosios paskirties grupės „A“ kariškių veiksmus užimant LRT. Taigi, turėdamas omenyje ir aptartą A. Ž. paskirtą bausmės dydį, apeliacinės instancijos teismas neturi jokio pagrindo M. G. skirti švelnesnės bausmės, nes jo vaidmuo operacijoje reikšmingas ir pavojingesnis už daugumos kitų prie konkrečių objektų veikusių žemesnio rango karininkų veiksmus. Atsakant į gynėjo teiginius dėl BK 30 straipsnio ir BK 59 straipsnio nuostatų taikymo, teisėjų kolegija pažymi, kad BK 30 straipsnio 1 dalyje numatyta, jog asmuo pagal BK neatsako už žalą, kurią padarė vykdydamas profesines pareigas, jeigu jis neviršijo įstatymų ar kitų teisės aktų nustatytų įgaliojimų. Pagal teismų praktiką, profesinių pareigų vykdymas yra baudžiamąją atsakomybę šalinanti aplinkybė tik tuo atveju, jei tokios pareigos atliekamos vadovaujantis įstatyme ar kitame teisės akte nustatytomis sąlygomis ir jas vykdant neperžengiamos įstatymo ar kito teisės akto nustatytos ribos. Taigi BK 30 straipsnyje nurodytos baudžiamąją atsakomybę šalinančios aplinkybės vienas esminių požymių yra veiksmų, atliekamų vykdant profesines pareigas, teisėtumas (LAT nutartys baudžiamosiose bylose Nr. 2K-P-1/2014, 2K-380-942/2015, 2K-74-976/2017). Teisėjų kolegija pažymi, kad šioje byloje konstatavus, jog nuteistųjų – karininkų – veiksmais buvo padaryta žala civiliams asmenims, akivaizdžiai pažeidžiant tarptautinės teisės normų reikalavimus ir viršijant kariuomenės atstovų teisėto veikimo ribas, nėra teisinio pagrindo taikyti BK 30 straipsnio 1 dalies nuostatas. Teisėjų kolegija, įvertinusi bausmės skyrimui reikšmingų aplinkybių visumą ir nustačiusi, kad M. G. paskirta bausmė yra teisinga bei proporcinga, daro išvadą, kad nėra pagrindo taikyti ir BK 30 straipsnio 2 dalies nuostatų dėl švelnesnės bausmės skyrimo, remiantis BK 59 straipsniu. Be to, teisėjų kolegija jau pasisakė, kad, vertindama nuteistųjų veiksmus ir spręsdama dėl bausmės, atsižvelgia į tai, jog daugelis nuteistųjų vykdė aukštesniųjų kariškių įsakymus, o tai savo esme atitinka nuteistojo gynėjo argumentus dėl minėtų aplinkybių įvertinimo.</w:t>
      </w:r>
    </w:p>
    <w:p w:rsidR="00DA38E9" w:rsidRPr="002C1EDB" w:rsidRDefault="00DA38E9" w:rsidP="00DA38E9">
      <w:pPr>
        <w:numPr>
          <w:ilvl w:val="0"/>
          <w:numId w:val="6"/>
        </w:numPr>
        <w:spacing w:before="120" w:after="120"/>
        <w:ind w:left="992" w:hanging="992"/>
      </w:pPr>
      <w:bookmarkStart w:id="966" w:name="_Toc67677453"/>
      <w:r w:rsidRPr="002C1EDB">
        <w:rPr>
          <w:rFonts w:eastAsiaTheme="minorHAnsi"/>
        </w:rPr>
        <w:t>Pirmosios instancijos teismas</w:t>
      </w:r>
      <w:bookmarkEnd w:id="966"/>
      <w:r w:rsidRPr="002C1EDB">
        <w:rPr>
          <w:rFonts w:eastAsiaTheme="minorHAnsi"/>
        </w:rPr>
        <w:t xml:space="preserve"> </w:t>
      </w:r>
      <w:r w:rsidRPr="002C1EDB">
        <w:rPr>
          <w:rFonts w:eastAsia="Calibri"/>
        </w:rPr>
        <w:t xml:space="preserve">TSRS GM 107-osios motorizuotų šaulių divizijos vadui Vilniaus įgulos viršininkui generolui majorui V. U. 1 už jam inkriminuotus nusikaltimus paskyrė galutinę subendrintą 14 metų laisvės atėmimo bausmę. </w:t>
      </w:r>
      <w:r w:rsidRPr="002C1EDB">
        <w:rPr>
          <w:rFonts w:eastAsiaTheme="minorHAnsi"/>
        </w:rPr>
        <w:t xml:space="preserve">Prokurorai sutiko su tokia bausme ir šioje dalyje nuosprendžio neskundė, o </w:t>
      </w:r>
      <w:r w:rsidRPr="002C1EDB">
        <w:rPr>
          <w:rFonts w:eastAsia="Calibri"/>
        </w:rPr>
        <w:t>V. U. 1 gynėjai apeliaciniame skunde nepateikė argumentų</w:t>
      </w:r>
      <w:r w:rsidRPr="002C1EDB">
        <w:rPr>
          <w:rFonts w:eastAsiaTheme="minorHAnsi"/>
        </w:rPr>
        <w:t xml:space="preserve"> dėl jo ginamajam skirtos bausmės </w:t>
      </w:r>
      <w:r w:rsidRPr="002C1EDB">
        <w:t>ir prašė jį išteisinti.</w:t>
      </w:r>
      <w:r w:rsidRPr="002C1EDB">
        <w:rPr>
          <w:rFonts w:eastAsiaTheme="minorHAnsi"/>
        </w:rPr>
        <w:t xml:space="preserve"> Teisėjų kolegija pažymi, kad lyginant su kitais operacijos koordinatoriais, t. y. M. G. ir A. Ž., V. U. 1 buvo paskirta kiek griežtesnė bausmė.</w:t>
      </w:r>
      <w:r w:rsidRPr="002C1EDB">
        <w:rPr>
          <w:rStyle w:val="Heading3Char"/>
          <w:rFonts w:eastAsiaTheme="minorHAnsi"/>
          <w:sz w:val="24"/>
          <w:szCs w:val="24"/>
          <w:lang w:val="lt-LT"/>
        </w:rPr>
        <w:t xml:space="preserve"> </w:t>
      </w:r>
      <w:r w:rsidRPr="002C1EDB">
        <w:rPr>
          <w:rFonts w:eastAsiaTheme="minorHAnsi"/>
        </w:rPr>
        <w:t xml:space="preserve">Toks bausmės dydis yra teisingas ir proporcingas – jis objektyviai pateisinamas ir sąlygotas </w:t>
      </w:r>
      <w:r w:rsidRPr="002C1EDB">
        <w:rPr>
          <w:rFonts w:eastAsia="Calibri"/>
        </w:rPr>
        <w:t>V. U. 1 vaidmens,</w:t>
      </w:r>
      <w:r w:rsidRPr="002C1EDB">
        <w:t xml:space="preserve"> tiek rengiant karinę operaciją, tiek ją vykdant. Nuteistasis V. U. 1 buvo aukščiausias karinio dalinio, dislokuoto Vilniuje, vadas, bendradarbiavo su LKP/TSKP nariais ir būtent jo veiksmai, priimti sprendimai ir įsakymai buvo itin svarbūs planuojant, o vėliau ir panaudojant karinę jėgą prieš civilius. Kaip minėta, nuteistasis V. U. 1 dalyvavo visuose byloje nagrinėtuose 1991 m. įvykiuose. Jis kaip TSRS GM 107-osios motorizuotų šaulių divizijos vadas koordinavo šios divizijos kariškių (ir tuo pačiu tankų) veiksmus užimant Spaudos rūmus, TV bokštą ir LRT pastatus, be to, būtent jis 1991 m. sausio 13-osios naktį Vilniuje ir jo apylinkėse įvedė komendanto valandą, kurios metu civiliai ir toliau buvo persekiojami bei brutaliai žalojami dėl politinių ir nacionalinių motyvų. Teisėjų kolegijos įsitikinimu, V. U. 1 veikos mastas ir išskirtinis vaidmuo, tiek planuojant operaciją, tiek ją įgyvendinant, nesuteikia jokio pagrindo keisti pirmosios instancijos teismo nuosprendžiu jam paskirtų bausmių bei subendrintos bausmės. </w:t>
      </w:r>
    </w:p>
    <w:p w:rsidR="00DA38E9" w:rsidRPr="002C1EDB" w:rsidRDefault="00DA38E9" w:rsidP="00DA38E9">
      <w:pPr>
        <w:numPr>
          <w:ilvl w:val="0"/>
          <w:numId w:val="6"/>
        </w:numPr>
        <w:spacing w:before="120" w:after="120"/>
        <w:ind w:left="992" w:hanging="992"/>
        <w:rPr>
          <w:rFonts w:eastAsiaTheme="minorHAnsi"/>
        </w:rPr>
      </w:pPr>
      <w:r w:rsidRPr="002C1EDB">
        <w:t xml:space="preserve">Kaip minėta, teisėjų kolegija sutinka </w:t>
      </w:r>
      <w:r w:rsidRPr="002C1EDB">
        <w:rPr>
          <w:rFonts w:eastAsia="Calibri"/>
        </w:rPr>
        <w:t xml:space="preserve">su prokurorų pozicija dėl bausmių, paskirtų už pavojingiausias nusikalstamas veikas, griežtinimo nuteistajam V. K. 1. </w:t>
      </w:r>
      <w:r w:rsidRPr="002C1EDB">
        <w:rPr>
          <w:rFonts w:eastAsiaTheme="minorHAnsi"/>
        </w:rPr>
        <w:t xml:space="preserve"> </w:t>
      </w:r>
    </w:p>
    <w:p w:rsidR="00DA38E9" w:rsidRPr="002C1EDB" w:rsidRDefault="00DA38E9" w:rsidP="00DA38E9">
      <w:pPr>
        <w:pStyle w:val="ListParagraph"/>
        <w:numPr>
          <w:ilvl w:val="1"/>
          <w:numId w:val="6"/>
        </w:numPr>
        <w:spacing w:before="120" w:after="120"/>
        <w:ind w:left="992" w:hanging="992"/>
        <w:contextualSpacing w:val="0"/>
        <w:rPr>
          <w:szCs w:val="24"/>
        </w:rPr>
      </w:pPr>
      <w:bookmarkStart w:id="967" w:name="_Toc67677454"/>
      <w:r w:rsidRPr="002C1EDB">
        <w:rPr>
          <w:rFonts w:eastAsiaTheme="minorHAnsi"/>
        </w:rPr>
        <w:t>Skundžiamu nuosprendžiu TSRS GM Oro desanto pajėgų 76-osios oro desanto divizijos vado pavaduotojui pulkininkui V. K. 1 už jam inkriminuotus nusikaltimus buvo paskirta galutinė subendrinta 12 metų laisvės atėmimo bausmė.</w:t>
      </w:r>
      <w:bookmarkEnd w:id="967"/>
      <w:r w:rsidRPr="002C1EDB">
        <w:t xml:space="preserve"> Nuteistojo </w:t>
      </w:r>
      <w:r w:rsidRPr="002C1EDB">
        <w:rPr>
          <w:rFonts w:eastAsiaTheme="minorHAnsi"/>
        </w:rPr>
        <w:t xml:space="preserve">gynėja </w:t>
      </w:r>
      <w:r w:rsidRPr="002C1EDB">
        <w:rPr>
          <w:rFonts w:eastAsia="Calibri"/>
        </w:rPr>
        <w:t>apeliaciniame skunde nepateikė argumentų</w:t>
      </w:r>
      <w:r w:rsidRPr="002C1EDB">
        <w:rPr>
          <w:rFonts w:eastAsiaTheme="minorHAnsi"/>
        </w:rPr>
        <w:t xml:space="preserve"> dėl jos ginamajam skirtos bausmės (savo baigiamojoje kalboje nurodė tik tiek, kad prokurorų prašymas griežtinti bausmę nepagrįstas). Prokurorai </w:t>
      </w:r>
      <w:r w:rsidRPr="002C1EDB">
        <w:t>apeliaciniu skundu prašė V. K. 1 paskirtą subendrintą laisvės atėmimo bausmę sugriežtinti iki 15 metų, motyvuodami tuo, kad šis nuteistasis buvo vadovavimo karinei operacijai štabo narys, detalizavo karinės operacijos plano įgyvendinimą, numatė užimtinus objektus, konkretizavo kariuomenės užduotis ir veiksmus, paskyrė kariniams veiksmams vadovaujančius ir už veiksmų koordinavimą atsakingus karininkus ir šovė į V. L., naudodamas tarptautinės teisės uždraustą karo priemonę – 5,45 mm šovinį su išcentruota kulka.</w:t>
      </w:r>
      <w:r w:rsidRPr="002C1EDB">
        <w:rPr>
          <w:szCs w:val="24"/>
        </w:rPr>
        <w:t xml:space="preserve"> </w:t>
      </w:r>
    </w:p>
    <w:p w:rsidR="00495B43" w:rsidRPr="002C1EDB" w:rsidRDefault="00DA38E9" w:rsidP="00495B43">
      <w:pPr>
        <w:pStyle w:val="ListParagraph"/>
        <w:numPr>
          <w:ilvl w:val="1"/>
          <w:numId w:val="6"/>
        </w:numPr>
        <w:spacing w:before="120" w:after="120"/>
        <w:ind w:left="992" w:hanging="992"/>
        <w:contextualSpacing w:val="0"/>
        <w:rPr>
          <w:szCs w:val="24"/>
        </w:rPr>
      </w:pPr>
      <w:r w:rsidRPr="002C1EDB">
        <w:rPr>
          <w:szCs w:val="24"/>
        </w:rPr>
        <w:t>Teisėjų kolegijos įsitikinimu, nuteistojo V. K. 1 veikimas 1991 m. sausio mėn. įvykiuose Vilniuje buvo pavojingesnis už kitų aptartų karinę operaciją koordinavusių karininkų (M. G., A. Ž. ir V. U. 1), nes jis ne tik atliko vadovaujančio pobūdžio veiksmus, bet ir pats asmeniškai elgėsi brutaliai ir naudojo ginklą prieš civilius. Byloje nustatyta, kad V. K. 1 buvo vadovavimo karinei operacijai štabo narys ir aukščiausio karinio laipsnio karininkas iš TSRS GM 76-osios oro desanto divizijos, kuris paskyrė operacijos vykdymui atskirus vadovaujančius karininkus bei iš Šiaurės miestelio Vilniuje koordinavo bendrus kariškių veiksmus užimant TV bokštą bei LRT. Taip pat nustatyta, kad Spaudos rūmų užėmimo metu jis asmeniškai šaudė iš automato AKS-74 tarptautinės teisės draudžiamais 5,45 mm kalibro šoviniais bei ginklu sužalojo nukentėjusįjį V. L.. Šiuos šūvius Spaudos rūmų užėmimo metu V. K. 1 atliko, reaguodamas į apipylimą vandeniu, kas buvo akivaizdžiai neproporcinga, nes, remdamasis mažareikšme dingstimi, jis iš kito kariškio perėmė ginklą ir jį panaudojo gyvybei pavojingu būdu. Pastebėtina, kad tokius veiksmus V. K. 1 atliko, būdamas aukščiausiu ir tiesiogiai bendrus kariškių veiksmus koordinavusiu karininku. Tokiais veiksmais jis tiek civiliams, tiek žemesnio rango kariškiams</w:t>
      </w:r>
      <w:r w:rsidRPr="002C1EDB">
        <w:rPr>
          <w:rFonts w:asciiTheme="minorHAnsi" w:eastAsiaTheme="minorHAnsi" w:hAnsiTheme="minorHAnsi" w:cstheme="minorBidi"/>
          <w:sz w:val="22"/>
          <w:szCs w:val="24"/>
        </w:rPr>
        <w:t xml:space="preserve"> </w:t>
      </w:r>
      <w:r w:rsidRPr="002C1EDB">
        <w:rPr>
          <w:szCs w:val="24"/>
        </w:rPr>
        <w:t>aiškiai demonstravo, kad bet kokios jėgos naudojimas prieš civilius yra galimas ir bus pateisinamas. Tokie veiksmai taip pat rodo, kad V. K. 1 sprendimus dėl savo elgesio priiminėjo, ne tik vykdydamas aukštesnių vadų įsakymus, bet ir asmeniškai bei savarankiškai, todėl šiame sprendime aptarta aplinkybė dėl įsakymų vykdymo, negali būti pervertinta, sprendžiant dėl V. K. 1 skirtinų bausmių dydžio.</w:t>
      </w:r>
    </w:p>
    <w:p w:rsidR="00DA38E9" w:rsidRPr="002C1EDB" w:rsidRDefault="00DA38E9" w:rsidP="00495B43">
      <w:pPr>
        <w:pStyle w:val="ListParagraph"/>
        <w:numPr>
          <w:ilvl w:val="1"/>
          <w:numId w:val="6"/>
        </w:numPr>
        <w:spacing w:before="120" w:after="120"/>
        <w:ind w:left="992" w:hanging="992"/>
        <w:contextualSpacing w:val="0"/>
        <w:rPr>
          <w:szCs w:val="24"/>
        </w:rPr>
      </w:pPr>
      <w:r w:rsidRPr="002C1EDB">
        <w:rPr>
          <w:rFonts w:eastAsia="Calibri"/>
        </w:rPr>
        <w:t>Atsižvelgdama į V. K. 1 pavojingumą, vaidmenį ir itin aukštą jo statusą nagrinėjamų įvykių metu, teisėjų kolegija sutinka su prokurorų pozicija dėl bausmės griežtinimo V. K. 1 ir</w:t>
      </w:r>
      <w:r w:rsidRPr="002C1EDB">
        <w:t xml:space="preserve">, iš dalies tenkindama prokurorų apeliacinį skundą, </w:t>
      </w:r>
      <w:r w:rsidRPr="002C1EDB">
        <w:rPr>
          <w:rFonts w:eastAsia="Calibri"/>
        </w:rPr>
        <w:t>įžvelgia pagrindą šiam karininkui skirti griežtesnes bausmes nei kitiems nuteistiesiems. Teisėjų kolegijos vertinimu, nuteistajam V. K. 1 paskirtas bausmes teisinga sugriežtinti taip:</w:t>
      </w:r>
    </w:p>
    <w:p w:rsidR="00DA38E9" w:rsidRPr="00C00255" w:rsidRDefault="00DA38E9" w:rsidP="00DA38E9">
      <w:pPr>
        <w:numPr>
          <w:ilvl w:val="2"/>
          <w:numId w:val="6"/>
        </w:numPr>
        <w:spacing w:before="120" w:after="120"/>
        <w:ind w:left="992" w:hanging="992"/>
      </w:pPr>
      <w:r w:rsidRPr="00495B43">
        <w:rPr>
          <w:rFonts w:eastAsia="Calibri"/>
        </w:rPr>
        <w:t xml:space="preserve">pagal BK </w:t>
      </w:r>
      <w:r w:rsidRPr="00495B43">
        <w:t>100 straipsnį paskirtą 12 (dvylikos) metų laisvės atėmimo bausmę padidinti iki laisvės atėmimo 12 (dvylikai) metų ir 6 (šešiems) mėnesiams</w:t>
      </w:r>
      <w:r w:rsidRPr="00C00255">
        <w:t xml:space="preserve">; </w:t>
      </w:r>
    </w:p>
    <w:p w:rsidR="00DA38E9" w:rsidRPr="00C00255" w:rsidRDefault="00DA38E9" w:rsidP="00DA38E9">
      <w:pPr>
        <w:numPr>
          <w:ilvl w:val="2"/>
          <w:numId w:val="6"/>
        </w:numPr>
        <w:spacing w:before="120" w:after="120"/>
        <w:ind w:left="992" w:hanging="992"/>
      </w:pPr>
      <w:r w:rsidRPr="00495B43">
        <w:t>pagal BK 101 straipsnį paskirtą 12 (dvylikos) metų laisvės atėmimo bausmę padidinti iki laisvės atėmimo 15 (penkiolikai) metų</w:t>
      </w:r>
      <w:r w:rsidRPr="00C00255">
        <w:t xml:space="preserve">; </w:t>
      </w:r>
    </w:p>
    <w:p w:rsidR="00DA38E9" w:rsidRPr="002C1EDB" w:rsidRDefault="00DA38E9" w:rsidP="00DA38E9">
      <w:pPr>
        <w:numPr>
          <w:ilvl w:val="2"/>
          <w:numId w:val="6"/>
        </w:numPr>
        <w:spacing w:before="120" w:after="120"/>
        <w:ind w:left="992" w:hanging="992"/>
      </w:pPr>
      <w:r w:rsidRPr="002C1EDB">
        <w:t xml:space="preserve">pagal BK 111 straipsnio 1 dalį paskirtą 6 (šešerių) metų laisvės atėmimo bausmę padidinti iki laisvės atėmimo 7 (septyneriems) metams; </w:t>
      </w:r>
    </w:p>
    <w:p w:rsidR="00DA38E9" w:rsidRPr="00C00255" w:rsidRDefault="00DA38E9" w:rsidP="00DA38E9">
      <w:pPr>
        <w:numPr>
          <w:ilvl w:val="2"/>
          <w:numId w:val="6"/>
        </w:numPr>
        <w:spacing w:before="120" w:after="120"/>
        <w:ind w:left="992" w:hanging="992"/>
      </w:pPr>
      <w:r w:rsidRPr="00495B43">
        <w:t>pagal BK 112 straipsnį paskirtą 5 (penkerių) metų laisvės atėmimo bausmę padidinti iki laisvės atėmimo 6 (šešeriems) metams ir 6 (šešiems) mėnesiams</w:t>
      </w:r>
      <w:r w:rsidRPr="00C00255">
        <w:t xml:space="preserve">. </w:t>
      </w:r>
    </w:p>
    <w:p w:rsidR="00DA38E9" w:rsidRPr="002C1EDB" w:rsidRDefault="00DA38E9" w:rsidP="00DA38E9">
      <w:pPr>
        <w:numPr>
          <w:ilvl w:val="1"/>
          <w:numId w:val="6"/>
        </w:numPr>
        <w:spacing w:before="120" w:after="120"/>
        <w:ind w:left="992" w:hanging="992"/>
      </w:pPr>
      <w:r w:rsidRPr="002C1EDB">
        <w:t xml:space="preserve">Tokių apeliacinės instancijos teismo išvadų apie V. K. 1 veiksmus kontekste, teisėjų kolegija neįžvelgia jokio pagrindo tenkinti prokurorų apeliaciniame skunde nurodyto, bet niekaip neargumentuoto prašymo sušvelninti pagal BK 103 straipsnio 1 dalį paskirtą 8 metų laisvės atėmimo bausmę 6 mėnesiais. Tokia pati bausmė paskirta ir keliems kitiems taip pat labai pavojingai veikusiems nuteistiesiems (pvz., ir aptartam nuteistajam V. U. 1), tačiau jiems prokurorai neprašo švelninti bausmės, todėl tokia prokurorų pozicija nenuosekli ir nepagrįsta. </w:t>
      </w:r>
      <w:r w:rsidRPr="002C1EDB">
        <w:rPr>
          <w:rFonts w:eastAsia="Calibri"/>
        </w:rPr>
        <w:t>Esant idealiai nusikalstamų veikų sutapčiai, V. K. 1 skirtina galutinė subendrinta bausmė – laisvės atėmimas 15 (penkiolikai) metų.</w:t>
      </w:r>
      <w:r w:rsidRPr="002C1EDB">
        <w:rPr>
          <w:rFonts w:eastAsia="Calibri"/>
          <w:iCs/>
        </w:rPr>
        <w:t xml:space="preserve"> </w:t>
      </w:r>
    </w:p>
    <w:p w:rsidR="00DA38E9" w:rsidRPr="00C00255" w:rsidRDefault="00DA38E9" w:rsidP="00DA38E9">
      <w:pPr>
        <w:pStyle w:val="Heading4"/>
        <w:spacing w:before="120" w:after="120"/>
        <w:ind w:firstLine="992"/>
        <w:rPr>
          <w:rFonts w:ascii="Times New Roman" w:eastAsia="Calibri" w:hAnsi="Times New Roman"/>
          <w:b w:val="0"/>
          <w:i/>
          <w:iCs/>
          <w:sz w:val="24"/>
          <w:szCs w:val="20"/>
        </w:rPr>
      </w:pPr>
      <w:r w:rsidRPr="00C00255">
        <w:rPr>
          <w:rFonts w:ascii="Times New Roman" w:eastAsia="Calibri" w:hAnsi="Times New Roman"/>
          <w:b w:val="0"/>
          <w:i/>
          <w:sz w:val="24"/>
        </w:rPr>
        <w:t xml:space="preserve">Dėl nuteistiesiems </w:t>
      </w:r>
      <w:r>
        <w:rPr>
          <w:rFonts w:ascii="Times New Roman" w:eastAsia="Calibri" w:hAnsi="Times New Roman"/>
          <w:b w:val="0"/>
          <w:i/>
          <w:sz w:val="24"/>
        </w:rPr>
        <w:t>V. Š. 1</w:t>
      </w:r>
      <w:r w:rsidRPr="00C00255">
        <w:rPr>
          <w:rFonts w:ascii="Times New Roman" w:eastAsia="Calibri" w:hAnsi="Times New Roman"/>
          <w:b w:val="0"/>
          <w:i/>
          <w:sz w:val="24"/>
        </w:rPr>
        <w:t xml:space="preserve"> ir </w:t>
      </w:r>
      <w:r>
        <w:rPr>
          <w:rFonts w:ascii="Times New Roman" w:eastAsia="Calibri" w:hAnsi="Times New Roman"/>
          <w:b w:val="0"/>
          <w:i/>
          <w:sz w:val="24"/>
        </w:rPr>
        <w:t>A. N. 1</w:t>
      </w:r>
      <w:r w:rsidRPr="00C00255">
        <w:rPr>
          <w:rFonts w:ascii="Times New Roman" w:eastAsia="Calibri" w:hAnsi="Times New Roman"/>
          <w:b w:val="0"/>
          <w:i/>
          <w:sz w:val="24"/>
        </w:rPr>
        <w:t xml:space="preserve"> skirtinų bausmių</w:t>
      </w:r>
    </w:p>
    <w:p w:rsidR="00DA38E9" w:rsidRPr="002C1EDB" w:rsidRDefault="00DA38E9" w:rsidP="00DA38E9">
      <w:pPr>
        <w:numPr>
          <w:ilvl w:val="0"/>
          <w:numId w:val="6"/>
        </w:numPr>
        <w:spacing w:before="120" w:after="120"/>
        <w:ind w:left="992" w:hanging="992"/>
        <w:rPr>
          <w:rStyle w:val="Heading3Char"/>
          <w:rFonts w:eastAsiaTheme="minorHAnsi"/>
          <w:sz w:val="24"/>
          <w:lang w:val="lt-LT"/>
        </w:rPr>
      </w:pPr>
      <w:bookmarkStart w:id="968" w:name="_Toc67677455"/>
      <w:r w:rsidRPr="002C1EDB">
        <w:rPr>
          <w:rFonts w:eastAsiaTheme="minorHAnsi"/>
        </w:rPr>
        <w:t>Teisėjų kolegija sutinka su pirmosios instancijos teismo išvadomis dėl paskirtų bausmių byloje nuteistiems karinės</w:t>
      </w:r>
      <w:r w:rsidRPr="002C1EDB">
        <w:rPr>
          <w:rStyle w:val="Heading3Char"/>
          <w:rFonts w:eastAsiaTheme="minorHAnsi"/>
          <w:sz w:val="24"/>
          <w:lang w:val="lt-LT"/>
        </w:rPr>
        <w:t xml:space="preserve"> </w:t>
      </w:r>
      <w:r w:rsidRPr="002C1EDB">
        <w:rPr>
          <w:rFonts w:eastAsiaTheme="minorHAnsi"/>
        </w:rPr>
        <w:t>operacijos planavime dalyvavusiems LPK/TSKP nariams V. Š. 1 ir A. N. 1 (jiems abiem paskirtos vienodos bausmės už atskiras nusikalstamas veikas ir subendrinta 10 metų laisvės atėmimo bausmė</w:t>
      </w:r>
      <w:r w:rsidRPr="002C1EDB">
        <w:rPr>
          <w:rStyle w:val="Heading3Char"/>
          <w:rFonts w:eastAsiaTheme="minorHAnsi"/>
          <w:sz w:val="24"/>
          <w:lang w:val="lt-LT"/>
        </w:rPr>
        <w:t>).</w:t>
      </w:r>
      <w:bookmarkEnd w:id="968"/>
      <w:r w:rsidRPr="002C1EDB">
        <w:rPr>
          <w:rStyle w:val="Heading3Char"/>
          <w:rFonts w:eastAsiaTheme="minorHAnsi"/>
          <w:sz w:val="24"/>
          <w:lang w:val="lt-LT"/>
        </w:rPr>
        <w:t xml:space="preserve"> </w:t>
      </w:r>
    </w:p>
    <w:p w:rsidR="00DA38E9" w:rsidRPr="002C1EDB" w:rsidRDefault="00DA38E9" w:rsidP="00DA38E9">
      <w:pPr>
        <w:numPr>
          <w:ilvl w:val="0"/>
          <w:numId w:val="6"/>
        </w:numPr>
        <w:spacing w:before="120" w:after="120"/>
        <w:ind w:left="992" w:hanging="992"/>
        <w:rPr>
          <w:rStyle w:val="Heading3Char"/>
          <w:rFonts w:eastAsiaTheme="minorHAnsi"/>
          <w:sz w:val="24"/>
          <w:lang w:val="lt-LT"/>
        </w:rPr>
      </w:pPr>
      <w:bookmarkStart w:id="969" w:name="_Toc67677456"/>
      <w:r w:rsidRPr="002C1EDB">
        <w:rPr>
          <w:rFonts w:eastAsiaTheme="minorHAnsi"/>
        </w:rPr>
        <w:t>Nuteistasis A. N. 1 ir jo gynėjai nuosprendžio neskundė. Nuteistojo V. Š. 1 gynėja apeliaciniame skunde dėl</w:t>
      </w:r>
      <w:r w:rsidRPr="002C1EDB">
        <w:rPr>
          <w:rStyle w:val="Heading3Char"/>
          <w:rFonts w:eastAsiaTheme="minorHAnsi"/>
          <w:sz w:val="24"/>
          <w:lang w:val="lt-LT"/>
        </w:rPr>
        <w:t xml:space="preserve"> </w:t>
      </w:r>
      <w:r w:rsidRPr="002C1EDB">
        <w:rPr>
          <w:rFonts w:eastAsiaTheme="minorHAnsi"/>
        </w:rPr>
        <w:t>jos ginamajam paskirtos bausmės taip pat nepasisakė ir prašė jį išteisinti. Prokurorai šiems nuteistiesiems paskirtos bausmės dydžio neginčijo</w:t>
      </w:r>
      <w:r w:rsidRPr="002C1EDB">
        <w:rPr>
          <w:rStyle w:val="Heading3Char"/>
          <w:rFonts w:eastAsiaTheme="minorHAnsi"/>
          <w:sz w:val="24"/>
          <w:lang w:val="lt-LT"/>
        </w:rPr>
        <w:t>.</w:t>
      </w:r>
      <w:bookmarkEnd w:id="969"/>
      <w:r w:rsidRPr="002C1EDB">
        <w:rPr>
          <w:rStyle w:val="Heading3Char"/>
          <w:rFonts w:eastAsiaTheme="minorHAnsi"/>
          <w:sz w:val="24"/>
          <w:lang w:val="lt-LT"/>
        </w:rPr>
        <w:t xml:space="preserve"> </w:t>
      </w:r>
    </w:p>
    <w:p w:rsidR="00DA38E9" w:rsidRPr="002C1EDB" w:rsidRDefault="00DA38E9" w:rsidP="00DA38E9">
      <w:pPr>
        <w:numPr>
          <w:ilvl w:val="0"/>
          <w:numId w:val="6"/>
        </w:numPr>
        <w:spacing w:before="120" w:after="120"/>
        <w:ind w:left="992" w:hanging="992"/>
        <w:rPr>
          <w:rStyle w:val="Heading3Char"/>
          <w:rFonts w:eastAsiaTheme="minorHAnsi"/>
          <w:sz w:val="24"/>
          <w:lang w:val="lt-LT"/>
        </w:rPr>
      </w:pPr>
      <w:bookmarkStart w:id="970" w:name="_Toc67677457"/>
      <w:r w:rsidRPr="002C1EDB">
        <w:rPr>
          <w:rFonts w:eastAsiaTheme="minorHAnsi"/>
        </w:rPr>
        <w:t>Nuteistieji V. Š. 1 ir A. N. 1 nagrinėjamų įvykių metu aktyviai veikė kaip LKP/TSKP nariai, siekiantys grąžinti Lietuvą į TSRS sudėtį, ir tuo tikslu bendradarbiavo su TSRS kariškiais, be kita ko, dalyvaudami ir vadovavimo karinei operacijai štabo veikloje. Tokių aplinkybių kontekste pažymėtina, kad teisėjų kolegija visiems kitiems anksčiau aptartiems vadovavimo karinei operacijai štabo nariams nusprendė paskirti ne mažesnes nei 12 metų subendrintas laisvės atėmimo bausmes. Byloje nustatyta, kad V. Š. 1 ir A. N. 1, kartu su kitais LKP/TSKP vadovais, kūrė TSRS prezidentinio tiesioginio valdymo įvedimo planą, parinko užimtinus objektus ir ruošė jų užėmimo planus, paskyrė atsakingus asmenis, tarėsi su TSRS jėgos struktūrų vadovais dėl priemonių, įvedant TSRS prezidentinį valdymą bei Ypatingosios padėties teisinį režimą, įgyvendinimo, dalyvavo kuriant darbininkų draugoves, visuomeninius komitetus ir koordinavo jų veiksmus bei inicijavo karinę operaciją. Atsižvelgiant į visa tai, teisėjų kolegijos vertinimu, V. Š. 1 ir A. N. 1 paskirtos bausmės už atskiras nusikalstamas veikas ir galutinę subendrintą bausmę lėmusi 10 metų laisvės atėmimo bausmė, paskirta pagal BK 101 straipsnį, ją vertinant kitų vadovavimo štabo nariams paskirtų bausmių kontekste, laikytina pakankamai švelnia ir dar labiau jos švelninti, peržengiant įstatyme numatytą minimalią bausmės ribą, nėra jokio pagrindo.</w:t>
      </w:r>
      <w:bookmarkEnd w:id="970"/>
      <w:r w:rsidRPr="002C1EDB">
        <w:rPr>
          <w:rFonts w:eastAsiaTheme="minorHAnsi"/>
        </w:rPr>
        <w:t xml:space="preserve"> </w:t>
      </w:r>
    </w:p>
    <w:p w:rsidR="00DA38E9" w:rsidRPr="00C00255" w:rsidRDefault="00DA38E9" w:rsidP="00DA38E9">
      <w:pPr>
        <w:pStyle w:val="Heading3"/>
        <w:spacing w:before="120" w:after="120"/>
        <w:ind w:firstLine="992"/>
        <w:jc w:val="both"/>
        <w:rPr>
          <w:rStyle w:val="Heading3Char"/>
          <w:rFonts w:eastAsiaTheme="majorEastAsia"/>
          <w:b/>
          <w:i/>
          <w:sz w:val="24"/>
          <w:szCs w:val="24"/>
          <w:lang w:val="lt-LT" w:eastAsia="en-US"/>
        </w:rPr>
      </w:pPr>
      <w:bookmarkStart w:id="971" w:name="_Toc67677458"/>
      <w:bookmarkStart w:id="972" w:name="_Toc67985577"/>
      <w:r w:rsidRPr="00C00255">
        <w:rPr>
          <w:b w:val="0"/>
          <w:i/>
          <w:sz w:val="24"/>
          <w:lang w:val="lt-LT"/>
        </w:rPr>
        <w:t>Dėl bausmių tankų vadams ir kitiems tankų ekipažų nariams</w:t>
      </w:r>
      <w:bookmarkEnd w:id="971"/>
      <w:bookmarkEnd w:id="972"/>
    </w:p>
    <w:p w:rsidR="00DA38E9" w:rsidRPr="002C1EDB" w:rsidRDefault="00DA38E9" w:rsidP="00DA38E9">
      <w:pPr>
        <w:numPr>
          <w:ilvl w:val="0"/>
          <w:numId w:val="6"/>
        </w:numPr>
        <w:spacing w:before="120" w:after="120"/>
        <w:ind w:left="992" w:hanging="992"/>
        <w:rPr>
          <w:rFonts w:eastAsiaTheme="minorHAnsi"/>
        </w:rPr>
      </w:pPr>
      <w:r w:rsidRPr="002C1EDB">
        <w:t xml:space="preserve">Apeliacinės instancijos teismas pažymi, kad 1991 m. sausio mėn. įvykiuose Vilniuje be V. U. 1 dalyvavo dar dvidešimt vienas nuteistasis iš TSRS GM 107-osios motorizuotų šaulių divizijos. Atsižvelgdama į tai, teisėjų kolegija, pasisakydama dėl šiam daliniui priklausiusiems nuteistiesiems paskirtų bausmių teisingumo ir proporcingumo, pirmiausia aptars bausmes, paskirtas aukščiausias pareigas ėjusiems kariškiams, t. y. jungtiniams tankų ekipažams vadovavusiems kariškiams (N. A., G. </w:t>
      </w:r>
      <w:r w:rsidR="005E1CD9">
        <w:t>I. ir V. P.</w:t>
      </w:r>
      <w:r w:rsidRPr="002C1EDB">
        <w:t>); tuomet įvertins bausmes, paskirtas atskirų tankų vadams (V. U. 2, E. R., S. V., V. Š. 3, J. M. ir J. O.), ir galiausiai pasisakys dėl bausmių, paskirtų atskirų tankų taikytojams ir vairuotojams (</w:t>
      </w:r>
      <w:r w:rsidRPr="002C1EDB">
        <w:rPr>
          <w:rFonts w:eastAsia="Calibri"/>
        </w:rPr>
        <w:t>A. R., A. B.</w:t>
      </w:r>
      <w:r w:rsidRPr="002C1EDB">
        <w:rPr>
          <w:rFonts w:eastAsiaTheme="minorHAnsi"/>
        </w:rPr>
        <w:t xml:space="preserve"> </w:t>
      </w:r>
      <w:r w:rsidRPr="002C1EDB">
        <w:rPr>
          <w:rFonts w:eastAsia="Calibri"/>
        </w:rPr>
        <w:t>A. U., N. S., A. K., V. S. 4, N. O., A. K. 2, O. A., A. G. 1, D. B. ir D. F.</w:t>
      </w:r>
      <w:r w:rsidRPr="002C1EDB">
        <w:t xml:space="preserve">). Toks skirstymas leidžia kiekvienam nuteistajam paskirti proporcingą ir teisingą bausmę pagal jo vaidmenį bendroje nusikalstamoje veikoje, išvengiant skirtingo dydžio bausmių paskyrimo iš esmės tokius pat veiksmus atlikusiems asmenims. </w:t>
      </w:r>
    </w:p>
    <w:p w:rsidR="00DA38E9" w:rsidRPr="00C00255" w:rsidRDefault="00DA38E9" w:rsidP="00DA38E9">
      <w:pPr>
        <w:pStyle w:val="Heading4"/>
        <w:spacing w:before="120" w:after="120"/>
        <w:ind w:firstLine="992"/>
        <w:rPr>
          <w:rFonts w:ascii="Times New Roman" w:hAnsi="Times New Roman"/>
          <w:i/>
          <w:sz w:val="24"/>
          <w:szCs w:val="20"/>
        </w:rPr>
      </w:pPr>
      <w:r w:rsidRPr="00C00255">
        <w:rPr>
          <w:rFonts w:ascii="Times New Roman" w:hAnsi="Times New Roman"/>
          <w:b w:val="0"/>
          <w:i/>
          <w:sz w:val="24"/>
        </w:rPr>
        <w:t xml:space="preserve">Dėl nuteistiesiems </w:t>
      </w:r>
      <w:r>
        <w:rPr>
          <w:rFonts w:ascii="Times New Roman" w:hAnsi="Times New Roman"/>
          <w:b w:val="0"/>
          <w:i/>
          <w:sz w:val="24"/>
        </w:rPr>
        <w:t>N. A.</w:t>
      </w:r>
      <w:r w:rsidRPr="00C00255">
        <w:rPr>
          <w:rFonts w:ascii="Times New Roman" w:hAnsi="Times New Roman"/>
          <w:b w:val="0"/>
          <w:i/>
          <w:sz w:val="24"/>
        </w:rPr>
        <w:t xml:space="preserve">, </w:t>
      </w:r>
      <w:r>
        <w:rPr>
          <w:rFonts w:ascii="Times New Roman" w:hAnsi="Times New Roman"/>
          <w:b w:val="0"/>
          <w:i/>
          <w:sz w:val="24"/>
        </w:rPr>
        <w:t xml:space="preserve">G. I. </w:t>
      </w:r>
      <w:r w:rsidRPr="00C00255">
        <w:rPr>
          <w:rFonts w:ascii="Times New Roman" w:hAnsi="Times New Roman"/>
          <w:b w:val="0"/>
          <w:i/>
          <w:sz w:val="24"/>
        </w:rPr>
        <w:t xml:space="preserve"> ir </w:t>
      </w:r>
      <w:r>
        <w:rPr>
          <w:rFonts w:ascii="Times New Roman" w:hAnsi="Times New Roman"/>
          <w:b w:val="0"/>
          <w:i/>
          <w:sz w:val="24"/>
        </w:rPr>
        <w:t xml:space="preserve">V. P. </w:t>
      </w:r>
      <w:r w:rsidRPr="00C00255">
        <w:rPr>
          <w:rFonts w:ascii="Times New Roman" w:hAnsi="Times New Roman"/>
          <w:b w:val="0"/>
          <w:i/>
          <w:sz w:val="24"/>
        </w:rPr>
        <w:t>skirtinų bausmių</w:t>
      </w:r>
    </w:p>
    <w:p w:rsidR="00495B43" w:rsidRPr="002C1EDB" w:rsidRDefault="00DA38E9" w:rsidP="00495B43">
      <w:pPr>
        <w:numPr>
          <w:ilvl w:val="0"/>
          <w:numId w:val="6"/>
        </w:numPr>
        <w:spacing w:before="120" w:after="120"/>
        <w:ind w:left="992" w:hanging="992"/>
        <w:rPr>
          <w:rFonts w:eastAsiaTheme="minorHAnsi"/>
          <w:szCs w:val="20"/>
        </w:rPr>
      </w:pPr>
      <w:r w:rsidRPr="002C1EDB">
        <w:rPr>
          <w:rFonts w:eastAsia="Calibri"/>
        </w:rPr>
        <w:t>Teisėjų kolegija iš dalies sutinka su prokurorų pozicija, kad nuteistajam G. I.  už kai kurias nusikalstamas veikas turi būti skiriamos griežtesnės bausmės ir tuo pačiu griežtesnė subendrinta bausmė, tačiau nesutinka su prokurorų apeliacin</w:t>
      </w:r>
      <w:r w:rsidR="002C1EDB" w:rsidRPr="002C1EDB">
        <w:rPr>
          <w:rFonts w:eastAsia="Calibri"/>
        </w:rPr>
        <w:t xml:space="preserve">io skundo argumentu, kad G. I. </w:t>
      </w:r>
      <w:r w:rsidRPr="002C1EDB">
        <w:rPr>
          <w:rFonts w:eastAsia="Calibri"/>
        </w:rPr>
        <w:t>nebuvo pagrindo taikyti BK 54 straipsnio 3 dalies nuostatų dėl nusikalstamos veikos, numatytos BK 101 straipsnyje. Taip pat apeliacinės instancijos teismas konstatuoja, kad nėra pagrindo</w:t>
      </w:r>
      <w:r w:rsidRPr="002C1EDB">
        <w:t xml:space="preserve"> </w:t>
      </w:r>
      <w:r w:rsidRPr="002C1EDB">
        <w:rPr>
          <w:rFonts w:eastAsia="Calibri"/>
        </w:rPr>
        <w:t>švelninti skundžiamu teismo nuo</w:t>
      </w:r>
      <w:r w:rsidR="002C1EDB" w:rsidRPr="002C1EDB">
        <w:rPr>
          <w:rFonts w:eastAsia="Calibri"/>
        </w:rPr>
        <w:t>sprendžiu nuteistiesiems N. A. ir V. P.</w:t>
      </w:r>
      <w:r w:rsidRPr="002C1EDB">
        <w:rPr>
          <w:rFonts w:eastAsia="Calibri"/>
        </w:rPr>
        <w:t xml:space="preserve"> paskirtų bausmių. </w:t>
      </w:r>
    </w:p>
    <w:p w:rsidR="00495B43" w:rsidRPr="002C1EDB" w:rsidRDefault="00DA38E9" w:rsidP="00495B43">
      <w:pPr>
        <w:numPr>
          <w:ilvl w:val="0"/>
          <w:numId w:val="6"/>
        </w:numPr>
        <w:spacing w:before="120" w:after="120"/>
        <w:ind w:left="992" w:hanging="992"/>
        <w:rPr>
          <w:rFonts w:eastAsiaTheme="minorHAnsi"/>
          <w:szCs w:val="20"/>
        </w:rPr>
      </w:pPr>
      <w:r w:rsidRPr="002C1EDB">
        <w:rPr>
          <w:rFonts w:eastAsia="Calibri"/>
        </w:rPr>
        <w:t xml:space="preserve">Teisėjų kolegija ankstesnėse šio procesinio sprendimo dalyse konstatavo, kad nuteistasis N. A. vadovavo jungtiniams tankų ekipažams prie TV bokšto, nuteistasis G. I.  – jungtiniams tankų ekipažams prie Spaudos rūmų, o nuteistasis V. P.  – jungtiniams tankų ekipažams prie LRT. Visgi šiems nuteistiesiems skirtinos bausmės, atsižvelgiant į jų indėlį ir veiksmus bendroje nusikalstamoje veikoje bei atsižvelgiant į konkrečią situaciją, susiklosčiusią prie minėtų užimtų objektų, bei prie jų kilusias nevienodas pasekmes, objektyviai ir pateisinamai skiriasi. </w:t>
      </w:r>
    </w:p>
    <w:p w:rsidR="00495B43" w:rsidRPr="002C1EDB" w:rsidRDefault="00DA38E9" w:rsidP="00495B43">
      <w:pPr>
        <w:numPr>
          <w:ilvl w:val="0"/>
          <w:numId w:val="6"/>
        </w:numPr>
        <w:spacing w:before="120" w:after="120"/>
        <w:ind w:left="992" w:hanging="992"/>
        <w:rPr>
          <w:rFonts w:eastAsiaTheme="minorHAnsi"/>
          <w:szCs w:val="20"/>
        </w:rPr>
      </w:pPr>
      <w:r w:rsidRPr="002C1EDB">
        <w:rPr>
          <w:rFonts w:eastAsia="Calibri"/>
        </w:rPr>
        <w:t>TSRS GM 107-osios motorizuotų šaulių divizijos 106-ojo tankų pulko vadui nuteistajam N. A. skundžiamu nuosprendžiu paskirta subendrinta 14 metų laisvės atėmimo bausmė. N. A. ir (ar) jo gynėjai nuosprendžio apeliacine tvark</w:t>
      </w:r>
      <w:r w:rsidR="002C1EDB" w:rsidRPr="002C1EDB">
        <w:rPr>
          <w:rFonts w:eastAsia="Calibri"/>
        </w:rPr>
        <w:t xml:space="preserve">a neskundžia. Prokurorai N. A. </w:t>
      </w:r>
      <w:r w:rsidRPr="002C1EDB">
        <w:rPr>
          <w:rFonts w:eastAsia="Calibri"/>
        </w:rPr>
        <w:t>paskirtos bausmės griežtinti neprašo. Taigi byloje iš esmės nėra ginčo dėl N. A. paskirtos bausmės. Visgi, apeliacinės instancijos teismas dalį N. A. teismo nuosprendžiu inkriminuotų aplinkybių pripažino nepagrįstomis ir iš skundžiamo nuosprendžio pašalino aplinkybes dėl N. A. dalyvavimo planuojant karinę operaciją, todėl teisėjų kolegija pateiks argumentus, kodėl, jos įsitikinimu, nėra pagrindo keisti N. A. paskirtos bausmės, net ir pašalinus dalį inkriminuotų faktinių aplinkybių. Pažymėtina, kad N. A.  pagal BK 100 straipsnį (12 metų), BK 101 straipsnį (14 metų) ir BK 103 straipsnio 1 dalį (8 metai) paskirtos laisvės atėmimo bausmės ir galutinė subendrinta bausmė yra griežtesnės net už tas, kurios paskirtos daliai vadovavimo karinei operacijai štabo narių (bausmės, paskirtos pagal BK 111 straip</w:t>
      </w:r>
      <w:r w:rsidR="00495B43" w:rsidRPr="002C1EDB">
        <w:rPr>
          <w:rFonts w:eastAsia="Calibri"/>
        </w:rPr>
        <w:t>snio 1 dalį (6 metai) ir BK 112 </w:t>
      </w:r>
      <w:r w:rsidRPr="002C1EDB">
        <w:rPr>
          <w:rFonts w:eastAsia="Calibri"/>
        </w:rPr>
        <w:t xml:space="preserve">straipsnį (5 metai) atitinka daugumai kitų nuteistųjų paskirtas bausmes). Tačiau, teisėjų kolegijos vertinimu, toks bausmių dydis yra objektyviai </w:t>
      </w:r>
      <w:r w:rsidRPr="002C1EDB">
        <w:rPr>
          <w:rFonts w:eastAsiaTheme="minorHAnsi"/>
        </w:rPr>
        <w:t xml:space="preserve">nulemtas </w:t>
      </w:r>
      <w:r w:rsidRPr="002C1EDB">
        <w:rPr>
          <w:rFonts w:eastAsia="Calibri"/>
        </w:rPr>
        <w:t>N. A. vaidmens</w:t>
      </w:r>
      <w:r w:rsidRPr="002C1EDB">
        <w:t xml:space="preserve"> bendroje karinėje operacijoje pavojingumo ir masto. Byloje nustatyta, kad N. A.  ne tik, tiesiogiai dalyvaudamas ir būdamas vieno iš tankų ekipažo vadu, vadovavo jungtiniam tankų ekipažui prie TV bokšto, tačiau jo įsakymu buvo suformuotos tankų įgulos, be to, jis taip pat davė nurodymus tankų ekipažams vykti prie Spaudos rūmų ir LRT. Byloje nustatyta ir tai, kad prie TV bokšto N. A. vadovaujamas tankas užvažiavo ant civilių ir taip nužudė L. A., sunkiai sutrikdė trijų civilių sveikatą. Taigi, nors apeliacinės instancijos teismas ir padarė išvadą, kad skundžiamu nuosprendžiu N. A. nepagrįstai inkriminuotas dalyvavimas planuojant karinę operaciją, pastarojo karinės operacijos metu atliktų veiksmų ir priimtų sprendimų visuma bei tiesiogiai dėl jų kilusios pačios sunkiausios pasekmės rodo, kad skundžiamu nuosprendžiu N. A. paskirtos laisvės atėmimo bausmės už atskiras nusikalstamas veikas bei galutinė subendrinta bausmė buvo parinktos tinkamai ir nėra jokio pagrindo jas švelninti.</w:t>
      </w:r>
    </w:p>
    <w:p w:rsidR="00495B43" w:rsidRPr="002C1EDB" w:rsidRDefault="00DA38E9" w:rsidP="00495B43">
      <w:pPr>
        <w:numPr>
          <w:ilvl w:val="0"/>
          <w:numId w:val="6"/>
        </w:numPr>
        <w:spacing w:before="120" w:after="120"/>
        <w:ind w:left="992" w:hanging="992"/>
        <w:rPr>
          <w:rFonts w:eastAsiaTheme="minorHAnsi"/>
          <w:szCs w:val="20"/>
        </w:rPr>
      </w:pPr>
      <w:r w:rsidRPr="002C1EDB">
        <w:rPr>
          <w:rFonts w:eastAsia="Calibri"/>
        </w:rPr>
        <w:t xml:space="preserve">Skundžiamu nuosprendžiu TSRS GM 107-osios motorizuotų šaulių divizijos raketų artilerinės ginkluotės viršininkui nuteistajam G. I. dėl dalies nusikaltimų, numatytų BK 100 straipsnyje, BK 101 straipsnyje ir BK 111 straipsnio 1 dalyje, pritaikius BK 54 straipsnio 3 dalies nuostatas, buvo paskirtos švelnesnės laisvės atėmimo bausmės nei sankcijose nustatytos minimalios bausmės ir bausmių apėmimo būdu subendrinus už visas nusikalstamas veikas paskirtas bausmes, paskirta galutinė subendrinta 4 metų laisvės atėmimo bausmė. </w:t>
      </w:r>
      <w:r w:rsidR="00495B43" w:rsidRPr="002C1EDB">
        <w:rPr>
          <w:rFonts w:eastAsia="Calibri"/>
        </w:rPr>
        <w:t>G. </w:t>
      </w:r>
      <w:r w:rsidRPr="002C1EDB">
        <w:rPr>
          <w:rFonts w:eastAsia="Calibri"/>
        </w:rPr>
        <w:t xml:space="preserve">I. paskirtas bausmes ginčija tiek pats nuteistasis, kuris prašo bausmes švelninti arba jį atleisti nuo bausmės dėl ligos, tiek prokurorai, nurodantys, kad </w:t>
      </w:r>
      <w:r w:rsidR="00495B43" w:rsidRPr="002C1EDB">
        <w:rPr>
          <w:rFonts w:eastAsia="Calibri"/>
        </w:rPr>
        <w:t>G. I.</w:t>
      </w:r>
      <w:r w:rsidRPr="002C1EDB">
        <w:rPr>
          <w:rFonts w:eastAsia="Calibri"/>
        </w:rPr>
        <w:t xml:space="preserve"> nepagrįstai pritaikytos BK 54 straipsnio 3 dalies nuostatos ir jam turėtų būti paskirta galutinė subendrinta 10 metų laisvės atėmimo bausmė. </w:t>
      </w:r>
    </w:p>
    <w:p w:rsidR="00495B43" w:rsidRPr="002C1EDB" w:rsidRDefault="00DA38E9" w:rsidP="00495B43">
      <w:pPr>
        <w:numPr>
          <w:ilvl w:val="1"/>
          <w:numId w:val="6"/>
        </w:numPr>
        <w:spacing w:before="120" w:after="120"/>
        <w:ind w:left="992" w:hanging="992"/>
        <w:rPr>
          <w:rFonts w:eastAsiaTheme="minorHAnsi"/>
          <w:szCs w:val="20"/>
        </w:rPr>
      </w:pPr>
      <w:r w:rsidRPr="002C1EDB">
        <w:rPr>
          <w:rFonts w:eastAsia="Calibri"/>
        </w:rPr>
        <w:t>Pirmiausia, pasisakytina dėl to, ar pagrįstai G. I. buvo pritaikytos BK 54 straipsnio 3 dalies nuostatos ir už atskiras nusikalstamas veikas paskirtos švelnesnės negu įstatymo numatytos bausmės. Teisėjų kolegija primena, kad prokurorų pozicija dėl BK 54 straipsnio 3 dalies nuostatų taikymo proceso metu nėra nuosekli. Prokurorai šių BK normų taikymo kai kuriems nuteistiesiems neginčija, o kitiems nuteistiesiems, kuriems šios normos pritaikytos, prašo netaikyti BK 54 straipsnio 3 dalies nuostatų. Pabrėžtina, kad G. I. karinėje operacijoje dalyvavo bei tankų ekipažams vadovavo tik užimant Spaudos rūmus, o prie kitų objektų jo nebuvo. Pirmosios instancijos teismas motorizuotų šaulių divizijos kariškiams, kurie dalyvavo tik užimant Spaudos rūmus, t. y. nuteistiesiems V. U. 2 (vieno iš tankų vadas), A. B. (tanko taikytojas), A. R. (tanko vairuotojas) bei G. I. dėl atskirų jų padarytų nusikaltimų taikė BK 54 straipsnio 3 dalies nuostatas ir paskyrė mažesnes nei įstatyme numatytos minimalios laisvės atėmimo bausmes. Nors apeliaciniu skundu prokurorai neginčija nuteistiesiems V. U. 2, A. B. ir A. R. paskirtų bausmių bei BK 54 straipsnio 3</w:t>
      </w:r>
      <w:r w:rsidR="002C1EDB" w:rsidRPr="002C1EDB">
        <w:rPr>
          <w:rFonts w:eastAsia="Calibri"/>
        </w:rPr>
        <w:t xml:space="preserve"> dalies taikymo, nuteistajam G. </w:t>
      </w:r>
      <w:r w:rsidRPr="002C1EDB">
        <w:rPr>
          <w:rFonts w:eastAsia="Calibri"/>
        </w:rPr>
        <w:t>I. prašo paskirti atskirų straipsnių sankcijose numatytas minimalias laisvės atėmimo bausmes ir netaikyti BK 54 straipsnio 3 dalies. Apeliacinės instancijos teismas sutinka, kad BK 54 straipsnio 3 dalies taikymas G. I. skundžiamame nuosprendyje yra pagrįstas bendro pobūdžio lakoniškais teiginiais, tačiau esminė pirmosios in</w:t>
      </w:r>
      <w:r w:rsidR="002C1EDB" w:rsidRPr="002C1EDB">
        <w:rPr>
          <w:rFonts w:eastAsia="Calibri"/>
        </w:rPr>
        <w:t>stancijos teismo išvada, jog G. </w:t>
      </w:r>
      <w:r w:rsidRPr="002C1EDB">
        <w:rPr>
          <w:rFonts w:eastAsia="Calibri"/>
        </w:rPr>
        <w:t>I. šios BK nuostatos taikytinos bent jau dėl pavojingiausios jam inkriminuotos nusikalstamos veikos, numatytos BK 101 straipsnyje, yra pagrįsta. Taigi, teisėjų kolegijos įsitikinimu, pirmosios instancijos teismo sprendimas motorizuotų šaulių divizijos kariškiams, kurie dalyvavo tik Spaudos rūmų užėmime, dėl kai kurių nusikalstamų veikų taikyti BK 54 straipsnio 3 dalies nuostatas yra objektyviai pagrįstas.</w:t>
      </w:r>
    </w:p>
    <w:p w:rsidR="00495B43" w:rsidRPr="002C1EDB" w:rsidRDefault="00DA38E9" w:rsidP="00495B43">
      <w:pPr>
        <w:numPr>
          <w:ilvl w:val="1"/>
          <w:numId w:val="6"/>
        </w:numPr>
        <w:spacing w:before="120" w:after="120"/>
        <w:ind w:left="992" w:hanging="992"/>
        <w:rPr>
          <w:rFonts w:eastAsiaTheme="minorHAnsi"/>
          <w:szCs w:val="20"/>
        </w:rPr>
      </w:pPr>
      <w:r w:rsidRPr="002C1EDB">
        <w:rPr>
          <w:rFonts w:eastAsia="Calibri"/>
        </w:rPr>
        <w:t xml:space="preserve">Byloje nustatyta, kad G. I. tiesiogiai vadovavo visiems tankams prie Spaudos rūmų, kai ši technika pavojingai manevravo tarp civilių ir taip kėlė jiems grėsmę bei juos baugino, taip pat G. I. buvo aukščiausio rango TSRS GM 107-osios motorizuotų šaulių divizijos karininkas buvęs prie Spaudos rūmų ir jis buvo atsakingas už minėtų tankų manevrus, kitus jų atliekamus veiksmus ir galėjo daryti jiems įtaką. Todėl teisėjų kolegija neįžvelgia pagrindo G. I. skiriant bausmes konkrečiai pagal BK 100 straipsnį (tarptautinės teisės draudžiamas elgesys su žmonėmis) ir BK 111 straipsnio 1 dalį (draudžiama karo ataka), taikyti BK 54 straipsnio 3 dalies nuostatas. Apeliacinės instancijos teismo vertinimu, už šias nusikalstamas veikas prokurorų siūlomos minimalios sankcijose nustatytos laisvės atėmimo bausmės atitinka </w:t>
      </w:r>
      <w:r w:rsidR="00495B43" w:rsidRPr="002C1EDB">
        <w:rPr>
          <w:rFonts w:eastAsia="Calibri"/>
        </w:rPr>
        <w:t>G. </w:t>
      </w:r>
      <w:r w:rsidRPr="002C1EDB">
        <w:rPr>
          <w:rFonts w:eastAsia="Calibri"/>
        </w:rPr>
        <w:t xml:space="preserve">I. bendroje karinėje operacijoje atliktų veiksmų pavojingumą ir mastą, yra proporcingos bei neprieštarauja teisingumo principui. Taigi šioje dalyje prokurorų skundas tenkinamas. Tačiau teisėjų kolegija nesutinka su prokurorų argumentu, kad </w:t>
      </w:r>
      <w:r w:rsidR="00495B43" w:rsidRPr="002C1EDB">
        <w:rPr>
          <w:rFonts w:eastAsia="Calibri"/>
        </w:rPr>
        <w:t>G. </w:t>
      </w:r>
      <w:r w:rsidRPr="002C1EDB">
        <w:rPr>
          <w:rFonts w:eastAsia="Calibri"/>
        </w:rPr>
        <w:t xml:space="preserve">I. ir pagal BK 101 straipsnį (tarptautinės humanitarinės teisės saugomų asmenų žudymas) turi būti skiriama minimali sankcijoje nustatyta laisvės atėmimo bausmė, netaikant BK </w:t>
      </w:r>
      <w:bookmarkStart w:id="973" w:name="_Hlk67424946"/>
      <w:r w:rsidRPr="002C1EDB">
        <w:rPr>
          <w:rFonts w:eastAsia="Calibri"/>
        </w:rPr>
        <w:t xml:space="preserve">54 straipsnio 3 dalies </w:t>
      </w:r>
      <w:bookmarkEnd w:id="973"/>
      <w:r w:rsidRPr="002C1EDB">
        <w:rPr>
          <w:rFonts w:eastAsia="Calibri"/>
        </w:rPr>
        <w:t>nuostatų.</w:t>
      </w:r>
      <w:r w:rsidRPr="002C1EDB">
        <w:rPr>
          <w:rFonts w:eastAsiaTheme="majorEastAsia"/>
        </w:rPr>
        <w:t xml:space="preserve"> Atsižvelgus į prie Spaudos rūmų kilusius padarinius (sužalojimų mastą ir nukentėjusiųjų skaičių), kurie, lyginant su prie LRT ir TV bokšto kilusiais padariniais, buvo santykinai mažesni, ilgą baudžiamojo proceso trukmę, į nuteistojo </w:t>
      </w:r>
      <w:r w:rsidR="00495B43" w:rsidRPr="002C1EDB">
        <w:rPr>
          <w:rFonts w:eastAsiaTheme="majorEastAsia"/>
        </w:rPr>
        <w:t>G. I.</w:t>
      </w:r>
      <w:r w:rsidRPr="002C1EDB">
        <w:rPr>
          <w:rFonts w:eastAsiaTheme="majorEastAsia"/>
        </w:rPr>
        <w:t xml:space="preserve"> ilgą laiką esant netikrumo dėl savo ateities būsenoje bei patiriamus suvaržymus dėl jam taikomos kardomosios priemonės, taip pat atsižvelgus į naujų nusikalstamų veikų nepadarymo aplinkybę, nuteistojo sveikatos</w:t>
      </w:r>
      <w:r w:rsidRPr="002C1EDB">
        <w:rPr>
          <w:rFonts w:eastAsiaTheme="majorEastAsia"/>
          <w:bCs/>
        </w:rPr>
        <w:t xml:space="preserve"> </w:t>
      </w:r>
      <w:r w:rsidRPr="002C1EDB">
        <w:rPr>
          <w:rFonts w:eastAsiaTheme="majorEastAsia"/>
        </w:rPr>
        <w:t xml:space="preserve">būklę, jo nesislapstymą nuo baudžiamojo proceso (dalyvavo teismo posėdžiuose tiek pirmosios instancijos, tiek apeliacinės instancijos teismuose), kas šioje konkrečioje byloje taip pat yra reikšminga aplinkybė bausmės skyrimui, konstatuotina, kad BK 101 straipsnio sankcijoje nustatytos, nors ir minimalios (10 metų), laisvės atėmimo bausmės skyrimas nuteistajam G. I. aiškiai prieštarautų teisingumo principui. Teisėjų kolegija, atsižvelgusi į kitiems nuteistiesiems, dalyvavusiems tik Spaudos rūmų užėmime, pagal BK 101 straipsnį paskirtas 4 metų laisvės atėmimo bausmes ir į tai, kad </w:t>
      </w:r>
      <w:r w:rsidR="00495B43" w:rsidRPr="002C1EDB">
        <w:rPr>
          <w:rFonts w:eastAsiaTheme="majorEastAsia"/>
        </w:rPr>
        <w:t>G. I.</w:t>
      </w:r>
      <w:r w:rsidRPr="002C1EDB">
        <w:rPr>
          <w:rFonts w:eastAsiaTheme="majorEastAsia"/>
        </w:rPr>
        <w:t xml:space="preserve"> aukštos pareigos bei vadovavimas visiems prie Spaudos rūmų buvusiems tankams rodo pavojingesnį jo veikimą, lyginant su kitų minėtų trijų nuteistųjų veiksmais, daro išvadą, kad bausmės tikslai bus pasiekti </w:t>
      </w:r>
      <w:r w:rsidR="00495B43" w:rsidRPr="002C1EDB">
        <w:rPr>
          <w:rFonts w:eastAsiaTheme="majorEastAsia"/>
        </w:rPr>
        <w:t>G. I</w:t>
      </w:r>
      <w:r w:rsidRPr="002C1EDB">
        <w:rPr>
          <w:rFonts w:eastAsiaTheme="majorEastAsia"/>
        </w:rPr>
        <w:t>. ir pagal BK 101 straipsnį (pavojingiausią inkriminuotą nusikalstamą veiką), taikant BK 54 straipsnio 3 dalies nuostatas, kaip ir pagal BK 100 straipsnį ir BK 111 straipsnio 1 dalį, skiriant 5 metų laisvės atėmimo bausmę.</w:t>
      </w:r>
      <w:r w:rsidRPr="002C1EDB">
        <w:rPr>
          <w:rFonts w:eastAsiaTheme="majorEastAsia"/>
          <w:bCs/>
        </w:rPr>
        <w:t xml:space="preserve"> </w:t>
      </w:r>
    </w:p>
    <w:p w:rsidR="00DA38E9" w:rsidRPr="002C1EDB" w:rsidRDefault="00DA38E9" w:rsidP="00495B43">
      <w:pPr>
        <w:numPr>
          <w:ilvl w:val="1"/>
          <w:numId w:val="6"/>
        </w:numPr>
        <w:spacing w:before="120" w:after="120"/>
        <w:ind w:left="992" w:hanging="992"/>
        <w:rPr>
          <w:rFonts w:eastAsiaTheme="minorHAnsi"/>
          <w:szCs w:val="20"/>
        </w:rPr>
      </w:pPr>
      <w:r w:rsidRPr="002C1EDB">
        <w:rPr>
          <w:rFonts w:eastAsiaTheme="majorEastAsia"/>
        </w:rPr>
        <w:t>Visa tai, kas minėta, paneigia ir nuteistojo G. I. apeliaciniame skunde dėstomus argumentus dėl jam skirtinos dar švelnesnės bausmės. Kaip minėta, tiek įvykių metu nuteistojo eitos aukštos pareigos, tiek jo vadovaujantis vaidmuo, jėga užimant vieną iš objektų, neleidžia dar labiau švelninti G. I. paskirtų bausmių (tarp jų ir bausmių, paskirtų pagal</w:t>
      </w:r>
      <w:r w:rsidRPr="002C1EDB">
        <w:rPr>
          <w:rFonts w:eastAsia="Calibri"/>
        </w:rPr>
        <w:t xml:space="preserve"> </w:t>
      </w:r>
      <w:r w:rsidRPr="002C1EDB">
        <w:rPr>
          <w:rFonts w:eastAsiaTheme="majorEastAsia"/>
        </w:rPr>
        <w:t>BK 103 straipsnio 1 dalį ir BK 112 straipsnį, kurių prokurorai neprašo griežtinti), kurios ir taip yra ženkliai švelnesnės už daugumai nuteistųjų šioje byloje paskirtas bausmes, nes priešingu atveju būtų pažeisti teisingumo ir proporcingumo principai. Pasak nuteistojo G. I., pirmosios instancijos teismas, skirdamas bausmę, neįvertino jo asmenybės nepavojingumo – po įvykių jis su šeima liko gyventi Lietuvoje, nepažeidinėjo Lietuvos įstatymų ir pan. Visgi vien tai, kad pirmosios instancijos teismas G. I. taikė BK 54 straipsnio 3 dalies nuostatas paneigia tokius apelianto teiginius, nes sprendžiant, ar minėtos BK normos gali būti taikomos, vertinamas tiek nusikalstamų veikų, tiek ir jas padariusio asmens pavojingumas.</w:t>
      </w:r>
    </w:p>
    <w:p w:rsidR="00DA38E9" w:rsidRPr="00C00255" w:rsidRDefault="00DA38E9" w:rsidP="00DA38E9">
      <w:pPr>
        <w:pStyle w:val="ListParagraph"/>
        <w:numPr>
          <w:ilvl w:val="1"/>
          <w:numId w:val="6"/>
        </w:numPr>
        <w:spacing w:before="120" w:after="120"/>
        <w:ind w:left="992" w:hanging="992"/>
        <w:contextualSpacing w:val="0"/>
        <w:rPr>
          <w:rFonts w:eastAsia="Calibri"/>
        </w:rPr>
      </w:pPr>
      <w:r w:rsidRPr="002C1EDB">
        <w:rPr>
          <w:rFonts w:eastAsiaTheme="majorEastAsia"/>
        </w:rPr>
        <w:t xml:space="preserve">Taigi, </w:t>
      </w:r>
      <w:r w:rsidRPr="002C1EDB">
        <w:rPr>
          <w:rFonts w:eastAsia="Calibri"/>
        </w:rPr>
        <w:t>teisėjų kolegija įžvelgia pagrindą G. I. pagal BK 100 st</w:t>
      </w:r>
      <w:r w:rsidR="002C1EDB" w:rsidRPr="002C1EDB">
        <w:rPr>
          <w:rFonts w:eastAsia="Calibri"/>
        </w:rPr>
        <w:t>raipsnį, BK 101 straipsnį ir BK </w:t>
      </w:r>
      <w:r w:rsidRPr="002C1EDB">
        <w:rPr>
          <w:rFonts w:eastAsia="Calibri"/>
        </w:rPr>
        <w:t xml:space="preserve">111 straipsnio 1 dalį paskirtas bausmes sugriežtinti taip: </w:t>
      </w:r>
    </w:p>
    <w:p w:rsidR="00DA38E9" w:rsidRPr="00C00255" w:rsidRDefault="00DA38E9" w:rsidP="00DA38E9">
      <w:pPr>
        <w:pStyle w:val="ListParagraph"/>
        <w:numPr>
          <w:ilvl w:val="2"/>
          <w:numId w:val="6"/>
        </w:numPr>
        <w:spacing w:before="120" w:after="120"/>
        <w:ind w:left="992" w:hanging="992"/>
        <w:contextualSpacing w:val="0"/>
        <w:rPr>
          <w:rFonts w:eastAsia="Calibri"/>
        </w:rPr>
      </w:pPr>
      <w:r w:rsidRPr="002C1EDB">
        <w:rPr>
          <w:rFonts w:eastAsia="Calibri"/>
        </w:rPr>
        <w:t>pagal BK</w:t>
      </w:r>
      <w:r w:rsidRPr="00C00255">
        <w:rPr>
          <w:rFonts w:eastAsia="Calibri"/>
          <w:iCs/>
          <w:szCs w:val="24"/>
        </w:rPr>
        <w:t xml:space="preserve"> </w:t>
      </w:r>
      <w:r w:rsidRPr="002C1EDB">
        <w:rPr>
          <w:rFonts w:eastAsia="Calibri"/>
        </w:rPr>
        <w:t>100 straipsnį, pritaikius BK 54 straipsnio 3 dalį, paskirtą 3 (trejų) metų laisvės atėmimo bausmę, panaikinus BK 54 straipsnio 3 dalies taikymą, padidinti iki laisvės atėmimo 5 (penkeriems) metams;</w:t>
      </w:r>
      <w:r w:rsidRPr="00C00255">
        <w:rPr>
          <w:rFonts w:eastAsia="Calibri"/>
          <w:iCs/>
          <w:szCs w:val="24"/>
        </w:rPr>
        <w:t xml:space="preserve"> </w:t>
      </w:r>
    </w:p>
    <w:p w:rsidR="00DA38E9" w:rsidRPr="00C00255" w:rsidRDefault="00DA38E9" w:rsidP="00DA38E9">
      <w:pPr>
        <w:pStyle w:val="ListParagraph"/>
        <w:numPr>
          <w:ilvl w:val="2"/>
          <w:numId w:val="6"/>
        </w:numPr>
        <w:spacing w:before="120" w:after="120"/>
        <w:ind w:left="992" w:hanging="992"/>
        <w:contextualSpacing w:val="0"/>
        <w:rPr>
          <w:rFonts w:eastAsia="Calibri"/>
        </w:rPr>
      </w:pPr>
      <w:r w:rsidRPr="002C1EDB">
        <w:rPr>
          <w:rFonts w:eastAsia="Calibri"/>
        </w:rPr>
        <w:t>pagal BK 101</w:t>
      </w:r>
      <w:r w:rsidRPr="00C00255">
        <w:rPr>
          <w:rFonts w:eastAsia="Calibri"/>
          <w:iCs/>
          <w:szCs w:val="24"/>
        </w:rPr>
        <w:t xml:space="preserve"> </w:t>
      </w:r>
      <w:r w:rsidRPr="002C1EDB">
        <w:rPr>
          <w:rFonts w:eastAsia="Calibri"/>
        </w:rPr>
        <w:t>straipsnį, pritaikius BK 54 straipsnio 3 dalį, paskirtą 4 (ketverių) metų laisvės atėmimo bausmę, taikant BK 54 straipsnio 3 dalį, padidinti iki laisvės atėmimo 5 (penkeriems) metams;</w:t>
      </w:r>
      <w:r w:rsidRPr="00C00255">
        <w:rPr>
          <w:rFonts w:eastAsia="Calibri"/>
          <w:iCs/>
          <w:szCs w:val="24"/>
        </w:rPr>
        <w:t xml:space="preserve"> </w:t>
      </w:r>
    </w:p>
    <w:p w:rsidR="00DA38E9" w:rsidRPr="002C1EDB" w:rsidRDefault="00DA38E9" w:rsidP="00DA38E9">
      <w:pPr>
        <w:pStyle w:val="ListParagraph"/>
        <w:numPr>
          <w:ilvl w:val="2"/>
          <w:numId w:val="6"/>
        </w:numPr>
        <w:spacing w:before="120" w:after="120"/>
        <w:ind w:left="992" w:hanging="992"/>
        <w:contextualSpacing w:val="0"/>
        <w:rPr>
          <w:rFonts w:eastAsia="Calibri"/>
        </w:rPr>
      </w:pPr>
      <w:r w:rsidRPr="002C1EDB">
        <w:rPr>
          <w:rFonts w:eastAsia="Calibri"/>
        </w:rPr>
        <w:t xml:space="preserve">pagal BK 111 straipsnio 1 dalį, pritaikius BK 54 straipsnio 3 dalį, paskirtą 3 (trejų) metų laisvės atėmimo bausmę, panaikinus BK 54 straipsnio 3 dalies taikymą, padidinti iki laisvės atėmimo 5 (penkeriems) metams. </w:t>
      </w:r>
    </w:p>
    <w:p w:rsidR="00DA38E9" w:rsidRPr="002C1EDB" w:rsidRDefault="00DA38E9" w:rsidP="00DA38E9">
      <w:pPr>
        <w:pStyle w:val="ListParagraph"/>
        <w:numPr>
          <w:ilvl w:val="1"/>
          <w:numId w:val="6"/>
        </w:numPr>
        <w:spacing w:before="120" w:after="120"/>
        <w:ind w:left="992" w:hanging="992"/>
        <w:contextualSpacing w:val="0"/>
        <w:rPr>
          <w:rFonts w:eastAsia="Calibri"/>
        </w:rPr>
      </w:pPr>
      <w:r w:rsidRPr="002C1EDB">
        <w:rPr>
          <w:rFonts w:eastAsia="Calibri"/>
        </w:rPr>
        <w:t>Kaip minėta, minimalių</w:t>
      </w:r>
      <w:r w:rsidRPr="002C1EDB">
        <w:rPr>
          <w:rFonts w:eastAsia="Calibri"/>
          <w:iCs/>
          <w:szCs w:val="24"/>
        </w:rPr>
        <w:t xml:space="preserve"> </w:t>
      </w:r>
      <w:r w:rsidRPr="002C1EDB">
        <w:rPr>
          <w:rFonts w:eastAsia="Calibri"/>
        </w:rPr>
        <w:t>laisvės atėmimo bausmių, paskirtų pagal BK 103 straipsnio 1 dalį ir pagal BK 112 straipsnį (laisvės atėmimo 3 metams), nėra pagrindo nei griežtinti, nei švelninti, todėl jos paliekamos nepakeistos. Esant idealiai nusikalstamų veikų sutapčiai, G. I.  skirtina galutinė subendrinta bausmė – laisvės atėmimas 5 (penkeriems) metams.</w:t>
      </w:r>
      <w:r w:rsidRPr="002C1EDB">
        <w:rPr>
          <w:rFonts w:eastAsia="Calibri"/>
          <w:iCs/>
          <w:szCs w:val="24"/>
        </w:rPr>
        <w:t xml:space="preserve">  </w:t>
      </w:r>
    </w:p>
    <w:p w:rsidR="00DA38E9" w:rsidRPr="002C1EDB" w:rsidRDefault="00DA38E9" w:rsidP="00DA38E9">
      <w:pPr>
        <w:pStyle w:val="ListParagraph"/>
        <w:numPr>
          <w:ilvl w:val="1"/>
          <w:numId w:val="6"/>
        </w:numPr>
        <w:spacing w:before="120" w:after="120"/>
        <w:ind w:left="992" w:hanging="992"/>
        <w:contextualSpacing w:val="0"/>
        <w:rPr>
          <w:rFonts w:eastAsia="Calibri"/>
        </w:rPr>
      </w:pPr>
      <w:r w:rsidRPr="002C1EDB">
        <w:rPr>
          <w:rFonts w:eastAsia="Calibri"/>
        </w:rPr>
        <w:t>Apeliaciniame skunde taip pat prašoma G. I. atleisti nuo bausmės dėl ligos, kuri, apeliantų teigimu, lemia tai, kad G. I. būtų per sunku atlikti laisvės atėmimo bausmę</w:t>
      </w:r>
      <w:r w:rsidRPr="002C1EDB">
        <w:t xml:space="preserve">. Apeliacinės instancijos teismas pažymi, kad dėl G. I. ligos pobūdžio buvo aiškintasi dar pirmosios instancijos teisme, o byloje esantys dokumentai apie šio asmens sveikatos būklę buvo iš naujo įvertinti ir apeliacinės instancijos teisme. Pažymėtina, kad jokių naujų dokumentų ar duomenų apie G. I. sunkią nepagydomą ligą, dėl kurios jam būtų per sunku atlikti laisvės atėmimo bausmę, nei su apeliaciniu skundu, nei apeliacinės instancijos teismo posėdyje nebuvo pateikta ar gauta, todėl teisėjų kolegija neįžvelgia pagrindo G. I. atžvilgiu taikyti BK 76 straipsnio nuostatų ir jį atleisti nuo bausmės atlikimo dėl ligos. Tuo atveju, jei bausmės vykdymo metu paaiškėtų, kad G. I. serga sunkia nepagydoma liga ir dėl jos jam būtų per sunku atlikti laisvės atėmimo bausmę, klausimas dėl atleidimo nuo bausmės atlikimo dėl ligos gali būti sprendžiamas ir bausmės vykdymo procese (BK 76 straipsnio 2 dalis, BPK 359 straipsnis). </w:t>
      </w:r>
    </w:p>
    <w:p w:rsidR="00DA38E9" w:rsidRPr="002C1EDB" w:rsidRDefault="00DA38E9" w:rsidP="00DA38E9">
      <w:pPr>
        <w:pStyle w:val="ListParagraph"/>
        <w:numPr>
          <w:ilvl w:val="0"/>
          <w:numId w:val="6"/>
        </w:numPr>
        <w:spacing w:before="120" w:after="120"/>
        <w:ind w:left="992" w:hanging="992"/>
        <w:contextualSpacing w:val="0"/>
        <w:rPr>
          <w:rFonts w:eastAsia="Calibri"/>
        </w:rPr>
      </w:pPr>
      <w:r w:rsidRPr="002C1EDB">
        <w:rPr>
          <w:rFonts w:eastAsia="Calibri"/>
        </w:rPr>
        <w:t>TSRS GM 107-osios motorizuotų šaulių divizijos 106-ojo tankų pulko kuopos vadui kapitonui V. P. skundžiamu nuosprendžiu paskirta galutinė subendrinta 10 metų laisvės atėmimo bausmė (pagal BK 101 straipsnį, nulėmusį galutinės subendrintos bau</w:t>
      </w:r>
      <w:r w:rsidR="002C1EDB" w:rsidRPr="002C1EDB">
        <w:rPr>
          <w:rFonts w:eastAsia="Calibri"/>
        </w:rPr>
        <w:t>smės dydį, paskirta minimali 10 </w:t>
      </w:r>
      <w:r w:rsidRPr="002C1EDB">
        <w:rPr>
          <w:rFonts w:eastAsia="Calibri"/>
        </w:rPr>
        <w:t>metų laisvės atėmimo bausmė, o pagal kitus BK straipsnius paskirtos mažesnės nei vidurkio dydžio bausmės). V. P. gynėjas apeliaciniame skunde nepateikė argumentų</w:t>
      </w:r>
      <w:r w:rsidRPr="002C1EDB">
        <w:rPr>
          <w:rFonts w:eastAsiaTheme="minorHAnsi"/>
        </w:rPr>
        <w:t xml:space="preserve"> dėl jo ginamajam skirtos bausmės ir prašė jį išteisinti. Prokurorai </w:t>
      </w:r>
      <w:r w:rsidRPr="002C1EDB">
        <w:rPr>
          <w:rFonts w:eastAsia="Calibri"/>
        </w:rPr>
        <w:t xml:space="preserve">V. P.  paskirtos bausmės griežtinti neprašė. Teisėjų kolegijos vertinimu, </w:t>
      </w:r>
      <w:r w:rsidRPr="002C1EDB">
        <w:t>turint omenyje reikšmingą V. P.  vaidmenį bendrai vykdytoje ir koordinuotoje karinėje operacijoje, užimtas pareigas,</w:t>
      </w:r>
      <w:r w:rsidRPr="002C1EDB">
        <w:rPr>
          <w:rFonts w:eastAsiaTheme="minorHAnsi"/>
        </w:rPr>
        <w:t xml:space="preserve"> jam </w:t>
      </w:r>
      <w:r w:rsidRPr="002C1EDB">
        <w:t>paskirtos bausmės laikytinos teisingomis bei proporcingomis. V. P., skirtingai nei G. I., dalyvavo ne tik užimant Spaudos rūmus (kaip vieno iš tankų vadas), bet ir vadovavo jungtiniam tankų ekipažui prie LRT, kur tankų ir visų kitų karinėje operacijoje dalyvavusių dalinių veiksmai buvo pavojingesni už atliktus prie Spaudos rūmų (prie LRT vienas civilis buvo nužudytas bei daugiau nei 200 jų kitaip sužaloti). Taigi V. P. veiksmai bendroje karinėje operacijoje buvo pavojingesni už G. I., tačiau visgi neprilygo N. A. veiksmų pavojingumui ir mastui. Dėl minėtos priežasties V. P. pagal BK 100 straipsnį, BK 101 straipsnį ir BK 103 straipsnio 1 dalį paskirtos mažesnės nei N. A., bet didesnės nei G. I.  laisvės atėmimo bausmės yra teisingos ir proporcingos. Taip pat teisėjų kolegija neįžvelgia pagrindo V. P. mažinti ir bausmių, paskirtų pagal BK 111 straipsnio 1 dalį bei BK 112 straipsnį, kadangi jos atitinka daugumai panašaus pavojingumo veiksmus atlikusių nuteistųjų už šias nusikalstamas veikas skirtas laisvės atėmimo bausmes. Taigi, atsižvelgiant į visa tai, kas minėta, konstatuotina, kad V. P. bausmės buvo paskirtos teisingai ir nėra pagrindo jų švelninti.</w:t>
      </w:r>
      <w:r w:rsidRPr="002C1EDB">
        <w:rPr>
          <w:szCs w:val="24"/>
        </w:rPr>
        <w:t xml:space="preserve"> </w:t>
      </w:r>
    </w:p>
    <w:p w:rsidR="00DA38E9" w:rsidRPr="00C00255" w:rsidRDefault="00DA38E9" w:rsidP="00DA38E9">
      <w:pPr>
        <w:pStyle w:val="Heading4"/>
        <w:spacing w:before="120" w:after="120"/>
        <w:ind w:left="992"/>
        <w:rPr>
          <w:rFonts w:ascii="Times New Roman" w:hAnsi="Times New Roman"/>
          <w:i/>
          <w:sz w:val="24"/>
          <w:szCs w:val="20"/>
        </w:rPr>
      </w:pPr>
      <w:r w:rsidRPr="00C00255">
        <w:rPr>
          <w:rFonts w:ascii="Times New Roman" w:hAnsi="Times New Roman"/>
          <w:b w:val="0"/>
          <w:i/>
          <w:sz w:val="24"/>
        </w:rPr>
        <w:t xml:space="preserve">Dėl nuteistiesiems </w:t>
      </w:r>
      <w:r>
        <w:rPr>
          <w:rFonts w:ascii="Times New Roman" w:hAnsi="Times New Roman"/>
          <w:b w:val="0"/>
          <w:i/>
          <w:sz w:val="24"/>
        </w:rPr>
        <w:t>V. U. 2</w:t>
      </w:r>
      <w:r w:rsidRPr="00C00255">
        <w:rPr>
          <w:rFonts w:ascii="Times New Roman" w:hAnsi="Times New Roman"/>
          <w:b w:val="0"/>
          <w:i/>
          <w:sz w:val="24"/>
        </w:rPr>
        <w:t xml:space="preserve">, </w:t>
      </w:r>
      <w:r>
        <w:rPr>
          <w:rFonts w:ascii="Times New Roman" w:hAnsi="Times New Roman"/>
          <w:b w:val="0"/>
          <w:i/>
          <w:sz w:val="24"/>
        </w:rPr>
        <w:t>E. R.</w:t>
      </w:r>
      <w:r w:rsidRPr="00C00255">
        <w:rPr>
          <w:rFonts w:ascii="Times New Roman" w:hAnsi="Times New Roman"/>
          <w:b w:val="0"/>
          <w:i/>
          <w:sz w:val="24"/>
        </w:rPr>
        <w:t xml:space="preserve">, </w:t>
      </w:r>
      <w:r>
        <w:rPr>
          <w:rFonts w:ascii="Times New Roman" w:hAnsi="Times New Roman"/>
          <w:b w:val="0"/>
          <w:i/>
          <w:sz w:val="24"/>
        </w:rPr>
        <w:t>S. V.</w:t>
      </w:r>
      <w:r w:rsidRPr="00C00255">
        <w:rPr>
          <w:rFonts w:ascii="Times New Roman" w:hAnsi="Times New Roman"/>
          <w:b w:val="0"/>
          <w:i/>
          <w:sz w:val="24"/>
        </w:rPr>
        <w:t xml:space="preserve">, </w:t>
      </w:r>
      <w:r>
        <w:rPr>
          <w:rFonts w:ascii="Times New Roman" w:hAnsi="Times New Roman"/>
          <w:b w:val="0"/>
          <w:i/>
          <w:sz w:val="24"/>
        </w:rPr>
        <w:t>V. Š. 3</w:t>
      </w:r>
      <w:r w:rsidRPr="00C00255">
        <w:rPr>
          <w:rFonts w:ascii="Times New Roman" w:hAnsi="Times New Roman"/>
          <w:b w:val="0"/>
          <w:i/>
          <w:sz w:val="24"/>
        </w:rPr>
        <w:t xml:space="preserve">, </w:t>
      </w:r>
      <w:r>
        <w:rPr>
          <w:rFonts w:ascii="Times New Roman" w:hAnsi="Times New Roman"/>
          <w:b w:val="0"/>
          <w:i/>
          <w:sz w:val="24"/>
        </w:rPr>
        <w:t>J. M.</w:t>
      </w:r>
      <w:r w:rsidRPr="00C00255">
        <w:rPr>
          <w:rFonts w:ascii="Times New Roman" w:hAnsi="Times New Roman"/>
          <w:b w:val="0"/>
          <w:i/>
          <w:sz w:val="24"/>
        </w:rPr>
        <w:t xml:space="preserve"> ir </w:t>
      </w:r>
      <w:r>
        <w:rPr>
          <w:rFonts w:ascii="Times New Roman" w:hAnsi="Times New Roman"/>
          <w:b w:val="0"/>
          <w:i/>
          <w:sz w:val="24"/>
        </w:rPr>
        <w:t>J. O.</w:t>
      </w:r>
      <w:r w:rsidRPr="00C00255">
        <w:rPr>
          <w:rFonts w:ascii="Times New Roman" w:hAnsi="Times New Roman"/>
          <w:b w:val="0"/>
          <w:i/>
          <w:sz w:val="24"/>
        </w:rPr>
        <w:t xml:space="preserve"> skirtinų bausmių</w:t>
      </w:r>
    </w:p>
    <w:p w:rsidR="00DA38E9" w:rsidRPr="002C1EDB" w:rsidRDefault="00DA38E9" w:rsidP="00495B43">
      <w:pPr>
        <w:pStyle w:val="ListParagraph"/>
        <w:numPr>
          <w:ilvl w:val="0"/>
          <w:numId w:val="6"/>
        </w:numPr>
        <w:spacing w:before="120" w:after="120"/>
        <w:ind w:left="992" w:hanging="992"/>
        <w:contextualSpacing w:val="0"/>
        <w:rPr>
          <w:rFonts w:eastAsia="Calibri"/>
          <w:szCs w:val="24"/>
        </w:rPr>
      </w:pPr>
      <w:r w:rsidRPr="002C1EDB">
        <w:rPr>
          <w:rFonts w:eastAsia="Calibri"/>
        </w:rPr>
        <w:t xml:space="preserve">Apeliacinės instancijos teismas, įvertinęs atskirų tankų vadų vaidmenį bendroje operacijoje, mažesnį jų veiksmų pavojingumą nei jungtinių tankų ekipažams vadovavusių kariškių, proceso trukmę ir faktą, kad pastarieji, be kita ko, operacijos metu vykdė aukštesnių karininkų įsakymus, neįžvelgia jokio pagrindo keisti tankų vadams V. U. 2, E. R., S. V., V. Š. 3, ir J. O. skundžiamu nuosprendžiu paskirtų pakankamai švelnių laisvės atėmimo bausmių bei sutinka su prokurorų pozicija, kad nuteistajam J. M. turi būti panaikintas BK 54 straipsnio 3 dalies taikymas ir pagal BK 101 straipsnį paskirta griežtesnė, bet tuo pačiu minimali sankcijoje nustatyta laisvės atėmimo bausmė. </w:t>
      </w:r>
    </w:p>
    <w:p w:rsidR="00495B43" w:rsidRPr="002C1EDB" w:rsidRDefault="00DA38E9" w:rsidP="00495B43">
      <w:pPr>
        <w:pStyle w:val="ListParagraph"/>
        <w:numPr>
          <w:ilvl w:val="0"/>
          <w:numId w:val="6"/>
        </w:numPr>
        <w:spacing w:before="120" w:after="120"/>
        <w:ind w:left="992" w:hanging="992"/>
        <w:contextualSpacing w:val="0"/>
        <w:rPr>
          <w:rFonts w:eastAsia="Calibri"/>
          <w:szCs w:val="24"/>
        </w:rPr>
      </w:pPr>
      <w:r w:rsidRPr="002C1EDB">
        <w:t>Apeliacinės instancijos teismas pažymi, kad skundžiamu nuosprendžiu beveik visų atskirų tankų vadams – nuteistiesiems E. R., S. V., V. Š. 3 ir J. O. (išskyrus nuteistuosius V. U. 2 bei J. M.) buvo paskirta subendrinta 10 metų laisvės atėmimo bausmė,</w:t>
      </w:r>
      <w:r w:rsidRPr="002C1EDB">
        <w:rPr>
          <w:szCs w:val="24"/>
        </w:rPr>
        <w:t xml:space="preserve"> </w:t>
      </w:r>
      <w:r w:rsidR="002C1EDB">
        <w:t>atitinkanti BK 101 </w:t>
      </w:r>
      <w:r w:rsidRPr="002C1EDB">
        <w:t>straipsnio sankcijoje numatytą minimalų laisvės atėmimo bausmės dydį. Taigi, pirmosios instancijos teismas siekė kiekvienam iš tankų vadų paskirti proporcingas bei tarpusavyje suderintas bausmes ir išskyrė tik du tankų vadus</w:t>
      </w:r>
      <w:r w:rsidR="002C1EDB">
        <w:t>, kuriems, vadovaudamasis BK 54 </w:t>
      </w:r>
      <w:r w:rsidRPr="002C1EDB">
        <w:t>straipsnio 3 dalies nuostatomis, paskyrė švelnesnes bausmes. Atsižvelgdama į tai, pirmiausia, teisėjų kolegija pasisakys dėl nuteistiesiems V. U. 2 ir J. M., pritaikius BK 54 straipsnio 3 dalį, paskirtų bausmių pagrįstumo, o vėliau – ir dėl kitiems tankų vadams paskirtų laisvės atėmimo bausmių.</w:t>
      </w:r>
      <w:r w:rsidRPr="002C1EDB">
        <w:rPr>
          <w:szCs w:val="24"/>
        </w:rPr>
        <w:t xml:space="preserve"> </w:t>
      </w:r>
    </w:p>
    <w:p w:rsidR="00495B43" w:rsidRPr="002C1EDB" w:rsidRDefault="00495B43" w:rsidP="00495B43">
      <w:pPr>
        <w:pStyle w:val="ListParagraph"/>
        <w:numPr>
          <w:ilvl w:val="0"/>
          <w:numId w:val="6"/>
        </w:numPr>
        <w:spacing w:before="120" w:after="120"/>
        <w:ind w:left="992" w:hanging="992"/>
        <w:contextualSpacing w:val="0"/>
        <w:rPr>
          <w:rFonts w:eastAsia="Calibri"/>
          <w:szCs w:val="24"/>
        </w:rPr>
      </w:pPr>
      <w:r w:rsidRPr="002C1EDB">
        <w:rPr>
          <w:rFonts w:eastAsia="Calibri"/>
        </w:rPr>
        <w:t>TSRS GM 107-osios motorizuotų šaulių divizijos 106-ojo tankų pulko kuopos vadui papulkininkiui V. U. 2 skundžiamu nuosprendžiu dėl dalies nusikalstamų veikų, numatytų BK 100 straipsnyje, BK 101 straipsnyje ir BK 111 straipsnio 1 dalyje, pritaikius BK 54 straipsnio 3 dalies nuostatas, buvo paskirtos švelnesnės laisvės atėmimo bausmės ir bausmių apėmimo būdu subendrinus už visas nusikalstamas veikas paskirtas bausmes, paskirta galutinė subendrinta 4 metų laisvės atėmimo bausmė. Nuteistojo V. U. 2 gynėja apeliaciniame skunde nepateikė argumentų dėl jo ginamajam paskirtos bausmės ir prašė jį išteisinti. Prokurorai apeliaciniu skundu šiam nuteistajam paskirtos bausmės neginčijo. Atsižvelgdama į tai, kas aptarta, pasisakant dėl nuteistajam G. I. paskirtos bausmės, teisėjų kolegija pažymi, kad V. U. 2, kaip vieno iš tankų vadas, dalyvavo tik užimant Spaudos rūmus, kur tankų ir kitų karinėje operacijoje dalyvavusių dalinių veiksmai ir sukelti padariniai nebuvo tokie pavojingi kaip prie TV bokšto ir LRT. Visgi V. U. 2 aukštas karinis laipsnis (papulkininkis), veiksmų pavojingumas ir veikos mastas (buvo vieno iš tankų ekipažo vadas įvykiuose, kur buvo sužalota keliasdešimt civilių) neduoda pagrindo svarstyti klausimo dėl dar švelnesnių bausmių skyrimo, kurios ir taip yra vienos švelniausių, taip pat yra panašios, kokias teismas kitose bylose skiria už daug mažesnio pavojingumo nusikalstamas veikas.</w:t>
      </w:r>
    </w:p>
    <w:p w:rsidR="00DA38E9" w:rsidRPr="002C1EDB" w:rsidRDefault="00DA38E9" w:rsidP="00495B43">
      <w:pPr>
        <w:pStyle w:val="ListParagraph"/>
        <w:numPr>
          <w:ilvl w:val="0"/>
          <w:numId w:val="6"/>
        </w:numPr>
        <w:spacing w:before="120" w:after="120"/>
        <w:ind w:left="992" w:hanging="992"/>
        <w:contextualSpacing w:val="0"/>
        <w:rPr>
          <w:rFonts w:eastAsia="Calibri"/>
          <w:szCs w:val="24"/>
        </w:rPr>
      </w:pPr>
      <w:r w:rsidRPr="002C1EDB">
        <w:rPr>
          <w:rFonts w:eastAsia="Calibri"/>
        </w:rPr>
        <w:t>Visiškai kitaip teisėjų kolegija vertina BK 54 straipsnio 3 dalies nuostatų pritaikymą nuteistajam J. M., kuris, priešingai nei V. U. 2, dalyvavo ne Spaudos rūmų, o TV bokšto šturmo metu. TSRS GM 107-osios motorizuotų šaulių divizijos 106-ojo tankų pulko kuopos būrio vadui leitenantui J. M. skundžiamu nuosprendžiu už BK 101 straipsnyje numatyto nusikaltimo padarymą, pritaikius BK 54 straipsnio 3 dalies nuostatas, buvo paskirta 3 metais švelnesnė nei sankcijoje nustatyta minimali 10 metų laisvės atėmimo bausmė. Skundžiamu nuosprendžiu nuteistajam paskirta galutinė subendrinta 7 metų laisvės atėmimo bausmė yra mažiausia ir tokiu būdu esmingai skiriasi nuo visų kitų tankų vadų, veikusių prie TV bokšto ar LRT, bausmių.</w:t>
      </w:r>
    </w:p>
    <w:p w:rsidR="00DA38E9" w:rsidRPr="002C1EDB" w:rsidRDefault="00DA38E9" w:rsidP="00DA38E9">
      <w:pPr>
        <w:pStyle w:val="ListParagraph"/>
        <w:numPr>
          <w:ilvl w:val="0"/>
          <w:numId w:val="6"/>
        </w:numPr>
        <w:spacing w:before="120" w:after="120"/>
        <w:ind w:left="992" w:hanging="992"/>
        <w:contextualSpacing w:val="0"/>
        <w:rPr>
          <w:rFonts w:eastAsia="Calibri"/>
          <w:szCs w:val="24"/>
        </w:rPr>
      </w:pPr>
      <w:r w:rsidRPr="002C1EDB">
        <w:rPr>
          <w:rFonts w:eastAsia="Calibri"/>
        </w:rPr>
        <w:t xml:space="preserve">Nuteistojo J. M. gynėja apeliaciniu skundu nesutinka su jos ginamajam paskirta bausme ir teigia, kad bausmė turėtų būti dar švelnesnė, atsižvelgus į </w:t>
      </w:r>
      <w:r w:rsidRPr="002C1EDB">
        <w:t>antraeilį J. M. vaidmenį nagrinėjamuose įvykiuose, į tai, kad asmeniškai jis jokių sužalojimų asmenims nepadarė, yra ilgą laiką suimtas, pensininkas, serga nepagydoma liga. Prokurorai prašo J. M.</w:t>
      </w:r>
      <w:r w:rsidR="00495B43" w:rsidRPr="002C1EDB">
        <w:t xml:space="preserve"> netaikyti BK 54 </w:t>
      </w:r>
      <w:r w:rsidRPr="002C1EDB">
        <w:t>straipsnio 3 dalies nuostatų ir jam pagal BK 101 straipsnio 1 dalį paskirtą bausmę sugriežtinti iki 10 metų laisvės atėmimo (už kitus BK straipsnius skirtų bausmių prokurorai neprašo griežtinti) bei atitinkamai paskirti subendrintą 10 metų laisvės atėmimo bausmę. Anot prokurorų, pirmosios instancijos teismas,</w:t>
      </w:r>
      <w:r w:rsidRPr="002C1EDB">
        <w:rPr>
          <w:szCs w:val="24"/>
        </w:rPr>
        <w:t xml:space="preserve"> </w:t>
      </w:r>
      <w:r w:rsidRPr="002C1EDB">
        <w:t>J. M. skirdamas bausmę pagal BK 101 straipsnį, nepagrįstai pritaikė BK 54 straipsnio 3 dalies nuostatas, nes atsižvelgė į aplinkybes, kurios nėra išimtinės, t. y. į tai, kad įvykių metu J. M. buvo 23 metų amžiaus, yra vienintelis nuteistasis, kuriam ilgą laiką buvo taikomas suėmimas ir kuris faktiškai atlieka bausmę. Prokurorai pabrėžė, kad J. M., būdamas tanko vadu ir dalyvaudamas įvykiuose prie TV bokšto, šaudė išmušamaisiais tankų užtaisais, nuo kurių nukentėjusieji patyrė akustines traumas, todėl jam skirtina artima minimaliai arba minimali laisvės atėmimo bausmė. Pasak prokurorų, net ir pripažinus, kad liga, kuria serga nuteistasis, yra nepagydoma (tačiau, jų teigimu, tokios aplinkybės byloje nenustatytos), tai būtų pagrindas nuteistąjį atleisti nuo bausmės BK 76 straipsnio pagrindu, bet ne pagrindas taikyti BK 54 straipsnio 3 dalies nuostatas.</w:t>
      </w:r>
      <w:r w:rsidRPr="002C1EDB">
        <w:rPr>
          <w:szCs w:val="24"/>
        </w:rPr>
        <w:t xml:space="preserve"> </w:t>
      </w:r>
    </w:p>
    <w:p w:rsidR="00DA38E9" w:rsidRPr="002C1EDB" w:rsidRDefault="00DA38E9" w:rsidP="00DA38E9">
      <w:pPr>
        <w:pStyle w:val="ListParagraph"/>
        <w:numPr>
          <w:ilvl w:val="0"/>
          <w:numId w:val="6"/>
        </w:numPr>
        <w:spacing w:before="120" w:after="120"/>
        <w:ind w:left="992" w:hanging="992"/>
        <w:contextualSpacing w:val="0"/>
        <w:rPr>
          <w:rFonts w:eastAsia="Calibri"/>
          <w:szCs w:val="24"/>
        </w:rPr>
      </w:pPr>
      <w:r w:rsidRPr="002C1EDB">
        <w:rPr>
          <w:szCs w:val="24"/>
        </w:rPr>
        <w:t>Teisėjų kolegijos įsitikinimu, prokurorų prašymas dėl J. M. pagal BK 101 straipsnį paskirtos laisvės atėmimo bausmės sugriežtinimo yra pagrįstas, nes BK 54 straipsnio 3 dalies nuostatos J. M. pritaikytos, nesant objektyvaus pagrindo, ir skundžiamu nuosprendžiu J. M. už pavojingiausią nusikalstamą veiką paskirtos laisvės atėmimo bausmės dydis yra neteisingas bei neproporcingas, turint omenyje kitiems tankų vadams, veikusiems prie LRT ar TV bokšto, už šią nusikalstamą veiką paskirtų bausmių dydžių.</w:t>
      </w:r>
    </w:p>
    <w:p w:rsidR="00DA38E9" w:rsidRPr="002C1EDB" w:rsidRDefault="00DA38E9" w:rsidP="00DA38E9">
      <w:pPr>
        <w:pStyle w:val="ListParagraph"/>
        <w:numPr>
          <w:ilvl w:val="1"/>
          <w:numId w:val="6"/>
        </w:numPr>
        <w:spacing w:before="120" w:after="120"/>
        <w:ind w:left="992" w:hanging="992"/>
        <w:contextualSpacing w:val="0"/>
        <w:rPr>
          <w:rFonts w:eastAsia="Calibri"/>
          <w:szCs w:val="24"/>
        </w:rPr>
      </w:pPr>
      <w:r w:rsidRPr="002C1EDB">
        <w:t>Pirmiausia, teisėjų kolegija sutinka, kad pirmosios instancijos teismo motyvai ir aplinkybės, kuriomis remiantis J. M. pritaikytos BK 54 straipsnio 3 dalies nuostatos – jaunas amžius veikos padarymo metu, ilgas laikas išbūtas suėmime ir faktinis bausmės atlikimas – yra nepakankamos šių nuostatų pritaikymui. Teisėjų kolegijos įsitikinimu, byloje konstatuotas J. M. veikos bendroje karinėje operacijoje pavojingumas, paneigia galimybes jam taikyti BK 54 straipsnio 3 dalies nuostatas. Nors nuteistojo gynėja teigia, kad J. M. vaidmuo įvykiuose buvo antraeilis ir jis savo veiksmais nieko nesužalojo, tokie teiginiai yra objektyviai paneigti. Byloje nustatyta, kad J. M. vadovavo vienam iš tankų, kuris buvo puolančiojoje tankų grupėje ir veikė daug pavojingiau nei kiti, nukreipiančiojoje tankų grupėje dalyvavę tankai. Šios grupės tankų vaidmuo bendroje operacijoje buvo itin svarbus ir sudarė sąlygas veikti kitiems kariškiams. Be to, skirtingai nei prie Spaudos rūmų (kur nebuvo nužudytų civilių ir sužaloti 57 asmenys), prie TV bokšto bendrais kariškių veiksmais buvo nužudyti 12 civilių bei daugiau nei 500 civilių patyrė kitus sveikatos sužalojimus (be tiesioginiais tankų veiksmais (pavojingai manevruojant, užvažiuojant, prispaudžiant ir pan.) nužudytų ir kitaip sunkiai sužalotų žmonių, vien akustines tankų šūvių traumas patyrė daugybė civilių). Be to, paties J. M. vadovaujamas tankas prie TV bokšto išlaužė tvorą, pavojingai manevravo tarp civilių ir bent 3 kartus iššovė išmušamaisiais užtaisais, o, kaip nustatyta byloje, tokie tankų šūviai civiliams sukėlė net ir sunkius sveikatos sutrikdymus. Tokių aplinkybių ir šiame nuosprendyje aptartų nukentėjusiųjų parodymų apie tankų šūvių pavojingumą kontekste, nuteistojo jaunas amžius, aplinkybė dėl jo kaip kariškio vykdyto įsakymo, proceso trukmė, iš tiesų labai ilgai taikyta kardomoji priemonė – suėmimas ir kt., šiuo konkrečiu atveju nėra tiek reikšmingos aplinkybės, kurios leistų peržengti įstatymo sankcijoje numatytą minimalią bausmę. Taigi, esant išdėstytoms aplinkybėms, teisėjų kolegija neįžvelgia jokio pagrindo konstatuoti, kad J. M. prokurorų prašoma skirti minimali BK 101 straipsnyje nustatyta laisvės atėmimo bausmė prieštarautų teisingumo principui – tokia bausmė yra objektyvi ir teisinga, siekiant įgyvendinti bausmės paskirtį bei užtikrinti proporcingumo principo laikymąsi, tiek turint omenyje bausmes, paskirtas kitiems šioje byloje tokius pačius ar labai panašius veiksmus atlikusiems nuteistiesiems, tiek panašias bausmes, teismų skiriamas už daug mažiau pavojingus nusikaltimus (pavienių asmenų sužalojimus, turtinius nusikaltimus, nusikalstamas veikas disponuojant narkotinėmis medžiagomis ir pan.).</w:t>
      </w:r>
      <w:r w:rsidRPr="002C1EDB">
        <w:rPr>
          <w:rFonts w:eastAsia="Calibri"/>
        </w:rPr>
        <w:t xml:space="preserve"> Esant išdėstytoms aplinkybėms, teisėjų kolegija neįžvelgia pagrindo J. M. švelninti ir pagal kitus BK straipsnius paskirtų laisvės atėmimo bausmių.</w:t>
      </w:r>
    </w:p>
    <w:p w:rsidR="00495B43" w:rsidRPr="002C1EDB" w:rsidRDefault="00DA38E9" w:rsidP="00495B43">
      <w:pPr>
        <w:pStyle w:val="ListParagraph"/>
        <w:numPr>
          <w:ilvl w:val="1"/>
          <w:numId w:val="6"/>
        </w:numPr>
        <w:spacing w:before="120" w:after="120"/>
        <w:ind w:left="992" w:hanging="992"/>
        <w:contextualSpacing w:val="0"/>
        <w:rPr>
          <w:rFonts w:eastAsia="Calibri"/>
          <w:szCs w:val="24"/>
        </w:rPr>
      </w:pPr>
      <w:r w:rsidRPr="002C1EDB">
        <w:rPr>
          <w:rFonts w:eastAsia="Calibri"/>
        </w:rPr>
        <w:t>Atsakydama į gynėjos argumentus dėl J. M. ligos, p</w:t>
      </w:r>
      <w:r w:rsidRPr="002C1EDB">
        <w:t>anašiai kaip ir pasisakant dėl nuteistajam G. I. skirtinos bausmės, teisėjų kolegija pažymi, kad byloje nepateikti ir negauti jokie objektyvūs duomenys ar dokumentai, patvirtinantys</w:t>
      </w:r>
      <w:r w:rsidRPr="002C1EDB">
        <w:rPr>
          <w:iCs/>
          <w:szCs w:val="24"/>
        </w:rPr>
        <w:t xml:space="preserve"> </w:t>
      </w:r>
      <w:r w:rsidRPr="002C1EDB">
        <w:t>apie tai, kad nuteistasis J. M. serga nepagydoma liga. Šiame kontekste pažymėtina, kad J. M., jo paties prašymu, šiuo metu realiai atlieka laisvės atėmimo bausmę pataisos namuose, todėl akivaizdu, kad dabartinė nuteistojo sveikatos būklė nesudaro pagrindo jo atžvilgiu taikyti nei BK 54 straipsnio 3 dalies nuostatų, nei atleisti jį nuo bausmės pagal BK 76 straipsnį.</w:t>
      </w:r>
    </w:p>
    <w:p w:rsidR="00DA38E9" w:rsidRPr="002C1EDB" w:rsidRDefault="00DA38E9" w:rsidP="00495B43">
      <w:pPr>
        <w:pStyle w:val="ListParagraph"/>
        <w:numPr>
          <w:ilvl w:val="1"/>
          <w:numId w:val="6"/>
        </w:numPr>
        <w:spacing w:before="120" w:after="120"/>
        <w:ind w:left="992" w:hanging="992"/>
        <w:contextualSpacing w:val="0"/>
        <w:rPr>
          <w:rFonts w:eastAsia="Calibri"/>
          <w:szCs w:val="24"/>
        </w:rPr>
      </w:pPr>
      <w:r w:rsidRPr="002C1EDB">
        <w:t xml:space="preserve">Taigi, teisėjų kolegija įžvelgia pagrindą J. M. pagal </w:t>
      </w:r>
      <w:r w:rsidRPr="002C1EDB">
        <w:rPr>
          <w:rFonts w:eastAsia="Calibri"/>
        </w:rPr>
        <w:t>BK 101 straipsnį, pritaikius BK 54 straipsnio 3 dalį, paskirtą 7 (septynerių) metų laisvė</w:t>
      </w:r>
      <w:r w:rsidR="00495B43" w:rsidRPr="002C1EDB">
        <w:rPr>
          <w:rFonts w:eastAsia="Calibri"/>
        </w:rPr>
        <w:t>s atėmimo bausmę, panaikinus BK </w:t>
      </w:r>
      <w:r w:rsidRPr="002C1EDB">
        <w:rPr>
          <w:rFonts w:eastAsia="Calibri"/>
        </w:rPr>
        <w:t xml:space="preserve">54 straipsnio 3 dalies taikymą, padidinti iki laisvės atėmimo 10 (dešimčiai) metų. Esant idealiai nusikalstamų veikų sutapčiai, J. M. skirtina galutinė subendrinta bausmė – laisvės atėmimas 10 (dešimčiai) metų.  </w:t>
      </w:r>
    </w:p>
    <w:p w:rsidR="00DA38E9" w:rsidRPr="002C1EDB" w:rsidRDefault="00DA38E9" w:rsidP="00495B43">
      <w:pPr>
        <w:pStyle w:val="ListParagraph"/>
        <w:numPr>
          <w:ilvl w:val="0"/>
          <w:numId w:val="6"/>
        </w:numPr>
        <w:spacing w:before="120" w:after="120"/>
        <w:ind w:left="992" w:hanging="992"/>
        <w:contextualSpacing w:val="0"/>
        <w:rPr>
          <w:rStyle w:val="Heading3Char"/>
          <w:rFonts w:eastAsia="Calibri"/>
          <w:sz w:val="24"/>
          <w:szCs w:val="24"/>
          <w:lang w:val="lt-LT" w:eastAsia="en-US"/>
        </w:rPr>
      </w:pPr>
      <w:r w:rsidRPr="002C1EDB">
        <w:t xml:space="preserve">Kitiems tankų įgulų vadams – nuteistiesiems E. R., S. V., V. Š. 3 ir J. O. pirmosios instancijos teismas paskyrė subendrintas 10 metų laisvės atėmimo </w:t>
      </w:r>
      <w:r w:rsidR="002C1EDB">
        <w:t>bausmes, kurios atitinka BK 101 </w:t>
      </w:r>
      <w:r w:rsidRPr="002C1EDB">
        <w:t xml:space="preserve">straipsnio sankcijoje numatytą minimalų laisvės atėmimo bausmės dydį. Už kitas nusikalstamas veikas šiems nuteistiesiems taip pat buvo paskirtos vienodos (mažesnės nei sankcijose nustatytų bausmių vidurkio dydžio) bausmės. Nuteistųjų E. R., V. Š. 3 ir J. O. gynėjai </w:t>
      </w:r>
      <w:r w:rsidRPr="002C1EDB">
        <w:rPr>
          <w:rFonts w:eastAsia="Calibri"/>
        </w:rPr>
        <w:t>apeliaciniuose skunduose argumentų</w:t>
      </w:r>
      <w:r w:rsidRPr="002C1EDB">
        <w:rPr>
          <w:rFonts w:eastAsiaTheme="minorHAnsi"/>
        </w:rPr>
        <w:t xml:space="preserve"> dėl jų ginamiesiems paskirtų bausmių nepateikė ir prašė ginamuosius arba išteisinti, arba bylą perduoti nagrinėti iš naujo pirmosios instancijos teismui, o nuteistasis S. V. ir (ar) jo gynėjai nuosprendžio apeliacine tvarka neskundė. Prokurorai nei vienam iš šių nuteistųjų paskirtų bausmių neginčija, kaip ir J. M. atveju, laikydami, kad atskirų tankų, dalyvavusių užimant LRT ar TV bokštą, vadams paskirtos mažesnės nei vidurkio dydžio bausmės bei už pavojingiausią nusikalstamą veiką, numatytą BK 101 straipsnyje, paskirta minimali 10 metų laisvės atėmimo bausmė, atitinka jų padarytų veikų pavojingumą. Dar švelnesnės bausmės būtų aiškiai neproporcingos ir neužtikrintų bausmės tikslų įgyvendinimo. Kaip ir nuteistasis J. M., nuteistieji E. R., S. V., V. Š. 3 ir J. O. vadovavo tankams, kurie dalyvavo užimant arba LRT (J. O., E. R.) arba TV bokštą (S. V., V. Š. 3), o prie šių objektų, lyginant su Spaudos rūmų užėmimu, kilę padariniai (pagal civiliams padarytų sužalojimų mastą ir bendrą nukentėjusiųjų skaičių) buvo sunkesni. Kaip minėta, prie šių objektų tankai pavojingai manevravo, laužė užtvaras, šaudė išmušamaisiais užtaisais, naudojo kitas bauginimo priemones ir taip reikšmingai prisidėjo prie civiliams konstatuotų sužalojimų padarymo. Taigi, teisėjų kolegija neįžvelgia pagrindo nuteistiesiems, kurie atliko labai pavojingus veiksmus ir vadovavo atskirų tankų įguloms, skirti mažesnes laisvės atėmimo bausmes nei paskirtos skundžiamu pirmosios instancijos teismo nuosprendžiu, juolab, kad analogiškos bausmės yra paskirtos daugeliui kitų nuteistųjų, tankų įgulose ėjusių dar žemesnes pareigas, t. y. buvusių tankų taikytojais ar vairuotojais-mechanikais.  </w:t>
      </w:r>
    </w:p>
    <w:p w:rsidR="00DA38E9" w:rsidRPr="00C00255" w:rsidRDefault="00DA38E9" w:rsidP="00DA38E9">
      <w:pPr>
        <w:pStyle w:val="Heading4"/>
        <w:spacing w:before="120" w:after="120"/>
        <w:ind w:left="992"/>
        <w:rPr>
          <w:rFonts w:ascii="Times New Roman" w:hAnsi="Times New Roman"/>
          <w:i/>
          <w:sz w:val="24"/>
          <w:szCs w:val="20"/>
        </w:rPr>
      </w:pPr>
      <w:r w:rsidRPr="00C00255">
        <w:rPr>
          <w:rFonts w:ascii="Times New Roman" w:hAnsi="Times New Roman"/>
          <w:b w:val="0"/>
          <w:i/>
          <w:sz w:val="24"/>
        </w:rPr>
        <w:t xml:space="preserve">Dėl nuteistiesiems </w:t>
      </w:r>
      <w:r>
        <w:rPr>
          <w:rFonts w:ascii="Times New Roman" w:eastAsia="Calibri" w:hAnsi="Times New Roman"/>
          <w:b w:val="0"/>
          <w:i/>
          <w:sz w:val="24"/>
        </w:rPr>
        <w:t>A. R.</w:t>
      </w:r>
      <w:r w:rsidRPr="00C00255">
        <w:rPr>
          <w:rFonts w:ascii="Times New Roman" w:eastAsia="Calibri" w:hAnsi="Times New Roman"/>
          <w:b w:val="0"/>
          <w:i/>
          <w:sz w:val="24"/>
        </w:rPr>
        <w:t xml:space="preserve">, </w:t>
      </w:r>
      <w:r>
        <w:rPr>
          <w:rFonts w:ascii="Times New Roman" w:eastAsia="Calibri" w:hAnsi="Times New Roman"/>
          <w:b w:val="0"/>
          <w:i/>
          <w:sz w:val="24"/>
        </w:rPr>
        <w:t>A. B.</w:t>
      </w:r>
      <w:r w:rsidRPr="00C00255">
        <w:rPr>
          <w:rFonts w:ascii="Times New Roman" w:eastAsiaTheme="minorHAnsi" w:hAnsi="Times New Roman"/>
          <w:b w:val="0"/>
          <w:i/>
          <w:sz w:val="20"/>
        </w:rPr>
        <w:t xml:space="preserve"> </w:t>
      </w:r>
      <w:r>
        <w:rPr>
          <w:rFonts w:ascii="Times New Roman" w:eastAsia="Calibri" w:hAnsi="Times New Roman"/>
          <w:b w:val="0"/>
          <w:i/>
          <w:sz w:val="24"/>
        </w:rPr>
        <w:t>A. U.</w:t>
      </w:r>
      <w:r w:rsidRPr="00C00255">
        <w:rPr>
          <w:rFonts w:ascii="Times New Roman" w:eastAsia="Calibri" w:hAnsi="Times New Roman"/>
          <w:b w:val="0"/>
          <w:i/>
          <w:sz w:val="24"/>
        </w:rPr>
        <w:t xml:space="preserve">, </w:t>
      </w:r>
      <w:r>
        <w:rPr>
          <w:rFonts w:ascii="Times New Roman" w:eastAsia="Calibri" w:hAnsi="Times New Roman"/>
          <w:b w:val="0"/>
          <w:i/>
          <w:sz w:val="24"/>
        </w:rPr>
        <w:t>N. S.</w:t>
      </w:r>
      <w:r w:rsidRPr="00C00255">
        <w:rPr>
          <w:rFonts w:ascii="Times New Roman" w:eastAsia="Calibri" w:hAnsi="Times New Roman"/>
          <w:b w:val="0"/>
          <w:i/>
          <w:sz w:val="24"/>
        </w:rPr>
        <w:t xml:space="preserve">, </w:t>
      </w:r>
      <w:r>
        <w:rPr>
          <w:rFonts w:ascii="Times New Roman" w:eastAsia="Calibri" w:hAnsi="Times New Roman"/>
          <w:b w:val="0"/>
          <w:i/>
          <w:sz w:val="24"/>
        </w:rPr>
        <w:t>A. K.</w:t>
      </w:r>
      <w:r w:rsidRPr="00C00255">
        <w:rPr>
          <w:rFonts w:ascii="Times New Roman" w:eastAsia="Calibri" w:hAnsi="Times New Roman"/>
          <w:b w:val="0"/>
          <w:i/>
          <w:sz w:val="24"/>
        </w:rPr>
        <w:t xml:space="preserve">, </w:t>
      </w:r>
      <w:r>
        <w:rPr>
          <w:rFonts w:ascii="Times New Roman" w:eastAsia="Calibri" w:hAnsi="Times New Roman"/>
          <w:b w:val="0"/>
          <w:i/>
          <w:sz w:val="24"/>
        </w:rPr>
        <w:t>V. S. 4</w:t>
      </w:r>
      <w:r w:rsidRPr="00C00255">
        <w:rPr>
          <w:rFonts w:ascii="Times New Roman" w:eastAsia="Calibri" w:hAnsi="Times New Roman"/>
          <w:b w:val="0"/>
          <w:i/>
          <w:sz w:val="24"/>
        </w:rPr>
        <w:t xml:space="preserve">, </w:t>
      </w:r>
      <w:r>
        <w:rPr>
          <w:rFonts w:ascii="Times New Roman" w:eastAsia="Calibri" w:hAnsi="Times New Roman"/>
          <w:b w:val="0"/>
          <w:i/>
          <w:sz w:val="24"/>
        </w:rPr>
        <w:t>N. O.</w:t>
      </w:r>
      <w:r w:rsidRPr="00C00255">
        <w:rPr>
          <w:rFonts w:ascii="Times New Roman" w:eastAsia="Calibri" w:hAnsi="Times New Roman"/>
          <w:b w:val="0"/>
          <w:i/>
          <w:sz w:val="24"/>
        </w:rPr>
        <w:t xml:space="preserve">, </w:t>
      </w:r>
      <w:r>
        <w:rPr>
          <w:rFonts w:ascii="Times New Roman" w:eastAsia="Calibri" w:hAnsi="Times New Roman"/>
          <w:b w:val="0"/>
          <w:i/>
          <w:sz w:val="24"/>
        </w:rPr>
        <w:t>A. K. 2</w:t>
      </w:r>
      <w:r w:rsidRPr="00C00255">
        <w:rPr>
          <w:rFonts w:ascii="Times New Roman" w:eastAsia="Calibri" w:hAnsi="Times New Roman"/>
          <w:b w:val="0"/>
          <w:i/>
          <w:sz w:val="24"/>
        </w:rPr>
        <w:t xml:space="preserve">, </w:t>
      </w:r>
      <w:r>
        <w:rPr>
          <w:rFonts w:ascii="Times New Roman" w:eastAsia="Calibri" w:hAnsi="Times New Roman"/>
          <w:b w:val="0"/>
          <w:i/>
          <w:sz w:val="24"/>
        </w:rPr>
        <w:t>O. A.</w:t>
      </w:r>
      <w:r w:rsidRPr="00C00255">
        <w:rPr>
          <w:rFonts w:ascii="Times New Roman" w:eastAsia="Calibri" w:hAnsi="Times New Roman"/>
          <w:b w:val="0"/>
          <w:i/>
          <w:sz w:val="24"/>
        </w:rPr>
        <w:t xml:space="preserve">, </w:t>
      </w:r>
      <w:r>
        <w:rPr>
          <w:rFonts w:ascii="Times New Roman" w:eastAsia="Calibri" w:hAnsi="Times New Roman"/>
          <w:b w:val="0"/>
          <w:i/>
          <w:sz w:val="24"/>
        </w:rPr>
        <w:t>A. G. 1</w:t>
      </w:r>
      <w:r w:rsidRPr="00C00255">
        <w:rPr>
          <w:rFonts w:ascii="Times New Roman" w:eastAsia="Calibri" w:hAnsi="Times New Roman"/>
          <w:b w:val="0"/>
          <w:i/>
          <w:sz w:val="24"/>
        </w:rPr>
        <w:t xml:space="preserve">, </w:t>
      </w:r>
      <w:r>
        <w:rPr>
          <w:rFonts w:ascii="Times New Roman" w:eastAsia="Calibri" w:hAnsi="Times New Roman"/>
          <w:b w:val="0"/>
          <w:i/>
          <w:sz w:val="24"/>
        </w:rPr>
        <w:t>D. B.</w:t>
      </w:r>
      <w:r w:rsidRPr="00C00255">
        <w:rPr>
          <w:rFonts w:ascii="Times New Roman" w:eastAsia="Calibri" w:hAnsi="Times New Roman"/>
          <w:b w:val="0"/>
          <w:i/>
          <w:sz w:val="24"/>
        </w:rPr>
        <w:t xml:space="preserve"> ir </w:t>
      </w:r>
      <w:r>
        <w:rPr>
          <w:rFonts w:ascii="Times New Roman" w:eastAsia="Calibri" w:hAnsi="Times New Roman"/>
          <w:b w:val="0"/>
          <w:i/>
          <w:sz w:val="24"/>
        </w:rPr>
        <w:t>D. F.</w:t>
      </w:r>
      <w:r w:rsidRPr="00C00255">
        <w:rPr>
          <w:rFonts w:ascii="Times New Roman" w:hAnsi="Times New Roman"/>
          <w:b w:val="0"/>
          <w:i/>
          <w:sz w:val="24"/>
        </w:rPr>
        <w:t xml:space="preserve"> skirtinų bausmių </w:t>
      </w:r>
    </w:p>
    <w:p w:rsidR="00DA38E9" w:rsidRPr="002C1EDB" w:rsidRDefault="00DA38E9" w:rsidP="00495B43">
      <w:pPr>
        <w:pStyle w:val="ListParagraph"/>
        <w:numPr>
          <w:ilvl w:val="0"/>
          <w:numId w:val="6"/>
        </w:numPr>
        <w:spacing w:before="120" w:after="120"/>
        <w:ind w:left="992" w:hanging="992"/>
        <w:contextualSpacing w:val="0"/>
        <w:rPr>
          <w:rFonts w:eastAsia="Calibri"/>
          <w:color w:val="000000" w:themeColor="text1"/>
        </w:rPr>
      </w:pPr>
      <w:r w:rsidRPr="002C1EDB">
        <w:t xml:space="preserve">Skundžiamu nuosprendžiu nuteistiesiems tankų įgulų nariams – vairuotojams A. U., N. S., A. K., V. S. 4 bei tankų taikytojams N. O., A. K. 2, O. A., A. G. 1, D. B. ir D. F., paskirtos galutinės subendrintos 10 metų laisvės atėmimo bausmės, o dviem nuteistiesiems, dalyvavusiems užimant tik Spaudos rūmus, t. y. tanko vairuotojui A. R. ir taikytojui A. B., pritaikius BK 54 straipsnio 3 dalies nuostatas, paskirtos galutinės subendrintos 4 metų laisvės atėmimo bausmės. Prokurorai neginčija nei vienam iš šių nuteistųjų paskirtų bausmių. Dauguma minėtų nuteistųjų ir (ar) jų gynėjų </w:t>
      </w:r>
      <w:r w:rsidRPr="002C1EDB">
        <w:rPr>
          <w:rFonts w:eastAsia="Calibri"/>
        </w:rPr>
        <w:t>apeliaciniuose skunduose nepateikė argumentų</w:t>
      </w:r>
      <w:r w:rsidRPr="002C1EDB">
        <w:rPr>
          <w:rFonts w:eastAsiaTheme="minorHAnsi"/>
        </w:rPr>
        <w:t xml:space="preserve"> dėl nuteistiesiems paskirtų bausmių ir prašė juos išteisinti. Tik nuteistųjų O. A. ir N. S. gynėjai apeliaciniuose skunduose pateikė argumentus dėl jų ginamiesiems paskirtos neteisingos bausmės. Nuteistasis D. B. ir (ar) jo gynėjai nuosprendžio apeliacine tvarka neskundė, tačiau nuteistojo gynėja apeliacinės instancijos teismo posėdyje nurodė, kad</w:t>
      </w:r>
      <w:r w:rsidRPr="002C1EDB">
        <w:rPr>
          <w:rStyle w:val="Heading3Char"/>
          <w:rFonts w:eastAsiaTheme="minorHAnsi"/>
          <w:sz w:val="24"/>
          <w:lang w:val="lt-LT"/>
        </w:rPr>
        <w:t xml:space="preserve"> </w:t>
      </w:r>
      <w:r w:rsidRPr="002C1EDB">
        <w:rPr>
          <w:rFonts w:eastAsiaTheme="minorHAnsi"/>
        </w:rPr>
        <w:t xml:space="preserve">jos ginamajam, kaip žemiausio rango karininkui, paskirta maždaug tokia pati subendrinta bausmė kaip ir pirmiesiems asmenims pagal rangą – net J. M. buvo taikytos BK 54 straipsnio 3 dalies nuostatos, o jos ginamajam, kuris buvo tik tanko ekipažo narys, šios BK normos nepritaikytos. </w:t>
      </w:r>
      <w:r w:rsidRPr="002C1EDB">
        <w:rPr>
          <w:rFonts w:eastAsia="Calibri"/>
        </w:rPr>
        <w:t>Apeliacinės instancijos teismas konstatuoja, kad nuteistiesiems A. R., A. B.</w:t>
      </w:r>
      <w:r w:rsidRPr="002C1EDB">
        <w:rPr>
          <w:rFonts w:eastAsiaTheme="minorHAnsi"/>
        </w:rPr>
        <w:t xml:space="preserve"> </w:t>
      </w:r>
      <w:r w:rsidRPr="002C1EDB">
        <w:rPr>
          <w:rFonts w:eastAsia="Calibri"/>
        </w:rPr>
        <w:t>A. U., N. S., A. K., V. S. 4, N. O., A. K. 2, O. A., A. G. 1, D. B. ir D. F. skundžiamu nuosprendžiu buvo paskirtos teisingos bausmės ir nėra pagrindo jų švelninti.</w:t>
      </w:r>
    </w:p>
    <w:p w:rsidR="00DA38E9" w:rsidRPr="00C00255" w:rsidRDefault="00DA38E9" w:rsidP="00DA38E9">
      <w:pPr>
        <w:pStyle w:val="Heading5"/>
        <w:spacing w:before="120" w:after="120"/>
        <w:ind w:firstLine="992"/>
        <w:rPr>
          <w:rFonts w:ascii="Times New Roman" w:eastAsia="Calibri" w:hAnsi="Times New Roman" w:cs="Times New Roman"/>
          <w:i/>
          <w:color w:val="auto"/>
        </w:rPr>
      </w:pPr>
      <w:r w:rsidRPr="00C00255">
        <w:rPr>
          <w:rFonts w:ascii="Times New Roman" w:eastAsia="Calibri" w:hAnsi="Times New Roman" w:cs="Times New Roman"/>
          <w:i/>
          <w:color w:val="auto"/>
        </w:rPr>
        <w:t xml:space="preserve">Dėl nuteistiesiems </w:t>
      </w:r>
      <w:r>
        <w:rPr>
          <w:rFonts w:ascii="Times New Roman" w:eastAsia="Calibri" w:hAnsi="Times New Roman" w:cs="Times New Roman"/>
          <w:i/>
          <w:color w:val="auto"/>
        </w:rPr>
        <w:t>A. R.</w:t>
      </w:r>
      <w:r w:rsidRPr="00C00255">
        <w:rPr>
          <w:rFonts w:ascii="Times New Roman" w:eastAsia="Calibri" w:hAnsi="Times New Roman" w:cs="Times New Roman"/>
          <w:i/>
          <w:color w:val="auto"/>
        </w:rPr>
        <w:t xml:space="preserve"> ir </w:t>
      </w:r>
      <w:r>
        <w:rPr>
          <w:rFonts w:ascii="Times New Roman" w:eastAsia="Calibri" w:hAnsi="Times New Roman" w:cs="Times New Roman"/>
          <w:i/>
          <w:color w:val="auto"/>
        </w:rPr>
        <w:t>A. B.</w:t>
      </w:r>
      <w:r w:rsidRPr="00C00255">
        <w:rPr>
          <w:rFonts w:ascii="Times New Roman" w:eastAsia="Calibri" w:hAnsi="Times New Roman" w:cs="Times New Roman"/>
          <w:i/>
          <w:color w:val="auto"/>
        </w:rPr>
        <w:t xml:space="preserve"> skirtinų bausmių</w:t>
      </w:r>
    </w:p>
    <w:p w:rsidR="00495B43" w:rsidRPr="002C1EDB" w:rsidRDefault="00DA38E9" w:rsidP="00495B43">
      <w:pPr>
        <w:pStyle w:val="ListParagraph"/>
        <w:numPr>
          <w:ilvl w:val="0"/>
          <w:numId w:val="6"/>
        </w:numPr>
        <w:spacing w:before="120" w:after="120"/>
        <w:ind w:left="992" w:hanging="992"/>
        <w:contextualSpacing w:val="0"/>
        <w:rPr>
          <w:rFonts w:eastAsia="Calibri"/>
          <w:szCs w:val="24"/>
        </w:rPr>
      </w:pPr>
      <w:r w:rsidRPr="002C1EDB">
        <w:rPr>
          <w:szCs w:val="24"/>
        </w:rPr>
        <w:t>Nuteistiesiems A. R. ir A. B. skundžiamu nuosprendži</w:t>
      </w:r>
      <w:r w:rsidR="002C1EDB" w:rsidRPr="002C1EDB">
        <w:rPr>
          <w:szCs w:val="24"/>
        </w:rPr>
        <w:t>u už BK 100 straipsnyje, BK 101 </w:t>
      </w:r>
      <w:r w:rsidRPr="002C1EDB">
        <w:rPr>
          <w:szCs w:val="24"/>
        </w:rPr>
        <w:t>straipsnyje ir BK 111 straipsnio 1 dalyje numatytas nusi</w:t>
      </w:r>
      <w:r w:rsidR="002C1EDB" w:rsidRPr="002C1EDB">
        <w:rPr>
          <w:szCs w:val="24"/>
        </w:rPr>
        <w:t>kalstamas veikas, pritaikius BK </w:t>
      </w:r>
      <w:r w:rsidRPr="002C1EDB">
        <w:rPr>
          <w:szCs w:val="24"/>
        </w:rPr>
        <w:t xml:space="preserve">54 straipsnio 3 dalies nuostatas, buvo paskirtos švelnesnės laisvės atėmimo bausmės ir bausmių apėmimo būdu subendrinus už visas nusikalstamas veikas paskirtas bausmes, paskirta galutinė subendrinta 4 metų laisvės atėmimo bausmė. </w:t>
      </w:r>
    </w:p>
    <w:p w:rsidR="00495B43" w:rsidRPr="002C1EDB" w:rsidRDefault="00495B43" w:rsidP="00495B43">
      <w:pPr>
        <w:pStyle w:val="ListParagraph"/>
        <w:numPr>
          <w:ilvl w:val="0"/>
          <w:numId w:val="6"/>
        </w:numPr>
        <w:spacing w:before="120" w:after="120"/>
        <w:ind w:left="992" w:hanging="992"/>
        <w:contextualSpacing w:val="0"/>
        <w:rPr>
          <w:rStyle w:val="Heading3Char"/>
          <w:rFonts w:eastAsia="Calibri"/>
          <w:sz w:val="24"/>
          <w:szCs w:val="24"/>
          <w:lang w:val="lt-LT" w:eastAsia="en-US"/>
        </w:rPr>
      </w:pPr>
      <w:r w:rsidRPr="002C1EDB">
        <w:t>Visų pirma, teisėjų kolegija pažymi, kad skirtingas iš esmės tas pačias funkcijas nagrinėjamuose įvykiuose atlikusių nuteistųjų atsakomybės mastas, panašiai kaip ir atskirų tankų vadų atveju, yra nulemtas aplinkybės, kad dalis nuteistųjų – tankų įgulų narių – dalyvavo tik įvykiuose prie Spaudos rūmų. Nuteistieji A. B. ir A. R. buvo ankstesnėje dalyje minėto nuteistojo V. U. 2, kuriam taip pat paskirta subendrinta 4 metų laisvės atėmimo bausmė, vadovauto tanko įgulos nariais užimant Spaudos rūmus, kur tankų ir kitų karinėje operacijoje dalyvavusių dalinių veiksmai ir sukelti padariniai nebuvo tokie pavojingi kaip prie TV bokšto ir LRT (prie Spaudos rūmų nukentėjusių asmenų skaičius buvo keliskart mažesnis nei prie kitų Sausio 13-osios naktį užimtų objektų). Taigi, kaip ir nuteistųjų V. U. 2 bei G. I. atveju, teisėjų kolegija sutinka su pirmosios instancijos teismo išvada, kad nuteistiesiems A. B. ir A. R., skiriant bausmes pagal BK 100 straipsnį, BK 101 straipsnį ir BK 111 straipsnio 1 dalį, BK 54 straipsnio 3 dalies nuostatos buvo pritaikytos pagrįstai ir nuteistiesiems teisingai parinktos švelnesnės nei sankcijose nustatytos minimalios laisvės atėmimo bausmės. Tačiau apeliacinės instancijos teismo vertinimu, nuteistųjų veiksmų pavojingumas ir veikos mastas neduoda pagrindo svartyti klausimo dėl šiems nuteistiesiems dar švelnesnių bausmių, kurios ir taip yra vienos švelniausių iš visiems nuteistiesiems šioje byloje skirtų bausmių, skyrimo. Nesant prokurorų skundo dėl šiems nuteistiesiems paskirtos bausmės, nespręstinas ir nuteistiesiems A. B. bei A. R. paskirtų laisvės atėmimo bausmių sugriežtinimo klausimas.</w:t>
      </w:r>
    </w:p>
    <w:p w:rsidR="00DA38E9" w:rsidRPr="00C00255" w:rsidRDefault="00DA38E9" w:rsidP="00DA38E9">
      <w:pPr>
        <w:pStyle w:val="Heading5"/>
        <w:spacing w:before="120" w:after="120"/>
        <w:ind w:left="992"/>
        <w:rPr>
          <w:rStyle w:val="Heading3Char"/>
          <w:rFonts w:eastAsia="Calibri"/>
          <w:i/>
          <w:color w:val="auto"/>
          <w:lang w:val="lt-LT"/>
        </w:rPr>
      </w:pPr>
      <w:r w:rsidRPr="00C00255">
        <w:rPr>
          <w:rFonts w:ascii="Times New Roman" w:eastAsia="Calibri" w:hAnsi="Times New Roman" w:cs="Times New Roman"/>
          <w:i/>
          <w:color w:val="auto"/>
        </w:rPr>
        <w:t xml:space="preserve">Dėl nuteistiesiems </w:t>
      </w:r>
      <w:r>
        <w:rPr>
          <w:rFonts w:ascii="Times New Roman" w:eastAsia="Calibri" w:hAnsi="Times New Roman" w:cs="Times New Roman"/>
          <w:i/>
          <w:color w:val="auto"/>
        </w:rPr>
        <w:t>N. O.</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A. K. 2</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A. U.</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N. S.</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A. K.</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O. A.</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V. S. 4</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A. G. 1</w:t>
      </w:r>
      <w:r w:rsidRPr="00C00255">
        <w:rPr>
          <w:rFonts w:ascii="Times New Roman" w:eastAsia="Calibri" w:hAnsi="Times New Roman" w:cs="Times New Roman"/>
          <w:i/>
          <w:color w:val="auto"/>
        </w:rPr>
        <w:t xml:space="preserve">, </w:t>
      </w:r>
      <w:r>
        <w:rPr>
          <w:rFonts w:ascii="Times New Roman" w:eastAsia="Calibri" w:hAnsi="Times New Roman" w:cs="Times New Roman"/>
          <w:i/>
          <w:color w:val="auto"/>
        </w:rPr>
        <w:t>D. B.</w:t>
      </w:r>
      <w:r w:rsidRPr="00C00255">
        <w:rPr>
          <w:rFonts w:ascii="Times New Roman" w:eastAsia="Calibri" w:hAnsi="Times New Roman" w:cs="Times New Roman"/>
          <w:i/>
          <w:color w:val="auto"/>
        </w:rPr>
        <w:t xml:space="preserve"> ir </w:t>
      </w:r>
      <w:r>
        <w:rPr>
          <w:rFonts w:ascii="Times New Roman" w:eastAsia="Calibri" w:hAnsi="Times New Roman" w:cs="Times New Roman"/>
          <w:i/>
          <w:color w:val="auto"/>
        </w:rPr>
        <w:t>D. F.</w:t>
      </w:r>
      <w:r w:rsidRPr="00C00255">
        <w:rPr>
          <w:rFonts w:ascii="Times New Roman" w:eastAsia="Calibri" w:hAnsi="Times New Roman" w:cs="Times New Roman"/>
          <w:i/>
          <w:color w:val="auto"/>
        </w:rPr>
        <w:t xml:space="preserve"> skirtinų bausmių</w:t>
      </w:r>
    </w:p>
    <w:p w:rsidR="00DA38E9" w:rsidRPr="002C1EDB" w:rsidRDefault="00DA38E9" w:rsidP="00DA38E9">
      <w:pPr>
        <w:pStyle w:val="ListParagraph"/>
        <w:numPr>
          <w:ilvl w:val="0"/>
          <w:numId w:val="6"/>
        </w:numPr>
        <w:spacing w:before="120" w:after="120"/>
        <w:ind w:left="992" w:hanging="992"/>
        <w:contextualSpacing w:val="0"/>
        <w:rPr>
          <w:rFonts w:eastAsia="Calibri"/>
        </w:rPr>
      </w:pPr>
      <w:bookmarkStart w:id="974" w:name="_Toc67677459"/>
      <w:r w:rsidRPr="002C1EDB">
        <w:rPr>
          <w:rFonts w:eastAsiaTheme="minorHAnsi"/>
        </w:rPr>
        <w:t>Atitinkamai visi kiti tankų vairuotojai-mechanikai arba jų taikytojai</w:t>
      </w:r>
      <w:r w:rsidRPr="002C1EDB" w:rsidDel="005F09BE">
        <w:rPr>
          <w:rFonts w:eastAsiaTheme="minorHAnsi"/>
        </w:rPr>
        <w:t xml:space="preserve"> </w:t>
      </w:r>
      <w:r w:rsidRPr="002C1EDB">
        <w:rPr>
          <w:rFonts w:eastAsiaTheme="minorHAnsi"/>
        </w:rPr>
        <w:t>– nuteistieji</w:t>
      </w:r>
      <w:bookmarkEnd w:id="974"/>
      <w:r w:rsidRPr="002C1EDB">
        <w:rPr>
          <w:rFonts w:eastAsiaTheme="minorHAnsi"/>
        </w:rPr>
        <w:t xml:space="preserve"> </w:t>
      </w:r>
      <w:r w:rsidRPr="002C1EDB">
        <w:t xml:space="preserve">N. O., A. K. 2, A. U., N. S., A. K., O. A., V. S. 4, A. G. 1, D. B. ir D. F. – dalyvavo užimant LRT arba TV bokštą (N. O., A. K. 2, A. U., N. S. dalyvavo ir užimant Spaudos rūmus). Visiems šiems nuteistiesiems už pavojingiausią jiems inkriminuotą ir BK 101 straipsnyje numatytą nusikalstamą veiką buvo paskirtos minimalios 10 metų laisvės atėmimo bausmės, o už kitas nusikalstamas veikas – mažesnės nei sankcijose nustatytos vidurkio dydžio bausmės, todėl jas subendrinus paskirtos galutinės 10 metų laisvės atėmimo bausmės. Iš šių nuteistųjų grupės pagal bausmes išsiskiria tik O. A. ir V. S. 4, kurie dalyvavo užimant TV bokštą ir abu buvo ypatingai pavojingai veikusio tanko Nr. 502 ekipažo nariais, kartu su jau minėtu N. A.. Pastariesiems, skirtingai nei kitiems nuteistiesiems (N. O., A. K. 2, A. U., N. S., A. K., A. G. 1, D. B. ir D. F.) pagal BK 100 straipsnį paskirta ne 6 metų, bet 10 metų laisvės atėmimo bausmė (pagal kitus BK straipsnius visiems nuteistiesiems paskirtos vienodos bausmės). </w:t>
      </w:r>
    </w:p>
    <w:p w:rsidR="00DA38E9" w:rsidRPr="002C1EDB" w:rsidRDefault="00DA38E9" w:rsidP="00DA38E9">
      <w:pPr>
        <w:pStyle w:val="ListParagraph"/>
        <w:numPr>
          <w:ilvl w:val="0"/>
          <w:numId w:val="6"/>
        </w:numPr>
        <w:spacing w:before="120" w:after="120"/>
        <w:ind w:left="992" w:hanging="992"/>
        <w:contextualSpacing w:val="0"/>
        <w:rPr>
          <w:rFonts w:eastAsia="Calibri"/>
        </w:rPr>
      </w:pPr>
      <w:r w:rsidRPr="002C1EDB">
        <w:t>Kaip minėta, tiek tankų, tiek kitų karinių dalinių ir kariškių ve</w:t>
      </w:r>
      <w:r w:rsidR="002C1EDB">
        <w:t>iksmai, veikiant prie LRT ir TV </w:t>
      </w:r>
      <w:r w:rsidRPr="002C1EDB">
        <w:t>bokšto buvo pavojingesni ir sukėlė sunkesnes pasekmes nei prie Spaudos rūmų, todėl pirmosios instancijos teismo sprendimas tankų įgulų nariams, kurie dalyvavo prie LRT ar TV bokšto skirti griežtesnes bausmes nei tankų įgulų nariams, dalyvavusiems tik Spaudos rūmų užėmime, yra pagrįstas ir teisingas. Teisėjų kolegija ankstesnėse šio sprendimo dalyse pasisakydama dėl tankų įguloms priklausiusių nuteistųjų, kurie tankuose atliko taikytojų ir vairuotojų-mechanikų funkcijas, gynėjų argumentų dėl jų ginamųjų individualiai atliktų veiksmų, nurodė, kad užimdami objektus tankai veikė bendrai, koordinuotai ir sudarė sąlygas kitų kariškių veiksmams ir kad kiekvieno iš tanko įgulos narių veiksmai jokiu būdu negali būti vertinami atsietai nuo šio tanko, visų tankų ir apskritai visų operacijoje dalyvavusių kariškių veiksmų. Visa tai lemia ir išvadą, kad ne tik atskirų tankų vadų, bet ir tankų įgulų narių atsakomybės mastas turi būti panašus ir proporcingas. Atsižvelgdama į šias aplinkybes, teisėjų kolegija laiko, kad visiems minėtiems tankų įgulų nariams, kurie dalyvavo užimant LRT ar TV bokštą, skundžiamu nuosprendžiu paskirtos bausmės yra proporcingos, teisingos ir adekvačios nuteistųjų atliktiems pavojingiems veiksmams bei jų indėliui bendroje karinėje operacijoje.</w:t>
      </w:r>
      <w:r w:rsidRPr="002C1EDB">
        <w:rPr>
          <w:szCs w:val="24"/>
        </w:rPr>
        <w:t xml:space="preserve"> </w:t>
      </w:r>
      <w:r w:rsidRPr="002C1EDB">
        <w:t xml:space="preserve">Taip pat konstatuotina, kad pirmosios instancijos teismas nuteistiesiems O. A. ir V. S. 4 pagal BK 100 straipsnį, kuris, be kita ko, numato atsakomybę ir už civilių žudymą, pagrįstai paskyrė 10 metų laisvės atėmimo bausmes. Tokias, didesnes nei kitiems tų pačių objektų užėmime dalyvavusiems tankų taikytojams ir vairuotojams pagal tą patį BK straipsnį paskirtas, bausmes pateisina faktas, kad tankas Nr. 502, kurio taikytoju buvo O. A., vairuotoju – V. S. 4, buvo pavojingiausiai veikęs puolančiosios kolonos tankas. Būtent šis tankas užvažiavo ant L. A., taip pat sunkiai sužalojo </w:t>
      </w:r>
      <w:r w:rsidRPr="002C1EDB">
        <w:rPr>
          <w:rFonts w:eastAsia="Calibri"/>
        </w:rPr>
        <w:t xml:space="preserve">L. T. (Š.), A. M. P. ir A. S.. Šis tankas važiavo pirmas visoje puolančiosios grupės tankų kolonoje, jis be kita ko, nemažiau kaip vieną kartą iššovė iš pabūklo tuščiu užtaisu pietinėje TV bokšto pusėje, korpusu išdaužė TV bokšto pastato pirmajame aukšte esančios konferencijų salės langus ir kt. </w:t>
      </w:r>
      <w:r w:rsidRPr="002C1EDB">
        <w:t>Taigi, šio tanko tiesioginiai veiksmai nulėmė pačių sunkiausių padarinių atsiradimą ir tiek tanko vairuotojo, tiek taikytojo veiksmai neabejotinai yra susiję su šiais padariniais.</w:t>
      </w:r>
    </w:p>
    <w:p w:rsidR="00DA38E9" w:rsidRPr="002C1EDB" w:rsidRDefault="00DA38E9" w:rsidP="00DA38E9">
      <w:pPr>
        <w:pStyle w:val="ListParagraph"/>
        <w:numPr>
          <w:ilvl w:val="0"/>
          <w:numId w:val="6"/>
        </w:numPr>
        <w:spacing w:before="120" w:after="120"/>
        <w:ind w:left="992" w:hanging="992"/>
        <w:contextualSpacing w:val="0"/>
        <w:rPr>
          <w:rFonts w:eastAsia="Calibri"/>
        </w:rPr>
      </w:pPr>
      <w:r w:rsidRPr="002C1EDB">
        <w:rPr>
          <w:szCs w:val="24"/>
        </w:rPr>
        <w:t>Atsižvelgdama į tai, kas minėta, teisėjų kolegija atmeta nuteistojo O. A. gynėjo teiginius, kad teismas O. A. nuteisė pagal tuos pačius BK straipsnius kaip ir karinės vadovybės karininkus bei paskyrė panašaus dydžio bausmes, o tai prieštarauja bet kokiai logikai (panašius teiginius apeliacinės instancijos teisme išsakė ir nuteistojo D. B. gynėja). Pirmiausia, pažymėtina, kad teisėjų kolegija jau pasisakė dėl griežtesnių bausmių skyrimo kai kuriems vadovavimo karinei operacijai štabo nariams bei aukščiausias pareigas ėjusiems kariškiams (pastariesiems už pavojingiausią nusikalstamą veiką, numatytą BK 101 straipsnyje, paskirtos 12 metų ir griežtesnės laisvės atėmimo bausmės). Be to, aukščiausiems pagal rangą TSRS GM 107-osios motorizuotų šaulių divizijos, kuriai priklausė ir nuteistieji O. A., D. B., kariškiams – V. U. 1 ir N. A.  – skundžiamu nuosprendžiu buvo paskirtos subendrintos 14 metų laisvės atėmimo bausmės. Turint omenyje, kad už BK 101 straipsnyje numatyto nusikaltimo padarymą sankcijoje yra numatyta minimali ir švelnesnių alternatyvų neturinti 10 metų laisvės atėmimo bausmė ir tai, jog O. A. priklausė tanko, kurio tiesioginiais veiksmais prie TV bokšto buvo nužudytas civilis bei trys civiliai sunkiai sužaloti, įgulai, nėra jokio pagrindo teigti, kad O. A. paskirtos atskiros mažesnės nei vidurkio dydžio bausmės bei už pavojingiausią nusikalstamą veiką, numatytą BK 101 straipsnyje, paskirta minimali laisvės atėmimo bausmė yra neproporcingos ar atsakomybė nėra tinkamai diferencijuota. Taip pat teisėjų kolegija jau pasisakė ir dėl neteisingai pritaikytų BK 54 straipsnio 3 dalies nuostatų nuteistajam J. M., todėl atskiros analizės nebereikalauja ir nuteistojo D. B. gynėjos apeliacinės instancijos teisme išsakytas argumentas, kad net tanko vadui buvo paskirta švelnesnė bausmė nei jos ginamajam – tanko taikytojui.</w:t>
      </w:r>
    </w:p>
    <w:p w:rsidR="00DA38E9" w:rsidRPr="002C1EDB" w:rsidRDefault="00DA38E9" w:rsidP="00DA38E9">
      <w:pPr>
        <w:pStyle w:val="ListParagraph"/>
        <w:numPr>
          <w:ilvl w:val="0"/>
          <w:numId w:val="6"/>
        </w:numPr>
        <w:spacing w:before="120" w:after="120"/>
        <w:ind w:left="992" w:hanging="992"/>
        <w:contextualSpacing w:val="0"/>
        <w:rPr>
          <w:rFonts w:eastAsia="Calibri"/>
        </w:rPr>
      </w:pPr>
      <w:r w:rsidRPr="002C1EDB">
        <w:rPr>
          <w:szCs w:val="24"/>
        </w:rPr>
        <w:t xml:space="preserve">Panašiai vertintini ir nuteistojo N. S. gynėjo apeliacinio skundo argumentai, kad </w:t>
      </w:r>
      <w:r w:rsidRPr="002C1EDB">
        <w:rPr>
          <w:color w:val="000000"/>
          <w:szCs w:val="24"/>
          <w:lang w:eastAsia="lt-LT" w:bidi="lt-LT"/>
        </w:rPr>
        <w:t>N. S. paskirta bausmė, atsižvelgiant į proceso trukmę, nuteistojo asmenybę, veikų padarymo motyvus, veikų sunkumą, pavojingumą ir sukeltus padarinius, neatitinka teisingumo principo. Kaip minėta, vien už BK 101 straipsnyje numatyto nusikaltimo padarymą sankcijoje yra numatyta minimali ir švelnesnių alternatyvų neturinti 10 metų laisvės atėmimo bausmė. Taigi akivaizdu, kad N. S., kuris dalyvavo tiek užimant Spaudos rūmus, tiek LRT, pagal BK 100 straipsnį, BK 103 straipsnio 1 dalį, BK 111 straipsnio 1 dalį ir BK 112 straipsnį paskirtos mažesnės nei vidurkis laisvės atėmimo bausmės bei pagal BK 101 straipsnį paskirta minimali laisvės atėmimo bausmė, nesant pagrindo jo atžvilgiu taikyti BK 54 straipsnio 3 dalies nuostatų, yra pakankamai švelnios. Kita vertus, kalbant apie šio nuteistojo veikos pavojingumą ir ja sukeltus padarinius, būtina pažymėti, kad tiek tanko, kurio vairuotoju buvo N. S., veiksmai (prie Spaudos rūmų staigiai ir pavojingai manevravo arti esant civiliams, taip juos baugindamas, išlaužė LRT juosiančią tvorą, aplink esant civilių šaudė išmušamaisiais užtaisais ir pan.), tiek bendrai veikusių pajėgų veiksmai, ypač prie LRT, buvo itin pavojingi, sukėlę sunkias pasekmes keliems šimtams civilių. Taigi, pirmosios instancijos teismo nuteistajam N. S. paskirtomis laisvės atėmimo bausmėmis nebuvo pažeistas teisingumo principas.</w:t>
      </w:r>
    </w:p>
    <w:p w:rsidR="00DA38E9" w:rsidRPr="00C00255" w:rsidRDefault="00DA38E9" w:rsidP="00DA38E9">
      <w:pPr>
        <w:pStyle w:val="Heading3"/>
        <w:spacing w:before="120" w:after="120"/>
        <w:ind w:firstLine="992"/>
        <w:jc w:val="both"/>
        <w:rPr>
          <w:rFonts w:eastAsiaTheme="majorEastAsia"/>
          <w:b w:val="0"/>
          <w:i/>
          <w:sz w:val="24"/>
          <w:lang w:val="lt-LT"/>
        </w:rPr>
      </w:pPr>
      <w:bookmarkStart w:id="975" w:name="_Toc67677460"/>
      <w:bookmarkStart w:id="976" w:name="_Toc67985578"/>
      <w:r w:rsidRPr="00C00255">
        <w:rPr>
          <w:b w:val="0"/>
          <w:i/>
          <w:sz w:val="24"/>
          <w:lang w:val="lt-LT"/>
        </w:rPr>
        <w:t>Dėl bausmių TSRS GM 76-osios oro desanto divizijos kariškiams</w:t>
      </w:r>
      <w:bookmarkEnd w:id="975"/>
      <w:bookmarkEnd w:id="976"/>
    </w:p>
    <w:p w:rsidR="00495B43" w:rsidRPr="002C1EDB" w:rsidRDefault="00DA38E9" w:rsidP="00495B43">
      <w:pPr>
        <w:pStyle w:val="ListParagraph"/>
        <w:numPr>
          <w:ilvl w:val="0"/>
          <w:numId w:val="6"/>
        </w:numPr>
        <w:spacing w:before="120" w:after="120"/>
        <w:ind w:left="992" w:hanging="992"/>
        <w:contextualSpacing w:val="0"/>
        <w:rPr>
          <w:rFonts w:eastAsia="Calibri"/>
        </w:rPr>
      </w:pPr>
      <w:r w:rsidRPr="002C1EDB">
        <w:rPr>
          <w:szCs w:val="24"/>
        </w:rPr>
        <w:t xml:space="preserve">1991 m. sausio mėn. įvykiuose Vilniuje be jau aptarto nuteistojo V. K. 1 dalyvavo dar dvidešimt šeši nuteistieji iš TSRS GM 76-osios oro desanto divizijos. Atsižvelgdama į tai, teisėjų kolegija, pasisakydama dėl bausmių, paskirtų šio dalinio kariškiams, jas aptars pagal atskirų kariškių vykdytas pareigas, laipsnius ir vaidmenį karinės operacijos metu. </w:t>
      </w:r>
    </w:p>
    <w:p w:rsidR="00DA38E9" w:rsidRPr="002C1EDB" w:rsidRDefault="00DA38E9" w:rsidP="00495B43">
      <w:pPr>
        <w:pStyle w:val="ListParagraph"/>
        <w:numPr>
          <w:ilvl w:val="0"/>
          <w:numId w:val="6"/>
        </w:numPr>
        <w:spacing w:before="120" w:after="120"/>
        <w:ind w:left="992" w:hanging="992"/>
        <w:contextualSpacing w:val="0"/>
        <w:rPr>
          <w:rFonts w:eastAsia="Calibri"/>
        </w:rPr>
      </w:pPr>
      <w:r w:rsidRPr="002C1EDB">
        <w:rPr>
          <w:rFonts w:eastAsia="Calibri"/>
        </w:rPr>
        <w:t xml:space="preserve">Teisėjų kolegija, išnagrinėjusi bylą ir įvertinusi apeliacinių skundų argumentus bei šių nuteistųjų asmenybes ir jų padarytų nusikalstamų veikų pavojingumą, neįžvelgia pagrindo keisti pirmosios instancijos teismo nuosprendžiu paskirtų bausmių daugumai šio dalinio kariškių, tačiau sutinka su prokurorų pozicija dėl bausmių griežtinimo nuteistiesiems A. F. 2, J. J., A. I., A. C. ir R. J. 2 (kaip jau minėta, teisėjų kolegija sutiko ir dėl bausmės griežtinimo anksčiau aptartam šio dalinio pavaduotojui nuteistajam V. K. 1). Be to, teisėjų kolegija sutinka </w:t>
      </w:r>
      <w:r w:rsidRPr="002C1EDB">
        <w:t xml:space="preserve">su nuteistųjų E. M. ir A. S. gynėjų skundų argumentais dėl per griežtų bausmių paskyrimo jų ginamiesiems. </w:t>
      </w:r>
    </w:p>
    <w:p w:rsidR="00DA38E9" w:rsidRPr="00C00255" w:rsidRDefault="00DA38E9" w:rsidP="00DA38E9">
      <w:pPr>
        <w:pStyle w:val="Heading4"/>
        <w:spacing w:before="120" w:after="120"/>
        <w:ind w:firstLine="992"/>
        <w:rPr>
          <w:rFonts w:ascii="Times New Roman" w:hAnsi="Times New Roman"/>
          <w:i/>
          <w:iCs/>
          <w:sz w:val="24"/>
          <w:szCs w:val="20"/>
        </w:rPr>
      </w:pPr>
      <w:r w:rsidRPr="00C00255">
        <w:rPr>
          <w:rFonts w:ascii="Times New Roman" w:hAnsi="Times New Roman"/>
          <w:b w:val="0"/>
          <w:i/>
          <w:sz w:val="24"/>
        </w:rPr>
        <w:t xml:space="preserve">Dėl nuteistiesiems </w:t>
      </w:r>
      <w:r>
        <w:rPr>
          <w:rFonts w:ascii="Times New Roman" w:hAnsi="Times New Roman"/>
          <w:b w:val="0"/>
          <w:i/>
          <w:sz w:val="24"/>
        </w:rPr>
        <w:t>V. S. 2</w:t>
      </w:r>
      <w:r w:rsidRPr="00C00255">
        <w:rPr>
          <w:rFonts w:ascii="Times New Roman" w:hAnsi="Times New Roman"/>
          <w:b w:val="0"/>
          <w:i/>
          <w:sz w:val="24"/>
        </w:rPr>
        <w:t xml:space="preserve">, </w:t>
      </w:r>
      <w:r>
        <w:rPr>
          <w:rFonts w:ascii="Times New Roman" w:hAnsi="Times New Roman"/>
          <w:b w:val="0"/>
          <w:i/>
          <w:sz w:val="24"/>
        </w:rPr>
        <w:t>S. P.</w:t>
      </w:r>
      <w:r w:rsidRPr="00C00255">
        <w:rPr>
          <w:rFonts w:ascii="Times New Roman" w:hAnsi="Times New Roman"/>
          <w:b w:val="0"/>
          <w:i/>
          <w:sz w:val="24"/>
        </w:rPr>
        <w:t xml:space="preserve"> ir </w:t>
      </w:r>
      <w:r>
        <w:rPr>
          <w:rFonts w:ascii="Times New Roman" w:hAnsi="Times New Roman"/>
          <w:b w:val="0"/>
          <w:i/>
          <w:sz w:val="24"/>
        </w:rPr>
        <w:t>G. G.</w:t>
      </w:r>
      <w:r w:rsidRPr="00C00255">
        <w:rPr>
          <w:rFonts w:ascii="Times New Roman" w:hAnsi="Times New Roman"/>
          <w:b w:val="0"/>
          <w:i/>
          <w:sz w:val="24"/>
        </w:rPr>
        <w:t xml:space="preserve"> skirtinų bausmių</w:t>
      </w:r>
    </w:p>
    <w:p w:rsidR="00495B43" w:rsidRPr="002C1EDB" w:rsidRDefault="00495B43" w:rsidP="00495B43">
      <w:pPr>
        <w:pStyle w:val="ListParagraph"/>
        <w:numPr>
          <w:ilvl w:val="0"/>
          <w:numId w:val="6"/>
        </w:numPr>
        <w:spacing w:before="120" w:after="120"/>
        <w:ind w:left="992" w:hanging="992"/>
        <w:contextualSpacing w:val="0"/>
        <w:rPr>
          <w:rFonts w:eastAsia="Calibri"/>
        </w:rPr>
      </w:pPr>
      <w:r w:rsidRPr="002C1EDB">
        <w:rPr>
          <w:rFonts w:eastAsia="Calibri"/>
        </w:rPr>
        <w:t>Apeliacinės instancijos teismo vertinimu, skundžiamu nuosprendžiu nuteistiesiems V. S. 2, S. P. ir G. G. paskirtos laisvės atėmimo bausmės yra proporcingos ir teisingos. Bausmės paskirtos, atsižvelgiant į jų panašų vaidmenį bendroje karinėje operacijoje ir jų veikų pavojingumo laipsnį.</w:t>
      </w:r>
    </w:p>
    <w:p w:rsidR="00495B43" w:rsidRPr="002C1EDB" w:rsidRDefault="00495B43" w:rsidP="00495B43">
      <w:pPr>
        <w:pStyle w:val="ListParagraph"/>
        <w:numPr>
          <w:ilvl w:val="0"/>
          <w:numId w:val="6"/>
        </w:numPr>
        <w:spacing w:before="120" w:after="120"/>
        <w:ind w:left="992" w:hanging="992"/>
        <w:contextualSpacing w:val="0"/>
        <w:rPr>
          <w:rFonts w:eastAsia="Calibri"/>
        </w:rPr>
      </w:pPr>
      <w:r w:rsidRPr="002C1EDB">
        <w:rPr>
          <w:rFonts w:eastAsia="Calibri"/>
        </w:rPr>
        <w:t>Teisėjų kolegija ankstesnėse šio sprendimo dalyse konstatavo, kad TSRS GM 76-osios oro desanto divizijos 234-ojo pulko 3-iojo bataliono vadas majoras V. S. 2, tiesiogiai dalyvaudamas įvykiuose, vadovavo karinei operacijai užimant TV bokštą, to paties 234-ojo pulko žvalgybos tarnybos viršininkas kapitonas S. P., tiesiogiai dalyvaudamas, vadovavo kariniams daliniams šturmuojant LRT ir koordinavo jų veiksmus, o 234-ojo pulko štabo viršininkas papulkininkis G. G. buvo atsakingas už LRT pastatų užėmimo operacijos įvykdymą bei tiesiogiai dalyvavo juos užimant. Kiekvienam iš šių nuteistųjų skundžiamu nuosprendžiu paskirtos vienodos, mažesnės už vidurkį laisvės atėmimo bausmės, kurias subendrinus bausmių apėmimo būdu, paskirta galutinė subendrinta 12 metų laisvės atėmimo bausmė, atitinkanti 12 metų laisvės atėmimo bausmę, paskirtą už pavojingiausią nusikalstamą veiką, numatytą BK 101 straipsnyje. Prokurorai šiems nuteistiesiems sugriežtinti bausmių neprašo. Nuteistojo S. P. gynėjas apeliaciniame skunde nepateikė argumentų dėl jo ginamajam paskirtos bausmės ir prašė jį išteisinti. Nuteistojo V. S. 2 gynėjas apeliaciniame skunde nurodė, kad yra pagrindas jo ginamajam taikyti BK 54 straipsnio 3 dalies nuostatas ir skirti švelnesnę bausmę nei numatyta baudžiamojo įstatymo sankcijoje. Anot gynėjo, švelnesnė bausmė V. S. 2 galėjo būti paskirta, įvertinus ir tai, kad jis vykdė vadų įsakymus, veikų padarymo metu buvo jaunas, dėl jo veiksmų prie Spaudos rūmų ir TV bokšto niekas nenukentėjo, taip pat būtina įvertinti nukentėjusiųjų rizikingą bei provokuojantį elgesį bei užsitęsusią proceso trukmę. Gynėjas pažymėjo, kad pats V. S. 2, apklaustas kaip liudytojas, paaiškino, kad prie Spaudos rūmų jiems nepavyko prasibrauti pro civilius, o prie TV bokšto jie neišeikvojo nė vieno kovinio šovinio – tik tuščius; matė, kaip kulkos skriejo į kariškius iš gyvenamųjų namų, o daugelis kariškių patyrė įvairius sužalojimus. Nuteistasis G. G. ir (ar) jo gynėjai nuosprendžio apeliacine tvarka neskundė, tiesa apeliacinės instancijos teisme gynėja paminėjo, kad bausmės neindividualizuotos, tačiau platesnių motyvų dėl šio teiginio nepateikė.</w:t>
      </w:r>
    </w:p>
    <w:p w:rsidR="00DA38E9" w:rsidRPr="002C1EDB" w:rsidRDefault="00DA38E9" w:rsidP="00DA38E9">
      <w:pPr>
        <w:pStyle w:val="ListParagraph"/>
        <w:numPr>
          <w:ilvl w:val="1"/>
          <w:numId w:val="6"/>
        </w:numPr>
        <w:spacing w:before="120" w:after="120"/>
        <w:ind w:left="992" w:hanging="992"/>
        <w:contextualSpacing w:val="0"/>
        <w:rPr>
          <w:rFonts w:eastAsia="Calibri"/>
          <w:szCs w:val="24"/>
        </w:rPr>
      </w:pPr>
      <w:r w:rsidRPr="002C1EDB">
        <w:t>Apeliacinės instancijos teismo vertinimu, dauguma nuteistojo V. S. 2 gynėjo skunde nurodytų aplinkybių, kurios, gynėjo teigimu, sudaro pagrindą BK 54 straipsnio 3 dalies nuostatų taikymui, yra neteisingos. Šiame sprendime teisėjų kolegija nustatė, kad majoras V. S. 2 ne tik vykdė įsakymus, tačiau ir pats juos davė, nes būtent jis vadovavo kariniams daliniams užimant TV bokštą, kai buvo nužudyti 12 civilių ir daugiau nei 500 jų kitaip sužaloti (pvz., jis nurodė tankų pulkui pašalinti kliūtis TV bokšto prieigose ir tankais pralaužti kelią kolonai esant šalia civiliams, po ko vienas iš tankų mirtinai sužalojo A. P. K. ir pan.). Be to, V. S. 2 pavaldiems kariškiams vadovavo ir užimant Spaudos rūmus. Taigi, nepaisant gynėjo teiginių apie asmeniškai V. S. 2 nesužalotus asmenis, akivaizdu, kad jo veiksmai buvo tiesiogiai susiję su civiliams padaryta žala ir itin pavojingi. Taip pat teisėjų kolegija ankstesnėse sprendimo dalyse kaip nepagrįstus atmetė ir apeliantų teiginius, kad prie TV bokšto į kariškius buvo šaudoma ir taip jie buvo provokuojami, o patys nukentėjusieji veikė rizikingai. Taigi, vien jaunas V. S. 2 amžius veikos padarymu metu, ilga proceso trukmė ar net aplinkybė, kad V. S. 2 vykdė dar aukštesnių už jį kariškių įsakymus, įvertinus ir jo paties įsakymus bei padarytos veikos didelį pavojingumą ir mastą, nesudaro pagrindo mažinti jam paskirtų bausmių ar taikyti BK 54 straipsnio 3 dalies nuostatas. Pirmosios instancijos teismas visas minėtas aplinkybes įvertinto kaip svarbias, iš esmės visiems nuteistiesiems skiriant mažesnes nei vidutines bausmes, nors ir buvo konstatuotos net trys jų atsakomybę sunkinančios aplinkybės bei nenustatyta atsakomybę lengvinančių aplinkybių, o nuteistųjų padarytos nusikalstamos veikos sukėlė itin sunkius padarinius. Dėl šių priežasčių teisėjų kolegija konstatuoja, kad V. S. 2 paskirtos bausmės yra teisingos, proporcingos ir būtinos, siekiant užtikrinti BK 41 straipsnyje apibrėžtą bausmės paskirtį.</w:t>
      </w:r>
      <w:r w:rsidRPr="002C1EDB">
        <w:rPr>
          <w:szCs w:val="24"/>
        </w:rPr>
        <w:t xml:space="preserve"> </w:t>
      </w:r>
    </w:p>
    <w:p w:rsidR="00DA38E9" w:rsidRPr="002C1EDB" w:rsidRDefault="00DA38E9" w:rsidP="00DA38E9">
      <w:pPr>
        <w:pStyle w:val="ListParagraph"/>
        <w:numPr>
          <w:ilvl w:val="0"/>
          <w:numId w:val="6"/>
        </w:numPr>
        <w:spacing w:before="120" w:after="120"/>
        <w:ind w:left="992" w:hanging="992"/>
        <w:contextualSpacing w:val="0"/>
        <w:rPr>
          <w:rFonts w:eastAsia="Calibri"/>
          <w:szCs w:val="24"/>
        </w:rPr>
      </w:pPr>
      <w:r w:rsidRPr="002C1EDB">
        <w:rPr>
          <w:rFonts w:eastAsia="Calibri"/>
        </w:rPr>
        <w:t xml:space="preserve">Teisėjų kolegija taip pat neįžvelgia pagrindo švelninti bausmių nuteistiesiems S. P. ir G. G.. Nuteistasis S. P. ne tik </w:t>
      </w:r>
      <w:r w:rsidRPr="002C1EDB">
        <w:t xml:space="preserve">vadovavo skirtingiems kariniams daliniams užimant LRT ir koordinavo jų veiksmus, tačiau taip pat dalyvavo rengiant šių objektų užėmimo schemas ir planus, paskirstė užduotis skirtingų karinių dalinių kariškiams, operacijos metu komunikavo tiek su atskirų dalinių vadovais, tiek su vadovavimo karinei operacijai štabo nariais (pvz., nuteistuoju V. K. 1) ir pan. Teisėjų kolegijos įsitikinimu, tokie S. P. veiksmai bei indėlis bendrai vykdytoje karinėje operacijoje buvo itin reikšmingi ir pavojingi, todėl, kaip ir V. S. 2, šiam nuteistajam paskirtos mažesnės nei vidurkio dydžio bausmės yra teisingos ir proporcingos. Nuteistasis G. G. taip pat ėjo vadovaujančias pareigas užimant LRT, ir apskritai kaip papulkininkis buvo aukščiausias pagal karinį laipsnį TSRS GM 76-osios oro desanto divizijos karininkas tiesiogiai dalyvavęs užimant LRT pastatus bei buvo asmeniškai atsakingas už šios operacijos įvykdymą. Nuteistiesiems S. P. ir G. G., kaip beje ir V. S. 2, atsižvelgiant į jų vadovaujamą vaidmenį ir žemesnio rango nuteistiesiems paskirtas bausmes, pagrįstai pagal BK 101 straipsnį buvo paskirta kiek didesnė laisvės atėmimo bausmė nei įvykiuose dalyvavusiems žemesnio rango karininkams, vadovavusiems mažesnėms kariškių grupėms. Nuteistųjų S. P., G. G. ir V. S. 2 veikimas buvo žymiai pavojingesnis ir turėjo lemiamos įtakos karinės operacijos įgyvendinimui, todėl jiems paskirtos bausmės yra teisingos ir proporcingos. Tokių teismo išvadų nekeičia ir faktas, kad pirmosios instancijos teismas, skirdamas bausmę nuteistajam G. G., buvo neteisingai nurodęs, kad jis </w:t>
      </w:r>
      <w:r w:rsidRPr="002C1EDB">
        <w:rPr>
          <w:rFonts w:eastAsia="Calibri"/>
        </w:rPr>
        <w:t>dalyvavo užimant Spaudos rūmus ir Policijos akademiją. G. G. vadovaujantis vaidmuo užimant LRT buvo itin reikšmingas ir pavojingas, todėl vien dėl tokių nepagrįstų pirmosios instancijos teismo argumentų, nėra pagrindo keisti jam paskirtos pagrįstos ir teisingos bausmės.</w:t>
      </w:r>
    </w:p>
    <w:p w:rsidR="00DA38E9" w:rsidRPr="00C00255" w:rsidRDefault="00DA38E9" w:rsidP="00DA38E9">
      <w:pPr>
        <w:pStyle w:val="Heading4"/>
        <w:spacing w:before="120" w:after="120"/>
        <w:ind w:firstLine="992"/>
        <w:rPr>
          <w:rFonts w:ascii="Times New Roman" w:eastAsia="Calibri" w:hAnsi="Times New Roman"/>
          <w:b w:val="0"/>
          <w:i/>
          <w:sz w:val="24"/>
        </w:rPr>
      </w:pPr>
      <w:r w:rsidRPr="00C00255">
        <w:rPr>
          <w:rFonts w:ascii="Times New Roman" w:hAnsi="Times New Roman"/>
          <w:b w:val="0"/>
          <w:i/>
          <w:sz w:val="24"/>
        </w:rPr>
        <w:t xml:space="preserve">Dėl nuteistajam </w:t>
      </w:r>
      <w:r>
        <w:rPr>
          <w:rFonts w:ascii="Times New Roman" w:hAnsi="Times New Roman"/>
          <w:b w:val="0"/>
          <w:i/>
          <w:sz w:val="24"/>
        </w:rPr>
        <w:t>V. D.</w:t>
      </w:r>
      <w:r w:rsidRPr="00C00255">
        <w:rPr>
          <w:rFonts w:ascii="Times New Roman" w:hAnsi="Times New Roman"/>
          <w:b w:val="0"/>
          <w:i/>
          <w:sz w:val="24"/>
        </w:rPr>
        <w:t xml:space="preserve"> skirtinos bausmės</w:t>
      </w:r>
      <w:r w:rsidRPr="00C00255">
        <w:rPr>
          <w:rFonts w:ascii="Times New Roman" w:eastAsia="Calibri" w:hAnsi="Times New Roman"/>
          <w:b w:val="0"/>
          <w:i/>
          <w:sz w:val="24"/>
        </w:rPr>
        <w:tab/>
      </w:r>
    </w:p>
    <w:p w:rsidR="00DA38E9" w:rsidRPr="002C1EDB" w:rsidRDefault="00DA38E9" w:rsidP="00DA38E9">
      <w:pPr>
        <w:numPr>
          <w:ilvl w:val="0"/>
          <w:numId w:val="6"/>
        </w:numPr>
        <w:spacing w:before="120" w:after="120"/>
        <w:ind w:left="992" w:hanging="992"/>
      </w:pPr>
      <w:bookmarkStart w:id="977" w:name="_Toc67677461"/>
      <w:r w:rsidRPr="002C1EDB">
        <w:rPr>
          <w:rFonts w:eastAsiaTheme="minorHAnsi"/>
        </w:rPr>
        <w:t>Skundžiamu nuosprendžiu TSRS GM 76-osios oro desanto divizijos 234-ojo pulko 3-iojo bataliono štabo vadui majorui V. D. už inkriminuotus nusikaltimus buvo paskirta galutinė subendrinta 12 metų laisvės atėmimo bausmė. Prokurorai sutiko su tokia bausme ir šioje dalyje nuosprendžio neskundė, o V. D. gynėjas apeliaciniame skunde nepateikė argumentų dėl jo ginamajam paskirtos bausmės ir prašė jo atžvilgiu bylą nutraukti. Teisėjų kolegijos vertinimu,</w:t>
      </w:r>
      <w:bookmarkEnd w:id="977"/>
      <w:r w:rsidRPr="002C1EDB">
        <w:t xml:space="preserve"> turint omenyje reikšmingą V. D. vaidmenį bendroje karinėje operacijoje, jo užimtas aukštas pareigas,</w:t>
      </w:r>
      <w:r w:rsidRPr="002C1EDB">
        <w:rPr>
          <w:rFonts w:eastAsiaTheme="minorHAnsi"/>
        </w:rPr>
        <w:t xml:space="preserve"> jam </w:t>
      </w:r>
      <w:r w:rsidRPr="002C1EDB">
        <w:t xml:space="preserve">paskirta bausmė laikytina teisinga bei proporcinga. Įvykių metu majoras V. D. ne tik buvo 3-iojo bataliono, kurio sudėtyje buvo 7-oji, 8-oji ir 9-oji oro desantininkų kuopos, dalyvavusios užimant objektus Vilniuje, štabo vadu, tačiau ir pats tiesiogiai dalyvavo užimant Spaudos rūmus ir TV bokštą bei šių įvykių metu vadovavo pavaldiems oro desanto divizijos kariškiams, kurie, būdami ginkluoti, veržėsi pro civilius prie objektų. Iš bylos medžiagos matyti ir tai, kad V. D. kartu su V. S. 2 rengė TV bokšto užėmimo planą, kariškių atvykimo prie TV bokšto maršrutą ir būtent V. D. informavo V. S. 2 </w:t>
      </w:r>
      <w:r w:rsidRPr="002C1EDB">
        <w:rPr>
          <w:rFonts w:eastAsia="Calibri"/>
        </w:rPr>
        <w:t>apie tai, kad TV bokšto prieigose yra užtvara iš transporto priemonių, kurią šalinant buvo nužudytas A. P. K.. Taigi aukšto rango karininkas V. D. veikė itin aktyviai ir pavojingai, kai prie TV bokšto</w:t>
      </w:r>
      <w:r w:rsidRPr="002C1EDB">
        <w:t xml:space="preserve"> bendrais nuteistųjų veiksmais buvo nužudyti 12 civilių bei šimtai civilių kitaip sužaloti. Teisėjų kolegijos vertinimu, byloje nustatytas V. D. vaidmuo bendrai vykdytoje ir koordinuotoje operacijoje nesuteikia jokio pagrindo švelninti teismo nuosprendžiu jam už atskiras nusikalstamas veikas paskirtų mažesnių nei vidurkio dydžio laisvės atėmimo bausmių bei subendrintos bausmės.</w:t>
      </w:r>
    </w:p>
    <w:p w:rsidR="00DA38E9" w:rsidRPr="00C00255" w:rsidRDefault="00DA38E9" w:rsidP="00DA38E9">
      <w:pPr>
        <w:pStyle w:val="Heading4"/>
        <w:spacing w:before="120" w:after="120"/>
        <w:ind w:firstLine="992"/>
        <w:rPr>
          <w:rFonts w:ascii="Times New Roman" w:eastAsia="Calibri" w:hAnsi="Times New Roman"/>
          <w:b w:val="0"/>
          <w:i/>
          <w:sz w:val="24"/>
        </w:rPr>
      </w:pPr>
      <w:r w:rsidRPr="00C00255">
        <w:rPr>
          <w:rFonts w:ascii="Times New Roman" w:eastAsia="Calibri" w:hAnsi="Times New Roman"/>
          <w:b w:val="0"/>
          <w:i/>
          <w:sz w:val="24"/>
        </w:rPr>
        <w:t xml:space="preserve">Dėl nuteistiesiems </w:t>
      </w:r>
      <w:r>
        <w:rPr>
          <w:rFonts w:ascii="Times New Roman" w:eastAsia="Calibri" w:hAnsi="Times New Roman"/>
          <w:b w:val="0"/>
          <w:i/>
          <w:sz w:val="24"/>
        </w:rPr>
        <w:t>A. G. 2</w:t>
      </w:r>
      <w:r w:rsidRPr="00C00255">
        <w:rPr>
          <w:rFonts w:ascii="Times New Roman" w:eastAsia="Calibri" w:hAnsi="Times New Roman"/>
          <w:b w:val="0"/>
          <w:i/>
          <w:sz w:val="24"/>
        </w:rPr>
        <w:t xml:space="preserve">, </w:t>
      </w:r>
      <w:r>
        <w:rPr>
          <w:rFonts w:ascii="Times New Roman" w:eastAsia="Calibri" w:hAnsi="Times New Roman"/>
          <w:b w:val="0"/>
          <w:i/>
          <w:sz w:val="24"/>
        </w:rPr>
        <w:t>J. G.</w:t>
      </w:r>
      <w:r w:rsidRPr="00C00255">
        <w:rPr>
          <w:rFonts w:ascii="Times New Roman" w:eastAsia="Calibri" w:hAnsi="Times New Roman"/>
          <w:b w:val="0"/>
          <w:i/>
          <w:sz w:val="24"/>
        </w:rPr>
        <w:t xml:space="preserve">, </w:t>
      </w:r>
      <w:r>
        <w:rPr>
          <w:rFonts w:ascii="Times New Roman" w:eastAsia="Calibri" w:hAnsi="Times New Roman"/>
          <w:b w:val="0"/>
          <w:i/>
          <w:sz w:val="24"/>
        </w:rPr>
        <w:t>S. M.</w:t>
      </w:r>
      <w:r w:rsidRPr="00C00255">
        <w:rPr>
          <w:rFonts w:ascii="Times New Roman" w:eastAsia="Calibri" w:hAnsi="Times New Roman"/>
          <w:b w:val="0"/>
          <w:i/>
          <w:sz w:val="24"/>
        </w:rPr>
        <w:t xml:space="preserve"> ir </w:t>
      </w:r>
      <w:r>
        <w:rPr>
          <w:rFonts w:ascii="Times New Roman" w:eastAsia="Calibri" w:hAnsi="Times New Roman"/>
          <w:b w:val="0"/>
          <w:i/>
          <w:sz w:val="24"/>
        </w:rPr>
        <w:t>K. U.</w:t>
      </w:r>
      <w:r w:rsidRPr="00C00255">
        <w:rPr>
          <w:rFonts w:ascii="Times New Roman" w:eastAsia="Calibri" w:hAnsi="Times New Roman"/>
          <w:b w:val="0"/>
          <w:i/>
          <w:sz w:val="24"/>
        </w:rPr>
        <w:t xml:space="preserve"> skirtinų bausmių</w:t>
      </w:r>
    </w:p>
    <w:p w:rsidR="00DA38E9" w:rsidRPr="002C1EDB" w:rsidRDefault="00DA38E9" w:rsidP="00DA38E9">
      <w:pPr>
        <w:numPr>
          <w:ilvl w:val="0"/>
          <w:numId w:val="6"/>
        </w:numPr>
        <w:spacing w:before="120" w:after="120"/>
        <w:ind w:left="992" w:hanging="992"/>
        <w:rPr>
          <w:rStyle w:val="Heading3Char"/>
          <w:rFonts w:eastAsiaTheme="minorHAnsi"/>
          <w:sz w:val="24"/>
          <w:szCs w:val="24"/>
          <w:lang w:val="lt-LT"/>
        </w:rPr>
      </w:pPr>
      <w:bookmarkStart w:id="978" w:name="_Toc67677462"/>
      <w:r w:rsidRPr="002C1EDB">
        <w:rPr>
          <w:rFonts w:eastAsiaTheme="minorHAnsi"/>
        </w:rPr>
        <w:t>Teisėjų kolegija sutinka ir su pirmosios instancijos teismo išvadomis dėl paskirtų bausmių TSRS GM 76-osios oro desanto divizijos kuopų vadams A. G. 2, J. G., S. M. ir K. U.. Nuteistiesiems A. G. 2 ir J. G. teismas paskyrė vienodas galutines 12 metų laisvės atėmimo bausmes, o nuteistiesiems S. M. ir K. U. – 10 metų laisvės atėmimo bausmes. Prokurorai tokių bausmių neginčijo, o apeliaciniuose skunduose dėl paskirtų bausmių pasisakė tik nuteistojo J. G. gynėjas.</w:t>
      </w:r>
      <w:bookmarkEnd w:id="978"/>
      <w:r w:rsidRPr="002C1EDB">
        <w:rPr>
          <w:rStyle w:val="Heading3Char"/>
          <w:rFonts w:eastAsiaTheme="minorHAnsi"/>
          <w:sz w:val="24"/>
          <w:szCs w:val="24"/>
          <w:lang w:val="lt-LT"/>
        </w:rPr>
        <w:t xml:space="preserve"> </w:t>
      </w:r>
    </w:p>
    <w:p w:rsidR="00DA38E9" w:rsidRPr="002C1EDB" w:rsidRDefault="00DA38E9" w:rsidP="00DA38E9">
      <w:pPr>
        <w:numPr>
          <w:ilvl w:val="0"/>
          <w:numId w:val="6"/>
        </w:numPr>
        <w:spacing w:before="120" w:after="120"/>
        <w:ind w:left="992" w:hanging="992"/>
      </w:pPr>
      <w:bookmarkStart w:id="979" w:name="_Toc67677463"/>
      <w:r w:rsidRPr="005C5184">
        <w:rPr>
          <w:rFonts w:eastAsiaTheme="minorHAnsi"/>
        </w:rPr>
        <w:t>Teisėjų kolegijos vertinimu,</w:t>
      </w:r>
      <w:bookmarkEnd w:id="979"/>
      <w:r w:rsidRPr="00C00255">
        <w:t xml:space="preserve"> nuteistajam </w:t>
      </w:r>
      <w:r>
        <w:t>A. G. 2</w:t>
      </w:r>
      <w:r w:rsidRPr="00C00255">
        <w:t xml:space="preserve"> </w:t>
      </w:r>
      <w:r w:rsidRPr="00C00255">
        <w:rPr>
          <w:rStyle w:val="Heading3Char"/>
          <w:rFonts w:eastAsiaTheme="minorHAnsi"/>
          <w:b w:val="0"/>
          <w:sz w:val="24"/>
          <w:szCs w:val="24"/>
          <w:lang w:val="lt-LT"/>
        </w:rPr>
        <w:t xml:space="preserve">paskirtos bausmės už atskiras nusikalstamas </w:t>
      </w:r>
      <w:r w:rsidRPr="002C1EDB">
        <w:rPr>
          <w:rFonts w:eastAsiaTheme="minorHAnsi"/>
        </w:rPr>
        <w:t xml:space="preserve">veikas ir galutinę subendrintą bausmę lėmusi 12 metų laisvės atėmimo bausmė, paskirta pagal BK 101 straipsnį, </w:t>
      </w:r>
      <w:r w:rsidRPr="002C1EDB">
        <w:t>laikytinos teisingomis bei proporcingomis. A. G. 2 įvykių metu buvo TSRS GM 76-osios oro desanto divizijos 234-ojo pulko 3-iojo bataliono 8-osios kuopos vadas, vyr. leitenantas ir vadovavo jam pavaldiems kariškiams užimant Spaudos rūmus ir TV bokštą. Nuteistojo A. G. 2 reikšmingą ir pavojingą vaidmenį bendrai vykdytoje operacijoje rodo ir tai, kad jis ne tik instruktavo ir davė reikiamus nurodymus kariškiams dėl TV bokšto užėmimo, bet ir jiems vadovavo, o šios operacijos metu panaudojant smurtą ir ginklus buvo brutaliai žalojami civiliai. Nuteistojo vadovautos kuopos kariškiai buvo atsakingi už TV bokšto pirmojo aukšto užėmimą ir civilių pašalinimą, taip sudarant sąlygas ir kitų dalinių kariškių patekimui į šį objektą. Taigi apeliacinės instancijos teismas neturi jokio pagrindo švelninti teismo nuosprendžiu A. G. 2 paskirtų mažesnių nei vidurkio dydžio laisvės atėmimo bausmių bei subendrintos bausmės, nes jo vaidmuo operacijoje buvo reikšmingas ir pavojingesnis už daugumos kitų prie konkrečių objektų veikusių žemesnio rango karininkų veiksmus.</w:t>
      </w:r>
    </w:p>
    <w:p w:rsidR="00DA38E9" w:rsidRPr="002C1EDB" w:rsidRDefault="00DA38E9" w:rsidP="00DA38E9">
      <w:pPr>
        <w:numPr>
          <w:ilvl w:val="0"/>
          <w:numId w:val="6"/>
        </w:numPr>
        <w:spacing w:before="120" w:after="120"/>
        <w:ind w:left="992" w:hanging="992"/>
      </w:pPr>
      <w:bookmarkStart w:id="980" w:name="_Toc67677464"/>
      <w:r w:rsidRPr="002C1EDB">
        <w:rPr>
          <w:rFonts w:eastAsiaTheme="minorHAnsi"/>
        </w:rPr>
        <w:t>Lygiai taip pat teisėjų kolegija vertina ir TSRS GM 76-osios oro desanto divizijos</w:t>
      </w:r>
      <w:bookmarkEnd w:id="980"/>
      <w:r w:rsidRPr="002C1EDB">
        <w:rPr>
          <w:rFonts w:eastAsiaTheme="minorHAnsi"/>
        </w:rPr>
        <w:t xml:space="preserve"> </w:t>
      </w:r>
      <w:r w:rsidRPr="002C1EDB">
        <w:t xml:space="preserve">237-ojo pulko 1-ojo bataliono 1-osios kuopos vadui kapitonui J. G. skundžiamu nuosprendžiu </w:t>
      </w:r>
      <w:r w:rsidRPr="002C1EDB">
        <w:rPr>
          <w:rFonts w:eastAsiaTheme="minorHAnsi"/>
        </w:rPr>
        <w:t xml:space="preserve">paskirtas bausmes už atskirus nusikaltimus ir galutinę subendrintą 12 metų laisvės atėmimo bausmę. Nuteistojo J. G. gynėjas apeliaciniame skunde teigė, kad J. G. paskirta bausmė per griežta ir neteisinga, nes jo atžvilgiu yra pagrindas taikyti BK 54 straipsnio 3 dalies nuostatas. </w:t>
      </w:r>
      <w:r w:rsidRPr="002C1EDB">
        <w:t>Teisėjų kolegijos įsitikinimu, nuteistojo</w:t>
      </w:r>
      <w:r w:rsidRPr="002C1EDB">
        <w:rPr>
          <w:rFonts w:eastAsia="Calibri"/>
        </w:rPr>
        <w:t xml:space="preserve"> J. G. vaidmuo ir statusas įvykių metu buvo panašūs į A. G. 2, todėl jiems abiems paskirtos vienodos bausmės (tiek už atskirus nusikaltimus, tiek subendrintos) yra </w:t>
      </w:r>
      <w:r w:rsidRPr="002C1EDB">
        <w:t xml:space="preserve">teisingos bei pagrįstos. Pirmiausia, apeliacinės instancijos teismas nesutinka su nuteistojo J. G. gynėjo teiginiais, kad jo ginamajam paskirtos bausmės rūšis pažeidžia teisingumo principą ir jam turėtų būti taikomos BK 54 straipsnio 3 dalies nuostatos. Šį prašymą gynyba grindžia tuo, jog J. G. vaidmuo ir jo veikos pavojingumas byloje buvo įvertintas netinkamai (pvz., atvykęs prie LRT, jis buvo sužeistas ir jo vaidmuo buvo epizodiškas; jis neveikė visuotinai pavojingu būdu ir pan.). Visgi tokie teiginiai buvo atmesti kaip nepagrįsti dar šiame teismo sprendime pasisakant dėl J. G. vaidmens užimant LRT. Byloje nustatyta, kad J. G. dalyvavo bei vadovavo ne tik pagal pareigas jo vadovaujamos 1-osios kuopos, bet ir to paties dalinio 2-osios kuopos kariškiams, jėga ir smurtu užimant LRT Radijo pastatą. Taigi J. G. prie LRT vadovavo ne tik savo kuopai, tačiau buvo paskirtas karinio vieneto, sudaryto iš dviejų kuopų, vadovu, ir buvo aukščiausias pagal laipsnį šio karinio vieneto karininkas, ir vien tai rodo neeilinį jo statusą. Be to, dar prieš operaciją J. G. instruktavo kariškius dėl ginklų ir šaudmenų naudojimo bei užduočių pastato viduje, o prie LRT Radijo pastato kariškiams davė nurodymus veržtis pro minią, šaudyti į viršų. Taigi teisėjų kolegija neįžvelgia jokio pagrindo švelninti teismo nuosprendžiu J. G. paskirtų mažesnių nei vidurkio dydžio laisvės atėmimo bausmių bei subendrintos bausmės, nes jo vaidmuo aptariamoje operacijoje buvo reikšmingas ir pavojingesnis už daugumos kitų prie konkrečių objektų veikusių žemesnio rango karininkų veiksmus ir švelnesnės bausmės neužtikrintų bausmės paskirties.  </w:t>
      </w:r>
    </w:p>
    <w:p w:rsidR="00DA38E9" w:rsidRPr="002C1EDB" w:rsidRDefault="00DA38E9" w:rsidP="00DA38E9">
      <w:pPr>
        <w:numPr>
          <w:ilvl w:val="0"/>
          <w:numId w:val="6"/>
        </w:numPr>
        <w:spacing w:before="120" w:after="120"/>
        <w:ind w:left="992" w:hanging="992"/>
        <w:rPr>
          <w:rFonts w:eastAsiaTheme="minorHAnsi"/>
        </w:rPr>
      </w:pPr>
      <w:r w:rsidRPr="002C1EDB">
        <w:t>Kitiems kuopų vadams K. U. ir S. M., juos lyginant su J. G. ir A. G. 2, skundžiamu nuosprendžiu pagal BK 100 straipsnį ir BK 101 straipsnį buvo paskirtos švelnesnės laisvės atėmimo bausmės (atitinkamai 6 ir 10 metų) bei galutinė subendrinta 10 metų laisvės atėmimo bausmė. Teisėjų kolegijos vertinimu, tokios bausmės šiems nuteistiesiems, nors ir taip pat kuopų vadams, yra ob</w:t>
      </w:r>
      <w:r w:rsidRPr="002C1EDB">
        <w:rPr>
          <w:rFonts w:eastAsiaTheme="minorHAnsi"/>
        </w:rPr>
        <w:t xml:space="preserve">jektyviai pateisinamos ir nulemtos kiek mažesnio jų vaidmens bendroje karinėje operacijoje. </w:t>
      </w:r>
    </w:p>
    <w:p w:rsidR="00DA38E9" w:rsidRPr="002C1EDB" w:rsidRDefault="00DA38E9" w:rsidP="00DA38E9">
      <w:pPr>
        <w:numPr>
          <w:ilvl w:val="0"/>
          <w:numId w:val="6"/>
        </w:numPr>
        <w:spacing w:before="120" w:after="120"/>
        <w:ind w:left="992" w:hanging="992"/>
      </w:pPr>
      <w:bookmarkStart w:id="981" w:name="_Toc67677465"/>
      <w:r w:rsidRPr="002C1EDB">
        <w:rPr>
          <w:rFonts w:eastAsiaTheme="minorHAnsi"/>
        </w:rPr>
        <w:t>Teisėjų kolegija, turėdama</w:t>
      </w:r>
      <w:bookmarkEnd w:id="981"/>
      <w:r w:rsidRPr="002C1EDB">
        <w:rPr>
          <w:rFonts w:eastAsiaTheme="minorHAnsi"/>
        </w:rPr>
        <w:t xml:space="preserve"> </w:t>
      </w:r>
      <w:r w:rsidRPr="002C1EDB">
        <w:t>omenyje K. U. vaidmenį bendroje karinėje operacijoje, jo užimtas pareigas,</w:t>
      </w:r>
      <w:r w:rsidRPr="002C1EDB">
        <w:rPr>
          <w:rFonts w:eastAsiaTheme="minorHAnsi"/>
        </w:rPr>
        <w:t xml:space="preserve"> daro išvadą, kad tiek šiam nuteistajam </w:t>
      </w:r>
      <w:r w:rsidRPr="002C1EDB">
        <w:t xml:space="preserve">paskirtos bausmės už atskiras nusikalstamas veikas, tiek subendrinta bausmė yra teisingos bei proporcingos. </w:t>
      </w:r>
      <w:r w:rsidRPr="002C1EDB">
        <w:rPr>
          <w:rFonts w:eastAsiaTheme="minorHAnsi"/>
        </w:rPr>
        <w:t xml:space="preserve">TSRS GM 76-osios oro desanto divizijos </w:t>
      </w:r>
      <w:r w:rsidRPr="002C1EDB">
        <w:t>237-ojo pulko 1-ojo bataliono 2-osios kuopos vadas vyr. leitenantas K. U. buvo vienu iš 1-osios ir 2-osios kuopų kariškiams, kurie būdami ginkluoti, prasibrovė iki LRT Radijo pastato, stūmė civilius iš pastato teritorijos bei vykdė kitus pastato užėmimo veiksmus, vadovavusių asmenų. Be to, nustatyta, kad K. U. pavaldžius kariškius dar prieš operaciją instruktavo apie padėtį įvykio vietoje ir ten veiksiančius dalinius, apie užduotis įvykdytinas pastato viduje, o jau būdamas pastate, rūpinosi, kaip vykdoma patalpų apžiūra ir civilių šalinimas iš jų. Taigi K. U. vaidmuo operacijoje buvo neabejotinai reikšmingas. Tačiau būtina pažymėti, jog K. U. vadovavo tik jam pavaldiems kariškiams, t. y. 2-osios kuopos kariškiams, iš jau aptartos nuteistojo J. G. vadovaujamos desantininkų grupės, kurią sudarė 1-osios ir 2-osios kuopų kariškiai. Dėl šios priežasties K. U. veikimas, nors pavojingas ir reikšmingas, buvo mažiau pavojingas nei J. G., kuriam įvykių metu K. U. buvo pavaldus. Taigi apeliacinės instancijos teismas neturi jokio pagrindo dar labiau švelninti K. U. už pavojingiausią nusikalstamą veiką, numatytą BK 101 straipsnyje, paskirtos minimalios 10 metų laisvės atėmimo bausmės ir paskirtų mažesnių nei vidurkio dydžio bausmių už kitus įvykdytus nusikaltimus.</w:t>
      </w:r>
    </w:p>
    <w:p w:rsidR="00DA38E9" w:rsidRPr="002C1EDB" w:rsidRDefault="00DA38E9" w:rsidP="00DA38E9">
      <w:pPr>
        <w:numPr>
          <w:ilvl w:val="0"/>
          <w:numId w:val="6"/>
        </w:numPr>
        <w:spacing w:before="120" w:after="120"/>
        <w:ind w:left="992" w:hanging="992"/>
      </w:pPr>
      <w:r w:rsidRPr="002C1EDB">
        <w:rPr>
          <w:rFonts w:eastAsia="Calibri"/>
        </w:rPr>
        <w:t xml:space="preserve">Teisėjų kolegijos įsitikinimu, S. M. vaidmuo ir statusas įvykių metu buvo panašus į K. U. (abu kuopų vadai, turėjo vyr. leitenanto laipsnį, dalyvavo užimant LRT), todėl </w:t>
      </w:r>
      <w:r w:rsidRPr="002C1EDB">
        <w:t xml:space="preserve">abiem nuteistiesiems </w:t>
      </w:r>
      <w:r w:rsidRPr="002C1EDB">
        <w:rPr>
          <w:rFonts w:eastAsiaTheme="minorHAnsi"/>
        </w:rPr>
        <w:t xml:space="preserve">paskirtos identiškos bausmės už atskiras nusikalstamas veikas ir galutinę subendrintą bausmę lėmusi 10 metų laisvės atėmimo bausmė, paskirta pagal BK 101 straipsnį, </w:t>
      </w:r>
      <w:r w:rsidRPr="002C1EDB">
        <w:t xml:space="preserve">laikytinos teisingomis bei pagrįstomis. Byloje nustatyta, kad S. M. dalyvavo bei ėjo vadovaujančias pareigas užimant Spaudos rūmus ir LRT Televizijos pastatą. Nuteistasis S. M. buvo vienu iš </w:t>
      </w:r>
      <w:r w:rsidRPr="002C1EDB">
        <w:rPr>
          <w:rFonts w:eastAsiaTheme="minorHAnsi"/>
        </w:rPr>
        <w:t xml:space="preserve">TSRS GM 76-osios oro desanto divizijos </w:t>
      </w:r>
      <w:r w:rsidRPr="002C1EDB">
        <w:t xml:space="preserve">234-ojo pulko 3-iojo bataliono 7-osios kuopos kariškiams vadovavusių karininkų. Šio dalinio kariškiai, būdami ginkluoti, brutaliai brovėsi pro civilius ir vykdė kitus LRT Televizijos pastato užėmimo veiksmus. Kuopos vadas vyr. leitenantas S. M., įvykio vietoje davė įsakymus dėl sargybos išstatymo, civilių nustūmimo, šaudymo ir pan. Iš to akivaizdu, kad nuteistojo S. M. vaidmuo bendroje operacijoje buvo neabejotinai reikšmingas ir pavojingas. Visgi, būtina pažymėti, kad, panašiai kaip ir K. U. atveju, užimant LRT Televizijos pastatą kartu su 7-osios kuopos kariškiais veikė ir aukštesnio rango kariškiai, tarp jų ir už visos LRT užėmimo operacijos įvykdymą (jos rezultatus) atsakingas papulkininkis G. G.. Dėl šios priežasties S. M. veikimas, nors reikšmingas ir pavojingas, buvo mažiau pavojingas už kartu su juo užimant LRT Televizijos pastatą dalyvavusio papulkininkio G. G. veikimą, kuriam už pavojingiausią nusikalstamą veiką, numatytą BK 101 straipsnyje, paskirta 12 metų laisvės atėmimo bausmė ir kuriam S. M. buvo pavaldus. Taigi apeliacinės instancijos teismas neturi jokio pagrindo dar labiau švelninti S. M. už pavojingiausią nusikalstamą veiką, numatytą BK 101 straipsnyje, paskirtos minimalios 10 metų laisvės atėmimo bausmės ir paskirtų mažesnių nei vidurkio dydžio bausmių už kitus įvykdytus nusikaltimus.   </w:t>
      </w:r>
    </w:p>
    <w:p w:rsidR="00DA38E9" w:rsidRPr="00C00255" w:rsidRDefault="00DA38E9" w:rsidP="00DA38E9">
      <w:pPr>
        <w:pStyle w:val="Heading4"/>
        <w:spacing w:before="120" w:after="120"/>
        <w:ind w:left="992"/>
        <w:rPr>
          <w:rFonts w:ascii="Times New Roman" w:eastAsia="Calibri" w:hAnsi="Times New Roman"/>
          <w:b w:val="0"/>
          <w:i/>
          <w:sz w:val="24"/>
        </w:rPr>
      </w:pPr>
      <w:r w:rsidRPr="00C00255">
        <w:rPr>
          <w:rFonts w:ascii="Times New Roman" w:eastAsia="Calibri" w:hAnsi="Times New Roman"/>
          <w:b w:val="0"/>
          <w:i/>
          <w:sz w:val="24"/>
        </w:rPr>
        <w:t xml:space="preserve">Dėl nuteistiesiems </w:t>
      </w:r>
      <w:r>
        <w:rPr>
          <w:rFonts w:ascii="Times New Roman" w:eastAsia="Calibri" w:hAnsi="Times New Roman"/>
          <w:b w:val="0"/>
          <w:i/>
          <w:sz w:val="24"/>
        </w:rPr>
        <w:t>S. G.</w:t>
      </w:r>
      <w:r w:rsidRPr="00C00255">
        <w:rPr>
          <w:rFonts w:ascii="Times New Roman" w:eastAsia="Calibri" w:hAnsi="Times New Roman"/>
          <w:b w:val="0"/>
          <w:i/>
          <w:sz w:val="24"/>
        </w:rPr>
        <w:t xml:space="preserve">, </w:t>
      </w:r>
      <w:r>
        <w:rPr>
          <w:rFonts w:ascii="Times New Roman" w:eastAsia="Calibri" w:hAnsi="Times New Roman"/>
          <w:b w:val="0"/>
          <w:i/>
          <w:sz w:val="24"/>
        </w:rPr>
        <w:t>A. Z.</w:t>
      </w:r>
      <w:r w:rsidRPr="00C00255">
        <w:rPr>
          <w:rFonts w:ascii="Times New Roman" w:eastAsia="Calibri" w:hAnsi="Times New Roman"/>
          <w:b w:val="0"/>
          <w:i/>
          <w:sz w:val="24"/>
        </w:rPr>
        <w:t xml:space="preserve">, </w:t>
      </w:r>
      <w:r>
        <w:rPr>
          <w:rFonts w:ascii="Times New Roman" w:eastAsia="Calibri" w:hAnsi="Times New Roman"/>
          <w:b w:val="0"/>
          <w:i/>
          <w:sz w:val="24"/>
        </w:rPr>
        <w:t>I. Š.</w:t>
      </w:r>
      <w:r w:rsidRPr="00C00255">
        <w:rPr>
          <w:rFonts w:ascii="Times New Roman" w:eastAsia="Calibri" w:hAnsi="Times New Roman"/>
          <w:b w:val="0"/>
          <w:i/>
          <w:sz w:val="24"/>
        </w:rPr>
        <w:t xml:space="preserve">, </w:t>
      </w:r>
      <w:r>
        <w:rPr>
          <w:rFonts w:ascii="Times New Roman" w:eastAsia="Calibri" w:hAnsi="Times New Roman"/>
          <w:b w:val="0"/>
          <w:i/>
          <w:sz w:val="24"/>
        </w:rPr>
        <w:t>V. S. 3</w:t>
      </w:r>
      <w:r w:rsidRPr="00C00255">
        <w:rPr>
          <w:rFonts w:ascii="Times New Roman" w:eastAsia="Calibri" w:hAnsi="Times New Roman"/>
          <w:b w:val="0"/>
          <w:i/>
          <w:sz w:val="24"/>
        </w:rPr>
        <w:t xml:space="preserve">, </w:t>
      </w:r>
      <w:r>
        <w:rPr>
          <w:rFonts w:ascii="Times New Roman" w:eastAsia="Calibri" w:hAnsi="Times New Roman"/>
          <w:b w:val="0"/>
          <w:i/>
          <w:sz w:val="24"/>
        </w:rPr>
        <w:t>B. S.</w:t>
      </w:r>
      <w:r w:rsidRPr="00C00255">
        <w:rPr>
          <w:rFonts w:ascii="Times New Roman" w:eastAsia="Calibri" w:hAnsi="Times New Roman"/>
          <w:b w:val="0"/>
          <w:i/>
          <w:sz w:val="24"/>
        </w:rPr>
        <w:t xml:space="preserve">, </w:t>
      </w:r>
      <w:r>
        <w:rPr>
          <w:rFonts w:ascii="Times New Roman" w:eastAsia="Calibri" w:hAnsi="Times New Roman"/>
          <w:b w:val="0"/>
          <w:i/>
          <w:sz w:val="24"/>
        </w:rPr>
        <w:t>A. F. 2</w:t>
      </w:r>
      <w:r w:rsidRPr="00C00255">
        <w:rPr>
          <w:rFonts w:ascii="Times New Roman" w:eastAsia="Calibri" w:hAnsi="Times New Roman"/>
          <w:b w:val="0"/>
          <w:i/>
          <w:sz w:val="24"/>
        </w:rPr>
        <w:t xml:space="preserve"> ir </w:t>
      </w:r>
      <w:r>
        <w:rPr>
          <w:rFonts w:ascii="Times New Roman" w:eastAsia="Calibri" w:hAnsi="Times New Roman"/>
          <w:b w:val="0"/>
          <w:i/>
          <w:sz w:val="24"/>
        </w:rPr>
        <w:t>R. J. 2</w:t>
      </w:r>
      <w:r w:rsidRPr="00C00255">
        <w:rPr>
          <w:rFonts w:ascii="Times New Roman" w:eastAsia="Calibri" w:hAnsi="Times New Roman"/>
          <w:b w:val="0"/>
          <w:i/>
          <w:sz w:val="24"/>
        </w:rPr>
        <w:t xml:space="preserve"> skirtinų bausmių</w:t>
      </w:r>
    </w:p>
    <w:p w:rsidR="00495B43" w:rsidRPr="002C1EDB" w:rsidRDefault="00495B43" w:rsidP="00495B43">
      <w:pPr>
        <w:pStyle w:val="ListParagraph"/>
        <w:numPr>
          <w:ilvl w:val="0"/>
          <w:numId w:val="6"/>
        </w:numPr>
        <w:spacing w:before="120" w:after="120"/>
        <w:ind w:left="992" w:hanging="992"/>
        <w:contextualSpacing w:val="0"/>
        <w:rPr>
          <w:b/>
          <w:bCs/>
        </w:rPr>
      </w:pPr>
      <w:r w:rsidRPr="002C1EDB">
        <w:rPr>
          <w:rFonts w:eastAsiaTheme="minorHAnsi"/>
        </w:rPr>
        <w:t xml:space="preserve">Byloje nustatyta, kad nuteistieji A. Z., I. Š., A. F. 2 ir </w:t>
      </w:r>
      <w:r w:rsidRPr="002C1EDB">
        <w:t xml:space="preserve">R. J. 2 </w:t>
      </w:r>
      <w:r w:rsidRPr="002C1EDB">
        <w:rPr>
          <w:rFonts w:eastAsiaTheme="minorHAnsi"/>
        </w:rPr>
        <w:t xml:space="preserve">įvykių metu buvo TSRS GM 76-osios oro desanto divizijos kuopų vadų pavaduotojais, nuteistasis S. G. – </w:t>
      </w:r>
      <w:r w:rsidRPr="002C1EDB">
        <w:t xml:space="preserve">234-ojo pulko savaeigės artilerijos </w:t>
      </w:r>
      <w:r w:rsidRPr="002C1EDB">
        <w:rPr>
          <w:rFonts w:eastAsiaTheme="minorHAnsi"/>
        </w:rPr>
        <w:t xml:space="preserve">diviziono 1-osios savaeigės artilerijos baterijos </w:t>
      </w:r>
      <w:r w:rsidRPr="002C1EDB">
        <w:t>vado pavaduotoju,</w:t>
      </w:r>
      <w:r w:rsidRPr="002C1EDB">
        <w:rPr>
          <w:rFonts w:eastAsiaTheme="minorHAnsi"/>
        </w:rPr>
        <w:t xml:space="preserve"> nuteistasis B. S. – 234-ojo pulko savaeigės artilerijos diviziono vado pavaduotoju, </w:t>
      </w:r>
      <w:r w:rsidRPr="002C1EDB">
        <w:t>nuteistasis V. S. 3 – 3-iojo bataliono vado pavaduotoju.</w:t>
      </w:r>
      <w:r w:rsidRPr="002C1EDB">
        <w:rPr>
          <w:rFonts w:eastAsiaTheme="minorHAnsi"/>
        </w:rPr>
        <w:t xml:space="preserve"> </w:t>
      </w:r>
      <w:r w:rsidRPr="002C1EDB">
        <w:t>Apeliacinės instancijos teismas sutinka</w:t>
      </w:r>
      <w:r w:rsidRPr="002C1EDB">
        <w:rPr>
          <w:rFonts w:eastAsiaTheme="minorHAnsi"/>
        </w:rPr>
        <w:t xml:space="preserve"> su pirmosios instancijos teismo išvadomis dėl paskirtų bausmių</w:t>
      </w:r>
      <w:r w:rsidRPr="002C1EDB">
        <w:t xml:space="preserve"> S. G., A. Z., I. Š.,</w:t>
      </w:r>
      <w:r w:rsidRPr="002C1EDB">
        <w:rPr>
          <w:rFonts w:eastAsiaTheme="minorHAnsi"/>
        </w:rPr>
        <w:t xml:space="preserve"> </w:t>
      </w:r>
      <w:r w:rsidRPr="002C1EDB">
        <w:t>V. S. 3</w:t>
      </w:r>
      <w:r w:rsidRPr="002C1EDB">
        <w:rPr>
          <w:rFonts w:eastAsiaTheme="minorHAnsi"/>
        </w:rPr>
        <w:t xml:space="preserve"> </w:t>
      </w:r>
      <w:r w:rsidRPr="002C1EDB">
        <w:t xml:space="preserve">ir B. S. </w:t>
      </w:r>
      <w:r w:rsidRPr="002C1EDB">
        <w:rPr>
          <w:rFonts w:eastAsiaTheme="minorHAnsi"/>
        </w:rPr>
        <w:t>(jiems paskirtos iš esmės vienodos bausmės už atskiras nusikalstamas veikas ir subendrinta 10 metų laisvės atėmimo bausmė; tik majorams V. S. 3 ir B. S. pagal BK 103 straipsnio 1 dalį, skirtingai nei kitiems minėtiems nuteistiesiems, paskirta viener</w:t>
      </w:r>
      <w:r w:rsidR="002C1EDB">
        <w:rPr>
          <w:rFonts w:eastAsiaTheme="minorHAnsi"/>
        </w:rPr>
        <w:t>iais metais griežtesnė, t. y. 6 </w:t>
      </w:r>
      <w:r w:rsidRPr="002C1EDB">
        <w:rPr>
          <w:rFonts w:eastAsiaTheme="minorHAnsi"/>
        </w:rPr>
        <w:t xml:space="preserve">metų, laisvės atėmimo bausmė), nes jiems paskirta bausmė yra švelnesnė už aukščiausias pareigas operacijos metu ėjusiems karininkams paskirtas bausmes bei atitinka šių nuteistųjų ir jų veikos bendroje nusikalstamoje veikoje pavojingumo laipsnį. Visgi </w:t>
      </w:r>
      <w:r w:rsidRPr="002C1EDB">
        <w:rPr>
          <w:rFonts w:eastAsia="Calibri"/>
        </w:rPr>
        <w:t xml:space="preserve">teisėjų kolegija pritaria prokurorų pozicijai dėl A. F. 2 ir R. J. 2 pagal BK 101 straipsnį paskirtos bausmės griežtinimo, nes jiems paskirta bausmė </w:t>
      </w:r>
      <w:r w:rsidRPr="002C1EDB">
        <w:t xml:space="preserve">neatspindi jų vaidmens bendrai vykdytoje bei koordinuotoje karinėje operacijoje, jų užimtų pareigų ir turėto statuso. </w:t>
      </w:r>
      <w:r w:rsidRPr="002C1EDB">
        <w:rPr>
          <w:rFonts w:eastAsia="Calibri"/>
        </w:rPr>
        <w:t xml:space="preserve">Apeliacinės instancijos teismo vertinimu, nuteistiesiems, nagrinėjamų įvykių metu ėjusiems oro desanto dalinių vadų pavaduotojų pareigas, taikytinos </w:t>
      </w:r>
      <w:r w:rsidRPr="002C1EDB">
        <w:t>atsakomybės mastas turi būti panašus tarpusavyje ir ne griežtesnis nei jau minėtų kuopų vadų, nebent to objektyviai reikalautų konkrečios bylos aplinkybės.</w:t>
      </w:r>
    </w:p>
    <w:p w:rsidR="00DA38E9" w:rsidRPr="002C1EDB" w:rsidRDefault="00DA38E9" w:rsidP="00DA38E9">
      <w:pPr>
        <w:numPr>
          <w:ilvl w:val="0"/>
          <w:numId w:val="6"/>
        </w:numPr>
        <w:spacing w:before="120" w:after="120"/>
        <w:ind w:left="992" w:hanging="992"/>
      </w:pPr>
      <w:r w:rsidRPr="002C1EDB">
        <w:t xml:space="preserve">Prokurorai neginčijo S. G. paskirtos bausmės, o S. G. gynėjas </w:t>
      </w:r>
      <w:r w:rsidRPr="002C1EDB">
        <w:rPr>
          <w:rFonts w:eastAsiaTheme="minorHAnsi"/>
        </w:rPr>
        <w:t>apeliaciniame skunde nepateikė argumentų dėl ginamajam paskirtos bausmės ir prašė jį išteisinti</w:t>
      </w:r>
      <w:r w:rsidRPr="002C1EDB">
        <w:t xml:space="preserve">. </w:t>
      </w:r>
      <w:r w:rsidRPr="002C1EDB">
        <w:rPr>
          <w:rFonts w:eastAsiaTheme="minorHAnsi"/>
        </w:rPr>
        <w:t xml:space="preserve">Teisėjų kolegija, įvertinusi </w:t>
      </w:r>
      <w:r w:rsidRPr="002C1EDB">
        <w:t>S. G. vaidmenį bendroje karinėje operacijoje, jo užimtas pareigas,</w:t>
      </w:r>
      <w:r w:rsidRPr="002C1EDB">
        <w:rPr>
          <w:rFonts w:eastAsiaTheme="minorHAnsi"/>
        </w:rPr>
        <w:t xml:space="preserve"> jam </w:t>
      </w:r>
      <w:r w:rsidRPr="002C1EDB">
        <w:t xml:space="preserve">paskirtas bausmes už atskiras nusikalstamas veikas bei subendrintą bausmę laiko teisingomis bei proporcingomis. </w:t>
      </w:r>
      <w:r w:rsidRPr="002C1EDB">
        <w:rPr>
          <w:rFonts w:eastAsiaTheme="minorHAnsi"/>
        </w:rPr>
        <w:t xml:space="preserve">TSRS GM 76-osios oro desanto divizijos </w:t>
      </w:r>
      <w:r w:rsidRPr="002C1EDB">
        <w:t xml:space="preserve">234-ojo pulko savaeigės artilerijos diviziono 1-osios savaeigės artilerijos baterijos vado pavaduotojas vyr. leitenantas S. G. buvo vienu iš šios baterijos kariškiams vadovavusių karininkų, kai šie, būdami ginkluoti, dalyvavo užimant LRT TASK pastatą, šalino iš jo darbuotojus, atjungė transliavimą užtikrinančius įrenginius, ir kurių dalis iš LRT TASK pastato prasibrovė iki LRT Televizijos pastato, kur prisijungė prie 234-ojo pulko 3-iojo bataliono 7-osios kuopos kariškių ir kartu šaudė pastato viduje bei išorėje į civilius, taip pat į greta esančius gyvenamuosius namus. Be to, svarbu pažymėti, kad šios operacijos metu S. G. palaikė ryšį bei perdavinėjo aukštesnių vadų nurodymus. Taigi, net ir turėdama omenyje, kad tuose pačiuose įvykiuose dalyvavo ir aukštesnis pagal rangą karininkas B. S., teisėjų kolegija neturi jokio pagrindo švelninti teismo nuosprendžiu S. G. paskirtos minimalios bausmės už pavojingiausią nusikalstamą veiką, numatytą BK 101 straipsnyje, ir mažesnių nei vidurkio dydžio bausmių paskirtų už kitas veikas.  </w:t>
      </w:r>
    </w:p>
    <w:p w:rsidR="00DA38E9" w:rsidRPr="002C1EDB" w:rsidRDefault="00DA38E9" w:rsidP="00DA38E9">
      <w:pPr>
        <w:numPr>
          <w:ilvl w:val="0"/>
          <w:numId w:val="6"/>
        </w:numPr>
        <w:spacing w:before="120" w:after="120"/>
        <w:ind w:left="992" w:hanging="992"/>
      </w:pPr>
      <w:bookmarkStart w:id="982" w:name="_Toc67677467"/>
      <w:r w:rsidRPr="002C1EDB">
        <w:rPr>
          <w:rFonts w:eastAsiaTheme="minorHAnsi"/>
        </w:rPr>
        <w:t>Pirmosios instancijos teismas</w:t>
      </w:r>
      <w:bookmarkEnd w:id="982"/>
      <w:r w:rsidRPr="002C1EDB">
        <w:rPr>
          <w:rFonts w:eastAsiaTheme="minorHAnsi"/>
        </w:rPr>
        <w:t xml:space="preserve"> </w:t>
      </w:r>
      <w:r w:rsidRPr="002C1EDB">
        <w:rPr>
          <w:rFonts w:eastAsia="Calibri"/>
        </w:rPr>
        <w:t>nuteistajam A. Z. už jam inkriminuotus nusikaltimus, kaip ir S. G., paskyrė galutinę subendrintą 10 metų laisvės atėmimo bausmę.</w:t>
      </w:r>
      <w:r w:rsidRPr="002C1EDB">
        <w:t xml:space="preserve"> </w:t>
      </w:r>
      <w:r w:rsidRPr="002C1EDB">
        <w:rPr>
          <w:rFonts w:eastAsiaTheme="minorHAnsi"/>
        </w:rPr>
        <w:t xml:space="preserve">Prokurorai sutiko su nuteistajam A. Z. paskirta bausme bei šioje dalyje nuosprendžio neskundė, o A. Z. gynėjai apeliaciniame skunde nepateikė argumentų dėl jų ginamajam paskirtos bausmės ir prašė jį išteisinti. Visgi </w:t>
      </w:r>
      <w:r w:rsidRPr="002C1EDB">
        <w:t xml:space="preserve">apeliacinės instancijos teismo posėdyje A. Z. gynėjas nurodė, kad nėra aišku, už ką A. Z. paskirta 10 metų laisvės atėmimo bausmė. Gynėjo teigimu, tokia bausmė paskirta remiantis vien tuo, kad jo ginamasis nagrinėjamu laiku buvo įvykio vietoje. </w:t>
      </w:r>
      <w:r w:rsidRPr="002C1EDB">
        <w:rPr>
          <w:rFonts w:eastAsiaTheme="minorHAnsi"/>
        </w:rPr>
        <w:t>Teisėjų kolegija, įvertinusi gynėjo išsakytus argumentus bei</w:t>
      </w:r>
      <w:r w:rsidRPr="002C1EDB">
        <w:t xml:space="preserve"> A. Z. vaidmenį bendrai vykdytoje ir koordinuotoje operacijoje, jo užimtas pareigas,</w:t>
      </w:r>
      <w:r w:rsidRPr="002C1EDB">
        <w:rPr>
          <w:rFonts w:eastAsiaTheme="minorHAnsi"/>
        </w:rPr>
        <w:t xml:space="preserve"> jam </w:t>
      </w:r>
      <w:r w:rsidRPr="002C1EDB">
        <w:t xml:space="preserve">paskirtas bausmes už atskiras nusikalstamas veikas bei subendrintą bausmę laiko teisingomis ir proporcingomis. Pažymėtina, jog </w:t>
      </w:r>
      <w:r w:rsidRPr="002C1EDB">
        <w:rPr>
          <w:rFonts w:eastAsiaTheme="minorHAnsi"/>
        </w:rPr>
        <w:t xml:space="preserve">TSRS GM 76-osios oro desanto divizijos </w:t>
      </w:r>
      <w:r w:rsidRPr="002C1EDB">
        <w:t xml:space="preserve">234-ojo pulko 2-ojo bataliono </w:t>
      </w:r>
      <w:r w:rsidRPr="002C1EDB">
        <w:rPr>
          <w:rFonts w:eastAsia="Calibri"/>
        </w:rPr>
        <w:t xml:space="preserve">5-osios kuopos vado pavaduotojas vyr. leitenantas </w:t>
      </w:r>
      <w:r w:rsidRPr="002C1EDB">
        <w:t xml:space="preserve">A. Z. nagrinėjamų įvykių metu ne tik buvo prie TV bokšto, tačiau šioje vietoje vadovavo pavaldiems kariškiams, kurie veikdami visi kartu, TV bokšto užėmimo metu naudojo jėgą, ginklus ir kitus smurtinius veiksmus beginklių civilių atžvilgiu, o šios bendrai kariškių ir kitų pajėgų vykdytos operacijos metu žuvo 12 civilių bei šimtai jų buvo kitaip sužaloti. Bylos duomenimis nustatyta ir tai, kad A. Z. prie TV bokšto savo paties veiksmais skatino pavaldžius kariškius elgtis dar pavojingiau – pavyzdžiui, šturmo metu vienam iš eilinių kariškių tuščius šovinius pakeitė koviniais. Taigi apeliacinės instancijos teismas neturi jokio pagrindo švelninti teismo nuosprendžiu A. Z. paskirtos minimalios bausmės už pavojingiausią nusikalstamą veiką, numatytą BK 101 straipsnyje, ir mažesnių nei vidurkio dydžio bausmių, paskirtų už kitas veikas.  </w:t>
      </w:r>
    </w:p>
    <w:p w:rsidR="00DA38E9" w:rsidRPr="002C1EDB" w:rsidRDefault="00DA38E9" w:rsidP="00DA38E9">
      <w:pPr>
        <w:numPr>
          <w:ilvl w:val="0"/>
          <w:numId w:val="6"/>
        </w:numPr>
        <w:spacing w:before="120" w:after="120"/>
        <w:ind w:left="992" w:hanging="992"/>
      </w:pPr>
      <w:r w:rsidRPr="002C1EDB">
        <w:rPr>
          <w:rFonts w:eastAsia="Calibri"/>
        </w:rPr>
        <w:t>Nuteistajam I. Š. teismas paskyrė tokias pačias bausmes už atskiras nusikalstamas veikas ir galutinę subendrintą 10 metų laisvės atėmimo bausmę.</w:t>
      </w:r>
      <w:r w:rsidRPr="002C1EDB">
        <w:t xml:space="preserve"> Prokurorai sutiko su I. Š. paskirta bausme bei šioje dalyje nuosprendžio neskundė, o I. Š. gynėjas </w:t>
      </w:r>
      <w:r w:rsidRPr="002C1EDB">
        <w:rPr>
          <w:rFonts w:eastAsiaTheme="minorHAnsi"/>
        </w:rPr>
        <w:t xml:space="preserve">apeliaciniame skunde nepateikė argumentų dėl jo ginamajam paskirtos bausmės ir prašė jo atžvilgiu bylą nutraukti. Teisėjų kolegija, įvertinusi </w:t>
      </w:r>
      <w:r w:rsidRPr="002C1EDB">
        <w:t>I. Š. vaidmenį bendrai vykdytoje karinėje operacijoje, jo užimtas pareigas,</w:t>
      </w:r>
      <w:r w:rsidRPr="002C1EDB">
        <w:rPr>
          <w:rFonts w:eastAsiaTheme="minorHAnsi"/>
        </w:rPr>
        <w:t xml:space="preserve"> jam </w:t>
      </w:r>
      <w:r w:rsidRPr="002C1EDB">
        <w:t xml:space="preserve">paskirtas bausmes už atskiras nusikalstamas veikas bei </w:t>
      </w:r>
      <w:r w:rsidRPr="002C1EDB">
        <w:rPr>
          <w:rFonts w:eastAsiaTheme="minorHAnsi"/>
        </w:rPr>
        <w:t xml:space="preserve">galutinę subendrintą bausmę lėmusią 10 metų laisvės atėmimo bausmę, paskirtą pagal BK 101 straipsnį, </w:t>
      </w:r>
      <w:r w:rsidRPr="002C1EDB">
        <w:t xml:space="preserve">laiko teisingomis bei pagrįstomis. </w:t>
      </w:r>
      <w:r w:rsidRPr="002C1EDB">
        <w:rPr>
          <w:rFonts w:eastAsiaTheme="minorHAnsi"/>
        </w:rPr>
        <w:t xml:space="preserve">TSRS GM 76-osios oro desanto divizijos </w:t>
      </w:r>
      <w:r w:rsidRPr="002C1EDB">
        <w:rPr>
          <w:rFonts w:eastAsia="Calibri"/>
        </w:rPr>
        <w:t xml:space="preserve">237-ojo pulko 1-ojo bataliono 1-osios kuopos vado J. G. pavaduotojas kapitonas </w:t>
      </w:r>
      <w:r w:rsidRPr="002C1EDB">
        <w:t xml:space="preserve">I. Š. buvo vienu iš 1-osios ir 2-osios kuopų kariškiams, kurie, būdami ginkluoti, prasibrovė iki LRT Radijo pastato, naudodami artimos kovos veiksmus, stūmė civilius iš pastato teritorijos bei vykdė kitus pastato užėmimo veiksmus, vadovavusių asmenų. Be to, įvykio vietoje I. Š. davė įsakymus jam pavaldiems kariškiams dėl J. G. pristatymo į ligoninę, dėl pasitraukimo iš pastato praėjus kelioms dienoms nuo jo užėmimo ir pan. Taigi I. Š. veika bendroje operacijoje buvo pavojinga ir jo vaidmuo užimant LRT Radijo pastatą reikšmingas, tačiau neprilygo kuopos vado J. G., kuriam jis buvo pavaldus, veikimui. Minėtų aplinkybių kontekste apeliacinės instancijos teismas neįžvelgia jokio pagrindo švelninti teismo nuosprendžiu I. Š. paskirtos minimalios bausmės už pavojingiausią nusikalstamą veiką, numatytą BK 101 straipsnyje, ir mažesnių nei vidurkio dydžio bausmių, paskirtų už kitas veikas.  </w:t>
      </w:r>
    </w:p>
    <w:p w:rsidR="00DA38E9" w:rsidRPr="002C1EDB" w:rsidRDefault="00DA38E9" w:rsidP="00DA38E9">
      <w:pPr>
        <w:numPr>
          <w:ilvl w:val="0"/>
          <w:numId w:val="6"/>
        </w:numPr>
        <w:spacing w:before="120" w:after="120"/>
        <w:ind w:left="992" w:hanging="992"/>
        <w:rPr>
          <w:rStyle w:val="Heading3Char"/>
          <w:rFonts w:eastAsiaTheme="minorHAnsi"/>
          <w:sz w:val="24"/>
          <w:szCs w:val="24"/>
          <w:lang w:val="lt-LT"/>
        </w:rPr>
      </w:pPr>
      <w:r w:rsidRPr="002C1EDB">
        <w:t>Kaip jau minėta, nuteistiesiems V. S. 3 ir B. S., kaip ir jau aptartiems nuteistiesiems S. G., A. Z. ir I. Š. buvo paskirtos vienodos galutinės – 10 metų laisvės atėmimo bausmės, tačiau paskirtos nežymiai griežtesnės bausmės pagal BK 103 straipsnio 1 dalį. Teisėjų kolegijos vertinimu toks pirmosios instancijos teismo sprendimas ir</w:t>
      </w:r>
      <w:r w:rsidRPr="002C1EDB">
        <w:rPr>
          <w:rFonts w:eastAsiaTheme="minorHAnsi"/>
        </w:rPr>
        <w:t xml:space="preserve"> kiek griežtesnė bausmė yra objektyviai pateisinama, nes jų veikimas, ypač įvertinus jų karinį laipsnį ir įvykių metu jiems pavaldžių kariškių skaičių, buvo kiek pavojingesnis už jau minėtų nuteistųjų veikimą. </w:t>
      </w:r>
    </w:p>
    <w:p w:rsidR="00495B43" w:rsidRPr="002C1EDB" w:rsidRDefault="00495B43" w:rsidP="006F072D">
      <w:pPr>
        <w:pStyle w:val="ListParagraph"/>
        <w:numPr>
          <w:ilvl w:val="0"/>
          <w:numId w:val="6"/>
        </w:numPr>
        <w:spacing w:before="120" w:after="120"/>
        <w:ind w:left="992" w:hanging="992"/>
        <w:rPr>
          <w:rFonts w:eastAsiaTheme="minorHAnsi"/>
        </w:rPr>
      </w:pPr>
      <w:r w:rsidRPr="002C1EDB">
        <w:t>Prok</w:t>
      </w:r>
      <w:r w:rsidR="006F072D" w:rsidRPr="002C1EDB">
        <w:t>urorai sutiko su nuteistajam V. S. </w:t>
      </w:r>
      <w:r w:rsidRPr="002C1EDB">
        <w:t>3 paskirta bausme ir šioje dalyje nuosprendžio neskundė. Visgi nuteistojo V. S. 3 gynėja apeliaciniame skunde teigė, kad teismas netinkamai taikė bausmės skyrimo taisykles, nes bausmė turi būti diferencijuojama atsižvelgiant į asmens vaidmenį, įdėtą indėlį į bendrą grupės veiklą, o nagrinėjamu atveju teismas vadovavosi nusikalstamos grupės doktrina ir pernelyg plačiai aiškino jos nuostatas. Teisėjų kolegija sutinka su gynėjos pozicija, kad bausmė visais atvejais turi būti diferencijuota bei tinkamai individualizuota, tačiau kaip nepagrįstus atmeta teiginius, jog V. S. 3 bausmė paskirta, neįvertinus jo vaidmens bei indėlio bendroje nusikalstamoje veikoje. Byloje nustatyta, kad TSRS GM 76-osios oro desanto divizijos 234-ojo pulko 3-iojo bataliono 7-osios kuopos kariškiams, kurie, būdami ginkluoti, brovėsi pro civilių minią ir vykdė kitus LRT Televizijos pastato užėmimo veiksmus, vienu iš vadovavusių asmenų buvo 3-iojo bataliono vado pavaduotojas majoras V. S. 3, kuris davė įsakymus pavaldiems kariškiams bei įvykio vietoje turėjo galimybę priimti savarankiškus sprendimus. Pažymėtina ir tai, kad majoras V. S. 3 buvo 3-iojo bataliono vado pavaduotojas ir vyriausiasis 3-iojo bataliono, kurio sudėtyje buvo 7-oji kuopa, vadovybės narys, atvykęs prie LRT. Taigi įvykių metu jam pagal laipsnį ir užimamas pareigas buvo pavaldi visa 7-oji ku</w:t>
      </w:r>
      <w:r w:rsidR="006F072D" w:rsidRPr="002C1EDB">
        <w:t>opa, o taip pat ir jos vadas S. </w:t>
      </w:r>
      <w:r w:rsidRPr="002C1EDB">
        <w:t>M., kuriam paskirta subendrinta 10 metų laisvės atėmimo bausmė.</w:t>
      </w:r>
      <w:r w:rsidR="006F072D" w:rsidRPr="002C1EDB">
        <w:t xml:space="preserve"> Taigi turint omenyje aukštą V. S. </w:t>
      </w:r>
      <w:r w:rsidRPr="002C1EDB">
        <w:t>3 karinį laipsnį, eitas pareigas 3-iojo bataliono vadovybėje bei vadovavimą žymiam kariškių skaičiui užimant LRT Televizijos pastatą, jam paskirtos bausmės už atskiras nusikalstamas veikas (net ir pagal BK 103 straipsnio 1 dalį paskirta griežtesnė laisvės atėmimo bausmė, lyginant ją su kitiems šioje dalyje minėtų dalinių vadų pavaduotojams pagal šį BK straipsnį paskirta bausme) ir galutinę subendrintą bausmę lėmusi 10 metų laisvės atėmimo bausmė, paskirta pagal BK 101 straipsnį, laikytinos pakankamai švelniomis ir dar labiau jas švelninti, tuo labiau peržengiant įstatyme numatytą minimalią bausmės ribą, būtų neteisinga.</w:t>
      </w:r>
      <w:r w:rsidRPr="002C1EDB">
        <w:rPr>
          <w:rFonts w:eastAsiaTheme="minorHAnsi"/>
        </w:rPr>
        <w:t xml:space="preserve">  </w:t>
      </w:r>
    </w:p>
    <w:p w:rsidR="00DA38E9" w:rsidRPr="00012EAB" w:rsidRDefault="00DA38E9" w:rsidP="00DA38E9">
      <w:pPr>
        <w:numPr>
          <w:ilvl w:val="0"/>
          <w:numId w:val="6"/>
        </w:numPr>
        <w:spacing w:before="120" w:after="120"/>
        <w:ind w:left="992" w:hanging="992"/>
        <w:rPr>
          <w:rStyle w:val="Heading3Char"/>
          <w:rFonts w:eastAsiaTheme="minorHAnsi"/>
          <w:sz w:val="24"/>
          <w:szCs w:val="24"/>
          <w:lang w:val="lt-LT"/>
        </w:rPr>
      </w:pPr>
      <w:bookmarkStart w:id="983" w:name="_Toc67677469"/>
      <w:r w:rsidRPr="00012EAB">
        <w:rPr>
          <w:rFonts w:eastAsiaTheme="minorHAnsi"/>
        </w:rPr>
        <w:t>Tokios pat nuomonės teisėjų kolegija laikosi ir dėl B. S. paskirtos bausmės</w:t>
      </w:r>
      <w:bookmarkEnd w:id="983"/>
      <w:r w:rsidRPr="00012EAB">
        <w:t xml:space="preserve">. Pažymėtina, jog prokurorai sutiko su nuteistajam B. S. paskirta bausme ir šioje dalyje nuosprendžio neskundė, o nuteistojo B. S. gynėja </w:t>
      </w:r>
      <w:r w:rsidRPr="00012EAB">
        <w:rPr>
          <w:rFonts w:eastAsiaTheme="minorHAnsi"/>
        </w:rPr>
        <w:t xml:space="preserve">apeliaciniame skunde nepateikė argumentų dėl jo ginamajam paskirtos bausmės ir prašė jį išteisinti. Teisėjų kolegija, įvertinusi </w:t>
      </w:r>
      <w:r w:rsidRPr="00012EAB">
        <w:t>B. S. vaidmenį bendrai vykdytoje ir koordinuotoje karinėje operacijoje, jo užimtas pareigas,</w:t>
      </w:r>
      <w:r w:rsidRPr="00012EAB">
        <w:rPr>
          <w:rFonts w:eastAsiaTheme="minorHAnsi"/>
        </w:rPr>
        <w:t xml:space="preserve"> jam </w:t>
      </w:r>
      <w:r w:rsidRPr="00012EAB">
        <w:t xml:space="preserve">paskirtas bausmes už atskiras nusikalstamas veikas bei </w:t>
      </w:r>
      <w:r w:rsidRPr="00012EAB">
        <w:rPr>
          <w:rFonts w:eastAsiaTheme="minorHAnsi"/>
        </w:rPr>
        <w:t xml:space="preserve">galutinę subendrintą bausmę lėmusią 10 metų laisvės atėmimo bausmę, paskirtą pagal BK 101 straipsnį, </w:t>
      </w:r>
      <w:r w:rsidRPr="00012EAB">
        <w:t xml:space="preserve">laiko teisingomis bei pagrįstomis. </w:t>
      </w:r>
      <w:r w:rsidRPr="00012EAB">
        <w:rPr>
          <w:rFonts w:eastAsiaTheme="minorHAnsi"/>
        </w:rPr>
        <w:t xml:space="preserve">TSRS GM 76-osios oro desanto divizijos </w:t>
      </w:r>
      <w:r w:rsidRPr="00012EAB">
        <w:t xml:space="preserve">234-ojo pulko savaeigės artilerijos diviziono vado pavaduotojas majoras B. S. kartu su šio diviziono 1-osios savaeigės baterijos kariškiais dalyvavo įsibraunant į LRT TASK pastatą bei padedant TSRS VSK grupės „A“ kariškiams išjungti televizijos transliavimą užtikrinančius įrenginius, nutraukti objekte ruošiamas ir transliuojamas televizijos laidas, pašalinti civilius iš pastato, o su dalimi baterijos kariškių dalyvavo ir iš LRT TASK pastato prasibraunant iki LRT Televizijos pastato, kur jie prisijungė prie 234-ojo pulko 3-iojo bataliono 7-osios kuopos kariškių ir kartu šaudė pastato viduje bei išorėje į civilius, taip pat į greta esančius gyvenamuosius namus. Pažymėtina, jog šių įvykių metu būtent majoras B. S. vadovavo visai baterijos, sudarytos iš dvidešimt trijų kariškių, sudėčiai. Teisėjų kolegijos įsitikinimu, turint omenyje aukštą nuteistojo karinį laipsnį bei jo vadovavimą žymiam kariškių skaičiui užimant kelis LRT pastatus, B. S. paskirtos mažesnės nei vidurkio dydžio </w:t>
      </w:r>
      <w:r w:rsidRPr="00012EAB">
        <w:rPr>
          <w:rFonts w:eastAsiaTheme="minorHAnsi"/>
        </w:rPr>
        <w:t>bausmės (net ir pagal BK 103 straipsnio 1 dalį paskirta griežtesnė laisvės atėmimo bausmė, lyginant ją su kitiems šioje dalyje minėtų dalinių vadų pavaduotojams pagal šį BK straipsnį paskirta bausme) ir galutinę subendrintą bausmę lėmusi minimali 10 metų laisvės atėmimo bausmė, paskirta pagal BK 101 straipsnį, laikytinos pakankamai švelniomis ir dar labiau jų švelninti nėra jokio pagrindo.</w:t>
      </w:r>
      <w:r w:rsidRPr="00012EAB">
        <w:rPr>
          <w:rStyle w:val="Heading3Char"/>
          <w:rFonts w:eastAsiaTheme="minorHAnsi"/>
          <w:sz w:val="24"/>
          <w:szCs w:val="24"/>
          <w:lang w:val="lt-LT"/>
        </w:rPr>
        <w:t xml:space="preserve"> </w:t>
      </w:r>
    </w:p>
    <w:p w:rsidR="00DA38E9" w:rsidRPr="00012EAB" w:rsidRDefault="00DA38E9" w:rsidP="00DA38E9">
      <w:pPr>
        <w:numPr>
          <w:ilvl w:val="0"/>
          <w:numId w:val="6"/>
        </w:numPr>
        <w:spacing w:before="120" w:after="120"/>
        <w:ind w:left="992" w:hanging="992"/>
      </w:pPr>
      <w:bookmarkStart w:id="984" w:name="_Toc67677470"/>
      <w:r w:rsidRPr="00012EAB">
        <w:rPr>
          <w:rFonts w:eastAsiaTheme="minorHAnsi"/>
        </w:rPr>
        <w:t>Nors nuteistieji A. F. 2 ir R. J. 2, kaip ir jau šioje sprendimo dalyje minėti kiti nuteistieji, įvykių metu ėjo oro desanto divizijos atskirų dalinių vadų pavaduotojų pareigas, skundžiamu nuosprendžiu jiems paskirtos žymiai švelnesnės bausmės.</w:t>
      </w:r>
      <w:bookmarkEnd w:id="984"/>
      <w:r w:rsidRPr="00012EAB">
        <w:rPr>
          <w:rFonts w:eastAsiaTheme="minorHAnsi"/>
        </w:rPr>
        <w:t xml:space="preserve"> </w:t>
      </w:r>
      <w:r w:rsidRPr="00012EAB">
        <w:t xml:space="preserve">Teisėjų kolegijos įsitikinimu, panašias pareigas nagrinėjamų įvykių metu ėjusiems nuteistiesiems taikytinos atsakomybės mastas turi būti panašus, išskyrus, kai skirtingo atsakomybės masto objektyviai reikalauja konkrečios bylos aplinkybės.  </w:t>
      </w:r>
    </w:p>
    <w:p w:rsidR="00DA38E9" w:rsidRPr="00012EAB" w:rsidRDefault="00DA38E9" w:rsidP="00DA38E9">
      <w:pPr>
        <w:numPr>
          <w:ilvl w:val="0"/>
          <w:numId w:val="6"/>
        </w:numPr>
        <w:spacing w:before="120" w:after="120"/>
        <w:ind w:left="992" w:hanging="992"/>
      </w:pPr>
      <w:bookmarkStart w:id="985" w:name="_Toc67677471"/>
      <w:r w:rsidRPr="00012EAB">
        <w:rPr>
          <w:rFonts w:eastAsiaTheme="minorHAnsi"/>
        </w:rPr>
        <w:t>Nuteistajam A. F. 2 skundžiamu nuosprendžiu pagal BK 101 straipsnį, pritaikius BK 54 straipsnio 3 dalies nuostatas, paskyrus mažesnio dydžio laisvės atėmimo bausmę nei sankcijoje nustatyta minimali bausmė (6 metus) bei ją apėmimo būdu subendrinus su pagal kitus BK straipsnius paskirtomis minimaliomis laisvės atėmimo bausmėmis, buvo paskirta galutinė subendrinta 6 metų laisvės atėmimo bausmė. Prokurorai apeliaciniu skundu prašė A. F. 2, skiriant bausmę pagal BK 101 straipsnį, netaikyti BK 54 straipsnio 3 dalies nuostatų bei paskirti jam 10 metų laisvės atėmimo bausmę, pagal kitus BK straipsnius paskirtų bausmių nekeisti ir kaip galutinę subendrintą bausmę A. F. 2 nustatyti 10 metų laisvės atėmimą. A. F. 2 gynėjas apeliaciniame skunde teigė, jog byloje</w:t>
      </w:r>
      <w:bookmarkEnd w:id="985"/>
      <w:r w:rsidRPr="00012EAB">
        <w:t xml:space="preserve"> prie bausmės skyrimo motyvų nepagrįstai nurodyta, kad A. F. 2 ne tik vadovavo LRT puolimui, bet ir mėtė sprogmenis, šaudė, baugino ir mušė civilius, ir todėl šiam nuteistajam paskirtos bausmės motyvai yra nepagrįsti. Įvertinusi skirtingas proceso dalyvių pozicijas dėl A. F. 2 skirtinos bausmės, teisėjų kolegija konstatuoja, kad jo atžvilgiu nepagrįstai pritaikytos BK 54 straipsnio 3 dalies nuostatos, o prokuratūros skunde prašoma skirti griežtesnė bausmė laikytina proporcinga ir teisinga bei atspindinti A. F. 2 vaidmenį bendrai vykdytoje bei koordinuotoje karinėje operacijoje, jo užimtas pareigas ir turėtą statusą. </w:t>
      </w:r>
    </w:p>
    <w:p w:rsidR="00DA38E9" w:rsidRPr="00012EAB" w:rsidRDefault="00DA38E9" w:rsidP="00DA38E9">
      <w:pPr>
        <w:numPr>
          <w:ilvl w:val="1"/>
          <w:numId w:val="6"/>
        </w:numPr>
        <w:spacing w:before="120" w:after="120"/>
        <w:ind w:left="992" w:hanging="992"/>
      </w:pPr>
      <w:r w:rsidRPr="00012EAB">
        <w:t>Pažymėtina, kad BK 54 straipsnio 3 dalies nuostatų taikymas A. F. 2 nuosprendyje buvo grindžiamas tik teiginiu, jog švelnesnė nei įstatyme numatyta bausmė pagal BK 101 straipsnį skirtina „atsižvelgiant į kaltinamojo padarytų nusikalstamų veiksmų apimtį bei pavojingumą” (nuosprendžio 884 l.). Tačiau, turėdama omenyje nustatytą A. F. 2 vaidmenį prie LRT, teisėjų kolegija nesutinka, kad jo veikos apimtis ir pavojingumas yra tokio laipsnio, jog jam paskyrus minimalias sankcijose nustatytas laisvės atėmimo bausmes, būtų pažeistas teisingumo principas. Teisėjų kolegija sutinka su gynyba, jog skundžiamo nuosprendžio motyvuojamojoje dalyje iš tiesų netiksliai aprašytas A. F. 2</w:t>
      </w:r>
      <w:r w:rsidRPr="00012EAB">
        <w:rPr>
          <w:rFonts w:eastAsia="Calibri"/>
        </w:rPr>
        <w:t xml:space="preserve"> veikimas prie LRT, pavyzdžiui, dviprasmiškai nurodytas jo vadovavimo mastas, nepagrįstai pasisakyta apie asmeniškai mėtytus sprogmenis. Visgi, nepaisant šių netikslumų, A. F. 2 veikimas bendrai vykdytoje ir koordinuotoje operacijoje buvo reikšmingas ir pavojingas, o ne pasyvus, kaip teigia jo gynėjas.</w:t>
      </w:r>
    </w:p>
    <w:p w:rsidR="00DA38E9" w:rsidRPr="00012EAB" w:rsidRDefault="00DA38E9" w:rsidP="00DA38E9">
      <w:pPr>
        <w:numPr>
          <w:ilvl w:val="1"/>
          <w:numId w:val="6"/>
        </w:numPr>
        <w:spacing w:before="120" w:after="120"/>
        <w:ind w:left="992" w:hanging="992"/>
      </w:pPr>
      <w:bookmarkStart w:id="986" w:name="_Toc67677472"/>
      <w:r w:rsidRPr="00012EAB">
        <w:rPr>
          <w:rFonts w:eastAsiaTheme="minorHAnsi"/>
        </w:rPr>
        <w:t>TSRS GM 76-osios oro desanto divizijos</w:t>
      </w:r>
      <w:bookmarkEnd w:id="986"/>
      <w:r w:rsidRPr="00012EAB">
        <w:rPr>
          <w:rFonts w:eastAsiaTheme="minorHAnsi"/>
        </w:rPr>
        <w:t xml:space="preserve"> </w:t>
      </w:r>
      <w:r w:rsidRPr="00012EAB">
        <w:t xml:space="preserve">237-ojo pulko 1-ojo bataliono 2-osios kuopos vado pavaduotojas leitenantas A. F. 2 buvo vienu iš 1-ojo bataliono 1-osios ir 2-osios kuopų kariškiams, kurie, būdami ginkluoti, prasibrovė iki LRT Radijo pastato, naudodami artimos kovos veiksmus, stūmė civilius iš pastato teritorijos bei vykdė kitus pastato užėmimo veiksmus, vadovavusių asmenų. Byloje nustatyta, kad A. F. 2 ne tik pats jėga veržėsi pro civilius, bet įvykių metu turėjo pavaldžių kariškių ir davė jiems atitinkamus įsakymus pastato viduje (pvz., įsakymą dėl gynybinių postų Radijo pastate apleidimo). Turėdama omenyje A. F. 2 reikšmingą vaidmenį užimant LRT, kur dėl kariškių veiksmų žuvo vienas civilis ir daugiau nei 200 jų buvo kitaip sužaloti, teisėjų kolegija konstatuoja, kad </w:t>
      </w:r>
      <w:r w:rsidR="006F072D" w:rsidRPr="00012EAB">
        <w:rPr>
          <w:rFonts w:eastAsia="Calibri"/>
        </w:rPr>
        <w:t>nuteistajam pagal BK </w:t>
      </w:r>
      <w:r w:rsidRPr="00012EAB">
        <w:rPr>
          <w:rFonts w:eastAsia="Calibri"/>
        </w:rPr>
        <w:t xml:space="preserve">101 straipsnį paskirta 6 metų laisvės atėmimo bausmė ir tuo pačiu galutinė subendrinta bausmė yra akivaizdžiai neproporcingos bei neteisingos, neatitinka jo padarytų veiksmų pavojingumo bei nepagrįstai yra švelnesnės už kitų dalinių vadų pavaduotojams, taip pat dalyvavusiems </w:t>
      </w:r>
      <w:r w:rsidRPr="00012EAB">
        <w:t xml:space="preserve">įvykiuose prie TV bokšto ar LRT, paskirtas bausmes ir savo dydžiu yra panašios į tas, kurios paskirtos ne taip pavojingai tik prie Spaudos rūmų veikusiems nuteistiesiems. </w:t>
      </w:r>
      <w:r w:rsidRPr="00012EAB">
        <w:rPr>
          <w:rFonts w:eastAsia="Calibri"/>
        </w:rPr>
        <w:t xml:space="preserve">Taigi teisėjų kolegija įžvelgia pagrindą A. F. 2 pagal </w:t>
      </w:r>
      <w:r w:rsidRPr="00012EAB">
        <w:t xml:space="preserve">BK 101 straipsnį, pritaikius BK 54 straipsnio 3 dalį, paskirtą 6 (šešerių) metų laisvės atėmimo bausmę, panaikinus BK 54 straipsnio 3 dalies taikymą, padidinti iki laisvės atėmimo 10 (dešimčiai) metų. Atsižvelgiant į tai, kad už kitų nusikaltimų padarymą A. F. 2 paskirtų bausmių keisti nėra pagrindo, </w:t>
      </w:r>
      <w:r w:rsidRPr="00012EAB">
        <w:rPr>
          <w:rFonts w:eastAsia="Calibri"/>
        </w:rPr>
        <w:t xml:space="preserve">esant idealiai nusikalstamų veikų sutapčiai, A. F. 2 skirtina galutinė subendrinta bausmė – laisvės atėmimas 10 (dešimčiai) metų. </w:t>
      </w:r>
    </w:p>
    <w:p w:rsidR="00DA38E9" w:rsidRPr="00C00255" w:rsidRDefault="00DA38E9" w:rsidP="00DA38E9">
      <w:pPr>
        <w:numPr>
          <w:ilvl w:val="0"/>
          <w:numId w:val="6"/>
        </w:numPr>
        <w:spacing w:before="120" w:after="120"/>
        <w:ind w:left="992" w:hanging="992"/>
      </w:pPr>
      <w:bookmarkStart w:id="987" w:name="_Toc67677473"/>
      <w:r w:rsidRPr="005C5184">
        <w:rPr>
          <w:rFonts w:eastAsiaTheme="minorHAnsi"/>
        </w:rPr>
        <w:t xml:space="preserve">Skundžiamu nuosprendžiu nuteistajam </w:t>
      </w:r>
      <w:r>
        <w:rPr>
          <w:rFonts w:eastAsiaTheme="minorHAnsi"/>
        </w:rPr>
        <w:t>R. J. 2</w:t>
      </w:r>
      <w:r w:rsidRPr="005C5184">
        <w:rPr>
          <w:rFonts w:eastAsiaTheme="minorHAnsi"/>
        </w:rPr>
        <w:t xml:space="preserve"> paskirtos tokios pat bausmės kaip ir </w:t>
      </w:r>
      <w:r>
        <w:rPr>
          <w:rFonts w:eastAsiaTheme="minorHAnsi"/>
        </w:rPr>
        <w:t>A. F. 2</w:t>
      </w:r>
      <w:r w:rsidRPr="005C5184">
        <w:rPr>
          <w:rFonts w:eastAsiaTheme="minorHAnsi"/>
        </w:rPr>
        <w:t xml:space="preserve"> –</w:t>
      </w:r>
      <w:bookmarkEnd w:id="987"/>
      <w:r w:rsidRPr="005C5184">
        <w:rPr>
          <w:rFonts w:eastAsiaTheme="minorHAnsi"/>
        </w:rPr>
        <w:t xml:space="preserve"> </w:t>
      </w:r>
      <w:r w:rsidRPr="005C5184">
        <w:t>pritaikius BK 54 straipsnio 3 dalies nuostatas,</w:t>
      </w:r>
      <w:r w:rsidRPr="00C00255">
        <w:t xml:space="preserve"> pagal BK 101 straipsnį paskirta 6 metų laisvės atėmimo bausmė, o pagal kitus BK straipsnius paskirtos minimalios laisvės atėmimo bausmės</w:t>
      </w:r>
      <w:r w:rsidRPr="00C00255">
        <w:rPr>
          <w:rStyle w:val="Heading3Char"/>
          <w:rFonts w:eastAsiaTheme="minorHAnsi"/>
          <w:sz w:val="24"/>
          <w:szCs w:val="24"/>
          <w:lang w:val="lt-LT"/>
        </w:rPr>
        <w:t xml:space="preserve">. </w:t>
      </w:r>
      <w:r w:rsidRPr="00C00255">
        <w:rPr>
          <w:rStyle w:val="Heading3Char"/>
          <w:rFonts w:eastAsiaTheme="minorHAnsi"/>
          <w:b w:val="0"/>
          <w:sz w:val="24"/>
          <w:szCs w:val="24"/>
          <w:lang w:val="lt-LT"/>
        </w:rPr>
        <w:t xml:space="preserve">Prokurorai apeliaciniu skundu prašė </w:t>
      </w:r>
      <w:r>
        <w:rPr>
          <w:rStyle w:val="Heading3Char"/>
          <w:rFonts w:eastAsiaTheme="minorHAnsi"/>
          <w:b w:val="0"/>
          <w:sz w:val="24"/>
          <w:szCs w:val="24"/>
          <w:lang w:val="lt-LT"/>
        </w:rPr>
        <w:t>R. J. 2</w:t>
      </w:r>
      <w:r w:rsidRPr="00C00255">
        <w:rPr>
          <w:rStyle w:val="Heading3Char"/>
          <w:rFonts w:eastAsiaTheme="minorHAnsi"/>
          <w:b w:val="0"/>
          <w:sz w:val="24"/>
          <w:szCs w:val="24"/>
          <w:lang w:val="lt-LT"/>
        </w:rPr>
        <w:t xml:space="preserve"> skiriant bausmę pagal BK 101 </w:t>
      </w:r>
      <w:r w:rsidRPr="005C5184">
        <w:rPr>
          <w:rFonts w:eastAsiaTheme="minorHAnsi"/>
        </w:rPr>
        <w:t xml:space="preserve">straipsnį netaikyti BK 54 straipsnio 3 dalies nuostatų bei paskirti 10 metų laisvės atėmimo bausmę, pagal kitus BK straipsnius paskirtų bausmių nekeisti ir </w:t>
      </w:r>
      <w:r>
        <w:rPr>
          <w:rFonts w:eastAsiaTheme="minorHAnsi"/>
        </w:rPr>
        <w:t>R. J. 2</w:t>
      </w:r>
      <w:r w:rsidRPr="005C5184">
        <w:rPr>
          <w:rFonts w:eastAsiaTheme="minorHAnsi"/>
        </w:rPr>
        <w:t xml:space="preserve"> nustatyti galutinę subendrintą 10 metų laisvės atėmimo bausmę. </w:t>
      </w:r>
      <w:r w:rsidRPr="005C5184">
        <w:t xml:space="preserve">Nuteistojo </w:t>
      </w:r>
      <w:r>
        <w:t>R. J. 2</w:t>
      </w:r>
      <w:r w:rsidRPr="005C5184">
        <w:t xml:space="preserve"> gynėjo apeliaciniame skunde nurodoma, kad </w:t>
      </w:r>
      <w:r>
        <w:t>R. J. 2</w:t>
      </w:r>
      <w:r w:rsidRPr="005C5184">
        <w:t xml:space="preserve"> įvykio metu buvo 27 metai, kaip neaukšto rango kariškiui, jam nebuvo gerai žinoma politinė situacija Lietuvoje, todėl jis negalėjo teisingai vertinti politinių įvykių. Be to, gynėjo teigimu, </w:t>
      </w:r>
      <w:r>
        <w:t>R. J. 2</w:t>
      </w:r>
      <w:r w:rsidRPr="005C5184">
        <w:t xml:space="preserve"> veika nesukėlė sunkių padarinių, todėl teismas jam paskyrė per griežtą bausmę. Įvertinusi skirtingas proceso dalyvių pozicijas </w:t>
      </w:r>
      <w:r>
        <w:t>R. J. 2</w:t>
      </w:r>
      <w:r w:rsidRPr="005C5184">
        <w:t xml:space="preserve"> skirtinos bausmės klausimu, teisėjų kolegija, kaip ir </w:t>
      </w:r>
      <w:r>
        <w:t>A. F. 2</w:t>
      </w:r>
      <w:r w:rsidRPr="005C5184">
        <w:t xml:space="preserve"> atveju, konstatuoja, jog </w:t>
      </w:r>
      <w:r>
        <w:t>R. J. 2</w:t>
      </w:r>
      <w:r w:rsidRPr="005C5184">
        <w:t xml:space="preserve"> atžvilgiu BK 54 straipsnio 3 dalies nuostatos buvo pritaikytos nepagrįtai, o prokuratūros skunde prašoma skirti griežtesnė bausmė laikytina proporcinga ir teisinga bei atspindinti jo vaidmenį</w:t>
      </w:r>
      <w:r w:rsidRPr="00C00255">
        <w:t xml:space="preserve"> bendrai vykdytoje ir koordinuotoje karinėje operacijoje, jo užimtas pareigas ir turėtą statusą.</w:t>
      </w:r>
    </w:p>
    <w:p w:rsidR="00DA38E9" w:rsidRPr="00012EAB" w:rsidRDefault="00DA38E9" w:rsidP="00DA38E9">
      <w:pPr>
        <w:numPr>
          <w:ilvl w:val="1"/>
          <w:numId w:val="6"/>
        </w:numPr>
        <w:spacing w:before="120" w:after="120"/>
        <w:ind w:left="992" w:hanging="992"/>
      </w:pPr>
      <w:r w:rsidRPr="00012EAB">
        <w:t>BK 54 straipsnio 3 dalies nuostatos R. J. 2 taip pat pritaikytos, remiantis teiginiu, jog švelnesnė nei įstatyme numatyta bausmė skirtina „atsižvelgiant į kaltinamojo padarytų nusikalstamų veiksmų apimtį bei pavojingumą” (nuosprendžio 882 l.). Tačiau, turėdama omenyje R. J. 2 atliktus veiksmus prie LRT, teisėjų kolegija nesutinka, kad jo veiksmų apimtis ir pavojingumas yra mažesnio laipsnio bei gali būti pagrindu skirti švelnesnę nei įstatyme numatytą bausmę.</w:t>
      </w:r>
      <w:r w:rsidRPr="00012EAB">
        <w:rPr>
          <w:rFonts w:eastAsia="Calibri"/>
        </w:rPr>
        <w:t xml:space="preserve"> </w:t>
      </w:r>
    </w:p>
    <w:p w:rsidR="00DA38E9" w:rsidRPr="00012EAB" w:rsidRDefault="00DA38E9" w:rsidP="00DA38E9">
      <w:pPr>
        <w:numPr>
          <w:ilvl w:val="1"/>
          <w:numId w:val="6"/>
        </w:numPr>
        <w:spacing w:before="120" w:after="120"/>
        <w:ind w:left="992" w:hanging="992"/>
      </w:pPr>
      <w:bookmarkStart w:id="988" w:name="_Toc67677474"/>
      <w:r w:rsidRPr="00012EAB">
        <w:rPr>
          <w:rFonts w:eastAsiaTheme="minorHAnsi"/>
        </w:rPr>
        <w:t>TSRS GM 76-osios oro desanto divizijos</w:t>
      </w:r>
      <w:bookmarkEnd w:id="988"/>
      <w:r w:rsidRPr="00012EAB">
        <w:rPr>
          <w:rFonts w:eastAsiaTheme="minorHAnsi"/>
        </w:rPr>
        <w:t xml:space="preserve"> </w:t>
      </w:r>
      <w:r w:rsidRPr="00012EAB">
        <w:rPr>
          <w:rFonts w:eastAsia="Calibri"/>
        </w:rPr>
        <w:t xml:space="preserve">234-ojo pulko žvalgybos kuopos vado pavaduotojas vyr. leitenantas R. J. 2 vadovavo žvalgybos kuopos dvidešimt šešių kariškių grupei, kurie </w:t>
      </w:r>
      <w:r w:rsidRPr="00012EAB">
        <w:t xml:space="preserve">būdami ginkluoti, dalyvavo užimant LRT Techninį pastatą, iš kur pašalino civilį, o vėliau prisijungė prie karinių struktūrų, užėmusių LRT Radijo pastatą, kur įvykiuose dalyvavę kariškiai šaudė koviniais ir garsiniais šoviniais, prieš civilius panaudojo artimos kovos veiksmus ir kitokį smurtą. Taigi R. J. 2 prie LRT buvo atsakingas už čia pavojingai veikusių žvalgybos kuopos kariškių veiksmus. Teisėjų kolegijos vertinimu, toks vaidmuo bendrai vykdytos ir koordinuotos operacijos kontekste laikytinas reikšmingu ir dėl to negalima sutikti su R. J. 2 gynėjo teiginiu, kad jo ginamojo veika nesukėlė sunkių padarinių – jis vadovavo pakankami dideliam kariškių skaičiui, kurie įvykių metu pavojingai veikė prieš civilius ir dėl kurių veiksmų dar LRT Techniniame pastate buvo sutrikdyta G. S. sveikata. Turint omenyje R. J. 2 vaidmenį užimant LRT pastatus, vien jo jaunas amžiaus veikos padarymo metu negali būti pagrindu jam taikyti BK 54 straipsnio 3 dalies nuostatas. Todėl teisėjų kolegija konstatuoja, kad </w:t>
      </w:r>
      <w:r w:rsidRPr="00012EAB">
        <w:rPr>
          <w:rFonts w:eastAsia="Calibri"/>
        </w:rPr>
        <w:t xml:space="preserve">nuteistajam pagal BK 101 straipsnį paskirta bausmė ir tuo pačiu galutinė subendrinta bausmė yra akivaizdžiai neproporcingos bei neteisingos ir nepagrįstai žymiai švelnesnės už kitų dalinių vadų pavaduotojams, taip pat dalyvavusiems </w:t>
      </w:r>
      <w:r w:rsidRPr="00012EAB">
        <w:t xml:space="preserve">užimant TV bokštą arba LRT bei veikusiems panašiu būdu, paskirtas bausmes. </w:t>
      </w:r>
      <w:r w:rsidRPr="00012EAB">
        <w:rPr>
          <w:rFonts w:eastAsia="Calibri"/>
        </w:rPr>
        <w:t xml:space="preserve">Taigi teisėjų kolegija įžvelgia pagrindą R. J. 2 </w:t>
      </w:r>
      <w:r w:rsidRPr="00012EAB">
        <w:t xml:space="preserve">pagal BK 101 straipsnį, pritaikius BK 54 straipsnio 3 dalį, paskirtą 6 (šešerių) metų laisvės atėmimo bausmę, panaikinus BK 54 straipsnio 3 dalies taikymą, padidinti iki laisvės atėmimo 10 (dešimčiai) metų. Atsižvelgiant į tai, kad už kitų nusikaltimų padarymą R. J. 2 paskirtų bausmių keisti nėra pagrindo, </w:t>
      </w:r>
      <w:r w:rsidRPr="00012EAB">
        <w:rPr>
          <w:rFonts w:eastAsia="Calibri"/>
        </w:rPr>
        <w:t>esant idealiai nusikalstamų veikų sutapčiai, R. J. 2 skirtina galutinė subendrinta bausmė – laisvės atėmimas 10 (dešimčiai) metų.</w:t>
      </w:r>
      <w:r w:rsidRPr="00012EAB">
        <w:rPr>
          <w:rFonts w:eastAsia="Calibri"/>
          <w:iCs/>
        </w:rPr>
        <w:t xml:space="preserve"> </w:t>
      </w:r>
    </w:p>
    <w:p w:rsidR="00DA38E9" w:rsidRPr="00C00255" w:rsidRDefault="00DA38E9" w:rsidP="00DA38E9">
      <w:pPr>
        <w:pStyle w:val="Heading4"/>
        <w:spacing w:before="120" w:after="120"/>
        <w:ind w:left="992"/>
        <w:rPr>
          <w:rFonts w:ascii="Times New Roman" w:eastAsia="Calibri" w:hAnsi="Times New Roman"/>
          <w:b w:val="0"/>
          <w:i/>
          <w:sz w:val="24"/>
          <w:szCs w:val="24"/>
        </w:rPr>
      </w:pPr>
      <w:r w:rsidRPr="00C00255">
        <w:rPr>
          <w:rFonts w:ascii="Times New Roman" w:eastAsia="Calibri" w:hAnsi="Times New Roman"/>
          <w:b w:val="0"/>
          <w:i/>
          <w:sz w:val="24"/>
          <w:szCs w:val="24"/>
        </w:rPr>
        <w:t xml:space="preserve">Dėl nuteistiesiems </w:t>
      </w:r>
      <w:r>
        <w:rPr>
          <w:rFonts w:ascii="Times New Roman" w:eastAsia="Calibri" w:hAnsi="Times New Roman"/>
          <w:b w:val="0"/>
          <w:i/>
          <w:sz w:val="24"/>
          <w:szCs w:val="24"/>
        </w:rPr>
        <w:t>A. L.</w:t>
      </w:r>
      <w:r w:rsidRPr="00C00255">
        <w:rPr>
          <w:rFonts w:ascii="Times New Roman" w:eastAsia="Calibri" w:hAnsi="Times New Roman"/>
          <w:b w:val="0"/>
          <w:i/>
          <w:sz w:val="24"/>
          <w:szCs w:val="24"/>
        </w:rPr>
        <w:t xml:space="preserve">, </w:t>
      </w:r>
      <w:r>
        <w:rPr>
          <w:rFonts w:ascii="Times New Roman" w:eastAsia="Calibri" w:hAnsi="Times New Roman"/>
          <w:b w:val="0"/>
          <w:i/>
          <w:sz w:val="24"/>
          <w:szCs w:val="24"/>
        </w:rPr>
        <w:t>A. F. 1</w:t>
      </w:r>
      <w:r w:rsidRPr="00C00255">
        <w:rPr>
          <w:rFonts w:ascii="Times New Roman" w:eastAsia="Calibri" w:hAnsi="Times New Roman"/>
          <w:b w:val="0"/>
          <w:i/>
          <w:sz w:val="24"/>
          <w:szCs w:val="24"/>
        </w:rPr>
        <w:t xml:space="preserve">, </w:t>
      </w:r>
      <w:r>
        <w:rPr>
          <w:rFonts w:ascii="Times New Roman" w:eastAsia="Calibri" w:hAnsi="Times New Roman"/>
          <w:b w:val="0"/>
          <w:i/>
          <w:sz w:val="24"/>
          <w:szCs w:val="24"/>
        </w:rPr>
        <w:t>V. G.</w:t>
      </w:r>
      <w:r w:rsidRPr="00C00255">
        <w:rPr>
          <w:rFonts w:ascii="Times New Roman" w:eastAsia="Calibri" w:hAnsi="Times New Roman"/>
          <w:b w:val="0"/>
          <w:i/>
          <w:sz w:val="24"/>
          <w:szCs w:val="24"/>
        </w:rPr>
        <w:t xml:space="preserve">, </w:t>
      </w:r>
      <w:r>
        <w:rPr>
          <w:rFonts w:ascii="Times New Roman" w:eastAsia="Calibri" w:hAnsi="Times New Roman"/>
          <w:b w:val="0"/>
          <w:i/>
          <w:sz w:val="24"/>
          <w:szCs w:val="24"/>
        </w:rPr>
        <w:t>J. J.</w:t>
      </w:r>
      <w:r w:rsidRPr="00C00255">
        <w:rPr>
          <w:rFonts w:ascii="Times New Roman" w:eastAsia="Calibri" w:hAnsi="Times New Roman"/>
          <w:b w:val="0"/>
          <w:i/>
          <w:sz w:val="24"/>
          <w:szCs w:val="24"/>
        </w:rPr>
        <w:t xml:space="preserve">, </w:t>
      </w:r>
      <w:r>
        <w:rPr>
          <w:rFonts w:ascii="Times New Roman" w:eastAsia="Calibri" w:hAnsi="Times New Roman"/>
          <w:b w:val="0"/>
          <w:i/>
          <w:sz w:val="24"/>
          <w:szCs w:val="24"/>
        </w:rPr>
        <w:t>E. M.</w:t>
      </w:r>
      <w:r w:rsidRPr="00C00255">
        <w:rPr>
          <w:rFonts w:ascii="Times New Roman" w:eastAsia="Calibri" w:hAnsi="Times New Roman"/>
          <w:b w:val="0"/>
          <w:i/>
          <w:sz w:val="24"/>
          <w:szCs w:val="24"/>
        </w:rPr>
        <w:t xml:space="preserve">, </w:t>
      </w:r>
      <w:r>
        <w:rPr>
          <w:rFonts w:ascii="Times New Roman" w:eastAsia="Calibri" w:hAnsi="Times New Roman"/>
          <w:b w:val="0"/>
          <w:i/>
          <w:sz w:val="24"/>
          <w:szCs w:val="24"/>
        </w:rPr>
        <w:t>A. S.</w:t>
      </w:r>
      <w:r w:rsidRPr="00C00255">
        <w:rPr>
          <w:rFonts w:ascii="Times New Roman" w:eastAsia="Calibri" w:hAnsi="Times New Roman"/>
          <w:b w:val="0"/>
          <w:i/>
          <w:sz w:val="24"/>
          <w:szCs w:val="24"/>
        </w:rPr>
        <w:t xml:space="preserve"> ir </w:t>
      </w:r>
      <w:r>
        <w:rPr>
          <w:rFonts w:ascii="Times New Roman" w:eastAsia="Calibri" w:hAnsi="Times New Roman"/>
          <w:b w:val="0"/>
          <w:i/>
          <w:sz w:val="24"/>
          <w:szCs w:val="24"/>
        </w:rPr>
        <w:t>V. K. 2</w:t>
      </w:r>
      <w:r w:rsidRPr="00C00255">
        <w:rPr>
          <w:rFonts w:ascii="Times New Roman" w:eastAsia="Calibri" w:hAnsi="Times New Roman"/>
          <w:b w:val="0"/>
          <w:i/>
          <w:sz w:val="24"/>
          <w:szCs w:val="24"/>
        </w:rPr>
        <w:t xml:space="preserve"> skirtinų bausmių</w:t>
      </w:r>
    </w:p>
    <w:p w:rsidR="006F072D" w:rsidRPr="00012EAB" w:rsidRDefault="006F072D" w:rsidP="006F072D">
      <w:pPr>
        <w:pStyle w:val="ListParagraph"/>
        <w:numPr>
          <w:ilvl w:val="0"/>
          <w:numId w:val="6"/>
        </w:numPr>
        <w:ind w:left="992" w:hanging="992"/>
        <w:contextualSpacing w:val="0"/>
        <w:rPr>
          <w:rStyle w:val="Strong"/>
          <w:rFonts w:eastAsiaTheme="minorHAnsi"/>
          <w:b w:val="0"/>
        </w:rPr>
      </w:pPr>
      <w:r w:rsidRPr="00012EAB">
        <w:rPr>
          <w:rStyle w:val="Strong"/>
          <w:b w:val="0"/>
        </w:rPr>
        <w:t>Šioje sprendimo dalyje teisėjų kolegija pasisakys dėl TSRS GM 76-osios oro desanto divizijos atskirų dalinių būrių vadams paskirtų bausmių pagrįstumo ir teisėtumo. Byloje nustatyta, jog kuopų ir (ar) baterijų būrių vadų pareigas įvykių metu ėjo nuteistieji A. L., A. F. 1, V. G., J. J., E. M., A. S. ir V. K. 2. Apeliacinės instancijos teismo vertinimu, būrių vadų pareigas nagrinėjamų įvykių metu ėjusiems nuteistiesiems skirtinos bausmės turėtų būti panašios tarpusavyje ir ne griežtesnės nei jau aptartiems kuopų ir kitų dalinių vadų pavaduotojams paskirtos bausmės, išskyrus atvejus, kai skirtingo atsakomybės masto objektyviai reikalauja konkrečios bylos aplinkybės.</w:t>
      </w:r>
    </w:p>
    <w:p w:rsidR="00DA38E9" w:rsidRPr="00012EAB" w:rsidRDefault="00DA38E9" w:rsidP="00DA38E9">
      <w:pPr>
        <w:numPr>
          <w:ilvl w:val="0"/>
          <w:numId w:val="6"/>
        </w:numPr>
        <w:spacing w:before="120" w:after="120"/>
        <w:ind w:left="992" w:hanging="992"/>
      </w:pPr>
      <w:r w:rsidRPr="00012EAB">
        <w:t>Apeliacinės instancijos teismas sutinka</w:t>
      </w:r>
      <w:r w:rsidRPr="00012EAB">
        <w:rPr>
          <w:rFonts w:eastAsiaTheme="minorHAnsi"/>
        </w:rPr>
        <w:t xml:space="preserve"> su pirmosios instancijos teismo išvadomis dėl bausmių</w:t>
      </w:r>
      <w:r w:rsidRPr="00012EAB">
        <w:t xml:space="preserve"> </w:t>
      </w:r>
      <w:r w:rsidRPr="00012EAB">
        <w:rPr>
          <w:rFonts w:eastAsia="Calibri"/>
        </w:rPr>
        <w:t>A. L., A. F. 1, V. G., kuriems</w:t>
      </w:r>
      <w:r w:rsidRPr="00012EAB">
        <w:rPr>
          <w:rFonts w:eastAsiaTheme="minorHAnsi"/>
        </w:rPr>
        <w:t xml:space="preserve"> paskirtos vienodos bausmės už atskiras nusikalstamas veikas ir subendrinta 10 metų laisvės atėmimo bausmė, paskyrimo, t</w:t>
      </w:r>
      <w:r w:rsidRPr="00012EAB">
        <w:t>aip pat sutinka su kiek griežtesne, lyginant su minėtais nuteistaisiais, V. K. 2 paskirta bausme</w:t>
      </w:r>
      <w:r w:rsidRPr="00012EAB">
        <w:rPr>
          <w:rFonts w:eastAsiaTheme="minorHAnsi"/>
        </w:rPr>
        <w:t>, nes jiems paskirtos bausmės atitinka šių nuteistųjų ir jų veikos bendroje nusikalstamoje veikoje pavojingumo laipsnį.</w:t>
      </w:r>
      <w:r w:rsidRPr="00012EAB">
        <w:t xml:space="preserve"> Tačiau apeliacinės instancijos teismas </w:t>
      </w:r>
      <w:r w:rsidRPr="00012EAB">
        <w:rPr>
          <w:rFonts w:eastAsia="Calibri"/>
        </w:rPr>
        <w:t xml:space="preserve">pritaria prokurorų pozicijai dėl bausmės, paskirtos nuteistajam J. J., griežtinimo, nes skundžiamu nuosprendžiu paskirta bausmė </w:t>
      </w:r>
      <w:r w:rsidRPr="00012EAB">
        <w:t xml:space="preserve">neatspindi jo vaidmens bendrai vykdytoje bei koordinuotoje karinėje operacijoje, jo užimtų pareigų ir turėto statuso. Be to, sutiktina ir su nuteistųjų E. M. bei A. S. gynėjų argumentais, jog jų ginamiesiems buvo paskirtos per griežtos bausmės. </w:t>
      </w:r>
    </w:p>
    <w:p w:rsidR="00DA38E9" w:rsidRPr="00012EAB" w:rsidRDefault="00DA38E9" w:rsidP="00DA38E9">
      <w:pPr>
        <w:numPr>
          <w:ilvl w:val="0"/>
          <w:numId w:val="6"/>
        </w:numPr>
        <w:spacing w:before="120" w:after="120"/>
        <w:ind w:left="992" w:hanging="992"/>
      </w:pPr>
      <w:bookmarkStart w:id="989" w:name="_Toc67677476"/>
      <w:r w:rsidRPr="00012EAB">
        <w:rPr>
          <w:rFonts w:eastAsiaTheme="minorHAnsi"/>
        </w:rPr>
        <w:t>Kaip jau minėta, pirmosios instancijos teismas</w:t>
      </w:r>
      <w:bookmarkEnd w:id="989"/>
      <w:r w:rsidRPr="00012EAB">
        <w:rPr>
          <w:rFonts w:eastAsiaTheme="minorHAnsi"/>
        </w:rPr>
        <w:t xml:space="preserve"> </w:t>
      </w:r>
      <w:r w:rsidRPr="00012EAB">
        <w:rPr>
          <w:rFonts w:eastAsia="Calibri"/>
        </w:rPr>
        <w:t xml:space="preserve">A. L. paskyrė galutinę subendrintą 10 metų laisvės atėmimo bausmę. </w:t>
      </w:r>
      <w:r w:rsidRPr="00012EAB">
        <w:rPr>
          <w:rFonts w:eastAsiaTheme="minorHAnsi"/>
        </w:rPr>
        <w:t xml:space="preserve">Prokurorai sutiko su tokia bausme ir šioje dalyje nuosprendžio neskundė, o </w:t>
      </w:r>
      <w:r w:rsidRPr="00012EAB">
        <w:rPr>
          <w:rFonts w:eastAsia="Calibri"/>
        </w:rPr>
        <w:t>A. L. gynėjai apeliaciniame skunde nepateikė argumentų</w:t>
      </w:r>
      <w:r w:rsidRPr="00012EAB">
        <w:rPr>
          <w:rFonts w:eastAsiaTheme="minorHAnsi"/>
        </w:rPr>
        <w:t xml:space="preserve"> dėl nuteistajam paskirtos bausmės bei prašė jį išteisinti. Teisėjų kolegijos vertinimu,</w:t>
      </w:r>
      <w:r w:rsidRPr="00012EAB">
        <w:t xml:space="preserve"> turint omenyje A. L. vadovaujančio pobūdžio veiksmus bendroje karinėje operacijoje, jo užimtas pareigas,</w:t>
      </w:r>
      <w:r w:rsidRPr="00012EAB">
        <w:rPr>
          <w:rFonts w:eastAsiaTheme="minorHAnsi"/>
        </w:rPr>
        <w:t xml:space="preserve"> jam </w:t>
      </w:r>
      <w:r w:rsidRPr="00012EAB">
        <w:t xml:space="preserve">paskirta bausmė laikytina teisinga bei proporcinga. </w:t>
      </w:r>
      <w:r w:rsidRPr="00012EAB">
        <w:rPr>
          <w:rFonts w:eastAsiaTheme="minorHAnsi"/>
        </w:rPr>
        <w:t>TSRS GM 76-osios oro desanto divizijos</w:t>
      </w:r>
      <w:r w:rsidRPr="00012EAB">
        <w:t xml:space="preserve"> 234-ojo pulko 2-ojo bataliono 4-osios kuopos būrio vadas leitenantas A. L. buvo vienu iš šio bataliono 4-osios ir 5-osios kuopų kariškiams, kurie naudodami jėgą, ginklus ir artimus kovos veiksmus civilių atžvilgiu</w:t>
      </w:r>
      <w:r w:rsidRPr="00012EAB">
        <w:rPr>
          <w:rFonts w:eastAsia="Calibri"/>
        </w:rPr>
        <w:t xml:space="preserve">, </w:t>
      </w:r>
      <w:r w:rsidRPr="00012EAB">
        <w:t xml:space="preserve">brovėsi iki TV bokšto iš pietų pusės ir šalino civilius iš TV bokšto teritorijos, vadovavusių karininkų. Byloje nustatyta ir tai, kad užimant TV bokštą A. L. disponavo koviniais šoviniais bei, kaip 4-osios kuopos būrio vadas, vadovavo pavaldiems kariškiams, kuriems davė įsakymus, o jo paties veikimas buvo aktyvus ir grindžiamas jėga (pvz., smūgiuodamas automatu, rankomis ir kojomis jis nuvijo vaikinus nuo kito karininko). Taigi apeliacinės instancijos teismas neturi jokio pagrindo švelninti teismo nuosprendžiu A. L. už pavojingiausią nusikalstamą veiką, numatytą BK 101 straipsnyje, paskirtos minimalios 10 metų laisvės atėmimo bausmės ir už kitas veikas paskirtų mažesnių nei vidurkio dydžio bausmių.  </w:t>
      </w:r>
    </w:p>
    <w:p w:rsidR="00DA38E9" w:rsidRPr="00012EAB" w:rsidRDefault="00DA38E9" w:rsidP="00DA38E9">
      <w:pPr>
        <w:numPr>
          <w:ilvl w:val="0"/>
          <w:numId w:val="6"/>
        </w:numPr>
        <w:spacing w:before="120" w:after="120"/>
        <w:ind w:left="992" w:hanging="992"/>
      </w:pPr>
      <w:bookmarkStart w:id="990" w:name="_Toc67677477"/>
      <w:r w:rsidRPr="00012EAB">
        <w:rPr>
          <w:rFonts w:eastAsiaTheme="minorHAnsi"/>
        </w:rPr>
        <w:t>Pirmosios instancijos teismas</w:t>
      </w:r>
      <w:bookmarkEnd w:id="990"/>
      <w:r w:rsidRPr="00012EAB">
        <w:rPr>
          <w:rFonts w:eastAsia="Calibri"/>
        </w:rPr>
        <w:t xml:space="preserve"> A. F. 1, kaip ir A. L., paskyrė galutinę subendrintą 10 metų laisvės atėmimo bausmę. </w:t>
      </w:r>
      <w:r w:rsidRPr="00012EAB">
        <w:rPr>
          <w:rFonts w:eastAsiaTheme="minorHAnsi"/>
        </w:rPr>
        <w:t xml:space="preserve">Prokurorai sutiko su tokia bausme ir šioje dalyje nuosprendžio neskundė, o </w:t>
      </w:r>
      <w:r w:rsidRPr="00012EAB">
        <w:rPr>
          <w:rFonts w:eastAsia="Calibri"/>
        </w:rPr>
        <w:t>A. F. 1 gynėjas apeliaciniame skunde nepateikė argumentų</w:t>
      </w:r>
      <w:r w:rsidRPr="00012EAB">
        <w:rPr>
          <w:rFonts w:eastAsiaTheme="minorHAnsi"/>
        </w:rPr>
        <w:t xml:space="preserve"> dėl jo ginamajam paskirtos bausmės bei prašė jį išteisinti. Teisėjų kolegijos vertinimu,</w:t>
      </w:r>
      <w:r w:rsidRPr="00012EAB">
        <w:t xml:space="preserve"> turint omenyje A. F. 1 vadovaujančio pobūdžio veiksmus bendroje karinėje operacijoje, jo užimtas pareigas,</w:t>
      </w:r>
      <w:r w:rsidRPr="00012EAB">
        <w:rPr>
          <w:rFonts w:eastAsiaTheme="minorHAnsi"/>
        </w:rPr>
        <w:t xml:space="preserve"> jam </w:t>
      </w:r>
      <w:r w:rsidRPr="00012EAB">
        <w:t xml:space="preserve">paskirta bausmė laikytina teisinga bei proporcinga. </w:t>
      </w:r>
      <w:r w:rsidRPr="00012EAB">
        <w:rPr>
          <w:rFonts w:eastAsiaTheme="minorHAnsi"/>
        </w:rPr>
        <w:t>TSRS GM 76-osios oro desanto divizijos</w:t>
      </w:r>
      <w:r w:rsidRPr="00012EAB">
        <w:rPr>
          <w:rFonts w:eastAsia="Calibri"/>
        </w:rPr>
        <w:t xml:space="preserve"> 237-ojo pulko 1-osios kuopos būrio vadas vyr. leitenantas A. F. 1 buvo vienu iš </w:t>
      </w:r>
      <w:r w:rsidRPr="00012EAB">
        <w:t xml:space="preserve">1-osios ir 2-osios kuopų kariškiams, kurie, būdami ginkluoti, prasibrovė iki LRT Radijo pastato, naudodami artimos kovos veiksmus, stūmė civilius iš pastato teritorijos bei vykdė kitus pastato užėmimo veiksmus, vadovavusių asmenų. Be to, nustatyta, kad A. F. 1 asmeniškai atliko aktyvius veiksmus užimant LRT Radijo pastatą. Pirmiausia, jis buvo priešakiniame kariškių penkete, kuris turėjo prasiveržti iki pastato įėjimo, o užėmus pastatą, kaip vienos iš kuopos būrių vadas, pavaldiems kariškiams davė atitinkamus įsakymus (pvz., dėl patalpų saugojimo, kito kariškio paskyrimo būrio vadu). Be to, nustatyta, kad objekto užėmimo metu į jį, kaip į atsakingą asmenį, kreipdavosi ir kiti žemesnio rango kariškiai. Teisėjų kolegijos įsitikinimu, nustatytas A. F. 1 vaidmuo bendrai vykdytos ir koordinuotos operacijos kontekste buvo reikšmingas ir pavojingas bei iš esmės panašus į jau ankstesnėje dalyje aptartų dalinių vadų pavaduotojų veikimą užimant objektus, todėl nėra jokio pagrindo švelninti teismo nuosprendžiu A. F. 1 už pavojingiausią nusikalstamą veiką, numatytą BK 101 straipsnyje, paskirtos minimalios 10 metų laisvės atėmimo bausmės ir už kitas veikas paskirtų mažesnių nei vidurkio dydžio bausmių.  </w:t>
      </w:r>
    </w:p>
    <w:p w:rsidR="00DA38E9" w:rsidRPr="00012EAB" w:rsidRDefault="00DA38E9" w:rsidP="00DA38E9">
      <w:pPr>
        <w:numPr>
          <w:ilvl w:val="0"/>
          <w:numId w:val="6"/>
        </w:numPr>
        <w:spacing w:before="120" w:after="120"/>
        <w:ind w:left="992" w:hanging="992"/>
      </w:pPr>
      <w:r w:rsidRPr="00012EAB">
        <w:t xml:space="preserve">Pirmosios instancijos teismas nuteistajam V. G. paskyrė identišką bausmę kaip ir jau minėtiems kitiems būrių vadams nuteistiesiems A. L. ir A. F. 1. </w:t>
      </w:r>
      <w:r w:rsidRPr="00012EAB">
        <w:rPr>
          <w:rFonts w:eastAsiaTheme="minorHAnsi"/>
        </w:rPr>
        <w:t xml:space="preserve">Prokurorai sutiko su tokia bausme ir šioje dalyje nuosprendžio neskundė. </w:t>
      </w:r>
      <w:r w:rsidRPr="00012EAB">
        <w:rPr>
          <w:rFonts w:eastAsia="Calibri"/>
        </w:rPr>
        <w:t xml:space="preserve">V. G. gynėja apeliaciniame skunde pateikė detalius argumentus apie tai, kad </w:t>
      </w:r>
      <w:r w:rsidRPr="00012EAB">
        <w:t xml:space="preserve">teismas tinkamai neindividualizavo bausmės V. G. ir neatsižvelgė į jo atsakomybę švelninančias aplinkybes. Anot gynėjos, teismas neatsižvelgė į tai, kad 1) nuteistasis vykdė įsakymą, kuriam nepaklusti galimybė labai ribota, o ši aplinkybė pagal tarptautinę praktiką lengvina asmens atsakomybę; 2) dėl paties V. G. atliktų veiksmų civiliai nenukentėjo (panašius argumentus teisėjų kolegija jau ne kartą vertino analizuodama atskirus nusikalstamos veikos epizodus, todėl detaliau nebepasisakys); 3) ilga proceso trukmė, kuriai įtakos neturėjo V. G. veiksmai, lengvina jo atsakomybę. </w:t>
      </w:r>
      <w:r w:rsidRPr="00012EAB">
        <w:rPr>
          <w:rFonts w:eastAsiaTheme="minorHAnsi"/>
        </w:rPr>
        <w:t xml:space="preserve">Teisėjų kolegija, įvertinusi tiek gynėjos argumentus, tiek </w:t>
      </w:r>
      <w:r w:rsidRPr="00012EAB">
        <w:t>V. G. vaidmenį bendroje karinėje operacijoje, jo užimtas pareigas,</w:t>
      </w:r>
      <w:r w:rsidRPr="00012EAB">
        <w:rPr>
          <w:rFonts w:eastAsiaTheme="minorHAnsi"/>
        </w:rPr>
        <w:t xml:space="preserve"> jam </w:t>
      </w:r>
      <w:r w:rsidRPr="00012EAB">
        <w:t>paskirtą bausmę laiko teisinga bei proporcinga. Pirmiausia, dėl ilgos proceso trukmės ir įsakymo vykdymo, kaip bausmės skyrimui reikšmingų aplinkybių, teisėjų kolegija pasisakė dar prieš pradėdama vertinti atskiriems nuteistiesiems paskirtas bausmes. Kaip jau minėta, šie aspektai nepaisant itin didelio nusikaltimų pavojingumo, pateisina nuteistiesiems skiriamas artimas vidurkiui ar net minimalias sankcijose nustatytas bausmes. Taigi šios aplinkybės, skiriant bausmę nuteistajam V. G., kaip ir kitiems nuteistiesiems, jau buvo įvertintos ir į jas atsižvelgta. Be to, V. G. skirtinos bausmės kontekste jokiu būdu negalima sumenkinti jo vaidmens bendrai vykdytoje operacijoje. TSRS GM 76-osios oro desanto divizijos 234-ojo pulko savaeigės artilerijos diviziono 1-osios savaeigės artilerijos baterijos būrio vadas leitenantas V. G. buvo vienu iš minėtos baterijos kariškių grupei, kurie, būdami ginkluoti, dalyvavo užimant LRT TASK pastatą, bei kartu su pastate buvusiais TSRS VSK grupės „A“ kariškiais šalino iš jo darbuotojus, atjungė transliavimą užtikrinančius įrenginius, vadovavusių asmenų. Nustatyta, kad užimant LRT TASK pastatą ir atliekant veiksmus jame, V. G., kaip baterijos būrio vadas, vadovavo daliai pavaldžių kariškių ir buvo paskirtas vienos iš grupių vyresniuoju (toje pačioje operacijoje veikę karininkai B. S. ir S. G. su grupe baterijos kariškių iš LRT TASK pastato perėjo į LRT Televizijos pastatą, o, kaip trečias pagal rangą karininkas, V. G. su savo grupe liko LRT TASK pastate ir vykdė užduotis jame). Teisėjų kolegijos įsitikinimu, nustatytas V. G. vaidmuo bendrai vykdytos ir koordinuotos operacijos kontekste buvo reikšmingas ir pavojingas bei tuo pačiu panašus į minėtų būrių vadų A. F. 1 ir A. L. veiksmus, kurie taip pat vadovavo bei davė įsakymus jiems pavaldžių kariškių grupėms, todėl teismas neįžvelgia pagrindo švelninti teismo nuosprendžiu V. G. už pavojingiausią nusikalstamą veiką, numatytą BK 101 straipsnyje, paskirtos minimalios 10 metų laisvės atėmimo bausmės ir už kitas nusikalstamas veikas paskirtų mažesnių nei vidurkio dydžio bausmių.</w:t>
      </w:r>
    </w:p>
    <w:p w:rsidR="00DA38E9" w:rsidRPr="00012EAB" w:rsidRDefault="00DA38E9" w:rsidP="00DA38E9">
      <w:pPr>
        <w:numPr>
          <w:ilvl w:val="0"/>
          <w:numId w:val="6"/>
        </w:numPr>
        <w:spacing w:before="120" w:after="120"/>
        <w:ind w:left="992" w:hanging="992"/>
      </w:pPr>
      <w:bookmarkStart w:id="991" w:name="_Toc67677478"/>
      <w:r w:rsidRPr="00012EAB">
        <w:rPr>
          <w:rFonts w:eastAsiaTheme="minorHAnsi"/>
        </w:rPr>
        <w:t>Nors nuteistasis J. J., kaip ir minėti nuteistieji A. F. 1, A. L. ir V. G., įvykių metu ėjo oro desanto dalinio būrio vado pareigas, J. J. pagal atskirus BK straipsnius buvo paskirtos 1-2 metais švelnesnės bausmės, o pagal BK 101 straipsnį, pritaikius BK 54 straipsnio 3 dalies nuostatas, buvo paskirta net 4 metais trumpesnė (6 metų) laisvės atėmimo bausmė, nulėmusi ir švelnesnės subendrintos bausmės paskyrimą. Prokurorai apeliaciniu skundu prašė J. J. skiriant bausmę pagal BK 101 straipsnį netaikyti BK 54 straipsnio 3 dalies nuostatų bei paskirti jam 10 metų laisvės atėmimo bausmę, pagal kitus BK straipsnius paskirtų bausmių nekeisti ir galutinę subendrintą bausmę nustatyti 10 metų laisvės atėmimą. Nuteistojo</w:t>
      </w:r>
      <w:bookmarkEnd w:id="991"/>
      <w:r w:rsidRPr="00012EAB">
        <w:rPr>
          <w:rFonts w:eastAsiaTheme="minorHAnsi"/>
        </w:rPr>
        <w:t xml:space="preserve"> </w:t>
      </w:r>
      <w:r w:rsidRPr="00012EAB">
        <w:rPr>
          <w:rFonts w:eastAsia="Calibri"/>
        </w:rPr>
        <w:t>J. J. gynėja apeliaciniame skunde nepateikė argumentų</w:t>
      </w:r>
      <w:r w:rsidRPr="00012EAB">
        <w:rPr>
          <w:rFonts w:eastAsiaTheme="minorHAnsi"/>
        </w:rPr>
        <w:t xml:space="preserve"> dėl ginamajam paskirtos bausmės bei prašė jį išteisinti</w:t>
      </w:r>
      <w:r w:rsidRPr="00012EAB">
        <w:t>. Teisėjų kolegijos įsitikinimu, J. J. nepagrįstai pritaikytos BK 54 straipsnio 3 dalies nuostatos, o prokuratūros skunde prašoma skirti griežtesnė bausmė laikytina proporcinga ir teisinga bei atspindinti jo vaidmenį bendrai vykdytoje bei koordinuotoje karinėje operacijoje, jo užimtas pareigas ir turėtą statusą.</w:t>
      </w:r>
    </w:p>
    <w:p w:rsidR="00DA38E9" w:rsidRPr="00012EAB" w:rsidRDefault="00DA38E9" w:rsidP="00DA38E9">
      <w:pPr>
        <w:numPr>
          <w:ilvl w:val="1"/>
          <w:numId w:val="6"/>
        </w:numPr>
        <w:spacing w:before="120" w:after="120"/>
        <w:ind w:left="992" w:hanging="992"/>
      </w:pPr>
      <w:r w:rsidRPr="00012EAB">
        <w:t xml:space="preserve">Pažymėtina, kad BK 54 straipsnio 3 dalies nuostatų taikymas J. J. buvo pagrįstas jau ne kartą minėtu teiginiu, jog švelnesnė nei įstatyme numatyta bausmė pagal BK 101 straipsnį skirtina „atsižvelgiant į kaltinamojo padarytų nusikalstamų veiksmų apimtį bei pavojingumą”, o taip pat pažymėtas jo jaunas amžius veikos padarymo metu (nuosprendžio 884 l.). Tačiau teisėjų kolegija nesutinka, kad J. J. nusikalstamų veiksmų apimtis ir pavojingumas yra tokio laipsnio, jog gali būti pagrindu taikyti BK 54 straipsnio 3 dalies nuostatas – </w:t>
      </w:r>
      <w:r w:rsidRPr="00012EAB">
        <w:rPr>
          <w:rFonts w:eastAsia="Calibri"/>
        </w:rPr>
        <w:t xml:space="preserve">jo veikimas bendrai vykdytoje ir koordinuotoje operacijoje buvo reikšmingas ir pavojingas. </w:t>
      </w:r>
    </w:p>
    <w:p w:rsidR="00DA38E9" w:rsidRPr="00012EAB" w:rsidRDefault="00DA38E9" w:rsidP="00DA38E9">
      <w:pPr>
        <w:numPr>
          <w:ilvl w:val="1"/>
          <w:numId w:val="6"/>
        </w:numPr>
        <w:spacing w:before="120" w:after="120"/>
        <w:ind w:left="992" w:hanging="992"/>
      </w:pPr>
      <w:r w:rsidRPr="00012EAB">
        <w:t xml:space="preserve">TSRS GM 76-osios oro desanto divizijos 237-ojo pulko 1-ojo bataliono 2-osios kuopos būrio vadas leitenantas J. J. buvo vienu iš 1-ojo bataliono 1-osios ir 2-osios kuopų kariškiams, kurie, būdami ginkluoti, prasibrovė iki LRT Radijo pastato, naudodami artimos kovos veiksmus, stūmė civilius iš pastato teritorijos bei vykdė kitus pastato užėmimo veiksmus, vadovavusių asmenų. Byloje nustatyta ir tai, kad kariškiams jėga užimant šį objektą, o vėliau veikiant ir jo viduje, J. J., kaip būrio vadas, turėjo jam pavaldžių kariškių grupę, kuriems davė atitinkamus įsakymus. Turint omenyje J. J. reikšmingą vaidmenį užimant LRT Radijo pastatą, vien jo jaunas amžius veikos padarymo metu nėra pagrindu taikyti BK 54 straipsnio 3 dalies nuostatas. Todėl teisėjų kolegija konstatuoja, kad </w:t>
      </w:r>
      <w:r w:rsidRPr="00012EAB">
        <w:rPr>
          <w:rFonts w:eastAsia="Calibri"/>
        </w:rPr>
        <w:t xml:space="preserve">nuteistajam pagal BK 101 straipsnį paskirta bausmė ir tuo pačiu galutinė subendrinta bausmė yra akivaizdžiai neproporcingos bei neteisingos ir nepagrįstai žymiai švelnesnės už kitų būrių vadams, taip pat dalyvavusiems </w:t>
      </w:r>
      <w:r w:rsidRPr="00012EAB">
        <w:t xml:space="preserve">užimant TV bokštą arba LRT bei veikusiems iš esmės panašiu būdu, paskirtas bausmes. </w:t>
      </w:r>
      <w:r w:rsidRPr="00012EAB">
        <w:rPr>
          <w:rFonts w:eastAsia="Calibri"/>
        </w:rPr>
        <w:t xml:space="preserve">Taigi teisėjų kolegija įžvelgia pagrindą J. J. pagal </w:t>
      </w:r>
      <w:r w:rsidRPr="00012EAB">
        <w:t>BK 101 straipsnį, pritaikius BK 5</w:t>
      </w:r>
      <w:r w:rsidR="006F072D" w:rsidRPr="00012EAB">
        <w:t>4 straipsnio 3 dalį, paskirtą 6 </w:t>
      </w:r>
      <w:r w:rsidRPr="00012EAB">
        <w:t>(šešerių) metų laisvės atėmimo bausmę, panaikinus BK 54 straipsnio 3 dalies taikymą, padidinti iki laisvės atėmimo 10 (dešimčiai) metų. Atsižvelgiant į tai, kad už kitų nusikaltimų padarymą J. J. paskirtų bausmių keisti nėra pagrindo,</w:t>
      </w:r>
      <w:r w:rsidRPr="00012EAB">
        <w:rPr>
          <w:rFonts w:eastAsia="Calibri"/>
        </w:rPr>
        <w:t xml:space="preserve"> esant idealiai nusikalstamų veikų sutapčiai, J. J. skirtina galutinė subendrinta bausmė – laisvės atėmimas 10 (dešimčiai) metų. </w:t>
      </w:r>
    </w:p>
    <w:p w:rsidR="00DA38E9" w:rsidRPr="00012EAB" w:rsidRDefault="00DA38E9" w:rsidP="00DA38E9">
      <w:pPr>
        <w:numPr>
          <w:ilvl w:val="0"/>
          <w:numId w:val="6"/>
        </w:numPr>
        <w:spacing w:before="120" w:after="120"/>
        <w:ind w:left="992" w:hanging="992"/>
      </w:pPr>
      <w:r w:rsidRPr="00012EAB">
        <w:t>Nuteistieji E. M., A. S. ir V. K. 2,</w:t>
      </w:r>
      <w:r w:rsidRPr="00012EAB" w:rsidDel="00955301">
        <w:t xml:space="preserve"> </w:t>
      </w:r>
      <w:r w:rsidRPr="00012EAB">
        <w:rPr>
          <w:rFonts w:eastAsiaTheme="minorHAnsi"/>
        </w:rPr>
        <w:t xml:space="preserve">kaip ir šioje dalyje jau minėti A. F. 1, A. L. V. G. ir J. J., įvykių metu ėjo oro desanto divizijos dalinių būrių vadų pareigas, tačiau skundžiamu nuosprendžiu jiems buvo paskirtos griežtesnės bausmės. </w:t>
      </w:r>
      <w:r w:rsidRPr="00012EAB">
        <w:t xml:space="preserve">Kaip jau minėta, panašias pareigas nagrinėjamų įvykių metu ėjusiems nuteistiesiems taikytinos atsakomybės mastas turėtų būti panašus, išskyrus atvejus, kai skirtingo atsakomybės masto objektyviai reikalauja konkrečios bylos aplinkybės. Įvertinus šių nuteistųjų vaidmenį bendrai vykdytoje ir koordinuotoje karinėje operacijoje, nustatyta, kad bent jau nuteistiesiems E. M. bei A. S. nėra pagrindo skirti griežtesnių bausmių nei paskirtos kitiems būrių vadams. </w:t>
      </w:r>
    </w:p>
    <w:p w:rsidR="00DA38E9" w:rsidRPr="00012EAB" w:rsidRDefault="00DA38E9" w:rsidP="00DA38E9">
      <w:pPr>
        <w:numPr>
          <w:ilvl w:val="0"/>
          <w:numId w:val="6"/>
        </w:numPr>
        <w:spacing w:before="120" w:after="120"/>
        <w:ind w:left="992" w:hanging="992"/>
      </w:pPr>
      <w:bookmarkStart w:id="992" w:name="_Toc67677479"/>
      <w:r w:rsidRPr="00012EAB">
        <w:rPr>
          <w:rFonts w:eastAsiaTheme="minorHAnsi"/>
        </w:rPr>
        <w:t>Skundžiamu nuosprendžiu nuteistajam E. M. pagal BK 100 straipsnį buvo paskirtas laisvės atėmimas 10 metų, pagal BK 101 straipsnį – 12 metų, pag</w:t>
      </w:r>
      <w:r w:rsidR="00012EAB">
        <w:rPr>
          <w:rFonts w:eastAsiaTheme="minorHAnsi"/>
        </w:rPr>
        <w:t>al BK 103 straipsnio 1 dalį – 6 </w:t>
      </w:r>
      <w:r w:rsidRPr="00012EAB">
        <w:rPr>
          <w:rFonts w:eastAsiaTheme="minorHAnsi"/>
        </w:rPr>
        <w:t>metams, pagal BK 111 straipsnio 1 dalį – 6 metams ir pagal BK 112 straipsnį – 5 metams. Esant idealiai nusikalstamų veikų sutapčiai, teismas E. M. paskyrė galutinę subendrintą bausmę – 12 metų laisvės atėmimą. Prokurorai apeliaciniu skundu su E. M. paskirta bausme sutiko ir šioje dalyje nuosprendžio neskundė. Nuteistojo E. M. gynėja apeliaciniame skunde teigė nesutinkanti su ginamajam paskirta bausme, nes</w:t>
      </w:r>
      <w:bookmarkEnd w:id="992"/>
      <w:r w:rsidRPr="00012EAB">
        <w:rPr>
          <w:rFonts w:eastAsiaTheme="minorHAnsi"/>
        </w:rPr>
        <w:t xml:space="preserve"> </w:t>
      </w:r>
      <w:r w:rsidRPr="00012EAB">
        <w:t>ji akivaizdžiai neproporcinga, atsižvelgiant į jo veiksmų svarbą, prieštaringus, nebūdingus nuosprendžiams bausmių skyrimo motyvus ir jų stoką. Teisėjų kolegija sutinka su gynybos pozicija, jog E. M. paskirta bausmė yra per griežta bei neatspindi jo vaidmens bendrai vykdytoje bei koordinuotoje karinėje operacijoje, jo užimtų pareigų ir turėto statuso.</w:t>
      </w:r>
    </w:p>
    <w:p w:rsidR="00DA38E9" w:rsidRPr="00012EAB" w:rsidRDefault="00DA38E9" w:rsidP="00DA38E9">
      <w:pPr>
        <w:numPr>
          <w:ilvl w:val="1"/>
          <w:numId w:val="6"/>
        </w:numPr>
        <w:spacing w:before="120" w:after="120"/>
        <w:ind w:left="992" w:hanging="992"/>
      </w:pPr>
      <w:r w:rsidRPr="0038415A">
        <w:t>Leitenantas E. M. buvo TSRS GM 76-osios oro desanto divizijos 234-ojo pulko 8-osios desantininkų kuopos būrio vadas, kartu su pavaldžiais kariškiais tiesiogiai dalyvavęs užimant Spaudos rūmus bei TV bokštą. E. M. vaidmenį bendrai vykdytoje operacijoje geriausiai atspindi jo veiksmai užimant TV bokštą. Kaip vienas iš vadovavusių karininkų, E. M. su pavaldžiais kariškiais ne tik jėga prasibrovė iki TV bokšto ir stūmė civilius iš jo teritorijos, tačiau būtent jo vadovaujama septyniolikos karių grupė užėmė pirmąjį TV bokšto aukštą ir iš ten šalino civilius. Taigi E. M. vaidmuo buvo reikšmingas</w:t>
      </w:r>
      <w:r w:rsidRPr="00012EAB">
        <w:t xml:space="preserve"> ir pavojingas – jis vadovavo žymiam kariškių skaičiui užimant TV bokštą, kai visų kariškių bendrais veiksmais dėl panaudotos jėgos ir smurto 12 civilių žuvo ir šimtai buvo kitaip sužaloti. Visgi, būtina pažymėti, kad užimant minėtus objektus tiesiogiai dalyvavo ir visos 8-osios kuopos vadas vyr. leitenantas A. G. 2, kuriam E. M. buvo pavaldus bei kuriam skundžiamu nuosprendžiu paskirtos identiškos bausmės. Teisėjų kolegijos vertinimu, vien ši aplinkybė sudaro pagrindą konstatuoti, kad E. M. paskirtos bausmės už atskiras nusikalstamas veikas ir galutinė subendrinta bausmė yra per griežtos. Iš esmės visiems atskirų oro desanto divizijos dalinių vadų pavaduotojams ir būrių vadams nagrinėjamoje byloje paskirtos švelnesnės bausmės nei tuose pačiuose įvykiuose dalyvavusiems kuopų vadams, kuriems jie buvo pavaldūs. Be to, teisėjų kolegijos įsitikinimu, pirmosios instancijos teismas griežtesnę bausmę E. M. skyrė, nepagrįstai remdamasis nuosprendžio motyvuojamojoje dalyje nurodyta aplinkybe, kad nukentėjusįjį I. Š. nužudė E. M. vadovaujami kariškiai, nors, kaip nustatyta, tai padarė nenustatytas TSRS VSK specialiosios paskirties grupės „A“ kariškis (kaip jau minėta šiame sprendime, tokia klaida, tikėtina, buvo padaryta dėl byloje esančių duomenų apie vieno iš TSRS VSK grupės „A“ kariškių pavardę, sutampančią su nuteistojo E. M. pavarde). Taigi, E. M. skiriama bausmė negalėjo būti grindžiama tokiomis aplinkybėmis ir jos negalėjo padidinti individualaus E. M. pavojingumo. Nuteistojo E. M. padaryta veika iš esmės nėra pavojingesnė už kitų kuopų būrių vadų, </w:t>
      </w:r>
      <w:r w:rsidRPr="00012EAB">
        <w:rPr>
          <w:rFonts w:eastAsia="Calibri"/>
        </w:rPr>
        <w:t xml:space="preserve">taip pat dalyvavusių </w:t>
      </w:r>
      <w:r w:rsidRPr="00012EAB">
        <w:t xml:space="preserve">užimant TV bokštą arba LRT, padarytas veikas, todėl ir jam skirtina bausmė neturi skirtis nuo nuteistiesiems A. L., A. F. 1 ir V. G. paskirtų bausmių. </w:t>
      </w:r>
      <w:r w:rsidRPr="00012EAB">
        <w:rPr>
          <w:rFonts w:eastAsia="Calibri"/>
        </w:rPr>
        <w:t xml:space="preserve">Taigi teisėjų kolegija įžvelgia pagrindą E. M. pagal BK </w:t>
      </w:r>
      <w:r w:rsidRPr="00012EAB">
        <w:t xml:space="preserve">100 straipsnį, BK 101 straipsnį ir BK 103 straipsnio 1 dalį </w:t>
      </w:r>
      <w:r w:rsidRPr="00012EAB">
        <w:rPr>
          <w:rFonts w:eastAsia="Calibri"/>
        </w:rPr>
        <w:t xml:space="preserve">paskirtas bausmes sušvelninti </w:t>
      </w:r>
      <w:r w:rsidRPr="00012EAB">
        <w:t>taip</w:t>
      </w:r>
      <w:r w:rsidRPr="00012EAB">
        <w:rPr>
          <w:rFonts w:eastAsia="Calibri"/>
        </w:rPr>
        <w:t>:</w:t>
      </w:r>
      <w:r w:rsidRPr="00012EAB">
        <w:rPr>
          <w:rFonts w:eastAsia="Calibri"/>
          <w:iCs/>
        </w:rPr>
        <w:t xml:space="preserve"> </w:t>
      </w:r>
    </w:p>
    <w:p w:rsidR="00DA38E9" w:rsidRPr="0038415A" w:rsidRDefault="00DA38E9" w:rsidP="00DA38E9">
      <w:pPr>
        <w:numPr>
          <w:ilvl w:val="2"/>
          <w:numId w:val="6"/>
        </w:numPr>
        <w:spacing w:before="120" w:after="120"/>
        <w:ind w:left="992" w:hanging="992"/>
      </w:pPr>
      <w:r w:rsidRPr="0038415A">
        <w:rPr>
          <w:rFonts w:eastAsia="Calibri"/>
        </w:rPr>
        <w:t xml:space="preserve">pagal BK </w:t>
      </w:r>
      <w:r w:rsidRPr="0038415A">
        <w:t xml:space="preserve">100 straipsnį paskirtą 10 (dešimties) metų laisvės atėmimo bausmę sumažinti iki laisvės atėmimo 6 (šešeriems) metams; </w:t>
      </w:r>
    </w:p>
    <w:p w:rsidR="00DA38E9" w:rsidRPr="0038415A" w:rsidRDefault="00DA38E9" w:rsidP="00DA38E9">
      <w:pPr>
        <w:numPr>
          <w:ilvl w:val="2"/>
          <w:numId w:val="6"/>
        </w:numPr>
        <w:spacing w:before="120" w:after="120"/>
        <w:ind w:left="992" w:hanging="992"/>
      </w:pPr>
      <w:r w:rsidRPr="0038415A">
        <w:t xml:space="preserve">pagal BK 101 straipsnį paskirtą 12 (dvylikos) metų laisvės atėmimo bausmę sumažinti iki laisvės atėmimo 10 (dešimčiai) metų; </w:t>
      </w:r>
    </w:p>
    <w:p w:rsidR="00DA38E9" w:rsidRPr="0038415A" w:rsidRDefault="00DA38E9" w:rsidP="00DA38E9">
      <w:pPr>
        <w:numPr>
          <w:ilvl w:val="2"/>
          <w:numId w:val="6"/>
        </w:numPr>
        <w:spacing w:before="120" w:after="120"/>
        <w:ind w:left="992" w:hanging="992"/>
      </w:pPr>
      <w:r w:rsidRPr="0038415A">
        <w:t xml:space="preserve">pagal BK 103 straipsnio 1 dalį paskirtą 6 (šešerių) metų laisvės atėmimo bausmę sumažinti iki laisvės atėmimo 5 (penkeriems) metams. </w:t>
      </w:r>
    </w:p>
    <w:p w:rsidR="00DA38E9" w:rsidRPr="0038415A" w:rsidRDefault="00DA38E9" w:rsidP="00DA38E9">
      <w:pPr>
        <w:numPr>
          <w:ilvl w:val="1"/>
          <w:numId w:val="6"/>
        </w:numPr>
        <w:spacing w:before="120" w:after="120"/>
        <w:ind w:left="992" w:hanging="992"/>
      </w:pPr>
      <w:r w:rsidRPr="0038415A">
        <w:t>Teisėjų kolegijos vertinimu, E. M. pagal BK 111 straipsnio 1 dalį ir BK 112 straipsnį paskirtų bausmių švelninti nėra pagrindo, kadangi tokio dydžio bausmės yra proporcingos kitiems būrių vadams nuteistiesiems A. L., A. F. 1 ir V. G. paskirtoms bausmėms.</w:t>
      </w:r>
      <w:r w:rsidRPr="0038415A">
        <w:rPr>
          <w:rFonts w:eastAsia="Calibri"/>
        </w:rPr>
        <w:t xml:space="preserve"> Esant idealiai nusikalstamų veikų sutapčiai, E. M. skirtina galutinė subendrinta bausmė – laisvės atėmimas 10 (dešimčiai) metų. </w:t>
      </w:r>
    </w:p>
    <w:p w:rsidR="00DA38E9" w:rsidRPr="0038415A" w:rsidRDefault="00DA38E9" w:rsidP="00DA38E9">
      <w:pPr>
        <w:numPr>
          <w:ilvl w:val="0"/>
          <w:numId w:val="6"/>
        </w:numPr>
        <w:spacing w:before="120" w:after="120"/>
        <w:ind w:left="992" w:hanging="992"/>
      </w:pPr>
      <w:bookmarkStart w:id="993" w:name="_Toc67677480"/>
      <w:r w:rsidRPr="0038415A">
        <w:rPr>
          <w:rFonts w:eastAsiaTheme="minorHAnsi"/>
        </w:rPr>
        <w:t>Skundžiamu nuosprendžiu nuteistajam A. S. buvo paskirtos tokios pat bausmės kaip ir E. M. (subendrinta 12 metų laisvės atėmimo bausmė). Prokurorai apeliaciniu skundu su A. S. paskirta bausme sutiko ir šioje dalyje nuosprendžio neskundė. Nuteistojo A. S. gynėjas apeliaciniame skunde teigė, kad</w:t>
      </w:r>
      <w:bookmarkEnd w:id="993"/>
      <w:r w:rsidRPr="0038415A">
        <w:rPr>
          <w:rFonts w:eastAsiaTheme="minorHAnsi"/>
        </w:rPr>
        <w:t xml:space="preserve"> </w:t>
      </w:r>
      <w:r w:rsidRPr="0038415A">
        <w:t>vien įsakymo vykdymas neatleidžia nuo baudžiamosios atsakomybės, bet šis faktas turi įtakos individualiam nuteistojo veiksmų vertinimui ir bausmės parinkimui, todėl A. S., vykdžiusiam kuopos vado S. M. įsakymą, užtikrinant teisingumo principo įgyvendinimą, turėtų būti paskirta švelnesnė bausmė. Teisėjų kolegija (nors ir pažymėdama, kad įsakymo vykdymo aplinkybė jau buvo įvertinta nuteistiesiems skiriant bausmes) sutinka su gynybos pozicija, jog A. S. paskirta bausmė yra per griežta bei neatspindi jo vaidmens bendrai vykdytoje bei koordinuotoje karinėje operacijoje, jo užimtų pareigų ir turėto statuso.</w:t>
      </w:r>
    </w:p>
    <w:p w:rsidR="00DA38E9" w:rsidRPr="0038415A" w:rsidRDefault="00DA38E9" w:rsidP="00DA38E9">
      <w:pPr>
        <w:numPr>
          <w:ilvl w:val="1"/>
          <w:numId w:val="6"/>
        </w:numPr>
        <w:spacing w:before="120" w:after="120"/>
        <w:ind w:left="992" w:hanging="992"/>
      </w:pPr>
      <w:r w:rsidRPr="0038415A">
        <w:t>Pirmiausia, pažymėtina, kad A. S. vaidmuo bendrai vykdytoje operacijoje buvo reikšmingas ir pavojingas. TSRS GM 76-osios oro desanto divizijos 234-ojo pulko 3-iojo bataliono 7-osios kuopos būrio vadas leitenantas A. S. buvo vienu iš 7-osios kuopos kariškiams, kurie, būdami ginkluoti, brovėsi pro civilių minią ir vykdė kitus LRT Televizijos pastato užėmimo veiksmus, vadovavusių asmenų. A. S. vadovavo vienai iš šios kuopos kariškių grupių ir galėjo priimti savarankiškus sprendimus (pvz., jis savo iniciatyva panaudojo šaunamąjį ginklą bei iššovė į gyvenamąjį pastatą). Visgi, teisėjų kolegijos vertinimu, skirdamas bausmę A. S., apygardos teismas nepagrįstai padidino šio asmens ir jo veikos pavojingumo laipsnį bei dėl to jam paskyrė per griežtą bausmę. Nuosprendyje nurodyta, kad „skiriant bausmę kaltinamajam A. S., atsižvelgiama &lt;...&gt; į tai, kad jis dalyvavo Spaudos rūmų šturme, vadovavo RTV (</w:t>
      </w:r>
      <w:r w:rsidRPr="0038415A">
        <w:rPr>
          <w:rFonts w:eastAsia="Calibri"/>
        </w:rPr>
        <w:t xml:space="preserve">LRT) Televizijos pastato šturmui, išrikiavęs priešais puolamą pastatą BMD, nukreipė pabūklus bei karinės technikos apšvietimo prietaisus į jį, </w:t>
      </w:r>
      <w:r w:rsidRPr="0038415A">
        <w:t xml:space="preserve">šaudė į gyvenamąjį namą snaiperiniu šautuvu“ (nuosprendžio 884 l.). Pirmiausia, jau minėta, kad nuteistasis A. S. nedalyvavo užimant Spaudos rūmus. Antra, ne tik A. S., bet ir kiti kariškiai prie užimamų objektų šaudė koviniais šoviniais į aplinkinius namus, civilius ir kitus objektus. Taigi A. S. atliktas šūvis nerodo išskirtinai didelio jo veikos pavojingumo (nesant duomenų apie dėl to kilusius sunkius padarinius). Be to, pažymėtina, kad A. S. prie LRT buvo pavaldus 7-osios kuopos vadui vyr. leitenantui S. M., tačiau pastarajam, dalyvavusiam ir užimant Spaudos rūmus, skundžiamu nuosprendžiu pagal BK 100 straipsnį, BK 101 straipsnį ir BK 103 straipsnio 1 dalį buvo paskirtos švelnesnės bausmės nei A. S.. Teisėjų kolegijos įsitikinimu, A. S. paskirta bausmė, nesant duomenų apie jo atliktus išskirtinai pavojingus veiksmus, negali būti griežtesnė už S. M. paskirtą bausmę bei pagal įvykių metu A. S. užimtas pareigas turi atitikti kitų būrių vadų atsakomybės mastą. </w:t>
      </w:r>
      <w:r w:rsidRPr="0038415A">
        <w:rPr>
          <w:rFonts w:eastAsia="Calibri"/>
        </w:rPr>
        <w:t>Taigi teisėjų kolegija įžvelgia pagrindą, nuteistajam A. S. pagal BK </w:t>
      </w:r>
      <w:r w:rsidRPr="0038415A">
        <w:t xml:space="preserve">100 straipsnį, BK 101 straipsnį ir BK 103 straipsnio 1 dalį </w:t>
      </w:r>
      <w:r w:rsidRPr="0038415A">
        <w:rPr>
          <w:rFonts w:eastAsia="Calibri"/>
        </w:rPr>
        <w:t xml:space="preserve">paskirtas bausmes sušvelninti </w:t>
      </w:r>
      <w:r w:rsidRPr="0038415A">
        <w:t>taip</w:t>
      </w:r>
      <w:r w:rsidRPr="0038415A">
        <w:rPr>
          <w:rFonts w:eastAsia="Calibri"/>
        </w:rPr>
        <w:t>:</w:t>
      </w:r>
      <w:r w:rsidRPr="0038415A">
        <w:rPr>
          <w:rFonts w:eastAsia="Calibri"/>
          <w:iCs/>
        </w:rPr>
        <w:t xml:space="preserve"> </w:t>
      </w:r>
    </w:p>
    <w:p w:rsidR="00DA38E9" w:rsidRPr="0038415A" w:rsidRDefault="00DA38E9" w:rsidP="00DA38E9">
      <w:pPr>
        <w:numPr>
          <w:ilvl w:val="2"/>
          <w:numId w:val="6"/>
        </w:numPr>
        <w:spacing w:before="120" w:after="120"/>
        <w:ind w:left="992" w:hanging="992"/>
      </w:pPr>
      <w:r w:rsidRPr="0038415A">
        <w:rPr>
          <w:rFonts w:eastAsia="Calibri"/>
          <w:iCs/>
        </w:rPr>
        <w:t xml:space="preserve">pagal BK </w:t>
      </w:r>
      <w:r w:rsidRPr="0038415A">
        <w:t xml:space="preserve">100 straipsnį paskirtą 10 (dešimties) metų laisvės atėmimo bausmę sumažinti iki laisvės atėmimo 6 (šešeriems) metams; </w:t>
      </w:r>
    </w:p>
    <w:p w:rsidR="00DA38E9" w:rsidRPr="0038415A" w:rsidRDefault="00DA38E9" w:rsidP="00DA38E9">
      <w:pPr>
        <w:numPr>
          <w:ilvl w:val="2"/>
          <w:numId w:val="6"/>
        </w:numPr>
        <w:spacing w:before="120" w:after="120"/>
        <w:ind w:left="992" w:hanging="992"/>
      </w:pPr>
      <w:r w:rsidRPr="0038415A">
        <w:t xml:space="preserve">pagal BK 101 straipsnį paskirtą 12 (dvylikos) metų laisvės atėmimo bausmę sumažinti iki laisvės atėmimo 10 (dešimčiai) metų; </w:t>
      </w:r>
    </w:p>
    <w:p w:rsidR="00DA38E9" w:rsidRPr="0038415A" w:rsidRDefault="00DA38E9" w:rsidP="00DA38E9">
      <w:pPr>
        <w:numPr>
          <w:ilvl w:val="2"/>
          <w:numId w:val="6"/>
        </w:numPr>
        <w:spacing w:before="120" w:after="120"/>
        <w:ind w:left="992" w:hanging="992"/>
      </w:pPr>
      <w:r w:rsidRPr="0038415A">
        <w:t xml:space="preserve">pagal BK 103 straipsnio 1 dalį paskirtą 6 (šešerių) metų laisvės atėmimo bausmę sumažinti iki laisvės atėmimo 5 (penkeriems) metams. </w:t>
      </w:r>
    </w:p>
    <w:p w:rsidR="00DA38E9" w:rsidRPr="0038415A" w:rsidRDefault="00DA38E9" w:rsidP="00DA38E9">
      <w:pPr>
        <w:numPr>
          <w:ilvl w:val="1"/>
          <w:numId w:val="6"/>
        </w:numPr>
        <w:spacing w:before="120" w:after="120"/>
        <w:ind w:left="992" w:hanging="992"/>
      </w:pPr>
      <w:r w:rsidRPr="0038415A">
        <w:t>Teisėjų kolegijos vertinimu, A. S. paskirtų bausmių pagal BK 111 straipsnio 1 dalį – laisvės atėmimo 6 metams, ir pagal BK 112 straipsnį – laisvės atėmimo 5 metams, švelninti nėra pagrindo. Tokio dydžio bausmės paskirtos ir kitiems būrių vadams nuteistiesiems A. L., A. F. 1, V. G. ir E. M.</w:t>
      </w:r>
      <w:r w:rsidRPr="0038415A">
        <w:rPr>
          <w:rFonts w:eastAsia="Calibri"/>
        </w:rPr>
        <w:t>, todėl laikytinos proporcingomis. Esant idealiai nusikalstamų veikų sutapčiai, A. S. skirtina galutinė subendrinta bausmė – laisvės atėmimas 10 (dešimčiai) metų</w:t>
      </w:r>
      <w:r w:rsidRPr="0038415A">
        <w:rPr>
          <w:rFonts w:eastAsia="Calibri"/>
          <w:iCs/>
        </w:rPr>
        <w:t xml:space="preserve">. </w:t>
      </w:r>
    </w:p>
    <w:p w:rsidR="00DA38E9" w:rsidRPr="00C00255" w:rsidRDefault="00DA38E9" w:rsidP="00DA38E9">
      <w:pPr>
        <w:pStyle w:val="ListParagraph"/>
        <w:numPr>
          <w:ilvl w:val="0"/>
          <w:numId w:val="6"/>
        </w:numPr>
        <w:spacing w:before="120" w:after="120"/>
        <w:ind w:left="992" w:hanging="992"/>
        <w:contextualSpacing w:val="0"/>
        <w:rPr>
          <w:color w:val="000000"/>
          <w:szCs w:val="24"/>
          <w:lang w:eastAsia="lt-LT" w:bidi="lt-LT"/>
        </w:rPr>
      </w:pPr>
      <w:r w:rsidRPr="0038415A">
        <w:rPr>
          <w:rFonts w:eastAsiaTheme="minorHAnsi"/>
        </w:rPr>
        <w:t>Skundžiamu nuosprendžiu nuteistajam V. K. 2 buvo paskirtos tokios pat bausmės kaip ir nuteistiesiems E. M. bei A. S. (12 metų galutinė subendrinta laisvės atėmimo bausmė). Prokurorai apeliaciniu skundu jam paskirtos bausmės neginčijo, o nuteistasis V. K. 2 ir jo gynėjai skundžiamo nuosprendžio apeliacine tvarka neskundė</w:t>
      </w:r>
      <w:r w:rsidRPr="0038415A">
        <w:t>. Taigi byloje iš esmės nėra ginčo dėl V. K. 2 paskirtos bausmės, visgi, teisėjų kolegija, turėdama omenyje, kad prieš tai keliems panašias pareigas vykdžiusiems nuteistiesiems sušvelnino bausmes, kad procesas vyksta daugumai nuteistųjų nedalyvaujant, pasisakys ir dėl V. K. 2 paskirtos bausmės.</w:t>
      </w:r>
      <w:r w:rsidRPr="00C00255">
        <w:rPr>
          <w:szCs w:val="24"/>
        </w:rPr>
        <w:t xml:space="preserve"> </w:t>
      </w:r>
    </w:p>
    <w:p w:rsidR="00DA38E9" w:rsidRPr="0038415A" w:rsidRDefault="00DA38E9" w:rsidP="00DA38E9">
      <w:pPr>
        <w:pStyle w:val="ListParagraph"/>
        <w:numPr>
          <w:ilvl w:val="0"/>
          <w:numId w:val="6"/>
        </w:numPr>
        <w:spacing w:before="120" w:after="120"/>
        <w:ind w:left="992" w:hanging="992"/>
        <w:contextualSpacing w:val="0"/>
        <w:rPr>
          <w:color w:val="000000"/>
          <w:szCs w:val="24"/>
          <w:lang w:eastAsia="lt-LT" w:bidi="lt-LT"/>
        </w:rPr>
      </w:pPr>
      <w:r w:rsidRPr="0038415A">
        <w:t>Teisėjų kolegijos įsitikinimu, V. K. 2 paskirtos bausmės atspindi jo vaidmenį bendrai vykdytoje bei koordinuotoje karinėje operacijoje, jo užimtas pareigas ir turėtą statusą, todėl jam skirtų mažesnių nei vidurkio dydžio bausmių dar labiau švelninti nėra pagrindo. TSRS GM 76-osios oro desanto divizijos 234-ojo pulko 3-iojo bataliono 9-osios kuopos būrio vadas vyr. leitenantas V. K. 2 buvo vienu iš pavaldiems oro desanto divizijos kariškiams, kurie dalyvavo užimant Spaudos rūmus ir TV bokštą, vadovavusių karininkų. Pažymėtina, jog šio nuteistojo reikšmingą vaidmenį įvykiuose geriausiai atspindi jo veiksmai užimant TV bokštą. Jis su pavaldžiais kariškiais ne tik jėga prasibrovė iki TV bokšto ir stūmė civilius iš jo teritorijos, tačiau jo vadovaujama maždaug dešimties kariškių grupė pakilo į TV bokšto 20-ąjį aukštą, kur užtikrino ten buvusios gaisro gesinimo aparatūros apsaugą. Pabrėžtina, kad šių įvykių metu V. K. 2 laipsnis buvo aukštesnis ir už leitenanto E. M., kuriam šiuo sprendimu bausmė sušvelninta, turėtą laipsnį bei prilygo šio nuteistojo kuopos vado A. G. 2 turėtam laipsniui (iš kitų būrių vadų tik įvykiuose prie LRT dalyvavęs A. F. 1 turėjo vyr. leitenanto laipsnį, o visi kiti buvo leitenantai). Taigi užimant TV bokštą dalyvavęs būrio vadas E. M. pagal laipsnį buvo pavaldus V. K. 2. Lyginant su nuteistuoju A. S., V. K. 2 veikimas buvo pavojingesnis, nes jis dalyvavo užimant ne tik TV bokštą, bet ir Spaudos rūmus. Be to, byloje yra duomenų apie nuteistųjų A. G. 2 bei V. K. 2 bendravimą su kitų padalinių kariškiais prieš pat TV bokšto užėmimo operaciją (t. 432, b. l. 106–109, t. 119, b. l. 174–182), kurie patvirtina pakankamai žymų V. K. 2 indėlį bendroje operacijoje. Atsižvelgdama į tai, teisėjų kolegija neįžvelgia pagrindo keisti pirmosios instancijos teismo V. K. 2</w:t>
      </w:r>
      <w:r w:rsidRPr="0038415A">
        <w:rPr>
          <w:rFonts w:eastAsiaTheme="minorHAnsi"/>
        </w:rPr>
        <w:t xml:space="preserve"> </w:t>
      </w:r>
      <w:r w:rsidRPr="0038415A">
        <w:t>paskirtų bausmių.</w:t>
      </w:r>
      <w:r w:rsidRPr="0038415A">
        <w:rPr>
          <w:szCs w:val="24"/>
        </w:rPr>
        <w:t xml:space="preserve"> </w:t>
      </w:r>
    </w:p>
    <w:p w:rsidR="00DA38E9" w:rsidRPr="00C00255" w:rsidRDefault="00DA38E9" w:rsidP="00DA38E9">
      <w:pPr>
        <w:pStyle w:val="Heading4"/>
        <w:spacing w:before="120" w:after="120"/>
        <w:ind w:firstLine="992"/>
        <w:rPr>
          <w:rFonts w:ascii="Times New Roman" w:hAnsi="Times New Roman"/>
          <w:b w:val="0"/>
          <w:i/>
          <w:szCs w:val="20"/>
        </w:rPr>
      </w:pPr>
      <w:r w:rsidRPr="00C00255">
        <w:rPr>
          <w:rFonts w:ascii="Times New Roman" w:eastAsia="Calibri" w:hAnsi="Times New Roman"/>
          <w:b w:val="0"/>
          <w:i/>
          <w:sz w:val="24"/>
        </w:rPr>
        <w:t xml:space="preserve">Dėl </w:t>
      </w:r>
      <w:r w:rsidRPr="00C00255">
        <w:rPr>
          <w:rFonts w:ascii="Times New Roman" w:hAnsi="Times New Roman"/>
          <w:b w:val="0"/>
          <w:i/>
          <w:sz w:val="24"/>
        </w:rPr>
        <w:t xml:space="preserve">nuteistiesiems </w:t>
      </w:r>
      <w:r>
        <w:rPr>
          <w:rFonts w:ascii="Times New Roman" w:hAnsi="Times New Roman"/>
          <w:b w:val="0"/>
          <w:i/>
          <w:sz w:val="24"/>
        </w:rPr>
        <w:t>S. K.</w:t>
      </w:r>
      <w:r w:rsidRPr="00C00255">
        <w:rPr>
          <w:rFonts w:ascii="Times New Roman" w:hAnsi="Times New Roman"/>
          <w:b w:val="0"/>
          <w:i/>
          <w:sz w:val="24"/>
        </w:rPr>
        <w:t xml:space="preserve"> ir </w:t>
      </w:r>
      <w:r>
        <w:rPr>
          <w:rFonts w:ascii="Times New Roman" w:hAnsi="Times New Roman"/>
          <w:b w:val="0"/>
          <w:i/>
          <w:sz w:val="24"/>
        </w:rPr>
        <w:t>A. N. 2</w:t>
      </w:r>
      <w:r w:rsidRPr="00C00255">
        <w:rPr>
          <w:rFonts w:ascii="Times New Roman" w:hAnsi="Times New Roman"/>
          <w:b w:val="0"/>
          <w:i/>
          <w:sz w:val="24"/>
        </w:rPr>
        <w:t xml:space="preserve"> skirtinų bausmių </w:t>
      </w:r>
    </w:p>
    <w:p w:rsidR="00DA38E9" w:rsidRPr="0038415A" w:rsidRDefault="00DA38E9" w:rsidP="00DA38E9">
      <w:pPr>
        <w:numPr>
          <w:ilvl w:val="0"/>
          <w:numId w:val="6"/>
        </w:numPr>
        <w:spacing w:before="120" w:after="120"/>
        <w:ind w:left="992" w:hanging="992"/>
      </w:pPr>
      <w:r w:rsidRPr="0038415A">
        <w:t xml:space="preserve">Teisėjų kolegija sutinka ir su pirmosios instancijos teismo išvadomis dėl TSRS GM 76-osios oro desanto divizijos 234-ojo pulko kuro tarnybos viršininkui kapitonui S. K. ir to paties pulko komjaunimo komiteto sekretoriui vyr. leitenantui A. N. 2 paskirtų bausmių </w:t>
      </w:r>
      <w:r w:rsidRPr="0038415A">
        <w:rPr>
          <w:rFonts w:eastAsiaTheme="minorHAnsi"/>
        </w:rPr>
        <w:t>(jiems abiem paskirtos vienodos bausmės už atskiras nusikalstamas veikas ir tokia pati subendrinta – 10 metų laisvės atėmimo bausmė)</w:t>
      </w:r>
      <w:r w:rsidRPr="0038415A">
        <w:t xml:space="preserve">. </w:t>
      </w:r>
    </w:p>
    <w:p w:rsidR="00DA38E9" w:rsidRPr="0038415A" w:rsidRDefault="00DA38E9" w:rsidP="00DA38E9">
      <w:pPr>
        <w:numPr>
          <w:ilvl w:val="0"/>
          <w:numId w:val="6"/>
        </w:numPr>
        <w:spacing w:before="120" w:after="120"/>
        <w:ind w:left="992" w:hanging="992"/>
        <w:rPr>
          <w:rFonts w:eastAsia="Calibri"/>
        </w:rPr>
      </w:pPr>
      <w:bookmarkStart w:id="994" w:name="_Toc67677481"/>
      <w:r w:rsidRPr="0038415A">
        <w:rPr>
          <w:rFonts w:eastAsiaTheme="minorHAnsi"/>
        </w:rPr>
        <w:t>Prokurorai sutiko su nuteistajam S. K. paskirta bausme ir šioje dalyje nuosprendžio neskundė.</w:t>
      </w:r>
      <w:bookmarkEnd w:id="994"/>
      <w:r w:rsidRPr="0038415A">
        <w:rPr>
          <w:rFonts w:eastAsiaTheme="minorHAnsi"/>
        </w:rPr>
        <w:t xml:space="preserve"> </w:t>
      </w:r>
      <w:r w:rsidRPr="0038415A">
        <w:rPr>
          <w:rFonts w:eastAsia="Calibri"/>
        </w:rPr>
        <w:t xml:space="preserve">S. K. gynėjas apeliaciniame skunde </w:t>
      </w:r>
      <w:r w:rsidRPr="0038415A">
        <w:t xml:space="preserve">nesutinka su nuosprendžio dalimi dėl bausmės S. K. paskyrimo ir nurodo, kad teismo motyvai nurodant S. K. padarytos nusikalstamos veikos pobūdį neteisingi ir prieštarauja faktinėms bylos aplinkybėms (neigia teismo išvadas dėl S. K. dalyvavimo užgrobiant Policijos akademiją, Spaudos rūmus ir TV bokštą, tačiau atkreipia dėmesį į S. K. parodymus, pagal kuriuos jis dalyvavo įvykiuose prie TV bokšto, kad visas jo neteisėtas veikimas pasireiškė tik pagalba kareiviui nustumti vieną civilį). Įvertinusi gynėjo poziciją S. K. skirtinos bausmės klausimu, teisėjų kolegija konstatuoja, jog S. K. paskirta bausmė laikytina proporcinga ir teisinga bei atspindinti jo vaidmenį bendrai vykdytoje bei koordinuotoje karinėje operacijoje, jo užimtas pareigas ir turėtą statusą. Pirmiausia, sutiktina su S. K. gynėjo pozicija, kad pastarasis nedalyvavo užimant Spaudos rūmus, o, kaip jau minėta šiame teismo sprendime, Policijos akademijos užgrobimas </w:t>
      </w:r>
      <w:r w:rsidRPr="0038415A">
        <w:rPr>
          <w:rFonts w:eastAsia="Calibri"/>
        </w:rPr>
        <w:t xml:space="preserve">jam apskritai nebuvo inkriminuotas, todėl skirtinos bausmės kontekste šios aplinkybės reikšmės neturi. Tačiau, skirtingai nei teigia gynėjas, S. K. vaidmuo užimant TV bokštą, kai prie šio objekto bendrais kariškių veiksmais buvo nužudyti 12 civilių ir šimtai jų buvo kitaip sužaloti, buvo reikšmingas ir pavojingas. TSRS GM </w:t>
      </w:r>
      <w:r w:rsidRPr="0038415A">
        <w:t>76-osios oro desanto divizijos 234-ojo pulko kuro tarnybos viršininkas kapitonas S. K. buvo vienu iš 234-ojo pulko 3-iojo bataliono 8-osios ir 9-osios kuopų kariškiams, kurie naudodami jėgą, ginklus ir artimus kovos veiksmus civilių žmonių atžvilgiu brovėsi iki TV bokšto bei šalino civilius iš TV bokšto teritorijos, vadovavusių karininkų. Bylos duomenimis nustatyta, kad šių įvykių metu kapitonas S. K. (vieno iš 234-ojo pulko dalinių viršininkas ir aukštesnis pagal pareigas karininkas) galėjo vadovauti ne tik eiliniams kareiviams, bet ir žemesniems pagal laipsnį karininkams (jo laipsnis buvo aukštesnis už tuose pačiuose įvykiuose dalyvavusių kuopos vadų, pvz., A. G. 2, ir kuopų būrių vadų, pvz., V. K. 2, E. M. laipsnius), kurie vadovavo eiliniams kareiviams. Teisėjų kolegijos įsitikinimu, aptartas S. K. vaidmuo bendrai vykdytos ir koordinuotos operacijos kontekste buvo reikšmingas ir pavojingas, todėl, turint omenyje jo eitas aukštas pareigas ir laipsnį, nėra pagrindo švelninti teismo nuosprendžiu jam už pavojingiausią nusikalstamą veiką, numatytą BK 101 straipsnyje, paskirtos minimalios 10 metų laisvės atėmimo bausmės ir mažesnių nei vidurkio dydžio bausmių, paskirtų už kitus nusikaltimus, nes jos ir taip pakankamai švelnios bei atitinka bausmes, paskirtas kitiems panašų vaidmenį atlikusiems karininkams – atskirų dalinių vadų pavaduotojams ir šių dalinių būrių vadams.</w:t>
      </w:r>
    </w:p>
    <w:p w:rsidR="00DA38E9" w:rsidRPr="0038415A" w:rsidRDefault="00DA38E9" w:rsidP="00DA38E9">
      <w:pPr>
        <w:numPr>
          <w:ilvl w:val="0"/>
          <w:numId w:val="6"/>
        </w:numPr>
        <w:spacing w:before="120" w:after="120"/>
        <w:ind w:left="992" w:hanging="992"/>
        <w:rPr>
          <w:rFonts w:eastAsia="Calibri"/>
        </w:rPr>
      </w:pPr>
      <w:r w:rsidRPr="0038415A">
        <w:t xml:space="preserve">Panašios pozicijos teisėjų kolegija laikosi ir dėl nuteistojo A. N. 2, kuriam kaip ir S. K. paskirtos identiškos bausmės už atskiras nusikalstamas veikas bei galutinė subendrinta 10 metų laisvės atėmimo bausmė. </w:t>
      </w:r>
      <w:r w:rsidRPr="0038415A">
        <w:rPr>
          <w:rFonts w:eastAsiaTheme="minorHAnsi"/>
        </w:rPr>
        <w:t xml:space="preserve">Prokurorai sutiko su tokia bausme ir šioje dalyje nuosprendžio neskundė, o </w:t>
      </w:r>
      <w:r w:rsidRPr="0038415A">
        <w:rPr>
          <w:rFonts w:eastAsia="Calibri"/>
        </w:rPr>
        <w:t>A. N. 2 gynėjas apeliaciniame skunde nepateikė argumentų</w:t>
      </w:r>
      <w:r w:rsidRPr="0038415A">
        <w:rPr>
          <w:rFonts w:eastAsiaTheme="minorHAnsi"/>
        </w:rPr>
        <w:t xml:space="preserve"> dėl jo ginamajam paskirtos bausmės bei prašė jį išteisinti</w:t>
      </w:r>
      <w:r w:rsidRPr="0038415A">
        <w:t>. Teisėjų kolegija konstatuoja, jog pastarajam paskirta bausmė laikytina proporcinga ir teisinga bei atspindinti jo vaidmenį bendrai vykdytoje bei koordinuotoje karinėje operacijoje, jo užimtas pareigas ir turėtą statusą. TSRS GM 76-osios oro desanto divizijos 234-ojo pulko komjaunimo komiteto sekretorius vyr. leitenantas A. N. 2 buvo vienu iš šio pulko 3-iojo bataliono 7-osios kuopos kariškiams, kurie, būdami ginkluoti, brovėsi pro civilių minią ir vykdė kitus LRT Televizijos pastato užėmimo veiksmus, vadovavusių asmenų. Be to, būtina pabrėžti, kad A. N. 2 buvo 3-iojo bataliono, kurio sudėčiai priklausė ir 7-oji kuopa, valdymo dalies kariškiu, todėl šios kuopos kariškiai, kurie dalyvavo užimant LRT Televizijos pastatą, buvo pavaldūs A. N. 2. Nustatyta ir tai, kad užimant minėtą objektą A. N. 2 turėjo sau pavaldžių kariškių grupę, kuriai vadovavo ir kuri jėga veržėsi į pastatą. Taigi, atsižvelgiant į A. N. 2 vaidmenį, užimant LRT Televizijos pastatą, teisėjų kolegija neįžvelgia jokio pagrindo keisti ir dar labiau švelninti nuteistajam už pavojingiausią nusikalstamą veiką, numatytą BK 101 straipsnyje, paskirtos minimalios 10 metų laisvės atėmimo bausmės</w:t>
      </w:r>
      <w:r w:rsidRPr="0038415A">
        <w:rPr>
          <w:rFonts w:eastAsiaTheme="minorHAnsi"/>
        </w:rPr>
        <w:t xml:space="preserve"> </w:t>
      </w:r>
      <w:r w:rsidRPr="0038415A">
        <w:t xml:space="preserve">ir kitų, mažesnių nei vidurkio dydžio bausmių, paskirtų už kitas nusikalstamas veikas. </w:t>
      </w:r>
    </w:p>
    <w:p w:rsidR="00DA38E9" w:rsidRPr="006F072D" w:rsidRDefault="00DA38E9" w:rsidP="00DA38E9">
      <w:pPr>
        <w:pStyle w:val="Heading4"/>
        <w:spacing w:before="120" w:after="120"/>
        <w:ind w:firstLine="992"/>
        <w:rPr>
          <w:rFonts w:ascii="Times New Roman" w:hAnsi="Times New Roman"/>
          <w:b w:val="0"/>
          <w:i/>
          <w:sz w:val="24"/>
        </w:rPr>
      </w:pPr>
      <w:r w:rsidRPr="006F072D">
        <w:rPr>
          <w:rFonts w:ascii="Times New Roman" w:eastAsia="Calibri" w:hAnsi="Times New Roman"/>
          <w:b w:val="0"/>
          <w:i/>
          <w:sz w:val="24"/>
        </w:rPr>
        <w:t>Dėl</w:t>
      </w:r>
      <w:r w:rsidRPr="006F072D">
        <w:rPr>
          <w:rFonts w:ascii="Times New Roman" w:hAnsi="Times New Roman"/>
          <w:b w:val="0"/>
          <w:i/>
          <w:sz w:val="24"/>
        </w:rPr>
        <w:t xml:space="preserve"> nuteistiesiems A. I. ir A. C. skirtinų bausmių </w:t>
      </w:r>
    </w:p>
    <w:p w:rsidR="00DA38E9" w:rsidRPr="0038415A" w:rsidRDefault="00DA38E9" w:rsidP="00DA38E9">
      <w:pPr>
        <w:numPr>
          <w:ilvl w:val="0"/>
          <w:numId w:val="6"/>
        </w:numPr>
        <w:spacing w:before="120" w:after="120"/>
        <w:ind w:left="992" w:hanging="992"/>
      </w:pPr>
      <w:r w:rsidRPr="0038415A">
        <w:t xml:space="preserve">Nuteistieji A. I. ir A. C. iš kitų TSRS GM 76-osios oro desanto divizijos kariškių išskyrė savo žemesniais kariniais laipsniais. Jie abu buvo praporščikai ir šis faktas gynėjų buvo itin pabrėžiamas. Teisėjų kolegija, įvertinusi ne tik jų karinį laipsnį, bet ir realų vaidmenį bei eitas pareigas padarytų nusikaltimų metu, esminio skirtumo nuo prieš tai jau aptartų kariškių veiksmų neįžvelgė, todėl sutinka su </w:t>
      </w:r>
      <w:r w:rsidRPr="0038415A">
        <w:rPr>
          <w:rFonts w:eastAsiaTheme="minorHAnsi"/>
        </w:rPr>
        <w:t>prokurorų pozicija</w:t>
      </w:r>
      <w:r w:rsidRPr="0038415A">
        <w:t xml:space="preserve">, jog nuteistiesiems A. I. ir A. C. paskirtos bausmės yra per švelnios ir neatspindi jų vaidmens bendrai vykdytoje bei koordinuotoje karinėje operacijoje. </w:t>
      </w:r>
    </w:p>
    <w:p w:rsidR="006F072D" w:rsidRPr="006F072D" w:rsidRDefault="006F072D" w:rsidP="006F072D">
      <w:pPr>
        <w:pStyle w:val="ListParagraph"/>
        <w:numPr>
          <w:ilvl w:val="0"/>
          <w:numId w:val="6"/>
        </w:numPr>
        <w:spacing w:before="120" w:after="120"/>
        <w:ind w:left="992" w:hanging="992"/>
        <w:contextualSpacing w:val="0"/>
      </w:pPr>
      <w:r w:rsidRPr="0038415A">
        <w:t>Praporščikams A. I. ir A. C. skundžiamu nuosprendžiu dėl BK 100 straipsnyje, BK 101 straipsnyje ir BK 111 straipsnio 1 dalyje numatytų nusikaltimų, pritaikius BK 54 straipsnio 3 dalies nuostatas, paskyrus mažesnes laisvės atėmimo bausmes, nei sankcijose nustatytos minimalios laisvės atėmimo bausmės, ir jas subendrinus apėmimo būdu su kitomis jiems paskirtomis sankcijose nustatytomis minimaliomis bausmėmis, buvo paskirta galutinė subendrinta 4 metų laisvės atėmimo bausmė. Prokurorai apeliaciniu skundu prašė A. I. ir A. C. netaikyti BK 54 straipsnio 3 dalies nuostatų bei pagal minėtus BK straipsnius paskirti minimalias sankcijose nustatytas laisvės atėmimo bausmes, taip pat paskirti galutinę subendrintą 10 metų laisvės atėmimo bausmę. Šių nuteistųjų gynėjai apeliaciniuose skunduose nepateikė argumentų dėl jų ginamiesiems paskirtos bausmės bei prašė juos išteisinti</w:t>
      </w:r>
      <w:r w:rsidRPr="006F072D">
        <w:t>.</w:t>
      </w:r>
    </w:p>
    <w:p w:rsidR="00DA38E9" w:rsidRPr="0038415A" w:rsidRDefault="00DA38E9" w:rsidP="00DA38E9">
      <w:pPr>
        <w:numPr>
          <w:ilvl w:val="1"/>
          <w:numId w:val="6"/>
        </w:numPr>
        <w:spacing w:before="120" w:after="120"/>
        <w:ind w:left="992" w:hanging="992"/>
      </w:pPr>
      <w:r w:rsidRPr="0038415A">
        <w:t>Pažymėtina, kad BK 54 straipsnio 3 dalies nuostatų taikymas A. I. buvo pagrįstas tik teiginiu, jog švelnesnė nei įstatyme numatyta bausmė pagal BK 100 st</w:t>
      </w:r>
      <w:r w:rsidR="006F072D" w:rsidRPr="0038415A">
        <w:t>raipsnį, BK 101 straipsnį ir BK </w:t>
      </w:r>
      <w:r w:rsidRPr="0038415A">
        <w:t xml:space="preserve">111 straipsnio 1 dalį skirtina „atsižvelgiant į kaltinamojo padarytų nusikalstamų veiksmų apimtį bei pavojingumą“ (nuosprendžio 884 l.). Tokie argumentai yra visiškai formalūs ir aiškiai nepakankami, taikant BK 54 straipsnio 3 dalies nuostatas, kuriomis teismas, be kita ko, skirdamas bausmę pagal BK 101 straipsnį, labai ženkliai, peržengė įstatymų leidėjo numatytą minimalią 10 metų laisvės atėmimo bausmę. Be to, A. I. nusikalstamų veiksmų apimtis ir pavojingumas nėra tokio laipsnio, jog leistų konstatuoti, kad sankcijose nustatytų minimalių laisvės atėmimo bausmių skyrimas šiam nuteistajam prieštarautų teisingumo principui. </w:t>
      </w:r>
    </w:p>
    <w:p w:rsidR="00DA38E9" w:rsidRPr="0038415A" w:rsidRDefault="00DA38E9" w:rsidP="00DA38E9">
      <w:pPr>
        <w:numPr>
          <w:ilvl w:val="1"/>
          <w:numId w:val="6"/>
        </w:numPr>
        <w:spacing w:before="120" w:after="120"/>
        <w:ind w:left="992" w:hanging="992"/>
      </w:pPr>
      <w:r w:rsidRPr="0038415A">
        <w:t xml:space="preserve">TSRS GM 76-osios oro desanto divizijos 237-ojo pulko slaptosios tarnybos viršininkas vyr. praporščikas A. I. buvo vienu iš 237-ojo pulko 1-ojo bataliono 1-osios ir 2-osios kuopų kariškiams, kurie, būdami ginkluoti, prasibrovė iki LRT Radijo pastato, naudodami artimos kovos veiksmus, stūmė civilius iš pastato teritorijos bei vykdė kitus pastato užėmimo veiksmus, vadovavusių asmenų. A. I. buvo 237-ojo pulko, kuriam priklausė 1-oji ir 2-oji kuopa, vieno iš dalinių viršininku bei užimant LRT Radijo pastatą veikusios vienos iš kariškių grupių vyriausiuoju, todėl galėjo duoti įsakymus jam pavaldiems kariškiams. Nors A. I. karinis laipsnis buvo žemesnis už kitų jau aptartų kariškių, jokio esminio skirtumo tarp jo vykdytų veiksmų, net jei jo vadovaujamų kariškių grupės dydis buvo mažesnis, nėra. Net, jei pirmosios instancijos teismas, peržengdamas minimalią bausmės ribą A. I., rėmėsi žemesniu jo kariniu laipsniu, toks sprendimas nebuvo nuoseklus, nes byloje BK 54 straipsnio 3 dalies nuostatų netaikė kitam, panašius veiksmus atlikusiam praporščikui, t. y. nuteistajam J. S.. Atsižvelgdama į visa tai, teisėjų kolegija sutinka su prokurorais, kad BK 54 straipsnio 3 dalies nuostatos, skiriant bausmę A. I., pritaikytos nepagrįstai, todėl </w:t>
      </w:r>
      <w:r w:rsidRPr="0038415A">
        <w:rPr>
          <w:rFonts w:eastAsia="Calibri"/>
        </w:rPr>
        <w:t>pastarajam pagal BK 100 straipsnį, BK 101 straipsnį ir BK 111 straipsnio 1 dalį pirmosios instancijos teismo paskirtos bausmės turi būti keičiamos, panaikinant BK 54 straipsnio 3 dalies taikymą ir paskiriant minimalias bausmės ribas atitinkančias bausmes. Taigi, teisėjų kolegija įžvelgia pagrindą A. I. paskirtas bausmes keisti taip</w:t>
      </w:r>
      <w:r w:rsidRPr="0038415A">
        <w:rPr>
          <w:rFonts w:eastAsia="Calibri"/>
          <w:iCs/>
        </w:rPr>
        <w:t xml:space="preserve">: </w:t>
      </w:r>
    </w:p>
    <w:p w:rsidR="00DA38E9" w:rsidRPr="0038415A" w:rsidRDefault="00DA38E9" w:rsidP="00DA38E9">
      <w:pPr>
        <w:numPr>
          <w:ilvl w:val="2"/>
          <w:numId w:val="6"/>
        </w:numPr>
        <w:spacing w:before="120" w:after="120"/>
        <w:ind w:left="992" w:hanging="992"/>
      </w:pPr>
      <w:r w:rsidRPr="0038415A">
        <w:t>pagal BK 100 straipsnį, pritaikius BK 54 straipsnio 3 dalį, paskirtą 3 (trejų) metų laisvės atėmimo bausmę, panaikinus BK 54 straipsnio 3 dalies taikymą, padidinti iki laisvės atėmimo 5 (penkeriems) metams;</w:t>
      </w:r>
    </w:p>
    <w:p w:rsidR="00DA38E9" w:rsidRPr="00C00255" w:rsidRDefault="00DA38E9" w:rsidP="00DA38E9">
      <w:pPr>
        <w:numPr>
          <w:ilvl w:val="2"/>
          <w:numId w:val="6"/>
        </w:numPr>
        <w:spacing w:before="120" w:after="120"/>
        <w:ind w:left="992" w:hanging="992"/>
      </w:pPr>
      <w:r w:rsidRPr="006F072D">
        <w:t>pagal BK 101 straipsnį, pritaikius BK 54 straipsnio 3 dalį, paskirtą 4 (ketverių) metų laisvės atėmimo bausmę, panaikinus BK 54 straipsnio 3 dalies taikymą, padidinti iki laisvės atėmimo 10 (dešimčiai) metų</w:t>
      </w:r>
      <w:r w:rsidRPr="00C00255">
        <w:t>;</w:t>
      </w:r>
    </w:p>
    <w:p w:rsidR="00DA38E9" w:rsidRPr="00C00255" w:rsidRDefault="00DA38E9" w:rsidP="00DA38E9">
      <w:pPr>
        <w:numPr>
          <w:ilvl w:val="2"/>
          <w:numId w:val="6"/>
        </w:numPr>
        <w:spacing w:before="120" w:after="120"/>
        <w:ind w:left="992" w:hanging="992"/>
      </w:pPr>
      <w:r w:rsidRPr="00C00255">
        <w:t xml:space="preserve">pagal BK 111 straipsnio 1 dalį, pritaikius BK 54 straipsnio 3 dalį, paskirtą 3 (trejų) metų laisvės atėmimo bausmę, panaikinus BK 54 straipsnio 3 dalies taikymą, padidinti iki laisvės atėmimo 5 (penkeriems) metams. </w:t>
      </w:r>
    </w:p>
    <w:p w:rsidR="00DA38E9" w:rsidRPr="0038415A" w:rsidRDefault="00DA38E9" w:rsidP="00DA38E9">
      <w:pPr>
        <w:numPr>
          <w:ilvl w:val="1"/>
          <w:numId w:val="6"/>
        </w:numPr>
        <w:spacing w:before="120" w:after="120"/>
        <w:ind w:left="992" w:hanging="992"/>
      </w:pPr>
      <w:r w:rsidRPr="0038415A">
        <w:t xml:space="preserve">Pagal BK 103 straipsnio 1 dalį ir BK 112 straipsnį A. I. paskirtų minimalių bausmių keisti nėra pagrindo, jos yra teisingos ir atitinka tiek A. I. karinį laipsnį, tiek realiai vykdytas pareigas, vadovaujant mažesnei kariškių grupei bendroje ypatingai pavojingoje ir brutalioje karo atakoje pieš civilius. </w:t>
      </w:r>
      <w:r w:rsidRPr="0038415A">
        <w:rPr>
          <w:rFonts w:eastAsia="Calibri"/>
        </w:rPr>
        <w:t>Esant idealiai nusikalstamų veikų sutapčiai, A. I. skirtina galutinė subendrinta bausmė – laisvės atėmimas 10 (dešimčiai) metų.</w:t>
      </w:r>
      <w:r w:rsidRPr="0038415A">
        <w:rPr>
          <w:rFonts w:eastAsia="Calibri"/>
          <w:iCs/>
        </w:rPr>
        <w:t xml:space="preserve"> </w:t>
      </w:r>
    </w:p>
    <w:p w:rsidR="00DA38E9" w:rsidRPr="0038415A" w:rsidRDefault="00DA38E9" w:rsidP="00DA38E9">
      <w:pPr>
        <w:numPr>
          <w:ilvl w:val="0"/>
          <w:numId w:val="6"/>
        </w:numPr>
        <w:spacing w:before="120" w:after="120"/>
        <w:ind w:left="992" w:hanging="992"/>
      </w:pPr>
      <w:r w:rsidRPr="0038415A">
        <w:rPr>
          <w:rFonts w:eastAsia="Calibri"/>
        </w:rPr>
        <w:t>Teisėjų kolegijos įsitikinimu, nuteistojo A. C. vaidmuo ir statusas įvykių metu buvo panašus į A. I., todėl ir A. C. atsakomybės mastas, siekiant užtikrinant proporcingumo ir teisingumo principų įgyvendinimą, negali skirtis.</w:t>
      </w:r>
      <w:r w:rsidRPr="0038415A">
        <w:rPr>
          <w:rFonts w:eastAsia="Calibri"/>
          <w:iCs/>
        </w:rPr>
        <w:t xml:space="preserve"> </w:t>
      </w:r>
    </w:p>
    <w:p w:rsidR="00DA38E9" w:rsidRPr="00C00255" w:rsidRDefault="00DA38E9" w:rsidP="00DA38E9">
      <w:pPr>
        <w:numPr>
          <w:ilvl w:val="1"/>
          <w:numId w:val="6"/>
        </w:numPr>
        <w:spacing w:before="120" w:after="120"/>
        <w:ind w:left="992" w:hanging="992"/>
      </w:pPr>
      <w:r w:rsidRPr="006F072D">
        <w:t xml:space="preserve">BK 54 straipsnio 3 dalies nuostatų taikymas A. C., kaip ir A. I. atveju, buvo pagrįstas formaliu ir aiškiai nepakankamu teiginiu, jog švelnesnė nei įstatyme numatyta bausmė pagal BK 100 straipsnį, BK 101 straipsnį ir BK 111 straipsnio 1 dalį skirtina „atsižvelgiant į kaltinamojo padarytų nusikalstamų veiksmų apimtį bei pavojingumą“ (nuosprendžio 884 l.). Apeliacinės instancijos teismo vertinimu, A. C. nusikalstamų veiksmų apimtis ir pavojingumas taip pat nėra tokio laipsnio, jog sudarytų pagrindą jam taikyti BK 54 straipsnio 3 dalies nuostatas. TSRS GM 76-osios oro desanto divizijos 234-ojo pulko 3-iojo bataliono 7-osios kuopos praporščikas A. C. buvo vienu iš 7-osios kuopos kariškiams, kurie, būdami ginkluoti, brovėsi pro civilių minią ir vykdė kitus LRT Televizijos pastato užėmimo veiksmus, vadovavusių asmenų. Iš bylos medžiagos matyti, kad A. C. su jam pavaldžių kariškių grupe, kuriems galėjo duoti privalomus nurodymus, jėga veržėsi pro civilius į LRT Televizijos pastatą, tikrino šio pastato aukštus, nuginklavo milicininkus ir kt. Teisėjų kolegija nekartoja argumentų apie nepagrįstą BK 54 straipsnio 3 dalies nuostatų taikymą, išdėstytų sprendžiant dėl A. I. skirtinų bausmių, kurie lygiai taip pat taikytini ir A. C.. Kaip ir A. I. atveju, A. C. palikus galioti pirmosios instancijos teismo </w:t>
      </w:r>
      <w:r w:rsidRPr="006F072D">
        <w:rPr>
          <w:rFonts w:eastAsia="Calibri"/>
        </w:rPr>
        <w:t>pagal BK 100 straipsnį, BK 101 straipsnį ir BK 111 straipsnio 1 dalį</w:t>
      </w:r>
      <w:r w:rsidRPr="006F072D">
        <w:t xml:space="preserve"> </w:t>
      </w:r>
      <w:r w:rsidRPr="006F072D">
        <w:rPr>
          <w:rFonts w:eastAsia="Calibri"/>
        </w:rPr>
        <w:t xml:space="preserve">paskirtas bausmes, šios bausmės ir tuo pačiu galutinė subendrinta bausmė būtų aiškiai neteisinga ir nepagrįstai žymiai švelnesnė už kitiems oro desanto divizijos būrių vadams, taip pat dalyvavusiems </w:t>
      </w:r>
      <w:r w:rsidRPr="006F072D">
        <w:t xml:space="preserve">užimant TV bokštą arba LRT bei, panašiai kaip A. C., šių įvykių metu vadovavusiems mažesnėms pavaldžių kariškių grupėms, paskirtas bausmes. </w:t>
      </w:r>
      <w:r w:rsidRPr="006F072D">
        <w:rPr>
          <w:rFonts w:eastAsia="Calibri"/>
        </w:rPr>
        <w:t xml:space="preserve">Taigi teisėjų kolegija įžvelgia pagrindą A. C. pagal </w:t>
      </w:r>
      <w:r w:rsidRPr="006F072D">
        <w:t xml:space="preserve">BK 100 straipsnį, BK 101 straipsnį ir BK 111 straipsnį 1 dalį </w:t>
      </w:r>
      <w:r w:rsidRPr="006F072D">
        <w:rPr>
          <w:rFonts w:eastAsia="Calibri"/>
        </w:rPr>
        <w:t xml:space="preserve">paskirtas bausmes keisti </w:t>
      </w:r>
      <w:r w:rsidRPr="006F072D">
        <w:t>taip</w:t>
      </w:r>
      <w:r w:rsidRPr="00C00255">
        <w:rPr>
          <w:rFonts w:eastAsia="Calibri"/>
          <w:iCs/>
        </w:rPr>
        <w:t xml:space="preserve">: </w:t>
      </w:r>
    </w:p>
    <w:p w:rsidR="00DA38E9" w:rsidRPr="00C00255" w:rsidRDefault="00DA38E9" w:rsidP="00DA38E9">
      <w:pPr>
        <w:numPr>
          <w:ilvl w:val="2"/>
          <w:numId w:val="6"/>
        </w:numPr>
        <w:spacing w:before="120" w:after="120"/>
        <w:ind w:left="992" w:hanging="992"/>
      </w:pPr>
      <w:r w:rsidRPr="00C00255">
        <w:t>pagal BK 100 straipsnį, pritaikius BK 54 straipsnio 3 dalį, paskirtą 3 (trejų) metų laisvės atėmimo bausmę, panaikinus BK 54 straipsnio 3 dalies taikymą, padidinti iki laisvės atėmimo 5 (penkeriems) metams;</w:t>
      </w:r>
    </w:p>
    <w:p w:rsidR="00DA38E9" w:rsidRPr="00C00255" w:rsidRDefault="00DA38E9" w:rsidP="00DA38E9">
      <w:pPr>
        <w:numPr>
          <w:ilvl w:val="2"/>
          <w:numId w:val="6"/>
        </w:numPr>
        <w:spacing w:before="120" w:after="120"/>
        <w:ind w:left="992" w:hanging="992"/>
      </w:pPr>
      <w:r w:rsidRPr="00C00255">
        <w:t>pagal BK 101 straipsnį, pritaikius BK 54 straipsnio 3 dalį, paskirtą 4 (ketverių) metų laisvės atėmimo bausmę, panaikinus BK 54 straipsnio 3 dalies taikymą, padidinti iki laisvės atėmimo 10 (dešimčiai) metų;</w:t>
      </w:r>
    </w:p>
    <w:p w:rsidR="00DA38E9" w:rsidRPr="00C00255" w:rsidRDefault="00DA38E9" w:rsidP="00DA38E9">
      <w:pPr>
        <w:numPr>
          <w:ilvl w:val="2"/>
          <w:numId w:val="6"/>
        </w:numPr>
        <w:spacing w:before="120" w:after="120"/>
        <w:ind w:left="992" w:hanging="992"/>
      </w:pPr>
      <w:r w:rsidRPr="00C00255">
        <w:t xml:space="preserve">pagal BK 111 straipsnio 1 dalį, pritaikius BK 54 straipsnio 3 dalį, paskirtą 3 (trejų) metų laisvės atėmimo bausmę, panaikinus BK 54 straipsnio 3 dalies taikymą, padidinti iki laisvės atėmimo 5 (penkeriems) metams. </w:t>
      </w:r>
    </w:p>
    <w:p w:rsidR="00DA38E9" w:rsidRPr="006F072D" w:rsidRDefault="00DA38E9" w:rsidP="00DA38E9">
      <w:pPr>
        <w:numPr>
          <w:ilvl w:val="1"/>
          <w:numId w:val="6"/>
        </w:numPr>
        <w:spacing w:before="120" w:after="120"/>
        <w:ind w:left="992" w:hanging="992"/>
      </w:pPr>
      <w:r w:rsidRPr="006F072D">
        <w:t>Pagal BK 103 straipsnio 1 dalį ir BK 112 straipsnį A. C. paskirtų minimalių bausmių keisti nėra pagrindo, jos kaip ir kitos teismo nurodytos minimalios bausmės yra teisingos ir atitinka tiek A. C. karinį laipsnį, tiek realiai vykdytas pareigas vadovaujant mažesnei kariškių grupei bendroje ypatingai pavojingoje ir brutalioje karo atakoje pieš civilius</w:t>
      </w:r>
      <w:r w:rsidRPr="006F072D">
        <w:rPr>
          <w:rFonts w:eastAsia="Calibri"/>
        </w:rPr>
        <w:t>. Esant idealiai nusikalstamų veikų sutapčiai, A. C. skirtina galutinė subendrinta bausmė – laisvės atėmimas 10 (dešimčiai) metų</w:t>
      </w:r>
      <w:r w:rsidRPr="006F072D">
        <w:rPr>
          <w:rFonts w:eastAsia="Calibri"/>
          <w:iCs/>
        </w:rPr>
        <w:t xml:space="preserve">. </w:t>
      </w:r>
    </w:p>
    <w:p w:rsidR="00DA38E9" w:rsidRPr="00C00255" w:rsidRDefault="00DA38E9" w:rsidP="00DA38E9">
      <w:pPr>
        <w:pStyle w:val="Heading3"/>
        <w:spacing w:before="120" w:after="120"/>
        <w:ind w:firstLine="992"/>
        <w:jc w:val="both"/>
        <w:rPr>
          <w:rFonts w:eastAsiaTheme="majorEastAsia"/>
          <w:b w:val="0"/>
          <w:i/>
          <w:sz w:val="24"/>
          <w:lang w:val="lt-LT"/>
        </w:rPr>
      </w:pPr>
      <w:bookmarkStart w:id="995" w:name="_Toc67677483"/>
      <w:bookmarkStart w:id="996" w:name="_Toc67985579"/>
      <w:r w:rsidRPr="00C00255">
        <w:rPr>
          <w:b w:val="0"/>
          <w:i/>
          <w:sz w:val="24"/>
          <w:lang w:val="lt-LT"/>
        </w:rPr>
        <w:t>Dėl bausmių TSRS VRM Vidaus kariuomenės 42-osios divizijos karininkams</w:t>
      </w:r>
      <w:bookmarkEnd w:id="995"/>
      <w:bookmarkEnd w:id="996"/>
      <w:r w:rsidRPr="00C00255">
        <w:rPr>
          <w:b w:val="0"/>
          <w:i/>
          <w:sz w:val="24"/>
          <w:lang w:val="lt-LT"/>
        </w:rPr>
        <w:t xml:space="preserve">  </w:t>
      </w:r>
    </w:p>
    <w:p w:rsidR="00DA38E9" w:rsidRPr="0038415A" w:rsidRDefault="00DA38E9" w:rsidP="00DA38E9">
      <w:pPr>
        <w:pStyle w:val="ListParagraph"/>
        <w:numPr>
          <w:ilvl w:val="0"/>
          <w:numId w:val="6"/>
        </w:numPr>
        <w:spacing w:before="120" w:after="120"/>
        <w:ind w:left="992" w:hanging="992"/>
        <w:contextualSpacing w:val="0"/>
        <w:rPr>
          <w:szCs w:val="24"/>
        </w:rPr>
      </w:pPr>
      <w:r w:rsidRPr="0038415A">
        <w:rPr>
          <w:szCs w:val="24"/>
        </w:rPr>
        <w:t>Apeliacinės instancijos teismas šiame procesiniame sprendime jau konstatavo, kad be jau minėtų karinės operacijos rengime dalyvavusių aukščiausių TSRS VRM sistemos kariškių – N. D., V. S. 1, A. Ž. , užimant LRT, tiesiogiai dalyvavo ir TSRS VRM Vidaus kariuomenės 42-osios divizijos kariškiams vadovavo minėtos divizijos karininkai – nuteistieji S. F., O. M., V. M., M. </w:t>
      </w:r>
      <w:r w:rsidR="006F072D" w:rsidRPr="0038415A">
        <w:rPr>
          <w:szCs w:val="24"/>
        </w:rPr>
        <w:t>C.</w:t>
      </w:r>
      <w:r w:rsidRPr="0038415A">
        <w:rPr>
          <w:szCs w:val="24"/>
        </w:rPr>
        <w:t xml:space="preserve">, J. S., V. Š., V. R. ir G. P.. Šių nuteistųjų gynėjai apeliaciniais skundais bausmių keisti neprašė (nuteistųjų S. F. ir G. P. gynėjai apeliacinių skundų apskritai nepadavė, kiti gynėjai prašė jų ginamuosius išteisinti), o prokurorai nesutiko tik su pirmosios instancijos teismo paskirtomis bausmėmis S. F. ir V. M.. </w:t>
      </w:r>
    </w:p>
    <w:p w:rsidR="00DA38E9" w:rsidRPr="0038415A" w:rsidRDefault="00DA38E9" w:rsidP="00DA38E9">
      <w:pPr>
        <w:pStyle w:val="ListParagraph"/>
        <w:numPr>
          <w:ilvl w:val="0"/>
          <w:numId w:val="6"/>
        </w:numPr>
        <w:spacing w:before="120" w:after="120"/>
        <w:ind w:left="992" w:hanging="992"/>
        <w:contextualSpacing w:val="0"/>
        <w:rPr>
          <w:szCs w:val="24"/>
        </w:rPr>
      </w:pPr>
      <w:r w:rsidRPr="0038415A">
        <w:t xml:space="preserve">Teisėjų kolegija iš dalies </w:t>
      </w:r>
      <w:r w:rsidRPr="0038415A">
        <w:rPr>
          <w:rFonts w:eastAsia="Calibri"/>
        </w:rPr>
        <w:t>sutinka su prokurorų apeliacinio skundo argumentu dėl bausmių, paskirtų už atskiras nusikalstamas veikas, griežtinimo nuteistajam S. F. ir visiškai sutinka su prokurorų apeliacinio skundo argumentu dėl V. M. netink</w:t>
      </w:r>
      <w:r w:rsidR="006F072D" w:rsidRPr="0038415A">
        <w:rPr>
          <w:rFonts w:eastAsia="Calibri"/>
        </w:rPr>
        <w:t>amai paskirtos bausmės pagal BK </w:t>
      </w:r>
      <w:r w:rsidRPr="0038415A">
        <w:rPr>
          <w:rFonts w:eastAsia="Calibri"/>
        </w:rPr>
        <w:t>101 straipsnį, nes šiems nuteistiesiems už tam tikras nusikalstamas veikas paskirtos bausmės yra neteisingos, aiškiai per švelnios ir turi būti griežtinamos.</w:t>
      </w:r>
      <w:r w:rsidRPr="0038415A">
        <w:rPr>
          <w:rFonts w:eastAsia="Calibri"/>
          <w:szCs w:val="24"/>
        </w:rPr>
        <w:t xml:space="preserve"> </w:t>
      </w:r>
    </w:p>
    <w:p w:rsidR="00DA38E9" w:rsidRPr="00C00255" w:rsidRDefault="00DA38E9" w:rsidP="00DA38E9">
      <w:pPr>
        <w:pStyle w:val="Heading4"/>
        <w:spacing w:before="120" w:after="120"/>
        <w:ind w:firstLine="992"/>
        <w:rPr>
          <w:rFonts w:ascii="Times New Roman" w:eastAsia="Calibri" w:hAnsi="Times New Roman"/>
          <w:b w:val="0"/>
          <w:i/>
          <w:sz w:val="24"/>
        </w:rPr>
      </w:pPr>
      <w:r w:rsidRPr="00C00255">
        <w:rPr>
          <w:rFonts w:ascii="Times New Roman" w:eastAsia="Calibri" w:hAnsi="Times New Roman"/>
          <w:b w:val="0"/>
          <w:i/>
          <w:sz w:val="24"/>
        </w:rPr>
        <w:t xml:space="preserve">Dėl nuteistajam </w:t>
      </w:r>
      <w:r>
        <w:rPr>
          <w:rFonts w:ascii="Times New Roman" w:eastAsia="Calibri" w:hAnsi="Times New Roman"/>
          <w:b w:val="0"/>
          <w:i/>
          <w:sz w:val="24"/>
        </w:rPr>
        <w:t>S. F.</w:t>
      </w:r>
      <w:r w:rsidRPr="00C00255">
        <w:rPr>
          <w:rFonts w:ascii="Times New Roman" w:eastAsia="Calibri" w:hAnsi="Times New Roman"/>
          <w:b w:val="0"/>
          <w:i/>
          <w:sz w:val="24"/>
        </w:rPr>
        <w:t xml:space="preserve"> skirtinos bausmės</w:t>
      </w:r>
    </w:p>
    <w:p w:rsidR="00DA38E9" w:rsidRPr="0038415A" w:rsidRDefault="00DA38E9" w:rsidP="00DA38E9">
      <w:pPr>
        <w:pStyle w:val="ListParagraph"/>
        <w:numPr>
          <w:ilvl w:val="0"/>
          <w:numId w:val="6"/>
        </w:numPr>
        <w:spacing w:before="120" w:after="120"/>
        <w:ind w:left="992" w:hanging="992"/>
        <w:contextualSpacing w:val="0"/>
      </w:pPr>
      <w:bookmarkStart w:id="997" w:name="_Toc67677484"/>
      <w:r w:rsidRPr="0038415A">
        <w:t xml:space="preserve">Skundžiamu nuosprendžiu nuteistajam TSRS VRM Vidaus kariuomenės 42-osios divizijos konvojaus pulko vadui papulkininkiui S. F. pagal BK 100 straipsnį paskirti 6 metai laisvės atėmimo, pagal BK 101 straipsnį – 10 metų, pagal BK 103 straipsnio 1 dalį – 6 metai, pagal BK 111 straipsnio 1 dalį – 6 metai ir pagal BK 112 straipsnį – 5 metai. Esant idealiai nusikalstamų veikų sutapčiai, pirmosios instancijos teismas S. F. paskyrė galutinę subendrintą bausmę – 10 metų laisvės atėmimą. </w:t>
      </w:r>
      <w:bookmarkStart w:id="998" w:name="_Hlk67084577"/>
      <w:r w:rsidRPr="0038415A">
        <w:t xml:space="preserve">Prokurorai apeliaciniu skundu prašė S. F. už atskiras nusikalstamas veikas paskirtas laisvės atėmimo bausmes ir subendrintą bausmę sugriežtinti (paskirti subendrintą 14 metų laisvės atėmimo bausmę), motyvuodami tuo, kad būtent </w:t>
      </w:r>
      <w:r w:rsidRPr="0038415A">
        <w:rPr>
          <w:rFonts w:eastAsiaTheme="minorHAnsi"/>
        </w:rPr>
        <w:t>jis buvo karinės operacijos prie LRT koordinatorius ir vykdytojas, kurios metu kilo sunkios pasekmės, nustatytos trys jo atsakomybę sunkinančios aplinkybės</w:t>
      </w:r>
      <w:r w:rsidRPr="0038415A">
        <w:t>, o vien tai, kad nuosprendžio priėmimo metu nuteistasis buvo garbaus amžiaus, nesudaro pagrindo jam skirti BK 101 straipsnio sankcijoje nustatytą minimalią laisvės atėmimo bausmę. Teisėjų kolegija iš dalies sutinka su tokiais prokurorų apeliacinio skundo argumentais, nes skundžiamu nuosprendžiu S. F. paskirta bausmė neatspindi jo vaidmens bendrai vykdytoje bei koordinuotoje karinėje operacijoje, jo užimtų pareigų ir turėto statuso.</w:t>
      </w:r>
      <w:bookmarkEnd w:id="997"/>
    </w:p>
    <w:p w:rsidR="00DA38E9" w:rsidRPr="0038415A" w:rsidRDefault="00DA38E9" w:rsidP="00DA38E9">
      <w:pPr>
        <w:pStyle w:val="ListParagraph"/>
        <w:numPr>
          <w:ilvl w:val="1"/>
          <w:numId w:val="6"/>
        </w:numPr>
        <w:spacing w:before="120" w:after="120"/>
        <w:ind w:left="992" w:hanging="992"/>
        <w:contextualSpacing w:val="0"/>
        <w:rPr>
          <w:rStyle w:val="Heading3Char"/>
          <w:sz w:val="24"/>
          <w:szCs w:val="24"/>
          <w:lang w:val="lt-LT"/>
        </w:rPr>
      </w:pPr>
      <w:bookmarkStart w:id="999" w:name="_Toc67677485"/>
      <w:bookmarkEnd w:id="998"/>
      <w:r w:rsidRPr="0038415A">
        <w:t>Kaip matyti iš skundžiamo nuosprendžio, dėl nuteistajam S. F. skirtinos bausmės, pirmosios instancijos teismas nurodė, kad šis nuteistasis „būdamas vadovavimo karinei operacijai štabo nariu, konkretizavo kariuomenės rūšių užduotis ir veiksmus, paskyrė kariniams veiksmams vadovaujančius bei už veiksmų koordinavimą atsakingus karininkus, davė nurodymus dėl ginklų pagrobimo iš objektų, buvo karinės operacijos prie RTV (LRT) koordinatorius ir vykdytojas, šaudė 7,62 mm šoviniais“ (nuosprendžio 889 l.). Teisėjų kolegija sutinka, jog daugumą šių veiksmų S. F. ir jam pavaldūs kariškiai atliko, tačiau apeliacinės instancijos teismas pašalino iš nuosprendžio aplinkybę, kad S. F. dalyvavo planuojant karinę operaciją ir buvo vadovavimo karinei operacijai štabo nariu. Vis tik, net ir eliminavus minėtus veiksmus, S. F. veikimas bendroje operacijoje buvo itin reikšmingas ir pavojingas. LRT užėmimo metu jis buvo vienas aukščiausių karininkų ir vadovavo visiems LRT puolimo metu dalyvavusiems TSRS VRM kariškiams, todėl jo vaidmuo bendroje operacijoje buvo panašus į aukščiausias pareigas ėjusių TSRS GM oro desanto kariškių vaidmenį, ir S. F. pagal jam paskirtą bausmę negali būti prilygintas atskiriems kuopų būriams vadovavusiems ir pan.</w:t>
      </w:r>
      <w:r w:rsidRPr="0038415A">
        <w:rPr>
          <w:rStyle w:val="Heading3Char"/>
          <w:sz w:val="24"/>
          <w:szCs w:val="24"/>
          <w:lang w:val="lt-LT"/>
        </w:rPr>
        <w:t xml:space="preserve"> </w:t>
      </w:r>
      <w:r w:rsidRPr="0038415A">
        <w:t>kariškiams.</w:t>
      </w:r>
      <w:bookmarkEnd w:id="999"/>
      <w:r w:rsidRPr="0038415A">
        <w:rPr>
          <w:rStyle w:val="Heading3Char"/>
          <w:sz w:val="24"/>
          <w:szCs w:val="24"/>
          <w:lang w:val="lt-LT"/>
        </w:rPr>
        <w:t xml:space="preserve"> </w:t>
      </w:r>
    </w:p>
    <w:p w:rsidR="00DA38E9" w:rsidRPr="0038415A" w:rsidRDefault="00DA38E9" w:rsidP="00DA38E9">
      <w:pPr>
        <w:pStyle w:val="ListParagraph"/>
        <w:numPr>
          <w:ilvl w:val="1"/>
          <w:numId w:val="6"/>
        </w:numPr>
        <w:spacing w:before="120" w:after="120"/>
        <w:ind w:left="992" w:hanging="992"/>
        <w:contextualSpacing w:val="0"/>
        <w:rPr>
          <w:szCs w:val="24"/>
        </w:rPr>
      </w:pPr>
      <w:r w:rsidRPr="0038415A">
        <w:rPr>
          <w:rFonts w:eastAsia="Calibri"/>
        </w:rPr>
        <w:t>Byloje aiškiai nustatyt</w:t>
      </w:r>
      <w:r w:rsidRPr="0038415A">
        <w:t xml:space="preserve">a, kad nuteistasis S. F., </w:t>
      </w:r>
      <w:r w:rsidRPr="0038415A">
        <w:rPr>
          <w:rFonts w:eastAsia="Calibri"/>
        </w:rPr>
        <w:t>būdamas pavaldus karinės operacijos vadovavimo štabo nariams A. Ž. ir V. S. 1, iš pastarųjų gavo nurodymus dėl tiesioginio dalyvavimo karinėje operacijoje bei konkrečių veiksmų atlikimo, jis kartu su aukščiausias pareigas LRT užėmimo metu vykdžiusiais V. S. 2 ir S. P., dalyvavo</w:t>
      </w:r>
      <w:r w:rsidRPr="0038415A">
        <w:t xml:space="preserve"> aukščiausių karininkų pasitarimuose prieš pradedant operaciją, rodė maršrutą karinės technikos kolonai važiuojančiai prie LRT, operacijos metu palaikė ryšį su vadovavimo operacijai štabo nariu V. S. 1, operacijos eigoje buvo užtikrinama jo nuolatinė apsauga ir pan. Nuteistojo S. F. vadovaujami kariškiai iš TSRS VRM mokomosios specialiosios paskirties kuopos, panaudodami ginklus ir specialiąsias priemones, stūmė civilius iš LRT Radijo pastato teritorijos, prasibrovė iki LRT Radijo pastato bei vykdė kitus pastato užėmimo veiksmus. </w:t>
      </w:r>
      <w:r w:rsidRPr="0038415A">
        <w:rPr>
          <w:rFonts w:eastAsia="Calibri"/>
        </w:rPr>
        <w:t xml:space="preserve">Atsižvelgdama į tokį S. F. vaidmenį įvykiuose, </w:t>
      </w:r>
      <w:r w:rsidRPr="0038415A">
        <w:t xml:space="preserve">teisėjų kolegija </w:t>
      </w:r>
      <w:r w:rsidRPr="0038415A">
        <w:rPr>
          <w:rFonts w:eastAsia="Calibri"/>
        </w:rPr>
        <w:t>pripažįsta, kad bausmės tikslai bus pasiekti S. F.</w:t>
      </w:r>
      <w:r w:rsidR="006F072D" w:rsidRPr="0038415A">
        <w:rPr>
          <w:rFonts w:eastAsia="Calibri"/>
        </w:rPr>
        <w:t xml:space="preserve"> pagal BK 101 </w:t>
      </w:r>
      <w:r w:rsidRPr="0038415A">
        <w:rPr>
          <w:rFonts w:eastAsia="Calibri"/>
        </w:rPr>
        <w:t xml:space="preserve">straipsnį skiriant mažesnę laisvės atėmimo bausmę nei siūlo prokurorai, o kitų pirmosios instancijos teismo paskirtų bausmių nekeičiant. Taigi teisėjų kolegija </w:t>
      </w:r>
      <w:r w:rsidRPr="0038415A">
        <w:t>iš dalies tenkina prokurorų apeliacinį skundą ir nuteistajam S. F. pag</w:t>
      </w:r>
      <w:r w:rsidR="006F072D" w:rsidRPr="0038415A">
        <w:t>al BK 101 straipsnį paskirtą 10 </w:t>
      </w:r>
      <w:r w:rsidRPr="0038415A">
        <w:t>(dešimties) metų laisvės atėmimo bausmę padidina iki laisvės atėmimo 12 (dvylikai) metų.</w:t>
      </w:r>
      <w:r w:rsidRPr="0038415A">
        <w:rPr>
          <w:szCs w:val="24"/>
        </w:rPr>
        <w:t xml:space="preserve"> </w:t>
      </w:r>
    </w:p>
    <w:p w:rsidR="00DA38E9" w:rsidRPr="0038415A" w:rsidRDefault="00DA38E9" w:rsidP="00DA38E9">
      <w:pPr>
        <w:numPr>
          <w:ilvl w:val="1"/>
          <w:numId w:val="6"/>
        </w:numPr>
        <w:spacing w:before="120" w:after="120"/>
        <w:ind w:left="992" w:hanging="992"/>
      </w:pPr>
      <w:bookmarkStart w:id="1000" w:name="_Hlk67301259"/>
      <w:r w:rsidRPr="0038415A">
        <w:t xml:space="preserve">Bausmių, paskirtų pagal BK 100 straipsnį (laisvės atėmimo 6 metams), pagal BK 103 straipsnio 1 dalį (laisvės atėmimo 6 metams), pagal BK 111 straipsnio 1 dalį (laisvės atėmimo 6 metams) ir pagal BK 112 straipsnį (laisvės atėmimo 5 metams), griežtinti nėra pagrindo, jos atitinka panašų vaidmenį atlikusiems kitiems nuteistiesiems paskirtas bausmes. </w:t>
      </w:r>
      <w:bookmarkEnd w:id="1000"/>
      <w:r w:rsidRPr="0038415A">
        <w:rPr>
          <w:rFonts w:eastAsia="Calibri"/>
        </w:rPr>
        <w:t>Esant idealiai nusikalstamų veikų sutapčiai, S. F. skirtina galutinė subendrinta bausmė – laisvės atėmimas 12 (dvylikai) metų</w:t>
      </w:r>
      <w:r w:rsidRPr="0038415A">
        <w:rPr>
          <w:rFonts w:eastAsia="Calibri"/>
          <w:iCs/>
        </w:rPr>
        <w:t xml:space="preserve">. </w:t>
      </w:r>
    </w:p>
    <w:p w:rsidR="00DA38E9" w:rsidRPr="00C00255" w:rsidRDefault="00DA38E9" w:rsidP="00DA38E9">
      <w:pPr>
        <w:pStyle w:val="Heading4"/>
        <w:spacing w:before="120" w:after="120"/>
        <w:ind w:firstLine="992"/>
        <w:rPr>
          <w:rFonts w:ascii="Times New Roman" w:eastAsia="Calibri" w:hAnsi="Times New Roman"/>
          <w:b w:val="0"/>
          <w:i/>
          <w:sz w:val="24"/>
          <w:szCs w:val="20"/>
        </w:rPr>
      </w:pPr>
      <w:r w:rsidRPr="00C00255">
        <w:rPr>
          <w:rFonts w:ascii="Times New Roman" w:eastAsia="Calibri" w:hAnsi="Times New Roman"/>
          <w:b w:val="0"/>
          <w:i/>
          <w:sz w:val="24"/>
        </w:rPr>
        <w:t xml:space="preserve">Dėl nuteistiesiems </w:t>
      </w:r>
      <w:r>
        <w:rPr>
          <w:rFonts w:ascii="Times New Roman" w:eastAsia="Calibri" w:hAnsi="Times New Roman"/>
          <w:b w:val="0"/>
          <w:i/>
          <w:sz w:val="24"/>
        </w:rPr>
        <w:t>O. M.</w:t>
      </w:r>
      <w:r w:rsidRPr="00C00255">
        <w:rPr>
          <w:rFonts w:ascii="Times New Roman" w:eastAsia="Calibri" w:hAnsi="Times New Roman"/>
          <w:b w:val="0"/>
          <w:i/>
          <w:sz w:val="24"/>
        </w:rPr>
        <w:t xml:space="preserve">, </w:t>
      </w:r>
      <w:r>
        <w:rPr>
          <w:rFonts w:ascii="Times New Roman" w:eastAsia="Calibri" w:hAnsi="Times New Roman"/>
          <w:b w:val="0"/>
          <w:i/>
          <w:sz w:val="24"/>
        </w:rPr>
        <w:t>V. M.</w:t>
      </w:r>
      <w:r w:rsidRPr="00C00255">
        <w:rPr>
          <w:rFonts w:ascii="Times New Roman" w:eastAsia="Calibri" w:hAnsi="Times New Roman"/>
          <w:b w:val="0"/>
          <w:i/>
          <w:sz w:val="24"/>
        </w:rPr>
        <w:t xml:space="preserve">, </w:t>
      </w:r>
      <w:r>
        <w:rPr>
          <w:rFonts w:ascii="Times New Roman" w:eastAsia="Calibri" w:hAnsi="Times New Roman"/>
          <w:b w:val="0"/>
          <w:i/>
          <w:sz w:val="24"/>
        </w:rPr>
        <w:t>M. </w:t>
      </w:r>
      <w:r w:rsidR="006F072D">
        <w:rPr>
          <w:rFonts w:ascii="Times New Roman" w:eastAsia="Calibri" w:hAnsi="Times New Roman"/>
          <w:b w:val="0"/>
          <w:i/>
          <w:sz w:val="24"/>
        </w:rPr>
        <w:t>C.</w:t>
      </w:r>
      <w:r w:rsidRPr="00C00255">
        <w:rPr>
          <w:rFonts w:ascii="Times New Roman" w:eastAsia="Calibri" w:hAnsi="Times New Roman"/>
          <w:b w:val="0"/>
          <w:i/>
          <w:sz w:val="24"/>
        </w:rPr>
        <w:t xml:space="preserve"> ir </w:t>
      </w:r>
      <w:r>
        <w:rPr>
          <w:rFonts w:ascii="Times New Roman" w:eastAsia="Calibri" w:hAnsi="Times New Roman"/>
          <w:b w:val="0"/>
          <w:i/>
          <w:sz w:val="24"/>
        </w:rPr>
        <w:t>J. S.</w:t>
      </w:r>
      <w:r w:rsidRPr="00C00255">
        <w:rPr>
          <w:rFonts w:ascii="Times New Roman" w:eastAsia="Calibri" w:hAnsi="Times New Roman"/>
          <w:b w:val="0"/>
          <w:i/>
          <w:sz w:val="24"/>
        </w:rPr>
        <w:t xml:space="preserve"> skirtinų bausmių</w:t>
      </w:r>
    </w:p>
    <w:p w:rsidR="006F072D" w:rsidRPr="0038415A" w:rsidRDefault="006F072D" w:rsidP="006F072D">
      <w:pPr>
        <w:pStyle w:val="ListParagraph"/>
        <w:numPr>
          <w:ilvl w:val="0"/>
          <w:numId w:val="6"/>
        </w:numPr>
        <w:spacing w:before="120" w:after="120"/>
        <w:ind w:left="992" w:hanging="992"/>
        <w:contextualSpacing w:val="0"/>
        <w:rPr>
          <w:rStyle w:val="Heading3Char"/>
          <w:b w:val="0"/>
          <w:sz w:val="24"/>
          <w:szCs w:val="24"/>
          <w:lang w:val="lt-LT"/>
        </w:rPr>
      </w:pPr>
      <w:bookmarkStart w:id="1001" w:name="_Hlk66996229"/>
      <w:r w:rsidRPr="0038415A">
        <w:t>Skundžiamu nuosprendžiu nuteistajam TSRS VRM Vidaus kariuomenės 42-osios divizijos konvojaus pulko mokomosios specialiosios paskirties kuopos vadui vyr. leitenantui O. M. paskirta galutinė subendrinta 10 metų laisvės atėmimo bausmė. Prokurorai sutiko su nuteistajam O. M. paskirta bausme ir šioje dalyje nuosprendžio neskundė. Nuteistojo O. M. gynėjas apeliaciniame skunde dėl jo ginamajam paskirtos bausmės nepasisakė ir prašė jį išteisinti (apeliacinės instancijos teismo posėdyje nuteistojo gynėjai nurodė, kad skiriant bausmę O. M. netinkamai buvo įvertintos nuteistojo asmenybę apibūdinančios aplinkybės). Kaip matyti iš skundžiamo nuosprendžio, dėl nuteistajam O. M. skirtinos bausmės pirmosios instancijos teismas nurodė, kad šis nuteistasis „dalyvavo ginklų pagrobime iš MŽD, dalyvavo RTV (LRT) Radijo pastate dirbusių ir pastatą gynusių civilių puolime, padėjo desantininkams perimti pastatą, šaudė LPS kulkomis, šturmo metu naudojo gumines lazdas, spec. priemones „Čeriomucha“, nusikalstamų veikų padarymo metu buvo jauno amžiaus ((duomenys neskelbtini))“ (nuosprendžio 890 l.). Teisėjų kolegija sutinka, jog daugumą šių veiksmų O. M. ir jam pavaldūs kariškiai atliko. Visgi, kaip jau minėta šiame sprendime, ginklų pagrobimas iš Medžiotojų žvejų draugijos sandėlio jam nebuvo inkriminuotas. Byloje nustatyta, kad nuteistasis O. M. dar prieš operaciją, t. y. prieš važiuojant prie LRT, jam pavaldžius kariškius kvietė susirinkti, apsiginkluoti, susėsti į BTR, taip pat būdamas prie LRT, jiems paskyrė ir pavedė atlikti tam tikras užduotis – panaudojant jėgą bei turimus ginklus šturmuoti ir užimti LRT Radijo pastatą. Taigi O. M. buvo vienu iš šios kuopos kariškiams, kurie būdami ginkluoti ir panaudodami specialiąsias priemones, stūmė civilius iš pastato teritorijos, prasibrovė iki LRT Radijo pastato bei vykdė kitus pastato užėmimo veiksmus, vadovavusių asmenų. Dėl šių priežasčių darytina išvada, kad O. M. vaidmuo operacijoje buvo neabejotinai reikšmingas ir tik nežymiai nusileido S. F. vaidmeniui. Byloje pateiktoje specialisto J. Andriškevičiaus išvadoje nurodyta, kad operacijos metu TSRS VRM padaliniams vadovavo TSRS VRM 42-osios divizijos konvojaus pulko vadas papulkininkis S. F. ir konvojaus pulko mokomosios specialiosios paskirties kuopos vyresnysis leitenantas O. M. (t. 480, b. l. 34–81). Taigi tokių aplinkybių kontekste O. M. paskirta minimali bausmė už pavojingiausią nusikalstamą veiką, numatytą BK 101 straipsnyje, ir mažesnės nei vidurkio dydžio bausmės už kitas nusikalstamas veikas yra pakankamai švelnios ir dar labiau jų švelninti nėra jokio pagrindo.</w:t>
      </w:r>
    </w:p>
    <w:p w:rsidR="00DA38E9" w:rsidRPr="00C00255" w:rsidRDefault="00DA38E9" w:rsidP="00DA38E9">
      <w:pPr>
        <w:numPr>
          <w:ilvl w:val="0"/>
          <w:numId w:val="6"/>
        </w:numPr>
        <w:spacing w:before="120" w:after="120"/>
        <w:ind w:left="992" w:hanging="992"/>
        <w:rPr>
          <w:rStyle w:val="Heading3Char"/>
          <w:b w:val="0"/>
          <w:sz w:val="24"/>
          <w:szCs w:val="24"/>
          <w:lang w:val="lt-LT"/>
        </w:rPr>
      </w:pPr>
      <w:bookmarkStart w:id="1002" w:name="_Hlk67089263"/>
      <w:bookmarkStart w:id="1003" w:name="_Toc67677487"/>
      <w:bookmarkEnd w:id="1001"/>
      <w:r w:rsidRPr="006F072D">
        <w:t>Skundžiamu nuosprendžiu nuteistajam TSRS VRM Vidaus kariuomenės 42-osios divizijos konvojaus pulko mokomosios specialiosios paskirties kuopos vado pavaduotojui V. M. pagal BK 100 straipsnį paskirti 6 metai laisvės atėmimo, pagal BK </w:t>
      </w:r>
      <w:r w:rsidR="006F072D" w:rsidRPr="006F072D">
        <w:t>101 straipsnį, pritaikius BK 54 </w:t>
      </w:r>
      <w:r w:rsidRPr="006F072D">
        <w:t xml:space="preserve">straipsnio 3 dalies nuostatas – 8 metai laisvės atėmimo, pagal BK 103 straipsnio 1 dalį – 6 metai, pagal BK 111 straipsnio 1 dalį – 6 metai ir pagal BK 112 straipsnį – 5 metai. Esant idealiai nusikalstamų veikų sutapčiai, pirmosios instancijos teismas V. M. paskyrė galutinę subendrintą bausmę – 8 metų laisvės atėmimą. </w:t>
      </w:r>
      <w:bookmarkEnd w:id="1002"/>
      <w:r w:rsidRPr="006F072D">
        <w:t>Nuteistojo V. M. gynėjas apeliaciniame skunde dėl jo ginamajam paskirtos bausmės nepasisakė ir prašė jį išteisinti. Prokurorai apeliaciniu skundu prašė V. M. panaikinti BK 54 straipsnio 3 dalies taikymą ir pagal BK 101 straipsnį jam paskirti 10 metų laisvės atėmimo bausmę, motyvuodami tuo, kad bausmė paskirta nenustačius jokių išimtinių aplinkybių, kurios sudarytų pagrindą nuteistajam taikyti BK 54 straipsnio 3 dalies nuostatas. Teisėjų kolegija sutinka su prokurorų apeliacinio skundo argumentais dėl bausmės paskirtos nuteistajam V. M. griežtinimo, nes skundžiamu nuosprendžiu paskirta bausmė neatspindi jo vaidmens bendrai vykdytoje bei koordinuotoje karinėje operacijoje, jo užimtų pareigų ir turėto statuso, o taip pat yra nepagrįstai švelnesnė nei kitiems įvykiuose dalyvavusiems atskirų karinių dalinių vadų pavaduotojams paskirtos bausmės</w:t>
      </w:r>
      <w:r w:rsidRPr="005C5184">
        <w:t>.</w:t>
      </w:r>
      <w:bookmarkEnd w:id="1003"/>
    </w:p>
    <w:p w:rsidR="00DA38E9" w:rsidRPr="00C00255" w:rsidRDefault="00DA38E9" w:rsidP="00DA38E9">
      <w:pPr>
        <w:numPr>
          <w:ilvl w:val="1"/>
          <w:numId w:val="6"/>
        </w:numPr>
        <w:spacing w:before="120" w:after="120"/>
        <w:ind w:left="992" w:hanging="992"/>
        <w:rPr>
          <w:rStyle w:val="Heading3Char"/>
          <w:b w:val="0"/>
          <w:sz w:val="24"/>
          <w:szCs w:val="24"/>
          <w:lang w:val="lt-LT"/>
        </w:rPr>
      </w:pPr>
      <w:bookmarkStart w:id="1004" w:name="_Toc67677488"/>
      <w:r w:rsidRPr="006F072D">
        <w:t>Pažymėtina, kad skundžiamame nuosprendyje BK 54 straipsnio 3 dalies nuostatų taikymas</w:t>
      </w:r>
      <w:bookmarkEnd w:id="1004"/>
      <w:r w:rsidRPr="006F072D">
        <w:rPr>
          <w:rFonts w:eastAsiaTheme="majorEastAsia"/>
        </w:rPr>
        <w:t xml:space="preserve"> V. M.</w:t>
      </w:r>
      <w:r w:rsidRPr="006F072D">
        <w:t xml:space="preserve"> pagrįstas tik bendro pobūdžio teiginiu, jog švelnesnė nei įstatyme numatyta bausmė pagal BK 101 straipsnį skirtina „atsižvelgiant į kaltinamojo padarytų nusikalstamų veiksmų apimtį bei pavojingumą” (nuosprendžio 889 l.). Tačiau, turėdama omenyje V. M. vaidmenį LRT Radijo pastato užėmimo metu, teisėjų kolegija nesutinka, kad nuteistojo nusikalstamų veiksmų apimtis ir pavojingumas yra tokio laipsnio, kuris leistų taikyti BK 54 straipsnio 3 dalies nuostatas</w:t>
      </w:r>
      <w:r w:rsidRPr="00C00255">
        <w:rPr>
          <w:rStyle w:val="Heading3Char"/>
          <w:b w:val="0"/>
          <w:sz w:val="24"/>
          <w:szCs w:val="24"/>
          <w:lang w:val="lt-LT"/>
        </w:rPr>
        <w:t xml:space="preserve">. </w:t>
      </w:r>
    </w:p>
    <w:p w:rsidR="00DA38E9" w:rsidRPr="006F072D" w:rsidRDefault="00DA38E9" w:rsidP="00DA38E9">
      <w:pPr>
        <w:numPr>
          <w:ilvl w:val="1"/>
          <w:numId w:val="6"/>
        </w:numPr>
        <w:spacing w:before="120" w:after="120"/>
        <w:ind w:left="992" w:hanging="992"/>
        <w:rPr>
          <w:rStyle w:val="Heading3Char"/>
          <w:b w:val="0"/>
          <w:sz w:val="24"/>
          <w:szCs w:val="24"/>
          <w:lang w:val="lt-LT"/>
        </w:rPr>
      </w:pPr>
      <w:bookmarkStart w:id="1005" w:name="_Toc67677489"/>
      <w:r w:rsidRPr="006F072D">
        <w:t xml:space="preserve">Byloje nustatyta, kad nuteistasis V. M. ir jam pavaldūs kariškiai, atvykę prie LRT, prisijungė prie oro desanto divizijos kariškių, visi kartu naudodami jėgą, ginklus ir specialiąsias priemones, nustūmė civilius asmenis nuo LRT Radijo pastato, taip atlaisvindami kelią prie jo, prasibrovė ir padėjo prasibrauti kitų karinių dalinių kariškiams iki LRT Radijo pastato bei įėjo ir kitų dalinių kariškiams padėjo įeiti į jį, siekiant nutraukti radijo transliavimą. Taigi V. M. buvo vienu iš šios kuopos kariškiams vadovavusių asmenų. Teisėjų kolegija, atsižvelgdama į nustatytą nuteistojo V. M. ir jo pavaldžių kariškių vaidmenį bendroje karinėje operacijoje, jo užimtas pareigas, LRT užėmimo metu kilusius padarinius, daro išvadą, kad nėra jokių objektyvių pagrindų nuteistojo V. M. atžvilgiu taikyti BK 54 straipsnio 3 dalies nuostatų, bei konstatuoja, kad nuteistajam pagal BK 101 straipsnį paskirta bausmė ir tuo pačiu galutinė subendrinta bausmė yra akivaizdžiai neproporcinga bei neteisinga, nes yra daug švelnesnė už kitų VRM bei oro desanto divizijos panašaus rango ir iš esmės tapačius veiksmus atlikusiems karininkams, tarp jų ir atskirų karinių dalinių vadų pavaduotojams, dalyvavusiems įvykiuose prie LRT arba TV bokšto, paskirtas bausmes. </w:t>
      </w:r>
      <w:bookmarkStart w:id="1006" w:name="_Hlk67088873"/>
      <w:r w:rsidRPr="006F072D">
        <w:t>Taigi, teisėjų kolegija, įvertinusi bausmės skyrimui reikšmingų aplinkybių visumą ir tenkindama prokurorų apeliacinį skundą,</w:t>
      </w:r>
      <w:bookmarkEnd w:id="1005"/>
      <w:r w:rsidRPr="006F072D">
        <w:t xml:space="preserve"> </w:t>
      </w:r>
      <w:r w:rsidRPr="006F072D">
        <w:rPr>
          <w:rFonts w:eastAsiaTheme="majorEastAsia"/>
        </w:rPr>
        <w:t xml:space="preserve">įžvelgia pagrindą </w:t>
      </w:r>
      <w:r w:rsidRPr="006F072D">
        <w:t xml:space="preserve">V. M. pagal </w:t>
      </w:r>
      <w:bookmarkEnd w:id="1006"/>
      <w:r w:rsidRPr="006F072D">
        <w:t>BK 101 straipsnį, pritaikius BK 54 straipsnio 3 dalį, paskirtą 8 (aštuonerių) metų laisvės atėmimo bausmę, panaikinus BK 54 straipsnio 3 dalies taikymą, padidinti iki laisvės atėmimo 10 (dešimčiai) metų</w:t>
      </w:r>
      <w:r w:rsidRPr="006F072D">
        <w:rPr>
          <w:rStyle w:val="Heading3Char"/>
          <w:b w:val="0"/>
          <w:sz w:val="24"/>
          <w:szCs w:val="24"/>
          <w:lang w:val="lt-LT"/>
        </w:rPr>
        <w:t xml:space="preserve">. </w:t>
      </w:r>
    </w:p>
    <w:p w:rsidR="006F072D" w:rsidRPr="0038415A" w:rsidRDefault="00DA38E9" w:rsidP="006F072D">
      <w:pPr>
        <w:numPr>
          <w:ilvl w:val="1"/>
          <w:numId w:val="6"/>
        </w:numPr>
        <w:spacing w:before="120" w:after="120"/>
        <w:ind w:left="992" w:hanging="992"/>
        <w:rPr>
          <w:rStyle w:val="Heading3Char"/>
          <w:sz w:val="24"/>
          <w:szCs w:val="24"/>
          <w:lang w:val="lt-LT"/>
        </w:rPr>
      </w:pPr>
      <w:bookmarkStart w:id="1007" w:name="_Toc67677490"/>
      <w:r w:rsidRPr="0038415A">
        <w:t>Prokurorai neprašo V. M. keisti bausmių, paskirtų už kitų nusikaltimų padarymą. Jos iš esmės atitinka padarytų nusikaltimų pavojingumą</w:t>
      </w:r>
      <w:r w:rsidRPr="0038415A">
        <w:rPr>
          <w:rStyle w:val="Heading3Char"/>
          <w:sz w:val="24"/>
          <w:szCs w:val="24"/>
          <w:lang w:val="lt-LT"/>
        </w:rPr>
        <w:t xml:space="preserve"> </w:t>
      </w:r>
      <w:r w:rsidRPr="0038415A">
        <w:t>ir V. M. vaidmenį bendroje operacijoje, todėl šios bausmės paliekamos nepakeistos. Esant idealiai nusikalstamų veikų sutapčiai, V. M. skirtina galutinė subendrinta bausmė – laisvės atėmimas 10 (dešimčiai) metų.</w:t>
      </w:r>
      <w:bookmarkEnd w:id="1007"/>
      <w:r w:rsidRPr="0038415A">
        <w:t xml:space="preserve"> </w:t>
      </w:r>
      <w:bookmarkStart w:id="1008" w:name="_Hlk67081365"/>
      <w:bookmarkStart w:id="1009" w:name="_Hlk67001393"/>
    </w:p>
    <w:p w:rsidR="006F072D" w:rsidRPr="006F072D" w:rsidRDefault="006F072D" w:rsidP="006F072D">
      <w:pPr>
        <w:numPr>
          <w:ilvl w:val="0"/>
          <w:numId w:val="6"/>
        </w:numPr>
        <w:spacing w:before="120" w:after="120"/>
        <w:ind w:left="992" w:hanging="992"/>
        <w:rPr>
          <w:rStyle w:val="Heading3Char"/>
          <w:b w:val="0"/>
          <w:sz w:val="24"/>
          <w:szCs w:val="24"/>
          <w:lang w:val="lt-LT"/>
        </w:rPr>
      </w:pPr>
      <w:r w:rsidRPr="0038415A">
        <w:t>Skundžiamu nuosprendžiu nuteistajam TSRS VRM Vidaus kariuomenės 42-osios divizijos konvojaus pulko mokomosios specialiosios paskirties kuopos būrio vadui vyr. leitenantui M. C. paskirta galutinė subendrinta 10 metų laisvės atėmimo bausmė. Kaip jau minėta, prokurorai sutiko su nuteistajam M. C. paskirta bausme, o nuteistojo M. C. gynėja apeliaciniame skunde dėl jos ginamajam paskirtos bausmės nepasisakė ir prašė jį išteisinti. Teisėjų kolegija, atsižvelgdama į nustatytą nuteistojo M. C. vaidmenį bendroje karinėje operacijoje, jo užimtas pareigas, daro išvadą, kad tiek šiam nuteistajam paskirta bausmė už atskiras nusikalstamas veikas, tiek subendrinta bausmė yra teisinga bei proporcinga. Byloje nustatyta, kad nuteistasis M. C. dar prieš operaciją kvietė susirinkti jam pavaldžius kariškius, taip pat būnant prie LRT pastato paskyrė ir pavedė jiems atlikti tam tikras užduotis – išsirikiuoti, nieko neleisti prie LRT pastato, nustumti susirinkusius asmenis nuo karinės technikos ir pan. Taigi M. C., įvykių metu tiesiogiai dalyvaudamas užimant LRT Radijo pastatą, buvo vienu iš mokomosios specialiosios paskirties kuopos kariškiams, kurie būdami ginkluoti ir panaudodami specialiąsias priemones, stūmė civilius iš LRT Radijo pastato teritorijos, prasibrovė iki jo bei vykdė kitus pastato užėmimo veiksmus, vadovavusių asmenų. M. C. vaidmuo operacijoje buvo neabejotinai reikšmingas, todėl apeliacinės instancijos teismas neturi jokio pagrindo švelninti M. C. už pavojingiausią nusikalstamą veiką, numatytą BK 101 straipsnyje, paskirtos minimalios 10 metų laisvės atėmimo bausmės ir už kitas nusikalstamas veikas paskirtų mažesnių nei vidurkio dydžio bausmių.</w:t>
      </w:r>
    </w:p>
    <w:bookmarkEnd w:id="1008"/>
    <w:bookmarkEnd w:id="1009"/>
    <w:p w:rsidR="006F072D" w:rsidRPr="0038415A" w:rsidRDefault="0038415A" w:rsidP="006F072D">
      <w:pPr>
        <w:pStyle w:val="ListParagraph"/>
        <w:numPr>
          <w:ilvl w:val="0"/>
          <w:numId w:val="6"/>
        </w:numPr>
        <w:spacing w:before="120" w:after="120"/>
        <w:ind w:left="992" w:hanging="992"/>
        <w:contextualSpacing w:val="0"/>
      </w:pPr>
      <w:r>
        <w:t> </w:t>
      </w:r>
      <w:r w:rsidR="006F072D" w:rsidRPr="0038415A">
        <w:t>Skundžiamu nuosprendžiu nuteistajam TSRS VRM Vidaus kariuomenės 42-osios divizijos konvojaus pulko mokomosios specialiosios paskirties kuopos instruktoriui metodistui praporščikui J. S. paskirta galutinė subendrinta 10 metų laisvės atėmimo bausmė. Prokurorai sutiko su nuteistajam J. S. paskirta bausme ir šioje dalyje nuosprendžio neskundė. Nuteistojo J. S. gynėjas apeliaciniame skunde dėl jo ginamajam paskirtos bausmės nepasisakė ir prašė jį išteisinti (apeliacinės instancijos teismo posėdyje nuteistojo gynėjas nurodė, kad skiriant bausmę J. S. buvo netinkamai įvertintos bausmės skyrimui reikšmingos aplinkybės ir neargumentuota, kodėl skiriama tokia griežta bausmė). Kaip matyti iš skundžiamo nuosprendžio, dėl nuteistajam J. S. skirtinos bausmės, pirmosios instancijos teismas nurodė, kad šis nuteistasis „dalyvavo RTV (LRT) šturme, teikė pagalbą desantininkams, naudojo guminę lazdą, nusikalstamų veikų padarymo metu buvo jauno amžiaus ((duomenys neskelbtini) m.)“ (nuosprendžio 890 l.). Teisėjų kolegija daro išvadą, kad tiek nuteistajam J. S. paskirtos bausmės už atskiras nusikalstamas veikas, tiek paskirta galutinė subendrinta bausmė yra teisingos bei proporcingos. Pirmosios instancijos teismas, parinkdamas J. S. skirtinos bausmės rūšį ir nustatydamas jos dydį, pagrįstai įvertino ir atsižvelgė į nuteistojo J. S. vaidmenį bei jo paties, kartu ir jo vadovaujamų kariškių atliktus veiksmus LRT Radijo pastato užėmimo metu. Teisėjų kolegija, vertindama J. S. paskirtos bausmės teisingumą, taip pat atsižvelgia ir į jo užimtas pareigas, nustatytą reikšmingą vadovaujamą vaidmenį bendroje karinėje operacijoje, t. y. į tai, kad jis tiesiogiai dalyvaudamas užimant LRT Radijo pastatą buvo vienu iš mokomosios specialiosios paskirties kuopos kariškiams, kurie būdami ginkluoti ir panaudodami specialiąsias priemones, stūmė civilius iš LRT Radijo pastato teritorijos, taip prasibrovė iki jo bei vykdė kitus pastato užėmimo veiksmus, vadovavusių asmenų. Taigi J. S. vaidmuo operacijoje buvo neabejotinai reikšmingas, todėl apeliacinės instancijos teismas neturi jokio pagrindo švelninti J. S. už pavojingiausią nusikalstamą veiką, numatytą BK 101 straipsnyje, paskirtos minimalios 10 metų laisvės atėmimo bausmės ir už kitas nusikalstamas veikas paskirtų mažesnių nei vidurkio dydžio bausmių.</w:t>
      </w:r>
    </w:p>
    <w:p w:rsidR="00DA38E9" w:rsidRPr="00C00255" w:rsidRDefault="00DA38E9" w:rsidP="00DA38E9">
      <w:pPr>
        <w:pStyle w:val="Heading4"/>
        <w:spacing w:before="120" w:after="120"/>
        <w:ind w:firstLine="992"/>
        <w:rPr>
          <w:rStyle w:val="Heading3Char"/>
          <w:rFonts w:eastAsia="Calibri"/>
          <w:i/>
          <w:sz w:val="24"/>
          <w:szCs w:val="28"/>
          <w:lang w:val="lt-LT"/>
        </w:rPr>
      </w:pPr>
      <w:r w:rsidRPr="00C00255">
        <w:rPr>
          <w:rFonts w:ascii="Times New Roman" w:eastAsia="Calibri" w:hAnsi="Times New Roman"/>
          <w:b w:val="0"/>
          <w:i/>
          <w:sz w:val="24"/>
        </w:rPr>
        <w:t xml:space="preserve">Dėl nuteistiesiems </w:t>
      </w:r>
      <w:r>
        <w:rPr>
          <w:rFonts w:ascii="Times New Roman" w:eastAsia="Calibri" w:hAnsi="Times New Roman"/>
          <w:b w:val="0"/>
          <w:i/>
          <w:sz w:val="24"/>
        </w:rPr>
        <w:t>V. Š.</w:t>
      </w:r>
      <w:r w:rsidRPr="00C00255">
        <w:rPr>
          <w:rFonts w:ascii="Times New Roman" w:eastAsia="Calibri" w:hAnsi="Times New Roman"/>
          <w:b w:val="0"/>
          <w:i/>
          <w:sz w:val="24"/>
        </w:rPr>
        <w:t xml:space="preserve">, </w:t>
      </w:r>
      <w:r>
        <w:rPr>
          <w:rFonts w:ascii="Times New Roman" w:eastAsia="Calibri" w:hAnsi="Times New Roman"/>
          <w:b w:val="0"/>
          <w:i/>
          <w:sz w:val="24"/>
        </w:rPr>
        <w:t>V. R.</w:t>
      </w:r>
      <w:r w:rsidRPr="00C00255">
        <w:rPr>
          <w:rFonts w:ascii="Times New Roman" w:eastAsia="Calibri" w:hAnsi="Times New Roman"/>
          <w:b w:val="0"/>
          <w:i/>
          <w:sz w:val="24"/>
        </w:rPr>
        <w:t xml:space="preserve"> ir </w:t>
      </w:r>
      <w:r>
        <w:rPr>
          <w:rFonts w:ascii="Times New Roman" w:eastAsia="Calibri" w:hAnsi="Times New Roman"/>
          <w:b w:val="0"/>
          <w:i/>
          <w:sz w:val="24"/>
        </w:rPr>
        <w:t>G. P.</w:t>
      </w:r>
      <w:r w:rsidRPr="00C00255">
        <w:rPr>
          <w:rFonts w:ascii="Times New Roman" w:eastAsia="Calibri" w:hAnsi="Times New Roman"/>
          <w:b w:val="0"/>
          <w:i/>
          <w:sz w:val="24"/>
        </w:rPr>
        <w:t xml:space="preserve"> skirtinų bausmių</w:t>
      </w:r>
    </w:p>
    <w:p w:rsidR="00DA38E9" w:rsidRPr="0038415A" w:rsidRDefault="00DA38E9" w:rsidP="00DA38E9">
      <w:pPr>
        <w:pStyle w:val="ListParagraph"/>
        <w:numPr>
          <w:ilvl w:val="0"/>
          <w:numId w:val="6"/>
        </w:numPr>
        <w:spacing w:before="120" w:after="120"/>
        <w:ind w:left="992" w:hanging="992"/>
        <w:contextualSpacing w:val="0"/>
        <w:rPr>
          <w:rFonts w:eastAsiaTheme="minorHAnsi"/>
          <w:szCs w:val="24"/>
        </w:rPr>
      </w:pPr>
      <w:r w:rsidRPr="0038415A">
        <w:rPr>
          <w:rFonts w:eastAsiaTheme="minorHAnsi"/>
          <w:szCs w:val="24"/>
        </w:rPr>
        <w:t>Skundžiamu nuosprendžiu nuteistajam</w:t>
      </w:r>
      <w:r w:rsidRPr="0038415A">
        <w:rPr>
          <w:szCs w:val="24"/>
        </w:rPr>
        <w:t xml:space="preserve"> TSRS VRM Vidaus kariuomenės 42-osios divizijos </w:t>
      </w:r>
      <w:bookmarkStart w:id="1010" w:name="_Hlk67082122"/>
      <w:r w:rsidRPr="0038415A">
        <w:rPr>
          <w:szCs w:val="24"/>
        </w:rPr>
        <w:t>konvojaus pulko ryšių tarnybos viršininkui majorui V. Š., taip pat TSRS VRM Vidaus kariuomenės 42-osios divizijos milicijos pulko vado pavaduotojui technikos reikalams papulkininkiui V. R. ir nuteistajam TSRS VRM Vidaus kariuomenės 42-osios divizijos ryšių grandies viršininko pavaduotojui kapitonui G. P. teismas paskyrė vienodas bausmes (</w:t>
      </w:r>
      <w:bookmarkEnd w:id="1010"/>
      <w:r w:rsidRPr="0038415A">
        <w:rPr>
          <w:rFonts w:eastAsiaTheme="minorHAnsi"/>
          <w:szCs w:val="24"/>
        </w:rPr>
        <w:t xml:space="preserve">pagal BK 100 straipsnį, pritaikius BK 54 straipsnio 3 dalies nuostatas, paskirti 3 metai laisvės atėmimo, pagal BK 101 straipsnį, </w:t>
      </w:r>
      <w:bookmarkStart w:id="1011" w:name="_Hlk67089305"/>
      <w:r w:rsidRPr="0038415A">
        <w:rPr>
          <w:rFonts w:eastAsiaTheme="minorHAnsi"/>
          <w:szCs w:val="24"/>
        </w:rPr>
        <w:t>pritaikius BK 54 straipsnio 3 dalies nuostatas</w:t>
      </w:r>
      <w:bookmarkEnd w:id="1011"/>
      <w:r w:rsidRPr="0038415A">
        <w:rPr>
          <w:rFonts w:eastAsiaTheme="minorHAnsi"/>
          <w:szCs w:val="24"/>
        </w:rPr>
        <w:t xml:space="preserve"> – 4 metai, pagal BK 103 straipsnio 1 dalį – 3 metai, pagal BK 111 straipsnio 1 dalį,</w:t>
      </w:r>
      <w:r w:rsidRPr="0038415A">
        <w:rPr>
          <w:szCs w:val="24"/>
        </w:rPr>
        <w:t xml:space="preserve"> </w:t>
      </w:r>
      <w:r w:rsidRPr="0038415A">
        <w:rPr>
          <w:rFonts w:eastAsiaTheme="minorHAnsi"/>
          <w:szCs w:val="24"/>
        </w:rPr>
        <w:t xml:space="preserve">pritaikius BK 54 straipsnio 3 dalies nuostatas – 3 metai ir pagal BK 112 straipsnį – 3 metai). Kaip jau minėta, prokurorai tokių bausmių nuteistiesiems neginčijo, nuteistojo G. P. gynėjai nuosprendžio neskundė, o V. Š. ir V. R. gynėjai dėl paskirtų bausmių nepasisakė ir prašė ginamuosius išteisinti. </w:t>
      </w:r>
    </w:p>
    <w:p w:rsidR="00DA38E9" w:rsidRPr="0038415A" w:rsidRDefault="00DA38E9" w:rsidP="00DA38E9">
      <w:pPr>
        <w:pStyle w:val="ListParagraph"/>
        <w:numPr>
          <w:ilvl w:val="0"/>
          <w:numId w:val="6"/>
        </w:numPr>
        <w:spacing w:before="120" w:after="120"/>
        <w:ind w:left="992" w:hanging="992"/>
        <w:contextualSpacing w:val="0"/>
        <w:rPr>
          <w:rFonts w:eastAsiaTheme="minorHAnsi"/>
          <w:szCs w:val="24"/>
        </w:rPr>
      </w:pPr>
      <w:r w:rsidRPr="0038415A">
        <w:rPr>
          <w:rFonts w:eastAsiaTheme="minorHAnsi"/>
          <w:szCs w:val="24"/>
        </w:rPr>
        <w:t xml:space="preserve">Visi aptariami nuteistieji ėjo pakankamai aukštas karininkų pareigas ir iš kitų nuteistųjų, kuriems paskirtos ženkliai griežtesnės bausmės, išsiskyrė pakankamai aukštais kariniais laipsniais. Majoras V. Š. LRT užėmimo metu buvo vadovavimo štabo mašinoje ir užtikrino nenutrūkstamą radijo ryšį, palaikė VRM dalinių radijo ryšį tiek tarpusavyje, tiek ir su karinio dalinio štabu. Papulkininkis </w:t>
      </w:r>
      <w:r w:rsidRPr="0038415A">
        <w:rPr>
          <w:szCs w:val="24"/>
        </w:rPr>
        <w:t xml:space="preserve">V. R. ir kapitonas G. P. kartu su kitais kariškiais buvo kovinėje mašinoje BRMD ir žinodami karinės operacijos planą, tikslus ir pavojingumą, po tanko šūvių turėjo paleisti </w:t>
      </w:r>
      <w:r w:rsidRPr="0038415A">
        <w:rPr>
          <w:rFonts w:eastAsiaTheme="minorHAnsi"/>
          <w:szCs w:val="24"/>
        </w:rPr>
        <w:t xml:space="preserve">LNGK įrašą, kuriame buvo įrašytas vieno iš LKP/TSKP vadovų kreipimasis rusų ir lietuvių kalbomis LNGK vardu, kad visą valdžią Lietuvoje perima LNGK. Jiems buvo žinoma, kad įvykių metu greta civilių bus šaudoma iš tankų, kad jie turės leisti garso įrašą, kuriuo bus pranešama apie perimamą visą valdžią ir pan. Teisėjų kolegijos įsitikinimu, minėtiems nuteistiesiems paskirtos minimalios ir ženkliai sankcijose nustatytas minimalias bausmes peržengiančios laisvės atėmimo bausmės, net ir įvertinant specifinį šių nuteistųjų vaidmenį bendros karinės operacijos metu, yra itin švelnios, todėl dar labiau jų švelninti nėra </w:t>
      </w:r>
      <w:r w:rsidRPr="0038415A">
        <w:rPr>
          <w:szCs w:val="24"/>
        </w:rPr>
        <w:t xml:space="preserve">jokio pagrindo. </w:t>
      </w:r>
    </w:p>
    <w:p w:rsidR="006F072D" w:rsidRPr="006F072D" w:rsidRDefault="006F072D" w:rsidP="006F072D">
      <w:pPr>
        <w:pStyle w:val="Heading3"/>
        <w:spacing w:before="120" w:after="120"/>
        <w:ind w:firstLine="992"/>
        <w:jc w:val="both"/>
        <w:rPr>
          <w:rFonts w:eastAsia="Calibri"/>
          <w:b w:val="0"/>
          <w:i/>
          <w:sz w:val="24"/>
        </w:rPr>
      </w:pPr>
      <w:r w:rsidRPr="006F072D">
        <w:rPr>
          <w:rFonts w:eastAsia="Calibri"/>
          <w:b w:val="0"/>
          <w:i/>
          <w:sz w:val="24"/>
        </w:rPr>
        <w:t>Dėl bausmių kitiems nuteistiesiems</w:t>
      </w:r>
    </w:p>
    <w:p w:rsidR="00DA38E9" w:rsidRPr="0038415A" w:rsidRDefault="00DA38E9" w:rsidP="00DA38E9">
      <w:pPr>
        <w:pStyle w:val="ListParagraph"/>
        <w:numPr>
          <w:ilvl w:val="0"/>
          <w:numId w:val="6"/>
        </w:numPr>
        <w:spacing w:before="120" w:after="120"/>
        <w:ind w:left="992" w:hanging="992"/>
        <w:contextualSpacing w:val="0"/>
        <w:rPr>
          <w:rStyle w:val="Heading3Char"/>
          <w:sz w:val="24"/>
          <w:szCs w:val="24"/>
          <w:lang w:val="lt-LT" w:eastAsia="en-US"/>
        </w:rPr>
      </w:pPr>
      <w:r w:rsidRPr="0038415A">
        <w:t xml:space="preserve">Be visų jau minėtų nuteistųjų, užimant vieną iš objektų – LRT – dalyvavo ir TSRS VSK specialiosios paskirties grupės „A“ 3-iojo poskyrio viršininko pavaduotojas J. Č. bei LKP/TSKP CK politinio-teisinio skyriaus konsultantas pulkininkas R. J. 1. 1991 m. sausio 13 d. rytą Vilniuje ir jo apylinkėse įvedus komendanto valandą, </w:t>
      </w:r>
      <w:r w:rsidRPr="0038415A">
        <w:rPr>
          <w:rFonts w:eastAsiaTheme="majorEastAsia"/>
        </w:rPr>
        <w:t xml:space="preserve">Vilniaus įgulos karinis komendantas pulkininkas </w:t>
      </w:r>
      <w:r w:rsidRPr="0038415A">
        <w:t>G. B. organizavo komendanto valandos įgyvendinimo priemones, persekiojant ir smurtaujant prieš civilius</w:t>
      </w:r>
      <w:r w:rsidRPr="0038415A">
        <w:rPr>
          <w:rStyle w:val="Heading3Char"/>
          <w:sz w:val="24"/>
          <w:szCs w:val="24"/>
          <w:lang w:val="lt-LT"/>
        </w:rPr>
        <w:t>.</w:t>
      </w:r>
    </w:p>
    <w:p w:rsidR="00DA38E9" w:rsidRPr="00C00255" w:rsidRDefault="00DA38E9" w:rsidP="00DA38E9">
      <w:pPr>
        <w:pStyle w:val="Heading4"/>
        <w:spacing w:before="120" w:after="120"/>
        <w:ind w:firstLine="992"/>
        <w:rPr>
          <w:rFonts w:ascii="Times New Roman" w:eastAsia="Calibri" w:hAnsi="Times New Roman"/>
          <w:b w:val="0"/>
          <w:i/>
          <w:sz w:val="24"/>
          <w:szCs w:val="20"/>
          <w:vertAlign w:val="superscript"/>
        </w:rPr>
      </w:pPr>
      <w:r w:rsidRPr="00C00255">
        <w:rPr>
          <w:rFonts w:ascii="Times New Roman" w:eastAsia="Calibri" w:hAnsi="Times New Roman"/>
          <w:b w:val="0"/>
          <w:i/>
          <w:sz w:val="24"/>
        </w:rPr>
        <w:t xml:space="preserve">Dėl nuteistajam </w:t>
      </w:r>
      <w:r>
        <w:rPr>
          <w:rFonts w:ascii="Times New Roman" w:eastAsia="Calibri" w:hAnsi="Times New Roman"/>
          <w:b w:val="0"/>
          <w:i/>
          <w:sz w:val="24"/>
        </w:rPr>
        <w:t>J. Č.</w:t>
      </w:r>
      <w:r w:rsidRPr="00C00255">
        <w:rPr>
          <w:rFonts w:ascii="Times New Roman" w:eastAsia="Calibri" w:hAnsi="Times New Roman"/>
          <w:b w:val="0"/>
          <w:i/>
          <w:sz w:val="24"/>
        </w:rPr>
        <w:t xml:space="preserve"> skirtinos bausmės</w:t>
      </w:r>
    </w:p>
    <w:p w:rsidR="006F072D" w:rsidRPr="006F072D" w:rsidRDefault="006F072D" w:rsidP="006F072D">
      <w:pPr>
        <w:pStyle w:val="ListParagraph"/>
        <w:numPr>
          <w:ilvl w:val="0"/>
          <w:numId w:val="6"/>
        </w:numPr>
        <w:spacing w:before="120" w:after="120"/>
        <w:ind w:left="992" w:hanging="992"/>
        <w:contextualSpacing w:val="0"/>
        <w:rPr>
          <w:rStyle w:val="Heading3Char"/>
          <w:b w:val="0"/>
          <w:sz w:val="24"/>
          <w:szCs w:val="24"/>
          <w:lang w:val="lt-LT"/>
        </w:rPr>
      </w:pPr>
      <w:r w:rsidRPr="0038415A">
        <w:t>Skundžiamu nuosprendžiu TSRS VSK specialiosios paskirties grupės „A“ 3-iojo poskyrio viršininkui nuteistajam J. Č. pagal BK 100 straipsnį paskirti 6 metai laisvės atėmimo, pagal BK 101 straipsnį – 10 metų, pagal BK 103 straipsnio 1 dalį – 6 metai, pagal BK 111 straipsnio 1 dalį – 6 metai ir pagal BK 112 straipsnį – 5 metai. Esant idealiai nusikalstamų veikų sutapčiai, pirmosios instancijos teismas J. Č. paskyrė galutinę subendrintą bausmę – 10 metų laisvės atėmimą. Prokurorai nuteistajam J. Č. šių paskirtų bausmių neginčijo. Nuteistojo J. Č. gynėja apeliaciniame skunde dėl jos ginamajam paskirtos bausmės nepasisakė ir prašė jį išteisinti.</w:t>
      </w:r>
    </w:p>
    <w:p w:rsidR="006F072D" w:rsidRPr="0038415A" w:rsidRDefault="006F072D" w:rsidP="006F072D">
      <w:pPr>
        <w:pStyle w:val="ListParagraph"/>
        <w:numPr>
          <w:ilvl w:val="0"/>
          <w:numId w:val="6"/>
        </w:numPr>
        <w:spacing w:before="120" w:after="120"/>
        <w:ind w:left="992" w:hanging="992"/>
        <w:contextualSpacing w:val="0"/>
        <w:rPr>
          <w:rStyle w:val="Heading3Char"/>
          <w:rFonts w:eastAsiaTheme="majorEastAsia"/>
          <w:b w:val="0"/>
          <w:sz w:val="24"/>
          <w:szCs w:val="24"/>
          <w:lang w:val="lt-LT"/>
        </w:rPr>
      </w:pPr>
      <w:r w:rsidRPr="0038415A">
        <w:rPr>
          <w:rFonts w:eastAsiaTheme="majorEastAsia"/>
        </w:rPr>
        <w:t>Byloje nustatyta, kad TSRS VSK specialiosios paskirties grupės „A“ 3-iojo poskyrio viršininkas papulkininkis J. Č. tiesiogiai dalyvavo užimant LRT ir vadovavo grupės „A“ kariškiams, kurie būdami ginkluoti ir panaudodami specialiąsias priemones, prasibrovė iki LRT Radijo, LRT Televizijos ir LRT TASK pastatų, stūmė civilius iš pastatų teritorijos, iš patalpų pašalino civilius, patekę į studiją, aparatinėje išjungė prietaisus ir nutraukė TV laidų ruošimą bei transliavimą. Be to, nustatyta, kad TSRS VSK grupės „A“ kariškiams veikiant prie LRT, J. Č. savo ir TSRS VSK grupės „A“ kariškių veiksmus derino bei koordinavo su TSRS VSK grupės „A“ aukščiausiu karininku M. G. (tiriamų įvykių metu buvusiu prie TV bokšto), kuriam įvykių metu J. Č. buvo pavaldus, bei su įvykiuose dalyvavusių kitų dalinių kariškiais. Taigi papulkininkio J. Č. vaidmuo operacijoje buvo neabejotinai reikšmingas ir pavojingas, nes šių įvykių metu būtent jis vadovavo visiems išskirtinį vaidmenį LRT užėmimo metu atlikusiems ir itin brutaliai veikusiems TSRS VSK grupės „A“ kariškiams. Tokių aplinkybių kontekste, J. Č. pagal BK 101 straipsnį paskirta minimali 10 metų laisvės atėmimo bausmė ir mažesnės nei vidurkio dydžio bausmės, paskirtos už kitas nusikalstamas veikas, yra pakankamai švelnios, todėl jų dar labiau švelninti nėra jokio pagrindo.</w:t>
      </w:r>
    </w:p>
    <w:p w:rsidR="00DA38E9" w:rsidRPr="00C00255" w:rsidRDefault="00DA38E9" w:rsidP="00DA38E9">
      <w:pPr>
        <w:pStyle w:val="Heading4"/>
        <w:spacing w:before="120" w:after="120"/>
        <w:ind w:firstLine="992"/>
        <w:rPr>
          <w:rFonts w:ascii="Times New Roman" w:eastAsia="Calibri" w:hAnsi="Times New Roman"/>
          <w:b w:val="0"/>
          <w:i/>
          <w:sz w:val="24"/>
          <w:szCs w:val="20"/>
        </w:rPr>
      </w:pPr>
      <w:r w:rsidRPr="00C00255">
        <w:rPr>
          <w:rFonts w:ascii="Times New Roman" w:eastAsia="Calibri" w:hAnsi="Times New Roman"/>
          <w:b w:val="0"/>
          <w:i/>
          <w:sz w:val="24"/>
        </w:rPr>
        <w:t xml:space="preserve">Dėl </w:t>
      </w:r>
      <w:r w:rsidRPr="00C00255">
        <w:rPr>
          <w:rFonts w:ascii="Times New Roman" w:hAnsi="Times New Roman"/>
          <w:b w:val="0"/>
          <w:i/>
          <w:sz w:val="24"/>
        </w:rPr>
        <w:t xml:space="preserve">nuteistajam </w:t>
      </w:r>
      <w:r>
        <w:rPr>
          <w:rFonts w:ascii="Times New Roman" w:hAnsi="Times New Roman"/>
          <w:b w:val="0"/>
          <w:i/>
          <w:sz w:val="24"/>
        </w:rPr>
        <w:t>R. J. 1</w:t>
      </w:r>
      <w:r w:rsidRPr="00C00255">
        <w:rPr>
          <w:rFonts w:ascii="Times New Roman" w:eastAsia="Calibri" w:hAnsi="Times New Roman"/>
          <w:b w:val="0"/>
          <w:i/>
          <w:sz w:val="24"/>
        </w:rPr>
        <w:t xml:space="preserve"> skirtinos bausmės</w:t>
      </w:r>
    </w:p>
    <w:p w:rsidR="00DA38E9" w:rsidRPr="0038415A" w:rsidRDefault="00DA38E9" w:rsidP="00DA38E9">
      <w:pPr>
        <w:numPr>
          <w:ilvl w:val="0"/>
          <w:numId w:val="6"/>
        </w:numPr>
        <w:spacing w:before="120" w:after="120"/>
        <w:ind w:left="992" w:hanging="992"/>
        <w:rPr>
          <w:rFonts w:eastAsia="Calibri"/>
        </w:rPr>
      </w:pPr>
      <w:bookmarkStart w:id="1012" w:name="_Toc67677495"/>
      <w:r w:rsidRPr="0038415A">
        <w:t>Skundžiamu nuosprendžiu LKP/TSKP CK politinio-teisinio skyriaus konsultantui pulkininkui R. J. 1 už inkriminuotus nusikaltimus buvo paskirta galutinė subendrinta 10 metų laisvės atėmimo bausmė</w:t>
      </w:r>
      <w:bookmarkEnd w:id="1012"/>
      <w:r w:rsidRPr="0038415A">
        <w:t xml:space="preserve">. Prokurorai sutiko su R. J. 1 paskirta bausme bei šioje dalyje nuosprendžio neskundė, o R. J. 1 gynėjas </w:t>
      </w:r>
      <w:r w:rsidRPr="0038415A">
        <w:rPr>
          <w:rFonts w:eastAsiaTheme="minorHAnsi"/>
        </w:rPr>
        <w:t>apeliaciniame skunde nepateikė argumentų dėl jo ginamajam pa</w:t>
      </w:r>
      <w:r w:rsidRPr="0038415A">
        <w:t>skirtos bausmės ir prašė jį išteisinti</w:t>
      </w:r>
      <w:r w:rsidRPr="0038415A">
        <w:rPr>
          <w:rFonts w:eastAsiaTheme="minorHAnsi"/>
        </w:rPr>
        <w:t xml:space="preserve">. Teisėjų kolegija, įvertinusi </w:t>
      </w:r>
      <w:r w:rsidRPr="0038415A">
        <w:t>R. J. 1 vaidmenį bendrai vykdytoje karinėje operacijoje, jo užimtas pareigas,</w:t>
      </w:r>
      <w:r w:rsidRPr="0038415A">
        <w:rPr>
          <w:rFonts w:eastAsiaTheme="minorHAnsi"/>
        </w:rPr>
        <w:t xml:space="preserve"> jam </w:t>
      </w:r>
      <w:r w:rsidRPr="0038415A">
        <w:t xml:space="preserve">paskirtas bausmes už atskiras nusikalstamas veikas bei </w:t>
      </w:r>
      <w:r w:rsidRPr="0038415A">
        <w:rPr>
          <w:rFonts w:eastAsiaTheme="minorHAnsi"/>
        </w:rPr>
        <w:t xml:space="preserve">galutinę subendrintą bausmę lėmusią 10 metų laisvės atėmimo bausmę, paskirtą pagal BK 101 straipsnį, </w:t>
      </w:r>
      <w:r w:rsidRPr="0038415A">
        <w:t xml:space="preserve">laiko teisingomis bei pagrįstomis. Įvykių metu LKP/TSKP partijoje pakankamai aukštas pareigas užėmęs ir itin aukštą karinį laipsnį turėjęs R. J. 1 dalyvavo užimant LRT pastatus ir vadovavo ten veikusiems draugovininkams, kurie </w:t>
      </w:r>
      <w:r w:rsidRPr="0038415A">
        <w:rPr>
          <w:rFonts w:eastAsia="Calibri"/>
        </w:rPr>
        <w:t xml:space="preserve">prieš susirinkusius civilius asmenis elgėsi agresyviai bei naudojo žalojimui skirtas priemones (lazdas, grandines ir pan.). </w:t>
      </w:r>
      <w:r w:rsidRPr="0038415A">
        <w:t>Nustatyta ir tai, kad R. J. 1 vadovaujami draugovininkai suduodami smūgius rankomis, kojomis ir kitomis priemonėmis prie LRT sunkiai sužalojo A. K.. Nors apeliacinės instancijos teismas padarė išvadą, kad nuosprendžiu R. J. 1 nepagrįstai inkriminuotas dalyvavimas planuojant karinę operaciją, akivaizdu, kad šio reikšmingą statusą turėjusio nuteistojo operacijos metu atlikti veiksmai buvo pavojingi ir svarbūs jos įgyvendinimui, todėl skundžiamu nuosprendžiu R. J. 1 už pavojingiausią nusikalstamą veiką, numatytą BK 101 straipsnyje, paskirta minimali 10 metų laisvės atėmimo bausmė</w:t>
      </w:r>
      <w:r w:rsidRPr="0038415A" w:rsidDel="0058136F">
        <w:t xml:space="preserve"> </w:t>
      </w:r>
      <w:r w:rsidRPr="0038415A">
        <w:t>ir už kitas veikas paskirtos mažesnės nei vidurkio dydžio bausmės yra ne per griežtos, teisingos bei būtinos siekiant užtikrinti bausmės paskirtį.</w:t>
      </w:r>
    </w:p>
    <w:p w:rsidR="00DA38E9" w:rsidRPr="00C00255" w:rsidRDefault="00DA38E9" w:rsidP="00DA38E9">
      <w:pPr>
        <w:pStyle w:val="Heading4"/>
        <w:spacing w:before="120" w:after="120"/>
        <w:ind w:firstLine="992"/>
        <w:rPr>
          <w:rFonts w:ascii="Times New Roman" w:hAnsi="Times New Roman"/>
          <w:b w:val="0"/>
          <w:i/>
          <w:sz w:val="24"/>
        </w:rPr>
      </w:pPr>
      <w:r w:rsidRPr="00C00255">
        <w:rPr>
          <w:rFonts w:ascii="Times New Roman" w:hAnsi="Times New Roman"/>
          <w:b w:val="0"/>
          <w:i/>
          <w:sz w:val="24"/>
        </w:rPr>
        <w:t xml:space="preserve">Dėl nuteistajam </w:t>
      </w:r>
      <w:r>
        <w:rPr>
          <w:rFonts w:ascii="Times New Roman" w:hAnsi="Times New Roman"/>
          <w:b w:val="0"/>
          <w:i/>
          <w:sz w:val="24"/>
        </w:rPr>
        <w:t>G. B.</w:t>
      </w:r>
      <w:r w:rsidRPr="00C00255">
        <w:rPr>
          <w:rFonts w:ascii="Times New Roman" w:hAnsi="Times New Roman"/>
          <w:b w:val="0"/>
          <w:i/>
          <w:sz w:val="24"/>
        </w:rPr>
        <w:t xml:space="preserve"> skirtinos bausmės</w:t>
      </w:r>
    </w:p>
    <w:p w:rsidR="00DA38E9" w:rsidRPr="0038415A" w:rsidRDefault="00DA38E9" w:rsidP="00DA38E9">
      <w:pPr>
        <w:numPr>
          <w:ilvl w:val="0"/>
          <w:numId w:val="6"/>
        </w:numPr>
        <w:spacing w:before="120" w:after="120"/>
        <w:ind w:left="992" w:hanging="992"/>
      </w:pPr>
      <w:r w:rsidRPr="0038415A">
        <w:t xml:space="preserve">Skundžiamu nuosprendžiu </w:t>
      </w:r>
      <w:bookmarkStart w:id="1013" w:name="_Hlk67328444"/>
      <w:r w:rsidRPr="0038415A">
        <w:t xml:space="preserve">Vilniaus įgulos kariniam komendantui pulkininkui </w:t>
      </w:r>
      <w:bookmarkEnd w:id="1013"/>
      <w:r w:rsidRPr="0038415A">
        <w:t>nuteistajam G. B. pagal BK 100 straipsnį, BK 101 straipsnį ir BK 111 stra</w:t>
      </w:r>
      <w:r w:rsidR="006F072D" w:rsidRPr="0038415A">
        <w:t>ipsnio 1 dalį, pritaikius BK 54 </w:t>
      </w:r>
      <w:r w:rsidRPr="0038415A">
        <w:t xml:space="preserve">straipsnio 3 dalies nuostatas, buvo paskirtos mažesnės nei sankcijose nustatytos laisvės atėmimo bausmės, ir jas bausmių apėmimo būdu subendrinus su minimaliomis pagal BK 103 straipsnio 1 dalį ir BK 112 straipsnį paskirtomis laisvės atėmimo bausmėmis, paskirta galutinė subendrinta 4 metų laisvės atėmimo bausmė. Prokurorai apeliaciniu skundu prašė G. B. netaikyti BK 54 straipsnio 3 dalies nuostatų ir paskirti griežtesnes bausmes: pagal BK 100 straipsnį – 11 metų laisvės atėmimo bausmę, pagal BK 101 straipsnį – 14 metų laisvės atėmimo bausmę ir pagal BK 111 straipsnio 1 dalį – 6 metų laisvės atėmimo bausmę. Prokurorų teigimu, pirmosios instancijos teismas, skirdamas bausmę G. B., nepakankamai atsižvelgė į tai, kad neteisėtai įvestos komendanto valandos metu G. B. pavaldūs kariškiai nužudė J. T., sunkiai sužalojo R. D., vykdė asmenų teisių suvaržymus, taip pat buvo nustatytos trys G. B. atsakomybę sunkinančios aplinkybės. </w:t>
      </w:r>
      <w:r w:rsidRPr="0038415A">
        <w:rPr>
          <w:iCs/>
        </w:rPr>
        <w:t xml:space="preserve">Nuteistojo G. B. gynėjas apeliaciniame skunde dėl jo ginamajam paskirtos bausmės nepasisakė ir prašė jį išteisinti. </w:t>
      </w:r>
      <w:r w:rsidRPr="0038415A">
        <w:t xml:space="preserve">Įvertinusi G. B. užimtas pareigas bei statusą, jo atliktų veiksmų pavojingumą ir vaidmenį, teisėjų kolegija daro išvadą, kad G. B. BK 54 straipsnio 3 dalies nuostatos buvo pritaikytos nepagrįstai, tačiau, prokurorų prašomos skirti bausmės yra per griežtos, todėl teismas prokurorų prašymą tenkina iš dalies. </w:t>
      </w:r>
    </w:p>
    <w:p w:rsidR="00DA38E9" w:rsidRPr="0038415A" w:rsidRDefault="00DA38E9" w:rsidP="00DA38E9">
      <w:pPr>
        <w:numPr>
          <w:ilvl w:val="1"/>
          <w:numId w:val="6"/>
        </w:numPr>
        <w:spacing w:before="120" w:after="120"/>
        <w:ind w:left="992" w:hanging="992"/>
        <w:rPr>
          <w:color w:val="000000" w:themeColor="text1"/>
        </w:rPr>
      </w:pPr>
      <w:r w:rsidRPr="0038415A">
        <w:t xml:space="preserve">BK 54 straipsnio 3 dalies nuostatos G. B. pritaikytos, remiantis visiškai formaliu teiginiu, jog švelnesnė nei įstatyme numatyta bausmė skirtina „atsižvelgiant į kaltinamojo padarytų nusikalstamų veiksmų apimtį bei pavojingumą” (nuosprendžio 885 l.). Apeliacinės instancijos teismo teisėjų kolegija, turėdama omenyje G. B. veiksmus įvedus komendanto valandą, jo itin aukštas pareigas Vilniaus įgulos karinėje komendantūroje ir Vilniau įgulos kariškių itin brutalius bei ciniškus veiksmus prieš civilius po komendanto valandos įvedimo, nesutinka, kad G. B. veiksmų apimtis ir pavojingumas yra mažesnio laipsnio ir gali būti pagrindu skirti švelnesnę nei įstatyme numatytą bausmę. </w:t>
      </w:r>
    </w:p>
    <w:p w:rsidR="00DA38E9" w:rsidRPr="0038415A" w:rsidRDefault="00DA38E9" w:rsidP="00DA38E9">
      <w:pPr>
        <w:numPr>
          <w:ilvl w:val="1"/>
          <w:numId w:val="6"/>
        </w:numPr>
        <w:spacing w:before="120" w:after="120"/>
        <w:ind w:left="992" w:hanging="992"/>
        <w:rPr>
          <w:rFonts w:eastAsia="Calibri"/>
        </w:rPr>
      </w:pPr>
      <w:r w:rsidRPr="0038415A">
        <w:t xml:space="preserve">Vilniaus įgulos karinis komendantas pulkininkas G. B., neteisėtai Vilniuje ir jo apylinkėse įvedus komendanto valandą, pagal V. U. 1 įsakymą organizavo komendanto valandos įgyvendinimo priemones, t. y. nustatė neteisėtą asmenų judėjimo kontrolę Vilniaus mieste ir jo apylinkėse, asmenų ir transporto priemonių patikrą, pasitelkiant karinę techniką bei kovinius ginklus. G. B. kartu su V. U. 1 vadovavo Vilniaus įgulos kariškiams, įgyvendinant komendanto valandą, kurios metu, be jokios priežasties buvo neteisėtai sulaikinėjami ir apšaudomi asmenys bei jų automobiliai, taip pat prieš sulaikytus asmenis buvo smurtaujama, neteisėtai sulaikyti asmenys buvo vežami ir į G. B. vadovaujamą Vilniaus miesto komendantūrą, kur buvo sunkiai sutrikdyta R. D. sveikata, taip pat įgyvendinant komendanto valandą patruliavimų metu buvo nužudytas J. T.. Taigi G. B. eitos Vilniaus įgulos karinio komendanto pareigos, itin aukštas karinis laipsnis (pulkininkas) ir šiame sprendime jau minėta galimybė veikti visos Vilniaus įgulos viršininko, t. y. generolo V. U. 1, vardu rodo, kad netrukus po TV bokšto ir LRT užėmimo V. U. 1 įvestos komendanto valandos įgyvendinimo metu, o tuo pačiu ir bendrai vykdytos ir koordinuotos TSRS kariškių agresijos prieš Lietuvos gyventojus kontekste, G. B. vaidmuo buvo itin reikšmingas. Byloje aiškiai nustatyta, kad G. B. sprendė dėl komendanto valandos metu taikomų priemonių, dėl tokių priemonių dalyvavo ne viename susitikime su Lietuvos valdžios atstovais ir pan. Tokių aplinkybių ir komendanto valandos metu taikytų priemonių kontekste G. B. paskirta bausmė yra visiškai formali ir aiškiai neteisinga, nes jokių aplinkybių, dėl kurių jam būtų galima taikyti BK 54 straipsnio 3 dalies nuostatas, nėra. Kita vertus, vertinant G. B. veiksmus, būtina pabrėžti, kad jie pagal byloje inkriminuotas ir nustatytas aplinkybes apsiribojo tik bendru veikimu TSRS vykdytoje agresijoje ir tiesioginiu dalyvavimu iš karto po LRT ir TV bokšto šturmo įvestoje komendanto valandoje, tačiau G. B. tiesiogiai nedalyvavo užimant Spaudos rūmus, TV bokštą ir LRT ar planuojant šių objektų užėmimą. Tokių aplinkybių kontekste, prokurorų prašymas už atskirus nusikaltimus G. B. paskirti tokias pačias griežtas bausmes, kokias teismas paskyrė V. U. 1, yra neproporcingas. Atsižvelgdama į visa tai, teisėjų kolegija </w:t>
      </w:r>
      <w:r w:rsidRPr="0038415A">
        <w:rPr>
          <w:rFonts w:eastAsia="Calibri"/>
        </w:rPr>
        <w:t>G. B. pagal BK 100 straipsnį, BK 101 straipsnį ir BK 111 straipsnio 1 dalį paskirtas bausmes griežtina taip:</w:t>
      </w:r>
      <w:r w:rsidRPr="0038415A">
        <w:rPr>
          <w:rFonts w:eastAsia="Calibri"/>
          <w:iCs/>
        </w:rPr>
        <w:t xml:space="preserve"> </w:t>
      </w:r>
    </w:p>
    <w:p w:rsidR="00DA38E9" w:rsidRPr="006F072D" w:rsidRDefault="00DA38E9" w:rsidP="00DA38E9">
      <w:pPr>
        <w:pStyle w:val="ListParagraph"/>
        <w:numPr>
          <w:ilvl w:val="2"/>
          <w:numId w:val="6"/>
        </w:numPr>
        <w:spacing w:before="120" w:after="120"/>
        <w:ind w:left="992" w:hanging="992"/>
        <w:contextualSpacing w:val="0"/>
        <w:rPr>
          <w:rFonts w:eastAsia="Calibri"/>
          <w:szCs w:val="24"/>
        </w:rPr>
      </w:pPr>
      <w:r w:rsidRPr="0038415A">
        <w:rPr>
          <w:rFonts w:eastAsia="Calibri"/>
        </w:rPr>
        <w:t>pagal BK 100 straipsnį, pritaikius BK 54 straipsnio 3 dalį, paskirtą 3 (trejų) metų laisvės atėmimo bausmę, panaikinus BK 54 straipsnio 3 dalies taikymą, padidinti iki laisvės atėmimo 6 (šešeriems) metams</w:t>
      </w:r>
      <w:r w:rsidRPr="006F072D">
        <w:rPr>
          <w:rFonts w:eastAsia="Calibri"/>
          <w:iCs/>
          <w:szCs w:val="24"/>
        </w:rPr>
        <w:t xml:space="preserve">; </w:t>
      </w:r>
    </w:p>
    <w:p w:rsidR="00DA38E9" w:rsidRPr="00C00255" w:rsidRDefault="00DA38E9" w:rsidP="00DA38E9">
      <w:pPr>
        <w:pStyle w:val="ListParagraph"/>
        <w:numPr>
          <w:ilvl w:val="2"/>
          <w:numId w:val="6"/>
        </w:numPr>
        <w:spacing w:before="120" w:after="120"/>
        <w:ind w:left="992" w:hanging="992"/>
        <w:contextualSpacing w:val="0"/>
        <w:rPr>
          <w:rFonts w:eastAsia="Calibri"/>
          <w:szCs w:val="24"/>
        </w:rPr>
      </w:pPr>
      <w:r w:rsidRPr="0038415A">
        <w:rPr>
          <w:rFonts w:eastAsia="Calibri"/>
        </w:rPr>
        <w:t>pagal BK 101 straipsnį, pritaikius BK 54 straipsnio 3 dalį, paskirtą 4 (ketverių) metų laisvės atėmimo bausmę, panaikinus BK 54 straipsnio 3 dalies taikymą, padidinti iki laisvės atėmimo 10 (dešimčiai) metų</w:t>
      </w:r>
      <w:r w:rsidRPr="00C00255">
        <w:rPr>
          <w:rFonts w:eastAsia="Calibri"/>
          <w:iCs/>
          <w:szCs w:val="24"/>
        </w:rPr>
        <w:t xml:space="preserve">; </w:t>
      </w:r>
    </w:p>
    <w:p w:rsidR="00DA38E9" w:rsidRPr="00C00255" w:rsidRDefault="00DA38E9" w:rsidP="00DA38E9">
      <w:pPr>
        <w:pStyle w:val="ListParagraph"/>
        <w:numPr>
          <w:ilvl w:val="2"/>
          <w:numId w:val="6"/>
        </w:numPr>
        <w:spacing w:before="120" w:after="120"/>
        <w:ind w:left="992" w:hanging="992"/>
        <w:contextualSpacing w:val="0"/>
        <w:rPr>
          <w:rFonts w:eastAsia="Calibri"/>
          <w:szCs w:val="24"/>
        </w:rPr>
      </w:pPr>
      <w:r w:rsidRPr="0038415A">
        <w:rPr>
          <w:rFonts w:eastAsia="Calibri"/>
        </w:rPr>
        <w:t>pagal BK 111 straipsnio 1 dalį, pritaikius BK 54 straipsnio 3 dalį, paskirtą 3 (trejų) metų laisvės atėmimo bausmę, panaikinus BK 54 straipsnio 3 dalies taikymą, padidinti iki laisvės atėmimo 6 (šešeriems) metams</w:t>
      </w:r>
      <w:r w:rsidRPr="00C00255">
        <w:rPr>
          <w:rFonts w:eastAsia="Calibri"/>
          <w:iCs/>
          <w:szCs w:val="24"/>
        </w:rPr>
        <w:t xml:space="preserve">. </w:t>
      </w:r>
    </w:p>
    <w:p w:rsidR="00DA38E9" w:rsidRPr="0038415A" w:rsidRDefault="00DA38E9" w:rsidP="00DA38E9">
      <w:pPr>
        <w:pStyle w:val="ListParagraph"/>
        <w:numPr>
          <w:ilvl w:val="1"/>
          <w:numId w:val="6"/>
        </w:numPr>
        <w:spacing w:before="120" w:after="120"/>
        <w:ind w:left="992" w:hanging="992"/>
        <w:contextualSpacing w:val="0"/>
        <w:rPr>
          <w:rFonts w:eastAsia="Calibri"/>
          <w:szCs w:val="24"/>
        </w:rPr>
      </w:pPr>
      <w:r w:rsidRPr="0038415A">
        <w:rPr>
          <w:rFonts w:eastAsia="Calibri"/>
        </w:rPr>
        <w:t>Atsižvelgiant į tai, kad kitų G. B. paskirtų bausmių keisti nėra pagrindo, esant idealiai nusikalstamų veikų sutapčiai, G. B. skirtina galutinė subendrinta bausmė – laisvės atėmimas 10 (dešimčiai) metų</w:t>
      </w:r>
      <w:r w:rsidRPr="0038415A">
        <w:rPr>
          <w:rFonts w:eastAsia="Calibri"/>
          <w:iCs/>
          <w:szCs w:val="24"/>
        </w:rPr>
        <w:t xml:space="preserve">.  </w:t>
      </w:r>
    </w:p>
    <w:p w:rsidR="00DA38E9" w:rsidRPr="00C00255" w:rsidRDefault="00DA38E9" w:rsidP="00DA38E9">
      <w:pPr>
        <w:pStyle w:val="Heading2"/>
        <w:spacing w:after="120"/>
        <w:ind w:firstLine="992"/>
        <w:jc w:val="center"/>
        <w:rPr>
          <w:rFonts w:ascii="Times New Roman" w:hAnsi="Times New Roman" w:cs="Times New Roman"/>
          <w:sz w:val="24"/>
        </w:rPr>
      </w:pPr>
      <w:bookmarkStart w:id="1014" w:name="_Toc67677496"/>
      <w:bookmarkStart w:id="1015" w:name="_Toc67985581"/>
      <w:r w:rsidRPr="00C00255">
        <w:rPr>
          <w:rFonts w:ascii="Times New Roman" w:hAnsi="Times New Roman" w:cs="Times New Roman"/>
          <w:sz w:val="24"/>
        </w:rPr>
        <w:t>K. DĖL BYLOJE PAREIKŠTŲ CIVILINIŲ IEŠKINIŲ</w:t>
      </w:r>
      <w:bookmarkEnd w:id="1014"/>
      <w:bookmarkEnd w:id="1015"/>
    </w:p>
    <w:p w:rsidR="00DA38E9" w:rsidRPr="00C00255" w:rsidRDefault="00DA38E9" w:rsidP="00DA38E9">
      <w:pPr>
        <w:numPr>
          <w:ilvl w:val="0"/>
          <w:numId w:val="6"/>
        </w:numPr>
        <w:spacing w:before="120" w:after="120"/>
        <w:ind w:left="992" w:hanging="992"/>
      </w:pPr>
      <w:r w:rsidRPr="006F072D">
        <w:t xml:space="preserve">Nagrinėjamoje byloje civilinius ieškinius buvo pareiškę nukentėjusieji V. L., R. P., O. P. ir </w:t>
      </w:r>
      <w:r w:rsidRPr="006F072D">
        <w:rPr>
          <w:color w:val="000000" w:themeColor="text1"/>
          <w:lang w:eastAsia="ja-JP"/>
        </w:rPr>
        <w:t>Lietuvos Respublikos generalinė prokuratūra. Pirmosios instancijos teismas nu</w:t>
      </w:r>
      <w:r w:rsidRPr="006F072D">
        <w:t xml:space="preserve">kentėjusiųjų V. L. ir R. P. civilinius ieškinius atmetė, dėl nukentėjusiosios O. P. civilinio ieškinio nuosprendyje apskritai nepasisakė, o Lietuvos Respublikos generalinės prokuratūros civilinį ieškinį paliko nenagrinėtą. Dėl tokio pirmosios instancijos teismo procesinio sprendimo apeliacinius skundus pateikė nukentėjusieji R. P. ir O. P., taip pat </w:t>
      </w:r>
      <w:r w:rsidRPr="006F072D">
        <w:rPr>
          <w:color w:val="000000" w:themeColor="text1"/>
          <w:lang w:eastAsia="ja-JP"/>
        </w:rPr>
        <w:t>Lietuvos Respublikos generalinė prokuratūra</w:t>
      </w:r>
      <w:r w:rsidRPr="00C00255">
        <w:rPr>
          <w:color w:val="000000" w:themeColor="text1"/>
          <w:lang w:eastAsia="ja-JP"/>
        </w:rPr>
        <w:t>.</w:t>
      </w:r>
    </w:p>
    <w:p w:rsidR="00DA38E9" w:rsidRPr="00C00255" w:rsidRDefault="00DA38E9" w:rsidP="00DA38E9">
      <w:pPr>
        <w:numPr>
          <w:ilvl w:val="1"/>
          <w:numId w:val="6"/>
        </w:numPr>
        <w:spacing w:before="120" w:after="120"/>
        <w:ind w:left="992" w:hanging="992"/>
      </w:pPr>
      <w:r w:rsidRPr="006F072D">
        <w:t xml:space="preserve">Teismas, atmesdamas V. L. ir R. P. civilinius ieškinius, savo procesinį sprendimą motyvavo tuo, </w:t>
      </w:r>
      <w:r w:rsidRPr="006F072D">
        <w:rPr>
          <w:color w:val="000000"/>
          <w:lang w:bidi="lt-LT"/>
        </w:rPr>
        <w:t xml:space="preserve">kad kaltinamieji nusikalstamas veikas, dėl kurių jie teisiami šioje byloje padarė galiojant 1961 m. Baudžiamojo proceso kodeksui ir 1964 m. Civiliniam kodeksui, kuriuose nusikaltimų padarymo metu nebuvo numatytas nusikaltimu padarytos neturtinės žalos atlyginimas nukentėjusiesiems, todėl </w:t>
      </w:r>
      <w:r w:rsidRPr="006F072D">
        <w:t>nukentėjusieji turi teisę tik į turtinės žalos, atsiradusios dėl nusikalstamų kaltinamųjų veiksmų, atlyginimą</w:t>
      </w:r>
      <w:r w:rsidRPr="00C00255">
        <w:t>.</w:t>
      </w:r>
    </w:p>
    <w:p w:rsidR="00DA38E9" w:rsidRPr="00C00255" w:rsidRDefault="00DA38E9" w:rsidP="00DA38E9">
      <w:pPr>
        <w:numPr>
          <w:ilvl w:val="1"/>
          <w:numId w:val="6"/>
        </w:numPr>
        <w:spacing w:before="120" w:after="120"/>
        <w:ind w:left="992" w:hanging="992"/>
      </w:pPr>
      <w:r w:rsidRPr="00C00255">
        <w:rPr>
          <w:lang w:eastAsia="ja-JP"/>
        </w:rPr>
        <w:t xml:space="preserve">Pirmosios instancijos teismas ginčijamu nuosprendžiu konstatavo, kad žalos Lietuvos valstybei, padarytos kariškių veiksmais, klausimas šioje baudžiamojoje byloje negali būti sprendžiamas. Žala Lietuvos valstybei padaryta TSRS kariškių veiksmais tuo metu, kai buvo užgrobiami Lietuvai svarbūs objektai, o už kariškių padarytus nuostolius (žalą) atsakinga TSRS teisių perėmėja Rusijos Federacija, todėl žalos padarytos Lietuvos valstybei atlyginimo klausimas yra tarpvalstybinių derybų objektas. </w:t>
      </w:r>
    </w:p>
    <w:p w:rsidR="00DA38E9" w:rsidRPr="00C00255" w:rsidRDefault="00DA38E9" w:rsidP="00DA38E9">
      <w:pPr>
        <w:numPr>
          <w:ilvl w:val="0"/>
          <w:numId w:val="6"/>
        </w:numPr>
        <w:spacing w:before="120" w:after="120"/>
        <w:ind w:left="992" w:hanging="992"/>
      </w:pPr>
      <w:r w:rsidRPr="00C00255">
        <w:rPr>
          <w:iCs/>
        </w:rPr>
        <w:t>Apeliaciniuose skunduose su tokiu pirmosios instancijos teismo vertinimu nesutinkama ir prašoma šią nuosprendžio dalį pakeisti – ieškinius tenkinti.</w:t>
      </w:r>
    </w:p>
    <w:p w:rsidR="00DA38E9" w:rsidRPr="00C00255" w:rsidRDefault="00DA38E9" w:rsidP="00DA38E9">
      <w:pPr>
        <w:numPr>
          <w:ilvl w:val="0"/>
          <w:numId w:val="6"/>
        </w:numPr>
        <w:spacing w:before="120" w:after="120"/>
        <w:ind w:left="992" w:hanging="992"/>
      </w:pPr>
      <w:r w:rsidRPr="00C00255">
        <w:rPr>
          <w:iCs/>
        </w:rPr>
        <w:t>Bylos nagrinėjimo apeliacinės instancijos teisme metu nuteistųjų gynėjai, nesutikdami su apeliacinių skundų argumentais, reikalavo taikyti ieškinio senatį, teigė, kad nusikalstamų veikų padarymo metu nukentėjusiųjų teisė į neturtinės žalos atlyginimą nebuvo numatyta bei, kad nuteistieji nėra tinkami civilinės atsakomybės subjektai pagal byloje pareikštus ieškinius. Apeliacinės instancijos teismas, spręsdamas dėl šios ginčijamo nuosprendžio dalies teisėtumo ir pagrįstumo, dėl kiekvieno iš šių argumentų pasisakys atskirai.</w:t>
      </w:r>
    </w:p>
    <w:p w:rsidR="00DA38E9" w:rsidRPr="00C00255" w:rsidRDefault="00DA38E9" w:rsidP="00DA38E9">
      <w:pPr>
        <w:pStyle w:val="Heading3"/>
        <w:spacing w:before="120" w:after="120"/>
        <w:ind w:left="992"/>
        <w:jc w:val="both"/>
        <w:rPr>
          <w:b w:val="0"/>
          <w:i/>
          <w:sz w:val="22"/>
          <w:szCs w:val="24"/>
          <w:lang w:val="lt-LT"/>
        </w:rPr>
      </w:pPr>
      <w:bookmarkStart w:id="1016" w:name="_Toc67677497"/>
      <w:bookmarkStart w:id="1017" w:name="_Toc67985582"/>
      <w:r w:rsidRPr="00C00255">
        <w:rPr>
          <w:b w:val="0"/>
          <w:i/>
          <w:sz w:val="24"/>
          <w:lang w:val="lt-LT"/>
        </w:rPr>
        <w:t>Dėl ieškinio senaties termino byloje pareikštiems civiliniams ieškiniams netaikymo</w:t>
      </w:r>
      <w:bookmarkEnd w:id="1016"/>
      <w:bookmarkEnd w:id="1017"/>
    </w:p>
    <w:p w:rsidR="00DA38E9" w:rsidRPr="00C00255" w:rsidRDefault="00DA38E9" w:rsidP="00DA38E9">
      <w:pPr>
        <w:numPr>
          <w:ilvl w:val="0"/>
          <w:numId w:val="6"/>
        </w:numPr>
        <w:spacing w:before="120" w:after="120"/>
        <w:ind w:left="992" w:hanging="992"/>
      </w:pPr>
      <w:r w:rsidRPr="006F072D">
        <w:rPr>
          <w:color w:val="000000"/>
          <w:shd w:val="clear" w:color="auto" w:fill="FFFFFF"/>
        </w:rPr>
        <w:t>Teismas, priimdamas apkaltinamąjį nuosprendį, remdamasis įrodymais dėl civilinio ieškinio pagrįstumo ir dydžio, visiškai ar iš dalies patenkina pareikštą civilinį ieškinį arba jį atmeta (BPK 113 straipsnis, 115 straipsnio 1 dalis). Teismai, baudžiamojoje byloje nustatydami žalą ir priimdami sprendimą dėl jos atlyginimo, vadovaujasi ne tik BPK X skyriaus normomis, bet ir atitinkamomis civilinio įstatymo nuostatomis, t. y. civilinės atsakomybės bendrosiomis nuostatomis (CK 6.245–6.254 straipsniai), deliktinės atsakomybės taisyklėmis (CK 6.263–6.291 straipsniai) ir kita</w:t>
      </w:r>
      <w:r w:rsidRPr="00C00255">
        <w:rPr>
          <w:color w:val="000000"/>
          <w:shd w:val="clear" w:color="auto" w:fill="FFFFFF"/>
        </w:rPr>
        <w:t>.</w:t>
      </w:r>
    </w:p>
    <w:p w:rsidR="00DA38E9" w:rsidRPr="00C00255" w:rsidRDefault="00DA38E9" w:rsidP="00DA38E9">
      <w:pPr>
        <w:numPr>
          <w:ilvl w:val="0"/>
          <w:numId w:val="6"/>
        </w:numPr>
        <w:spacing w:before="120" w:after="120"/>
        <w:ind w:left="992" w:hanging="992"/>
      </w:pPr>
      <w:r w:rsidRPr="006F072D">
        <w:t xml:space="preserve">Byloje pareikštais ieškiniais reikalaujama atlyginti tiek turtinę, tiek neturtinę žalą, padarytą nusikalstamais veiksmais, atliktais 1991 metais. Paprastai teisės į gynybą įgyvendinimas </w:t>
      </w:r>
      <w:r w:rsidRPr="006F072D">
        <w:rPr>
          <w:rStyle w:val="CharStyle3"/>
          <w:color w:val="000000"/>
          <w:sz w:val="24"/>
          <w:szCs w:val="24"/>
        </w:rPr>
        <w:t xml:space="preserve">yra ribojamas laiko aspektu, t. y. asmuo turi konkrečiu terminu ribojamą galimybę teismine tvarka apginti savo pažeistas subjektines teises. Terminas, kuriuo ribojamas teisės į gynybą įgyvendinimas – ieškinio senatis, kuri suprantama kaip </w:t>
      </w:r>
      <w:r w:rsidRPr="006F072D">
        <w:t xml:space="preserve">įstatymo nustatytas laiko tarpas (terminas), per kurį asmuo gali apginti savo pažeistas teises pareikšdamas ieškinį (CK 1.124 straipsnis). Ieškinio senaties </w:t>
      </w:r>
      <w:r w:rsidRPr="006F072D">
        <w:rPr>
          <w:color w:val="000000"/>
          <w:shd w:val="clear" w:color="auto" w:fill="FFFFFF"/>
        </w:rPr>
        <w:t>termino pradžia – teisės į ieškinį atsiradimo diena, kuria laikoma ta diena, kai asmuo sužinojo arba turėjo sužinoti apie savo teisės pažeidimą (CK 1.127 straipsnio 1 dalis). CK 1.125 straipsnio 8 dalyje nustatyta, kad civilinių ieškinių (reikalavimų) dėl žalos atlyginimo senaties terminas yra treji metai. Ieškinio senaties termino pabaiga iki ieškinio pareiškimo yra pagrindas ieškinį atmesti (CK 1.131 straipsnio 1 dalis).</w:t>
      </w:r>
      <w:r w:rsidRPr="006F072D">
        <w:t xml:space="preserve"> </w:t>
      </w:r>
      <w:r w:rsidRPr="006F072D">
        <w:rPr>
          <w:color w:val="000000"/>
          <w:shd w:val="clear" w:color="auto" w:fill="FFFFFF"/>
        </w:rPr>
        <w:t>Ieškinio senaties termino trukmė įstatyme yra diferencijuojama pagal gintinos vertybės pobūdį, reikšmę ir kitus požymius, o dėl svarbiausiųjų vertybių gynimo ieškinio senaties terminas apskritai netaikomas. Tokių atvejų sąrašas įtvirtintas CK 1.134 straipsnyje. Teisėjų kolegijos vertinimu, vienam iš tokių atvejų priskirtini ir nagrinėjamoje byloje pareikšti civiliniai ieškiniai</w:t>
      </w:r>
      <w:r w:rsidRPr="00C00255">
        <w:rPr>
          <w:color w:val="000000"/>
          <w:shd w:val="clear" w:color="auto" w:fill="FFFFFF"/>
        </w:rPr>
        <w:t xml:space="preserve">. </w:t>
      </w:r>
    </w:p>
    <w:p w:rsidR="00DA38E9" w:rsidRPr="00C00255" w:rsidRDefault="00DA38E9" w:rsidP="00DA38E9">
      <w:pPr>
        <w:numPr>
          <w:ilvl w:val="0"/>
          <w:numId w:val="6"/>
        </w:numPr>
        <w:spacing w:before="120" w:after="120"/>
        <w:ind w:left="992" w:hanging="992"/>
      </w:pPr>
      <w:r w:rsidRPr="006F072D">
        <w:t>Lietuvos Respublikos įstatymų leidėjas 2011 m. birželio 9 d. Lietuvos Respublikos civilinio kodekso 1.134 straipsnio papildymo ir pakeitimo įstatymu Nr. XI-1441 papildė Lietuvos Respublikos civilinio kodekso 1.134 straipsnį 3 punktu. Šiame punkte nustatyta, kad ieškinio senatis netaikoma, be kita ko, reikalavimams atlyginti dėl Baudžiamojo kodekso 95 straipsnio 8 dalyje nurodytų nusikaltimų atsiradusią turtinę ir neturtinę žalą. Šio įstatymo pakeitimo tikslas – įstatymu nustatyti nukentėjusių nuo Sovietų Sąjungos okupacinio režimo asmenų teisę reikalauti iš nusikaltimų vykdytojų – fizinių asmenų – nusikaltimais padarytos materialinės ir moralinės žalos atlyginimo, nevaržant šio reikalavimo jokiais terminais (žr. 2010 m. gruodžio 7 d. Lietuvos Respublikos įstatymo „Dėl atsakomybės už Lietuvos gyventojų genocidą“ papildymo 1 straipsniu įstatymo, Lietuvos Respublikos civilinio kodekso patvirtinimo, įsigaliojimo ir įgyvendinimo įstatymo 11 straipsnio pakeitimo įstatymo ir Lietuvos Respublikos civilinio kodekso 1.134 straipsnio papildymo įstatymo aiškinamąjį raštą Nr. XIP-2745). Iš minėto aiškinamojo rašto matyti, kad pagal CK 1.134 straipsnio papildymo įstatymo projektą šį straipsnį siūlyta papildyti nauju 3 punktu, kuris numatytų, kad ieškinio senatis būtų netaikoma reikalavimams atlyginti tarptautiniais nusikaltimais, kuriems netaikoma senatis (BK 95 straipsnio 8 dalyje numatytiems nusikaltimams), padarytą turtinę ir neturtinę žalą</w:t>
      </w:r>
      <w:r w:rsidRPr="00C00255">
        <w:t>.</w:t>
      </w:r>
    </w:p>
    <w:p w:rsidR="00DA38E9" w:rsidRPr="00C00255" w:rsidRDefault="00DA38E9" w:rsidP="00DA38E9">
      <w:pPr>
        <w:numPr>
          <w:ilvl w:val="0"/>
          <w:numId w:val="6"/>
        </w:numPr>
        <w:spacing w:before="120" w:after="120"/>
        <w:ind w:left="992" w:hanging="992"/>
      </w:pPr>
      <w:r w:rsidRPr="006F072D">
        <w:t>Minėto CK 1.134 straipsnio pakeitimo metu galiojusios BK 95 straipsnio redakcijos (galiojusios iki 2014 m. gegužės 22 d.) 8 dalyje buvo reglamentuota, kad senaties nėra šiems BK numatytiems nusikaltimams: 1) genocidui (99 straipsnis); 2) tarptautinės teisės draudžiamam elgesiui su žmonėmis (100 straipsnis); 3) priverstiniam dingimui (100</w:t>
      </w:r>
      <w:r w:rsidRPr="006F072D">
        <w:rPr>
          <w:vertAlign w:val="superscript"/>
        </w:rPr>
        <w:t>1</w:t>
      </w:r>
      <w:r w:rsidRPr="006F072D">
        <w:t> straipsnis); 4) tarptautinės humanitarinės teisės saugomų asmenų žudymui (101 straipsnis); 5) civilių trėmimui ar perkėlimui (102 straipsnis); 6) tarptautinės humanitarinės teisės saugomų asmenų žalojimui, kankinimui ar kitokiam nežmoniškam elgesiui su jais ar jų turto apsaugos pažeidimui (103 straipsnis); 7) civilių ar karo belaisvių prievartiniam panaudojimui priešo ginkluotosiose pajėgose (105 straipsnis); 8) saugomų objektų naikinimui ar nacionalinių vertybių grobstymui (106 straipsnis); 9) agresijai (110 straipsnis); 10) draudžiamai karo atakai (111 straipsnis); 11) uždraustų karo priemonių naudojimui (112 straipsnis); 12) aplaidžiam vado pareigų vykdymui (113</w:t>
      </w:r>
      <w:r w:rsidRPr="006F072D">
        <w:rPr>
          <w:vertAlign w:val="superscript"/>
        </w:rPr>
        <w:t>1</w:t>
      </w:r>
      <w:r w:rsidRPr="006F072D">
        <w:t xml:space="preserve"> straipsnis). Taigi įstatymų leidėjas CK 1.134 straipsnį papildydamas nauju 3 punktu, siekė nustatyti, kad ieškinio senatis netaikoma reikalavimams atlyginti turtinę ir neturtinę žalą, atsiradusią dėl pirmiau išvardintų tarptautinių nusikaltimų. Nagrinėjamoje byloje nuteistieji kaltais pripažinti pagal BK 100 straipsnį</w:t>
      </w:r>
      <w:r w:rsidRPr="006F072D">
        <w:rPr>
          <w:rFonts w:eastAsia="Calibri"/>
        </w:rPr>
        <w:t xml:space="preserve">, </w:t>
      </w:r>
      <w:r w:rsidRPr="006F072D">
        <w:t>BK 101 straipsnį, BK 103 straipsnio 1 dalį,</w:t>
      </w:r>
      <w:r w:rsidRPr="006F072D">
        <w:rPr>
          <w:rFonts w:eastAsia="Calibri"/>
        </w:rPr>
        <w:t xml:space="preserve"> </w:t>
      </w:r>
      <w:r w:rsidRPr="006F072D">
        <w:t>BK 111 straipsnio 1 dalį, BK 112 straipsnį, taigi už nusikaltimų, kuriems netaikoma senatis, padarymą</w:t>
      </w:r>
      <w:r w:rsidRPr="00C00255">
        <w:t>.</w:t>
      </w:r>
    </w:p>
    <w:p w:rsidR="00DA38E9" w:rsidRPr="00C00255" w:rsidRDefault="00DA38E9" w:rsidP="00DA38E9">
      <w:pPr>
        <w:numPr>
          <w:ilvl w:val="0"/>
          <w:numId w:val="6"/>
        </w:numPr>
        <w:spacing w:before="120" w:after="120"/>
        <w:ind w:left="992" w:hanging="992"/>
      </w:pPr>
      <w:r w:rsidRPr="006F072D">
        <w:t>Nors šiuo metu galiojančioje BK 95 straipsnio redakcijoje norma dėl senaties netaikymo pirmiau išvardintiems nusikaltimams įtvirtinta ne 8, o 9 dalyje, apeliacinės instancijos teismo vertinimu, tai nereiškia, kad byloje netaikytinas CK 1.134 straipsnio 3 punktas – ieškinio senatis netaikymo išimtis reikalavimams atlyginti dėl BK 95 straipsnio 8 dalyje nurodytų nusikaltimų atsiradusią turtinę ir neturtinę žalą. Pažymėtina, kad Lietuvos Respublikos įstatymų leidėjas 2014 m. gegužės 15 d. Lietuvos Respublikos baudžiamojo kodekso 95 straipsnio pakeitimo įstatymu Nr. XII-892 papildė BK 95 straipsnį nauja 5 dalimi, o buvusias 95 straipsnio 5, 6, 7 ir 8 dalis pripažino atitinkamai 6, 7, 8 ir 9 dalimis. Šiuo pakeitimu BK 95 straipsnyje įtvirtinta, kad jeigu nusikalstamą veiką padaręs as</w:t>
      </w:r>
      <w:r w:rsidR="006F072D">
        <w:t>muo pagal Lietuvos </w:t>
      </w:r>
      <w:r w:rsidRPr="006F072D">
        <w:t>Respublikos įstatymus ar tarptautinės teisės normas turi imunitetą nuo baudžiamosios jurisdikcijos ir nėra gautas kompetentingos institucijos leidimas jį patraukti baudžiamojon atsakomybėn, senaties eiga sustoja. Senaties eiga atsinaujina nuo tos dienos, kurią yra gautas kompetentingos institucijos leidimas nusikalstamą veiką padariusį asmenį patraukti baudžiamojon atsakomybėn arba jis kitaip netenka šioje dalyje nurodyto imuniteto. Iš šio pakeitimo aiškinamojo rašto matyti, kad Lietuvos Respublikos įstatymų leidėjo tikslas buvo užkirsti kelią asmenims išvengti baudžiamosios atsakomybės aiškiai numatant, kad galiojant teisiniam imunitetui apkaltinamojo nuosprendžio priėmimo senaties skaičiavimas būtų stabdomas (žr. Aiškinamąjį raštą dėl Lietuvos Respublikos baudžiamojo kodekso 95 straipsnio papildymo ir pakeitimo įstatymo projekto Nr. XIIP-13). Atitinkamai pakeitus BK 95 straipsnio 5, 6, 7 ir 8 dalių numeraciją, CK 1.134 straipsnio 3 punkto pakeitimas nebuvo inicijuotas. Tačiau, teisėjų kolegijos vertinimu, toks BK 95 straipsnio normų (dalių) numeracijos pakeitimas nėra susijęs su įstatymų leidėjo tikslų, dėl kurių buvo priimta CK 1.134 straipsnio 3 punkto norma, pasikeitimu. BK 95 straipsnio pakeitimą lėmė ne įstatymo leidėjo siekis kitaip reglamentuoti senaties netaikymą tarptautiniams nusikaltimams, o tikslas panaikinti imunitetą turintiems asmenims galimybę išvengti baudžiamosios atsakomybės. Todėl CK 1.134 straipsnio 3 punktu įstatymų leidėjo ketinimai nustatyti, kad ieškinio senatis būtų netaikoma reikalavimams atlyginti turtinę ir neturtinę žalą, padarytą tarptautiniais nusikaltimais, kurie šiuo metu reglamentuojami BK 95 straipsnio 9 dalyje, yra nepakitę. Dėl nurodytų motyvų, teisėjų kolegija kaip aiškiai nepagrįstus atmeta nuteistųjų gynėjų argumentus, kad civiliniai ieškiniai nagrinėjamoje byloje pareikšti praleidus ieškinio senaties terminą</w:t>
      </w:r>
      <w:r w:rsidRPr="00C00255">
        <w:t>.</w:t>
      </w:r>
    </w:p>
    <w:p w:rsidR="00DA38E9" w:rsidRPr="00C00255" w:rsidRDefault="00DA38E9" w:rsidP="00DA38E9">
      <w:pPr>
        <w:pStyle w:val="Heading3"/>
        <w:spacing w:before="120" w:after="120"/>
        <w:ind w:firstLine="992"/>
        <w:jc w:val="both"/>
        <w:rPr>
          <w:b w:val="0"/>
          <w:i/>
          <w:sz w:val="24"/>
          <w:lang w:val="lt-LT"/>
        </w:rPr>
      </w:pPr>
      <w:bookmarkStart w:id="1018" w:name="_Toc67677498"/>
      <w:bookmarkStart w:id="1019" w:name="_Toc67985583"/>
      <w:r w:rsidRPr="00C00255">
        <w:rPr>
          <w:b w:val="0"/>
          <w:i/>
          <w:sz w:val="24"/>
          <w:lang w:val="lt-LT"/>
        </w:rPr>
        <w:t>Dėl teisės į neturtinės žalos atlyginimą</w:t>
      </w:r>
      <w:bookmarkEnd w:id="1018"/>
      <w:bookmarkEnd w:id="1019"/>
    </w:p>
    <w:p w:rsidR="00DA38E9" w:rsidRPr="00C00255" w:rsidRDefault="00DA38E9" w:rsidP="00DA38E9">
      <w:pPr>
        <w:pStyle w:val="ListParagraph"/>
        <w:numPr>
          <w:ilvl w:val="0"/>
          <w:numId w:val="6"/>
        </w:numPr>
        <w:spacing w:before="120" w:after="120"/>
        <w:ind w:left="992" w:hanging="992"/>
        <w:contextualSpacing w:val="0"/>
      </w:pPr>
      <w:r w:rsidRPr="006F072D">
        <w:t xml:space="preserve">Nagrinėjamoje baudžiamojoje byloje nukentėjusysis V. L. pateikė civilinį ieškinį dėl 1 000 000 Eur neturtinės žalos dėl sunkaus jo sveikatos sutrikdymo atlyginimo. Civilinius ieškinius dėl neturtinės žalos atlyginimo taip pat pareiškė ir nukentėjusysis R. P., prašęs atlyginti 120 000 Eur neturtinę žalą, ir nukentėjusioji O. P., prašiusi 150 000 Eur neturtinės žalos, patirtos dėl A. J. P. nužudymo įvykių prie TV bokšto metu, atlyginimo. Pirmosios instancijos teismas skundžiamu nuosprendžiu nukentėjusiųjų V. L. ir R. P. civilinius ieškinius atmetė, o dėl nukentėjusios O. P. ieškinio apskritai nepasisakė. Nesutikdami su pirmosios instancijos teismo nuosprendžiu, nukentėjusieji R. P. ir O. P. pateikė apeliacinius skundus. Apeliantų teigimu, pirmosios instancijos teismas, spręsdamas dėl neturtinės žalos atlyginimo, privalėjo tiesiogiai taikyti Konstitucijos 30 straipsnio 2 dalį, užpildyti teisės spragas </w:t>
      </w:r>
      <w:r w:rsidRPr="006F072D">
        <w:rPr>
          <w:i/>
          <w:iCs/>
        </w:rPr>
        <w:t>ad hoc</w:t>
      </w:r>
      <w:r w:rsidRPr="00C00255">
        <w:t xml:space="preserve">. </w:t>
      </w:r>
    </w:p>
    <w:p w:rsidR="00DA38E9" w:rsidRPr="00C00255" w:rsidRDefault="00DA38E9" w:rsidP="00DA38E9">
      <w:pPr>
        <w:pStyle w:val="ListParagraph"/>
        <w:numPr>
          <w:ilvl w:val="0"/>
          <w:numId w:val="6"/>
        </w:numPr>
        <w:spacing w:before="120" w:after="120"/>
        <w:ind w:left="992" w:hanging="992"/>
        <w:contextualSpacing w:val="0"/>
      </w:pPr>
      <w:r w:rsidRPr="006F072D">
        <w:t>Teisėjų kolegija, spręsdama dėl nukentėjusiųjų teisės į neturtinės žalos atlyginimą, taip pat pasisakys ir dėl pirmosios instancijos teismo neišnagrinėto nukentėjusiosios O. P. civilinio ieškinio, kadangi neteisėti veiksmai, kurie nurodomi nukentėjusios O. P. civiliniame ieškinyje, kyla iš tų pačių nusikalstamų veikų, padarytų 1991 m. sausio mėn., t. y. šie civiliniai ieškiniai turi būti sprendžiami, vadovaujantis analogiškomis teisės normomis ir principais. Teisėjų kolegija, įvertinusi, kad dėl byloje pareikštų civilinių ieškinių yra susiklosčiusi skirtinga procesinė situacija, be to, kiekvieno iš nukentėjusiųjų dvasiniai išgyvenimai, nepatogumai, dvasinis sukrėtimas ir kitos aplinkybės, sudarančios pagrindą spręsti dėl jiems atlygintinos neturtinės žalos dydžio, skiriasi, bendrai pasisako tik dėl jų teisės į tokios žalos atlyginimą, o vėliau individualiai vertins jų pareikštų civilinių ieškinių pagrįstumą</w:t>
      </w:r>
      <w:r w:rsidRPr="00C00255">
        <w:t>.</w:t>
      </w:r>
    </w:p>
    <w:p w:rsidR="00DA38E9" w:rsidRPr="00C00255" w:rsidRDefault="00DA38E9" w:rsidP="00DA38E9">
      <w:pPr>
        <w:pStyle w:val="ListParagraph"/>
        <w:numPr>
          <w:ilvl w:val="0"/>
          <w:numId w:val="6"/>
        </w:numPr>
        <w:spacing w:before="120" w:after="120"/>
        <w:ind w:left="992" w:hanging="992"/>
        <w:contextualSpacing w:val="0"/>
      </w:pPr>
      <w:r w:rsidRPr="006F072D">
        <w:t>Spręsdamas dėl neturtinės žalos atlyginimo, pirmosios instancijos teismas rėmėsi principu, kad civiliniai įstatymai atgal negalioja, t. y. šioje byloje CK 6.250 straipsnio 2 dalis, numatanti neturtinės žalos atlyginimą, negali būti taikoma, nes nuteistųjų nusikalstami veiksmai, iš kurių nukentėjusieji kildina jiems padarytą neturtinę žalą, atlikti 1991 m. sausio mėn., kai tuo metu galioję 1961 m. Baudžiamojo proceso kodeksas ir 1964 m. Civilinis kodeksas neturtinės žalos atlyginimo instituto nenumatė. Teisėjų kolegijos vertinimu, toks teisės normų aiškinimas neatitinka šioje byloje susiklosčiusios išskirtinės faktinės teisinės situacijos, taip pat bendrųjų teisės principų – sąžiningumo, teisingumo ir protingumo, kurie taikytini sprendžiant ginčus teismine tvarka, nepaisant to, kada yra atsiradę teisiniai santykiai, iš kurių yra kilęs ginčas. Taip pat, teisėjų kolegija sprendžia, kad nagrinėjamu atveju nebuvo atsižvelgta į pamatines nuostatas, įtvirtintas Lietuvos valstybės pamatiniuose konstituciniuose aktuose, išreiškiančias Lietuvos valstybės konstitucines tradicijas, įgyvendinamas 1992 m. spalio 25 d. referendumu priimtoje Konstitucijoje, Lietuvos tautai pasirinkus konkretų Konstitucijos nuostatų turinį</w:t>
      </w:r>
      <w:r w:rsidRPr="00C00255">
        <w:t xml:space="preserve">. </w:t>
      </w:r>
    </w:p>
    <w:p w:rsidR="00DA38E9" w:rsidRPr="00C00255" w:rsidRDefault="00DA38E9" w:rsidP="00DA38E9">
      <w:pPr>
        <w:pStyle w:val="ListParagraph"/>
        <w:numPr>
          <w:ilvl w:val="0"/>
          <w:numId w:val="6"/>
        </w:numPr>
        <w:spacing w:before="120" w:after="120"/>
        <w:ind w:left="992" w:hanging="992"/>
        <w:contextualSpacing w:val="0"/>
      </w:pPr>
      <w:r w:rsidRPr="006F072D">
        <w:t>Pirmosios instancijos teismo išvada, kad nusikalstamų veiksmų atlikimo metu galioję įstatymai neturtinės žalos atlyginimo instituto nenumatė, dėl ko nukentėjusiųjų reikalavimas dėl neturtinės žalos priteisimo teismo laikytas nepagrįstu, neatitinka reikalavimo teisės normas aiškinti laikantis sąžiningumo, teisingumo ir protingumo principų. Teisėjų kolegijos vertinimu, sprendžiant dėl neturtinės žalos atlyginimo šioje baudžiamojoje byloje, to negalima daryti atsietai nuo istorinio konteksto – Lietuvos okupacijos ir aneksijos, 1990 m. kovo 11 d. Aukščiausiosios Tarybos –Atkuriamojo Seimo priimto akto dėl Lietuvos nepriklausomos valstybės atkūrimo, kuriuo teisiškai atkurta Lietuvos valstybės nepriklausomybė, taip pat atsižvelgiant į tai, kad nuo pat nepriklausomybės atkūrimo, nepriklausomos valstybės ir jos civilių gyventojų atžvilgiu buvo taikytos prievartos priemonės ir vykdoma atvira didelio masto ir sisteminga agresija, kaip konstatuota nagrinėjamoje byloje. Šių istorinių aplinkybių kontekste, teiginys, kad 1991 m. sausio mėn. nusikalstamų veiksmų padarymo metu galioję įstatymai nenumatė teisės į neturtinės žalos atlyginimą, vertintinas kaip nepagrįstas ir pernelyg formalus</w:t>
      </w:r>
      <w:r w:rsidRPr="00C00255">
        <w:t xml:space="preserve">. </w:t>
      </w:r>
    </w:p>
    <w:p w:rsidR="00DA38E9" w:rsidRPr="00C00255" w:rsidRDefault="00DA38E9" w:rsidP="00DA38E9">
      <w:pPr>
        <w:pStyle w:val="ListParagraph"/>
        <w:numPr>
          <w:ilvl w:val="0"/>
          <w:numId w:val="6"/>
        </w:numPr>
        <w:spacing w:before="120" w:after="120"/>
        <w:ind w:left="992" w:hanging="992"/>
        <w:contextualSpacing w:val="0"/>
      </w:pPr>
      <w:r w:rsidRPr="006F072D">
        <w:t xml:space="preserve">Pažymėtina, kad būtinumas atlyginti asmeniui padarytą materialinę ir moralinę žalą yra nustatytas Lietuvių tautos 1992 m. spalio 25 d. referendume priimtoje Konstitucijoje, kuri įsigaliojo 1992 m. lapkričio 2 d. Pagal Konstitucijos 30 straipsnio 2 dalį, konstitucinį teisingumo principą negali būti tokio teisinio reguliavimo, kuris sudarytų prielaidas susiklostyti tokioms situacijoms, kad asmenų patirta žala negalėtų būti teisingai atlyginta. Konstitucinis būtinumo atlyginti asmeniui padarytą materialinę ir moralinę žalą principas neatsiejamas nuo Konstitucijoje įtvirtinto teisingumo principo: įstatymais turi būti sudarytos visos reikiamos teisinės prielaidos padarytą žalą atlyginti teisingai. Vien tai, kad atitinkamas teisėkūros subjektas tam tikrų santykių laiku nesureguliuoja teisiškai arba juos teisiškai sureguliuoja nepakankamai, nereiškia, kad teismai negali ir neturi vykdyti teisingumo. Tokiais atvejais nepaneigiama galimybė teismams tam tikru mastu teisės spragas užpildyti </w:t>
      </w:r>
      <w:r w:rsidRPr="006F072D">
        <w:rPr>
          <w:i/>
          <w:iCs/>
        </w:rPr>
        <w:t>ad hoc</w:t>
      </w:r>
      <w:r w:rsidRPr="006F072D">
        <w:t xml:space="preserve"> ir taikant teisę (</w:t>
      </w:r>
      <w:r w:rsidRPr="006F072D">
        <w:rPr>
          <w:i/>
          <w:iCs/>
        </w:rPr>
        <w:t>inter alia</w:t>
      </w:r>
      <w:r w:rsidRPr="006F072D">
        <w:t xml:space="preserve"> naudojantis teisės analogija, taikant bendruosius teisės principus, taip pat aukštesnės galios teisės aktus, pirmiausia Konstituciją) (Konstitucinio Teismo 2010 m. lapkričio 29 d. nutarimas). Konstitucijos 30 straipsnio 2 dalies nuostata, įtvirtinanti asmens teisę į jam padarytos materialinės ir moralinės žalos atlyginimą, įpareigoja įstatymų leidėją nustatyti pakankamas tos teisės įgyvendinimo priemones (Konstitucinio Teismo 2000 m. birželio 30 d., 2004 m. gruodžio 13 d., 2010 m. vasario 3 d. nutarimai). Taigi, vien tai, kad nusikalstamų veikų padarymo metu, t. y. 1991 m. sausio mėn., teisės aktuose nebuvo įtvirtinta asmens teisė reikalauti neturtinės žalos atlyginimo, jokiu būdu negali būti pagrindas paneigti šią teisę. Pagal Konstitucijos 30 straipsnio 2 dalį, konstitucinį teisingumo principą negali būti tokio teisinio reguliavimo, kuris sudarytų prielaidas susiklostyti tokioms situacijoms, kad asmenų patirta žala, šiuo atveju dėl 1991 m. sausio mėn. įvykdytų nusikaltimų, numatytų BK 100, 101, 103, 111 ir 112 straipsniuose, negalėtų būti teisingai atlyginta. Kitoks teisinis aiškinimas prieštarautų Konstitucijai</w:t>
      </w:r>
      <w:r w:rsidRPr="00C00255">
        <w:t xml:space="preserve">. </w:t>
      </w:r>
    </w:p>
    <w:p w:rsidR="00DA38E9" w:rsidRPr="00C00255" w:rsidRDefault="00DA38E9" w:rsidP="00DA38E9">
      <w:pPr>
        <w:pStyle w:val="ListParagraph"/>
        <w:numPr>
          <w:ilvl w:val="0"/>
          <w:numId w:val="6"/>
        </w:numPr>
        <w:spacing w:before="120" w:after="120"/>
        <w:ind w:left="992" w:hanging="992"/>
        <w:contextualSpacing w:val="0"/>
      </w:pPr>
      <w:r w:rsidRPr="006F072D">
        <w:t>Taip pat pažymėtina, kad nors Konstitucija buvo priimta 1992 m. spalio 25 d. ir įsigaliojo 1992 m. lapkričio 2 d., t. y. po 1991 m. sausio mėn. įvykių, kurių metu atlikti nusikalstami veiksmai, sudarantys pagrindą neturtinei žalai atlyginti, tai negali būti vertinama pagrindu atsisakyti atlyginti nurodytais nusikaltimais nukentėjusiesiems padarytą žalą. Aiškinant nukentėjusiųjų teisę į padarytos žalos atlyginimą, būtina vadovautis Lietuvos valstybės pamatiniais konstituciniais aktais</w:t>
      </w:r>
      <w:r w:rsidRPr="00C00255">
        <w:t xml:space="preserve">. </w:t>
      </w:r>
    </w:p>
    <w:p w:rsidR="00DA38E9" w:rsidRPr="00C00255" w:rsidRDefault="00DA38E9" w:rsidP="00DA38E9">
      <w:pPr>
        <w:pStyle w:val="ListParagraph"/>
        <w:numPr>
          <w:ilvl w:val="0"/>
          <w:numId w:val="6"/>
        </w:numPr>
        <w:spacing w:before="120" w:after="120"/>
        <w:ind w:left="992" w:hanging="992"/>
        <w:contextualSpacing w:val="0"/>
      </w:pPr>
      <w:r w:rsidRPr="006F072D">
        <w:t>Pagrindinis iš Lietuvos valstybės pamatinių konstitucinių aktų yra steigiamojo pobūdžio Lietuvos Tarybos 1918 m. vasario 16 d. nutarimas (Nepriklausomybės Aktas). 1918 m. vasario 16 d. Nepriklausomybės Aktu buvo įkurta šiuolaikinė Lietuvos valstybė kaip tarptautinės teisės subjektas; jame taip pat įtvirtinti nepakeičiami pamatiniai Lietuvos valstybės konstitucinės santvarkos principai – nepriklausomybė ir demokratija, nuo kurios neatsiejamas prigimtinis žmogaus teisių ir laisvių pobūdis. Be 1918 m. vasario 16 d. Nepriklausomybės Akto, Lietuvos valstybės konstitucinį pamatą sudaro ir 1920 m. gegužės 15 d. Steigiamojo Seimo rezoliucija dėl atstatytos Lietuvos demokratinės valstybės, kuria Lietuvos valstybė paskelbta demokratine respublika. Kitas Lietuvos valstybės pamatinis konstitucinis aktas yra atkuriamojo pobūdžio 1990 m. kovo 11 d. Lietuvos Respublikos Aukščiausiosios Tarybos Aktas „Dėl Lietuvos Nepriklausomos Valstybės atstatymo“, kuriuo buvo atkurta Lietuvos Respublikos Nepriklausomybė. Šis Aktas kyla iš 1918 m. vasario 16 d. Nepriklausomybės Akto, įgyvendindamas jame įtvirtintus minėtus nepakeičiamus pamatinius konstitucinius principus, taip pat iš 1920 m. gegužės 15 d. Steigiamojo Seimo rezoliucijos dėl atstatytos Lietuvos demokratinės valstybės, įgyvendindamas minėtą šios rezoliucijos pamatinę nuostatą, kad Lietuvos valstybė yra demokratinė respublika. Taigi, 1992 m. spalio 25 d. referendumu Lietuvos piliečių priimta Konstitucija kyla ne tik iš 1918 m. vasario 16 d. Nepriklausomybės Akto (kartu su 1920 m. gegužės 15 d. Steigiamojo Seimo rezoliucija dėl atstatytos Lietuvos demokratinės valstybės), bet ir iš 1990 m. kovo 11 d. Akto „Dėl Lietuvos Nepriklausomos Valstybės atstatymo“. Todėl Konstitucijos 1 straipsnis turi būti aiškinamas atsižvelgiant, be kita ko, į 1990 m. kovo 11 d. Aktu „Dėl Lietuvos Nepriklausomos Valstybės atstatymo“ konstatuotą valstybės tęstinumą ir jos konstitucinį tapatumą 1918 m. vasario 16 d. Nepriklausomybės Aktu įkurtai šiuolaikinei Lietuvos valstybei (Konstitucinio Teismo 2020 m liepos 30 d. nutarimas). Taigi, 1990 m. kovo 11 d. Aktu „Dėl Lietuvos Nepriklausomos Valstybės atstatymo“ konstatuotas valstybės tęstinumas ir jos konstitucinis tapatumas, todėl 1992 m. spalio 25 d. referendumu Lietuvos piliečių priimta Konstitucija, kaip aukščiausioji teisė, įtvirtina ir besąlygiškai saugo konstitucines vertybes, kurios buvo įtvirtintos dar 1918 m. vasario 16 d. atkūrus Lietuvos valstybę, todėl pamatiniai konstituciniai principai – nepriklausomybė, demokratija, prigimtinis žmogaus teisių ir laisvių pobūdis egzistavo dar iki 1991 m. sausio mėn. įvykių. Tai, teisėjų kolegijos vertinimu, leidžia daryti pagrįstą išvadą, kad Konstitucija, kurioje išdėstyti nepriklausomybę atkūrusios Lietuvos valstybės būsimos konstitucinės santvarkos pagrindai ir principai, išreiškiantys Lietuvos valstybės konstitucines tradicijas, gali būti taikoma tiesiogiai, kaip teisinis pagrindas, užtikrinantis nukentėjusiųjų teisę į neturtinės žalos atlyginim</w:t>
      </w:r>
      <w:r w:rsidRPr="00C00255">
        <w:t xml:space="preserve">ą. </w:t>
      </w:r>
    </w:p>
    <w:p w:rsidR="00DA38E9" w:rsidRPr="00C00255" w:rsidRDefault="00DA38E9" w:rsidP="00DA38E9">
      <w:pPr>
        <w:pStyle w:val="ListParagraph"/>
        <w:numPr>
          <w:ilvl w:val="0"/>
          <w:numId w:val="6"/>
        </w:numPr>
        <w:spacing w:before="120" w:after="120"/>
        <w:ind w:left="992" w:hanging="992"/>
        <w:contextualSpacing w:val="0"/>
      </w:pPr>
      <w:r w:rsidRPr="00C00255">
        <w:t xml:space="preserve">Dar daugiau, pagal Konstitucijos 150 straipsnio nuostatas Lietuvos Respublikos Konstitucijos sudedamąja dalimi yra Aukščiausiosios Tarybos 1992 m. spalio 25 d. įstatymas dėl Lietuvos Respublikos Konstitucijos įsigaliojimo tvarkos. Šio įstatymo 2 straipsnyje nustatyta, kad įstatymai, kiti teisiniai aktai ar jų dalys, galioję Lietuvos Respublikos teritorijoje iki Lietuvos Respublikos Konstitucijos priėmimo, galioja tiek, kiek jie neprieštarauja Konstitucijai ir šiam įstatymui, ir galios tol, kol nebus pripažinti netekusiais galios ar suderinti su Konstitucijos nuostatomis. Tai patvirtina išvadą, kad pareiga atlyginti asmeniui padarytą materialinę ir moralinę žalą buvo nustatyta dar iki 1992 m. spalio 25 d. referendume priimtos Konstitucijos. </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t xml:space="preserve">Taip pat pažymėtina, kad skundžiama nuosprendžio dalis, kuria netenkinti civiliniai ieškiniai, prieštarauja ir kasacinio teismo formuojamai praktikai. Lietuvos Aukščiausiojo Teismo praktikoje remiantis Konstitucinio Teismo išaiškinimais, taip pat pripažįstama </w:t>
      </w:r>
      <w:r w:rsidRPr="00C00255">
        <w:rPr>
          <w:color w:val="000000"/>
          <w:shd w:val="clear" w:color="auto" w:fill="FFFFFF"/>
        </w:rPr>
        <w:t xml:space="preserve">galimybė teismams tam tikru mastu teisės spragas užpildyti ir taikyti teisę bei tokiu būdu spręsti dėl nukentėjusiųjų teisės į žalos atlyginimą (LAT 2013 m. gegužės 15 d. nutartis baudžiamojoje byloje Nr. </w:t>
      </w:r>
      <w:r w:rsidRPr="00C00255">
        <w:rPr>
          <w:color w:val="000000" w:themeColor="text1"/>
          <w:lang w:eastAsia="lt-LT" w:bidi="lt-LT"/>
        </w:rPr>
        <w:t>2K-575/2013,</w:t>
      </w:r>
      <w:r w:rsidRPr="00C00255">
        <w:rPr>
          <w:color w:val="000000"/>
          <w:shd w:val="clear" w:color="auto" w:fill="FFFFFF"/>
        </w:rPr>
        <w:t xml:space="preserve"> 2016 m. birželio 16 d. nutartis baudžiamojoje byloje Nr. 2K-7-2-699/2016, 2011 m. vasario 28 d. nutartis civilinėje byloje Nr. 3K-7-70/2011, Lietuvos apeliacinio teismo nuosprendis baudžiamojoje byloje Nr. 1A-32-628/2017, </w:t>
      </w:r>
      <w:r w:rsidRPr="00C00255">
        <w:t>Vilniaus apygardos teismo nuosprendis baudžiamojoje byloje Nr. 1-18-487/2016</w:t>
      </w:r>
      <w:r w:rsidRPr="00C00255">
        <w:rPr>
          <w:color w:val="000000"/>
          <w:shd w:val="clear" w:color="auto" w:fill="FFFFFF"/>
        </w:rPr>
        <w:t>). Šiuose teismų procesiniuose sprendimuose konstatuota, kad asmenų teisę į neturtinės žalos atlyginimą užtikrina Konstitucija ir vien tai, kad įstatymų leidėjas nebuvo reglamentavęs neturtinės žalos atlyginimo, neatima iš nukentėjusiųjų teisės į tokios žalos atlyginimą.</w:t>
      </w:r>
    </w:p>
    <w:p w:rsidR="00DA38E9" w:rsidRPr="00C00255" w:rsidRDefault="00DA38E9" w:rsidP="00DA38E9">
      <w:pPr>
        <w:pStyle w:val="ListParagraph"/>
        <w:numPr>
          <w:ilvl w:val="0"/>
          <w:numId w:val="6"/>
        </w:numPr>
        <w:spacing w:before="120" w:after="120"/>
        <w:ind w:left="992" w:hanging="992"/>
        <w:contextualSpacing w:val="0"/>
      </w:pPr>
      <w:r w:rsidRPr="00C00255">
        <w:t>Teisėjų kolegija, įvertinusi pirmiau nurodytas aplinkybes, Konstitucinio Teismo jurisprudenciją ir kasacinio teismo išaiškinimus, daro išvadą, kad pirmosios instancijos teismas nepagrįstai sprendė, jog dėl 1991 m. sausio mėn. atliktų nusikalstamų veiksmų nukentėjusieji neturi teisės į neturtinės žalos atlyginimą. Tokia teisė yra užtikrinta Konstitucijos 30 straipsnio 2 dalimi. Pagal Konstitucijos 30 straipsnio 2 dalį asmeniui padarytos materialinės ir moralinės žalos atlyginimą nustato įstatymas, todėl sprendžiant dėl konkrečių civilinės atsakomybės sąlygų, neturtinės žalos dydžio nustatymo kriterijų pagal įstatymo analogiją taikytinos atitinkamos 2000 m. CK normos (BPK 113 straipsnis, CPK 3 straipsnio 7 dalis, CK 1.8 straipsnio 1 dalis).</w:t>
      </w:r>
    </w:p>
    <w:p w:rsidR="00DA38E9" w:rsidRPr="00C00255" w:rsidRDefault="00DA38E9" w:rsidP="00DA38E9">
      <w:pPr>
        <w:pStyle w:val="ListParagraph"/>
        <w:numPr>
          <w:ilvl w:val="0"/>
          <w:numId w:val="6"/>
        </w:numPr>
        <w:spacing w:before="120" w:after="120"/>
        <w:ind w:left="992" w:hanging="992"/>
        <w:contextualSpacing w:val="0"/>
      </w:pPr>
      <w:r w:rsidRPr="006F072D">
        <w:t>Neturtinė žala suprantama kaip asmens fizinis skausmas, dvasiniai išgyvenimai, nepatogumai, dvasinis sukrėtimas, emocinė depresija, pažeminimas, reputacijos pablogėjimas, bendravimo galimybių sumažėjimas ir kita, teismo įvertinti pinigais (CK 6.250 straipsnio 1 dalis). Išgyvenimai dėl asmeniui gyvybiškai svarbių dalykų, tokių kaip asmens gyvybė, sveikata, yra ypač dideli. CK 6.250 straipsnio 2 dalyje įtvirtinta nuostata, kad neturtinė žala yra atlyginama visais atvejais, kai ji padaryta dėl nusikaltimo, asmens sveikatai ar dėl asmens gyvybės atėmimo bei kitais įstatymo nustatytais atvejais. Kasacinis teismas savo nutartyse yra ne kartą pažymėjęs, kad nusikalstama veika padarytos neturtinės žalos dydis nustatomas vadovaujantis CK nuostatomis ir pagal konkrečioje situacijoje nustatytų teisiškai reikšmingų kriterijų visumą (LAT 2007 m. liepos 17 d. nutartis baudžiamojoje byloje Nr. 2K-420/2007, 2008 m. sausio 8 d. nutartis baudžiamojoje byloje Nr. 2K-114/2008, 2013 m. sausio 15 d. nutartis baudžiamojoje byloje Nr. 2K-118/2013). CK nėra nustatytas neturtinės žalos minimumas ar maksimumas, todėl pareiga įvertinti nukentėjusiojo patirtą neturtinę žalą tenka teismui. Teismas, įvertindamas neturtinę žalą pinigais, nustatydamas jos dydį, atsižvelgia į visas reikšmingas bylos aplinkybes, žalos pasekmes, žalą padariusio asmens kaltę, jo turtinę padėtį, padarytos turtinės žalos dydį, taip pat vadovaujasi sąžiningumo, teisingumo ir protingumo kriterijais (CK 6.250 straipsnio 2 dalis). Neturtinės žalos apskaičiavimo kriterijų sąrašas nėra baigtinis, todėl teismas privalo atsižvelgti ir į kitas reikšmingas bylos faktines aplinkybes, mažinančias ar didinančias neturtinės žalos atlyginimą. Neturtinės žalos atlyginimo atveju visiško žalos atlyginimo principas objektyviai negali būti taikomas visa apimtimi, nes neturtinės žalos neįmanoma tiksliai įvertinti pinigais. Kasacinis teismas taip pat yra išaiškinęs, kad teismo pareiga yra nustatyti teisingą kompensaciją už patirtus neturtinio pobūdžio išgyvenimus, praradimus, parenkant tokią piniginę satisfakciją, kuri kiek galima teisingiau kompensuotų nukentėjusiojo neturtinėms vertybėms padarytą žalą (LAT 2007 m. spalio 8 d. nutartis civilinėje byloje Nr. 3K-3-604/2005)</w:t>
      </w:r>
      <w:r w:rsidRPr="00C00255">
        <w:t>.</w:t>
      </w:r>
    </w:p>
    <w:p w:rsidR="00DA38E9" w:rsidRPr="00C00255" w:rsidRDefault="00DA38E9" w:rsidP="00DA38E9">
      <w:pPr>
        <w:pStyle w:val="ListParagraph"/>
        <w:numPr>
          <w:ilvl w:val="0"/>
          <w:numId w:val="6"/>
        </w:numPr>
        <w:spacing w:before="120" w:after="120"/>
        <w:ind w:left="992" w:hanging="992"/>
        <w:contextualSpacing w:val="0"/>
      </w:pPr>
      <w:r w:rsidRPr="006F072D">
        <w:t>Lietuvos Aukščiausiojo Teismo praktikoje pažymėta, kad įstatyme nustatytas neturtinės žalos dydžiui reikšmingų kriterijų sąrašas laikytinas pagrindiniu (universaliu), todėl jame įtvirtinti kriterijai turėtų būti teismo ištirti ir įvertinti kiekvienoje byloje, kurioje sprendžiamas klausimas dėl neturtinės žalos atlyginimo dydžio. Šis sąrašas yra nebaigtinis, todėl teismas turi aiškintis ir vertinti konkrečiai bylai svarbias neturtinės žalos padarymo aplinkybes ir kitus faktus, reikšmingus nustatant tokio pobūdžio žalos dydį, į kurių visumą įeina ir aplinkybės, dėl kurių neturtinės žalos atlyginimo dydis gali būti nustatytas ir mažesnis už reikalaujamą, nes kiekvienu konkrečiu atveju pažeidžiama skirtinga įstatymo saugoma teisinė vertybė ir neturtinė žala patiriama individualiai. Nustatydamas neturtinės žalos dydį, teismas, be to, remiasi ir teisingumo, protingumo ir sąžiningumo principais, kurių laikymasis, taikant bei aiškinant teisės normas, leidžia teismui atsižvelgti į konkrečios situacijos ypatumus, užtikrinti skirtingų interesų pusiausvyrą. Įstatymų leidėjas neatskleidžia šių principų turinio, nes jų aiškinimas ir taikymas kiekvienu konkrečiu atveju priklauso nuo faktinių bylos aplinkybių</w:t>
      </w:r>
      <w:r w:rsidRPr="00C00255">
        <w:t>.</w:t>
      </w:r>
    </w:p>
    <w:p w:rsidR="00DA38E9" w:rsidRPr="00C00255" w:rsidRDefault="00DA38E9" w:rsidP="00DA38E9">
      <w:pPr>
        <w:pStyle w:val="Heading4"/>
        <w:spacing w:before="120" w:after="120"/>
        <w:ind w:left="992"/>
        <w:rPr>
          <w:rFonts w:ascii="Times New Roman" w:hAnsi="Times New Roman"/>
          <w:b w:val="0"/>
          <w:i/>
          <w:sz w:val="24"/>
          <w:szCs w:val="24"/>
        </w:rPr>
      </w:pPr>
      <w:r w:rsidRPr="00C00255">
        <w:rPr>
          <w:rFonts w:ascii="Times New Roman" w:hAnsi="Times New Roman"/>
          <w:b w:val="0"/>
          <w:i/>
          <w:sz w:val="24"/>
          <w:szCs w:val="24"/>
        </w:rPr>
        <w:t xml:space="preserve">Dėl nukentėjusiesiems </w:t>
      </w:r>
      <w:r>
        <w:rPr>
          <w:rFonts w:ascii="Times New Roman" w:hAnsi="Times New Roman"/>
          <w:b w:val="0"/>
          <w:i/>
          <w:sz w:val="24"/>
          <w:szCs w:val="24"/>
        </w:rPr>
        <w:t>R. P.</w:t>
      </w:r>
      <w:r w:rsidRPr="00C00255">
        <w:rPr>
          <w:rFonts w:ascii="Times New Roman" w:hAnsi="Times New Roman"/>
          <w:b w:val="0"/>
          <w:i/>
          <w:sz w:val="24"/>
          <w:szCs w:val="24"/>
        </w:rPr>
        <w:t xml:space="preserve"> ir </w:t>
      </w:r>
      <w:r>
        <w:rPr>
          <w:rFonts w:ascii="Times New Roman" w:hAnsi="Times New Roman"/>
          <w:b w:val="0"/>
          <w:i/>
          <w:sz w:val="24"/>
          <w:szCs w:val="24"/>
        </w:rPr>
        <w:t>O. P.</w:t>
      </w:r>
      <w:r w:rsidRPr="00C00255">
        <w:rPr>
          <w:rFonts w:ascii="Times New Roman" w:hAnsi="Times New Roman"/>
          <w:b w:val="0"/>
          <w:i/>
          <w:sz w:val="24"/>
          <w:szCs w:val="24"/>
        </w:rPr>
        <w:t xml:space="preserve"> padarytos neturtinės žalos</w:t>
      </w:r>
    </w:p>
    <w:p w:rsidR="00DA38E9" w:rsidRPr="006F072D" w:rsidRDefault="00DA38E9" w:rsidP="00DA38E9">
      <w:pPr>
        <w:pStyle w:val="ListParagraph"/>
        <w:numPr>
          <w:ilvl w:val="0"/>
          <w:numId w:val="6"/>
        </w:numPr>
        <w:spacing w:before="120" w:after="120"/>
        <w:ind w:left="992" w:hanging="992"/>
        <w:contextualSpacing w:val="0"/>
        <w:rPr>
          <w:color w:val="000000"/>
          <w:shd w:val="clear" w:color="auto" w:fill="FFFFFF"/>
        </w:rPr>
      </w:pPr>
      <w:r w:rsidRPr="006F072D">
        <w:rPr>
          <w:color w:val="000000"/>
          <w:shd w:val="clear" w:color="auto" w:fill="FFFFFF"/>
        </w:rPr>
        <w:t xml:space="preserve">Kaip minėta kiekvieno iš nukentėjusiųjų patirta neturtinė žala dėl ypatingo jos pobūdžio turi būti individualizuota, taip pat įvertintos kitos nuteistųjų atsakomybės sąlygos dėl tokios žalos padarymo. </w:t>
      </w:r>
    </w:p>
    <w:p w:rsidR="00DA38E9" w:rsidRPr="006F072D" w:rsidRDefault="00DA38E9" w:rsidP="00DA38E9">
      <w:pPr>
        <w:pStyle w:val="ListParagraph"/>
        <w:numPr>
          <w:ilvl w:val="0"/>
          <w:numId w:val="6"/>
        </w:numPr>
        <w:spacing w:before="120" w:after="120"/>
        <w:ind w:left="992" w:hanging="992"/>
        <w:contextualSpacing w:val="0"/>
        <w:rPr>
          <w:color w:val="000000"/>
          <w:shd w:val="clear" w:color="auto" w:fill="FFFFFF"/>
        </w:rPr>
      </w:pPr>
      <w:r w:rsidRPr="006F072D">
        <w:rPr>
          <w:color w:val="000000"/>
          <w:shd w:val="clear" w:color="auto" w:fill="FFFFFF"/>
        </w:rPr>
        <w:t xml:space="preserve">Teismų praktikoje susiformavo nuostata, jog gyvybės atėmimo atveju esminis neturtinės žalos atlyginimo dydžio nustatymo kriterijus yra negrįžtami padariniai. Tokiu atveju svarbu įvertinti mirusiojo ir nukentėjusiųjų artumą, jų dvasinius išgyvenimus dėl staigios labai artimo žmogaus netekties, nepriklausomai nuo mirusio asmens socialinio, ekonominio, kultūrinio statuso visuomenėje. Neturtinė žala dėl artimo asmens netekties yra asmeninio, o ne visuomeninio pobūdžio santykiai, todėl teisėjų kolegija, vadovaudamasi aptartais kriterijais bei laikydamasi teisingumo, protingumo ir sąžiningumo principų, turi nustatyti, įvertinti ir pasisakyti dėl šeimos narių ryšių pobūdžio, jų bendravimo aplinkybių, bendravimo intensyvumo, dažnumo ir kitų reikšmingų aplinkybių. Vienu iš svarbių kriterijų yra dvasinis asmenų ryšys, tačiau būtina atsižvelgti į tai, kad minėtas ryšys, jo intensyvumas vėlgi teismų gali būti nustatytas įvertinus bylos medžiagą ir duomenis bei nukentėjusiųjų teiginius tiek atskirai, tiek kaip visumą (LAT 2018 m. lapkričio 20 d. nutartis baudžiamojoje byloje Nr. 2K-316-1073/2018). </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rPr>
          <w:color w:val="000000"/>
          <w:shd w:val="clear" w:color="auto" w:fill="FFFFFF"/>
        </w:rPr>
        <w:t xml:space="preserve">Byloje nustatyta, kad teismo nuosprendžiu nėra pasisakyta dėl nukentėjusios </w:t>
      </w:r>
      <w:r>
        <w:rPr>
          <w:color w:val="000000"/>
          <w:shd w:val="clear" w:color="auto" w:fill="FFFFFF"/>
        </w:rPr>
        <w:t>O. P.</w:t>
      </w:r>
      <w:r w:rsidRPr="00C00255">
        <w:rPr>
          <w:color w:val="000000"/>
          <w:shd w:val="clear" w:color="auto" w:fill="FFFFFF"/>
        </w:rPr>
        <w:t xml:space="preserve"> pareikšto civilinio ieškinio. Priimdamas apkaltinamąjį nuosprendį, teismas privalo išspręsti civilinį ieškinį (</w:t>
      </w:r>
      <w:bookmarkStart w:id="1020" w:name="n9439b0aa-b098-401e-b6e8-736cad9f0f6e"/>
      <w:r w:rsidRPr="00670D48">
        <w:rPr>
          <w:iCs/>
          <w:szCs w:val="24"/>
          <w:shd w:val="clear" w:color="auto" w:fill="FFFFFF"/>
        </w:rPr>
        <w:t>BPK</w:t>
      </w:r>
      <w:bookmarkStart w:id="1021" w:name="pn9439b0aa-b098-401e-b6e8-736cad9f0f6e"/>
      <w:bookmarkEnd w:id="1020"/>
      <w:bookmarkEnd w:id="1021"/>
      <w:r w:rsidRPr="00C00255">
        <w:t xml:space="preserve"> </w:t>
      </w:r>
      <w:r w:rsidRPr="00C00255">
        <w:rPr>
          <w:color w:val="000000"/>
          <w:shd w:val="clear" w:color="auto" w:fill="FFFFFF"/>
        </w:rPr>
        <w:t xml:space="preserve">115 straipsnio 1 dalis, 305 straipsnio 5 dalis, </w:t>
      </w:r>
      <w:bookmarkStart w:id="1022" w:name="n6ff0d055-0278-4a73-9e56-b6822326feb9"/>
      <w:r w:rsidRPr="00C00255">
        <w:rPr>
          <w:color w:val="000000"/>
          <w:shd w:val="clear" w:color="auto" w:fill="FFFFFF"/>
        </w:rPr>
        <w:t>307 straipsnio</w:t>
      </w:r>
      <w:bookmarkStart w:id="1023" w:name="pn6ff0d055-0278-4a73-9e56-b6822326feb9"/>
      <w:bookmarkEnd w:id="1022"/>
      <w:bookmarkEnd w:id="1023"/>
      <w:r w:rsidRPr="00C00255">
        <w:rPr>
          <w:color w:val="000000"/>
          <w:shd w:val="clear" w:color="auto" w:fill="FFFFFF"/>
        </w:rPr>
        <w:t xml:space="preserve"> 6 dalies 1 punktas), t. y., remdamasis įrodymais dėl civilinio ieškinio pagrįstumo ir dydžio, visiškai ar iš dalies patenkina pareikštą civilinį ieškinį arba jį atmeta (</w:t>
      </w:r>
      <w:bookmarkStart w:id="1024" w:name="n5ffcee07-4c2d-49c4-b80f-859d6df8bf27"/>
      <w:r w:rsidRPr="00670D48">
        <w:rPr>
          <w:iCs/>
          <w:szCs w:val="24"/>
          <w:shd w:val="clear" w:color="auto" w:fill="FFFFFF"/>
        </w:rPr>
        <w:t>BPK</w:t>
      </w:r>
      <w:bookmarkStart w:id="1025" w:name="pn5ffcee07-4c2d-49c4-b80f-859d6df8bf27"/>
      <w:bookmarkStart w:id="1026" w:name="n81fe0f5b-c2be-4767-88d4-9928ef4644ab"/>
      <w:bookmarkEnd w:id="1024"/>
      <w:bookmarkEnd w:id="1025"/>
      <w:r w:rsidRPr="00C00255">
        <w:rPr>
          <w:color w:val="000000"/>
          <w:shd w:val="clear" w:color="auto" w:fill="FFFFFF"/>
        </w:rPr>
        <w:t xml:space="preserve"> </w:t>
      </w:r>
      <w:r w:rsidRPr="00670D48">
        <w:rPr>
          <w:rStyle w:val="Hyperlink"/>
          <w:iCs/>
          <w:color w:val="000000"/>
          <w:szCs w:val="24"/>
          <w:u w:val="none"/>
          <w:shd w:val="clear" w:color="auto" w:fill="FFFFFF"/>
        </w:rPr>
        <w:t>113</w:t>
      </w:r>
      <w:bookmarkStart w:id="1027" w:name="pn81fe0f5b-c2be-4767-88d4-9928ef4644ab"/>
      <w:bookmarkEnd w:id="1026"/>
      <w:bookmarkEnd w:id="1027"/>
      <w:r w:rsidRPr="00C00255">
        <w:rPr>
          <w:color w:val="000000"/>
          <w:shd w:val="clear" w:color="auto" w:fill="FFFFFF"/>
        </w:rPr>
        <w:t xml:space="preserve"> straipsnis,</w:t>
      </w:r>
      <w:bookmarkStart w:id="1028" w:name="n1dbc85e7-c30e-4481-b610-ab5127842751"/>
      <w:r w:rsidRPr="00C00255">
        <w:rPr>
          <w:color w:val="000000"/>
          <w:shd w:val="clear" w:color="auto" w:fill="FFFFFF"/>
        </w:rPr>
        <w:t xml:space="preserve"> </w:t>
      </w:r>
      <w:r w:rsidRPr="00670D48">
        <w:rPr>
          <w:rStyle w:val="Hyperlink"/>
          <w:iCs/>
          <w:color w:val="000000"/>
          <w:szCs w:val="24"/>
          <w:u w:val="none"/>
          <w:shd w:val="clear" w:color="auto" w:fill="FFFFFF"/>
        </w:rPr>
        <w:t>115</w:t>
      </w:r>
      <w:bookmarkStart w:id="1029" w:name="pn1dbc85e7-c30e-4481-b610-ab5127842751"/>
      <w:bookmarkEnd w:id="1028"/>
      <w:bookmarkEnd w:id="1029"/>
      <w:r w:rsidRPr="00C00255">
        <w:t xml:space="preserve"> </w:t>
      </w:r>
      <w:r w:rsidRPr="00C00255">
        <w:rPr>
          <w:color w:val="000000"/>
          <w:shd w:val="clear" w:color="auto" w:fill="FFFFFF"/>
        </w:rPr>
        <w:t>straipsnio 1 dalis).</w:t>
      </w:r>
      <w:r w:rsidRPr="00C00255">
        <w:rPr>
          <w:rFonts w:ascii="Arial" w:hAnsi="Arial" w:cs="Arial"/>
          <w:color w:val="000000"/>
          <w:sz w:val="17"/>
          <w:szCs w:val="17"/>
          <w:shd w:val="clear" w:color="auto" w:fill="FFFFFF"/>
        </w:rPr>
        <w:t xml:space="preserve"> </w:t>
      </w:r>
      <w:r w:rsidRPr="00C00255">
        <w:rPr>
          <w:color w:val="000000"/>
          <w:shd w:val="clear" w:color="auto" w:fill="FFFFFF"/>
        </w:rPr>
        <w:t>BPK 305 ir 307 straipsniuose įtvirtinti reikalavimai, keliami aprašomajai ir rezoliucinei nuosprendžio dalims – a</w:t>
      </w:r>
      <w:r w:rsidRPr="00C00255">
        <w:t xml:space="preserve">prašomojoje nuosprendžio dalyje turi būti nurodyti motyvai, pagrindžiantys sprendimą dėl nusikalstama veika padarytos žalos atlyginimo (BPK 305 straipsnio 5 dalis), o rezoliucinėje dalyje pasisakyta dėl nusikalstama veika padarytos žalos atlyginimo (BPK 307 straipsnio 6 dalies 1 punktas). </w:t>
      </w:r>
      <w:r w:rsidRPr="00C00255">
        <w:rPr>
          <w:color w:val="000000"/>
          <w:shd w:val="clear" w:color="auto" w:fill="FFFFFF"/>
        </w:rPr>
        <w:t>BPK 369 straipsnio 2 dalyje e</w:t>
      </w:r>
      <w:r w:rsidRPr="00C00255">
        <w:t xml:space="preserve">sminiais BPK pažeidimais laikomi tokie BPK reikalavimų pažeidimai, dėl kurių buvo suvaržytos įstatymų garantuotos kaltinamojo teisės ar kurie sukliudė teismui išsamiai ir nešališkai išnagrinėti bylą ir priimti teisingą nuosprendį ar nutartį. Apeliacinės instancijos teismo vertinimu, Vilniaus apygardos teismo padarytas procesinis pažeidimas atitinka nurodytą esminių BPK pažeidimų sąvoką, nes tokiu būdu buvo užkirstas kelias priimti motyvuotą sprendimą dėl vieno iš byloje pareikštų civilinių ieškinių. Iš pirmosios instancijos teismo nuosprendžio akivaizdu, kad teismui buvo žinoma apie byloje pareikštą nukentėjusiosios </w:t>
      </w:r>
      <w:r>
        <w:t>O. P.</w:t>
      </w:r>
      <w:r w:rsidRPr="00C00255">
        <w:t xml:space="preserve"> civilinį ieškinį, tačiau dėl nežinomų priežasčių dėl tokio ieškinio pagrįstumo nuosprendyje nepasisakyta, procesinio sprendimo dėl jo nėra nurodyta ir nuosprendžio rezoliucinėje dalyje. Apeliaciniu skundu šią klaidą prašoma ištaisyti apeliacinės instancijos teisme, todėl teisėjų kolegija šiame procesiniame sprendime pasisako ir dėl </w:t>
      </w:r>
      <w:r>
        <w:t>O. P.</w:t>
      </w:r>
      <w:r w:rsidRPr="00C00255">
        <w:t xml:space="preserve"> pareikšto civilinio ieškinio pagrįstumo.</w:t>
      </w:r>
    </w:p>
    <w:p w:rsidR="00DA38E9" w:rsidRPr="00C00255" w:rsidRDefault="00DA38E9" w:rsidP="00DA38E9">
      <w:pPr>
        <w:pStyle w:val="ListParagraph"/>
        <w:numPr>
          <w:ilvl w:val="1"/>
          <w:numId w:val="6"/>
        </w:numPr>
        <w:spacing w:before="120" w:after="120"/>
        <w:ind w:left="992" w:hanging="992"/>
        <w:contextualSpacing w:val="0"/>
        <w:rPr>
          <w:shd w:val="clear" w:color="auto" w:fill="FFFFFF"/>
        </w:rPr>
      </w:pPr>
      <w:r w:rsidRPr="00C00255">
        <w:rPr>
          <w:color w:val="000000"/>
          <w:shd w:val="clear" w:color="auto" w:fill="FFFFFF"/>
        </w:rPr>
        <w:t xml:space="preserve">Nukentėjusysis </w:t>
      </w:r>
      <w:r>
        <w:rPr>
          <w:color w:val="000000"/>
          <w:shd w:val="clear" w:color="auto" w:fill="FFFFFF"/>
        </w:rPr>
        <w:t>R. P.</w:t>
      </w:r>
      <w:r w:rsidRPr="00C00255">
        <w:rPr>
          <w:color w:val="000000"/>
          <w:shd w:val="clear" w:color="auto" w:fill="FFFFFF"/>
        </w:rPr>
        <w:t xml:space="preserve"> civiliniu ieškiniu prašė priteisti 120 000 Eur neturtinės žalos atlyginimą, motyvuodamas tuo, kad dėl nuteistųjų veiksmų, būdamas 14 metų amžiaus, staiga neteko tėvo A. J. P</w:t>
      </w:r>
      <w:r>
        <w:rPr>
          <w:color w:val="000000"/>
          <w:shd w:val="clear" w:color="auto" w:fill="FFFFFF"/>
        </w:rPr>
        <w:t>.</w:t>
      </w:r>
      <w:r w:rsidRPr="00C00255">
        <w:rPr>
          <w:color w:val="000000"/>
          <w:shd w:val="clear" w:color="auto" w:fill="FFFFFF"/>
        </w:rPr>
        <w:t xml:space="preserve">, su kuriuo siejo glaudus emocinis ryšys, jie kartu praleisdavo daug laiko. Nukentėjusiojo teigimu, tėvo mirtis sukėlė didelius neigiamus dvasinius išgyvenimus, kurie atsispindėjo ir visos šeimos kasdieniniame gyvenime, susirūpinime dėl šeimos ateities. </w:t>
      </w:r>
      <w:r>
        <w:rPr>
          <w:color w:val="000000"/>
          <w:shd w:val="clear" w:color="auto" w:fill="FFFFFF"/>
        </w:rPr>
        <w:t>R. P.</w:t>
      </w:r>
      <w:r w:rsidRPr="00C00255">
        <w:rPr>
          <w:color w:val="000000"/>
          <w:shd w:val="clear" w:color="auto" w:fill="FFFFFF"/>
        </w:rPr>
        <w:t xml:space="preserve"> civiliniame ieškinyje taip pat pažymėjo, kad neigiamus dvasinius išgyvenimus dėl tėvo netekties bei dvasinio ir fizinio ryšio su tėvu trūkumą jaučia iki šiol, po įvykių praėjus beveik trisdešimčiai </w:t>
      </w:r>
      <w:r w:rsidRPr="00C00255">
        <w:rPr>
          <w:shd w:val="clear" w:color="auto" w:fill="FFFFFF"/>
        </w:rPr>
        <w:t>metų (t. 751, b. l. 48</w:t>
      </w:r>
      <w:r w:rsidRPr="00C00255">
        <w:t>–</w:t>
      </w:r>
      <w:r w:rsidRPr="00C00255">
        <w:rPr>
          <w:shd w:val="clear" w:color="auto" w:fill="FFFFFF"/>
        </w:rPr>
        <w:t>50).</w:t>
      </w:r>
    </w:p>
    <w:p w:rsidR="00DA38E9" w:rsidRPr="00C00255" w:rsidRDefault="00DA38E9" w:rsidP="00DA38E9">
      <w:pPr>
        <w:pStyle w:val="ListParagraph"/>
        <w:numPr>
          <w:ilvl w:val="1"/>
          <w:numId w:val="6"/>
        </w:numPr>
        <w:spacing w:before="120" w:after="120"/>
        <w:ind w:left="992" w:hanging="992"/>
        <w:contextualSpacing w:val="0"/>
        <w:rPr>
          <w:shd w:val="clear" w:color="auto" w:fill="FFFFFF"/>
        </w:rPr>
      </w:pPr>
      <w:r w:rsidRPr="00C00255">
        <w:rPr>
          <w:color w:val="000000"/>
          <w:shd w:val="clear" w:color="auto" w:fill="FFFFFF"/>
        </w:rPr>
        <w:t xml:space="preserve">Nukentėjusioji </w:t>
      </w:r>
      <w:r>
        <w:rPr>
          <w:color w:val="000000"/>
          <w:shd w:val="clear" w:color="auto" w:fill="FFFFFF"/>
        </w:rPr>
        <w:t>O. P.</w:t>
      </w:r>
      <w:r w:rsidRPr="00C00255">
        <w:rPr>
          <w:color w:val="000000"/>
          <w:shd w:val="clear" w:color="auto" w:fill="FFFFFF"/>
        </w:rPr>
        <w:t xml:space="preserve"> civiliniu ieškiniu prašė priteisti 150 000 Eur neturtinės žalos atlyginimą, motyvuodama tuo, kad dėl staigios sutuoktinio </w:t>
      </w:r>
      <w:r>
        <w:rPr>
          <w:color w:val="000000"/>
          <w:shd w:val="clear" w:color="auto" w:fill="FFFFFF"/>
        </w:rPr>
        <w:t>A. J. P.</w:t>
      </w:r>
      <w:r w:rsidRPr="00C00255">
        <w:rPr>
          <w:color w:val="000000"/>
          <w:shd w:val="clear" w:color="auto" w:fill="FFFFFF"/>
        </w:rPr>
        <w:t xml:space="preserve">, su kuriuo augino tris vaikus ir kūrė bendrą ateitį, mirties ji patyrė stiprius neigiamus dvasinius išgyvenimus. Šeimoje buvo susiklostę artimi, šilti santykiai. Žinia apie sutuoktinio žūtį jai buvo didelis sukrėtimas, sukėlęs neigiamas emocines ir finansines pasekmes ne tik jai, bet ir visai šeimai. Šeima neteko mylimo, artimo žmogaus, šeimos maitintojo. Dėl sutuoktinio mirties patirti dideli neigiami dvasiniai išgyvenimai atsispindėjo ir visos šeimos kasdieniniame gyvenime, kurį dažnai lydėjo slogi nuotaika, emocinė įtampa, jaudulys dėl vaikų ateities ir gerovės. </w:t>
      </w:r>
      <w:r>
        <w:rPr>
          <w:color w:val="000000"/>
          <w:shd w:val="clear" w:color="auto" w:fill="FFFFFF"/>
        </w:rPr>
        <w:t>O. P.</w:t>
      </w:r>
      <w:r w:rsidRPr="00C00255">
        <w:rPr>
          <w:color w:val="000000"/>
          <w:shd w:val="clear" w:color="auto" w:fill="FFFFFF"/>
        </w:rPr>
        <w:t xml:space="preserve"> nurodė, kad neigiamus dvasinius išgyvenimus dėl sutuoktinio netekties, prarasto glaudaus ryšio ji jaučia iki šiol, po įvykių praėjus trisdešimčiai metų </w:t>
      </w:r>
      <w:r w:rsidRPr="00C00255">
        <w:rPr>
          <w:shd w:val="clear" w:color="auto" w:fill="FFFFFF"/>
        </w:rPr>
        <w:t>(t. 751, b. l. 44</w:t>
      </w:r>
      <w:r w:rsidRPr="00C00255">
        <w:t>–46).</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shd w:val="clear" w:color="auto" w:fill="FFFFFF"/>
        </w:rPr>
      </w:pPr>
      <w:r w:rsidRPr="00C00255">
        <w:rPr>
          <w:color w:val="000000"/>
          <w:shd w:val="clear" w:color="auto" w:fill="FFFFFF"/>
        </w:rPr>
        <w:t xml:space="preserve">Byloje nustatyta, kad 1991 m. sausio 13 d., kai įvykių prie TV bokšto metu buvo nužudytas nukentėjusiojo </w:t>
      </w:r>
      <w:r>
        <w:rPr>
          <w:color w:val="000000"/>
          <w:shd w:val="clear" w:color="auto" w:fill="FFFFFF"/>
        </w:rPr>
        <w:t>R. P.</w:t>
      </w:r>
      <w:r w:rsidRPr="00C00255">
        <w:rPr>
          <w:color w:val="000000"/>
          <w:shd w:val="clear" w:color="auto" w:fill="FFFFFF"/>
        </w:rPr>
        <w:t xml:space="preserve"> tėvas A. J. P</w:t>
      </w:r>
      <w:r>
        <w:rPr>
          <w:color w:val="000000"/>
          <w:shd w:val="clear" w:color="auto" w:fill="FFFFFF"/>
        </w:rPr>
        <w:t>.</w:t>
      </w:r>
      <w:r w:rsidRPr="00C00255">
        <w:rPr>
          <w:color w:val="000000"/>
          <w:shd w:val="clear" w:color="auto" w:fill="FFFFFF"/>
        </w:rPr>
        <w:t xml:space="preserve">, nukentėjusysis </w:t>
      </w:r>
      <w:r>
        <w:rPr>
          <w:color w:val="000000"/>
          <w:shd w:val="clear" w:color="auto" w:fill="FFFFFF"/>
        </w:rPr>
        <w:t>R. P.</w:t>
      </w:r>
      <w:r w:rsidRPr="00C00255">
        <w:rPr>
          <w:color w:val="000000"/>
          <w:shd w:val="clear" w:color="auto" w:fill="FFFFFF"/>
        </w:rPr>
        <w:t xml:space="preserve"> buvo 14 metų amžiaus, jis gyveno kartu su tėvu ir motina, santykiai šeimoje buvo glaudūs, artimi, nukentėjusysis su tėvu bendravo kasdien, kartu atostogaudavo, leisdavo laisvalaikį. Teisėjų kolegijai, vertinančiai neturtinės žalos atlyginimo klausimą, nekyla abejonių, kad </w:t>
      </w:r>
      <w:r>
        <w:rPr>
          <w:color w:val="000000"/>
          <w:shd w:val="clear" w:color="auto" w:fill="FFFFFF"/>
        </w:rPr>
        <w:t>R. P.</w:t>
      </w:r>
      <w:r w:rsidRPr="00C00255">
        <w:rPr>
          <w:color w:val="000000"/>
          <w:shd w:val="clear" w:color="auto" w:fill="FFFFFF"/>
        </w:rPr>
        <w:t xml:space="preserve"> dėl staigios tėvo mirties patyrė stiprius neigiamus dvasinius išgyvenimus, emocinį sukrėtimą, prarado tėvą kaip artimą šeimos narį ne tik emocine prasme, bet ir kaip ramstį finansine prasme. Teisėjų kolegijos vertinimu, nurodytų aplinkybių visuma neabejotinai patvirtina nukentėjusiojo </w:t>
      </w:r>
      <w:r>
        <w:rPr>
          <w:color w:val="000000"/>
          <w:shd w:val="clear" w:color="auto" w:fill="FFFFFF"/>
        </w:rPr>
        <w:t>R. P.</w:t>
      </w:r>
      <w:r w:rsidRPr="00C00255">
        <w:rPr>
          <w:color w:val="000000"/>
          <w:shd w:val="clear" w:color="auto" w:fill="FFFFFF"/>
        </w:rPr>
        <w:t xml:space="preserve"> dėl tėvo nužudymo patirtą neturtinę žalą. Ir kaip minėta – artimojo asmens netektis yra asmeninio pobūdžio ir negrįžtamas padarinys, kuris išlieka visam likusiam gyvenimui. </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shd w:val="clear" w:color="auto" w:fill="FFFFFF"/>
        </w:rPr>
      </w:pPr>
      <w:r w:rsidRPr="00C00255">
        <w:rPr>
          <w:color w:val="000000"/>
          <w:shd w:val="clear" w:color="auto" w:fill="FFFFFF"/>
        </w:rPr>
        <w:t xml:space="preserve">Taip pat byloje nustatyta, kad nukentėjusioji </w:t>
      </w:r>
      <w:r>
        <w:rPr>
          <w:color w:val="000000"/>
          <w:shd w:val="clear" w:color="auto" w:fill="FFFFFF"/>
        </w:rPr>
        <w:t>O. P.</w:t>
      </w:r>
      <w:r w:rsidRPr="00C00255">
        <w:rPr>
          <w:color w:val="000000"/>
          <w:shd w:val="clear" w:color="auto" w:fill="FFFFFF"/>
        </w:rPr>
        <w:t xml:space="preserve"> kartu su sutuoktiniu A. J. P</w:t>
      </w:r>
      <w:r>
        <w:rPr>
          <w:color w:val="000000"/>
          <w:shd w:val="clear" w:color="auto" w:fill="FFFFFF"/>
        </w:rPr>
        <w:t>.</w:t>
      </w:r>
      <w:r w:rsidRPr="00C00255">
        <w:rPr>
          <w:color w:val="000000"/>
          <w:shd w:val="clear" w:color="auto" w:fill="FFFFFF"/>
        </w:rPr>
        <w:t xml:space="preserve"> augino tris vaikus, iš kurių jauniausiam tėvo mirties dieną buvo 14 metų, nukentėjusioji neteko sutuoktinio, vaikų tėvo, neteko artimo žmogaus ne tik emocine prasme, bet ir neteko finansinės sutuoktinio paramos sau ir šeimai. Dėl sutuoktinio mirties nukentėjusioji </w:t>
      </w:r>
      <w:r>
        <w:rPr>
          <w:color w:val="000000"/>
          <w:shd w:val="clear" w:color="auto" w:fill="FFFFFF"/>
        </w:rPr>
        <w:t>O. P.</w:t>
      </w:r>
      <w:r w:rsidRPr="00C00255">
        <w:rPr>
          <w:color w:val="000000"/>
          <w:shd w:val="clear" w:color="auto" w:fill="FFFFFF"/>
        </w:rPr>
        <w:t xml:space="preserve"> </w:t>
      </w:r>
      <w:r w:rsidRPr="00C00255">
        <w:t xml:space="preserve">patyrė sunkius dvasinius išgyvenimus, staiga neteko žmogaus, su kuriuo siejo savo ateitį, kūrė ateities planus, tikėjosi kartu užauginti vaikus, rūpintis jų auklėjimu ir identiteto formavimu, dalintis bendrais rūpesčiais ir panašiai, jai neabejotinai padidėjo našta, susijusi su vaikų priežiūra bei jų išlaikymu, todėl teisėjų kolegijai taip pat nekyla abejonių, kad </w:t>
      </w:r>
      <w:r w:rsidRPr="00C00255">
        <w:rPr>
          <w:color w:val="000000"/>
          <w:shd w:val="clear" w:color="auto" w:fill="FFFFFF"/>
        </w:rPr>
        <w:t xml:space="preserve">nukentėjusioji </w:t>
      </w:r>
      <w:r>
        <w:rPr>
          <w:color w:val="000000"/>
          <w:shd w:val="clear" w:color="auto" w:fill="FFFFFF"/>
        </w:rPr>
        <w:t>O. P.</w:t>
      </w:r>
      <w:r w:rsidRPr="00C00255">
        <w:rPr>
          <w:color w:val="000000"/>
          <w:shd w:val="clear" w:color="auto" w:fill="FFFFFF"/>
        </w:rPr>
        <w:t xml:space="preserve"> dėl sutuoktinio nužudymo patyrė neturtinę žalą.</w:t>
      </w:r>
    </w:p>
    <w:p w:rsidR="00DA38E9" w:rsidRPr="00C00255" w:rsidRDefault="00DA38E9" w:rsidP="00DA38E9">
      <w:pPr>
        <w:pStyle w:val="ListParagraph"/>
        <w:numPr>
          <w:ilvl w:val="0"/>
          <w:numId w:val="6"/>
        </w:numPr>
        <w:spacing w:before="120" w:after="120"/>
        <w:ind w:left="992" w:hanging="992"/>
        <w:contextualSpacing w:val="0"/>
      </w:pPr>
      <w:r w:rsidRPr="00C00255">
        <w:t xml:space="preserve">Teisėjų kolegijos vertinimu, abiejų nukentėjusiųjų dvasinius išgyvenimus gilina ir tai, kad dėl </w:t>
      </w:r>
      <w:r>
        <w:t>A. J. P.</w:t>
      </w:r>
      <w:r w:rsidRPr="00C00255">
        <w:t xml:space="preserve"> nužudymo baudžiamasis procesas truko ilgą laiką, kelis dešimtmečius nebuvo nuteisti dėl jo mirties kalti asmenys. </w:t>
      </w:r>
      <w:r w:rsidRPr="00C00255">
        <w:rPr>
          <w:color w:val="000000"/>
          <w:shd w:val="clear" w:color="auto" w:fill="FFFFFF"/>
        </w:rPr>
        <w:t>Be to, mirtini sužalojimai buvo padaryti, veikiant tiesiogine tyčia, darant pačius pavojingiausius nusikaltimus (nusikaltimus žmoniškumui, karo nusikaltimus), sąmoningai panaudojant šaunamąjį ginklą su kovinėmis kulkomis prieš beginklį, tarptautinės humanitarinės teisės saugomą asmenį.</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rPr>
          <w:color w:val="000000"/>
          <w:shd w:val="clear" w:color="auto" w:fill="FFFFFF"/>
        </w:rPr>
        <w:t>Teismų praktikoje neturtinės žalos dydis, priteisiamas nužudytųjų sutuoktiniams ir vaikams dėl tyčinio žmogaus gyvybės atėmimo, skiriasi priklausomai nuo konkrečių faktinių bylos aplinkybių (paprastai priteisiama nuo 10 000 Eur iki 30 000 Eur), o teismų praktika dėl neturtinės žalos, atsiradusios dėl nužudymo, padarius nusikaltimus žmoniškumui ar karo nusikaltimus, nėra gausi. Pavyzdžiui, Vilniaus apygardos teismo 2016 m. spalio 28 d. nuosprendžiu baudžiamojoje byloje Nr. 1-18-487/2016 iš asmenų, pripažintų kaltais pagal BK</w:t>
      </w:r>
      <w:r>
        <w:rPr>
          <w:color w:val="000000"/>
          <w:shd w:val="clear" w:color="auto" w:fill="FFFFFF"/>
        </w:rPr>
        <w:t> </w:t>
      </w:r>
      <w:r w:rsidRPr="00C00255">
        <w:rPr>
          <w:color w:val="000000"/>
          <w:shd w:val="clear" w:color="auto" w:fill="FFFFFF"/>
        </w:rPr>
        <w:t>100 straipsnį dėl Lietuvos Respublikos muitinės pareigūnų nužudymo 1991 metais Medininkuose, nužudytųjų žmonoms ir vaikams buvo priteista po 100 000 Eur neturtinės žalos. Lietuvos Aukščiausiojo Teismo civilinėje byloje Nr. 3K-7-70/2011 nukentėjusiajai iš asmenų, nuteistų pagal BK 99 straipsnį (genocidas) dėl tėvo ir dėdės nužudymo, priteista 14 481 Eur (50 000 Lt) neturtinės žalos.</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rPr>
          <w:color w:val="000000"/>
          <w:shd w:val="clear" w:color="auto" w:fill="FFFFFF"/>
        </w:rPr>
        <w:t xml:space="preserve">Teisėjų kolegijos vertinimu, sprendžiant klausimą dėl konkretaus neturtinės žalos dydžio nustatymo, atsižvelgtina ir į tai, kad Lietuvos Respublika 1991 m. sausio 13 d. žuvusių asmenų artimiesiems skyrė tam tikras išmokas, pašalpas, siekiant bent iš dalies kompensuoti jų turtinius bei neturtinius praradimus, o dėl minėtų išmokų Lietuvos valstybės patirtos išlaidos yra įskaičiuotos į Lietuvos Respublikos generalinės prokuratūros pateiktą civilinį ieškinį dėl nuteistųjų Lietuvos valstybei padarytos turtinės žalos atlyginimo, kuris </w:t>
      </w:r>
      <w:r w:rsidRPr="00C00255">
        <w:rPr>
          <w:shd w:val="clear" w:color="auto" w:fill="FFFFFF"/>
        </w:rPr>
        <w:t>šioje baudžiamojoje byloje iš dalies tenkinamas.</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shd w:val="clear" w:color="auto" w:fill="FFFFFF"/>
        </w:rPr>
      </w:pPr>
      <w:r w:rsidRPr="00C00255">
        <w:rPr>
          <w:color w:val="000000"/>
          <w:shd w:val="clear" w:color="auto" w:fill="FFFFFF"/>
        </w:rPr>
        <w:t xml:space="preserve">Įvertinus visas minėtas aplinkybes, siekiant įgyvendinti neturtinės žalos kompensuojamąją funkciją, moralinę satisfakciją, konstatuotina, kad nukentėjusiesiems </w:t>
      </w:r>
      <w:r w:rsidRPr="00C00255">
        <w:t xml:space="preserve">dėl </w:t>
      </w:r>
      <w:r>
        <w:t>A. J. P.</w:t>
      </w:r>
      <w:r w:rsidRPr="00C00255">
        <w:t xml:space="preserve"> nužudymo</w:t>
      </w:r>
      <w:r w:rsidRPr="00C00255">
        <w:rPr>
          <w:color w:val="000000"/>
          <w:shd w:val="clear" w:color="auto" w:fill="FFFFFF"/>
        </w:rPr>
        <w:t xml:space="preserve"> solidariai iš visų nuteistųjų priteistina neturtinė žala, atitinkamai </w:t>
      </w:r>
      <w:r>
        <w:rPr>
          <w:color w:val="000000"/>
          <w:shd w:val="clear" w:color="auto" w:fill="FFFFFF"/>
        </w:rPr>
        <w:t>R. P.</w:t>
      </w:r>
      <w:r w:rsidRPr="00C00255">
        <w:rPr>
          <w:color w:val="000000"/>
          <w:shd w:val="clear" w:color="auto" w:fill="FFFFFF"/>
        </w:rPr>
        <w:t xml:space="preserve"> – 50 000 Eur ir </w:t>
      </w:r>
      <w:r>
        <w:rPr>
          <w:color w:val="000000"/>
          <w:shd w:val="clear" w:color="auto" w:fill="FFFFFF"/>
        </w:rPr>
        <w:t>O. P.</w:t>
      </w:r>
      <w:r w:rsidRPr="00C00255">
        <w:rPr>
          <w:color w:val="000000"/>
          <w:shd w:val="clear" w:color="auto" w:fill="FFFFFF"/>
        </w:rPr>
        <w:t xml:space="preserve"> – 75 </w:t>
      </w:r>
      <w:r w:rsidRPr="00C00255">
        <w:rPr>
          <w:shd w:val="clear" w:color="auto" w:fill="FFFFFF"/>
        </w:rPr>
        <w:t>000 Eur.</w:t>
      </w:r>
      <w:r w:rsidRPr="00C00255">
        <w:rPr>
          <w:color w:val="000000"/>
          <w:shd w:val="clear" w:color="auto" w:fill="FFFFFF"/>
        </w:rPr>
        <w:t xml:space="preserve"> Teisėjų kolegijos vertinimu, ši suma atitinka sąžiningumo, teisingumo ir protingumo principus bei byloje nustatytas faktines aplinkybes. Paprastai priteisiant neturtinės žalos atlyginimą yra atsižvelgiama ir į nuteistųjų turtinę padėtį (CK 6.250 straipsnio 2 dalis), tačiau ši baudžiamoji byla nagrinėjama daugumai kaltinamųjų nedalyvaujant, todėl byloje nėra duomenų apie konkrečių nuteistųjų turtinę padėtį. Teisėjų kolegijos vertinimu, atsižvelgiant į tai, kad neturtinė žala priteisiama solidariai iš keliasdešimties nuteistųjų, laikytina, kad minėtas </w:t>
      </w:r>
      <w:r w:rsidRPr="00C00255">
        <w:rPr>
          <w:shd w:val="clear" w:color="auto" w:fill="FFFFFF"/>
        </w:rPr>
        <w:t xml:space="preserve">50 000 Eur ir 75 000 Eur </w:t>
      </w:r>
      <w:r w:rsidRPr="00C00255">
        <w:rPr>
          <w:color w:val="000000"/>
          <w:shd w:val="clear" w:color="auto" w:fill="FFFFFF"/>
        </w:rPr>
        <w:t>neturtinės žalos dydis nėra neproporcingas nuteistųjų turtinei padėčiai ir kad tokio dydžio neturtinės žalos priteisimas solidariai iš visų nuteistųjų netaps jiems nepakeliama našta. Be to, kaip minėta, tyčinių nusikalstamų veikų padarymo atveju, vertinant neturtinės žalos dydį, kaltų asmenų turtinė padėtis nėra lygiavertė aplinkybė nukentėjusiojo patirtiems neigiamiems išgyvenimams.</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shd w:val="clear" w:color="auto" w:fill="FFFFFF"/>
        </w:rPr>
      </w:pPr>
      <w:r w:rsidRPr="00C00255">
        <w:rPr>
          <w:color w:val="000000"/>
          <w:shd w:val="clear" w:color="auto" w:fill="FFFFFF"/>
        </w:rPr>
        <w:t xml:space="preserve">Už žmogaus gyvybės neteisėtą atėmimą atsako konkretus teismo nuosprendžiu pripažintas kaltu asmuo. Jeigu dėl to kalti keli asmenys, tai jie atsako solidariai (CK 6.6 straipsnio 3 dalis, 6.279 straipsnio 1 dalis). Šioje byloje nustatyta, kad </w:t>
      </w:r>
      <w:r>
        <w:rPr>
          <w:color w:val="000000"/>
          <w:shd w:val="clear" w:color="auto" w:fill="FFFFFF"/>
        </w:rPr>
        <w:t>A. J. P.</w:t>
      </w:r>
      <w:r w:rsidRPr="00C00255">
        <w:rPr>
          <w:color w:val="000000"/>
          <w:shd w:val="clear" w:color="auto" w:fill="FFFFFF"/>
        </w:rPr>
        <w:t xml:space="preserve"> mirtis įvyko nuo kiaurinio šautinio krūtinės sužalojimo su abiejų plaučių ir širdies stambiųjų kraujagyslių pažeidimais, įvykus ūmiam nukraujavimui (t. 95, b. l. 104–111). </w:t>
      </w:r>
      <w:r>
        <w:rPr>
          <w:color w:val="000000"/>
          <w:shd w:val="clear" w:color="auto" w:fill="FFFFFF"/>
        </w:rPr>
        <w:t>A. J. P.</w:t>
      </w:r>
      <w:r w:rsidRPr="00C00255">
        <w:rPr>
          <w:color w:val="000000"/>
          <w:shd w:val="clear" w:color="auto" w:fill="FFFFFF"/>
        </w:rPr>
        <w:t xml:space="preserve"> mirtis yra visų nuteistųjų kartu atliktų nusikaltimų žmoniškumui ir karo nusikaltimų pasekmė, todėl teisėjų kolegija konstatuoja, kad nužudytojo artimiesiems padaryta neturtinė žala turi būti priteista solidariai iš visų nuteistųjų.</w:t>
      </w:r>
    </w:p>
    <w:p w:rsidR="00DA38E9" w:rsidRPr="006F072D" w:rsidRDefault="00DA38E9" w:rsidP="00DA38E9">
      <w:pPr>
        <w:pStyle w:val="ListParagraph"/>
        <w:numPr>
          <w:ilvl w:val="0"/>
          <w:numId w:val="6"/>
        </w:numPr>
        <w:shd w:val="clear" w:color="auto" w:fill="FFFFFF"/>
        <w:spacing w:before="120" w:after="120"/>
        <w:ind w:left="992" w:hanging="992"/>
        <w:contextualSpacing w:val="0"/>
        <w:rPr>
          <w:color w:val="000000"/>
          <w:shd w:val="clear" w:color="auto" w:fill="FFFFFF"/>
        </w:rPr>
      </w:pPr>
      <w:r w:rsidRPr="006F072D">
        <w:rPr>
          <w:color w:val="000000"/>
          <w:shd w:val="clear" w:color="auto" w:fill="FFFFFF"/>
        </w:rPr>
        <w:t xml:space="preserve">Atsižvelgiant į tai, kas išdėstyta, pirmosios instancijos teismo nuosprendžio dalis, kuria R. P. civilinis ieškinys atmestas, pakeičiama, R. P. civilinį ieškinį patenkinant iš dalies ir jam priteisiant </w:t>
      </w:r>
      <w:r w:rsidRPr="006F072D">
        <w:rPr>
          <w:shd w:val="clear" w:color="auto" w:fill="FFFFFF"/>
        </w:rPr>
        <w:t>50 000 </w:t>
      </w:r>
      <w:r w:rsidRPr="006F072D">
        <w:rPr>
          <w:color w:val="000000"/>
          <w:shd w:val="clear" w:color="auto" w:fill="FFFFFF"/>
        </w:rPr>
        <w:t xml:space="preserve">Eur neturtinės žalos atlyginimui. Taip pat O. P. civilinis ieškinys tenkinamas iš dalies ir jai priteisiama </w:t>
      </w:r>
      <w:r w:rsidRPr="006F072D">
        <w:rPr>
          <w:shd w:val="clear" w:color="auto" w:fill="FFFFFF"/>
        </w:rPr>
        <w:t>75 000 </w:t>
      </w:r>
      <w:r w:rsidRPr="006F072D">
        <w:rPr>
          <w:color w:val="000000"/>
          <w:shd w:val="clear" w:color="auto" w:fill="FFFFFF"/>
        </w:rPr>
        <w:t>Eur neturtinės žalos atlyginimui.</w:t>
      </w:r>
    </w:p>
    <w:p w:rsidR="00DA38E9" w:rsidRPr="00C00255" w:rsidRDefault="00DA38E9" w:rsidP="00DA38E9">
      <w:pPr>
        <w:pStyle w:val="Heading4"/>
        <w:spacing w:before="120" w:after="120"/>
        <w:ind w:left="992"/>
        <w:rPr>
          <w:rFonts w:ascii="Times New Roman" w:hAnsi="Times New Roman"/>
          <w:b w:val="0"/>
          <w:i/>
          <w:sz w:val="24"/>
        </w:rPr>
      </w:pPr>
      <w:r w:rsidRPr="00C00255">
        <w:rPr>
          <w:rFonts w:ascii="Times New Roman" w:hAnsi="Times New Roman"/>
          <w:b w:val="0"/>
          <w:i/>
          <w:sz w:val="24"/>
        </w:rPr>
        <w:t xml:space="preserve">Dėl nukentėjusiajam </w:t>
      </w:r>
      <w:r>
        <w:rPr>
          <w:rFonts w:ascii="Times New Roman" w:hAnsi="Times New Roman"/>
          <w:b w:val="0"/>
          <w:i/>
          <w:sz w:val="24"/>
        </w:rPr>
        <w:t>V. L.</w:t>
      </w:r>
      <w:r w:rsidRPr="00C00255">
        <w:rPr>
          <w:rFonts w:ascii="Times New Roman" w:hAnsi="Times New Roman"/>
          <w:b w:val="0"/>
          <w:i/>
          <w:sz w:val="24"/>
        </w:rPr>
        <w:t xml:space="preserve"> padarytos neturtinės žalos atlyginimo</w:t>
      </w:r>
    </w:p>
    <w:p w:rsidR="00DA38E9" w:rsidRPr="00C00255" w:rsidRDefault="00DA38E9" w:rsidP="00DA38E9">
      <w:pPr>
        <w:pStyle w:val="ListParagraph"/>
        <w:numPr>
          <w:ilvl w:val="0"/>
          <w:numId w:val="6"/>
        </w:numPr>
        <w:spacing w:before="120" w:after="120"/>
        <w:ind w:left="992" w:hanging="992"/>
        <w:contextualSpacing w:val="0"/>
      </w:pPr>
      <w:r w:rsidRPr="006F072D">
        <w:t>Šiame sprendime minėta, kad nagrinėjamoje byloje nukentėjusysis V. L. pareiškė civilinį ieškinį dėl 1 000 000 Eur neturtinės žalos, patirtos sunkiai sutrikdžius jo sveikatą, atlyginimo (t. 728, b. l. 128–131). Pagal BPK 110 straipsnio 1 dalį asmuo pripažįstamas civiliniu ieškovu ikiteisminio tyrimo pareigūno, prokuroro nutarimu ar teismo nutartimi. Nagrinėjamoje byloje apie gautą nukentėjusiojo V. L. civilinį ieškinį pirmosios instancijos teismas proceso dalyvius informavo 2017 m. gegužės 3 d. teisiamojo posėdžio metu ir</w:t>
      </w:r>
      <w:r w:rsidRPr="006F072D">
        <w:rPr>
          <w:color w:val="000000" w:themeColor="text1"/>
        </w:rPr>
        <w:t xml:space="preserve"> pranešė, kad nutartis dėl civilinio ieškinio priėmimo bus skelbiama 2017 m. gegužės 15 d. (</w:t>
      </w:r>
      <w:r w:rsidRPr="006F072D">
        <w:t>t. 759, b. l. 75–86), tačiau teismo nutartis dėl V. L. pripažinimo civiliniu ieškovu 2017 m. gegužės 15 d. teisiamajame posėdyje nebuvo paskelbta (t. 759, b. l. 97–107), byloje nebuvo priimta ir rašytinė teismo nutartis. Tačiau, apeliacinės instancijos teismo vertinimu, byloje nustačius, kad nuosprendžiu šis civilinis ieškinys buvo išnagrinėtas (atmestas), toks pirmosios instancijos teismo padarytas procesinės teisės pažeidimas nėra kliūtis pasisakyti dėl tokio ieškinio pagrįstumo bei nuosprendžio dalies, kuria paneigta V. L. teisė į neturtinės žalos atlyginimą</w:t>
      </w:r>
      <w:r w:rsidRPr="00C00255">
        <w:t xml:space="preserve">. </w:t>
      </w:r>
    </w:p>
    <w:p w:rsidR="00DA38E9" w:rsidRPr="00C00255" w:rsidRDefault="00DA38E9" w:rsidP="00DA38E9">
      <w:pPr>
        <w:pStyle w:val="ListParagraph"/>
        <w:numPr>
          <w:ilvl w:val="0"/>
          <w:numId w:val="6"/>
        </w:numPr>
        <w:spacing w:before="120" w:after="120"/>
        <w:ind w:left="992" w:hanging="992"/>
        <w:contextualSpacing w:val="0"/>
      </w:pPr>
      <w:r w:rsidRPr="006F072D">
        <w:t>Nukentėjusysis V. L. apeliacinio skundo dėl pirmosios instancijos teismo nuosprendžio nėra pateikęs, todėl apeliacinės instancijos teismas pirmiausia turi įvertinti, ar byloje susiklosčiusioje procesinėje situacijoje yra teisinis pagrindas pasisakyti ir dėl nukentėjusiojo V. L. teisės į neturtinės žalos atlyginimą, kartu įvertinant, ar teisės į tokios žalos atlyginimą nustatymas gali būti traktuojamas kaip nuteistųjų padėties pabloginimas. Teisėjų kolegija pažymi, kad V. L. civilinis ieškinys buvo atmestas analogiškais motyvais kaip ir nukentėjusiojo R. P. civilinis ieškinys, kuris pateikė apeliacinį skundą. Pirmiau šiame procesiniame teismo sprendime jau konstatuota, kad pirmosios instancijos teismas netinkamai aiškino ir taikė teisės normas, susijusias su nukentėjusiųjų teise į nusikaltimu padarytos neturtinės žalos atlyginimą, dėl ko nepagrįstai atmetė byloje pareikštus civilinius ieškinius</w:t>
      </w:r>
      <w:r w:rsidRPr="00C00255">
        <w:t>.</w:t>
      </w:r>
    </w:p>
    <w:p w:rsidR="00DA38E9" w:rsidRPr="00C00255" w:rsidRDefault="00DA38E9" w:rsidP="00DA38E9">
      <w:pPr>
        <w:pStyle w:val="NormalWeb"/>
        <w:numPr>
          <w:ilvl w:val="0"/>
          <w:numId w:val="6"/>
        </w:numPr>
        <w:spacing w:before="120" w:beforeAutospacing="0" w:after="120" w:afterAutospacing="0"/>
        <w:ind w:left="992" w:hanging="992"/>
      </w:pPr>
      <w:bookmarkStart w:id="1030" w:name="pmenu"/>
      <w:r w:rsidRPr="00C00255">
        <w:t xml:space="preserve">Apeliacinės instancijos teismo vertinimu, tiek materialinės teisės, tiek procesinės teisės normos turi būti aiškinamos ir taikomos racionaliai, o ne formaliai. Iš Konstitucijos kylanti teisė į teisminę gynybą lemia, kad teismas turi rasti išeitį iš bet kurios, net sudėtingiausios procesinės situacijos, kai dėl vienokių ar kitokių trūkumų teisės į teisminę gynybą įgyvendinimas, o kartu ir akivaizdžių pirmosios instancijos teismo padarytų klaidų ištaisymas, būtų komplikuotas. Teismo procese, ypač atliekant pirmosios instancijos teismo sprendimų teisėtumo ir pagrįstumo patikrą apeliacine tvarka, turi būti išvengta absurdiškų situacijų ir siekiama realiai įvykdyti teisingumą, kurį vykdyti teismams deleguota </w:t>
      </w:r>
      <w:bookmarkStart w:id="1031" w:name="n4_2"/>
      <w:bookmarkEnd w:id="1030"/>
      <w:r w:rsidRPr="00670D48">
        <w:rPr>
          <w:iCs/>
        </w:rPr>
        <w:t>Konstitucijos</w:t>
      </w:r>
      <w:bookmarkStart w:id="1032" w:name="pn4_2"/>
      <w:bookmarkStart w:id="1033" w:name="n4_3"/>
      <w:bookmarkEnd w:id="1031"/>
      <w:bookmarkEnd w:id="1032"/>
      <w:r>
        <w:t> </w:t>
      </w:r>
      <w:r w:rsidRPr="00670D48">
        <w:rPr>
          <w:rStyle w:val="Hyperlink"/>
          <w:iCs/>
          <w:color w:val="000000"/>
          <w:u w:val="none"/>
        </w:rPr>
        <w:t>109</w:t>
      </w:r>
      <w:bookmarkStart w:id="1034" w:name="pn4_3"/>
      <w:bookmarkEnd w:id="1033"/>
      <w:bookmarkEnd w:id="1034"/>
      <w:r>
        <w:t> </w:t>
      </w:r>
      <w:r w:rsidRPr="00C00255">
        <w:t xml:space="preserve">straipsnyje. </w:t>
      </w:r>
    </w:p>
    <w:p w:rsidR="00DA38E9" w:rsidRPr="00C00255" w:rsidRDefault="00DA38E9" w:rsidP="00DA38E9">
      <w:pPr>
        <w:pStyle w:val="ListParagraph"/>
        <w:numPr>
          <w:ilvl w:val="0"/>
          <w:numId w:val="6"/>
        </w:numPr>
        <w:spacing w:before="120" w:after="120"/>
        <w:ind w:left="992" w:hanging="992"/>
        <w:contextualSpacing w:val="0"/>
        <w:rPr>
          <w:shd w:val="clear" w:color="auto" w:fill="FFFFFF"/>
        </w:rPr>
      </w:pPr>
      <w:r w:rsidRPr="00C00255">
        <w:rPr>
          <w:shd w:val="clear" w:color="auto" w:fill="FFFFFF"/>
        </w:rPr>
        <w:t>Pagal BPK 320 straipsnio 1 dalyje nustatytą teisinį reguliavimą bylos apeliacine tvarka nagrinėjamos tik tais atvejais, kai yra paduoti apeliaciniai skundai. Be to, pagal šio straipsnio 3 dalį apeliacinės instancijos teismas patikrina bylą tiek, kiek to prašoma apeliaciniuose skunduose, ir tik dėl tų asmenų, kurie padavė apeliacinius skundus ar dėl kurių tokie skundai buvo paduoti. Šia nuostata yra išreikštas principas</w:t>
      </w:r>
      <w:r w:rsidRPr="00C00255">
        <w:rPr>
          <w:i/>
          <w:iCs/>
          <w:shd w:val="clear" w:color="auto" w:fill="FFFFFF"/>
        </w:rPr>
        <w:t> tantum devolutum quantum appellatum</w:t>
      </w:r>
      <w:r w:rsidRPr="00C00255">
        <w:rPr>
          <w:shd w:val="clear" w:color="auto" w:fill="FFFFFF"/>
        </w:rPr>
        <w:t>, pagal kurį apeliacinės instancijos teismas turi tikrinti ir vertinti tik apskųstosios pirmosios instancijos teismo sprendimo dalies teisėtumą bei pagrįstumą ir neturi tikrinti bei vertinti, ar teisėtos ir pagrįstos yra tos sprendimo dalys, kurios nebuvo apskųstos apeliacine tvarka.</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shd w:val="clear" w:color="auto" w:fill="FFFFFF"/>
        </w:rPr>
        <w:t xml:space="preserve">Konstitucinis Teismas 2017 m. birželio 26 d. nutarime konstatavo, kad pagal baudžiamojo proceso teisinį reguliavimą apeliacinės instancijos teismas, ištyręs naujus ar pirmosios instancijos teismo jau tirtus įrodymus, kuriuos įvertinus galėtų būti padarytos išvados, kad faktinės aplinkybės iš esmės skiriasi nuo nustatytųjų pirmosios instancijos teismo ir tai gali lemti nuteistojo, išteisintojo ar asmens, kuriam byla nutraukta, padėties pabloginimą, ribojamas baudžiamojo proceso teisės principų </w:t>
      </w:r>
      <w:r w:rsidRPr="00C00255">
        <w:rPr>
          <w:i/>
          <w:color w:val="000000"/>
          <w:shd w:val="clear" w:color="auto" w:fill="FFFFFF"/>
        </w:rPr>
        <w:t>non reformatio in peius ir tantum devolutum quantum appellatum</w:t>
      </w:r>
      <w:r w:rsidRPr="00C00255">
        <w:rPr>
          <w:color w:val="000000"/>
          <w:shd w:val="clear" w:color="auto" w:fill="FFFFFF"/>
        </w:rPr>
        <w:t xml:space="preserve"> (apeliacinės instancijos teismas turi tikrinti ir vertinti tik apskųstosios pirmosios instancijos teismo sprendimo dalies teisėtumą bei pagrįstumą ir neturi tikrinti ir vertinti, ar teisėtos ir pagrįstos yra tos sprendimo dalys, kurios nebuvo apskųstos apeliacine tvarka), neturi įgaliojimų perduoti bylą iš naujo nagrinėti pirmosios instancijos teismui, nesudarytos prielaidos teismui priimti teisingą sprendimą byloje (</w:t>
      </w:r>
      <w:r w:rsidRPr="00C00255">
        <w:rPr>
          <w:i/>
          <w:color w:val="000000"/>
          <w:shd w:val="clear" w:color="auto" w:fill="FFFFFF"/>
        </w:rPr>
        <w:t>inter alia</w:t>
      </w:r>
      <w:r w:rsidRPr="00C00255">
        <w:rPr>
          <w:color w:val="000000"/>
          <w:shd w:val="clear" w:color="auto" w:fill="FFFFFF"/>
        </w:rPr>
        <w:t>, teisingai nubausti nusikalstamą veiką padariusį asmenį, priteisti teisingą nusikalstama veika padarytos žalos atlyginimą) ir tinkamai įvykdyti teisingumą. Tokiu teisiniu reguliavimu neužtikrinama veiksminga kiekvieno asmens ir visos visuomenės apsauga nuo nusikalstamų kėsinimųsi ir paneigiami iš </w:t>
      </w:r>
      <w:bookmarkStart w:id="1035" w:name="nc94c6b35-46c0-4d29-bf8a-a2871939fbf8"/>
      <w:r w:rsidRPr="00670D48">
        <w:rPr>
          <w:iCs/>
          <w:szCs w:val="24"/>
          <w:shd w:val="clear" w:color="auto" w:fill="FFFFFF"/>
        </w:rPr>
        <w:t>Konstitucijos</w:t>
      </w:r>
      <w:bookmarkStart w:id="1036" w:name="pnc94c6b35-46c0-4d29-bf8a-a2871939fbf8"/>
      <w:bookmarkEnd w:id="1035"/>
      <w:bookmarkEnd w:id="1036"/>
      <w:r w:rsidRPr="00C00255">
        <w:rPr>
          <w:color w:val="000000"/>
          <w:shd w:val="clear" w:color="auto" w:fill="FFFFFF"/>
        </w:rPr>
        <w:t xml:space="preserve">, </w:t>
      </w:r>
      <w:r w:rsidRPr="00C00255">
        <w:rPr>
          <w:i/>
          <w:color w:val="000000"/>
          <w:shd w:val="clear" w:color="auto" w:fill="FFFFFF"/>
        </w:rPr>
        <w:t>inter alia</w:t>
      </w:r>
      <w:r w:rsidRPr="00C00255">
        <w:rPr>
          <w:color w:val="000000"/>
          <w:shd w:val="clear" w:color="auto" w:fill="FFFFFF"/>
        </w:rPr>
        <w:t>, jos 109 straipsnio 1 dalies, kylantys teismo įgaliojimai vykdyti teisingumą, nukrypstama nuo konstitucinės teismo, kaip Lietuvos Respublikos vardu teisingumą vykdančios institucijos, sampratos, konstitucinių teisinės valstybės, teisingumo principų. </w:t>
      </w:r>
    </w:p>
    <w:p w:rsidR="00DA38E9" w:rsidRPr="00C00255" w:rsidRDefault="00DA38E9" w:rsidP="00DA38E9">
      <w:pPr>
        <w:pStyle w:val="ListParagraph"/>
        <w:numPr>
          <w:ilvl w:val="0"/>
          <w:numId w:val="6"/>
        </w:numPr>
        <w:spacing w:before="120" w:after="120"/>
        <w:ind w:left="992" w:hanging="992"/>
        <w:contextualSpacing w:val="0"/>
        <w:rPr>
          <w:color w:val="000000"/>
        </w:rPr>
      </w:pPr>
      <w:r w:rsidRPr="00C00255">
        <w:t xml:space="preserve">Konstitucinis Teismas savo jurisprudencijoje yra pabrėžęs, kad </w:t>
      </w:r>
      <w:r w:rsidRPr="00C00255">
        <w:rPr>
          <w:color w:val="000000"/>
          <w:shd w:val="clear" w:color="auto" w:fill="FFFFFF"/>
        </w:rPr>
        <w:t>pareiga nagrinėjant baudžiamąją bylą teisme paisyti baudžiamojo proceso teisės principų ir normų negali būti interpretuojama kaip leidžianti baudžiamojo proceso teisės ar baudžiamosios teisės principus ir normas iškelti aukščiau už Konstitucijos principus ir normas, baudžiamojo proceso teisės ar baudžiamosios teisės principus ir normas aiškinti taip, kad būtų paneigta, iškreipta ar ignoruojama Konstitucijos nuostatų prasmė, baudžiamojo proceso teisės ar baudžiamosios teisės principus ir normas priešpriešinti bendriesiems teisės principams (Konstitucinio Teismo 2006 m. sausio 16 d., 2017 m. birželio 26 d. nutarimai). Bendrosios kompetencijos teismų instancinės sistemos paskirtis – sudaryti prielaidas aukštesnės instancijos teismuose ištaisyti bet kurias fakto (t. y. teisiškai reikšmingų faktų nustatymo ir vertinimo) ar bet kurias teisės (t.</w:t>
      </w:r>
      <w:r>
        <w:rPr>
          <w:color w:val="000000"/>
          <w:shd w:val="clear" w:color="auto" w:fill="FFFFFF"/>
        </w:rPr>
        <w:t> </w:t>
      </w:r>
      <w:r w:rsidRPr="00C00255">
        <w:rPr>
          <w:color w:val="000000"/>
          <w:shd w:val="clear" w:color="auto" w:fill="FFFFFF"/>
        </w:rPr>
        <w:t xml:space="preserve">y. teisės taikymo) klaidas, kurias dėl kokių nors priežasčių gali padaryti žemesnės instancijos teismas, ir neleisti, kad kokioje nors bendrosios kompetencijos teismų nagrinėtoje civilinėje, baudžiamojoje ar kitos kategorijos byloje būtų įvykdytas neteisingumas; priešingu atveju būtų nukrypta nuo konstitucinio teisinės valstybės principo, būtų pažeista asmens konstitucinė teisė į tinkamą teismo procesą; minėtas žemesnės instancijos teismų klaidų ištaisymas ir su tuo susijęs kelio neteisingumui užkirtimas yra atitinkamos bylos šalių ir visuomenės apskritai pasitikėjimo ne tik atitinkamą bylą nagrinėjančiu bendrosios kompetencijos teismu, bet ir visa bendrosios kompetencijos teismų sistema </w:t>
      </w:r>
      <w:r w:rsidRPr="00C00255">
        <w:rPr>
          <w:i/>
          <w:color w:val="000000"/>
          <w:shd w:val="clear" w:color="auto" w:fill="FFFFFF"/>
        </w:rPr>
        <w:t>conditio sine qua non</w:t>
      </w:r>
      <w:r w:rsidRPr="00C00255">
        <w:rPr>
          <w:color w:val="000000"/>
          <w:shd w:val="clear" w:color="auto" w:fill="FFFFFF"/>
        </w:rPr>
        <w:t xml:space="preserve"> (privaloma sąlyga) (Konstitucinio Teismo 2006 m. kovo 28 d., 2013 m. lapkričio 15 d., 2017 m. birželio 26 d. nutarimai).</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6F072D">
        <w:rPr>
          <w:color w:val="000000"/>
          <w:shd w:val="clear" w:color="auto" w:fill="FFFFFF"/>
        </w:rPr>
        <w:t>Nagrinėjamoje byloje sprendžiamas klausimas dėl žalos, padarytos pačiais pavojingiausiais nusikaltimais, kuriems nėra taikomi nei patraukimo baudžiamojon, nei civilinėn atsakomybėn senaties terminai (BK 95 straipsnio 9 dalis, CK 1.134 straipsnio 1 dalies 4 punktas) bei už kuriuos numatyta tarptautinė baudžiamoji atsakomybė, atlyginimo, todėl, apeliacinės instancijos teismo vertinimu, formaliai vertinant, kad teismas, nesant nukentėjusiojo V. L. apeliacinio skundo, negali pasisakyti ir dėl akivaizdžios pirmosios instancijos teismo padarytos teisės taikymo ir aiškinimo klaidos, reikštų įvykdytą neteisingumą, nes tie patys klausimai skirtingų asmenų atžvilgiu būtų išspręsti iš esmės skirtingai (vienam asmeniui priteisiant neturtinę žalą, o kitam ne, kartu konstatuojant, kad neturtinės žalos priteisimas apskritai negalimas). Palikus galioti akivaizdžiai neteisingą pirmosios instancijos teismo sprendimą dėl V. L. civilinio ieškinio atmetimo, asmeniui, nukentėjusiajam nuo pačių pavojingiausių nusikaltimų, būtų užkirstas kelias į padarytos žalos atlyginimą iš kaltųjų asmenų tiek baudžiamajame, tiek ir civiliniame procese, nepaisant to, kad būtų priimtas ir įsiteisėjęs teismo nuosprendis, kuriuo asmenys pripažinti kaltais dėl prieš minėtą nukentėjusįjį padarytų nusikaltimų žmoniškumui ir karo nusikaltimų</w:t>
      </w:r>
      <w:r w:rsidRPr="00C00255">
        <w:rPr>
          <w:color w:val="000000"/>
          <w:shd w:val="clear" w:color="auto" w:fill="FFFFFF"/>
        </w:rPr>
        <w:t>.</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rPr>
          <w:color w:val="000000"/>
          <w:shd w:val="clear" w:color="auto" w:fill="FFFFFF"/>
        </w:rPr>
        <w:t>Apeliacinės instancijos teismas tam tikrais atvejais ne tik gali, bet ir privalo peržengti apeliacinio skundo ribas; jis neturi būti apeliacinio skundo ribų varžomas taip, kad jo sprendimas būtų iš esmės neteisingas ir dėl to būtų pažeistos konstitucinės vertybės (Konstitucinio Teismo 2013 m. lapkričio 15 d. nutarimas, LAT nutartis baudžiamojoje byloje Nr. 2K-214-139/2015).</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rPr>
          <w:color w:val="000000"/>
          <w:shd w:val="clear" w:color="auto" w:fill="FFFFFF"/>
        </w:rPr>
        <w:t xml:space="preserve">Apeliacinės instancijos teismas, vadovaudamasis Konstitucija, minėta Konstitucinio Teismo ir kasacinio teismo jurisprudencija, konstatuoja, kad išskirtinis nagrinėjamoje byloje nustatytų nusikaltimų pobūdis ir pavojingumas bei viešasis interesas, reikalaujantis, be kita ko užtikrinti asmenų, nukentėjusių nuo pačių pavojingiausių nusikaltimų, teisę į žalos atlyginimą, </w:t>
      </w:r>
      <w:r w:rsidRPr="00C00255">
        <w:rPr>
          <w:iCs/>
          <w:color w:val="000000"/>
          <w:shd w:val="clear" w:color="auto" w:fill="FFFFFF"/>
        </w:rPr>
        <w:t>konkrečiai šioje byloje dėl esminio baudžiamojo proceso teisės pažeidimo, aiškiai nepagrįstai atimant iš nukentėjusiojo teisę reikalauti patirtos žalos atlyginimo (BPK 44 straipsnio 10 dalis) bei poreikis ištaisyti akivaizdžias pirmosios instancijos teismo padarytas teisės aiškinimo ir taikymo klaidas susiklosčiusioje procesinėje teisinėje situacijoje,</w:t>
      </w:r>
      <w:r w:rsidRPr="00C00255">
        <w:rPr>
          <w:color w:val="000000"/>
          <w:shd w:val="clear" w:color="auto" w:fill="FFFFFF"/>
        </w:rPr>
        <w:t xml:space="preserve"> sudaro pagrindą išeiti už apeliacinių skundų ribų ir pakeisti pirmosios instancijos teismo nuosprendžio dalį dėl </w:t>
      </w:r>
      <w:r>
        <w:rPr>
          <w:color w:val="000000"/>
          <w:shd w:val="clear" w:color="auto" w:fill="FFFFFF"/>
        </w:rPr>
        <w:t>V. L.</w:t>
      </w:r>
      <w:r w:rsidRPr="00C00255">
        <w:rPr>
          <w:color w:val="000000"/>
          <w:shd w:val="clear" w:color="auto" w:fill="FFFFFF"/>
        </w:rPr>
        <w:t xml:space="preserve"> civilinio ieškinio atmetimo. Toks teismo procesinis sprendimas negali būti vertinamas kaip siurprizinis nuteistųjų atžvilgiu, nes jų gynėjai turėjo galimybę išsakyti savo argumentus, susijusius su kitų nukentėjusiųjų apeliaciniuose skunduose įrodinėjama teise į nusikaltimais padarytos žalos atlyginimą, ir šia galimybe pasinaudojo teismo posėdžių apeliacinės instancijos teisme metu.</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shd w:val="clear" w:color="auto" w:fill="FFFFFF"/>
        </w:rPr>
      </w:pPr>
      <w:bookmarkStart w:id="1037" w:name="pn73cea1c1-8b0e-45b6-9fff-f7c4f31ff404"/>
      <w:bookmarkStart w:id="1038" w:name="pn95077cfd-650c-473a-ad25-ec17b5654314"/>
      <w:bookmarkStart w:id="1039" w:name="pnfa8fa688-6b33-4648-a9f7-2ed050d226c3"/>
      <w:bookmarkStart w:id="1040" w:name="pndd205ed5-6115-4404-af8d-137355560f77"/>
      <w:bookmarkStart w:id="1041" w:name="pn6c7d3cf6-b4f2-48ca-a8e2-8e4d8f6fa13c"/>
      <w:bookmarkEnd w:id="1037"/>
      <w:bookmarkEnd w:id="1038"/>
      <w:bookmarkEnd w:id="1039"/>
      <w:bookmarkEnd w:id="1040"/>
      <w:bookmarkEnd w:id="1041"/>
      <w:r w:rsidRPr="00C00255">
        <w:rPr>
          <w:color w:val="000000"/>
          <w:shd w:val="clear" w:color="auto" w:fill="FFFFFF"/>
        </w:rPr>
        <w:t xml:space="preserve">Apibendrindama šioje procesinio sprendimo dalyje nurodytus motyvus, teisėjų kolegija konstatuoja, kad nukentėjusysis </w:t>
      </w:r>
      <w:r>
        <w:rPr>
          <w:color w:val="000000"/>
          <w:shd w:val="clear" w:color="auto" w:fill="FFFFFF"/>
        </w:rPr>
        <w:t>V. L.</w:t>
      </w:r>
      <w:r w:rsidRPr="00C00255">
        <w:rPr>
          <w:color w:val="000000"/>
          <w:shd w:val="clear" w:color="auto" w:fill="FFFFFF"/>
        </w:rPr>
        <w:t xml:space="preserve"> patyrė neturtinę žalą dėl nusikalstamų veiksmų, kurią solidariai privalo atlyginti nuteistieji. Todėl pirmosios instancijos teismo nuosprendžio dalis, kuria </w:t>
      </w:r>
      <w:r>
        <w:rPr>
          <w:color w:val="000000"/>
          <w:shd w:val="clear" w:color="auto" w:fill="FFFFFF"/>
        </w:rPr>
        <w:t>V. L.</w:t>
      </w:r>
      <w:r w:rsidRPr="00C00255">
        <w:rPr>
          <w:color w:val="000000"/>
          <w:shd w:val="clear" w:color="auto" w:fill="FFFFFF"/>
        </w:rPr>
        <w:t xml:space="preserve"> civilinis ieškinys atmestas, pakeičiama, nukentėjusiajam </w:t>
      </w:r>
      <w:r>
        <w:rPr>
          <w:color w:val="000000"/>
          <w:shd w:val="clear" w:color="auto" w:fill="FFFFFF"/>
        </w:rPr>
        <w:t>V. L.</w:t>
      </w:r>
      <w:r w:rsidRPr="00C00255">
        <w:rPr>
          <w:color w:val="000000"/>
          <w:shd w:val="clear" w:color="auto" w:fill="FFFFFF"/>
        </w:rPr>
        <w:t xml:space="preserve"> pripažįstant teisę į civilinio ieškinio patenkinimą civilinio proceso tvarka.</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shd w:val="clear" w:color="auto" w:fill="FFFFFF"/>
        </w:rPr>
      </w:pPr>
      <w:r w:rsidRPr="00C00255">
        <w:rPr>
          <w:color w:val="000000"/>
          <w:shd w:val="clear" w:color="auto" w:fill="FFFFFF"/>
        </w:rPr>
        <w:t xml:space="preserve">Toks teismo procesinis sprendimas siejamas su tuo, kad nagrinėjamoje byloje susiklosčiusioje procesinėje situacijoje nėra galimybės apeliacinės instancijos teisme visa apimtimi įvertinti neturtinės žalos dydžiui nustatyti reikšmingų kriterijų bei pasisakyti dėl nukentėjusiojo </w:t>
      </w:r>
      <w:r>
        <w:rPr>
          <w:color w:val="000000"/>
          <w:shd w:val="clear" w:color="auto" w:fill="FFFFFF"/>
        </w:rPr>
        <w:t>V. L.</w:t>
      </w:r>
      <w:r w:rsidRPr="00C00255">
        <w:rPr>
          <w:color w:val="000000"/>
          <w:shd w:val="clear" w:color="auto" w:fill="FFFFFF"/>
        </w:rPr>
        <w:t xml:space="preserve"> patirtos neturtinės žalos dydžio, kai dėl to, nesant </w:t>
      </w:r>
      <w:r>
        <w:rPr>
          <w:color w:val="000000"/>
          <w:shd w:val="clear" w:color="auto" w:fill="FFFFFF"/>
        </w:rPr>
        <w:t>V. L.</w:t>
      </w:r>
      <w:r w:rsidRPr="00C00255">
        <w:rPr>
          <w:color w:val="000000"/>
          <w:shd w:val="clear" w:color="auto" w:fill="FFFFFF"/>
        </w:rPr>
        <w:t xml:space="preserve"> skundo, savo pozicijos apeliaciniame teisme neišsakė pats nukentėjusysis bei kiti proceso dalyviai. </w:t>
      </w:r>
    </w:p>
    <w:p w:rsidR="00DA38E9" w:rsidRPr="006F072D" w:rsidRDefault="00DA38E9" w:rsidP="00DA38E9">
      <w:pPr>
        <w:pStyle w:val="ListParagraph"/>
        <w:numPr>
          <w:ilvl w:val="0"/>
          <w:numId w:val="6"/>
        </w:numPr>
        <w:shd w:val="clear" w:color="auto" w:fill="FFFFFF"/>
        <w:spacing w:before="120" w:after="120"/>
        <w:ind w:left="992" w:hanging="992"/>
        <w:contextualSpacing w:val="0"/>
        <w:rPr>
          <w:rFonts w:eastAsia="Calibri"/>
        </w:rPr>
      </w:pPr>
      <w:r w:rsidRPr="006F072D">
        <w:rPr>
          <w:rFonts w:eastAsia="Calibri"/>
        </w:rPr>
        <w:t xml:space="preserve">Nuteistųjų nusikalstamais veiksmais, šūviu iš automato į veidą – nukentėjusiajam V. L. buvo padarytas sunkus sveikatos sutrikdymas, pasireiškęs kiauriniu šautiniu veido kairės pusės sužalojimu: viršutinio žandikaulio, kairio skruostikaulio, kairio skruosto nervo, kairės ausies landos sužalojimais, kairės akies tinklainės plyšimu ir galvos smegenų sukrėtimu, dėl ko V. L. sumažėjo regėjimas kaire akimi, jis apkurto kaire ausimi ir jam išsivystė psicho organinis sindromas. Kaip civiliniame ieškinyje nurodė V. L., jam dėl TSRS kariuomenės karininko iš automato paleisto šūvio į veidą buvo padarytas sunkus veido sužalojimas, kurį jis buvo priverstas kelis mėnesius gydytis Lietuvos bei vėliau Vokietijos ligoninėse, turėjo ištverti ne vieną operaciją ir galiausiai neteko didelės dalies darbingumo (šiuo metu jam nustatytas penkiasdešimties procentų nedarbingumas, t. </w:t>
      </w:r>
      <w:r w:rsidRPr="006F072D">
        <w:t>728, b. l. 136</w:t>
      </w:r>
      <w:r w:rsidRPr="006F072D">
        <w:rPr>
          <w:rFonts w:eastAsia="Calibri"/>
        </w:rPr>
        <w:t>). Sužalojimų padarymo metu jis buvo 18 metų, intensyviai sportavo, dalyvavo varžybose, planavo ir ateityje rimtai dalyvauti sporto varžybose. Dėl sužalojimų jis negalėjo studijuoti universitete, prarado galimybę įsidarbinti, pasunkėjo jo bendravimo galimybės, nebegalėjo gyventi pilnaverčio gyvenimo ir pan.</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rPr>
      </w:pPr>
      <w:r w:rsidRPr="00C00255">
        <w:rPr>
          <w:color w:val="000000"/>
          <w:lang w:eastAsia="lt-LT"/>
        </w:rPr>
        <w:t>Apeliacinės instancijos teismas pažymi, kad t</w:t>
      </w:r>
      <w:r w:rsidRPr="00C00255">
        <w:rPr>
          <w:color w:val="000000"/>
          <w:shd w:val="clear" w:color="auto" w:fill="FFFFFF"/>
        </w:rPr>
        <w:t xml:space="preserve">eisingas neturtinės žalos dydžio nustatymas sveikatos sužalojimo atvejais, ginant vieną iš svarbiausių žmogaus vertybių – sveikatą, yra itin svarbus, nes žmogaus sveikata yra unikali vertybė, kurią turėdamas žmogus kaupia socialines, materialines ir kultūrines vertybes, kuria savo gerovę, o išgyvenimai, sukelti dėl sveikatos sutrikdymo, paprastai yra ypač dideli. Sveikatos sužalojimu padarytos neturtinės žalos dydis priklauso ne tik nuo sveikatos sutrikdymo masto, jo sunkumo (sunkus, apysunkis ar kt.), bet ir nuo jo pobūdžio, kitų aplinkybių, apibūdinančių žalos ypatumus. Didesnė žala (ir atitinkamai jos piniginis įvertinimas) yra tais atvejais, kai neigiami sveikatos padariniai yra ilgalaikiai ar išliekantys visam laikui (visam sužalotojo gyvenimui), kai dėl sveikatos sutrikdymo atsiranda negatyvūs pasikeitimai įvairiose nukentėjusio asmens gyvenimo srityse, pavyzdžiui, būdamas jauno darbingo amžiaus, jis praranda darbingumą, suprastėja gyvenimo kokybė, ribojama įprasta veikla, patiria fizinį skausmą, kitokius sveikatos sutrikimus, atsiradusius po patirto sveikatos sužalojimo ir t. t. Tokio pobūdžio aplinkybės yra individualios ir nustatinėjamos kiekvienoje byloje atskirai. </w:t>
      </w:r>
      <w:r w:rsidRPr="00C00255">
        <w:rPr>
          <w:rFonts w:eastAsiaTheme="minorEastAsia"/>
          <w:color w:val="000000"/>
          <w:lang w:eastAsia="lt-LT"/>
        </w:rPr>
        <w:t>K</w:t>
      </w:r>
      <w:r w:rsidRPr="00C00255">
        <w:rPr>
          <w:color w:val="000000"/>
        </w:rPr>
        <w:t>asacinio teismo praktikoje pripažįstama, kad visiškai suvienodinti teismų praktikos dėl sveikatos sužalojimu padarytos neturtinės žalos dydžių iš esmės neįmanoma, nes kiekvienu konkrečiu atveju būtina vertinti kriterijų neturtinės žalos dydžiui nustatyti visumą, o individualioje byloje šie kriterijai, jų reikšmė ir tarpusavio santykis gali skirtis.</w:t>
      </w:r>
    </w:p>
    <w:p w:rsidR="00DA38E9" w:rsidRPr="00C00255" w:rsidRDefault="00DA38E9" w:rsidP="00DA38E9">
      <w:pPr>
        <w:pStyle w:val="ListParagraph"/>
        <w:numPr>
          <w:ilvl w:val="0"/>
          <w:numId w:val="6"/>
        </w:numPr>
        <w:shd w:val="clear" w:color="auto" w:fill="FFFFFF"/>
        <w:spacing w:before="120" w:after="120"/>
        <w:ind w:left="992" w:hanging="992"/>
        <w:contextualSpacing w:val="0"/>
        <w:rPr>
          <w:color w:val="000000" w:themeColor="text1"/>
        </w:rPr>
      </w:pPr>
      <w:r w:rsidRPr="00C00255">
        <w:rPr>
          <w:color w:val="000000"/>
        </w:rPr>
        <w:t xml:space="preserve">Nagrinėjamoje byloje </w:t>
      </w:r>
      <w:r>
        <w:rPr>
          <w:color w:val="000000"/>
        </w:rPr>
        <w:t>V. L.</w:t>
      </w:r>
      <w:r w:rsidRPr="00C00255">
        <w:rPr>
          <w:color w:val="000000"/>
        </w:rPr>
        <w:t xml:space="preserve"> civilinis ieškinys dėl tokio pobūdžio neturtinės žalos buvo pareikštas 2017 metais, kartu pateikiant išrašus iš asmens sveikatos istorijos, 2011 m. balandžio 20 d. darbingumo lygio pažymą bei 2017 m. pažymėjimą dėl pripažinimo nukentėjusiuoju. Šio pažymėjimo pagrindas – 1991 m. sausio 23 d. teismo medicinos ekspertizės aktas; 1992 m. vasario 26 d. teismo medicinos ekspertizės aktas ir 2011 m. vasario 28 d. specialisto išvada. Teismo vertinimu, tokie duomenys patvirtina nukentėjusiojo sveikatai padarytą žalą bei galimą jo neturtinę žalą, tačiau dėl jų surašymo laiko negali būti laikomi pakankamais konstatuoti padarytos neturtinės žalos dydį šiuo metu. Teismui kiekvienoje byloje n</w:t>
      </w:r>
      <w:r w:rsidRPr="00C00255">
        <w:rPr>
          <w:color w:val="000000"/>
          <w:shd w:val="clear" w:color="auto" w:fill="FFFFFF"/>
        </w:rPr>
        <w:t>ustatant atlygintinos neturtinės žalos dydį asmens sužalojimo atveju padariniai vertinami ne vien įvykusio fakto, bet ir ateities požiūriu, t. y. kaip jie paveiks tolesnį nukentėjusio asmens gyvenimą. Jeigu padariniai yra susiję su dideliais asmens sveikatos pakenkimais, rimtų sužalojimų sukėlimu, fizinio skausmo kentėjimu, lydimo nerimo dėl sveikatos ateityje, jeigu jie yra susiję su ateities intervencijomis ar kitokiu poveikiu žmogaus kūnui dėl padarinių šalinimo, tai yra esminis neturtinės žalos dydžio nustatymo kriterijus.</w:t>
      </w:r>
      <w:r w:rsidRPr="00C00255">
        <w:rPr>
          <w:color w:val="000000"/>
        </w:rPr>
        <w:t xml:space="preserve"> Tokio pobūdžio faktai apeliacinės instancijos teismui nėra žinomi, todėl tai vertinama kaip procesinė kliūtis nukentėjusiojo </w:t>
      </w:r>
      <w:r>
        <w:rPr>
          <w:color w:val="000000"/>
        </w:rPr>
        <w:t>V. L.</w:t>
      </w:r>
      <w:r w:rsidRPr="00C00255">
        <w:rPr>
          <w:color w:val="000000"/>
        </w:rPr>
        <w:t xml:space="preserve"> neturtinei žalai nustatyti visa apimtimi (BPK</w:t>
      </w:r>
      <w:r>
        <w:rPr>
          <w:color w:val="000000"/>
        </w:rPr>
        <w:t> </w:t>
      </w:r>
      <w:r w:rsidRPr="00C00255">
        <w:rPr>
          <w:color w:val="000000"/>
        </w:rPr>
        <w:t>115</w:t>
      </w:r>
      <w:r>
        <w:rPr>
          <w:color w:val="000000"/>
        </w:rPr>
        <w:t> </w:t>
      </w:r>
      <w:r w:rsidRPr="00C00255">
        <w:rPr>
          <w:color w:val="000000"/>
        </w:rPr>
        <w:t>straipsnio 2 dalis nustato, jog i</w:t>
      </w:r>
      <w:r w:rsidRPr="00C00255">
        <w:t>šimtiniais atvejais, kai negalima civilinio ieškinio tiksliai apskaičiuoti neatidėjus baudžiamosios bylos nagrinėjimo ar negavus papildomos medžiagos, teismas, priimdamas apkaltinamąjį nuosprendį, gali pripažinti civiliniam ieškovui teisę į ieškinio patenkinimą, o klausimą dėl ieškinio dydžio perduoti nagrinėti civilinio proceso tvarka</w:t>
      </w:r>
      <w:r w:rsidRPr="00C00255">
        <w:rPr>
          <w:color w:val="000000"/>
        </w:rPr>
        <w:t xml:space="preserve">). Teisėjų kolegijos vertinimu, tai taip pat sietina su netinkamu pirmosios instancijos teismo atliktu materialinės teisės, susijusios su nukentėjusiųjų teise į neturtinės žalos atlyginimą nagrinėjamoje byloje, aiškinimu. Tokia pirmosios instancijos teismo padaryta klaida užkirto kelią bylą apeliacine tvarka nagrinėjančiai teisėjų kolegijai pasisakyti dėl </w:t>
      </w:r>
      <w:r>
        <w:rPr>
          <w:color w:val="000000"/>
        </w:rPr>
        <w:t>V. L.</w:t>
      </w:r>
      <w:r w:rsidRPr="00C00255">
        <w:rPr>
          <w:color w:val="000000"/>
        </w:rPr>
        <w:t xml:space="preserve"> civilinio ieškinio pagrįstumo visa apimtimi. </w:t>
      </w:r>
    </w:p>
    <w:p w:rsidR="00DA38E9" w:rsidRPr="00C00255" w:rsidRDefault="00DA38E9" w:rsidP="00DA38E9">
      <w:pPr>
        <w:pStyle w:val="NormalWeb"/>
        <w:numPr>
          <w:ilvl w:val="0"/>
          <w:numId w:val="6"/>
        </w:numPr>
        <w:shd w:val="clear" w:color="auto" w:fill="FFFFFF"/>
        <w:spacing w:before="120" w:beforeAutospacing="0" w:after="120" w:afterAutospacing="0"/>
        <w:ind w:left="992" w:hanging="992"/>
        <w:rPr>
          <w:color w:val="000000"/>
        </w:rPr>
      </w:pPr>
      <w:r w:rsidRPr="00C00255">
        <w:rPr>
          <w:color w:val="000000"/>
        </w:rPr>
        <w:t xml:space="preserve">Lietuvos Aukščiausiasis Teismas yra išaiškinęs, kad tais atvejais, kai taikoma </w:t>
      </w:r>
      <w:bookmarkStart w:id="1042" w:name="n7ec7f173-8dc6-4c14-850b-798e1e3ddd26"/>
      <w:r w:rsidRPr="00670D48">
        <w:rPr>
          <w:iCs/>
          <w:color w:val="000000"/>
        </w:rPr>
        <w:t>BPK</w:t>
      </w:r>
      <w:bookmarkStart w:id="1043" w:name="pn7ec7f173-8dc6-4c14-850b-798e1e3ddd26"/>
      <w:bookmarkStart w:id="1044" w:name="na765875c-55c8-48ac-bd29-45d3f7ad09e6"/>
      <w:bookmarkEnd w:id="1042"/>
      <w:bookmarkEnd w:id="1043"/>
      <w:r w:rsidRPr="00C00255">
        <w:rPr>
          <w:color w:val="000000"/>
        </w:rPr>
        <w:t> </w:t>
      </w:r>
      <w:r w:rsidRPr="00670D48">
        <w:rPr>
          <w:rStyle w:val="Hyperlink"/>
          <w:iCs/>
          <w:color w:val="000000"/>
          <w:u w:val="none"/>
        </w:rPr>
        <w:t>115</w:t>
      </w:r>
      <w:bookmarkStart w:id="1045" w:name="pna765875c-55c8-48ac-bd29-45d3f7ad09e6"/>
      <w:bookmarkEnd w:id="1044"/>
      <w:bookmarkEnd w:id="1045"/>
      <w:r w:rsidRPr="00C00255">
        <w:rPr>
          <w:color w:val="000000"/>
        </w:rPr>
        <w:t> straipsnio 2 dalyje nustatyta išimtis, civilinės atsakomybės sąlygas nustato teismas, priimantis apkaltinamąjį nuosprendį, nes nesant civilinės atsakomybės sąlygų ieškinys turėtų būti atmestas ir nebūtų teisinio pagrindo taikyti išimtį. Jeigu teismas nustato, kad yra sąlygos taikyti civilinę atsakomybę, ir pripažįsta civiliniam ieškovui teisę į ieškinio patenkinimą, o ieškinį dėl žalos dydžio nustatymo perduoda nagrinėti civilinio proceso tvarka, tai ieškinį nagrinėjantis teismas jau nebegali iš naujo spręsti dėl civilinės atsakomybės sąlygų buvimo ir tuo pagrindu atmesti ieškinį. Teisės į ieškinio patenkinimą pripažinimas baudžiamajame procese reiškia, kad ieškinys negali būti atmestas civiliniame procese (LAT 2009 m. birželio 26 d. nutartis civilinėje byloje</w:t>
      </w:r>
      <w:bookmarkStart w:id="1046" w:name="n21cb354e-a9d1-4b7a-a483-fb895cae3c99"/>
      <w:r w:rsidRPr="00C00255">
        <w:rPr>
          <w:color w:val="000000"/>
        </w:rPr>
        <w:t xml:space="preserve"> Nr. </w:t>
      </w:r>
      <w:r w:rsidRPr="00670D48">
        <w:rPr>
          <w:rStyle w:val="Hyperlink"/>
          <w:iCs/>
          <w:color w:val="000000"/>
          <w:u w:val="none"/>
        </w:rPr>
        <w:t>3K-3-303/2009</w:t>
      </w:r>
      <w:bookmarkStart w:id="1047" w:name="pn21cb354e-a9d1-4b7a-a483-fb895cae3c99"/>
      <w:bookmarkStart w:id="1048" w:name="ne64566bb-264b-4504-8080-bca47fcdb34a"/>
      <w:bookmarkEnd w:id="1046"/>
      <w:bookmarkEnd w:id="1047"/>
      <w:r w:rsidRPr="00C00255">
        <w:rPr>
          <w:color w:val="000000"/>
        </w:rPr>
        <w:t>, 2010 m. birželio 21 d. nutartis civilinėje byloje Nr. </w:t>
      </w:r>
      <w:r w:rsidRPr="00670D48">
        <w:rPr>
          <w:rStyle w:val="Hyperlink"/>
          <w:iCs/>
          <w:color w:val="000000"/>
          <w:u w:val="none"/>
        </w:rPr>
        <w:t>3K-7-245/2010</w:t>
      </w:r>
      <w:bookmarkStart w:id="1049" w:name="pne64566bb-264b-4504-8080-bca47fcdb34a"/>
      <w:bookmarkStart w:id="1050" w:name="n832a4318-82e5-4e37-bcb6-31388c4fb34b"/>
      <w:bookmarkEnd w:id="1048"/>
      <w:bookmarkEnd w:id="1049"/>
      <w:r w:rsidRPr="00C00255">
        <w:rPr>
          <w:color w:val="000000"/>
        </w:rPr>
        <w:t>, 2013 m. kovo 22 d. nutartis civilinėje byloje Nr. </w:t>
      </w:r>
      <w:r w:rsidRPr="00670D48">
        <w:rPr>
          <w:rStyle w:val="Hyperlink"/>
          <w:iCs/>
          <w:color w:val="000000"/>
          <w:u w:val="none"/>
        </w:rPr>
        <w:t>3K-3-157/2013</w:t>
      </w:r>
      <w:bookmarkStart w:id="1051" w:name="pn832a4318-82e5-4e37-bcb6-31388c4fb34b"/>
      <w:bookmarkEnd w:id="1050"/>
      <w:bookmarkEnd w:id="1051"/>
      <w:r w:rsidRPr="00C00255">
        <w:rPr>
          <w:color w:val="000000"/>
        </w:rPr>
        <w:t xml:space="preserve">). </w:t>
      </w:r>
    </w:p>
    <w:p w:rsidR="00DA38E9" w:rsidRPr="00C00255" w:rsidRDefault="00DA38E9" w:rsidP="00DA38E9">
      <w:pPr>
        <w:pStyle w:val="NormalWeb"/>
        <w:numPr>
          <w:ilvl w:val="0"/>
          <w:numId w:val="6"/>
        </w:numPr>
        <w:shd w:val="clear" w:color="auto" w:fill="FFFFFF"/>
        <w:spacing w:before="120" w:beforeAutospacing="0" w:after="120" w:afterAutospacing="0"/>
        <w:ind w:left="992" w:hanging="992"/>
        <w:rPr>
          <w:color w:val="000000"/>
        </w:rPr>
      </w:pPr>
      <w:r w:rsidRPr="00C00255">
        <w:rPr>
          <w:color w:val="000000"/>
        </w:rPr>
        <w:t>Atsižvelgiant į tai, kad teisės į ieškinio patenkinimą pripažinimas baudžiamajame procese reiškia visų civilinės atsakomybės sąlygų buvimo konstatavimą, turi prejudicinių faktų teisinę reikšmę, teismo nuosprendyje turi būti motyvuotai pasisakyta dėl visų civilinės atsakomybės sąlygų – neteisėtų veiksmų, žalos, priežastinio ryšio buvimo, taip pat dėl kiekvieno atsakovo, kai yra jų daugetas.</w:t>
      </w:r>
    </w:p>
    <w:p w:rsidR="00DA38E9" w:rsidRPr="00C00255" w:rsidRDefault="00DA38E9" w:rsidP="00DA38E9">
      <w:pPr>
        <w:pStyle w:val="ListParagraph"/>
        <w:numPr>
          <w:ilvl w:val="0"/>
          <w:numId w:val="6"/>
        </w:numPr>
        <w:shd w:val="clear" w:color="auto" w:fill="FFFFFF"/>
        <w:spacing w:before="120" w:after="120"/>
        <w:ind w:left="992" w:hanging="992"/>
        <w:contextualSpacing w:val="0"/>
        <w:rPr>
          <w:lang w:eastAsia="lt-LT"/>
        </w:rPr>
      </w:pPr>
      <w:r w:rsidRPr="00C00255">
        <w:rPr>
          <w:color w:val="000000"/>
          <w:shd w:val="clear" w:color="auto" w:fill="FFFFFF"/>
        </w:rPr>
        <w:t xml:space="preserve">Byloje nustatyta, kad </w:t>
      </w:r>
      <w:r>
        <w:rPr>
          <w:color w:val="000000"/>
          <w:shd w:val="clear" w:color="auto" w:fill="FFFFFF"/>
        </w:rPr>
        <w:t>V. L.</w:t>
      </w:r>
      <w:r w:rsidRPr="00C00255">
        <w:rPr>
          <w:color w:val="000000"/>
          <w:shd w:val="clear" w:color="auto" w:fill="FFFFFF"/>
        </w:rPr>
        <w:t xml:space="preserve"> dėl nuteistųjų veiksmų patyrė sunkų sveikatos sutrikdymą, ilgą laiką buvo gydomas Lietuvos ir Vokietijos ligoninėse, patirtas sunkus kūno sužalojimas jam sukėlė sunkias ir ilgalaikes fizines pasekmes, dėl sveikatos sutrikdymo buvo nedarbingas, galiausiai pripažinta, kad neteko daugiau nei trečdalio bendro darbingumo </w:t>
      </w:r>
      <w:r w:rsidRPr="00C00255">
        <w:rPr>
          <w:color w:val="000000"/>
        </w:rPr>
        <w:t>(t.</w:t>
      </w:r>
      <w:r w:rsidRPr="00C00255">
        <w:t> </w:t>
      </w:r>
      <w:r w:rsidRPr="00C00255">
        <w:rPr>
          <w:color w:val="000000"/>
        </w:rPr>
        <w:t>42, b. l. 9</w:t>
      </w:r>
      <w:r w:rsidRPr="00C00255">
        <w:t>–</w:t>
      </w:r>
      <w:r w:rsidRPr="00C00255">
        <w:rPr>
          <w:color w:val="000000"/>
        </w:rPr>
        <w:t>10)</w:t>
      </w:r>
      <w:r w:rsidRPr="00C00255">
        <w:rPr>
          <w:color w:val="000000"/>
          <w:shd w:val="clear" w:color="auto" w:fill="FFFFFF"/>
        </w:rPr>
        <w:t xml:space="preserve">, liko negrįžtami ir nepataisomi sveikatos pakenkimai – regos pablogėjimas, apkurtimas viena ausimi, psicho organinis sindromas. Tokie sveikatos pakenkimai sumažino nukentėjusiojo studijų, įsidarbinimo, socialinio bendravimo galimybes, pakenkė bendrai gyvenimo kokybei. </w:t>
      </w:r>
      <w:r>
        <w:rPr>
          <w:color w:val="000000"/>
          <w:shd w:val="clear" w:color="auto" w:fill="FFFFFF"/>
        </w:rPr>
        <w:t>V. L.</w:t>
      </w:r>
      <w:r w:rsidRPr="00C00255">
        <w:rPr>
          <w:color w:val="000000"/>
          <w:shd w:val="clear" w:color="auto" w:fill="FFFFFF"/>
        </w:rPr>
        <w:t xml:space="preserve"> padarytas sunkus sveikatos sutrikdymas sukėlė dideles dvasines kančias, stresą, sužalojimai buvo pad</w:t>
      </w:r>
      <w:r w:rsidR="005E1CD9">
        <w:rPr>
          <w:color w:val="000000"/>
          <w:shd w:val="clear" w:color="auto" w:fill="FFFFFF"/>
        </w:rPr>
        <w:t>aryti jam pačioje jaunystėje ((duomenys neskelbtini)</w:t>
      </w:r>
      <w:r w:rsidRPr="00C00255">
        <w:rPr>
          <w:color w:val="000000"/>
          <w:shd w:val="clear" w:color="auto" w:fill="FFFFFF"/>
        </w:rPr>
        <w:t xml:space="preserve"> metų amžiaus), gerai matomoje vietoje (veido, galvos srityje), visam gyvenimui liko neatitaisomos neigiamos pasekmės nukentėjusiojo sveikatai. Taigi, nukentėjusysis dėl patirto skausmo, ilgo gydymo, nerimo dėl ateities, negrįžtamų pakenkimų vienai didžiausių vertybių – sveikatai – patyrė neturtinę žalą, kuri turi būti priteista iš kaltų asmenų. Be to, </w:t>
      </w:r>
      <w:r>
        <w:rPr>
          <w:color w:val="000000"/>
          <w:shd w:val="clear" w:color="auto" w:fill="FFFFFF"/>
        </w:rPr>
        <w:t>V. L.</w:t>
      </w:r>
      <w:r w:rsidRPr="00C00255">
        <w:rPr>
          <w:color w:val="000000"/>
          <w:shd w:val="clear" w:color="auto" w:fill="FFFFFF"/>
        </w:rPr>
        <w:t xml:space="preserve"> sužalojimai buvo padaryti, veikiant tiesiogine tyčia, darant pačius pavojingiausius nusikaltimus (nusikaltimus žmoniškumui, karo nusikaltimus), sąmoningai prieš beginklį, tarptautinės humanitarinės teisės saugomą asmenį panaudojant kovinį ginklą (automatą), užtaisytą tarptautinės teisės draudžiamomis kulkomis, padarančiomis didesnius nei įprastai sužalojimus. Jeigu dėl žalos padarymo kalti keli asmenys, tai jie atsako solidariai (C</w:t>
      </w:r>
      <w:r w:rsidR="005E1CD9">
        <w:rPr>
          <w:color w:val="000000"/>
          <w:shd w:val="clear" w:color="auto" w:fill="FFFFFF"/>
        </w:rPr>
        <w:t>K 6.6 straipsnio 3 dalis, 6.279 </w:t>
      </w:r>
      <w:r w:rsidRPr="00C00255">
        <w:rPr>
          <w:color w:val="000000"/>
          <w:shd w:val="clear" w:color="auto" w:fill="FFFFFF"/>
        </w:rPr>
        <w:t xml:space="preserve">straipsnio 1 dalis). Apeliacinės instancijos teismas konstatuoja, kad </w:t>
      </w:r>
      <w:r>
        <w:rPr>
          <w:color w:val="000000"/>
          <w:shd w:val="clear" w:color="auto" w:fill="FFFFFF"/>
        </w:rPr>
        <w:t>V. L.</w:t>
      </w:r>
      <w:r w:rsidRPr="00C00255">
        <w:rPr>
          <w:lang w:eastAsia="lt-LT"/>
        </w:rPr>
        <w:t xml:space="preserve"> padarytas sunkus sveikatos sutrikdymas yra visų nuteistųjų kartu atliktų nusikaltimų žmoniškumui ir karo nusikaltimų pasekmė, todėl nukentėjusiajam </w:t>
      </w:r>
      <w:r>
        <w:rPr>
          <w:lang w:eastAsia="lt-LT"/>
        </w:rPr>
        <w:t>V. L.</w:t>
      </w:r>
      <w:r w:rsidRPr="00C00255">
        <w:rPr>
          <w:lang w:eastAsia="lt-LT"/>
        </w:rPr>
        <w:t xml:space="preserve"> padaryta neturtinė žala turi būti atlyginta solidariai visų nuteistųjų.</w:t>
      </w:r>
    </w:p>
    <w:p w:rsidR="00DA38E9" w:rsidRPr="00C00255" w:rsidRDefault="00DA38E9" w:rsidP="00DA38E9">
      <w:pPr>
        <w:pStyle w:val="tip"/>
        <w:numPr>
          <w:ilvl w:val="0"/>
          <w:numId w:val="6"/>
        </w:numPr>
        <w:shd w:val="clear" w:color="auto" w:fill="FFFFFF"/>
        <w:spacing w:before="120" w:beforeAutospacing="0" w:after="120" w:afterAutospacing="0" w:line="240" w:lineRule="auto"/>
        <w:ind w:left="992" w:hanging="992"/>
        <w:rPr>
          <w:color w:val="000000"/>
          <w:lang w:val="lt-LT"/>
        </w:rPr>
      </w:pPr>
      <w:r w:rsidRPr="00F27AEE">
        <w:rPr>
          <w:lang w:val="lt-LT"/>
        </w:rPr>
        <w:t>Todėl pirmosios instancijos teismo nuosprendžio dalis, kuria V. L. civilinis ieškinys atmestas, pakeičiama, nukentėjusiajam V. L. pripažįstant teisę į civilinio ieškinio patenkinimą (BPK 115 straipsnio 2 dalis). Nukentėjusiajam papildomai išaiškinama, kad jo byloje pareikštas civilinis ieškinys perduodamas nagrinėti pirmosios instancijos teismui civilinio proceso tvarka. Šią bylos dalį iš naujo nagrinėsiančiam teismui tenka pareiga nustatyti teisingą kompensaciją už patirtus neturtinio pobūdžio išgyvenimus, praradimus, parenkant tokią piniginę satisfakciją, kuri kiek galima teisingiau kompensuotų nukentėjusiojo neturtinėms vertybėms padarytą žalą.</w:t>
      </w:r>
      <w:bookmarkStart w:id="1052" w:name="pncf5aea34-ec94-48f8-afee-f536538b8ef7"/>
      <w:bookmarkEnd w:id="1052"/>
      <w:r w:rsidRPr="00F27AEE">
        <w:rPr>
          <w:lang w:val="lt-LT"/>
        </w:rPr>
        <w:t xml:space="preserve"> Pagal BPK 113 straipsnio 2 dalį, kai nagrinėjant civilinį ieškinį baudžiamojoje byloje kyla klausimų, kurių sprendimo BPK nereglamentuoja, taikomos atitinkamos civilinio proceso normos, jeigu jos neprieštarauja baudžiamojo proceso normoms. Teisėjų kolegija atkreipia dėmesį, kad sprendžiant dėl nukentėjusiojo civiliniu ieškiniu prašomos priteisti neturtinės žalos, jis turi ne tik teisę teikti įrodymus, reikšmingus sprendžiant dėl jam padarytos neturtinės žalos dydžio, bet taip pat ir atsisakyti pareikšto ieškinio ar jo dalies (CPK 140 </w:t>
      </w:r>
      <w:r w:rsidR="00B05D9B" w:rsidRPr="00F27AEE">
        <w:rPr>
          <w:lang w:val="lt-LT"/>
        </w:rPr>
        <w:t>straipsnio 1 </w:t>
      </w:r>
      <w:r w:rsidRPr="00F27AEE">
        <w:rPr>
          <w:lang w:val="lt-LT"/>
        </w:rPr>
        <w:t>dalis</w:t>
      </w:r>
      <w:r w:rsidRPr="00C00255">
        <w:rPr>
          <w:color w:val="000000"/>
          <w:lang w:val="lt-LT"/>
        </w:rPr>
        <w:t>).</w:t>
      </w:r>
    </w:p>
    <w:p w:rsidR="00DA38E9" w:rsidRPr="00C00255" w:rsidRDefault="00DA38E9" w:rsidP="00DA38E9">
      <w:pPr>
        <w:pStyle w:val="Heading3"/>
        <w:spacing w:before="120" w:after="120"/>
        <w:ind w:left="992"/>
        <w:jc w:val="both"/>
        <w:rPr>
          <w:b w:val="0"/>
          <w:i/>
          <w:sz w:val="24"/>
          <w:lang w:val="lt-LT" w:eastAsia="ja-JP"/>
        </w:rPr>
      </w:pPr>
      <w:bookmarkStart w:id="1053" w:name="_Toc67677499"/>
      <w:bookmarkStart w:id="1054" w:name="_Toc67985584"/>
      <w:r w:rsidRPr="00C00255">
        <w:rPr>
          <w:b w:val="0"/>
          <w:i/>
          <w:sz w:val="24"/>
          <w:shd w:val="clear" w:color="auto" w:fill="FFFFFF"/>
          <w:lang w:val="lt-LT"/>
        </w:rPr>
        <w:t>D</w:t>
      </w:r>
      <w:r w:rsidRPr="00C00255">
        <w:rPr>
          <w:b w:val="0"/>
          <w:i/>
          <w:sz w:val="24"/>
          <w:lang w:val="lt-LT" w:eastAsia="ja-JP"/>
        </w:rPr>
        <w:t>ėl pirmosios instancijos teismo sprendimo palikti nenagrinėtą Lietuvos Respublikos generalinės prokuratūros pareikštą civilinį ieškinį dėl turtinės žalos Lietuvos valstybei atlyginimo</w:t>
      </w:r>
      <w:bookmarkEnd w:id="1053"/>
      <w:bookmarkEnd w:id="1054"/>
    </w:p>
    <w:p w:rsidR="00DA38E9" w:rsidRPr="006F072D" w:rsidRDefault="00DA38E9" w:rsidP="00DA38E9">
      <w:pPr>
        <w:pStyle w:val="Standard"/>
        <w:numPr>
          <w:ilvl w:val="0"/>
          <w:numId w:val="6"/>
        </w:numPr>
        <w:spacing w:before="120" w:after="120"/>
        <w:ind w:left="992" w:hanging="992"/>
        <w:jc w:val="both"/>
        <w:rPr>
          <w:rFonts w:cs="Times New Roman"/>
          <w:color w:val="000000" w:themeColor="text1"/>
          <w:lang w:eastAsia="ja-JP"/>
        </w:rPr>
      </w:pPr>
      <w:r w:rsidRPr="006F072D">
        <w:rPr>
          <w:rFonts w:cs="Times New Roman"/>
          <w:color w:val="000000" w:themeColor="text1"/>
          <w:lang w:eastAsia="ja-JP"/>
        </w:rPr>
        <w:t xml:space="preserve">Lietuvos Respublikos generalinė prokuratūra pateikė civilinį ieškinį dėl </w:t>
      </w:r>
      <w:r w:rsidRPr="006F072D">
        <w:rPr>
          <w:rFonts w:cs="Times New Roman"/>
          <w:color w:val="000000" w:themeColor="text1"/>
        </w:rPr>
        <w:t xml:space="preserve">11 365 460,07 </w:t>
      </w:r>
      <w:r w:rsidRPr="006F072D">
        <w:rPr>
          <w:rFonts w:cs="Times New Roman"/>
          <w:color w:val="000000" w:themeColor="text1"/>
          <w:lang w:eastAsia="ja-JP"/>
        </w:rPr>
        <w:t>Eur (39 242 660,53 Lt) turtinės žalos, padarytos Lietuvos valstybei, priteisimo solidariai iš visų nuteistųjų (t. 509, b. l. 230</w:t>
      </w:r>
      <w:r w:rsidRPr="006F072D">
        <w:rPr>
          <w:rFonts w:cs="Times New Roman"/>
        </w:rPr>
        <w:t>–</w:t>
      </w:r>
      <w:r w:rsidRPr="006F072D">
        <w:rPr>
          <w:rFonts w:cs="Times New Roman"/>
          <w:color w:val="000000" w:themeColor="text1"/>
          <w:lang w:eastAsia="ja-JP"/>
        </w:rPr>
        <w:t>238, t. 731, b. l. 101</w:t>
      </w:r>
      <w:r w:rsidRPr="006F072D">
        <w:rPr>
          <w:rFonts w:cs="Times New Roman"/>
        </w:rPr>
        <w:t>–</w:t>
      </w:r>
      <w:r w:rsidRPr="006F072D">
        <w:rPr>
          <w:rFonts w:cs="Times New Roman"/>
          <w:color w:val="000000" w:themeColor="text1"/>
          <w:lang w:eastAsia="ja-JP"/>
        </w:rPr>
        <w:t xml:space="preserve">105). </w:t>
      </w:r>
    </w:p>
    <w:p w:rsidR="00DA38E9" w:rsidRPr="00C00255" w:rsidRDefault="00DA38E9" w:rsidP="00DA38E9">
      <w:pPr>
        <w:pStyle w:val="Standard"/>
        <w:numPr>
          <w:ilvl w:val="0"/>
          <w:numId w:val="6"/>
        </w:numPr>
        <w:spacing w:before="120" w:after="120"/>
        <w:ind w:left="992" w:hanging="992"/>
        <w:jc w:val="both"/>
        <w:rPr>
          <w:rFonts w:cs="Times New Roman"/>
          <w:color w:val="000000" w:themeColor="text1"/>
          <w:lang w:eastAsia="ja-JP"/>
        </w:rPr>
      </w:pPr>
      <w:r w:rsidRPr="00C00255">
        <w:rPr>
          <w:rFonts w:cs="Times New Roman"/>
          <w:color w:val="000000" w:themeColor="text1"/>
          <w:lang w:eastAsia="ja-JP"/>
        </w:rPr>
        <w:t xml:space="preserve">Pirmosios instancijos teismas </w:t>
      </w:r>
      <w:r w:rsidRPr="00C00255">
        <w:rPr>
          <w:rFonts w:cs="Times New Roman"/>
          <w:color w:val="000000" w:themeColor="text1"/>
        </w:rPr>
        <w:t>prokuratūros pareikštą civilinį ieškinį paliko nenagrinėtą, motyvuodamas tuo, kad ž</w:t>
      </w:r>
      <w:r w:rsidRPr="00C00255">
        <w:rPr>
          <w:rFonts w:cs="Times New Roman"/>
          <w:color w:val="000000" w:themeColor="text1"/>
          <w:lang w:eastAsia="ja-JP"/>
        </w:rPr>
        <w:t xml:space="preserve">ala Lietuvos valstybei, dėl kurios byloje pareikštas civilinis ieškinys, padaryta TSRS kariškių veiksmais tuo metu, kai buvo užgrobiami Lietuvai svarbūs objektai (kariškiai užgrobtuose objektuose daužė ir gadino įrangą, pavogė vertingesnius daiktus, priklausančius pastatuose esančioms organizacijoms ir kt.), o šioje byloje nėra pareikšti kaltinimai dėl turto sunaikinimo ir / ar sugadinimo bei turto iš užgrobtų patalpų pagrobimo. Taip pat pirmosios instancijos teismas, palikdamas civilinį ieškinį nenagrinėtą, rėmėsi jau minėtoje </w:t>
      </w:r>
      <w:r>
        <w:rPr>
          <w:rFonts w:cs="Times New Roman"/>
          <w:color w:val="000000" w:themeColor="text1"/>
          <w:lang w:eastAsia="ja-JP"/>
        </w:rPr>
        <w:t>M. B.</w:t>
      </w:r>
      <w:r w:rsidRPr="00C00255">
        <w:rPr>
          <w:rFonts w:cs="Times New Roman"/>
          <w:color w:val="000000" w:themeColor="text1"/>
          <w:lang w:eastAsia="ja-JP"/>
        </w:rPr>
        <w:t xml:space="preserve">, </w:t>
      </w:r>
      <w:r>
        <w:rPr>
          <w:rFonts w:cs="Times New Roman"/>
          <w:color w:val="000000" w:themeColor="text1"/>
          <w:lang w:eastAsia="ja-JP"/>
        </w:rPr>
        <w:t>J. K.</w:t>
      </w:r>
      <w:r w:rsidRPr="00C00255">
        <w:rPr>
          <w:rFonts w:cs="Times New Roman"/>
          <w:color w:val="000000" w:themeColor="text1"/>
          <w:lang w:eastAsia="ja-JP"/>
        </w:rPr>
        <w:t xml:space="preserve"> ir kt. byloje priimtu teismo sprendimu </w:t>
      </w:r>
      <w:r w:rsidR="00B05D9B">
        <w:rPr>
          <w:rFonts w:cs="Times New Roman"/>
          <w:color w:val="000000" w:themeColor="text1"/>
          <w:lang w:eastAsia="ja-JP"/>
        </w:rPr>
        <w:t>(Vilniaus apygardos teismo 1999 </w:t>
      </w:r>
      <w:r w:rsidRPr="00C00255">
        <w:rPr>
          <w:rFonts w:cs="Times New Roman"/>
          <w:color w:val="000000" w:themeColor="text1"/>
          <w:lang w:eastAsia="ja-JP"/>
        </w:rPr>
        <w:t xml:space="preserve">m. rugpjūčio 23 d. nuosprendis baudžiamojoje byloje Nr. 1-2/1999), kuriame, be kita ko, nurodyta, kad už kariškių padarytus nuostolius yra atsakinga TSRS teisių perėmėja – Rusijos Federacija. Pirmosios instancijos teismas nuosprendyje nurodė, kad Lietuvos valstybei padarytos žalos atlyginimo klausimas yra tarpvalstybinių derybų objektas, todėl kariškių veiksmais padarytos žalos atlyginimo klausimas šioje baudžiamojoje byloje negali būti sprendžiamas. </w:t>
      </w:r>
    </w:p>
    <w:p w:rsidR="00DA38E9" w:rsidRPr="006F072D" w:rsidRDefault="00DA38E9" w:rsidP="00DA38E9">
      <w:pPr>
        <w:pStyle w:val="Standard"/>
        <w:numPr>
          <w:ilvl w:val="0"/>
          <w:numId w:val="6"/>
        </w:numPr>
        <w:spacing w:before="120" w:after="120"/>
        <w:ind w:left="992" w:hanging="992"/>
        <w:jc w:val="both"/>
        <w:rPr>
          <w:rFonts w:cs="Times New Roman"/>
          <w:color w:val="000000" w:themeColor="text1"/>
        </w:rPr>
      </w:pPr>
      <w:r w:rsidRPr="006F072D">
        <w:rPr>
          <w:rFonts w:cs="Times New Roman"/>
          <w:color w:val="000000" w:themeColor="text1"/>
        </w:rPr>
        <w:t xml:space="preserve">Lietuvos Respublikos generalinė prokuratūra apeliaciniu skundu prašo nuosprendžio dalį, kuria prokuratūros pateiktas civilinis ieškinys paliktas nenagrinėtas, pakeisti ir civilinį ieškinį tenkinti – solidariai iš visų nuteistųjų Lietuvos valstybės naudai priteisti 11 365 460,07 Eur turtinės žalos atlyginimą. Apeliaciniame skunde pažymima, kad turtinė žala atsirado dėl nuteistųjų veiksmų, todėl būtent jie, o ne Rusijos Federacija turi atlyginti padarytą turtinę žalą. Turtinę žalą sudaro 1991 m. žuvusių asmenų laidojimo, paminklų statymo išlaidos, nukentėjusiesiems suteiktų medicinos paslaugų ir gydymo išlaidos, nukentėjusiesiems išmokėtos pašalpos ir kitos išmokos. Šias išlaidas Lietuvos Respublikos valstybė patyrė dėl tyčinių nusikalstamų nuteistųjų veiksmų. Teisėjų kolegija, įvertinusi skundžiamą nuosprendžio dalį, su apeliacinio skundo argumentais iš dalies sutinka. </w:t>
      </w:r>
    </w:p>
    <w:p w:rsidR="00DA38E9" w:rsidRPr="006F072D" w:rsidRDefault="00DA38E9" w:rsidP="00DA38E9">
      <w:pPr>
        <w:pStyle w:val="ListParagraph"/>
        <w:numPr>
          <w:ilvl w:val="0"/>
          <w:numId w:val="6"/>
        </w:numPr>
        <w:spacing w:before="120" w:after="120"/>
        <w:ind w:left="992" w:hanging="992"/>
        <w:contextualSpacing w:val="0"/>
        <w:rPr>
          <w:color w:val="000000" w:themeColor="text1"/>
        </w:rPr>
      </w:pPr>
      <w:r w:rsidRPr="006F072D">
        <w:rPr>
          <w:color w:val="000000" w:themeColor="text1"/>
        </w:rPr>
        <w:t xml:space="preserve">Pažymėtina, kad prokuratūros civiliniame ieškinyje nėra prašoma atlyginti turtinę žalą, atsiradusią dėl turto sugadinimo ar sunaikinimo, TSRS kariškiams užgrobiant kaltinamajame akte nurodytus objektus, todėl pirmosios instancijos teismo motyvai dėl turto sugadinimo ir sunaikinimo nėra susiję su byloje pareikštu civiliniu ieškiniu ir negali būti laikomi pagrindu šį civilinį ieškinį palikti nenagrinėtą. Civiliniu ieškiniu prašoma priteisti valstybės patirtas išlaidas, susijusias su nuteistiesiems inkriminuotų nusikalstamų veikų metu žuvusių asmenų laidojimu, paminklų statymu, nukentėjusiesiems suteiktomis medicinos paslaugomis, gydymu, nukentėjusiesiems išmokėtomis įvairiomis pašalpomis ir išmokomis. Pažymėtina, kad dėl išvardintų išlaidų dydžio bei jų pagrįstumo pirmosios instancijos teismas nuosprendyje nepasisakė ir jų nevertino. Dėl šios priežasties nėra aišku, ar pirmosios instancijos teismo išvada, kad </w:t>
      </w:r>
      <w:r w:rsidRPr="006F072D">
        <w:rPr>
          <w:color w:val="000000" w:themeColor="text1"/>
          <w:lang w:eastAsia="ja-JP"/>
        </w:rPr>
        <w:t>už kariškių padarytą žalą yra atsakinga Rusijos Federacija, yra susijusi tik su turto sugadinimo ir sunaikinimo metu padarytos žalos vertinimu, ar siejama ir su kita civiliniame ieškinyje prašoma atlyginti turtine žala.</w:t>
      </w:r>
      <w:r w:rsidRPr="006F072D">
        <w:rPr>
          <w:color w:val="000000" w:themeColor="text1"/>
        </w:rPr>
        <w:t xml:space="preserve"> Atsižvelgiant į tai, apeliacinės instancijos teismas daro išvadą, kad pirmosios instancijos teismas Lietuvos Respublikos generalinės prokuratūros pareikšto civilinio ieškinio iš esmės neišnagrinėjo ir nepateikė teisiškai pagrįstų motyvų dėl civilinio ieškinio palikimo nenagrinėto. Šis pirmosios instancijos teismo padarytas procesinės teisės pažeidimas gali būti ištaisytas apeliacinės instancijos teisme, išnagrinėjant klausimą dėl turtinės žalos atlyginimo Lietuvos valstybei visa apimtimi.</w:t>
      </w:r>
    </w:p>
    <w:p w:rsidR="00DA38E9" w:rsidRPr="006F072D" w:rsidRDefault="00DA38E9" w:rsidP="00DA38E9">
      <w:pPr>
        <w:pStyle w:val="ListParagraph"/>
        <w:numPr>
          <w:ilvl w:val="0"/>
          <w:numId w:val="6"/>
        </w:numPr>
        <w:spacing w:before="120" w:after="120"/>
        <w:ind w:left="992" w:hanging="992"/>
        <w:contextualSpacing w:val="0"/>
        <w:rPr>
          <w:color w:val="000000" w:themeColor="text1"/>
          <w:shd w:val="clear" w:color="auto" w:fill="FFFFFF"/>
        </w:rPr>
      </w:pPr>
      <w:r w:rsidRPr="006F072D">
        <w:rPr>
          <w:color w:val="000000" w:themeColor="text1"/>
        </w:rPr>
        <w:t xml:space="preserve">Vertinant, ar nagrinėjamoje byloje kaltais pripažinti asmenys privalo atlyginti žalą, padarytą Lietuvos valstybei, svarbu pažymėti, kad individuali fizinių asmenų atsakomybė už nusikaltimus žmoniškumui ir karo nusikaltimus tarptautinėje teisėje pirmą kartą buvo įtvirtinta </w:t>
      </w:r>
      <w:r w:rsidRPr="006F072D">
        <w:rPr>
          <w:color w:val="000000" w:themeColor="text1"/>
          <w:shd w:val="clear" w:color="auto" w:fill="FFFFFF"/>
        </w:rPr>
        <w:t>Niurnbergo tarptautinio karinio tribunolo statuto 6 straipsnyje, nustatant, kad</w:t>
      </w:r>
      <w:r w:rsidRPr="006F072D">
        <w:rPr>
          <w:color w:val="000000" w:themeColor="text1"/>
        </w:rPr>
        <w:t xml:space="preserve"> </w:t>
      </w:r>
      <w:r w:rsidRPr="006F072D">
        <w:rPr>
          <w:color w:val="000000" w:themeColor="text1"/>
          <w:shd w:val="clear" w:color="auto" w:fill="FFFFFF"/>
        </w:rPr>
        <w:t xml:space="preserve">vadai, organizatoriai, kurstytojai ir bendrininkai, dalyvaujantys kuriant ar vykdant bendrą planą ar sąmokslą padaryti bet kurį šiame straipsnyje aprašytą nusikaltimą, yra atsakingi už visus bet kurio asmens veiksmus, vykdant šį planą. </w:t>
      </w:r>
    </w:p>
    <w:p w:rsidR="00DA38E9" w:rsidRPr="00C00255" w:rsidRDefault="00DA38E9" w:rsidP="00DA38E9">
      <w:pPr>
        <w:pStyle w:val="ListParagraph"/>
        <w:numPr>
          <w:ilvl w:val="0"/>
          <w:numId w:val="6"/>
        </w:numPr>
        <w:spacing w:before="120" w:after="120"/>
        <w:ind w:left="992" w:hanging="992"/>
        <w:contextualSpacing w:val="0"/>
        <w:rPr>
          <w:color w:val="000000" w:themeColor="text1"/>
        </w:rPr>
      </w:pPr>
      <w:r w:rsidRPr="00C00255">
        <w:rPr>
          <w:color w:val="000000" w:themeColor="text1"/>
          <w:shd w:val="clear" w:color="auto" w:fill="FFFFFF"/>
        </w:rPr>
        <w:t xml:space="preserve">Individuali fizinių asmenų civilinė atsakomybė aiškiai yra įtvirtinta ir Tarptautinio Baudžiamojo Teismo Romos statute. Pagal šio Statuto 75 straipsnio 1 dalį </w:t>
      </w:r>
      <w:r w:rsidRPr="00C00255">
        <w:t>t</w:t>
      </w:r>
      <w:r w:rsidRPr="00C00255">
        <w:rPr>
          <w:color w:val="000000"/>
          <w:lang w:eastAsia="lt-LT"/>
        </w:rPr>
        <w:t xml:space="preserve">eismas nustato žalos atlyginimo nukentėjusiesiems, įskaitant restituciją, kompensaciją ir teisių atkūrimą, principus. Tuo remdamasis savo nuosprendyje teismas gali arba paprašytas, arba, esant išimtinėms aplinkybėms, savo paties iniciatyva nustatyti nukentėjusiesiems padarytos ar juos liečiančios žalos, nuostolių ir sužalojimų mastą ir dydį bei išdėstyti, kokiais principais vadovaudamasis tai nustatė. Pagal to paties straipsnio 2 dalį </w:t>
      </w:r>
      <w:bookmarkStart w:id="1055" w:name="part_7fd4ab36cf874ed69800f97b42bae25f"/>
      <w:bookmarkEnd w:id="1055"/>
      <w:r w:rsidRPr="00C00255">
        <w:rPr>
          <w:color w:val="000000"/>
          <w:lang w:eastAsia="lt-LT"/>
        </w:rPr>
        <w:t xml:space="preserve">teismas gali priimti nutartį, kurioje tiesiogiai nustatoma, kokio dydžio žalą, padarytą nukentėjusiajam ar jį liečiančią, atlygina </w:t>
      </w:r>
      <w:r w:rsidRPr="00C00255">
        <w:rPr>
          <w:i/>
          <w:color w:val="000000"/>
          <w:lang w:eastAsia="lt-LT"/>
        </w:rPr>
        <w:t>nuteistasis</w:t>
      </w:r>
      <w:r w:rsidRPr="00C00255">
        <w:rPr>
          <w:color w:val="000000"/>
          <w:lang w:eastAsia="lt-LT"/>
        </w:rPr>
        <w:t xml:space="preserve">, įskaitant restituciją, kompensaciją ir teisių atkūrimą. </w:t>
      </w:r>
      <w:r w:rsidRPr="00C00255">
        <w:rPr>
          <w:color w:val="000000" w:themeColor="text1"/>
        </w:rPr>
        <w:t xml:space="preserve">Romos statuto naujovė yra ta, kad nukentėjusieji žalos atlyginimo iš kaltininko </w:t>
      </w:r>
      <w:r w:rsidRPr="00C00255">
        <w:rPr>
          <w:i/>
          <w:color w:val="000000" w:themeColor="text1"/>
        </w:rPr>
        <w:t xml:space="preserve">gali </w:t>
      </w:r>
      <w:r w:rsidRPr="00C00255">
        <w:rPr>
          <w:color w:val="000000" w:themeColor="text1"/>
        </w:rPr>
        <w:t>prašyti tarptautiniame baudžiamajame procese, o ne tik nacionaliniame teisme. Pagrindinis principas, kad nukentėjusiesiems žala turi būti atlyginama tinkamai ir proporcingai, priklausomai nuo padarytų sužalojimų, praradimų ir kitos žalos (</w:t>
      </w:r>
      <w:r w:rsidRPr="00C00255">
        <w:rPr>
          <w:i/>
        </w:rPr>
        <w:t>Mark Klamberg, Commentary on the Law of the International Criminal Court (liet. Tarptautinio Baudžiamojo Teismo teisės komentaras), 2017 m., p. 572</w:t>
      </w:r>
      <w:r w:rsidRPr="00C00255">
        <w:rPr>
          <w:color w:val="000000" w:themeColor="text1"/>
        </w:rPr>
        <w:t xml:space="preserve">). </w:t>
      </w:r>
    </w:p>
    <w:p w:rsidR="00DA38E9" w:rsidRPr="00C00255" w:rsidRDefault="00DA38E9" w:rsidP="00DA38E9">
      <w:pPr>
        <w:pStyle w:val="ListParagraph"/>
        <w:numPr>
          <w:ilvl w:val="0"/>
          <w:numId w:val="6"/>
        </w:numPr>
        <w:spacing w:before="120" w:after="120"/>
        <w:ind w:left="992" w:hanging="992"/>
        <w:contextualSpacing w:val="0"/>
        <w:rPr>
          <w:iCs/>
          <w:color w:val="000000" w:themeColor="text1"/>
          <w:lang w:eastAsia="lt-LT"/>
        </w:rPr>
      </w:pPr>
      <w:r w:rsidRPr="00C00255">
        <w:rPr>
          <w:iCs/>
          <w:color w:val="000000" w:themeColor="text1"/>
          <w:shd w:val="clear" w:color="auto" w:fill="FFFFFF"/>
        </w:rPr>
        <w:t xml:space="preserve">Tarptautinio Raudonojo Kryžiaus komiteto parengtose Paprotinės humanitarinės teisės taisyklėse prie taisyklės Nr. 151 (individuali atsakomybė) yra pateikti užsienio valstybių teismų sprendimų pavyzdžiai, kai asmenims, padariusiems nusikaltimus žmoniškumui ar karo nusikaltimus, buvo pritaikyta individuali civilinė atsakomybė ([interaktyvus] </w:t>
      </w:r>
      <w:r w:rsidRPr="00C00255">
        <w:t>https://ihl-databases.icrc.org/customary-ihl/eng/docs/v2_cha_chapter43_rule151</w:t>
      </w:r>
      <w:r w:rsidRPr="00C00255">
        <w:rPr>
          <w:iCs/>
          <w:color w:val="000000" w:themeColor="text1"/>
          <w:shd w:val="clear" w:color="auto" w:fill="FFFFFF"/>
        </w:rPr>
        <w:t>).</w:t>
      </w:r>
      <w:r w:rsidRPr="00C00255">
        <w:rPr>
          <w:rStyle w:val="Hyperlink"/>
          <w:bCs/>
          <w:color w:val="000000" w:themeColor="text1"/>
          <w:szCs w:val="24"/>
          <w:u w:val="none"/>
          <w:lang w:eastAsia="lt-LT"/>
        </w:rPr>
        <w:t xml:space="preserve"> Pavyzdžiui, Italijoje 2000 m. </w:t>
      </w:r>
      <w:r w:rsidRPr="00C00255">
        <w:rPr>
          <w:i/>
          <w:iCs/>
          <w:color w:val="000000" w:themeColor="text1"/>
          <w:lang w:eastAsia="lt-LT"/>
        </w:rPr>
        <w:t xml:space="preserve">Ercole </w:t>
      </w:r>
      <w:r w:rsidRPr="00C00255">
        <w:rPr>
          <w:iCs/>
          <w:color w:val="000000" w:themeColor="text1"/>
          <w:lang w:eastAsia="lt-LT"/>
        </w:rPr>
        <w:t xml:space="preserve">byloje buvęs desantininkas nuteistas už piktnaudžiavimą valdžia, dalyvaujant taikos palaikymo operacijoje Somalyje, ir jis įpareigotas sumokėti 30 000 000 Italijos lirų kankintam Somalio piliečiui. </w:t>
      </w:r>
      <w:r w:rsidRPr="00C00255">
        <w:rPr>
          <w:color w:val="000000" w:themeColor="text1"/>
          <w:lang w:eastAsia="lt-LT"/>
        </w:rPr>
        <w:t xml:space="preserve">Norvegijoje 2008 m. </w:t>
      </w:r>
      <w:r w:rsidRPr="00C00255">
        <w:rPr>
          <w:i/>
          <w:iCs/>
          <w:color w:val="000000" w:themeColor="text1"/>
          <w:lang w:eastAsia="lt-LT"/>
        </w:rPr>
        <w:t>Repak</w:t>
      </w:r>
      <w:r w:rsidRPr="00C00255">
        <w:rPr>
          <w:iCs/>
          <w:color w:val="000000" w:themeColor="text1"/>
          <w:lang w:eastAsia="lt-LT"/>
        </w:rPr>
        <w:t xml:space="preserve"> byloje buvo nagrinėjami nusikaltimai padaryti 1992 m. Bosnijos ir Hercegovinos internavimo stovykloje prieš serbų civilius asmenis. Kaltininką pripažinus kaltu dėl karo nusikaltimų, </w:t>
      </w:r>
      <w:r w:rsidRPr="00C00255">
        <w:rPr>
          <w:color w:val="000000" w:themeColor="text1"/>
          <w:lang w:eastAsia="lt-LT"/>
        </w:rPr>
        <w:t xml:space="preserve">susijusių su neteisėtu tarptautinės humanitarinės teisės saugomų asmenų laisvės atėmimu, iš jo buvo priteista neturtinė žala nukentėjusiesiems. Jungtinėse Amerikos Valstijose (JAV) 1995 metais apeliaciniame teisme pagal </w:t>
      </w:r>
      <w:r w:rsidRPr="00C00255">
        <w:rPr>
          <w:iCs/>
          <w:color w:val="000000" w:themeColor="text1"/>
          <w:lang w:eastAsia="lt-LT"/>
        </w:rPr>
        <w:t>JAV galiojantį užsieniečių žalos atlyginimo aktą</w:t>
      </w:r>
      <w:r w:rsidRPr="00C00255">
        <w:rPr>
          <w:color w:val="000000" w:themeColor="text1"/>
          <w:lang w:eastAsia="lt-LT"/>
        </w:rPr>
        <w:t xml:space="preserve"> </w:t>
      </w:r>
      <w:r w:rsidRPr="00C00255">
        <w:rPr>
          <w:i/>
          <w:iCs/>
          <w:color w:val="000000" w:themeColor="text1"/>
          <w:lang w:eastAsia="lt-LT"/>
        </w:rPr>
        <w:t>Karadžić</w:t>
      </w:r>
      <w:r w:rsidRPr="00C00255">
        <w:rPr>
          <w:iCs/>
          <w:color w:val="000000" w:themeColor="text1"/>
          <w:lang w:eastAsia="lt-LT"/>
        </w:rPr>
        <w:t xml:space="preserve"> byloje nagrinėtas Bosnijos piliečių Radovanui Karadžičiui pareikštas civilinis ieškinys dėl buvusioje Jugoslavijoje įvykdytais nusikaltimais (genocidas, prievartavimai, kankinimai ir kitas nežmoniškas elgesys) padarytos žalos nukentėjusiesiems atlyginimo. Priimdamas sprendimą dėl žalos atlyginimo, JAV teismas pabrėžė, kad fiziniai asmenys už tarptautinės teisės pažeidimus gali būti traukiami ir baudžiamojon, ir civilinėn atsakomybėn.</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rPr>
          <w:color w:val="000000"/>
          <w:shd w:val="clear" w:color="auto" w:fill="FFFFFF"/>
        </w:rPr>
        <w:t xml:space="preserve">Be to, 2005 m. gruodžio 16 d. Jungtinių Tautų Generalinė Asamblėja priėmė rezoliuciją Nr. 60/147, kuria patvirtino Nukentėjusių nuo sunkių tarptautinės žmogaus teisių teisės pažeidimų ir sunkių tarptautinės humanitarinės teisės pažeidimų asmenų teisės į gynybos priemones ir žalos atlyginimą pagrindinius principus ir gaires, pagal kurių 15 punktą tuo atveju, jei žalą aukai padarė asmuo, juridinis asmuo ar kitas subjektas, jis turi atlyginti aukai žalą arba </w:t>
      </w:r>
      <w:r w:rsidRPr="00C00255">
        <w:rPr>
          <w:i/>
          <w:color w:val="000000"/>
          <w:shd w:val="clear" w:color="auto" w:fill="FFFFFF"/>
        </w:rPr>
        <w:t>kompensuoti valstybei jos sumokėtą aukai žalos atlyginimą.</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6F072D">
        <w:t>Be kita ko, Lietuvos teismų praktikoje taip pat yra pripažįstama individuali asmenų, nuteistų už nusikaltimus žmoniškumui ar karo nusikaltimus, civilinė atsakomybė (</w:t>
      </w:r>
      <w:r w:rsidRPr="006F072D">
        <w:rPr>
          <w:color w:val="000000"/>
          <w:shd w:val="clear" w:color="auto" w:fill="FFFFFF"/>
        </w:rPr>
        <w:t xml:space="preserve">Vilniaus apygardos teismo </w:t>
      </w:r>
      <w:r w:rsidRPr="006F072D">
        <w:t xml:space="preserve">2011 m. gegužės 11 d. nuosprendis baudžiamojoje byloje Nr. 1-16/2011, Vilniaus apygardos teismo </w:t>
      </w:r>
      <w:r w:rsidRPr="006F072D">
        <w:rPr>
          <w:color w:val="000000"/>
          <w:shd w:val="clear" w:color="auto" w:fill="FFFFFF"/>
        </w:rPr>
        <w:t>2016 m. spalio 28 d. nuosprendis baudžiamojoje byloje Nr. 1-18-487/2016). Kasacinio teismo praktikoje taip pat pasisakyta dėl neturtinės žalos priteisimo iš asmens, pripažinto kaltu dėl karo nusikaltimo, numatyto BK 102 straipsnyje, padarymo (LAT 2016 m. birželio 7 d. nutartis baudžiamojoje byloje Nr. 2K-214-976/2016)</w:t>
      </w:r>
      <w:r w:rsidRPr="00C00255">
        <w:rPr>
          <w:color w:val="000000"/>
          <w:shd w:val="clear" w:color="auto" w:fill="FFFFFF"/>
        </w:rPr>
        <w:t>.</w:t>
      </w:r>
    </w:p>
    <w:p w:rsidR="00DA38E9" w:rsidRPr="00C00255" w:rsidRDefault="00DA38E9" w:rsidP="00DA38E9">
      <w:pPr>
        <w:pStyle w:val="ListParagraph"/>
        <w:numPr>
          <w:ilvl w:val="0"/>
          <w:numId w:val="6"/>
        </w:numPr>
        <w:spacing w:before="120" w:after="120"/>
        <w:ind w:left="992" w:hanging="992"/>
        <w:contextualSpacing w:val="0"/>
        <w:rPr>
          <w:color w:val="000000"/>
          <w:shd w:val="clear" w:color="auto" w:fill="FFFFFF"/>
        </w:rPr>
      </w:pPr>
      <w:r w:rsidRPr="00C00255">
        <w:rPr>
          <w:color w:val="000000"/>
          <w:shd w:val="clear" w:color="auto" w:fill="FFFFFF"/>
        </w:rPr>
        <w:t>Dėl nurodytų motyvų teisėjų kolegija konstatuoja, kad nagrinėjamoje byloje yra teisinis pagrindas spręsti dėl nusikaltimus žmoniškumui ir karo nusikaltimus padariusių asmenų civilinės atsakomybės už padarytą žalą (CK 6.263 straipsnis). Lietuvos Respublikos BPK 109 straipsnyje numatyta, kad asmuo dėl nusikalstamos veikos patyręs turtinės ar neturtinės žalos, turi teisę baudžiamajame procese įtariamajam ar kaltinamajam pareikšti civilinį ieškinį. Taigi, Lietuvos Respublikos teisinėje sistemoje yra įtvirtinta ne tik baudžiamoji, bet ir civilinė nusikalstamą veiką padariusio asmens atsakomybė. Jokių išimčių dėl civilinės atsakomybės taikymo asmenims, pripažintiems kaltais dėl nusikaltimų žmoniškumui ar karo nusikaltimų, Lietuvos Respublikos teisės aktuose nėra nustatyta.</w:t>
      </w:r>
    </w:p>
    <w:p w:rsidR="00DA38E9" w:rsidRPr="00C00255" w:rsidRDefault="00DA38E9" w:rsidP="00DA38E9">
      <w:pPr>
        <w:pStyle w:val="NormalWeb"/>
        <w:numPr>
          <w:ilvl w:val="0"/>
          <w:numId w:val="6"/>
        </w:numPr>
        <w:spacing w:before="120" w:beforeAutospacing="0" w:after="120" w:afterAutospacing="0"/>
        <w:ind w:left="992" w:hanging="992"/>
        <w:rPr>
          <w:shd w:val="clear" w:color="auto" w:fill="FFFFFF"/>
        </w:rPr>
      </w:pPr>
      <w:r w:rsidRPr="00C00255">
        <w:rPr>
          <w:color w:val="000000"/>
          <w:shd w:val="clear" w:color="auto" w:fill="FFFFFF"/>
        </w:rPr>
        <w:t>Teisėjų kolegijos vertinimu, p</w:t>
      </w:r>
      <w:r w:rsidRPr="00C00255">
        <w:rPr>
          <w:color w:val="000000" w:themeColor="text1"/>
          <w:lang w:eastAsia="ja-JP"/>
        </w:rPr>
        <w:t xml:space="preserve">irmosios instancijos teismas, Lietuvos Respublikos generalinės prokuratūros civilinį ieškinį palikdamas nenagrinėtą, neatsižvelgė į pirmiau minėtą teisinį reglamentavimą bei teismų praktiką, todėl nepagrįstai ieškinį paliko nenagrinėtą. </w:t>
      </w:r>
      <w:r w:rsidRPr="00C00255">
        <w:rPr>
          <w:shd w:val="clear" w:color="auto" w:fill="FFFFFF"/>
        </w:rPr>
        <w:t xml:space="preserve">Nors nusikaltimai žmoniškumui ir karo nusikaltimai dažniausiai yra susiję su vienos valstybės priešiškais veiksmais prieš kitą valstybę, ir gali kilti klausimas dėl pačios valstybės kaip tarptautinės teisės subjekto atsakomybės, šios aplinkybės tiek pagal Lietuvos Respublikos teisės aktus, tiek ir pagal tarptautinę teisę nešalina kaltų asmenų individualios (tiek baudžiamosios, tiek ir civilinės) atsakomybės. </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rPr>
        <w:t xml:space="preserve">BPK 117 straipsnyje nustatyta, kad prokuroras, palaikantis kaltinimą privalo pareikšti teisme civilinį ieškinį, jeigu šis nepareikštas, tais atvejais, kai nusikalstama veika padaryta žalos valstybei. </w:t>
      </w:r>
      <w:r w:rsidRPr="00C00255">
        <w:t>Atsižvelgiant į išdėstytas aplinkybes, apeliacinės instancijos teismas konstatuoja, kad Lietuvos Respublikos generalinė prokuratūra turėjo teisę pareikšti kaltinamiesiems civilinį ieškinį dėl turtinės žalos atlyginimo Lietuvos valstybei, o pirmosios instancijos teismas nepagrįstai šį ieškinį paliko nenagrinėtą.</w:t>
      </w:r>
    </w:p>
    <w:p w:rsidR="00DA38E9" w:rsidRPr="006F072D" w:rsidRDefault="00DA38E9" w:rsidP="00DA38E9">
      <w:pPr>
        <w:pStyle w:val="ListParagraph"/>
        <w:numPr>
          <w:ilvl w:val="0"/>
          <w:numId w:val="6"/>
        </w:numPr>
        <w:spacing w:before="120" w:after="120"/>
        <w:ind w:left="992" w:hanging="992"/>
        <w:contextualSpacing w:val="0"/>
      </w:pPr>
      <w:r w:rsidRPr="006F072D">
        <w:t>Teisėjų kolegija teisiškai nepagrįstais pripažįsta ir nuteistojo V. K. 2 gynėjos baigiamojoje kalboje išdėstytus argumentus dėl jos ginamojo atsakomybės pagal prokurorų pareikštą civilinį ieškinį nebuvimo. Teismo vertinimu, tai, kad prokurorų apeliacinio skundo rezoliucinėje dalyje, gynėjos teigimu, nėra suformuluotas materialinis teisinis reikalavimas jos ginamojo atžvilgiu, nepaneigia V. K. 2 pareigos atsakyti pagal byloje pareikštą civilinį ieškinį. Teisėjų kolegija, vertindama tokius gynėjos apeliacinio skundo argumentus, atkreipia dėmesį, kad prokurorų apeliacinio skundo turinyje toks reikalavimas (formuluojamas visų nuteistųjų atžvilgiu) aiškiai suformuluotas (žr., apeliacinio skundo 28 puslapį, t. 777, b. l. 105). Pažymėtina, kad byloje dalyvaujančių asmenų procesiniams dokumentams taikomi turinio ir formos reikalavimai nėra tokios pačios apimties kaip teismo procesiniams dokumentams taikomi reikalavimai. Be to, šioje procesinio sprendimo dalyje jau minėta, kad ir procesiniai reikalavimai negali būti aiškinami pernelyg formaliai, todėl teisėjų kolegija, nustačiusi, kad byloje prokurorų pareikštu civiliniu ieškiniu aiškiai reikalaujama žalos atlyginimo iš visų nuteistųjų, tarp jų ir iš V. K. 2, ir toks reikalavimas pakartotas prokurorų apeliacinio skundo turinyje, sprendžia, kad pagal prokurorų pareikštą civilinį ieškinį pareigą atsakyti solidariai turi visi nuteistieji šioje byloje.</w:t>
      </w:r>
    </w:p>
    <w:p w:rsidR="00DA38E9" w:rsidRPr="00C00255" w:rsidRDefault="00DA38E9" w:rsidP="00DA38E9">
      <w:pPr>
        <w:pStyle w:val="Heading3"/>
        <w:spacing w:before="120" w:after="120"/>
        <w:ind w:left="992"/>
        <w:jc w:val="both"/>
        <w:rPr>
          <w:b w:val="0"/>
          <w:i/>
          <w:sz w:val="24"/>
          <w:lang w:val="lt-LT"/>
        </w:rPr>
      </w:pPr>
      <w:bookmarkStart w:id="1056" w:name="_Toc67677500"/>
      <w:bookmarkStart w:id="1057" w:name="_Toc67985585"/>
      <w:r w:rsidRPr="00C00255">
        <w:rPr>
          <w:b w:val="0"/>
          <w:i/>
          <w:sz w:val="24"/>
          <w:lang w:val="lt-LT" w:eastAsia="ja-JP"/>
        </w:rPr>
        <w:t>Dėl Lietuvos Respublikos generalinės prokuratūros pareikšto civilinio ieškinio pagrįstumo ir dydžio</w:t>
      </w:r>
      <w:bookmarkEnd w:id="1056"/>
      <w:bookmarkEnd w:id="1057"/>
    </w:p>
    <w:p w:rsidR="00DA38E9" w:rsidRPr="006F072D" w:rsidRDefault="00DA38E9" w:rsidP="00DA38E9">
      <w:pPr>
        <w:pStyle w:val="ListParagraph"/>
        <w:numPr>
          <w:ilvl w:val="0"/>
          <w:numId w:val="6"/>
        </w:numPr>
        <w:spacing w:before="120" w:after="120"/>
        <w:ind w:left="992" w:hanging="992"/>
        <w:contextualSpacing w:val="0"/>
      </w:pPr>
      <w:r w:rsidRPr="006F072D">
        <w:rPr>
          <w:color w:val="000000"/>
          <w:szCs w:val="24"/>
          <w:shd w:val="clear" w:color="auto" w:fill="FFFFFF"/>
        </w:rPr>
        <w:t>Civilinė atsakomybė – tai turtinė prievolė, kurios viena šalis turi teisę reikalauti atlyginti nuostolius (žalą) ar sumokėti netesybas (baudą, delspinigius), o kita šalis privalo atlyginti padarytus nuostolius (žalą) ar sumokėti netesybas (baudą, delspinigius) (</w:t>
      </w:r>
      <w:bookmarkStart w:id="1058" w:name="n4e6fa2d5-4948-43ea-bad8-842049d6e5d9"/>
      <w:r w:rsidRPr="006F072D">
        <w:rPr>
          <w:iCs/>
          <w:szCs w:val="24"/>
          <w:shd w:val="clear" w:color="auto" w:fill="FFFFFF"/>
        </w:rPr>
        <w:t>CK</w:t>
      </w:r>
      <w:bookmarkStart w:id="1059" w:name="pn4e6fa2d5-4948-43ea-bad8-842049d6e5d9"/>
      <w:bookmarkStart w:id="1060" w:name="n5a64b887-b964-4bab-a035-abb0004f58a6"/>
      <w:bookmarkEnd w:id="1058"/>
      <w:bookmarkEnd w:id="1059"/>
      <w:r w:rsidRPr="006F072D">
        <w:rPr>
          <w:szCs w:val="24"/>
        </w:rPr>
        <w:t> </w:t>
      </w:r>
      <w:r w:rsidRPr="006F072D">
        <w:rPr>
          <w:rStyle w:val="Hyperlink"/>
          <w:iCs/>
          <w:color w:val="000000"/>
          <w:szCs w:val="24"/>
          <w:u w:val="none"/>
          <w:shd w:val="clear" w:color="auto" w:fill="FFFFFF"/>
        </w:rPr>
        <w:t>6.245</w:t>
      </w:r>
      <w:bookmarkStart w:id="1061" w:name="pn5a64b887-b964-4bab-a035-abb0004f58a6"/>
      <w:bookmarkEnd w:id="1060"/>
      <w:bookmarkEnd w:id="1061"/>
      <w:r w:rsidRPr="006F072D">
        <w:rPr>
          <w:szCs w:val="24"/>
        </w:rPr>
        <w:t> </w:t>
      </w:r>
      <w:r w:rsidRPr="006F072D">
        <w:rPr>
          <w:color w:val="000000"/>
          <w:szCs w:val="24"/>
          <w:shd w:val="clear" w:color="auto" w:fill="FFFFFF"/>
        </w:rPr>
        <w:t>straipsnis). Viena iš civilinės atsakomybės rūšių – deliktinė atsakomybė, kurią įstatymų leidėjas apibrėžia kaip prievolę, atsirandančią dėl žalos, kuri nesusijusi su sutartiniais santykiais, išskyrus atvejus, kai įstatymai nustato, kad deliktinė atsakomybė atsiranda ir dėl žalos, susijusios su sutartiniais santykiais (</w:t>
      </w:r>
      <w:bookmarkStart w:id="1062" w:name="n74d81ed7-4da0-486d-afb1-85d5aeb315ab"/>
      <w:r w:rsidRPr="006F072D">
        <w:rPr>
          <w:iCs/>
          <w:szCs w:val="24"/>
          <w:shd w:val="clear" w:color="auto" w:fill="FFFFFF"/>
        </w:rPr>
        <w:t>CK</w:t>
      </w:r>
      <w:bookmarkStart w:id="1063" w:name="pn74d81ed7-4da0-486d-afb1-85d5aeb315ab"/>
      <w:bookmarkStart w:id="1064" w:name="n138c892c-9364-40a3-9480-1ba8c48485ce"/>
      <w:bookmarkEnd w:id="1062"/>
      <w:bookmarkEnd w:id="1063"/>
      <w:r w:rsidRPr="006F072D">
        <w:rPr>
          <w:szCs w:val="24"/>
        </w:rPr>
        <w:t> </w:t>
      </w:r>
      <w:r w:rsidRPr="006F072D">
        <w:rPr>
          <w:rStyle w:val="Hyperlink"/>
          <w:iCs/>
          <w:color w:val="000000"/>
          <w:szCs w:val="24"/>
          <w:u w:val="none"/>
          <w:shd w:val="clear" w:color="auto" w:fill="FFFFFF"/>
        </w:rPr>
        <w:t>6.245</w:t>
      </w:r>
      <w:bookmarkStart w:id="1065" w:name="pn138c892c-9364-40a3-9480-1ba8c48485ce"/>
      <w:bookmarkEnd w:id="1064"/>
      <w:bookmarkEnd w:id="1065"/>
      <w:r w:rsidRPr="006F072D">
        <w:rPr>
          <w:szCs w:val="24"/>
        </w:rPr>
        <w:t> </w:t>
      </w:r>
      <w:r w:rsidRPr="006F072D">
        <w:rPr>
          <w:color w:val="000000"/>
          <w:szCs w:val="24"/>
          <w:shd w:val="clear" w:color="auto" w:fill="FFFFFF"/>
        </w:rPr>
        <w:t>straipsnio 4 dalis). Taigi deliktinės civilinės atsakomybės atsiradimo pagrindas – žala, atsiradusi asmeniui neįvykdžius įstatymuose nustatytos pareigos arba atlikus veiksmus, kuriuos įstatymai draudžia atlikti, arba pažeidus bendro pobūdžio pareigą elgtis atidžiai ir rūpestingai, kai yra visos įstatyme nustatytos civilinės atsakomybės atsiradimo sąlygos (</w:t>
      </w:r>
      <w:bookmarkStart w:id="1066" w:name="nf44acde1-9002-4000-8815-ac5c66532b93"/>
      <w:r w:rsidRPr="006F072D">
        <w:rPr>
          <w:iCs/>
          <w:szCs w:val="24"/>
          <w:shd w:val="clear" w:color="auto" w:fill="FFFFFF"/>
        </w:rPr>
        <w:t>CK</w:t>
      </w:r>
      <w:bookmarkStart w:id="1067" w:name="pnf44acde1-9002-4000-8815-ac5c66532b93"/>
      <w:bookmarkEnd w:id="1066"/>
      <w:bookmarkEnd w:id="1067"/>
      <w:r w:rsidRPr="006F072D">
        <w:rPr>
          <w:color w:val="000000"/>
          <w:szCs w:val="24"/>
          <w:shd w:val="clear" w:color="auto" w:fill="FFFFFF"/>
        </w:rPr>
        <w:t> </w:t>
      </w:r>
      <w:bookmarkStart w:id="1068" w:name="nc1c7b54b-1d19-430a-a563-1d68ca0ad789"/>
      <w:r w:rsidRPr="006F072D">
        <w:rPr>
          <w:iCs/>
          <w:szCs w:val="24"/>
          <w:shd w:val="clear" w:color="auto" w:fill="FFFFFF"/>
        </w:rPr>
        <w:t>6.246</w:t>
      </w:r>
      <w:bookmarkStart w:id="1069" w:name="pnc1c7b54b-1d19-430a-a563-1d68ca0ad789"/>
      <w:bookmarkEnd w:id="1068"/>
      <w:bookmarkEnd w:id="1069"/>
      <w:r w:rsidRPr="006F072D">
        <w:rPr>
          <w:color w:val="000000"/>
          <w:szCs w:val="24"/>
          <w:shd w:val="clear" w:color="auto" w:fill="FFFFFF"/>
        </w:rPr>
        <w:t>–</w:t>
      </w:r>
      <w:bookmarkStart w:id="1070" w:name="pn9b5c5e10-e530-456b-a45b-4e2f5e1c79ee"/>
      <w:bookmarkEnd w:id="1070"/>
      <w:r w:rsidRPr="006F072D">
        <w:rPr>
          <w:iCs/>
          <w:szCs w:val="24"/>
          <w:shd w:val="clear" w:color="auto" w:fill="FFFFFF"/>
        </w:rPr>
        <w:t>6</w:t>
      </w:r>
      <w:r w:rsidRPr="006F072D">
        <w:rPr>
          <w:szCs w:val="24"/>
        </w:rPr>
        <w:t>.249</w:t>
      </w:r>
      <w:r w:rsidRPr="006F072D">
        <w:rPr>
          <w:color w:val="000000"/>
          <w:szCs w:val="24"/>
          <w:shd w:val="clear" w:color="auto" w:fill="FFFFFF"/>
        </w:rPr>
        <w:t xml:space="preserve"> straipsniai). Deliktinė civilinė atsakomybė yra grindžiama visiško nuostolių atlyginimo principu (lot. – </w:t>
      </w:r>
      <w:r w:rsidRPr="006F072D">
        <w:rPr>
          <w:i/>
          <w:color w:val="000000"/>
          <w:szCs w:val="24"/>
          <w:shd w:val="clear" w:color="auto" w:fill="FFFFFF"/>
        </w:rPr>
        <w:t>restitutio in integrum</w:t>
      </w:r>
      <w:r w:rsidRPr="006F072D">
        <w:rPr>
          <w:color w:val="000000"/>
          <w:szCs w:val="24"/>
          <w:shd w:val="clear" w:color="auto" w:fill="FFFFFF"/>
        </w:rPr>
        <w:t>) (</w:t>
      </w:r>
      <w:bookmarkStart w:id="1071" w:name="ne03da842-dbfd-44fa-9508-9e2fb140191e"/>
      <w:r w:rsidRPr="006F072D">
        <w:rPr>
          <w:iCs/>
          <w:szCs w:val="24"/>
          <w:shd w:val="clear" w:color="auto" w:fill="FFFFFF"/>
        </w:rPr>
        <w:t>CK</w:t>
      </w:r>
      <w:bookmarkStart w:id="1072" w:name="pne03da842-dbfd-44fa-9508-9e2fb140191e"/>
      <w:bookmarkStart w:id="1073" w:name="n1c63bf81-2480-4888-bbd2-43d86fb25c5f"/>
      <w:bookmarkEnd w:id="1071"/>
      <w:bookmarkEnd w:id="1072"/>
      <w:r w:rsidRPr="006F072D">
        <w:rPr>
          <w:color w:val="000000"/>
          <w:szCs w:val="24"/>
          <w:shd w:val="clear" w:color="auto" w:fill="FFFFFF"/>
        </w:rPr>
        <w:t> </w:t>
      </w:r>
      <w:r w:rsidRPr="006F072D">
        <w:rPr>
          <w:rStyle w:val="Hyperlink"/>
          <w:iCs/>
          <w:color w:val="000000"/>
          <w:szCs w:val="24"/>
          <w:u w:val="none"/>
          <w:shd w:val="clear" w:color="auto" w:fill="FFFFFF"/>
        </w:rPr>
        <w:t>6.251</w:t>
      </w:r>
      <w:bookmarkStart w:id="1074" w:name="pn1c63bf81-2480-4888-bbd2-43d86fb25c5f"/>
      <w:bookmarkEnd w:id="1073"/>
      <w:bookmarkEnd w:id="1074"/>
      <w:r w:rsidRPr="006F072D">
        <w:rPr>
          <w:color w:val="000000"/>
          <w:szCs w:val="24"/>
          <w:shd w:val="clear" w:color="auto" w:fill="FFFFFF"/>
        </w:rPr>
        <w:t> straipsnio 1 dalis, 6.263 straipsnio</w:t>
      </w:r>
      <w:bookmarkStart w:id="1075" w:name="pn48cd1a39-5924-44c1-86e0-ff9e1eecfdb7"/>
      <w:bookmarkEnd w:id="1075"/>
      <w:r w:rsidRPr="006F072D">
        <w:rPr>
          <w:color w:val="000000"/>
          <w:szCs w:val="24"/>
          <w:shd w:val="clear" w:color="auto" w:fill="FFFFFF"/>
        </w:rPr>
        <w:t xml:space="preserve"> 2 dalis), jos tikslas – kompensuoti nukentėjusiajam jo teisių pažeidimu padarytą žalą ir taip atkurti padėtį, buvusią iki teisės pažeidimo. Būtinumas atlyginti asmeniui padarytą turinę ir neturtinę žalą yra konstitucinis principas, kuris neatskiriamas nuo </w:t>
      </w:r>
      <w:bookmarkStart w:id="1076" w:name="nec8658fe-fb36-4b0c-8e04-485c256a83a5"/>
      <w:r w:rsidRPr="006F072D">
        <w:rPr>
          <w:iCs/>
          <w:szCs w:val="24"/>
          <w:shd w:val="clear" w:color="auto" w:fill="FFFFFF"/>
        </w:rPr>
        <w:t>Konstitucijoje</w:t>
      </w:r>
      <w:bookmarkStart w:id="1077" w:name="pnec8658fe-fb36-4b0c-8e04-485c256a83a5"/>
      <w:bookmarkEnd w:id="1076"/>
      <w:bookmarkEnd w:id="1077"/>
      <w:r w:rsidRPr="006F072D">
        <w:rPr>
          <w:color w:val="000000"/>
          <w:szCs w:val="24"/>
          <w:shd w:val="clear" w:color="auto" w:fill="FFFFFF"/>
        </w:rPr>
        <w:t xml:space="preserve"> įtvirtinto teisingumo principo: įstatymais turi būti sudarytos visos reikiamos teisinės prielaidos žalai atlyginti teisingai (</w:t>
      </w:r>
      <w:bookmarkStart w:id="1078" w:name="n779c622f-7531-4dda-bb33-3d8af0606bc1"/>
      <w:r w:rsidRPr="006F072D">
        <w:rPr>
          <w:iCs/>
          <w:szCs w:val="24"/>
          <w:shd w:val="clear" w:color="auto" w:fill="FFFFFF"/>
        </w:rPr>
        <w:t>Konstitucijos</w:t>
      </w:r>
      <w:bookmarkStart w:id="1079" w:name="pn779c622f-7531-4dda-bb33-3d8af0606bc1"/>
      <w:bookmarkStart w:id="1080" w:name="n5f98dcdb-665f-4abb-9bca-cb780bbc97c6"/>
      <w:bookmarkEnd w:id="1078"/>
      <w:bookmarkEnd w:id="1079"/>
      <w:r w:rsidRPr="006F072D">
        <w:t> </w:t>
      </w:r>
      <w:r w:rsidRPr="006F072D">
        <w:rPr>
          <w:rStyle w:val="Hyperlink"/>
          <w:iCs/>
          <w:color w:val="000000"/>
          <w:szCs w:val="24"/>
          <w:u w:val="none"/>
          <w:shd w:val="clear" w:color="auto" w:fill="FFFFFF"/>
        </w:rPr>
        <w:t>30</w:t>
      </w:r>
      <w:bookmarkStart w:id="1081" w:name="pn5f98dcdb-665f-4abb-9bca-cb780bbc97c6"/>
      <w:bookmarkEnd w:id="1080"/>
      <w:bookmarkEnd w:id="1081"/>
      <w:r w:rsidRPr="006F072D">
        <w:rPr>
          <w:szCs w:val="24"/>
        </w:rPr>
        <w:t xml:space="preserve"> </w:t>
      </w:r>
      <w:r w:rsidRPr="006F072D">
        <w:rPr>
          <w:color w:val="000000"/>
          <w:szCs w:val="24"/>
          <w:shd w:val="clear" w:color="auto" w:fill="FFFFFF"/>
        </w:rPr>
        <w:t>straipsnio 2 dalis).</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themeColor="text1"/>
          <w:szCs w:val="24"/>
          <w:lang w:eastAsia="ja-JP"/>
        </w:rPr>
        <w:t>Kaip minėta, Lietuvos Respublikos generalinė prokuratūra pateikė civilinį ieškinį dėl 11 365 460,07 Eur (39 242 660,53 Lt) turtinės žalos, padarytos Lietuvos valstybei, priteisimo solidariai iš visų nuteistųjų. Pareikšto civilinio ieškinio dydis nustatytas, įvertinus įvairių Lietuvos institucijų pateiktus duomenis apie jų patirtas išlaidas, susijusias su 1991 m. sausio mėn. įvykiais Vilniuje. Baudžiamojoje byloje, grindžiant žalos dydį, pateikti šie duomenys:</w:t>
      </w:r>
    </w:p>
    <w:p w:rsidR="00DA38E9" w:rsidRPr="00C00255" w:rsidRDefault="00DA38E9" w:rsidP="00DA38E9">
      <w:pPr>
        <w:pStyle w:val="ListParagraph"/>
        <w:numPr>
          <w:ilvl w:val="1"/>
          <w:numId w:val="6"/>
        </w:numPr>
        <w:spacing w:before="120" w:after="120"/>
        <w:ind w:left="992" w:hanging="992"/>
        <w:contextualSpacing w:val="0"/>
      </w:pPr>
      <w:r w:rsidRPr="00C00255">
        <w:rPr>
          <w:color w:val="000000" w:themeColor="text1"/>
          <w:szCs w:val="24"/>
          <w:lang w:eastAsia="ja-JP"/>
        </w:rPr>
        <w:t xml:space="preserve">Lietuvos Respublikos socialinės apsaugos ir darbo ministerijos 2014 m. birželio 6 d., 2014 m. rugpjūčio 27 d., 2014 m. rugsėjo 9 d. ir 2014 m. spalio 21 d. raštuose (t. 509, b. l. 23, 26, 32, 37) pateikta informacija apie 1991 m. sausio mėnesio įvykiuose žuvusių asmenų artimiesiems ir nukentėjusiesiems asmenims laikotarpiu nuo 1993 m. sausio 1 d. iki 2013 m. gruodžio 31 d. išmokėtų nukentėjusiųjų asmenų valstybinių pensijų, nukentėjusiųjų asmenų valstybinių našlių pensijų, valstybinių socialinio netekto darbingumo pensijų, transporto išlaidų kompensacijų ir kitų socialinės paramos išmokų skaičiavimus. Nurodyta, kad šios išlaidos bendrai sudarė 33 389 807,81 Lt (9 670 356,76 Eur); </w:t>
      </w:r>
    </w:p>
    <w:p w:rsidR="00DA38E9" w:rsidRPr="00C00255" w:rsidRDefault="00DA38E9" w:rsidP="00DA38E9">
      <w:pPr>
        <w:pStyle w:val="ListParagraph"/>
        <w:numPr>
          <w:ilvl w:val="1"/>
          <w:numId w:val="6"/>
        </w:numPr>
        <w:spacing w:before="120" w:after="120"/>
        <w:ind w:left="992" w:hanging="992"/>
        <w:contextualSpacing w:val="0"/>
      </w:pPr>
      <w:r w:rsidRPr="00C00255">
        <w:rPr>
          <w:color w:val="000000" w:themeColor="text1"/>
          <w:szCs w:val="24"/>
          <w:lang w:eastAsia="ja-JP"/>
        </w:rPr>
        <w:t>Lietuvos Respublikos krašto apsaugos ministerija 2014 m. liepos 16 d. ir 2014 m. rugsėjo</w:t>
      </w:r>
      <w:r>
        <w:rPr>
          <w:color w:val="000000" w:themeColor="text1"/>
          <w:szCs w:val="24"/>
          <w:lang w:eastAsia="ja-JP"/>
        </w:rPr>
        <w:t> </w:t>
      </w:r>
      <w:r w:rsidRPr="00C00255">
        <w:rPr>
          <w:color w:val="000000" w:themeColor="text1"/>
          <w:szCs w:val="24"/>
          <w:lang w:eastAsia="ja-JP"/>
        </w:rPr>
        <w:t>15</w:t>
      </w:r>
      <w:r>
        <w:rPr>
          <w:color w:val="000000" w:themeColor="text1"/>
          <w:szCs w:val="24"/>
          <w:lang w:eastAsia="ja-JP"/>
        </w:rPr>
        <w:t> </w:t>
      </w:r>
      <w:r w:rsidRPr="00C00255">
        <w:rPr>
          <w:color w:val="000000" w:themeColor="text1"/>
          <w:szCs w:val="24"/>
          <w:lang w:eastAsia="ja-JP"/>
        </w:rPr>
        <w:t xml:space="preserve">d. raštais (t. 509, b. l. 64, 128) pateikė duomenis apie išmokas žuvusiųjų už Lietuvos Respublikos laisvę asmenų šeimoms ir nukentėjusiesiems nuo 1991 m. sausio 11–13 d. d. vykdytos agresijos ir po to buvusių įvykių, išmokėtas iš Krašto apsaugos ministerijai skirtų valstybės biudžeto lėšų, kurios sudaro 1 049 500 Lt (303 956,21 Eur); </w:t>
      </w:r>
    </w:p>
    <w:p w:rsidR="00DA38E9" w:rsidRPr="00C00255" w:rsidRDefault="00DA38E9" w:rsidP="00DA38E9">
      <w:pPr>
        <w:pStyle w:val="ListParagraph"/>
        <w:numPr>
          <w:ilvl w:val="1"/>
          <w:numId w:val="6"/>
        </w:numPr>
        <w:spacing w:before="120" w:after="120"/>
        <w:ind w:left="992" w:hanging="992"/>
        <w:contextualSpacing w:val="0"/>
      </w:pPr>
      <w:r w:rsidRPr="00C00255">
        <w:rPr>
          <w:color w:val="000000" w:themeColor="text1"/>
          <w:szCs w:val="24"/>
          <w:lang w:eastAsia="ja-JP"/>
        </w:rPr>
        <w:t xml:space="preserve">Lietuvos Respublikos finansų ministerijos 2014 m. gegužės 20 d. rašte (t. 509, b. l. 3) nurodyta, kad Paminklotvarkos departamentui prie Statybos ir urbanistikos ministerijos buvo skirta 200 000 Lt memorialo Lietuvos laisvės gynėjams Antakalnio kapinėse eskizo projektui ir skulptūros darbo maketui paruošti, Kultūros ministerijos Kultūros vertybių apsaugos departamentui skirta 1 300 000 Lt memorialui Lietuvos laisvės gynėjams Antakalnio kapinėse statyti ir 21 800 Lt minėto memorialo iškilmingo atidengimo išlaidoms apmokėti. Iš viso memorialui skirta – 1 521 800 Lt (440 743,74 Eur). Taip pat minėtame rašte nurodyta, kad Vyriausybė 1991 m. vasario 6 d. potvarkiu Nr. 32p skyrė po 5 000 rublių kaip negrąžinamą pašalpą dešimčiai žuvusiųjų nepilnamečių vaikų ir vaikų, neturinčių savarankiško uždarbio (tarp jų pašalpa skirta ir </w:t>
      </w:r>
      <w:r>
        <w:rPr>
          <w:color w:val="000000" w:themeColor="text1"/>
          <w:szCs w:val="24"/>
          <w:lang w:eastAsia="ja-JP"/>
        </w:rPr>
        <w:t>R. P.</w:t>
      </w:r>
      <w:r w:rsidRPr="00C00255">
        <w:rPr>
          <w:color w:val="000000" w:themeColor="text1"/>
          <w:szCs w:val="24"/>
          <w:lang w:eastAsia="ja-JP"/>
        </w:rPr>
        <w:t xml:space="preserve">, kuris yra pripažintas civiliniu ieškovu šioje baudžiamojoje byloje). Šios išlaidos sudaro 144,81 Eur (10 x 14,481 Eur). Be to, </w:t>
      </w:r>
      <w:r w:rsidRPr="00C00255">
        <w:rPr>
          <w:szCs w:val="24"/>
          <w:lang w:eastAsia="ja-JP"/>
        </w:rPr>
        <w:t>Vyriausybė 1994 m. vasario 14 d. nutarimu Nr. 100 „Dėl lėšų skyrimo“ Krašto apsaugos ministerijai skyrė 67 000 Lt išlaidoms</w:t>
      </w:r>
      <w:r w:rsidRPr="00C00255">
        <w:rPr>
          <w:color w:val="000000" w:themeColor="text1"/>
          <w:szCs w:val="24"/>
          <w:lang w:eastAsia="ja-JP"/>
        </w:rPr>
        <w:t>, patirtoms dėl išmokėtų vienkartinių išmokų žuvusiųjų kovojant už Lietuvos Respublikos laisvę 1991 m. sausio 11–13 d. d. įvykdytos agresijos ir po to buvusių įvykių metu šeimoms ir asmenims, dėl sužalojimo tapusiems neįgaliais kompensuoti;</w:t>
      </w:r>
    </w:p>
    <w:p w:rsidR="00DA38E9" w:rsidRPr="00C00255" w:rsidRDefault="00DA38E9" w:rsidP="00DA38E9">
      <w:pPr>
        <w:pStyle w:val="ListParagraph"/>
        <w:numPr>
          <w:ilvl w:val="1"/>
          <w:numId w:val="6"/>
        </w:numPr>
        <w:spacing w:before="120" w:after="120"/>
        <w:ind w:left="992" w:hanging="992"/>
        <w:contextualSpacing w:val="0"/>
      </w:pPr>
      <w:r w:rsidRPr="00C00255">
        <w:rPr>
          <w:color w:val="000000" w:themeColor="text1"/>
          <w:szCs w:val="24"/>
          <w:lang w:eastAsia="ja-JP"/>
        </w:rPr>
        <w:t>Kultūros paveldo departamentas prie Kultūros ministerijos 2014 m. rugsėjo 18 d. Nr. TS-180-(3.12) pateikė informaciją, kad Departamentas 1994–1995 m. memorialo Lietuvos laisvės gynėjams Antakalnio kapinėse statybos, kuri buvo finansuojama iš valstybės biudžeto lėšų, užsakovo funkcijas buvo pavedęs Valstybinei įmonei „Paminklai“. Pagal departamento duomenis minėto memorialo sukūrimo bendra vertė yra 5 740 500 Lt (1 662 563,72 Eur) (t. 509, b. l. 197);</w:t>
      </w:r>
    </w:p>
    <w:p w:rsidR="00DA38E9" w:rsidRPr="00C00255" w:rsidRDefault="00DA38E9" w:rsidP="00DA38E9">
      <w:pPr>
        <w:pStyle w:val="ListParagraph"/>
        <w:numPr>
          <w:ilvl w:val="1"/>
          <w:numId w:val="6"/>
        </w:numPr>
        <w:spacing w:before="120" w:after="120"/>
        <w:ind w:left="992" w:hanging="992"/>
        <w:contextualSpacing w:val="0"/>
      </w:pPr>
      <w:r w:rsidRPr="00C00255">
        <w:rPr>
          <w:color w:val="000000" w:themeColor="text1"/>
          <w:szCs w:val="24"/>
          <w:lang w:eastAsia="ja-JP"/>
        </w:rPr>
        <w:t>Dėl laidotuvių išlaidų Finansų ministerija nurodė, kad ministerija neturi duomenų apie patirtas laidotuvių išlaidas, tačiau Vyriausybės 1991 m. sausio 13 d. nutarimo Nr. 28 „Dėl vyriausybinės komisijos TSRS agresijos aukų laidotuvėms organizuoti“ 2 punkte nustatyta, kad laidotuvių išlaidas padengia valstybė, todėl galbūt laidotuvių išlaidas apmokėjo Vyriausybės kanceliarija (t. 509, b. l. 3). Tačiau Vyriausybės kanceliarija 2014 m. rugpjūčio 27 d. raštu informavo, kad nebuvo nustatyta, jog būtų buvę priimti kokie nors Vyriausybės sprendimai dėl 1991 m. sausio įvykiuose žuvusių asmenų laidotuvių išlaidų padengimo. Vyriausybės 1991 m. sausio 13 d. nutarimo Nr. 28 „Dėl vyriausybinės komisijos TSRS agresijos aukų laidotuvėms organizuoti“ patvirtintos komisijos narys A</w:t>
      </w:r>
      <w:r>
        <w:rPr>
          <w:color w:val="000000" w:themeColor="text1"/>
          <w:szCs w:val="24"/>
          <w:lang w:eastAsia="ja-JP"/>
        </w:rPr>
        <w:t xml:space="preserve">. </w:t>
      </w:r>
      <w:r w:rsidRPr="00C00255">
        <w:rPr>
          <w:color w:val="000000" w:themeColor="text1"/>
          <w:szCs w:val="24"/>
          <w:lang w:eastAsia="ja-JP"/>
        </w:rPr>
        <w:t>S</w:t>
      </w:r>
      <w:r>
        <w:rPr>
          <w:color w:val="000000" w:themeColor="text1"/>
          <w:szCs w:val="24"/>
          <w:lang w:eastAsia="ja-JP"/>
        </w:rPr>
        <w:t>.</w:t>
      </w:r>
      <w:r w:rsidRPr="00C00255">
        <w:rPr>
          <w:color w:val="000000" w:themeColor="text1"/>
          <w:szCs w:val="24"/>
          <w:lang w:eastAsia="ja-JP"/>
        </w:rPr>
        <w:t xml:space="preserve"> nurodė, kad žuvusiųjų laidojimo išlaidos buvo padengtos ne valstybės biudžeto lėšomis, o ieškota kitų vidinių rezervų (t. 509, b. l. 57);</w:t>
      </w:r>
    </w:p>
    <w:p w:rsidR="00DA38E9" w:rsidRPr="00C00255" w:rsidRDefault="00DA38E9" w:rsidP="00DA38E9">
      <w:pPr>
        <w:pStyle w:val="ListParagraph"/>
        <w:numPr>
          <w:ilvl w:val="1"/>
          <w:numId w:val="6"/>
        </w:numPr>
        <w:spacing w:before="120" w:after="120"/>
        <w:ind w:left="992" w:hanging="992"/>
        <w:contextualSpacing w:val="0"/>
      </w:pPr>
      <w:r w:rsidRPr="00C00255">
        <w:rPr>
          <w:color w:val="000000" w:themeColor="text1"/>
          <w:szCs w:val="24"/>
          <w:lang w:eastAsia="ja-JP"/>
        </w:rPr>
        <w:t>Kauno miesto savivaldybės administracija 2014 m. lapkričio 5 d. raštu (33.195) K-6263 informavo, kad Kauno miesto savivaldybė savo lėšomis pastatė paminklą žuvusiajam T</w:t>
      </w:r>
      <w:r>
        <w:rPr>
          <w:color w:val="000000" w:themeColor="text1"/>
          <w:szCs w:val="24"/>
          <w:lang w:eastAsia="ja-JP"/>
        </w:rPr>
        <w:t>. </w:t>
      </w:r>
      <w:r w:rsidRPr="00C00255">
        <w:rPr>
          <w:color w:val="000000" w:themeColor="text1"/>
          <w:szCs w:val="24"/>
          <w:lang w:eastAsia="ja-JP"/>
        </w:rPr>
        <w:t>M</w:t>
      </w:r>
      <w:r>
        <w:rPr>
          <w:color w:val="000000" w:themeColor="text1"/>
          <w:szCs w:val="24"/>
          <w:lang w:eastAsia="ja-JP"/>
        </w:rPr>
        <w:t>.</w:t>
      </w:r>
      <w:r w:rsidRPr="00C00255">
        <w:rPr>
          <w:color w:val="000000" w:themeColor="text1"/>
          <w:szCs w:val="24"/>
          <w:lang w:eastAsia="ja-JP"/>
        </w:rPr>
        <w:t xml:space="preserve"> Paminklas kainavo 5 418,66 Lt (1 569,35 Eur), kuriuos prašoma įtraukti į nuteistiesiems reiškiamą civilinį ieškinį (t. 509, b. l. 45</w:t>
      </w:r>
      <w:r w:rsidRPr="00C00255">
        <w:rPr>
          <w:szCs w:val="24"/>
        </w:rPr>
        <w:t>–</w:t>
      </w:r>
      <w:r w:rsidRPr="00C00255">
        <w:rPr>
          <w:color w:val="000000" w:themeColor="text1"/>
          <w:szCs w:val="24"/>
          <w:lang w:eastAsia="ja-JP"/>
        </w:rPr>
        <w:t>48);</w:t>
      </w:r>
    </w:p>
    <w:p w:rsidR="00DA38E9" w:rsidRPr="00C00255" w:rsidRDefault="00DA38E9" w:rsidP="00DA38E9">
      <w:pPr>
        <w:pStyle w:val="ListParagraph"/>
        <w:numPr>
          <w:ilvl w:val="1"/>
          <w:numId w:val="6"/>
        </w:numPr>
        <w:spacing w:before="120" w:after="120"/>
        <w:ind w:left="992" w:hanging="992"/>
        <w:contextualSpacing w:val="0"/>
      </w:pPr>
      <w:r w:rsidRPr="00C00255">
        <w:rPr>
          <w:color w:val="000000" w:themeColor="text1"/>
          <w:szCs w:val="24"/>
          <w:lang w:eastAsia="ja-JP"/>
        </w:rPr>
        <w:t>VšĮ Respublikinė Šiaulių ligoninė 2014 m. lapkričio 24 d. raštu ir 2017 m. balandžio 26 d. raštu nurodė, kad dėl 1991 m. sausio 13 d. sužalojimus patyrusių asmenų gydymo ligoninė bendrai patyrė 764,74 Eur turtinės žalos (t. 731, b. l. 106, 113). Tačiau 2017 m. balandžio 27 d. prokuratūros nutarimu dėl civilinio ieškinio netenkinimo dalyje nutarta prašymą dėl civilinio ieškinio patenkinti iš dalies, t. y. 574,62 Eur sumai, nustačius, kad vieno iš VšĮ Respublikinėje Šiaulių ligoninėje gydytų asmenų sužalojimai nėra susiję su 1991 m. sausio 13 d. įvykiais (t.</w:t>
      </w:r>
      <w:r>
        <w:rPr>
          <w:color w:val="000000" w:themeColor="text1"/>
          <w:szCs w:val="24"/>
          <w:lang w:eastAsia="ja-JP"/>
        </w:rPr>
        <w:t> </w:t>
      </w:r>
      <w:r w:rsidRPr="00C00255">
        <w:rPr>
          <w:color w:val="000000" w:themeColor="text1"/>
          <w:szCs w:val="24"/>
          <w:lang w:eastAsia="ja-JP"/>
        </w:rPr>
        <w:t>731, b. l. 168–169).</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themeColor="text1"/>
          <w:szCs w:val="24"/>
          <w:lang w:eastAsia="ja-JP"/>
        </w:rPr>
        <w:t>Pažymėtina, kad dalis valstybės išlaidų buvo patirtos rubliais, dalis laikinaisiais Lietuvos Respublikos pinigais – talonais, o dalis litais, vis dėlto Lietuvos banko bankininkystės tarnybos 2014 m. rugpjūčio 7 d. rašte paaiškinta, kokiu santykiu buvo perskaičiuojamos šioje baudžiamojoje byloje aktualios valiutos: rubliai į talonus buvo keičiami santykiu 1:1, o vėliau talonai į litus buvo keičiami santykiu 100:1 (100 talonų prilyginta 1 litui) (t. 509,</w:t>
      </w:r>
      <w:r w:rsidRPr="00C00255">
        <w:rPr>
          <w:smallCaps/>
          <w:color w:val="000000" w:themeColor="text1"/>
          <w:szCs w:val="24"/>
          <w:lang w:eastAsia="ja-JP"/>
        </w:rPr>
        <w:t> </w:t>
      </w:r>
      <w:r w:rsidRPr="00C00255">
        <w:rPr>
          <w:color w:val="000000" w:themeColor="text1"/>
          <w:szCs w:val="24"/>
          <w:lang w:eastAsia="ja-JP"/>
        </w:rPr>
        <w:t>b. l. 223).</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themeColor="text1"/>
          <w:szCs w:val="24"/>
          <w:lang w:eastAsia="ja-JP"/>
        </w:rPr>
        <w:t>Pažymėtina, kad Lietuvos Aukščiausiasis Teismas, formuodamas teismų praktiką dėl proceso teisės normų, reglamentuojančių įrodinėjimą ir įrodymų vertinimą, aiškinimo ir taikymo, yra pažymėjęs, kad, įvertindamas įrodymus, teismas turi įsitikinti, ar pakanka įrodymų reikšmingoms bylos aplinkybėms nustatyti, ar tinkamai šalims buvo paskirstyta įrodinėjimo pareiga, ar įrodymai turi ryšį su įrodinėjimo dalyku, ar jie leistini, patikimi, ar nebuvo pateikta suklastotų įrodymų, ar nepaneigtos pagal įstatymus nustatytos prezumpcijos, ar yra prejudicinių faktų; taip pat reikia įvertinti kiekvieną įrodymą ir įrodymų visetą (LAT nutartis civilinėje byloje Nr. 3K-3-610/2013). Jeigu tam tikram faktui patvirtinti nėra tiesioginių įrodymų, o netiesioginiai įrodymai neturi pakankamos įrodomosios galios dėl to, kad jie yra faktinės būklės neatspindintys, apibendrinti duomenys, tai, jų nepatvirtinus pirminiais faktų šaltiniais, nesant kitų bylos aplinkybių, kurių visuma duotų pagrindą vertinti kitaip, turi būti vertinama, kad ieškinyje nurodytos aplinkybės neįrodytos dėl įrodymų nepakankamumo (CPK</w:t>
      </w:r>
      <w:r>
        <w:rPr>
          <w:color w:val="000000" w:themeColor="text1"/>
          <w:szCs w:val="24"/>
          <w:lang w:eastAsia="ja-JP"/>
        </w:rPr>
        <w:t> </w:t>
      </w:r>
      <w:r w:rsidRPr="00C00255">
        <w:rPr>
          <w:color w:val="000000" w:themeColor="text1"/>
          <w:szCs w:val="24"/>
          <w:lang w:eastAsia="ja-JP"/>
        </w:rPr>
        <w:t>185 straipsnis).</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themeColor="text1"/>
          <w:szCs w:val="24"/>
          <w:lang w:eastAsia="ja-JP"/>
        </w:rPr>
        <w:t>Teisėjų kolegijos vertinimu, byloje esantys raštai, įvertinus juos byloje nustatytų 1991 m. sausio mėn. įvykių kontekste, pagrindžia valstybės patirtas išlaidas. Byloje nustatyta, kad 1991 m. sausio mėn. įvykių metu žuvo laisvės gynėjai, dėl kurių žūties artimiesiems buvo mokamos išmokos, padengiamos reikalingos laidotuvių bei memorialo įrengimo išlaidos. Be kita ko, įvykių metu buvo sužaloti asmenys, kurių gydymui taip pat buvo reikalingos lėšos. Taip pat atsižvelgtina ir į tai, kad dauguma dokumentų nėra išlikę dėl teisės aktuose nustatytų jų saugojimo terminų pasibaigimo. Tačiau teisėjų kolegija, įvertinusi institucijų pateiktus raštus, padarė išvadą, kad ne visos prašomos priteisti išlaidos yra pagrįstos tiesioginiais ar netiesioginiais įrodymais, dalis prašomų priteisti išlaidų dubliuojasi, todėl apeliacinės instancijos teismo vertinimu, jos turi būti neįskaičiuojamos į priteistiną turtinę žalą.</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themeColor="text1"/>
          <w:szCs w:val="24"/>
          <w:lang w:eastAsia="ja-JP"/>
        </w:rPr>
        <w:t>Kaip pagrįstas išlaidas teisėjų kolegija vertina išmokas, skirtas nukentėjusiesiems bei jų artimiesiems. Tokių išlaidų dydį ir faktą, teisėjų kolegijos vertinimu, pakankamai patvirtina Lietuvos Respublikos kompensacijų nepriklausomybės gynėjams, nukentėjusiems nuo 1991 m. sausio 11–13 d. ir po to vykdytos SSRS agresijos, bei jų šeimoms įstatymas,</w:t>
      </w:r>
      <w:r w:rsidRPr="00C00255">
        <w:rPr>
          <w:szCs w:val="24"/>
          <w:shd w:val="clear" w:color="auto" w:fill="F6FAFB"/>
        </w:rPr>
        <w:t xml:space="preserve"> </w:t>
      </w:r>
      <w:r w:rsidRPr="00C00255">
        <w:rPr>
          <w:color w:val="000000" w:themeColor="text1"/>
          <w:szCs w:val="24"/>
          <w:lang w:eastAsia="ja-JP"/>
        </w:rPr>
        <w:t xml:space="preserve">Vyriausybės nutarimai ir ministrų įsakymai dėl lėšų skyrimo. Tokios išlaidos yra būtinos ir protingos, nes sužeistiems ir netekusiems darbingumo asmenims sumažėjo galimybė dirbti, taip pat ir žuvusiųjų artimieji neteko finansinio ramsčio, todėl valstybės pagalba nukentėjusiesiems vertintina kaip būtina. </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themeColor="text1"/>
          <w:lang w:eastAsia="ja-JP"/>
        </w:rPr>
        <w:t>Lietuvos Respublikos socialinės apsaugos ir darbo ministerijos duomenimis, laikotarpiu nuo 1993 m. sausio 1 d. iki 2013 m. gruodžio 31 d. išmokėtos nukentėjusiųjų asmenų valstybinės pensijos, nukentėjusiųjų asmenų valstybinių našlių pensijos, valstybinių socialinio netekto darbingumo pensijos, transporto išlaidų kompensacijos ir kitos socialinės paramos išmokos bendrai sudarė 33 389 807,81 Lt (9 670 356,76 Eur). Lietuvos Respublikos finansų ministerijos 2014 m. gegužės 20 d. rašte nurodyta, kad Vyriausybė 1994 m. vasario 14 d. nutarimu Nr. 100 „Dėl lėšų skyrimo“ Krašto apsaugos ministerijai skyrė 67 000 Lt išlaidoms, patirtoms dėl išmokėtų vienkartinių išmokų žuvusiųjų kovojant už Lietuvos Respublikos laisvę 1991 m. sausio 11–13 d. įvykdytos agresijos ir po to buvusių įvykių metu šeimoms ir asmenims, dėl sužalojimo tapusiems neįgaliais, kompensuoti, tačiau, teismo vertinimu, šios išlaidos dubliuojasi su Lietuvos Respublikos krašto apsaugos ministerijos 2014 m. liepos 16 d. ir 2014 m. rugsėjo 15 d. raštuose pateiktais duomenimis apie išmokas žuvusiųjų už Lietuvos Respublikos laisvę asmenų šeimoms ir nukentėjusiesiems nuo 1991 m. sausio 11–13 d. vykdytos agresijos ir po to buvusių įvykių, mokėtas iš Krašto apsaugos ministerijai skirtų valstybės biudžeto lėšų, kurios sudaro 1 049 500 Lt (303 956,21 Eur). Kadangi Finansų ministerija lėšas skyrė Krašto apsaugos ministerijai, kuri lėšas perskirstė nukentėjusiesiems ir šias išlaidas įtraukė į savo išlaidas, teisėjų kolegija į priteistinos turtinės žalos dydį neįskaičiuoja 67 000 Lt sumos, nurodytos Finansų ministerijos rašte. Į priteistinos žalos dydį įskaičiuotinos ir Vyriausybės 1991 m. vasario 6 d. potvarkiu Nr. 32p skirtos (po 5 000 rublių (14,481 Eur)) lėšos, kurios išmokėtos žuvusiųjų vaikams. Šiuo metu tokios lėšos sudaro 144,81 (10 x 14,481 = 144,81) Eur.</w:t>
      </w:r>
    </w:p>
    <w:p w:rsidR="00DA38E9" w:rsidRPr="00307154" w:rsidRDefault="00DA38E9" w:rsidP="00DA38E9">
      <w:pPr>
        <w:pStyle w:val="ListParagraph"/>
        <w:numPr>
          <w:ilvl w:val="0"/>
          <w:numId w:val="6"/>
        </w:numPr>
        <w:spacing w:before="120" w:after="120"/>
        <w:ind w:left="992" w:hanging="992"/>
        <w:contextualSpacing w:val="0"/>
      </w:pPr>
      <w:r w:rsidRPr="00307154">
        <w:rPr>
          <w:color w:val="000000" w:themeColor="text1"/>
          <w:lang w:eastAsia="ja-JP"/>
        </w:rPr>
        <w:t xml:space="preserve">Kaip matyti iš bylos medžiagos, be pirmiau nurodytų būtinų išlaidų, civiliniame ieškinyje taip pat prašoma atlyginti kitas išlaidas, tarp kurių ir išlaidos memorialui Lietuvos laisvės gynėjams Antakalnio kapinėse statyti. </w:t>
      </w:r>
      <w:bookmarkStart w:id="1082" w:name="nTP1_9000067"/>
      <w:r w:rsidRPr="00307154">
        <w:rPr>
          <w:iCs/>
          <w:shd w:val="clear" w:color="auto" w:fill="FFFFFF"/>
        </w:rPr>
        <w:t>CK</w:t>
      </w:r>
      <w:bookmarkStart w:id="1083" w:name="pnTP1_9000067"/>
      <w:bookmarkEnd w:id="1082"/>
      <w:bookmarkEnd w:id="1083"/>
      <w:r w:rsidRPr="00307154">
        <w:t xml:space="preserve"> 6.291 straipsnio 1 dalyje</w:t>
      </w:r>
      <w:bookmarkStart w:id="1084" w:name="pnTP1_9000068"/>
      <w:bookmarkEnd w:id="1084"/>
      <w:r w:rsidRPr="00307154">
        <w:rPr>
          <w:color w:val="000000"/>
          <w:shd w:val="clear" w:color="auto" w:fill="FFFFFF"/>
        </w:rPr>
        <w:t xml:space="preserve"> nurodyta, kad tokiu atveju, kai nukentėjęs asmuo miršta, jo laidojimo išlaidas turėjusiam asmeniui atlygina tas asmuo, kuris yra atsakingas už žalą, susijusią su nukentėjusio asmens gyvybės atėmimu; atlyginamos tik protingumo kriterijus atitinkančios laidojimo išlaidos. Lietuvos Aukščiausiojo Teismo praktikoje aiškinant šią teisės normą, kasacinis teismas yra nurodęs, kad laidojimo išlaidomis pripažįstamos karsto įgijimo, gėlių, drabužių, transporto, kitų ritualinių paslaugų, gedulingų pietų, kapo tvarkymo išlaidos, kurios nustatomos, vadovaujantis protingumo kriterijumi (</w:t>
      </w:r>
      <w:r w:rsidRPr="00307154">
        <w:rPr>
          <w:iCs/>
          <w:color w:val="000000"/>
          <w:shd w:val="clear" w:color="auto" w:fill="FFFFFF"/>
        </w:rPr>
        <w:t>LAT nutartis civilinėje byloje Nr. </w:t>
      </w:r>
      <w:bookmarkStart w:id="1085" w:name="nTP1_9000070"/>
      <w:r w:rsidRPr="00307154">
        <w:rPr>
          <w:iCs/>
          <w:color w:val="000000"/>
          <w:szCs w:val="24"/>
        </w:rPr>
        <w:t>3K-3-160/2006</w:t>
      </w:r>
      <w:bookmarkStart w:id="1086" w:name="pnTP1_9000070"/>
      <w:bookmarkEnd w:id="1085"/>
      <w:bookmarkEnd w:id="1086"/>
      <w:r w:rsidRPr="00307154">
        <w:rPr>
          <w:color w:val="000000"/>
          <w:shd w:val="clear" w:color="auto" w:fill="FFFFFF"/>
        </w:rPr>
        <w:t xml:space="preserve">). Taigi, tiek įstatyme, tiek teismų praktikoje įtvirtinta, jog atlyginant laidojimo išlaidas turi būti vadovaujamasi protingumo kriterijumi ir atlyginamos tik vidutinės (įprastos) kapavietės sutvarkymo išlaidos. Tačiau, kaip jau konstatuota šioje byloje, dėl nusikaltimų žmoniškumui ir karo nusikaltimų byloje nagrinėjamųjų įvykių metu buvo nužudyta 14 žmonių, iš kurių 9 palaidoti Antakalnio kapinėse, todėl, nagrinėjamoje byloje susiklosčiusioje situacijoje tokios kapavietės sutvarkymas negali būti prilygintas įprastos kapavietės sutvarkymui. </w:t>
      </w:r>
      <w:r w:rsidRPr="00307154">
        <w:rPr>
          <w:color w:val="000000" w:themeColor="text1"/>
          <w:lang w:eastAsia="ja-JP"/>
        </w:rPr>
        <w:t>Teisėjų kolegijos vertinimu, išlaidos memorialui įrengti yra tiesiogiai susijusios su nuteistųjų neteisėtais veiksmais, šis memorialas skirtas asmenims, žuvusiems dėl nuteistųjų veiksmų, pagerbti. Visuotinai yra įprasta pagerbti valstybei nusipelniusius asmenis bei įamžinti jų atminimą (jų vardu pavadinamos miestų gatvės, mokyklos ir pan.), o šioje byloje nagrinėjamų įvykių metu žuvę asmenys yra laikomi Lietuvos laisvės gynėjais, tapę Lietuvos istorijos dalimi, todėl memorialui įrengti skirtos protingos išlaidos, kurios yra realiai patirtos, taip pat turi būti atlyginamos. Atkreiptinas dėmesys, kad išlaidas memorialo įrengimui nurodo tiek Lietuvos Respublikos finansų ministerija, tiek Kultūros paveldo departamentas prie kultūros ministerijos. Kultūros paveldo departamentas prie kultūros ministerijos 2014 m. rugsėjo 18 d. rašte nurodo, kad iš viso memorialo Lietuvos laisvės gynėjams Antakalnio kapinėse sukūrimo bendra vertė yra 5 740 500 Lt (1 662 563,72 Eur). Toks teiginys bei sumos dydis leidžia teigti, kad Kultūros paveldo departamentas apskaičiavo visas memorialo sukūrimo ir jo atidengimo išlaidas, į kurias galimai patenka ir Finansų ministerijos 2015 m. gegužės 20 d. rašte nurodomos išlaidos, susijusios su memorialo įrengimu (200 000 Lt eskizo projektui, 1 300 000 Lt, skirti Kultūros ministerijos Kultūros vertybių apsaugos departamentui memorialui Lietuvos laisvės gynėjams Antakalnio kapinėse statyti), todėl Finansų ministerijos memorialo įrengimui skirtos lėšos neturi būti pridedamos prie Kultūros paveldo departamento rašte nurodytos sumos. Be to, teisėjų kolegijos vertinimu, prie būtinųjų ir pagrįstų tokio pobūdžio išlaidų negali būti priskiriamos išlaidos, patirtos memorialo atidarymo iškilmėms (6 313,72 Eur). Teisėjų kolegija, įvertinusi visa tai ir memorialo statybai patirtų išlaidų dydį, memorialo simbolinę paskirtį, taip pat ir tai, kad jis pastatytas devynių nužudytųjų atminimui pagerbti, sprendžia, kad šiuo atveju pagrįstomis ir protingomis išlaidomis laikytina 900 000 Eur suma, t. y. į visą priteistiną sumą neįskaičiuojant Kultūros paveldo departamento rašte nurodytos 1 662 563,72 Eur</w:t>
      </w:r>
      <w:r w:rsidRPr="00307154" w:rsidDel="00C20EC6">
        <w:rPr>
          <w:color w:val="000000" w:themeColor="text1"/>
          <w:lang w:eastAsia="ja-JP"/>
        </w:rPr>
        <w:t xml:space="preserve"> </w:t>
      </w:r>
      <w:r w:rsidRPr="00307154">
        <w:rPr>
          <w:color w:val="000000" w:themeColor="text1"/>
          <w:lang w:eastAsia="ja-JP"/>
        </w:rPr>
        <w:t xml:space="preserve">sumos, o vietoje jos įtraukiant 900 000 Eur sumą. Tiek būtinumo, tiek protingumo kriterijus atitinka 5 418,66 Lt (1 569,35 Eur) išlaidos, patirtos pastatant paminklą laisvės gynėjui T. M., Petrašiūnų kapinėse, Kaune, kadangi būtent šiose kapinėse jis yra palaidotas, bei VšĮ Respublikinės Šiaulių ligoninės patirtos 574,62 Eur išlaidos 1991 m. sausio 13 d. sužalojimus patyrusių asmenų gydymui. </w:t>
      </w:r>
    </w:p>
    <w:p w:rsidR="00DA38E9" w:rsidRPr="00C00255" w:rsidRDefault="00DA38E9" w:rsidP="00DA38E9">
      <w:pPr>
        <w:pStyle w:val="ListParagraph"/>
        <w:numPr>
          <w:ilvl w:val="0"/>
          <w:numId w:val="6"/>
        </w:numPr>
        <w:spacing w:before="120" w:after="120"/>
        <w:ind w:left="992" w:hanging="992"/>
        <w:contextualSpacing w:val="0"/>
      </w:pPr>
      <w:r w:rsidRPr="00C00255">
        <w:rPr>
          <w:color w:val="000000"/>
        </w:rPr>
        <w:t xml:space="preserve">Teisėjų kolegija daro išvadą, kad Lietuvos Respublikos generalinės prokuratūros ieškinys tenkinamas iš dalies, priteisiant </w:t>
      </w:r>
      <w:r w:rsidRPr="00C00255">
        <w:rPr>
          <w:bCs/>
        </w:rPr>
        <w:t>10 876 601,75</w:t>
      </w:r>
      <w:r w:rsidRPr="00C00255">
        <w:rPr>
          <w:color w:val="000000"/>
        </w:rPr>
        <w:t xml:space="preserve"> Eur žalos atlyginimą. CK 6.279 straipsnyje nustatyta, kad bendrai padarę žalą asmenys nukentėjusiajam asmeniui atsako solidariai, todėl ši žala priteistina iš visų nuteistųjų solidariai. </w:t>
      </w:r>
    </w:p>
    <w:p w:rsidR="00DA38E9" w:rsidRPr="00C00255" w:rsidRDefault="00DA38E9" w:rsidP="00DA38E9">
      <w:pPr>
        <w:pStyle w:val="Heading2"/>
        <w:spacing w:after="120"/>
        <w:ind w:firstLine="992"/>
        <w:jc w:val="center"/>
        <w:rPr>
          <w:rFonts w:ascii="Times New Roman" w:hAnsi="Times New Roman" w:cs="Times New Roman"/>
          <w:sz w:val="24"/>
        </w:rPr>
      </w:pPr>
      <w:bookmarkStart w:id="1087" w:name="_Toc67677501"/>
      <w:bookmarkStart w:id="1088" w:name="_Toc67985586"/>
      <w:r w:rsidRPr="00C00255">
        <w:rPr>
          <w:rFonts w:ascii="Times New Roman" w:hAnsi="Times New Roman" w:cs="Times New Roman"/>
          <w:sz w:val="24"/>
        </w:rPr>
        <w:t>L. DĖL KITŲ IŠSPRĘSTINŲ KLAUSIMŲ</w:t>
      </w:r>
      <w:bookmarkEnd w:id="1087"/>
      <w:bookmarkEnd w:id="1088"/>
    </w:p>
    <w:p w:rsidR="00DA38E9" w:rsidRPr="00C00255" w:rsidRDefault="00DA38E9" w:rsidP="00DA38E9">
      <w:pPr>
        <w:pStyle w:val="Heading3"/>
        <w:spacing w:before="120" w:after="120"/>
        <w:ind w:firstLine="992"/>
        <w:jc w:val="both"/>
        <w:rPr>
          <w:b w:val="0"/>
          <w:i/>
          <w:sz w:val="24"/>
          <w:lang w:val="lt-LT"/>
        </w:rPr>
      </w:pPr>
      <w:bookmarkStart w:id="1089" w:name="_Toc67677502"/>
      <w:bookmarkStart w:id="1090" w:name="_Toc67985587"/>
      <w:r w:rsidRPr="00C00255">
        <w:rPr>
          <w:b w:val="0"/>
          <w:i/>
          <w:sz w:val="24"/>
          <w:lang w:val="lt-LT"/>
        </w:rPr>
        <w:t>Dėl daiktinių įrodymų</w:t>
      </w:r>
      <w:bookmarkEnd w:id="1089"/>
      <w:r w:rsidRPr="00C00255">
        <w:rPr>
          <w:b w:val="0"/>
          <w:bCs/>
          <w:lang w:val="lt-LT"/>
        </w:rPr>
        <w:t xml:space="preserve"> </w:t>
      </w:r>
      <w:r w:rsidRPr="00C00255">
        <w:rPr>
          <w:b w:val="0"/>
          <w:i/>
          <w:sz w:val="24"/>
          <w:lang w:val="lt-LT"/>
        </w:rPr>
        <w:t xml:space="preserve">ir </w:t>
      </w:r>
      <w:r>
        <w:rPr>
          <w:b w:val="0"/>
          <w:i/>
          <w:sz w:val="24"/>
          <w:lang w:val="lt-LT"/>
        </w:rPr>
        <w:t>J. M.</w:t>
      </w:r>
      <w:r w:rsidRPr="00C00255">
        <w:rPr>
          <w:b w:val="0"/>
          <w:i/>
          <w:sz w:val="24"/>
          <w:lang w:val="lt-LT"/>
        </w:rPr>
        <w:t xml:space="preserve"> kratos metu paimtų daiktų</w:t>
      </w:r>
      <w:bookmarkEnd w:id="1090"/>
    </w:p>
    <w:p w:rsidR="00DA38E9" w:rsidRPr="00307154"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307154">
        <w:rPr>
          <w:szCs w:val="24"/>
        </w:rPr>
        <w:t>Prokurorų apeliaciniame skunde dėl daiktinių įrodymų išdėstyti du prašymai: 1) daiktinius įrodymus, dėl kurių pirmosios instancijos teismas nuosprendyje iš viso nepasisakė, palikti saugoti prie baudžiamosios bylos, siekiant užtikrinti bylos nagrinėjime nedalyvavusių nuteistųjų teisę susipažinti su bylos medžiaga bei teisę atlikti byloje esančių daiktinių įrodymų papildomus tyrimus; 2) iš nuteistojo J. M. paimtus daiktus ir pinigus, kuriuos pirmosios instancijos teismas nusprendė grąžinti J. M., nukreipti civilinių ieškinių atlyginimui. Apeliacinės instancijos teismo vertinimu, šie prašymai tenkintini iš dalies.</w:t>
      </w:r>
    </w:p>
    <w:p w:rsidR="00DA38E9" w:rsidRPr="00307154"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307154">
        <w:rPr>
          <w:szCs w:val="24"/>
        </w:rPr>
        <w:t xml:space="preserve">Teisėjų kolegija sutinka su prokurorų pozicija dėl </w:t>
      </w:r>
      <w:r w:rsidRPr="00307154">
        <w:rPr>
          <w:iCs/>
          <w:szCs w:val="24"/>
        </w:rPr>
        <w:t>daiktinių įrodymų</w:t>
      </w:r>
      <w:r w:rsidRPr="00307154">
        <w:rPr>
          <w:szCs w:val="24"/>
        </w:rPr>
        <w:t xml:space="preserve"> (CD, DVD kompaktinių diskų, vaizdo įrašų kasečių, garso įrašo kasečių, fotonuotraukų, knygų bei kitų dokumentų ir daiktinių įrodymų), </w:t>
      </w:r>
      <w:r w:rsidRPr="00307154">
        <w:rPr>
          <w:iCs/>
          <w:szCs w:val="24"/>
        </w:rPr>
        <w:t xml:space="preserve">išvardintų kaltinamojo akto 3158–3162 l., t. 695, </w:t>
      </w:r>
      <w:r w:rsidRPr="00307154">
        <w:rPr>
          <w:szCs w:val="24"/>
        </w:rPr>
        <w:t>dėl kurių pirmosios instancijos teismas nei nuosprendžio aprašomojoje dalyje, nei rezoliucinėje dalyje nepasisakė ir šių daiktinių įrodymų klausimas byloje liko neišspręstas. Apeliacinės instancijos teismo teisėjų kolegija nustatė, kad tai daiktai, kurie gali būti priemonėmis nusikalstamai veikai atskleisti ir kaltininkams nustatyti arba kaltinimui paneigti ar atsakomybei palengvinti, atitinkantys BPK 91 straipsnio nuostatas ir vadovaujantis BK 94 straipsnio 1 dalies 3 punktu saugotini kaip nusikalstamos veikos tyrimo medžiaga. Pagal BPK 438 straipsnio nuostatas, nuteistasis, kurio byla buvo išnagrinėta jam nedalyvaujant, bet kuriuo baudžiamojo proceso metu (net ir sprendimo vykdymo procese) gali pateikti apeliacinį skundą. Atsižvelgiant į tai, visus šioje pastraipoje nurodytus daiktinius įrodymus tikslinga palikti saugoti prie bylos, siekiant užtikrinti nuteistųjų, kurie nedalyvavo bylos nagrinėjime, teisę ateityje susipažinti su bylos medžiaga bei teisę atlikti daiktinių įrodymų papildomą tyrimą. Teisėjų kolegija nenustato konkretaus daiktinių įrodymų saugojimo termino, nes BPK nenumato termino, per kurį procese nedalyvavęs nuteistasis turi teisę paduoti apeliacinį skundą.</w:t>
      </w:r>
    </w:p>
    <w:p w:rsidR="00DA38E9" w:rsidRPr="00307154"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307154">
        <w:rPr>
          <w:szCs w:val="24"/>
        </w:rPr>
        <w:t xml:space="preserve">Prokurorų prašymas, susijęs su </w:t>
      </w:r>
      <w:r w:rsidRPr="00307154">
        <w:rPr>
          <w:iCs/>
          <w:szCs w:val="24"/>
        </w:rPr>
        <w:t>iš nuteistojo J. M. kratos metu paimtais daiktais ir pinigais, tenkinamas iš dalies.</w:t>
      </w:r>
      <w:r w:rsidRPr="00307154">
        <w:rPr>
          <w:szCs w:val="24"/>
        </w:rPr>
        <w:t xml:space="preserve"> Pirmosios instancijos teismas nuosprendyje nusprendė, kad iš J. M. kratos metu paimti daiktai, taip pat ir pinigai, nuosprendžiui įsiteisėjus, turi būti grąžinti J. M.. Toks pirmosios instancijos teismo sprendimas iš dalies atitiko nuosprendyje išdėstytą sprendimą nukentėjusiųjų civilinius ieškinius dėl neturtinės žalos atlyginimo atmesti, o civilinį ieškinį dėl Lietuvos valstybei padarytos žalos palikti nenagrinėtą. Tačiau apeliacinės instancijos teismas civilinių ieškinių klausimus išsprendė kitaip, dalį jų patenkindamas, todėl keistina ir pirmosios instancijos teismo nuosprendžio dalis, kuria nuspręsta visus iš nuteistojo J. M. kratos metu paimtus daiktus ir pinigus, nuosprendžiui įsiteisėjus, gražinti nuteistajam J. M..</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Pirmiausia, teisėjų kolegijai nekyla abejonių, kad, kaip ir prašė prokurorai, iš </w:t>
      </w:r>
      <w:r>
        <w:rPr>
          <w:szCs w:val="24"/>
        </w:rPr>
        <w:t>J. M.</w:t>
      </w:r>
      <w:r w:rsidRPr="00C00255">
        <w:rPr>
          <w:szCs w:val="24"/>
        </w:rPr>
        <w:t xml:space="preserve"> kratos metu paimti pinigai (100,15 Lt (29,00544 Eur), esantys Generalinės prokuratūros depozitinėje sąskaitoje Nr. </w:t>
      </w:r>
      <w:r w:rsidR="00B05D9B">
        <w:rPr>
          <w:szCs w:val="24"/>
        </w:rPr>
        <w:t>(duomenys neskelbtini)</w:t>
      </w:r>
      <w:r w:rsidRPr="00C00255">
        <w:rPr>
          <w:szCs w:val="24"/>
        </w:rPr>
        <w:t xml:space="preserve">; 3500 Rusijos rublių ir 400 Eur, esantys Generalinės prokuratūros depozitinėje sąskaitoje Nr. </w:t>
      </w:r>
      <w:r w:rsidR="00B05D9B">
        <w:rPr>
          <w:szCs w:val="24"/>
        </w:rPr>
        <w:t>(duomenys neskelbtini)</w:t>
      </w:r>
      <w:r w:rsidRPr="00C00255">
        <w:rPr>
          <w:szCs w:val="24"/>
        </w:rPr>
        <w:t xml:space="preserve">, ir 2 Ukrainos grivinos, esančios Generalinės prokuratūros kasoje, priimtos pagal kasos pajamų kvitą Nr. 36), nuosprendžiui įsiteisėjus, turi būti nukreipti civilinių ieškinių atlyginimui, kadangi iš </w:t>
      </w:r>
      <w:r>
        <w:rPr>
          <w:szCs w:val="24"/>
        </w:rPr>
        <w:t>J. M.</w:t>
      </w:r>
      <w:r w:rsidRPr="00C00255">
        <w:rPr>
          <w:szCs w:val="24"/>
        </w:rPr>
        <w:t xml:space="preserve"> solidariai su kitais nuteistaisiais priteisti ženkliai didesni civiliniai ieškiniai nei minėtos iš </w:t>
      </w:r>
      <w:r>
        <w:rPr>
          <w:szCs w:val="24"/>
        </w:rPr>
        <w:t>J. M.</w:t>
      </w:r>
      <w:r w:rsidRPr="00C00255">
        <w:rPr>
          <w:szCs w:val="24"/>
        </w:rPr>
        <w:t xml:space="preserve"> paimtos piniginės lėšos. Taigi ir šioje dalyje prokurorų prašymas tenkintinas.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 w:val="20"/>
        </w:rPr>
      </w:pPr>
      <w:r w:rsidRPr="00C00255">
        <w:rPr>
          <w:szCs w:val="24"/>
        </w:rPr>
        <w:t xml:space="preserve">Sprendžiant klausimą dėl kitų iš </w:t>
      </w:r>
      <w:r>
        <w:rPr>
          <w:szCs w:val="24"/>
        </w:rPr>
        <w:t>J. M.</w:t>
      </w:r>
      <w:r w:rsidRPr="00C00255">
        <w:rPr>
          <w:szCs w:val="24"/>
        </w:rPr>
        <w:t xml:space="preserve"> kratos metu paimtų daiktų (t. 563, b. l. 1–3), kuriuos prokurorai apeliaciniu skundu taip pat prašo nukreipti civilinių ieškinių atlyginimui, atsižvelgtina į šių daiktų turtinę vertę, jų reikšmę nusikalstamų veikų nagrinėjimui ir pan. Nuosprendžio dalis, susijusi su turtinio pobūdžio išieškojimais bus vykdoma CPK nustatyta tvarka. CPK 668, 739 straipsniuose yra įtvirtinti ribojimai išieškant iš fizinio asmens turto.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 xml:space="preserve">Teisėjų kolegija pritaria pirmosios instancijos teismo sprendimui grąžinti </w:t>
      </w:r>
      <w:r>
        <w:rPr>
          <w:szCs w:val="24"/>
        </w:rPr>
        <w:t>J. M.</w:t>
      </w:r>
      <w:r w:rsidRPr="00C00255">
        <w:rPr>
          <w:szCs w:val="24"/>
        </w:rPr>
        <w:t xml:space="preserve"> nuosprendyje išvardintus jo asmeninio pobūdžio daiktus (telefoną su priedais, piniginę, geltonos spalvos grandinėlę, raktų dėklą su raktais ir pakabuku, akinius nuo saulės, užrašų knygelę, parkerį ir kt.), nes tai nėra daiktai atitinkantys BPK 91 straipsnio normos reikalavimus ir jų saugoti prie bylos kaip daiktinių įrodymų, juolab vertinti kaip nusikalstamos veikos priemones, įrankius ar rezultatus, nėra jokio pagrindo. Išvardytų daiktų pobūdis iš esmės yra asmeninis, išieškojimas iš jų negalimas, todėl skundžiamu nuosprendžiu, vadovaujantis BPK 94 straipsnio 1 dalies 5 punktu, šie daiktai pagrįstai grąžinti savininkui </w:t>
      </w:r>
      <w:r>
        <w:rPr>
          <w:szCs w:val="24"/>
        </w:rPr>
        <w:t>J. M.</w:t>
      </w:r>
      <w:r w:rsidRPr="00C00255">
        <w:rPr>
          <w:szCs w:val="24"/>
        </w:rPr>
        <w:t xml:space="preserve"> ir nėra pagrindo tenkinti prokurorų prašymą dėl šių daiktų nukreipimo civilinių ieškinių atlyginimui.</w:t>
      </w:r>
    </w:p>
    <w:p w:rsidR="00307154" w:rsidRPr="00307154" w:rsidRDefault="00307154" w:rsidP="00307154">
      <w:pPr>
        <w:pStyle w:val="ListParagraph"/>
        <w:numPr>
          <w:ilvl w:val="0"/>
          <w:numId w:val="6"/>
        </w:numPr>
        <w:spacing w:before="120" w:after="120"/>
        <w:ind w:left="992" w:hanging="992"/>
        <w:contextualSpacing w:val="0"/>
      </w:pPr>
      <w:r w:rsidRPr="00307154">
        <w:t>Atsižvelgiant į visa tai, kas išdėstyta, apeliacinės instancijos teismo teisėjų kolegija sprendžia, kad: 1) daiktiniai įrodymai (CD, DVD kompaktiniai diskai, vaizdo įrašų, garso kasetės, fotonuotraukos, knygos bei kiti dokumentai ir daiktiniai įrodymai), išvardinti kaltinamojo akto 3158–3162 l., t. 695, paliktini saugoti prie bylos medžiagos; 2) iš J. M. kratos metu paimtos piniginės lėšos nukreiptinos civilinių ieškinių atlyginimui; 3) dėl kitų daiktų grąžinimo skundžiamo nuosprendžio dalis paliktina nepakeista. Pirmosios instancijos teismo nuosprendis keičiamas dėl netinkamai išspręstų kitų nuosprendžio</w:t>
      </w:r>
      <w:r>
        <w:t xml:space="preserve"> klausimų (BPK 328 straipsnio 4 </w:t>
      </w:r>
      <w:r w:rsidRPr="00307154">
        <w:t>punktas).</w:t>
      </w:r>
    </w:p>
    <w:p w:rsidR="00DA38E9" w:rsidRPr="00C00255" w:rsidRDefault="00DA38E9" w:rsidP="00DA38E9">
      <w:pPr>
        <w:pStyle w:val="Heading3"/>
        <w:spacing w:before="120" w:after="120"/>
        <w:ind w:firstLine="992"/>
        <w:jc w:val="both"/>
        <w:rPr>
          <w:b w:val="0"/>
          <w:i/>
          <w:sz w:val="24"/>
          <w:szCs w:val="24"/>
          <w:lang w:val="lt-LT"/>
        </w:rPr>
      </w:pPr>
      <w:bookmarkStart w:id="1091" w:name="_Toc67677503"/>
      <w:bookmarkStart w:id="1092" w:name="_Toc67985588"/>
      <w:r w:rsidRPr="00C00255">
        <w:rPr>
          <w:b w:val="0"/>
          <w:i/>
          <w:sz w:val="24"/>
          <w:szCs w:val="24"/>
          <w:lang w:val="lt-LT"/>
        </w:rPr>
        <w:t>Dėl proceso išlaidų</w:t>
      </w:r>
      <w:bookmarkEnd w:id="1091"/>
      <w:bookmarkEnd w:id="1092"/>
      <w:r w:rsidRPr="00C00255">
        <w:rPr>
          <w:b w:val="0"/>
          <w:i/>
          <w:sz w:val="24"/>
          <w:szCs w:val="24"/>
          <w:lang w:val="lt-LT"/>
        </w:rPr>
        <w:t xml:space="preserve"> </w:t>
      </w:r>
    </w:p>
    <w:p w:rsidR="003F7E0A" w:rsidRPr="003F7E0A" w:rsidRDefault="00DA38E9" w:rsidP="003F7E0A">
      <w:pPr>
        <w:pStyle w:val="ListParagraph"/>
        <w:numPr>
          <w:ilvl w:val="0"/>
          <w:numId w:val="6"/>
        </w:numPr>
        <w:overflowPunct/>
        <w:autoSpaceDE/>
        <w:autoSpaceDN/>
        <w:adjustRightInd/>
        <w:spacing w:before="120" w:after="120"/>
        <w:ind w:left="992" w:hanging="992"/>
        <w:contextualSpacing w:val="0"/>
        <w:rPr>
          <w:szCs w:val="24"/>
        </w:rPr>
      </w:pPr>
      <w:r w:rsidRPr="00307154">
        <w:rPr>
          <w:szCs w:val="24"/>
        </w:rPr>
        <w:t>Prokurorai apeliaciniame skunde prašo solidariai iš visų nuteistųjų priteisti procesines išlaidas, susijusias su kelionių išlaidų liudytojams atlyginimu. Anot prokurorų, ikiteisminio tyrimo metu į apklausas buvo kviečiami liudytojai, kurių dalyvavimas pripažintas turinčiu reikšmės bylai, o jų – I. S., V. D., J. T., A. G., V. S., P. H. – kelionės išlaidos pripažintos proceso išlaidomis, kurios bendrai sudaro 343,79 Eur (kaltinamojo akto 3158 l., t. 695). Pirmosios instancijos teismas nuosprendyje klausimo dėl procesinių išlaidų išieškojimo neišsprendė</w:t>
      </w:r>
      <w:r w:rsidRPr="00C00255">
        <w:rPr>
          <w:szCs w:val="24"/>
        </w:rPr>
        <w:t xml:space="preserve">. </w:t>
      </w:r>
    </w:p>
    <w:p w:rsidR="00DA38E9" w:rsidRPr="00C00255"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C00255">
        <w:rPr>
          <w:szCs w:val="24"/>
        </w:rPr>
        <w:t>Teisėjų kolegija iš dalies sutinka su prokurorais ir pripažįsta, kad byloje yra patirtos šios proceso išlaidos:</w:t>
      </w:r>
    </w:p>
    <w:p w:rsidR="00DA38E9" w:rsidRPr="00307154"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307154">
        <w:rPr>
          <w:szCs w:val="24"/>
        </w:rPr>
        <w:t>2013 m. lapkričio 26 d. priimtas nutarimas dėl proceso išlaidų atlyginimo, kuriuo liudytojai I. S. buvo atlygintos kelionės išlaidos – 18 Lt (5,21 Eur) (t. 471, b. l. 261–262);</w:t>
      </w:r>
    </w:p>
    <w:p w:rsidR="00DA38E9" w:rsidRPr="00307154"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307154">
        <w:rPr>
          <w:szCs w:val="24"/>
        </w:rPr>
        <w:t>2014 m. kovo 31 d. priimtas nutarimas dėl proceso išlaidų atlyginimo, kuriuo liudytojui V. D. buvo atlygintos kelionės išlaidos – 53,24 Lt (15,42 Eur) (t. 473, b. l. 152–153);</w:t>
      </w:r>
    </w:p>
    <w:p w:rsidR="00DA38E9" w:rsidRPr="00307154"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307154">
        <w:rPr>
          <w:szCs w:val="24"/>
        </w:rPr>
        <w:t>2013 m. gruodžio 5 d. priimtas nutarimas dėl proceso išlaidų atlyginimo, kuriuo J. T. buvo atlygintos kelionės išlaidos – 311,44 Lt (90,20 Eur) (t. 474, b. l. 18–19);</w:t>
      </w:r>
    </w:p>
    <w:p w:rsidR="00DA38E9" w:rsidRPr="00307154"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307154">
        <w:rPr>
          <w:szCs w:val="24"/>
        </w:rPr>
        <w:t>2012 m. gegužės 23 d. nutarimas dėl proceso išlaidų atlyginimo, kuriuo liudytojui A. G. buvo atlygintos kelionės išlaidos – 113,40 Lt (32,84 Eur) (t. 475, b. l. 161–162);</w:t>
      </w:r>
    </w:p>
    <w:p w:rsidR="00DA38E9" w:rsidRPr="00307154" w:rsidRDefault="00DA38E9" w:rsidP="00DA38E9">
      <w:pPr>
        <w:pStyle w:val="ListParagraph"/>
        <w:numPr>
          <w:ilvl w:val="1"/>
          <w:numId w:val="6"/>
        </w:numPr>
        <w:overflowPunct/>
        <w:autoSpaceDE/>
        <w:autoSpaceDN/>
        <w:adjustRightInd/>
        <w:spacing w:before="120" w:after="120"/>
        <w:ind w:left="992" w:hanging="992"/>
        <w:contextualSpacing w:val="0"/>
        <w:rPr>
          <w:szCs w:val="24"/>
        </w:rPr>
      </w:pPr>
      <w:r w:rsidRPr="00307154">
        <w:rPr>
          <w:szCs w:val="24"/>
        </w:rPr>
        <w:t xml:space="preserve">2012 m. balandžio 17 d. nutarimas dėl proceso išlaidų atlyginimo, kuriuo liudytojui V. S. buvo atlygintos kelionės išlaidos – 100,33 Lt (29,06 Eur) (t. 474, b. l. 224–225); </w:t>
      </w:r>
    </w:p>
    <w:p w:rsidR="003F7E0A" w:rsidRPr="00307154" w:rsidRDefault="00DA38E9" w:rsidP="003F7E0A">
      <w:pPr>
        <w:pStyle w:val="ListParagraph"/>
        <w:numPr>
          <w:ilvl w:val="1"/>
          <w:numId w:val="6"/>
        </w:numPr>
        <w:overflowPunct/>
        <w:autoSpaceDE/>
        <w:autoSpaceDN/>
        <w:adjustRightInd/>
        <w:spacing w:before="120" w:after="120"/>
        <w:ind w:left="992" w:hanging="992"/>
        <w:contextualSpacing w:val="0"/>
        <w:rPr>
          <w:szCs w:val="24"/>
        </w:rPr>
      </w:pPr>
      <w:r w:rsidRPr="00307154">
        <w:rPr>
          <w:szCs w:val="24"/>
        </w:rPr>
        <w:t>2013 m. birželio 7 d. nutarimas dėl proceso išlaidų atlyginimo, kuriuo liudytojui P. H. buvo atlygintos kelionės išlaidos – 590,62 Lt (171,06 Eur) (t. 497, b. l. 109).</w:t>
      </w:r>
    </w:p>
    <w:p w:rsidR="00DA38E9" w:rsidRPr="00307154" w:rsidRDefault="00DA38E9" w:rsidP="00DA38E9">
      <w:pPr>
        <w:pStyle w:val="ListParagraph"/>
        <w:numPr>
          <w:ilvl w:val="0"/>
          <w:numId w:val="6"/>
        </w:numPr>
        <w:overflowPunct/>
        <w:autoSpaceDE/>
        <w:autoSpaceDN/>
        <w:adjustRightInd/>
        <w:spacing w:before="120" w:after="120"/>
        <w:ind w:left="992" w:hanging="992"/>
        <w:contextualSpacing w:val="0"/>
        <w:rPr>
          <w:szCs w:val="24"/>
        </w:rPr>
      </w:pPr>
      <w:r w:rsidRPr="00307154">
        <w:rPr>
          <w:szCs w:val="24"/>
        </w:rPr>
        <w:t xml:space="preserve">Teisėjų kolegija pažymi, kad pagal BPK 105 straipsnio 1 dalį teismas, priimdamas nuosprendį, </w:t>
      </w:r>
      <w:r w:rsidRPr="00307154">
        <w:rPr>
          <w:i/>
          <w:szCs w:val="24"/>
        </w:rPr>
        <w:t>turi teisę</w:t>
      </w:r>
      <w:r w:rsidRPr="00307154">
        <w:rPr>
          <w:szCs w:val="24"/>
        </w:rPr>
        <w:t xml:space="preserve"> nuspręsti iš nuteistojo išieškoti proceso išlaidas, taigi, proceso išlaidų išieškojimas iš nuteistojo nėra privalomas ir priklauso teismo diskrecijai. Minėto straipsnio 3 dalyje nustatyta, kad proceso išlaidos iš kelių nuteistųjų yra priteisiamos ne solidariai, bet dalimis, kurios gali būti ir nevienodos (LAT nutartis baudžiamojoje byloje Nr. 2K-316-1073/2018). Atsižvelgiant į minėtų išlaidų dydį, privalomą minėtų proceso išlaidų padalijimą atitinkamomis dalimis nuteistiesiems, taip pat būtiną teisinį bendradarbiavimą išieškant tokias išlaidas, jų išieškojimas yra akivaizdžiai neproporcingas ir neracionalus, todėl prokurorų skundas šioje dalyje atmestinas. </w:t>
      </w:r>
    </w:p>
    <w:p w:rsidR="00DA38E9" w:rsidRPr="00307154" w:rsidRDefault="00DA38E9" w:rsidP="00DA38E9">
      <w:pPr>
        <w:pStyle w:val="ListParagraph"/>
        <w:tabs>
          <w:tab w:val="left" w:pos="426"/>
          <w:tab w:val="left" w:pos="851"/>
        </w:tabs>
        <w:ind w:left="0"/>
        <w:contextualSpacing w:val="0"/>
        <w:rPr>
          <w:szCs w:val="24"/>
        </w:rPr>
      </w:pPr>
      <w:r w:rsidRPr="00C00255">
        <w:rPr>
          <w:szCs w:val="24"/>
        </w:rPr>
        <w:tab/>
      </w:r>
      <w:r w:rsidRPr="00C00255">
        <w:rPr>
          <w:szCs w:val="24"/>
        </w:rPr>
        <w:tab/>
      </w:r>
      <w:r w:rsidRPr="00C00255">
        <w:rPr>
          <w:szCs w:val="24"/>
        </w:rPr>
        <w:tab/>
      </w:r>
      <w:r w:rsidRPr="00307154">
        <w:rPr>
          <w:szCs w:val="24"/>
        </w:rPr>
        <w:t>Lietuvos apeliacinio teismo mišri Baudžiamųjų bylų skyriaus ir Civilinių bylų skyriaus teisėjų kolegija, vadovaudamasi Lietuvos Respublikos baudžiamojo proceso kodekso 3 straipsnio 1 dalies 5 punktu, 326 straipsnio 1 dalies 1 punktu, 2 punktu, 3 punktu, 2 dalies 2 punktu, 4 dalimi, 327 straipsnio 1 punktu, 328 straipsnio 1 – 4 punktais, 329 straipsnio 4 punktu,</w:t>
      </w:r>
    </w:p>
    <w:p w:rsidR="00DA38E9" w:rsidRPr="00C00255" w:rsidRDefault="00DA38E9" w:rsidP="00DA38E9">
      <w:pPr>
        <w:pStyle w:val="ListParagraph"/>
        <w:tabs>
          <w:tab w:val="left" w:pos="426"/>
          <w:tab w:val="left" w:pos="851"/>
        </w:tabs>
        <w:ind w:left="0" w:firstLine="709"/>
        <w:contextualSpacing w:val="0"/>
        <w:rPr>
          <w:szCs w:val="24"/>
        </w:rPr>
      </w:pPr>
    </w:p>
    <w:p w:rsidR="00DA38E9" w:rsidRPr="00C00255" w:rsidRDefault="00DA38E9" w:rsidP="00DA38E9">
      <w:pPr>
        <w:pStyle w:val="Heading1"/>
        <w:jc w:val="left"/>
        <w:rPr>
          <w:b w:val="0"/>
          <w:sz w:val="24"/>
          <w:szCs w:val="24"/>
        </w:rPr>
      </w:pPr>
      <w:bookmarkStart w:id="1093" w:name="_Toc67677504"/>
      <w:bookmarkStart w:id="1094" w:name="_Toc67985589"/>
      <w:r w:rsidRPr="00C00255">
        <w:rPr>
          <w:b w:val="0"/>
          <w:sz w:val="24"/>
          <w:szCs w:val="24"/>
        </w:rPr>
        <w:t>n u s p r e n d ž i a :</w:t>
      </w:r>
      <w:bookmarkEnd w:id="1093"/>
      <w:bookmarkEnd w:id="1094"/>
    </w:p>
    <w:p w:rsidR="00DA38E9" w:rsidRPr="00C00255" w:rsidRDefault="00DA38E9" w:rsidP="00DA38E9">
      <w:pPr>
        <w:tabs>
          <w:tab w:val="left" w:pos="3265"/>
        </w:tabs>
        <w:ind w:firstLine="709"/>
      </w:pPr>
    </w:p>
    <w:p w:rsidR="00DA38E9" w:rsidRPr="00307154" w:rsidRDefault="00DA38E9" w:rsidP="00DA38E9">
      <w:pPr>
        <w:tabs>
          <w:tab w:val="left" w:pos="426"/>
          <w:tab w:val="left" w:pos="709"/>
          <w:tab w:val="left" w:pos="851"/>
        </w:tabs>
        <w:spacing w:after="120"/>
        <w:ind w:firstLine="992"/>
      </w:pPr>
      <w:bookmarkStart w:id="1095" w:name="_Hlk67595345"/>
      <w:bookmarkStart w:id="1096" w:name="_Hlk67599308"/>
      <w:r w:rsidRPr="00307154">
        <w:t>Nukentėjusiųjų R. P. ir O. P. bei jų atstovo advokato Alvydo Butos, nuteistojo E. M. gynėjos advokatės Jurgitos Jablonskienės, nuteistojo A. S. gynėjo adv</w:t>
      </w:r>
      <w:r w:rsidR="00CF2534" w:rsidRPr="00307154">
        <w:t>okato Algio Kojalos ir Lietuvos </w:t>
      </w:r>
      <w:r w:rsidRPr="00307154">
        <w:t>Respublikos generalinės prokuratūros Baudžiamojo persekiojimo departamento prokurorų Gintaro Paškevičiaus ir Daivos Skorupskaitės-Lisauskienės apeliacinius skundus tenkinti iš dalies, o kitų nuteistųjų ir (ar) jų gynėjų apeliacinius skundus atmesti.</w:t>
      </w:r>
    </w:p>
    <w:p w:rsidR="00DA38E9" w:rsidRPr="00C00255" w:rsidRDefault="00DA38E9" w:rsidP="00DA38E9">
      <w:pPr>
        <w:tabs>
          <w:tab w:val="left" w:pos="426"/>
          <w:tab w:val="left" w:pos="709"/>
          <w:tab w:val="left" w:pos="851"/>
        </w:tabs>
        <w:spacing w:after="120"/>
        <w:ind w:firstLine="992"/>
      </w:pPr>
      <w:r w:rsidRPr="00C00255">
        <w:t>Panaikinti Vilniaus apygardos teismo 2019 m. kovo 27 d. nuosprendžio</w:t>
      </w:r>
      <w:bookmarkEnd w:id="1095"/>
      <w:r w:rsidRPr="00C00255">
        <w:t xml:space="preserve"> dalį </w:t>
      </w:r>
      <w:bookmarkEnd w:id="1096"/>
      <w:r w:rsidRPr="00C00255">
        <w:t xml:space="preserve">dėl </w:t>
      </w:r>
      <w:r>
        <w:rPr>
          <w:iCs/>
        </w:rPr>
        <w:t>D. J.</w:t>
      </w:r>
      <w:r w:rsidRPr="00C00255">
        <w:t xml:space="preserve"> pripažinimo kaltu ir nuteisimo pagal BK </w:t>
      </w:r>
      <w:r w:rsidRPr="00C00255">
        <w:rPr>
          <w:iCs/>
        </w:rPr>
        <w:t xml:space="preserve">100 </w:t>
      </w:r>
      <w:r w:rsidRPr="00C00255">
        <w:t xml:space="preserve">straipsnį, BK </w:t>
      </w:r>
      <w:r w:rsidRPr="00C00255">
        <w:rPr>
          <w:iCs/>
        </w:rPr>
        <w:t>101 straipsnį, BK</w:t>
      </w:r>
      <w:r>
        <w:rPr>
          <w:iCs/>
        </w:rPr>
        <w:t> </w:t>
      </w:r>
      <w:r w:rsidRPr="00C00255">
        <w:rPr>
          <w:iCs/>
        </w:rPr>
        <w:t>103</w:t>
      </w:r>
      <w:r>
        <w:rPr>
          <w:iCs/>
        </w:rPr>
        <w:t> </w:t>
      </w:r>
      <w:r w:rsidRPr="00C00255">
        <w:rPr>
          <w:iCs/>
        </w:rPr>
        <w:t>straipsnio 1 dalį, BK 111 straipsnio 1 dalį, BK</w:t>
      </w:r>
      <w:r w:rsidRPr="00C00255">
        <w:t xml:space="preserve"> </w:t>
      </w:r>
      <w:r w:rsidRPr="00C00255">
        <w:rPr>
          <w:iCs/>
        </w:rPr>
        <w:t xml:space="preserve">112 straipsnį </w:t>
      </w:r>
      <w:r w:rsidRPr="00C00255">
        <w:t xml:space="preserve">ir baudžiamąją bylą </w:t>
      </w:r>
      <w:r>
        <w:t>D. J.</w:t>
      </w:r>
      <w:r w:rsidRPr="00C00255">
        <w:t xml:space="preserve"> mirus nutraukti (BPK 3 straipsnio 1 dalies 5 punktas).</w:t>
      </w:r>
    </w:p>
    <w:p w:rsidR="00DA38E9" w:rsidRPr="00C00255" w:rsidRDefault="00DA38E9" w:rsidP="00DA38E9">
      <w:pPr>
        <w:tabs>
          <w:tab w:val="left" w:pos="426"/>
          <w:tab w:val="left" w:pos="709"/>
          <w:tab w:val="left" w:pos="851"/>
        </w:tabs>
        <w:spacing w:after="120"/>
        <w:ind w:firstLine="992"/>
        <w:rPr>
          <w:iCs/>
        </w:rPr>
      </w:pPr>
      <w:r w:rsidRPr="00C00255">
        <w:t xml:space="preserve">Pakeisti Vilniaus apygardos teismo 2019 m. kovo 27 d. nuosprendžio dalį dėl bausmių paskyrimo </w:t>
      </w:r>
      <w:r>
        <w:t>N. D.</w:t>
      </w:r>
      <w:r w:rsidRPr="00C00255">
        <w:t xml:space="preserve">, </w:t>
      </w:r>
      <w:r>
        <w:t>V. S. 1</w:t>
      </w:r>
      <w:r w:rsidRPr="00C00255">
        <w:t xml:space="preserve">, </w:t>
      </w:r>
      <w:r>
        <w:rPr>
          <w:iCs/>
        </w:rPr>
        <w:t xml:space="preserve">A. Ž. </w:t>
      </w:r>
      <w:r w:rsidRPr="00C00255">
        <w:rPr>
          <w:iCs/>
        </w:rPr>
        <w:t xml:space="preserve">, </w:t>
      </w:r>
      <w:r>
        <w:rPr>
          <w:iCs/>
        </w:rPr>
        <w:t>V. K. 1</w:t>
      </w:r>
      <w:r w:rsidRPr="00C00255">
        <w:rPr>
          <w:iCs/>
        </w:rPr>
        <w:t xml:space="preserve">, </w:t>
      </w:r>
      <w:r>
        <w:rPr>
          <w:iCs/>
        </w:rPr>
        <w:t xml:space="preserve">G. I. </w:t>
      </w:r>
      <w:r w:rsidRPr="00C00255">
        <w:rPr>
          <w:iCs/>
        </w:rPr>
        <w:t xml:space="preserve">, </w:t>
      </w:r>
      <w:r>
        <w:rPr>
          <w:iCs/>
        </w:rPr>
        <w:t>J. M.</w:t>
      </w:r>
      <w:r w:rsidRPr="00C00255">
        <w:rPr>
          <w:iCs/>
        </w:rPr>
        <w:t xml:space="preserve">, </w:t>
      </w:r>
      <w:r>
        <w:rPr>
          <w:iCs/>
        </w:rPr>
        <w:t>A. F. 2</w:t>
      </w:r>
      <w:r w:rsidRPr="00C00255">
        <w:rPr>
          <w:iCs/>
        </w:rPr>
        <w:t>,</w:t>
      </w:r>
      <w:r w:rsidRPr="00C00255">
        <w:t xml:space="preserve"> </w:t>
      </w:r>
      <w:r>
        <w:rPr>
          <w:iCs/>
        </w:rPr>
        <w:t>R. J. 2</w:t>
      </w:r>
      <w:r w:rsidRPr="00C00255">
        <w:rPr>
          <w:iCs/>
        </w:rPr>
        <w:t xml:space="preserve">, </w:t>
      </w:r>
      <w:r>
        <w:rPr>
          <w:iCs/>
        </w:rPr>
        <w:t>J. J.</w:t>
      </w:r>
      <w:r w:rsidRPr="00C00255">
        <w:rPr>
          <w:iCs/>
        </w:rPr>
        <w:t xml:space="preserve">, </w:t>
      </w:r>
      <w:r>
        <w:rPr>
          <w:iCs/>
        </w:rPr>
        <w:t>A. I.</w:t>
      </w:r>
      <w:r w:rsidRPr="00C00255">
        <w:rPr>
          <w:iCs/>
        </w:rPr>
        <w:t>, A</w:t>
      </w:r>
      <w:r>
        <w:rPr>
          <w:iCs/>
        </w:rPr>
        <w:t>. </w:t>
      </w:r>
      <w:r w:rsidRPr="00C00255">
        <w:rPr>
          <w:iCs/>
        </w:rPr>
        <w:t>C</w:t>
      </w:r>
      <w:r>
        <w:rPr>
          <w:iCs/>
        </w:rPr>
        <w:t>.</w:t>
      </w:r>
      <w:r w:rsidRPr="00C00255">
        <w:rPr>
          <w:iCs/>
        </w:rPr>
        <w:t>, S</w:t>
      </w:r>
      <w:r>
        <w:rPr>
          <w:iCs/>
        </w:rPr>
        <w:t>. </w:t>
      </w:r>
      <w:r w:rsidRPr="00C00255">
        <w:rPr>
          <w:iCs/>
        </w:rPr>
        <w:t>F</w:t>
      </w:r>
      <w:r>
        <w:rPr>
          <w:iCs/>
        </w:rPr>
        <w:t>.</w:t>
      </w:r>
      <w:r w:rsidRPr="00C00255">
        <w:rPr>
          <w:iCs/>
        </w:rPr>
        <w:t xml:space="preserve">, </w:t>
      </w:r>
      <w:r>
        <w:rPr>
          <w:iCs/>
        </w:rPr>
        <w:t>V. M.</w:t>
      </w:r>
      <w:r w:rsidRPr="00C00255">
        <w:rPr>
          <w:iCs/>
        </w:rPr>
        <w:t xml:space="preserve">, </w:t>
      </w:r>
      <w:r>
        <w:rPr>
          <w:iCs/>
        </w:rPr>
        <w:t>G. B.</w:t>
      </w:r>
      <w:r w:rsidRPr="00C00255">
        <w:rPr>
          <w:iCs/>
        </w:rPr>
        <w:t>, E</w:t>
      </w:r>
      <w:r>
        <w:rPr>
          <w:iCs/>
        </w:rPr>
        <w:t>.</w:t>
      </w:r>
      <w:r w:rsidRPr="00C00255">
        <w:rPr>
          <w:iCs/>
        </w:rPr>
        <w:t> M</w:t>
      </w:r>
      <w:r>
        <w:rPr>
          <w:iCs/>
        </w:rPr>
        <w:t>. ir</w:t>
      </w:r>
      <w:r w:rsidRPr="00C00255">
        <w:rPr>
          <w:iCs/>
        </w:rPr>
        <w:t xml:space="preserve"> </w:t>
      </w:r>
      <w:r>
        <w:rPr>
          <w:iCs/>
        </w:rPr>
        <w:t>A. S.</w:t>
      </w:r>
      <w:r w:rsidRPr="00C00255">
        <w:rPr>
          <w:iCs/>
        </w:rPr>
        <w:t>:</w:t>
      </w:r>
    </w:p>
    <w:p w:rsidR="00DA38E9" w:rsidRPr="00C00255" w:rsidRDefault="00DA38E9" w:rsidP="00DA38E9">
      <w:pPr>
        <w:ind w:firstLine="993"/>
      </w:pPr>
      <w:bookmarkStart w:id="1097" w:name="_Hlk67598281"/>
      <w:r>
        <w:rPr>
          <w:b/>
        </w:rPr>
        <w:t>N. D.</w:t>
      </w:r>
      <w:r w:rsidRPr="00C00255">
        <w:rPr>
          <w:b/>
        </w:rPr>
        <w:t xml:space="preserve"> </w:t>
      </w:r>
      <w:bookmarkEnd w:id="1097"/>
      <w:r w:rsidRPr="00C00255">
        <w:rPr>
          <w:iCs/>
        </w:rPr>
        <w:t xml:space="preserve">pagal BK </w:t>
      </w:r>
      <w:r w:rsidRPr="00C00255">
        <w:t>100 straipsnį paskirtą 10 (dešimties) metų laisvės atėmimo bausmę padidinti iki laisvės atėmimo 12 (dvylikai) metų.</w:t>
      </w:r>
    </w:p>
    <w:p w:rsidR="00DA38E9" w:rsidRPr="00C00255" w:rsidRDefault="00DA38E9" w:rsidP="00DA38E9">
      <w:pPr>
        <w:ind w:firstLine="993"/>
      </w:pPr>
      <w:r>
        <w:t>N. D.</w:t>
      </w:r>
      <w:r w:rsidRPr="00C00255">
        <w:t xml:space="preserve"> pagal BK 101 straipsnį paskirtą 10 (dešimties) metų laisvės atėmimo bausmę padidinti iki laisvės atėmimo 13 (trylikai) metų.</w:t>
      </w:r>
    </w:p>
    <w:p w:rsidR="00DA38E9" w:rsidRPr="00C00255" w:rsidRDefault="00DA38E9" w:rsidP="00DA38E9">
      <w:pPr>
        <w:ind w:firstLine="993"/>
      </w:pPr>
      <w:r>
        <w:t>N. D.</w:t>
      </w:r>
      <w:r w:rsidRPr="00C00255">
        <w:t xml:space="preserve"> pagal BK 103 straipsnio 1 dalį paskirtą 6 (šešerių) metų laisvės atėmimo bausmę padidinti iki laisvės atėmimo 7 (septyneriems) metams ir 6 (šešiems) mėnesiams. </w:t>
      </w:r>
    </w:p>
    <w:p w:rsidR="00DA38E9" w:rsidRPr="00C00255" w:rsidRDefault="00DA38E9" w:rsidP="00DA38E9">
      <w:pPr>
        <w:spacing w:after="120"/>
        <w:ind w:firstLine="993"/>
        <w:rPr>
          <w:iCs/>
        </w:rPr>
      </w:pPr>
      <w:r w:rsidRPr="00C00255">
        <w:rPr>
          <w:iCs/>
        </w:rPr>
        <w:t xml:space="preserve">Vadovaujantis BK 63 straipsnio 1, 2 dalimis, 5 dalies 1 punktu, šiuo nuosprendžiu paskirtas bausmes ir Vilniaus apygardos teismo 2019 m. kovo 27 d. nuosprendžiu pagal BK 111 straipsnio 1 dalį ir BK 112 straipsnį paskirtas bausmes subendrinti apėmimo būdu ir </w:t>
      </w:r>
      <w:r>
        <w:t>N. D.</w:t>
      </w:r>
      <w:r w:rsidRPr="00C00255">
        <w:t xml:space="preserve"> </w:t>
      </w:r>
      <w:r w:rsidRPr="00C00255">
        <w:rPr>
          <w:iCs/>
        </w:rPr>
        <w:t xml:space="preserve">paskirti galutinę subendrintą bausmę – laisvės atėmimą 13 (trylikai) metų. </w:t>
      </w:r>
    </w:p>
    <w:p w:rsidR="00DA38E9" w:rsidRPr="00C00255" w:rsidRDefault="00DA38E9" w:rsidP="00DA38E9">
      <w:pPr>
        <w:ind w:firstLine="993"/>
      </w:pPr>
      <w:bookmarkStart w:id="1098" w:name="_Hlk67659935"/>
      <w:bookmarkStart w:id="1099" w:name="_Hlk67595165"/>
      <w:r>
        <w:rPr>
          <w:b/>
          <w:bCs/>
        </w:rPr>
        <w:t>V. S. 1</w:t>
      </w:r>
      <w:r w:rsidRPr="00C00255">
        <w:rPr>
          <w:color w:val="0070C0"/>
        </w:rPr>
        <w:t xml:space="preserve"> </w:t>
      </w:r>
      <w:bookmarkEnd w:id="1098"/>
      <w:r w:rsidRPr="00C00255">
        <w:rPr>
          <w:iCs/>
        </w:rPr>
        <w:t xml:space="preserve">pagal BK </w:t>
      </w:r>
      <w:r w:rsidRPr="00C00255">
        <w:t>100 straipsnį paskirtą 10 (dešimties) metų laisvės atėmimo bausmę padidinti iki laisvės atėmimo 11 (vienuolikai) metų.</w:t>
      </w:r>
    </w:p>
    <w:p w:rsidR="00DA38E9" w:rsidRPr="00C00255" w:rsidRDefault="00DA38E9" w:rsidP="00DA38E9">
      <w:pPr>
        <w:ind w:firstLine="993"/>
      </w:pPr>
      <w:r>
        <w:t>V. S. 1</w:t>
      </w:r>
      <w:r w:rsidRPr="00C00255">
        <w:t xml:space="preserve"> pagal BK 101 straipsnį paskirtą 10 (dešimties) metų laisvės atėmimo bausmę padidinti iki laisvės atėmimo 12 (dvylikai) metų.</w:t>
      </w:r>
    </w:p>
    <w:p w:rsidR="00DA38E9" w:rsidRPr="00C00255" w:rsidRDefault="00DA38E9" w:rsidP="00DA38E9">
      <w:pPr>
        <w:ind w:firstLine="993"/>
      </w:pPr>
      <w:r>
        <w:t>V. S. 1</w:t>
      </w:r>
      <w:r w:rsidRPr="00C00255">
        <w:t xml:space="preserve"> pagal BK 103 straipsnio 1 dalį paskirtą 6 (šešerių) metų laisvės atėmimo bausmę padidinti iki laisvės atėmimo 6 (šešeriems) metams ir 6 (šešiems) mėnesiams. </w:t>
      </w:r>
    </w:p>
    <w:p w:rsidR="00DA38E9" w:rsidRPr="00C00255" w:rsidRDefault="00DA38E9" w:rsidP="00DA38E9">
      <w:pPr>
        <w:spacing w:after="120"/>
        <w:ind w:firstLine="993"/>
      </w:pPr>
      <w:bookmarkStart w:id="1100" w:name="_Hlk67599927"/>
      <w:r w:rsidRPr="00C00255">
        <w:t xml:space="preserve">Vadovaujantis BK 63 straipsnio 1, 2 dalimis, 5 dalies 1 punktu, šiuo nuosprendžiu paskirtas bausmes ir Vilniaus apygardos teismo 2019 m. kovo 27 d. nuosprendžiu pagal BK 111 straipsnio 1 dalį ir BK 112 straipsnį paskirtas bausmes subendrinti apėmimo būdu ir </w:t>
      </w:r>
      <w:r>
        <w:t>V. S. 1</w:t>
      </w:r>
      <w:r w:rsidRPr="00C00255">
        <w:t xml:space="preserve"> paskirti galutinę subendrintą bausmę – laisvės atėmimą 12 (dvylikai) metų</w:t>
      </w:r>
      <w:bookmarkEnd w:id="1100"/>
      <w:r w:rsidRPr="00C00255">
        <w:t>.</w:t>
      </w:r>
    </w:p>
    <w:p w:rsidR="00DA38E9" w:rsidRPr="00C00255" w:rsidRDefault="00DA38E9" w:rsidP="00DA38E9">
      <w:pPr>
        <w:ind w:firstLine="993"/>
      </w:pPr>
      <w:bookmarkStart w:id="1101" w:name="_Hlk67599890"/>
      <w:r>
        <w:rPr>
          <w:b/>
          <w:bCs/>
          <w:iCs/>
        </w:rPr>
        <w:t xml:space="preserve">A. Ž. </w:t>
      </w:r>
      <w:bookmarkEnd w:id="1101"/>
      <w:r w:rsidRPr="00C00255">
        <w:rPr>
          <w:rFonts w:eastAsia="Calibri"/>
          <w:iCs/>
        </w:rPr>
        <w:t xml:space="preserve">pagal BK </w:t>
      </w:r>
      <w:r w:rsidRPr="00C00255">
        <w:t>100 straipsnį paskirtą 10 (dešimties) metų laisvės atėmimo bausmę padidinti iki laisvės atėmimo 11 (vienuolikai) metų.</w:t>
      </w:r>
    </w:p>
    <w:p w:rsidR="00DA38E9" w:rsidRPr="00C00255" w:rsidRDefault="00DA38E9" w:rsidP="00DA38E9">
      <w:pPr>
        <w:ind w:firstLine="993"/>
      </w:pPr>
      <w:r>
        <w:t xml:space="preserve">A. Ž. </w:t>
      </w:r>
      <w:r w:rsidRPr="00C00255">
        <w:t>pagal BK 101 straipsnį paskirtą 10 (dešimties) metų laisvės atėmimo bausmę padidinti iki laisvės atėmimo 12 (dvylikai) metų.</w:t>
      </w:r>
    </w:p>
    <w:p w:rsidR="00DA38E9" w:rsidRPr="00C00255" w:rsidRDefault="00DA38E9" w:rsidP="00DA38E9">
      <w:pPr>
        <w:ind w:firstLine="993"/>
      </w:pPr>
      <w:r>
        <w:t xml:space="preserve">A. Ž. </w:t>
      </w:r>
      <w:r w:rsidRPr="00C00255">
        <w:t xml:space="preserve">pagal BK 103 straipsnio 1 dalį paskirtą 6 (šešerių) metų laisvės atėmimo bausmę padidinti iki laisvės atėmimo 6 (šešeriems) metams ir 6 (šešiems) mėnesiams. </w:t>
      </w:r>
    </w:p>
    <w:p w:rsidR="00DA38E9" w:rsidRPr="00C00255" w:rsidRDefault="00DA38E9" w:rsidP="00DA38E9">
      <w:pPr>
        <w:spacing w:after="120"/>
        <w:ind w:firstLine="993"/>
      </w:pPr>
      <w:bookmarkStart w:id="1102" w:name="_Hlk67600095"/>
      <w:r w:rsidRPr="00C00255">
        <w:t xml:space="preserve">Vadovaujantis BK 63 straipsnio 1, 2 dalimis, 5 dalies 1 punktu, šiuo nuosprendžiu paskirtas bausmes ir Vilniaus apygardos teismo 2019 m. kovo 27 d. nuosprendžiu pagal BK 111 straipsnio 1 dalį ir BK 112 straipsnį paskirtas bausmes subendrinti apėmimo būdu ir </w:t>
      </w:r>
      <w:r>
        <w:t xml:space="preserve">A. Ž. </w:t>
      </w:r>
      <w:r w:rsidRPr="00C00255">
        <w:t xml:space="preserve">paskirti galutinę subendrintą bausmę – laisvės atėmimą </w:t>
      </w:r>
      <w:bookmarkEnd w:id="1102"/>
      <w:r w:rsidRPr="00C00255">
        <w:t>12 (dvylikai) metų.</w:t>
      </w:r>
    </w:p>
    <w:p w:rsidR="00DA38E9" w:rsidRPr="00C00255" w:rsidRDefault="00DA38E9" w:rsidP="00DA38E9">
      <w:pPr>
        <w:ind w:firstLine="993"/>
        <w:rPr>
          <w:iCs/>
        </w:rPr>
      </w:pPr>
      <w:bookmarkStart w:id="1103" w:name="_Hlk67659961"/>
      <w:bookmarkStart w:id="1104" w:name="_Hlk67600122"/>
      <w:r>
        <w:rPr>
          <w:b/>
          <w:bCs/>
          <w:iCs/>
        </w:rPr>
        <w:t>V. K. 1</w:t>
      </w:r>
      <w:r w:rsidRPr="00C00255">
        <w:rPr>
          <w:iCs/>
        </w:rPr>
        <w:t xml:space="preserve"> </w:t>
      </w:r>
      <w:bookmarkEnd w:id="1103"/>
      <w:bookmarkEnd w:id="1104"/>
      <w:r w:rsidRPr="00C00255">
        <w:rPr>
          <w:iCs/>
        </w:rPr>
        <w:t>pagal BK 100 straipsnį paskirtą 12 (dvylikos) metų laisvės atėmimo bausmę padidinti iki laisvės atėmimo 12 (dvylikai) metų ir 6 (šešiems) mėnesiams.</w:t>
      </w:r>
    </w:p>
    <w:p w:rsidR="00DA38E9" w:rsidRPr="00C00255" w:rsidRDefault="00DA38E9" w:rsidP="00DA38E9">
      <w:pPr>
        <w:ind w:firstLine="993"/>
        <w:rPr>
          <w:iCs/>
        </w:rPr>
      </w:pPr>
      <w:bookmarkStart w:id="1105" w:name="_Hlk67600279"/>
      <w:r>
        <w:rPr>
          <w:iCs/>
        </w:rPr>
        <w:t>V. K. 1</w:t>
      </w:r>
      <w:r w:rsidRPr="00C00255">
        <w:rPr>
          <w:iCs/>
        </w:rPr>
        <w:t xml:space="preserve"> </w:t>
      </w:r>
      <w:bookmarkEnd w:id="1105"/>
      <w:r w:rsidRPr="00C00255">
        <w:rPr>
          <w:iCs/>
        </w:rPr>
        <w:t>pagal BK 101 straipsnį paskirtą 12 (dvylikos) metų laisvės atėmimo bausmę padidinti iki laisvės atėmimo 15 (penkiolikai) metų.</w:t>
      </w:r>
    </w:p>
    <w:p w:rsidR="00DA38E9" w:rsidRPr="00C00255" w:rsidRDefault="00DA38E9" w:rsidP="00DA38E9">
      <w:pPr>
        <w:ind w:firstLine="993"/>
        <w:rPr>
          <w:iCs/>
        </w:rPr>
      </w:pPr>
      <w:r>
        <w:rPr>
          <w:iCs/>
        </w:rPr>
        <w:t>V. K. 1</w:t>
      </w:r>
      <w:r w:rsidRPr="00C00255">
        <w:rPr>
          <w:iCs/>
        </w:rPr>
        <w:t xml:space="preserve"> pagal BK 111 straipsnio 1 dalį paskirtą 6 (šešerių) metų laisvės atėmimo bausmę padidinti iki laisvės atėmimo 7 (septyneriems) metams.</w:t>
      </w:r>
    </w:p>
    <w:p w:rsidR="00DA38E9" w:rsidRPr="00C00255" w:rsidRDefault="00DA38E9" w:rsidP="00DA38E9">
      <w:pPr>
        <w:ind w:firstLine="993"/>
        <w:rPr>
          <w:iCs/>
        </w:rPr>
      </w:pPr>
      <w:r>
        <w:rPr>
          <w:iCs/>
        </w:rPr>
        <w:t>V. K. 1</w:t>
      </w:r>
      <w:r w:rsidRPr="00C00255">
        <w:rPr>
          <w:iCs/>
        </w:rPr>
        <w:t xml:space="preserve"> pagal </w:t>
      </w:r>
      <w:bookmarkStart w:id="1106" w:name="_Hlk67600695"/>
      <w:r w:rsidRPr="00C00255">
        <w:rPr>
          <w:iCs/>
        </w:rPr>
        <w:t xml:space="preserve">BK 112 straipsnį </w:t>
      </w:r>
      <w:bookmarkEnd w:id="1106"/>
      <w:r w:rsidRPr="00C00255">
        <w:rPr>
          <w:iCs/>
        </w:rPr>
        <w:t xml:space="preserve">paskirtą 5 (penkerių) metų laisvės atėmimo bausmę padidinti iki laisvės atėmimo 6 (šešeriems) metams ir 6 (šešiems) mėnesiams. </w:t>
      </w:r>
    </w:p>
    <w:p w:rsidR="00DA38E9" w:rsidRPr="00C00255" w:rsidRDefault="00DA38E9" w:rsidP="00DA38E9">
      <w:pPr>
        <w:spacing w:after="120"/>
        <w:ind w:firstLine="993"/>
        <w:rPr>
          <w:iCs/>
        </w:rPr>
      </w:pPr>
      <w:bookmarkStart w:id="1107" w:name="_Hlk67600494"/>
      <w:r w:rsidRPr="00C00255">
        <w:rPr>
          <w:iCs/>
        </w:rPr>
        <w:t xml:space="preserve">Vadovaujantis BK 63 straipsnio 1, 2 dalimis, 5 dalies 1 punktu, šiuo nuosprendžiu paskirtas bausmes ir Vilniaus apygardos teismo 2019 m. kovo 27 d. nuosprendžiu pagal BK 103 straipsnio 1 dalį paskirtą bausmę subendrinti apėmimo būdu ir </w:t>
      </w:r>
      <w:r>
        <w:rPr>
          <w:iCs/>
        </w:rPr>
        <w:t>V. K. 1</w:t>
      </w:r>
      <w:r w:rsidRPr="00C00255">
        <w:rPr>
          <w:iCs/>
        </w:rPr>
        <w:t xml:space="preserve"> paskirti galutinę subendrintą bausmę – laisvės atėmimą 15 (penkiolikai) metų.</w:t>
      </w:r>
    </w:p>
    <w:p w:rsidR="00DA38E9" w:rsidRPr="00C00255" w:rsidRDefault="00DA38E9" w:rsidP="00DA38E9">
      <w:pPr>
        <w:ind w:firstLine="993"/>
        <w:rPr>
          <w:iCs/>
        </w:rPr>
      </w:pPr>
      <w:bookmarkStart w:id="1108" w:name="_Hlk67600530"/>
      <w:bookmarkEnd w:id="1107"/>
      <w:r w:rsidRPr="00307154">
        <w:rPr>
          <w:b/>
        </w:rPr>
        <w:t>G. I.</w:t>
      </w:r>
      <w:bookmarkEnd w:id="1108"/>
      <w:r w:rsidR="00307154" w:rsidRPr="00307154">
        <w:t> </w:t>
      </w:r>
      <w:r w:rsidRPr="00307154">
        <w:t>pagal BK 100 straipsnį, pritaikius BK 54 straipsnio 3 dalį, paskirtą 3 (trejų) metų laisvės atėmimo bausmę, panaikinus BK 54 straipsnio 3 dalies taikymą, padidinti iki laisvės atėmimo 5 (penkeriems) met</w:t>
      </w:r>
      <w:r w:rsidRPr="00C00255">
        <w:rPr>
          <w:iCs/>
        </w:rPr>
        <w:t>ams</w:t>
      </w:r>
      <w:r w:rsidR="00307154">
        <w:rPr>
          <w:iCs/>
        </w:rPr>
        <w:t>.</w:t>
      </w:r>
    </w:p>
    <w:p w:rsidR="00DA38E9" w:rsidRPr="00C00255" w:rsidRDefault="00DA38E9" w:rsidP="00DA38E9">
      <w:pPr>
        <w:ind w:firstLine="993"/>
        <w:rPr>
          <w:iCs/>
        </w:rPr>
      </w:pPr>
      <w:r>
        <w:rPr>
          <w:iCs/>
        </w:rPr>
        <w:t xml:space="preserve">G. I. </w:t>
      </w:r>
      <w:r w:rsidRPr="00C00255">
        <w:rPr>
          <w:iCs/>
        </w:rPr>
        <w:t>pagal BK 101 straipsnį, pritaikius BK 54 straipsnio 3 dalį, paskirtą 4 (ketverių) metų laisvės atėmimo bausmę, taikant BK 54 straipsnio 3 dalį, padidinti iki laisvės atėmimo 5 (penkeriems) metams.</w:t>
      </w:r>
    </w:p>
    <w:p w:rsidR="00DA38E9" w:rsidRPr="00C00255" w:rsidRDefault="00DA38E9" w:rsidP="00DA38E9">
      <w:pPr>
        <w:ind w:firstLine="993"/>
        <w:rPr>
          <w:iCs/>
        </w:rPr>
      </w:pPr>
      <w:r>
        <w:rPr>
          <w:iCs/>
        </w:rPr>
        <w:t xml:space="preserve">G. I. </w:t>
      </w:r>
      <w:r w:rsidRPr="00C00255">
        <w:rPr>
          <w:iCs/>
        </w:rPr>
        <w:t xml:space="preserve">pagal BK 111 straipsnio 1 dalį, pritaikius BK 54 straipsnio 3 dalį, paskirtą 3 (trejų) metų laisvės atėmimo bausmę, panaikinus BK 54 straipsnio 3 dalies taikymą, padidinti iki laisvės atėmimo 5 (penkeriems) metams. </w:t>
      </w:r>
    </w:p>
    <w:p w:rsidR="00DA38E9" w:rsidRPr="00C00255" w:rsidRDefault="00DA38E9" w:rsidP="00DA38E9">
      <w:pPr>
        <w:ind w:firstLine="993"/>
        <w:rPr>
          <w:iCs/>
        </w:rPr>
      </w:pPr>
      <w:r w:rsidRPr="00C00255">
        <w:rPr>
          <w:iCs/>
        </w:rPr>
        <w:t xml:space="preserve">Vadovaujantis BK 63 straipsnio 1, 2 dalimis, 5 dalies 1 punktu, šiuo nuosprendžiu paskirtas bausmes ir Vilniaus apygardos teismo 2019 m. kovo 27 d. nuosprendžiu pagal BK 103 straipsnio 1 dalį ir BK 112 straipsnį paskirtas bausmes subendrinti apėmimo būdu ir </w:t>
      </w:r>
      <w:r>
        <w:rPr>
          <w:iCs/>
        </w:rPr>
        <w:t xml:space="preserve">G. I. </w:t>
      </w:r>
      <w:r w:rsidRPr="00C00255">
        <w:rPr>
          <w:iCs/>
        </w:rPr>
        <w:t>paskirti galutinę subendrintą bausmę – laisvės atėmimą 5 (penkeriems) metams.</w:t>
      </w:r>
    </w:p>
    <w:p w:rsidR="00DA38E9" w:rsidRDefault="00DA38E9" w:rsidP="00DA38E9">
      <w:pPr>
        <w:ind w:firstLine="993"/>
        <w:rPr>
          <w:iCs/>
        </w:rPr>
      </w:pPr>
      <w:bookmarkStart w:id="1109" w:name="_Hlk67600902"/>
    </w:p>
    <w:p w:rsidR="00DA38E9" w:rsidRPr="00C00255" w:rsidRDefault="00DA38E9" w:rsidP="00DA38E9">
      <w:pPr>
        <w:ind w:firstLine="993"/>
        <w:rPr>
          <w:iCs/>
        </w:rPr>
      </w:pPr>
      <w:r>
        <w:rPr>
          <w:b/>
          <w:bCs/>
          <w:iCs/>
        </w:rPr>
        <w:t>J. M.</w:t>
      </w:r>
      <w:bookmarkEnd w:id="1109"/>
      <w:r w:rsidR="00307154">
        <w:rPr>
          <w:iCs/>
        </w:rPr>
        <w:t> </w:t>
      </w:r>
      <w:r w:rsidRPr="00307154">
        <w:t>pagal BK 101 straipsnį, pritaikius BK 54 straipsnio 3 dalį, paskirtą 7 (septynerių) metų laisvės atėmimo bausmę, panaikinus BK 54 straipsnio 3 dalies taikymą, padidinti iki laisvės atėmimo 10 (dešimčiai) metų.</w:t>
      </w:r>
      <w:r w:rsidRPr="00C00255">
        <w:rPr>
          <w:iCs/>
        </w:rPr>
        <w:t xml:space="preserve"> </w:t>
      </w:r>
    </w:p>
    <w:p w:rsidR="00DA38E9" w:rsidRPr="00C00255" w:rsidRDefault="00DA38E9" w:rsidP="00DA38E9">
      <w:pPr>
        <w:ind w:firstLine="993"/>
        <w:rPr>
          <w:iCs/>
        </w:rPr>
      </w:pPr>
      <w:r w:rsidRPr="00C00255">
        <w:rPr>
          <w:iCs/>
        </w:rPr>
        <w:t>Vadovaujantis BK 63 straipsnio 1, 2 dalimis, 5 dalies 1 punktu, šiuo nuosprendžiu paskirtą bausmę ir Vilniaus apygardos teismo 2019 m. kovo 27 d. nuosprendžiu pagal BK 100 straipsnį, BK 103</w:t>
      </w:r>
      <w:r>
        <w:rPr>
          <w:iCs/>
        </w:rPr>
        <w:t> </w:t>
      </w:r>
      <w:r w:rsidRPr="00C00255">
        <w:rPr>
          <w:iCs/>
        </w:rPr>
        <w:t xml:space="preserve">straipsnio 1 dalį, BK 111 straipsnio 1 dalį ir BK 112 straipsnį paskirtas bausmes subendrinti apėmimo būdu ir </w:t>
      </w:r>
      <w:r>
        <w:rPr>
          <w:iCs/>
        </w:rPr>
        <w:t>J. M.</w:t>
      </w:r>
      <w:r w:rsidRPr="00C00255">
        <w:rPr>
          <w:iCs/>
        </w:rPr>
        <w:t xml:space="preserve"> paskirti galutinę subendrintą bausmę – laisvės atėmimą 10 (dešimčiai) metų.</w:t>
      </w:r>
    </w:p>
    <w:p w:rsidR="00DA38E9" w:rsidRPr="00C00255" w:rsidRDefault="00DA38E9" w:rsidP="00DA38E9">
      <w:pPr>
        <w:spacing w:after="120"/>
        <w:ind w:firstLine="993"/>
        <w:rPr>
          <w:iCs/>
        </w:rPr>
      </w:pPr>
      <w:r w:rsidRPr="00C00255">
        <w:rPr>
          <w:iCs/>
        </w:rPr>
        <w:t xml:space="preserve">Vadovaujantis BK 66 straipsnio 1 dalimi, į </w:t>
      </w:r>
      <w:r>
        <w:rPr>
          <w:iCs/>
        </w:rPr>
        <w:t>J. M.</w:t>
      </w:r>
      <w:r w:rsidRPr="00C00255">
        <w:rPr>
          <w:iCs/>
        </w:rPr>
        <w:t xml:space="preserve"> paskirtos laisvės atėmimo bausmės laiką įskaityti laikino sulaikymo, suėmimo ir Vilniaus apygardos teismo 2019 m. kovo 27 d. nuosprendžiu paskirtos laisvės atėmimo bausmės atliktą laiką, t. y. laiką nuo 2014 m. kovo 12 d. iki 2021</w:t>
      </w:r>
      <w:r>
        <w:rPr>
          <w:iCs/>
        </w:rPr>
        <w:t> </w:t>
      </w:r>
      <w:r w:rsidRPr="00C00255">
        <w:rPr>
          <w:iCs/>
        </w:rPr>
        <w:t>m. kovo 12 d., taip pat suėmimo laiką nuo 2021 m. kovo 12 d. iki šio nuosprendžio įsiteisėjimo dienos.</w:t>
      </w:r>
    </w:p>
    <w:p w:rsidR="00DA38E9" w:rsidRPr="00C00255" w:rsidRDefault="00DA38E9" w:rsidP="00DA38E9">
      <w:pPr>
        <w:ind w:firstLine="993"/>
        <w:rPr>
          <w:iCs/>
        </w:rPr>
      </w:pPr>
      <w:r>
        <w:rPr>
          <w:b/>
        </w:rPr>
        <w:t>A. F. 2</w:t>
      </w:r>
      <w:r w:rsidRPr="00C00255">
        <w:t xml:space="preserve"> </w:t>
      </w:r>
      <w:r w:rsidRPr="00C00255">
        <w:rPr>
          <w:iCs/>
        </w:rPr>
        <w:t>pagal BK 101 straipsnį, pritaikius BK 54 straipsnio 3 dalį, paskirtą 6 (šešerių) metų laisvės atėmimo bausmę, panaikinus BK 54 straipsnio 3 dalies taikymą, p</w:t>
      </w:r>
      <w:r w:rsidR="00307154">
        <w:rPr>
          <w:iCs/>
        </w:rPr>
        <w:t>adidinti iki laisvės atėmimo 10 </w:t>
      </w:r>
      <w:r w:rsidRPr="00C00255">
        <w:rPr>
          <w:iCs/>
        </w:rPr>
        <w:t>(dešimčiai) metų.</w:t>
      </w:r>
    </w:p>
    <w:p w:rsidR="00DA38E9" w:rsidRPr="00C00255" w:rsidRDefault="00DA38E9" w:rsidP="00DA38E9">
      <w:pPr>
        <w:spacing w:after="120"/>
        <w:ind w:firstLine="993"/>
        <w:rPr>
          <w:iCs/>
        </w:rPr>
      </w:pPr>
      <w:r w:rsidRPr="00C00255">
        <w:rPr>
          <w:iCs/>
        </w:rPr>
        <w:t>Vadovaujantis BK 63 straipsnio 1, 2 dalimis, 5 dalies 1 punktu, šiuo nuosprendžiu paskirtą bausmę ir Vilniaus apygardos teismo 2019 m. kovo 27 d. nuosprendžiu pagal BK 100 straipsnį, BK 103</w:t>
      </w:r>
      <w:r>
        <w:rPr>
          <w:iCs/>
        </w:rPr>
        <w:t> </w:t>
      </w:r>
      <w:r w:rsidRPr="00C00255">
        <w:rPr>
          <w:iCs/>
        </w:rPr>
        <w:t xml:space="preserve">straipsnio 1 dalį, BK 111 straipsnio 1 dalį ir BK 112 straipsnį paskirtas bausmes subendrinti apėmimo būdu ir </w:t>
      </w:r>
      <w:r>
        <w:rPr>
          <w:iCs/>
        </w:rPr>
        <w:t>A. F. 2</w:t>
      </w:r>
      <w:r w:rsidRPr="00C00255">
        <w:rPr>
          <w:iCs/>
        </w:rPr>
        <w:t xml:space="preserve"> paskirti galutinę subendrintą bausmę </w:t>
      </w:r>
      <w:bookmarkStart w:id="1110" w:name="_Hlk67931770"/>
      <w:r w:rsidRPr="00C00255">
        <w:rPr>
          <w:iCs/>
        </w:rPr>
        <w:t>–</w:t>
      </w:r>
      <w:bookmarkEnd w:id="1110"/>
      <w:r w:rsidRPr="00C00255">
        <w:rPr>
          <w:iCs/>
        </w:rPr>
        <w:t xml:space="preserve"> laisvės atėmimą 10 (dešimčiai) metų.</w:t>
      </w:r>
    </w:p>
    <w:p w:rsidR="00DA38E9" w:rsidRPr="00C00255" w:rsidRDefault="00DA38E9" w:rsidP="00DA38E9">
      <w:pPr>
        <w:ind w:firstLine="993"/>
        <w:rPr>
          <w:iCs/>
        </w:rPr>
      </w:pPr>
      <w:bookmarkStart w:id="1111" w:name="_Hlk67604091"/>
      <w:bookmarkStart w:id="1112" w:name="_Hlk67592937"/>
      <w:r>
        <w:rPr>
          <w:b/>
        </w:rPr>
        <w:t>R. J. 2</w:t>
      </w:r>
      <w:r w:rsidRPr="00C00255">
        <w:rPr>
          <w:color w:val="0070C0"/>
        </w:rPr>
        <w:t xml:space="preserve"> </w:t>
      </w:r>
      <w:bookmarkEnd w:id="1111"/>
      <w:r w:rsidRPr="00C00255">
        <w:rPr>
          <w:iCs/>
        </w:rPr>
        <w:t>pagal BK 101 straipsnį, pritaikius BK 54 straipsnio 3 dalį, paskirtą 6 (šešerių) metų laisvės atėmimo bausmę, panaikinus BK 54 straipsnio 3 dalies taikymą, p</w:t>
      </w:r>
      <w:r w:rsidR="00307154">
        <w:rPr>
          <w:iCs/>
        </w:rPr>
        <w:t>adidinti iki laisvės atėmimo 10 </w:t>
      </w:r>
      <w:r w:rsidRPr="00C00255">
        <w:rPr>
          <w:iCs/>
        </w:rPr>
        <w:t>(dešimčiai) metų.</w:t>
      </w:r>
    </w:p>
    <w:p w:rsidR="00DA38E9" w:rsidRPr="00C00255" w:rsidRDefault="00DA38E9" w:rsidP="00DA38E9">
      <w:pPr>
        <w:spacing w:after="120"/>
        <w:ind w:firstLine="993"/>
        <w:rPr>
          <w:iCs/>
        </w:rPr>
      </w:pPr>
      <w:bookmarkStart w:id="1113" w:name="_Hlk67604254"/>
      <w:bookmarkEnd w:id="1112"/>
      <w:r w:rsidRPr="00C00255">
        <w:rPr>
          <w:iCs/>
        </w:rPr>
        <w:t>Vadovaujantis BK 63 straipsnio 1, 2 dalimis, 5 dalies 1 punktu, šiuo nuosprendžiu paskirtą bausmę ir Vilniaus apygardos teismo 2019 m. kovo 27 d. nuosprendžiu pagal BK 100 straipsnį, BK 103</w:t>
      </w:r>
      <w:r>
        <w:rPr>
          <w:iCs/>
        </w:rPr>
        <w:t> </w:t>
      </w:r>
      <w:r w:rsidRPr="00C00255">
        <w:rPr>
          <w:iCs/>
        </w:rPr>
        <w:t xml:space="preserve">straipsnio 1 dalį, BK 111 straipsnio 1 dalį ir BK 112 straipsnį paskirtas bausmes subendrinti apėmimo būdu ir </w:t>
      </w:r>
      <w:r>
        <w:rPr>
          <w:iCs/>
        </w:rPr>
        <w:t>R. J. 2</w:t>
      </w:r>
      <w:r w:rsidRPr="00C00255">
        <w:rPr>
          <w:iCs/>
        </w:rPr>
        <w:t xml:space="preserve"> paskirti galutinę subendrintą bausmę – laisvės atėmimą 10 (dešimčiai) metų.</w:t>
      </w:r>
    </w:p>
    <w:p w:rsidR="00DA38E9" w:rsidRPr="00307154" w:rsidRDefault="00DA38E9" w:rsidP="00DA38E9">
      <w:pPr>
        <w:ind w:firstLine="993"/>
        <w:rPr>
          <w:iCs/>
        </w:rPr>
      </w:pPr>
      <w:bookmarkStart w:id="1114" w:name="_Hlk67604264"/>
      <w:bookmarkEnd w:id="1113"/>
      <w:r>
        <w:rPr>
          <w:b/>
        </w:rPr>
        <w:t>J. J.</w:t>
      </w:r>
      <w:bookmarkEnd w:id="1114"/>
      <w:r w:rsidR="00307154" w:rsidRPr="00307154">
        <w:t> </w:t>
      </w:r>
      <w:r w:rsidRPr="00307154">
        <w:rPr>
          <w:iCs/>
        </w:rPr>
        <w:t>pagal BK 101 straipsnį, pritaikius BK 54 straipsnio 3 dalį, paskirtą 6 (šešerių) metų laisvės atėmimo bausmę, panaikinus BK 54 straipsnio 3 dalies taikymą, p</w:t>
      </w:r>
      <w:r w:rsidR="00307154">
        <w:rPr>
          <w:iCs/>
        </w:rPr>
        <w:t>adidinti iki laisvės atėmimo 10 </w:t>
      </w:r>
      <w:r w:rsidRPr="00307154">
        <w:rPr>
          <w:iCs/>
        </w:rPr>
        <w:t xml:space="preserve">(dešimčiai) metų. </w:t>
      </w:r>
    </w:p>
    <w:p w:rsidR="00DA38E9" w:rsidRPr="00C00255" w:rsidRDefault="00DA38E9" w:rsidP="00DA38E9">
      <w:pPr>
        <w:pStyle w:val="Standard"/>
        <w:spacing w:after="120"/>
        <w:ind w:right="51" w:firstLine="993"/>
        <w:jc w:val="both"/>
        <w:rPr>
          <w:rFonts w:eastAsia="Times New Roman" w:cs="Times New Roman"/>
          <w:iCs/>
          <w:kern w:val="0"/>
          <w:lang w:eastAsia="lt-LT" w:bidi="ar-SA"/>
        </w:rPr>
      </w:pPr>
      <w:r w:rsidRPr="00C00255">
        <w:rPr>
          <w:rFonts w:eastAsia="Times New Roman" w:cs="Times New Roman"/>
          <w:iCs/>
          <w:kern w:val="0"/>
          <w:lang w:eastAsia="lt-LT" w:bidi="ar-SA"/>
        </w:rPr>
        <w:t>Vadovaujantis BK 63 straipsnio 1, 2 dalimis, 5 dalies 1 punktu, šiuo nuosprendžiu paskirtą bausmę ir Vilniaus apygardos teismo 2019 m. kovo 27 d. nuosprendžiu pagal BK 100 straipsnį, BK 103</w:t>
      </w:r>
      <w:r>
        <w:rPr>
          <w:rFonts w:eastAsia="Times New Roman" w:cs="Times New Roman"/>
          <w:iCs/>
          <w:kern w:val="0"/>
          <w:lang w:eastAsia="lt-LT" w:bidi="ar-SA"/>
        </w:rPr>
        <w:t> </w:t>
      </w:r>
      <w:r w:rsidRPr="00C00255">
        <w:rPr>
          <w:rFonts w:eastAsia="Times New Roman" w:cs="Times New Roman"/>
          <w:iCs/>
          <w:kern w:val="0"/>
          <w:lang w:eastAsia="lt-LT" w:bidi="ar-SA"/>
        </w:rPr>
        <w:t xml:space="preserve">straipsnio 1 dalį, BK 111 straipsnio 1 dalį ir BK 112 straipsnį paskirtas bausmes subendrinti apėmimo būdu ir </w:t>
      </w:r>
      <w:r>
        <w:rPr>
          <w:rFonts w:eastAsia="Times New Roman" w:cs="Times New Roman"/>
          <w:iCs/>
          <w:kern w:val="0"/>
          <w:lang w:eastAsia="lt-LT" w:bidi="ar-SA"/>
        </w:rPr>
        <w:t>J. J.</w:t>
      </w:r>
      <w:r w:rsidRPr="00C00255">
        <w:rPr>
          <w:rFonts w:eastAsia="Times New Roman" w:cs="Times New Roman"/>
          <w:iCs/>
          <w:kern w:val="0"/>
          <w:lang w:eastAsia="lt-LT" w:bidi="ar-SA"/>
        </w:rPr>
        <w:t xml:space="preserve"> paskirti galutinę subendrintą bausmę – laisvės atėmimą 10 (dešimčiai) metų.</w:t>
      </w:r>
    </w:p>
    <w:p w:rsidR="00DA38E9" w:rsidRPr="00307154" w:rsidRDefault="00DA38E9" w:rsidP="00DA38E9">
      <w:pPr>
        <w:ind w:firstLine="993"/>
      </w:pPr>
      <w:bookmarkStart w:id="1115" w:name="_Hlk67596846"/>
      <w:bookmarkEnd w:id="1099"/>
      <w:r>
        <w:rPr>
          <w:b/>
          <w:bCs/>
          <w:iCs/>
        </w:rPr>
        <w:t>A. I.</w:t>
      </w:r>
      <w:bookmarkEnd w:id="1115"/>
      <w:r w:rsidR="00307154">
        <w:rPr>
          <w:iCs/>
        </w:rPr>
        <w:t> </w:t>
      </w:r>
      <w:r w:rsidRPr="00307154">
        <w:t>pagal BK 100 straipsnį, pritaikius BK 54 straipsnio 3 dalį, paskirtą 3 (trejų) metų laisvės atėmimo bausmę, panaikinus BK 54 straipsnio 3 dalies taikymą, padidinti iki laisvės atėmimo 5 (penkeriems) metams.</w:t>
      </w:r>
    </w:p>
    <w:p w:rsidR="00DA38E9" w:rsidRPr="00C00255" w:rsidRDefault="00DA38E9" w:rsidP="00DA38E9">
      <w:pPr>
        <w:ind w:firstLine="993"/>
        <w:rPr>
          <w:iCs/>
        </w:rPr>
      </w:pPr>
      <w:r>
        <w:rPr>
          <w:iCs/>
        </w:rPr>
        <w:t>A. I.</w:t>
      </w:r>
      <w:r w:rsidRPr="00C00255">
        <w:rPr>
          <w:iCs/>
        </w:rPr>
        <w:t xml:space="preserve"> pagal BK 101 straipsnį, pritaikius BK 54 straipsnio 3 dalį, paskirtą 4 (ketverių) metų laisvės atėmimo bausmę, panaikinus BK 54 straipsnio 3 dalies taikymą, padidinti iki laisvės atėmi</w:t>
      </w:r>
      <w:r w:rsidR="00307154">
        <w:rPr>
          <w:iCs/>
        </w:rPr>
        <w:t>mo 10 </w:t>
      </w:r>
      <w:r w:rsidRPr="00C00255">
        <w:rPr>
          <w:iCs/>
        </w:rPr>
        <w:t>(dešimčiai) metų.</w:t>
      </w:r>
    </w:p>
    <w:p w:rsidR="00DA38E9" w:rsidRPr="00C00255" w:rsidRDefault="00DA38E9" w:rsidP="00DA38E9">
      <w:pPr>
        <w:ind w:firstLine="993"/>
        <w:rPr>
          <w:iCs/>
        </w:rPr>
      </w:pPr>
      <w:r>
        <w:rPr>
          <w:iCs/>
        </w:rPr>
        <w:t>A. I.</w:t>
      </w:r>
      <w:r w:rsidRPr="00C00255">
        <w:rPr>
          <w:iCs/>
        </w:rPr>
        <w:t xml:space="preserve"> pagal BK 111 straipsnio 1 dalį, pritaikius BK 54 straipsnio 3 dalį, paskirtą 3 (trejų) metų laisvės atėmimo bausmę, panaikinus BK 54 straipsnio 3 dalies taikymą, </w:t>
      </w:r>
      <w:r w:rsidR="00307154">
        <w:rPr>
          <w:iCs/>
        </w:rPr>
        <w:t>padidinti iki laisvės atėmimo 5 </w:t>
      </w:r>
      <w:r w:rsidRPr="00C00255">
        <w:rPr>
          <w:iCs/>
        </w:rPr>
        <w:t xml:space="preserve">(penkeriems) metams. </w:t>
      </w:r>
    </w:p>
    <w:p w:rsidR="00DA38E9" w:rsidRPr="00C00255" w:rsidRDefault="00DA38E9" w:rsidP="00DA38E9">
      <w:pPr>
        <w:spacing w:after="120"/>
        <w:ind w:firstLine="993"/>
        <w:rPr>
          <w:iCs/>
        </w:rPr>
      </w:pPr>
      <w:bookmarkStart w:id="1116" w:name="_Hlk67604477"/>
      <w:r w:rsidRPr="00C00255">
        <w:rPr>
          <w:iCs/>
        </w:rPr>
        <w:t xml:space="preserve">Vadovaujantis BK 63 straipsnio 1, 2 dalimis, 5 dalies 1 punktu, šiuo nuosprendžiu paskirtas bausmes ir Vilniaus apygardos teismo 2019 m. kovo 27 d. nuosprendžiu pagal BK 103 straipsnio 1 dalį ir BK 112 straipsnį paskirtas bausmes subendrinti apėmimo būdu ir </w:t>
      </w:r>
      <w:r>
        <w:rPr>
          <w:iCs/>
        </w:rPr>
        <w:t>A. I.</w:t>
      </w:r>
      <w:r w:rsidRPr="00C00255">
        <w:rPr>
          <w:iCs/>
        </w:rPr>
        <w:t xml:space="preserve"> paskirti galutinę subendrintą bausmę – laisvės atėmimą 10 (dešimčiai) metų.</w:t>
      </w:r>
    </w:p>
    <w:p w:rsidR="00DA38E9" w:rsidRPr="00C00255" w:rsidRDefault="00DA38E9" w:rsidP="00DA38E9">
      <w:pPr>
        <w:ind w:firstLine="993"/>
        <w:rPr>
          <w:iCs/>
        </w:rPr>
      </w:pPr>
      <w:bookmarkStart w:id="1117" w:name="_Hlk67604500"/>
      <w:bookmarkEnd w:id="1116"/>
      <w:r>
        <w:rPr>
          <w:b/>
          <w:bCs/>
          <w:iCs/>
        </w:rPr>
        <w:t>A. C.</w:t>
      </w:r>
      <w:bookmarkEnd w:id="1117"/>
      <w:r w:rsidR="00307154">
        <w:rPr>
          <w:iCs/>
        </w:rPr>
        <w:t> </w:t>
      </w:r>
      <w:r w:rsidRPr="00307154">
        <w:t xml:space="preserve">pagal BK 100 straipsnį, pritaikius BK 54 straipsnio 3 dalį, paskirtą 3 (trejų) metų laisvės atėmimo bausmę, panaikinus BK 54 straipsnio 3 dalies taikymą, padidinti iki laisvės </w:t>
      </w:r>
      <w:r w:rsidR="00307154" w:rsidRPr="00307154">
        <w:t>atėmimo 5 </w:t>
      </w:r>
      <w:r w:rsidRPr="00307154">
        <w:t>(penkeriems) metams.</w:t>
      </w:r>
    </w:p>
    <w:p w:rsidR="00DA38E9" w:rsidRPr="00C00255" w:rsidRDefault="00DA38E9" w:rsidP="00DA38E9">
      <w:pPr>
        <w:ind w:firstLine="993"/>
        <w:rPr>
          <w:iCs/>
        </w:rPr>
      </w:pPr>
      <w:r>
        <w:rPr>
          <w:iCs/>
        </w:rPr>
        <w:t>A. C.</w:t>
      </w:r>
      <w:r w:rsidRPr="00C00255">
        <w:rPr>
          <w:iCs/>
        </w:rPr>
        <w:t xml:space="preserve"> pagal BK 101 straipsnį, pritaikius BK 54 straipsnio 3 dalį, paskirtą 4 (ketverių) metų laisvės atėmimo bausmę, panaikinus BK 54 straipsnio 3 dalies taikymą, p</w:t>
      </w:r>
      <w:r w:rsidR="00307154">
        <w:rPr>
          <w:iCs/>
        </w:rPr>
        <w:t>adidinti iki laisvės atėmimo 10 </w:t>
      </w:r>
      <w:r w:rsidRPr="00C00255">
        <w:rPr>
          <w:iCs/>
        </w:rPr>
        <w:t>(dešimčiai) metų.</w:t>
      </w:r>
    </w:p>
    <w:p w:rsidR="00DA38E9" w:rsidRPr="00C00255" w:rsidRDefault="00DA38E9" w:rsidP="00DA38E9">
      <w:pPr>
        <w:ind w:firstLine="993"/>
        <w:rPr>
          <w:iCs/>
        </w:rPr>
      </w:pPr>
      <w:r>
        <w:rPr>
          <w:iCs/>
        </w:rPr>
        <w:t>A. C.</w:t>
      </w:r>
      <w:r w:rsidRPr="00C00255">
        <w:rPr>
          <w:iCs/>
        </w:rPr>
        <w:t xml:space="preserve"> pagal BK 111 straipsnio 1 dalį, pritaikius BK 54 straipsnio 3 dalį, paskirtą 3 (trejų) metų laisvės atėmimo bausmę, panaikinus BK 54 straipsnio 3 dalies taikymą, </w:t>
      </w:r>
      <w:r w:rsidR="00307154">
        <w:rPr>
          <w:iCs/>
        </w:rPr>
        <w:t>padidinti iki laisvės atėmimo 5 </w:t>
      </w:r>
      <w:r w:rsidRPr="00C00255">
        <w:rPr>
          <w:iCs/>
        </w:rPr>
        <w:t xml:space="preserve">(penkeriems) metams. </w:t>
      </w:r>
    </w:p>
    <w:p w:rsidR="00DA38E9" w:rsidRPr="00C00255" w:rsidRDefault="00DA38E9" w:rsidP="00DA38E9">
      <w:pPr>
        <w:spacing w:after="120"/>
        <w:ind w:firstLine="993"/>
        <w:rPr>
          <w:iCs/>
        </w:rPr>
      </w:pPr>
      <w:bookmarkStart w:id="1118" w:name="_Hlk67604646"/>
      <w:r w:rsidRPr="00C00255">
        <w:rPr>
          <w:iCs/>
        </w:rPr>
        <w:t xml:space="preserve">Vadovaujantis BK 63 straipsnio 1, 2 dalimis, 5 dalies 1 punktu, šiuo nuosprendžiu paskirtas bausmes ir Vilniaus apygardos teismo 2019 m. kovo 27 d. nuosprendžiu pagal BK 103 straipsnio 1 dalį ir BK 112 straipsnį paskirtas bausmes subendrinti apėmimo būdu ir </w:t>
      </w:r>
      <w:r>
        <w:rPr>
          <w:iCs/>
        </w:rPr>
        <w:t>A. C.</w:t>
      </w:r>
      <w:r w:rsidRPr="00C00255">
        <w:rPr>
          <w:iCs/>
        </w:rPr>
        <w:t xml:space="preserve"> paskirti galutinę subendrintą bausmę – laisvės atėmimą </w:t>
      </w:r>
      <w:bookmarkEnd w:id="1118"/>
      <w:r w:rsidRPr="00C00255">
        <w:rPr>
          <w:iCs/>
        </w:rPr>
        <w:t>10 (dešimčiai) metų.</w:t>
      </w:r>
    </w:p>
    <w:p w:rsidR="00DA38E9" w:rsidRPr="00C00255" w:rsidRDefault="00DA38E9" w:rsidP="00DA38E9">
      <w:pPr>
        <w:ind w:firstLine="993"/>
        <w:rPr>
          <w:iCs/>
        </w:rPr>
      </w:pPr>
      <w:bookmarkStart w:id="1119" w:name="_Hlk67604691"/>
      <w:r w:rsidRPr="00C00255">
        <w:rPr>
          <w:b/>
          <w:bCs/>
          <w:iCs/>
        </w:rPr>
        <w:t>S</w:t>
      </w:r>
      <w:r>
        <w:rPr>
          <w:b/>
          <w:bCs/>
          <w:iCs/>
        </w:rPr>
        <w:t>. </w:t>
      </w:r>
      <w:r w:rsidRPr="00C00255">
        <w:rPr>
          <w:b/>
          <w:bCs/>
          <w:iCs/>
        </w:rPr>
        <w:t>F</w:t>
      </w:r>
      <w:r>
        <w:rPr>
          <w:b/>
          <w:bCs/>
          <w:iCs/>
        </w:rPr>
        <w:t>.</w:t>
      </w:r>
      <w:r w:rsidRPr="00C00255">
        <w:rPr>
          <w:iCs/>
        </w:rPr>
        <w:t xml:space="preserve"> </w:t>
      </w:r>
      <w:bookmarkEnd w:id="1119"/>
      <w:r w:rsidRPr="00C00255">
        <w:rPr>
          <w:iCs/>
        </w:rPr>
        <w:t xml:space="preserve">pagal BK 101 straipsnį paskirtą 10 (dešimties) metų laisvės atėmimo bausmę padidinti iki laisvės atėmimo 12 (dvylikai) metų. </w:t>
      </w:r>
    </w:p>
    <w:p w:rsidR="00DA38E9" w:rsidRPr="00C00255" w:rsidRDefault="00DA38E9" w:rsidP="00DA38E9">
      <w:pPr>
        <w:spacing w:after="120"/>
        <w:ind w:firstLine="993"/>
        <w:rPr>
          <w:iCs/>
        </w:rPr>
      </w:pPr>
      <w:bookmarkStart w:id="1120" w:name="_Hlk67604854"/>
      <w:r w:rsidRPr="00C00255">
        <w:rPr>
          <w:iCs/>
        </w:rPr>
        <w:t>Vadovaujantis BK 63 straipsnio 1, 2 dalimis, 5 dalies 1 punktu, šiuo nuosprendžiu paskirtą bausmę ir Vilniaus apygardos teismo 2019 m. kovo 27 d. nuosprendžiu pagal BK 100 straipsnį, BK 103</w:t>
      </w:r>
      <w:r>
        <w:rPr>
          <w:iCs/>
        </w:rPr>
        <w:t> </w:t>
      </w:r>
      <w:r w:rsidRPr="00C00255">
        <w:rPr>
          <w:iCs/>
        </w:rPr>
        <w:t>straipsnio 1 dalį, BK 111 straipsnio 1 dalį ir BK 112 straipsnį paskirtas bausmes subendrinti apėmimo būdu ir S</w:t>
      </w:r>
      <w:r>
        <w:rPr>
          <w:iCs/>
        </w:rPr>
        <w:t>. </w:t>
      </w:r>
      <w:r w:rsidRPr="00C00255">
        <w:rPr>
          <w:iCs/>
        </w:rPr>
        <w:t>F</w:t>
      </w:r>
      <w:r>
        <w:rPr>
          <w:iCs/>
        </w:rPr>
        <w:t>.</w:t>
      </w:r>
      <w:r w:rsidRPr="00C00255">
        <w:rPr>
          <w:iCs/>
        </w:rPr>
        <w:t xml:space="preserve"> paskirti galutinę subendrintą bausmę – laisvės atėmimą 12 (dvylikai) metų.</w:t>
      </w:r>
    </w:p>
    <w:p w:rsidR="00DA38E9" w:rsidRPr="00C00255" w:rsidRDefault="00DA38E9" w:rsidP="00DA38E9">
      <w:pPr>
        <w:ind w:firstLine="993"/>
        <w:rPr>
          <w:iCs/>
        </w:rPr>
      </w:pPr>
      <w:bookmarkStart w:id="1121" w:name="_Hlk67604862"/>
      <w:bookmarkEnd w:id="1120"/>
      <w:r>
        <w:rPr>
          <w:b/>
        </w:rPr>
        <w:t>V. M.</w:t>
      </w:r>
      <w:bookmarkEnd w:id="1121"/>
      <w:r w:rsidR="00307154" w:rsidRPr="00307154">
        <w:t> </w:t>
      </w:r>
      <w:r w:rsidRPr="00307154">
        <w:t>pagal BK 101 straipsnį, pritaikius BK 54 straipsnio 3 dalį, paskirtą 8 (aštuonerių) metų laisvės atėmimo bausmę, panaikinus BK 54 straipsnio 3 dalies taikymą, p</w:t>
      </w:r>
      <w:r w:rsidR="00307154">
        <w:t>adidinti iki laisvės atėmimo 10 </w:t>
      </w:r>
      <w:r w:rsidRPr="00307154">
        <w:t>(dešimčiai) metų.</w:t>
      </w:r>
    </w:p>
    <w:p w:rsidR="00DA38E9" w:rsidRPr="00C00255" w:rsidRDefault="00DA38E9" w:rsidP="00DA38E9">
      <w:pPr>
        <w:spacing w:after="120"/>
        <w:ind w:firstLine="993"/>
        <w:rPr>
          <w:iCs/>
        </w:rPr>
      </w:pPr>
      <w:r w:rsidRPr="00C00255">
        <w:rPr>
          <w:iCs/>
        </w:rPr>
        <w:t>Vadovaujantis BK 63 straipsnio 1, 2 dalimis, 5 dalies 1 punktu, šiuo nuosprendžiu paskirtą bausmę ir Vilniaus apygardos teismo 2019 m. kovo 27 d. nuosprendžiu pagal BK 100 straipsnį, BK 103</w:t>
      </w:r>
      <w:r>
        <w:rPr>
          <w:iCs/>
        </w:rPr>
        <w:t> </w:t>
      </w:r>
      <w:r w:rsidRPr="00C00255">
        <w:rPr>
          <w:iCs/>
        </w:rPr>
        <w:t xml:space="preserve">straipsnio 1 dalį, BK 111 straipsnio 1 dalį ir BK 112 straipsnį paskirtas bausmes subendrinti apėmimo būdu ir </w:t>
      </w:r>
      <w:r>
        <w:rPr>
          <w:iCs/>
        </w:rPr>
        <w:t>V. M.</w:t>
      </w:r>
      <w:r w:rsidRPr="00C00255">
        <w:rPr>
          <w:iCs/>
        </w:rPr>
        <w:t xml:space="preserve"> paskirti galutinę subendrintą bausmę – laisvės atėmimą 10 (dešimčiai) metų.</w:t>
      </w:r>
    </w:p>
    <w:p w:rsidR="00DA38E9" w:rsidRPr="00C00255" w:rsidRDefault="00DA38E9" w:rsidP="00DA38E9">
      <w:pPr>
        <w:ind w:firstLine="993"/>
        <w:rPr>
          <w:iCs/>
        </w:rPr>
      </w:pPr>
      <w:bookmarkStart w:id="1122" w:name="_Hlk67605026"/>
      <w:r>
        <w:rPr>
          <w:b/>
        </w:rPr>
        <w:t>G. B.</w:t>
      </w:r>
      <w:r w:rsidRPr="00C00255">
        <w:t xml:space="preserve"> </w:t>
      </w:r>
      <w:bookmarkEnd w:id="1122"/>
      <w:r w:rsidRPr="00C00255">
        <w:rPr>
          <w:iCs/>
        </w:rPr>
        <w:t>pagal BK 100 straipsnį, pritaikius BK 54 straipsnio 3 dalį, paskirtą 3 (trejų) metų laisvės atėmimo bausmę, panaikinus BK 54 straipsnio 3 dalies taikymą, padidinti iki laisvės atėmimo 6 (šešeriems) metams.</w:t>
      </w:r>
    </w:p>
    <w:p w:rsidR="00DA38E9" w:rsidRPr="00C00255" w:rsidRDefault="00DA38E9" w:rsidP="00DA38E9">
      <w:pPr>
        <w:ind w:firstLine="993"/>
        <w:rPr>
          <w:iCs/>
        </w:rPr>
      </w:pPr>
      <w:r>
        <w:rPr>
          <w:iCs/>
        </w:rPr>
        <w:t>G. B.</w:t>
      </w:r>
      <w:r w:rsidRPr="00C00255">
        <w:rPr>
          <w:iCs/>
        </w:rPr>
        <w:t xml:space="preserve"> pagal BK 101 straipsnį, pritaikius BK 54 straipsnio 3 dalį, paskirtą 4 (ketverių) metų laisvės atėmimo bausmę, panaikinus BK 54 straipsnio 3 dalies taikymą, padidinti iki laisvės atėmimo 10 (dešimčiai) metų.</w:t>
      </w:r>
    </w:p>
    <w:p w:rsidR="00DA38E9" w:rsidRPr="00C00255" w:rsidRDefault="00DA38E9" w:rsidP="00DA38E9">
      <w:pPr>
        <w:ind w:firstLine="993"/>
        <w:rPr>
          <w:iCs/>
        </w:rPr>
      </w:pPr>
      <w:r>
        <w:rPr>
          <w:iCs/>
        </w:rPr>
        <w:t>G. B.</w:t>
      </w:r>
      <w:r w:rsidRPr="00C00255">
        <w:rPr>
          <w:iCs/>
        </w:rPr>
        <w:t xml:space="preserve"> pagal BK 111 straipsnio 1 dalį, pritaikius BK 54 straipsnio 3 dalį, paskirtą 3 (trejų) metų laisvės atėmimo bausmę, panaikinus BK 54 straipsnio 3 dalies taikymą, padidinti iki laisvės atėmimo 6 (šešeriems) metams. </w:t>
      </w:r>
    </w:p>
    <w:p w:rsidR="00DA38E9" w:rsidRPr="00C00255" w:rsidRDefault="00DA38E9" w:rsidP="00DA38E9">
      <w:pPr>
        <w:spacing w:after="120"/>
        <w:ind w:firstLine="993"/>
        <w:rPr>
          <w:iCs/>
        </w:rPr>
      </w:pPr>
      <w:bookmarkStart w:id="1123" w:name="_Hlk67605591"/>
      <w:r w:rsidRPr="00C00255">
        <w:rPr>
          <w:iCs/>
        </w:rPr>
        <w:t xml:space="preserve">Vadovaujantis BK 63 straipsnio 1, 2 dalimis, 5 dalies 1 punktu, šiuo nuosprendžiu paskirtas bausmes ir Vilniaus apygardos teismo 2019 m. kovo 27 d. nuosprendžiu pagal BK 103 straipsnio 1 dalį ir BK 112 straipsnį paskirtas bausmes subendrinti apėmimo būdu ir </w:t>
      </w:r>
      <w:r>
        <w:rPr>
          <w:iCs/>
        </w:rPr>
        <w:t>G. B.</w:t>
      </w:r>
      <w:r w:rsidRPr="00C00255">
        <w:rPr>
          <w:iCs/>
        </w:rPr>
        <w:t xml:space="preserve"> paskirti galutinę subendrintą bausmę – laisvės atėmimą 10 (dešimčiai) metų.</w:t>
      </w:r>
    </w:p>
    <w:p w:rsidR="00DA38E9" w:rsidRPr="00C00255" w:rsidRDefault="00DA38E9" w:rsidP="00DA38E9">
      <w:pPr>
        <w:ind w:firstLine="993"/>
        <w:rPr>
          <w:iCs/>
        </w:rPr>
      </w:pPr>
      <w:bookmarkStart w:id="1124" w:name="_Hlk67605602"/>
      <w:bookmarkEnd w:id="1123"/>
      <w:r>
        <w:rPr>
          <w:b/>
          <w:bCs/>
          <w:iCs/>
        </w:rPr>
        <w:t>E. M.</w:t>
      </w:r>
      <w:bookmarkEnd w:id="1124"/>
      <w:r w:rsidR="00307154">
        <w:rPr>
          <w:iCs/>
        </w:rPr>
        <w:t> </w:t>
      </w:r>
      <w:r w:rsidRPr="00307154">
        <w:t>pagal BK 100 straipsnį paskirtą 10 (dešimties) metų laisvės atėmimo bausmę sumažinti iki laisvės atėmimo 6 (šešeriems) metams.</w:t>
      </w:r>
    </w:p>
    <w:p w:rsidR="00DA38E9" w:rsidRPr="00C00255" w:rsidRDefault="00DA38E9" w:rsidP="00DA38E9">
      <w:pPr>
        <w:ind w:firstLine="993"/>
        <w:rPr>
          <w:iCs/>
        </w:rPr>
      </w:pPr>
      <w:r>
        <w:rPr>
          <w:iCs/>
        </w:rPr>
        <w:t>E. M.</w:t>
      </w:r>
      <w:r w:rsidRPr="00C00255">
        <w:rPr>
          <w:iCs/>
        </w:rPr>
        <w:t xml:space="preserve"> pagal BK 101 straipsnį paskirtą 12 (dvylikos) metų laisvės atėmimo bausmę sumažinti iki laisvės atėmimo 10 (dešimčiai) metų.</w:t>
      </w:r>
    </w:p>
    <w:p w:rsidR="00DA38E9" w:rsidRPr="00C00255" w:rsidRDefault="00DA38E9" w:rsidP="00DA38E9">
      <w:pPr>
        <w:ind w:firstLine="993"/>
        <w:rPr>
          <w:iCs/>
        </w:rPr>
      </w:pPr>
      <w:r>
        <w:rPr>
          <w:iCs/>
        </w:rPr>
        <w:t>E. M.</w:t>
      </w:r>
      <w:r w:rsidRPr="00C00255">
        <w:rPr>
          <w:iCs/>
        </w:rPr>
        <w:t xml:space="preserve"> pagal BK 103 straipsnio 1 dalį paskirtą 6 (šešerių) metų laisvės atėmimo bausmę sumažinti iki laisvės atėmimo 5 (penkeriems) metams. </w:t>
      </w:r>
    </w:p>
    <w:p w:rsidR="00DA38E9" w:rsidRPr="00C00255" w:rsidRDefault="00DA38E9" w:rsidP="00DA38E9">
      <w:pPr>
        <w:spacing w:after="120"/>
        <w:ind w:firstLine="993"/>
        <w:rPr>
          <w:iCs/>
        </w:rPr>
      </w:pPr>
      <w:bookmarkStart w:id="1125" w:name="_Hlk67605802"/>
      <w:r w:rsidRPr="00C00255">
        <w:rPr>
          <w:iCs/>
        </w:rPr>
        <w:t xml:space="preserve">Vadovaujantis BK 63 straipsnio 1, 2 dalimis, 5 dalies 1 punktu, šiuo nuosprendžiu paskirtas bausmes ir Vilniaus apygardos teismo 2019 m. kovo 27 d. nuosprendžiu pagal BK 111 straipsnio 1 dalį ir BK 112 straipsnį paskirtas bausmes subendrinti apėmimo būdu ir </w:t>
      </w:r>
      <w:r>
        <w:rPr>
          <w:iCs/>
        </w:rPr>
        <w:t>E. M.</w:t>
      </w:r>
      <w:r w:rsidRPr="00C00255">
        <w:rPr>
          <w:iCs/>
        </w:rPr>
        <w:t xml:space="preserve"> paskirti galutinę subendrintą bausmę – laisvės atėmimą 10 (dešimčiai) metų.</w:t>
      </w:r>
    </w:p>
    <w:p w:rsidR="00DA38E9" w:rsidRPr="00C00255" w:rsidRDefault="00DA38E9" w:rsidP="00DA38E9">
      <w:pPr>
        <w:ind w:firstLine="993"/>
        <w:rPr>
          <w:iCs/>
        </w:rPr>
      </w:pPr>
      <w:bookmarkStart w:id="1126" w:name="_Hlk67660206"/>
      <w:bookmarkEnd w:id="1125"/>
      <w:r>
        <w:rPr>
          <w:b/>
        </w:rPr>
        <w:t>A. S.</w:t>
      </w:r>
      <w:bookmarkEnd w:id="1126"/>
      <w:r w:rsidR="00307154" w:rsidRPr="00307154">
        <w:t> </w:t>
      </w:r>
      <w:r w:rsidRPr="00307154">
        <w:t>pagal BK 100 straipsnį paskirtą 10 (dešimties) metų laisvės atėmimo bausmę sumažinti iki laisvės atėmimo 6 (šešeriems) metams.</w:t>
      </w:r>
    </w:p>
    <w:p w:rsidR="00DA38E9" w:rsidRPr="00C00255" w:rsidRDefault="00DA38E9" w:rsidP="00DA38E9">
      <w:pPr>
        <w:ind w:firstLine="993"/>
        <w:rPr>
          <w:iCs/>
        </w:rPr>
      </w:pPr>
      <w:r>
        <w:rPr>
          <w:iCs/>
        </w:rPr>
        <w:t>A. S.</w:t>
      </w:r>
      <w:r w:rsidRPr="00C00255">
        <w:rPr>
          <w:iCs/>
        </w:rPr>
        <w:t xml:space="preserve"> pagal BK 101 straipsnį paskirtą 12 (dvylikos) metų laisvės atėmimo bausmę sumažinti iki laisvės atėmimo 10 (dešimčiai) metų.</w:t>
      </w:r>
    </w:p>
    <w:p w:rsidR="00DA38E9" w:rsidRPr="00C00255" w:rsidRDefault="00DA38E9" w:rsidP="00DA38E9">
      <w:pPr>
        <w:ind w:firstLine="993"/>
        <w:rPr>
          <w:iCs/>
        </w:rPr>
      </w:pPr>
      <w:r>
        <w:rPr>
          <w:iCs/>
        </w:rPr>
        <w:t>A. S.</w:t>
      </w:r>
      <w:r w:rsidRPr="00C00255">
        <w:rPr>
          <w:iCs/>
        </w:rPr>
        <w:t xml:space="preserve"> pagal BK 103 straipsnio 1 dalį paskirtą 6 (šešerių) metų laisvės atėmimo bausmę sumažinti iki laisvės atėmimo 5 (penkeriems) metams.</w:t>
      </w:r>
    </w:p>
    <w:p w:rsidR="00DA38E9" w:rsidRPr="00C00255" w:rsidRDefault="00DA38E9" w:rsidP="00DA38E9">
      <w:pPr>
        <w:spacing w:after="120"/>
        <w:ind w:firstLine="993"/>
      </w:pPr>
      <w:r w:rsidRPr="00C00255">
        <w:rPr>
          <w:iCs/>
        </w:rPr>
        <w:t xml:space="preserve">Vadovaujantis BK 63 straipsnio 1, 2 dalimis, 5 dalies 1 punktu, šiuo nuosprendžiu paskirtas bausmes ir Vilniaus apygardos teismo 2019 m. kovo 27 d. nuosprendžiu pagal BK 111 straipsnio 1 dalį ir BK 112 straipsnį paskirtas bausmes subendrinti apėmimo būdu ir </w:t>
      </w:r>
      <w:r>
        <w:rPr>
          <w:iCs/>
        </w:rPr>
        <w:t>A. S.</w:t>
      </w:r>
      <w:r w:rsidRPr="00C00255">
        <w:rPr>
          <w:iCs/>
        </w:rPr>
        <w:t xml:space="preserve"> paskirti galutinę subendrintą bausmę – laisvės atėmimą 10 (dešimčiai) metų.</w:t>
      </w:r>
    </w:p>
    <w:p w:rsidR="00DA38E9" w:rsidRPr="00C00255" w:rsidRDefault="00DA38E9" w:rsidP="00DA38E9">
      <w:pPr>
        <w:tabs>
          <w:tab w:val="left" w:pos="426"/>
          <w:tab w:val="left" w:pos="709"/>
          <w:tab w:val="left" w:pos="851"/>
        </w:tabs>
        <w:spacing w:after="120"/>
        <w:ind w:firstLine="993"/>
        <w:rPr>
          <w:iCs/>
        </w:rPr>
      </w:pPr>
      <w:r w:rsidRPr="00C00255">
        <w:t xml:space="preserve">Panaikinti Vilniaus apygardos teismo 2019 m. kovo 27 d. nuosprendžio dalį, kuria atmesti </w:t>
      </w:r>
      <w:r w:rsidRPr="00C00255">
        <w:rPr>
          <w:iCs/>
        </w:rPr>
        <w:t>V</w:t>
      </w:r>
      <w:r>
        <w:rPr>
          <w:iCs/>
        </w:rPr>
        <w:t>.</w:t>
      </w:r>
      <w:r w:rsidRPr="00C00255">
        <w:rPr>
          <w:iCs/>
        </w:rPr>
        <w:t> L</w:t>
      </w:r>
      <w:r>
        <w:rPr>
          <w:iCs/>
        </w:rPr>
        <w:t>.</w:t>
      </w:r>
      <w:r w:rsidRPr="00C00255">
        <w:rPr>
          <w:iCs/>
        </w:rPr>
        <w:t xml:space="preserve"> ir R</w:t>
      </w:r>
      <w:r>
        <w:rPr>
          <w:iCs/>
        </w:rPr>
        <w:t>. </w:t>
      </w:r>
      <w:r w:rsidRPr="00C00255">
        <w:rPr>
          <w:iCs/>
        </w:rPr>
        <w:t>P</w:t>
      </w:r>
      <w:r>
        <w:rPr>
          <w:iCs/>
        </w:rPr>
        <w:t>.</w:t>
      </w:r>
      <w:r w:rsidRPr="00C00255">
        <w:rPr>
          <w:iCs/>
        </w:rPr>
        <w:t xml:space="preserve"> civiliniai ieškiniai</w:t>
      </w:r>
      <w:r>
        <w:rPr>
          <w:iCs/>
        </w:rPr>
        <w:t>,</w:t>
      </w:r>
      <w:r w:rsidRPr="00C00255">
        <w:rPr>
          <w:iCs/>
        </w:rPr>
        <w:t xml:space="preserve"> paliktas nenagrinėtas Lietuvos Respublikos generalinės prokuratūros civilinis ieškinys ir neišspręstas O</w:t>
      </w:r>
      <w:r>
        <w:rPr>
          <w:iCs/>
        </w:rPr>
        <w:t>. </w:t>
      </w:r>
      <w:r w:rsidRPr="00C00255">
        <w:rPr>
          <w:iCs/>
        </w:rPr>
        <w:t>P</w:t>
      </w:r>
      <w:r>
        <w:rPr>
          <w:iCs/>
        </w:rPr>
        <w:t>.</w:t>
      </w:r>
      <w:r w:rsidRPr="00C00255">
        <w:rPr>
          <w:iCs/>
        </w:rPr>
        <w:t xml:space="preserve"> civilinis ieškinys.</w:t>
      </w:r>
    </w:p>
    <w:p w:rsidR="00DA38E9" w:rsidRPr="00C00255" w:rsidRDefault="00DA38E9" w:rsidP="00DA38E9">
      <w:pPr>
        <w:ind w:firstLine="993"/>
        <w:rPr>
          <w:iCs/>
        </w:rPr>
      </w:pPr>
      <w:bookmarkStart w:id="1127" w:name="_Hlk67934108"/>
      <w:r w:rsidRPr="00C00255">
        <w:rPr>
          <w:iCs/>
        </w:rPr>
        <w:t xml:space="preserve">Solidariai iš visų nuteistųjų, t. y. </w:t>
      </w:r>
      <w:r>
        <w:rPr>
          <w:iCs/>
        </w:rPr>
        <w:t>V. Š. 1</w:t>
      </w:r>
      <w:r w:rsidRPr="00C00255">
        <w:rPr>
          <w:iCs/>
        </w:rPr>
        <w:t xml:space="preserve">, </w:t>
      </w:r>
      <w:r>
        <w:rPr>
          <w:iCs/>
        </w:rPr>
        <w:t>A. N. 1</w:t>
      </w:r>
      <w:r w:rsidRPr="00C00255">
        <w:rPr>
          <w:iCs/>
        </w:rPr>
        <w:t xml:space="preserve">, </w:t>
      </w:r>
      <w:r>
        <w:rPr>
          <w:iCs/>
        </w:rPr>
        <w:t>R. J. 1</w:t>
      </w:r>
      <w:r w:rsidRPr="00C00255">
        <w:rPr>
          <w:iCs/>
        </w:rPr>
        <w:t xml:space="preserve">, </w:t>
      </w:r>
      <w:r>
        <w:rPr>
          <w:iCs/>
        </w:rPr>
        <w:t>M. G.</w:t>
      </w:r>
      <w:r w:rsidRPr="00C00255">
        <w:rPr>
          <w:iCs/>
        </w:rPr>
        <w:t>, J</w:t>
      </w:r>
      <w:r>
        <w:rPr>
          <w:iCs/>
        </w:rPr>
        <w:t>. </w:t>
      </w:r>
      <w:r w:rsidRPr="00C00255">
        <w:rPr>
          <w:iCs/>
        </w:rPr>
        <w:t>Č</w:t>
      </w:r>
      <w:r>
        <w:rPr>
          <w:iCs/>
        </w:rPr>
        <w:t>.</w:t>
      </w:r>
      <w:r w:rsidRPr="00C00255">
        <w:rPr>
          <w:iCs/>
        </w:rPr>
        <w:t xml:space="preserve">, </w:t>
      </w:r>
      <w:r>
        <w:rPr>
          <w:iCs/>
        </w:rPr>
        <w:t>N. D.</w:t>
      </w:r>
      <w:r w:rsidRPr="00C00255">
        <w:rPr>
          <w:iCs/>
        </w:rPr>
        <w:t xml:space="preserve">, </w:t>
      </w:r>
      <w:r>
        <w:rPr>
          <w:iCs/>
        </w:rPr>
        <w:t>V. S.</w:t>
      </w:r>
      <w:r w:rsidRPr="00C00255">
        <w:rPr>
          <w:iCs/>
        </w:rPr>
        <w:t xml:space="preserve">, </w:t>
      </w:r>
      <w:r>
        <w:rPr>
          <w:iCs/>
        </w:rPr>
        <w:t>V. K. 1</w:t>
      </w:r>
      <w:r w:rsidRPr="00C00255">
        <w:rPr>
          <w:iCs/>
        </w:rPr>
        <w:t>, G</w:t>
      </w:r>
      <w:r>
        <w:rPr>
          <w:iCs/>
        </w:rPr>
        <w:t>. </w:t>
      </w:r>
      <w:r w:rsidRPr="00C00255">
        <w:rPr>
          <w:iCs/>
        </w:rPr>
        <w:t>G</w:t>
      </w:r>
      <w:r>
        <w:rPr>
          <w:iCs/>
        </w:rPr>
        <w:t>.</w:t>
      </w:r>
      <w:r w:rsidRPr="00C00255">
        <w:rPr>
          <w:iCs/>
        </w:rPr>
        <w:t>, V</w:t>
      </w:r>
      <w:r>
        <w:rPr>
          <w:iCs/>
        </w:rPr>
        <w:t>. </w:t>
      </w:r>
      <w:r w:rsidRPr="00C00255">
        <w:rPr>
          <w:iCs/>
        </w:rPr>
        <w:t>S</w:t>
      </w:r>
      <w:r>
        <w:rPr>
          <w:iCs/>
        </w:rPr>
        <w:t>. 2</w:t>
      </w:r>
      <w:r w:rsidRPr="00C00255">
        <w:rPr>
          <w:iCs/>
        </w:rPr>
        <w:t xml:space="preserve">, </w:t>
      </w:r>
      <w:r>
        <w:rPr>
          <w:iCs/>
        </w:rPr>
        <w:t>V. D.</w:t>
      </w:r>
      <w:r w:rsidRPr="00C00255">
        <w:rPr>
          <w:iCs/>
        </w:rPr>
        <w:t>, B</w:t>
      </w:r>
      <w:r>
        <w:rPr>
          <w:iCs/>
        </w:rPr>
        <w:t>.</w:t>
      </w:r>
      <w:r w:rsidRPr="00C00255">
        <w:rPr>
          <w:iCs/>
        </w:rPr>
        <w:t> S</w:t>
      </w:r>
      <w:r>
        <w:rPr>
          <w:iCs/>
        </w:rPr>
        <w:t>.</w:t>
      </w:r>
      <w:r w:rsidRPr="00C00255">
        <w:rPr>
          <w:iCs/>
        </w:rPr>
        <w:t>, V</w:t>
      </w:r>
      <w:r>
        <w:rPr>
          <w:iCs/>
        </w:rPr>
        <w:t>. </w:t>
      </w:r>
      <w:r w:rsidRPr="00C00255">
        <w:rPr>
          <w:iCs/>
        </w:rPr>
        <w:t>S</w:t>
      </w:r>
      <w:r>
        <w:rPr>
          <w:iCs/>
        </w:rPr>
        <w:t>. 3</w:t>
      </w:r>
      <w:r w:rsidRPr="00C00255">
        <w:rPr>
          <w:iCs/>
        </w:rPr>
        <w:t>, S</w:t>
      </w:r>
      <w:r>
        <w:rPr>
          <w:iCs/>
        </w:rPr>
        <w:t>. </w:t>
      </w:r>
      <w:r w:rsidRPr="00C00255">
        <w:rPr>
          <w:iCs/>
        </w:rPr>
        <w:t>P</w:t>
      </w:r>
      <w:r>
        <w:rPr>
          <w:iCs/>
        </w:rPr>
        <w:t>.</w:t>
      </w:r>
      <w:r w:rsidRPr="00C00255">
        <w:rPr>
          <w:iCs/>
        </w:rPr>
        <w:t>, S</w:t>
      </w:r>
      <w:r>
        <w:rPr>
          <w:iCs/>
        </w:rPr>
        <w:t>. </w:t>
      </w:r>
      <w:r w:rsidRPr="00C00255">
        <w:rPr>
          <w:iCs/>
        </w:rPr>
        <w:t>K</w:t>
      </w:r>
      <w:r>
        <w:rPr>
          <w:iCs/>
        </w:rPr>
        <w:t>.</w:t>
      </w:r>
      <w:r w:rsidRPr="00C00255">
        <w:rPr>
          <w:iCs/>
        </w:rPr>
        <w:t>, J</w:t>
      </w:r>
      <w:r>
        <w:rPr>
          <w:iCs/>
        </w:rPr>
        <w:t>. </w:t>
      </w:r>
      <w:r w:rsidRPr="00C00255">
        <w:rPr>
          <w:iCs/>
        </w:rPr>
        <w:t>G</w:t>
      </w:r>
      <w:r>
        <w:rPr>
          <w:iCs/>
        </w:rPr>
        <w:t>.</w:t>
      </w:r>
      <w:r w:rsidRPr="00C00255">
        <w:rPr>
          <w:iCs/>
        </w:rPr>
        <w:t>, I</w:t>
      </w:r>
      <w:r>
        <w:rPr>
          <w:iCs/>
        </w:rPr>
        <w:t>. Š.</w:t>
      </w:r>
      <w:r w:rsidRPr="00C00255">
        <w:rPr>
          <w:iCs/>
        </w:rPr>
        <w:t>, A</w:t>
      </w:r>
      <w:r>
        <w:rPr>
          <w:iCs/>
        </w:rPr>
        <w:t>. </w:t>
      </w:r>
      <w:r w:rsidRPr="00C00255">
        <w:rPr>
          <w:iCs/>
        </w:rPr>
        <w:t>G</w:t>
      </w:r>
      <w:r>
        <w:rPr>
          <w:iCs/>
        </w:rPr>
        <w:t>. 2</w:t>
      </w:r>
      <w:r w:rsidRPr="00C00255">
        <w:rPr>
          <w:iCs/>
        </w:rPr>
        <w:t>, A</w:t>
      </w:r>
      <w:r>
        <w:rPr>
          <w:iCs/>
        </w:rPr>
        <w:t>. </w:t>
      </w:r>
      <w:r w:rsidRPr="00C00255">
        <w:rPr>
          <w:iCs/>
        </w:rPr>
        <w:t>Z</w:t>
      </w:r>
      <w:r>
        <w:rPr>
          <w:iCs/>
        </w:rPr>
        <w:t>.</w:t>
      </w:r>
      <w:r w:rsidRPr="00C00255">
        <w:rPr>
          <w:iCs/>
        </w:rPr>
        <w:t>, V</w:t>
      </w:r>
      <w:r>
        <w:rPr>
          <w:iCs/>
        </w:rPr>
        <w:t>. </w:t>
      </w:r>
      <w:r w:rsidRPr="00C00255">
        <w:rPr>
          <w:iCs/>
        </w:rPr>
        <w:t>K</w:t>
      </w:r>
      <w:r>
        <w:rPr>
          <w:iCs/>
        </w:rPr>
        <w:t>.</w:t>
      </w:r>
      <w:r w:rsidRPr="00C00255">
        <w:rPr>
          <w:iCs/>
        </w:rPr>
        <w:t>, R</w:t>
      </w:r>
      <w:r>
        <w:rPr>
          <w:iCs/>
        </w:rPr>
        <w:t>.</w:t>
      </w:r>
      <w:r w:rsidRPr="00C00255">
        <w:rPr>
          <w:iCs/>
        </w:rPr>
        <w:t> J</w:t>
      </w:r>
      <w:r>
        <w:rPr>
          <w:iCs/>
        </w:rPr>
        <w:t>.</w:t>
      </w:r>
      <w:r w:rsidRPr="00C00255">
        <w:rPr>
          <w:iCs/>
        </w:rPr>
        <w:t>, S</w:t>
      </w:r>
      <w:r>
        <w:rPr>
          <w:iCs/>
        </w:rPr>
        <w:t>. </w:t>
      </w:r>
      <w:r w:rsidRPr="00C00255">
        <w:rPr>
          <w:iCs/>
        </w:rPr>
        <w:t>G</w:t>
      </w:r>
      <w:r>
        <w:rPr>
          <w:iCs/>
        </w:rPr>
        <w:t>.</w:t>
      </w:r>
      <w:r w:rsidRPr="00C00255">
        <w:rPr>
          <w:iCs/>
        </w:rPr>
        <w:t>, S</w:t>
      </w:r>
      <w:r>
        <w:rPr>
          <w:iCs/>
        </w:rPr>
        <w:t>. </w:t>
      </w:r>
      <w:r w:rsidRPr="00C00255">
        <w:rPr>
          <w:iCs/>
        </w:rPr>
        <w:t>M</w:t>
      </w:r>
      <w:r>
        <w:rPr>
          <w:iCs/>
        </w:rPr>
        <w:t>.</w:t>
      </w:r>
      <w:r w:rsidRPr="00C00255">
        <w:rPr>
          <w:iCs/>
        </w:rPr>
        <w:t xml:space="preserve">, </w:t>
      </w:r>
      <w:r>
        <w:rPr>
          <w:iCs/>
        </w:rPr>
        <w:t>K. U.</w:t>
      </w:r>
      <w:r w:rsidRPr="00C00255">
        <w:rPr>
          <w:iCs/>
        </w:rPr>
        <w:t xml:space="preserve">, </w:t>
      </w:r>
      <w:r>
        <w:rPr>
          <w:iCs/>
        </w:rPr>
        <w:t>A. F. 1,</w:t>
      </w:r>
      <w:r w:rsidRPr="00C00255">
        <w:rPr>
          <w:iCs/>
        </w:rPr>
        <w:t xml:space="preserve"> A</w:t>
      </w:r>
      <w:r>
        <w:rPr>
          <w:iCs/>
        </w:rPr>
        <w:t>. </w:t>
      </w:r>
      <w:r w:rsidRPr="00C00255">
        <w:rPr>
          <w:iCs/>
        </w:rPr>
        <w:t>N</w:t>
      </w:r>
      <w:r>
        <w:rPr>
          <w:iCs/>
        </w:rPr>
        <w:t> 2</w:t>
      </w:r>
      <w:r w:rsidRPr="00C00255">
        <w:rPr>
          <w:iCs/>
        </w:rPr>
        <w:t>, E</w:t>
      </w:r>
      <w:r>
        <w:rPr>
          <w:iCs/>
        </w:rPr>
        <w:t>. M.</w:t>
      </w:r>
      <w:r w:rsidRPr="00C00255">
        <w:rPr>
          <w:iCs/>
        </w:rPr>
        <w:t>, V</w:t>
      </w:r>
      <w:r>
        <w:rPr>
          <w:iCs/>
        </w:rPr>
        <w:t>. </w:t>
      </w:r>
      <w:r w:rsidRPr="00C00255">
        <w:rPr>
          <w:iCs/>
        </w:rPr>
        <w:t>G</w:t>
      </w:r>
      <w:r>
        <w:rPr>
          <w:iCs/>
        </w:rPr>
        <w:t>.</w:t>
      </w:r>
      <w:r w:rsidRPr="00C00255">
        <w:rPr>
          <w:iCs/>
        </w:rPr>
        <w:t>, A</w:t>
      </w:r>
      <w:r>
        <w:rPr>
          <w:iCs/>
        </w:rPr>
        <w:t>. </w:t>
      </w:r>
      <w:r w:rsidRPr="00C00255">
        <w:rPr>
          <w:iCs/>
        </w:rPr>
        <w:t>S</w:t>
      </w:r>
      <w:r>
        <w:rPr>
          <w:iCs/>
        </w:rPr>
        <w:t>.</w:t>
      </w:r>
      <w:r w:rsidRPr="00C00255">
        <w:rPr>
          <w:iCs/>
        </w:rPr>
        <w:t>, A</w:t>
      </w:r>
      <w:r>
        <w:rPr>
          <w:iCs/>
        </w:rPr>
        <w:t>.</w:t>
      </w:r>
      <w:r w:rsidRPr="00C00255">
        <w:rPr>
          <w:iCs/>
        </w:rPr>
        <w:t> L</w:t>
      </w:r>
      <w:r>
        <w:rPr>
          <w:iCs/>
        </w:rPr>
        <w:t>.</w:t>
      </w:r>
      <w:r w:rsidRPr="00C00255">
        <w:rPr>
          <w:iCs/>
        </w:rPr>
        <w:t>, J</w:t>
      </w:r>
      <w:r>
        <w:rPr>
          <w:iCs/>
        </w:rPr>
        <w:t>. </w:t>
      </w:r>
      <w:r w:rsidRPr="00C00255">
        <w:rPr>
          <w:iCs/>
        </w:rPr>
        <w:t>J</w:t>
      </w:r>
      <w:r>
        <w:rPr>
          <w:iCs/>
        </w:rPr>
        <w:t>.</w:t>
      </w:r>
      <w:r w:rsidRPr="00C00255">
        <w:rPr>
          <w:iCs/>
        </w:rPr>
        <w:t xml:space="preserve">, </w:t>
      </w:r>
      <w:r>
        <w:rPr>
          <w:iCs/>
        </w:rPr>
        <w:t>A. F. 2</w:t>
      </w:r>
      <w:r w:rsidRPr="00C00255">
        <w:rPr>
          <w:iCs/>
        </w:rPr>
        <w:t>, A</w:t>
      </w:r>
      <w:r>
        <w:rPr>
          <w:iCs/>
        </w:rPr>
        <w:t>. </w:t>
      </w:r>
      <w:r w:rsidRPr="00C00255">
        <w:rPr>
          <w:iCs/>
        </w:rPr>
        <w:t>I</w:t>
      </w:r>
      <w:r>
        <w:rPr>
          <w:iCs/>
        </w:rPr>
        <w:t>.</w:t>
      </w:r>
      <w:r w:rsidRPr="00C00255">
        <w:rPr>
          <w:iCs/>
        </w:rPr>
        <w:t>, A</w:t>
      </w:r>
      <w:r>
        <w:rPr>
          <w:iCs/>
        </w:rPr>
        <w:t>.</w:t>
      </w:r>
      <w:r w:rsidRPr="00C00255">
        <w:rPr>
          <w:iCs/>
        </w:rPr>
        <w:t> C</w:t>
      </w:r>
      <w:r>
        <w:rPr>
          <w:iCs/>
        </w:rPr>
        <w:t>.</w:t>
      </w:r>
      <w:r w:rsidRPr="00C00255">
        <w:rPr>
          <w:iCs/>
        </w:rPr>
        <w:t xml:space="preserve">, </w:t>
      </w:r>
      <w:r>
        <w:rPr>
          <w:iCs/>
        </w:rPr>
        <w:t>A. Ž.</w:t>
      </w:r>
      <w:r w:rsidRPr="00C00255">
        <w:rPr>
          <w:iCs/>
        </w:rPr>
        <w:t xml:space="preserve">, </w:t>
      </w:r>
      <w:r>
        <w:rPr>
          <w:iCs/>
        </w:rPr>
        <w:t>V. U. 1</w:t>
      </w:r>
      <w:r w:rsidRPr="00C00255">
        <w:rPr>
          <w:iCs/>
        </w:rPr>
        <w:t>, G</w:t>
      </w:r>
      <w:r>
        <w:rPr>
          <w:iCs/>
        </w:rPr>
        <w:t>. B</w:t>
      </w:r>
      <w:r w:rsidRPr="00C00255">
        <w:rPr>
          <w:iCs/>
        </w:rPr>
        <w:t xml:space="preserve">, </w:t>
      </w:r>
      <w:r>
        <w:rPr>
          <w:iCs/>
        </w:rPr>
        <w:t>G. I.</w:t>
      </w:r>
      <w:r w:rsidRPr="00C00255">
        <w:rPr>
          <w:iCs/>
        </w:rPr>
        <w:t xml:space="preserve">, </w:t>
      </w:r>
      <w:r>
        <w:rPr>
          <w:iCs/>
        </w:rPr>
        <w:t>N. A.</w:t>
      </w:r>
      <w:r w:rsidRPr="00C00255">
        <w:rPr>
          <w:iCs/>
        </w:rPr>
        <w:t xml:space="preserve">, </w:t>
      </w:r>
      <w:r>
        <w:rPr>
          <w:iCs/>
        </w:rPr>
        <w:t>V. U. 2</w:t>
      </w:r>
      <w:r w:rsidRPr="00C00255">
        <w:rPr>
          <w:iCs/>
        </w:rPr>
        <w:t>, V</w:t>
      </w:r>
      <w:r>
        <w:rPr>
          <w:iCs/>
        </w:rPr>
        <w:t>. </w:t>
      </w:r>
      <w:r w:rsidRPr="00C00255">
        <w:rPr>
          <w:iCs/>
        </w:rPr>
        <w:t>S</w:t>
      </w:r>
      <w:r>
        <w:rPr>
          <w:iCs/>
        </w:rPr>
        <w:t>. 4</w:t>
      </w:r>
      <w:r w:rsidRPr="00C00255">
        <w:rPr>
          <w:iCs/>
        </w:rPr>
        <w:t xml:space="preserve">, </w:t>
      </w:r>
      <w:r>
        <w:rPr>
          <w:iCs/>
        </w:rPr>
        <w:t>V. Š. 3</w:t>
      </w:r>
      <w:r w:rsidRPr="00C00255">
        <w:rPr>
          <w:iCs/>
        </w:rPr>
        <w:t xml:space="preserve">, </w:t>
      </w:r>
      <w:r>
        <w:rPr>
          <w:iCs/>
        </w:rPr>
        <w:t>V. P.</w:t>
      </w:r>
      <w:r w:rsidRPr="00C00255">
        <w:rPr>
          <w:iCs/>
        </w:rPr>
        <w:t>, S</w:t>
      </w:r>
      <w:r>
        <w:rPr>
          <w:iCs/>
        </w:rPr>
        <w:t>.</w:t>
      </w:r>
      <w:r>
        <w:t> </w:t>
      </w:r>
      <w:r>
        <w:rPr>
          <w:iCs/>
        </w:rPr>
        <w:t>V.</w:t>
      </w:r>
      <w:r w:rsidRPr="00C00255">
        <w:rPr>
          <w:iCs/>
        </w:rPr>
        <w:t xml:space="preserve">, </w:t>
      </w:r>
      <w:r>
        <w:rPr>
          <w:iCs/>
        </w:rPr>
        <w:t>E. R.</w:t>
      </w:r>
      <w:r w:rsidRPr="00C00255">
        <w:rPr>
          <w:iCs/>
        </w:rPr>
        <w:t>, J</w:t>
      </w:r>
      <w:r>
        <w:rPr>
          <w:iCs/>
        </w:rPr>
        <w:t>. </w:t>
      </w:r>
      <w:r w:rsidRPr="00C00255">
        <w:rPr>
          <w:iCs/>
        </w:rPr>
        <w:t>O</w:t>
      </w:r>
      <w:r>
        <w:rPr>
          <w:iCs/>
        </w:rPr>
        <w:t>.</w:t>
      </w:r>
      <w:r w:rsidRPr="00C00255">
        <w:rPr>
          <w:iCs/>
        </w:rPr>
        <w:t>, A</w:t>
      </w:r>
      <w:r>
        <w:rPr>
          <w:iCs/>
        </w:rPr>
        <w:t>. </w:t>
      </w:r>
      <w:r w:rsidRPr="00C00255">
        <w:rPr>
          <w:iCs/>
        </w:rPr>
        <w:t>G</w:t>
      </w:r>
      <w:r>
        <w:rPr>
          <w:iCs/>
        </w:rPr>
        <w:t>. 1</w:t>
      </w:r>
      <w:r w:rsidRPr="00C00255">
        <w:rPr>
          <w:iCs/>
        </w:rPr>
        <w:t>, A</w:t>
      </w:r>
      <w:r>
        <w:rPr>
          <w:iCs/>
        </w:rPr>
        <w:t>. </w:t>
      </w:r>
      <w:r w:rsidRPr="00C00255">
        <w:rPr>
          <w:iCs/>
        </w:rPr>
        <w:t>B</w:t>
      </w:r>
      <w:r>
        <w:rPr>
          <w:iCs/>
        </w:rPr>
        <w:t>.</w:t>
      </w:r>
      <w:r w:rsidRPr="00C00255">
        <w:rPr>
          <w:iCs/>
        </w:rPr>
        <w:t>, O</w:t>
      </w:r>
      <w:r>
        <w:rPr>
          <w:iCs/>
        </w:rPr>
        <w:t>. </w:t>
      </w:r>
      <w:r w:rsidRPr="00C00255">
        <w:rPr>
          <w:iCs/>
        </w:rPr>
        <w:t>A</w:t>
      </w:r>
      <w:r>
        <w:rPr>
          <w:iCs/>
        </w:rPr>
        <w:t>.</w:t>
      </w:r>
      <w:r w:rsidRPr="00C00255">
        <w:rPr>
          <w:iCs/>
        </w:rPr>
        <w:t xml:space="preserve">, </w:t>
      </w:r>
      <w:r>
        <w:rPr>
          <w:iCs/>
        </w:rPr>
        <w:t>N. S.</w:t>
      </w:r>
      <w:r w:rsidRPr="00C00255">
        <w:rPr>
          <w:iCs/>
        </w:rPr>
        <w:t>, A</w:t>
      </w:r>
      <w:r>
        <w:rPr>
          <w:iCs/>
        </w:rPr>
        <w:t>. </w:t>
      </w:r>
      <w:r w:rsidRPr="00C00255">
        <w:rPr>
          <w:iCs/>
        </w:rPr>
        <w:t>U</w:t>
      </w:r>
      <w:r>
        <w:rPr>
          <w:iCs/>
        </w:rPr>
        <w:t>.</w:t>
      </w:r>
      <w:r w:rsidRPr="00C00255">
        <w:rPr>
          <w:iCs/>
        </w:rPr>
        <w:t>, A</w:t>
      </w:r>
      <w:r>
        <w:rPr>
          <w:iCs/>
        </w:rPr>
        <w:t>. </w:t>
      </w:r>
      <w:r w:rsidRPr="00C00255">
        <w:rPr>
          <w:iCs/>
        </w:rPr>
        <w:t>K</w:t>
      </w:r>
      <w:r>
        <w:rPr>
          <w:iCs/>
        </w:rPr>
        <w:t>.</w:t>
      </w:r>
      <w:r w:rsidRPr="00C00255">
        <w:rPr>
          <w:iCs/>
        </w:rPr>
        <w:t xml:space="preserve">, </w:t>
      </w:r>
      <w:r>
        <w:rPr>
          <w:iCs/>
        </w:rPr>
        <w:t>D. F.</w:t>
      </w:r>
      <w:r w:rsidRPr="00C00255">
        <w:rPr>
          <w:iCs/>
        </w:rPr>
        <w:t>, J</w:t>
      </w:r>
      <w:r>
        <w:rPr>
          <w:iCs/>
        </w:rPr>
        <w:t>. M</w:t>
      </w:r>
      <w:r w:rsidRPr="00C00255">
        <w:rPr>
          <w:iCs/>
        </w:rPr>
        <w:t xml:space="preserve">, </w:t>
      </w:r>
      <w:r>
        <w:rPr>
          <w:iCs/>
        </w:rPr>
        <w:t>D. B.</w:t>
      </w:r>
      <w:r w:rsidRPr="00C00255">
        <w:rPr>
          <w:iCs/>
        </w:rPr>
        <w:t>, N</w:t>
      </w:r>
      <w:r>
        <w:rPr>
          <w:iCs/>
        </w:rPr>
        <w:t>. </w:t>
      </w:r>
      <w:r w:rsidRPr="00C00255">
        <w:rPr>
          <w:iCs/>
        </w:rPr>
        <w:t>O</w:t>
      </w:r>
      <w:r>
        <w:rPr>
          <w:iCs/>
        </w:rPr>
        <w:t>.</w:t>
      </w:r>
      <w:r w:rsidRPr="00C00255">
        <w:rPr>
          <w:iCs/>
        </w:rPr>
        <w:t>, A</w:t>
      </w:r>
      <w:r>
        <w:rPr>
          <w:iCs/>
        </w:rPr>
        <w:t>. </w:t>
      </w:r>
      <w:r w:rsidRPr="00C00255">
        <w:rPr>
          <w:iCs/>
        </w:rPr>
        <w:t>K</w:t>
      </w:r>
      <w:r>
        <w:rPr>
          <w:iCs/>
        </w:rPr>
        <w:t>. 2</w:t>
      </w:r>
      <w:r w:rsidRPr="00C00255">
        <w:rPr>
          <w:iCs/>
        </w:rPr>
        <w:t>, A</w:t>
      </w:r>
      <w:r>
        <w:rPr>
          <w:iCs/>
        </w:rPr>
        <w:t>.</w:t>
      </w:r>
      <w:r>
        <w:t> </w:t>
      </w:r>
      <w:r w:rsidRPr="00C00255">
        <w:rPr>
          <w:iCs/>
        </w:rPr>
        <w:t>R</w:t>
      </w:r>
      <w:r>
        <w:rPr>
          <w:iCs/>
        </w:rPr>
        <w:t>.</w:t>
      </w:r>
      <w:r w:rsidRPr="00C00255">
        <w:rPr>
          <w:iCs/>
        </w:rPr>
        <w:t>, S</w:t>
      </w:r>
      <w:r>
        <w:rPr>
          <w:iCs/>
        </w:rPr>
        <w:t>. </w:t>
      </w:r>
      <w:r w:rsidRPr="00C00255">
        <w:rPr>
          <w:iCs/>
        </w:rPr>
        <w:t>F</w:t>
      </w:r>
      <w:r>
        <w:rPr>
          <w:iCs/>
        </w:rPr>
        <w:t>.</w:t>
      </w:r>
      <w:r w:rsidRPr="00C00255">
        <w:rPr>
          <w:iCs/>
        </w:rPr>
        <w:t>, V</w:t>
      </w:r>
      <w:r>
        <w:rPr>
          <w:iCs/>
        </w:rPr>
        <w:t>. </w:t>
      </w:r>
      <w:r w:rsidRPr="00C00255">
        <w:rPr>
          <w:iCs/>
        </w:rPr>
        <w:t>R</w:t>
      </w:r>
      <w:r>
        <w:rPr>
          <w:iCs/>
        </w:rPr>
        <w:t>.</w:t>
      </w:r>
      <w:r w:rsidRPr="00C00255">
        <w:rPr>
          <w:iCs/>
        </w:rPr>
        <w:t>, V</w:t>
      </w:r>
      <w:r>
        <w:rPr>
          <w:iCs/>
        </w:rPr>
        <w:t>. </w:t>
      </w:r>
      <w:r w:rsidRPr="00C00255">
        <w:rPr>
          <w:iCs/>
        </w:rPr>
        <w:t>Š</w:t>
      </w:r>
      <w:r>
        <w:rPr>
          <w:iCs/>
        </w:rPr>
        <w:t>.</w:t>
      </w:r>
      <w:r w:rsidRPr="00C00255">
        <w:rPr>
          <w:iCs/>
        </w:rPr>
        <w:t xml:space="preserve">, </w:t>
      </w:r>
      <w:r>
        <w:rPr>
          <w:iCs/>
        </w:rPr>
        <w:t>V. M.</w:t>
      </w:r>
      <w:r w:rsidRPr="00C00255">
        <w:rPr>
          <w:iCs/>
        </w:rPr>
        <w:t xml:space="preserve">, </w:t>
      </w:r>
      <w:r>
        <w:rPr>
          <w:iCs/>
        </w:rPr>
        <w:t>G. P.</w:t>
      </w:r>
      <w:r w:rsidRPr="00C00255">
        <w:rPr>
          <w:iCs/>
        </w:rPr>
        <w:t xml:space="preserve">, </w:t>
      </w:r>
      <w:r>
        <w:rPr>
          <w:iCs/>
        </w:rPr>
        <w:t>O. M.</w:t>
      </w:r>
      <w:r w:rsidRPr="00C00255">
        <w:rPr>
          <w:iCs/>
        </w:rPr>
        <w:t>, M</w:t>
      </w:r>
      <w:r>
        <w:rPr>
          <w:iCs/>
        </w:rPr>
        <w:t>.</w:t>
      </w:r>
      <w:r w:rsidR="00307154">
        <w:rPr>
          <w:iCs/>
        </w:rPr>
        <w:t> C.</w:t>
      </w:r>
      <w:r w:rsidRPr="00C00255">
        <w:rPr>
          <w:iCs/>
        </w:rPr>
        <w:t xml:space="preserve">, </w:t>
      </w:r>
      <w:r>
        <w:rPr>
          <w:iCs/>
        </w:rPr>
        <w:t>J. S.,</w:t>
      </w:r>
      <w:r w:rsidRPr="00C00255">
        <w:rPr>
          <w:iCs/>
        </w:rPr>
        <w:t xml:space="preserve"> priteisti:</w:t>
      </w:r>
    </w:p>
    <w:bookmarkEnd w:id="1127"/>
    <w:p w:rsidR="00DA38E9" w:rsidRPr="00C00255" w:rsidRDefault="00DA38E9" w:rsidP="00DA38E9">
      <w:pPr>
        <w:spacing w:before="120"/>
        <w:ind w:firstLine="992"/>
        <w:rPr>
          <w:iCs/>
        </w:rPr>
      </w:pPr>
      <w:r w:rsidRPr="00C00255">
        <w:rPr>
          <w:iCs/>
        </w:rPr>
        <w:t>– R</w:t>
      </w:r>
      <w:r>
        <w:rPr>
          <w:iCs/>
        </w:rPr>
        <w:t>. </w:t>
      </w:r>
      <w:r w:rsidRPr="00C00255">
        <w:rPr>
          <w:iCs/>
        </w:rPr>
        <w:t>P</w:t>
      </w:r>
      <w:r>
        <w:rPr>
          <w:iCs/>
        </w:rPr>
        <w:t>.</w:t>
      </w:r>
      <w:r w:rsidR="00307154">
        <w:rPr>
          <w:iCs/>
        </w:rPr>
        <w:t> </w:t>
      </w:r>
      <w:r w:rsidRPr="00C00255">
        <w:rPr>
          <w:iCs/>
        </w:rPr>
        <w:t>50 000 Eur (penkiasdešimt tūkstančių eurų) neturtinės žalos atlyginimo</w:t>
      </w:r>
      <w:bookmarkStart w:id="1128" w:name="_Hlk67664231"/>
      <w:r w:rsidRPr="00C00255">
        <w:rPr>
          <w:iCs/>
        </w:rPr>
        <w:t>;</w:t>
      </w:r>
    </w:p>
    <w:p w:rsidR="00DA38E9" w:rsidRPr="00307154" w:rsidRDefault="00DA38E9" w:rsidP="00DA38E9">
      <w:pPr>
        <w:spacing w:before="120"/>
        <w:ind w:firstLine="992"/>
      </w:pPr>
      <w:r w:rsidRPr="00C00255">
        <w:rPr>
          <w:iCs/>
        </w:rPr>
        <w:t>– O</w:t>
      </w:r>
      <w:r>
        <w:rPr>
          <w:iCs/>
        </w:rPr>
        <w:t>. </w:t>
      </w:r>
      <w:r w:rsidRPr="00C00255">
        <w:rPr>
          <w:iCs/>
        </w:rPr>
        <w:t>P</w:t>
      </w:r>
      <w:r>
        <w:rPr>
          <w:iCs/>
        </w:rPr>
        <w:t>.</w:t>
      </w:r>
      <w:bookmarkEnd w:id="1128"/>
      <w:r w:rsidR="00307154">
        <w:rPr>
          <w:iCs/>
        </w:rPr>
        <w:t> </w:t>
      </w:r>
      <w:r w:rsidRPr="00307154">
        <w:t>75 000 Eur (septyniasdešimt penkis tūkstančius eurų) neturtinės žalos atlyginimo;</w:t>
      </w:r>
    </w:p>
    <w:p w:rsidR="00DA38E9" w:rsidRPr="00C00255" w:rsidRDefault="00DA38E9" w:rsidP="00DA38E9">
      <w:pPr>
        <w:spacing w:before="120"/>
        <w:ind w:firstLine="992"/>
        <w:rPr>
          <w:iCs/>
        </w:rPr>
      </w:pPr>
      <w:r w:rsidRPr="00C00255">
        <w:rPr>
          <w:iCs/>
        </w:rPr>
        <w:t xml:space="preserve">– Lietuvos valstybei </w:t>
      </w:r>
      <w:r w:rsidRPr="00C00255">
        <w:rPr>
          <w:bCs/>
        </w:rPr>
        <w:t>10 876 601,75</w:t>
      </w:r>
      <w:r w:rsidRPr="00C00255">
        <w:t xml:space="preserve"> </w:t>
      </w:r>
      <w:r w:rsidRPr="00C00255">
        <w:rPr>
          <w:iCs/>
        </w:rPr>
        <w:t>Eur (dešimt milijonų aštuonis šimtus septyniasdešimt šešis tūkstančius šešis šimtus vieną eurą 75 ct) turtinės žalos atlyginimo.</w:t>
      </w:r>
    </w:p>
    <w:p w:rsidR="00DA38E9" w:rsidRPr="00C00255" w:rsidRDefault="00DA38E9" w:rsidP="00DA38E9">
      <w:pPr>
        <w:spacing w:before="120" w:after="120"/>
        <w:ind w:firstLine="992"/>
        <w:rPr>
          <w:iCs/>
        </w:rPr>
      </w:pPr>
      <w:r>
        <w:rPr>
          <w:iCs/>
        </w:rPr>
        <w:t>V. L.</w:t>
      </w:r>
      <w:r w:rsidRPr="00C00255">
        <w:rPr>
          <w:iCs/>
        </w:rPr>
        <w:t xml:space="preserve"> pripažinti teisę į civilinio ieškinio patenkinimą ir klausimą dėl ieškinio dydžio perduoti spręsti civilinio proceso tvarka.</w:t>
      </w:r>
    </w:p>
    <w:p w:rsidR="00DA38E9" w:rsidRPr="00C00255" w:rsidRDefault="00DA38E9" w:rsidP="00DA38E9">
      <w:pPr>
        <w:spacing w:after="120"/>
        <w:ind w:firstLine="992"/>
        <w:rPr>
          <w:iCs/>
        </w:rPr>
      </w:pPr>
      <w:r w:rsidRPr="00C00255">
        <w:t>Pakeisti Vilniaus apygardos teismo 2019 m. kovo 27 d. nuosprendžio dalį dėl šių daiktų:</w:t>
      </w:r>
    </w:p>
    <w:p w:rsidR="00DA38E9" w:rsidRPr="00C00255" w:rsidRDefault="00DA38E9" w:rsidP="00DA38E9">
      <w:pPr>
        <w:spacing w:after="120"/>
        <w:ind w:firstLine="992"/>
        <w:rPr>
          <w:iCs/>
        </w:rPr>
      </w:pPr>
      <w:bookmarkStart w:id="1129" w:name="_Hlk67933370"/>
      <w:r w:rsidRPr="00C00255">
        <w:rPr>
          <w:iCs/>
        </w:rPr>
        <w:t xml:space="preserve">– </w:t>
      </w:r>
      <w:bookmarkEnd w:id="1129"/>
      <w:r w:rsidRPr="00C00255">
        <w:rPr>
          <w:iCs/>
        </w:rPr>
        <w:t xml:space="preserve">iš </w:t>
      </w:r>
      <w:r>
        <w:rPr>
          <w:iCs/>
        </w:rPr>
        <w:t>J. M.</w:t>
      </w:r>
      <w:r w:rsidRPr="00C00255">
        <w:rPr>
          <w:iCs/>
        </w:rPr>
        <w:t xml:space="preserve"> kratos metu paimtus pinigus (100,15 Lt (29,00544 Eur), esančius Generalinės prokuratūros depozitinėje sąskaitoje Nr. </w:t>
      </w:r>
      <w:r w:rsidR="00B05D9B">
        <w:t>(duomenys neskelbtini)</w:t>
      </w:r>
      <w:r w:rsidRPr="00C00255">
        <w:rPr>
          <w:iCs/>
        </w:rPr>
        <w:t>; 3500 Rusijos rubli</w:t>
      </w:r>
      <w:r>
        <w:rPr>
          <w:iCs/>
        </w:rPr>
        <w:t>ų</w:t>
      </w:r>
      <w:r w:rsidRPr="00C00255">
        <w:rPr>
          <w:iCs/>
        </w:rPr>
        <w:t xml:space="preserve"> ir 400 Eur, esančius Generalinės prokuratūros depozitinėje sąskaitoje Nr. </w:t>
      </w:r>
      <w:r w:rsidR="00B05D9B">
        <w:t>(duomenys neskelbtini)</w:t>
      </w:r>
      <w:r w:rsidRPr="00C00255">
        <w:rPr>
          <w:iCs/>
        </w:rPr>
        <w:t>, ir 2 Ukrainos grivinas, esančias Generalinės prokuratūros kasoje, priimtas pagal kasos pajamų kvitą Nr. 36</w:t>
      </w:r>
      <w:r>
        <w:rPr>
          <w:iCs/>
        </w:rPr>
        <w:t>)</w:t>
      </w:r>
      <w:r w:rsidRPr="00C00255">
        <w:rPr>
          <w:iCs/>
        </w:rPr>
        <w:t>, nukreipti civilinių ieškinių atlyginimui</w:t>
      </w:r>
      <w:r>
        <w:rPr>
          <w:iCs/>
        </w:rPr>
        <w:t>;</w:t>
      </w:r>
    </w:p>
    <w:p w:rsidR="00DA38E9" w:rsidRPr="00C00255" w:rsidRDefault="00DA38E9" w:rsidP="00DA38E9">
      <w:pPr>
        <w:spacing w:after="120"/>
        <w:ind w:firstLine="992"/>
        <w:rPr>
          <w:iCs/>
        </w:rPr>
      </w:pPr>
      <w:r w:rsidRPr="00C00255">
        <w:rPr>
          <w:iCs/>
        </w:rPr>
        <w:t>– daiktus, turinčius reikšmės bylai tirti ir nagrinėti:</w:t>
      </w:r>
      <w:r w:rsidRPr="00C00255">
        <w:t xml:space="preserve"> </w:t>
      </w:r>
      <w:r w:rsidRPr="00C00255">
        <w:rPr>
          <w:iCs/>
        </w:rPr>
        <w:t>CD, DVD kompaktinius diskus, įvairias vaizdo ir garso įrašų kasetes, fotonuotraukas, knygas bei kitus dokumentus ir daiktinius įrodymus, pateiktus kartu su bylos medžiaga ar saugomus Generalinės prokuratūros Baudžiamojo persekiojimo departamente bei Organizuotų nusikaltimų ir korupcijos tyrimo departamento daiktų saugojimo patalpoje, palikti saugoti prie bylos.</w:t>
      </w:r>
    </w:p>
    <w:p w:rsidR="00DA38E9" w:rsidRPr="00C00255" w:rsidRDefault="00DA38E9" w:rsidP="00DA38E9">
      <w:pPr>
        <w:ind w:firstLine="993"/>
        <w:rPr>
          <w:iCs/>
        </w:rPr>
      </w:pPr>
      <w:r w:rsidRPr="00C00255">
        <w:rPr>
          <w:iCs/>
        </w:rPr>
        <w:t>Prokurorų prašymą solidariai iš nuteistųjų priteisti 343,79 Eur proceso išlaidas atmesti.</w:t>
      </w:r>
    </w:p>
    <w:p w:rsidR="00DA38E9" w:rsidRDefault="00DA38E9" w:rsidP="00DA38E9">
      <w:pPr>
        <w:ind w:firstLine="993"/>
        <w:rPr>
          <w:iCs/>
        </w:rPr>
      </w:pPr>
    </w:p>
    <w:p w:rsidR="00DA38E9" w:rsidRPr="00C00255" w:rsidRDefault="00DA38E9" w:rsidP="00307154">
      <w:pPr>
        <w:rPr>
          <w:iCs/>
        </w:rPr>
      </w:pPr>
    </w:p>
    <w:p w:rsidR="00DA38E9" w:rsidRPr="00C00255" w:rsidRDefault="00DA38E9" w:rsidP="00DA38E9">
      <w:pPr>
        <w:ind w:firstLine="993"/>
      </w:pPr>
      <w:r w:rsidRPr="00C00255">
        <w:t>Kitą Vilniaus apygardos teismo 2019 m. kovo 27 d. nuosprendžio dalį palikti nepakeistą.</w:t>
      </w:r>
    </w:p>
    <w:p w:rsidR="00DA38E9" w:rsidRPr="00C00255" w:rsidRDefault="00DA38E9" w:rsidP="00DA38E9">
      <w:pPr>
        <w:ind w:firstLine="709"/>
      </w:pPr>
    </w:p>
    <w:p w:rsidR="00DA38E9" w:rsidRDefault="00DA38E9" w:rsidP="00DA38E9">
      <w:pPr>
        <w:tabs>
          <w:tab w:val="left" w:pos="7797"/>
        </w:tabs>
      </w:pPr>
      <w:r w:rsidRPr="00C00255">
        <w:t>Teisėjai</w:t>
      </w:r>
      <w:r w:rsidRPr="00C00255">
        <w:tab/>
      </w:r>
      <w:r w:rsidRPr="00C00255">
        <w:tab/>
      </w:r>
      <w:r w:rsidRPr="00C00255">
        <w:tab/>
      </w:r>
      <w:r w:rsidRPr="00C00255">
        <w:tab/>
      </w:r>
      <w:r w:rsidRPr="00C00255">
        <w:tab/>
      </w:r>
      <w:r w:rsidRPr="00C00255">
        <w:tab/>
      </w:r>
      <w:r w:rsidRPr="00C00255">
        <w:tab/>
      </w:r>
      <w:r w:rsidRPr="00C00255">
        <w:tab/>
        <w:t>Ernesta Montvidienė</w:t>
      </w:r>
    </w:p>
    <w:p w:rsidR="00F27AEE" w:rsidRDefault="00DA38E9" w:rsidP="00DA38E9">
      <w:pPr>
        <w:tabs>
          <w:tab w:val="left" w:pos="7797"/>
        </w:tabs>
      </w:pPr>
      <w:r w:rsidRPr="00C00255">
        <w:tab/>
      </w:r>
      <w:r w:rsidRPr="00C00255">
        <w:tab/>
      </w:r>
      <w:r w:rsidRPr="00C00255">
        <w:tab/>
      </w:r>
    </w:p>
    <w:p w:rsidR="00F27AEE" w:rsidRDefault="00F27AEE" w:rsidP="00DA38E9">
      <w:pPr>
        <w:tabs>
          <w:tab w:val="left" w:pos="7797"/>
        </w:tabs>
      </w:pPr>
    </w:p>
    <w:p w:rsidR="00DA38E9" w:rsidRDefault="00DA38E9" w:rsidP="00DA38E9">
      <w:pPr>
        <w:tabs>
          <w:tab w:val="left" w:pos="7797"/>
        </w:tabs>
      </w:pPr>
      <w:r w:rsidRPr="00C00255">
        <w:tab/>
        <w:t>Ernestas Rimšelis</w:t>
      </w:r>
    </w:p>
    <w:p w:rsidR="00DA38E9" w:rsidRPr="00C00255" w:rsidRDefault="00DA38E9" w:rsidP="00DA38E9">
      <w:pPr>
        <w:tabs>
          <w:tab w:val="left" w:pos="7797"/>
        </w:tabs>
      </w:pPr>
    </w:p>
    <w:p w:rsidR="00DA38E9" w:rsidRPr="00C00255" w:rsidRDefault="00DA38E9" w:rsidP="00DA38E9">
      <w:pPr>
        <w:tabs>
          <w:tab w:val="left" w:pos="7797"/>
        </w:tabs>
      </w:pPr>
    </w:p>
    <w:p w:rsidR="00DA38E9" w:rsidRPr="00C00255" w:rsidRDefault="00DA38E9" w:rsidP="00DA38E9">
      <w:pPr>
        <w:tabs>
          <w:tab w:val="left" w:pos="7655"/>
        </w:tabs>
        <w:jc w:val="center"/>
      </w:pPr>
      <w:r w:rsidRPr="00C00255">
        <w:tab/>
        <w:t xml:space="preserve"> Egidija Tamošiūnienė</w:t>
      </w:r>
    </w:p>
    <w:p w:rsidR="00DA38E9" w:rsidRPr="00DA38E9" w:rsidRDefault="00DA38E9" w:rsidP="00DA38E9">
      <w:r w:rsidRPr="00C00255">
        <w:br w:type="page"/>
      </w:r>
      <w:bookmarkStart w:id="1130" w:name="_Toc37947895"/>
      <w:bookmarkStart w:id="1131" w:name="_Toc67985590"/>
    </w:p>
    <w:p w:rsidR="00DA38E9" w:rsidRPr="0032248B" w:rsidRDefault="00DA38E9" w:rsidP="00DA38E9">
      <w:pPr>
        <w:pStyle w:val="Heading1"/>
        <w:spacing w:line="360" w:lineRule="auto"/>
        <w:ind w:left="8640"/>
        <w:jc w:val="both"/>
        <w:rPr>
          <w:rFonts w:eastAsiaTheme="minorEastAsia"/>
          <w:sz w:val="24"/>
          <w:szCs w:val="24"/>
        </w:rPr>
      </w:pPr>
      <w:r w:rsidRPr="0032248B">
        <w:rPr>
          <w:rFonts w:eastAsiaTheme="minorEastAsia"/>
          <w:sz w:val="24"/>
          <w:szCs w:val="24"/>
        </w:rPr>
        <w:t>PRIEDAS</w:t>
      </w:r>
      <w:bookmarkEnd w:id="1130"/>
      <w:bookmarkEnd w:id="1131"/>
    </w:p>
    <w:p w:rsidR="00DA38E9" w:rsidRPr="0032248B" w:rsidRDefault="00DA38E9" w:rsidP="00DA38E9">
      <w:pPr>
        <w:spacing w:before="120" w:after="120" w:line="360" w:lineRule="auto"/>
        <w:jc w:val="center"/>
        <w:rPr>
          <w:b/>
          <w:bCs/>
        </w:rPr>
      </w:pPr>
      <w:r w:rsidRPr="0032248B">
        <w:rPr>
          <w:b/>
          <w:bCs/>
        </w:rPr>
        <w:t xml:space="preserve">NUOSPRENDYJE </w:t>
      </w:r>
      <w:r w:rsidRPr="0032248B">
        <w:rPr>
          <w:b/>
        </w:rPr>
        <w:t>VARTOJAMOS SANTRUMPOS</w:t>
      </w:r>
    </w:p>
    <w:p w:rsidR="00DA38E9" w:rsidRPr="00307154" w:rsidRDefault="00DA38E9" w:rsidP="00DA38E9">
      <w:pPr>
        <w:pStyle w:val="ListParagraph"/>
        <w:spacing w:line="360" w:lineRule="auto"/>
        <w:ind w:left="0"/>
        <w:contextualSpacing w:val="0"/>
        <w:rPr>
          <w:szCs w:val="24"/>
        </w:rPr>
      </w:pPr>
      <w:r w:rsidRPr="00307154">
        <w:rPr>
          <w:b/>
          <w:szCs w:val="24"/>
        </w:rPr>
        <w:t>AK</w:t>
      </w:r>
      <w:r w:rsidRPr="00307154">
        <w:rPr>
          <w:szCs w:val="24"/>
        </w:rPr>
        <w:t xml:space="preserve"> – Kalašnikovo automatas (rus. </w:t>
      </w:r>
      <w:r w:rsidRPr="00307154">
        <w:rPr>
          <w:i/>
          <w:szCs w:val="24"/>
        </w:rPr>
        <w:t>avtomat Kalašnikova</w:t>
      </w:r>
      <w:r w:rsidRPr="00307154">
        <w:rPr>
          <w:szCs w:val="24"/>
        </w:rPr>
        <w:t>);</w:t>
      </w:r>
    </w:p>
    <w:p w:rsidR="00DA38E9" w:rsidRPr="00307154" w:rsidRDefault="00DA38E9" w:rsidP="00DA38E9">
      <w:pPr>
        <w:pStyle w:val="ListParagraph"/>
        <w:spacing w:line="360" w:lineRule="auto"/>
        <w:ind w:left="0"/>
        <w:contextualSpacing w:val="0"/>
        <w:rPr>
          <w:szCs w:val="24"/>
        </w:rPr>
      </w:pPr>
      <w:r w:rsidRPr="00307154">
        <w:rPr>
          <w:b/>
          <w:szCs w:val="24"/>
        </w:rPr>
        <w:t>AKS</w:t>
      </w:r>
      <w:r w:rsidRPr="00307154">
        <w:rPr>
          <w:szCs w:val="24"/>
        </w:rPr>
        <w:t xml:space="preserve"> – susilankstantis Kalašnikovo konstrukcijos automatas (rus. </w:t>
      </w:r>
      <w:r w:rsidRPr="00307154">
        <w:rPr>
          <w:i/>
          <w:szCs w:val="24"/>
        </w:rPr>
        <w:t>avtomat Kalašnikova skladyvajuščijsia</w:t>
      </w:r>
      <w:r w:rsidRPr="00307154">
        <w:rPr>
          <w:szCs w:val="24"/>
        </w:rPr>
        <w:t>);</w:t>
      </w:r>
    </w:p>
    <w:p w:rsidR="00DA38E9" w:rsidRPr="00307154" w:rsidRDefault="00DA38E9" w:rsidP="00DA38E9">
      <w:pPr>
        <w:pStyle w:val="ListParagraph"/>
        <w:spacing w:line="360" w:lineRule="auto"/>
        <w:ind w:left="0"/>
        <w:contextualSpacing w:val="0"/>
        <w:rPr>
          <w:szCs w:val="24"/>
        </w:rPr>
      </w:pPr>
      <w:r w:rsidRPr="00307154">
        <w:rPr>
          <w:rFonts w:eastAsia="Calibri"/>
          <w:b/>
          <w:szCs w:val="24"/>
        </w:rPr>
        <w:t>AKS-74U</w:t>
      </w:r>
      <w:r w:rsidRPr="00307154">
        <w:rPr>
          <w:rFonts w:eastAsia="Calibri"/>
          <w:szCs w:val="24"/>
        </w:rPr>
        <w:t xml:space="preserve"> – susilankstantis sutrumpintas Kalašnikovo konstrukcijos automatas (rus. </w:t>
      </w:r>
      <w:r w:rsidRPr="00307154">
        <w:rPr>
          <w:rFonts w:eastAsia="Calibri"/>
          <w:i/>
          <w:szCs w:val="24"/>
        </w:rPr>
        <w:t>avtomat Kalašnikova skladivajuščijsia ukoročennyj</w:t>
      </w:r>
      <w:r w:rsidRPr="00307154">
        <w:rPr>
          <w:rFonts w:eastAsia="Calibri"/>
          <w:szCs w:val="24"/>
        </w:rPr>
        <w:t>);</w:t>
      </w:r>
    </w:p>
    <w:p w:rsidR="00DA38E9" w:rsidRPr="00307154" w:rsidRDefault="00DA38E9" w:rsidP="00DA38E9">
      <w:pPr>
        <w:pStyle w:val="ListParagraph"/>
        <w:spacing w:line="360" w:lineRule="auto"/>
        <w:ind w:left="0"/>
        <w:contextualSpacing w:val="0"/>
        <w:rPr>
          <w:szCs w:val="24"/>
        </w:rPr>
      </w:pPr>
      <w:r w:rsidRPr="00307154">
        <w:rPr>
          <w:b/>
          <w:szCs w:val="24"/>
        </w:rPr>
        <w:t>AKMS</w:t>
      </w:r>
      <w:r w:rsidRPr="00307154">
        <w:rPr>
          <w:szCs w:val="24"/>
        </w:rPr>
        <w:t xml:space="preserve"> – susilankstantis modernizuotas Kalašnikovo konstrukcijos automatas (rus. </w:t>
      </w:r>
      <w:r w:rsidRPr="00307154">
        <w:rPr>
          <w:i/>
          <w:szCs w:val="24"/>
        </w:rPr>
        <w:t>avtomat Kalašnikova modernizirovannyj skladyvajuščijsia</w:t>
      </w:r>
      <w:r w:rsidRPr="00307154">
        <w:rPr>
          <w:szCs w:val="24"/>
        </w:rPr>
        <w:t>);</w:t>
      </w:r>
    </w:p>
    <w:p w:rsidR="00DA38E9" w:rsidRPr="00307154" w:rsidRDefault="00DA38E9" w:rsidP="00DA38E9">
      <w:pPr>
        <w:spacing w:line="360" w:lineRule="auto"/>
      </w:pPr>
      <w:r w:rsidRPr="00307154">
        <w:rPr>
          <w:b/>
        </w:rPr>
        <w:t xml:space="preserve">Asociacija </w:t>
      </w:r>
      <w:r w:rsidRPr="00307154">
        <w:t>– Laisvųjų verslininkų asociacija;</w:t>
      </w:r>
    </w:p>
    <w:p w:rsidR="00DA38E9" w:rsidRPr="00307154" w:rsidRDefault="00DA38E9" w:rsidP="00DA38E9">
      <w:pPr>
        <w:autoSpaceDN w:val="0"/>
        <w:spacing w:line="360" w:lineRule="auto"/>
        <w:rPr>
          <w:rFonts w:eastAsia="Calibri"/>
        </w:rPr>
      </w:pPr>
      <w:r w:rsidRPr="00307154">
        <w:rPr>
          <w:rFonts w:eastAsia="Calibri"/>
          <w:b/>
        </w:rPr>
        <w:t xml:space="preserve">AT </w:t>
      </w:r>
      <w:r w:rsidRPr="00307154">
        <w:rPr>
          <w:rFonts w:eastAsia="Calibri"/>
        </w:rPr>
        <w:t>– Lietuvos Respublikos Aukščiausioji Taryba;</w:t>
      </w:r>
    </w:p>
    <w:p w:rsidR="00DA38E9" w:rsidRPr="00307154" w:rsidRDefault="00DA38E9" w:rsidP="00DA38E9">
      <w:pPr>
        <w:pStyle w:val="ListParagraph"/>
        <w:spacing w:line="360" w:lineRule="auto"/>
        <w:ind w:left="0"/>
        <w:contextualSpacing w:val="0"/>
        <w:rPr>
          <w:rStyle w:val="clear"/>
          <w:szCs w:val="24"/>
        </w:rPr>
      </w:pPr>
      <w:r w:rsidRPr="00307154">
        <w:rPr>
          <w:b/>
          <w:szCs w:val="24"/>
        </w:rPr>
        <w:t xml:space="preserve">BK </w:t>
      </w:r>
      <w:r w:rsidRPr="00307154">
        <w:rPr>
          <w:szCs w:val="24"/>
        </w:rPr>
        <w:t xml:space="preserve">– </w:t>
      </w:r>
      <w:r w:rsidRPr="00307154">
        <w:rPr>
          <w:rStyle w:val="clear"/>
          <w:szCs w:val="24"/>
        </w:rPr>
        <w:t>Lietuvos Respublikos baudžiamasis kodeksas;</w:t>
      </w:r>
    </w:p>
    <w:p w:rsidR="00DA38E9" w:rsidRPr="00307154" w:rsidRDefault="00DA38E9" w:rsidP="00DA38E9">
      <w:pPr>
        <w:pStyle w:val="ListParagraph"/>
        <w:spacing w:line="360" w:lineRule="auto"/>
        <w:ind w:left="0"/>
        <w:contextualSpacing w:val="0"/>
        <w:rPr>
          <w:szCs w:val="24"/>
        </w:rPr>
      </w:pPr>
      <w:r w:rsidRPr="00307154">
        <w:rPr>
          <w:b/>
          <w:szCs w:val="24"/>
        </w:rPr>
        <w:t>BMD</w:t>
      </w:r>
      <w:r w:rsidRPr="00307154">
        <w:rPr>
          <w:szCs w:val="24"/>
        </w:rPr>
        <w:t xml:space="preserve"> – desantininkų kovinė mašina (rus. </w:t>
      </w:r>
      <w:r w:rsidRPr="00307154">
        <w:rPr>
          <w:i/>
          <w:szCs w:val="24"/>
        </w:rPr>
        <w:t>bojevaja mašina desanta</w:t>
      </w:r>
      <w:r w:rsidRPr="00307154">
        <w:rPr>
          <w:szCs w:val="24"/>
        </w:rPr>
        <w:t>);</w:t>
      </w:r>
    </w:p>
    <w:p w:rsidR="00DA38E9" w:rsidRPr="00307154" w:rsidRDefault="00DA38E9" w:rsidP="00DA38E9">
      <w:pPr>
        <w:autoSpaceDN w:val="0"/>
        <w:spacing w:line="360" w:lineRule="auto"/>
        <w:rPr>
          <w:rFonts w:eastAsia="Calibri"/>
        </w:rPr>
      </w:pPr>
      <w:r w:rsidRPr="00307154">
        <w:rPr>
          <w:rFonts w:eastAsia="Calibri"/>
          <w:b/>
        </w:rPr>
        <w:t>BMP</w:t>
      </w:r>
      <w:r w:rsidRPr="00307154">
        <w:rPr>
          <w:rFonts w:eastAsia="Calibri"/>
        </w:rPr>
        <w:t xml:space="preserve"> – pėstininkų kovinė mašina (</w:t>
      </w:r>
      <w:r w:rsidRPr="00307154">
        <w:rPr>
          <w:rFonts w:eastAsia="Calibri"/>
          <w:i/>
        </w:rPr>
        <w:t>rus. bojevaja mašina pechoty</w:t>
      </w:r>
      <w:r w:rsidRPr="00307154">
        <w:rPr>
          <w:rFonts w:eastAsia="Calibri"/>
        </w:rPr>
        <w:t>);</w:t>
      </w:r>
    </w:p>
    <w:p w:rsidR="00DA38E9" w:rsidRPr="00307154" w:rsidRDefault="00DA38E9" w:rsidP="00DA38E9">
      <w:pPr>
        <w:autoSpaceDN w:val="0"/>
        <w:spacing w:line="360" w:lineRule="auto"/>
        <w:rPr>
          <w:rStyle w:val="clear"/>
          <w:rFonts w:eastAsia="Calibri"/>
        </w:rPr>
      </w:pPr>
      <w:r w:rsidRPr="00307154">
        <w:rPr>
          <w:rFonts w:eastAsia="Calibri"/>
          <w:b/>
        </w:rPr>
        <w:t>b/n</w:t>
      </w:r>
      <w:r w:rsidRPr="00307154">
        <w:rPr>
          <w:rFonts w:eastAsia="Calibri"/>
        </w:rPr>
        <w:t xml:space="preserve"> – borto numeris;</w:t>
      </w:r>
    </w:p>
    <w:p w:rsidR="00DA38E9" w:rsidRPr="00307154" w:rsidRDefault="00DA38E9" w:rsidP="00DA38E9">
      <w:pPr>
        <w:spacing w:line="360" w:lineRule="auto"/>
      </w:pPr>
      <w:r w:rsidRPr="00307154">
        <w:rPr>
          <w:rStyle w:val="clear"/>
          <w:b/>
        </w:rPr>
        <w:t xml:space="preserve">BPK </w:t>
      </w:r>
      <w:r w:rsidRPr="00307154">
        <w:rPr>
          <w:rStyle w:val="clear"/>
        </w:rPr>
        <w:t xml:space="preserve">– </w:t>
      </w:r>
      <w:r w:rsidRPr="00307154">
        <w:t>Lietuvos Respublikos baudžiamojo proceso kodeksas;</w:t>
      </w:r>
    </w:p>
    <w:p w:rsidR="00DA38E9" w:rsidRPr="00307154" w:rsidRDefault="00DA38E9" w:rsidP="00DA38E9">
      <w:pPr>
        <w:autoSpaceDN w:val="0"/>
        <w:spacing w:line="360" w:lineRule="auto"/>
        <w:rPr>
          <w:rFonts w:eastAsia="Calibri"/>
        </w:rPr>
      </w:pPr>
      <w:r w:rsidRPr="00307154">
        <w:rPr>
          <w:rFonts w:eastAsia="Calibri"/>
          <w:b/>
        </w:rPr>
        <w:t>BRDM</w:t>
      </w:r>
      <w:r w:rsidRPr="00307154">
        <w:rPr>
          <w:rFonts w:eastAsia="Calibri"/>
        </w:rPr>
        <w:t xml:space="preserve"> – kovinė žvalgybos ir patruliavimo mašina (</w:t>
      </w:r>
      <w:r w:rsidRPr="00307154">
        <w:rPr>
          <w:rFonts w:eastAsia="Calibri"/>
          <w:i/>
        </w:rPr>
        <w:t>rus. bojevaja razvedovatelnaja dozornaja mašina</w:t>
      </w:r>
      <w:r w:rsidRPr="00307154">
        <w:rPr>
          <w:rFonts w:eastAsia="Calibri"/>
        </w:rPr>
        <w:t xml:space="preserve">); </w:t>
      </w:r>
    </w:p>
    <w:p w:rsidR="00DA38E9" w:rsidRPr="00307154" w:rsidRDefault="00DA38E9" w:rsidP="00DA38E9">
      <w:pPr>
        <w:autoSpaceDN w:val="0"/>
        <w:spacing w:line="360" w:lineRule="auto"/>
        <w:rPr>
          <w:rFonts w:eastAsia="Calibri"/>
        </w:rPr>
      </w:pPr>
      <w:r w:rsidRPr="00307154">
        <w:rPr>
          <w:rFonts w:eastAsia="Calibri"/>
          <w:b/>
        </w:rPr>
        <w:t>BTR</w:t>
      </w:r>
      <w:r w:rsidRPr="00307154">
        <w:rPr>
          <w:rFonts w:eastAsia="Calibri"/>
        </w:rPr>
        <w:t xml:space="preserve"> – šarvuotas transporteris (</w:t>
      </w:r>
      <w:r w:rsidRPr="00307154">
        <w:rPr>
          <w:rFonts w:eastAsia="Calibri"/>
          <w:i/>
        </w:rPr>
        <w:t>rus. bronetransportior</w:t>
      </w:r>
      <w:r w:rsidRPr="00307154">
        <w:rPr>
          <w:rFonts w:eastAsia="Calibri"/>
        </w:rPr>
        <w:t>);</w:t>
      </w:r>
    </w:p>
    <w:p w:rsidR="00DA38E9" w:rsidRPr="00307154" w:rsidRDefault="00DA38E9" w:rsidP="00DA38E9">
      <w:pPr>
        <w:autoSpaceDN w:val="0"/>
        <w:spacing w:line="360" w:lineRule="auto"/>
        <w:rPr>
          <w:rFonts w:eastAsia="Calibri"/>
        </w:rPr>
      </w:pPr>
      <w:r w:rsidRPr="00307154">
        <w:rPr>
          <w:rFonts w:eastAsia="Calibri"/>
          <w:b/>
        </w:rPr>
        <w:t>BTRD</w:t>
      </w:r>
      <w:r w:rsidRPr="00307154">
        <w:rPr>
          <w:rFonts w:eastAsia="Calibri"/>
        </w:rPr>
        <w:t xml:space="preserve"> – desanto šarvuotas transporteris (</w:t>
      </w:r>
      <w:r w:rsidRPr="00307154">
        <w:rPr>
          <w:rFonts w:eastAsia="Calibri"/>
          <w:i/>
        </w:rPr>
        <w:t>rus. bronetransportior desanta</w:t>
      </w:r>
      <w:r w:rsidRPr="00307154">
        <w:rPr>
          <w:rFonts w:eastAsia="Calibri"/>
        </w:rPr>
        <w:t>);</w:t>
      </w:r>
    </w:p>
    <w:p w:rsidR="00DA38E9" w:rsidRPr="00307154" w:rsidRDefault="00DA38E9" w:rsidP="00DA38E9">
      <w:pPr>
        <w:spacing w:line="360" w:lineRule="auto"/>
      </w:pPr>
      <w:r w:rsidRPr="00307154">
        <w:rPr>
          <w:b/>
        </w:rPr>
        <w:t>CK</w:t>
      </w:r>
      <w:r w:rsidRPr="00307154">
        <w:t xml:space="preserve"> – Lietuvos Respublikos civilinis kodeksas;</w:t>
      </w:r>
    </w:p>
    <w:p w:rsidR="00DA38E9" w:rsidRPr="00307154" w:rsidRDefault="00DA38E9" w:rsidP="00DA38E9">
      <w:pPr>
        <w:spacing w:line="360" w:lineRule="auto"/>
      </w:pPr>
      <w:r w:rsidRPr="00307154">
        <w:rPr>
          <w:b/>
        </w:rPr>
        <w:t>CPK</w:t>
      </w:r>
      <w:r w:rsidRPr="00307154">
        <w:t xml:space="preserve"> – Lietuvos Respublikos civilinio proceso kodeksas;</w:t>
      </w:r>
    </w:p>
    <w:p w:rsidR="00DA38E9" w:rsidRPr="00307154" w:rsidRDefault="00DA38E9" w:rsidP="00DA38E9">
      <w:pPr>
        <w:spacing w:line="360" w:lineRule="auto"/>
      </w:pPr>
      <w:r w:rsidRPr="00307154">
        <w:rPr>
          <w:b/>
        </w:rPr>
        <w:t xml:space="preserve">DM </w:t>
      </w:r>
      <w:r w:rsidRPr="00307154">
        <w:t xml:space="preserve">– dūminis užtaisas (rus. </w:t>
      </w:r>
      <w:r w:rsidRPr="00307154">
        <w:rPr>
          <w:i/>
        </w:rPr>
        <w:t>dymovaja šaška</w:t>
      </w:r>
      <w:r w:rsidRPr="00307154">
        <w:t>);</w:t>
      </w:r>
    </w:p>
    <w:p w:rsidR="00DA38E9" w:rsidRPr="00307154" w:rsidRDefault="00DA38E9" w:rsidP="00DA38E9">
      <w:pPr>
        <w:spacing w:line="360" w:lineRule="auto"/>
      </w:pPr>
      <w:r w:rsidRPr="00307154">
        <w:rPr>
          <w:b/>
        </w:rPr>
        <w:t>ESTT</w:t>
      </w:r>
      <w:r w:rsidRPr="00307154">
        <w:t xml:space="preserve"> – Europos Sąjungos Teisingumo Teismas;</w:t>
      </w:r>
    </w:p>
    <w:p w:rsidR="00DA38E9" w:rsidRPr="00307154" w:rsidRDefault="00DA38E9" w:rsidP="00DA38E9">
      <w:pPr>
        <w:spacing w:line="360" w:lineRule="auto"/>
      </w:pPr>
      <w:r w:rsidRPr="00307154">
        <w:rPr>
          <w:b/>
        </w:rPr>
        <w:t>EŽTK</w:t>
      </w:r>
      <w:r w:rsidRPr="00307154">
        <w:t xml:space="preserve"> – Europos žmogaus teisių ir pagrindinių laisvių apsaugos konvencija; </w:t>
      </w:r>
    </w:p>
    <w:p w:rsidR="00DA38E9" w:rsidRPr="00307154" w:rsidRDefault="00DA38E9" w:rsidP="00DA38E9">
      <w:pPr>
        <w:spacing w:line="360" w:lineRule="auto"/>
      </w:pPr>
      <w:r w:rsidRPr="00307154">
        <w:rPr>
          <w:b/>
        </w:rPr>
        <w:t>EŽTT</w:t>
      </w:r>
      <w:r w:rsidRPr="00307154">
        <w:t xml:space="preserve"> – Europos Žmogaus Teisių Teismas;</w:t>
      </w:r>
    </w:p>
    <w:p w:rsidR="00DA38E9" w:rsidRPr="00307154" w:rsidRDefault="00DA38E9" w:rsidP="00DA38E9">
      <w:pPr>
        <w:spacing w:line="360" w:lineRule="auto"/>
      </w:pPr>
      <w:r w:rsidRPr="00307154">
        <w:rPr>
          <w:b/>
        </w:rPr>
        <w:t xml:space="preserve">Generalinė prokuratūra </w:t>
      </w:r>
      <w:r w:rsidRPr="00307154">
        <w:t>– Lietuvos Respublikos generalinė prokuratūra</w:t>
      </w:r>
    </w:p>
    <w:p w:rsidR="00DA38E9" w:rsidRPr="00307154" w:rsidRDefault="00DA38E9" w:rsidP="00DA38E9">
      <w:pPr>
        <w:spacing w:line="360" w:lineRule="auto"/>
      </w:pPr>
      <w:r w:rsidRPr="00307154">
        <w:rPr>
          <w:b/>
        </w:rPr>
        <w:t xml:space="preserve">GM </w:t>
      </w:r>
      <w:r w:rsidRPr="00307154">
        <w:t>– TSRS gynybos ministerija;</w:t>
      </w:r>
    </w:p>
    <w:p w:rsidR="00DA38E9" w:rsidRPr="00307154" w:rsidRDefault="00DA38E9" w:rsidP="00DA38E9">
      <w:pPr>
        <w:autoSpaceDN w:val="0"/>
        <w:spacing w:line="360" w:lineRule="auto"/>
        <w:rPr>
          <w:rFonts w:eastAsia="Calibri"/>
        </w:rPr>
      </w:pPr>
      <w:r w:rsidRPr="00307154">
        <w:rPr>
          <w:rFonts w:eastAsia="Calibri"/>
          <w:b/>
        </w:rPr>
        <w:t>GSZ</w:t>
      </w:r>
      <w:r w:rsidRPr="00307154">
        <w:rPr>
          <w:rFonts w:eastAsia="Calibri"/>
        </w:rPr>
        <w:t xml:space="preserve"> – šviesos ir garso granata (</w:t>
      </w:r>
      <w:r w:rsidRPr="00307154">
        <w:rPr>
          <w:rFonts w:eastAsia="Calibri"/>
          <w:i/>
        </w:rPr>
        <w:t>rus. granata svietozvukovogo deistvija</w:t>
      </w:r>
      <w:r w:rsidRPr="00307154">
        <w:rPr>
          <w:rFonts w:eastAsia="Calibri"/>
        </w:rPr>
        <w:t>);</w:t>
      </w:r>
    </w:p>
    <w:p w:rsidR="00DA38E9" w:rsidRPr="00307154" w:rsidRDefault="00DA38E9" w:rsidP="00DA38E9">
      <w:pPr>
        <w:spacing w:line="360" w:lineRule="auto"/>
      </w:pPr>
      <w:r w:rsidRPr="00307154">
        <w:rPr>
          <w:b/>
        </w:rPr>
        <w:t>JT</w:t>
      </w:r>
      <w:r w:rsidRPr="00307154">
        <w:t xml:space="preserve"> – Jungtinių Tautų Organizacija;</w:t>
      </w:r>
    </w:p>
    <w:p w:rsidR="00DA38E9" w:rsidRPr="00307154" w:rsidRDefault="00DA38E9" w:rsidP="00DA38E9">
      <w:pPr>
        <w:spacing w:line="360" w:lineRule="auto"/>
      </w:pPr>
      <w:r w:rsidRPr="00307154">
        <w:rPr>
          <w:b/>
        </w:rPr>
        <w:t>Jugoslavijos tribunolas</w:t>
      </w:r>
      <w:r w:rsidRPr="00307154">
        <w:t xml:space="preserve"> – tarptautinis tribunolas teisti asmenis, atsakingus už sunkius tarptautinės humanitarinės teisės pažeidimus, padarytus buvusios Jugoslavijos teritorijoje nuo 1991 m., įsteigtas 1993 m. JT Saugumo Tarybos rezoliucijomis Nr. 808 ir 827;</w:t>
      </w:r>
    </w:p>
    <w:p w:rsidR="00DA38E9" w:rsidRPr="00307154" w:rsidRDefault="00DA38E9" w:rsidP="00DA38E9">
      <w:pPr>
        <w:spacing w:line="360" w:lineRule="auto"/>
      </w:pPr>
      <w:r w:rsidRPr="00307154">
        <w:rPr>
          <w:b/>
        </w:rPr>
        <w:t>Jugoslavijos tribunolo statutas</w:t>
      </w:r>
      <w:r w:rsidRPr="00307154">
        <w:t xml:space="preserve"> – Jugoslavijos tarptautinio tribunolo statutas;</w:t>
      </w:r>
    </w:p>
    <w:p w:rsidR="00DA38E9" w:rsidRPr="00307154" w:rsidRDefault="00DA38E9" w:rsidP="00DA38E9">
      <w:pPr>
        <w:autoSpaceDN w:val="0"/>
        <w:spacing w:line="360" w:lineRule="auto"/>
        <w:rPr>
          <w:rFonts w:eastAsia="Calibri"/>
        </w:rPr>
      </w:pPr>
      <w:r w:rsidRPr="00307154">
        <w:rPr>
          <w:rFonts w:eastAsia="Calibri"/>
          <w:b/>
        </w:rPr>
        <w:t>k/d</w:t>
      </w:r>
      <w:r w:rsidRPr="00307154">
        <w:rPr>
          <w:rFonts w:eastAsia="Calibri"/>
        </w:rPr>
        <w:t xml:space="preserve"> – karinis dalinys;</w:t>
      </w:r>
    </w:p>
    <w:p w:rsidR="00DA38E9" w:rsidRPr="00307154" w:rsidRDefault="00DA38E9" w:rsidP="00DA38E9">
      <w:pPr>
        <w:autoSpaceDN w:val="0"/>
        <w:spacing w:line="360" w:lineRule="auto"/>
        <w:rPr>
          <w:rFonts w:eastAsia="Calibri"/>
        </w:rPr>
      </w:pPr>
      <w:r w:rsidRPr="00307154">
        <w:rPr>
          <w:rFonts w:eastAsia="Calibri"/>
          <w:b/>
        </w:rPr>
        <w:t>k/n</w:t>
      </w:r>
      <w:r w:rsidRPr="00307154">
        <w:rPr>
          <w:rFonts w:eastAsia="Calibri"/>
        </w:rPr>
        <w:t xml:space="preserve"> – kėbulo numeris;</w:t>
      </w:r>
    </w:p>
    <w:p w:rsidR="00DA38E9" w:rsidRPr="00307154" w:rsidRDefault="00DA38E9" w:rsidP="00DA38E9">
      <w:pPr>
        <w:autoSpaceDN w:val="0"/>
        <w:spacing w:line="360" w:lineRule="auto"/>
        <w:rPr>
          <w:rFonts w:eastAsia="Calibri"/>
        </w:rPr>
      </w:pPr>
      <w:r w:rsidRPr="00307154">
        <w:rPr>
          <w:rFonts w:eastAsia="Calibri"/>
          <w:b/>
        </w:rPr>
        <w:t>KAD</w:t>
      </w:r>
      <w:r w:rsidRPr="00307154">
        <w:rPr>
          <w:rFonts w:eastAsia="Calibri"/>
        </w:rPr>
        <w:t xml:space="preserve"> – Krašto apsaugos departamentas;</w:t>
      </w:r>
    </w:p>
    <w:p w:rsidR="00DA38E9" w:rsidRPr="00307154" w:rsidRDefault="00DA38E9" w:rsidP="00DA38E9">
      <w:pPr>
        <w:autoSpaceDN w:val="0"/>
        <w:spacing w:line="360" w:lineRule="auto"/>
        <w:rPr>
          <w:rFonts w:eastAsia="Calibri"/>
        </w:rPr>
      </w:pPr>
      <w:r w:rsidRPr="00307154">
        <w:rPr>
          <w:rFonts w:eastAsia="Calibri"/>
          <w:b/>
          <w:bCs/>
        </w:rPr>
        <w:t>KGB</w:t>
      </w:r>
      <w:r w:rsidRPr="00307154">
        <w:rPr>
          <w:rFonts w:eastAsia="Calibri"/>
        </w:rPr>
        <w:t xml:space="preserve"> – </w:t>
      </w:r>
      <w:r w:rsidRPr="00307154">
        <w:rPr>
          <w:bCs/>
        </w:rPr>
        <w:t>Valstybės saugumo komitetas (tekste taip pat ir VSK)</w:t>
      </w:r>
    </w:p>
    <w:p w:rsidR="00DA38E9" w:rsidRPr="00307154" w:rsidRDefault="00DA38E9" w:rsidP="00DA38E9">
      <w:pPr>
        <w:spacing w:line="360" w:lineRule="auto"/>
      </w:pPr>
      <w:r w:rsidRPr="00307154">
        <w:rPr>
          <w:b/>
        </w:rPr>
        <w:t xml:space="preserve">Konstitucija </w:t>
      </w:r>
      <w:r w:rsidRPr="00307154">
        <w:t>– Lietuvos Respublikos Konstitucija;</w:t>
      </w:r>
    </w:p>
    <w:p w:rsidR="00DA38E9" w:rsidRPr="00307154" w:rsidRDefault="00DA38E9" w:rsidP="00DA38E9">
      <w:pPr>
        <w:spacing w:line="360" w:lineRule="auto"/>
      </w:pPr>
      <w:r w:rsidRPr="00307154">
        <w:rPr>
          <w:b/>
        </w:rPr>
        <w:t>Konstitucinis Teismas</w:t>
      </w:r>
      <w:r w:rsidRPr="00307154">
        <w:t xml:space="preserve"> – Lietuvos Respublikos Konstitucinis Teismas;</w:t>
      </w:r>
    </w:p>
    <w:p w:rsidR="00DA38E9" w:rsidRPr="00307154" w:rsidRDefault="00DA38E9" w:rsidP="00DA38E9">
      <w:pPr>
        <w:autoSpaceDN w:val="0"/>
        <w:spacing w:line="360" w:lineRule="auto"/>
        <w:rPr>
          <w:rFonts w:eastAsia="Calibri"/>
        </w:rPr>
      </w:pPr>
      <w:r w:rsidRPr="00307154">
        <w:rPr>
          <w:rFonts w:eastAsia="Calibri"/>
          <w:b/>
        </w:rPr>
        <w:t xml:space="preserve">KŠM </w:t>
      </w:r>
      <w:r w:rsidRPr="00307154">
        <w:rPr>
          <w:rFonts w:eastAsia="Calibri"/>
        </w:rPr>
        <w:t>– vadovavimo štabo mašina (kartais tekste nurodoma kaip KŠ (</w:t>
      </w:r>
      <w:r w:rsidRPr="00307154">
        <w:rPr>
          <w:rFonts w:eastAsia="Calibri"/>
          <w:i/>
        </w:rPr>
        <w:t>rus. komandno štabnaja mašina</w:t>
      </w:r>
      <w:r w:rsidRPr="00307154">
        <w:rPr>
          <w:rFonts w:eastAsia="Calibri"/>
        </w:rPr>
        <w:t>));</w:t>
      </w:r>
    </w:p>
    <w:p w:rsidR="00DA38E9" w:rsidRPr="00307154" w:rsidRDefault="00DA38E9" w:rsidP="00DA38E9">
      <w:pPr>
        <w:spacing w:line="360" w:lineRule="auto"/>
      </w:pPr>
      <w:r w:rsidRPr="00307154">
        <w:rPr>
          <w:b/>
        </w:rPr>
        <w:t xml:space="preserve">LAT </w:t>
      </w:r>
      <w:r w:rsidRPr="00307154">
        <w:t>– Lietuvos Aukščiausiasis Teismas;</w:t>
      </w:r>
    </w:p>
    <w:p w:rsidR="00DA38E9" w:rsidRPr="00307154" w:rsidRDefault="00DA38E9" w:rsidP="00DA38E9">
      <w:pPr>
        <w:spacing w:line="360" w:lineRule="auto"/>
      </w:pPr>
      <w:r w:rsidRPr="00307154">
        <w:rPr>
          <w:b/>
        </w:rPr>
        <w:t xml:space="preserve">LDDP </w:t>
      </w:r>
      <w:r w:rsidRPr="00307154">
        <w:t>– Lietuvos demokratinė darbo partija;</w:t>
      </w:r>
    </w:p>
    <w:p w:rsidR="00DA38E9" w:rsidRPr="00307154" w:rsidRDefault="00DA38E9" w:rsidP="00DA38E9">
      <w:pPr>
        <w:autoSpaceDN w:val="0"/>
        <w:spacing w:line="360" w:lineRule="auto"/>
        <w:rPr>
          <w:rFonts w:eastAsia="Calibri"/>
        </w:rPr>
      </w:pPr>
      <w:r w:rsidRPr="00307154">
        <w:rPr>
          <w:rFonts w:eastAsia="Calibri"/>
          <w:b/>
        </w:rPr>
        <w:t>LDJK</w:t>
      </w:r>
      <w:r w:rsidRPr="00307154">
        <w:rPr>
          <w:rFonts w:eastAsia="Calibri"/>
        </w:rPr>
        <w:t xml:space="preserve"> – Lietuvos demokratinių jėgų kongresas;</w:t>
      </w:r>
    </w:p>
    <w:p w:rsidR="00DA38E9" w:rsidRPr="00307154" w:rsidRDefault="00DA38E9" w:rsidP="00DA38E9">
      <w:pPr>
        <w:spacing w:line="360" w:lineRule="auto"/>
      </w:pPr>
      <w:r w:rsidRPr="00307154">
        <w:rPr>
          <w:b/>
        </w:rPr>
        <w:t>LKP</w:t>
      </w:r>
      <w:r w:rsidRPr="00307154">
        <w:t xml:space="preserve"> – Lietuvos komunistų partija;</w:t>
      </w:r>
    </w:p>
    <w:p w:rsidR="00DA38E9" w:rsidRPr="00307154" w:rsidRDefault="00DA38E9" w:rsidP="00DA38E9">
      <w:pPr>
        <w:spacing w:line="360" w:lineRule="auto"/>
        <w:rPr>
          <w:b/>
          <w:bCs/>
        </w:rPr>
      </w:pPr>
      <w:r w:rsidRPr="00307154">
        <w:rPr>
          <w:b/>
          <w:bCs/>
        </w:rPr>
        <w:t>LKP/TSPK CK –</w:t>
      </w:r>
      <w:r w:rsidRPr="00307154">
        <w:rPr>
          <w:b/>
        </w:rPr>
        <w:t xml:space="preserve"> </w:t>
      </w:r>
      <w:r w:rsidRPr="00307154">
        <w:t>Lietuvos komunistų partijos/Tarybų Sąjungos komunistų partijos Centro komitetas</w:t>
      </w:r>
    </w:p>
    <w:p w:rsidR="00DA38E9" w:rsidRPr="00307154" w:rsidRDefault="00DA38E9" w:rsidP="00DA38E9">
      <w:pPr>
        <w:spacing w:line="360" w:lineRule="auto"/>
      </w:pPr>
      <w:r w:rsidRPr="00307154">
        <w:rPr>
          <w:b/>
        </w:rPr>
        <w:t>LNGK</w:t>
      </w:r>
      <w:r w:rsidRPr="00307154">
        <w:t xml:space="preserve"> – Lietuvos nacionalinio gelbėjimo komitetas;</w:t>
      </w:r>
    </w:p>
    <w:p w:rsidR="00DA38E9" w:rsidRPr="00307154" w:rsidRDefault="00DA38E9" w:rsidP="00DA38E9">
      <w:pPr>
        <w:autoSpaceDN w:val="0"/>
        <w:spacing w:line="360" w:lineRule="auto"/>
        <w:rPr>
          <w:rFonts w:eastAsia="Calibri"/>
        </w:rPr>
      </w:pPr>
      <w:r w:rsidRPr="00307154">
        <w:rPr>
          <w:rFonts w:eastAsia="Calibri"/>
          <w:b/>
        </w:rPr>
        <w:t>LNM</w:t>
      </w:r>
      <w:r w:rsidRPr="00307154">
        <w:rPr>
          <w:rFonts w:eastAsia="Calibri"/>
        </w:rPr>
        <w:t xml:space="preserve"> – Lietuvos nacionalinis muziejus;</w:t>
      </w:r>
    </w:p>
    <w:p w:rsidR="00DA38E9" w:rsidRPr="00307154" w:rsidRDefault="00DA38E9" w:rsidP="00DA38E9">
      <w:pPr>
        <w:autoSpaceDN w:val="0"/>
        <w:spacing w:line="360" w:lineRule="auto"/>
        <w:rPr>
          <w:rFonts w:eastAsia="Calibri"/>
        </w:rPr>
      </w:pPr>
      <w:r w:rsidRPr="00307154">
        <w:rPr>
          <w:rFonts w:eastAsia="Calibri"/>
          <w:b/>
        </w:rPr>
        <w:t>LRS</w:t>
      </w:r>
      <w:r w:rsidRPr="00307154">
        <w:rPr>
          <w:rFonts w:eastAsia="Calibri"/>
        </w:rPr>
        <w:t xml:space="preserve"> – Lietuvos Respublikos Seimas;</w:t>
      </w:r>
    </w:p>
    <w:p w:rsidR="00DA38E9" w:rsidRPr="00307154" w:rsidRDefault="00DA38E9" w:rsidP="00DA38E9">
      <w:pPr>
        <w:spacing w:line="360" w:lineRule="auto"/>
      </w:pPr>
      <w:r w:rsidRPr="00307154">
        <w:rPr>
          <w:b/>
        </w:rPr>
        <w:t>LRT</w:t>
      </w:r>
      <w:r w:rsidRPr="00307154">
        <w:t xml:space="preserve"> – Lietuvos radijas ir televizija (buvęs Radijo ir televizijos komitetas (kartais tekste ir RTV komitetas arba TVR));</w:t>
      </w:r>
    </w:p>
    <w:p w:rsidR="00DA38E9" w:rsidRPr="00307154" w:rsidRDefault="00DA38E9" w:rsidP="00DA38E9">
      <w:pPr>
        <w:autoSpaceDN w:val="0"/>
        <w:spacing w:line="360" w:lineRule="auto"/>
        <w:rPr>
          <w:rFonts w:eastAsia="Calibri"/>
        </w:rPr>
      </w:pPr>
      <w:r w:rsidRPr="00307154">
        <w:rPr>
          <w:rFonts w:eastAsia="Calibri"/>
          <w:b/>
        </w:rPr>
        <w:t xml:space="preserve">LPS </w:t>
      </w:r>
      <w:r w:rsidRPr="00307154">
        <w:rPr>
          <w:rFonts w:eastAsia="Calibri"/>
        </w:rPr>
        <w:t>– lengva plieninė kulka (</w:t>
      </w:r>
      <w:r w:rsidRPr="00307154">
        <w:rPr>
          <w:rFonts w:eastAsia="Calibri"/>
          <w:i/>
        </w:rPr>
        <w:t>rus. liogkaja pulia stalnaja</w:t>
      </w:r>
      <w:r w:rsidRPr="00307154">
        <w:rPr>
          <w:rFonts w:eastAsia="Calibri"/>
        </w:rPr>
        <w:t>);</w:t>
      </w:r>
    </w:p>
    <w:p w:rsidR="00DA38E9" w:rsidRPr="00307154" w:rsidRDefault="00DA38E9" w:rsidP="00DA38E9">
      <w:pPr>
        <w:autoSpaceDN w:val="0"/>
        <w:spacing w:line="360" w:lineRule="auto"/>
        <w:rPr>
          <w:rFonts w:eastAsia="Calibri"/>
        </w:rPr>
      </w:pPr>
      <w:r w:rsidRPr="00307154">
        <w:rPr>
          <w:rFonts w:eastAsia="Calibri"/>
          <w:b/>
        </w:rPr>
        <w:t>LTEC</w:t>
      </w:r>
      <w:r w:rsidRPr="00307154">
        <w:rPr>
          <w:rFonts w:eastAsia="Calibri"/>
        </w:rPr>
        <w:t xml:space="preserve"> – Lietuvos teismo ekspertizės centras;</w:t>
      </w:r>
    </w:p>
    <w:p w:rsidR="00DA38E9" w:rsidRPr="00307154" w:rsidRDefault="00DA38E9" w:rsidP="00DA38E9">
      <w:pPr>
        <w:spacing w:line="360" w:lineRule="auto"/>
      </w:pPr>
      <w:r w:rsidRPr="00307154">
        <w:rPr>
          <w:b/>
        </w:rPr>
        <w:t>LTSR arba Lietuvos TSR</w:t>
      </w:r>
      <w:r w:rsidRPr="00307154">
        <w:t xml:space="preserve"> – Lietuvos Tarybų Socialistinė Respublika; </w:t>
      </w:r>
    </w:p>
    <w:p w:rsidR="00DA38E9" w:rsidRPr="00307154" w:rsidRDefault="00DA38E9" w:rsidP="00DA38E9">
      <w:pPr>
        <w:autoSpaceDN w:val="0"/>
        <w:spacing w:line="360" w:lineRule="auto"/>
        <w:rPr>
          <w:rFonts w:eastAsia="Calibri"/>
        </w:rPr>
      </w:pPr>
      <w:r w:rsidRPr="00307154">
        <w:rPr>
          <w:rFonts w:eastAsia="Calibri"/>
          <w:b/>
        </w:rPr>
        <w:t>mšd</w:t>
      </w:r>
      <w:r w:rsidRPr="00307154">
        <w:rPr>
          <w:rFonts w:eastAsia="Calibri"/>
        </w:rPr>
        <w:t xml:space="preserve"> – motorizuotų šaulių divizija;</w:t>
      </w:r>
    </w:p>
    <w:p w:rsidR="00DA38E9" w:rsidRPr="00307154" w:rsidRDefault="00DA38E9" w:rsidP="00DA38E9">
      <w:pPr>
        <w:autoSpaceDN w:val="0"/>
        <w:spacing w:line="360" w:lineRule="auto"/>
        <w:rPr>
          <w:rFonts w:eastAsia="Calibri"/>
        </w:rPr>
      </w:pPr>
      <w:r w:rsidRPr="00307154">
        <w:rPr>
          <w:rFonts w:eastAsia="Calibri"/>
          <w:b/>
        </w:rPr>
        <w:t>mšp</w:t>
      </w:r>
      <w:r w:rsidRPr="00307154">
        <w:rPr>
          <w:rFonts w:eastAsia="Calibri"/>
        </w:rPr>
        <w:t xml:space="preserve"> – motorizuotų šaulių pulkas;</w:t>
      </w:r>
    </w:p>
    <w:p w:rsidR="00DA38E9" w:rsidRPr="00307154" w:rsidRDefault="00DA38E9" w:rsidP="00DA38E9">
      <w:pPr>
        <w:autoSpaceDN w:val="0"/>
        <w:spacing w:line="360" w:lineRule="auto"/>
        <w:rPr>
          <w:rFonts w:eastAsia="Calibri"/>
        </w:rPr>
      </w:pPr>
      <w:r w:rsidRPr="00307154">
        <w:rPr>
          <w:rFonts w:eastAsia="Calibri"/>
          <w:b/>
        </w:rPr>
        <w:t>MŽD</w:t>
      </w:r>
      <w:r w:rsidRPr="00307154">
        <w:rPr>
          <w:rFonts w:eastAsia="Calibri"/>
        </w:rPr>
        <w:t xml:space="preserve"> – Medžiotojų ir žvejų draugija;</w:t>
      </w:r>
    </w:p>
    <w:p w:rsidR="00DA38E9" w:rsidRPr="00307154" w:rsidRDefault="00DA38E9" w:rsidP="00DA38E9">
      <w:pPr>
        <w:spacing w:line="360" w:lineRule="auto"/>
        <w:rPr>
          <w:rStyle w:val="st"/>
        </w:rPr>
      </w:pPr>
      <w:r w:rsidRPr="00307154">
        <w:rPr>
          <w:b/>
        </w:rPr>
        <w:t>NATO</w:t>
      </w:r>
      <w:r w:rsidRPr="00307154">
        <w:t xml:space="preserve"> – </w:t>
      </w:r>
      <w:r w:rsidRPr="00307154">
        <w:rPr>
          <w:rStyle w:val="st"/>
        </w:rPr>
        <w:t>Šiaurės Atlanto sutarties organizacija;</w:t>
      </w:r>
    </w:p>
    <w:p w:rsidR="00DA38E9" w:rsidRPr="00307154" w:rsidRDefault="00DA38E9" w:rsidP="00DA38E9">
      <w:pPr>
        <w:spacing w:line="360" w:lineRule="auto"/>
      </w:pPr>
      <w:r w:rsidRPr="00307154">
        <w:rPr>
          <w:b/>
        </w:rPr>
        <w:t>Niurnbergo tribunolo statutas</w:t>
      </w:r>
      <w:r w:rsidRPr="00307154">
        <w:t xml:space="preserve"> – 1945 m. rugpjūčio 8 d. Niurnbergo tarptautinio karinio tribunolo statutas, pridėtas prie 1945 m. rugpjūčio 8 d. Londono susitarimo „Dėl Europos ašies šalių pagrindinių karo nusikaltėlių persekiojimo ir nubaudimo“;</w:t>
      </w:r>
    </w:p>
    <w:p w:rsidR="00DA38E9" w:rsidRPr="00307154" w:rsidRDefault="00DA38E9" w:rsidP="00DA38E9">
      <w:pPr>
        <w:autoSpaceDN w:val="0"/>
        <w:spacing w:line="360" w:lineRule="auto"/>
        <w:rPr>
          <w:rFonts w:eastAsia="Calibri"/>
        </w:rPr>
      </w:pPr>
      <w:r w:rsidRPr="00307154">
        <w:rPr>
          <w:rFonts w:eastAsia="Calibri"/>
          <w:b/>
        </w:rPr>
        <w:t xml:space="preserve">odd </w:t>
      </w:r>
      <w:r w:rsidRPr="00307154">
        <w:rPr>
          <w:rFonts w:eastAsia="Calibri"/>
        </w:rPr>
        <w:t>– oro desanto divizija;</w:t>
      </w:r>
    </w:p>
    <w:p w:rsidR="00DA38E9" w:rsidRPr="00307154" w:rsidRDefault="00DA38E9" w:rsidP="00DA38E9">
      <w:pPr>
        <w:spacing w:line="360" w:lineRule="auto"/>
      </w:pPr>
      <w:r w:rsidRPr="00307154">
        <w:rPr>
          <w:b/>
        </w:rPr>
        <w:t>OMON</w:t>
      </w:r>
      <w:r w:rsidRPr="00307154">
        <w:t xml:space="preserve"> – ypatingosios paskirties milicijos būrys; </w:t>
      </w:r>
    </w:p>
    <w:p w:rsidR="00DA38E9" w:rsidRPr="00307154" w:rsidRDefault="00DA38E9" w:rsidP="00DA38E9">
      <w:pPr>
        <w:autoSpaceDN w:val="0"/>
        <w:spacing w:line="360" w:lineRule="auto"/>
        <w:rPr>
          <w:rFonts w:eastAsia="Calibri"/>
        </w:rPr>
      </w:pPr>
      <w:r w:rsidRPr="00307154">
        <w:rPr>
          <w:rFonts w:eastAsia="Calibri"/>
          <w:b/>
        </w:rPr>
        <w:t>pdb</w:t>
      </w:r>
      <w:r w:rsidRPr="00307154">
        <w:rPr>
          <w:rFonts w:eastAsia="Calibri"/>
        </w:rPr>
        <w:t xml:space="preserve"> – parašiutų desanto batalionas;</w:t>
      </w:r>
    </w:p>
    <w:p w:rsidR="00DA38E9" w:rsidRPr="00307154" w:rsidRDefault="00DA38E9" w:rsidP="00DA38E9">
      <w:pPr>
        <w:autoSpaceDN w:val="0"/>
        <w:spacing w:line="360" w:lineRule="auto"/>
        <w:rPr>
          <w:rFonts w:eastAsia="Calibri"/>
        </w:rPr>
      </w:pPr>
      <w:r w:rsidRPr="00307154">
        <w:rPr>
          <w:rFonts w:eastAsia="Calibri"/>
          <w:b/>
        </w:rPr>
        <w:t>pdp</w:t>
      </w:r>
      <w:r w:rsidRPr="00307154">
        <w:rPr>
          <w:rFonts w:eastAsia="Calibri"/>
        </w:rPr>
        <w:t xml:space="preserve"> – parašiutų desanto pulkas;</w:t>
      </w:r>
    </w:p>
    <w:p w:rsidR="00DA38E9" w:rsidRPr="00307154" w:rsidRDefault="00DA38E9" w:rsidP="00DA38E9">
      <w:pPr>
        <w:spacing w:line="360" w:lineRule="auto"/>
      </w:pPr>
      <w:r w:rsidRPr="00307154">
        <w:rPr>
          <w:b/>
        </w:rPr>
        <w:t>Piliečių komitetas</w:t>
      </w:r>
      <w:r w:rsidRPr="00307154">
        <w:t xml:space="preserve"> – Lietuvos TSR piliečių komitetas;</w:t>
      </w:r>
    </w:p>
    <w:p w:rsidR="00DA38E9" w:rsidRPr="00307154" w:rsidRDefault="00DA38E9" w:rsidP="00DA38E9">
      <w:pPr>
        <w:spacing w:line="360" w:lineRule="auto"/>
      </w:pPr>
      <w:r w:rsidRPr="00307154">
        <w:rPr>
          <w:b/>
        </w:rPr>
        <w:t xml:space="preserve">PK </w:t>
      </w:r>
      <w:r w:rsidRPr="00307154">
        <w:t xml:space="preserve">– Kalašnikovo konstrukcijos kulkosvaidis (rus. </w:t>
      </w:r>
      <w:r w:rsidRPr="00307154">
        <w:rPr>
          <w:i/>
          <w:iCs/>
        </w:rPr>
        <w:t>pulemiot Kalašnikova</w:t>
      </w:r>
      <w:r w:rsidRPr="00307154">
        <w:t>);</w:t>
      </w:r>
    </w:p>
    <w:p w:rsidR="00DA38E9" w:rsidRPr="00307154" w:rsidRDefault="00DA38E9" w:rsidP="00DA38E9">
      <w:pPr>
        <w:autoSpaceDN w:val="0"/>
        <w:spacing w:line="360" w:lineRule="auto"/>
        <w:rPr>
          <w:rFonts w:eastAsia="Calibri"/>
        </w:rPr>
      </w:pPr>
      <w:r w:rsidRPr="00307154">
        <w:rPr>
          <w:rFonts w:eastAsia="Calibri"/>
          <w:b/>
        </w:rPr>
        <w:t>PM</w:t>
      </w:r>
      <w:r w:rsidRPr="00307154">
        <w:rPr>
          <w:rFonts w:eastAsia="Calibri"/>
        </w:rPr>
        <w:t xml:space="preserve"> – Makarovo pistoletas (</w:t>
      </w:r>
      <w:r w:rsidRPr="00307154">
        <w:rPr>
          <w:rFonts w:eastAsia="Calibri"/>
          <w:i/>
        </w:rPr>
        <w:t>rus. pistolet Makarova</w:t>
      </w:r>
      <w:r w:rsidRPr="00307154">
        <w:rPr>
          <w:rFonts w:eastAsia="Calibri"/>
        </w:rPr>
        <w:t>);</w:t>
      </w:r>
    </w:p>
    <w:p w:rsidR="00DA38E9" w:rsidRPr="00307154" w:rsidRDefault="00DA38E9" w:rsidP="00DA38E9">
      <w:pPr>
        <w:spacing w:line="360" w:lineRule="auto"/>
      </w:pPr>
      <w:r w:rsidRPr="00307154">
        <w:rPr>
          <w:b/>
        </w:rPr>
        <w:t>Policijos akademija</w:t>
      </w:r>
      <w:r w:rsidRPr="00307154">
        <w:t xml:space="preserve"> – Lietuvos Respublikos VRM </w:t>
      </w:r>
      <w:bookmarkStart w:id="1132" w:name="_Hlk67915004"/>
      <w:r w:rsidRPr="00307154">
        <w:t xml:space="preserve">Policijos akademijos </w:t>
      </w:r>
      <w:bookmarkEnd w:id="1132"/>
      <w:r w:rsidRPr="00307154">
        <w:t>patalpos, esančios Valakupių g. 5, Vilniuje;</w:t>
      </w:r>
    </w:p>
    <w:p w:rsidR="00DA38E9" w:rsidRPr="00307154" w:rsidRDefault="00DA38E9" w:rsidP="00DA38E9">
      <w:pPr>
        <w:spacing w:line="360" w:lineRule="auto"/>
      </w:pPr>
      <w:r w:rsidRPr="00307154">
        <w:rPr>
          <w:b/>
        </w:rPr>
        <w:t>PR</w:t>
      </w:r>
      <w:r w:rsidRPr="00307154">
        <w:t xml:space="preserve"> – guminė lazda (rus. </w:t>
      </w:r>
      <w:r w:rsidRPr="00307154">
        <w:rPr>
          <w:i/>
        </w:rPr>
        <w:t>palka rezinovaja</w:t>
      </w:r>
      <w:r w:rsidRPr="00307154">
        <w:t xml:space="preserve">); </w:t>
      </w:r>
    </w:p>
    <w:p w:rsidR="00DA38E9" w:rsidRPr="00307154" w:rsidRDefault="00DA38E9" w:rsidP="00DA38E9">
      <w:pPr>
        <w:autoSpaceDN w:val="0"/>
        <w:spacing w:line="360" w:lineRule="auto"/>
        <w:rPr>
          <w:rFonts w:eastAsia="Calibri"/>
        </w:rPr>
      </w:pPr>
      <w:r w:rsidRPr="00307154">
        <w:rPr>
          <w:rFonts w:eastAsia="Calibri"/>
          <w:b/>
        </w:rPr>
        <w:t xml:space="preserve">PSM </w:t>
      </w:r>
      <w:r w:rsidRPr="00307154">
        <w:rPr>
          <w:rFonts w:eastAsia="Calibri"/>
        </w:rPr>
        <w:t>– pusiau automatinis Simarino konstrukcijos modernizuotas pistoletas (</w:t>
      </w:r>
      <w:r w:rsidRPr="00307154">
        <w:rPr>
          <w:rFonts w:eastAsia="Calibri"/>
          <w:i/>
        </w:rPr>
        <w:t>rus. poluavtomatičeskij Simarina modernizirovannyj</w:t>
      </w:r>
      <w:r w:rsidRPr="00307154">
        <w:rPr>
          <w:rFonts w:eastAsia="Calibri"/>
        </w:rPr>
        <w:t>);</w:t>
      </w:r>
    </w:p>
    <w:p w:rsidR="00DA38E9" w:rsidRPr="00307154" w:rsidRDefault="00DA38E9" w:rsidP="00DA38E9">
      <w:pPr>
        <w:autoSpaceDN w:val="0"/>
        <w:spacing w:line="360" w:lineRule="auto"/>
        <w:rPr>
          <w:rFonts w:eastAsia="Calibri"/>
        </w:rPr>
      </w:pPr>
      <w:r w:rsidRPr="00307154">
        <w:rPr>
          <w:rFonts w:eastAsia="Calibri"/>
          <w:b/>
        </w:rPr>
        <w:t>PSŽ</w:t>
      </w:r>
      <w:r w:rsidRPr="00307154">
        <w:rPr>
          <w:rFonts w:eastAsia="Calibri"/>
        </w:rPr>
        <w:t xml:space="preserve"> – hidraulinis specialusis pistoletas (</w:t>
      </w:r>
      <w:r w:rsidRPr="00307154">
        <w:rPr>
          <w:rFonts w:eastAsia="Calibri"/>
          <w:i/>
        </w:rPr>
        <w:t>rus. pistolet specialnyj židkostnoj</w:t>
      </w:r>
      <w:r w:rsidRPr="00307154">
        <w:rPr>
          <w:rFonts w:eastAsia="Calibri"/>
        </w:rPr>
        <w:t>);</w:t>
      </w:r>
    </w:p>
    <w:p w:rsidR="00DA38E9" w:rsidRPr="00307154" w:rsidRDefault="00DA38E9" w:rsidP="00DA38E9">
      <w:pPr>
        <w:autoSpaceDN w:val="0"/>
        <w:spacing w:line="360" w:lineRule="auto"/>
        <w:rPr>
          <w:rFonts w:eastAsia="Calibri"/>
        </w:rPr>
      </w:pPr>
      <w:r w:rsidRPr="00307154">
        <w:rPr>
          <w:rFonts w:eastAsia="Calibri"/>
          <w:b/>
        </w:rPr>
        <w:t>RDG</w:t>
      </w:r>
      <w:r w:rsidRPr="00307154">
        <w:rPr>
          <w:rFonts w:eastAsia="Calibri"/>
        </w:rPr>
        <w:t xml:space="preserve"> – rankinė dūminė granata (rus. ručnaja dymovaja granata); </w:t>
      </w:r>
    </w:p>
    <w:p w:rsidR="00DA38E9" w:rsidRPr="00307154" w:rsidRDefault="00DA38E9" w:rsidP="00DA38E9">
      <w:pPr>
        <w:autoSpaceDN w:val="0"/>
        <w:spacing w:line="360" w:lineRule="auto"/>
        <w:rPr>
          <w:rFonts w:eastAsia="Calibri"/>
        </w:rPr>
      </w:pPr>
      <w:r w:rsidRPr="00307154">
        <w:rPr>
          <w:rFonts w:eastAsia="Calibri"/>
          <w:b/>
        </w:rPr>
        <w:t>RGS</w:t>
      </w:r>
      <w:r w:rsidRPr="00307154">
        <w:rPr>
          <w:rFonts w:eastAsia="Calibri"/>
        </w:rPr>
        <w:t xml:space="preserve"> – specialusis rankinis granatsvaidis (</w:t>
      </w:r>
      <w:r w:rsidRPr="00307154">
        <w:rPr>
          <w:rFonts w:eastAsia="Calibri"/>
          <w:i/>
        </w:rPr>
        <w:t>rus. ručnoj granatamiot specialnyj</w:t>
      </w:r>
      <w:r w:rsidRPr="00307154">
        <w:rPr>
          <w:rFonts w:eastAsia="Calibri"/>
        </w:rPr>
        <w:t xml:space="preserve">); </w:t>
      </w:r>
    </w:p>
    <w:p w:rsidR="00DA38E9" w:rsidRPr="00307154" w:rsidRDefault="00DA38E9" w:rsidP="00DA38E9">
      <w:pPr>
        <w:spacing w:line="360" w:lineRule="auto"/>
        <w:rPr>
          <w:rStyle w:val="clear"/>
        </w:rPr>
      </w:pPr>
      <w:r w:rsidRPr="00307154">
        <w:rPr>
          <w:rStyle w:val="clear"/>
          <w:b/>
        </w:rPr>
        <w:t xml:space="preserve">Romos statutas </w:t>
      </w:r>
      <w:r w:rsidRPr="00307154">
        <w:rPr>
          <w:rStyle w:val="clear"/>
        </w:rPr>
        <w:t>–  Tarptautinio Baudžiamojo Teismo Romos statutas;</w:t>
      </w:r>
    </w:p>
    <w:p w:rsidR="00DA38E9" w:rsidRPr="00307154" w:rsidRDefault="00DA38E9" w:rsidP="00DA38E9">
      <w:pPr>
        <w:autoSpaceDN w:val="0"/>
        <w:spacing w:line="360" w:lineRule="auto"/>
        <w:rPr>
          <w:rFonts w:eastAsia="Calibri"/>
        </w:rPr>
      </w:pPr>
      <w:r w:rsidRPr="00307154">
        <w:rPr>
          <w:rFonts w:eastAsia="Calibri"/>
          <w:b/>
        </w:rPr>
        <w:t>RPK</w:t>
      </w:r>
      <w:r w:rsidRPr="00307154">
        <w:rPr>
          <w:rFonts w:eastAsia="Calibri"/>
        </w:rPr>
        <w:t xml:space="preserve"> – rankinis Kalašnikovo konstrukcijos kulkosvaidis (</w:t>
      </w:r>
      <w:r w:rsidRPr="00307154">
        <w:rPr>
          <w:rFonts w:eastAsia="Calibri"/>
          <w:i/>
        </w:rPr>
        <w:t>rus. ručnoj pulemiot Kalašnikova</w:t>
      </w:r>
      <w:r w:rsidRPr="00307154">
        <w:rPr>
          <w:rFonts w:eastAsia="Calibri"/>
        </w:rPr>
        <w:t xml:space="preserve">); </w:t>
      </w:r>
    </w:p>
    <w:p w:rsidR="00DA38E9" w:rsidRPr="00307154" w:rsidRDefault="00DA38E9" w:rsidP="00DA38E9">
      <w:pPr>
        <w:autoSpaceDN w:val="0"/>
        <w:spacing w:line="360" w:lineRule="auto"/>
        <w:rPr>
          <w:rFonts w:eastAsia="Calibri"/>
        </w:rPr>
      </w:pPr>
      <w:r w:rsidRPr="00307154">
        <w:rPr>
          <w:rFonts w:eastAsia="Calibri"/>
          <w:b/>
        </w:rPr>
        <w:t>RPKS</w:t>
      </w:r>
      <w:r w:rsidRPr="00307154">
        <w:rPr>
          <w:rFonts w:eastAsia="Calibri"/>
        </w:rPr>
        <w:t xml:space="preserve"> – susilankstantis rankinis Kalašnikovo konstrukcijos kulkosvaidis (</w:t>
      </w:r>
      <w:r w:rsidRPr="00307154">
        <w:rPr>
          <w:rFonts w:eastAsia="Calibri"/>
          <w:i/>
        </w:rPr>
        <w:t>rus. ručnoj pulemiot Kalašnikova skladyvajuščijsia</w:t>
      </w:r>
      <w:r w:rsidRPr="00307154">
        <w:rPr>
          <w:rFonts w:eastAsia="Calibri"/>
        </w:rPr>
        <w:t xml:space="preserve">); </w:t>
      </w:r>
    </w:p>
    <w:p w:rsidR="00DA38E9" w:rsidRPr="00307154" w:rsidRDefault="00DA38E9" w:rsidP="00DA38E9">
      <w:pPr>
        <w:autoSpaceDN w:val="0"/>
        <w:spacing w:line="360" w:lineRule="auto"/>
        <w:ind w:right="709"/>
        <w:rPr>
          <w:rStyle w:val="clear"/>
          <w:rFonts w:eastAsia="Calibri"/>
        </w:rPr>
      </w:pPr>
      <w:r w:rsidRPr="00307154">
        <w:rPr>
          <w:rFonts w:eastAsia="Calibri"/>
          <w:b/>
        </w:rPr>
        <w:t xml:space="preserve">RSFSR / RTFSR </w:t>
      </w:r>
      <w:r w:rsidRPr="00307154">
        <w:rPr>
          <w:rFonts w:eastAsia="Calibri"/>
        </w:rPr>
        <w:t>– Rusijos Sovietų Federacinė Socialistinė Respublika / Rusijos Tarybų Federacinė Socialistinė Respublika;</w:t>
      </w:r>
    </w:p>
    <w:p w:rsidR="00DA38E9" w:rsidRPr="00307154" w:rsidRDefault="00DA38E9" w:rsidP="00DA38E9">
      <w:pPr>
        <w:spacing w:line="360" w:lineRule="auto"/>
      </w:pPr>
      <w:r w:rsidRPr="00307154">
        <w:rPr>
          <w:b/>
        </w:rPr>
        <w:t>Ruandos tribunolas</w:t>
      </w:r>
      <w:r w:rsidRPr="00307154">
        <w:t xml:space="preserve"> – Tarptautinis baudžiamasis tribunolas teisti asmenis, atsakingus už genocidą ir kitus sunkius tarptautinės humanitarinės teisės pažeidimus, padarytus Ruandos teritorijoje, ir Ruandos piliečius, atsakingus už genocidą ir kitus panašius pažeidimus, padarytus kaimyninių valstybių teritorijoje, 1994 m. sausio 1–gruodžio 31 d. laikotarpiu, įsteigtas 1994 m. lapkričio 8 d. Jungtinių Tautų Saugumo Tarybos rezoliucija Nr. 955;</w:t>
      </w:r>
    </w:p>
    <w:p w:rsidR="00DA38E9" w:rsidRPr="00307154" w:rsidRDefault="00DA38E9" w:rsidP="00DA38E9">
      <w:pPr>
        <w:spacing w:line="360" w:lineRule="auto"/>
        <w:rPr>
          <w:rStyle w:val="clear"/>
        </w:rPr>
      </w:pPr>
      <w:r w:rsidRPr="00307154">
        <w:rPr>
          <w:rStyle w:val="clear"/>
          <w:b/>
        </w:rPr>
        <w:t>Ruandos tribunolo statutas</w:t>
      </w:r>
      <w:r w:rsidRPr="00307154">
        <w:rPr>
          <w:rStyle w:val="clear"/>
        </w:rPr>
        <w:t xml:space="preserve"> – Ruandos tarptautinio karo tribunolo statutas;</w:t>
      </w:r>
    </w:p>
    <w:p w:rsidR="00DA38E9" w:rsidRPr="00307154" w:rsidRDefault="00DA38E9" w:rsidP="00DA38E9">
      <w:pPr>
        <w:autoSpaceDN w:val="0"/>
        <w:spacing w:line="360" w:lineRule="auto"/>
        <w:rPr>
          <w:rFonts w:eastAsia="Calibri"/>
          <w:b/>
        </w:rPr>
      </w:pPr>
      <w:r w:rsidRPr="00307154">
        <w:rPr>
          <w:rFonts w:eastAsia="Calibri"/>
          <w:b/>
        </w:rPr>
        <w:t xml:space="preserve">Sąjūdis – </w:t>
      </w:r>
      <w:r w:rsidRPr="00307154">
        <w:rPr>
          <w:rFonts w:eastAsia="Calibri"/>
        </w:rPr>
        <w:t>Lietuvos Persitvarkymo Sąjūdis;</w:t>
      </w:r>
    </w:p>
    <w:p w:rsidR="00DA38E9" w:rsidRPr="00307154" w:rsidRDefault="00DA38E9" w:rsidP="00DA38E9">
      <w:pPr>
        <w:autoSpaceDN w:val="0"/>
        <w:spacing w:line="360" w:lineRule="auto"/>
        <w:rPr>
          <w:rStyle w:val="clear"/>
          <w:rFonts w:eastAsia="Calibri"/>
        </w:rPr>
      </w:pPr>
      <w:r w:rsidRPr="00307154">
        <w:rPr>
          <w:rFonts w:eastAsia="Calibri"/>
          <w:b/>
        </w:rPr>
        <w:t>SKS</w:t>
      </w:r>
      <w:r w:rsidRPr="00307154">
        <w:rPr>
          <w:rFonts w:eastAsia="Calibri"/>
        </w:rPr>
        <w:t xml:space="preserve"> – savaime užsitaisantis Simonovo karabinas (</w:t>
      </w:r>
      <w:r w:rsidRPr="00307154">
        <w:rPr>
          <w:rFonts w:eastAsia="Calibri"/>
          <w:i/>
        </w:rPr>
        <w:t>rus. samozariadnyj karabin Simonova</w:t>
      </w:r>
      <w:r w:rsidRPr="00307154">
        <w:rPr>
          <w:rFonts w:eastAsia="Calibri"/>
        </w:rPr>
        <w:t>);</w:t>
      </w:r>
    </w:p>
    <w:p w:rsidR="00DA38E9" w:rsidRPr="00307154" w:rsidRDefault="00DA38E9" w:rsidP="00DA38E9">
      <w:pPr>
        <w:spacing w:line="360" w:lineRule="auto"/>
      </w:pPr>
      <w:r w:rsidRPr="00307154">
        <w:rPr>
          <w:rStyle w:val="clear"/>
          <w:b/>
        </w:rPr>
        <w:t>Spaudos rūmai</w:t>
      </w:r>
      <w:r w:rsidRPr="00307154">
        <w:rPr>
          <w:rStyle w:val="clear"/>
        </w:rPr>
        <w:t xml:space="preserve"> – Lietuvos Respublikos valstybinė leidybos įmonė „Spauda“, </w:t>
      </w:r>
      <w:r w:rsidRPr="00307154">
        <w:rPr>
          <w:rFonts w:eastAsia="Calibri"/>
        </w:rPr>
        <w:t>Kosmonautų pr. 60, Vilniuje</w:t>
      </w:r>
      <w:r w:rsidRPr="00307154">
        <w:rPr>
          <w:rStyle w:val="clear"/>
        </w:rPr>
        <w:t>;</w:t>
      </w:r>
    </w:p>
    <w:p w:rsidR="00DA38E9" w:rsidRPr="00307154" w:rsidRDefault="00DA38E9" w:rsidP="00DA38E9">
      <w:pPr>
        <w:spacing w:line="360" w:lineRule="auto"/>
      </w:pPr>
      <w:r w:rsidRPr="00307154">
        <w:rPr>
          <w:b/>
        </w:rPr>
        <w:t>SVD</w:t>
      </w:r>
      <w:r w:rsidRPr="00307154">
        <w:t xml:space="preserve"> – Dragunovo konstrukcijos snaiperių šautuvas (rus. </w:t>
      </w:r>
      <w:r w:rsidRPr="00307154">
        <w:rPr>
          <w:i/>
        </w:rPr>
        <w:t>snaiperskaja vintovka Dragunova</w:t>
      </w:r>
      <w:r w:rsidRPr="00307154">
        <w:t>);</w:t>
      </w:r>
    </w:p>
    <w:p w:rsidR="00DA38E9" w:rsidRPr="00307154" w:rsidRDefault="00DA38E9" w:rsidP="00DA38E9">
      <w:pPr>
        <w:spacing w:line="360" w:lineRule="auto"/>
      </w:pPr>
      <w:r w:rsidRPr="00307154">
        <w:rPr>
          <w:rFonts w:eastAsia="Calibri"/>
          <w:b/>
        </w:rPr>
        <w:t>TASK</w:t>
      </w:r>
      <w:r w:rsidRPr="00307154">
        <w:rPr>
          <w:rFonts w:eastAsia="Calibri"/>
        </w:rPr>
        <w:t xml:space="preserve"> – Televizijos aparatinių ir studijų kompleksas;</w:t>
      </w:r>
    </w:p>
    <w:p w:rsidR="00DA38E9" w:rsidRPr="00307154" w:rsidRDefault="00DA38E9" w:rsidP="00DA38E9">
      <w:pPr>
        <w:spacing w:line="360" w:lineRule="auto"/>
      </w:pPr>
      <w:r w:rsidRPr="00307154">
        <w:rPr>
          <w:b/>
        </w:rPr>
        <w:t>TBT</w:t>
      </w:r>
      <w:r w:rsidRPr="00307154">
        <w:t xml:space="preserve"> – Tarptautinis Baudžiamasis Teismas;</w:t>
      </w:r>
    </w:p>
    <w:p w:rsidR="00DA38E9" w:rsidRPr="00307154" w:rsidRDefault="00DA38E9" w:rsidP="00DA38E9">
      <w:pPr>
        <w:autoSpaceDN w:val="0"/>
        <w:spacing w:line="360" w:lineRule="auto"/>
        <w:rPr>
          <w:rFonts w:eastAsia="Calibri"/>
        </w:rPr>
      </w:pPr>
      <w:r w:rsidRPr="00307154">
        <w:rPr>
          <w:rFonts w:eastAsia="Calibri"/>
          <w:b/>
        </w:rPr>
        <w:t>tp</w:t>
      </w:r>
      <w:r w:rsidRPr="00307154">
        <w:rPr>
          <w:rFonts w:eastAsia="Calibri"/>
        </w:rPr>
        <w:t xml:space="preserve"> – tankų pulkas;</w:t>
      </w:r>
    </w:p>
    <w:p w:rsidR="00DA38E9" w:rsidRPr="00307154" w:rsidRDefault="00DA38E9" w:rsidP="00DA38E9">
      <w:pPr>
        <w:spacing w:line="360" w:lineRule="auto"/>
      </w:pPr>
      <w:r w:rsidRPr="00307154">
        <w:rPr>
          <w:b/>
        </w:rPr>
        <w:t>TSKP</w:t>
      </w:r>
      <w:r w:rsidRPr="00307154">
        <w:t xml:space="preserve"> – Tarybų Sąjungos komunistų partija;</w:t>
      </w:r>
    </w:p>
    <w:p w:rsidR="00DA38E9" w:rsidRPr="00307154" w:rsidRDefault="00DA38E9" w:rsidP="00DA38E9">
      <w:pPr>
        <w:spacing w:line="360" w:lineRule="auto"/>
      </w:pPr>
      <w:r w:rsidRPr="00307154">
        <w:rPr>
          <w:b/>
        </w:rPr>
        <w:t>TSRS / SSRS</w:t>
      </w:r>
      <w:r w:rsidRPr="00307154">
        <w:t xml:space="preserve"> – Tarybų Socialistinių Respublikų Sąjunga / Sovietinių Socialistinių Respublikų Sąjunga;</w:t>
      </w:r>
    </w:p>
    <w:p w:rsidR="00DA38E9" w:rsidRPr="00307154" w:rsidRDefault="00DA38E9" w:rsidP="00DA38E9">
      <w:pPr>
        <w:autoSpaceDN w:val="0"/>
        <w:spacing w:line="360" w:lineRule="auto"/>
        <w:rPr>
          <w:rFonts w:eastAsia="Calibri"/>
        </w:rPr>
      </w:pPr>
      <w:r w:rsidRPr="00307154">
        <w:rPr>
          <w:rFonts w:eastAsia="Calibri"/>
          <w:b/>
        </w:rPr>
        <w:t xml:space="preserve">TSRS AT </w:t>
      </w:r>
      <w:r w:rsidRPr="00307154">
        <w:rPr>
          <w:rFonts w:eastAsia="Calibri"/>
        </w:rPr>
        <w:t>– Tarybų Socialistinių Respublikų Sąjungos Aukščiausioji Taryba;</w:t>
      </w:r>
    </w:p>
    <w:p w:rsidR="00DA38E9" w:rsidRPr="00307154" w:rsidRDefault="00DA38E9" w:rsidP="00DA38E9">
      <w:pPr>
        <w:spacing w:line="360" w:lineRule="auto"/>
      </w:pPr>
      <w:r w:rsidRPr="00307154">
        <w:rPr>
          <w:b/>
        </w:rPr>
        <w:t>TV bokštas</w:t>
      </w:r>
      <w:r w:rsidRPr="00307154">
        <w:t xml:space="preserve"> – Lietuvos radijo ir televizijos centras;</w:t>
      </w:r>
    </w:p>
    <w:p w:rsidR="00DA38E9" w:rsidRPr="00307154" w:rsidRDefault="00DA38E9" w:rsidP="00DA38E9">
      <w:pPr>
        <w:autoSpaceDN w:val="0"/>
        <w:spacing w:line="360" w:lineRule="auto"/>
        <w:rPr>
          <w:rFonts w:eastAsia="Calibri"/>
        </w:rPr>
      </w:pPr>
      <w:r w:rsidRPr="00307154">
        <w:rPr>
          <w:rFonts w:eastAsia="Calibri"/>
          <w:b/>
        </w:rPr>
        <w:t xml:space="preserve">VČ </w:t>
      </w:r>
      <w:r w:rsidRPr="00307154">
        <w:rPr>
          <w:rFonts w:eastAsia="Calibri"/>
        </w:rPr>
        <w:t>– vyriausybinis ir karinis aukšto dažnio ryšys (</w:t>
      </w:r>
      <w:r w:rsidRPr="00307154">
        <w:rPr>
          <w:rFonts w:eastAsia="Calibri"/>
          <w:i/>
        </w:rPr>
        <w:t>rus. vysokočastotnaja sviaz</w:t>
      </w:r>
      <w:r w:rsidRPr="00307154">
        <w:rPr>
          <w:rFonts w:eastAsia="Calibri"/>
        </w:rPr>
        <w:t>);</w:t>
      </w:r>
    </w:p>
    <w:p w:rsidR="00DA38E9" w:rsidRPr="00307154" w:rsidRDefault="00DA38E9" w:rsidP="00DA38E9">
      <w:pPr>
        <w:autoSpaceDN w:val="0"/>
        <w:spacing w:line="360" w:lineRule="auto"/>
        <w:rPr>
          <w:rFonts w:eastAsia="Calibri"/>
        </w:rPr>
      </w:pPr>
      <w:r w:rsidRPr="00307154">
        <w:rPr>
          <w:rFonts w:eastAsia="Calibri"/>
          <w:b/>
        </w:rPr>
        <w:t xml:space="preserve">Visuotinė žmogaus teisių deklaracija – </w:t>
      </w:r>
      <w:r w:rsidRPr="00307154">
        <w:rPr>
          <w:rFonts w:eastAsia="Calibri"/>
        </w:rPr>
        <w:t>JT Generalinės Asamblėjos 1948 m. gruodžio 10 d. rezoliucija 217 A (III) patvirtinta Visuotinė žmogaus teisių deklaracija;</w:t>
      </w:r>
    </w:p>
    <w:p w:rsidR="00DA38E9" w:rsidRPr="00307154" w:rsidRDefault="00DA38E9" w:rsidP="00DA38E9">
      <w:pPr>
        <w:autoSpaceDN w:val="0"/>
        <w:spacing w:line="360" w:lineRule="auto"/>
        <w:rPr>
          <w:rFonts w:eastAsia="Calibri"/>
        </w:rPr>
      </w:pPr>
      <w:r w:rsidRPr="00307154">
        <w:rPr>
          <w:rFonts w:eastAsia="Calibri"/>
          <w:b/>
        </w:rPr>
        <w:t>VK</w:t>
      </w:r>
      <w:r w:rsidRPr="00307154">
        <w:rPr>
          <w:rFonts w:eastAsia="Calibri"/>
        </w:rPr>
        <w:t xml:space="preserve"> – Vidaus kariuomenė;</w:t>
      </w:r>
    </w:p>
    <w:p w:rsidR="00DA38E9" w:rsidRPr="00307154" w:rsidRDefault="00DA38E9" w:rsidP="00DA38E9">
      <w:pPr>
        <w:spacing w:line="360" w:lineRule="auto"/>
      </w:pPr>
      <w:r w:rsidRPr="00307154">
        <w:rPr>
          <w:b/>
        </w:rPr>
        <w:t>VRM</w:t>
      </w:r>
      <w:r w:rsidRPr="00307154">
        <w:t xml:space="preserve"> – Vidaus reikalų ministerija;</w:t>
      </w:r>
    </w:p>
    <w:p w:rsidR="00DA38E9" w:rsidRPr="00307154" w:rsidRDefault="00DA38E9" w:rsidP="00DA38E9">
      <w:pPr>
        <w:autoSpaceDN w:val="0"/>
        <w:spacing w:line="360" w:lineRule="auto"/>
        <w:rPr>
          <w:rFonts w:eastAsia="Calibri"/>
        </w:rPr>
      </w:pPr>
      <w:r w:rsidRPr="00307154">
        <w:rPr>
          <w:rFonts w:eastAsia="Calibri"/>
          <w:b/>
        </w:rPr>
        <w:t>VSD</w:t>
      </w:r>
      <w:r w:rsidRPr="00307154">
        <w:rPr>
          <w:rFonts w:eastAsia="Calibri"/>
        </w:rPr>
        <w:t xml:space="preserve"> – Valstybės saugumo departamentas;</w:t>
      </w:r>
    </w:p>
    <w:p w:rsidR="00DA38E9" w:rsidRPr="00307154" w:rsidRDefault="00DA38E9" w:rsidP="00DA38E9">
      <w:pPr>
        <w:spacing w:line="360" w:lineRule="auto"/>
      </w:pPr>
      <w:r w:rsidRPr="00307154">
        <w:rPr>
          <w:b/>
        </w:rPr>
        <w:t>VSK</w:t>
      </w:r>
      <w:r w:rsidRPr="00307154">
        <w:t xml:space="preserve"> – Valstybės saugumo komitetas;</w:t>
      </w:r>
    </w:p>
    <w:p w:rsidR="00DA38E9" w:rsidRPr="00307154" w:rsidRDefault="00DA38E9" w:rsidP="00DA38E9">
      <w:pPr>
        <w:autoSpaceDN w:val="0"/>
        <w:spacing w:line="360" w:lineRule="auto"/>
        <w:rPr>
          <w:rFonts w:eastAsia="Calibri"/>
        </w:rPr>
      </w:pPr>
      <w:r w:rsidRPr="00307154">
        <w:rPr>
          <w:rFonts w:eastAsia="Calibri"/>
          <w:b/>
          <w:iCs/>
          <w:lang w:bidi="lt-LT"/>
        </w:rPr>
        <w:t>ŠILKA</w:t>
      </w:r>
      <w:r w:rsidRPr="00307154">
        <w:rPr>
          <w:rFonts w:eastAsia="Calibri"/>
          <w:b/>
        </w:rPr>
        <w:t xml:space="preserve"> (ZSU 23-4</w:t>
      </w:r>
      <w:r w:rsidRPr="00307154">
        <w:rPr>
          <w:rFonts w:eastAsia="Calibri"/>
          <w:b/>
          <w:iCs/>
          <w:lang w:bidi="lt-LT"/>
        </w:rPr>
        <w:t>)</w:t>
      </w:r>
      <w:r w:rsidRPr="00307154">
        <w:rPr>
          <w:rFonts w:eastAsia="Calibri"/>
        </w:rPr>
        <w:t xml:space="preserve"> – savaeigė zenitinė sistema (</w:t>
      </w:r>
      <w:r w:rsidRPr="00307154">
        <w:rPr>
          <w:rFonts w:eastAsia="Calibri"/>
          <w:i/>
        </w:rPr>
        <w:t>rus. zenitno samohodnaja ustanovka</w:t>
      </w:r>
      <w:r w:rsidRPr="00307154">
        <w:rPr>
          <w:rFonts w:eastAsia="Calibri"/>
        </w:rPr>
        <w:t>);</w:t>
      </w:r>
    </w:p>
    <w:p w:rsidR="008B60C8" w:rsidRPr="00307154" w:rsidRDefault="00DA38E9" w:rsidP="00DA38E9">
      <w:pPr>
        <w:spacing w:line="360" w:lineRule="auto"/>
        <w:rPr>
          <w:color w:val="000000" w:themeColor="text1"/>
        </w:rPr>
      </w:pPr>
      <w:r w:rsidRPr="00307154">
        <w:rPr>
          <w:b/>
          <w:color w:val="000000" w:themeColor="text1"/>
        </w:rPr>
        <w:t>Ženevos konvencijos –</w:t>
      </w:r>
      <w:r w:rsidRPr="00307154">
        <w:rPr>
          <w:color w:val="000000" w:themeColor="text1"/>
        </w:rPr>
        <w:t xml:space="preserve"> 1949 m. rugpjūčio 12 d. (Pirmoji) Ženevos konvencija dėl sužeistųjų ir ligonių padėties veikiančiose armijose pagerinimo, 1949 m. rugpjūčio 12 d. (Antroji) Ženevos konvencija dėl sužeistųjų, sergančiųjų ir skęstančiųjų ginkluotųjų pajėgų narių jūroje padėties pagerinimo, 1949 m. rugpjūčio 12 d. (Trečioji) Ženevos konvencija dėl elgesio su karo belaisviais ir 1949 m. rugpjūčio 12 d. (Ketvirtoji) Ženevos konvencija dėl civilių apsaugos karo metu.</w:t>
      </w:r>
    </w:p>
    <w:p w:rsidR="00DA38E9" w:rsidRDefault="008B60C8" w:rsidP="008B60C8">
      <w:pPr>
        <w:rPr>
          <w:color w:val="000000" w:themeColor="text1"/>
        </w:rPr>
      </w:pPr>
      <w:r>
        <w:rPr>
          <w:color w:val="000000" w:themeColor="text1"/>
        </w:rPr>
        <w:br w:type="page"/>
      </w:r>
    </w:p>
    <w:p w:rsidR="00307154" w:rsidRPr="00307154" w:rsidRDefault="00307154" w:rsidP="00307154">
      <w:pPr>
        <w:spacing w:after="120"/>
        <w:jc w:val="center"/>
        <w:rPr>
          <w:b/>
          <w:bCs/>
        </w:rPr>
      </w:pPr>
      <w:r w:rsidRPr="00307154">
        <w:rPr>
          <w:b/>
          <w:bCs/>
        </w:rPr>
        <w:t>LIETUVOS APELIACINIO TEISMO 2021 M. KOVO 31 D. NUOSPRENDŽIO BYLOJE NR.</w:t>
      </w:r>
      <w:r w:rsidRPr="00307154">
        <w:t> </w:t>
      </w:r>
      <w:r w:rsidRPr="00307154">
        <w:rPr>
          <w:b/>
          <w:bCs/>
        </w:rPr>
        <w:t>1A-34-1020/2021</w:t>
      </w:r>
    </w:p>
    <w:p w:rsidR="00307154" w:rsidRPr="00307154" w:rsidRDefault="00307154" w:rsidP="00307154">
      <w:pPr>
        <w:spacing w:after="120"/>
        <w:jc w:val="center"/>
        <w:rPr>
          <w:b/>
          <w:bCs/>
        </w:rPr>
      </w:pPr>
      <w:r w:rsidRPr="00307154">
        <w:rPr>
          <w:b/>
          <w:bCs/>
        </w:rPr>
        <w:t>TURINYS</w:t>
      </w:r>
    </w:p>
    <w:p w:rsidR="00307154" w:rsidRPr="00307154" w:rsidRDefault="00307154" w:rsidP="00307154">
      <w:pPr>
        <w:tabs>
          <w:tab w:val="right" w:leader="dot" w:pos="9962"/>
        </w:tabs>
        <w:spacing w:after="100"/>
        <w:jc w:val="left"/>
        <w:rPr>
          <w:rFonts w:eastAsia="Calibri"/>
          <w:noProof/>
        </w:rPr>
      </w:pPr>
      <w:r w:rsidRPr="00307154">
        <w:rPr>
          <w:rFonts w:eastAsia="Calibri"/>
          <w:b/>
          <w:bCs/>
          <w:noProof/>
        </w:rPr>
        <w:t>IŽANGINĖ DALIS</w:t>
      </w:r>
      <w:r w:rsidRPr="00307154">
        <w:rPr>
          <w:rFonts w:eastAsia="Calibri"/>
          <w:noProof/>
          <w:webHidden/>
        </w:rPr>
        <w:tab/>
        <w:t>1 l.</w:t>
      </w:r>
    </w:p>
    <w:p w:rsidR="00307154" w:rsidRPr="00307154" w:rsidRDefault="00307154" w:rsidP="00307154">
      <w:pPr>
        <w:tabs>
          <w:tab w:val="right" w:leader="dot" w:pos="9962"/>
        </w:tabs>
        <w:spacing w:after="100"/>
        <w:jc w:val="left"/>
        <w:rPr>
          <w:noProof/>
        </w:rPr>
      </w:pPr>
      <w:r w:rsidRPr="00307154">
        <w:rPr>
          <w:rFonts w:eastAsia="Calibri"/>
          <w:b/>
          <w:bCs/>
          <w:noProof/>
        </w:rPr>
        <w:t>APRAŠOMOJI DALIS</w:t>
      </w:r>
      <w:r w:rsidRPr="00307154">
        <w:rPr>
          <w:rFonts w:eastAsia="Calibri"/>
          <w:noProof/>
          <w:webHidden/>
        </w:rPr>
        <w:tab/>
        <w:t>1</w:t>
      </w:r>
      <w:r w:rsidRPr="00307154">
        <w:rPr>
          <w:rFonts w:eastAsia="Calibri"/>
          <w:noProof/>
        </w:rPr>
        <w:t xml:space="preserve"> pastr.</w:t>
      </w:r>
    </w:p>
    <w:p w:rsidR="00307154" w:rsidRPr="00307154" w:rsidRDefault="00307154" w:rsidP="00307154">
      <w:pPr>
        <w:tabs>
          <w:tab w:val="left" w:pos="660"/>
          <w:tab w:val="right" w:leader="dot" w:pos="9962"/>
        </w:tabs>
        <w:spacing w:after="100"/>
        <w:jc w:val="left"/>
        <w:rPr>
          <w:rFonts w:eastAsia="Calibri"/>
          <w:b/>
          <w:bCs/>
          <w:noProof/>
        </w:rPr>
      </w:pPr>
      <w:r w:rsidRPr="00307154">
        <w:rPr>
          <w:rFonts w:eastAsia="Calibri"/>
          <w:b/>
          <w:bCs/>
          <w:noProof/>
        </w:rPr>
        <w:t>I. PIRMOSIOS INSTANCIJOS TEISMO NUSTATYTOS BYLOS APLINKYBĖS</w:t>
      </w:r>
      <w:r w:rsidRPr="00307154">
        <w:rPr>
          <w:rFonts w:eastAsia="Calibri"/>
          <w:bCs/>
          <w:noProof/>
        </w:rPr>
        <w:tab/>
        <w:t>1 pastr.</w:t>
      </w:r>
    </w:p>
    <w:p w:rsidR="00307154" w:rsidRPr="00307154" w:rsidRDefault="00307154" w:rsidP="00307154">
      <w:pPr>
        <w:tabs>
          <w:tab w:val="left" w:pos="660"/>
          <w:tab w:val="right" w:leader="dot" w:pos="9962"/>
        </w:tabs>
        <w:spacing w:after="100"/>
        <w:ind w:left="220"/>
        <w:jc w:val="left"/>
        <w:rPr>
          <w:rFonts w:eastAsia="Calibri"/>
          <w:noProof/>
        </w:rPr>
      </w:pPr>
      <w:r w:rsidRPr="00307154">
        <w:rPr>
          <w:rFonts w:eastAsia="Calibri"/>
          <w:noProof/>
        </w:rPr>
        <w:t>A.</w:t>
      </w:r>
      <w:r w:rsidRPr="00307154">
        <w:rPr>
          <w:rFonts w:eastAsia="Calibri"/>
          <w:noProof/>
        </w:rPr>
        <w:tab/>
        <w:t>NUSIKALSTAMŲ VEIKŲ BENDRAS APRAŠYMAS</w:t>
      </w:r>
      <w:r w:rsidRPr="00307154">
        <w:rPr>
          <w:rFonts w:eastAsia="Calibri"/>
          <w:noProof/>
        </w:rPr>
        <w:tab/>
        <w:t>1 pastr.</w:t>
      </w:r>
    </w:p>
    <w:p w:rsidR="00307154" w:rsidRPr="00307154" w:rsidRDefault="00307154" w:rsidP="00307154">
      <w:pPr>
        <w:tabs>
          <w:tab w:val="left" w:pos="660"/>
          <w:tab w:val="right" w:leader="dot" w:pos="9962"/>
        </w:tabs>
        <w:spacing w:after="100"/>
        <w:ind w:left="220"/>
        <w:jc w:val="left"/>
        <w:rPr>
          <w:rFonts w:eastAsia="Calibri"/>
          <w:noProof/>
        </w:rPr>
      </w:pPr>
      <w:r w:rsidRPr="00307154">
        <w:rPr>
          <w:rFonts w:eastAsia="Calibri"/>
          <w:noProof/>
        </w:rPr>
        <w:t>B.</w:t>
      </w:r>
      <w:r w:rsidRPr="00307154">
        <w:rPr>
          <w:rFonts w:eastAsia="Calibri"/>
          <w:noProof/>
        </w:rPr>
        <w:tab/>
        <w:t>DETALIOS NUSIKALSTAMŲ VEIKŲ APLINKYBĖS</w:t>
      </w:r>
      <w:r w:rsidRPr="00307154">
        <w:rPr>
          <w:rFonts w:eastAsia="Calibri"/>
          <w:noProof/>
        </w:rPr>
        <w:tab/>
        <w:t>1.1–1.5 pastr.</w:t>
      </w:r>
    </w:p>
    <w:p w:rsidR="00307154" w:rsidRPr="00307154" w:rsidRDefault="00307154" w:rsidP="00307154">
      <w:pPr>
        <w:tabs>
          <w:tab w:val="left" w:pos="660"/>
          <w:tab w:val="right" w:leader="dot" w:pos="9962"/>
        </w:tabs>
        <w:spacing w:after="100"/>
        <w:jc w:val="left"/>
        <w:rPr>
          <w:rFonts w:eastAsia="Calibri"/>
          <w:b/>
          <w:bCs/>
          <w:noProof/>
        </w:rPr>
      </w:pPr>
      <w:r w:rsidRPr="00307154">
        <w:rPr>
          <w:rFonts w:eastAsia="Calibri"/>
          <w:b/>
          <w:bCs/>
          <w:noProof/>
        </w:rPr>
        <w:t>II. APELIACINIŲ SKUNDŲ ARGUMENTAI IR PROCESO DALYVIŲ PRAŠYMAI</w:t>
      </w:r>
      <w:r w:rsidRPr="00307154">
        <w:rPr>
          <w:rFonts w:eastAsia="Calibri"/>
          <w:bCs/>
          <w:noProof/>
        </w:rPr>
        <w:tab/>
        <w:t>2–62 pastr.</w:t>
      </w:r>
    </w:p>
    <w:p w:rsidR="00307154" w:rsidRPr="00307154" w:rsidRDefault="00307154" w:rsidP="00307154">
      <w:pPr>
        <w:tabs>
          <w:tab w:val="left" w:pos="660"/>
          <w:tab w:val="right" w:leader="dot" w:pos="9962"/>
        </w:tabs>
        <w:spacing w:after="100"/>
        <w:ind w:left="220"/>
        <w:jc w:val="left"/>
        <w:rPr>
          <w:rFonts w:eastAsia="Calibri"/>
          <w:noProof/>
        </w:rPr>
      </w:pPr>
      <w:r w:rsidRPr="00307154">
        <w:rPr>
          <w:rFonts w:eastAsia="Calibri"/>
          <w:noProof/>
        </w:rPr>
        <w:t>A.</w:t>
      </w:r>
      <w:r w:rsidRPr="00307154">
        <w:rPr>
          <w:rFonts w:eastAsia="Calibri"/>
          <w:noProof/>
        </w:rPr>
        <w:tab/>
        <w:t xml:space="preserve">NUTEISTŲJŲ IR (AR) JŲ </w:t>
      </w:r>
      <w:bookmarkStart w:id="1133" w:name="_GoBack"/>
      <w:bookmarkEnd w:id="1133"/>
      <w:r w:rsidRPr="00307154">
        <w:rPr>
          <w:rFonts w:eastAsia="Calibri"/>
          <w:noProof/>
        </w:rPr>
        <w:t>GYNĖJŲ APELIACINIAI SKUNDAI</w:t>
      </w:r>
      <w:r w:rsidRPr="00307154">
        <w:rPr>
          <w:rFonts w:eastAsia="Calibri"/>
          <w:noProof/>
        </w:rPr>
        <w:tab/>
        <w:t>2–59 pastr.</w:t>
      </w:r>
    </w:p>
    <w:p w:rsidR="00307154" w:rsidRPr="00307154" w:rsidRDefault="00307154" w:rsidP="00307154">
      <w:pPr>
        <w:tabs>
          <w:tab w:val="left" w:pos="660"/>
          <w:tab w:val="right" w:leader="dot" w:pos="9962"/>
        </w:tabs>
        <w:spacing w:after="100"/>
        <w:ind w:left="220"/>
        <w:jc w:val="left"/>
        <w:rPr>
          <w:noProof/>
        </w:rPr>
      </w:pPr>
      <w:r w:rsidRPr="00307154">
        <w:rPr>
          <w:rFonts w:eastAsia="Calibri"/>
          <w:noProof/>
        </w:rPr>
        <w:t>B.</w:t>
      </w:r>
      <w:r w:rsidRPr="00307154">
        <w:rPr>
          <w:rFonts w:eastAsia="Calibri"/>
          <w:noProof/>
        </w:rPr>
        <w:tab/>
        <w:t>PROKURORŲ IR CIVILINIŲ IEŠKOVŲ BEI NUKENTĖJUSIŲJŲ APELIACINIAI SKUNDAI</w:t>
      </w:r>
      <w:r w:rsidRPr="00307154">
        <w:rPr>
          <w:rFonts w:eastAsia="Calibri"/>
          <w:noProof/>
        </w:rPr>
        <w:tab/>
        <w:t>60–62 pastr.</w:t>
      </w:r>
    </w:p>
    <w:p w:rsidR="00307154" w:rsidRPr="00307154" w:rsidRDefault="00307154" w:rsidP="00307154">
      <w:pPr>
        <w:tabs>
          <w:tab w:val="right" w:leader="dot" w:pos="9962"/>
        </w:tabs>
        <w:spacing w:after="100"/>
        <w:jc w:val="left"/>
        <w:rPr>
          <w:noProof/>
        </w:rPr>
      </w:pPr>
      <w:r w:rsidRPr="00307154">
        <w:rPr>
          <w:rFonts w:eastAsia="Calibri"/>
          <w:b/>
          <w:noProof/>
        </w:rPr>
        <w:t>III. APELIACINĖS INSTANCIJOS TEISMO IŠVADOS IR ARGUMENTAI</w:t>
      </w:r>
      <w:r w:rsidRPr="00307154">
        <w:rPr>
          <w:rFonts w:eastAsia="Calibri"/>
          <w:noProof/>
        </w:rPr>
        <w:tab/>
        <w:t>64–1405 pastr.</w:t>
      </w:r>
    </w:p>
    <w:p w:rsidR="00307154" w:rsidRPr="00307154" w:rsidRDefault="00307154" w:rsidP="00307154">
      <w:pPr>
        <w:tabs>
          <w:tab w:val="right" w:leader="dot" w:pos="9962"/>
        </w:tabs>
        <w:spacing w:after="100"/>
        <w:ind w:left="220"/>
        <w:jc w:val="left"/>
        <w:rPr>
          <w:noProof/>
        </w:rPr>
      </w:pPr>
      <w:r w:rsidRPr="00307154">
        <w:rPr>
          <w:rFonts w:eastAsia="Calibri"/>
          <w:noProof/>
        </w:rPr>
        <w:t>A. ISTORINIS IR POLITINIS KONTEKSTAS</w:t>
      </w:r>
      <w:r w:rsidRPr="00307154">
        <w:rPr>
          <w:rFonts w:eastAsia="Calibri"/>
          <w:noProof/>
        </w:rPr>
        <w:tab/>
        <w:t>66–77 pastr.</w:t>
      </w:r>
    </w:p>
    <w:p w:rsidR="00307154" w:rsidRPr="00307154" w:rsidRDefault="00307154" w:rsidP="00307154">
      <w:pPr>
        <w:tabs>
          <w:tab w:val="right" w:leader="dot" w:pos="9962"/>
        </w:tabs>
        <w:spacing w:after="100"/>
        <w:ind w:left="220"/>
        <w:jc w:val="left"/>
        <w:rPr>
          <w:noProof/>
        </w:rPr>
      </w:pPr>
      <w:r w:rsidRPr="00307154">
        <w:rPr>
          <w:rFonts w:eastAsia="Calibri"/>
          <w:noProof/>
        </w:rPr>
        <w:t>B. NUSIKALSTAMŲ VEIKŲ PRIEŠ LIETUVOS VALSTYBĘ RENGIMAS, KARINĖS OPERACIJOS PLANAVIMAS</w:t>
      </w:r>
      <w:r w:rsidRPr="00307154">
        <w:rPr>
          <w:rFonts w:eastAsia="Calibri"/>
          <w:noProof/>
        </w:rPr>
        <w:tab/>
        <w:t>78–215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pirmosios instancijos teismo išvadų vertinant LKP/TSKP narių V. Š. 1, A. N. 1 ir R. J. 1 veiksmus planuojant karinę operaciją</w:t>
      </w:r>
      <w:r w:rsidRPr="00307154">
        <w:rPr>
          <w:rFonts w:eastAsia="Calibri"/>
          <w:noProof/>
        </w:rPr>
        <w:tab/>
        <w:t>85–127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pirmosios instancijos teismo išvadų vertinant TSRS GM ir jai pavaldžių dalinių bei nuteistųjų D. J., V. K. 1, V. U. 1 ir N. A. veiksmus planuojant karinę operaciją</w:t>
      </w:r>
      <w:r w:rsidRPr="00307154">
        <w:rPr>
          <w:rFonts w:eastAsia="Calibri"/>
          <w:noProof/>
        </w:rPr>
        <w:tab/>
        <w:t>128–174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pirmosios instancijos teismo išvadų vertinant TSRS VSK ir jai pavaldžių dalinių bei nuteistojo M. G.  veiksmus planuojant karinę operaciją</w:t>
      </w:r>
      <w:r w:rsidRPr="00307154">
        <w:rPr>
          <w:rFonts w:eastAsia="Calibri"/>
          <w:noProof/>
        </w:rPr>
        <w:tab/>
        <w:t>175–194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pirmosios instancijos teismo išvadų vertinant TSRS VRM ir jai pavaldžių dalinių bei nuteistųjų N. D., V. S. 1 ir A. Ž. veiksmus planuojant karinę operaciją</w:t>
      </w:r>
      <w:r w:rsidRPr="00307154">
        <w:rPr>
          <w:rFonts w:eastAsia="Calibri"/>
          <w:noProof/>
        </w:rPr>
        <w:tab/>
        <w:t>195–214 pastr.</w:t>
      </w:r>
    </w:p>
    <w:p w:rsidR="00307154" w:rsidRPr="00307154" w:rsidRDefault="00307154" w:rsidP="00307154">
      <w:pPr>
        <w:tabs>
          <w:tab w:val="right" w:leader="dot" w:pos="9962"/>
        </w:tabs>
        <w:spacing w:after="100"/>
        <w:ind w:left="440"/>
        <w:jc w:val="left"/>
        <w:rPr>
          <w:noProof/>
        </w:rPr>
      </w:pPr>
      <w:r w:rsidRPr="00307154">
        <w:rPr>
          <w:rFonts w:eastAsia="Calibri"/>
          <w:bCs/>
          <w:i/>
          <w:iCs/>
          <w:noProof/>
        </w:rPr>
        <w:t>Apibendrinančios išvados dėl faktinių aplinkybių, susijusių su karinės operacijos planavimu</w:t>
      </w:r>
      <w:r w:rsidRPr="00307154">
        <w:rPr>
          <w:rFonts w:eastAsia="Calibri"/>
          <w:bCs/>
          <w:i/>
          <w:iCs/>
          <w:noProof/>
        </w:rPr>
        <w:tab/>
      </w:r>
      <w:r w:rsidRPr="00307154">
        <w:rPr>
          <w:rFonts w:eastAsia="Calibri"/>
          <w:bCs/>
          <w:iCs/>
          <w:noProof/>
        </w:rPr>
        <w:t>215 pastr.</w:t>
      </w:r>
    </w:p>
    <w:p w:rsidR="00307154" w:rsidRPr="00307154" w:rsidRDefault="00307154" w:rsidP="00307154">
      <w:pPr>
        <w:tabs>
          <w:tab w:val="right" w:leader="dot" w:pos="9962"/>
        </w:tabs>
        <w:spacing w:after="100"/>
        <w:ind w:left="221"/>
        <w:jc w:val="left"/>
        <w:rPr>
          <w:rFonts w:eastAsia="Calibri"/>
          <w:noProof/>
        </w:rPr>
      </w:pPr>
      <w:r w:rsidRPr="00307154">
        <w:rPr>
          <w:rFonts w:eastAsia="Calibri"/>
          <w:noProof/>
        </w:rPr>
        <w:t>C. DĖL SPAUDOS RŪMŲ UŽĖMIMO</w:t>
      </w:r>
      <w:r w:rsidRPr="00307154">
        <w:rPr>
          <w:rFonts w:eastAsia="Calibri"/>
          <w:noProof/>
        </w:rPr>
        <w:tab/>
        <w:t>216–326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TSRS GM 76-ajai oro desanto divizijai priklausiusių nuteistųjų dalyvavimo užimant Spaudos rūmus</w:t>
      </w:r>
      <w:r w:rsidRPr="00307154">
        <w:rPr>
          <w:rFonts w:eastAsia="Calibri"/>
          <w:noProof/>
        </w:rPr>
        <w:tab/>
        <w:t>224–276 pastr.</w:t>
      </w:r>
    </w:p>
    <w:p w:rsidR="00307154" w:rsidRPr="00307154" w:rsidRDefault="00307154" w:rsidP="00307154">
      <w:pPr>
        <w:tabs>
          <w:tab w:val="right" w:leader="dot" w:pos="9962"/>
        </w:tabs>
        <w:spacing w:after="100"/>
        <w:ind w:left="440"/>
        <w:jc w:val="left"/>
        <w:rPr>
          <w:rFonts w:eastAsia="Calibri"/>
          <w:bCs/>
          <w:i/>
          <w:noProof/>
        </w:rPr>
      </w:pPr>
      <w:r w:rsidRPr="00307154">
        <w:rPr>
          <w:rFonts w:eastAsia="Calibri"/>
          <w:bCs/>
          <w:i/>
          <w:noProof/>
        </w:rPr>
        <w:t>Dėl TSRS GM 107-ajai motorizuotų šaulių divizijai ir šios divizijos 106-ajam tankų pulkui priklausiusių nuteistųjų dalyvavimo užimant Spaudos rūmus</w:t>
      </w:r>
      <w:r w:rsidRPr="00307154">
        <w:rPr>
          <w:rFonts w:eastAsia="Calibri"/>
          <w:bCs/>
          <w:noProof/>
        </w:rPr>
        <w:tab/>
        <w:t>277–321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kitų skundžiamu nuosprendžiu nustatytų faktinių aplinkybių, susijusių su Spaudos rūmų užėmimu, pagrįstumo</w:t>
      </w:r>
      <w:r w:rsidRPr="00307154">
        <w:rPr>
          <w:rFonts w:eastAsia="Calibri"/>
          <w:noProof/>
        </w:rPr>
        <w:tab/>
        <w:t>322–325 pastr.</w:t>
      </w:r>
    </w:p>
    <w:p w:rsidR="00307154" w:rsidRPr="00307154" w:rsidRDefault="00307154" w:rsidP="00307154">
      <w:pPr>
        <w:tabs>
          <w:tab w:val="right" w:leader="dot" w:pos="9962"/>
        </w:tabs>
        <w:spacing w:after="100"/>
        <w:ind w:left="440"/>
        <w:jc w:val="left"/>
        <w:rPr>
          <w:noProof/>
        </w:rPr>
      </w:pPr>
      <w:r w:rsidRPr="00307154">
        <w:rPr>
          <w:bCs/>
          <w:i/>
          <w:noProof/>
        </w:rPr>
        <w:t>Apibendrinančios išvados dėl faktinių aplinkybių, susijusių su Spaudos rūmų užėmimu</w:t>
      </w:r>
      <w:r w:rsidRPr="00307154">
        <w:rPr>
          <w:bCs/>
          <w:noProof/>
        </w:rPr>
        <w:tab/>
        <w:t>326 pastr.</w:t>
      </w:r>
    </w:p>
    <w:p w:rsidR="00307154" w:rsidRPr="00307154" w:rsidRDefault="00307154" w:rsidP="00307154">
      <w:pPr>
        <w:tabs>
          <w:tab w:val="right" w:leader="dot" w:pos="9962"/>
        </w:tabs>
        <w:spacing w:after="100"/>
        <w:ind w:left="221"/>
        <w:jc w:val="left"/>
        <w:rPr>
          <w:rFonts w:eastAsia="Calibri"/>
          <w:iCs/>
          <w:noProof/>
          <w:lang w:val="en-US"/>
        </w:rPr>
      </w:pPr>
      <w:r w:rsidRPr="00307154">
        <w:rPr>
          <w:rFonts w:eastAsia="Calibri"/>
          <w:iCs/>
          <w:noProof/>
          <w:lang w:val="id-ID"/>
        </w:rPr>
        <w:t>D. DĖL LIETUVOS RADIJO IR TELEVIZIJOS CENTRO (TV BOKŠTO) UŽĖMIMO</w:t>
      </w:r>
      <w:r w:rsidRPr="00307154">
        <w:rPr>
          <w:rFonts w:eastAsia="Calibri"/>
          <w:iCs/>
          <w:noProof/>
          <w:lang w:val="id-ID"/>
        </w:rPr>
        <w:tab/>
        <w:t>327</w:t>
      </w:r>
      <w:r w:rsidRPr="00307154">
        <w:rPr>
          <w:rFonts w:eastAsia="Calibri"/>
          <w:iCs/>
          <w:noProof/>
          <w:lang w:val="en-US"/>
        </w:rPr>
        <w:t>–567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TSRS GM 107-osios motorizuotų šaulių divizijos kariškių ir joje tarnavusių nuteistųjų dalyvavimo užimant TV bokštą</w:t>
      </w:r>
      <w:r w:rsidRPr="00307154">
        <w:rPr>
          <w:rFonts w:eastAsia="Calibri"/>
          <w:noProof/>
        </w:rPr>
        <w:tab/>
        <w:t>333–426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TSRS GM 76-osios oro desanto divizijos kariškių ir joje tarnavusių nuteistųjų dalyvavimo užimant TV bokštą</w:t>
      </w:r>
      <w:r w:rsidRPr="00307154">
        <w:rPr>
          <w:rFonts w:eastAsia="Calibri"/>
          <w:noProof/>
        </w:rPr>
        <w:tab/>
        <w:t>427–507 pastr.</w:t>
      </w:r>
    </w:p>
    <w:p w:rsidR="00307154" w:rsidRPr="00307154" w:rsidRDefault="00307154" w:rsidP="00307154">
      <w:pPr>
        <w:tabs>
          <w:tab w:val="right" w:leader="dot" w:pos="9962"/>
        </w:tabs>
        <w:spacing w:after="100"/>
        <w:ind w:left="440"/>
        <w:jc w:val="left"/>
        <w:rPr>
          <w:rFonts w:eastAsia="Calibri"/>
          <w:bCs/>
          <w:i/>
          <w:iCs/>
          <w:noProof/>
        </w:rPr>
      </w:pPr>
      <w:r w:rsidRPr="00307154">
        <w:rPr>
          <w:rFonts w:eastAsia="Calibri"/>
          <w:bCs/>
          <w:i/>
          <w:iCs/>
          <w:noProof/>
        </w:rPr>
        <w:t>Dėl TSRS VSK specialiosios paskirties grupės „A“ kariškių dalyvavimo užimant TV bokštą</w:t>
      </w:r>
      <w:r w:rsidRPr="00307154">
        <w:rPr>
          <w:rFonts w:eastAsia="Calibri"/>
          <w:bCs/>
          <w:iCs/>
          <w:noProof/>
        </w:rPr>
        <w:tab/>
        <w:t>508–530 pastr.</w:t>
      </w:r>
    </w:p>
    <w:p w:rsidR="00307154" w:rsidRPr="00307154" w:rsidRDefault="00307154" w:rsidP="00307154">
      <w:pPr>
        <w:tabs>
          <w:tab w:val="right" w:leader="dot" w:pos="9962"/>
        </w:tabs>
        <w:spacing w:after="100"/>
        <w:ind w:left="440"/>
        <w:jc w:val="left"/>
        <w:rPr>
          <w:noProof/>
        </w:rPr>
      </w:pPr>
      <w:r w:rsidRPr="00307154">
        <w:rPr>
          <w:i/>
        </w:rPr>
        <w:t>Dėl kitų nuteistųjų dalyvavimo užimant TV bokštą</w:t>
      </w:r>
      <w:r w:rsidRPr="00307154">
        <w:tab/>
        <w:t>531–533 pastr.</w:t>
      </w:r>
    </w:p>
    <w:p w:rsidR="00307154" w:rsidRPr="00307154" w:rsidRDefault="00307154" w:rsidP="00307154">
      <w:pPr>
        <w:tabs>
          <w:tab w:val="right" w:leader="dot" w:pos="9962"/>
        </w:tabs>
        <w:spacing w:after="100"/>
        <w:ind w:left="440"/>
        <w:jc w:val="left"/>
        <w:rPr>
          <w:rFonts w:eastAsia="Calibri"/>
          <w:bCs/>
          <w:i/>
          <w:iCs/>
          <w:noProof/>
        </w:rPr>
      </w:pPr>
      <w:r w:rsidRPr="00307154">
        <w:rPr>
          <w:rFonts w:eastAsia="Calibri"/>
          <w:bCs/>
          <w:i/>
          <w:iCs/>
          <w:noProof/>
        </w:rPr>
        <w:t>Dėl kitų skundžiamu nuosprendžiu nustatytų faktinių aplinkybių, susijusių su TV bokšto užėmimu, pagrįstumo</w:t>
      </w:r>
      <w:r w:rsidRPr="00307154">
        <w:rPr>
          <w:rFonts w:eastAsia="Calibri"/>
          <w:bCs/>
          <w:iCs/>
          <w:noProof/>
        </w:rPr>
        <w:tab/>
        <w:t>534–565 pastr.</w:t>
      </w:r>
    </w:p>
    <w:p w:rsidR="00307154" w:rsidRPr="00307154" w:rsidRDefault="00307154" w:rsidP="00307154">
      <w:pPr>
        <w:tabs>
          <w:tab w:val="right" w:leader="dot" w:pos="9962"/>
        </w:tabs>
        <w:spacing w:after="100"/>
        <w:ind w:left="440"/>
        <w:jc w:val="left"/>
        <w:rPr>
          <w:noProof/>
        </w:rPr>
      </w:pPr>
      <w:r w:rsidRPr="00307154">
        <w:rPr>
          <w:bCs/>
          <w:i/>
          <w:noProof/>
        </w:rPr>
        <w:t>Apibendrinančios išvados dėl faktinių aplinkybių, susijusių su TV bokšto užėmimu</w:t>
      </w:r>
      <w:r w:rsidRPr="00307154">
        <w:rPr>
          <w:bCs/>
          <w:noProof/>
        </w:rPr>
        <w:tab/>
        <w:t>566–567 pastr.</w:t>
      </w:r>
    </w:p>
    <w:p w:rsidR="00307154" w:rsidRPr="00307154" w:rsidRDefault="00307154" w:rsidP="00307154">
      <w:pPr>
        <w:tabs>
          <w:tab w:val="right" w:leader="dot" w:pos="9962"/>
        </w:tabs>
        <w:spacing w:after="100"/>
        <w:ind w:left="221"/>
        <w:jc w:val="left"/>
        <w:rPr>
          <w:rFonts w:eastAsia="Calibri"/>
          <w:noProof/>
        </w:rPr>
      </w:pPr>
      <w:r w:rsidRPr="00307154">
        <w:rPr>
          <w:rFonts w:eastAsia="Calibri"/>
          <w:noProof/>
        </w:rPr>
        <w:t>E. DĖL RADIJO IR TELEVIZIJOS KOMITETO (LRT) UŽĖMIMO</w:t>
      </w:r>
      <w:r w:rsidRPr="00307154">
        <w:rPr>
          <w:rFonts w:eastAsia="Calibri"/>
          <w:noProof/>
        </w:rPr>
        <w:tab/>
        <w:t>568–898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TSRS VRM Vidaus kariuomenės 42-osios divizijos kariškių ir joje tarnavusių nuteistųjų dalyvavimo užimant LRT</w:t>
      </w:r>
      <w:r w:rsidRPr="00307154">
        <w:rPr>
          <w:rFonts w:eastAsia="Calibri"/>
          <w:noProof/>
        </w:rPr>
        <w:tab/>
        <w:t>575–655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TSRS VSK specialiosios paskirties grupės „A“ kariškių ir joje tarnavusių nuteistųjų dalyvavimo užimant LRT</w:t>
      </w:r>
      <w:r w:rsidRPr="00307154">
        <w:rPr>
          <w:rFonts w:eastAsia="Calibri"/>
          <w:noProof/>
        </w:rPr>
        <w:tab/>
        <w:t>656–673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TSRS GM 107-osios motorizuotų šaulių divizijos kariškių ir joje tarnavusių nuteistųjų dalyvavimo užimant LRT</w:t>
      </w:r>
      <w:r w:rsidRPr="00307154">
        <w:rPr>
          <w:rFonts w:eastAsia="Calibri"/>
          <w:noProof/>
        </w:rPr>
        <w:tab/>
        <w:t>674–720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TSRS GM 76-osios oro desanto divizijos kariškių ir joje tarnavusių nuteistųjų dalyvavimo  užimant LRT</w:t>
      </w:r>
      <w:r w:rsidRPr="00307154">
        <w:rPr>
          <w:rFonts w:eastAsia="Calibri"/>
          <w:noProof/>
        </w:rPr>
        <w:tab/>
        <w:t>721–857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nuteistojo R. J. 1 ir draugovininkų dalyvavimo užimant LRT bei A. K. sveikatos sutrikdymo</w:t>
      </w:r>
      <w:r w:rsidRPr="00307154">
        <w:rPr>
          <w:rFonts w:eastAsia="Calibri"/>
          <w:noProof/>
        </w:rPr>
        <w:tab/>
        <w:t>858–870 pastr.</w:t>
      </w:r>
    </w:p>
    <w:p w:rsidR="00307154" w:rsidRPr="00307154" w:rsidRDefault="00307154" w:rsidP="00307154">
      <w:pPr>
        <w:tabs>
          <w:tab w:val="right" w:leader="dot" w:pos="9962"/>
        </w:tabs>
        <w:spacing w:after="100"/>
        <w:ind w:left="440"/>
        <w:jc w:val="left"/>
        <w:rPr>
          <w:rFonts w:eastAsia="Calibri"/>
          <w:bCs/>
          <w:i/>
          <w:iCs/>
          <w:noProof/>
        </w:rPr>
      </w:pPr>
      <w:r w:rsidRPr="00307154">
        <w:rPr>
          <w:rFonts w:eastAsia="Calibri"/>
          <w:bCs/>
          <w:i/>
          <w:iCs/>
          <w:noProof/>
        </w:rPr>
        <w:t>Dėl kitų skundžiamu nuosprendžiu nustatytų faktinių aplinkybių, susijusių su LRT užėmimu, pagrįstumo</w:t>
      </w:r>
      <w:r w:rsidRPr="00307154">
        <w:rPr>
          <w:rFonts w:eastAsia="Calibri"/>
          <w:bCs/>
          <w:iCs/>
          <w:noProof/>
        </w:rPr>
        <w:tab/>
        <w:t>871–894 pastr.</w:t>
      </w:r>
    </w:p>
    <w:p w:rsidR="00307154" w:rsidRPr="00307154" w:rsidRDefault="00307154" w:rsidP="00307154">
      <w:pPr>
        <w:tabs>
          <w:tab w:val="right" w:leader="dot" w:pos="9962"/>
        </w:tabs>
        <w:spacing w:after="100"/>
        <w:ind w:left="440"/>
        <w:jc w:val="left"/>
        <w:rPr>
          <w:rFonts w:eastAsia="Calibri"/>
          <w:bCs/>
          <w:i/>
          <w:iCs/>
          <w:noProof/>
        </w:rPr>
      </w:pPr>
      <w:r w:rsidRPr="00307154">
        <w:rPr>
          <w:rFonts w:eastAsia="Calibri"/>
          <w:bCs/>
          <w:i/>
          <w:iCs/>
          <w:noProof/>
        </w:rPr>
        <w:t>Apibendrinančios išvados dėl faktinių aplinkybių, susijusių su LRT užėmimu</w:t>
      </w:r>
      <w:r w:rsidRPr="00307154">
        <w:rPr>
          <w:rFonts w:eastAsia="Calibri"/>
          <w:bCs/>
          <w:iCs/>
          <w:noProof/>
        </w:rPr>
        <w:tab/>
        <w:t>895–898 pastr.</w:t>
      </w:r>
    </w:p>
    <w:p w:rsidR="00307154" w:rsidRPr="00307154" w:rsidRDefault="00307154" w:rsidP="00307154">
      <w:pPr>
        <w:tabs>
          <w:tab w:val="right" w:leader="dot" w:pos="9962"/>
        </w:tabs>
        <w:spacing w:after="100"/>
        <w:ind w:left="221"/>
        <w:jc w:val="left"/>
        <w:rPr>
          <w:rFonts w:eastAsia="Calibri"/>
          <w:noProof/>
        </w:rPr>
      </w:pPr>
      <w:r w:rsidRPr="00307154">
        <w:rPr>
          <w:rFonts w:eastAsia="Calibri"/>
          <w:noProof/>
        </w:rPr>
        <w:t>F. DĖL KOMENDANTO VALANDOS</w:t>
      </w:r>
      <w:r w:rsidRPr="00307154">
        <w:rPr>
          <w:rFonts w:eastAsia="Calibri"/>
          <w:noProof/>
        </w:rPr>
        <w:tab/>
        <w:t>899–982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nuteistojo V. U. 1 vaidmens įvedant ir įgyvendinant komendanto valandą</w:t>
      </w:r>
      <w:r w:rsidRPr="00307154">
        <w:rPr>
          <w:rFonts w:eastAsia="Calibri"/>
          <w:noProof/>
        </w:rPr>
        <w:tab/>
        <w:t>907–928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nuteistojo G. B. vaidmens įgyvendinant komendanto valandą</w:t>
      </w:r>
      <w:r w:rsidRPr="00307154">
        <w:rPr>
          <w:rFonts w:eastAsia="Calibri"/>
          <w:noProof/>
        </w:rPr>
        <w:tab/>
        <w:t>929–942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nenustatytų Vilniaus įgulos kariškių dalyvavimo komendanto valandoje</w:t>
      </w:r>
      <w:r w:rsidRPr="00307154">
        <w:rPr>
          <w:rFonts w:eastAsia="Calibri"/>
          <w:noProof/>
        </w:rPr>
        <w:tab/>
        <w:t>943–953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J. T. nužudymo komendanto valandos metu</w:t>
      </w:r>
      <w:r w:rsidRPr="00307154">
        <w:rPr>
          <w:rFonts w:eastAsia="Calibri"/>
          <w:noProof/>
        </w:rPr>
        <w:tab/>
        <w:t>954–960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R. D. sunkaus sveikatos sutrikdymo komendanto valandos metu</w:t>
      </w:r>
      <w:r w:rsidRPr="00307154">
        <w:rPr>
          <w:rFonts w:eastAsia="Calibri"/>
          <w:noProof/>
        </w:rPr>
        <w:tab/>
        <w:t>961–971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inkriminuotų faktinių aplinkybių, susijusių su komendanto valanda, patikslinimo</w:t>
      </w:r>
      <w:r w:rsidRPr="00307154">
        <w:rPr>
          <w:rFonts w:eastAsia="Calibri"/>
          <w:noProof/>
        </w:rPr>
        <w:tab/>
        <w:t>972–981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Apibendrinančios išvados dėl faktinių aplinkybių, susijusių su komendanto valandos įvedimu ir įgyvendinimu</w:t>
      </w:r>
      <w:r w:rsidRPr="00307154">
        <w:rPr>
          <w:rFonts w:eastAsia="Calibri"/>
          <w:noProof/>
        </w:rPr>
        <w:tab/>
        <w:t>982 pastr.</w:t>
      </w:r>
    </w:p>
    <w:p w:rsidR="00307154" w:rsidRPr="00307154" w:rsidRDefault="00307154" w:rsidP="00307154">
      <w:pPr>
        <w:tabs>
          <w:tab w:val="right" w:leader="dot" w:pos="9962"/>
        </w:tabs>
        <w:spacing w:after="100"/>
        <w:ind w:left="221"/>
        <w:jc w:val="left"/>
        <w:rPr>
          <w:rFonts w:eastAsia="Calibri"/>
          <w:noProof/>
        </w:rPr>
      </w:pPr>
      <w:r w:rsidRPr="00307154">
        <w:rPr>
          <w:rFonts w:eastAsia="Calibri"/>
          <w:noProof/>
        </w:rPr>
        <w:t>G. DĖL NUSTATYTŲ FAKTINIŲ APLINKYBIŲ KVALIFIKAVIMO IR KITŲ TEISINIO POBŪDŽIO KLAUSIMŲ</w:t>
      </w:r>
      <w:r w:rsidRPr="00307154">
        <w:rPr>
          <w:rFonts w:eastAsia="Calibri"/>
          <w:noProof/>
        </w:rPr>
        <w:tab/>
        <w:t>983–1156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Lietuvos Respublikos bendrosios kompetencijos teismų jurisdikcijos nagrinėti baudžiamąją bylą dėl nusikaltimų žmoniškumui ir karo nusikaltimų</w:t>
      </w:r>
      <w:r w:rsidRPr="00307154">
        <w:rPr>
          <w:rFonts w:eastAsia="Calibri"/>
          <w:noProof/>
        </w:rPr>
        <w:tab/>
        <w:t>984–989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valstybės atsakomybės už jos ginkluotųjų pajėgų narių padarytus nusikaltimus žmoniškumui ar karo nusikaltimus bei galimybės baudžiamojon atsakomybėn patraukti ne tik aukščiausio rango karininkus, bet ir žemesnio rango kariškius</w:t>
      </w:r>
      <w:r w:rsidRPr="00307154">
        <w:rPr>
          <w:rFonts w:eastAsia="Calibri"/>
          <w:noProof/>
        </w:rPr>
        <w:tab/>
        <w:t>990–997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nuostatų, įtvirtinusių atsakomybę už nusikaltimus žmoniškumui ir karo nusikaltimus, grįžtamosios galios (BK 3 straipsnio 3 dalis)</w:t>
      </w:r>
      <w:r w:rsidRPr="00307154">
        <w:rPr>
          <w:rFonts w:eastAsia="Calibri"/>
          <w:noProof/>
        </w:rPr>
        <w:tab/>
        <w:t>998–1006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kreipimosi į Lietuvos Respublikos Konstitucinį Teismą</w:t>
      </w:r>
      <w:r w:rsidRPr="00307154">
        <w:rPr>
          <w:rFonts w:eastAsia="Calibri"/>
          <w:noProof/>
        </w:rPr>
        <w:tab/>
        <w:t>1007–1017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nuteistiesiems inkriminuotų nusikaltimų žmoniškumui ir karo nusikaltimų</w:t>
      </w:r>
      <w:r w:rsidRPr="00307154">
        <w:rPr>
          <w:rFonts w:eastAsia="Calibri"/>
          <w:noProof/>
        </w:rPr>
        <w:tab/>
        <w:t>1018–1025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Tarptautinio Baudžiamojo Teismo Romos statuto reikšmės, sprendžiant nuteistųjų baudžiamosios atsakomybės klausimą</w:t>
      </w:r>
      <w:r w:rsidRPr="00307154">
        <w:rPr>
          <w:rFonts w:eastAsia="Calibri"/>
          <w:noProof/>
        </w:rPr>
        <w:tab/>
        <w:t>1026–1030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100 straipsnyje įtvirtintos nusikalstamos veikos sudėties požymių ir baudžiamosios atsakomybės už ją nustatymo tarptautinėje teisėje 1991 metais</w:t>
      </w:r>
      <w:r w:rsidRPr="00307154">
        <w:rPr>
          <w:rFonts w:eastAsia="Calibri"/>
          <w:noProof/>
        </w:rPr>
        <w:tab/>
        <w:t>1031–1046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100 straipsnyje įtvirtintos nusikalstamos veikos sudėties požymių konstatavimo nuteistųjų veikose</w:t>
      </w:r>
      <w:r w:rsidRPr="00307154">
        <w:rPr>
          <w:rFonts w:eastAsia="Calibri"/>
          <w:noProof/>
        </w:rPr>
        <w:tab/>
        <w:t>1047–1050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101 straipsnyje ir BK 103 straipsnio 1 dalyje įtvirtintų nusikalstamų veikų sudėties požymių bei baudžiamosios atsakomybės už jas nustatymo tarptautinėje teisėje 1991 metais</w:t>
      </w:r>
      <w:r w:rsidRPr="00307154">
        <w:rPr>
          <w:rFonts w:eastAsia="Calibri"/>
          <w:noProof/>
        </w:rPr>
        <w:tab/>
        <w:t>1051–1062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101 straipsnyje ir BK 103 straipsnio 1 dalyje įtvirtintų nusikalstamų veikų sudėties požymių konstatavimo nuteistųjų veikose</w:t>
      </w:r>
      <w:r w:rsidRPr="00307154">
        <w:rPr>
          <w:rFonts w:eastAsia="Calibri"/>
          <w:noProof/>
        </w:rPr>
        <w:tab/>
        <w:t>1063–1065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111 straipsnio 1 dalyje įtvirtintos nusikalstamos veikos sudėties požymių ir baudžiamosios atsakomybės už ją nustatymo tarptautinėje teisėje 1991 metais</w:t>
      </w:r>
      <w:r w:rsidRPr="00307154">
        <w:rPr>
          <w:rFonts w:eastAsia="Calibri"/>
          <w:i/>
          <w:noProof/>
        </w:rPr>
        <w:tab/>
      </w:r>
      <w:r w:rsidRPr="00307154">
        <w:rPr>
          <w:rFonts w:eastAsia="Calibri"/>
          <w:noProof/>
        </w:rPr>
        <w:t>1066–1079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111 straipsnio 1 dalyje įtvirtintos nusikalstamos veikos sudėties požymių konstatavimo nuteistųjų veikose</w:t>
      </w:r>
      <w:r w:rsidRPr="00307154">
        <w:rPr>
          <w:rFonts w:eastAsia="Calibri"/>
          <w:noProof/>
        </w:rPr>
        <w:tab/>
        <w:t>1080–1085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BK 112 straipsnyje įtvirtintos nusikalstamos veikos sudėties požymių ir baudžiamosios atsakomybės už ją nustatymo tarptautinėje teisėje 1991 metais bei šios nusikalstamos veikos sudėties požymių konstatavimo nuteistųjų veikose</w:t>
      </w:r>
      <w:r w:rsidRPr="00307154">
        <w:rPr>
          <w:rFonts w:eastAsia="Calibri"/>
          <w:noProof/>
        </w:rPr>
        <w:tab/>
        <w:t>1086–1095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idealios nusikalstamų veikų sutapties</w:t>
      </w:r>
      <w:r w:rsidRPr="00307154">
        <w:rPr>
          <w:rFonts w:eastAsia="Calibri"/>
          <w:noProof/>
        </w:rPr>
        <w:tab/>
        <w:t>1096–1103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draudimo naudoti civilius kaip „gyvą skydą“ karinių objektų gynybai</w:t>
      </w:r>
      <w:r w:rsidRPr="00307154">
        <w:rPr>
          <w:rFonts w:eastAsia="Calibri"/>
          <w:noProof/>
        </w:rPr>
        <w:tab/>
        <w:t>1104–1107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įsakymo vykdymo kaip baudžiamąją atsakomybę šalinančios aplinkybės</w:t>
      </w:r>
      <w:r w:rsidRPr="00307154">
        <w:rPr>
          <w:rFonts w:eastAsia="Calibri"/>
          <w:noProof/>
        </w:rPr>
        <w:tab/>
        <w:t>1108–1114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kombatantų statuso suteikimo nuteistiesiems</w:t>
      </w:r>
      <w:r w:rsidRPr="00307154">
        <w:rPr>
          <w:rFonts w:eastAsia="Calibri"/>
          <w:noProof/>
        </w:rPr>
        <w:tab/>
        <w:t>1115–1120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bendrininkavimo formos (bendrininkų grupės ar organizuotos grupės)</w:t>
      </w:r>
      <w:r w:rsidRPr="00307154">
        <w:rPr>
          <w:rFonts w:eastAsia="Calibri"/>
          <w:noProof/>
        </w:rPr>
        <w:tab/>
        <w:t>1121–1134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karo padėties nepaskelbimo Lietuvos Respublikoje</w:t>
      </w:r>
      <w:r w:rsidRPr="00307154">
        <w:rPr>
          <w:rFonts w:eastAsia="Calibri"/>
          <w:noProof/>
        </w:rPr>
        <w:tab/>
        <w:t>1135–1140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asmenų lygybės prieš įstatymą principo pažeidimo</w:t>
      </w:r>
      <w:r w:rsidRPr="00307154">
        <w:rPr>
          <w:rFonts w:eastAsia="Calibri"/>
          <w:noProof/>
        </w:rPr>
        <w:tab/>
        <w:t>1141–1150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kaltinimų buvusiam TSRS vadovui M. G.</w:t>
      </w:r>
      <w:r w:rsidRPr="00307154">
        <w:rPr>
          <w:rFonts w:eastAsia="Calibri"/>
          <w:noProof/>
        </w:rPr>
        <w:tab/>
        <w:t>1151–1155 pastr.</w:t>
      </w:r>
    </w:p>
    <w:p w:rsidR="00307154" w:rsidRPr="00307154" w:rsidRDefault="00307154" w:rsidP="00307154">
      <w:pPr>
        <w:tabs>
          <w:tab w:val="right" w:leader="dot" w:pos="9962"/>
        </w:tabs>
        <w:spacing w:after="100"/>
        <w:ind w:left="220"/>
        <w:jc w:val="left"/>
        <w:rPr>
          <w:noProof/>
        </w:rPr>
      </w:pPr>
      <w:r w:rsidRPr="00307154">
        <w:rPr>
          <w:rFonts w:eastAsia="Calibri"/>
          <w:noProof/>
          <w:lang w:bidi="lt-LT"/>
        </w:rPr>
        <w:t>H. APELIACINĖS INSTANCIJOS TEISMO ĮRODYTOMIS PRIPAŽINTOS APLINKYBĖS</w:t>
      </w:r>
      <w:r w:rsidRPr="00307154">
        <w:rPr>
          <w:rFonts w:eastAsia="Calibri"/>
          <w:noProof/>
          <w:lang w:bidi="lt-LT"/>
        </w:rPr>
        <w:tab/>
        <w:t>1156–1158 pastr.</w:t>
      </w:r>
    </w:p>
    <w:p w:rsidR="00307154" w:rsidRPr="00307154" w:rsidRDefault="00307154" w:rsidP="00307154">
      <w:pPr>
        <w:tabs>
          <w:tab w:val="right" w:leader="dot" w:pos="9962"/>
        </w:tabs>
        <w:spacing w:after="100"/>
        <w:ind w:left="220"/>
        <w:jc w:val="left"/>
        <w:rPr>
          <w:noProof/>
        </w:rPr>
      </w:pPr>
      <w:r w:rsidRPr="00307154">
        <w:rPr>
          <w:rFonts w:eastAsia="Calibri"/>
          <w:noProof/>
        </w:rPr>
        <w:t>Y. DĖL APELIANTŲ ARGUMENTŲ, SUSIJUSIŲ SU BAUDŽIAMOJO PROCESO TEISĖS PAŽEIDIMAIS</w:t>
      </w:r>
      <w:r w:rsidRPr="00307154">
        <w:rPr>
          <w:rFonts w:eastAsia="Calibri"/>
          <w:noProof/>
        </w:rPr>
        <w:tab/>
        <w:t>1159–1226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kaltinamojo akto atitikimo BPK 219 straipsnio reikalavimams ir prašymų grąžinti bylą prokurorui ar teismui nagrinėti iš naujo</w:t>
      </w:r>
      <w:r w:rsidRPr="00307154">
        <w:rPr>
          <w:rFonts w:eastAsia="Calibri"/>
          <w:noProof/>
        </w:rPr>
        <w:tab/>
        <w:t>1169–1174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pirmosios instancijos teismo šališkumo ir proceso politinio pobūdžio</w:t>
      </w:r>
      <w:r w:rsidRPr="00307154">
        <w:rPr>
          <w:rFonts w:eastAsia="Calibri"/>
          <w:noProof/>
        </w:rPr>
        <w:tab/>
        <w:t>1175–1179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teisės į gynybą, baudžiamojo proceso kaltinamiesiems nedalyvaujant ir kitų nuteistųjų teisių suvaržymo</w:t>
      </w:r>
      <w:r w:rsidRPr="00307154">
        <w:rPr>
          <w:rFonts w:eastAsia="Calibri"/>
          <w:noProof/>
        </w:rPr>
        <w:tab/>
        <w:t>1180–1198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netinkamo įrodymų vertinimo ir neleistinų įrodymų</w:t>
      </w:r>
      <w:r w:rsidRPr="00307154">
        <w:rPr>
          <w:rFonts w:eastAsia="Calibri"/>
          <w:noProof/>
        </w:rPr>
        <w:tab/>
        <w:t>1199–1213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kaltinimo ribų peržengimo teisme</w:t>
      </w:r>
      <w:r w:rsidRPr="00307154">
        <w:rPr>
          <w:rFonts w:eastAsia="Calibri"/>
          <w:noProof/>
        </w:rPr>
        <w:tab/>
        <w:t>1214–1225 pastr.</w:t>
      </w:r>
    </w:p>
    <w:p w:rsidR="00307154" w:rsidRPr="00307154" w:rsidRDefault="00307154" w:rsidP="00307154">
      <w:pPr>
        <w:tabs>
          <w:tab w:val="right" w:leader="dot" w:pos="9962"/>
        </w:tabs>
        <w:spacing w:after="100"/>
        <w:ind w:left="440"/>
        <w:jc w:val="left"/>
        <w:rPr>
          <w:rFonts w:eastAsia="Calibri"/>
          <w:noProof/>
        </w:rPr>
      </w:pPr>
      <w:r w:rsidRPr="00307154">
        <w:rPr>
          <w:rFonts w:eastAsia="Calibri"/>
          <w:i/>
          <w:noProof/>
        </w:rPr>
        <w:t>Dėl pernelyg ilgos baudžiamojo proceso trukmės</w:t>
      </w:r>
      <w:r w:rsidRPr="00307154">
        <w:rPr>
          <w:rFonts w:eastAsia="Calibri"/>
          <w:noProof/>
        </w:rPr>
        <w:tab/>
        <w:t>1226 pastr.</w:t>
      </w:r>
    </w:p>
    <w:p w:rsidR="00307154" w:rsidRPr="00307154" w:rsidRDefault="00307154" w:rsidP="00307154">
      <w:pPr>
        <w:tabs>
          <w:tab w:val="right" w:leader="dot" w:pos="9962"/>
        </w:tabs>
        <w:spacing w:after="100"/>
        <w:ind w:left="221"/>
        <w:jc w:val="left"/>
        <w:rPr>
          <w:rFonts w:eastAsia="Calibri"/>
          <w:noProof/>
        </w:rPr>
      </w:pPr>
      <w:r w:rsidRPr="00307154">
        <w:rPr>
          <w:rFonts w:eastAsia="Calibri"/>
          <w:noProof/>
        </w:rPr>
        <w:t>J. DĖL NUTEISTIESIEMS SKIRTINŲ BAUSMIŲ</w:t>
      </w:r>
      <w:r w:rsidRPr="00307154">
        <w:rPr>
          <w:rFonts w:eastAsia="Calibri"/>
          <w:noProof/>
        </w:rPr>
        <w:tab/>
        <w:t>1227–1319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bausmių karinės operacijos iniciatoriams, planuotojams ir koordinatoriams</w:t>
      </w:r>
      <w:r w:rsidRPr="00307154">
        <w:rPr>
          <w:rFonts w:eastAsia="Calibri"/>
          <w:noProof/>
        </w:rPr>
        <w:tab/>
        <w:t>1241–1251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bausmių tankų vadams ir kitiems tankų ekipažų nariams</w:t>
      </w:r>
      <w:r w:rsidRPr="00307154">
        <w:rPr>
          <w:rFonts w:eastAsia="Calibri"/>
          <w:noProof/>
        </w:rPr>
        <w:tab/>
        <w:t>1252–1271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bausmių TSRS GM 76-osios oro desanto divizijos kariškiams</w:t>
      </w:r>
      <w:r w:rsidRPr="00307154">
        <w:rPr>
          <w:rFonts w:eastAsia="Calibri"/>
          <w:noProof/>
        </w:rPr>
        <w:tab/>
        <w:t>1272–1310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bausmių TSRS VRM Vidaus kariuomenės 42-osios divizijos karininkams</w:t>
      </w:r>
      <w:r w:rsidRPr="00307154">
        <w:rPr>
          <w:rFonts w:eastAsia="Calibri"/>
          <w:noProof/>
        </w:rPr>
        <w:tab/>
        <w:t>1311–1319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bausmių kitiems nuteistiesiems</w:t>
      </w:r>
      <w:r w:rsidRPr="00307154">
        <w:rPr>
          <w:rFonts w:eastAsia="Calibri"/>
          <w:noProof/>
        </w:rPr>
        <w:tab/>
        <w:t>1320–1324 pastr.</w:t>
      </w:r>
    </w:p>
    <w:p w:rsidR="00307154" w:rsidRPr="00307154" w:rsidRDefault="00307154" w:rsidP="00307154">
      <w:pPr>
        <w:tabs>
          <w:tab w:val="right" w:leader="dot" w:pos="9962"/>
        </w:tabs>
        <w:spacing w:after="100"/>
        <w:ind w:left="221"/>
        <w:jc w:val="left"/>
        <w:rPr>
          <w:rFonts w:eastAsia="Calibri"/>
          <w:noProof/>
        </w:rPr>
      </w:pPr>
      <w:r w:rsidRPr="00307154">
        <w:rPr>
          <w:rFonts w:eastAsia="Calibri"/>
          <w:noProof/>
        </w:rPr>
        <w:t>K. DĖL BYLOJE PAREIKŠTŲ CIVILINIŲ IEŠKINIŲ</w:t>
      </w:r>
      <w:r w:rsidRPr="00307154">
        <w:rPr>
          <w:rFonts w:eastAsia="Calibri"/>
          <w:noProof/>
        </w:rPr>
        <w:tab/>
        <w:t>1325–1395 pastr.</w:t>
      </w:r>
    </w:p>
    <w:p w:rsidR="00307154" w:rsidRPr="00307154" w:rsidRDefault="00307154" w:rsidP="00307154">
      <w:pPr>
        <w:tabs>
          <w:tab w:val="right" w:leader="dot" w:pos="9962"/>
        </w:tabs>
        <w:spacing w:after="100"/>
        <w:ind w:left="440"/>
        <w:jc w:val="left"/>
        <w:rPr>
          <w:rFonts w:eastAsia="Calibri"/>
          <w:i/>
          <w:noProof/>
        </w:rPr>
      </w:pPr>
      <w:r w:rsidRPr="00307154">
        <w:rPr>
          <w:rFonts w:eastAsia="Calibri"/>
          <w:i/>
          <w:noProof/>
        </w:rPr>
        <w:t>Dėl ieškinio senaties termino byloje pareikštiems civiliniams ieškiniams netaikymo</w:t>
      </w:r>
      <w:r w:rsidRPr="00307154">
        <w:rPr>
          <w:rFonts w:eastAsia="Calibri"/>
          <w:noProof/>
        </w:rPr>
        <w:tab/>
        <w:t>1328–1332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teisės į neturtinės žalos atlyginimą</w:t>
      </w:r>
      <w:r w:rsidRPr="00307154">
        <w:rPr>
          <w:rFonts w:eastAsia="Calibri"/>
          <w:noProof/>
        </w:rPr>
        <w:tab/>
        <w:t>1333–1373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pirmosios instancijos teismo sprendimo palikti nenagrinėtą Lietuvos Respublikos generalinės prokuratūros pareikštą civilinį ieškinį dėl turtinės žalos Lietuvos valstybei atlyginimo</w:t>
      </w:r>
      <w:r w:rsidRPr="00307154">
        <w:rPr>
          <w:rFonts w:eastAsia="Calibri"/>
          <w:noProof/>
        </w:rPr>
        <w:tab/>
        <w:t>1373–1386 pastr.</w:t>
      </w:r>
    </w:p>
    <w:p w:rsidR="00307154" w:rsidRPr="00307154" w:rsidRDefault="00307154" w:rsidP="00307154">
      <w:pPr>
        <w:tabs>
          <w:tab w:val="right" w:leader="dot" w:pos="9962"/>
        </w:tabs>
        <w:spacing w:after="100"/>
        <w:ind w:left="440"/>
        <w:jc w:val="left"/>
        <w:rPr>
          <w:noProof/>
        </w:rPr>
      </w:pPr>
      <w:r w:rsidRPr="00307154">
        <w:rPr>
          <w:rFonts w:eastAsia="Calibri"/>
          <w:i/>
          <w:noProof/>
        </w:rPr>
        <w:t>Dėl Lietuvos Respublikos generalinės prokuratūros pareikšto civilinio ieškinio pagrįstumo ir dydžio</w:t>
      </w:r>
      <w:r w:rsidRPr="00307154">
        <w:rPr>
          <w:rFonts w:eastAsia="Calibri"/>
          <w:noProof/>
        </w:rPr>
        <w:tab/>
        <w:t>1387–1395 pastr.</w:t>
      </w:r>
    </w:p>
    <w:p w:rsidR="00307154" w:rsidRPr="00307154" w:rsidRDefault="00307154" w:rsidP="00307154">
      <w:pPr>
        <w:tabs>
          <w:tab w:val="right" w:leader="dot" w:pos="9962"/>
        </w:tabs>
        <w:spacing w:after="100"/>
        <w:ind w:left="221"/>
        <w:jc w:val="left"/>
      </w:pPr>
      <w:r w:rsidRPr="00307154">
        <w:t>L. DĖL KITŲ IŠSPRĘSTINŲ KLAUSIMŲ</w:t>
      </w:r>
      <w:r w:rsidRPr="00307154">
        <w:tab/>
        <w:t>1396–1405 pastr.</w:t>
      </w:r>
    </w:p>
    <w:p w:rsidR="00307154" w:rsidRPr="00307154" w:rsidRDefault="00307154" w:rsidP="00307154">
      <w:pPr>
        <w:tabs>
          <w:tab w:val="right" w:leader="dot" w:pos="9962"/>
        </w:tabs>
        <w:spacing w:after="100"/>
        <w:ind w:left="440"/>
        <w:jc w:val="left"/>
      </w:pPr>
      <w:r w:rsidRPr="00307154">
        <w:rPr>
          <w:i/>
        </w:rPr>
        <w:t>Dėl daiktinių įrodymų ir J. M. kratos metu paimtų daiktų</w:t>
      </w:r>
      <w:r w:rsidRPr="00307154">
        <w:rPr>
          <w:i/>
        </w:rPr>
        <w:tab/>
      </w:r>
      <w:r w:rsidRPr="00307154">
        <w:t>1396–1402 pastr.</w:t>
      </w:r>
    </w:p>
    <w:p w:rsidR="00307154" w:rsidRPr="00307154" w:rsidRDefault="00307154" w:rsidP="00307154">
      <w:pPr>
        <w:tabs>
          <w:tab w:val="right" w:leader="dot" w:pos="9962"/>
        </w:tabs>
        <w:spacing w:after="100"/>
        <w:ind w:left="440"/>
        <w:jc w:val="left"/>
        <w:rPr>
          <w:noProof/>
          <w:sz w:val="28"/>
        </w:rPr>
      </w:pPr>
      <w:r w:rsidRPr="00307154">
        <w:rPr>
          <w:rFonts w:eastAsia="Calibri"/>
          <w:i/>
          <w:noProof/>
        </w:rPr>
        <w:t>Dėl proceso išlaidų</w:t>
      </w:r>
      <w:r w:rsidRPr="00307154">
        <w:rPr>
          <w:rFonts w:eastAsia="Calibri"/>
          <w:noProof/>
        </w:rPr>
        <w:tab/>
        <w:t>1403–1405 pastr.</w:t>
      </w:r>
    </w:p>
    <w:p w:rsidR="00307154" w:rsidRPr="00307154" w:rsidRDefault="00307154" w:rsidP="00307154">
      <w:pPr>
        <w:tabs>
          <w:tab w:val="right" w:leader="dot" w:pos="9962"/>
        </w:tabs>
        <w:spacing w:after="100"/>
        <w:jc w:val="left"/>
        <w:rPr>
          <w:noProof/>
        </w:rPr>
      </w:pPr>
      <w:r w:rsidRPr="00307154">
        <w:rPr>
          <w:b/>
        </w:rPr>
        <w:t>REZOLIUCINĖ DALIS</w:t>
      </w:r>
      <w:r w:rsidRPr="00307154">
        <w:tab/>
      </w:r>
    </w:p>
    <w:p w:rsidR="00307154" w:rsidRPr="00307154" w:rsidRDefault="00307154" w:rsidP="00307154">
      <w:pPr>
        <w:jc w:val="left"/>
      </w:pPr>
      <w:r w:rsidRPr="00307154">
        <w:rPr>
          <w:b/>
        </w:rPr>
        <w:t>PRIEDAS. NUOSPRENDYJE VARTOJAMOS SANTRUMPOS</w:t>
      </w:r>
      <w:r w:rsidRPr="00307154">
        <w:t>.............................................</w:t>
      </w:r>
    </w:p>
    <w:p w:rsidR="00DA38E9" w:rsidRPr="00C00255" w:rsidRDefault="00AC6B13" w:rsidP="00DA38E9">
      <w:pPr>
        <w:pStyle w:val="ListParagraph"/>
        <w:spacing w:before="120" w:after="120"/>
        <w:ind w:left="992"/>
        <w:contextualSpacing w:val="0"/>
        <w:rPr>
          <w:rFonts w:eastAsia="Calibri"/>
        </w:rPr>
      </w:pPr>
      <w:r>
        <w:rPr>
          <w:rFonts w:eastAsia="Calibri"/>
        </w:rPr>
        <w:t xml:space="preserve"> </w:t>
      </w:r>
    </w:p>
    <w:sectPr w:rsidR="00DA38E9" w:rsidRPr="00C00255" w:rsidSect="004455DE">
      <w:headerReference w:type="even" r:id="rId11"/>
      <w:headerReference w:type="default" r:id="rId12"/>
      <w:pgSz w:w="12240" w:h="15840"/>
      <w:pgMar w:top="1134" w:right="567"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873" w:rsidRDefault="00935873">
      <w:r>
        <w:separator/>
      </w:r>
    </w:p>
  </w:endnote>
  <w:endnote w:type="continuationSeparator" w:id="0">
    <w:p w:rsidR="00935873" w:rsidRDefault="009358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宋体">
    <w:charset w:val="00"/>
    <w:family w:val="auto"/>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BA"/>
    <w:family w:val="modern"/>
    <w:pitch w:val="fixed"/>
    <w:sig w:usb0="E10002FF" w:usb1="4000FCFF" w:usb2="00000009" w:usb3="00000000" w:csb0="0000019F" w:csb1="00000000"/>
  </w:font>
  <w:font w:name="F">
    <w:charset w:val="00"/>
    <w:family w:val="auto"/>
    <w:pitch w:val="variable"/>
    <w:sig w:usb0="00000000" w:usb1="00000000" w:usb2="00000000" w:usb3="00000000" w:csb0="00000000" w:csb1="00000000"/>
  </w:font>
  <w:font w:name="Century Gothic">
    <w:panose1 w:val="020B0502020202020204"/>
    <w:charset w:val="BA"/>
    <w:family w:val="swiss"/>
    <w:pitch w:val="variable"/>
    <w:sig w:usb0="00000287" w:usb1="00000000" w:usb2="00000000" w:usb3="00000000" w:csb0="0000009F" w:csb1="00000000"/>
  </w:font>
  <w:font w:name="CordiaUPC">
    <w:charset w:val="00"/>
    <w:family w:val="swiss"/>
    <w:pitch w:val="variable"/>
    <w:sig w:usb0="81000003" w:usb1="00000000" w:usb2="00000000" w:usb3="00000000" w:csb0="00010001" w:csb1="00000000"/>
  </w:font>
  <w:font w:name="Liberation Serif">
    <w:altName w:val="Times New Roman"/>
    <w:charset w:val="00"/>
    <w:family w:val="roman"/>
    <w:pitch w:val="variable"/>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Microsoft JhengHei">
    <w:panose1 w:val="020B0604030504040204"/>
    <w:charset w:val="88"/>
    <w:family w:val="swiss"/>
    <w:pitch w:val="variable"/>
    <w:sig w:usb0="00000087" w:usb1="288F4000" w:usb2="00000016" w:usb3="00000000" w:csb0="00100009"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873" w:rsidRDefault="00935873">
      <w:r>
        <w:separator/>
      </w:r>
    </w:p>
  </w:footnote>
  <w:footnote w:type="continuationSeparator" w:id="0">
    <w:p w:rsidR="00935873" w:rsidRDefault="009358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CAF" w:rsidRDefault="00C608FA" w:rsidP="00F56F7C">
    <w:pPr>
      <w:pStyle w:val="Header"/>
      <w:framePr w:wrap="around" w:vAnchor="text" w:hAnchor="margin" w:xAlign="center" w:y="1"/>
      <w:rPr>
        <w:rStyle w:val="PageNumber"/>
      </w:rPr>
    </w:pPr>
    <w:r>
      <w:rPr>
        <w:rStyle w:val="PageNumber"/>
      </w:rPr>
      <w:fldChar w:fldCharType="begin"/>
    </w:r>
    <w:r w:rsidR="00315CAF">
      <w:rPr>
        <w:rStyle w:val="PageNumber"/>
      </w:rPr>
      <w:instrText xml:space="preserve">PAGE  </w:instrText>
    </w:r>
    <w:r>
      <w:rPr>
        <w:rStyle w:val="PageNumber"/>
      </w:rPr>
      <w:fldChar w:fldCharType="separate"/>
    </w:r>
    <w:r w:rsidR="00315CAF">
      <w:rPr>
        <w:rStyle w:val="PageNumber"/>
        <w:noProof/>
      </w:rPr>
      <w:t>4</w:t>
    </w:r>
    <w:r>
      <w:rPr>
        <w:rStyle w:val="PageNumber"/>
      </w:rPr>
      <w:fldChar w:fldCharType="end"/>
    </w:r>
  </w:p>
  <w:p w:rsidR="00315CAF" w:rsidRDefault="00315CAF">
    <w:pPr>
      <w:pStyle w:val="Header"/>
    </w:pPr>
  </w:p>
  <w:p w:rsidR="00315CAF" w:rsidRDefault="00315CA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CAF" w:rsidRDefault="00C608FA" w:rsidP="00EB366B">
    <w:pPr>
      <w:pStyle w:val="Header"/>
      <w:framePr w:wrap="around" w:vAnchor="text" w:hAnchor="margin" w:xAlign="center" w:y="-229"/>
      <w:rPr>
        <w:rStyle w:val="PageNumber"/>
      </w:rPr>
    </w:pPr>
    <w:r>
      <w:rPr>
        <w:rStyle w:val="PageNumber"/>
      </w:rPr>
      <w:fldChar w:fldCharType="begin"/>
    </w:r>
    <w:r w:rsidR="00315CAF">
      <w:rPr>
        <w:rStyle w:val="PageNumber"/>
      </w:rPr>
      <w:instrText xml:space="preserve">PAGE  </w:instrText>
    </w:r>
    <w:r>
      <w:rPr>
        <w:rStyle w:val="PageNumber"/>
      </w:rPr>
      <w:fldChar w:fldCharType="separate"/>
    </w:r>
    <w:r w:rsidR="003E2C60">
      <w:rPr>
        <w:rStyle w:val="PageNumber"/>
        <w:noProof/>
      </w:rPr>
      <w:t>153</w:t>
    </w:r>
    <w:r>
      <w:rPr>
        <w:rStyle w:val="PageNumber"/>
      </w:rPr>
      <w:fldChar w:fldCharType="end"/>
    </w:r>
  </w:p>
  <w:p w:rsidR="00315CAF" w:rsidRDefault="00315CAF" w:rsidP="00345B8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73CFC"/>
    <w:multiLevelType w:val="hybridMultilevel"/>
    <w:tmpl w:val="5160271E"/>
    <w:lvl w:ilvl="0" w:tplc="E0B04AFE">
      <w:start w:val="1"/>
      <w:numFmt w:val="upperLetter"/>
      <w:lvlText w:val="%1."/>
      <w:lvlJc w:val="left"/>
      <w:pPr>
        <w:ind w:left="1080" w:hanging="360"/>
      </w:pPr>
      <w:rPr>
        <w:rFonts w:hint="default"/>
      </w:rPr>
    </w:lvl>
    <w:lvl w:ilvl="1" w:tplc="0826F92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105C7"/>
    <w:multiLevelType w:val="multilevel"/>
    <w:tmpl w:val="1F4633F2"/>
    <w:lvl w:ilvl="0">
      <w:start w:val="1"/>
      <w:numFmt w:val="decimal"/>
      <w:lvlText w:val="%1."/>
      <w:lvlJc w:val="left"/>
      <w:pPr>
        <w:ind w:left="360" w:hanging="360"/>
      </w:pPr>
      <w:rPr>
        <w:rFonts w:eastAsia="Times New Roman" w:hint="default"/>
        <w:b w:val="0"/>
        <w:i w:val="0"/>
        <w:sz w:val="24"/>
        <w:szCs w:val="24"/>
      </w:rPr>
    </w:lvl>
    <w:lvl w:ilvl="1">
      <w:start w:val="1"/>
      <w:numFmt w:val="decimal"/>
      <w:isLgl/>
      <w:lvlText w:val="%1.%2."/>
      <w:lvlJc w:val="left"/>
      <w:pPr>
        <w:ind w:left="1080" w:hanging="360"/>
      </w:pPr>
      <w:rPr>
        <w:rFonts w:hint="default"/>
        <w:b w:val="0"/>
        <w:i w:val="0"/>
        <w:color w:val="auto"/>
        <w:sz w:val="24"/>
        <w:szCs w:val="24"/>
      </w:rPr>
    </w:lvl>
    <w:lvl w:ilvl="2">
      <w:start w:val="1"/>
      <w:numFmt w:val="decimal"/>
      <w:isLgl/>
      <w:lvlText w:val="%1.%2.%3."/>
      <w:lvlJc w:val="left"/>
      <w:pPr>
        <w:ind w:left="2160" w:hanging="720"/>
      </w:pPr>
      <w:rPr>
        <w:rFonts w:hint="default"/>
        <w:b/>
        <w:color w:val="auto"/>
      </w:rPr>
    </w:lvl>
    <w:lvl w:ilvl="3">
      <w:start w:val="1"/>
      <w:numFmt w:val="decimal"/>
      <w:isLgl/>
      <w:lvlText w:val="%1.%2.%3.%4."/>
      <w:lvlJc w:val="left"/>
      <w:pPr>
        <w:ind w:left="2880" w:hanging="720"/>
      </w:pPr>
      <w:rPr>
        <w:rFonts w:hint="default"/>
        <w:b/>
        <w:color w:val="auto"/>
      </w:rPr>
    </w:lvl>
    <w:lvl w:ilvl="4">
      <w:start w:val="1"/>
      <w:numFmt w:val="decimal"/>
      <w:isLgl/>
      <w:lvlText w:val="%1.%2.%3.%4.%5."/>
      <w:lvlJc w:val="left"/>
      <w:pPr>
        <w:ind w:left="3960" w:hanging="1080"/>
      </w:pPr>
      <w:rPr>
        <w:rFonts w:hint="default"/>
        <w:b/>
        <w:color w:val="auto"/>
      </w:rPr>
    </w:lvl>
    <w:lvl w:ilvl="5">
      <w:start w:val="1"/>
      <w:numFmt w:val="decimal"/>
      <w:isLgl/>
      <w:lvlText w:val="%1.%2.%3.%4.%5.%6."/>
      <w:lvlJc w:val="left"/>
      <w:pPr>
        <w:ind w:left="4680" w:hanging="1080"/>
      </w:pPr>
      <w:rPr>
        <w:rFonts w:hint="default"/>
        <w:b/>
        <w:color w:val="auto"/>
      </w:rPr>
    </w:lvl>
    <w:lvl w:ilvl="6">
      <w:start w:val="1"/>
      <w:numFmt w:val="decimal"/>
      <w:isLgl/>
      <w:lvlText w:val="%1.%2.%3.%4.%5.%6.%7."/>
      <w:lvlJc w:val="left"/>
      <w:pPr>
        <w:ind w:left="5760" w:hanging="1440"/>
      </w:pPr>
      <w:rPr>
        <w:rFonts w:hint="default"/>
        <w:b/>
        <w:color w:val="auto"/>
      </w:rPr>
    </w:lvl>
    <w:lvl w:ilvl="7">
      <w:start w:val="1"/>
      <w:numFmt w:val="decimal"/>
      <w:isLgl/>
      <w:lvlText w:val="%1.%2.%3.%4.%5.%6.%7.%8."/>
      <w:lvlJc w:val="left"/>
      <w:pPr>
        <w:ind w:left="6480" w:hanging="1440"/>
      </w:pPr>
      <w:rPr>
        <w:rFonts w:hint="default"/>
        <w:b/>
        <w:color w:val="auto"/>
      </w:rPr>
    </w:lvl>
    <w:lvl w:ilvl="8">
      <w:start w:val="1"/>
      <w:numFmt w:val="decimal"/>
      <w:isLgl/>
      <w:lvlText w:val="%1.%2.%3.%4.%5.%6.%7.%8.%9."/>
      <w:lvlJc w:val="left"/>
      <w:pPr>
        <w:ind w:left="7560" w:hanging="1800"/>
      </w:pPr>
      <w:rPr>
        <w:rFonts w:hint="default"/>
        <w:b/>
        <w:color w:val="auto"/>
      </w:rPr>
    </w:lvl>
  </w:abstractNum>
  <w:abstractNum w:abstractNumId="2">
    <w:nsid w:val="1CE23C49"/>
    <w:multiLevelType w:val="multilevel"/>
    <w:tmpl w:val="FA88FD36"/>
    <w:lvl w:ilvl="0">
      <w:start w:val="1"/>
      <w:numFmt w:val="decimal"/>
      <w:lvlText w:val="%1."/>
      <w:lvlJc w:val="left"/>
      <w:pPr>
        <w:ind w:left="360" w:hanging="360"/>
      </w:pPr>
      <w:rPr>
        <w:rFonts w:ascii="Times New Roman" w:hAnsi="Times New Roman" w:cs="Times New Roman" w:hint="default"/>
        <w:i w:val="0"/>
        <w:color w:val="auto"/>
        <w:sz w:val="24"/>
        <w:szCs w:val="24"/>
      </w:rPr>
    </w:lvl>
    <w:lvl w:ilvl="1">
      <w:start w:val="1"/>
      <w:numFmt w:val="decimal"/>
      <w:lvlText w:val="%1.%2."/>
      <w:lvlJc w:val="left"/>
      <w:pPr>
        <w:ind w:left="574" w:hanging="432"/>
      </w:pPr>
      <w:rPr>
        <w:rFonts w:ascii="Times New Roman" w:hAnsi="Times New Roman" w:cs="Times New Roman" w:hint="default"/>
        <w:i w:val="0"/>
        <w:iCs/>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2AB45AB"/>
    <w:multiLevelType w:val="multilevel"/>
    <w:tmpl w:val="FE5E14D6"/>
    <w:lvl w:ilvl="0">
      <w:start w:val="2"/>
      <w:numFmt w:val="decimal"/>
      <w:lvlText w:val="%1."/>
      <w:lvlJc w:val="left"/>
      <w:pPr>
        <w:ind w:left="360" w:hanging="360"/>
      </w:pPr>
      <w:rPr>
        <w:rFonts w:hint="default"/>
        <w:b w:val="0"/>
        <w:i w:val="0"/>
        <w:strike w:val="0"/>
        <w:color w:val="auto"/>
        <w:sz w:val="24"/>
      </w:rPr>
    </w:lvl>
    <w:lvl w:ilvl="1">
      <w:start w:val="1"/>
      <w:numFmt w:val="decimal"/>
      <w:lvlText w:val="%1.%2."/>
      <w:lvlJc w:val="left"/>
      <w:pPr>
        <w:ind w:left="360" w:hanging="360"/>
      </w:pPr>
      <w:rPr>
        <w:rFonts w:hint="default"/>
        <w:b w:val="0"/>
        <w:i w:val="0"/>
        <w:strike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27273141"/>
    <w:multiLevelType w:val="hybridMultilevel"/>
    <w:tmpl w:val="725EDA96"/>
    <w:lvl w:ilvl="0" w:tplc="36CEEB5E">
      <w:start w:val="20"/>
      <w:numFmt w:val="bullet"/>
      <w:lvlText w:val="–"/>
      <w:lvlJc w:val="left"/>
      <w:pPr>
        <w:ind w:left="1635" w:hanging="360"/>
      </w:pPr>
      <w:rPr>
        <w:rFonts w:ascii="Times New Roman" w:eastAsia="Times New Roman" w:hAnsi="Times New Roman" w:cs="Times New Roman" w:hint="default"/>
      </w:rPr>
    </w:lvl>
    <w:lvl w:ilvl="1" w:tplc="04090003">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5">
    <w:nsid w:val="2A6944D3"/>
    <w:multiLevelType w:val="hybridMultilevel"/>
    <w:tmpl w:val="8DB000DA"/>
    <w:lvl w:ilvl="0" w:tplc="2E7CA708">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347E03D2"/>
    <w:multiLevelType w:val="hybridMultilevel"/>
    <w:tmpl w:val="7AB85612"/>
    <w:lvl w:ilvl="0" w:tplc="42540C3A">
      <w:start w:val="1"/>
      <w:numFmt w:val="decimal"/>
      <w:pStyle w:val="Par1"/>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348168CA"/>
    <w:multiLevelType w:val="multilevel"/>
    <w:tmpl w:val="FE5E14D6"/>
    <w:lvl w:ilvl="0">
      <w:start w:val="2"/>
      <w:numFmt w:val="decimal"/>
      <w:lvlText w:val="%1."/>
      <w:lvlJc w:val="left"/>
      <w:pPr>
        <w:ind w:left="360" w:hanging="360"/>
      </w:pPr>
      <w:rPr>
        <w:rFonts w:hint="default"/>
        <w:b w:val="0"/>
        <w:i w:val="0"/>
        <w:strike w:val="0"/>
        <w:color w:val="auto"/>
        <w:sz w:val="24"/>
      </w:rPr>
    </w:lvl>
    <w:lvl w:ilvl="1">
      <w:start w:val="1"/>
      <w:numFmt w:val="decimal"/>
      <w:lvlText w:val="%1.%2."/>
      <w:lvlJc w:val="left"/>
      <w:pPr>
        <w:ind w:left="360" w:hanging="360"/>
      </w:pPr>
      <w:rPr>
        <w:rFonts w:hint="default"/>
        <w:b w:val="0"/>
        <w:i w:val="0"/>
        <w:strike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nsid w:val="38BF400A"/>
    <w:multiLevelType w:val="hybridMultilevel"/>
    <w:tmpl w:val="FE629574"/>
    <w:lvl w:ilvl="0" w:tplc="36CEEB5E">
      <w:start w:val="20"/>
      <w:numFmt w:val="bullet"/>
      <w:lvlText w:val="–"/>
      <w:lvlJc w:val="left"/>
      <w:pPr>
        <w:ind w:left="785" w:hanging="360"/>
      </w:pPr>
      <w:rPr>
        <w:rFonts w:ascii="Times New Roman" w:eastAsia="Times New Roman" w:hAnsi="Times New Roman" w:cs="Times New Roman"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9">
    <w:nsid w:val="459F2602"/>
    <w:multiLevelType w:val="hybridMultilevel"/>
    <w:tmpl w:val="DDFCCB22"/>
    <w:lvl w:ilvl="0" w:tplc="3AE4BF0C">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47648C"/>
    <w:multiLevelType w:val="multilevel"/>
    <w:tmpl w:val="3E3A9334"/>
    <w:lvl w:ilvl="0">
      <w:start w:val="1"/>
      <w:numFmt w:val="decimal"/>
      <w:lvlText w:val="%1."/>
      <w:lvlJc w:val="left"/>
      <w:pPr>
        <w:ind w:left="1222" w:hanging="360"/>
      </w:pPr>
      <w:rPr>
        <w:rFonts w:hint="default"/>
        <w:i w:val="0"/>
        <w:iCs/>
        <w:color w:val="auto"/>
      </w:rPr>
    </w:lvl>
    <w:lvl w:ilvl="1">
      <w:start w:val="1"/>
      <w:numFmt w:val="decimal"/>
      <w:isLgl/>
      <w:lvlText w:val="%1.%2."/>
      <w:lvlJc w:val="left"/>
      <w:pPr>
        <w:ind w:left="1080" w:hanging="360"/>
      </w:pPr>
      <w:rPr>
        <w:rFonts w:hint="default"/>
        <w:strike w:val="0"/>
        <w:color w:val="auto"/>
      </w:rPr>
    </w:lvl>
    <w:lvl w:ilvl="2">
      <w:start w:val="1"/>
      <w:numFmt w:val="decimal"/>
      <w:isLgl/>
      <w:lvlText w:val="%1.%2.%3."/>
      <w:lvlJc w:val="left"/>
      <w:pPr>
        <w:ind w:left="1797" w:hanging="720"/>
      </w:pPr>
      <w:rPr>
        <w:rFonts w:hint="default"/>
      </w:rPr>
    </w:lvl>
    <w:lvl w:ilvl="3">
      <w:start w:val="1"/>
      <w:numFmt w:val="decimal"/>
      <w:isLgl/>
      <w:lvlText w:val="%1.%2.%3.%4."/>
      <w:lvlJc w:val="left"/>
      <w:pPr>
        <w:ind w:left="1797" w:hanging="720"/>
      </w:pPr>
      <w:rPr>
        <w:rFonts w:hint="default"/>
      </w:rPr>
    </w:lvl>
    <w:lvl w:ilvl="4">
      <w:start w:val="1"/>
      <w:numFmt w:val="decimal"/>
      <w:isLgl/>
      <w:lvlText w:val="%1.%2.%3.%4.%5."/>
      <w:lvlJc w:val="left"/>
      <w:pPr>
        <w:ind w:left="2157" w:hanging="1080"/>
      </w:pPr>
      <w:rPr>
        <w:rFonts w:hint="default"/>
      </w:rPr>
    </w:lvl>
    <w:lvl w:ilvl="5">
      <w:start w:val="1"/>
      <w:numFmt w:val="decimal"/>
      <w:isLgl/>
      <w:lvlText w:val="%1.%2.%3.%4.%5.%6."/>
      <w:lvlJc w:val="left"/>
      <w:pPr>
        <w:ind w:left="2157" w:hanging="1080"/>
      </w:pPr>
      <w:rPr>
        <w:rFonts w:hint="default"/>
      </w:rPr>
    </w:lvl>
    <w:lvl w:ilvl="6">
      <w:start w:val="1"/>
      <w:numFmt w:val="decimal"/>
      <w:isLgl/>
      <w:lvlText w:val="%1.%2.%3.%4.%5.%6.%7."/>
      <w:lvlJc w:val="left"/>
      <w:pPr>
        <w:ind w:left="2517" w:hanging="1440"/>
      </w:pPr>
      <w:rPr>
        <w:rFonts w:hint="default"/>
      </w:rPr>
    </w:lvl>
    <w:lvl w:ilvl="7">
      <w:start w:val="1"/>
      <w:numFmt w:val="decimal"/>
      <w:isLgl/>
      <w:lvlText w:val="%1.%2.%3.%4.%5.%6.%7.%8."/>
      <w:lvlJc w:val="left"/>
      <w:pPr>
        <w:ind w:left="2517" w:hanging="1440"/>
      </w:pPr>
      <w:rPr>
        <w:rFonts w:hint="default"/>
      </w:rPr>
    </w:lvl>
    <w:lvl w:ilvl="8">
      <w:start w:val="1"/>
      <w:numFmt w:val="decimal"/>
      <w:isLgl/>
      <w:lvlText w:val="%1.%2.%3.%4.%5.%6.%7.%8.%9."/>
      <w:lvlJc w:val="left"/>
      <w:pPr>
        <w:ind w:left="2877" w:hanging="1800"/>
      </w:pPr>
      <w:rPr>
        <w:rFonts w:hint="default"/>
      </w:rPr>
    </w:lvl>
  </w:abstractNum>
  <w:abstractNum w:abstractNumId="11">
    <w:nsid w:val="4AE73C47"/>
    <w:multiLevelType w:val="hybridMultilevel"/>
    <w:tmpl w:val="E916710A"/>
    <w:lvl w:ilvl="0" w:tplc="59905010">
      <w:start w:val="9"/>
      <w:numFmt w:val="upp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
    <w:nsid w:val="4DB56893"/>
    <w:multiLevelType w:val="multilevel"/>
    <w:tmpl w:val="1618103C"/>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E932D73"/>
    <w:multiLevelType w:val="hybridMultilevel"/>
    <w:tmpl w:val="9CDC28F0"/>
    <w:lvl w:ilvl="0" w:tplc="E7762C72">
      <w:start w:val="1"/>
      <w:numFmt w:val="decimal"/>
      <w:lvlText w:val="%1)"/>
      <w:lvlJc w:val="left"/>
      <w:pPr>
        <w:ind w:left="643" w:hanging="360"/>
      </w:pPr>
      <w:rPr>
        <w:rFonts w:hint="default"/>
        <w:b w:val="0"/>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14">
    <w:nsid w:val="52054A35"/>
    <w:multiLevelType w:val="multilevel"/>
    <w:tmpl w:val="FE5E14D6"/>
    <w:lvl w:ilvl="0">
      <w:start w:val="2"/>
      <w:numFmt w:val="decimal"/>
      <w:lvlText w:val="%1."/>
      <w:lvlJc w:val="left"/>
      <w:pPr>
        <w:ind w:left="360" w:hanging="360"/>
      </w:pPr>
      <w:rPr>
        <w:rFonts w:hint="default"/>
        <w:b w:val="0"/>
        <w:i w:val="0"/>
        <w:strike w:val="0"/>
        <w:color w:val="auto"/>
        <w:sz w:val="24"/>
      </w:rPr>
    </w:lvl>
    <w:lvl w:ilvl="1">
      <w:start w:val="1"/>
      <w:numFmt w:val="decimal"/>
      <w:lvlText w:val="%1.%2."/>
      <w:lvlJc w:val="left"/>
      <w:pPr>
        <w:ind w:left="360" w:hanging="360"/>
      </w:pPr>
      <w:rPr>
        <w:rFonts w:hint="default"/>
        <w:b w:val="0"/>
        <w:i w:val="0"/>
        <w:strike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58EF0C58"/>
    <w:multiLevelType w:val="multilevel"/>
    <w:tmpl w:val="FE5E14D6"/>
    <w:lvl w:ilvl="0">
      <w:start w:val="2"/>
      <w:numFmt w:val="decimal"/>
      <w:lvlText w:val="%1."/>
      <w:lvlJc w:val="left"/>
      <w:pPr>
        <w:ind w:left="360" w:hanging="360"/>
      </w:pPr>
      <w:rPr>
        <w:rFonts w:hint="default"/>
        <w:b w:val="0"/>
        <w:i w:val="0"/>
        <w:strike w:val="0"/>
        <w:color w:val="auto"/>
        <w:sz w:val="24"/>
      </w:rPr>
    </w:lvl>
    <w:lvl w:ilvl="1">
      <w:start w:val="1"/>
      <w:numFmt w:val="decimal"/>
      <w:lvlText w:val="%1.%2."/>
      <w:lvlJc w:val="left"/>
      <w:pPr>
        <w:ind w:left="360" w:hanging="360"/>
      </w:pPr>
      <w:rPr>
        <w:rFonts w:hint="default"/>
        <w:b w:val="0"/>
        <w:i w:val="0"/>
        <w:strike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5C3E0E6D"/>
    <w:multiLevelType w:val="hybridMultilevel"/>
    <w:tmpl w:val="4510E0F2"/>
    <w:lvl w:ilvl="0" w:tplc="D26270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A63DEA"/>
    <w:multiLevelType w:val="multilevel"/>
    <w:tmpl w:val="FE5E14D6"/>
    <w:lvl w:ilvl="0">
      <w:start w:val="2"/>
      <w:numFmt w:val="decimal"/>
      <w:lvlText w:val="%1."/>
      <w:lvlJc w:val="left"/>
      <w:pPr>
        <w:ind w:left="360" w:hanging="360"/>
      </w:pPr>
      <w:rPr>
        <w:rFonts w:hint="default"/>
        <w:b w:val="0"/>
        <w:i w:val="0"/>
        <w:strike w:val="0"/>
        <w:color w:val="auto"/>
        <w:sz w:val="24"/>
      </w:rPr>
    </w:lvl>
    <w:lvl w:ilvl="1">
      <w:start w:val="1"/>
      <w:numFmt w:val="decimal"/>
      <w:lvlText w:val="%1.%2."/>
      <w:lvlJc w:val="left"/>
      <w:pPr>
        <w:ind w:left="360" w:hanging="360"/>
      </w:pPr>
      <w:rPr>
        <w:rFonts w:hint="default"/>
        <w:b w:val="0"/>
        <w:i w:val="0"/>
        <w:strike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nsid w:val="6BC06BE8"/>
    <w:multiLevelType w:val="hybridMultilevel"/>
    <w:tmpl w:val="02B0636A"/>
    <w:lvl w:ilvl="0" w:tplc="889EB5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049738B"/>
    <w:multiLevelType w:val="hybridMultilevel"/>
    <w:tmpl w:val="104A3B86"/>
    <w:lvl w:ilvl="0" w:tplc="F4841990">
      <w:start w:val="1"/>
      <w:numFmt w:val="decimal"/>
      <w:lvlText w:val="%1)"/>
      <w:lvlJc w:val="left"/>
      <w:pPr>
        <w:ind w:left="720" w:hanging="360"/>
      </w:pPr>
      <w:rPr>
        <w:rFonts w:hint="default"/>
        <w:b/>
      </w:rPr>
    </w:lvl>
    <w:lvl w:ilvl="1" w:tplc="1F94D686">
      <w:start w:val="1"/>
      <w:numFmt w:val="upperLetter"/>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71052975"/>
    <w:multiLevelType w:val="multilevel"/>
    <w:tmpl w:val="6D84F4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nsid w:val="76990EEF"/>
    <w:multiLevelType w:val="multilevel"/>
    <w:tmpl w:val="FE5E14D6"/>
    <w:lvl w:ilvl="0">
      <w:start w:val="2"/>
      <w:numFmt w:val="decimal"/>
      <w:lvlText w:val="%1."/>
      <w:lvlJc w:val="left"/>
      <w:pPr>
        <w:ind w:left="360" w:hanging="360"/>
      </w:pPr>
      <w:rPr>
        <w:rFonts w:hint="default"/>
        <w:b w:val="0"/>
        <w:i w:val="0"/>
        <w:strike w:val="0"/>
        <w:color w:val="auto"/>
        <w:sz w:val="24"/>
      </w:rPr>
    </w:lvl>
    <w:lvl w:ilvl="1">
      <w:start w:val="1"/>
      <w:numFmt w:val="decimal"/>
      <w:lvlText w:val="%1.%2."/>
      <w:lvlJc w:val="left"/>
      <w:pPr>
        <w:ind w:left="360" w:hanging="360"/>
      </w:pPr>
      <w:rPr>
        <w:rFonts w:hint="default"/>
        <w:b w:val="0"/>
        <w:i w:val="0"/>
        <w:strike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7A030DED"/>
    <w:multiLevelType w:val="multilevel"/>
    <w:tmpl w:val="CA5CC24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4"/>
  </w:num>
  <w:num w:numId="3">
    <w:abstractNumId w:val="20"/>
  </w:num>
  <w:num w:numId="4">
    <w:abstractNumId w:val="22"/>
  </w:num>
  <w:num w:numId="5">
    <w:abstractNumId w:val="13"/>
  </w:num>
  <w:num w:numId="6">
    <w:abstractNumId w:val="14"/>
  </w:num>
  <w:num w:numId="7">
    <w:abstractNumId w:val="8"/>
  </w:num>
  <w:num w:numId="8">
    <w:abstractNumId w:val="5"/>
  </w:num>
  <w:num w:numId="9">
    <w:abstractNumId w:val="19"/>
  </w:num>
  <w:num w:numId="10">
    <w:abstractNumId w:val="11"/>
  </w:num>
  <w:num w:numId="11">
    <w:abstractNumId w:val="0"/>
  </w:num>
  <w:num w:numId="12">
    <w:abstractNumId w:val="6"/>
  </w:num>
  <w:num w:numId="13">
    <w:abstractNumId w:val="2"/>
  </w:num>
  <w:num w:numId="14">
    <w:abstractNumId w:val="10"/>
  </w:num>
  <w:num w:numId="15">
    <w:abstractNumId w:val="12"/>
  </w:num>
  <w:num w:numId="16">
    <w:abstractNumId w:val="18"/>
  </w:num>
  <w:num w:numId="17">
    <w:abstractNumId w:val="16"/>
  </w:num>
  <w:num w:numId="18">
    <w:abstractNumId w:val="9"/>
  </w:num>
  <w:num w:numId="19">
    <w:abstractNumId w:val="21"/>
  </w:num>
  <w:num w:numId="20">
    <w:abstractNumId w:val="15"/>
  </w:num>
  <w:num w:numId="21">
    <w:abstractNumId w:val="7"/>
  </w:num>
  <w:num w:numId="22">
    <w:abstractNumId w:val="17"/>
  </w:num>
  <w:num w:numId="23">
    <w:abstractNumId w:val="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1021"/>
  <w:defaultTabStop w:val="992"/>
  <w:hyphenationZone w:val="396"/>
  <w:characterSpacingControl w:val="doNotCompress"/>
  <w:hdrShapeDefaults>
    <o:shapedefaults v:ext="edit" spidmax="5122"/>
  </w:hdrShapeDefaults>
  <w:footnotePr>
    <w:footnote w:id="-1"/>
    <w:footnote w:id="0"/>
  </w:footnotePr>
  <w:endnotePr>
    <w:endnote w:id="-1"/>
    <w:endnote w:id="0"/>
  </w:endnotePr>
  <w:compat/>
  <w:rsids>
    <w:rsidRoot w:val="006727A7"/>
    <w:rsid w:val="000007B0"/>
    <w:rsid w:val="00000807"/>
    <w:rsid w:val="00000C40"/>
    <w:rsid w:val="00000CB0"/>
    <w:rsid w:val="00000FAA"/>
    <w:rsid w:val="00001989"/>
    <w:rsid w:val="000024FA"/>
    <w:rsid w:val="00002781"/>
    <w:rsid w:val="00003427"/>
    <w:rsid w:val="000034E7"/>
    <w:rsid w:val="00003685"/>
    <w:rsid w:val="000055AF"/>
    <w:rsid w:val="00005CB4"/>
    <w:rsid w:val="00006DCE"/>
    <w:rsid w:val="000076C0"/>
    <w:rsid w:val="000105A4"/>
    <w:rsid w:val="00011479"/>
    <w:rsid w:val="00012584"/>
    <w:rsid w:val="00012EAB"/>
    <w:rsid w:val="00013548"/>
    <w:rsid w:val="00013881"/>
    <w:rsid w:val="0001448E"/>
    <w:rsid w:val="00014742"/>
    <w:rsid w:val="00016687"/>
    <w:rsid w:val="00016729"/>
    <w:rsid w:val="00020217"/>
    <w:rsid w:val="000203FB"/>
    <w:rsid w:val="00021595"/>
    <w:rsid w:val="00022AFD"/>
    <w:rsid w:val="00022D97"/>
    <w:rsid w:val="00022DED"/>
    <w:rsid w:val="000239A2"/>
    <w:rsid w:val="00024A0E"/>
    <w:rsid w:val="00024AF1"/>
    <w:rsid w:val="00025AB4"/>
    <w:rsid w:val="00025C61"/>
    <w:rsid w:val="00025DAD"/>
    <w:rsid w:val="000260D7"/>
    <w:rsid w:val="00026158"/>
    <w:rsid w:val="00027127"/>
    <w:rsid w:val="00027BBD"/>
    <w:rsid w:val="0003079E"/>
    <w:rsid w:val="00031628"/>
    <w:rsid w:val="000319EE"/>
    <w:rsid w:val="00032AFE"/>
    <w:rsid w:val="000349E5"/>
    <w:rsid w:val="00034C69"/>
    <w:rsid w:val="00036128"/>
    <w:rsid w:val="00037C8E"/>
    <w:rsid w:val="0004001E"/>
    <w:rsid w:val="0004377E"/>
    <w:rsid w:val="000437D7"/>
    <w:rsid w:val="00044CCC"/>
    <w:rsid w:val="00044EF6"/>
    <w:rsid w:val="000453E0"/>
    <w:rsid w:val="000459CF"/>
    <w:rsid w:val="00046FE9"/>
    <w:rsid w:val="0004710B"/>
    <w:rsid w:val="000516AB"/>
    <w:rsid w:val="00052BE3"/>
    <w:rsid w:val="000530B3"/>
    <w:rsid w:val="00055544"/>
    <w:rsid w:val="00055C65"/>
    <w:rsid w:val="00055DC3"/>
    <w:rsid w:val="00056CFA"/>
    <w:rsid w:val="00057299"/>
    <w:rsid w:val="00057726"/>
    <w:rsid w:val="00060217"/>
    <w:rsid w:val="00060AAC"/>
    <w:rsid w:val="00060F76"/>
    <w:rsid w:val="000622E7"/>
    <w:rsid w:val="000623CB"/>
    <w:rsid w:val="00063C8C"/>
    <w:rsid w:val="0006528D"/>
    <w:rsid w:val="0006547D"/>
    <w:rsid w:val="0006563A"/>
    <w:rsid w:val="00065FFE"/>
    <w:rsid w:val="00066052"/>
    <w:rsid w:val="00066622"/>
    <w:rsid w:val="0006713B"/>
    <w:rsid w:val="0006760C"/>
    <w:rsid w:val="00067C0F"/>
    <w:rsid w:val="0007086A"/>
    <w:rsid w:val="00071451"/>
    <w:rsid w:val="00071FC7"/>
    <w:rsid w:val="0007296B"/>
    <w:rsid w:val="000729C6"/>
    <w:rsid w:val="000735AA"/>
    <w:rsid w:val="00073BE7"/>
    <w:rsid w:val="00080758"/>
    <w:rsid w:val="00081347"/>
    <w:rsid w:val="00081891"/>
    <w:rsid w:val="00081A76"/>
    <w:rsid w:val="00082397"/>
    <w:rsid w:val="000837B3"/>
    <w:rsid w:val="00084C86"/>
    <w:rsid w:val="00085BB0"/>
    <w:rsid w:val="00092901"/>
    <w:rsid w:val="00092BDB"/>
    <w:rsid w:val="00094494"/>
    <w:rsid w:val="00094723"/>
    <w:rsid w:val="00095588"/>
    <w:rsid w:val="0009728A"/>
    <w:rsid w:val="00097CA3"/>
    <w:rsid w:val="000A034D"/>
    <w:rsid w:val="000A04B6"/>
    <w:rsid w:val="000A1735"/>
    <w:rsid w:val="000A192E"/>
    <w:rsid w:val="000A1D99"/>
    <w:rsid w:val="000A410E"/>
    <w:rsid w:val="000A7158"/>
    <w:rsid w:val="000A75EC"/>
    <w:rsid w:val="000A79E4"/>
    <w:rsid w:val="000B0704"/>
    <w:rsid w:val="000B13C4"/>
    <w:rsid w:val="000B2EC6"/>
    <w:rsid w:val="000B3CAC"/>
    <w:rsid w:val="000B432F"/>
    <w:rsid w:val="000B53F6"/>
    <w:rsid w:val="000B6FED"/>
    <w:rsid w:val="000B7776"/>
    <w:rsid w:val="000B7A12"/>
    <w:rsid w:val="000B7D08"/>
    <w:rsid w:val="000C0796"/>
    <w:rsid w:val="000C1239"/>
    <w:rsid w:val="000C2AE0"/>
    <w:rsid w:val="000C3CDC"/>
    <w:rsid w:val="000C42C9"/>
    <w:rsid w:val="000C43E1"/>
    <w:rsid w:val="000C461F"/>
    <w:rsid w:val="000C53E4"/>
    <w:rsid w:val="000C6158"/>
    <w:rsid w:val="000C61F0"/>
    <w:rsid w:val="000C727C"/>
    <w:rsid w:val="000C7789"/>
    <w:rsid w:val="000D0B86"/>
    <w:rsid w:val="000D104D"/>
    <w:rsid w:val="000D10DF"/>
    <w:rsid w:val="000D1531"/>
    <w:rsid w:val="000D2DF3"/>
    <w:rsid w:val="000D3498"/>
    <w:rsid w:val="000D3E02"/>
    <w:rsid w:val="000D51DA"/>
    <w:rsid w:val="000D6E08"/>
    <w:rsid w:val="000D7D01"/>
    <w:rsid w:val="000E1108"/>
    <w:rsid w:val="000E167B"/>
    <w:rsid w:val="000E1A9D"/>
    <w:rsid w:val="000E1E43"/>
    <w:rsid w:val="000E240F"/>
    <w:rsid w:val="000E245D"/>
    <w:rsid w:val="000E2C88"/>
    <w:rsid w:val="000E3654"/>
    <w:rsid w:val="000E40ED"/>
    <w:rsid w:val="000E420C"/>
    <w:rsid w:val="000F011F"/>
    <w:rsid w:val="000F0403"/>
    <w:rsid w:val="000F0C3E"/>
    <w:rsid w:val="000F0EF8"/>
    <w:rsid w:val="000F0FA2"/>
    <w:rsid w:val="000F1CE1"/>
    <w:rsid w:val="000F1F7B"/>
    <w:rsid w:val="000F3DE9"/>
    <w:rsid w:val="000F3E9D"/>
    <w:rsid w:val="000F448C"/>
    <w:rsid w:val="000F47DA"/>
    <w:rsid w:val="000F5BFE"/>
    <w:rsid w:val="000F6445"/>
    <w:rsid w:val="000F6C05"/>
    <w:rsid w:val="000F744D"/>
    <w:rsid w:val="0010138E"/>
    <w:rsid w:val="001027C3"/>
    <w:rsid w:val="0010373F"/>
    <w:rsid w:val="001038EA"/>
    <w:rsid w:val="00103E7C"/>
    <w:rsid w:val="00105516"/>
    <w:rsid w:val="0010581A"/>
    <w:rsid w:val="00105ED8"/>
    <w:rsid w:val="00107A19"/>
    <w:rsid w:val="00107ADB"/>
    <w:rsid w:val="00110172"/>
    <w:rsid w:val="001129C4"/>
    <w:rsid w:val="00112BEE"/>
    <w:rsid w:val="001144B8"/>
    <w:rsid w:val="00114841"/>
    <w:rsid w:val="00116040"/>
    <w:rsid w:val="00117695"/>
    <w:rsid w:val="00117751"/>
    <w:rsid w:val="00121EB4"/>
    <w:rsid w:val="00123131"/>
    <w:rsid w:val="00123474"/>
    <w:rsid w:val="00123A08"/>
    <w:rsid w:val="0012467A"/>
    <w:rsid w:val="00127E2B"/>
    <w:rsid w:val="001301D5"/>
    <w:rsid w:val="00131469"/>
    <w:rsid w:val="001325EA"/>
    <w:rsid w:val="00132FF8"/>
    <w:rsid w:val="001331AE"/>
    <w:rsid w:val="0013354E"/>
    <w:rsid w:val="00133839"/>
    <w:rsid w:val="00133923"/>
    <w:rsid w:val="00136A24"/>
    <w:rsid w:val="00137D2F"/>
    <w:rsid w:val="00140D33"/>
    <w:rsid w:val="00141D58"/>
    <w:rsid w:val="001427C7"/>
    <w:rsid w:val="00146560"/>
    <w:rsid w:val="00150147"/>
    <w:rsid w:val="00150A06"/>
    <w:rsid w:val="00150E2A"/>
    <w:rsid w:val="001510C5"/>
    <w:rsid w:val="00151919"/>
    <w:rsid w:val="00152724"/>
    <w:rsid w:val="00152B09"/>
    <w:rsid w:val="00154513"/>
    <w:rsid w:val="00156413"/>
    <w:rsid w:val="00156790"/>
    <w:rsid w:val="00157559"/>
    <w:rsid w:val="001576CF"/>
    <w:rsid w:val="00157935"/>
    <w:rsid w:val="001600E6"/>
    <w:rsid w:val="00160DF5"/>
    <w:rsid w:val="0016157D"/>
    <w:rsid w:val="00161D43"/>
    <w:rsid w:val="0016273E"/>
    <w:rsid w:val="0016457A"/>
    <w:rsid w:val="001645E8"/>
    <w:rsid w:val="00164B7C"/>
    <w:rsid w:val="0016522B"/>
    <w:rsid w:val="00165414"/>
    <w:rsid w:val="00166603"/>
    <w:rsid w:val="00166C2D"/>
    <w:rsid w:val="00166D97"/>
    <w:rsid w:val="00170EA5"/>
    <w:rsid w:val="00171173"/>
    <w:rsid w:val="00171A99"/>
    <w:rsid w:val="0017226E"/>
    <w:rsid w:val="00172735"/>
    <w:rsid w:val="001729DF"/>
    <w:rsid w:val="0017343F"/>
    <w:rsid w:val="0017377B"/>
    <w:rsid w:val="00173888"/>
    <w:rsid w:val="0017491D"/>
    <w:rsid w:val="00175BE8"/>
    <w:rsid w:val="00181636"/>
    <w:rsid w:val="00181FC8"/>
    <w:rsid w:val="001831EC"/>
    <w:rsid w:val="00183C28"/>
    <w:rsid w:val="00183D6A"/>
    <w:rsid w:val="00183FD6"/>
    <w:rsid w:val="001844E0"/>
    <w:rsid w:val="00184A93"/>
    <w:rsid w:val="00186CF2"/>
    <w:rsid w:val="00186DCB"/>
    <w:rsid w:val="00190110"/>
    <w:rsid w:val="001934D7"/>
    <w:rsid w:val="00193A51"/>
    <w:rsid w:val="001953B4"/>
    <w:rsid w:val="00195594"/>
    <w:rsid w:val="001957BF"/>
    <w:rsid w:val="00195EC7"/>
    <w:rsid w:val="00196149"/>
    <w:rsid w:val="00196BC5"/>
    <w:rsid w:val="0019756D"/>
    <w:rsid w:val="001A09E4"/>
    <w:rsid w:val="001A3EEE"/>
    <w:rsid w:val="001A5709"/>
    <w:rsid w:val="001A5F58"/>
    <w:rsid w:val="001A617C"/>
    <w:rsid w:val="001A7370"/>
    <w:rsid w:val="001B1C83"/>
    <w:rsid w:val="001B2545"/>
    <w:rsid w:val="001B3405"/>
    <w:rsid w:val="001B4A0C"/>
    <w:rsid w:val="001B591F"/>
    <w:rsid w:val="001B6137"/>
    <w:rsid w:val="001B6679"/>
    <w:rsid w:val="001C0BCA"/>
    <w:rsid w:val="001C113F"/>
    <w:rsid w:val="001C1F7E"/>
    <w:rsid w:val="001C256B"/>
    <w:rsid w:val="001C2CE5"/>
    <w:rsid w:val="001C3DE3"/>
    <w:rsid w:val="001C4345"/>
    <w:rsid w:val="001C47F1"/>
    <w:rsid w:val="001C4D82"/>
    <w:rsid w:val="001C5185"/>
    <w:rsid w:val="001C68F1"/>
    <w:rsid w:val="001C721A"/>
    <w:rsid w:val="001C7F9E"/>
    <w:rsid w:val="001D01C4"/>
    <w:rsid w:val="001D0506"/>
    <w:rsid w:val="001D10B6"/>
    <w:rsid w:val="001D14B0"/>
    <w:rsid w:val="001D1DBC"/>
    <w:rsid w:val="001D2C87"/>
    <w:rsid w:val="001D30F6"/>
    <w:rsid w:val="001D3E16"/>
    <w:rsid w:val="001D3F8E"/>
    <w:rsid w:val="001D411D"/>
    <w:rsid w:val="001D50EA"/>
    <w:rsid w:val="001D575E"/>
    <w:rsid w:val="001D68D8"/>
    <w:rsid w:val="001D7441"/>
    <w:rsid w:val="001D7D80"/>
    <w:rsid w:val="001E08C2"/>
    <w:rsid w:val="001E118F"/>
    <w:rsid w:val="001E29A9"/>
    <w:rsid w:val="001E3546"/>
    <w:rsid w:val="001E4CBD"/>
    <w:rsid w:val="001E5596"/>
    <w:rsid w:val="001E577A"/>
    <w:rsid w:val="001E57BE"/>
    <w:rsid w:val="001E74DE"/>
    <w:rsid w:val="001F061D"/>
    <w:rsid w:val="001F066A"/>
    <w:rsid w:val="001F0A6A"/>
    <w:rsid w:val="001F1679"/>
    <w:rsid w:val="001F2EC0"/>
    <w:rsid w:val="001F3C6E"/>
    <w:rsid w:val="001F559D"/>
    <w:rsid w:val="001F6ACC"/>
    <w:rsid w:val="001F73B0"/>
    <w:rsid w:val="0020071E"/>
    <w:rsid w:val="0020162F"/>
    <w:rsid w:val="00201C0F"/>
    <w:rsid w:val="00203877"/>
    <w:rsid w:val="00206489"/>
    <w:rsid w:val="00211185"/>
    <w:rsid w:val="002125AE"/>
    <w:rsid w:val="002133AD"/>
    <w:rsid w:val="0021550E"/>
    <w:rsid w:val="00215E5A"/>
    <w:rsid w:val="00215E6D"/>
    <w:rsid w:val="002216E3"/>
    <w:rsid w:val="00225813"/>
    <w:rsid w:val="00225B8E"/>
    <w:rsid w:val="00225D3C"/>
    <w:rsid w:val="00226266"/>
    <w:rsid w:val="002278A5"/>
    <w:rsid w:val="0023010C"/>
    <w:rsid w:val="00230907"/>
    <w:rsid w:val="00231A96"/>
    <w:rsid w:val="00231EDE"/>
    <w:rsid w:val="00235105"/>
    <w:rsid w:val="002353E8"/>
    <w:rsid w:val="00237663"/>
    <w:rsid w:val="00240784"/>
    <w:rsid w:val="0024101E"/>
    <w:rsid w:val="00241303"/>
    <w:rsid w:val="002421D6"/>
    <w:rsid w:val="0024295A"/>
    <w:rsid w:val="00243147"/>
    <w:rsid w:val="002439F4"/>
    <w:rsid w:val="00243AFE"/>
    <w:rsid w:val="00243BBB"/>
    <w:rsid w:val="00244308"/>
    <w:rsid w:val="002451F2"/>
    <w:rsid w:val="00247EEA"/>
    <w:rsid w:val="00250C96"/>
    <w:rsid w:val="0025111E"/>
    <w:rsid w:val="0025183D"/>
    <w:rsid w:val="00251CAA"/>
    <w:rsid w:val="00251CBB"/>
    <w:rsid w:val="00252E86"/>
    <w:rsid w:val="00254271"/>
    <w:rsid w:val="00262B32"/>
    <w:rsid w:val="0026514F"/>
    <w:rsid w:val="00265358"/>
    <w:rsid w:val="00265639"/>
    <w:rsid w:val="00267603"/>
    <w:rsid w:val="00270543"/>
    <w:rsid w:val="00270DB0"/>
    <w:rsid w:val="00270F3F"/>
    <w:rsid w:val="002714BC"/>
    <w:rsid w:val="00271996"/>
    <w:rsid w:val="00271F50"/>
    <w:rsid w:val="00273B22"/>
    <w:rsid w:val="00273F39"/>
    <w:rsid w:val="002745A1"/>
    <w:rsid w:val="0027595B"/>
    <w:rsid w:val="00275B0C"/>
    <w:rsid w:val="00275E2D"/>
    <w:rsid w:val="00276513"/>
    <w:rsid w:val="002779FE"/>
    <w:rsid w:val="00280912"/>
    <w:rsid w:val="00281379"/>
    <w:rsid w:val="002814D9"/>
    <w:rsid w:val="002814E9"/>
    <w:rsid w:val="002814EA"/>
    <w:rsid w:val="00281F13"/>
    <w:rsid w:val="002822C3"/>
    <w:rsid w:val="002825AA"/>
    <w:rsid w:val="00284E72"/>
    <w:rsid w:val="002850F2"/>
    <w:rsid w:val="00285F48"/>
    <w:rsid w:val="0028637F"/>
    <w:rsid w:val="00286D35"/>
    <w:rsid w:val="00287B94"/>
    <w:rsid w:val="0029050B"/>
    <w:rsid w:val="002908E0"/>
    <w:rsid w:val="002930B4"/>
    <w:rsid w:val="00293E82"/>
    <w:rsid w:val="0029467B"/>
    <w:rsid w:val="002946C8"/>
    <w:rsid w:val="00294D4C"/>
    <w:rsid w:val="00295455"/>
    <w:rsid w:val="002958E3"/>
    <w:rsid w:val="00295CFC"/>
    <w:rsid w:val="00296450"/>
    <w:rsid w:val="00296540"/>
    <w:rsid w:val="002A0599"/>
    <w:rsid w:val="002A08FC"/>
    <w:rsid w:val="002A1902"/>
    <w:rsid w:val="002A2224"/>
    <w:rsid w:val="002A2D88"/>
    <w:rsid w:val="002A2E2B"/>
    <w:rsid w:val="002A32F5"/>
    <w:rsid w:val="002A3453"/>
    <w:rsid w:val="002A48C2"/>
    <w:rsid w:val="002A521B"/>
    <w:rsid w:val="002B08AA"/>
    <w:rsid w:val="002B3B72"/>
    <w:rsid w:val="002B4F21"/>
    <w:rsid w:val="002B5770"/>
    <w:rsid w:val="002B63E0"/>
    <w:rsid w:val="002B6681"/>
    <w:rsid w:val="002B6B66"/>
    <w:rsid w:val="002B7394"/>
    <w:rsid w:val="002C10A8"/>
    <w:rsid w:val="002C1EDB"/>
    <w:rsid w:val="002C24B5"/>
    <w:rsid w:val="002C298B"/>
    <w:rsid w:val="002C6F31"/>
    <w:rsid w:val="002C7C46"/>
    <w:rsid w:val="002D1A75"/>
    <w:rsid w:val="002D20A8"/>
    <w:rsid w:val="002D287C"/>
    <w:rsid w:val="002D3E2E"/>
    <w:rsid w:val="002D4A1D"/>
    <w:rsid w:val="002D5825"/>
    <w:rsid w:val="002D5CA5"/>
    <w:rsid w:val="002D6C2E"/>
    <w:rsid w:val="002D6EDF"/>
    <w:rsid w:val="002D7606"/>
    <w:rsid w:val="002D7EA2"/>
    <w:rsid w:val="002E1CAF"/>
    <w:rsid w:val="002E21CB"/>
    <w:rsid w:val="002E3214"/>
    <w:rsid w:val="002E338B"/>
    <w:rsid w:val="002E41D4"/>
    <w:rsid w:val="002E58A2"/>
    <w:rsid w:val="002E60C0"/>
    <w:rsid w:val="002E6519"/>
    <w:rsid w:val="002E749F"/>
    <w:rsid w:val="002F1427"/>
    <w:rsid w:val="002F1EB0"/>
    <w:rsid w:val="002F24EE"/>
    <w:rsid w:val="002F37D4"/>
    <w:rsid w:val="002F3E1F"/>
    <w:rsid w:val="002F4DC4"/>
    <w:rsid w:val="002F4E72"/>
    <w:rsid w:val="002F68D0"/>
    <w:rsid w:val="00300580"/>
    <w:rsid w:val="00301076"/>
    <w:rsid w:val="00302023"/>
    <w:rsid w:val="003022D0"/>
    <w:rsid w:val="0030329A"/>
    <w:rsid w:val="00304151"/>
    <w:rsid w:val="0030478E"/>
    <w:rsid w:val="003048A1"/>
    <w:rsid w:val="003059F9"/>
    <w:rsid w:val="00305BB6"/>
    <w:rsid w:val="00305F5B"/>
    <w:rsid w:val="00306457"/>
    <w:rsid w:val="00306A03"/>
    <w:rsid w:val="00306B30"/>
    <w:rsid w:val="00306C6E"/>
    <w:rsid w:val="00307154"/>
    <w:rsid w:val="003078F4"/>
    <w:rsid w:val="00311415"/>
    <w:rsid w:val="00311880"/>
    <w:rsid w:val="00311FB2"/>
    <w:rsid w:val="00313F0D"/>
    <w:rsid w:val="00314045"/>
    <w:rsid w:val="00314B35"/>
    <w:rsid w:val="00315313"/>
    <w:rsid w:val="00315CAF"/>
    <w:rsid w:val="003162FB"/>
    <w:rsid w:val="00316A87"/>
    <w:rsid w:val="00316B6C"/>
    <w:rsid w:val="003200DB"/>
    <w:rsid w:val="00321748"/>
    <w:rsid w:val="00321A1F"/>
    <w:rsid w:val="00323D11"/>
    <w:rsid w:val="00324D30"/>
    <w:rsid w:val="00325568"/>
    <w:rsid w:val="003262F1"/>
    <w:rsid w:val="00326C25"/>
    <w:rsid w:val="0033046F"/>
    <w:rsid w:val="0033295F"/>
    <w:rsid w:val="00334106"/>
    <w:rsid w:val="00336C25"/>
    <w:rsid w:val="00337455"/>
    <w:rsid w:val="00337C4D"/>
    <w:rsid w:val="003408CE"/>
    <w:rsid w:val="00340BA7"/>
    <w:rsid w:val="00340DDB"/>
    <w:rsid w:val="0034241B"/>
    <w:rsid w:val="003425F4"/>
    <w:rsid w:val="00342AB7"/>
    <w:rsid w:val="00344AA0"/>
    <w:rsid w:val="0034531D"/>
    <w:rsid w:val="00345B8C"/>
    <w:rsid w:val="00347FCE"/>
    <w:rsid w:val="003502AB"/>
    <w:rsid w:val="003507F6"/>
    <w:rsid w:val="00350FFB"/>
    <w:rsid w:val="00351CFA"/>
    <w:rsid w:val="00352E2C"/>
    <w:rsid w:val="00353D71"/>
    <w:rsid w:val="00353FD1"/>
    <w:rsid w:val="00354ABC"/>
    <w:rsid w:val="0035581C"/>
    <w:rsid w:val="00355E79"/>
    <w:rsid w:val="003566B0"/>
    <w:rsid w:val="003568ED"/>
    <w:rsid w:val="00356D2C"/>
    <w:rsid w:val="00357DE3"/>
    <w:rsid w:val="00360185"/>
    <w:rsid w:val="0036090E"/>
    <w:rsid w:val="00361401"/>
    <w:rsid w:val="0036157A"/>
    <w:rsid w:val="00362359"/>
    <w:rsid w:val="0036253F"/>
    <w:rsid w:val="00363D98"/>
    <w:rsid w:val="003642D8"/>
    <w:rsid w:val="003651BD"/>
    <w:rsid w:val="003658C0"/>
    <w:rsid w:val="00366E00"/>
    <w:rsid w:val="00366E14"/>
    <w:rsid w:val="0036708C"/>
    <w:rsid w:val="00370060"/>
    <w:rsid w:val="0037095A"/>
    <w:rsid w:val="003711C2"/>
    <w:rsid w:val="003717B7"/>
    <w:rsid w:val="003725B4"/>
    <w:rsid w:val="00372DDC"/>
    <w:rsid w:val="003736D4"/>
    <w:rsid w:val="003736F3"/>
    <w:rsid w:val="003738D0"/>
    <w:rsid w:val="00375217"/>
    <w:rsid w:val="00375E87"/>
    <w:rsid w:val="00377A8C"/>
    <w:rsid w:val="00380C56"/>
    <w:rsid w:val="003836B8"/>
    <w:rsid w:val="0038415A"/>
    <w:rsid w:val="003857A7"/>
    <w:rsid w:val="00385AB2"/>
    <w:rsid w:val="00385BC9"/>
    <w:rsid w:val="003864EE"/>
    <w:rsid w:val="00387753"/>
    <w:rsid w:val="00387B8C"/>
    <w:rsid w:val="00391A48"/>
    <w:rsid w:val="00392F75"/>
    <w:rsid w:val="00393BB1"/>
    <w:rsid w:val="00395CF3"/>
    <w:rsid w:val="003969AC"/>
    <w:rsid w:val="00396E84"/>
    <w:rsid w:val="00396F1B"/>
    <w:rsid w:val="003977D8"/>
    <w:rsid w:val="003A0D10"/>
    <w:rsid w:val="003A2971"/>
    <w:rsid w:val="003A2DD5"/>
    <w:rsid w:val="003A2E03"/>
    <w:rsid w:val="003A2E32"/>
    <w:rsid w:val="003A2EED"/>
    <w:rsid w:val="003A455F"/>
    <w:rsid w:val="003A52DB"/>
    <w:rsid w:val="003A5E98"/>
    <w:rsid w:val="003B0E39"/>
    <w:rsid w:val="003B2346"/>
    <w:rsid w:val="003B274F"/>
    <w:rsid w:val="003B331D"/>
    <w:rsid w:val="003B4F55"/>
    <w:rsid w:val="003B551C"/>
    <w:rsid w:val="003B5BC9"/>
    <w:rsid w:val="003B5C6B"/>
    <w:rsid w:val="003B5E81"/>
    <w:rsid w:val="003B7F70"/>
    <w:rsid w:val="003C26C0"/>
    <w:rsid w:val="003C2AAC"/>
    <w:rsid w:val="003C30F8"/>
    <w:rsid w:val="003C36AD"/>
    <w:rsid w:val="003C3E01"/>
    <w:rsid w:val="003C3EBE"/>
    <w:rsid w:val="003C43B6"/>
    <w:rsid w:val="003C588E"/>
    <w:rsid w:val="003C5D7B"/>
    <w:rsid w:val="003C6214"/>
    <w:rsid w:val="003C7FA8"/>
    <w:rsid w:val="003D0CA0"/>
    <w:rsid w:val="003D1F87"/>
    <w:rsid w:val="003D4118"/>
    <w:rsid w:val="003D599A"/>
    <w:rsid w:val="003D75B3"/>
    <w:rsid w:val="003E1150"/>
    <w:rsid w:val="003E2C60"/>
    <w:rsid w:val="003E2E45"/>
    <w:rsid w:val="003E4117"/>
    <w:rsid w:val="003E5CCE"/>
    <w:rsid w:val="003F2B9E"/>
    <w:rsid w:val="003F375C"/>
    <w:rsid w:val="003F49BF"/>
    <w:rsid w:val="003F70AC"/>
    <w:rsid w:val="003F716D"/>
    <w:rsid w:val="003F734D"/>
    <w:rsid w:val="003F7E0A"/>
    <w:rsid w:val="003F7F4C"/>
    <w:rsid w:val="00401867"/>
    <w:rsid w:val="00402075"/>
    <w:rsid w:val="004025FA"/>
    <w:rsid w:val="00403A58"/>
    <w:rsid w:val="004047DA"/>
    <w:rsid w:val="00405EBE"/>
    <w:rsid w:val="004069BF"/>
    <w:rsid w:val="00406AE2"/>
    <w:rsid w:val="00407216"/>
    <w:rsid w:val="00407250"/>
    <w:rsid w:val="00410886"/>
    <w:rsid w:val="00410B97"/>
    <w:rsid w:val="00410EA1"/>
    <w:rsid w:val="00410F93"/>
    <w:rsid w:val="004110B9"/>
    <w:rsid w:val="00414F0D"/>
    <w:rsid w:val="0041657C"/>
    <w:rsid w:val="00416C6F"/>
    <w:rsid w:val="00417386"/>
    <w:rsid w:val="00417A25"/>
    <w:rsid w:val="00420707"/>
    <w:rsid w:val="00420A4B"/>
    <w:rsid w:val="0042306C"/>
    <w:rsid w:val="00423B4A"/>
    <w:rsid w:val="00425817"/>
    <w:rsid w:val="00425CFF"/>
    <w:rsid w:val="0042647B"/>
    <w:rsid w:val="0042728D"/>
    <w:rsid w:val="00427A70"/>
    <w:rsid w:val="00427F7D"/>
    <w:rsid w:val="0043164E"/>
    <w:rsid w:val="0043189F"/>
    <w:rsid w:val="004330FE"/>
    <w:rsid w:val="00433CDC"/>
    <w:rsid w:val="004342EE"/>
    <w:rsid w:val="0043571F"/>
    <w:rsid w:val="0043596C"/>
    <w:rsid w:val="0043671C"/>
    <w:rsid w:val="004415EE"/>
    <w:rsid w:val="00442A2A"/>
    <w:rsid w:val="00443380"/>
    <w:rsid w:val="0044375D"/>
    <w:rsid w:val="00443DFE"/>
    <w:rsid w:val="00444C47"/>
    <w:rsid w:val="004455DE"/>
    <w:rsid w:val="00446F2F"/>
    <w:rsid w:val="004472EE"/>
    <w:rsid w:val="00447B63"/>
    <w:rsid w:val="00450488"/>
    <w:rsid w:val="00450806"/>
    <w:rsid w:val="004517EF"/>
    <w:rsid w:val="0045471F"/>
    <w:rsid w:val="00454846"/>
    <w:rsid w:val="00454EE2"/>
    <w:rsid w:val="00455191"/>
    <w:rsid w:val="00455EF2"/>
    <w:rsid w:val="00457425"/>
    <w:rsid w:val="00457A5F"/>
    <w:rsid w:val="00457CC3"/>
    <w:rsid w:val="00461540"/>
    <w:rsid w:val="004626A9"/>
    <w:rsid w:val="00462A9A"/>
    <w:rsid w:val="00463769"/>
    <w:rsid w:val="00463DCD"/>
    <w:rsid w:val="00463DE7"/>
    <w:rsid w:val="0046551C"/>
    <w:rsid w:val="00465B86"/>
    <w:rsid w:val="004662EF"/>
    <w:rsid w:val="00466BE6"/>
    <w:rsid w:val="00466D5B"/>
    <w:rsid w:val="004671FB"/>
    <w:rsid w:val="0046770B"/>
    <w:rsid w:val="0046774F"/>
    <w:rsid w:val="00470183"/>
    <w:rsid w:val="004701B3"/>
    <w:rsid w:val="0047049F"/>
    <w:rsid w:val="00470E77"/>
    <w:rsid w:val="00470ED6"/>
    <w:rsid w:val="004714B7"/>
    <w:rsid w:val="00471604"/>
    <w:rsid w:val="00471701"/>
    <w:rsid w:val="00471A03"/>
    <w:rsid w:val="004724A5"/>
    <w:rsid w:val="0047456E"/>
    <w:rsid w:val="00476599"/>
    <w:rsid w:val="0047675D"/>
    <w:rsid w:val="004771FC"/>
    <w:rsid w:val="00480B7D"/>
    <w:rsid w:val="00483B7D"/>
    <w:rsid w:val="00483D28"/>
    <w:rsid w:val="0048680E"/>
    <w:rsid w:val="004871EA"/>
    <w:rsid w:val="00490D1E"/>
    <w:rsid w:val="004916C5"/>
    <w:rsid w:val="00491A27"/>
    <w:rsid w:val="00491ED9"/>
    <w:rsid w:val="00493066"/>
    <w:rsid w:val="0049485C"/>
    <w:rsid w:val="004950D8"/>
    <w:rsid w:val="0049584D"/>
    <w:rsid w:val="00495B43"/>
    <w:rsid w:val="004960DC"/>
    <w:rsid w:val="00496FB4"/>
    <w:rsid w:val="00497950"/>
    <w:rsid w:val="004A0689"/>
    <w:rsid w:val="004A154F"/>
    <w:rsid w:val="004A2681"/>
    <w:rsid w:val="004A2868"/>
    <w:rsid w:val="004A32B6"/>
    <w:rsid w:val="004A361B"/>
    <w:rsid w:val="004A3C5A"/>
    <w:rsid w:val="004A4A44"/>
    <w:rsid w:val="004A5AB1"/>
    <w:rsid w:val="004A610F"/>
    <w:rsid w:val="004A6B13"/>
    <w:rsid w:val="004A7F72"/>
    <w:rsid w:val="004A7FB4"/>
    <w:rsid w:val="004B00DA"/>
    <w:rsid w:val="004B04B1"/>
    <w:rsid w:val="004B0818"/>
    <w:rsid w:val="004B14C6"/>
    <w:rsid w:val="004B2109"/>
    <w:rsid w:val="004B30A4"/>
    <w:rsid w:val="004B3DFD"/>
    <w:rsid w:val="004B594C"/>
    <w:rsid w:val="004B5EC0"/>
    <w:rsid w:val="004B7185"/>
    <w:rsid w:val="004B71B9"/>
    <w:rsid w:val="004B72DA"/>
    <w:rsid w:val="004B75F1"/>
    <w:rsid w:val="004B7B83"/>
    <w:rsid w:val="004B7CF9"/>
    <w:rsid w:val="004C04A0"/>
    <w:rsid w:val="004C08EB"/>
    <w:rsid w:val="004C5CD6"/>
    <w:rsid w:val="004D1BBD"/>
    <w:rsid w:val="004D4F1B"/>
    <w:rsid w:val="004D6992"/>
    <w:rsid w:val="004E12C8"/>
    <w:rsid w:val="004E1E26"/>
    <w:rsid w:val="004E4879"/>
    <w:rsid w:val="004E4C5A"/>
    <w:rsid w:val="004E7CE9"/>
    <w:rsid w:val="004F000B"/>
    <w:rsid w:val="004F0E77"/>
    <w:rsid w:val="004F1321"/>
    <w:rsid w:val="004F1495"/>
    <w:rsid w:val="004F1FCD"/>
    <w:rsid w:val="004F3D7E"/>
    <w:rsid w:val="004F4247"/>
    <w:rsid w:val="004F4771"/>
    <w:rsid w:val="004F6354"/>
    <w:rsid w:val="004F640D"/>
    <w:rsid w:val="004F7465"/>
    <w:rsid w:val="005026DA"/>
    <w:rsid w:val="005052C0"/>
    <w:rsid w:val="0050572E"/>
    <w:rsid w:val="00505AB3"/>
    <w:rsid w:val="005063D4"/>
    <w:rsid w:val="00506532"/>
    <w:rsid w:val="00506F48"/>
    <w:rsid w:val="00511779"/>
    <w:rsid w:val="0051191B"/>
    <w:rsid w:val="00511D5A"/>
    <w:rsid w:val="005124CB"/>
    <w:rsid w:val="005126E6"/>
    <w:rsid w:val="00512827"/>
    <w:rsid w:val="00512E43"/>
    <w:rsid w:val="00513C98"/>
    <w:rsid w:val="0051475E"/>
    <w:rsid w:val="005147B5"/>
    <w:rsid w:val="00514FF1"/>
    <w:rsid w:val="00516D1D"/>
    <w:rsid w:val="00517C09"/>
    <w:rsid w:val="0052152D"/>
    <w:rsid w:val="0052165F"/>
    <w:rsid w:val="00521A14"/>
    <w:rsid w:val="005220CE"/>
    <w:rsid w:val="00523174"/>
    <w:rsid w:val="005238A6"/>
    <w:rsid w:val="00523B8B"/>
    <w:rsid w:val="00524D91"/>
    <w:rsid w:val="0052517A"/>
    <w:rsid w:val="00525C07"/>
    <w:rsid w:val="00525FCA"/>
    <w:rsid w:val="00526360"/>
    <w:rsid w:val="0052691F"/>
    <w:rsid w:val="005269A6"/>
    <w:rsid w:val="00527927"/>
    <w:rsid w:val="00530828"/>
    <w:rsid w:val="00530A91"/>
    <w:rsid w:val="005317E8"/>
    <w:rsid w:val="00531BAB"/>
    <w:rsid w:val="005340A1"/>
    <w:rsid w:val="00534C61"/>
    <w:rsid w:val="00535F76"/>
    <w:rsid w:val="00536BB0"/>
    <w:rsid w:val="00537097"/>
    <w:rsid w:val="005439E4"/>
    <w:rsid w:val="00543B80"/>
    <w:rsid w:val="0054653E"/>
    <w:rsid w:val="00546D11"/>
    <w:rsid w:val="00547277"/>
    <w:rsid w:val="00550CB2"/>
    <w:rsid w:val="005511BD"/>
    <w:rsid w:val="005514DA"/>
    <w:rsid w:val="00554AA7"/>
    <w:rsid w:val="00556473"/>
    <w:rsid w:val="0056038F"/>
    <w:rsid w:val="00560E9C"/>
    <w:rsid w:val="005617A7"/>
    <w:rsid w:val="005621A5"/>
    <w:rsid w:val="0056232D"/>
    <w:rsid w:val="0056278C"/>
    <w:rsid w:val="00562CB5"/>
    <w:rsid w:val="00563EBE"/>
    <w:rsid w:val="005654DF"/>
    <w:rsid w:val="005657B2"/>
    <w:rsid w:val="005658F8"/>
    <w:rsid w:val="00566B2A"/>
    <w:rsid w:val="00570BAC"/>
    <w:rsid w:val="00570C1A"/>
    <w:rsid w:val="00570C83"/>
    <w:rsid w:val="005734CC"/>
    <w:rsid w:val="00574AFC"/>
    <w:rsid w:val="005751D3"/>
    <w:rsid w:val="0057616B"/>
    <w:rsid w:val="005762DD"/>
    <w:rsid w:val="0057676D"/>
    <w:rsid w:val="00576992"/>
    <w:rsid w:val="005770E9"/>
    <w:rsid w:val="00577C38"/>
    <w:rsid w:val="005821E1"/>
    <w:rsid w:val="00582907"/>
    <w:rsid w:val="00582E22"/>
    <w:rsid w:val="00582FA0"/>
    <w:rsid w:val="005843EF"/>
    <w:rsid w:val="00584B57"/>
    <w:rsid w:val="00591D63"/>
    <w:rsid w:val="0059364F"/>
    <w:rsid w:val="0059397D"/>
    <w:rsid w:val="005951CD"/>
    <w:rsid w:val="00595C1B"/>
    <w:rsid w:val="0059620C"/>
    <w:rsid w:val="005970B5"/>
    <w:rsid w:val="005A0CC1"/>
    <w:rsid w:val="005A1A52"/>
    <w:rsid w:val="005A3316"/>
    <w:rsid w:val="005A4361"/>
    <w:rsid w:val="005A4739"/>
    <w:rsid w:val="005A493E"/>
    <w:rsid w:val="005A4DBD"/>
    <w:rsid w:val="005A51E0"/>
    <w:rsid w:val="005A581F"/>
    <w:rsid w:val="005A591C"/>
    <w:rsid w:val="005A6FE0"/>
    <w:rsid w:val="005A7719"/>
    <w:rsid w:val="005B0434"/>
    <w:rsid w:val="005B05FB"/>
    <w:rsid w:val="005B126E"/>
    <w:rsid w:val="005B16DE"/>
    <w:rsid w:val="005B18DF"/>
    <w:rsid w:val="005B1ED1"/>
    <w:rsid w:val="005B2F66"/>
    <w:rsid w:val="005B3522"/>
    <w:rsid w:val="005B5BC6"/>
    <w:rsid w:val="005B7942"/>
    <w:rsid w:val="005B7CF1"/>
    <w:rsid w:val="005C0526"/>
    <w:rsid w:val="005C2165"/>
    <w:rsid w:val="005C383C"/>
    <w:rsid w:val="005C4774"/>
    <w:rsid w:val="005C47D8"/>
    <w:rsid w:val="005C5184"/>
    <w:rsid w:val="005C5423"/>
    <w:rsid w:val="005C67B0"/>
    <w:rsid w:val="005C7BC6"/>
    <w:rsid w:val="005D022C"/>
    <w:rsid w:val="005D064C"/>
    <w:rsid w:val="005D2D1B"/>
    <w:rsid w:val="005D3C54"/>
    <w:rsid w:val="005D4502"/>
    <w:rsid w:val="005D4D43"/>
    <w:rsid w:val="005D5168"/>
    <w:rsid w:val="005D5E0D"/>
    <w:rsid w:val="005D7599"/>
    <w:rsid w:val="005D7C03"/>
    <w:rsid w:val="005D7E4A"/>
    <w:rsid w:val="005E0576"/>
    <w:rsid w:val="005E1865"/>
    <w:rsid w:val="005E1CD9"/>
    <w:rsid w:val="005E376B"/>
    <w:rsid w:val="005E4559"/>
    <w:rsid w:val="005E5CC7"/>
    <w:rsid w:val="005E6155"/>
    <w:rsid w:val="005E6BFD"/>
    <w:rsid w:val="005E6CFE"/>
    <w:rsid w:val="005F15E0"/>
    <w:rsid w:val="005F31F6"/>
    <w:rsid w:val="005F33DB"/>
    <w:rsid w:val="005F56B2"/>
    <w:rsid w:val="005F5803"/>
    <w:rsid w:val="005F5C0C"/>
    <w:rsid w:val="005F5CB4"/>
    <w:rsid w:val="005F6F9C"/>
    <w:rsid w:val="005F7F57"/>
    <w:rsid w:val="00600C57"/>
    <w:rsid w:val="00601584"/>
    <w:rsid w:val="006018A3"/>
    <w:rsid w:val="00603494"/>
    <w:rsid w:val="006036E7"/>
    <w:rsid w:val="006042DE"/>
    <w:rsid w:val="00604604"/>
    <w:rsid w:val="00604B90"/>
    <w:rsid w:val="00605C5C"/>
    <w:rsid w:val="00607189"/>
    <w:rsid w:val="00607B54"/>
    <w:rsid w:val="00610567"/>
    <w:rsid w:val="00611CDF"/>
    <w:rsid w:val="00612B1C"/>
    <w:rsid w:val="00612C20"/>
    <w:rsid w:val="00613933"/>
    <w:rsid w:val="00613A9A"/>
    <w:rsid w:val="00614FC4"/>
    <w:rsid w:val="00615D4F"/>
    <w:rsid w:val="00616CA5"/>
    <w:rsid w:val="00616EBE"/>
    <w:rsid w:val="00617C3F"/>
    <w:rsid w:val="0062081F"/>
    <w:rsid w:val="00622613"/>
    <w:rsid w:val="0062261E"/>
    <w:rsid w:val="00624130"/>
    <w:rsid w:val="00625193"/>
    <w:rsid w:val="00625324"/>
    <w:rsid w:val="00625D62"/>
    <w:rsid w:val="00625DB3"/>
    <w:rsid w:val="00625E15"/>
    <w:rsid w:val="006263A7"/>
    <w:rsid w:val="00626BC5"/>
    <w:rsid w:val="0062776B"/>
    <w:rsid w:val="00627F94"/>
    <w:rsid w:val="00630F2E"/>
    <w:rsid w:val="00631E2C"/>
    <w:rsid w:val="00631FE1"/>
    <w:rsid w:val="00632296"/>
    <w:rsid w:val="00633012"/>
    <w:rsid w:val="00634619"/>
    <w:rsid w:val="0063489A"/>
    <w:rsid w:val="00635C4C"/>
    <w:rsid w:val="00635F9A"/>
    <w:rsid w:val="00637369"/>
    <w:rsid w:val="006377CD"/>
    <w:rsid w:val="00637842"/>
    <w:rsid w:val="00640826"/>
    <w:rsid w:val="00640B32"/>
    <w:rsid w:val="0064155A"/>
    <w:rsid w:val="006418EB"/>
    <w:rsid w:val="00641A5E"/>
    <w:rsid w:val="00641A6A"/>
    <w:rsid w:val="00642265"/>
    <w:rsid w:val="00643A8A"/>
    <w:rsid w:val="00643E40"/>
    <w:rsid w:val="00644FD8"/>
    <w:rsid w:val="0064599E"/>
    <w:rsid w:val="00646C80"/>
    <w:rsid w:val="00647614"/>
    <w:rsid w:val="0065105D"/>
    <w:rsid w:val="0065184C"/>
    <w:rsid w:val="00651E59"/>
    <w:rsid w:val="00653524"/>
    <w:rsid w:val="00653B54"/>
    <w:rsid w:val="00653CC6"/>
    <w:rsid w:val="00654C27"/>
    <w:rsid w:val="0065596B"/>
    <w:rsid w:val="00655E34"/>
    <w:rsid w:val="006567D5"/>
    <w:rsid w:val="00657BB1"/>
    <w:rsid w:val="00657D3F"/>
    <w:rsid w:val="00660130"/>
    <w:rsid w:val="006606EC"/>
    <w:rsid w:val="00660E83"/>
    <w:rsid w:val="00662206"/>
    <w:rsid w:val="00662584"/>
    <w:rsid w:val="0066261B"/>
    <w:rsid w:val="006635B9"/>
    <w:rsid w:val="006636F1"/>
    <w:rsid w:val="00663EAE"/>
    <w:rsid w:val="0066478A"/>
    <w:rsid w:val="00670490"/>
    <w:rsid w:val="00670A06"/>
    <w:rsid w:val="00670D48"/>
    <w:rsid w:val="00671CA0"/>
    <w:rsid w:val="006727A7"/>
    <w:rsid w:val="00672AE8"/>
    <w:rsid w:val="00673276"/>
    <w:rsid w:val="00673643"/>
    <w:rsid w:val="00673766"/>
    <w:rsid w:val="006743D1"/>
    <w:rsid w:val="00674FA8"/>
    <w:rsid w:val="0067711E"/>
    <w:rsid w:val="00677F86"/>
    <w:rsid w:val="00682035"/>
    <w:rsid w:val="00683913"/>
    <w:rsid w:val="006910C5"/>
    <w:rsid w:val="0069175C"/>
    <w:rsid w:val="006918AE"/>
    <w:rsid w:val="006920E8"/>
    <w:rsid w:val="00692D5F"/>
    <w:rsid w:val="006936CC"/>
    <w:rsid w:val="00694273"/>
    <w:rsid w:val="006948F9"/>
    <w:rsid w:val="00694AB1"/>
    <w:rsid w:val="0069548A"/>
    <w:rsid w:val="00695892"/>
    <w:rsid w:val="006965D9"/>
    <w:rsid w:val="00696681"/>
    <w:rsid w:val="00696FEC"/>
    <w:rsid w:val="0069715C"/>
    <w:rsid w:val="00697C3D"/>
    <w:rsid w:val="006A0571"/>
    <w:rsid w:val="006A13B5"/>
    <w:rsid w:val="006A20FF"/>
    <w:rsid w:val="006A4296"/>
    <w:rsid w:val="006A456B"/>
    <w:rsid w:val="006A475C"/>
    <w:rsid w:val="006A4981"/>
    <w:rsid w:val="006A615B"/>
    <w:rsid w:val="006A642D"/>
    <w:rsid w:val="006A68D7"/>
    <w:rsid w:val="006A6913"/>
    <w:rsid w:val="006A6B58"/>
    <w:rsid w:val="006A732E"/>
    <w:rsid w:val="006A7E4E"/>
    <w:rsid w:val="006A7EC4"/>
    <w:rsid w:val="006B02BC"/>
    <w:rsid w:val="006B21CF"/>
    <w:rsid w:val="006B250A"/>
    <w:rsid w:val="006B265B"/>
    <w:rsid w:val="006B2774"/>
    <w:rsid w:val="006B3F9D"/>
    <w:rsid w:val="006B43E9"/>
    <w:rsid w:val="006B4F40"/>
    <w:rsid w:val="006B63CE"/>
    <w:rsid w:val="006B72E6"/>
    <w:rsid w:val="006B751E"/>
    <w:rsid w:val="006C0B82"/>
    <w:rsid w:val="006C24E8"/>
    <w:rsid w:val="006C256B"/>
    <w:rsid w:val="006C2D1B"/>
    <w:rsid w:val="006C316D"/>
    <w:rsid w:val="006C481E"/>
    <w:rsid w:val="006C63CC"/>
    <w:rsid w:val="006C666A"/>
    <w:rsid w:val="006C6B73"/>
    <w:rsid w:val="006C7ACD"/>
    <w:rsid w:val="006C7C2B"/>
    <w:rsid w:val="006D2C21"/>
    <w:rsid w:val="006D2C69"/>
    <w:rsid w:val="006D4479"/>
    <w:rsid w:val="006D48A5"/>
    <w:rsid w:val="006D5FA7"/>
    <w:rsid w:val="006D7258"/>
    <w:rsid w:val="006D7C9D"/>
    <w:rsid w:val="006E03F8"/>
    <w:rsid w:val="006E1017"/>
    <w:rsid w:val="006E1CC1"/>
    <w:rsid w:val="006E39A8"/>
    <w:rsid w:val="006E4A10"/>
    <w:rsid w:val="006E5DA3"/>
    <w:rsid w:val="006E7C33"/>
    <w:rsid w:val="006F01EE"/>
    <w:rsid w:val="006F072D"/>
    <w:rsid w:val="006F15BA"/>
    <w:rsid w:val="006F26AF"/>
    <w:rsid w:val="006F2BDF"/>
    <w:rsid w:val="006F4301"/>
    <w:rsid w:val="00701DBC"/>
    <w:rsid w:val="00702835"/>
    <w:rsid w:val="00703B72"/>
    <w:rsid w:val="00703D48"/>
    <w:rsid w:val="0070493B"/>
    <w:rsid w:val="00705B71"/>
    <w:rsid w:val="0070632D"/>
    <w:rsid w:val="0070633D"/>
    <w:rsid w:val="007067B4"/>
    <w:rsid w:val="007075AE"/>
    <w:rsid w:val="007076CD"/>
    <w:rsid w:val="007079B6"/>
    <w:rsid w:val="00707E47"/>
    <w:rsid w:val="00710F9A"/>
    <w:rsid w:val="007115A6"/>
    <w:rsid w:val="00712164"/>
    <w:rsid w:val="00712379"/>
    <w:rsid w:val="007130D2"/>
    <w:rsid w:val="00713E07"/>
    <w:rsid w:val="00714DF9"/>
    <w:rsid w:val="00714FC4"/>
    <w:rsid w:val="00715E64"/>
    <w:rsid w:val="007168F4"/>
    <w:rsid w:val="00716B2D"/>
    <w:rsid w:val="00716EFC"/>
    <w:rsid w:val="0071768E"/>
    <w:rsid w:val="00720E64"/>
    <w:rsid w:val="00721560"/>
    <w:rsid w:val="00722282"/>
    <w:rsid w:val="00722524"/>
    <w:rsid w:val="00723236"/>
    <w:rsid w:val="007238BC"/>
    <w:rsid w:val="007245D8"/>
    <w:rsid w:val="0072504A"/>
    <w:rsid w:val="007256A8"/>
    <w:rsid w:val="007260F1"/>
    <w:rsid w:val="007260FB"/>
    <w:rsid w:val="00726351"/>
    <w:rsid w:val="00726D4B"/>
    <w:rsid w:val="0072749F"/>
    <w:rsid w:val="0073057A"/>
    <w:rsid w:val="0073098C"/>
    <w:rsid w:val="00730ECA"/>
    <w:rsid w:val="00732C61"/>
    <w:rsid w:val="007334D4"/>
    <w:rsid w:val="00734FAA"/>
    <w:rsid w:val="00735770"/>
    <w:rsid w:val="0073668D"/>
    <w:rsid w:val="00736BED"/>
    <w:rsid w:val="00736BF2"/>
    <w:rsid w:val="007373A1"/>
    <w:rsid w:val="00737982"/>
    <w:rsid w:val="007400C4"/>
    <w:rsid w:val="007403E5"/>
    <w:rsid w:val="0074072E"/>
    <w:rsid w:val="007428F5"/>
    <w:rsid w:val="00742D54"/>
    <w:rsid w:val="0074422A"/>
    <w:rsid w:val="00744A08"/>
    <w:rsid w:val="0074561C"/>
    <w:rsid w:val="00745F7B"/>
    <w:rsid w:val="00746AEA"/>
    <w:rsid w:val="00747F62"/>
    <w:rsid w:val="00753C28"/>
    <w:rsid w:val="00753D18"/>
    <w:rsid w:val="00754374"/>
    <w:rsid w:val="0075756E"/>
    <w:rsid w:val="00760024"/>
    <w:rsid w:val="0076166E"/>
    <w:rsid w:val="0076210C"/>
    <w:rsid w:val="00763017"/>
    <w:rsid w:val="00763AED"/>
    <w:rsid w:val="00763E5E"/>
    <w:rsid w:val="007641BC"/>
    <w:rsid w:val="007650AF"/>
    <w:rsid w:val="0076602A"/>
    <w:rsid w:val="00766CBF"/>
    <w:rsid w:val="007671E1"/>
    <w:rsid w:val="007704E7"/>
    <w:rsid w:val="00770B0B"/>
    <w:rsid w:val="00773D72"/>
    <w:rsid w:val="00774B94"/>
    <w:rsid w:val="007759A7"/>
    <w:rsid w:val="00775C32"/>
    <w:rsid w:val="00776367"/>
    <w:rsid w:val="00776B51"/>
    <w:rsid w:val="00777875"/>
    <w:rsid w:val="00777B37"/>
    <w:rsid w:val="00780806"/>
    <w:rsid w:val="00780E16"/>
    <w:rsid w:val="007810C3"/>
    <w:rsid w:val="00782556"/>
    <w:rsid w:val="0078269B"/>
    <w:rsid w:val="00782CA2"/>
    <w:rsid w:val="00783539"/>
    <w:rsid w:val="00783710"/>
    <w:rsid w:val="00783FA0"/>
    <w:rsid w:val="00784045"/>
    <w:rsid w:val="00784FE0"/>
    <w:rsid w:val="00786281"/>
    <w:rsid w:val="007872E6"/>
    <w:rsid w:val="00787ECB"/>
    <w:rsid w:val="0079136C"/>
    <w:rsid w:val="00791388"/>
    <w:rsid w:val="00791DB4"/>
    <w:rsid w:val="00792001"/>
    <w:rsid w:val="00792429"/>
    <w:rsid w:val="00792546"/>
    <w:rsid w:val="0079447A"/>
    <w:rsid w:val="007949F6"/>
    <w:rsid w:val="00795A30"/>
    <w:rsid w:val="007960B8"/>
    <w:rsid w:val="007963AE"/>
    <w:rsid w:val="00796DE0"/>
    <w:rsid w:val="0079700A"/>
    <w:rsid w:val="007A00DB"/>
    <w:rsid w:val="007A28A5"/>
    <w:rsid w:val="007A31AA"/>
    <w:rsid w:val="007A3A40"/>
    <w:rsid w:val="007A40DC"/>
    <w:rsid w:val="007A41F4"/>
    <w:rsid w:val="007A65AE"/>
    <w:rsid w:val="007A65C7"/>
    <w:rsid w:val="007B01E6"/>
    <w:rsid w:val="007B0B40"/>
    <w:rsid w:val="007B0F39"/>
    <w:rsid w:val="007B105D"/>
    <w:rsid w:val="007B1B28"/>
    <w:rsid w:val="007B1C95"/>
    <w:rsid w:val="007B3A06"/>
    <w:rsid w:val="007B47B6"/>
    <w:rsid w:val="007B65EC"/>
    <w:rsid w:val="007B6E20"/>
    <w:rsid w:val="007B7064"/>
    <w:rsid w:val="007B78FC"/>
    <w:rsid w:val="007C01DF"/>
    <w:rsid w:val="007C094E"/>
    <w:rsid w:val="007C0B5A"/>
    <w:rsid w:val="007C17D7"/>
    <w:rsid w:val="007C1D49"/>
    <w:rsid w:val="007C1E07"/>
    <w:rsid w:val="007C2EBD"/>
    <w:rsid w:val="007C3F49"/>
    <w:rsid w:val="007C4EF1"/>
    <w:rsid w:val="007C5DE2"/>
    <w:rsid w:val="007C6381"/>
    <w:rsid w:val="007D0EFC"/>
    <w:rsid w:val="007D414C"/>
    <w:rsid w:val="007D4E78"/>
    <w:rsid w:val="007D6BA0"/>
    <w:rsid w:val="007D6FC0"/>
    <w:rsid w:val="007E04B9"/>
    <w:rsid w:val="007E0F5A"/>
    <w:rsid w:val="007E4475"/>
    <w:rsid w:val="007E4511"/>
    <w:rsid w:val="007E4A78"/>
    <w:rsid w:val="007E5F31"/>
    <w:rsid w:val="007E6873"/>
    <w:rsid w:val="007E6D74"/>
    <w:rsid w:val="007E71EB"/>
    <w:rsid w:val="007E7220"/>
    <w:rsid w:val="007E7A39"/>
    <w:rsid w:val="007F031E"/>
    <w:rsid w:val="007F0DDE"/>
    <w:rsid w:val="007F24BC"/>
    <w:rsid w:val="007F3616"/>
    <w:rsid w:val="007F3E0E"/>
    <w:rsid w:val="007F44B7"/>
    <w:rsid w:val="007F4AE0"/>
    <w:rsid w:val="007F4D74"/>
    <w:rsid w:val="007F5765"/>
    <w:rsid w:val="007F5BBE"/>
    <w:rsid w:val="007F5DDD"/>
    <w:rsid w:val="007F6B9F"/>
    <w:rsid w:val="007F6E62"/>
    <w:rsid w:val="007F7126"/>
    <w:rsid w:val="007F71BA"/>
    <w:rsid w:val="007F7837"/>
    <w:rsid w:val="007F788E"/>
    <w:rsid w:val="007F7F8A"/>
    <w:rsid w:val="00800A52"/>
    <w:rsid w:val="008027BE"/>
    <w:rsid w:val="0080341B"/>
    <w:rsid w:val="008050BB"/>
    <w:rsid w:val="00806422"/>
    <w:rsid w:val="0080677C"/>
    <w:rsid w:val="00807687"/>
    <w:rsid w:val="0080772E"/>
    <w:rsid w:val="00810A58"/>
    <w:rsid w:val="00812776"/>
    <w:rsid w:val="00812E97"/>
    <w:rsid w:val="00813FF7"/>
    <w:rsid w:val="00814B8D"/>
    <w:rsid w:val="0081523B"/>
    <w:rsid w:val="00815DD3"/>
    <w:rsid w:val="0081638F"/>
    <w:rsid w:val="008201CB"/>
    <w:rsid w:val="00821F2E"/>
    <w:rsid w:val="00822E83"/>
    <w:rsid w:val="00824EE5"/>
    <w:rsid w:val="0082595E"/>
    <w:rsid w:val="008261C5"/>
    <w:rsid w:val="00826C74"/>
    <w:rsid w:val="008277DA"/>
    <w:rsid w:val="008278DF"/>
    <w:rsid w:val="008309B3"/>
    <w:rsid w:val="008317D5"/>
    <w:rsid w:val="00831E50"/>
    <w:rsid w:val="0083285E"/>
    <w:rsid w:val="00832BBA"/>
    <w:rsid w:val="0083329D"/>
    <w:rsid w:val="00835C83"/>
    <w:rsid w:val="00836B9D"/>
    <w:rsid w:val="00842685"/>
    <w:rsid w:val="0084298F"/>
    <w:rsid w:val="00842DF4"/>
    <w:rsid w:val="008434B8"/>
    <w:rsid w:val="00845F2F"/>
    <w:rsid w:val="008467F9"/>
    <w:rsid w:val="00846902"/>
    <w:rsid w:val="008477FA"/>
    <w:rsid w:val="008478EB"/>
    <w:rsid w:val="00850471"/>
    <w:rsid w:val="008538DB"/>
    <w:rsid w:val="00855F25"/>
    <w:rsid w:val="00855F46"/>
    <w:rsid w:val="00856EF8"/>
    <w:rsid w:val="0085783C"/>
    <w:rsid w:val="00860375"/>
    <w:rsid w:val="008604F1"/>
    <w:rsid w:val="00861BDE"/>
    <w:rsid w:val="0086213F"/>
    <w:rsid w:val="00862DF0"/>
    <w:rsid w:val="00863172"/>
    <w:rsid w:val="0086486F"/>
    <w:rsid w:val="00865888"/>
    <w:rsid w:val="00866DCB"/>
    <w:rsid w:val="00867664"/>
    <w:rsid w:val="0087013D"/>
    <w:rsid w:val="00870D9B"/>
    <w:rsid w:val="00871B60"/>
    <w:rsid w:val="0087243F"/>
    <w:rsid w:val="00874C2D"/>
    <w:rsid w:val="008753B2"/>
    <w:rsid w:val="00875976"/>
    <w:rsid w:val="00876587"/>
    <w:rsid w:val="00881D4A"/>
    <w:rsid w:val="008828D4"/>
    <w:rsid w:val="00882933"/>
    <w:rsid w:val="0088447D"/>
    <w:rsid w:val="00885688"/>
    <w:rsid w:val="00886B8F"/>
    <w:rsid w:val="00890803"/>
    <w:rsid w:val="00890C2C"/>
    <w:rsid w:val="00891845"/>
    <w:rsid w:val="00892DD1"/>
    <w:rsid w:val="008930C0"/>
    <w:rsid w:val="0089368E"/>
    <w:rsid w:val="00894E14"/>
    <w:rsid w:val="0089524B"/>
    <w:rsid w:val="00896B40"/>
    <w:rsid w:val="008975C7"/>
    <w:rsid w:val="008A060F"/>
    <w:rsid w:val="008A06A2"/>
    <w:rsid w:val="008A1CC1"/>
    <w:rsid w:val="008A2E95"/>
    <w:rsid w:val="008A4091"/>
    <w:rsid w:val="008A44BE"/>
    <w:rsid w:val="008A4611"/>
    <w:rsid w:val="008A6081"/>
    <w:rsid w:val="008A705C"/>
    <w:rsid w:val="008A7BFD"/>
    <w:rsid w:val="008B02B5"/>
    <w:rsid w:val="008B0B6C"/>
    <w:rsid w:val="008B1CAD"/>
    <w:rsid w:val="008B3958"/>
    <w:rsid w:val="008B44B3"/>
    <w:rsid w:val="008B495C"/>
    <w:rsid w:val="008B4E58"/>
    <w:rsid w:val="008B60C8"/>
    <w:rsid w:val="008B6DDA"/>
    <w:rsid w:val="008B6E60"/>
    <w:rsid w:val="008B751C"/>
    <w:rsid w:val="008C09C3"/>
    <w:rsid w:val="008C13A6"/>
    <w:rsid w:val="008C2218"/>
    <w:rsid w:val="008C32EB"/>
    <w:rsid w:val="008C3406"/>
    <w:rsid w:val="008C4534"/>
    <w:rsid w:val="008C57FD"/>
    <w:rsid w:val="008C67FA"/>
    <w:rsid w:val="008C6951"/>
    <w:rsid w:val="008C6A86"/>
    <w:rsid w:val="008C782A"/>
    <w:rsid w:val="008D0A32"/>
    <w:rsid w:val="008D0E6F"/>
    <w:rsid w:val="008D1776"/>
    <w:rsid w:val="008D2E30"/>
    <w:rsid w:val="008D33B8"/>
    <w:rsid w:val="008D34D2"/>
    <w:rsid w:val="008D37F9"/>
    <w:rsid w:val="008D533C"/>
    <w:rsid w:val="008D554E"/>
    <w:rsid w:val="008D68DA"/>
    <w:rsid w:val="008D6E71"/>
    <w:rsid w:val="008D7710"/>
    <w:rsid w:val="008D7792"/>
    <w:rsid w:val="008E41D5"/>
    <w:rsid w:val="008E4551"/>
    <w:rsid w:val="008E472E"/>
    <w:rsid w:val="008E62C3"/>
    <w:rsid w:val="008E6545"/>
    <w:rsid w:val="008E72AD"/>
    <w:rsid w:val="008F10C1"/>
    <w:rsid w:val="008F1279"/>
    <w:rsid w:val="008F19A4"/>
    <w:rsid w:val="008F29FE"/>
    <w:rsid w:val="008F38EB"/>
    <w:rsid w:val="008F3B90"/>
    <w:rsid w:val="008F3D13"/>
    <w:rsid w:val="008F4737"/>
    <w:rsid w:val="008F51A7"/>
    <w:rsid w:val="008F624C"/>
    <w:rsid w:val="00900046"/>
    <w:rsid w:val="00901CD2"/>
    <w:rsid w:val="00902A3A"/>
    <w:rsid w:val="00903099"/>
    <w:rsid w:val="00903A89"/>
    <w:rsid w:val="00904148"/>
    <w:rsid w:val="009058FD"/>
    <w:rsid w:val="00905E71"/>
    <w:rsid w:val="009061E8"/>
    <w:rsid w:val="00906E2B"/>
    <w:rsid w:val="009079FE"/>
    <w:rsid w:val="009106E4"/>
    <w:rsid w:val="00911E8E"/>
    <w:rsid w:val="00912138"/>
    <w:rsid w:val="00912453"/>
    <w:rsid w:val="00912C87"/>
    <w:rsid w:val="009144DF"/>
    <w:rsid w:val="00914563"/>
    <w:rsid w:val="00914CB3"/>
    <w:rsid w:val="00914E6E"/>
    <w:rsid w:val="0091559A"/>
    <w:rsid w:val="00915A4F"/>
    <w:rsid w:val="00916A1E"/>
    <w:rsid w:val="00917744"/>
    <w:rsid w:val="00917D76"/>
    <w:rsid w:val="009210EE"/>
    <w:rsid w:val="00921786"/>
    <w:rsid w:val="0092366F"/>
    <w:rsid w:val="00923F1D"/>
    <w:rsid w:val="00924DD2"/>
    <w:rsid w:val="0092702C"/>
    <w:rsid w:val="00927487"/>
    <w:rsid w:val="00927843"/>
    <w:rsid w:val="00930046"/>
    <w:rsid w:val="0093148F"/>
    <w:rsid w:val="0093200A"/>
    <w:rsid w:val="00932054"/>
    <w:rsid w:val="009324F0"/>
    <w:rsid w:val="00933526"/>
    <w:rsid w:val="00934505"/>
    <w:rsid w:val="00935873"/>
    <w:rsid w:val="00935D8E"/>
    <w:rsid w:val="00937177"/>
    <w:rsid w:val="009373C1"/>
    <w:rsid w:val="00937576"/>
    <w:rsid w:val="0094031C"/>
    <w:rsid w:val="0094061B"/>
    <w:rsid w:val="00941BCC"/>
    <w:rsid w:val="00942C9E"/>
    <w:rsid w:val="00943138"/>
    <w:rsid w:val="00943E0C"/>
    <w:rsid w:val="00944721"/>
    <w:rsid w:val="0094575D"/>
    <w:rsid w:val="00945D78"/>
    <w:rsid w:val="009468E2"/>
    <w:rsid w:val="00947A8F"/>
    <w:rsid w:val="009501DE"/>
    <w:rsid w:val="00950C94"/>
    <w:rsid w:val="00951442"/>
    <w:rsid w:val="00951FFD"/>
    <w:rsid w:val="009522D9"/>
    <w:rsid w:val="00952F75"/>
    <w:rsid w:val="00953088"/>
    <w:rsid w:val="009533AB"/>
    <w:rsid w:val="00953644"/>
    <w:rsid w:val="00954BE6"/>
    <w:rsid w:val="00954C4D"/>
    <w:rsid w:val="00954E98"/>
    <w:rsid w:val="00955470"/>
    <w:rsid w:val="00955CF9"/>
    <w:rsid w:val="00955F56"/>
    <w:rsid w:val="00956712"/>
    <w:rsid w:val="00956A8F"/>
    <w:rsid w:val="0095714D"/>
    <w:rsid w:val="00960AF6"/>
    <w:rsid w:val="00960C12"/>
    <w:rsid w:val="00960E4D"/>
    <w:rsid w:val="00961D95"/>
    <w:rsid w:val="00961E85"/>
    <w:rsid w:val="00962260"/>
    <w:rsid w:val="009629DB"/>
    <w:rsid w:val="00962FE6"/>
    <w:rsid w:val="00963C2F"/>
    <w:rsid w:val="00966B09"/>
    <w:rsid w:val="00966E66"/>
    <w:rsid w:val="009679FD"/>
    <w:rsid w:val="00970DB0"/>
    <w:rsid w:val="00971614"/>
    <w:rsid w:val="00972812"/>
    <w:rsid w:val="009739A7"/>
    <w:rsid w:val="00973DB6"/>
    <w:rsid w:val="00974B81"/>
    <w:rsid w:val="00974B8F"/>
    <w:rsid w:val="00974E0B"/>
    <w:rsid w:val="0097560A"/>
    <w:rsid w:val="009761E7"/>
    <w:rsid w:val="00977131"/>
    <w:rsid w:val="009800C8"/>
    <w:rsid w:val="009803C3"/>
    <w:rsid w:val="00980737"/>
    <w:rsid w:val="00983DC0"/>
    <w:rsid w:val="0098573B"/>
    <w:rsid w:val="009861BF"/>
    <w:rsid w:val="009862E0"/>
    <w:rsid w:val="00987780"/>
    <w:rsid w:val="00987F65"/>
    <w:rsid w:val="00991169"/>
    <w:rsid w:val="0099140A"/>
    <w:rsid w:val="00991CAF"/>
    <w:rsid w:val="0099282B"/>
    <w:rsid w:val="00992E31"/>
    <w:rsid w:val="009931E8"/>
    <w:rsid w:val="00993EFC"/>
    <w:rsid w:val="009940A2"/>
    <w:rsid w:val="009949A7"/>
    <w:rsid w:val="00994E6F"/>
    <w:rsid w:val="009951CF"/>
    <w:rsid w:val="009955D7"/>
    <w:rsid w:val="009960F8"/>
    <w:rsid w:val="0099699E"/>
    <w:rsid w:val="0099759F"/>
    <w:rsid w:val="00997C9B"/>
    <w:rsid w:val="009A1FF7"/>
    <w:rsid w:val="009A296B"/>
    <w:rsid w:val="009A37ED"/>
    <w:rsid w:val="009A3F68"/>
    <w:rsid w:val="009A5CE9"/>
    <w:rsid w:val="009A6120"/>
    <w:rsid w:val="009B14E9"/>
    <w:rsid w:val="009B236C"/>
    <w:rsid w:val="009B25EA"/>
    <w:rsid w:val="009B2E5B"/>
    <w:rsid w:val="009B30B9"/>
    <w:rsid w:val="009B36C8"/>
    <w:rsid w:val="009B3C4E"/>
    <w:rsid w:val="009B5434"/>
    <w:rsid w:val="009B550B"/>
    <w:rsid w:val="009B64D1"/>
    <w:rsid w:val="009B6B95"/>
    <w:rsid w:val="009B7324"/>
    <w:rsid w:val="009C0F97"/>
    <w:rsid w:val="009C2045"/>
    <w:rsid w:val="009C3600"/>
    <w:rsid w:val="009C373D"/>
    <w:rsid w:val="009C378E"/>
    <w:rsid w:val="009C6E6A"/>
    <w:rsid w:val="009D1EAC"/>
    <w:rsid w:val="009D4423"/>
    <w:rsid w:val="009E0A15"/>
    <w:rsid w:val="009E3578"/>
    <w:rsid w:val="009E3C43"/>
    <w:rsid w:val="009E40C7"/>
    <w:rsid w:val="009E4AA9"/>
    <w:rsid w:val="009E4F13"/>
    <w:rsid w:val="009E52DB"/>
    <w:rsid w:val="009E54F9"/>
    <w:rsid w:val="009E56A8"/>
    <w:rsid w:val="009E71B9"/>
    <w:rsid w:val="009F06F5"/>
    <w:rsid w:val="009F1055"/>
    <w:rsid w:val="009F161C"/>
    <w:rsid w:val="009F3A3B"/>
    <w:rsid w:val="009F41BC"/>
    <w:rsid w:val="009F5DF7"/>
    <w:rsid w:val="009F7A71"/>
    <w:rsid w:val="009F7CA6"/>
    <w:rsid w:val="00A00A6B"/>
    <w:rsid w:val="00A038E6"/>
    <w:rsid w:val="00A03A16"/>
    <w:rsid w:val="00A04D66"/>
    <w:rsid w:val="00A057FD"/>
    <w:rsid w:val="00A06A49"/>
    <w:rsid w:val="00A07E69"/>
    <w:rsid w:val="00A1014F"/>
    <w:rsid w:val="00A10CB9"/>
    <w:rsid w:val="00A1139E"/>
    <w:rsid w:val="00A11808"/>
    <w:rsid w:val="00A12A3A"/>
    <w:rsid w:val="00A12BA5"/>
    <w:rsid w:val="00A12DE0"/>
    <w:rsid w:val="00A13591"/>
    <w:rsid w:val="00A144AC"/>
    <w:rsid w:val="00A15474"/>
    <w:rsid w:val="00A155C4"/>
    <w:rsid w:val="00A15FE4"/>
    <w:rsid w:val="00A168C9"/>
    <w:rsid w:val="00A21E58"/>
    <w:rsid w:val="00A22EB4"/>
    <w:rsid w:val="00A2339A"/>
    <w:rsid w:val="00A249F4"/>
    <w:rsid w:val="00A24E5D"/>
    <w:rsid w:val="00A2521E"/>
    <w:rsid w:val="00A257A9"/>
    <w:rsid w:val="00A27A1F"/>
    <w:rsid w:val="00A300D1"/>
    <w:rsid w:val="00A32480"/>
    <w:rsid w:val="00A337CE"/>
    <w:rsid w:val="00A33B46"/>
    <w:rsid w:val="00A34D0A"/>
    <w:rsid w:val="00A35012"/>
    <w:rsid w:val="00A351FB"/>
    <w:rsid w:val="00A354C8"/>
    <w:rsid w:val="00A36037"/>
    <w:rsid w:val="00A36BD0"/>
    <w:rsid w:val="00A3715B"/>
    <w:rsid w:val="00A40F15"/>
    <w:rsid w:val="00A43032"/>
    <w:rsid w:val="00A4391B"/>
    <w:rsid w:val="00A44CD2"/>
    <w:rsid w:val="00A4596E"/>
    <w:rsid w:val="00A46E88"/>
    <w:rsid w:val="00A47A88"/>
    <w:rsid w:val="00A50F82"/>
    <w:rsid w:val="00A52308"/>
    <w:rsid w:val="00A5299C"/>
    <w:rsid w:val="00A52D2D"/>
    <w:rsid w:val="00A530A6"/>
    <w:rsid w:val="00A53E8C"/>
    <w:rsid w:val="00A54165"/>
    <w:rsid w:val="00A54508"/>
    <w:rsid w:val="00A54603"/>
    <w:rsid w:val="00A5574D"/>
    <w:rsid w:val="00A5590D"/>
    <w:rsid w:val="00A565EE"/>
    <w:rsid w:val="00A64325"/>
    <w:rsid w:val="00A64C37"/>
    <w:rsid w:val="00A64F38"/>
    <w:rsid w:val="00A65D78"/>
    <w:rsid w:val="00A66EFD"/>
    <w:rsid w:val="00A67E57"/>
    <w:rsid w:val="00A67F80"/>
    <w:rsid w:val="00A71381"/>
    <w:rsid w:val="00A7177B"/>
    <w:rsid w:val="00A72628"/>
    <w:rsid w:val="00A73092"/>
    <w:rsid w:val="00A734AE"/>
    <w:rsid w:val="00A74B9F"/>
    <w:rsid w:val="00A74C26"/>
    <w:rsid w:val="00A76262"/>
    <w:rsid w:val="00A77114"/>
    <w:rsid w:val="00A77FEC"/>
    <w:rsid w:val="00A80920"/>
    <w:rsid w:val="00A80EEF"/>
    <w:rsid w:val="00A81196"/>
    <w:rsid w:val="00A82148"/>
    <w:rsid w:val="00A822F1"/>
    <w:rsid w:val="00A82C4B"/>
    <w:rsid w:val="00A83CA8"/>
    <w:rsid w:val="00A84409"/>
    <w:rsid w:val="00A849D3"/>
    <w:rsid w:val="00A849E0"/>
    <w:rsid w:val="00A8535E"/>
    <w:rsid w:val="00A854E1"/>
    <w:rsid w:val="00A85652"/>
    <w:rsid w:val="00A874C1"/>
    <w:rsid w:val="00A879F3"/>
    <w:rsid w:val="00A90102"/>
    <w:rsid w:val="00A919FE"/>
    <w:rsid w:val="00A91D6C"/>
    <w:rsid w:val="00A9289E"/>
    <w:rsid w:val="00A92B19"/>
    <w:rsid w:val="00A93032"/>
    <w:rsid w:val="00A958F1"/>
    <w:rsid w:val="00A9629F"/>
    <w:rsid w:val="00A96EE2"/>
    <w:rsid w:val="00A97F74"/>
    <w:rsid w:val="00AA0F08"/>
    <w:rsid w:val="00AA11CB"/>
    <w:rsid w:val="00AA29F8"/>
    <w:rsid w:val="00AA3127"/>
    <w:rsid w:val="00AA3411"/>
    <w:rsid w:val="00AA44C7"/>
    <w:rsid w:val="00AA4CD2"/>
    <w:rsid w:val="00AA4EFE"/>
    <w:rsid w:val="00AA743E"/>
    <w:rsid w:val="00AA7E17"/>
    <w:rsid w:val="00AB0627"/>
    <w:rsid w:val="00AB0AF6"/>
    <w:rsid w:val="00AB2A8F"/>
    <w:rsid w:val="00AB397B"/>
    <w:rsid w:val="00AB3B00"/>
    <w:rsid w:val="00AB3D23"/>
    <w:rsid w:val="00AB6E15"/>
    <w:rsid w:val="00AB75EF"/>
    <w:rsid w:val="00AC051E"/>
    <w:rsid w:val="00AC1DCE"/>
    <w:rsid w:val="00AC2EA6"/>
    <w:rsid w:val="00AC33E7"/>
    <w:rsid w:val="00AC353C"/>
    <w:rsid w:val="00AC354D"/>
    <w:rsid w:val="00AC3987"/>
    <w:rsid w:val="00AC40C7"/>
    <w:rsid w:val="00AC4991"/>
    <w:rsid w:val="00AC6B13"/>
    <w:rsid w:val="00AC70C5"/>
    <w:rsid w:val="00AC7155"/>
    <w:rsid w:val="00AC7B85"/>
    <w:rsid w:val="00AD0D18"/>
    <w:rsid w:val="00AD3357"/>
    <w:rsid w:val="00AD6751"/>
    <w:rsid w:val="00AD6B6B"/>
    <w:rsid w:val="00AD78EE"/>
    <w:rsid w:val="00AD7927"/>
    <w:rsid w:val="00AD79E6"/>
    <w:rsid w:val="00AD7D10"/>
    <w:rsid w:val="00AE0035"/>
    <w:rsid w:val="00AE392B"/>
    <w:rsid w:val="00AE4862"/>
    <w:rsid w:val="00AE4E3D"/>
    <w:rsid w:val="00AE64D9"/>
    <w:rsid w:val="00AE77CD"/>
    <w:rsid w:val="00AE7AFA"/>
    <w:rsid w:val="00AF22A5"/>
    <w:rsid w:val="00AF252A"/>
    <w:rsid w:val="00AF3143"/>
    <w:rsid w:val="00AF431F"/>
    <w:rsid w:val="00AF4A6B"/>
    <w:rsid w:val="00AF4CFF"/>
    <w:rsid w:val="00AF52A1"/>
    <w:rsid w:val="00AF56B7"/>
    <w:rsid w:val="00AF6F56"/>
    <w:rsid w:val="00AF7DFB"/>
    <w:rsid w:val="00B00067"/>
    <w:rsid w:val="00B00A5F"/>
    <w:rsid w:val="00B024B9"/>
    <w:rsid w:val="00B0300C"/>
    <w:rsid w:val="00B03684"/>
    <w:rsid w:val="00B03BF1"/>
    <w:rsid w:val="00B03C71"/>
    <w:rsid w:val="00B058C8"/>
    <w:rsid w:val="00B05D9B"/>
    <w:rsid w:val="00B06A9A"/>
    <w:rsid w:val="00B100CD"/>
    <w:rsid w:val="00B10DAE"/>
    <w:rsid w:val="00B11A4E"/>
    <w:rsid w:val="00B129A2"/>
    <w:rsid w:val="00B12B9D"/>
    <w:rsid w:val="00B13479"/>
    <w:rsid w:val="00B1355C"/>
    <w:rsid w:val="00B13B66"/>
    <w:rsid w:val="00B16CFA"/>
    <w:rsid w:val="00B17D05"/>
    <w:rsid w:val="00B20C6E"/>
    <w:rsid w:val="00B21341"/>
    <w:rsid w:val="00B219DE"/>
    <w:rsid w:val="00B224A9"/>
    <w:rsid w:val="00B23287"/>
    <w:rsid w:val="00B23A73"/>
    <w:rsid w:val="00B24BAC"/>
    <w:rsid w:val="00B26671"/>
    <w:rsid w:val="00B267D9"/>
    <w:rsid w:val="00B27805"/>
    <w:rsid w:val="00B30217"/>
    <w:rsid w:val="00B319CD"/>
    <w:rsid w:val="00B31FA0"/>
    <w:rsid w:val="00B3388E"/>
    <w:rsid w:val="00B34330"/>
    <w:rsid w:val="00B34824"/>
    <w:rsid w:val="00B3493D"/>
    <w:rsid w:val="00B352B3"/>
    <w:rsid w:val="00B35B41"/>
    <w:rsid w:val="00B35C70"/>
    <w:rsid w:val="00B368E4"/>
    <w:rsid w:val="00B37F6B"/>
    <w:rsid w:val="00B41450"/>
    <w:rsid w:val="00B415C4"/>
    <w:rsid w:val="00B42F52"/>
    <w:rsid w:val="00B433A5"/>
    <w:rsid w:val="00B46209"/>
    <w:rsid w:val="00B474A3"/>
    <w:rsid w:val="00B4758B"/>
    <w:rsid w:val="00B50034"/>
    <w:rsid w:val="00B5033B"/>
    <w:rsid w:val="00B525C2"/>
    <w:rsid w:val="00B5393C"/>
    <w:rsid w:val="00B53B89"/>
    <w:rsid w:val="00B54053"/>
    <w:rsid w:val="00B54770"/>
    <w:rsid w:val="00B5546F"/>
    <w:rsid w:val="00B60CD2"/>
    <w:rsid w:val="00B61919"/>
    <w:rsid w:val="00B61A81"/>
    <w:rsid w:val="00B63898"/>
    <w:rsid w:val="00B63CB0"/>
    <w:rsid w:val="00B63F11"/>
    <w:rsid w:val="00B64229"/>
    <w:rsid w:val="00B6637D"/>
    <w:rsid w:val="00B66964"/>
    <w:rsid w:val="00B66F4C"/>
    <w:rsid w:val="00B67AA2"/>
    <w:rsid w:val="00B67AC6"/>
    <w:rsid w:val="00B70720"/>
    <w:rsid w:val="00B70A55"/>
    <w:rsid w:val="00B718D4"/>
    <w:rsid w:val="00B72130"/>
    <w:rsid w:val="00B742EB"/>
    <w:rsid w:val="00B74358"/>
    <w:rsid w:val="00B7441D"/>
    <w:rsid w:val="00B7562C"/>
    <w:rsid w:val="00B759B6"/>
    <w:rsid w:val="00B76528"/>
    <w:rsid w:val="00B7702F"/>
    <w:rsid w:val="00B822BF"/>
    <w:rsid w:val="00B82402"/>
    <w:rsid w:val="00B824D6"/>
    <w:rsid w:val="00B82BDC"/>
    <w:rsid w:val="00B85D8F"/>
    <w:rsid w:val="00B86930"/>
    <w:rsid w:val="00B86D63"/>
    <w:rsid w:val="00B876F2"/>
    <w:rsid w:val="00B87ED3"/>
    <w:rsid w:val="00B903B5"/>
    <w:rsid w:val="00B903F3"/>
    <w:rsid w:val="00B90FB1"/>
    <w:rsid w:val="00B9257B"/>
    <w:rsid w:val="00B92ECB"/>
    <w:rsid w:val="00B9426E"/>
    <w:rsid w:val="00B9678E"/>
    <w:rsid w:val="00B97FAF"/>
    <w:rsid w:val="00BA18FA"/>
    <w:rsid w:val="00BA1A70"/>
    <w:rsid w:val="00BA2161"/>
    <w:rsid w:val="00BA3109"/>
    <w:rsid w:val="00BA36A5"/>
    <w:rsid w:val="00BA390B"/>
    <w:rsid w:val="00BA6EF6"/>
    <w:rsid w:val="00BB0086"/>
    <w:rsid w:val="00BB011A"/>
    <w:rsid w:val="00BB1B82"/>
    <w:rsid w:val="00BB366A"/>
    <w:rsid w:val="00BB36A5"/>
    <w:rsid w:val="00BB4445"/>
    <w:rsid w:val="00BB4564"/>
    <w:rsid w:val="00BB4E7E"/>
    <w:rsid w:val="00BB5042"/>
    <w:rsid w:val="00BB560E"/>
    <w:rsid w:val="00BB5714"/>
    <w:rsid w:val="00BB7F8D"/>
    <w:rsid w:val="00BC0212"/>
    <w:rsid w:val="00BC0F87"/>
    <w:rsid w:val="00BC1034"/>
    <w:rsid w:val="00BC27A4"/>
    <w:rsid w:val="00BC28CB"/>
    <w:rsid w:val="00BC43E1"/>
    <w:rsid w:val="00BC4D22"/>
    <w:rsid w:val="00BC547E"/>
    <w:rsid w:val="00BC6729"/>
    <w:rsid w:val="00BC694D"/>
    <w:rsid w:val="00BC7F1C"/>
    <w:rsid w:val="00BD0126"/>
    <w:rsid w:val="00BD17DC"/>
    <w:rsid w:val="00BD49E0"/>
    <w:rsid w:val="00BD52C1"/>
    <w:rsid w:val="00BD65F3"/>
    <w:rsid w:val="00BD715A"/>
    <w:rsid w:val="00BD72EE"/>
    <w:rsid w:val="00BE02D8"/>
    <w:rsid w:val="00BE0F01"/>
    <w:rsid w:val="00BE1485"/>
    <w:rsid w:val="00BE22E1"/>
    <w:rsid w:val="00BE36F7"/>
    <w:rsid w:val="00BE3FAF"/>
    <w:rsid w:val="00BE4595"/>
    <w:rsid w:val="00BE53A5"/>
    <w:rsid w:val="00BE568B"/>
    <w:rsid w:val="00BE6DF7"/>
    <w:rsid w:val="00BE6EF2"/>
    <w:rsid w:val="00BE7FCE"/>
    <w:rsid w:val="00BF0403"/>
    <w:rsid w:val="00BF0963"/>
    <w:rsid w:val="00BF0B91"/>
    <w:rsid w:val="00BF1A42"/>
    <w:rsid w:val="00BF3718"/>
    <w:rsid w:val="00BF3A7F"/>
    <w:rsid w:val="00BF5135"/>
    <w:rsid w:val="00BF5C3D"/>
    <w:rsid w:val="00BF614E"/>
    <w:rsid w:val="00BF6C5F"/>
    <w:rsid w:val="00C00255"/>
    <w:rsid w:val="00C0055B"/>
    <w:rsid w:val="00C00E25"/>
    <w:rsid w:val="00C013A0"/>
    <w:rsid w:val="00C01547"/>
    <w:rsid w:val="00C04CFB"/>
    <w:rsid w:val="00C05035"/>
    <w:rsid w:val="00C070CE"/>
    <w:rsid w:val="00C075B8"/>
    <w:rsid w:val="00C07864"/>
    <w:rsid w:val="00C15122"/>
    <w:rsid w:val="00C15F30"/>
    <w:rsid w:val="00C1678E"/>
    <w:rsid w:val="00C167A7"/>
    <w:rsid w:val="00C17535"/>
    <w:rsid w:val="00C17EEA"/>
    <w:rsid w:val="00C202BF"/>
    <w:rsid w:val="00C20839"/>
    <w:rsid w:val="00C20952"/>
    <w:rsid w:val="00C20C88"/>
    <w:rsid w:val="00C22C29"/>
    <w:rsid w:val="00C23D4F"/>
    <w:rsid w:val="00C24700"/>
    <w:rsid w:val="00C24FBF"/>
    <w:rsid w:val="00C251F2"/>
    <w:rsid w:val="00C25563"/>
    <w:rsid w:val="00C266F0"/>
    <w:rsid w:val="00C3020B"/>
    <w:rsid w:val="00C31F61"/>
    <w:rsid w:val="00C32EFF"/>
    <w:rsid w:val="00C3318A"/>
    <w:rsid w:val="00C34A41"/>
    <w:rsid w:val="00C34F48"/>
    <w:rsid w:val="00C36A5F"/>
    <w:rsid w:val="00C36D67"/>
    <w:rsid w:val="00C40159"/>
    <w:rsid w:val="00C409FF"/>
    <w:rsid w:val="00C40B26"/>
    <w:rsid w:val="00C4199C"/>
    <w:rsid w:val="00C41FD9"/>
    <w:rsid w:val="00C42664"/>
    <w:rsid w:val="00C4333F"/>
    <w:rsid w:val="00C447B1"/>
    <w:rsid w:val="00C454C3"/>
    <w:rsid w:val="00C47A0F"/>
    <w:rsid w:val="00C47B44"/>
    <w:rsid w:val="00C505B8"/>
    <w:rsid w:val="00C507EF"/>
    <w:rsid w:val="00C50A6D"/>
    <w:rsid w:val="00C52522"/>
    <w:rsid w:val="00C52C2D"/>
    <w:rsid w:val="00C541F8"/>
    <w:rsid w:val="00C54539"/>
    <w:rsid w:val="00C548F7"/>
    <w:rsid w:val="00C553CE"/>
    <w:rsid w:val="00C608FA"/>
    <w:rsid w:val="00C6162F"/>
    <w:rsid w:val="00C6327C"/>
    <w:rsid w:val="00C63527"/>
    <w:rsid w:val="00C64368"/>
    <w:rsid w:val="00C64B50"/>
    <w:rsid w:val="00C64EE4"/>
    <w:rsid w:val="00C64F39"/>
    <w:rsid w:val="00C66292"/>
    <w:rsid w:val="00C668D3"/>
    <w:rsid w:val="00C669D3"/>
    <w:rsid w:val="00C6739E"/>
    <w:rsid w:val="00C70DE3"/>
    <w:rsid w:val="00C70EA7"/>
    <w:rsid w:val="00C71260"/>
    <w:rsid w:val="00C73C22"/>
    <w:rsid w:val="00C7428A"/>
    <w:rsid w:val="00C77ACC"/>
    <w:rsid w:val="00C77C2A"/>
    <w:rsid w:val="00C77D4E"/>
    <w:rsid w:val="00C82C9D"/>
    <w:rsid w:val="00C82DB0"/>
    <w:rsid w:val="00C8385E"/>
    <w:rsid w:val="00C846AB"/>
    <w:rsid w:val="00C84C56"/>
    <w:rsid w:val="00C856B2"/>
    <w:rsid w:val="00C872C6"/>
    <w:rsid w:val="00C90510"/>
    <w:rsid w:val="00C91C61"/>
    <w:rsid w:val="00C91CF3"/>
    <w:rsid w:val="00C91E8D"/>
    <w:rsid w:val="00C923B7"/>
    <w:rsid w:val="00C93B98"/>
    <w:rsid w:val="00C943F4"/>
    <w:rsid w:val="00C944E6"/>
    <w:rsid w:val="00C95668"/>
    <w:rsid w:val="00C95857"/>
    <w:rsid w:val="00C9595D"/>
    <w:rsid w:val="00C959F9"/>
    <w:rsid w:val="00C96771"/>
    <w:rsid w:val="00CA0BAD"/>
    <w:rsid w:val="00CA17CF"/>
    <w:rsid w:val="00CA2A9F"/>
    <w:rsid w:val="00CA2BE5"/>
    <w:rsid w:val="00CA3D97"/>
    <w:rsid w:val="00CA412B"/>
    <w:rsid w:val="00CA43F4"/>
    <w:rsid w:val="00CA452E"/>
    <w:rsid w:val="00CA598E"/>
    <w:rsid w:val="00CA661B"/>
    <w:rsid w:val="00CA70C0"/>
    <w:rsid w:val="00CB1568"/>
    <w:rsid w:val="00CB1DA9"/>
    <w:rsid w:val="00CB33FF"/>
    <w:rsid w:val="00CB3B5A"/>
    <w:rsid w:val="00CB3F0F"/>
    <w:rsid w:val="00CB7332"/>
    <w:rsid w:val="00CC0D4F"/>
    <w:rsid w:val="00CC121E"/>
    <w:rsid w:val="00CC1455"/>
    <w:rsid w:val="00CC41BC"/>
    <w:rsid w:val="00CC5DCA"/>
    <w:rsid w:val="00CC73FB"/>
    <w:rsid w:val="00CC7E02"/>
    <w:rsid w:val="00CD0107"/>
    <w:rsid w:val="00CD028C"/>
    <w:rsid w:val="00CD0899"/>
    <w:rsid w:val="00CD1889"/>
    <w:rsid w:val="00CD1F0C"/>
    <w:rsid w:val="00CD2C36"/>
    <w:rsid w:val="00CD32BC"/>
    <w:rsid w:val="00CD5335"/>
    <w:rsid w:val="00CD5D92"/>
    <w:rsid w:val="00CD5DFE"/>
    <w:rsid w:val="00CD5F17"/>
    <w:rsid w:val="00CD6F25"/>
    <w:rsid w:val="00CD7225"/>
    <w:rsid w:val="00CE2142"/>
    <w:rsid w:val="00CE35B5"/>
    <w:rsid w:val="00CE37DF"/>
    <w:rsid w:val="00CE3BDB"/>
    <w:rsid w:val="00CE4F18"/>
    <w:rsid w:val="00CE5E8D"/>
    <w:rsid w:val="00CE5EE1"/>
    <w:rsid w:val="00CE63F8"/>
    <w:rsid w:val="00CE6F7F"/>
    <w:rsid w:val="00CF03A2"/>
    <w:rsid w:val="00CF2534"/>
    <w:rsid w:val="00CF26BA"/>
    <w:rsid w:val="00CF2A31"/>
    <w:rsid w:val="00CF2AF7"/>
    <w:rsid w:val="00CF2C07"/>
    <w:rsid w:val="00CF2E35"/>
    <w:rsid w:val="00CF4310"/>
    <w:rsid w:val="00CF455C"/>
    <w:rsid w:val="00CF4590"/>
    <w:rsid w:val="00CF48C4"/>
    <w:rsid w:val="00CF56F7"/>
    <w:rsid w:val="00CF7FD3"/>
    <w:rsid w:val="00D00D6F"/>
    <w:rsid w:val="00D04581"/>
    <w:rsid w:val="00D04804"/>
    <w:rsid w:val="00D04D69"/>
    <w:rsid w:val="00D05138"/>
    <w:rsid w:val="00D070CB"/>
    <w:rsid w:val="00D10AE8"/>
    <w:rsid w:val="00D11176"/>
    <w:rsid w:val="00D11DEC"/>
    <w:rsid w:val="00D12B17"/>
    <w:rsid w:val="00D16E38"/>
    <w:rsid w:val="00D20B16"/>
    <w:rsid w:val="00D20B31"/>
    <w:rsid w:val="00D20F09"/>
    <w:rsid w:val="00D20F41"/>
    <w:rsid w:val="00D21108"/>
    <w:rsid w:val="00D211F4"/>
    <w:rsid w:val="00D21514"/>
    <w:rsid w:val="00D218D9"/>
    <w:rsid w:val="00D220F2"/>
    <w:rsid w:val="00D22136"/>
    <w:rsid w:val="00D268E2"/>
    <w:rsid w:val="00D277FC"/>
    <w:rsid w:val="00D3088E"/>
    <w:rsid w:val="00D30A76"/>
    <w:rsid w:val="00D31FFF"/>
    <w:rsid w:val="00D32EEE"/>
    <w:rsid w:val="00D336AE"/>
    <w:rsid w:val="00D3404B"/>
    <w:rsid w:val="00D3509A"/>
    <w:rsid w:val="00D3583B"/>
    <w:rsid w:val="00D37127"/>
    <w:rsid w:val="00D371BF"/>
    <w:rsid w:val="00D37230"/>
    <w:rsid w:val="00D374B4"/>
    <w:rsid w:val="00D40DFB"/>
    <w:rsid w:val="00D4194D"/>
    <w:rsid w:val="00D41CC3"/>
    <w:rsid w:val="00D41FD3"/>
    <w:rsid w:val="00D43DF2"/>
    <w:rsid w:val="00D4595C"/>
    <w:rsid w:val="00D45CAA"/>
    <w:rsid w:val="00D465FF"/>
    <w:rsid w:val="00D46BCB"/>
    <w:rsid w:val="00D4743A"/>
    <w:rsid w:val="00D47FD1"/>
    <w:rsid w:val="00D50E9E"/>
    <w:rsid w:val="00D517CD"/>
    <w:rsid w:val="00D52D7C"/>
    <w:rsid w:val="00D5309C"/>
    <w:rsid w:val="00D53301"/>
    <w:rsid w:val="00D5384B"/>
    <w:rsid w:val="00D546AB"/>
    <w:rsid w:val="00D54FE6"/>
    <w:rsid w:val="00D552EA"/>
    <w:rsid w:val="00D56137"/>
    <w:rsid w:val="00D56C29"/>
    <w:rsid w:val="00D5790A"/>
    <w:rsid w:val="00D60F63"/>
    <w:rsid w:val="00D610CD"/>
    <w:rsid w:val="00D6142E"/>
    <w:rsid w:val="00D63170"/>
    <w:rsid w:val="00D63F8E"/>
    <w:rsid w:val="00D64F26"/>
    <w:rsid w:val="00D65A5C"/>
    <w:rsid w:val="00D672E4"/>
    <w:rsid w:val="00D672FD"/>
    <w:rsid w:val="00D67E5D"/>
    <w:rsid w:val="00D70236"/>
    <w:rsid w:val="00D70A33"/>
    <w:rsid w:val="00D70EAE"/>
    <w:rsid w:val="00D71123"/>
    <w:rsid w:val="00D7241A"/>
    <w:rsid w:val="00D73800"/>
    <w:rsid w:val="00D74793"/>
    <w:rsid w:val="00D758AD"/>
    <w:rsid w:val="00D766B1"/>
    <w:rsid w:val="00D76BE4"/>
    <w:rsid w:val="00D76FE6"/>
    <w:rsid w:val="00D80208"/>
    <w:rsid w:val="00D81F19"/>
    <w:rsid w:val="00D82EFA"/>
    <w:rsid w:val="00D831E3"/>
    <w:rsid w:val="00D8376A"/>
    <w:rsid w:val="00D83C84"/>
    <w:rsid w:val="00D84690"/>
    <w:rsid w:val="00D85C32"/>
    <w:rsid w:val="00D86995"/>
    <w:rsid w:val="00D940DA"/>
    <w:rsid w:val="00D94CA4"/>
    <w:rsid w:val="00DA0E48"/>
    <w:rsid w:val="00DA2633"/>
    <w:rsid w:val="00DA27D8"/>
    <w:rsid w:val="00DA2EF1"/>
    <w:rsid w:val="00DA38E9"/>
    <w:rsid w:val="00DA46CB"/>
    <w:rsid w:val="00DA4D87"/>
    <w:rsid w:val="00DA5397"/>
    <w:rsid w:val="00DA5FEF"/>
    <w:rsid w:val="00DA60C6"/>
    <w:rsid w:val="00DB0C6F"/>
    <w:rsid w:val="00DB0F54"/>
    <w:rsid w:val="00DB370B"/>
    <w:rsid w:val="00DB4319"/>
    <w:rsid w:val="00DB44A7"/>
    <w:rsid w:val="00DB67F1"/>
    <w:rsid w:val="00DB6BC3"/>
    <w:rsid w:val="00DB6CDA"/>
    <w:rsid w:val="00DB7E07"/>
    <w:rsid w:val="00DC0301"/>
    <w:rsid w:val="00DC0414"/>
    <w:rsid w:val="00DC0452"/>
    <w:rsid w:val="00DC10AE"/>
    <w:rsid w:val="00DC3E4F"/>
    <w:rsid w:val="00DC4B04"/>
    <w:rsid w:val="00DC4D7D"/>
    <w:rsid w:val="00DC52FF"/>
    <w:rsid w:val="00DC5E63"/>
    <w:rsid w:val="00DC6450"/>
    <w:rsid w:val="00DC67B3"/>
    <w:rsid w:val="00DD1A27"/>
    <w:rsid w:val="00DD2DB1"/>
    <w:rsid w:val="00DD2DC5"/>
    <w:rsid w:val="00DD3252"/>
    <w:rsid w:val="00DD3AE7"/>
    <w:rsid w:val="00DD54CC"/>
    <w:rsid w:val="00DD5A00"/>
    <w:rsid w:val="00DD5EEF"/>
    <w:rsid w:val="00DD72EB"/>
    <w:rsid w:val="00DD7455"/>
    <w:rsid w:val="00DE0325"/>
    <w:rsid w:val="00DE2D5C"/>
    <w:rsid w:val="00DE3B19"/>
    <w:rsid w:val="00DE3D25"/>
    <w:rsid w:val="00DE456C"/>
    <w:rsid w:val="00DE4FB0"/>
    <w:rsid w:val="00DE5677"/>
    <w:rsid w:val="00DF1AB5"/>
    <w:rsid w:val="00DF2C04"/>
    <w:rsid w:val="00DF2C27"/>
    <w:rsid w:val="00DF4284"/>
    <w:rsid w:val="00DF4805"/>
    <w:rsid w:val="00DF49FB"/>
    <w:rsid w:val="00DF4DC9"/>
    <w:rsid w:val="00DF513A"/>
    <w:rsid w:val="00DF6C9E"/>
    <w:rsid w:val="00DF77B2"/>
    <w:rsid w:val="00DF7CFE"/>
    <w:rsid w:val="00E017B5"/>
    <w:rsid w:val="00E0397A"/>
    <w:rsid w:val="00E04878"/>
    <w:rsid w:val="00E056BB"/>
    <w:rsid w:val="00E056DD"/>
    <w:rsid w:val="00E0579E"/>
    <w:rsid w:val="00E05D1F"/>
    <w:rsid w:val="00E061CA"/>
    <w:rsid w:val="00E0647C"/>
    <w:rsid w:val="00E06FF1"/>
    <w:rsid w:val="00E079B7"/>
    <w:rsid w:val="00E10964"/>
    <w:rsid w:val="00E10CAE"/>
    <w:rsid w:val="00E115EE"/>
    <w:rsid w:val="00E11A52"/>
    <w:rsid w:val="00E121A8"/>
    <w:rsid w:val="00E1242F"/>
    <w:rsid w:val="00E15676"/>
    <w:rsid w:val="00E15C03"/>
    <w:rsid w:val="00E15C78"/>
    <w:rsid w:val="00E15DE4"/>
    <w:rsid w:val="00E15E6C"/>
    <w:rsid w:val="00E20572"/>
    <w:rsid w:val="00E2108E"/>
    <w:rsid w:val="00E224C4"/>
    <w:rsid w:val="00E22A51"/>
    <w:rsid w:val="00E22A82"/>
    <w:rsid w:val="00E23260"/>
    <w:rsid w:val="00E23377"/>
    <w:rsid w:val="00E233E8"/>
    <w:rsid w:val="00E23A49"/>
    <w:rsid w:val="00E23D58"/>
    <w:rsid w:val="00E24C41"/>
    <w:rsid w:val="00E2680F"/>
    <w:rsid w:val="00E301BE"/>
    <w:rsid w:val="00E307D8"/>
    <w:rsid w:val="00E317D2"/>
    <w:rsid w:val="00E31DEE"/>
    <w:rsid w:val="00E321FF"/>
    <w:rsid w:val="00E32411"/>
    <w:rsid w:val="00E32655"/>
    <w:rsid w:val="00E32853"/>
    <w:rsid w:val="00E3334F"/>
    <w:rsid w:val="00E33379"/>
    <w:rsid w:val="00E3496D"/>
    <w:rsid w:val="00E364F3"/>
    <w:rsid w:val="00E36C68"/>
    <w:rsid w:val="00E37EF9"/>
    <w:rsid w:val="00E4060D"/>
    <w:rsid w:val="00E4160D"/>
    <w:rsid w:val="00E41CD5"/>
    <w:rsid w:val="00E420BD"/>
    <w:rsid w:val="00E4211E"/>
    <w:rsid w:val="00E45CE3"/>
    <w:rsid w:val="00E46DE6"/>
    <w:rsid w:val="00E4763C"/>
    <w:rsid w:val="00E508EB"/>
    <w:rsid w:val="00E51FAF"/>
    <w:rsid w:val="00E521AA"/>
    <w:rsid w:val="00E52EE3"/>
    <w:rsid w:val="00E53D4B"/>
    <w:rsid w:val="00E548BC"/>
    <w:rsid w:val="00E55006"/>
    <w:rsid w:val="00E550E2"/>
    <w:rsid w:val="00E555EB"/>
    <w:rsid w:val="00E57C0F"/>
    <w:rsid w:val="00E57DA6"/>
    <w:rsid w:val="00E57E74"/>
    <w:rsid w:val="00E61937"/>
    <w:rsid w:val="00E625A8"/>
    <w:rsid w:val="00E6376F"/>
    <w:rsid w:val="00E63A04"/>
    <w:rsid w:val="00E6448D"/>
    <w:rsid w:val="00E672CC"/>
    <w:rsid w:val="00E676BF"/>
    <w:rsid w:val="00E677B2"/>
    <w:rsid w:val="00E67B7E"/>
    <w:rsid w:val="00E707EC"/>
    <w:rsid w:val="00E7197D"/>
    <w:rsid w:val="00E728A3"/>
    <w:rsid w:val="00E7423A"/>
    <w:rsid w:val="00E74886"/>
    <w:rsid w:val="00E7554E"/>
    <w:rsid w:val="00E76740"/>
    <w:rsid w:val="00E76E89"/>
    <w:rsid w:val="00E7737C"/>
    <w:rsid w:val="00E829A9"/>
    <w:rsid w:val="00E82C5B"/>
    <w:rsid w:val="00E85191"/>
    <w:rsid w:val="00E92A0E"/>
    <w:rsid w:val="00E92A62"/>
    <w:rsid w:val="00E935FC"/>
    <w:rsid w:val="00E9365E"/>
    <w:rsid w:val="00E93788"/>
    <w:rsid w:val="00E95411"/>
    <w:rsid w:val="00E95B39"/>
    <w:rsid w:val="00E9653A"/>
    <w:rsid w:val="00EA002A"/>
    <w:rsid w:val="00EA03B6"/>
    <w:rsid w:val="00EA04FC"/>
    <w:rsid w:val="00EA131B"/>
    <w:rsid w:val="00EA173D"/>
    <w:rsid w:val="00EA26B9"/>
    <w:rsid w:val="00EA2970"/>
    <w:rsid w:val="00EA2D48"/>
    <w:rsid w:val="00EA2FF1"/>
    <w:rsid w:val="00EA3484"/>
    <w:rsid w:val="00EA34DF"/>
    <w:rsid w:val="00EA4594"/>
    <w:rsid w:val="00EA54F8"/>
    <w:rsid w:val="00EA6600"/>
    <w:rsid w:val="00EA68C0"/>
    <w:rsid w:val="00EA6E1B"/>
    <w:rsid w:val="00EA7C71"/>
    <w:rsid w:val="00EB01B7"/>
    <w:rsid w:val="00EB0442"/>
    <w:rsid w:val="00EB14F4"/>
    <w:rsid w:val="00EB1D9D"/>
    <w:rsid w:val="00EB264A"/>
    <w:rsid w:val="00EB366B"/>
    <w:rsid w:val="00EB3DF0"/>
    <w:rsid w:val="00EB5EF8"/>
    <w:rsid w:val="00EB5F3E"/>
    <w:rsid w:val="00EB70C6"/>
    <w:rsid w:val="00EB7612"/>
    <w:rsid w:val="00EB7FED"/>
    <w:rsid w:val="00EC0588"/>
    <w:rsid w:val="00EC1A9B"/>
    <w:rsid w:val="00EC1D9A"/>
    <w:rsid w:val="00EC36F2"/>
    <w:rsid w:val="00EC39A5"/>
    <w:rsid w:val="00EC43B1"/>
    <w:rsid w:val="00EC53B4"/>
    <w:rsid w:val="00EC5861"/>
    <w:rsid w:val="00EC5B1E"/>
    <w:rsid w:val="00EC68CC"/>
    <w:rsid w:val="00EC6F98"/>
    <w:rsid w:val="00EC7BB2"/>
    <w:rsid w:val="00EC7D66"/>
    <w:rsid w:val="00ED0336"/>
    <w:rsid w:val="00ED0352"/>
    <w:rsid w:val="00ED2C30"/>
    <w:rsid w:val="00ED3B2F"/>
    <w:rsid w:val="00ED3CBD"/>
    <w:rsid w:val="00ED4872"/>
    <w:rsid w:val="00ED5967"/>
    <w:rsid w:val="00ED5C62"/>
    <w:rsid w:val="00ED6AF4"/>
    <w:rsid w:val="00ED6BA6"/>
    <w:rsid w:val="00ED6E40"/>
    <w:rsid w:val="00ED6FED"/>
    <w:rsid w:val="00ED7586"/>
    <w:rsid w:val="00EE0034"/>
    <w:rsid w:val="00EE134D"/>
    <w:rsid w:val="00EE17CD"/>
    <w:rsid w:val="00EE18A5"/>
    <w:rsid w:val="00EE1C2B"/>
    <w:rsid w:val="00EE28E1"/>
    <w:rsid w:val="00EE41B9"/>
    <w:rsid w:val="00EE68FF"/>
    <w:rsid w:val="00EE79D9"/>
    <w:rsid w:val="00EE7BCE"/>
    <w:rsid w:val="00EE7C2A"/>
    <w:rsid w:val="00EE7DC0"/>
    <w:rsid w:val="00EF192C"/>
    <w:rsid w:val="00EF217F"/>
    <w:rsid w:val="00EF286F"/>
    <w:rsid w:val="00EF4304"/>
    <w:rsid w:val="00EF477D"/>
    <w:rsid w:val="00EF5182"/>
    <w:rsid w:val="00EF58D4"/>
    <w:rsid w:val="00EF5E5A"/>
    <w:rsid w:val="00EF601C"/>
    <w:rsid w:val="00EF6A29"/>
    <w:rsid w:val="00F01142"/>
    <w:rsid w:val="00F01628"/>
    <w:rsid w:val="00F01C6C"/>
    <w:rsid w:val="00F035A3"/>
    <w:rsid w:val="00F042EB"/>
    <w:rsid w:val="00F061DF"/>
    <w:rsid w:val="00F06360"/>
    <w:rsid w:val="00F063FE"/>
    <w:rsid w:val="00F06620"/>
    <w:rsid w:val="00F0670A"/>
    <w:rsid w:val="00F077A4"/>
    <w:rsid w:val="00F10AE9"/>
    <w:rsid w:val="00F11176"/>
    <w:rsid w:val="00F119B4"/>
    <w:rsid w:val="00F11D25"/>
    <w:rsid w:val="00F125E7"/>
    <w:rsid w:val="00F12F6D"/>
    <w:rsid w:val="00F13F8F"/>
    <w:rsid w:val="00F14596"/>
    <w:rsid w:val="00F147EB"/>
    <w:rsid w:val="00F14BB2"/>
    <w:rsid w:val="00F158B6"/>
    <w:rsid w:val="00F15D16"/>
    <w:rsid w:val="00F17E36"/>
    <w:rsid w:val="00F17FB9"/>
    <w:rsid w:val="00F211D0"/>
    <w:rsid w:val="00F22A65"/>
    <w:rsid w:val="00F22B23"/>
    <w:rsid w:val="00F22F17"/>
    <w:rsid w:val="00F23894"/>
    <w:rsid w:val="00F2540E"/>
    <w:rsid w:val="00F25A20"/>
    <w:rsid w:val="00F25D1B"/>
    <w:rsid w:val="00F25D2C"/>
    <w:rsid w:val="00F27078"/>
    <w:rsid w:val="00F27A4F"/>
    <w:rsid w:val="00F27AEE"/>
    <w:rsid w:val="00F31094"/>
    <w:rsid w:val="00F325FD"/>
    <w:rsid w:val="00F33B21"/>
    <w:rsid w:val="00F3510E"/>
    <w:rsid w:val="00F35325"/>
    <w:rsid w:val="00F353ED"/>
    <w:rsid w:val="00F366D4"/>
    <w:rsid w:val="00F37E7E"/>
    <w:rsid w:val="00F37F23"/>
    <w:rsid w:val="00F401A2"/>
    <w:rsid w:val="00F4070A"/>
    <w:rsid w:val="00F407F7"/>
    <w:rsid w:val="00F415BD"/>
    <w:rsid w:val="00F4198D"/>
    <w:rsid w:val="00F43D61"/>
    <w:rsid w:val="00F44A54"/>
    <w:rsid w:val="00F45218"/>
    <w:rsid w:val="00F45C41"/>
    <w:rsid w:val="00F5024B"/>
    <w:rsid w:val="00F514F3"/>
    <w:rsid w:val="00F519F6"/>
    <w:rsid w:val="00F5208D"/>
    <w:rsid w:val="00F53412"/>
    <w:rsid w:val="00F53554"/>
    <w:rsid w:val="00F53DFA"/>
    <w:rsid w:val="00F561F0"/>
    <w:rsid w:val="00F56F7C"/>
    <w:rsid w:val="00F570C3"/>
    <w:rsid w:val="00F57CE9"/>
    <w:rsid w:val="00F57D99"/>
    <w:rsid w:val="00F60EA7"/>
    <w:rsid w:val="00F627A1"/>
    <w:rsid w:val="00F627CC"/>
    <w:rsid w:val="00F62A3A"/>
    <w:rsid w:val="00F62E95"/>
    <w:rsid w:val="00F64E27"/>
    <w:rsid w:val="00F6518A"/>
    <w:rsid w:val="00F65330"/>
    <w:rsid w:val="00F67001"/>
    <w:rsid w:val="00F67AB0"/>
    <w:rsid w:val="00F70901"/>
    <w:rsid w:val="00F70F31"/>
    <w:rsid w:val="00F7358E"/>
    <w:rsid w:val="00F74596"/>
    <w:rsid w:val="00F757B9"/>
    <w:rsid w:val="00F76A26"/>
    <w:rsid w:val="00F77AA0"/>
    <w:rsid w:val="00F813EC"/>
    <w:rsid w:val="00F81420"/>
    <w:rsid w:val="00F81FC8"/>
    <w:rsid w:val="00F840D8"/>
    <w:rsid w:val="00F84795"/>
    <w:rsid w:val="00F84B08"/>
    <w:rsid w:val="00F864CA"/>
    <w:rsid w:val="00F91ADD"/>
    <w:rsid w:val="00F929D2"/>
    <w:rsid w:val="00F93A4F"/>
    <w:rsid w:val="00F95495"/>
    <w:rsid w:val="00F9742B"/>
    <w:rsid w:val="00FA09B4"/>
    <w:rsid w:val="00FA167A"/>
    <w:rsid w:val="00FA3613"/>
    <w:rsid w:val="00FA3D0B"/>
    <w:rsid w:val="00FA3DA4"/>
    <w:rsid w:val="00FB0BE7"/>
    <w:rsid w:val="00FB0D13"/>
    <w:rsid w:val="00FB2B0F"/>
    <w:rsid w:val="00FB2F4B"/>
    <w:rsid w:val="00FB5516"/>
    <w:rsid w:val="00FB5AB9"/>
    <w:rsid w:val="00FB618F"/>
    <w:rsid w:val="00FC1A93"/>
    <w:rsid w:val="00FC225F"/>
    <w:rsid w:val="00FC27D2"/>
    <w:rsid w:val="00FC389C"/>
    <w:rsid w:val="00FC47DC"/>
    <w:rsid w:val="00FC5405"/>
    <w:rsid w:val="00FC7100"/>
    <w:rsid w:val="00FD06AE"/>
    <w:rsid w:val="00FD0AFB"/>
    <w:rsid w:val="00FD13EB"/>
    <w:rsid w:val="00FD14F3"/>
    <w:rsid w:val="00FD343F"/>
    <w:rsid w:val="00FD3603"/>
    <w:rsid w:val="00FD4216"/>
    <w:rsid w:val="00FD535F"/>
    <w:rsid w:val="00FD5D65"/>
    <w:rsid w:val="00FD645D"/>
    <w:rsid w:val="00FE092A"/>
    <w:rsid w:val="00FE1843"/>
    <w:rsid w:val="00FE2FDA"/>
    <w:rsid w:val="00FE3D67"/>
    <w:rsid w:val="00FE48F3"/>
    <w:rsid w:val="00FE4C64"/>
    <w:rsid w:val="00FE51D3"/>
    <w:rsid w:val="00FE566F"/>
    <w:rsid w:val="00FE5FCE"/>
    <w:rsid w:val="00FE69B7"/>
    <w:rsid w:val="00FE7404"/>
    <w:rsid w:val="00FE7615"/>
    <w:rsid w:val="00FE7D74"/>
    <w:rsid w:val="00FF179B"/>
    <w:rsid w:val="00FF24A1"/>
    <w:rsid w:val="00FF347B"/>
    <w:rsid w:val="00FF5257"/>
    <w:rsid w:val="00FF6EDC"/>
    <w:rsid w:val="00FF7B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401"/>
    <w:pPr>
      <w:jc w:val="both"/>
    </w:pPr>
    <w:rPr>
      <w:rFonts w:ascii="Times New Roman" w:eastAsia="Times New Roman" w:hAnsi="Times New Roman"/>
      <w:sz w:val="24"/>
      <w:szCs w:val="24"/>
      <w:lang w:val="lt-LT" w:eastAsia="lt-LT"/>
    </w:rPr>
  </w:style>
  <w:style w:type="paragraph" w:styleId="Heading1">
    <w:name w:val="heading 1"/>
    <w:basedOn w:val="Normal"/>
    <w:next w:val="Normal"/>
    <w:link w:val="Heading1Char"/>
    <w:uiPriority w:val="9"/>
    <w:qFormat/>
    <w:rsid w:val="006727A7"/>
    <w:pPr>
      <w:keepNext/>
      <w:jc w:val="center"/>
      <w:outlineLvl w:val="0"/>
    </w:pPr>
    <w:rPr>
      <w:b/>
      <w:sz w:val="32"/>
      <w:szCs w:val="20"/>
    </w:rPr>
  </w:style>
  <w:style w:type="paragraph" w:styleId="Heading2">
    <w:name w:val="heading 2"/>
    <w:basedOn w:val="Normal"/>
    <w:next w:val="Normal"/>
    <w:link w:val="Heading2Char"/>
    <w:uiPriority w:val="9"/>
    <w:unhideWhenUsed/>
    <w:qFormat/>
    <w:rsid w:val="00252E86"/>
    <w:pPr>
      <w:keepNext/>
      <w:keepLines/>
      <w:spacing w:before="120"/>
      <w:ind w:firstLine="720"/>
      <w:outlineLvl w:val="1"/>
    </w:pPr>
    <w:rPr>
      <w:rFonts w:asciiTheme="majorHAnsi" w:eastAsiaTheme="majorEastAsia" w:hAnsiTheme="majorHAnsi" w:cstheme="majorBidi"/>
      <w:b/>
      <w:bCs/>
      <w:sz w:val="28"/>
      <w:szCs w:val="28"/>
      <w:lang w:eastAsia="en-US"/>
    </w:rPr>
  </w:style>
  <w:style w:type="paragraph" w:styleId="Heading3">
    <w:name w:val="heading 3"/>
    <w:basedOn w:val="Normal"/>
    <w:next w:val="Normal"/>
    <w:link w:val="Heading3Char"/>
    <w:uiPriority w:val="9"/>
    <w:qFormat/>
    <w:rsid w:val="006727A7"/>
    <w:pPr>
      <w:keepNext/>
      <w:jc w:val="center"/>
      <w:outlineLvl w:val="2"/>
    </w:pPr>
    <w:rPr>
      <w:b/>
      <w:sz w:val="28"/>
      <w:szCs w:val="20"/>
      <w:lang w:val="id-ID"/>
    </w:rPr>
  </w:style>
  <w:style w:type="paragraph" w:styleId="Heading4">
    <w:name w:val="heading 4"/>
    <w:basedOn w:val="Normal"/>
    <w:next w:val="Normal"/>
    <w:link w:val="Heading4Char"/>
    <w:uiPriority w:val="9"/>
    <w:qFormat/>
    <w:rsid w:val="0076602A"/>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196BC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252E86"/>
    <w:pPr>
      <w:keepNext/>
      <w:keepLines/>
      <w:spacing w:before="120"/>
      <w:ind w:firstLine="720"/>
      <w:outlineLvl w:val="5"/>
    </w:pPr>
    <w:rPr>
      <w:rFonts w:asciiTheme="majorHAnsi" w:eastAsiaTheme="majorEastAsia" w:hAnsiTheme="majorHAnsi" w:cstheme="majorBidi"/>
      <w:b/>
      <w:bCs/>
      <w:i/>
      <w:iCs/>
      <w:sz w:val="22"/>
      <w:szCs w:val="22"/>
      <w:lang w:eastAsia="en-US"/>
    </w:rPr>
  </w:style>
  <w:style w:type="paragraph" w:styleId="Heading7">
    <w:name w:val="heading 7"/>
    <w:basedOn w:val="Normal"/>
    <w:next w:val="Normal"/>
    <w:link w:val="Heading7Char"/>
    <w:uiPriority w:val="9"/>
    <w:semiHidden/>
    <w:unhideWhenUsed/>
    <w:qFormat/>
    <w:rsid w:val="00252E86"/>
    <w:pPr>
      <w:keepNext/>
      <w:keepLines/>
      <w:spacing w:before="120"/>
      <w:ind w:firstLine="720"/>
      <w:outlineLvl w:val="6"/>
    </w:pPr>
    <w:rPr>
      <w:rFonts w:asciiTheme="minorHAnsi" w:eastAsiaTheme="minorEastAsia" w:hAnsiTheme="minorHAnsi" w:cstheme="minorBidi"/>
      <w:i/>
      <w:iCs/>
      <w:sz w:val="22"/>
      <w:szCs w:val="22"/>
      <w:lang w:eastAsia="en-US"/>
    </w:rPr>
  </w:style>
  <w:style w:type="paragraph" w:styleId="Heading8">
    <w:name w:val="heading 8"/>
    <w:basedOn w:val="Normal"/>
    <w:next w:val="Normal"/>
    <w:link w:val="Heading8Char"/>
    <w:uiPriority w:val="9"/>
    <w:semiHidden/>
    <w:unhideWhenUsed/>
    <w:qFormat/>
    <w:rsid w:val="00252E86"/>
    <w:pPr>
      <w:keepNext/>
      <w:keepLines/>
      <w:spacing w:before="120"/>
      <w:ind w:firstLine="720"/>
      <w:outlineLvl w:val="7"/>
    </w:pPr>
    <w:rPr>
      <w:rFonts w:asciiTheme="minorHAnsi" w:eastAsiaTheme="minorEastAsia" w:hAnsiTheme="minorHAnsi" w:cstheme="minorBidi"/>
      <w:b/>
      <w:bCs/>
      <w:sz w:val="22"/>
      <w:szCs w:val="22"/>
      <w:lang w:eastAsia="en-US"/>
    </w:rPr>
  </w:style>
  <w:style w:type="paragraph" w:styleId="Heading9">
    <w:name w:val="heading 9"/>
    <w:basedOn w:val="Normal"/>
    <w:next w:val="Normal"/>
    <w:link w:val="Heading9Char"/>
    <w:uiPriority w:val="9"/>
    <w:semiHidden/>
    <w:unhideWhenUsed/>
    <w:qFormat/>
    <w:rsid w:val="00252E86"/>
    <w:pPr>
      <w:keepNext/>
      <w:keepLines/>
      <w:spacing w:before="120"/>
      <w:ind w:firstLine="720"/>
      <w:outlineLvl w:val="8"/>
    </w:pPr>
    <w:rPr>
      <w:rFonts w:asciiTheme="minorHAnsi" w:eastAsiaTheme="minorEastAsia" w:hAnsiTheme="minorHAnsi" w:cstheme="minorBidi"/>
      <w:i/>
      <w:iCs/>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727A7"/>
    <w:rPr>
      <w:rFonts w:ascii="Times New Roman" w:eastAsia="Times New Roman" w:hAnsi="Times New Roman" w:cs="Times New Roman"/>
      <w:b/>
      <w:sz w:val="32"/>
      <w:szCs w:val="20"/>
      <w:lang w:val="lt-LT" w:eastAsia="lt-LT"/>
    </w:rPr>
  </w:style>
  <w:style w:type="character" w:customStyle="1" w:styleId="Heading3Char">
    <w:name w:val="Heading 3 Char"/>
    <w:link w:val="Heading3"/>
    <w:uiPriority w:val="9"/>
    <w:rsid w:val="006727A7"/>
    <w:rPr>
      <w:rFonts w:ascii="Times New Roman" w:eastAsia="Times New Roman" w:hAnsi="Times New Roman" w:cs="Times New Roman"/>
      <w:b/>
      <w:sz w:val="28"/>
      <w:szCs w:val="20"/>
      <w:lang w:val="id-ID" w:eastAsia="lt-LT"/>
    </w:rPr>
  </w:style>
  <w:style w:type="paragraph" w:styleId="BodyText">
    <w:name w:val="Body Text"/>
    <w:basedOn w:val="Normal"/>
    <w:link w:val="BodyTextChar"/>
    <w:rsid w:val="006727A7"/>
    <w:rPr>
      <w:szCs w:val="20"/>
    </w:rPr>
  </w:style>
  <w:style w:type="character" w:customStyle="1" w:styleId="BodyTextChar">
    <w:name w:val="Body Text Char"/>
    <w:link w:val="BodyText"/>
    <w:rsid w:val="006727A7"/>
    <w:rPr>
      <w:rFonts w:ascii="Times New Roman" w:eastAsia="Times New Roman" w:hAnsi="Times New Roman" w:cs="Times New Roman"/>
      <w:sz w:val="24"/>
      <w:szCs w:val="20"/>
      <w:lang w:val="lt-LT" w:eastAsia="lt-LT"/>
    </w:rPr>
  </w:style>
  <w:style w:type="paragraph" w:styleId="Title">
    <w:name w:val="Title"/>
    <w:basedOn w:val="Normal"/>
    <w:link w:val="TitleChar"/>
    <w:uiPriority w:val="10"/>
    <w:qFormat/>
    <w:rsid w:val="006727A7"/>
    <w:pPr>
      <w:jc w:val="center"/>
    </w:pPr>
    <w:rPr>
      <w:b/>
      <w:bCs/>
      <w:sz w:val="28"/>
    </w:rPr>
  </w:style>
  <w:style w:type="character" w:customStyle="1" w:styleId="TitleChar">
    <w:name w:val="Title Char"/>
    <w:link w:val="Title"/>
    <w:uiPriority w:val="10"/>
    <w:rsid w:val="006727A7"/>
    <w:rPr>
      <w:rFonts w:ascii="Times New Roman" w:eastAsia="Times New Roman" w:hAnsi="Times New Roman" w:cs="Times New Roman"/>
      <w:b/>
      <w:bCs/>
      <w:sz w:val="28"/>
      <w:szCs w:val="24"/>
      <w:lang w:val="lt-LT"/>
    </w:rPr>
  </w:style>
  <w:style w:type="paragraph" w:styleId="BodyTextIndent2">
    <w:name w:val="Body Text Indent 2"/>
    <w:basedOn w:val="Normal"/>
    <w:link w:val="BodyTextIndent2Char"/>
    <w:rsid w:val="001E74DE"/>
    <w:pPr>
      <w:spacing w:after="120" w:line="480" w:lineRule="auto"/>
      <w:ind w:left="283"/>
    </w:pPr>
  </w:style>
  <w:style w:type="paragraph" w:styleId="Header">
    <w:name w:val="header"/>
    <w:basedOn w:val="Normal"/>
    <w:link w:val="HeaderChar"/>
    <w:rsid w:val="00AD7927"/>
    <w:pPr>
      <w:tabs>
        <w:tab w:val="center" w:pos="4819"/>
        <w:tab w:val="right" w:pos="9638"/>
      </w:tabs>
    </w:pPr>
  </w:style>
  <w:style w:type="character" w:styleId="PageNumber">
    <w:name w:val="page number"/>
    <w:basedOn w:val="DefaultParagraphFont"/>
    <w:rsid w:val="00AD7927"/>
  </w:style>
  <w:style w:type="paragraph" w:styleId="BodyTextIndent">
    <w:name w:val="Body Text Indent"/>
    <w:basedOn w:val="Normal"/>
    <w:link w:val="BodyTextIndentChar"/>
    <w:uiPriority w:val="99"/>
    <w:rsid w:val="0092366F"/>
    <w:pPr>
      <w:spacing w:after="120"/>
      <w:ind w:left="283"/>
    </w:pPr>
    <w:rPr>
      <w:lang w:val="en-GB" w:eastAsia="en-US"/>
    </w:rPr>
  </w:style>
  <w:style w:type="paragraph" w:customStyle="1" w:styleId="ListParagraph1">
    <w:name w:val="List Paragraph1"/>
    <w:basedOn w:val="Normal"/>
    <w:qFormat/>
    <w:rsid w:val="000F448C"/>
    <w:pPr>
      <w:ind w:left="720"/>
      <w:contextualSpacing/>
    </w:pPr>
    <w:rPr>
      <w:rFonts w:eastAsia="Calibri"/>
      <w:sz w:val="20"/>
      <w:szCs w:val="20"/>
      <w:lang w:val="en-AU" w:eastAsia="en-US"/>
    </w:rPr>
  </w:style>
  <w:style w:type="paragraph" w:styleId="BodyText2">
    <w:name w:val="Body Text 2"/>
    <w:basedOn w:val="Normal"/>
    <w:link w:val="BodyText2Char"/>
    <w:uiPriority w:val="99"/>
    <w:rsid w:val="00B34824"/>
    <w:pPr>
      <w:spacing w:after="120" w:line="480" w:lineRule="auto"/>
    </w:pPr>
  </w:style>
  <w:style w:type="paragraph" w:customStyle="1" w:styleId="DiagramaDiagrama4DiagramaDiagrama">
    <w:name w:val="Diagrama Diagrama4 Diagrama Diagrama"/>
    <w:basedOn w:val="Normal"/>
    <w:next w:val="Normal"/>
    <w:rsid w:val="00B34824"/>
    <w:pPr>
      <w:spacing w:before="120" w:after="120"/>
      <w:jc w:val="center"/>
    </w:pPr>
    <w:rPr>
      <w:b/>
      <w:bCs/>
      <w:snapToGrid w:val="0"/>
      <w:u w:val="single"/>
      <w:lang w:eastAsia="en-GB"/>
    </w:rPr>
  </w:style>
  <w:style w:type="paragraph" w:styleId="NormalWeb">
    <w:name w:val="Normal (Web)"/>
    <w:basedOn w:val="Normal"/>
    <w:link w:val="NormalWebChar"/>
    <w:uiPriority w:val="99"/>
    <w:rsid w:val="00F67001"/>
    <w:pPr>
      <w:spacing w:before="100" w:beforeAutospacing="1" w:after="100" w:afterAutospacing="1"/>
    </w:pPr>
  </w:style>
  <w:style w:type="paragraph" w:customStyle="1" w:styleId="Style7">
    <w:name w:val="Style7"/>
    <w:basedOn w:val="Normal"/>
    <w:rsid w:val="00F67001"/>
    <w:pPr>
      <w:widowControl w:val="0"/>
      <w:autoSpaceDE w:val="0"/>
      <w:autoSpaceDN w:val="0"/>
      <w:adjustRightInd w:val="0"/>
      <w:spacing w:line="279" w:lineRule="exact"/>
      <w:ind w:firstLine="720"/>
    </w:pPr>
  </w:style>
  <w:style w:type="character" w:styleId="Hyperlink">
    <w:name w:val="Hyperlink"/>
    <w:uiPriority w:val="99"/>
    <w:rsid w:val="00FD4216"/>
    <w:rPr>
      <w:color w:val="0000FF"/>
      <w:u w:val="single"/>
    </w:rPr>
  </w:style>
  <w:style w:type="paragraph" w:customStyle="1" w:styleId="tajtipfb">
    <w:name w:val="tajtipfb"/>
    <w:basedOn w:val="Normal"/>
    <w:rsid w:val="00FD4216"/>
    <w:pPr>
      <w:spacing w:before="100" w:beforeAutospacing="1" w:after="100" w:afterAutospacing="1"/>
    </w:pPr>
  </w:style>
  <w:style w:type="paragraph" w:customStyle="1" w:styleId="tajtip">
    <w:name w:val="tajtip"/>
    <w:basedOn w:val="Normal"/>
    <w:rsid w:val="00FD4216"/>
    <w:pPr>
      <w:spacing w:before="100" w:beforeAutospacing="1" w:after="100" w:afterAutospacing="1"/>
    </w:pPr>
  </w:style>
  <w:style w:type="paragraph" w:styleId="BalloonText">
    <w:name w:val="Balloon Text"/>
    <w:basedOn w:val="Normal"/>
    <w:link w:val="BalloonTextChar"/>
    <w:uiPriority w:val="99"/>
    <w:unhideWhenUsed/>
    <w:rsid w:val="00832BBA"/>
    <w:rPr>
      <w:rFonts w:ascii="Tahoma" w:hAnsi="Tahoma"/>
      <w:sz w:val="16"/>
      <w:szCs w:val="16"/>
    </w:rPr>
  </w:style>
  <w:style w:type="character" w:customStyle="1" w:styleId="BalloonTextChar">
    <w:name w:val="Balloon Text Char"/>
    <w:link w:val="BalloonText"/>
    <w:uiPriority w:val="99"/>
    <w:rsid w:val="00832BBA"/>
    <w:rPr>
      <w:rFonts w:ascii="Tahoma" w:eastAsia="Times New Roman" w:hAnsi="Tahoma" w:cs="Tahoma"/>
      <w:sz w:val="16"/>
      <w:szCs w:val="16"/>
    </w:rPr>
  </w:style>
  <w:style w:type="paragraph" w:customStyle="1" w:styleId="NoSpacing1">
    <w:name w:val="No Spacing1"/>
    <w:uiPriority w:val="1"/>
    <w:qFormat/>
    <w:rsid w:val="006918AE"/>
    <w:rPr>
      <w:rFonts w:ascii="Times New Roman" w:eastAsia="Times New Roman" w:hAnsi="Times New Roman"/>
      <w:lang w:val="lt-LT" w:eastAsia="lt-LT"/>
    </w:rPr>
  </w:style>
  <w:style w:type="character" w:customStyle="1" w:styleId="Heading4Char">
    <w:name w:val="Heading 4 Char"/>
    <w:link w:val="Heading4"/>
    <w:uiPriority w:val="9"/>
    <w:semiHidden/>
    <w:rsid w:val="0076602A"/>
    <w:rPr>
      <w:rFonts w:ascii="Calibri" w:eastAsia="Times New Roman" w:hAnsi="Calibri" w:cs="Times New Roman"/>
      <w:b/>
      <w:bCs/>
      <w:sz w:val="28"/>
      <w:szCs w:val="28"/>
      <w:lang w:val="lt-LT" w:eastAsia="lt-LT"/>
    </w:rPr>
  </w:style>
  <w:style w:type="paragraph" w:customStyle="1" w:styleId="Style">
    <w:name w:val="Style"/>
    <w:rsid w:val="00CD5335"/>
    <w:pPr>
      <w:widowControl w:val="0"/>
      <w:autoSpaceDE w:val="0"/>
      <w:autoSpaceDN w:val="0"/>
      <w:adjustRightInd w:val="0"/>
    </w:pPr>
    <w:rPr>
      <w:rFonts w:ascii="Times New Roman" w:eastAsia="Times New Roman" w:hAnsi="Times New Roman"/>
      <w:sz w:val="24"/>
      <w:szCs w:val="24"/>
      <w:lang w:val="en-US" w:eastAsia="en-US"/>
    </w:rPr>
  </w:style>
  <w:style w:type="character" w:customStyle="1" w:styleId="FontStyle14">
    <w:name w:val="Font Style14"/>
    <w:rsid w:val="00B11A4E"/>
    <w:rPr>
      <w:rFonts w:ascii="Times New Roman" w:hAnsi="Times New Roman" w:cs="Times New Roman"/>
      <w:sz w:val="18"/>
      <w:szCs w:val="18"/>
    </w:rPr>
  </w:style>
  <w:style w:type="character" w:customStyle="1" w:styleId="apple-style-span">
    <w:name w:val="apple-style-span"/>
    <w:basedOn w:val="DefaultParagraphFont"/>
    <w:rsid w:val="00B11A4E"/>
  </w:style>
  <w:style w:type="character" w:customStyle="1" w:styleId="BodyTextChar1">
    <w:name w:val="Body Text Char1"/>
    <w:rsid w:val="002A2D88"/>
    <w:rPr>
      <w:sz w:val="24"/>
      <w:lang w:val="lt-LT" w:eastAsia="lt-LT"/>
    </w:rPr>
  </w:style>
  <w:style w:type="paragraph" w:styleId="Footer">
    <w:name w:val="footer"/>
    <w:basedOn w:val="Normal"/>
    <w:link w:val="FooterChar"/>
    <w:uiPriority w:val="99"/>
    <w:unhideWhenUsed/>
    <w:rsid w:val="00EB366B"/>
    <w:pPr>
      <w:tabs>
        <w:tab w:val="center" w:pos="4819"/>
        <w:tab w:val="right" w:pos="9638"/>
      </w:tabs>
    </w:pPr>
  </w:style>
  <w:style w:type="character" w:customStyle="1" w:styleId="FooterChar">
    <w:name w:val="Footer Char"/>
    <w:basedOn w:val="DefaultParagraphFont"/>
    <w:link w:val="Footer"/>
    <w:uiPriority w:val="99"/>
    <w:rsid w:val="00EB366B"/>
    <w:rPr>
      <w:rFonts w:ascii="Times New Roman" w:eastAsia="Times New Roman" w:hAnsi="Times New Roman"/>
      <w:sz w:val="24"/>
      <w:szCs w:val="24"/>
      <w:lang w:val="lt-LT" w:eastAsia="lt-LT"/>
    </w:rPr>
  </w:style>
  <w:style w:type="paragraph" w:customStyle="1" w:styleId="Stilius">
    <w:name w:val="Stilius"/>
    <w:rsid w:val="00152B09"/>
    <w:pPr>
      <w:widowControl w:val="0"/>
      <w:autoSpaceDE w:val="0"/>
      <w:autoSpaceDN w:val="0"/>
      <w:adjustRightInd w:val="0"/>
    </w:pPr>
    <w:rPr>
      <w:rFonts w:ascii="Arial" w:eastAsiaTheme="minorEastAsia" w:hAnsi="Arial" w:cs="Arial"/>
      <w:sz w:val="24"/>
      <w:szCs w:val="24"/>
      <w:lang w:val="lt-LT" w:eastAsia="lt-LT"/>
    </w:rPr>
  </w:style>
  <w:style w:type="paragraph" w:styleId="NoSpacing">
    <w:name w:val="No Spacing"/>
    <w:link w:val="NoSpacingChar"/>
    <w:uiPriority w:val="1"/>
    <w:rsid w:val="00B759B6"/>
    <w:pPr>
      <w:overflowPunct w:val="0"/>
      <w:autoSpaceDE w:val="0"/>
      <w:autoSpaceDN w:val="0"/>
      <w:adjustRightInd w:val="0"/>
      <w:textAlignment w:val="baseline"/>
    </w:pPr>
    <w:rPr>
      <w:rFonts w:ascii="Times New Roman" w:eastAsia="Times New Roman" w:hAnsi="Times New Roman"/>
      <w:sz w:val="24"/>
      <w:lang w:val="lt-LT"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7E4511"/>
    <w:pPr>
      <w:overflowPunct w:val="0"/>
      <w:autoSpaceDE w:val="0"/>
      <w:autoSpaceDN w:val="0"/>
      <w:adjustRightInd w:val="0"/>
      <w:ind w:left="720"/>
      <w:contextualSpacing/>
    </w:pPr>
    <w:rPr>
      <w:szCs w:val="20"/>
      <w:lang w:eastAsia="en-US"/>
    </w:rPr>
  </w:style>
  <w:style w:type="paragraph" w:customStyle="1" w:styleId="Style5">
    <w:name w:val="Style5"/>
    <w:basedOn w:val="Normal"/>
    <w:uiPriority w:val="99"/>
    <w:rsid w:val="008E6545"/>
    <w:pPr>
      <w:widowControl w:val="0"/>
      <w:autoSpaceDE w:val="0"/>
      <w:autoSpaceDN w:val="0"/>
      <w:adjustRightInd w:val="0"/>
      <w:spacing w:line="276" w:lineRule="exact"/>
    </w:pPr>
  </w:style>
  <w:style w:type="character" w:customStyle="1" w:styleId="FontStyle12">
    <w:name w:val="Font Style12"/>
    <w:basedOn w:val="DefaultParagraphFont"/>
    <w:uiPriority w:val="99"/>
    <w:rsid w:val="008E6545"/>
    <w:rPr>
      <w:rFonts w:ascii="Times New Roman" w:hAnsi="Times New Roman" w:cs="Times New Roman"/>
      <w:sz w:val="22"/>
      <w:szCs w:val="22"/>
    </w:rPr>
  </w:style>
  <w:style w:type="character" w:customStyle="1" w:styleId="Bodytext20">
    <w:name w:val="Body text (2)_"/>
    <w:basedOn w:val="DefaultParagraphFont"/>
    <w:link w:val="Bodytext21"/>
    <w:rsid w:val="001F061D"/>
    <w:rPr>
      <w:rFonts w:ascii="Times New Roman" w:eastAsia="Times New Roman" w:hAnsi="Times New Roman"/>
      <w:sz w:val="24"/>
      <w:szCs w:val="24"/>
      <w:shd w:val="clear" w:color="auto" w:fill="FFFFFF"/>
    </w:rPr>
  </w:style>
  <w:style w:type="character" w:customStyle="1" w:styleId="Bodytext2Bold">
    <w:name w:val="Body text (2) + Bold"/>
    <w:basedOn w:val="Bodytext20"/>
    <w:rsid w:val="001F061D"/>
    <w:rPr>
      <w:rFonts w:ascii="Times New Roman" w:eastAsia="Times New Roman" w:hAnsi="Times New Roman"/>
      <w:b/>
      <w:bCs/>
      <w:color w:val="000000"/>
      <w:spacing w:val="0"/>
      <w:w w:val="100"/>
      <w:position w:val="0"/>
      <w:sz w:val="24"/>
      <w:szCs w:val="24"/>
      <w:shd w:val="clear" w:color="auto" w:fill="FFFFFF"/>
      <w:lang w:val="lt-LT" w:eastAsia="lt-LT" w:bidi="lt-LT"/>
    </w:rPr>
  </w:style>
  <w:style w:type="character" w:customStyle="1" w:styleId="Bodytext3">
    <w:name w:val="Body text (3)_"/>
    <w:basedOn w:val="DefaultParagraphFont"/>
    <w:link w:val="Bodytext30"/>
    <w:rsid w:val="001F061D"/>
    <w:rPr>
      <w:rFonts w:ascii="Times New Roman" w:eastAsia="Times New Roman" w:hAnsi="Times New Roman"/>
      <w:i/>
      <w:iCs/>
      <w:sz w:val="24"/>
      <w:szCs w:val="24"/>
      <w:shd w:val="clear" w:color="auto" w:fill="FFFFFF"/>
    </w:rPr>
  </w:style>
  <w:style w:type="character" w:customStyle="1" w:styleId="Bodytext3NotItalic">
    <w:name w:val="Body text (3) + Not Italic"/>
    <w:basedOn w:val="Bodytext3"/>
    <w:rsid w:val="001F061D"/>
    <w:rPr>
      <w:rFonts w:ascii="Times New Roman" w:eastAsia="Times New Roman" w:hAnsi="Times New Roman"/>
      <w:i/>
      <w:iCs/>
      <w:color w:val="000000"/>
      <w:spacing w:val="0"/>
      <w:w w:val="100"/>
      <w:position w:val="0"/>
      <w:sz w:val="24"/>
      <w:szCs w:val="24"/>
      <w:shd w:val="clear" w:color="auto" w:fill="FFFFFF"/>
      <w:lang w:val="lt-LT" w:eastAsia="lt-LT" w:bidi="lt-LT"/>
    </w:rPr>
  </w:style>
  <w:style w:type="paragraph" w:customStyle="1" w:styleId="Bodytext21">
    <w:name w:val="Body text (2)"/>
    <w:basedOn w:val="Normal"/>
    <w:link w:val="Bodytext20"/>
    <w:rsid w:val="001F061D"/>
    <w:pPr>
      <w:widowControl w:val="0"/>
      <w:shd w:val="clear" w:color="auto" w:fill="FFFFFF"/>
      <w:spacing w:line="317" w:lineRule="exact"/>
    </w:pPr>
    <w:rPr>
      <w:lang w:val="en-GB" w:eastAsia="en-GB"/>
    </w:rPr>
  </w:style>
  <w:style w:type="paragraph" w:customStyle="1" w:styleId="Bodytext30">
    <w:name w:val="Body text (3)"/>
    <w:basedOn w:val="Normal"/>
    <w:link w:val="Bodytext3"/>
    <w:rsid w:val="001F061D"/>
    <w:pPr>
      <w:widowControl w:val="0"/>
      <w:shd w:val="clear" w:color="auto" w:fill="FFFFFF"/>
      <w:spacing w:line="312" w:lineRule="exact"/>
      <w:ind w:firstLine="800"/>
    </w:pPr>
    <w:rPr>
      <w:i/>
      <w:iCs/>
      <w:lang w:val="en-GB" w:eastAsia="en-GB"/>
    </w:rPr>
  </w:style>
  <w:style w:type="character" w:customStyle="1" w:styleId="FontStyle11">
    <w:name w:val="Font Style11"/>
    <w:uiPriority w:val="99"/>
    <w:rsid w:val="009A37ED"/>
    <w:rPr>
      <w:rFonts w:ascii="Times New Roman" w:hAnsi="Times New Roman" w:cs="Times New Roman"/>
      <w:sz w:val="22"/>
      <w:szCs w:val="22"/>
    </w:rPr>
  </w:style>
  <w:style w:type="character" w:styleId="CommentReference">
    <w:name w:val="annotation reference"/>
    <w:basedOn w:val="DefaultParagraphFont"/>
    <w:uiPriority w:val="99"/>
    <w:unhideWhenUsed/>
    <w:rsid w:val="00C944E6"/>
    <w:rPr>
      <w:sz w:val="16"/>
      <w:szCs w:val="16"/>
    </w:rPr>
  </w:style>
  <w:style w:type="paragraph" w:styleId="CommentText">
    <w:name w:val="annotation text"/>
    <w:basedOn w:val="Normal"/>
    <w:link w:val="CommentTextChar"/>
    <w:uiPriority w:val="99"/>
    <w:unhideWhenUsed/>
    <w:rsid w:val="00C944E6"/>
    <w:rPr>
      <w:sz w:val="20"/>
      <w:szCs w:val="20"/>
    </w:rPr>
  </w:style>
  <w:style w:type="character" w:customStyle="1" w:styleId="CommentTextChar">
    <w:name w:val="Comment Text Char"/>
    <w:basedOn w:val="DefaultParagraphFont"/>
    <w:link w:val="CommentText"/>
    <w:uiPriority w:val="99"/>
    <w:rsid w:val="00C944E6"/>
    <w:rPr>
      <w:rFonts w:ascii="Times New Roman" w:eastAsia="Times New Roman" w:hAnsi="Times New Roman"/>
      <w:lang w:val="lt-LT" w:eastAsia="lt-LT"/>
    </w:rPr>
  </w:style>
  <w:style w:type="paragraph" w:styleId="CommentSubject">
    <w:name w:val="annotation subject"/>
    <w:basedOn w:val="CommentText"/>
    <w:next w:val="CommentText"/>
    <w:link w:val="CommentSubjectChar"/>
    <w:uiPriority w:val="99"/>
    <w:unhideWhenUsed/>
    <w:rsid w:val="00C944E6"/>
    <w:rPr>
      <w:b/>
      <w:bCs/>
    </w:rPr>
  </w:style>
  <w:style w:type="character" w:customStyle="1" w:styleId="CommentSubjectChar">
    <w:name w:val="Comment Subject Char"/>
    <w:basedOn w:val="CommentTextChar"/>
    <w:link w:val="CommentSubject"/>
    <w:uiPriority w:val="99"/>
    <w:rsid w:val="00C944E6"/>
    <w:rPr>
      <w:rFonts w:ascii="Times New Roman" w:eastAsia="Times New Roman" w:hAnsi="Times New Roman"/>
      <w:b/>
      <w:bCs/>
      <w:lang w:val="lt-LT" w:eastAsia="lt-LT"/>
    </w:rPr>
  </w:style>
  <w:style w:type="paragraph" w:customStyle="1" w:styleId="prastasis1">
    <w:name w:val="Įprastasis1"/>
    <w:rsid w:val="0099759F"/>
    <w:pPr>
      <w:pBdr>
        <w:top w:val="nil"/>
        <w:left w:val="nil"/>
        <w:bottom w:val="nil"/>
        <w:right w:val="nil"/>
        <w:between w:val="nil"/>
      </w:pBdr>
    </w:pPr>
    <w:rPr>
      <w:rFonts w:ascii="Times New Roman" w:eastAsia="Times New Roman" w:hAnsi="Times New Roman"/>
      <w:color w:val="000000"/>
      <w:sz w:val="24"/>
      <w:szCs w:val="24"/>
      <w:lang w:val="lt-LT" w:eastAsia="en-US"/>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locked/>
    <w:rsid w:val="00CD0107"/>
    <w:rPr>
      <w:rFonts w:ascii="Times New Roman" w:eastAsia="Times New Roman" w:hAnsi="Times New Roman"/>
      <w:sz w:val="24"/>
      <w:lang w:val="lt-LT" w:eastAsia="en-US"/>
    </w:rPr>
  </w:style>
  <w:style w:type="paragraph" w:customStyle="1" w:styleId="Standard">
    <w:name w:val="Standard"/>
    <w:rsid w:val="00D37230"/>
    <w:pPr>
      <w:widowControl w:val="0"/>
      <w:suppressAutoHyphens/>
      <w:autoSpaceDN w:val="0"/>
      <w:ind w:firstLine="720"/>
      <w:textAlignment w:val="baseline"/>
    </w:pPr>
    <w:rPr>
      <w:rFonts w:ascii="Times New Roman" w:eastAsia="SimSun, 宋体" w:hAnsi="Times New Roman" w:cs="Mangal"/>
      <w:kern w:val="3"/>
      <w:sz w:val="24"/>
      <w:szCs w:val="24"/>
      <w:lang w:val="lt-LT" w:eastAsia="zh-CN" w:bidi="hi-IN"/>
    </w:rPr>
  </w:style>
  <w:style w:type="character" w:customStyle="1" w:styleId="Heading5Char">
    <w:name w:val="Heading 5 Char"/>
    <w:basedOn w:val="DefaultParagraphFont"/>
    <w:link w:val="Heading5"/>
    <w:uiPriority w:val="9"/>
    <w:rsid w:val="00196BC5"/>
    <w:rPr>
      <w:rFonts w:asciiTheme="majorHAnsi" w:eastAsiaTheme="majorEastAsia" w:hAnsiTheme="majorHAnsi" w:cstheme="majorBidi"/>
      <w:color w:val="365F91" w:themeColor="accent1" w:themeShade="BF"/>
      <w:sz w:val="24"/>
      <w:szCs w:val="24"/>
      <w:lang w:val="lt-LT" w:eastAsia="lt-LT"/>
    </w:rPr>
  </w:style>
  <w:style w:type="paragraph" w:styleId="TOCHeading">
    <w:name w:val="TOC Heading"/>
    <w:basedOn w:val="Heading1"/>
    <w:next w:val="Normal"/>
    <w:uiPriority w:val="39"/>
    <w:unhideWhenUsed/>
    <w:qFormat/>
    <w:rsid w:val="00196BC5"/>
    <w:pPr>
      <w:keepLines/>
      <w:spacing w:before="240" w:line="259" w:lineRule="auto"/>
      <w:jc w:val="left"/>
      <w:outlineLvl w:val="9"/>
    </w:pPr>
    <w:rPr>
      <w:rFonts w:asciiTheme="majorHAnsi" w:eastAsiaTheme="majorEastAsia" w:hAnsiTheme="majorHAnsi" w:cstheme="majorBidi"/>
      <w:b w:val="0"/>
      <w:color w:val="365F91" w:themeColor="accent1" w:themeShade="BF"/>
      <w:szCs w:val="32"/>
    </w:rPr>
  </w:style>
  <w:style w:type="paragraph" w:styleId="TOC1">
    <w:name w:val="toc 1"/>
    <w:basedOn w:val="Normal"/>
    <w:next w:val="Normal"/>
    <w:autoRedefine/>
    <w:uiPriority w:val="39"/>
    <w:unhideWhenUsed/>
    <w:rsid w:val="00DB67F1"/>
    <w:pPr>
      <w:tabs>
        <w:tab w:val="right" w:leader="dot" w:pos="9962"/>
      </w:tabs>
      <w:spacing w:after="100" w:line="259" w:lineRule="auto"/>
    </w:pPr>
    <w:rPr>
      <w:rFonts w:asciiTheme="minorHAnsi" w:eastAsiaTheme="minorHAnsi" w:hAnsiTheme="minorHAnsi" w:cstheme="minorBidi"/>
      <w:sz w:val="22"/>
      <w:szCs w:val="22"/>
      <w:lang w:val="en-US" w:eastAsia="en-US"/>
    </w:rPr>
  </w:style>
  <w:style w:type="paragraph" w:styleId="TOC2">
    <w:name w:val="toc 2"/>
    <w:basedOn w:val="Normal"/>
    <w:next w:val="Normal"/>
    <w:autoRedefine/>
    <w:uiPriority w:val="39"/>
    <w:unhideWhenUsed/>
    <w:rsid w:val="00196BC5"/>
    <w:pPr>
      <w:spacing w:after="100" w:line="259" w:lineRule="auto"/>
      <w:ind w:left="220"/>
    </w:pPr>
    <w:rPr>
      <w:rFonts w:asciiTheme="minorHAnsi" w:eastAsiaTheme="minorHAnsi" w:hAnsiTheme="minorHAnsi" w:cstheme="minorBidi"/>
      <w:sz w:val="22"/>
      <w:szCs w:val="22"/>
      <w:lang w:val="en-US" w:eastAsia="en-US"/>
    </w:rPr>
  </w:style>
  <w:style w:type="character" w:customStyle="1" w:styleId="NoSpacingChar">
    <w:name w:val="No Spacing Char"/>
    <w:basedOn w:val="DefaultParagraphFont"/>
    <w:link w:val="NoSpacing"/>
    <w:uiPriority w:val="1"/>
    <w:rsid w:val="00196BC5"/>
    <w:rPr>
      <w:rFonts w:ascii="Times New Roman" w:eastAsia="Times New Roman" w:hAnsi="Times New Roman"/>
      <w:sz w:val="24"/>
      <w:lang w:val="lt-LT" w:eastAsia="en-US"/>
    </w:rPr>
  </w:style>
  <w:style w:type="paragraph" w:styleId="TOC3">
    <w:name w:val="toc 3"/>
    <w:basedOn w:val="Normal"/>
    <w:next w:val="Normal"/>
    <w:autoRedefine/>
    <w:uiPriority w:val="39"/>
    <w:unhideWhenUsed/>
    <w:rsid w:val="00196BC5"/>
    <w:pPr>
      <w:spacing w:after="100" w:line="259" w:lineRule="auto"/>
      <w:ind w:left="440"/>
    </w:pPr>
    <w:rPr>
      <w:rFonts w:asciiTheme="minorHAnsi" w:eastAsiaTheme="minorHAnsi" w:hAnsiTheme="minorHAnsi" w:cstheme="minorBidi"/>
      <w:sz w:val="22"/>
      <w:szCs w:val="22"/>
      <w:lang w:val="en-US" w:eastAsia="en-US"/>
    </w:rPr>
  </w:style>
  <w:style w:type="character" w:customStyle="1" w:styleId="Heading2Char">
    <w:name w:val="Heading 2 Char"/>
    <w:basedOn w:val="DefaultParagraphFont"/>
    <w:link w:val="Heading2"/>
    <w:uiPriority w:val="9"/>
    <w:rsid w:val="00252E86"/>
    <w:rPr>
      <w:rFonts w:asciiTheme="majorHAnsi" w:eastAsiaTheme="majorEastAsia" w:hAnsiTheme="majorHAnsi" w:cstheme="majorBidi"/>
      <w:b/>
      <w:bCs/>
      <w:sz w:val="28"/>
      <w:szCs w:val="28"/>
      <w:lang w:val="lt-LT" w:eastAsia="en-US"/>
    </w:rPr>
  </w:style>
  <w:style w:type="character" w:customStyle="1" w:styleId="Heading6Char">
    <w:name w:val="Heading 6 Char"/>
    <w:basedOn w:val="DefaultParagraphFont"/>
    <w:link w:val="Heading6"/>
    <w:uiPriority w:val="9"/>
    <w:semiHidden/>
    <w:rsid w:val="00252E86"/>
    <w:rPr>
      <w:rFonts w:asciiTheme="majorHAnsi" w:eastAsiaTheme="majorEastAsia" w:hAnsiTheme="majorHAnsi" w:cstheme="majorBidi"/>
      <w:b/>
      <w:bCs/>
      <w:i/>
      <w:iCs/>
      <w:sz w:val="22"/>
      <w:szCs w:val="22"/>
      <w:lang w:val="lt-LT" w:eastAsia="en-US"/>
    </w:rPr>
  </w:style>
  <w:style w:type="character" w:customStyle="1" w:styleId="Heading7Char">
    <w:name w:val="Heading 7 Char"/>
    <w:basedOn w:val="DefaultParagraphFont"/>
    <w:link w:val="Heading7"/>
    <w:uiPriority w:val="9"/>
    <w:semiHidden/>
    <w:rsid w:val="00252E86"/>
    <w:rPr>
      <w:rFonts w:asciiTheme="minorHAnsi" w:eastAsiaTheme="minorEastAsia" w:hAnsiTheme="minorHAnsi" w:cstheme="minorBidi"/>
      <w:i/>
      <w:iCs/>
      <w:sz w:val="22"/>
      <w:szCs w:val="22"/>
      <w:lang w:val="lt-LT" w:eastAsia="en-US"/>
    </w:rPr>
  </w:style>
  <w:style w:type="character" w:customStyle="1" w:styleId="Heading8Char">
    <w:name w:val="Heading 8 Char"/>
    <w:basedOn w:val="DefaultParagraphFont"/>
    <w:link w:val="Heading8"/>
    <w:uiPriority w:val="9"/>
    <w:semiHidden/>
    <w:rsid w:val="00252E86"/>
    <w:rPr>
      <w:rFonts w:asciiTheme="minorHAnsi" w:eastAsiaTheme="minorEastAsia" w:hAnsiTheme="minorHAnsi" w:cstheme="minorBidi"/>
      <w:b/>
      <w:bCs/>
      <w:sz w:val="22"/>
      <w:szCs w:val="22"/>
      <w:lang w:val="lt-LT" w:eastAsia="en-US"/>
    </w:rPr>
  </w:style>
  <w:style w:type="character" w:customStyle="1" w:styleId="Heading9Char">
    <w:name w:val="Heading 9 Char"/>
    <w:basedOn w:val="DefaultParagraphFont"/>
    <w:link w:val="Heading9"/>
    <w:uiPriority w:val="9"/>
    <w:semiHidden/>
    <w:rsid w:val="00252E86"/>
    <w:rPr>
      <w:rFonts w:asciiTheme="minorHAnsi" w:eastAsiaTheme="minorEastAsia" w:hAnsiTheme="minorHAnsi" w:cstheme="minorBidi"/>
      <w:i/>
      <w:iCs/>
      <w:sz w:val="22"/>
      <w:szCs w:val="22"/>
      <w:lang w:val="lt-LT" w:eastAsia="en-US"/>
    </w:rPr>
  </w:style>
  <w:style w:type="paragraph" w:customStyle="1" w:styleId="DefaultStyle">
    <w:name w:val="Default Style"/>
    <w:rsid w:val="00252E86"/>
    <w:pPr>
      <w:widowControl w:val="0"/>
      <w:suppressAutoHyphens/>
      <w:spacing w:line="100" w:lineRule="atLeast"/>
      <w:ind w:firstLine="720"/>
    </w:pPr>
    <w:rPr>
      <w:rFonts w:ascii="Times New Roman" w:eastAsia="SimSun" w:hAnsi="Times New Roman" w:cs="Mangal"/>
      <w:sz w:val="24"/>
      <w:szCs w:val="24"/>
      <w:lang w:val="lt-LT" w:eastAsia="zh-CN" w:bidi="hi-IN"/>
    </w:rPr>
  </w:style>
  <w:style w:type="paragraph" w:customStyle="1" w:styleId="WW-DefaultStyle">
    <w:name w:val="WW-Default Style"/>
    <w:rsid w:val="00252E86"/>
    <w:pPr>
      <w:widowControl w:val="0"/>
      <w:suppressAutoHyphens/>
      <w:autoSpaceDN w:val="0"/>
      <w:spacing w:line="100" w:lineRule="atLeast"/>
      <w:ind w:firstLine="720"/>
      <w:textAlignment w:val="baseline"/>
    </w:pPr>
    <w:rPr>
      <w:rFonts w:ascii="Times New Roman" w:eastAsia="SimSun, 宋体" w:hAnsi="Times New Roman" w:cs="Mangal"/>
      <w:kern w:val="3"/>
      <w:sz w:val="24"/>
      <w:szCs w:val="24"/>
      <w:lang w:val="lt-LT" w:eastAsia="zh-CN" w:bidi="hi-IN"/>
    </w:rPr>
  </w:style>
  <w:style w:type="character" w:customStyle="1" w:styleId="HeaderChar">
    <w:name w:val="Header Char"/>
    <w:basedOn w:val="DefaultParagraphFont"/>
    <w:link w:val="Header"/>
    <w:rsid w:val="00252E86"/>
    <w:rPr>
      <w:rFonts w:ascii="Times New Roman" w:eastAsia="Times New Roman" w:hAnsi="Times New Roman"/>
      <w:sz w:val="24"/>
      <w:szCs w:val="24"/>
      <w:lang w:val="lt-LT" w:eastAsia="lt-LT"/>
    </w:rPr>
  </w:style>
  <w:style w:type="paragraph" w:customStyle="1" w:styleId="Heading">
    <w:name w:val="Heading"/>
    <w:basedOn w:val="Normal"/>
    <w:next w:val="BodyText"/>
    <w:rsid w:val="00252E86"/>
    <w:pPr>
      <w:suppressAutoHyphens/>
      <w:ind w:firstLine="720"/>
      <w:jc w:val="center"/>
    </w:pPr>
    <w:rPr>
      <w:rFonts w:ascii="Arial" w:hAnsi="Arial" w:cs="Arial"/>
      <w:sz w:val="32"/>
      <w:szCs w:val="20"/>
      <w:lang w:eastAsia="zh-CN"/>
    </w:rPr>
  </w:style>
  <w:style w:type="character" w:customStyle="1" w:styleId="st1">
    <w:name w:val="st1"/>
    <w:basedOn w:val="DefaultParagraphFont"/>
    <w:rsid w:val="00252E86"/>
  </w:style>
  <w:style w:type="paragraph" w:styleId="Caption">
    <w:name w:val="caption"/>
    <w:basedOn w:val="Normal"/>
    <w:next w:val="Normal"/>
    <w:semiHidden/>
    <w:unhideWhenUsed/>
    <w:qFormat/>
    <w:rsid w:val="00252E86"/>
    <w:pPr>
      <w:ind w:firstLine="720"/>
    </w:pPr>
    <w:rPr>
      <w:rFonts w:asciiTheme="minorHAnsi" w:eastAsiaTheme="minorEastAsia" w:hAnsiTheme="minorHAnsi" w:cstheme="minorBidi"/>
      <w:b/>
      <w:bCs/>
      <w:sz w:val="18"/>
      <w:szCs w:val="18"/>
      <w:lang w:eastAsia="en-US"/>
    </w:rPr>
  </w:style>
  <w:style w:type="paragraph" w:styleId="Subtitle">
    <w:name w:val="Subtitle"/>
    <w:basedOn w:val="Normal"/>
    <w:next w:val="Normal"/>
    <w:link w:val="SubtitleChar"/>
    <w:uiPriority w:val="11"/>
    <w:qFormat/>
    <w:rsid w:val="00252E86"/>
    <w:pPr>
      <w:numPr>
        <w:ilvl w:val="1"/>
      </w:numPr>
      <w:spacing w:after="240"/>
      <w:ind w:firstLine="720"/>
      <w:jc w:val="center"/>
    </w:pPr>
    <w:rPr>
      <w:rFonts w:asciiTheme="majorHAnsi" w:eastAsiaTheme="majorEastAsia" w:hAnsiTheme="majorHAnsi" w:cstheme="majorBidi"/>
      <w:lang w:eastAsia="en-US"/>
    </w:rPr>
  </w:style>
  <w:style w:type="character" w:customStyle="1" w:styleId="SubtitleChar">
    <w:name w:val="Subtitle Char"/>
    <w:basedOn w:val="DefaultParagraphFont"/>
    <w:link w:val="Subtitle"/>
    <w:uiPriority w:val="11"/>
    <w:rsid w:val="00252E86"/>
    <w:rPr>
      <w:rFonts w:asciiTheme="majorHAnsi" w:eastAsiaTheme="majorEastAsia" w:hAnsiTheme="majorHAnsi" w:cstheme="majorBidi"/>
      <w:sz w:val="24"/>
      <w:szCs w:val="24"/>
      <w:lang w:val="lt-LT" w:eastAsia="en-US"/>
    </w:rPr>
  </w:style>
  <w:style w:type="character" w:styleId="Strong">
    <w:name w:val="Strong"/>
    <w:basedOn w:val="DefaultParagraphFont"/>
    <w:uiPriority w:val="22"/>
    <w:qFormat/>
    <w:rsid w:val="00252E86"/>
    <w:rPr>
      <w:b/>
      <w:bCs/>
      <w:color w:val="auto"/>
    </w:rPr>
  </w:style>
  <w:style w:type="character" w:styleId="Emphasis">
    <w:name w:val="Emphasis"/>
    <w:basedOn w:val="DefaultParagraphFont"/>
    <w:uiPriority w:val="20"/>
    <w:qFormat/>
    <w:rsid w:val="00252E86"/>
    <w:rPr>
      <w:i/>
      <w:iCs/>
      <w:color w:val="auto"/>
    </w:rPr>
  </w:style>
  <w:style w:type="paragraph" w:styleId="Quote">
    <w:name w:val="Quote"/>
    <w:basedOn w:val="Normal"/>
    <w:next w:val="Normal"/>
    <w:link w:val="QuoteChar"/>
    <w:uiPriority w:val="29"/>
    <w:qFormat/>
    <w:rsid w:val="00252E86"/>
    <w:pPr>
      <w:spacing w:before="200" w:line="264" w:lineRule="auto"/>
      <w:ind w:left="864" w:right="864" w:firstLine="720"/>
      <w:jc w:val="center"/>
    </w:pPr>
    <w:rPr>
      <w:rFonts w:asciiTheme="majorHAnsi" w:eastAsiaTheme="majorEastAsia" w:hAnsiTheme="majorHAnsi" w:cstheme="majorBidi"/>
      <w:i/>
      <w:iCs/>
      <w:lang w:eastAsia="en-US"/>
    </w:rPr>
  </w:style>
  <w:style w:type="character" w:customStyle="1" w:styleId="QuoteChar">
    <w:name w:val="Quote Char"/>
    <w:basedOn w:val="DefaultParagraphFont"/>
    <w:link w:val="Quote"/>
    <w:uiPriority w:val="29"/>
    <w:rsid w:val="00252E86"/>
    <w:rPr>
      <w:rFonts w:asciiTheme="majorHAnsi" w:eastAsiaTheme="majorEastAsia" w:hAnsiTheme="majorHAnsi" w:cstheme="majorBidi"/>
      <w:i/>
      <w:iCs/>
      <w:sz w:val="24"/>
      <w:szCs w:val="24"/>
      <w:lang w:val="lt-LT" w:eastAsia="en-US"/>
    </w:rPr>
  </w:style>
  <w:style w:type="paragraph" w:styleId="IntenseQuote">
    <w:name w:val="Intense Quote"/>
    <w:basedOn w:val="Normal"/>
    <w:next w:val="Normal"/>
    <w:link w:val="IntenseQuoteChar"/>
    <w:uiPriority w:val="30"/>
    <w:qFormat/>
    <w:rsid w:val="00252E86"/>
    <w:pPr>
      <w:spacing w:before="100" w:beforeAutospacing="1" w:after="240"/>
      <w:ind w:left="936" w:right="936" w:firstLine="720"/>
      <w:jc w:val="center"/>
    </w:pPr>
    <w:rPr>
      <w:rFonts w:asciiTheme="majorHAnsi" w:eastAsiaTheme="majorEastAsia" w:hAnsiTheme="majorHAnsi" w:cstheme="majorBidi"/>
      <w:sz w:val="26"/>
      <w:szCs w:val="26"/>
      <w:lang w:eastAsia="en-US"/>
    </w:rPr>
  </w:style>
  <w:style w:type="character" w:customStyle="1" w:styleId="IntenseQuoteChar">
    <w:name w:val="Intense Quote Char"/>
    <w:basedOn w:val="DefaultParagraphFont"/>
    <w:link w:val="IntenseQuote"/>
    <w:uiPriority w:val="30"/>
    <w:rsid w:val="00252E86"/>
    <w:rPr>
      <w:rFonts w:asciiTheme="majorHAnsi" w:eastAsiaTheme="majorEastAsia" w:hAnsiTheme="majorHAnsi" w:cstheme="majorBidi"/>
      <w:sz w:val="26"/>
      <w:szCs w:val="26"/>
      <w:lang w:val="lt-LT" w:eastAsia="en-US"/>
    </w:rPr>
  </w:style>
  <w:style w:type="character" w:styleId="SubtleEmphasis">
    <w:name w:val="Subtle Emphasis"/>
    <w:basedOn w:val="DefaultParagraphFont"/>
    <w:uiPriority w:val="19"/>
    <w:qFormat/>
    <w:rsid w:val="00252E86"/>
    <w:rPr>
      <w:i/>
      <w:iCs/>
      <w:color w:val="auto"/>
    </w:rPr>
  </w:style>
  <w:style w:type="character" w:styleId="IntenseEmphasis">
    <w:name w:val="Intense Emphasis"/>
    <w:basedOn w:val="DefaultParagraphFont"/>
    <w:uiPriority w:val="21"/>
    <w:qFormat/>
    <w:rsid w:val="00252E86"/>
    <w:rPr>
      <w:b/>
      <w:bCs/>
      <w:i/>
      <w:iCs/>
      <w:color w:val="auto"/>
    </w:rPr>
  </w:style>
  <w:style w:type="character" w:styleId="SubtleReference">
    <w:name w:val="Subtle Reference"/>
    <w:basedOn w:val="DefaultParagraphFont"/>
    <w:uiPriority w:val="31"/>
    <w:qFormat/>
    <w:rsid w:val="00252E86"/>
    <w:rPr>
      <w:smallCaps/>
      <w:color w:val="auto"/>
      <w:u w:val="single" w:color="7F7F7F" w:themeColor="text1" w:themeTint="80"/>
    </w:rPr>
  </w:style>
  <w:style w:type="character" w:styleId="IntenseReference">
    <w:name w:val="Intense Reference"/>
    <w:basedOn w:val="DefaultParagraphFont"/>
    <w:uiPriority w:val="32"/>
    <w:qFormat/>
    <w:rsid w:val="00252E86"/>
    <w:rPr>
      <w:b/>
      <w:bCs/>
      <w:smallCaps/>
      <w:color w:val="auto"/>
      <w:u w:val="single"/>
    </w:rPr>
  </w:style>
  <w:style w:type="character" w:styleId="BookTitle">
    <w:name w:val="Book Title"/>
    <w:basedOn w:val="DefaultParagraphFont"/>
    <w:uiPriority w:val="33"/>
    <w:qFormat/>
    <w:rsid w:val="00252E86"/>
    <w:rPr>
      <w:b/>
      <w:bCs/>
      <w:smallCaps/>
      <w:color w:val="auto"/>
    </w:rPr>
  </w:style>
  <w:style w:type="character" w:customStyle="1" w:styleId="Bodytext32Spacing0pt">
    <w:name w:val="Body text (32) + Spacing 0 pt"/>
    <w:basedOn w:val="DefaultParagraphFont"/>
    <w:rsid w:val="00252E86"/>
    <w:rPr>
      <w:rFonts w:ascii="Times New Roman" w:eastAsia="Times New Roman" w:hAnsi="Times New Roman" w:cs="Times New Roman"/>
      <w:b w:val="0"/>
      <w:bCs w:val="0"/>
      <w:i w:val="0"/>
      <w:iCs w:val="0"/>
      <w:smallCaps w:val="0"/>
      <w:strike w:val="0"/>
      <w:color w:val="000000"/>
      <w:spacing w:val="0"/>
      <w:w w:val="100"/>
      <w:position w:val="0"/>
      <w:sz w:val="19"/>
      <w:szCs w:val="19"/>
      <w:u w:val="none"/>
      <w:lang w:val="lt-LT" w:eastAsia="lt-LT" w:bidi="lt-LT"/>
    </w:rPr>
  </w:style>
  <w:style w:type="paragraph" w:customStyle="1" w:styleId="Default">
    <w:name w:val="Default"/>
    <w:rsid w:val="00252E86"/>
    <w:pPr>
      <w:autoSpaceDE w:val="0"/>
      <w:autoSpaceDN w:val="0"/>
      <w:adjustRightInd w:val="0"/>
      <w:ind w:firstLine="720"/>
    </w:pPr>
    <w:rPr>
      <w:rFonts w:ascii="Times New Roman" w:eastAsiaTheme="minorHAnsi" w:hAnsi="Times New Roman"/>
      <w:color w:val="000000"/>
      <w:sz w:val="24"/>
      <w:szCs w:val="24"/>
      <w:lang w:val="lt-LT" w:eastAsia="en-US"/>
    </w:rPr>
  </w:style>
  <w:style w:type="paragraph" w:customStyle="1" w:styleId="Textbodyindent">
    <w:name w:val="Text body indent"/>
    <w:basedOn w:val="Standard"/>
    <w:rsid w:val="00252E86"/>
    <w:pPr>
      <w:widowControl/>
      <w:spacing w:after="120" w:line="276" w:lineRule="auto"/>
      <w:ind w:left="283"/>
    </w:pPr>
    <w:rPr>
      <w:rFonts w:ascii="Calibri" w:eastAsia="Calibri" w:hAnsi="Calibri" w:cs="Times New Roman"/>
      <w:sz w:val="22"/>
      <w:szCs w:val="22"/>
      <w:lang w:eastAsia="en-US" w:bidi="ar-SA"/>
    </w:rPr>
  </w:style>
  <w:style w:type="numbering" w:customStyle="1" w:styleId="Sraonra1">
    <w:name w:val="Sąrašo nėra1"/>
    <w:next w:val="NoList"/>
    <w:uiPriority w:val="99"/>
    <w:semiHidden/>
    <w:unhideWhenUsed/>
    <w:rsid w:val="00252E86"/>
  </w:style>
  <w:style w:type="paragraph" w:customStyle="1" w:styleId="Footnote">
    <w:name w:val="Footnote"/>
    <w:aliases w:val="Text"/>
    <w:basedOn w:val="FootnoteText"/>
    <w:rsid w:val="00252E86"/>
    <w:rPr>
      <w:sz w:val="18"/>
    </w:rPr>
  </w:style>
  <w:style w:type="paragraph" w:styleId="FootnoteText">
    <w:name w:val="footnote text"/>
    <w:basedOn w:val="Normal"/>
    <w:link w:val="FootnoteTextChar"/>
    <w:uiPriority w:val="99"/>
    <w:rsid w:val="00252E86"/>
    <w:pPr>
      <w:ind w:firstLine="720"/>
    </w:pPr>
    <w:rPr>
      <w:sz w:val="20"/>
      <w:szCs w:val="20"/>
      <w:lang w:eastAsia="en-US"/>
    </w:rPr>
  </w:style>
  <w:style w:type="character" w:customStyle="1" w:styleId="FootnoteTextChar">
    <w:name w:val="Footnote Text Char"/>
    <w:basedOn w:val="DefaultParagraphFont"/>
    <w:link w:val="FootnoteText"/>
    <w:uiPriority w:val="99"/>
    <w:rsid w:val="00252E86"/>
    <w:rPr>
      <w:rFonts w:ascii="Times New Roman" w:eastAsia="Times New Roman" w:hAnsi="Times New Roman"/>
      <w:lang w:val="lt-LT" w:eastAsia="en-US"/>
    </w:rPr>
  </w:style>
  <w:style w:type="character" w:styleId="LineNumber">
    <w:name w:val="line number"/>
    <w:uiPriority w:val="99"/>
    <w:unhideWhenUsed/>
    <w:rsid w:val="00252E86"/>
  </w:style>
  <w:style w:type="table" w:styleId="TableGrid">
    <w:name w:val="Table Grid"/>
    <w:basedOn w:val="TableNormal"/>
    <w:uiPriority w:val="39"/>
    <w:rsid w:val="00252E86"/>
    <w:pPr>
      <w:ind w:firstLine="720"/>
    </w:pPr>
    <w:rPr>
      <w:sz w:val="22"/>
      <w:szCs w:val="22"/>
      <w:lang w:val="lt-LT"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DefaultParagraphFont"/>
    <w:link w:val="BodyText2"/>
    <w:uiPriority w:val="99"/>
    <w:rsid w:val="00252E86"/>
    <w:rPr>
      <w:rFonts w:ascii="Times New Roman" w:eastAsia="Times New Roman" w:hAnsi="Times New Roman"/>
      <w:sz w:val="24"/>
      <w:szCs w:val="24"/>
      <w:lang w:val="lt-LT" w:eastAsia="lt-LT"/>
    </w:rPr>
  </w:style>
  <w:style w:type="character" w:customStyle="1" w:styleId="BodyTextIndentChar">
    <w:name w:val="Body Text Indent Char"/>
    <w:basedOn w:val="DefaultParagraphFont"/>
    <w:link w:val="BodyTextIndent"/>
    <w:uiPriority w:val="99"/>
    <w:rsid w:val="00252E86"/>
    <w:rPr>
      <w:rFonts w:ascii="Times New Roman" w:eastAsia="Times New Roman" w:hAnsi="Times New Roman"/>
      <w:sz w:val="24"/>
      <w:szCs w:val="24"/>
      <w:lang w:eastAsia="en-US"/>
    </w:rPr>
  </w:style>
  <w:style w:type="paragraph" w:customStyle="1" w:styleId="Antrat21">
    <w:name w:val="Antraštė 21"/>
    <w:basedOn w:val="Normal"/>
    <w:next w:val="Normal"/>
    <w:semiHidden/>
    <w:unhideWhenUsed/>
    <w:qFormat/>
    <w:rsid w:val="00252E86"/>
    <w:pPr>
      <w:keepNext/>
      <w:keepLines/>
      <w:widowControl w:val="0"/>
      <w:suppressAutoHyphens/>
      <w:autoSpaceDN w:val="0"/>
      <w:spacing w:before="40"/>
      <w:ind w:firstLine="720"/>
      <w:outlineLvl w:val="1"/>
    </w:pPr>
    <w:rPr>
      <w:rFonts w:ascii="Calibri Light" w:hAnsi="Calibri Light"/>
      <w:color w:val="2E74B5"/>
      <w:kern w:val="3"/>
      <w:sz w:val="26"/>
      <w:szCs w:val="26"/>
      <w:lang w:eastAsia="en-US"/>
    </w:rPr>
  </w:style>
  <w:style w:type="character" w:customStyle="1" w:styleId="Perirtashipersaitas1">
    <w:name w:val="Peržiūrėtas hipersaitas1"/>
    <w:uiPriority w:val="99"/>
    <w:semiHidden/>
    <w:unhideWhenUsed/>
    <w:rsid w:val="00252E86"/>
    <w:rPr>
      <w:color w:val="954F72"/>
      <w:u w:val="single"/>
    </w:rPr>
  </w:style>
  <w:style w:type="paragraph" w:customStyle="1" w:styleId="Pavadinimas1">
    <w:name w:val="Pavadinimas1"/>
    <w:basedOn w:val="Standard"/>
    <w:next w:val="Normal"/>
    <w:uiPriority w:val="10"/>
    <w:semiHidden/>
    <w:qFormat/>
    <w:rsid w:val="00252E86"/>
    <w:pPr>
      <w:widowControl/>
      <w:pBdr>
        <w:bottom w:val="single" w:sz="8" w:space="4" w:color="4F81BD"/>
      </w:pBdr>
      <w:suppressAutoHyphens w:val="0"/>
      <w:spacing w:after="300"/>
      <w:contextualSpacing/>
      <w:textAlignment w:val="auto"/>
    </w:pPr>
    <w:rPr>
      <w:rFonts w:ascii="Cambria" w:eastAsia="Times New Roman" w:hAnsi="Cambria" w:cs="Times New Roman"/>
      <w:color w:val="17365D"/>
      <w:spacing w:val="5"/>
      <w:kern w:val="28"/>
      <w:sz w:val="52"/>
      <w:szCs w:val="52"/>
      <w:lang w:eastAsia="en-US" w:bidi="ar-SA"/>
    </w:rPr>
  </w:style>
  <w:style w:type="paragraph" w:customStyle="1" w:styleId="Paantrat1">
    <w:name w:val="Paantraštė1"/>
    <w:basedOn w:val="Standard"/>
    <w:next w:val="Normal"/>
    <w:uiPriority w:val="11"/>
    <w:semiHidden/>
    <w:qFormat/>
    <w:rsid w:val="00252E86"/>
    <w:pPr>
      <w:widowControl/>
      <w:suppressAutoHyphens w:val="0"/>
      <w:spacing w:after="200" w:line="276" w:lineRule="auto"/>
      <w:textAlignment w:val="auto"/>
    </w:pPr>
    <w:rPr>
      <w:rFonts w:ascii="Cambria" w:eastAsia="Times New Roman" w:hAnsi="Cambria" w:cs="Times New Roman"/>
      <w:i/>
      <w:iCs/>
      <w:color w:val="4F81BD"/>
      <w:spacing w:val="15"/>
      <w:kern w:val="0"/>
      <w:lang w:eastAsia="en-US" w:bidi="ar-SA"/>
    </w:rPr>
  </w:style>
  <w:style w:type="paragraph" w:customStyle="1" w:styleId="Textbody">
    <w:name w:val="Text body"/>
    <w:basedOn w:val="Standard"/>
    <w:rsid w:val="00252E86"/>
    <w:pPr>
      <w:widowControl/>
      <w:overflowPunct w:val="0"/>
      <w:autoSpaceDE w:val="0"/>
      <w:jc w:val="both"/>
      <w:textAlignment w:val="auto"/>
    </w:pPr>
    <w:rPr>
      <w:rFonts w:eastAsia="Times New Roman" w:cs="Times New Roman"/>
      <w:lang w:eastAsia="lt-LT" w:bidi="ar-SA"/>
    </w:rPr>
  </w:style>
  <w:style w:type="paragraph" w:customStyle="1" w:styleId="Index">
    <w:name w:val="Index"/>
    <w:basedOn w:val="Standard"/>
    <w:rsid w:val="00252E86"/>
    <w:pPr>
      <w:widowControl/>
      <w:suppressLineNumbers/>
      <w:textAlignment w:val="auto"/>
    </w:pPr>
    <w:rPr>
      <w:rFonts w:eastAsia="Times New Roman"/>
      <w:sz w:val="26"/>
      <w:szCs w:val="20"/>
      <w:lang w:eastAsia="lt-LT" w:bidi="ar-SA"/>
    </w:rPr>
  </w:style>
  <w:style w:type="character" w:customStyle="1" w:styleId="apple-converted-space">
    <w:name w:val="apple-converted-space"/>
    <w:rsid w:val="00252E86"/>
  </w:style>
  <w:style w:type="paragraph" w:styleId="BodyTextIndent3">
    <w:name w:val="Body Text Indent 3"/>
    <w:basedOn w:val="Normal"/>
    <w:link w:val="BodyTextIndent3Char"/>
    <w:unhideWhenUsed/>
    <w:rsid w:val="00252E86"/>
    <w:pPr>
      <w:autoSpaceDN w:val="0"/>
      <w:spacing w:after="120" w:line="254" w:lineRule="auto"/>
      <w:ind w:left="283" w:firstLine="720"/>
    </w:pPr>
    <w:rPr>
      <w:rFonts w:eastAsia="Calibri"/>
      <w:sz w:val="16"/>
      <w:szCs w:val="16"/>
      <w:lang w:eastAsia="en-US"/>
    </w:rPr>
  </w:style>
  <w:style w:type="character" w:customStyle="1" w:styleId="BodyTextIndent3Char">
    <w:name w:val="Body Text Indent 3 Char"/>
    <w:basedOn w:val="DefaultParagraphFont"/>
    <w:link w:val="BodyTextIndent3"/>
    <w:rsid w:val="00252E86"/>
    <w:rPr>
      <w:rFonts w:ascii="Times New Roman" w:hAnsi="Times New Roman"/>
      <w:sz w:val="16"/>
      <w:szCs w:val="16"/>
      <w:lang w:val="lt-LT" w:eastAsia="en-US"/>
    </w:rPr>
  </w:style>
  <w:style w:type="paragraph" w:customStyle="1" w:styleId="Pavadinimas2">
    <w:name w:val="Pavadinimas2"/>
    <w:basedOn w:val="Normal"/>
    <w:next w:val="Normal"/>
    <w:uiPriority w:val="10"/>
    <w:qFormat/>
    <w:rsid w:val="00252E86"/>
    <w:pPr>
      <w:autoSpaceDN w:val="0"/>
      <w:ind w:firstLine="720"/>
      <w:contextualSpacing/>
    </w:pPr>
    <w:rPr>
      <w:rFonts w:ascii="Calibri Light" w:hAnsi="Calibri Light"/>
      <w:spacing w:val="-10"/>
      <w:kern w:val="28"/>
      <w:sz w:val="56"/>
      <w:szCs w:val="56"/>
      <w:lang w:eastAsia="en-US"/>
    </w:rPr>
  </w:style>
  <w:style w:type="paragraph" w:customStyle="1" w:styleId="Paantrat2">
    <w:name w:val="Paantraštė2"/>
    <w:basedOn w:val="Normal"/>
    <w:next w:val="Normal"/>
    <w:uiPriority w:val="11"/>
    <w:qFormat/>
    <w:rsid w:val="00252E86"/>
    <w:pPr>
      <w:numPr>
        <w:ilvl w:val="1"/>
      </w:numPr>
      <w:autoSpaceDN w:val="0"/>
      <w:spacing w:line="254" w:lineRule="auto"/>
      <w:ind w:firstLine="720"/>
    </w:pPr>
    <w:rPr>
      <w:rFonts w:ascii="Calibri" w:hAnsi="Calibri"/>
      <w:color w:val="5A5A5A"/>
      <w:spacing w:val="15"/>
      <w:sz w:val="22"/>
      <w:szCs w:val="22"/>
      <w:lang w:eastAsia="en-US"/>
    </w:rPr>
  </w:style>
  <w:style w:type="paragraph" w:styleId="PlainText">
    <w:name w:val="Plain Text"/>
    <w:basedOn w:val="Normal"/>
    <w:link w:val="PlainTextChar"/>
    <w:unhideWhenUsed/>
    <w:rsid w:val="00252E86"/>
    <w:pPr>
      <w:autoSpaceDN w:val="0"/>
      <w:ind w:firstLine="720"/>
    </w:pPr>
    <w:rPr>
      <w:rFonts w:ascii="Consolas" w:eastAsia="Calibri" w:hAnsi="Consolas" w:cs="Consolas"/>
      <w:sz w:val="21"/>
      <w:szCs w:val="21"/>
      <w:lang w:eastAsia="en-US"/>
    </w:rPr>
  </w:style>
  <w:style w:type="character" w:customStyle="1" w:styleId="PlainTextChar">
    <w:name w:val="Plain Text Char"/>
    <w:basedOn w:val="DefaultParagraphFont"/>
    <w:link w:val="PlainText"/>
    <w:rsid w:val="00252E86"/>
    <w:rPr>
      <w:rFonts w:ascii="Consolas" w:hAnsi="Consolas" w:cs="Consolas"/>
      <w:sz w:val="21"/>
      <w:szCs w:val="21"/>
      <w:lang w:val="lt-LT" w:eastAsia="en-US"/>
    </w:rPr>
  </w:style>
  <w:style w:type="character" w:customStyle="1" w:styleId="PavadinimasDiagrama1">
    <w:name w:val="Pavadinimas Diagrama1"/>
    <w:uiPriority w:val="10"/>
    <w:rsid w:val="00252E86"/>
    <w:rPr>
      <w:rFonts w:ascii="Calibri Light" w:eastAsia="Times New Roman" w:hAnsi="Calibri Light" w:cs="Times New Roman" w:hint="default"/>
      <w:spacing w:val="-10"/>
      <w:kern w:val="28"/>
      <w:sz w:val="56"/>
      <w:szCs w:val="56"/>
    </w:rPr>
  </w:style>
  <w:style w:type="character" w:customStyle="1" w:styleId="PaantratDiagrama1">
    <w:name w:val="Paantraštė Diagrama1"/>
    <w:uiPriority w:val="11"/>
    <w:rsid w:val="00252E86"/>
    <w:rPr>
      <w:rFonts w:ascii="Calibri" w:eastAsia="Times New Roman" w:hAnsi="Calibri" w:hint="default"/>
      <w:color w:val="5A5A5A"/>
      <w:spacing w:val="15"/>
      <w:sz w:val="22"/>
    </w:rPr>
  </w:style>
  <w:style w:type="character" w:customStyle="1" w:styleId="PagrindinistekstasDiagrama1">
    <w:name w:val="Pagrindinis tekstas Diagrama1"/>
    <w:semiHidden/>
    <w:locked/>
    <w:rsid w:val="00252E86"/>
    <w:rPr>
      <w:rFonts w:ascii="SimSun" w:eastAsia="SimSun" w:hAnsi="SimSun" w:cs="F" w:hint="eastAsia"/>
      <w:kern w:val="3"/>
    </w:rPr>
  </w:style>
  <w:style w:type="character" w:customStyle="1" w:styleId="PagrindiniotekstotraukaDiagrama1">
    <w:name w:val="Pagrindinio teksto įtrauka Diagrama1"/>
    <w:semiHidden/>
    <w:locked/>
    <w:rsid w:val="00252E86"/>
    <w:rPr>
      <w:rFonts w:ascii="SimSun" w:eastAsia="SimSun" w:hAnsi="SimSun" w:cs="F" w:hint="eastAsia"/>
      <w:kern w:val="3"/>
    </w:rPr>
  </w:style>
  <w:style w:type="paragraph" w:styleId="BodyText31">
    <w:name w:val="Body Text 3"/>
    <w:basedOn w:val="Normal"/>
    <w:link w:val="BodyText3Char"/>
    <w:uiPriority w:val="99"/>
    <w:unhideWhenUsed/>
    <w:rsid w:val="00252E86"/>
    <w:pPr>
      <w:autoSpaceDN w:val="0"/>
      <w:spacing w:after="120" w:line="254" w:lineRule="auto"/>
      <w:ind w:firstLine="720"/>
    </w:pPr>
    <w:rPr>
      <w:rFonts w:eastAsia="Calibri"/>
      <w:sz w:val="16"/>
      <w:szCs w:val="16"/>
      <w:lang w:eastAsia="en-US"/>
    </w:rPr>
  </w:style>
  <w:style w:type="character" w:customStyle="1" w:styleId="BodyText3Char">
    <w:name w:val="Body Text 3 Char"/>
    <w:basedOn w:val="DefaultParagraphFont"/>
    <w:link w:val="BodyText31"/>
    <w:uiPriority w:val="99"/>
    <w:rsid w:val="00252E86"/>
    <w:rPr>
      <w:rFonts w:ascii="Times New Roman" w:hAnsi="Times New Roman"/>
      <w:sz w:val="16"/>
      <w:szCs w:val="16"/>
      <w:lang w:val="lt-LT" w:eastAsia="en-US"/>
    </w:rPr>
  </w:style>
  <w:style w:type="character" w:customStyle="1" w:styleId="BodyTextIndent2Char">
    <w:name w:val="Body Text Indent 2 Char"/>
    <w:basedOn w:val="DefaultParagraphFont"/>
    <w:link w:val="BodyTextIndent2"/>
    <w:rsid w:val="00252E86"/>
    <w:rPr>
      <w:rFonts w:ascii="Times New Roman" w:eastAsia="Times New Roman" w:hAnsi="Times New Roman"/>
      <w:sz w:val="24"/>
      <w:szCs w:val="24"/>
      <w:lang w:val="lt-LT" w:eastAsia="lt-LT"/>
    </w:rPr>
  </w:style>
  <w:style w:type="table" w:customStyle="1" w:styleId="Lentelstinklelis1">
    <w:name w:val="Lentelės tinklelis1"/>
    <w:basedOn w:val="TableNormal"/>
    <w:next w:val="TableGrid"/>
    <w:rsid w:val="00252E86"/>
    <w:pPr>
      <w:ind w:firstLine="720"/>
    </w:pPr>
    <w:rPr>
      <w:rFonts w:ascii="Times New Roman" w:eastAsia="Times New Roman" w:hAnsi="Times New Roman"/>
      <w:lang w:val="lt-LT"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
    <w:name w:val="List"/>
    <w:basedOn w:val="Textbody"/>
    <w:unhideWhenUsed/>
    <w:rsid w:val="00252E86"/>
    <w:pPr>
      <w:overflowPunct/>
      <w:autoSpaceDE/>
    </w:pPr>
    <w:rPr>
      <w:rFonts w:cs="Mangal"/>
      <w:sz w:val="26"/>
      <w:szCs w:val="20"/>
    </w:rPr>
  </w:style>
  <w:style w:type="numbering" w:customStyle="1" w:styleId="WWNum2">
    <w:name w:val="WWNum2"/>
    <w:rsid w:val="00252E86"/>
    <w:pPr>
      <w:numPr>
        <w:numId w:val="3"/>
      </w:numPr>
    </w:pPr>
  </w:style>
  <w:style w:type="numbering" w:customStyle="1" w:styleId="WWNum1">
    <w:name w:val="WWNum1"/>
    <w:rsid w:val="00252E86"/>
    <w:pPr>
      <w:numPr>
        <w:numId w:val="4"/>
      </w:numPr>
    </w:pPr>
  </w:style>
  <w:style w:type="character" w:customStyle="1" w:styleId="Antrat2Diagrama1">
    <w:name w:val="Antraštė 2 Diagrama1"/>
    <w:semiHidden/>
    <w:rsid w:val="00252E86"/>
    <w:rPr>
      <w:rFonts w:ascii="Calibri Light" w:eastAsia="Times New Roman" w:hAnsi="Calibri Light" w:cs="Times New Roman"/>
      <w:b/>
      <w:bCs/>
      <w:i/>
      <w:iCs/>
      <w:sz w:val="28"/>
      <w:szCs w:val="28"/>
      <w:lang w:eastAsia="en-US"/>
    </w:rPr>
  </w:style>
  <w:style w:type="character" w:styleId="FollowedHyperlink">
    <w:name w:val="FollowedHyperlink"/>
    <w:uiPriority w:val="99"/>
    <w:rsid w:val="00252E86"/>
    <w:rPr>
      <w:color w:val="954F72"/>
      <w:u w:val="single"/>
    </w:rPr>
  </w:style>
  <w:style w:type="character" w:customStyle="1" w:styleId="PavadinimasDiagrama2">
    <w:name w:val="Pavadinimas Diagrama2"/>
    <w:basedOn w:val="DefaultParagraphFont"/>
    <w:rsid w:val="00252E86"/>
    <w:rPr>
      <w:rFonts w:asciiTheme="majorHAnsi" w:eastAsiaTheme="majorEastAsia" w:hAnsiTheme="majorHAnsi" w:cstheme="majorBidi"/>
      <w:spacing w:val="-10"/>
      <w:kern w:val="28"/>
      <w:sz w:val="56"/>
      <w:szCs w:val="56"/>
      <w:lang w:eastAsia="lt-LT"/>
    </w:rPr>
  </w:style>
  <w:style w:type="character" w:customStyle="1" w:styleId="TitleChar1">
    <w:name w:val="Title Char1"/>
    <w:basedOn w:val="DefaultParagraphFont"/>
    <w:uiPriority w:val="10"/>
    <w:rsid w:val="00252E86"/>
    <w:rPr>
      <w:rFonts w:asciiTheme="majorHAnsi" w:eastAsiaTheme="majorEastAsia" w:hAnsiTheme="majorHAnsi" w:cstheme="majorBidi"/>
      <w:color w:val="17365D" w:themeColor="text2" w:themeShade="BF"/>
      <w:spacing w:val="5"/>
      <w:kern w:val="28"/>
      <w:sz w:val="52"/>
      <w:szCs w:val="52"/>
    </w:rPr>
  </w:style>
  <w:style w:type="character" w:customStyle="1" w:styleId="PaantratDiagrama2">
    <w:name w:val="Paantraštė Diagrama2"/>
    <w:basedOn w:val="DefaultParagraphFont"/>
    <w:rsid w:val="00252E86"/>
    <w:rPr>
      <w:rFonts w:eastAsiaTheme="minorEastAsia"/>
      <w:color w:val="5A5A5A" w:themeColor="text1" w:themeTint="A5"/>
      <w:spacing w:val="15"/>
      <w:lang w:eastAsia="lt-LT"/>
    </w:rPr>
  </w:style>
  <w:style w:type="character" w:customStyle="1" w:styleId="SubtitleChar1">
    <w:name w:val="Subtitle Char1"/>
    <w:basedOn w:val="DefaultParagraphFont"/>
    <w:uiPriority w:val="11"/>
    <w:rsid w:val="00252E86"/>
    <w:rPr>
      <w:rFonts w:asciiTheme="majorHAnsi" w:eastAsiaTheme="majorEastAsia" w:hAnsiTheme="majorHAnsi" w:cstheme="majorBidi"/>
      <w:i/>
      <w:iCs/>
      <w:color w:val="4F81BD" w:themeColor="accent1"/>
      <w:spacing w:val="15"/>
      <w:sz w:val="24"/>
      <w:szCs w:val="24"/>
    </w:rPr>
  </w:style>
  <w:style w:type="paragraph" w:customStyle="1" w:styleId="Framecontents">
    <w:name w:val="Frame contents"/>
    <w:basedOn w:val="Standard"/>
    <w:rsid w:val="00252E86"/>
    <w:pPr>
      <w:widowControl/>
      <w:spacing w:after="160" w:line="259" w:lineRule="auto"/>
    </w:pPr>
    <w:rPr>
      <w:rFonts w:eastAsia="Calibri" w:cs="Tahoma"/>
      <w:szCs w:val="22"/>
      <w:lang w:eastAsia="en-US" w:bidi="ar-SA"/>
    </w:rPr>
  </w:style>
  <w:style w:type="character" w:styleId="PlaceholderText">
    <w:name w:val="Placeholder Text"/>
    <w:basedOn w:val="DefaultParagraphFont"/>
    <w:uiPriority w:val="99"/>
    <w:semiHidden/>
    <w:rsid w:val="00252E86"/>
    <w:rPr>
      <w:color w:val="808080"/>
    </w:rPr>
  </w:style>
  <w:style w:type="paragraph" w:customStyle="1" w:styleId="tip">
    <w:name w:val="tip"/>
    <w:basedOn w:val="Normal"/>
    <w:rsid w:val="00252E86"/>
    <w:pPr>
      <w:spacing w:before="100" w:beforeAutospacing="1" w:after="100" w:afterAutospacing="1" w:line="276" w:lineRule="auto"/>
      <w:ind w:firstLine="1298"/>
    </w:pPr>
    <w:rPr>
      <w:lang w:val="en-US" w:eastAsia="en-US"/>
    </w:rPr>
  </w:style>
  <w:style w:type="paragraph" w:customStyle="1" w:styleId="tactin">
    <w:name w:val="tactin"/>
    <w:basedOn w:val="Normal"/>
    <w:rsid w:val="00252E86"/>
    <w:pPr>
      <w:spacing w:before="100" w:beforeAutospacing="1" w:after="100" w:afterAutospacing="1" w:line="276" w:lineRule="auto"/>
      <w:ind w:firstLine="1298"/>
    </w:pPr>
  </w:style>
  <w:style w:type="paragraph" w:customStyle="1" w:styleId="tartip">
    <w:name w:val="tartip"/>
    <w:basedOn w:val="Normal"/>
    <w:rsid w:val="00252E86"/>
    <w:pPr>
      <w:spacing w:before="100" w:beforeAutospacing="1" w:after="100" w:afterAutospacing="1" w:line="276" w:lineRule="auto"/>
      <w:ind w:firstLine="1298"/>
    </w:pPr>
  </w:style>
  <w:style w:type="paragraph" w:customStyle="1" w:styleId="n">
    <w:name w:val="n"/>
    <w:basedOn w:val="Normal"/>
    <w:rsid w:val="00252E86"/>
    <w:pPr>
      <w:spacing w:before="100" w:beforeAutospacing="1" w:after="100" w:afterAutospacing="1" w:line="276" w:lineRule="auto"/>
      <w:ind w:firstLine="1298"/>
    </w:pPr>
  </w:style>
  <w:style w:type="paragraph" w:customStyle="1" w:styleId="taltipfb">
    <w:name w:val="taltipfb"/>
    <w:basedOn w:val="Normal"/>
    <w:rsid w:val="00252E86"/>
    <w:pPr>
      <w:spacing w:before="100" w:beforeAutospacing="1" w:after="100" w:afterAutospacing="1" w:line="276" w:lineRule="auto"/>
      <w:ind w:firstLine="1298"/>
    </w:pPr>
  </w:style>
  <w:style w:type="paragraph" w:customStyle="1" w:styleId="tartin">
    <w:name w:val="tartin"/>
    <w:basedOn w:val="Normal"/>
    <w:rsid w:val="00252E86"/>
    <w:pPr>
      <w:spacing w:before="100" w:beforeAutospacing="1" w:after="100" w:afterAutospacing="1" w:line="276" w:lineRule="auto"/>
      <w:ind w:firstLine="1298"/>
    </w:pPr>
  </w:style>
  <w:style w:type="character" w:customStyle="1" w:styleId="bkg-highlight-red">
    <w:name w:val="bkg-highlight-red"/>
    <w:basedOn w:val="DefaultParagraphFont"/>
    <w:rsid w:val="00252E86"/>
  </w:style>
  <w:style w:type="character" w:customStyle="1" w:styleId="Headerorfooter">
    <w:name w:val="Header or footer_"/>
    <w:basedOn w:val="DefaultParagraphFont"/>
    <w:rsid w:val="00252E86"/>
    <w:rPr>
      <w:rFonts w:ascii="Century Gothic" w:eastAsia="Century Gothic" w:hAnsi="Century Gothic" w:cs="Century Gothic"/>
      <w:b w:val="0"/>
      <w:bCs w:val="0"/>
      <w:i w:val="0"/>
      <w:iCs w:val="0"/>
      <w:smallCaps w:val="0"/>
      <w:strike w:val="0"/>
      <w:sz w:val="18"/>
      <w:szCs w:val="18"/>
      <w:u w:val="none"/>
    </w:rPr>
  </w:style>
  <w:style w:type="character" w:customStyle="1" w:styleId="Headerorfooter0">
    <w:name w:val="Header or footer"/>
    <w:basedOn w:val="Headerorfooter"/>
    <w:rsid w:val="00252E86"/>
    <w:rPr>
      <w:rFonts w:ascii="Century Gothic" w:eastAsia="Century Gothic" w:hAnsi="Century Gothic" w:cs="Century Gothic"/>
      <w:b w:val="0"/>
      <w:bCs w:val="0"/>
      <w:i w:val="0"/>
      <w:iCs w:val="0"/>
      <w:smallCaps w:val="0"/>
      <w:strike w:val="0"/>
      <w:color w:val="000000"/>
      <w:spacing w:val="0"/>
      <w:w w:val="100"/>
      <w:position w:val="0"/>
      <w:sz w:val="18"/>
      <w:szCs w:val="18"/>
      <w:u w:val="none"/>
      <w:lang w:val="lt-LT" w:eastAsia="lt-LT" w:bidi="lt-LT"/>
    </w:rPr>
  </w:style>
  <w:style w:type="character" w:customStyle="1" w:styleId="Bodytext2Italic">
    <w:name w:val="Body text (2) + Italic"/>
    <w:basedOn w:val="Bodytext20"/>
    <w:rsid w:val="00252E8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rsid w:val="00252E86"/>
    <w:rPr>
      <w:rFonts w:ascii="CordiaUPC" w:eastAsia="CordiaUPC" w:hAnsi="CordiaUPC" w:cs="CordiaUPC"/>
      <w:sz w:val="80"/>
      <w:szCs w:val="80"/>
      <w:shd w:val="clear" w:color="auto" w:fill="FFFFFF"/>
    </w:rPr>
  </w:style>
  <w:style w:type="character" w:customStyle="1" w:styleId="Bodytext2115pt">
    <w:name w:val="Body text (2) + 11.5 pt"/>
    <w:basedOn w:val="Bodytext20"/>
    <w:rsid w:val="00252E86"/>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odytext2CenturyGothic95pt">
    <w:name w:val="Body text (2) + Century Gothic.9.5 pt"/>
    <w:basedOn w:val="Bodytext20"/>
    <w:rsid w:val="00252E86"/>
    <w:rPr>
      <w:rFonts w:ascii="Century Gothic" w:eastAsia="Century Gothic" w:hAnsi="Century Gothic" w:cs="Century Gothic"/>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211pt">
    <w:name w:val="Body text (2) + 11 pt"/>
    <w:basedOn w:val="Bodytext20"/>
    <w:rsid w:val="00252E86"/>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Bodytext40">
    <w:name w:val="Body text (4)"/>
    <w:basedOn w:val="Normal"/>
    <w:link w:val="Bodytext4"/>
    <w:rsid w:val="00252E86"/>
    <w:pPr>
      <w:widowControl w:val="0"/>
      <w:shd w:val="clear" w:color="auto" w:fill="FFFFFF"/>
      <w:spacing w:after="660" w:line="0" w:lineRule="atLeast"/>
      <w:ind w:firstLine="1298"/>
      <w:jc w:val="right"/>
    </w:pPr>
    <w:rPr>
      <w:rFonts w:ascii="CordiaUPC" w:eastAsia="CordiaUPC" w:hAnsi="CordiaUPC" w:cs="CordiaUPC"/>
      <w:sz w:val="80"/>
      <w:szCs w:val="80"/>
      <w:lang w:val="en-GB" w:eastAsia="en-GB"/>
    </w:rPr>
  </w:style>
  <w:style w:type="paragraph" w:styleId="Revision">
    <w:name w:val="Revision"/>
    <w:hidden/>
    <w:uiPriority w:val="99"/>
    <w:semiHidden/>
    <w:rsid w:val="000C727C"/>
    <w:rPr>
      <w:rFonts w:ascii="Times New Roman" w:eastAsia="Times New Roman" w:hAnsi="Times New Roman"/>
      <w:sz w:val="24"/>
      <w:szCs w:val="24"/>
      <w:lang w:val="lt-LT" w:eastAsia="lt-LT"/>
    </w:rPr>
  </w:style>
  <w:style w:type="character" w:styleId="FootnoteReference">
    <w:name w:val="footnote reference"/>
    <w:basedOn w:val="DefaultParagraphFont"/>
    <w:uiPriority w:val="99"/>
    <w:semiHidden/>
    <w:unhideWhenUsed/>
    <w:rsid w:val="00FC389C"/>
    <w:rPr>
      <w:vertAlign w:val="superscript"/>
    </w:rPr>
  </w:style>
  <w:style w:type="character" w:customStyle="1" w:styleId="CharStyle5">
    <w:name w:val="Char Style 5"/>
    <w:basedOn w:val="DefaultParagraphFont"/>
    <w:link w:val="Style4"/>
    <w:uiPriority w:val="99"/>
    <w:rsid w:val="0081523B"/>
    <w:rPr>
      <w:shd w:val="clear" w:color="auto" w:fill="FFFFFF"/>
    </w:rPr>
  </w:style>
  <w:style w:type="paragraph" w:customStyle="1" w:styleId="Style4">
    <w:name w:val="Style 4"/>
    <w:basedOn w:val="Normal"/>
    <w:link w:val="CharStyle5"/>
    <w:uiPriority w:val="99"/>
    <w:rsid w:val="0081523B"/>
    <w:pPr>
      <w:widowControl w:val="0"/>
      <w:shd w:val="clear" w:color="auto" w:fill="FFFFFF"/>
      <w:spacing w:line="312" w:lineRule="exact"/>
      <w:ind w:firstLine="260"/>
    </w:pPr>
    <w:rPr>
      <w:rFonts w:ascii="Calibri" w:eastAsia="Calibri" w:hAnsi="Calibri"/>
      <w:sz w:val="20"/>
      <w:szCs w:val="20"/>
      <w:lang w:val="en-GB" w:eastAsia="en-GB"/>
    </w:rPr>
  </w:style>
  <w:style w:type="character" w:customStyle="1" w:styleId="CharStyle25">
    <w:name w:val="Char Style 25"/>
    <w:basedOn w:val="DefaultParagraphFont"/>
    <w:link w:val="Style2"/>
    <w:uiPriority w:val="99"/>
    <w:rsid w:val="0081523B"/>
    <w:rPr>
      <w:shd w:val="clear" w:color="auto" w:fill="FFFFFF"/>
    </w:rPr>
  </w:style>
  <w:style w:type="paragraph" w:customStyle="1" w:styleId="Style2">
    <w:name w:val="Style 2"/>
    <w:basedOn w:val="Normal"/>
    <w:link w:val="CharStyle25"/>
    <w:uiPriority w:val="99"/>
    <w:rsid w:val="0081523B"/>
    <w:pPr>
      <w:widowControl w:val="0"/>
      <w:shd w:val="clear" w:color="auto" w:fill="FFFFFF"/>
      <w:spacing w:line="240" w:lineRule="atLeast"/>
      <w:ind w:hanging="1700"/>
      <w:jc w:val="right"/>
    </w:pPr>
    <w:rPr>
      <w:rFonts w:ascii="Calibri" w:eastAsia="Calibri" w:hAnsi="Calibri"/>
      <w:sz w:val="20"/>
      <w:szCs w:val="20"/>
      <w:lang w:val="en-GB" w:eastAsia="en-GB"/>
    </w:rPr>
  </w:style>
  <w:style w:type="character" w:customStyle="1" w:styleId="CharStyle46">
    <w:name w:val="Char Style 46"/>
    <w:basedOn w:val="CharStyle25"/>
    <w:uiPriority w:val="99"/>
    <w:rsid w:val="0081523B"/>
    <w:rPr>
      <w:b/>
      <w:bCs/>
      <w:sz w:val="22"/>
      <w:szCs w:val="22"/>
      <w:u w:val="none"/>
      <w:shd w:val="clear" w:color="auto" w:fill="FFFFFF"/>
    </w:rPr>
  </w:style>
  <w:style w:type="character" w:customStyle="1" w:styleId="CharStyle48">
    <w:name w:val="Char Style 48"/>
    <w:basedOn w:val="DefaultParagraphFont"/>
    <w:link w:val="Style47"/>
    <w:uiPriority w:val="99"/>
    <w:rsid w:val="0081523B"/>
    <w:rPr>
      <w:b/>
      <w:bCs/>
      <w:shd w:val="clear" w:color="auto" w:fill="FFFFFF"/>
    </w:rPr>
  </w:style>
  <w:style w:type="character" w:customStyle="1" w:styleId="CharStyle49">
    <w:name w:val="Char Style 49"/>
    <w:basedOn w:val="CharStyle48"/>
    <w:uiPriority w:val="99"/>
    <w:rsid w:val="0081523B"/>
    <w:rPr>
      <w:b/>
      <w:bCs/>
      <w:shd w:val="clear" w:color="auto" w:fill="FFFFFF"/>
    </w:rPr>
  </w:style>
  <w:style w:type="character" w:customStyle="1" w:styleId="CharStyle50">
    <w:name w:val="Char Style 50"/>
    <w:basedOn w:val="CharStyle48"/>
    <w:uiPriority w:val="99"/>
    <w:rsid w:val="0081523B"/>
    <w:rPr>
      <w:b/>
      <w:bCs/>
      <w:sz w:val="15"/>
      <w:szCs w:val="15"/>
      <w:shd w:val="clear" w:color="auto" w:fill="FFFFFF"/>
    </w:rPr>
  </w:style>
  <w:style w:type="character" w:customStyle="1" w:styleId="CharStyle51">
    <w:name w:val="Char Style 51"/>
    <w:basedOn w:val="CharStyle25"/>
    <w:uiPriority w:val="99"/>
    <w:rsid w:val="0081523B"/>
    <w:rPr>
      <w:sz w:val="19"/>
      <w:szCs w:val="19"/>
      <w:u w:val="none"/>
      <w:shd w:val="clear" w:color="auto" w:fill="FFFFFF"/>
    </w:rPr>
  </w:style>
  <w:style w:type="paragraph" w:customStyle="1" w:styleId="Style47">
    <w:name w:val="Style 47"/>
    <w:basedOn w:val="Normal"/>
    <w:link w:val="CharStyle48"/>
    <w:uiPriority w:val="99"/>
    <w:rsid w:val="0081523B"/>
    <w:pPr>
      <w:widowControl w:val="0"/>
      <w:shd w:val="clear" w:color="auto" w:fill="FFFFFF"/>
      <w:spacing w:before="240" w:line="278" w:lineRule="exact"/>
      <w:ind w:hanging="1700"/>
    </w:pPr>
    <w:rPr>
      <w:rFonts w:ascii="Calibri" w:eastAsia="Calibri" w:hAnsi="Calibri"/>
      <w:b/>
      <w:bCs/>
      <w:sz w:val="20"/>
      <w:szCs w:val="20"/>
      <w:lang w:val="en-GB" w:eastAsia="en-GB"/>
    </w:rPr>
  </w:style>
  <w:style w:type="character" w:customStyle="1" w:styleId="CharStyle53">
    <w:name w:val="Char Style 53"/>
    <w:basedOn w:val="CharStyle25"/>
    <w:uiPriority w:val="99"/>
    <w:rsid w:val="0081523B"/>
    <w:rPr>
      <w:b/>
      <w:bCs/>
      <w:sz w:val="22"/>
      <w:szCs w:val="22"/>
      <w:u w:val="none"/>
      <w:shd w:val="clear" w:color="auto" w:fill="FFFFFF"/>
    </w:rPr>
  </w:style>
  <w:style w:type="character" w:customStyle="1" w:styleId="CharStyle55">
    <w:name w:val="Char Style 55"/>
    <w:basedOn w:val="CharStyle25"/>
    <w:uiPriority w:val="99"/>
    <w:rsid w:val="0081523B"/>
    <w:rPr>
      <w:b/>
      <w:bCs/>
      <w:i/>
      <w:iCs/>
      <w:sz w:val="22"/>
      <w:szCs w:val="22"/>
      <w:u w:val="none"/>
      <w:shd w:val="clear" w:color="auto" w:fill="FFFFFF"/>
    </w:rPr>
  </w:style>
  <w:style w:type="character" w:customStyle="1" w:styleId="CharStyle56">
    <w:name w:val="Char Style 56"/>
    <w:basedOn w:val="CharStyle25"/>
    <w:uiPriority w:val="99"/>
    <w:rsid w:val="0081523B"/>
    <w:rPr>
      <w:i/>
      <w:iCs/>
      <w:sz w:val="22"/>
      <w:szCs w:val="22"/>
      <w:u w:val="none"/>
      <w:shd w:val="clear" w:color="auto" w:fill="FFFFFF"/>
    </w:rPr>
  </w:style>
  <w:style w:type="character" w:customStyle="1" w:styleId="CharStyle60">
    <w:name w:val="Char Style 60"/>
    <w:basedOn w:val="CharStyle25"/>
    <w:uiPriority w:val="99"/>
    <w:rsid w:val="0081523B"/>
    <w:rPr>
      <w:sz w:val="22"/>
      <w:szCs w:val="22"/>
      <w:u w:val="single"/>
      <w:shd w:val="clear" w:color="auto" w:fill="FFFFFF"/>
    </w:rPr>
  </w:style>
  <w:style w:type="character" w:customStyle="1" w:styleId="CharStyle61">
    <w:name w:val="Char Style 61"/>
    <w:basedOn w:val="CharStyle25"/>
    <w:uiPriority w:val="99"/>
    <w:rsid w:val="0081523B"/>
    <w:rPr>
      <w:b/>
      <w:bCs/>
      <w:sz w:val="22"/>
      <w:szCs w:val="22"/>
      <w:u w:val="none"/>
      <w:shd w:val="clear" w:color="auto" w:fill="FFFFFF"/>
    </w:rPr>
  </w:style>
  <w:style w:type="character" w:customStyle="1" w:styleId="CharStyle73">
    <w:name w:val="Char Style 73"/>
    <w:basedOn w:val="DefaultParagraphFont"/>
    <w:uiPriority w:val="99"/>
    <w:rsid w:val="0081523B"/>
    <w:rPr>
      <w:b/>
      <w:bCs/>
      <w:i/>
      <w:iCs/>
      <w:shd w:val="clear" w:color="auto" w:fill="FFFFFF"/>
    </w:rPr>
  </w:style>
  <w:style w:type="character" w:customStyle="1" w:styleId="CharStyle75">
    <w:name w:val="Char Style 75"/>
    <w:basedOn w:val="CharStyle25"/>
    <w:uiPriority w:val="99"/>
    <w:rsid w:val="0081523B"/>
    <w:rPr>
      <w:b/>
      <w:bCs/>
      <w:sz w:val="22"/>
      <w:szCs w:val="22"/>
      <w:u w:val="none"/>
      <w:shd w:val="clear" w:color="auto" w:fill="FFFFFF"/>
    </w:rPr>
  </w:style>
  <w:style w:type="character" w:customStyle="1" w:styleId="CharStyle78">
    <w:name w:val="Char Style 78"/>
    <w:basedOn w:val="CharStyle25"/>
    <w:uiPriority w:val="99"/>
    <w:rsid w:val="0081523B"/>
    <w:rPr>
      <w:b/>
      <w:bCs/>
      <w:sz w:val="22"/>
      <w:szCs w:val="22"/>
      <w:u w:val="none"/>
      <w:shd w:val="clear" w:color="auto" w:fill="FFFFFF"/>
    </w:rPr>
  </w:style>
  <w:style w:type="character" w:customStyle="1" w:styleId="CharStyle83">
    <w:name w:val="Char Style 83"/>
    <w:basedOn w:val="CharStyle25"/>
    <w:uiPriority w:val="99"/>
    <w:rsid w:val="0081523B"/>
    <w:rPr>
      <w:b/>
      <w:bCs/>
      <w:sz w:val="22"/>
      <w:szCs w:val="22"/>
      <w:u w:val="none"/>
      <w:shd w:val="clear" w:color="auto" w:fill="FFFFFF"/>
    </w:rPr>
  </w:style>
  <w:style w:type="character" w:customStyle="1" w:styleId="CharStyle93">
    <w:name w:val="Char Style 93"/>
    <w:basedOn w:val="CharStyle25"/>
    <w:uiPriority w:val="99"/>
    <w:rsid w:val="0081523B"/>
    <w:rPr>
      <w:b/>
      <w:bCs/>
      <w:sz w:val="22"/>
      <w:szCs w:val="22"/>
      <w:u w:val="none"/>
      <w:shd w:val="clear" w:color="auto" w:fill="FFFFFF"/>
    </w:rPr>
  </w:style>
  <w:style w:type="character" w:customStyle="1" w:styleId="CharStyle100">
    <w:name w:val="Char Style 100"/>
    <w:basedOn w:val="CharStyle25"/>
    <w:link w:val="Style99"/>
    <w:uiPriority w:val="99"/>
    <w:rsid w:val="0081523B"/>
    <w:rPr>
      <w:i/>
      <w:iCs/>
      <w:sz w:val="22"/>
      <w:szCs w:val="22"/>
      <w:shd w:val="clear" w:color="auto" w:fill="FFFFFF"/>
    </w:rPr>
  </w:style>
  <w:style w:type="character" w:customStyle="1" w:styleId="CharStyle103">
    <w:name w:val="Char Style 103"/>
    <w:basedOn w:val="CharStyle25"/>
    <w:uiPriority w:val="99"/>
    <w:rsid w:val="0081523B"/>
    <w:rPr>
      <w:sz w:val="21"/>
      <w:szCs w:val="21"/>
      <w:shd w:val="clear" w:color="auto" w:fill="FFFFFF"/>
    </w:rPr>
  </w:style>
  <w:style w:type="paragraph" w:customStyle="1" w:styleId="Style99">
    <w:name w:val="Style 99"/>
    <w:basedOn w:val="Normal"/>
    <w:link w:val="CharStyle100"/>
    <w:uiPriority w:val="99"/>
    <w:rsid w:val="0081523B"/>
    <w:pPr>
      <w:widowControl w:val="0"/>
      <w:shd w:val="clear" w:color="auto" w:fill="FFFFFF"/>
      <w:spacing w:before="240" w:after="120" w:line="278" w:lineRule="exact"/>
      <w:ind w:hanging="360"/>
    </w:pPr>
    <w:rPr>
      <w:rFonts w:ascii="Calibri" w:eastAsia="Calibri" w:hAnsi="Calibri"/>
      <w:i/>
      <w:iCs/>
      <w:sz w:val="22"/>
      <w:szCs w:val="22"/>
      <w:lang w:val="en-GB" w:eastAsia="en-GB"/>
    </w:rPr>
  </w:style>
  <w:style w:type="character" w:customStyle="1" w:styleId="CharStyle22">
    <w:name w:val="Char Style 22"/>
    <w:basedOn w:val="DefaultParagraphFont"/>
    <w:link w:val="Style21"/>
    <w:uiPriority w:val="99"/>
    <w:rsid w:val="003408CE"/>
    <w:rPr>
      <w:shd w:val="clear" w:color="auto" w:fill="FFFFFF"/>
    </w:rPr>
  </w:style>
  <w:style w:type="paragraph" w:customStyle="1" w:styleId="Style21">
    <w:name w:val="Style 21"/>
    <w:basedOn w:val="Normal"/>
    <w:link w:val="CharStyle22"/>
    <w:uiPriority w:val="99"/>
    <w:rsid w:val="003408CE"/>
    <w:pPr>
      <w:widowControl w:val="0"/>
      <w:shd w:val="clear" w:color="auto" w:fill="FFFFFF"/>
      <w:spacing w:before="540" w:after="60" w:line="240" w:lineRule="atLeast"/>
      <w:ind w:hanging="120"/>
    </w:pPr>
    <w:rPr>
      <w:rFonts w:ascii="Calibri" w:eastAsia="Calibri" w:hAnsi="Calibri"/>
      <w:sz w:val="20"/>
      <w:szCs w:val="20"/>
      <w:lang w:val="en-GB" w:eastAsia="en-GB"/>
    </w:rPr>
  </w:style>
  <w:style w:type="character" w:customStyle="1" w:styleId="CharStyle95">
    <w:name w:val="Char Style 95"/>
    <w:basedOn w:val="DefaultParagraphFont"/>
    <w:link w:val="Style94"/>
    <w:uiPriority w:val="99"/>
    <w:rsid w:val="00630F2E"/>
    <w:rPr>
      <w:rFonts w:ascii="Arial" w:hAnsi="Arial" w:cs="Arial"/>
      <w:sz w:val="25"/>
      <w:szCs w:val="25"/>
      <w:shd w:val="clear" w:color="auto" w:fill="FFFFFF"/>
    </w:rPr>
  </w:style>
  <w:style w:type="paragraph" w:customStyle="1" w:styleId="Style94">
    <w:name w:val="Style 94"/>
    <w:basedOn w:val="Normal"/>
    <w:link w:val="CharStyle95"/>
    <w:uiPriority w:val="99"/>
    <w:rsid w:val="00630F2E"/>
    <w:pPr>
      <w:widowControl w:val="0"/>
      <w:shd w:val="clear" w:color="auto" w:fill="FFFFFF"/>
      <w:spacing w:before="1500" w:after="300" w:line="240" w:lineRule="atLeast"/>
      <w:ind w:hanging="640"/>
    </w:pPr>
    <w:rPr>
      <w:rFonts w:ascii="Arial" w:eastAsia="Calibri" w:hAnsi="Arial" w:cs="Arial"/>
      <w:sz w:val="25"/>
      <w:szCs w:val="25"/>
      <w:lang w:val="en-GB" w:eastAsia="en-GB"/>
    </w:rPr>
  </w:style>
  <w:style w:type="character" w:customStyle="1" w:styleId="CharStyle101">
    <w:name w:val="Char Style 101"/>
    <w:basedOn w:val="CharStyle95"/>
    <w:uiPriority w:val="99"/>
    <w:rsid w:val="00630F2E"/>
    <w:rPr>
      <w:rFonts w:ascii="Arial" w:hAnsi="Arial" w:cs="Arial"/>
      <w:i/>
      <w:iCs/>
      <w:sz w:val="25"/>
      <w:szCs w:val="25"/>
      <w:u w:val="none"/>
      <w:shd w:val="clear" w:color="auto" w:fill="FFFFFF"/>
    </w:rPr>
  </w:style>
  <w:style w:type="character" w:customStyle="1" w:styleId="CharStyle104">
    <w:name w:val="Char Style 104"/>
    <w:basedOn w:val="DefaultParagraphFont"/>
    <w:link w:val="Style109"/>
    <w:uiPriority w:val="99"/>
    <w:rsid w:val="00630F2E"/>
    <w:rPr>
      <w:rFonts w:ascii="Arial" w:hAnsi="Arial" w:cs="Arial"/>
      <w:sz w:val="25"/>
      <w:szCs w:val="25"/>
      <w:shd w:val="clear" w:color="auto" w:fill="FFFFFF"/>
    </w:rPr>
  </w:style>
  <w:style w:type="paragraph" w:customStyle="1" w:styleId="Style109">
    <w:name w:val="Style 109"/>
    <w:basedOn w:val="Normal"/>
    <w:link w:val="CharStyle104"/>
    <w:uiPriority w:val="99"/>
    <w:rsid w:val="00630F2E"/>
    <w:pPr>
      <w:widowControl w:val="0"/>
      <w:shd w:val="clear" w:color="auto" w:fill="FFFFFF"/>
      <w:spacing w:after="300" w:line="283" w:lineRule="exact"/>
    </w:pPr>
    <w:rPr>
      <w:rFonts w:ascii="Arial" w:eastAsia="Calibri" w:hAnsi="Arial" w:cs="Arial"/>
      <w:sz w:val="25"/>
      <w:szCs w:val="25"/>
      <w:lang w:val="en-GB" w:eastAsia="en-GB"/>
    </w:rPr>
  </w:style>
  <w:style w:type="character" w:customStyle="1" w:styleId="CharStyle111">
    <w:name w:val="Char Style 111"/>
    <w:basedOn w:val="CharStyle95"/>
    <w:uiPriority w:val="99"/>
    <w:rsid w:val="00630F2E"/>
    <w:rPr>
      <w:rFonts w:ascii="Arial" w:hAnsi="Arial" w:cs="Arial"/>
      <w:sz w:val="25"/>
      <w:szCs w:val="25"/>
      <w:u w:val="none"/>
      <w:shd w:val="clear" w:color="auto" w:fill="FFFFFF"/>
    </w:rPr>
  </w:style>
  <w:style w:type="character" w:customStyle="1" w:styleId="CharStyle133">
    <w:name w:val="Char Style 133"/>
    <w:basedOn w:val="DefaultParagraphFont"/>
    <w:uiPriority w:val="99"/>
    <w:rsid w:val="00A15474"/>
    <w:rPr>
      <w:i/>
      <w:iCs/>
      <w:sz w:val="20"/>
      <w:szCs w:val="20"/>
      <w:u w:val="none"/>
      <w:shd w:val="clear" w:color="auto" w:fill="FFFFFF"/>
    </w:rPr>
  </w:style>
  <w:style w:type="character" w:customStyle="1" w:styleId="CharStyle136">
    <w:name w:val="Char Style 136"/>
    <w:basedOn w:val="DefaultParagraphFont"/>
    <w:uiPriority w:val="99"/>
    <w:rsid w:val="00A15474"/>
    <w:rPr>
      <w:b/>
      <w:bCs/>
      <w:i/>
      <w:iCs/>
      <w:sz w:val="20"/>
      <w:szCs w:val="20"/>
      <w:u w:val="none"/>
      <w:shd w:val="clear" w:color="auto" w:fill="FFFFFF"/>
    </w:rPr>
  </w:style>
  <w:style w:type="character" w:customStyle="1" w:styleId="Bodytext4NotBold">
    <w:name w:val="Body text (4) + Not Bold"/>
    <w:basedOn w:val="DefaultParagraphFont"/>
    <w:rsid w:val="00E707EC"/>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Bold">
    <w:name w:val="Body text (3) + Bold"/>
    <w:basedOn w:val="Bodytext3"/>
    <w:rsid w:val="00E707EC"/>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4NotBoldItalic">
    <w:name w:val="Body text (4) + Not Bold.Italic"/>
    <w:basedOn w:val="Bodytext4"/>
    <w:rsid w:val="00E707EC"/>
    <w:rPr>
      <w:rFonts w:ascii="Times New Roman" w:eastAsia="Times New Roman" w:hAnsi="Times New Roman" w:cs="Times New Roman"/>
      <w:b/>
      <w:bCs/>
      <w:i/>
      <w:iCs/>
      <w:color w:val="000000"/>
      <w:spacing w:val="0"/>
      <w:w w:val="100"/>
      <w:position w:val="0"/>
      <w:sz w:val="24"/>
      <w:szCs w:val="24"/>
      <w:shd w:val="clear" w:color="auto" w:fill="FFFFFF"/>
      <w:lang w:val="lt-LT" w:eastAsia="lt-LT" w:bidi="lt-LT"/>
    </w:rPr>
  </w:style>
  <w:style w:type="character" w:customStyle="1" w:styleId="Bodytext3Exact">
    <w:name w:val="Body text (3) Exact"/>
    <w:basedOn w:val="DefaultParagraphFont"/>
    <w:rsid w:val="00E707EC"/>
    <w:rPr>
      <w:b w:val="0"/>
      <w:bCs w:val="0"/>
      <w:i w:val="0"/>
      <w:iCs w:val="0"/>
      <w:smallCaps w:val="0"/>
      <w:strike w:val="0"/>
      <w:u w:val="none"/>
    </w:rPr>
  </w:style>
  <w:style w:type="character" w:customStyle="1" w:styleId="Bodytext3BoldExact">
    <w:name w:val="Body text (3) + Bold Exact"/>
    <w:basedOn w:val="Bodytext3"/>
    <w:rsid w:val="00E707EC"/>
    <w:rPr>
      <w:rFonts w:ascii="Times New Roman" w:eastAsia="Times New Roman" w:hAnsi="Times New Roman"/>
      <w:b/>
      <w:bCs/>
      <w:i w:val="0"/>
      <w:iCs w:val="0"/>
      <w:smallCaps w:val="0"/>
      <w:strike w:val="0"/>
      <w:sz w:val="24"/>
      <w:szCs w:val="24"/>
      <w:u w:val="none"/>
      <w:shd w:val="clear" w:color="auto" w:fill="FFFFFF"/>
    </w:rPr>
  </w:style>
  <w:style w:type="character" w:customStyle="1" w:styleId="CharStyle137">
    <w:name w:val="Char Style 137"/>
    <w:basedOn w:val="DefaultParagraphFont"/>
    <w:uiPriority w:val="99"/>
    <w:rsid w:val="007B0F39"/>
    <w:rPr>
      <w:i/>
      <w:iCs/>
      <w:sz w:val="20"/>
      <w:szCs w:val="20"/>
      <w:u w:val="none"/>
      <w:shd w:val="clear" w:color="auto" w:fill="FFFFFF"/>
    </w:rPr>
  </w:style>
  <w:style w:type="character" w:customStyle="1" w:styleId="CharStyle10">
    <w:name w:val="Char Style 10"/>
    <w:basedOn w:val="CharStyle5"/>
    <w:link w:val="Style9"/>
    <w:uiPriority w:val="99"/>
    <w:rsid w:val="00A874C1"/>
    <w:rPr>
      <w:i/>
      <w:iCs/>
      <w:shd w:val="clear" w:color="auto" w:fill="FFFFFF"/>
    </w:rPr>
  </w:style>
  <w:style w:type="paragraph" w:customStyle="1" w:styleId="Style9">
    <w:name w:val="Style 9"/>
    <w:basedOn w:val="Normal"/>
    <w:link w:val="CharStyle10"/>
    <w:uiPriority w:val="99"/>
    <w:rsid w:val="00A874C1"/>
    <w:pPr>
      <w:widowControl w:val="0"/>
      <w:shd w:val="clear" w:color="auto" w:fill="FFFFFF"/>
      <w:spacing w:after="60" w:line="240" w:lineRule="atLeast"/>
    </w:pPr>
    <w:rPr>
      <w:rFonts w:ascii="Calibri" w:eastAsia="Calibri" w:hAnsi="Calibri"/>
      <w:i/>
      <w:iCs/>
      <w:sz w:val="20"/>
      <w:szCs w:val="20"/>
      <w:lang w:val="en-GB" w:eastAsia="en-GB"/>
    </w:rPr>
  </w:style>
  <w:style w:type="character" w:customStyle="1" w:styleId="Bodytext2BoldItalic">
    <w:name w:val="Body text (2) + Bold.Italic"/>
    <w:basedOn w:val="Bodytext20"/>
    <w:rsid w:val="00B85D8F"/>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CharStyle151">
    <w:name w:val="Char Style 151"/>
    <w:basedOn w:val="DefaultParagraphFont"/>
    <w:link w:val="Style145"/>
    <w:uiPriority w:val="99"/>
    <w:rsid w:val="00AF252A"/>
    <w:rPr>
      <w:sz w:val="18"/>
      <w:szCs w:val="18"/>
      <w:shd w:val="clear" w:color="auto" w:fill="FFFFFF"/>
    </w:rPr>
  </w:style>
  <w:style w:type="paragraph" w:customStyle="1" w:styleId="Style145">
    <w:name w:val="Style 145"/>
    <w:basedOn w:val="Normal"/>
    <w:link w:val="CharStyle151"/>
    <w:uiPriority w:val="99"/>
    <w:rsid w:val="00AF252A"/>
    <w:pPr>
      <w:widowControl w:val="0"/>
      <w:shd w:val="clear" w:color="auto" w:fill="FFFFFF"/>
      <w:spacing w:after="120" w:line="240" w:lineRule="atLeast"/>
      <w:jc w:val="center"/>
    </w:pPr>
    <w:rPr>
      <w:rFonts w:ascii="Calibri" w:eastAsia="Calibri" w:hAnsi="Calibri"/>
      <w:sz w:val="18"/>
      <w:szCs w:val="18"/>
      <w:lang w:val="en-GB" w:eastAsia="en-GB"/>
    </w:rPr>
  </w:style>
  <w:style w:type="character" w:customStyle="1" w:styleId="CharStyle84">
    <w:name w:val="Char Style 84"/>
    <w:basedOn w:val="CharStyle25"/>
    <w:uiPriority w:val="99"/>
    <w:rsid w:val="00AF252A"/>
    <w:rPr>
      <w:sz w:val="21"/>
      <w:szCs w:val="21"/>
      <w:u w:val="none"/>
      <w:shd w:val="clear" w:color="auto" w:fill="FFFFFF"/>
    </w:rPr>
  </w:style>
  <w:style w:type="character" w:customStyle="1" w:styleId="CharStyle28">
    <w:name w:val="Char Style 28"/>
    <w:basedOn w:val="DefaultParagraphFont"/>
    <w:link w:val="Style27"/>
    <w:uiPriority w:val="99"/>
    <w:rsid w:val="00AF252A"/>
    <w:rPr>
      <w:i/>
      <w:iCs/>
      <w:sz w:val="21"/>
      <w:szCs w:val="21"/>
      <w:shd w:val="clear" w:color="auto" w:fill="FFFFFF"/>
    </w:rPr>
  </w:style>
  <w:style w:type="paragraph" w:customStyle="1" w:styleId="Style27">
    <w:name w:val="Style 27"/>
    <w:basedOn w:val="Normal"/>
    <w:link w:val="CharStyle28"/>
    <w:uiPriority w:val="99"/>
    <w:rsid w:val="00AF252A"/>
    <w:pPr>
      <w:widowControl w:val="0"/>
      <w:shd w:val="clear" w:color="auto" w:fill="FFFFFF"/>
      <w:spacing w:line="288" w:lineRule="exact"/>
    </w:pPr>
    <w:rPr>
      <w:rFonts w:ascii="Calibri" w:eastAsia="Calibri" w:hAnsi="Calibri"/>
      <w:i/>
      <w:iCs/>
      <w:sz w:val="21"/>
      <w:szCs w:val="21"/>
      <w:lang w:val="en-GB" w:eastAsia="en-GB"/>
    </w:rPr>
  </w:style>
  <w:style w:type="character" w:customStyle="1" w:styleId="CharStyle30">
    <w:name w:val="Char Style 30"/>
    <w:basedOn w:val="DefaultParagraphFont"/>
    <w:link w:val="Style29"/>
    <w:uiPriority w:val="99"/>
    <w:rsid w:val="00AF252A"/>
    <w:rPr>
      <w:b/>
      <w:bCs/>
      <w:sz w:val="21"/>
      <w:szCs w:val="21"/>
      <w:shd w:val="clear" w:color="auto" w:fill="FFFFFF"/>
    </w:rPr>
  </w:style>
  <w:style w:type="paragraph" w:customStyle="1" w:styleId="Style29">
    <w:name w:val="Style 29"/>
    <w:basedOn w:val="Normal"/>
    <w:link w:val="CharStyle30"/>
    <w:uiPriority w:val="99"/>
    <w:rsid w:val="00AF252A"/>
    <w:pPr>
      <w:widowControl w:val="0"/>
      <w:shd w:val="clear" w:color="auto" w:fill="FFFFFF"/>
      <w:spacing w:line="288" w:lineRule="exact"/>
      <w:ind w:firstLine="640"/>
      <w:outlineLvl w:val="2"/>
    </w:pPr>
    <w:rPr>
      <w:rFonts w:ascii="Calibri" w:eastAsia="Calibri" w:hAnsi="Calibri"/>
      <w:b/>
      <w:bCs/>
      <w:sz w:val="21"/>
      <w:szCs w:val="21"/>
      <w:lang w:val="en-GB" w:eastAsia="en-GB"/>
    </w:rPr>
  </w:style>
  <w:style w:type="character" w:customStyle="1" w:styleId="CharStyle62">
    <w:name w:val="Char Style 62"/>
    <w:basedOn w:val="CharStyle10"/>
    <w:uiPriority w:val="99"/>
    <w:rsid w:val="00AF252A"/>
    <w:rPr>
      <w:i/>
      <w:iCs/>
      <w:sz w:val="21"/>
      <w:szCs w:val="21"/>
      <w:u w:val="none"/>
      <w:shd w:val="clear" w:color="auto" w:fill="FFFFFF"/>
    </w:rPr>
  </w:style>
  <w:style w:type="character" w:customStyle="1" w:styleId="CharStyle64">
    <w:name w:val="Char Style 64"/>
    <w:basedOn w:val="CharStyle10"/>
    <w:uiPriority w:val="99"/>
    <w:rsid w:val="00AF252A"/>
    <w:rPr>
      <w:b/>
      <w:bCs/>
      <w:i/>
      <w:iCs/>
      <w:sz w:val="21"/>
      <w:szCs w:val="21"/>
      <w:u w:val="none"/>
      <w:shd w:val="clear" w:color="auto" w:fill="FFFFFF"/>
    </w:rPr>
  </w:style>
  <w:style w:type="character" w:customStyle="1" w:styleId="CharStyle76">
    <w:name w:val="Char Style 76"/>
    <w:basedOn w:val="CharStyle10"/>
    <w:uiPriority w:val="99"/>
    <w:rsid w:val="00AF252A"/>
    <w:rPr>
      <w:i/>
      <w:iCs/>
      <w:sz w:val="21"/>
      <w:szCs w:val="21"/>
      <w:u w:val="none"/>
      <w:shd w:val="clear" w:color="auto" w:fill="FFFFFF"/>
    </w:rPr>
  </w:style>
  <w:style w:type="character" w:customStyle="1" w:styleId="CharStyle77">
    <w:name w:val="Char Style 77"/>
    <w:basedOn w:val="CharStyle10"/>
    <w:uiPriority w:val="99"/>
    <w:rsid w:val="00AF252A"/>
    <w:rPr>
      <w:b/>
      <w:bCs/>
      <w:i/>
      <w:iCs/>
      <w:sz w:val="21"/>
      <w:szCs w:val="21"/>
      <w:u w:val="none"/>
      <w:shd w:val="clear" w:color="auto" w:fill="FFFFFF"/>
    </w:rPr>
  </w:style>
  <w:style w:type="character" w:customStyle="1" w:styleId="CharStyle82">
    <w:name w:val="Char Style 82"/>
    <w:basedOn w:val="CharStyle28"/>
    <w:uiPriority w:val="99"/>
    <w:rsid w:val="00AF252A"/>
    <w:rPr>
      <w:i/>
      <w:iCs/>
      <w:sz w:val="21"/>
      <w:szCs w:val="21"/>
      <w:u w:val="none"/>
      <w:shd w:val="clear" w:color="auto" w:fill="FFFFFF"/>
    </w:rPr>
  </w:style>
  <w:style w:type="character" w:customStyle="1" w:styleId="CharStyle96">
    <w:name w:val="Char Style 96"/>
    <w:basedOn w:val="CharStyle10"/>
    <w:uiPriority w:val="99"/>
    <w:rsid w:val="00AF252A"/>
    <w:rPr>
      <w:b/>
      <w:bCs/>
      <w:i/>
      <w:iCs/>
      <w:sz w:val="21"/>
      <w:szCs w:val="21"/>
      <w:u w:val="none"/>
      <w:shd w:val="clear" w:color="auto" w:fill="FFFFFF"/>
    </w:rPr>
  </w:style>
  <w:style w:type="character" w:customStyle="1" w:styleId="Numatytasispastraiposriftas1">
    <w:name w:val="Numatytasis pastraipos šriftas1"/>
    <w:rsid w:val="00742D54"/>
  </w:style>
  <w:style w:type="paragraph" w:customStyle="1" w:styleId="Sraopastraipa1">
    <w:name w:val="Sąrašo pastraipa1"/>
    <w:basedOn w:val="Standard"/>
    <w:rsid w:val="00742D54"/>
    <w:pPr>
      <w:widowControl/>
      <w:ind w:left="720"/>
    </w:pPr>
    <w:rPr>
      <w:rFonts w:eastAsia="Calibri" w:cs="Times New Roman"/>
      <w:b/>
      <w:szCs w:val="20"/>
      <w:lang w:eastAsia="lt-LT" w:bidi="ar-SA"/>
    </w:rPr>
  </w:style>
  <w:style w:type="paragraph" w:customStyle="1" w:styleId="Standarduser">
    <w:name w:val="Standard (user)"/>
    <w:rsid w:val="00742D54"/>
    <w:pPr>
      <w:widowControl w:val="0"/>
      <w:suppressAutoHyphens/>
      <w:autoSpaceDN w:val="0"/>
      <w:textAlignment w:val="baseline"/>
    </w:pPr>
    <w:rPr>
      <w:rFonts w:ascii="Times New Roman" w:eastAsia="Mangal" w:hAnsi="Times New Roman" w:cs="Liberation Serif"/>
      <w:color w:val="000000"/>
      <w:kern w:val="3"/>
      <w:sz w:val="24"/>
      <w:szCs w:val="24"/>
      <w:lang w:val="lt-LT" w:eastAsia="hi-IN" w:bidi="hi-IN"/>
    </w:rPr>
  </w:style>
  <w:style w:type="character" w:customStyle="1" w:styleId="clear">
    <w:name w:val="clear"/>
    <w:basedOn w:val="DefaultParagraphFont"/>
    <w:rsid w:val="00970DB0"/>
  </w:style>
  <w:style w:type="character" w:customStyle="1" w:styleId="st">
    <w:name w:val="st"/>
    <w:basedOn w:val="DefaultParagraphFont"/>
    <w:rsid w:val="00171173"/>
  </w:style>
  <w:style w:type="character" w:customStyle="1" w:styleId="normal-h">
    <w:name w:val="normal-h"/>
    <w:basedOn w:val="DefaultParagraphFont"/>
    <w:rsid w:val="006F15BA"/>
  </w:style>
  <w:style w:type="paragraph" w:customStyle="1" w:styleId="Par1">
    <w:name w:val="Par 1"/>
    <w:basedOn w:val="Normal"/>
    <w:link w:val="Par1Char"/>
    <w:autoRedefine/>
    <w:rsid w:val="006F15BA"/>
    <w:pPr>
      <w:numPr>
        <w:numId w:val="12"/>
      </w:numPr>
      <w:tabs>
        <w:tab w:val="left" w:pos="0"/>
      </w:tabs>
      <w:spacing w:after="120"/>
      <w:ind w:left="993" w:hanging="993"/>
      <w:contextualSpacing/>
    </w:pPr>
    <w:rPr>
      <w:color w:val="000000"/>
    </w:rPr>
  </w:style>
  <w:style w:type="character" w:customStyle="1" w:styleId="Par1Char">
    <w:name w:val="Par 1 Char"/>
    <w:basedOn w:val="DefaultParagraphFont"/>
    <w:link w:val="Par1"/>
    <w:rsid w:val="006F15BA"/>
    <w:rPr>
      <w:rFonts w:ascii="Times New Roman" w:eastAsia="Times New Roman" w:hAnsi="Times New Roman"/>
      <w:color w:val="000000"/>
      <w:sz w:val="24"/>
      <w:szCs w:val="24"/>
      <w:lang w:val="lt-LT" w:eastAsia="lt-LT"/>
    </w:rPr>
  </w:style>
  <w:style w:type="paragraph" w:customStyle="1" w:styleId="normal-p">
    <w:name w:val="normal-p"/>
    <w:basedOn w:val="Normal"/>
    <w:rsid w:val="006F15BA"/>
    <w:pPr>
      <w:spacing w:before="100" w:beforeAutospacing="1" w:after="100" w:afterAutospacing="1"/>
    </w:pPr>
    <w:rPr>
      <w:lang w:val="en-US" w:eastAsia="en-US"/>
    </w:rPr>
  </w:style>
  <w:style w:type="character" w:customStyle="1" w:styleId="Neapdorotaspaminjimas1">
    <w:name w:val="Neapdorotas paminėjimas1"/>
    <w:basedOn w:val="DefaultParagraphFont"/>
    <w:uiPriority w:val="99"/>
    <w:semiHidden/>
    <w:unhideWhenUsed/>
    <w:rsid w:val="006F15BA"/>
    <w:rPr>
      <w:color w:val="605E5C"/>
      <w:shd w:val="clear" w:color="auto" w:fill="E1DFDD"/>
    </w:rPr>
  </w:style>
  <w:style w:type="paragraph" w:customStyle="1" w:styleId="left">
    <w:name w:val="left"/>
    <w:basedOn w:val="Normal"/>
    <w:rsid w:val="006F15BA"/>
    <w:pPr>
      <w:spacing w:before="100" w:beforeAutospacing="1" w:after="100" w:afterAutospacing="1"/>
    </w:pPr>
  </w:style>
  <w:style w:type="paragraph" w:customStyle="1" w:styleId="4lygis">
    <w:name w:val="4 lygis"/>
    <w:basedOn w:val="Heading4"/>
    <w:next w:val="Heading5"/>
    <w:link w:val="4lygisDiagrama"/>
    <w:qFormat/>
    <w:rsid w:val="009144DF"/>
    <w:pPr>
      <w:keepLines/>
      <w:spacing w:before="120" w:after="120"/>
      <w:ind w:firstLine="992"/>
    </w:pPr>
    <w:rPr>
      <w:rFonts w:ascii="Times New Roman" w:eastAsiaTheme="majorEastAsia" w:hAnsi="Times New Roman"/>
      <w:b w:val="0"/>
      <w:bCs w:val="0"/>
      <w:i/>
      <w:iCs/>
      <w:sz w:val="24"/>
      <w:szCs w:val="24"/>
    </w:rPr>
  </w:style>
  <w:style w:type="character" w:customStyle="1" w:styleId="4lygisDiagrama">
    <w:name w:val="4 lygis Diagrama"/>
    <w:basedOn w:val="Heading4Char"/>
    <w:link w:val="4lygis"/>
    <w:rsid w:val="009144DF"/>
    <w:rPr>
      <w:rFonts w:ascii="Times New Roman" w:eastAsiaTheme="majorEastAsia" w:hAnsi="Times New Roman" w:cs="Times New Roman"/>
      <w:b w:val="0"/>
      <w:bCs w:val="0"/>
      <w:i/>
      <w:iCs/>
      <w:sz w:val="24"/>
      <w:szCs w:val="24"/>
      <w:lang w:val="lt-LT" w:eastAsia="lt-LT"/>
    </w:rPr>
  </w:style>
  <w:style w:type="character" w:customStyle="1" w:styleId="CharStyle4">
    <w:name w:val="Char Style 4"/>
    <w:uiPriority w:val="99"/>
    <w:rsid w:val="000F1F7B"/>
    <w:rPr>
      <w:sz w:val="26"/>
      <w:szCs w:val="26"/>
      <w:shd w:val="clear" w:color="auto" w:fill="FFFFFF"/>
    </w:rPr>
  </w:style>
  <w:style w:type="character" w:customStyle="1" w:styleId="CharStyle3">
    <w:name w:val="Char Style 3"/>
    <w:basedOn w:val="DefaultParagraphFont"/>
    <w:uiPriority w:val="99"/>
    <w:locked/>
    <w:rsid w:val="00E4211E"/>
    <w:rPr>
      <w:rFonts w:cs="Times New Roman"/>
      <w:sz w:val="19"/>
      <w:szCs w:val="19"/>
      <w:shd w:val="clear" w:color="auto" w:fill="FFFFFF"/>
    </w:rPr>
  </w:style>
  <w:style w:type="character" w:customStyle="1" w:styleId="NormalWebChar">
    <w:name w:val="Normal (Web) Char"/>
    <w:basedOn w:val="DefaultParagraphFont"/>
    <w:link w:val="NormalWeb"/>
    <w:uiPriority w:val="99"/>
    <w:locked/>
    <w:rsid w:val="00E4211E"/>
    <w:rPr>
      <w:rFonts w:ascii="Times New Roman" w:eastAsia="Times New Roman" w:hAnsi="Times New Roman"/>
      <w:sz w:val="24"/>
      <w:szCs w:val="24"/>
      <w:lang w:val="lt-LT" w:eastAsia="lt-LT"/>
    </w:rPr>
  </w:style>
  <w:style w:type="paragraph" w:styleId="TOC4">
    <w:name w:val="toc 4"/>
    <w:basedOn w:val="Normal"/>
    <w:next w:val="Normal"/>
    <w:autoRedefine/>
    <w:uiPriority w:val="39"/>
    <w:unhideWhenUsed/>
    <w:rsid w:val="0092702C"/>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2702C"/>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2702C"/>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2702C"/>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2702C"/>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2702C"/>
    <w:pPr>
      <w:spacing w:after="100" w:line="259" w:lineRule="auto"/>
      <w:ind w:left="1760"/>
    </w:pPr>
    <w:rPr>
      <w:rFonts w:asciiTheme="minorHAnsi" w:eastAsiaTheme="minorEastAsia" w:hAnsiTheme="minorHAnsi" w:cstheme="minorBidi"/>
      <w:sz w:val="22"/>
      <w:szCs w:val="22"/>
    </w:rPr>
  </w:style>
  <w:style w:type="character" w:customStyle="1" w:styleId="Neapdorotaspaminjimas2">
    <w:name w:val="Neapdorotas paminėjimas2"/>
    <w:basedOn w:val="DefaultParagraphFont"/>
    <w:uiPriority w:val="99"/>
    <w:semiHidden/>
    <w:unhideWhenUsed/>
    <w:rsid w:val="0092702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791051">
      <w:bodyDiv w:val="1"/>
      <w:marLeft w:val="0"/>
      <w:marRight w:val="0"/>
      <w:marTop w:val="0"/>
      <w:marBottom w:val="100"/>
      <w:divBdr>
        <w:top w:val="none" w:sz="0" w:space="0" w:color="auto"/>
        <w:left w:val="none" w:sz="0" w:space="0" w:color="auto"/>
        <w:bottom w:val="none" w:sz="0" w:space="0" w:color="auto"/>
        <w:right w:val="none" w:sz="0" w:space="0" w:color="auto"/>
      </w:divBdr>
      <w:divsChild>
        <w:div w:id="1806004395">
          <w:marLeft w:val="400"/>
          <w:marRight w:val="0"/>
          <w:marTop w:val="0"/>
          <w:marBottom w:val="0"/>
          <w:divBdr>
            <w:top w:val="none" w:sz="0" w:space="0" w:color="auto"/>
            <w:left w:val="none" w:sz="0" w:space="0" w:color="auto"/>
            <w:bottom w:val="none" w:sz="0" w:space="0" w:color="auto"/>
            <w:right w:val="none" w:sz="0" w:space="0" w:color="auto"/>
          </w:divBdr>
          <w:divsChild>
            <w:div w:id="214153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323">
      <w:bodyDiv w:val="1"/>
      <w:marLeft w:val="0"/>
      <w:marRight w:val="0"/>
      <w:marTop w:val="0"/>
      <w:marBottom w:val="0"/>
      <w:divBdr>
        <w:top w:val="none" w:sz="0" w:space="0" w:color="auto"/>
        <w:left w:val="none" w:sz="0" w:space="0" w:color="auto"/>
        <w:bottom w:val="none" w:sz="0" w:space="0" w:color="auto"/>
        <w:right w:val="none" w:sz="0" w:space="0" w:color="auto"/>
      </w:divBdr>
    </w:div>
    <w:div w:id="28192374">
      <w:bodyDiv w:val="1"/>
      <w:marLeft w:val="0"/>
      <w:marRight w:val="0"/>
      <w:marTop w:val="0"/>
      <w:marBottom w:val="0"/>
      <w:divBdr>
        <w:top w:val="none" w:sz="0" w:space="0" w:color="auto"/>
        <w:left w:val="none" w:sz="0" w:space="0" w:color="auto"/>
        <w:bottom w:val="none" w:sz="0" w:space="0" w:color="auto"/>
        <w:right w:val="none" w:sz="0" w:space="0" w:color="auto"/>
      </w:divBdr>
    </w:div>
    <w:div w:id="52311286">
      <w:bodyDiv w:val="1"/>
      <w:marLeft w:val="0"/>
      <w:marRight w:val="0"/>
      <w:marTop w:val="0"/>
      <w:marBottom w:val="0"/>
      <w:divBdr>
        <w:top w:val="none" w:sz="0" w:space="0" w:color="auto"/>
        <w:left w:val="none" w:sz="0" w:space="0" w:color="auto"/>
        <w:bottom w:val="none" w:sz="0" w:space="0" w:color="auto"/>
        <w:right w:val="none" w:sz="0" w:space="0" w:color="auto"/>
      </w:divBdr>
      <w:divsChild>
        <w:div w:id="1479833995">
          <w:marLeft w:val="0"/>
          <w:marRight w:val="0"/>
          <w:marTop w:val="0"/>
          <w:marBottom w:val="0"/>
          <w:divBdr>
            <w:top w:val="none" w:sz="0" w:space="0" w:color="auto"/>
            <w:left w:val="none" w:sz="0" w:space="0" w:color="auto"/>
            <w:bottom w:val="none" w:sz="0" w:space="0" w:color="auto"/>
            <w:right w:val="none" w:sz="0" w:space="0" w:color="auto"/>
          </w:divBdr>
          <w:divsChild>
            <w:div w:id="16169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68492">
      <w:bodyDiv w:val="1"/>
      <w:marLeft w:val="0"/>
      <w:marRight w:val="0"/>
      <w:marTop w:val="0"/>
      <w:marBottom w:val="0"/>
      <w:divBdr>
        <w:top w:val="none" w:sz="0" w:space="0" w:color="auto"/>
        <w:left w:val="none" w:sz="0" w:space="0" w:color="auto"/>
        <w:bottom w:val="none" w:sz="0" w:space="0" w:color="auto"/>
        <w:right w:val="none" w:sz="0" w:space="0" w:color="auto"/>
      </w:divBdr>
    </w:div>
    <w:div w:id="262762704">
      <w:bodyDiv w:val="1"/>
      <w:marLeft w:val="0"/>
      <w:marRight w:val="0"/>
      <w:marTop w:val="0"/>
      <w:marBottom w:val="0"/>
      <w:divBdr>
        <w:top w:val="none" w:sz="0" w:space="0" w:color="auto"/>
        <w:left w:val="none" w:sz="0" w:space="0" w:color="auto"/>
        <w:bottom w:val="none" w:sz="0" w:space="0" w:color="auto"/>
        <w:right w:val="none" w:sz="0" w:space="0" w:color="auto"/>
      </w:divBdr>
    </w:div>
    <w:div w:id="272905268">
      <w:bodyDiv w:val="1"/>
      <w:marLeft w:val="0"/>
      <w:marRight w:val="0"/>
      <w:marTop w:val="0"/>
      <w:marBottom w:val="0"/>
      <w:divBdr>
        <w:top w:val="none" w:sz="0" w:space="0" w:color="auto"/>
        <w:left w:val="none" w:sz="0" w:space="0" w:color="auto"/>
        <w:bottom w:val="none" w:sz="0" w:space="0" w:color="auto"/>
        <w:right w:val="none" w:sz="0" w:space="0" w:color="auto"/>
      </w:divBdr>
    </w:div>
    <w:div w:id="307900247">
      <w:bodyDiv w:val="1"/>
      <w:marLeft w:val="0"/>
      <w:marRight w:val="0"/>
      <w:marTop w:val="0"/>
      <w:marBottom w:val="100"/>
      <w:divBdr>
        <w:top w:val="none" w:sz="0" w:space="0" w:color="auto"/>
        <w:left w:val="none" w:sz="0" w:space="0" w:color="auto"/>
        <w:bottom w:val="none" w:sz="0" w:space="0" w:color="auto"/>
        <w:right w:val="none" w:sz="0" w:space="0" w:color="auto"/>
      </w:divBdr>
      <w:divsChild>
        <w:div w:id="987365403">
          <w:marLeft w:val="400"/>
          <w:marRight w:val="0"/>
          <w:marTop w:val="0"/>
          <w:marBottom w:val="0"/>
          <w:divBdr>
            <w:top w:val="none" w:sz="0" w:space="0" w:color="auto"/>
            <w:left w:val="none" w:sz="0" w:space="0" w:color="auto"/>
            <w:bottom w:val="none" w:sz="0" w:space="0" w:color="auto"/>
            <w:right w:val="none" w:sz="0" w:space="0" w:color="auto"/>
          </w:divBdr>
          <w:divsChild>
            <w:div w:id="60458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01715">
      <w:bodyDiv w:val="1"/>
      <w:marLeft w:val="0"/>
      <w:marRight w:val="0"/>
      <w:marTop w:val="0"/>
      <w:marBottom w:val="100"/>
      <w:divBdr>
        <w:top w:val="none" w:sz="0" w:space="0" w:color="auto"/>
        <w:left w:val="none" w:sz="0" w:space="0" w:color="auto"/>
        <w:bottom w:val="none" w:sz="0" w:space="0" w:color="auto"/>
        <w:right w:val="none" w:sz="0" w:space="0" w:color="auto"/>
      </w:divBdr>
      <w:divsChild>
        <w:div w:id="736704776">
          <w:marLeft w:val="400"/>
          <w:marRight w:val="0"/>
          <w:marTop w:val="0"/>
          <w:marBottom w:val="0"/>
          <w:divBdr>
            <w:top w:val="none" w:sz="0" w:space="0" w:color="auto"/>
            <w:left w:val="none" w:sz="0" w:space="0" w:color="auto"/>
            <w:bottom w:val="none" w:sz="0" w:space="0" w:color="auto"/>
            <w:right w:val="none" w:sz="0" w:space="0" w:color="auto"/>
          </w:divBdr>
          <w:divsChild>
            <w:div w:id="156560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80038">
      <w:bodyDiv w:val="1"/>
      <w:marLeft w:val="0"/>
      <w:marRight w:val="0"/>
      <w:marTop w:val="0"/>
      <w:marBottom w:val="0"/>
      <w:divBdr>
        <w:top w:val="none" w:sz="0" w:space="0" w:color="auto"/>
        <w:left w:val="none" w:sz="0" w:space="0" w:color="auto"/>
        <w:bottom w:val="none" w:sz="0" w:space="0" w:color="auto"/>
        <w:right w:val="none" w:sz="0" w:space="0" w:color="auto"/>
      </w:divBdr>
    </w:div>
    <w:div w:id="411663249">
      <w:bodyDiv w:val="1"/>
      <w:marLeft w:val="0"/>
      <w:marRight w:val="0"/>
      <w:marTop w:val="0"/>
      <w:marBottom w:val="0"/>
      <w:divBdr>
        <w:top w:val="none" w:sz="0" w:space="0" w:color="auto"/>
        <w:left w:val="none" w:sz="0" w:space="0" w:color="auto"/>
        <w:bottom w:val="none" w:sz="0" w:space="0" w:color="auto"/>
        <w:right w:val="none" w:sz="0" w:space="0" w:color="auto"/>
      </w:divBdr>
    </w:div>
    <w:div w:id="436877642">
      <w:bodyDiv w:val="1"/>
      <w:marLeft w:val="0"/>
      <w:marRight w:val="0"/>
      <w:marTop w:val="0"/>
      <w:marBottom w:val="0"/>
      <w:divBdr>
        <w:top w:val="none" w:sz="0" w:space="0" w:color="auto"/>
        <w:left w:val="none" w:sz="0" w:space="0" w:color="auto"/>
        <w:bottom w:val="none" w:sz="0" w:space="0" w:color="auto"/>
        <w:right w:val="none" w:sz="0" w:space="0" w:color="auto"/>
      </w:divBdr>
    </w:div>
    <w:div w:id="470757350">
      <w:bodyDiv w:val="1"/>
      <w:marLeft w:val="0"/>
      <w:marRight w:val="0"/>
      <w:marTop w:val="0"/>
      <w:marBottom w:val="0"/>
      <w:divBdr>
        <w:top w:val="none" w:sz="0" w:space="0" w:color="auto"/>
        <w:left w:val="none" w:sz="0" w:space="0" w:color="auto"/>
        <w:bottom w:val="none" w:sz="0" w:space="0" w:color="auto"/>
        <w:right w:val="none" w:sz="0" w:space="0" w:color="auto"/>
      </w:divBdr>
    </w:div>
    <w:div w:id="656809628">
      <w:bodyDiv w:val="1"/>
      <w:marLeft w:val="0"/>
      <w:marRight w:val="0"/>
      <w:marTop w:val="0"/>
      <w:marBottom w:val="0"/>
      <w:divBdr>
        <w:top w:val="none" w:sz="0" w:space="0" w:color="auto"/>
        <w:left w:val="none" w:sz="0" w:space="0" w:color="auto"/>
        <w:bottom w:val="none" w:sz="0" w:space="0" w:color="auto"/>
        <w:right w:val="none" w:sz="0" w:space="0" w:color="auto"/>
      </w:divBdr>
    </w:div>
    <w:div w:id="696539990">
      <w:bodyDiv w:val="1"/>
      <w:marLeft w:val="0"/>
      <w:marRight w:val="0"/>
      <w:marTop w:val="0"/>
      <w:marBottom w:val="0"/>
      <w:divBdr>
        <w:top w:val="none" w:sz="0" w:space="0" w:color="auto"/>
        <w:left w:val="none" w:sz="0" w:space="0" w:color="auto"/>
        <w:bottom w:val="none" w:sz="0" w:space="0" w:color="auto"/>
        <w:right w:val="none" w:sz="0" w:space="0" w:color="auto"/>
      </w:divBdr>
    </w:div>
    <w:div w:id="728500072">
      <w:bodyDiv w:val="1"/>
      <w:marLeft w:val="0"/>
      <w:marRight w:val="0"/>
      <w:marTop w:val="0"/>
      <w:marBottom w:val="0"/>
      <w:divBdr>
        <w:top w:val="none" w:sz="0" w:space="0" w:color="auto"/>
        <w:left w:val="none" w:sz="0" w:space="0" w:color="auto"/>
        <w:bottom w:val="none" w:sz="0" w:space="0" w:color="auto"/>
        <w:right w:val="none" w:sz="0" w:space="0" w:color="auto"/>
      </w:divBdr>
    </w:div>
    <w:div w:id="759250842">
      <w:bodyDiv w:val="1"/>
      <w:marLeft w:val="0"/>
      <w:marRight w:val="0"/>
      <w:marTop w:val="0"/>
      <w:marBottom w:val="0"/>
      <w:divBdr>
        <w:top w:val="none" w:sz="0" w:space="0" w:color="auto"/>
        <w:left w:val="none" w:sz="0" w:space="0" w:color="auto"/>
        <w:bottom w:val="none" w:sz="0" w:space="0" w:color="auto"/>
        <w:right w:val="none" w:sz="0" w:space="0" w:color="auto"/>
      </w:divBdr>
    </w:div>
    <w:div w:id="874658941">
      <w:bodyDiv w:val="1"/>
      <w:marLeft w:val="0"/>
      <w:marRight w:val="0"/>
      <w:marTop w:val="0"/>
      <w:marBottom w:val="0"/>
      <w:divBdr>
        <w:top w:val="none" w:sz="0" w:space="0" w:color="auto"/>
        <w:left w:val="none" w:sz="0" w:space="0" w:color="auto"/>
        <w:bottom w:val="none" w:sz="0" w:space="0" w:color="auto"/>
        <w:right w:val="none" w:sz="0" w:space="0" w:color="auto"/>
      </w:divBdr>
    </w:div>
    <w:div w:id="897060061">
      <w:bodyDiv w:val="1"/>
      <w:marLeft w:val="0"/>
      <w:marRight w:val="0"/>
      <w:marTop w:val="0"/>
      <w:marBottom w:val="100"/>
      <w:divBdr>
        <w:top w:val="none" w:sz="0" w:space="0" w:color="auto"/>
        <w:left w:val="none" w:sz="0" w:space="0" w:color="auto"/>
        <w:bottom w:val="none" w:sz="0" w:space="0" w:color="auto"/>
        <w:right w:val="none" w:sz="0" w:space="0" w:color="auto"/>
      </w:divBdr>
      <w:divsChild>
        <w:div w:id="1930964116">
          <w:marLeft w:val="400"/>
          <w:marRight w:val="0"/>
          <w:marTop w:val="0"/>
          <w:marBottom w:val="0"/>
          <w:divBdr>
            <w:top w:val="none" w:sz="0" w:space="0" w:color="auto"/>
            <w:left w:val="none" w:sz="0" w:space="0" w:color="auto"/>
            <w:bottom w:val="none" w:sz="0" w:space="0" w:color="auto"/>
            <w:right w:val="none" w:sz="0" w:space="0" w:color="auto"/>
          </w:divBdr>
          <w:divsChild>
            <w:div w:id="9038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81302">
      <w:bodyDiv w:val="1"/>
      <w:marLeft w:val="0"/>
      <w:marRight w:val="0"/>
      <w:marTop w:val="0"/>
      <w:marBottom w:val="0"/>
      <w:divBdr>
        <w:top w:val="none" w:sz="0" w:space="0" w:color="auto"/>
        <w:left w:val="none" w:sz="0" w:space="0" w:color="auto"/>
        <w:bottom w:val="none" w:sz="0" w:space="0" w:color="auto"/>
        <w:right w:val="none" w:sz="0" w:space="0" w:color="auto"/>
      </w:divBdr>
    </w:div>
    <w:div w:id="947272554">
      <w:bodyDiv w:val="1"/>
      <w:marLeft w:val="0"/>
      <w:marRight w:val="0"/>
      <w:marTop w:val="0"/>
      <w:marBottom w:val="0"/>
      <w:divBdr>
        <w:top w:val="none" w:sz="0" w:space="0" w:color="auto"/>
        <w:left w:val="none" w:sz="0" w:space="0" w:color="auto"/>
        <w:bottom w:val="none" w:sz="0" w:space="0" w:color="auto"/>
        <w:right w:val="none" w:sz="0" w:space="0" w:color="auto"/>
      </w:divBdr>
    </w:div>
    <w:div w:id="981927190">
      <w:bodyDiv w:val="1"/>
      <w:marLeft w:val="0"/>
      <w:marRight w:val="0"/>
      <w:marTop w:val="0"/>
      <w:marBottom w:val="0"/>
      <w:divBdr>
        <w:top w:val="none" w:sz="0" w:space="0" w:color="auto"/>
        <w:left w:val="none" w:sz="0" w:space="0" w:color="auto"/>
        <w:bottom w:val="none" w:sz="0" w:space="0" w:color="auto"/>
        <w:right w:val="none" w:sz="0" w:space="0" w:color="auto"/>
      </w:divBdr>
    </w:div>
    <w:div w:id="1014958145">
      <w:bodyDiv w:val="1"/>
      <w:marLeft w:val="0"/>
      <w:marRight w:val="0"/>
      <w:marTop w:val="0"/>
      <w:marBottom w:val="0"/>
      <w:divBdr>
        <w:top w:val="none" w:sz="0" w:space="0" w:color="auto"/>
        <w:left w:val="none" w:sz="0" w:space="0" w:color="auto"/>
        <w:bottom w:val="none" w:sz="0" w:space="0" w:color="auto"/>
        <w:right w:val="none" w:sz="0" w:space="0" w:color="auto"/>
      </w:divBdr>
      <w:divsChild>
        <w:div w:id="1188564070">
          <w:marLeft w:val="0"/>
          <w:marRight w:val="0"/>
          <w:marTop w:val="0"/>
          <w:marBottom w:val="0"/>
          <w:divBdr>
            <w:top w:val="none" w:sz="0" w:space="0" w:color="auto"/>
            <w:left w:val="none" w:sz="0" w:space="0" w:color="auto"/>
            <w:bottom w:val="none" w:sz="0" w:space="0" w:color="auto"/>
            <w:right w:val="none" w:sz="0" w:space="0" w:color="auto"/>
          </w:divBdr>
          <w:divsChild>
            <w:div w:id="828398293">
              <w:marLeft w:val="0"/>
              <w:marRight w:val="0"/>
              <w:marTop w:val="0"/>
              <w:marBottom w:val="0"/>
              <w:divBdr>
                <w:top w:val="none" w:sz="0" w:space="0" w:color="auto"/>
                <w:left w:val="none" w:sz="0" w:space="0" w:color="auto"/>
                <w:bottom w:val="none" w:sz="0" w:space="0" w:color="auto"/>
                <w:right w:val="none" w:sz="0" w:space="0" w:color="auto"/>
              </w:divBdr>
              <w:divsChild>
                <w:div w:id="149351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571847">
      <w:bodyDiv w:val="1"/>
      <w:marLeft w:val="0"/>
      <w:marRight w:val="0"/>
      <w:marTop w:val="0"/>
      <w:marBottom w:val="0"/>
      <w:divBdr>
        <w:top w:val="none" w:sz="0" w:space="0" w:color="auto"/>
        <w:left w:val="none" w:sz="0" w:space="0" w:color="auto"/>
        <w:bottom w:val="none" w:sz="0" w:space="0" w:color="auto"/>
        <w:right w:val="none" w:sz="0" w:space="0" w:color="auto"/>
      </w:divBdr>
      <w:divsChild>
        <w:div w:id="1771468383">
          <w:marLeft w:val="0"/>
          <w:marRight w:val="0"/>
          <w:marTop w:val="0"/>
          <w:marBottom w:val="0"/>
          <w:divBdr>
            <w:top w:val="none" w:sz="0" w:space="0" w:color="auto"/>
            <w:left w:val="none" w:sz="0" w:space="0" w:color="auto"/>
            <w:bottom w:val="none" w:sz="0" w:space="0" w:color="auto"/>
            <w:right w:val="none" w:sz="0" w:space="0" w:color="auto"/>
          </w:divBdr>
          <w:divsChild>
            <w:div w:id="1504392405">
              <w:marLeft w:val="0"/>
              <w:marRight w:val="0"/>
              <w:marTop w:val="0"/>
              <w:marBottom w:val="0"/>
              <w:divBdr>
                <w:top w:val="none" w:sz="0" w:space="0" w:color="auto"/>
                <w:left w:val="none" w:sz="0" w:space="0" w:color="auto"/>
                <w:bottom w:val="none" w:sz="0" w:space="0" w:color="auto"/>
                <w:right w:val="none" w:sz="0" w:space="0" w:color="auto"/>
              </w:divBdr>
              <w:divsChild>
                <w:div w:id="13298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247370">
      <w:bodyDiv w:val="1"/>
      <w:marLeft w:val="0"/>
      <w:marRight w:val="0"/>
      <w:marTop w:val="0"/>
      <w:marBottom w:val="100"/>
      <w:divBdr>
        <w:top w:val="none" w:sz="0" w:space="0" w:color="auto"/>
        <w:left w:val="none" w:sz="0" w:space="0" w:color="auto"/>
        <w:bottom w:val="none" w:sz="0" w:space="0" w:color="auto"/>
        <w:right w:val="none" w:sz="0" w:space="0" w:color="auto"/>
      </w:divBdr>
      <w:divsChild>
        <w:div w:id="1189946742">
          <w:marLeft w:val="400"/>
          <w:marRight w:val="0"/>
          <w:marTop w:val="0"/>
          <w:marBottom w:val="0"/>
          <w:divBdr>
            <w:top w:val="none" w:sz="0" w:space="0" w:color="auto"/>
            <w:left w:val="none" w:sz="0" w:space="0" w:color="auto"/>
            <w:bottom w:val="none" w:sz="0" w:space="0" w:color="auto"/>
            <w:right w:val="none" w:sz="0" w:space="0" w:color="auto"/>
          </w:divBdr>
          <w:divsChild>
            <w:div w:id="8738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891231">
      <w:bodyDiv w:val="1"/>
      <w:marLeft w:val="0"/>
      <w:marRight w:val="0"/>
      <w:marTop w:val="0"/>
      <w:marBottom w:val="0"/>
      <w:divBdr>
        <w:top w:val="none" w:sz="0" w:space="0" w:color="auto"/>
        <w:left w:val="none" w:sz="0" w:space="0" w:color="auto"/>
        <w:bottom w:val="none" w:sz="0" w:space="0" w:color="auto"/>
        <w:right w:val="none" w:sz="0" w:space="0" w:color="auto"/>
      </w:divBdr>
    </w:div>
    <w:div w:id="1306281037">
      <w:bodyDiv w:val="1"/>
      <w:marLeft w:val="0"/>
      <w:marRight w:val="0"/>
      <w:marTop w:val="0"/>
      <w:marBottom w:val="0"/>
      <w:divBdr>
        <w:top w:val="none" w:sz="0" w:space="0" w:color="auto"/>
        <w:left w:val="none" w:sz="0" w:space="0" w:color="auto"/>
        <w:bottom w:val="none" w:sz="0" w:space="0" w:color="auto"/>
        <w:right w:val="none" w:sz="0" w:space="0" w:color="auto"/>
      </w:divBdr>
      <w:divsChild>
        <w:div w:id="260912941">
          <w:marLeft w:val="0"/>
          <w:marRight w:val="0"/>
          <w:marTop w:val="0"/>
          <w:marBottom w:val="0"/>
          <w:divBdr>
            <w:top w:val="none" w:sz="0" w:space="0" w:color="auto"/>
            <w:left w:val="none" w:sz="0" w:space="0" w:color="auto"/>
            <w:bottom w:val="none" w:sz="0" w:space="0" w:color="auto"/>
            <w:right w:val="none" w:sz="0" w:space="0" w:color="auto"/>
          </w:divBdr>
          <w:divsChild>
            <w:div w:id="51134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6322">
      <w:bodyDiv w:val="1"/>
      <w:marLeft w:val="0"/>
      <w:marRight w:val="0"/>
      <w:marTop w:val="0"/>
      <w:marBottom w:val="0"/>
      <w:divBdr>
        <w:top w:val="none" w:sz="0" w:space="0" w:color="auto"/>
        <w:left w:val="none" w:sz="0" w:space="0" w:color="auto"/>
        <w:bottom w:val="none" w:sz="0" w:space="0" w:color="auto"/>
        <w:right w:val="none" w:sz="0" w:space="0" w:color="auto"/>
      </w:divBdr>
      <w:divsChild>
        <w:div w:id="1524973971">
          <w:marLeft w:val="0"/>
          <w:marRight w:val="0"/>
          <w:marTop w:val="0"/>
          <w:marBottom w:val="0"/>
          <w:divBdr>
            <w:top w:val="none" w:sz="0" w:space="0" w:color="auto"/>
            <w:left w:val="none" w:sz="0" w:space="0" w:color="auto"/>
            <w:bottom w:val="none" w:sz="0" w:space="0" w:color="auto"/>
            <w:right w:val="none" w:sz="0" w:space="0" w:color="auto"/>
          </w:divBdr>
          <w:divsChild>
            <w:div w:id="304161193">
              <w:marLeft w:val="0"/>
              <w:marRight w:val="0"/>
              <w:marTop w:val="0"/>
              <w:marBottom w:val="0"/>
              <w:divBdr>
                <w:top w:val="none" w:sz="0" w:space="0" w:color="auto"/>
                <w:left w:val="none" w:sz="0" w:space="0" w:color="auto"/>
                <w:bottom w:val="none" w:sz="0" w:space="0" w:color="auto"/>
                <w:right w:val="none" w:sz="0" w:space="0" w:color="auto"/>
              </w:divBdr>
              <w:divsChild>
                <w:div w:id="134617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309054">
      <w:bodyDiv w:val="1"/>
      <w:marLeft w:val="0"/>
      <w:marRight w:val="0"/>
      <w:marTop w:val="0"/>
      <w:marBottom w:val="0"/>
      <w:divBdr>
        <w:top w:val="none" w:sz="0" w:space="0" w:color="auto"/>
        <w:left w:val="none" w:sz="0" w:space="0" w:color="auto"/>
        <w:bottom w:val="none" w:sz="0" w:space="0" w:color="auto"/>
        <w:right w:val="none" w:sz="0" w:space="0" w:color="auto"/>
      </w:divBdr>
    </w:div>
    <w:div w:id="1488592716">
      <w:bodyDiv w:val="1"/>
      <w:marLeft w:val="0"/>
      <w:marRight w:val="0"/>
      <w:marTop w:val="0"/>
      <w:marBottom w:val="0"/>
      <w:divBdr>
        <w:top w:val="none" w:sz="0" w:space="0" w:color="auto"/>
        <w:left w:val="none" w:sz="0" w:space="0" w:color="auto"/>
        <w:bottom w:val="none" w:sz="0" w:space="0" w:color="auto"/>
        <w:right w:val="none" w:sz="0" w:space="0" w:color="auto"/>
      </w:divBdr>
    </w:div>
    <w:div w:id="1538658638">
      <w:bodyDiv w:val="1"/>
      <w:marLeft w:val="0"/>
      <w:marRight w:val="0"/>
      <w:marTop w:val="0"/>
      <w:marBottom w:val="0"/>
      <w:divBdr>
        <w:top w:val="none" w:sz="0" w:space="0" w:color="auto"/>
        <w:left w:val="none" w:sz="0" w:space="0" w:color="auto"/>
        <w:bottom w:val="none" w:sz="0" w:space="0" w:color="auto"/>
        <w:right w:val="none" w:sz="0" w:space="0" w:color="auto"/>
      </w:divBdr>
      <w:divsChild>
        <w:div w:id="1215003963">
          <w:marLeft w:val="0"/>
          <w:marRight w:val="0"/>
          <w:marTop w:val="0"/>
          <w:marBottom w:val="0"/>
          <w:divBdr>
            <w:top w:val="none" w:sz="0" w:space="0" w:color="auto"/>
            <w:left w:val="none" w:sz="0" w:space="0" w:color="auto"/>
            <w:bottom w:val="none" w:sz="0" w:space="0" w:color="auto"/>
            <w:right w:val="none" w:sz="0" w:space="0" w:color="auto"/>
          </w:divBdr>
          <w:divsChild>
            <w:div w:id="666326447">
              <w:marLeft w:val="0"/>
              <w:marRight w:val="0"/>
              <w:marTop w:val="0"/>
              <w:marBottom w:val="0"/>
              <w:divBdr>
                <w:top w:val="none" w:sz="0" w:space="0" w:color="auto"/>
                <w:left w:val="none" w:sz="0" w:space="0" w:color="auto"/>
                <w:bottom w:val="none" w:sz="0" w:space="0" w:color="auto"/>
                <w:right w:val="none" w:sz="0" w:space="0" w:color="auto"/>
              </w:divBdr>
              <w:divsChild>
                <w:div w:id="87611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353031">
      <w:bodyDiv w:val="1"/>
      <w:marLeft w:val="0"/>
      <w:marRight w:val="0"/>
      <w:marTop w:val="0"/>
      <w:marBottom w:val="0"/>
      <w:divBdr>
        <w:top w:val="none" w:sz="0" w:space="0" w:color="auto"/>
        <w:left w:val="none" w:sz="0" w:space="0" w:color="auto"/>
        <w:bottom w:val="none" w:sz="0" w:space="0" w:color="auto"/>
        <w:right w:val="none" w:sz="0" w:space="0" w:color="auto"/>
      </w:divBdr>
    </w:div>
    <w:div w:id="1794861436">
      <w:bodyDiv w:val="1"/>
      <w:marLeft w:val="0"/>
      <w:marRight w:val="0"/>
      <w:marTop w:val="0"/>
      <w:marBottom w:val="0"/>
      <w:divBdr>
        <w:top w:val="none" w:sz="0" w:space="0" w:color="auto"/>
        <w:left w:val="none" w:sz="0" w:space="0" w:color="auto"/>
        <w:bottom w:val="none" w:sz="0" w:space="0" w:color="auto"/>
        <w:right w:val="none" w:sz="0" w:space="0" w:color="auto"/>
      </w:divBdr>
      <w:divsChild>
        <w:div w:id="276521520">
          <w:marLeft w:val="0"/>
          <w:marRight w:val="0"/>
          <w:marTop w:val="0"/>
          <w:marBottom w:val="0"/>
          <w:divBdr>
            <w:top w:val="none" w:sz="0" w:space="0" w:color="auto"/>
            <w:left w:val="none" w:sz="0" w:space="0" w:color="auto"/>
            <w:bottom w:val="none" w:sz="0" w:space="0" w:color="auto"/>
            <w:right w:val="none" w:sz="0" w:space="0" w:color="auto"/>
          </w:divBdr>
          <w:divsChild>
            <w:div w:id="2083791735">
              <w:marLeft w:val="0"/>
              <w:marRight w:val="0"/>
              <w:marTop w:val="0"/>
              <w:marBottom w:val="0"/>
              <w:divBdr>
                <w:top w:val="none" w:sz="0" w:space="0" w:color="auto"/>
                <w:left w:val="none" w:sz="0" w:space="0" w:color="auto"/>
                <w:bottom w:val="none" w:sz="0" w:space="0" w:color="auto"/>
                <w:right w:val="none" w:sz="0" w:space="0" w:color="auto"/>
              </w:divBdr>
              <w:divsChild>
                <w:div w:id="13963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51564">
      <w:bodyDiv w:val="1"/>
      <w:marLeft w:val="0"/>
      <w:marRight w:val="0"/>
      <w:marTop w:val="0"/>
      <w:marBottom w:val="0"/>
      <w:divBdr>
        <w:top w:val="none" w:sz="0" w:space="0" w:color="auto"/>
        <w:left w:val="none" w:sz="0" w:space="0" w:color="auto"/>
        <w:bottom w:val="none" w:sz="0" w:space="0" w:color="auto"/>
        <w:right w:val="none" w:sz="0" w:space="0" w:color="auto"/>
      </w:divBdr>
      <w:divsChild>
        <w:div w:id="2046709905">
          <w:marLeft w:val="0"/>
          <w:marRight w:val="0"/>
          <w:marTop w:val="0"/>
          <w:marBottom w:val="0"/>
          <w:divBdr>
            <w:top w:val="none" w:sz="0" w:space="0" w:color="auto"/>
            <w:left w:val="none" w:sz="0" w:space="0" w:color="auto"/>
            <w:bottom w:val="none" w:sz="0" w:space="0" w:color="auto"/>
            <w:right w:val="none" w:sz="0" w:space="0" w:color="auto"/>
          </w:divBdr>
          <w:divsChild>
            <w:div w:id="1195070987">
              <w:marLeft w:val="0"/>
              <w:marRight w:val="0"/>
              <w:marTop w:val="0"/>
              <w:marBottom w:val="0"/>
              <w:divBdr>
                <w:top w:val="none" w:sz="0" w:space="0" w:color="auto"/>
                <w:left w:val="none" w:sz="0" w:space="0" w:color="auto"/>
                <w:bottom w:val="none" w:sz="0" w:space="0" w:color="auto"/>
                <w:right w:val="none" w:sz="0" w:space="0" w:color="auto"/>
              </w:divBdr>
              <w:divsChild>
                <w:div w:id="62215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001627">
      <w:bodyDiv w:val="1"/>
      <w:marLeft w:val="0"/>
      <w:marRight w:val="0"/>
      <w:marTop w:val="0"/>
      <w:marBottom w:val="0"/>
      <w:divBdr>
        <w:top w:val="none" w:sz="0" w:space="0" w:color="auto"/>
        <w:left w:val="none" w:sz="0" w:space="0" w:color="auto"/>
        <w:bottom w:val="none" w:sz="0" w:space="0" w:color="auto"/>
        <w:right w:val="none" w:sz="0" w:space="0" w:color="auto"/>
      </w:divBdr>
    </w:div>
    <w:div w:id="1945117077">
      <w:bodyDiv w:val="1"/>
      <w:marLeft w:val="0"/>
      <w:marRight w:val="0"/>
      <w:marTop w:val="0"/>
      <w:marBottom w:val="0"/>
      <w:divBdr>
        <w:top w:val="none" w:sz="0" w:space="0" w:color="auto"/>
        <w:left w:val="none" w:sz="0" w:space="0" w:color="auto"/>
        <w:bottom w:val="none" w:sz="0" w:space="0" w:color="auto"/>
        <w:right w:val="none" w:sz="0" w:space="0" w:color="auto"/>
      </w:divBdr>
    </w:div>
    <w:div w:id="1955015405">
      <w:bodyDiv w:val="1"/>
      <w:marLeft w:val="0"/>
      <w:marRight w:val="0"/>
      <w:marTop w:val="0"/>
      <w:marBottom w:val="0"/>
      <w:divBdr>
        <w:top w:val="none" w:sz="0" w:space="0" w:color="auto"/>
        <w:left w:val="none" w:sz="0" w:space="0" w:color="auto"/>
        <w:bottom w:val="none" w:sz="0" w:space="0" w:color="auto"/>
        <w:right w:val="none" w:sz="0" w:space="0" w:color="auto"/>
      </w:divBdr>
      <w:divsChild>
        <w:div w:id="342363590">
          <w:marLeft w:val="0"/>
          <w:marRight w:val="0"/>
          <w:marTop w:val="0"/>
          <w:marBottom w:val="0"/>
          <w:divBdr>
            <w:top w:val="none" w:sz="0" w:space="0" w:color="auto"/>
            <w:left w:val="none" w:sz="0" w:space="0" w:color="auto"/>
            <w:bottom w:val="none" w:sz="0" w:space="0" w:color="auto"/>
            <w:right w:val="none" w:sz="0" w:space="0" w:color="auto"/>
          </w:divBdr>
          <w:divsChild>
            <w:div w:id="1951276702">
              <w:marLeft w:val="0"/>
              <w:marRight w:val="0"/>
              <w:marTop w:val="0"/>
              <w:marBottom w:val="0"/>
              <w:divBdr>
                <w:top w:val="none" w:sz="0" w:space="0" w:color="auto"/>
                <w:left w:val="none" w:sz="0" w:space="0" w:color="auto"/>
                <w:bottom w:val="none" w:sz="0" w:space="0" w:color="auto"/>
                <w:right w:val="none" w:sz="0" w:space="0" w:color="auto"/>
              </w:divBdr>
              <w:divsChild>
                <w:div w:id="108425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425476">
      <w:bodyDiv w:val="1"/>
      <w:marLeft w:val="0"/>
      <w:marRight w:val="0"/>
      <w:marTop w:val="0"/>
      <w:marBottom w:val="0"/>
      <w:divBdr>
        <w:top w:val="none" w:sz="0" w:space="0" w:color="auto"/>
        <w:left w:val="none" w:sz="0" w:space="0" w:color="auto"/>
        <w:bottom w:val="none" w:sz="0" w:space="0" w:color="auto"/>
        <w:right w:val="none" w:sz="0" w:space="0" w:color="auto"/>
      </w:divBdr>
    </w:div>
    <w:div w:id="2000230405">
      <w:bodyDiv w:val="1"/>
      <w:marLeft w:val="0"/>
      <w:marRight w:val="0"/>
      <w:marTop w:val="0"/>
      <w:marBottom w:val="0"/>
      <w:divBdr>
        <w:top w:val="none" w:sz="0" w:space="0" w:color="auto"/>
        <w:left w:val="none" w:sz="0" w:space="0" w:color="auto"/>
        <w:bottom w:val="none" w:sz="0" w:space="0" w:color="auto"/>
        <w:right w:val="none" w:sz="0" w:space="0" w:color="auto"/>
      </w:divBdr>
    </w:div>
    <w:div w:id="2034987846">
      <w:bodyDiv w:val="1"/>
      <w:marLeft w:val="0"/>
      <w:marRight w:val="0"/>
      <w:marTop w:val="0"/>
      <w:marBottom w:val="0"/>
      <w:divBdr>
        <w:top w:val="none" w:sz="0" w:space="0" w:color="auto"/>
        <w:left w:val="none" w:sz="0" w:space="0" w:color="auto"/>
        <w:bottom w:val="none" w:sz="0" w:space="0" w:color="auto"/>
        <w:right w:val="none" w:sz="0" w:space="0" w:color="auto"/>
      </w:divBdr>
    </w:div>
    <w:div w:id="2036884986">
      <w:bodyDiv w:val="1"/>
      <w:marLeft w:val="0"/>
      <w:marRight w:val="0"/>
      <w:marTop w:val="0"/>
      <w:marBottom w:val="0"/>
      <w:divBdr>
        <w:top w:val="none" w:sz="0" w:space="0" w:color="auto"/>
        <w:left w:val="none" w:sz="0" w:space="0" w:color="auto"/>
        <w:bottom w:val="none" w:sz="0" w:space="0" w:color="auto"/>
        <w:right w:val="none" w:sz="0" w:space="0" w:color="auto"/>
      </w:divBdr>
      <w:divsChild>
        <w:div w:id="1154293638">
          <w:marLeft w:val="0"/>
          <w:marRight w:val="0"/>
          <w:marTop w:val="0"/>
          <w:marBottom w:val="0"/>
          <w:divBdr>
            <w:top w:val="none" w:sz="0" w:space="0" w:color="auto"/>
            <w:left w:val="none" w:sz="0" w:space="0" w:color="auto"/>
            <w:bottom w:val="none" w:sz="0" w:space="0" w:color="auto"/>
            <w:right w:val="none" w:sz="0" w:space="0" w:color="auto"/>
          </w:divBdr>
        </w:div>
      </w:divsChild>
    </w:div>
    <w:div w:id="2059893659">
      <w:bodyDiv w:val="1"/>
      <w:marLeft w:val="0"/>
      <w:marRight w:val="0"/>
      <w:marTop w:val="0"/>
      <w:marBottom w:val="0"/>
      <w:divBdr>
        <w:top w:val="none" w:sz="0" w:space="0" w:color="auto"/>
        <w:left w:val="none" w:sz="0" w:space="0" w:color="auto"/>
        <w:bottom w:val="none" w:sz="0" w:space="0" w:color="auto"/>
        <w:right w:val="none" w:sz="0" w:space="0" w:color="auto"/>
      </w:divBdr>
      <w:divsChild>
        <w:div w:id="893389127">
          <w:marLeft w:val="0"/>
          <w:marRight w:val="0"/>
          <w:marTop w:val="0"/>
          <w:marBottom w:val="0"/>
          <w:divBdr>
            <w:top w:val="none" w:sz="0" w:space="0" w:color="auto"/>
            <w:left w:val="none" w:sz="0" w:space="0" w:color="auto"/>
            <w:bottom w:val="none" w:sz="0" w:space="0" w:color="auto"/>
            <w:right w:val="none" w:sz="0" w:space="0" w:color="auto"/>
          </w:divBdr>
          <w:divsChild>
            <w:div w:id="816260230">
              <w:marLeft w:val="0"/>
              <w:marRight w:val="0"/>
              <w:marTop w:val="0"/>
              <w:marBottom w:val="0"/>
              <w:divBdr>
                <w:top w:val="none" w:sz="0" w:space="0" w:color="auto"/>
                <w:left w:val="none" w:sz="0" w:space="0" w:color="auto"/>
                <w:bottom w:val="none" w:sz="0" w:space="0" w:color="auto"/>
                <w:right w:val="none" w:sz="0" w:space="0" w:color="auto"/>
              </w:divBdr>
              <w:divsChild>
                <w:div w:id="1077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732789">
      <w:bodyDiv w:val="1"/>
      <w:marLeft w:val="0"/>
      <w:marRight w:val="0"/>
      <w:marTop w:val="0"/>
      <w:marBottom w:val="0"/>
      <w:divBdr>
        <w:top w:val="none" w:sz="0" w:space="0" w:color="auto"/>
        <w:left w:val="none" w:sz="0" w:space="0" w:color="auto"/>
        <w:bottom w:val="none" w:sz="0" w:space="0" w:color="auto"/>
        <w:right w:val="none" w:sz="0" w:space="0" w:color="auto"/>
      </w:divBdr>
      <w:divsChild>
        <w:div w:id="1334991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963FD3-900E-41A7-8FDC-9441FC60B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154</Pages>
  <Words>381829</Words>
  <Characters>2176426</Characters>
  <Application>Microsoft Office Word</Application>
  <DocSecurity>0</DocSecurity>
  <Lines>18136</Lines>
  <Paragraphs>5106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Pranešėja  A</vt:lpstr>
      <vt:lpstr>Pranešėja  A</vt:lpstr>
    </vt:vector>
  </TitlesOfParts>
  <Company>Grizli777</Company>
  <LinksUpToDate>false</LinksUpToDate>
  <CharactersWithSpaces>2553149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Pranešėja  A</dc:title>
  <dc:creator>Lietuvos apeliacinis teismas</dc:creator>
  <cp:keywords>II. Nuosprendžio įžanginė dalis</cp:keywords>
  <cp:lastModifiedBy>vbudeniene</cp:lastModifiedBy>
  <cp:revision>2</cp:revision>
  <cp:lastPrinted>2021-03-30T12:32:00Z</cp:lastPrinted>
  <dcterms:created xsi:type="dcterms:W3CDTF">2021-07-21T05:43:00Z</dcterms:created>
  <dcterms:modified xsi:type="dcterms:W3CDTF">2021-07-21T05:43:00Z</dcterms:modified>
</cp:coreProperties>
</file>